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8E3CDB" w:rsidRPr="00EF3154">
        <w:trPr>
          <w:cantSplit/>
        </w:trPr>
        <w:tc>
          <w:tcPr>
            <w:tcW w:w="6912" w:type="dxa"/>
          </w:tcPr>
          <w:p w:rsidR="008E3CDB" w:rsidRPr="00EF3154" w:rsidRDefault="008E3CDB" w:rsidP="000B7E88">
            <w:pPr>
              <w:spacing w:before="360"/>
              <w:rPr>
                <w:lang w:val="fr-CH"/>
              </w:rPr>
            </w:pPr>
            <w:bookmarkStart w:id="0" w:name="dc06"/>
            <w:bookmarkEnd w:id="0"/>
            <w:r w:rsidRPr="00EF3154">
              <w:rPr>
                <w:b/>
                <w:bCs/>
                <w:sz w:val="30"/>
                <w:szCs w:val="30"/>
                <w:lang w:val="fr-CH"/>
              </w:rPr>
              <w:t>Conseil 2016</w:t>
            </w:r>
            <w:r w:rsidRPr="00EF3154">
              <w:rPr>
                <w:rFonts w:ascii="Verdana" w:hAnsi="Verdana"/>
                <w:b/>
                <w:bCs/>
                <w:sz w:val="26"/>
                <w:szCs w:val="26"/>
                <w:lang w:val="fr-CH"/>
              </w:rPr>
              <w:br/>
            </w:r>
            <w:r w:rsidR="00801D9F">
              <w:rPr>
                <w:b/>
                <w:bCs/>
                <w:szCs w:val="24"/>
                <w:lang w:val="fr-CH"/>
              </w:rPr>
              <w:t>Genève, 25 mai –</w:t>
            </w:r>
            <w:r w:rsidR="00C66E09" w:rsidRPr="00EF3154">
              <w:rPr>
                <w:b/>
                <w:bCs/>
                <w:szCs w:val="24"/>
                <w:lang w:val="fr-CH"/>
              </w:rPr>
              <w:t xml:space="preserve"> </w:t>
            </w:r>
            <w:r w:rsidRPr="00EF3154">
              <w:rPr>
                <w:b/>
                <w:bCs/>
                <w:szCs w:val="24"/>
                <w:lang w:val="fr-CH"/>
              </w:rPr>
              <w:t>2 juin 2016</w:t>
            </w:r>
          </w:p>
        </w:tc>
        <w:tc>
          <w:tcPr>
            <w:tcW w:w="3261" w:type="dxa"/>
          </w:tcPr>
          <w:p w:rsidR="008E3CDB" w:rsidRPr="00EF3154" w:rsidRDefault="008E3CDB" w:rsidP="000B7E88">
            <w:pPr>
              <w:spacing w:before="0"/>
              <w:jc w:val="right"/>
              <w:rPr>
                <w:lang w:val="fr-CH"/>
              </w:rPr>
            </w:pPr>
            <w:bookmarkStart w:id="1" w:name="ditulogo"/>
            <w:bookmarkEnd w:id="1"/>
            <w:r w:rsidRPr="00EF3154">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8E3CDB" w:rsidRPr="00EF3154" w:rsidTr="000B7E88">
        <w:trPr>
          <w:cantSplit/>
          <w:trHeight w:val="20"/>
        </w:trPr>
        <w:tc>
          <w:tcPr>
            <w:tcW w:w="6912" w:type="dxa"/>
            <w:tcBorders>
              <w:bottom w:val="single" w:sz="12" w:space="0" w:color="auto"/>
            </w:tcBorders>
            <w:vAlign w:val="center"/>
          </w:tcPr>
          <w:p w:rsidR="008E3CDB" w:rsidRPr="00EF3154" w:rsidRDefault="008E3CDB" w:rsidP="000B7E88">
            <w:pPr>
              <w:spacing w:before="0"/>
              <w:rPr>
                <w:b/>
                <w:bCs/>
                <w:sz w:val="26"/>
                <w:szCs w:val="26"/>
                <w:lang w:val="fr-CH"/>
              </w:rPr>
            </w:pPr>
          </w:p>
        </w:tc>
        <w:tc>
          <w:tcPr>
            <w:tcW w:w="3261" w:type="dxa"/>
            <w:tcBorders>
              <w:bottom w:val="single" w:sz="12" w:space="0" w:color="auto"/>
            </w:tcBorders>
          </w:tcPr>
          <w:p w:rsidR="008E3CDB" w:rsidRPr="00EF3154" w:rsidRDefault="008E3CDB" w:rsidP="000B7E88">
            <w:pPr>
              <w:spacing w:before="0"/>
              <w:rPr>
                <w:b/>
                <w:bCs/>
                <w:lang w:val="fr-CH"/>
              </w:rPr>
            </w:pPr>
          </w:p>
        </w:tc>
      </w:tr>
      <w:tr w:rsidR="008E3CDB" w:rsidRPr="00EF3154">
        <w:trPr>
          <w:cantSplit/>
          <w:trHeight w:val="20"/>
        </w:trPr>
        <w:tc>
          <w:tcPr>
            <w:tcW w:w="6912" w:type="dxa"/>
            <w:tcBorders>
              <w:top w:val="single" w:sz="12" w:space="0" w:color="auto"/>
            </w:tcBorders>
          </w:tcPr>
          <w:p w:rsidR="008E3CDB" w:rsidRPr="00EF3154" w:rsidRDefault="008E3CDB" w:rsidP="000B7E88">
            <w:pPr>
              <w:spacing w:before="0"/>
              <w:rPr>
                <w:smallCaps/>
                <w:sz w:val="22"/>
                <w:lang w:val="fr-CH"/>
              </w:rPr>
            </w:pPr>
          </w:p>
        </w:tc>
        <w:tc>
          <w:tcPr>
            <w:tcW w:w="3261" w:type="dxa"/>
            <w:tcBorders>
              <w:top w:val="single" w:sz="12" w:space="0" w:color="auto"/>
            </w:tcBorders>
          </w:tcPr>
          <w:p w:rsidR="008E3CDB" w:rsidRPr="00EF3154" w:rsidRDefault="008E3CDB" w:rsidP="000B7E88">
            <w:pPr>
              <w:spacing w:before="0"/>
              <w:rPr>
                <w:b/>
                <w:bCs/>
                <w:lang w:val="fr-CH"/>
              </w:rPr>
            </w:pPr>
          </w:p>
        </w:tc>
      </w:tr>
      <w:tr w:rsidR="008E3CDB" w:rsidRPr="00EF3154">
        <w:trPr>
          <w:cantSplit/>
          <w:trHeight w:val="20"/>
        </w:trPr>
        <w:tc>
          <w:tcPr>
            <w:tcW w:w="6912" w:type="dxa"/>
            <w:vMerge w:val="restart"/>
          </w:tcPr>
          <w:p w:rsidR="008E3CDB" w:rsidRPr="00EF3154" w:rsidRDefault="008E3CDB" w:rsidP="000B7E88">
            <w:pPr>
              <w:spacing w:before="0"/>
              <w:rPr>
                <w:rFonts w:cs="Times"/>
                <w:b/>
                <w:bCs/>
                <w:szCs w:val="24"/>
                <w:lang w:val="fr-CH"/>
              </w:rPr>
            </w:pPr>
            <w:bookmarkStart w:id="2" w:name="dnum" w:colFirst="1" w:colLast="1"/>
            <w:bookmarkStart w:id="3" w:name="dmeeting" w:colFirst="0" w:colLast="0"/>
            <w:r w:rsidRPr="00EF3154">
              <w:rPr>
                <w:rFonts w:cs="Times"/>
                <w:b/>
                <w:bCs/>
                <w:szCs w:val="24"/>
                <w:lang w:val="fr-CH"/>
              </w:rPr>
              <w:t>Point de l</w:t>
            </w:r>
            <w:r w:rsidR="000B7E88">
              <w:rPr>
                <w:rFonts w:cs="Times"/>
                <w:b/>
                <w:bCs/>
                <w:szCs w:val="24"/>
                <w:lang w:val="fr-CH"/>
              </w:rPr>
              <w:t>'</w:t>
            </w:r>
            <w:r w:rsidRPr="00EF3154">
              <w:rPr>
                <w:rFonts w:cs="Times"/>
                <w:b/>
                <w:bCs/>
                <w:szCs w:val="24"/>
                <w:lang w:val="fr-CH"/>
              </w:rPr>
              <w:t xml:space="preserve">ordre du jour: </w:t>
            </w:r>
            <w:r w:rsidR="00C7737F">
              <w:rPr>
                <w:rFonts w:cs="Times"/>
                <w:b/>
                <w:bCs/>
                <w:szCs w:val="24"/>
                <w:lang w:val="fr-CH"/>
              </w:rPr>
              <w:t>ADM 10</w:t>
            </w:r>
          </w:p>
        </w:tc>
        <w:tc>
          <w:tcPr>
            <w:tcW w:w="3261" w:type="dxa"/>
          </w:tcPr>
          <w:p w:rsidR="008E3CDB" w:rsidRPr="00EF3154" w:rsidRDefault="008E3CDB" w:rsidP="000B7E88">
            <w:pPr>
              <w:spacing w:before="0"/>
              <w:rPr>
                <w:b/>
                <w:bCs/>
                <w:lang w:val="fr-CH"/>
              </w:rPr>
            </w:pPr>
            <w:r w:rsidRPr="00EF3154">
              <w:rPr>
                <w:b/>
                <w:bCs/>
                <w:lang w:val="fr-CH"/>
              </w:rPr>
              <w:t>Document C1</w:t>
            </w:r>
            <w:r w:rsidR="00C66E09" w:rsidRPr="00EF3154">
              <w:rPr>
                <w:b/>
                <w:bCs/>
                <w:lang w:val="fr-CH"/>
              </w:rPr>
              <w:t>6</w:t>
            </w:r>
            <w:r w:rsidR="00AB408A" w:rsidRPr="00EF3154">
              <w:rPr>
                <w:b/>
                <w:bCs/>
                <w:lang w:val="fr-CH"/>
              </w:rPr>
              <w:t>/</w:t>
            </w:r>
            <w:r w:rsidR="00C7737F">
              <w:rPr>
                <w:b/>
                <w:bCs/>
                <w:lang w:val="fr-CH"/>
              </w:rPr>
              <w:t>44</w:t>
            </w:r>
            <w:r w:rsidRPr="00EF3154">
              <w:rPr>
                <w:b/>
                <w:bCs/>
                <w:lang w:val="fr-CH"/>
              </w:rPr>
              <w:t>-F</w:t>
            </w:r>
          </w:p>
        </w:tc>
      </w:tr>
      <w:tr w:rsidR="008E3CDB" w:rsidRPr="00EF3154">
        <w:trPr>
          <w:cantSplit/>
          <w:trHeight w:val="20"/>
        </w:trPr>
        <w:tc>
          <w:tcPr>
            <w:tcW w:w="6912" w:type="dxa"/>
            <w:vMerge/>
          </w:tcPr>
          <w:p w:rsidR="008E3CDB" w:rsidRPr="00EF3154" w:rsidRDefault="008E3CDB" w:rsidP="000B7E88">
            <w:pPr>
              <w:shd w:val="solid" w:color="FFFFFF" w:fill="FFFFFF"/>
              <w:spacing w:before="180"/>
              <w:rPr>
                <w:smallCaps/>
                <w:lang w:val="fr-CH"/>
              </w:rPr>
            </w:pPr>
            <w:bookmarkStart w:id="4" w:name="ddate" w:colFirst="1" w:colLast="1"/>
            <w:bookmarkEnd w:id="2"/>
            <w:bookmarkEnd w:id="3"/>
          </w:p>
        </w:tc>
        <w:tc>
          <w:tcPr>
            <w:tcW w:w="3261" w:type="dxa"/>
          </w:tcPr>
          <w:p w:rsidR="008E3CDB" w:rsidRPr="00EF3154" w:rsidRDefault="00C7737F" w:rsidP="000B7E88">
            <w:pPr>
              <w:spacing w:before="0"/>
              <w:rPr>
                <w:b/>
                <w:bCs/>
                <w:lang w:val="fr-CH"/>
              </w:rPr>
            </w:pPr>
            <w:r>
              <w:rPr>
                <w:b/>
                <w:bCs/>
                <w:lang w:val="fr-CH"/>
              </w:rPr>
              <w:t>12 avril</w:t>
            </w:r>
            <w:r w:rsidR="008E3CDB" w:rsidRPr="00EF3154">
              <w:rPr>
                <w:b/>
                <w:bCs/>
                <w:lang w:val="fr-CH"/>
              </w:rPr>
              <w:t xml:space="preserve"> 2016</w:t>
            </w:r>
          </w:p>
        </w:tc>
      </w:tr>
      <w:tr w:rsidR="008E3CDB" w:rsidRPr="00EF3154">
        <w:trPr>
          <w:cantSplit/>
          <w:trHeight w:val="20"/>
        </w:trPr>
        <w:tc>
          <w:tcPr>
            <w:tcW w:w="6912" w:type="dxa"/>
            <w:vMerge/>
          </w:tcPr>
          <w:p w:rsidR="008E3CDB" w:rsidRPr="00EF3154" w:rsidRDefault="008E3CDB" w:rsidP="000B7E88">
            <w:pPr>
              <w:shd w:val="solid" w:color="FFFFFF" w:fill="FFFFFF"/>
              <w:spacing w:before="180"/>
              <w:rPr>
                <w:smallCaps/>
                <w:lang w:val="fr-CH"/>
              </w:rPr>
            </w:pPr>
            <w:bookmarkStart w:id="5" w:name="dorlang" w:colFirst="1" w:colLast="1"/>
            <w:bookmarkEnd w:id="4"/>
          </w:p>
        </w:tc>
        <w:tc>
          <w:tcPr>
            <w:tcW w:w="3261" w:type="dxa"/>
          </w:tcPr>
          <w:p w:rsidR="008E3CDB" w:rsidRPr="00EF3154" w:rsidRDefault="008E3CDB" w:rsidP="000B7E88">
            <w:pPr>
              <w:spacing w:before="0"/>
              <w:rPr>
                <w:b/>
                <w:bCs/>
                <w:lang w:val="fr-CH"/>
              </w:rPr>
            </w:pPr>
            <w:r w:rsidRPr="00EF3154">
              <w:rPr>
                <w:b/>
                <w:bCs/>
                <w:lang w:val="fr-CH"/>
              </w:rPr>
              <w:t>Original: anglais</w:t>
            </w:r>
          </w:p>
        </w:tc>
      </w:tr>
      <w:tr w:rsidR="008E3CDB" w:rsidRPr="00EF3154">
        <w:trPr>
          <w:cantSplit/>
        </w:trPr>
        <w:tc>
          <w:tcPr>
            <w:tcW w:w="10173" w:type="dxa"/>
            <w:gridSpan w:val="2"/>
          </w:tcPr>
          <w:p w:rsidR="008E3CDB" w:rsidRPr="00EF3154" w:rsidRDefault="008E3CDB" w:rsidP="000B7E88">
            <w:pPr>
              <w:pStyle w:val="Source"/>
              <w:rPr>
                <w:lang w:val="fr-CH"/>
              </w:rPr>
            </w:pPr>
            <w:bookmarkStart w:id="6" w:name="dsource" w:colFirst="0" w:colLast="0"/>
            <w:bookmarkEnd w:id="5"/>
            <w:r w:rsidRPr="00EF3154">
              <w:rPr>
                <w:lang w:val="fr-CH"/>
              </w:rPr>
              <w:t>Rapport du Secrétaire général</w:t>
            </w:r>
          </w:p>
        </w:tc>
      </w:tr>
      <w:tr w:rsidR="008E3CDB" w:rsidRPr="00EF3154">
        <w:trPr>
          <w:cantSplit/>
        </w:trPr>
        <w:tc>
          <w:tcPr>
            <w:tcW w:w="10173" w:type="dxa"/>
            <w:gridSpan w:val="2"/>
          </w:tcPr>
          <w:p w:rsidR="008E3CDB" w:rsidRPr="00EF3154" w:rsidRDefault="00C7737F" w:rsidP="000B7E88">
            <w:pPr>
              <w:pStyle w:val="Title1"/>
              <w:rPr>
                <w:lang w:val="fr-CH"/>
              </w:rPr>
            </w:pPr>
            <w:bookmarkStart w:id="7" w:name="dtitle1" w:colFirst="0" w:colLast="0"/>
            <w:bookmarkEnd w:id="6"/>
            <w:r w:rsidRPr="00C7737F">
              <w:t>RAPPORT DE L</w:t>
            </w:r>
            <w:r w:rsidR="000B7E88">
              <w:t>'</w:t>
            </w:r>
            <w:r w:rsidRPr="00C7737F">
              <w:t>AUDITEUR INTERNE SUR LES ACTIVITÉS D</w:t>
            </w:r>
            <w:r w:rsidR="000B7E88">
              <w:t>'</w:t>
            </w:r>
            <w:r w:rsidRPr="00C7737F">
              <w:t>audit INTERNE</w:t>
            </w:r>
          </w:p>
        </w:tc>
      </w:tr>
      <w:bookmarkEnd w:id="7"/>
    </w:tbl>
    <w:p w:rsidR="008E3CDB" w:rsidRPr="00EF3154" w:rsidRDefault="008E3CDB" w:rsidP="000B7E88">
      <w:pPr>
        <w:rPr>
          <w:lang w:val="fr-CH"/>
        </w:rPr>
      </w:pPr>
    </w:p>
    <w:tbl>
      <w:tblPr>
        <w:tblW w:w="8080" w:type="dxa"/>
        <w:tblInd w:w="9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080"/>
      </w:tblGrid>
      <w:tr w:rsidR="008E3CDB" w:rsidRPr="00EF3154" w:rsidTr="00C66E09">
        <w:tc>
          <w:tcPr>
            <w:tcW w:w="8080" w:type="dxa"/>
          </w:tcPr>
          <w:p w:rsidR="008E3CDB" w:rsidRPr="00EF3154" w:rsidRDefault="008E3CDB" w:rsidP="000B7E88">
            <w:pPr>
              <w:pStyle w:val="Headingb"/>
              <w:rPr>
                <w:lang w:val="fr-CH"/>
              </w:rPr>
            </w:pPr>
            <w:bookmarkStart w:id="8" w:name="_GoBack"/>
            <w:r w:rsidRPr="00EF3154">
              <w:rPr>
                <w:lang w:val="fr-CH"/>
              </w:rPr>
              <w:t>Résumé</w:t>
            </w:r>
          </w:p>
          <w:p w:rsidR="008E3CDB" w:rsidRPr="00EF3154" w:rsidRDefault="00ED2E92" w:rsidP="000B7E88">
            <w:pPr>
              <w:rPr>
                <w:lang w:val="fr-CH"/>
              </w:rPr>
            </w:pPr>
            <w:r w:rsidRPr="00ED2E92">
              <w:rPr>
                <w:rFonts w:asciiTheme="minorHAnsi" w:hAnsiTheme="minorHAnsi"/>
                <w:szCs w:val="24"/>
              </w:rPr>
              <w:t>Le présent rapport couvre les activités d</w:t>
            </w:r>
            <w:r w:rsidR="000B7E88">
              <w:rPr>
                <w:rFonts w:asciiTheme="minorHAnsi" w:hAnsiTheme="minorHAnsi"/>
                <w:szCs w:val="24"/>
              </w:rPr>
              <w:t>'</w:t>
            </w:r>
            <w:r w:rsidRPr="00ED2E92">
              <w:rPr>
                <w:rFonts w:asciiTheme="minorHAnsi" w:hAnsiTheme="minorHAnsi"/>
                <w:szCs w:val="24"/>
              </w:rPr>
              <w:t>audit interne menées durant la période comprise entre mars 201</w:t>
            </w:r>
            <w:r>
              <w:rPr>
                <w:rFonts w:asciiTheme="minorHAnsi" w:hAnsiTheme="minorHAnsi"/>
                <w:szCs w:val="24"/>
              </w:rPr>
              <w:t>5</w:t>
            </w:r>
            <w:r w:rsidRPr="00ED2E92">
              <w:rPr>
                <w:rFonts w:asciiTheme="minorHAnsi" w:hAnsiTheme="minorHAnsi"/>
                <w:szCs w:val="24"/>
              </w:rPr>
              <w:t xml:space="preserve"> et février </w:t>
            </w:r>
            <w:r>
              <w:rPr>
                <w:rFonts w:asciiTheme="minorHAnsi" w:hAnsiTheme="minorHAnsi"/>
                <w:szCs w:val="24"/>
              </w:rPr>
              <w:t>2016.</w:t>
            </w:r>
          </w:p>
          <w:bookmarkEnd w:id="8"/>
          <w:p w:rsidR="008E3CDB" w:rsidRPr="00EF3154" w:rsidRDefault="008E3CDB" w:rsidP="000B7E88">
            <w:pPr>
              <w:pStyle w:val="Headingb"/>
              <w:rPr>
                <w:lang w:val="fr-CH"/>
              </w:rPr>
            </w:pPr>
            <w:r w:rsidRPr="00EF3154">
              <w:rPr>
                <w:lang w:val="fr-CH"/>
              </w:rPr>
              <w:t>Suite à donner</w:t>
            </w:r>
          </w:p>
          <w:p w:rsidR="00AB408A" w:rsidRPr="00EF3154" w:rsidRDefault="00ED2E92" w:rsidP="000B7E88">
            <w:pPr>
              <w:rPr>
                <w:rFonts w:asciiTheme="minorHAnsi" w:hAnsiTheme="minorHAnsi"/>
                <w:szCs w:val="24"/>
                <w:lang w:val="fr-CH"/>
              </w:rPr>
            </w:pPr>
            <w:r w:rsidRPr="00ED2E92">
              <w:rPr>
                <w:rFonts w:asciiTheme="minorHAnsi" w:hAnsiTheme="minorHAnsi"/>
                <w:szCs w:val="24"/>
              </w:rPr>
              <w:t xml:space="preserve">Le présent rapport est transmis au Conseil pour </w:t>
            </w:r>
            <w:r w:rsidRPr="00ED2E92">
              <w:rPr>
                <w:rFonts w:asciiTheme="minorHAnsi" w:hAnsiTheme="minorHAnsi"/>
                <w:b/>
                <w:bCs/>
                <w:szCs w:val="24"/>
              </w:rPr>
              <w:t>examen</w:t>
            </w:r>
            <w:r w:rsidR="00AB408A" w:rsidRPr="00EF3154">
              <w:rPr>
                <w:rFonts w:asciiTheme="minorHAnsi" w:hAnsiTheme="minorHAnsi"/>
                <w:szCs w:val="24"/>
                <w:lang w:val="fr-CH"/>
              </w:rPr>
              <w:t xml:space="preserve">. </w:t>
            </w:r>
          </w:p>
          <w:p w:rsidR="00AB408A" w:rsidRPr="00EF3154" w:rsidRDefault="00AB408A" w:rsidP="000B7E88">
            <w:pPr>
              <w:jc w:val="center"/>
              <w:rPr>
                <w:lang w:val="fr-CH"/>
              </w:rPr>
            </w:pPr>
            <w:r w:rsidRPr="00EF3154">
              <w:rPr>
                <w:lang w:val="fr-CH"/>
              </w:rPr>
              <w:t>______________</w:t>
            </w:r>
          </w:p>
          <w:p w:rsidR="00AB408A" w:rsidRPr="00EF3154" w:rsidRDefault="00AB408A" w:rsidP="000B7E88">
            <w:pPr>
              <w:pStyle w:val="Headingb"/>
              <w:rPr>
                <w:lang w:val="fr-CH"/>
              </w:rPr>
            </w:pPr>
            <w:r w:rsidRPr="00EF3154">
              <w:rPr>
                <w:lang w:val="fr-CH"/>
              </w:rPr>
              <w:t>Références</w:t>
            </w:r>
          </w:p>
          <w:p w:rsidR="00AB408A" w:rsidRPr="00EF3154" w:rsidRDefault="00B75C25" w:rsidP="000B7E88">
            <w:pPr>
              <w:spacing w:after="240"/>
              <w:rPr>
                <w:lang w:val="fr-CH"/>
              </w:rPr>
            </w:pPr>
            <w:r w:rsidRPr="00B75C25">
              <w:rPr>
                <w:i/>
                <w:iCs/>
              </w:rPr>
              <w:t>Règlement financier et Règles financières de l</w:t>
            </w:r>
            <w:r w:rsidR="000B7E88">
              <w:rPr>
                <w:i/>
                <w:iCs/>
              </w:rPr>
              <w:t>'</w:t>
            </w:r>
            <w:r w:rsidRPr="00B75C25">
              <w:rPr>
                <w:i/>
                <w:iCs/>
              </w:rPr>
              <w:t>UIT (2010), Article 29</w:t>
            </w:r>
          </w:p>
        </w:tc>
      </w:tr>
    </w:tbl>
    <w:p w:rsidR="00A51350" w:rsidRPr="00905D54" w:rsidRDefault="00A51350" w:rsidP="00831D5E">
      <w:pPr>
        <w:pStyle w:val="Headingb"/>
        <w:spacing w:before="480"/>
      </w:pPr>
      <w:r w:rsidRPr="00905D54">
        <w:t>Introduction</w:t>
      </w:r>
    </w:p>
    <w:p w:rsidR="00A51350" w:rsidRPr="00E32106" w:rsidRDefault="00A51350" w:rsidP="000B7E88">
      <w:pPr>
        <w:rPr>
          <w:rFonts w:asciiTheme="minorHAnsi" w:hAnsiTheme="minorHAnsi" w:cs="Calibri"/>
          <w:szCs w:val="24"/>
          <w:lang w:val="fr-CH"/>
        </w:rPr>
      </w:pPr>
      <w:r>
        <w:t>1</w:t>
      </w:r>
      <w:r>
        <w:tab/>
        <w:t>Le présent rapport est transmis au Conseil au titre de l</w:t>
      </w:r>
      <w:r w:rsidR="000B7E88">
        <w:t>'</w:t>
      </w:r>
      <w:r>
        <w:t>Article 29 du Règlement financier (2010). Conformément à la Charte d</w:t>
      </w:r>
      <w:r w:rsidR="000B7E88">
        <w:t>'</w:t>
      </w:r>
      <w:r>
        <w:t>audit interne de l</w:t>
      </w:r>
      <w:r w:rsidR="000B7E88">
        <w:t>'</w:t>
      </w:r>
      <w:r>
        <w:t>UIT</w:t>
      </w:r>
      <w:r>
        <w:rPr>
          <w:rStyle w:val="FootnoteReference"/>
        </w:rPr>
        <w:footnoteReference w:id="1"/>
      </w:r>
      <w:r>
        <w:t>, le présent rapport est soumis au Secrétaire général et présenté au Conseil pour examen. Le présent rapport couvre les activités menées durant la période comprise entre mars 201</w:t>
      </w:r>
      <w:r w:rsidR="00231E4D">
        <w:t>5</w:t>
      </w:r>
      <w:r>
        <w:t xml:space="preserve"> et février 201</w:t>
      </w:r>
      <w:r w:rsidR="00231E4D">
        <w:t>6</w:t>
      </w:r>
      <w:r>
        <w:t>.</w:t>
      </w:r>
    </w:p>
    <w:p w:rsidR="00AB408A" w:rsidRDefault="00231E4D" w:rsidP="000B7E88">
      <w:r>
        <w:rPr>
          <w:lang w:val="fr-CH"/>
        </w:rPr>
        <w:t>2</w:t>
      </w:r>
      <w:r>
        <w:rPr>
          <w:lang w:val="fr-CH"/>
        </w:rPr>
        <w:tab/>
        <w:t xml:space="preserve">En 2015, </w:t>
      </w:r>
      <w:r w:rsidRPr="00231E4D">
        <w:rPr>
          <w:lang w:val="fr-CH"/>
        </w:rPr>
        <w:t>l</w:t>
      </w:r>
      <w:r w:rsidR="000B7E88">
        <w:t>'</w:t>
      </w:r>
      <w:r w:rsidRPr="00231E4D">
        <w:t>Unité de l</w:t>
      </w:r>
      <w:r w:rsidR="000B7E88">
        <w:t>'</w:t>
      </w:r>
      <w:r w:rsidRPr="00231E4D">
        <w:t>audit interne se composait de deux fonctionnaires de la catégorie professionnelle ‒ un P.5 (Chef de l</w:t>
      </w:r>
      <w:r w:rsidR="000B7E88">
        <w:t>'</w:t>
      </w:r>
      <w:r w:rsidRPr="00231E4D">
        <w:t>Unité) et un P.3</w:t>
      </w:r>
      <w:r w:rsidR="006A096F">
        <w:t xml:space="preserve"> temporaire</w:t>
      </w:r>
      <w:r w:rsidRPr="00231E4D">
        <w:t xml:space="preserve"> (Auditeur interne)</w:t>
      </w:r>
      <w:r w:rsidR="0076028C">
        <w:t xml:space="preserve">. Le </w:t>
      </w:r>
      <w:r w:rsidR="0076028C" w:rsidRPr="0076028C">
        <w:t>fonctionnaire de la catégorie des services généraux (Assistant d</w:t>
      </w:r>
      <w:r w:rsidR="000B7E88">
        <w:t>'</w:t>
      </w:r>
      <w:r w:rsidR="0076028C" w:rsidRPr="0076028C">
        <w:t xml:space="preserve">audit) </w:t>
      </w:r>
      <w:r w:rsidR="0076028C">
        <w:t>a travaillé</w:t>
      </w:r>
      <w:r w:rsidR="0076028C" w:rsidRPr="0076028C">
        <w:t xml:space="preserve"> à temps partiel</w:t>
      </w:r>
      <w:r w:rsidR="0076028C">
        <w:t xml:space="preserve"> jusqu</w:t>
      </w:r>
      <w:r w:rsidR="000B7E88">
        <w:t>'</w:t>
      </w:r>
      <w:r w:rsidR="00831D5E">
        <w:t>en mai </w:t>
      </w:r>
      <w:r w:rsidR="0076028C">
        <w:t>2015</w:t>
      </w:r>
      <w:r w:rsidR="00831D5E">
        <w:t>,</w:t>
      </w:r>
      <w:r w:rsidR="0076028C">
        <w:t xml:space="preserve"> puis à temps</w:t>
      </w:r>
      <w:r w:rsidR="00BE5FAE" w:rsidRPr="00BE5FAE">
        <w:t xml:space="preserve"> </w:t>
      </w:r>
      <w:r w:rsidR="00BE5FAE">
        <w:t>plein</w:t>
      </w:r>
      <w:r w:rsidR="0076028C">
        <w:t xml:space="preserve">. En septembre 2015, le </w:t>
      </w:r>
      <w:r w:rsidR="0076028C">
        <w:lastRenderedPageBreak/>
        <w:t>titulaire du poste d</w:t>
      </w:r>
      <w:r w:rsidR="000B7E88">
        <w:t>'</w:t>
      </w:r>
      <w:r w:rsidR="0076028C">
        <w:t>auditeur interne junior</w:t>
      </w:r>
      <w:r w:rsidR="000B7E88">
        <w:t xml:space="preserve"> (grade </w:t>
      </w:r>
      <w:r w:rsidR="006A096F">
        <w:t>P.1)</w:t>
      </w:r>
      <w:r w:rsidR="0076028C">
        <w:t xml:space="preserve"> a quitté l</w:t>
      </w:r>
      <w:r w:rsidR="000B7E88">
        <w:t>'</w:t>
      </w:r>
      <w:r w:rsidR="0076028C">
        <w:t>Union et le poste d</w:t>
      </w:r>
      <w:r w:rsidR="000B7E88">
        <w:t>'</w:t>
      </w:r>
      <w:r w:rsidR="0076028C">
        <w:t xml:space="preserve">auditeur interne </w:t>
      </w:r>
      <w:r w:rsidR="000B7E88">
        <w:t xml:space="preserve">junior </w:t>
      </w:r>
      <w:r w:rsidR="0076028C">
        <w:t>de durée déterminée (grade P.2</w:t>
      </w:r>
      <w:r w:rsidR="006A096F">
        <w:t>)</w:t>
      </w:r>
      <w:r w:rsidR="0076028C">
        <w:t xml:space="preserve"> a été pourvu, le titulaire ayant p</w:t>
      </w:r>
      <w:r w:rsidR="00BE5FAE">
        <w:t>ris ses fonctions mi-mars 2016</w:t>
      </w:r>
      <w:r w:rsidR="0076028C" w:rsidRPr="0076028C">
        <w:t>. L</w:t>
      </w:r>
      <w:r w:rsidR="000B7E88">
        <w:t>'</w:t>
      </w:r>
      <w:r w:rsidR="0076028C" w:rsidRPr="0076028C">
        <w:t>Unité comprend donc aujourd</w:t>
      </w:r>
      <w:r w:rsidR="000B7E88">
        <w:t>'</w:t>
      </w:r>
      <w:r w:rsidR="0076028C" w:rsidRPr="0076028C">
        <w:t xml:space="preserve">hui trois fonctionnaires de la catégorie Professionnelle et un fonctionnaire de la catégorie des Services généraux travaillant à temps </w:t>
      </w:r>
      <w:r w:rsidR="00BE5FAE">
        <w:t>plein.</w:t>
      </w:r>
    </w:p>
    <w:p w:rsidR="00831D5E" w:rsidRDefault="00831D5E" w:rsidP="000B7E88">
      <w:pPr>
        <w:rPr>
          <w:lang w:val="fr-CH"/>
        </w:rPr>
      </w:pPr>
      <w:r>
        <w:rPr>
          <w:lang w:val="fr-CH"/>
        </w:rPr>
        <w:br w:type="page"/>
      </w:r>
    </w:p>
    <w:p w:rsidR="00B84565" w:rsidRDefault="006A096F" w:rsidP="000B7E88">
      <w:pPr>
        <w:rPr>
          <w:lang w:val="fr-CH"/>
        </w:rPr>
      </w:pPr>
      <w:r>
        <w:rPr>
          <w:lang w:val="fr-CH"/>
        </w:rPr>
        <w:lastRenderedPageBreak/>
        <w:t>3</w:t>
      </w:r>
      <w:r>
        <w:rPr>
          <w:lang w:val="fr-CH"/>
        </w:rPr>
        <w:tab/>
      </w:r>
      <w:r w:rsidRPr="006A096F">
        <w:rPr>
          <w:lang w:val="fr-CH"/>
        </w:rPr>
        <w:t>L</w:t>
      </w:r>
      <w:r w:rsidR="000B7E88">
        <w:rPr>
          <w:lang w:val="fr-CH"/>
        </w:rPr>
        <w:t>'</w:t>
      </w:r>
      <w:r w:rsidRPr="006A096F">
        <w:rPr>
          <w:lang w:val="fr-CH"/>
        </w:rPr>
        <w:t>Unité de l</w:t>
      </w:r>
      <w:r w:rsidR="000B7E88">
        <w:rPr>
          <w:lang w:val="fr-CH"/>
        </w:rPr>
        <w:t>'</w:t>
      </w:r>
      <w:r w:rsidRPr="006A096F">
        <w:rPr>
          <w:lang w:val="fr-CH"/>
        </w:rPr>
        <w:t>audit interne confirme qu</w:t>
      </w:r>
      <w:r w:rsidR="000B7E88">
        <w:rPr>
          <w:lang w:val="fr-CH"/>
        </w:rPr>
        <w:t>'</w:t>
      </w:r>
      <w:r w:rsidRPr="006A096F">
        <w:rPr>
          <w:lang w:val="fr-CH"/>
        </w:rPr>
        <w:t>elle mène ses audits conformément aux Normes internationales pour la pratique professionnelle de l</w:t>
      </w:r>
      <w:r w:rsidR="000B7E88">
        <w:rPr>
          <w:lang w:val="fr-CH"/>
        </w:rPr>
        <w:t>'</w:t>
      </w:r>
      <w:r w:rsidRPr="006A096F">
        <w:rPr>
          <w:lang w:val="fr-CH"/>
        </w:rPr>
        <w:t>audit interne et au Code de déontologie établis par l</w:t>
      </w:r>
      <w:r w:rsidR="000B7E88">
        <w:rPr>
          <w:lang w:val="fr-CH"/>
        </w:rPr>
        <w:t>'</w:t>
      </w:r>
      <w:r w:rsidRPr="006A096F">
        <w:rPr>
          <w:lang w:val="fr-CH"/>
        </w:rPr>
        <w:t>Institut des auditeurs internes</w:t>
      </w:r>
      <w:r w:rsidRPr="000B7E88">
        <w:rPr>
          <w:vertAlign w:val="superscript"/>
        </w:rPr>
        <w:footnoteReference w:id="2"/>
      </w:r>
      <w:r w:rsidRPr="006A096F">
        <w:rPr>
          <w:lang w:val="fr-CH"/>
        </w:rPr>
        <w:t xml:space="preserve"> (IIA), ainsi qu</w:t>
      </w:r>
      <w:r w:rsidR="000B7E88">
        <w:rPr>
          <w:lang w:val="fr-CH"/>
        </w:rPr>
        <w:t>'</w:t>
      </w:r>
      <w:r w:rsidRPr="006A096F">
        <w:rPr>
          <w:lang w:val="fr-CH"/>
        </w:rPr>
        <w:t>aux dispositions de la Charte d</w:t>
      </w:r>
      <w:r w:rsidR="000B7E88">
        <w:rPr>
          <w:lang w:val="fr-CH"/>
        </w:rPr>
        <w:t>'</w:t>
      </w:r>
      <w:r w:rsidRPr="006A096F">
        <w:rPr>
          <w:lang w:val="fr-CH"/>
        </w:rPr>
        <w:t>audit interne de l</w:t>
      </w:r>
      <w:r w:rsidR="000B7E88">
        <w:rPr>
          <w:lang w:val="fr-CH"/>
        </w:rPr>
        <w:t>'</w:t>
      </w:r>
      <w:r w:rsidRPr="006A096F">
        <w:rPr>
          <w:lang w:val="fr-CH"/>
        </w:rPr>
        <w:t>UIT</w:t>
      </w:r>
      <w:r w:rsidRPr="000B7E88">
        <w:rPr>
          <w:vertAlign w:val="superscript"/>
        </w:rPr>
        <w:footnoteReference w:id="3"/>
      </w:r>
      <w:r w:rsidRPr="006A096F">
        <w:rPr>
          <w:lang w:val="fr-CH"/>
        </w:rPr>
        <w:t>. En outre, l</w:t>
      </w:r>
      <w:r w:rsidR="000B7E88">
        <w:rPr>
          <w:lang w:val="fr-CH"/>
        </w:rPr>
        <w:t>'</w:t>
      </w:r>
      <w:r w:rsidRPr="006A096F">
        <w:rPr>
          <w:lang w:val="fr-CH"/>
        </w:rPr>
        <w:t>Unité de l</w:t>
      </w:r>
      <w:r w:rsidR="000B7E88">
        <w:rPr>
          <w:lang w:val="fr-CH"/>
        </w:rPr>
        <w:t>'</w:t>
      </w:r>
      <w:r w:rsidRPr="006A096F">
        <w:rPr>
          <w:lang w:val="fr-CH"/>
        </w:rPr>
        <w:t>audit interne confirme qu</w:t>
      </w:r>
      <w:r w:rsidR="000B7E88">
        <w:rPr>
          <w:lang w:val="fr-CH"/>
        </w:rPr>
        <w:t>'</w:t>
      </w:r>
      <w:r w:rsidRPr="006A096F">
        <w:rPr>
          <w:lang w:val="fr-CH"/>
        </w:rPr>
        <w:t>au cours de la période visée dans le présent rapport, ses membres n</w:t>
      </w:r>
      <w:r w:rsidR="000B7E88">
        <w:rPr>
          <w:lang w:val="fr-CH"/>
        </w:rPr>
        <w:t>'</w:t>
      </w:r>
      <w:r w:rsidRPr="006A096F">
        <w:rPr>
          <w:lang w:val="fr-CH"/>
        </w:rPr>
        <w:t>ont supervisé aucune des activités ayant fait l</w:t>
      </w:r>
      <w:r w:rsidR="000B7E88">
        <w:rPr>
          <w:lang w:val="fr-CH"/>
        </w:rPr>
        <w:t>'</w:t>
      </w:r>
      <w:r w:rsidRPr="006A096F">
        <w:rPr>
          <w:lang w:val="fr-CH"/>
        </w:rPr>
        <w:t>objet d</w:t>
      </w:r>
      <w:r w:rsidR="000B7E88">
        <w:rPr>
          <w:lang w:val="fr-CH"/>
        </w:rPr>
        <w:t>'</w:t>
      </w:r>
      <w:r w:rsidRPr="006A096F">
        <w:rPr>
          <w:lang w:val="fr-CH"/>
        </w:rPr>
        <w:t>un audit, ni n</w:t>
      </w:r>
      <w:r w:rsidR="000B7E88">
        <w:rPr>
          <w:lang w:val="fr-CH"/>
        </w:rPr>
        <w:t>'</w:t>
      </w:r>
      <w:r w:rsidRPr="006A096F">
        <w:rPr>
          <w:lang w:val="fr-CH"/>
        </w:rPr>
        <w:t>en ont été responsables, et qu</w:t>
      </w:r>
      <w:r w:rsidR="000B7E88">
        <w:rPr>
          <w:lang w:val="fr-CH"/>
        </w:rPr>
        <w:t>'</w:t>
      </w:r>
      <w:r w:rsidRPr="006A096F">
        <w:rPr>
          <w:lang w:val="fr-CH"/>
        </w:rPr>
        <w:t>ils n</w:t>
      </w:r>
      <w:r w:rsidR="000B7E88">
        <w:rPr>
          <w:lang w:val="fr-CH"/>
        </w:rPr>
        <w:t>'</w:t>
      </w:r>
      <w:r w:rsidRPr="006A096F">
        <w:rPr>
          <w:lang w:val="fr-CH"/>
        </w:rPr>
        <w:t>ont pas exercé à l</w:t>
      </w:r>
      <w:r w:rsidR="000B7E88">
        <w:rPr>
          <w:lang w:val="fr-CH"/>
        </w:rPr>
        <w:t>'</w:t>
      </w:r>
      <w:r w:rsidRPr="006A096F">
        <w:rPr>
          <w:lang w:val="fr-CH"/>
        </w:rPr>
        <w:t>UIT de fonctions comptables ou opérationnelles.</w:t>
      </w:r>
    </w:p>
    <w:p w:rsidR="004340E8" w:rsidRPr="00FD67EF" w:rsidRDefault="004340E8" w:rsidP="000B7E88">
      <w:pPr>
        <w:pStyle w:val="Headingb"/>
      </w:pPr>
      <w:r w:rsidRPr="00FD67EF">
        <w:t>Orientation et champ des activités d</w:t>
      </w:r>
      <w:r w:rsidR="000B7E88">
        <w:t>'</w:t>
      </w:r>
      <w:r w:rsidRPr="00FD67EF">
        <w:t>audit interne</w:t>
      </w:r>
    </w:p>
    <w:p w:rsidR="004340E8" w:rsidRDefault="000B7E88" w:rsidP="000B7E88">
      <w:pPr>
        <w:rPr>
          <w:lang w:val="fr-CH"/>
        </w:rPr>
      </w:pPr>
      <w:r>
        <w:rPr>
          <w:lang w:val="fr-CH"/>
        </w:rPr>
        <w:t>4</w:t>
      </w:r>
      <w:r w:rsidR="00BA4DCD">
        <w:rPr>
          <w:lang w:val="fr-CH"/>
        </w:rPr>
        <w:tab/>
      </w:r>
      <w:r w:rsidR="00BA4DCD" w:rsidRPr="00BA4DCD">
        <w:rPr>
          <w:lang w:val="fr-CH"/>
        </w:rPr>
        <w:t>Le plan d</w:t>
      </w:r>
      <w:r>
        <w:rPr>
          <w:lang w:val="fr-CH"/>
        </w:rPr>
        <w:t>'</w:t>
      </w:r>
      <w:r w:rsidR="00BA4DCD" w:rsidRPr="00BA4DCD">
        <w:rPr>
          <w:lang w:val="fr-CH"/>
        </w:rPr>
        <w:t>audit interne pour 201</w:t>
      </w:r>
      <w:r w:rsidR="00BA4DCD">
        <w:rPr>
          <w:lang w:val="fr-CH"/>
        </w:rPr>
        <w:t>5</w:t>
      </w:r>
      <w:r w:rsidR="00BA4DCD" w:rsidRPr="00BA4DCD">
        <w:rPr>
          <w:lang w:val="fr-CH"/>
        </w:rPr>
        <w:t xml:space="preserve"> a été </w:t>
      </w:r>
      <w:r w:rsidR="00BA4DCD">
        <w:rPr>
          <w:lang w:val="fr-CH"/>
        </w:rPr>
        <w:t>approuvé par le Secrétaire général</w:t>
      </w:r>
      <w:r>
        <w:rPr>
          <w:lang w:val="fr-CH"/>
        </w:rPr>
        <w:t xml:space="preserve"> en janvier 2015</w:t>
      </w:r>
      <w:r w:rsidR="00BA4DCD">
        <w:rPr>
          <w:lang w:val="fr-CH"/>
        </w:rPr>
        <w:t xml:space="preserve"> et </w:t>
      </w:r>
      <w:r w:rsidR="00BA4DCD" w:rsidRPr="00BA4DCD">
        <w:rPr>
          <w:lang w:val="fr-CH"/>
        </w:rPr>
        <w:t>transmis au Vérificateur extérieur des comptes dans un souci d</w:t>
      </w:r>
      <w:r>
        <w:rPr>
          <w:lang w:val="fr-CH"/>
        </w:rPr>
        <w:t>'</w:t>
      </w:r>
      <w:r w:rsidR="00BA4DCD" w:rsidRPr="00BA4DCD">
        <w:rPr>
          <w:lang w:val="fr-CH"/>
        </w:rPr>
        <w:t>efficacité et de coordination</w:t>
      </w:r>
      <w:r w:rsidR="00BA4DCD">
        <w:rPr>
          <w:lang w:val="fr-CH"/>
        </w:rPr>
        <w:t xml:space="preserve">. </w:t>
      </w:r>
      <w:r w:rsidR="00BA4DCD" w:rsidRPr="00BA4DCD">
        <w:rPr>
          <w:lang w:val="fr-CH"/>
        </w:rPr>
        <w:t>Les travaux d</w:t>
      </w:r>
      <w:r>
        <w:rPr>
          <w:lang w:val="fr-CH"/>
        </w:rPr>
        <w:t>'</w:t>
      </w:r>
      <w:r w:rsidR="00BA4DCD" w:rsidRPr="00BA4DCD">
        <w:rPr>
          <w:lang w:val="fr-CH"/>
        </w:rPr>
        <w:t>audit ont été axés principalement sur les missions d</w:t>
      </w:r>
      <w:r>
        <w:rPr>
          <w:lang w:val="fr-CH"/>
        </w:rPr>
        <w:t>'</w:t>
      </w:r>
      <w:r w:rsidR="00BA4DCD" w:rsidRPr="00BA4DCD">
        <w:rPr>
          <w:lang w:val="fr-CH"/>
        </w:rPr>
        <w:t>assurance</w:t>
      </w:r>
      <w:r w:rsidR="0094248E">
        <w:rPr>
          <w:lang w:val="fr-CH"/>
        </w:rPr>
        <w:t>.</w:t>
      </w:r>
      <w:r w:rsidR="00EC3CFC">
        <w:rPr>
          <w:lang w:val="fr-CH"/>
        </w:rPr>
        <w:t xml:space="preserve"> Deux audits planifiés n</w:t>
      </w:r>
      <w:r>
        <w:rPr>
          <w:lang w:val="fr-CH"/>
        </w:rPr>
        <w:t>'</w:t>
      </w:r>
      <w:r w:rsidR="00EC3CFC">
        <w:rPr>
          <w:lang w:val="fr-CH"/>
        </w:rPr>
        <w:t>ont pas été réalisés en 2015 (l</w:t>
      </w:r>
      <w:r>
        <w:rPr>
          <w:lang w:val="fr-CH"/>
        </w:rPr>
        <w:t>'</w:t>
      </w:r>
      <w:r w:rsidR="00EC3CFC">
        <w:rPr>
          <w:lang w:val="fr-CH"/>
        </w:rPr>
        <w:t>un a été reporté à début 2016 et l</w:t>
      </w:r>
      <w:r>
        <w:rPr>
          <w:lang w:val="fr-CH"/>
        </w:rPr>
        <w:t>'</w:t>
      </w:r>
      <w:r w:rsidR="00EC3CFC">
        <w:rPr>
          <w:lang w:val="fr-CH"/>
        </w:rPr>
        <w:t xml:space="preserve">autre a été annulé suite aux travaux menés par le </w:t>
      </w:r>
      <w:r>
        <w:rPr>
          <w:lang w:val="fr-CH"/>
        </w:rPr>
        <w:t>V</w:t>
      </w:r>
      <w:r w:rsidR="00EC3CFC">
        <w:rPr>
          <w:lang w:val="fr-CH"/>
        </w:rPr>
        <w:t xml:space="preserve">érificateur extérieur </w:t>
      </w:r>
      <w:r>
        <w:rPr>
          <w:lang w:val="fr-CH"/>
        </w:rPr>
        <w:t xml:space="preserve">des comptes </w:t>
      </w:r>
      <w:r w:rsidR="00EC3CFC">
        <w:rPr>
          <w:lang w:val="fr-CH"/>
        </w:rPr>
        <w:t>sur le sujet</w:t>
      </w:r>
      <w:r>
        <w:rPr>
          <w:lang w:val="fr-CH"/>
        </w:rPr>
        <w:t>,</w:t>
      </w:r>
      <w:r w:rsidR="00EC3CFC">
        <w:rPr>
          <w:lang w:val="fr-CH"/>
        </w:rPr>
        <w:t xml:space="preserve"> qui ont fait apparaître un risque </w:t>
      </w:r>
      <w:r>
        <w:rPr>
          <w:lang w:val="fr-CH"/>
        </w:rPr>
        <w:t>d'</w:t>
      </w:r>
      <w:r w:rsidR="00EC3CFC">
        <w:rPr>
          <w:lang w:val="fr-CH"/>
        </w:rPr>
        <w:t>audit</w:t>
      </w:r>
      <w:r>
        <w:rPr>
          <w:lang w:val="fr-CH"/>
        </w:rPr>
        <w:t xml:space="preserve"> réduit</w:t>
      </w:r>
      <w:r w:rsidR="00EC3CFC">
        <w:rPr>
          <w:lang w:val="fr-CH"/>
        </w:rPr>
        <w:t>).</w:t>
      </w:r>
    </w:p>
    <w:p w:rsidR="00276FD5" w:rsidRDefault="000B7E88" w:rsidP="000B7E88">
      <w:pPr>
        <w:rPr>
          <w:lang w:val="fr-CH"/>
        </w:rPr>
      </w:pPr>
      <w:r>
        <w:rPr>
          <w:lang w:val="fr-CH"/>
        </w:rPr>
        <w:t>5</w:t>
      </w:r>
      <w:r w:rsidR="00EC3CFC">
        <w:rPr>
          <w:lang w:val="fr-CH"/>
        </w:rPr>
        <w:tab/>
      </w:r>
      <w:r w:rsidR="00EC3CFC" w:rsidRPr="00EC3CFC">
        <w:rPr>
          <w:lang w:val="fr-CH"/>
        </w:rPr>
        <w:t>L</w:t>
      </w:r>
      <w:r>
        <w:rPr>
          <w:lang w:val="fr-CH"/>
        </w:rPr>
        <w:t>'</w:t>
      </w:r>
      <w:r w:rsidR="00EC3CFC" w:rsidRPr="00EC3CFC">
        <w:rPr>
          <w:lang w:val="fr-CH"/>
        </w:rPr>
        <w:t>Unité de l</w:t>
      </w:r>
      <w:r>
        <w:rPr>
          <w:lang w:val="fr-CH"/>
        </w:rPr>
        <w:t>'</w:t>
      </w:r>
      <w:r w:rsidR="00EC3CFC" w:rsidRPr="00EC3CFC">
        <w:rPr>
          <w:lang w:val="fr-CH"/>
        </w:rPr>
        <w:t>audit interne remet systématiquement des exemplaires des rapports d</w:t>
      </w:r>
      <w:r>
        <w:rPr>
          <w:lang w:val="fr-CH"/>
        </w:rPr>
        <w:t>'</w:t>
      </w:r>
      <w:r w:rsidR="00EC3CFC" w:rsidRPr="00EC3CFC">
        <w:rPr>
          <w:lang w:val="fr-CH"/>
        </w:rPr>
        <w:t>audit interne au Vérificateur extérieur des comptes de l</w:t>
      </w:r>
      <w:r>
        <w:rPr>
          <w:lang w:val="fr-CH"/>
        </w:rPr>
        <w:t>'</w:t>
      </w:r>
      <w:r w:rsidR="00EC3CFC" w:rsidRPr="00EC3CFC">
        <w:rPr>
          <w:lang w:val="fr-CH"/>
        </w:rPr>
        <w:t>UIT ainsi qu</w:t>
      </w:r>
      <w:r>
        <w:rPr>
          <w:lang w:val="fr-CH"/>
        </w:rPr>
        <w:t>'</w:t>
      </w:r>
      <w:r w:rsidR="00EC3CFC" w:rsidRPr="00EC3CFC">
        <w:rPr>
          <w:lang w:val="fr-CH"/>
        </w:rPr>
        <w:t xml:space="preserve">au </w:t>
      </w:r>
      <w:r>
        <w:rPr>
          <w:lang w:val="fr-CH"/>
        </w:rPr>
        <w:t>Comité consultatif indépendant pour les questions de gestion (</w:t>
      </w:r>
      <w:r w:rsidR="00EC3CFC" w:rsidRPr="00EC3CFC">
        <w:rPr>
          <w:lang w:val="fr-CH"/>
        </w:rPr>
        <w:t>CCIG</w:t>
      </w:r>
      <w:r>
        <w:rPr>
          <w:lang w:val="fr-CH"/>
        </w:rPr>
        <w:t>)</w:t>
      </w:r>
      <w:r w:rsidR="00EC3CFC" w:rsidRPr="00EC3CFC">
        <w:rPr>
          <w:lang w:val="fr-CH"/>
        </w:rPr>
        <w:t>. Conformément à la disposition 29.5 du Règlement financier de l</w:t>
      </w:r>
      <w:r>
        <w:rPr>
          <w:lang w:val="fr-CH"/>
        </w:rPr>
        <w:t>'</w:t>
      </w:r>
      <w:r w:rsidR="00EC3CFC" w:rsidRPr="00EC3CFC">
        <w:rPr>
          <w:lang w:val="fr-CH"/>
        </w:rPr>
        <w:t>UIT, des rapports finals d</w:t>
      </w:r>
      <w:r>
        <w:rPr>
          <w:lang w:val="fr-CH"/>
        </w:rPr>
        <w:t>'</w:t>
      </w:r>
      <w:r w:rsidR="00EC3CFC" w:rsidRPr="00EC3CFC">
        <w:rPr>
          <w:lang w:val="fr-CH"/>
        </w:rPr>
        <w:t>aud</w:t>
      </w:r>
      <w:r>
        <w:rPr>
          <w:lang w:val="fr-CH"/>
        </w:rPr>
        <w:t>it interne peuvent</w:t>
      </w:r>
      <w:r w:rsidR="00EC3CFC" w:rsidRPr="00EC3CFC">
        <w:rPr>
          <w:lang w:val="fr-CH"/>
        </w:rPr>
        <w:t xml:space="preserve"> être mis à la disposition des Etats Membres ou de leurs représentants désignés.</w:t>
      </w:r>
      <w:r w:rsidR="00276FD5">
        <w:rPr>
          <w:lang w:val="fr-CH"/>
        </w:rPr>
        <w:t xml:space="preserve"> Comme le Conseil </w:t>
      </w:r>
      <w:r>
        <w:rPr>
          <w:lang w:val="fr-CH"/>
        </w:rPr>
        <w:t>l'</w:t>
      </w:r>
      <w:r w:rsidR="00276FD5">
        <w:rPr>
          <w:lang w:val="fr-CH"/>
        </w:rPr>
        <w:t>a demandé au Secrétaire général de l</w:t>
      </w:r>
      <w:r>
        <w:rPr>
          <w:lang w:val="fr-CH"/>
        </w:rPr>
        <w:t>'</w:t>
      </w:r>
      <w:r w:rsidR="00276FD5">
        <w:rPr>
          <w:lang w:val="fr-CH"/>
        </w:rPr>
        <w:t>UIT à sa session de 2015, un mécanisme simplifié d</w:t>
      </w:r>
      <w:r>
        <w:rPr>
          <w:lang w:val="fr-CH"/>
        </w:rPr>
        <w:t>'</w:t>
      </w:r>
      <w:r w:rsidR="00276FD5">
        <w:rPr>
          <w:lang w:val="fr-CH"/>
        </w:rPr>
        <w:t>accès au</w:t>
      </w:r>
      <w:r w:rsidR="009F1AF7">
        <w:rPr>
          <w:lang w:val="fr-CH"/>
        </w:rPr>
        <w:t>x</w:t>
      </w:r>
      <w:r w:rsidR="00276FD5">
        <w:rPr>
          <w:lang w:val="fr-CH"/>
        </w:rPr>
        <w:t xml:space="preserve"> rapport</w:t>
      </w:r>
      <w:r w:rsidR="009F1AF7">
        <w:rPr>
          <w:lang w:val="fr-CH"/>
        </w:rPr>
        <w:t>s</w:t>
      </w:r>
      <w:r w:rsidR="00276FD5">
        <w:rPr>
          <w:lang w:val="fr-CH"/>
        </w:rPr>
        <w:t xml:space="preserve"> d</w:t>
      </w:r>
      <w:r>
        <w:rPr>
          <w:lang w:val="fr-CH"/>
        </w:rPr>
        <w:t>'</w:t>
      </w:r>
      <w:r w:rsidR="00276FD5">
        <w:rPr>
          <w:lang w:val="fr-CH"/>
        </w:rPr>
        <w:t xml:space="preserve">audit interne a été présenté au </w:t>
      </w:r>
      <w:r w:rsidR="00276FD5" w:rsidRPr="00E220A5">
        <w:rPr>
          <w:i/>
          <w:iCs/>
          <w:lang w:val="fr-CH"/>
        </w:rPr>
        <w:t>Groupe de travail du Conseil sur les ressources financières et les ressources humaines</w:t>
      </w:r>
      <w:r w:rsidR="00276FD5">
        <w:rPr>
          <w:lang w:val="fr-CH"/>
        </w:rPr>
        <w:t xml:space="preserve"> (à sa réunion d</w:t>
      </w:r>
      <w:r>
        <w:rPr>
          <w:lang w:val="fr-CH"/>
        </w:rPr>
        <w:t>'</w:t>
      </w:r>
      <w:r w:rsidR="00276FD5">
        <w:rPr>
          <w:lang w:val="fr-CH"/>
        </w:rPr>
        <w:t xml:space="preserve">octobre 2015) et a ensuite </w:t>
      </w:r>
      <w:r>
        <w:rPr>
          <w:lang w:val="fr-CH"/>
        </w:rPr>
        <w:t xml:space="preserve">été </w:t>
      </w:r>
      <w:r w:rsidR="00276FD5">
        <w:rPr>
          <w:lang w:val="fr-CH"/>
        </w:rPr>
        <w:t xml:space="preserve">immédiatement mis en </w:t>
      </w:r>
      <w:r>
        <w:rPr>
          <w:lang w:val="fr-CH"/>
        </w:rPr>
        <w:t>oe</w:t>
      </w:r>
      <w:r w:rsidR="00276FD5">
        <w:rPr>
          <w:lang w:val="fr-CH"/>
        </w:rPr>
        <w:t>uvre. Au cours de la période visée dans le présent rapport, aucune demande d</w:t>
      </w:r>
      <w:r>
        <w:rPr>
          <w:lang w:val="fr-CH"/>
        </w:rPr>
        <w:t>'</w:t>
      </w:r>
      <w:r w:rsidR="00276FD5">
        <w:rPr>
          <w:lang w:val="fr-CH"/>
        </w:rPr>
        <w:t>accès au</w:t>
      </w:r>
      <w:r w:rsidR="009F1AF7">
        <w:rPr>
          <w:lang w:val="fr-CH"/>
        </w:rPr>
        <w:t>x</w:t>
      </w:r>
      <w:r w:rsidR="00276FD5">
        <w:rPr>
          <w:lang w:val="fr-CH"/>
        </w:rPr>
        <w:t xml:space="preserve"> rapport</w:t>
      </w:r>
      <w:r w:rsidR="009F1AF7">
        <w:rPr>
          <w:lang w:val="fr-CH"/>
        </w:rPr>
        <w:t>s</w:t>
      </w:r>
      <w:r w:rsidR="00276FD5">
        <w:rPr>
          <w:lang w:val="fr-CH"/>
        </w:rPr>
        <w:t xml:space="preserve"> d</w:t>
      </w:r>
      <w:r>
        <w:rPr>
          <w:lang w:val="fr-CH"/>
        </w:rPr>
        <w:t>'</w:t>
      </w:r>
      <w:r w:rsidR="00276FD5">
        <w:rPr>
          <w:lang w:val="fr-CH"/>
        </w:rPr>
        <w:t>audit interne n</w:t>
      </w:r>
      <w:r>
        <w:rPr>
          <w:lang w:val="fr-CH"/>
        </w:rPr>
        <w:t>'</w:t>
      </w:r>
      <w:r w:rsidR="00276FD5">
        <w:rPr>
          <w:lang w:val="fr-CH"/>
        </w:rPr>
        <w:t>a été reçue via le (nouveau) mécanisme en ligne.</w:t>
      </w:r>
    </w:p>
    <w:p w:rsidR="00521FF7" w:rsidRPr="00FD67EF" w:rsidRDefault="00521FF7" w:rsidP="000B7E88">
      <w:pPr>
        <w:pStyle w:val="Headingb"/>
      </w:pPr>
      <w:r>
        <w:t>Objectifs et conclusions des m</w:t>
      </w:r>
      <w:r w:rsidRPr="00FD67EF">
        <w:t>issions d</w:t>
      </w:r>
      <w:r w:rsidR="000B7E88">
        <w:t>'</w:t>
      </w:r>
      <w:r w:rsidRPr="00FD67EF">
        <w:t>assurance</w:t>
      </w:r>
    </w:p>
    <w:p w:rsidR="00EC3CFC" w:rsidRDefault="000B7E88" w:rsidP="000B7E88">
      <w:pPr>
        <w:rPr>
          <w:lang w:val="fr-CH"/>
        </w:rPr>
      </w:pPr>
      <w:r>
        <w:rPr>
          <w:lang w:val="fr-CH"/>
        </w:rPr>
        <w:t>6</w:t>
      </w:r>
      <w:r w:rsidR="00CE6D23">
        <w:rPr>
          <w:lang w:val="fr-CH"/>
        </w:rPr>
        <w:tab/>
      </w:r>
      <w:r w:rsidR="00CE6D23" w:rsidRPr="00CE6D23">
        <w:rPr>
          <w:lang w:val="fr-CH"/>
        </w:rPr>
        <w:t>Les missions d</w:t>
      </w:r>
      <w:r>
        <w:rPr>
          <w:lang w:val="fr-CH"/>
        </w:rPr>
        <w:t>'</w:t>
      </w:r>
      <w:r w:rsidR="00CE6D23" w:rsidRPr="00CE6D23">
        <w:rPr>
          <w:lang w:val="fr-CH"/>
        </w:rPr>
        <w:t>assurance avaient pour objectif d</w:t>
      </w:r>
      <w:r>
        <w:rPr>
          <w:lang w:val="fr-CH"/>
        </w:rPr>
        <w:t>'</w:t>
      </w:r>
      <w:r w:rsidR="00CE6D23" w:rsidRPr="00CE6D23">
        <w:rPr>
          <w:lang w:val="fr-CH"/>
        </w:rPr>
        <w:t>évaluer</w:t>
      </w:r>
      <w:r w:rsidR="00500527">
        <w:rPr>
          <w:lang w:val="fr-CH"/>
        </w:rPr>
        <w:t xml:space="preserve"> </w:t>
      </w:r>
      <w:r w:rsidR="00CE6D23">
        <w:rPr>
          <w:lang w:val="fr-CH"/>
        </w:rPr>
        <w:t>i) les aspects liés à la gouvernance des opérations de l</w:t>
      </w:r>
      <w:r>
        <w:rPr>
          <w:lang w:val="fr-CH"/>
        </w:rPr>
        <w:t>'</w:t>
      </w:r>
      <w:r w:rsidR="00AA07F5">
        <w:rPr>
          <w:lang w:val="fr-CH"/>
        </w:rPr>
        <w:t>Union auditées;</w:t>
      </w:r>
      <w:r w:rsidR="00500527">
        <w:rPr>
          <w:lang w:val="fr-CH"/>
        </w:rPr>
        <w:t xml:space="preserve"> </w:t>
      </w:r>
      <w:r w:rsidR="00CE6D23">
        <w:rPr>
          <w:lang w:val="fr-CH"/>
        </w:rPr>
        <w:t>ii) les pratiques en mat</w:t>
      </w:r>
      <w:r w:rsidR="00500527">
        <w:rPr>
          <w:lang w:val="fr-CH"/>
        </w:rPr>
        <w:t>ière de gestion des risques</w:t>
      </w:r>
      <w:r w:rsidR="00AA07F5">
        <w:rPr>
          <w:lang w:val="fr-CH"/>
        </w:rPr>
        <w:t>;</w:t>
      </w:r>
      <w:r w:rsidR="00500527">
        <w:rPr>
          <w:lang w:val="fr-CH"/>
        </w:rPr>
        <w:t xml:space="preserve"> et </w:t>
      </w:r>
      <w:r w:rsidR="00CE6D23">
        <w:rPr>
          <w:lang w:val="fr-CH"/>
        </w:rPr>
        <w:t>iii) l</w:t>
      </w:r>
      <w:r>
        <w:rPr>
          <w:lang w:val="fr-CH"/>
        </w:rPr>
        <w:t>'</w:t>
      </w:r>
      <w:r w:rsidR="00CE6D23">
        <w:rPr>
          <w:lang w:val="fr-CH"/>
        </w:rPr>
        <w:t>efficacité des contrôles (internes).</w:t>
      </w:r>
      <w:r w:rsidR="00CE6D23" w:rsidRPr="00CE6D23">
        <w:rPr>
          <w:lang w:val="fr-CH"/>
        </w:rPr>
        <w:t xml:space="preserve"> Un niveau de priorité est attribué aux recommandations résultant des travaux d</w:t>
      </w:r>
      <w:r>
        <w:rPr>
          <w:lang w:val="fr-CH"/>
        </w:rPr>
        <w:t>'</w:t>
      </w:r>
      <w:r w:rsidR="00CE6D23" w:rsidRPr="00CE6D23">
        <w:rPr>
          <w:lang w:val="fr-CH"/>
        </w:rPr>
        <w:t>audit en fonction des incidences et de la probabilité d</w:t>
      </w:r>
      <w:r>
        <w:rPr>
          <w:lang w:val="fr-CH"/>
        </w:rPr>
        <w:t>'</w:t>
      </w:r>
      <w:r w:rsidR="00CE6D23" w:rsidRPr="00CE6D23">
        <w:rPr>
          <w:lang w:val="fr-CH"/>
        </w:rPr>
        <w:t>une déficience (critique, élevée, moyenne, faible).</w:t>
      </w:r>
    </w:p>
    <w:p w:rsidR="000B7E88" w:rsidRDefault="000B7E88" w:rsidP="000B7E88">
      <w:pPr>
        <w:rPr>
          <w:lang w:val="fr-CH"/>
        </w:rPr>
      </w:pPr>
      <w:r>
        <w:rPr>
          <w:lang w:val="fr-CH"/>
        </w:rPr>
        <w:t>7</w:t>
      </w:r>
      <w:r>
        <w:rPr>
          <w:lang w:val="fr-CH"/>
        </w:rPr>
        <w:tab/>
      </w:r>
      <w:r w:rsidR="003672BA">
        <w:rPr>
          <w:lang w:val="fr-CH"/>
        </w:rPr>
        <w:t>Sur la base des différentes missions d</w:t>
      </w:r>
      <w:r>
        <w:rPr>
          <w:lang w:val="fr-CH"/>
        </w:rPr>
        <w:t>'</w:t>
      </w:r>
      <w:r w:rsidR="003672BA">
        <w:rPr>
          <w:lang w:val="fr-CH"/>
        </w:rPr>
        <w:t>assurance men</w:t>
      </w:r>
      <w:r>
        <w:rPr>
          <w:lang w:val="fr-CH"/>
        </w:rPr>
        <w:t>ées</w:t>
      </w:r>
      <w:r w:rsidR="003672BA">
        <w:rPr>
          <w:lang w:val="fr-CH"/>
        </w:rPr>
        <w:t xml:space="preserve"> à bien, l</w:t>
      </w:r>
      <w:r>
        <w:rPr>
          <w:lang w:val="fr-CH"/>
        </w:rPr>
        <w:t>'</w:t>
      </w:r>
      <w:r w:rsidR="003672BA">
        <w:rPr>
          <w:lang w:val="fr-CH"/>
        </w:rPr>
        <w:t>Unité de l</w:t>
      </w:r>
      <w:r>
        <w:rPr>
          <w:lang w:val="fr-CH"/>
        </w:rPr>
        <w:t>'</w:t>
      </w:r>
      <w:r w:rsidR="003672BA">
        <w:rPr>
          <w:lang w:val="fr-CH"/>
        </w:rPr>
        <w:t xml:space="preserve">audit interne a conclu que, </w:t>
      </w:r>
      <w:r>
        <w:rPr>
          <w:lang w:val="fr-CH"/>
        </w:rPr>
        <w:t>globalement</w:t>
      </w:r>
      <w:r w:rsidR="003672BA">
        <w:rPr>
          <w:lang w:val="fr-CH"/>
        </w:rPr>
        <w:t>, l</w:t>
      </w:r>
      <w:r>
        <w:rPr>
          <w:lang w:val="fr-CH"/>
        </w:rPr>
        <w:t>'</w:t>
      </w:r>
      <w:r w:rsidR="003672BA">
        <w:rPr>
          <w:lang w:val="fr-CH"/>
        </w:rPr>
        <w:t>insuffisance des orientations et des politiques (et de la communication correspondante) ét</w:t>
      </w:r>
      <w:r>
        <w:rPr>
          <w:lang w:val="fr-CH"/>
        </w:rPr>
        <w:t>ait</w:t>
      </w:r>
      <w:r w:rsidR="003672BA">
        <w:rPr>
          <w:lang w:val="fr-CH"/>
        </w:rPr>
        <w:t xml:space="preserve"> la défaillance </w:t>
      </w:r>
      <w:r>
        <w:rPr>
          <w:lang w:val="fr-CH"/>
        </w:rPr>
        <w:t>la</w:t>
      </w:r>
      <w:r w:rsidR="003672BA">
        <w:rPr>
          <w:lang w:val="fr-CH"/>
        </w:rPr>
        <w:t xml:space="preserve"> plus fréquemment</w:t>
      </w:r>
      <w:r>
        <w:rPr>
          <w:lang w:val="fr-CH"/>
        </w:rPr>
        <w:t xml:space="preserve"> rencontrée</w:t>
      </w:r>
      <w:r w:rsidR="003672BA">
        <w:rPr>
          <w:lang w:val="fr-CH"/>
        </w:rPr>
        <w:t xml:space="preserve">. Dans une moindre mesure, des lacunes ont été constatées concernant </w:t>
      </w:r>
      <w:r w:rsidR="003672BA">
        <w:rPr>
          <w:lang w:val="fr-CH"/>
        </w:rPr>
        <w:lastRenderedPageBreak/>
        <w:t>l</w:t>
      </w:r>
      <w:r>
        <w:rPr>
          <w:lang w:val="fr-CH"/>
        </w:rPr>
        <w:t>'</w:t>
      </w:r>
      <w:r w:rsidR="003672BA">
        <w:rPr>
          <w:lang w:val="fr-CH"/>
        </w:rPr>
        <w:t xml:space="preserve">évaluation des risques (à différents niveaux) pour permettre </w:t>
      </w:r>
      <w:r w:rsidR="007B5B31">
        <w:rPr>
          <w:lang w:val="fr-CH"/>
        </w:rPr>
        <w:t>aux fonctionnaires</w:t>
      </w:r>
      <w:r w:rsidR="003672BA">
        <w:rPr>
          <w:lang w:val="fr-CH"/>
        </w:rPr>
        <w:t xml:space="preserve"> de l</w:t>
      </w:r>
      <w:r>
        <w:rPr>
          <w:lang w:val="fr-CH"/>
        </w:rPr>
        <w:t>'</w:t>
      </w:r>
      <w:r w:rsidR="003672BA">
        <w:rPr>
          <w:lang w:val="fr-CH"/>
        </w:rPr>
        <w:t xml:space="preserve">UIT de gérer les risques de manière adéquate. En ce qui concerne les opérations et </w:t>
      </w:r>
      <w:r>
        <w:rPr>
          <w:lang w:val="fr-CH"/>
        </w:rPr>
        <w:t xml:space="preserve">les </w:t>
      </w:r>
      <w:r w:rsidR="003672BA">
        <w:rPr>
          <w:lang w:val="fr-CH"/>
        </w:rPr>
        <w:t xml:space="preserve">transactions, les contrôles internes sont généralement raisonnablement efficaces. </w:t>
      </w:r>
      <w:r w:rsidR="003672BA" w:rsidRPr="003672BA">
        <w:rPr>
          <w:lang w:val="fr-CH"/>
        </w:rPr>
        <w:t xml:space="preserve">Des recommandations adressées à la direction sont actuellement mises en </w:t>
      </w:r>
      <w:r>
        <w:rPr>
          <w:lang w:val="fr-CH"/>
        </w:rPr>
        <w:t>oe</w:t>
      </w:r>
      <w:r w:rsidR="003672BA" w:rsidRPr="003672BA">
        <w:rPr>
          <w:lang w:val="fr-CH"/>
        </w:rPr>
        <w:t>uvre, avec l</w:t>
      </w:r>
      <w:r>
        <w:rPr>
          <w:lang w:val="fr-CH"/>
        </w:rPr>
        <w:t>'</w:t>
      </w:r>
      <w:r w:rsidR="003672BA" w:rsidRPr="003672BA">
        <w:rPr>
          <w:lang w:val="fr-CH"/>
        </w:rPr>
        <w:t>appui du Secrétaire général, ce qui renforcera encore la capacité de l</w:t>
      </w:r>
      <w:r>
        <w:rPr>
          <w:lang w:val="fr-CH"/>
        </w:rPr>
        <w:t>'</w:t>
      </w:r>
      <w:r w:rsidR="003672BA" w:rsidRPr="003672BA">
        <w:rPr>
          <w:lang w:val="fr-CH"/>
        </w:rPr>
        <w:t>UIT à remplir son mandat.</w:t>
      </w:r>
    </w:p>
    <w:p w:rsidR="003C1413" w:rsidRDefault="000B7E88" w:rsidP="000B7E88">
      <w:pPr>
        <w:rPr>
          <w:lang w:val="fr-CH"/>
        </w:rPr>
      </w:pPr>
      <w:r>
        <w:rPr>
          <w:lang w:val="fr-CH"/>
        </w:rPr>
        <w:t>8</w:t>
      </w:r>
      <w:r>
        <w:rPr>
          <w:lang w:val="fr-CH"/>
        </w:rPr>
        <w:tab/>
      </w:r>
      <w:r w:rsidR="00894151" w:rsidRPr="00894151">
        <w:rPr>
          <w:lang w:val="fr-CH"/>
        </w:rPr>
        <w:t>L</w:t>
      </w:r>
      <w:r>
        <w:rPr>
          <w:lang w:val="fr-CH"/>
        </w:rPr>
        <w:t>'</w:t>
      </w:r>
      <w:r w:rsidR="00894151" w:rsidRPr="00894151">
        <w:rPr>
          <w:lang w:val="fr-CH"/>
        </w:rPr>
        <w:t>Unité de l</w:t>
      </w:r>
      <w:r>
        <w:rPr>
          <w:lang w:val="fr-CH"/>
        </w:rPr>
        <w:t>'</w:t>
      </w:r>
      <w:r w:rsidR="00894151" w:rsidRPr="00894151">
        <w:rPr>
          <w:lang w:val="fr-CH"/>
        </w:rPr>
        <w:t>audit interne assure le suivi de la mise en oeuvre des mesures recommandées, si nécessaire (voir aussi le paragraphe consacré au suivi plus loin dans le présent rapport).</w:t>
      </w:r>
    </w:p>
    <w:p w:rsidR="00395FA4" w:rsidRPr="008C6E8A" w:rsidRDefault="00395FA4" w:rsidP="000B7E88">
      <w:pPr>
        <w:rPr>
          <w:rFonts w:asciiTheme="minorHAnsi" w:hAnsiTheme="minorHAnsi" w:cs="Calibri"/>
          <w:i/>
          <w:iCs/>
          <w:szCs w:val="24"/>
          <w:lang w:val="fr-CH"/>
        </w:rPr>
      </w:pPr>
      <w:r w:rsidRPr="008C6E8A">
        <w:rPr>
          <w:rFonts w:asciiTheme="minorHAnsi" w:hAnsiTheme="minorHAnsi" w:cs="Calibri"/>
          <w:i/>
          <w:iCs/>
          <w:szCs w:val="24"/>
          <w:lang w:val="fr-CH"/>
        </w:rPr>
        <w:t xml:space="preserve">Les missions </w:t>
      </w:r>
      <w:r w:rsidRPr="000B7E88">
        <w:rPr>
          <w:i/>
          <w:iCs/>
          <w:lang w:val="fr-CH"/>
        </w:rPr>
        <w:t>d</w:t>
      </w:r>
      <w:r w:rsidR="000B7E88" w:rsidRPr="000B7E88">
        <w:rPr>
          <w:i/>
          <w:iCs/>
          <w:lang w:val="fr-CH"/>
        </w:rPr>
        <w:t>'</w:t>
      </w:r>
      <w:r w:rsidRPr="000B7E88">
        <w:rPr>
          <w:i/>
          <w:iCs/>
          <w:lang w:val="fr-CH"/>
        </w:rPr>
        <w:t>assurance</w:t>
      </w:r>
      <w:r w:rsidRPr="008C6E8A">
        <w:rPr>
          <w:rFonts w:asciiTheme="minorHAnsi" w:hAnsiTheme="minorHAnsi" w:cs="Calibri"/>
          <w:i/>
          <w:iCs/>
          <w:szCs w:val="24"/>
          <w:lang w:val="fr-CH"/>
        </w:rPr>
        <w:t xml:space="preserve"> suivantes ont été menées:</w:t>
      </w:r>
    </w:p>
    <w:p w:rsidR="007B5B31" w:rsidRPr="00370124" w:rsidRDefault="007B5B31" w:rsidP="00477F15">
      <w:pPr>
        <w:pStyle w:val="Headingb"/>
        <w:spacing w:before="240"/>
        <w:rPr>
          <w:i/>
          <w:iCs/>
          <w:lang w:val="fr-CH"/>
        </w:rPr>
      </w:pPr>
      <w:r w:rsidRPr="00370124">
        <w:rPr>
          <w:i/>
          <w:iCs/>
          <w:lang w:val="fr-CH"/>
        </w:rPr>
        <w:t>A</w:t>
      </w:r>
      <w:r w:rsidRPr="00370124">
        <w:rPr>
          <w:i/>
          <w:iCs/>
          <w:lang w:val="fr-CH"/>
        </w:rPr>
        <w:tab/>
        <w:t xml:space="preserve">Audit </w:t>
      </w:r>
      <w:r w:rsidR="00284AA3" w:rsidRPr="00370124">
        <w:rPr>
          <w:i/>
          <w:iCs/>
          <w:lang w:val="fr-CH"/>
        </w:rPr>
        <w:t>des déplacements entre le siège de l</w:t>
      </w:r>
      <w:r w:rsidR="000B7E88" w:rsidRPr="00370124">
        <w:rPr>
          <w:i/>
          <w:iCs/>
          <w:lang w:val="fr-CH"/>
        </w:rPr>
        <w:t>'</w:t>
      </w:r>
      <w:r w:rsidR="00284AA3" w:rsidRPr="00370124">
        <w:rPr>
          <w:i/>
          <w:iCs/>
          <w:lang w:val="fr-CH"/>
        </w:rPr>
        <w:t>UIT et les bureaux régionaux/bureaux de zone</w:t>
      </w:r>
    </w:p>
    <w:p w:rsidR="00DC694E" w:rsidRDefault="002851CA" w:rsidP="000B7E88">
      <w:pPr>
        <w:rPr>
          <w:lang w:val="fr-CH"/>
        </w:rPr>
      </w:pPr>
      <w:r>
        <w:rPr>
          <w:lang w:val="fr-CH"/>
        </w:rPr>
        <w:t>9</w:t>
      </w:r>
      <w:r w:rsidR="00284AA3">
        <w:rPr>
          <w:lang w:val="fr-CH"/>
        </w:rPr>
        <w:tab/>
      </w:r>
      <w:r w:rsidR="00284AA3" w:rsidRPr="00284AA3">
        <w:rPr>
          <w:lang w:val="fr-CH"/>
        </w:rPr>
        <w:t>L</w:t>
      </w:r>
      <w:r w:rsidR="000B7E88">
        <w:rPr>
          <w:lang w:val="fr-CH"/>
        </w:rPr>
        <w:t>'</w:t>
      </w:r>
      <w:r w:rsidR="00284AA3" w:rsidRPr="00284AA3">
        <w:rPr>
          <w:u w:val="single"/>
          <w:lang w:val="fr-CH"/>
        </w:rPr>
        <w:t>objectif</w:t>
      </w:r>
      <w:r w:rsidR="00284AA3" w:rsidRPr="00284AA3">
        <w:rPr>
          <w:lang w:val="fr-CH"/>
        </w:rPr>
        <w:t xml:space="preserve"> de cet audit était d</w:t>
      </w:r>
      <w:r w:rsidR="000B7E88">
        <w:rPr>
          <w:lang w:val="fr-CH"/>
        </w:rPr>
        <w:t>'</w:t>
      </w:r>
      <w:r w:rsidR="00284AA3" w:rsidRPr="00284AA3">
        <w:rPr>
          <w:lang w:val="fr-CH"/>
        </w:rPr>
        <w:t>évaluer</w:t>
      </w:r>
      <w:r w:rsidR="00DC694E">
        <w:rPr>
          <w:lang w:val="fr-CH"/>
        </w:rPr>
        <w:t xml:space="preserve"> dans quelle mesure les méthodes de travail électronique</w:t>
      </w:r>
      <w:r w:rsidR="00E220A5">
        <w:rPr>
          <w:lang w:val="fr-CH"/>
        </w:rPr>
        <w:t>s</w:t>
      </w:r>
      <w:r w:rsidR="00DC694E">
        <w:rPr>
          <w:lang w:val="fr-CH"/>
        </w:rPr>
        <w:t xml:space="preserve"> interne</w:t>
      </w:r>
      <w:r w:rsidR="00E220A5">
        <w:rPr>
          <w:lang w:val="fr-CH"/>
        </w:rPr>
        <w:t>s</w:t>
      </w:r>
      <w:r w:rsidR="00DC694E">
        <w:rPr>
          <w:lang w:val="fr-CH"/>
        </w:rPr>
        <w:t xml:space="preserve"> permettent (o</w:t>
      </w:r>
      <w:r w:rsidR="00E220A5">
        <w:rPr>
          <w:lang w:val="fr-CH"/>
        </w:rPr>
        <w:t>u</w:t>
      </w:r>
      <w:r w:rsidR="00DC694E">
        <w:rPr>
          <w:lang w:val="fr-CH"/>
        </w:rPr>
        <w:t xml:space="preserve"> peuvent permettre) de réduire et de remplacer les déplacements entre le siège de l</w:t>
      </w:r>
      <w:r w:rsidR="000B7E88">
        <w:rPr>
          <w:lang w:val="fr-CH"/>
        </w:rPr>
        <w:t>'</w:t>
      </w:r>
      <w:r w:rsidR="00DC694E">
        <w:rPr>
          <w:lang w:val="fr-CH"/>
        </w:rPr>
        <w:t>UIT et les bureaux régionaux/bureaux de zone et, partant, pourraient se traduire par une diminution des dépenses.</w:t>
      </w:r>
      <w:r w:rsidR="00E220A5">
        <w:rPr>
          <w:lang w:val="fr-CH"/>
        </w:rPr>
        <w:t xml:space="preserve"> L</w:t>
      </w:r>
      <w:r w:rsidR="000B7E88">
        <w:rPr>
          <w:lang w:val="fr-CH"/>
        </w:rPr>
        <w:t>'</w:t>
      </w:r>
      <w:r w:rsidR="00E220A5">
        <w:rPr>
          <w:lang w:val="fr-CH"/>
        </w:rPr>
        <w:t>audit portait</w:t>
      </w:r>
      <w:r w:rsidR="000B7E88">
        <w:rPr>
          <w:lang w:val="fr-CH"/>
        </w:rPr>
        <w:t xml:space="preserve"> sur la période allant du 1er </w:t>
      </w:r>
      <w:r w:rsidR="00DC694E">
        <w:rPr>
          <w:lang w:val="fr-CH"/>
        </w:rPr>
        <w:t>janvier 2012 au 31 décembre 2014.</w:t>
      </w:r>
    </w:p>
    <w:p w:rsidR="00E97D44" w:rsidRDefault="002851CA" w:rsidP="00831D5E">
      <w:pPr>
        <w:rPr>
          <w:lang w:val="fr-CH"/>
        </w:rPr>
      </w:pPr>
      <w:r>
        <w:rPr>
          <w:lang w:val="fr-CH"/>
        </w:rPr>
        <w:t>10</w:t>
      </w:r>
      <w:r w:rsidR="00DC694E">
        <w:rPr>
          <w:lang w:val="fr-CH"/>
        </w:rPr>
        <w:tab/>
      </w:r>
      <w:r w:rsidR="009F1AF7">
        <w:rPr>
          <w:lang w:val="fr-CH"/>
        </w:rPr>
        <w:t>Il a été conclu qu</w:t>
      </w:r>
      <w:r w:rsidR="000B7E88">
        <w:rPr>
          <w:lang w:val="fr-CH"/>
        </w:rPr>
        <w:t>'</w:t>
      </w:r>
      <w:r w:rsidR="009F1AF7">
        <w:rPr>
          <w:lang w:val="fr-CH"/>
        </w:rPr>
        <w:t xml:space="preserve">il </w:t>
      </w:r>
      <w:r w:rsidR="000B7E88">
        <w:rPr>
          <w:lang w:val="fr-CH"/>
        </w:rPr>
        <w:t>aurait été</w:t>
      </w:r>
      <w:r w:rsidR="009F1AF7">
        <w:rPr>
          <w:lang w:val="fr-CH"/>
        </w:rPr>
        <w:t xml:space="preserve"> difficile de réduire </w:t>
      </w:r>
      <w:r w:rsidR="000B7E88">
        <w:rPr>
          <w:lang w:val="fr-CH"/>
        </w:rPr>
        <w:t>ou</w:t>
      </w:r>
      <w:r w:rsidR="009F1AF7">
        <w:rPr>
          <w:lang w:val="fr-CH"/>
        </w:rPr>
        <w:t xml:space="preserve"> de remplacer les missions entreprises dans le passé moyennant la mise en place de méthodes de travail électroniques internes. </w:t>
      </w:r>
      <w:r w:rsidR="000B7E88">
        <w:rPr>
          <w:lang w:val="fr-CH"/>
        </w:rPr>
        <w:t xml:space="preserve">Toutefois, </w:t>
      </w:r>
      <w:r w:rsidR="00831D5E">
        <w:rPr>
          <w:lang w:val="fr-CH"/>
        </w:rPr>
        <w:t xml:space="preserve">les missions de formation constituent un domaine dans lequel </w:t>
      </w:r>
      <w:r w:rsidR="000B7E88">
        <w:rPr>
          <w:lang w:val="fr-CH"/>
        </w:rPr>
        <w:t>d</w:t>
      </w:r>
      <w:r w:rsidR="009F1AF7">
        <w:rPr>
          <w:lang w:val="fr-CH"/>
        </w:rPr>
        <w:t xml:space="preserve">es méthodes de travail à distance </w:t>
      </w:r>
      <w:r w:rsidR="000B7E88">
        <w:rPr>
          <w:lang w:val="fr-CH"/>
        </w:rPr>
        <w:t>peuvent</w:t>
      </w:r>
      <w:r w:rsidR="009F1AF7">
        <w:rPr>
          <w:lang w:val="fr-CH"/>
        </w:rPr>
        <w:t xml:space="preserve"> être appliquées</w:t>
      </w:r>
      <w:r w:rsidR="000B7E88">
        <w:rPr>
          <w:lang w:val="fr-CH"/>
        </w:rPr>
        <w:t>,</w:t>
      </w:r>
      <w:r w:rsidR="00831D5E">
        <w:rPr>
          <w:lang w:val="fr-CH"/>
        </w:rPr>
        <w:t xml:space="preserve"> dans la mesure du possible</w:t>
      </w:r>
      <w:r w:rsidR="009F1AF7">
        <w:rPr>
          <w:lang w:val="fr-CH"/>
        </w:rPr>
        <w:t xml:space="preserve">. La direction a </w:t>
      </w:r>
      <w:r w:rsidR="00BA6E9B">
        <w:rPr>
          <w:lang w:val="fr-CH"/>
        </w:rPr>
        <w:t>indiqué</w:t>
      </w:r>
      <w:r w:rsidR="009F1AF7">
        <w:rPr>
          <w:lang w:val="fr-CH"/>
        </w:rPr>
        <w:t xml:space="preserve"> que le BDT avait déjà mis en place d</w:t>
      </w:r>
      <w:r w:rsidR="000B7E88">
        <w:rPr>
          <w:lang w:val="fr-CH"/>
        </w:rPr>
        <w:t>'</w:t>
      </w:r>
      <w:r w:rsidR="009F1AF7">
        <w:rPr>
          <w:lang w:val="fr-CH"/>
        </w:rPr>
        <w:t>importantes mesures d</w:t>
      </w:r>
      <w:r w:rsidR="000B7E88">
        <w:rPr>
          <w:lang w:val="fr-CH"/>
        </w:rPr>
        <w:t>'</w:t>
      </w:r>
      <w:r w:rsidR="009F1AF7">
        <w:rPr>
          <w:lang w:val="fr-CH"/>
        </w:rPr>
        <w:t>efficacité et d</w:t>
      </w:r>
      <w:r w:rsidR="000B7E88">
        <w:rPr>
          <w:lang w:val="fr-CH"/>
        </w:rPr>
        <w:t>'</w:t>
      </w:r>
      <w:r w:rsidR="009F1AF7">
        <w:rPr>
          <w:lang w:val="fr-CH"/>
        </w:rPr>
        <w:t xml:space="preserve">économie en ce qui concerne les déplacements. </w:t>
      </w:r>
      <w:r w:rsidR="00910BA7">
        <w:rPr>
          <w:lang w:val="fr-CH"/>
        </w:rPr>
        <w:t>Globalement</w:t>
      </w:r>
      <w:r w:rsidR="009F1AF7">
        <w:rPr>
          <w:lang w:val="fr-CH"/>
        </w:rPr>
        <w:t>,</w:t>
      </w:r>
      <w:r w:rsidR="00E97D44">
        <w:rPr>
          <w:lang w:val="fr-CH"/>
        </w:rPr>
        <w:t xml:space="preserve"> les conclusions de l</w:t>
      </w:r>
      <w:r w:rsidR="000B7E88">
        <w:rPr>
          <w:lang w:val="fr-CH"/>
        </w:rPr>
        <w:t>'</w:t>
      </w:r>
      <w:r w:rsidR="00E97D44">
        <w:rPr>
          <w:lang w:val="fr-CH"/>
        </w:rPr>
        <w:t xml:space="preserve">audit fournissent au Secrétaire général </w:t>
      </w:r>
      <w:r w:rsidR="00E97D44" w:rsidRPr="00CD4D83">
        <w:rPr>
          <w:i/>
          <w:iCs/>
          <w:lang w:val="fr-CH"/>
        </w:rPr>
        <w:t>l</w:t>
      </w:r>
      <w:r w:rsidR="000B7E88">
        <w:rPr>
          <w:i/>
          <w:iCs/>
          <w:lang w:val="fr-CH"/>
        </w:rPr>
        <w:t>'</w:t>
      </w:r>
      <w:r w:rsidR="00E97D44" w:rsidRPr="00CD4D83">
        <w:rPr>
          <w:i/>
          <w:iCs/>
          <w:lang w:val="fr-CH"/>
        </w:rPr>
        <w:t>assurance raisonnable</w:t>
      </w:r>
      <w:r w:rsidR="00CD4D83" w:rsidRPr="002851CA">
        <w:rPr>
          <w:rStyle w:val="FootnoteReference"/>
          <w:lang w:val="fr-CH"/>
        </w:rPr>
        <w:footnoteReference w:id="4"/>
      </w:r>
      <w:r w:rsidR="00E97D44" w:rsidRPr="002851CA">
        <w:rPr>
          <w:lang w:val="fr-CH"/>
        </w:rPr>
        <w:t xml:space="preserve"> </w:t>
      </w:r>
      <w:r w:rsidR="00E97D44">
        <w:rPr>
          <w:lang w:val="fr-CH"/>
        </w:rPr>
        <w:t>qu</w:t>
      </w:r>
      <w:r w:rsidR="000B7E88">
        <w:rPr>
          <w:lang w:val="fr-CH"/>
        </w:rPr>
        <w:t>'</w:t>
      </w:r>
      <w:r w:rsidR="00E97D44">
        <w:rPr>
          <w:lang w:val="fr-CH"/>
        </w:rPr>
        <w:t>en ce qui concerne les déplacements entre le siège de l</w:t>
      </w:r>
      <w:r w:rsidR="000B7E88">
        <w:rPr>
          <w:lang w:val="fr-CH"/>
        </w:rPr>
        <w:t>'</w:t>
      </w:r>
      <w:r w:rsidR="00E97D44">
        <w:rPr>
          <w:lang w:val="fr-CH"/>
        </w:rPr>
        <w:t>UIT et les bureaux régionaux/bureaux de zone, les méthodes de travail électroniques internes sont déployées de manière adéquate et que les ressources de l</w:t>
      </w:r>
      <w:r w:rsidR="000B7E88">
        <w:rPr>
          <w:lang w:val="fr-CH"/>
        </w:rPr>
        <w:t>'</w:t>
      </w:r>
      <w:r w:rsidR="00E97D44">
        <w:rPr>
          <w:lang w:val="fr-CH"/>
        </w:rPr>
        <w:t>UIT sont par conséquent utilisées de manière raisonnable sur le plan économique.</w:t>
      </w:r>
    </w:p>
    <w:p w:rsidR="00E97D44" w:rsidRPr="00370124" w:rsidRDefault="00E97D44" w:rsidP="00477F15">
      <w:pPr>
        <w:pStyle w:val="Headingb"/>
        <w:spacing w:before="240"/>
        <w:rPr>
          <w:i/>
          <w:iCs/>
          <w:lang w:val="fr-CH"/>
        </w:rPr>
      </w:pPr>
      <w:r w:rsidRPr="00370124">
        <w:rPr>
          <w:i/>
          <w:iCs/>
          <w:lang w:val="fr-CH"/>
        </w:rPr>
        <w:t>B</w:t>
      </w:r>
      <w:r w:rsidRPr="00370124">
        <w:rPr>
          <w:i/>
          <w:iCs/>
          <w:lang w:val="fr-CH"/>
        </w:rPr>
        <w:tab/>
        <w:t xml:space="preserve">Audit </w:t>
      </w:r>
      <w:r w:rsidR="00CA60AA" w:rsidRPr="00370124">
        <w:rPr>
          <w:i/>
          <w:iCs/>
          <w:lang w:val="fr-CH"/>
        </w:rPr>
        <w:t>de l</w:t>
      </w:r>
      <w:r w:rsidR="000B7E88" w:rsidRPr="00370124">
        <w:rPr>
          <w:i/>
          <w:iCs/>
          <w:lang w:val="fr-CH"/>
        </w:rPr>
        <w:t>'</w:t>
      </w:r>
      <w:r w:rsidR="00CA60AA" w:rsidRPr="00370124">
        <w:rPr>
          <w:i/>
          <w:iCs/>
          <w:lang w:val="fr-CH"/>
        </w:rPr>
        <w:t>examen et de l</w:t>
      </w:r>
      <w:r w:rsidR="000B7E88" w:rsidRPr="00370124">
        <w:rPr>
          <w:i/>
          <w:iCs/>
          <w:lang w:val="fr-CH"/>
        </w:rPr>
        <w:t>'</w:t>
      </w:r>
      <w:r w:rsidR="00CA60AA" w:rsidRPr="00370124">
        <w:rPr>
          <w:i/>
          <w:iCs/>
          <w:lang w:val="fr-CH"/>
        </w:rPr>
        <w:t>éventuel déclassement de postes vacants</w:t>
      </w:r>
    </w:p>
    <w:p w:rsidR="00395FA4" w:rsidRDefault="00CA60AA" w:rsidP="002851CA">
      <w:pPr>
        <w:rPr>
          <w:lang w:val="fr-CH"/>
        </w:rPr>
      </w:pPr>
      <w:r>
        <w:rPr>
          <w:lang w:val="fr-CH"/>
        </w:rPr>
        <w:t>11</w:t>
      </w:r>
      <w:r>
        <w:rPr>
          <w:lang w:val="fr-CH"/>
        </w:rPr>
        <w:tab/>
      </w:r>
      <w:r w:rsidR="002851CA">
        <w:rPr>
          <w:lang w:val="fr-CH"/>
        </w:rPr>
        <w:t xml:space="preserve">Les </w:t>
      </w:r>
      <w:r w:rsidRPr="00284AA3">
        <w:rPr>
          <w:u w:val="single"/>
          <w:lang w:val="fr-CH"/>
        </w:rPr>
        <w:t>objectif</w:t>
      </w:r>
      <w:r w:rsidR="002851CA">
        <w:rPr>
          <w:u w:val="single"/>
          <w:lang w:val="fr-CH"/>
        </w:rPr>
        <w:t>s</w:t>
      </w:r>
      <w:r w:rsidRPr="00284AA3">
        <w:rPr>
          <w:lang w:val="fr-CH"/>
        </w:rPr>
        <w:t xml:space="preserve"> de cet audit étai</w:t>
      </w:r>
      <w:r w:rsidR="002851CA">
        <w:rPr>
          <w:lang w:val="fr-CH"/>
        </w:rPr>
        <w:t>en</w:t>
      </w:r>
      <w:r w:rsidRPr="00284AA3">
        <w:rPr>
          <w:lang w:val="fr-CH"/>
        </w:rPr>
        <w:t>t d</w:t>
      </w:r>
      <w:r w:rsidR="000B7E88">
        <w:rPr>
          <w:lang w:val="fr-CH"/>
        </w:rPr>
        <w:t>'</w:t>
      </w:r>
      <w:r w:rsidRPr="00284AA3">
        <w:rPr>
          <w:lang w:val="fr-CH"/>
        </w:rPr>
        <w:t>évaluer</w:t>
      </w:r>
      <w:r>
        <w:rPr>
          <w:lang w:val="fr-CH"/>
        </w:rPr>
        <w:t xml:space="preserve"> le processus de classement des emplois et de déterminer dans quelle mesure le réexamen</w:t>
      </w:r>
      <w:r w:rsidR="003C672C">
        <w:rPr>
          <w:lang w:val="fr-CH"/>
        </w:rPr>
        <w:t xml:space="preserve"> des grades des postes vacants avait entraîné </w:t>
      </w:r>
      <w:r w:rsidR="002851CA">
        <w:rPr>
          <w:lang w:val="fr-CH"/>
        </w:rPr>
        <w:t xml:space="preserve">des </w:t>
      </w:r>
      <w:r w:rsidR="003C672C">
        <w:rPr>
          <w:lang w:val="fr-CH"/>
        </w:rPr>
        <w:t>économie</w:t>
      </w:r>
      <w:r w:rsidR="002851CA">
        <w:rPr>
          <w:lang w:val="fr-CH"/>
        </w:rPr>
        <w:t>s</w:t>
      </w:r>
      <w:r w:rsidR="003C672C">
        <w:rPr>
          <w:lang w:val="fr-CH"/>
        </w:rPr>
        <w:t>. L</w:t>
      </w:r>
      <w:r w:rsidR="000B7E88">
        <w:rPr>
          <w:lang w:val="fr-CH"/>
        </w:rPr>
        <w:t>'</w:t>
      </w:r>
      <w:r w:rsidR="003C672C">
        <w:rPr>
          <w:lang w:val="fr-CH"/>
        </w:rPr>
        <w:t>audit portait en outre en partie sur l</w:t>
      </w:r>
      <w:r w:rsidR="000B7E88">
        <w:rPr>
          <w:lang w:val="fr-CH"/>
        </w:rPr>
        <w:t>'</w:t>
      </w:r>
      <w:r w:rsidR="003C672C">
        <w:rPr>
          <w:lang w:val="fr-CH"/>
        </w:rPr>
        <w:t>examen et le reclassement de postes, l</w:t>
      </w:r>
      <w:r w:rsidR="000B7E88">
        <w:rPr>
          <w:lang w:val="fr-CH"/>
        </w:rPr>
        <w:t>'</w:t>
      </w:r>
      <w:r w:rsidR="003C672C">
        <w:rPr>
          <w:lang w:val="fr-CH"/>
        </w:rPr>
        <w:t>objectif étant d</w:t>
      </w:r>
      <w:r w:rsidR="000B7E88">
        <w:rPr>
          <w:lang w:val="fr-CH"/>
        </w:rPr>
        <w:t>'</w:t>
      </w:r>
      <w:r w:rsidR="003C672C">
        <w:rPr>
          <w:lang w:val="fr-CH"/>
        </w:rPr>
        <w:t>avoir un aperçu complet de la situation concernant le mécanisme de classement des emplois et les incidences financières du reclassement des postes.</w:t>
      </w:r>
      <w:r w:rsidR="003C672C" w:rsidRPr="003C672C">
        <w:rPr>
          <w:lang w:val="fr-CH"/>
        </w:rPr>
        <w:t xml:space="preserve"> </w:t>
      </w:r>
      <w:r w:rsidR="003C672C">
        <w:rPr>
          <w:lang w:val="fr-CH"/>
        </w:rPr>
        <w:t>L</w:t>
      </w:r>
      <w:r w:rsidR="000B7E88">
        <w:rPr>
          <w:lang w:val="fr-CH"/>
        </w:rPr>
        <w:t>'</w:t>
      </w:r>
      <w:r w:rsidR="003C672C">
        <w:rPr>
          <w:lang w:val="fr-CH"/>
        </w:rPr>
        <w:t>audit portait sur la période allant du 1er janvier 2012 au 31 décembre 2014.</w:t>
      </w:r>
    </w:p>
    <w:p w:rsidR="00910BA7" w:rsidRDefault="002851CA" w:rsidP="002851CA">
      <w:pPr>
        <w:rPr>
          <w:lang w:val="fr-CH"/>
        </w:rPr>
      </w:pPr>
      <w:r>
        <w:rPr>
          <w:lang w:val="fr-CH"/>
        </w:rPr>
        <w:lastRenderedPageBreak/>
        <w:t>12</w:t>
      </w:r>
      <w:r w:rsidR="004C401F">
        <w:rPr>
          <w:lang w:val="fr-CH"/>
        </w:rPr>
        <w:tab/>
        <w:t>Il a été conclu que le déclassement des postes au cours de la période 2012</w:t>
      </w:r>
      <w:r>
        <w:rPr>
          <w:lang w:val="fr-CH"/>
        </w:rPr>
        <w:t>-</w:t>
      </w:r>
      <w:r w:rsidR="004C401F">
        <w:rPr>
          <w:lang w:val="fr-CH"/>
        </w:rPr>
        <w:t xml:space="preserve">2014 avait généré une économie annuelle de 370 728 CHF, qui est </w:t>
      </w:r>
      <w:r>
        <w:rPr>
          <w:lang w:val="fr-CH"/>
        </w:rPr>
        <w:t>c</w:t>
      </w:r>
      <w:r w:rsidR="004C401F">
        <w:rPr>
          <w:lang w:val="fr-CH"/>
        </w:rPr>
        <w:t>ontrebalancée par des dépenses annuelles supplémentaires s</w:t>
      </w:r>
      <w:r w:rsidR="000B7E88">
        <w:rPr>
          <w:lang w:val="fr-CH"/>
        </w:rPr>
        <w:t>'</w:t>
      </w:r>
      <w:r w:rsidR="004C401F">
        <w:rPr>
          <w:lang w:val="fr-CH"/>
        </w:rPr>
        <w:t xml:space="preserve">élevant à 257 251 CHF dues au reclassement de postes. Le processus de </w:t>
      </w:r>
      <w:r>
        <w:rPr>
          <w:lang w:val="fr-CH"/>
        </w:rPr>
        <w:t>classement fait l'objet de contrôles efficaces</w:t>
      </w:r>
      <w:r w:rsidR="004C401F">
        <w:rPr>
          <w:lang w:val="fr-CH"/>
        </w:rPr>
        <w:t xml:space="preserve"> et les risques de classement </w:t>
      </w:r>
      <w:r>
        <w:rPr>
          <w:lang w:val="fr-CH"/>
        </w:rPr>
        <w:t xml:space="preserve">sans justification appropriée </w:t>
      </w:r>
      <w:r w:rsidR="004C401F">
        <w:rPr>
          <w:lang w:val="fr-CH"/>
        </w:rPr>
        <w:t>sont gérés, ce qui se traduit par des décisions judicieuses en matière de classement. Il est nécessaire d</w:t>
      </w:r>
      <w:r w:rsidR="000B7E88">
        <w:rPr>
          <w:lang w:val="fr-CH"/>
        </w:rPr>
        <w:t>'</w:t>
      </w:r>
      <w:r w:rsidR="004C401F">
        <w:rPr>
          <w:lang w:val="fr-CH"/>
        </w:rPr>
        <w:t>améliorer l</w:t>
      </w:r>
      <w:r w:rsidR="000B7E88">
        <w:rPr>
          <w:lang w:val="fr-CH"/>
        </w:rPr>
        <w:t>'</w:t>
      </w:r>
      <w:r w:rsidR="004C401F">
        <w:rPr>
          <w:lang w:val="fr-CH"/>
        </w:rPr>
        <w:t>aspect lié à la gouvernance en mettant à jour l</w:t>
      </w:r>
      <w:r w:rsidR="000B7E88">
        <w:rPr>
          <w:lang w:val="fr-CH"/>
        </w:rPr>
        <w:t>'</w:t>
      </w:r>
      <w:r w:rsidR="004C401F">
        <w:rPr>
          <w:lang w:val="fr-CH"/>
        </w:rPr>
        <w:t>ordre de service applicable. Le Département de la gestion des ressources humaines</w:t>
      </w:r>
      <w:r w:rsidR="00910BA7">
        <w:rPr>
          <w:lang w:val="fr-CH"/>
        </w:rPr>
        <w:t xml:space="preserve"> </w:t>
      </w:r>
      <w:r>
        <w:rPr>
          <w:lang w:val="fr-CH"/>
        </w:rPr>
        <w:t>(HRMD) a</w:t>
      </w:r>
      <w:r w:rsidR="00910BA7">
        <w:rPr>
          <w:lang w:val="fr-CH"/>
        </w:rPr>
        <w:t xml:space="preserve"> </w:t>
      </w:r>
      <w:r w:rsidR="00BA6E9B">
        <w:rPr>
          <w:lang w:val="fr-CH"/>
        </w:rPr>
        <w:t>indiqué</w:t>
      </w:r>
      <w:r w:rsidR="00910BA7">
        <w:rPr>
          <w:lang w:val="fr-CH"/>
        </w:rPr>
        <w:t xml:space="preserve"> que l</w:t>
      </w:r>
      <w:r w:rsidR="000B7E88">
        <w:rPr>
          <w:lang w:val="fr-CH"/>
        </w:rPr>
        <w:t>'</w:t>
      </w:r>
      <w:r w:rsidR="00910BA7">
        <w:rPr>
          <w:lang w:val="fr-CH"/>
        </w:rPr>
        <w:t>ordre de service est en cours d</w:t>
      </w:r>
      <w:r w:rsidR="000B7E88">
        <w:rPr>
          <w:lang w:val="fr-CH"/>
        </w:rPr>
        <w:t>'</w:t>
      </w:r>
      <w:r w:rsidR="00910BA7">
        <w:rPr>
          <w:lang w:val="fr-CH"/>
        </w:rPr>
        <w:t>élaboration.</w:t>
      </w:r>
    </w:p>
    <w:p w:rsidR="00AA07F5" w:rsidRDefault="00AA07F5" w:rsidP="002851CA">
      <w:pPr>
        <w:rPr>
          <w:lang w:val="fr-CH"/>
        </w:rPr>
      </w:pPr>
      <w:r>
        <w:rPr>
          <w:lang w:val="fr-CH"/>
        </w:rPr>
        <w:br w:type="page"/>
      </w:r>
    </w:p>
    <w:p w:rsidR="00910BA7" w:rsidRDefault="002851CA" w:rsidP="002851CA">
      <w:pPr>
        <w:rPr>
          <w:lang w:val="fr-CH"/>
        </w:rPr>
      </w:pPr>
      <w:r>
        <w:rPr>
          <w:lang w:val="fr-CH"/>
        </w:rPr>
        <w:lastRenderedPageBreak/>
        <w:t>13</w:t>
      </w:r>
      <w:r w:rsidR="00910BA7">
        <w:rPr>
          <w:lang w:val="fr-CH"/>
        </w:rPr>
        <w:tab/>
        <w:t>Globalement, les conclusions de l</w:t>
      </w:r>
      <w:r w:rsidR="000B7E88">
        <w:rPr>
          <w:lang w:val="fr-CH"/>
        </w:rPr>
        <w:t>'</w:t>
      </w:r>
      <w:r w:rsidR="00910BA7">
        <w:rPr>
          <w:lang w:val="fr-CH"/>
        </w:rPr>
        <w:t xml:space="preserve">audit fournissent au Secrétaire général </w:t>
      </w:r>
      <w:r w:rsidR="00910BA7" w:rsidRPr="00CD4D83">
        <w:rPr>
          <w:i/>
          <w:iCs/>
          <w:lang w:val="fr-CH"/>
        </w:rPr>
        <w:t>l</w:t>
      </w:r>
      <w:r w:rsidR="000B7E88">
        <w:rPr>
          <w:i/>
          <w:iCs/>
          <w:lang w:val="fr-CH"/>
        </w:rPr>
        <w:t>'</w:t>
      </w:r>
      <w:r w:rsidR="00910BA7" w:rsidRPr="00CD4D83">
        <w:rPr>
          <w:i/>
          <w:iCs/>
          <w:lang w:val="fr-CH"/>
        </w:rPr>
        <w:t>assurance raisonnable</w:t>
      </w:r>
      <w:r w:rsidR="00910BA7">
        <w:rPr>
          <w:lang w:val="fr-CH"/>
        </w:rPr>
        <w:t xml:space="preserve"> que des contrôles efficaces existent en ce qui concerne le processus de classement et que les risques en </w:t>
      </w:r>
      <w:r>
        <w:rPr>
          <w:lang w:val="fr-CH"/>
        </w:rPr>
        <w:t xml:space="preserve">la </w:t>
      </w:r>
      <w:r w:rsidR="00910BA7">
        <w:rPr>
          <w:lang w:val="fr-CH"/>
        </w:rPr>
        <w:t>matière sont gérés. Les aspects liés à la gouvernance doivent être améliorés. L</w:t>
      </w:r>
      <w:r w:rsidR="000B7E88">
        <w:rPr>
          <w:lang w:val="fr-CH"/>
        </w:rPr>
        <w:t>'</w:t>
      </w:r>
      <w:r w:rsidR="00910BA7">
        <w:rPr>
          <w:lang w:val="fr-CH"/>
        </w:rPr>
        <w:t>Unité de l</w:t>
      </w:r>
      <w:r w:rsidR="000B7E88">
        <w:rPr>
          <w:lang w:val="fr-CH"/>
        </w:rPr>
        <w:t>'</w:t>
      </w:r>
      <w:r w:rsidR="00910BA7">
        <w:rPr>
          <w:lang w:val="fr-CH"/>
        </w:rPr>
        <w:t>audit interne a également conclu que le déclassement de postes vacants en 2012</w:t>
      </w:r>
      <w:r>
        <w:rPr>
          <w:lang w:val="fr-CH"/>
        </w:rPr>
        <w:t>-</w:t>
      </w:r>
      <w:r w:rsidR="00910BA7">
        <w:rPr>
          <w:lang w:val="fr-CH"/>
        </w:rPr>
        <w:t>2014 a généré des économies.</w:t>
      </w:r>
    </w:p>
    <w:p w:rsidR="00910BA7" w:rsidRPr="00370124" w:rsidRDefault="00910BA7" w:rsidP="00477F15">
      <w:pPr>
        <w:pStyle w:val="Headingb"/>
        <w:spacing w:before="240"/>
        <w:rPr>
          <w:i/>
          <w:iCs/>
          <w:lang w:val="fr-CH"/>
        </w:rPr>
      </w:pPr>
      <w:r w:rsidRPr="00370124">
        <w:rPr>
          <w:i/>
          <w:iCs/>
          <w:lang w:val="fr-CH"/>
        </w:rPr>
        <w:t>C</w:t>
      </w:r>
      <w:r w:rsidRPr="00370124">
        <w:rPr>
          <w:i/>
          <w:iCs/>
          <w:lang w:val="fr-CH"/>
        </w:rPr>
        <w:tab/>
        <w:t xml:space="preserve">Audit </w:t>
      </w:r>
      <w:r w:rsidR="002851CA" w:rsidRPr="00370124">
        <w:rPr>
          <w:i/>
          <w:iCs/>
          <w:lang w:val="fr-CH"/>
        </w:rPr>
        <w:t xml:space="preserve">des processus liés à </w:t>
      </w:r>
      <w:r w:rsidR="00157774" w:rsidRPr="00370124">
        <w:rPr>
          <w:i/>
          <w:iCs/>
          <w:lang w:val="fr-CH"/>
        </w:rPr>
        <w:t xml:space="preserve">la trésorerie et </w:t>
      </w:r>
      <w:r w:rsidR="002851CA" w:rsidRPr="00370124">
        <w:rPr>
          <w:i/>
          <w:iCs/>
          <w:lang w:val="fr-CH"/>
        </w:rPr>
        <w:t xml:space="preserve">aux </w:t>
      </w:r>
      <w:r w:rsidR="00157774" w:rsidRPr="00370124">
        <w:rPr>
          <w:i/>
          <w:iCs/>
          <w:lang w:val="fr-CH"/>
        </w:rPr>
        <w:t>investissement</w:t>
      </w:r>
      <w:r w:rsidR="002851CA" w:rsidRPr="00370124">
        <w:rPr>
          <w:i/>
          <w:iCs/>
          <w:lang w:val="fr-CH"/>
        </w:rPr>
        <w:t>s</w:t>
      </w:r>
    </w:p>
    <w:p w:rsidR="000E75AA" w:rsidRDefault="002851CA" w:rsidP="002851CA">
      <w:pPr>
        <w:rPr>
          <w:lang w:val="fr-CH"/>
        </w:rPr>
      </w:pPr>
      <w:r>
        <w:rPr>
          <w:lang w:val="fr-CH"/>
        </w:rPr>
        <w:t>14</w:t>
      </w:r>
      <w:r w:rsidR="001F6172">
        <w:rPr>
          <w:lang w:val="fr-CH"/>
        </w:rPr>
        <w:tab/>
        <w:t xml:space="preserve">Les </w:t>
      </w:r>
      <w:r w:rsidR="001F6172" w:rsidRPr="001F6172">
        <w:rPr>
          <w:u w:val="single"/>
          <w:lang w:val="fr-CH"/>
        </w:rPr>
        <w:t xml:space="preserve">objectifs </w:t>
      </w:r>
      <w:r w:rsidR="001F6172">
        <w:rPr>
          <w:lang w:val="fr-CH"/>
        </w:rPr>
        <w:t>de cet audit étaient</w:t>
      </w:r>
      <w:r>
        <w:rPr>
          <w:lang w:val="fr-CH"/>
        </w:rPr>
        <w:t>:</w:t>
      </w:r>
      <w:r w:rsidR="00477F15">
        <w:rPr>
          <w:lang w:val="fr-CH"/>
        </w:rPr>
        <w:t xml:space="preserve"> </w:t>
      </w:r>
      <w:r w:rsidR="001F6172">
        <w:rPr>
          <w:lang w:val="fr-CH"/>
        </w:rPr>
        <w:t>i) d</w:t>
      </w:r>
      <w:r w:rsidR="000B7E88">
        <w:rPr>
          <w:lang w:val="fr-CH"/>
        </w:rPr>
        <w:t>'</w:t>
      </w:r>
      <w:r w:rsidR="001F6172">
        <w:rPr>
          <w:lang w:val="fr-CH"/>
        </w:rPr>
        <w:t>examiner et d</w:t>
      </w:r>
      <w:r w:rsidR="000B7E88">
        <w:rPr>
          <w:lang w:val="fr-CH"/>
        </w:rPr>
        <w:t>'</w:t>
      </w:r>
      <w:r w:rsidR="001F6172">
        <w:rPr>
          <w:lang w:val="fr-CH"/>
        </w:rPr>
        <w:t>évaluer les contrôles</w:t>
      </w:r>
      <w:r w:rsidRPr="002851CA">
        <w:rPr>
          <w:lang w:val="fr-CH"/>
        </w:rPr>
        <w:t xml:space="preserve"> </w:t>
      </w:r>
      <w:r>
        <w:rPr>
          <w:lang w:val="fr-CH"/>
        </w:rPr>
        <w:t>internes</w:t>
      </w:r>
      <w:r w:rsidR="001F6172">
        <w:rPr>
          <w:lang w:val="fr-CH"/>
        </w:rPr>
        <w:t xml:space="preserve"> (</w:t>
      </w:r>
      <w:r>
        <w:rPr>
          <w:lang w:val="fr-CH"/>
        </w:rPr>
        <w:t xml:space="preserve">et </w:t>
      </w:r>
      <w:r w:rsidR="001F6172">
        <w:rPr>
          <w:lang w:val="fr-CH"/>
        </w:rPr>
        <w:t>les mécanismes d</w:t>
      </w:r>
      <w:r w:rsidR="000B7E88">
        <w:rPr>
          <w:lang w:val="fr-CH"/>
        </w:rPr>
        <w:t>'</w:t>
      </w:r>
      <w:r w:rsidR="001F6172">
        <w:rPr>
          <w:lang w:val="fr-CH"/>
        </w:rPr>
        <w:t>établissement de rapports) ainsi que leur efficacité en ce qui concerne les processus liés aux décisions d</w:t>
      </w:r>
      <w:r w:rsidR="000B7E88">
        <w:rPr>
          <w:lang w:val="fr-CH"/>
        </w:rPr>
        <w:t>'</w:t>
      </w:r>
      <w:r w:rsidR="001F6172">
        <w:rPr>
          <w:lang w:val="fr-CH"/>
        </w:rPr>
        <w:t>investissement de l</w:t>
      </w:r>
      <w:r w:rsidR="000B7E88">
        <w:rPr>
          <w:lang w:val="fr-CH"/>
        </w:rPr>
        <w:t>'</w:t>
      </w:r>
      <w:r w:rsidR="001F6172">
        <w:rPr>
          <w:lang w:val="fr-CH"/>
        </w:rPr>
        <w:t>UIT</w:t>
      </w:r>
      <w:r>
        <w:rPr>
          <w:lang w:val="fr-CH"/>
        </w:rPr>
        <w:t>;</w:t>
      </w:r>
      <w:r w:rsidR="00477F15">
        <w:rPr>
          <w:lang w:val="fr-CH"/>
        </w:rPr>
        <w:t xml:space="preserve"> </w:t>
      </w:r>
      <w:r w:rsidR="001F6172">
        <w:rPr>
          <w:lang w:val="fr-CH"/>
        </w:rPr>
        <w:t>ii) de vérifier le processus</w:t>
      </w:r>
      <w:r w:rsidRPr="002851CA">
        <w:rPr>
          <w:lang w:val="fr-CH"/>
        </w:rPr>
        <w:t xml:space="preserve"> </w:t>
      </w:r>
      <w:r>
        <w:rPr>
          <w:lang w:val="fr-CH"/>
        </w:rPr>
        <w:t>de gouvernance</w:t>
      </w:r>
      <w:r w:rsidR="001F6172">
        <w:rPr>
          <w:lang w:val="fr-CH"/>
        </w:rPr>
        <w:t>, les politiques, les procédures et le cadre réglementaire</w:t>
      </w:r>
      <w:r>
        <w:rPr>
          <w:lang w:val="fr-CH"/>
        </w:rPr>
        <w:t>;</w:t>
      </w:r>
      <w:r w:rsidR="00477F15">
        <w:rPr>
          <w:lang w:val="fr-CH"/>
        </w:rPr>
        <w:t xml:space="preserve"> et </w:t>
      </w:r>
      <w:r w:rsidR="001F6172">
        <w:rPr>
          <w:lang w:val="fr-CH"/>
        </w:rPr>
        <w:t>iii) d</w:t>
      </w:r>
      <w:r w:rsidR="000B7E88">
        <w:rPr>
          <w:lang w:val="fr-CH"/>
        </w:rPr>
        <w:t>'</w:t>
      </w:r>
      <w:r w:rsidR="001F6172">
        <w:rPr>
          <w:lang w:val="fr-CH"/>
        </w:rPr>
        <w:t>évaluer la manière dont les risques associés aux activités d</w:t>
      </w:r>
      <w:r w:rsidR="000B7E88">
        <w:rPr>
          <w:lang w:val="fr-CH"/>
        </w:rPr>
        <w:t>'</w:t>
      </w:r>
      <w:r w:rsidR="001F6172">
        <w:rPr>
          <w:lang w:val="fr-CH"/>
        </w:rPr>
        <w:t>investissement sont gérés.</w:t>
      </w:r>
      <w:r w:rsidR="000E75AA">
        <w:rPr>
          <w:lang w:val="fr-CH"/>
        </w:rPr>
        <w:t xml:space="preserve"> La période couverte par l</w:t>
      </w:r>
      <w:r w:rsidR="000B7E88">
        <w:rPr>
          <w:lang w:val="fr-CH"/>
        </w:rPr>
        <w:t>'</w:t>
      </w:r>
      <w:r w:rsidR="00477F15">
        <w:rPr>
          <w:lang w:val="fr-CH"/>
        </w:rPr>
        <w:t>audit va de 2012 à </w:t>
      </w:r>
      <w:r w:rsidR="000E75AA">
        <w:rPr>
          <w:lang w:val="fr-CH"/>
        </w:rPr>
        <w:t xml:space="preserve">2014 (et </w:t>
      </w:r>
      <w:r>
        <w:rPr>
          <w:lang w:val="fr-CH"/>
        </w:rPr>
        <w:t>le tout début</w:t>
      </w:r>
      <w:r w:rsidR="000E75AA">
        <w:rPr>
          <w:lang w:val="fr-CH"/>
        </w:rPr>
        <w:t xml:space="preserve"> de </w:t>
      </w:r>
      <w:r>
        <w:rPr>
          <w:lang w:val="fr-CH"/>
        </w:rPr>
        <w:t xml:space="preserve">l'année </w:t>
      </w:r>
      <w:r w:rsidR="000E75AA">
        <w:rPr>
          <w:lang w:val="fr-CH"/>
        </w:rPr>
        <w:t>2015).</w:t>
      </w:r>
    </w:p>
    <w:p w:rsidR="000E75AA" w:rsidRDefault="002851CA" w:rsidP="002851CA">
      <w:pPr>
        <w:rPr>
          <w:lang w:val="fr-CH"/>
        </w:rPr>
      </w:pPr>
      <w:r>
        <w:rPr>
          <w:lang w:val="fr-CH"/>
        </w:rPr>
        <w:t>15</w:t>
      </w:r>
      <w:r w:rsidR="000E75AA">
        <w:rPr>
          <w:lang w:val="fr-CH"/>
        </w:rPr>
        <w:tab/>
        <w:t>L</w:t>
      </w:r>
      <w:r w:rsidR="000B7E88">
        <w:rPr>
          <w:lang w:val="fr-CH"/>
        </w:rPr>
        <w:t>'</w:t>
      </w:r>
      <w:r w:rsidR="000E75AA">
        <w:rPr>
          <w:lang w:val="fr-CH"/>
        </w:rPr>
        <w:t>Unité de l</w:t>
      </w:r>
      <w:r w:rsidR="000B7E88">
        <w:rPr>
          <w:lang w:val="fr-CH"/>
        </w:rPr>
        <w:t>'</w:t>
      </w:r>
      <w:r w:rsidR="000E75AA">
        <w:rPr>
          <w:lang w:val="fr-CH"/>
        </w:rPr>
        <w:t>audit interne a noté des aspects positifs comme</w:t>
      </w:r>
      <w:r>
        <w:rPr>
          <w:lang w:val="fr-CH"/>
        </w:rPr>
        <w:t>:</w:t>
      </w:r>
      <w:r w:rsidR="00477F15">
        <w:rPr>
          <w:lang w:val="fr-CH"/>
        </w:rPr>
        <w:t xml:space="preserve"> </w:t>
      </w:r>
      <w:r w:rsidR="000E75AA">
        <w:rPr>
          <w:lang w:val="fr-CH"/>
        </w:rPr>
        <w:t>i) la disponibilité</w:t>
      </w:r>
      <w:r w:rsidR="000E75AA" w:rsidRPr="000E75AA">
        <w:t xml:space="preserve"> </w:t>
      </w:r>
      <w:r w:rsidR="000E75AA" w:rsidRPr="000E75AA">
        <w:rPr>
          <w:lang w:val="fr-CH"/>
        </w:rPr>
        <w:t>de liquidités suffisantes pour faire face aux charges opérationnelles prévues</w:t>
      </w:r>
      <w:r w:rsidR="000E75AA">
        <w:rPr>
          <w:lang w:val="fr-CH"/>
        </w:rPr>
        <w:t xml:space="preserve"> (l</w:t>
      </w:r>
      <w:r w:rsidR="000B7E88">
        <w:rPr>
          <w:lang w:val="fr-CH"/>
        </w:rPr>
        <w:t>'</w:t>
      </w:r>
      <w:r w:rsidR="000E75AA">
        <w:rPr>
          <w:lang w:val="fr-CH"/>
        </w:rPr>
        <w:t>échantillon retenu pour l</w:t>
      </w:r>
      <w:r w:rsidR="000B7E88">
        <w:rPr>
          <w:lang w:val="fr-CH"/>
        </w:rPr>
        <w:t>'</w:t>
      </w:r>
      <w:r w:rsidR="000E75AA">
        <w:rPr>
          <w:lang w:val="fr-CH"/>
        </w:rPr>
        <w:t>audit n</w:t>
      </w:r>
      <w:r w:rsidR="000B7E88">
        <w:rPr>
          <w:lang w:val="fr-CH"/>
        </w:rPr>
        <w:t>'</w:t>
      </w:r>
      <w:r w:rsidR="000E75AA">
        <w:rPr>
          <w:lang w:val="fr-CH"/>
        </w:rPr>
        <w:t>a révélé aucun cas de manque de liquidités)</w:t>
      </w:r>
      <w:r>
        <w:rPr>
          <w:lang w:val="fr-CH"/>
        </w:rPr>
        <w:t>;</w:t>
      </w:r>
      <w:r w:rsidR="00477F15">
        <w:rPr>
          <w:lang w:val="fr-CH"/>
        </w:rPr>
        <w:t xml:space="preserve"> </w:t>
      </w:r>
      <w:r w:rsidR="000E75AA">
        <w:rPr>
          <w:lang w:val="fr-CH"/>
        </w:rPr>
        <w:t>ii) la double signature des instructions d</w:t>
      </w:r>
      <w:r w:rsidR="000B7E88">
        <w:rPr>
          <w:lang w:val="fr-CH"/>
        </w:rPr>
        <w:t>'</w:t>
      </w:r>
      <w:r w:rsidR="000E75AA">
        <w:rPr>
          <w:lang w:val="fr-CH"/>
        </w:rPr>
        <w:t>investissement adressé</w:t>
      </w:r>
      <w:r>
        <w:rPr>
          <w:lang w:val="fr-CH"/>
        </w:rPr>
        <w:t>es</w:t>
      </w:r>
      <w:r w:rsidR="000E75AA">
        <w:rPr>
          <w:lang w:val="fr-CH"/>
        </w:rPr>
        <w:t xml:space="preserve"> aux banques (aucun cas de transaction/télécopie </w:t>
      </w:r>
      <w:r>
        <w:rPr>
          <w:lang w:val="fr-CH"/>
        </w:rPr>
        <w:t>comportant des erreurs</w:t>
      </w:r>
      <w:r w:rsidR="000E75AA">
        <w:rPr>
          <w:lang w:val="fr-CH"/>
        </w:rPr>
        <w:t xml:space="preserve"> n</w:t>
      </w:r>
      <w:r w:rsidR="000B7E88">
        <w:rPr>
          <w:lang w:val="fr-CH"/>
        </w:rPr>
        <w:t>'</w:t>
      </w:r>
      <w:r>
        <w:rPr>
          <w:lang w:val="fr-CH"/>
        </w:rPr>
        <w:t>a été constaté</w:t>
      </w:r>
      <w:r w:rsidR="000E75AA">
        <w:rPr>
          <w:lang w:val="fr-CH"/>
        </w:rPr>
        <w:t xml:space="preserve"> dans les dossiers examinés)</w:t>
      </w:r>
      <w:r w:rsidR="00477F15">
        <w:rPr>
          <w:lang w:val="fr-CH"/>
        </w:rPr>
        <w:t xml:space="preserve">; et </w:t>
      </w:r>
      <w:r>
        <w:rPr>
          <w:lang w:val="fr-CH"/>
        </w:rPr>
        <w:t>iii) l'absence</w:t>
      </w:r>
      <w:r w:rsidR="000E75AA">
        <w:rPr>
          <w:lang w:val="fr-CH"/>
        </w:rPr>
        <w:t xml:space="preserve"> </w:t>
      </w:r>
      <w:r>
        <w:rPr>
          <w:lang w:val="fr-CH"/>
        </w:rPr>
        <w:t>d'</w:t>
      </w:r>
      <w:r w:rsidR="000E75AA">
        <w:rPr>
          <w:lang w:val="fr-CH"/>
        </w:rPr>
        <w:t>anomalie correspondant à des transactions incompatibles dans les dossiers relatifs aux investissements.</w:t>
      </w:r>
    </w:p>
    <w:p w:rsidR="00395FA4" w:rsidRDefault="002851CA" w:rsidP="000B7E88">
      <w:pPr>
        <w:rPr>
          <w:lang w:val="fr-CH"/>
        </w:rPr>
      </w:pPr>
      <w:r>
        <w:rPr>
          <w:lang w:val="fr-CH"/>
        </w:rPr>
        <w:t>16</w:t>
      </w:r>
      <w:r w:rsidR="000E75AA">
        <w:rPr>
          <w:lang w:val="fr-CH"/>
        </w:rPr>
        <w:tab/>
      </w:r>
      <w:r w:rsidR="000E75AA" w:rsidRPr="000E75AA">
        <w:rPr>
          <w:lang w:val="fr-CH"/>
        </w:rPr>
        <w:t>Observations de l</w:t>
      </w:r>
      <w:r w:rsidR="000B7E88">
        <w:rPr>
          <w:lang w:val="fr-CH"/>
        </w:rPr>
        <w:t>'</w:t>
      </w:r>
      <w:r w:rsidR="000E75AA" w:rsidRPr="000E75AA">
        <w:rPr>
          <w:lang w:val="fr-CH"/>
        </w:rPr>
        <w:t>Unité de l</w:t>
      </w:r>
      <w:r w:rsidR="000B7E88">
        <w:rPr>
          <w:lang w:val="fr-CH"/>
        </w:rPr>
        <w:t>'</w:t>
      </w:r>
      <w:r w:rsidR="000E75AA" w:rsidRPr="000E75AA">
        <w:rPr>
          <w:lang w:val="fr-CH"/>
        </w:rPr>
        <w:t>audit interne, recommandations hautement prioritaires et commentaires de la direction</w:t>
      </w:r>
      <w:r w:rsidR="00BA6E9B">
        <w:rPr>
          <w:lang w:val="fr-CH"/>
        </w:rPr>
        <w:t>:</w:t>
      </w:r>
    </w:p>
    <w:p w:rsidR="00CD4D83" w:rsidRDefault="002851CA" w:rsidP="004020D6">
      <w:pPr>
        <w:pStyle w:val="enumlev1"/>
        <w:rPr>
          <w:lang w:val="fr-CH"/>
        </w:rPr>
      </w:pPr>
      <w:r>
        <w:rPr>
          <w:lang w:val="fr-CH"/>
        </w:rPr>
        <w:t>i)</w:t>
      </w:r>
      <w:r w:rsidR="00CD4D83">
        <w:rPr>
          <w:lang w:val="fr-CH"/>
        </w:rPr>
        <w:tab/>
      </w:r>
      <w:r w:rsidR="00BA6E9B">
        <w:rPr>
          <w:lang w:val="fr-CH"/>
        </w:rPr>
        <w:t>Il a été recommandé de mettre en place une procédure permettant de gérer les taux d</w:t>
      </w:r>
      <w:r w:rsidR="000B7E88">
        <w:rPr>
          <w:lang w:val="fr-CH"/>
        </w:rPr>
        <w:t>'</w:t>
      </w:r>
      <w:r w:rsidR="00BA6E9B">
        <w:rPr>
          <w:lang w:val="fr-CH"/>
        </w:rPr>
        <w:t>intérêt négatif</w:t>
      </w:r>
      <w:r w:rsidR="00CD4D83">
        <w:rPr>
          <w:lang w:val="fr-CH"/>
        </w:rPr>
        <w:t>s</w:t>
      </w:r>
      <w:r w:rsidR="00BA6E9B">
        <w:rPr>
          <w:lang w:val="fr-CH"/>
        </w:rPr>
        <w:t xml:space="preserve"> et d</w:t>
      </w:r>
      <w:r w:rsidR="000B7E88">
        <w:rPr>
          <w:lang w:val="fr-CH"/>
        </w:rPr>
        <w:t>'</w:t>
      </w:r>
      <w:r w:rsidR="00BA6E9B">
        <w:rPr>
          <w:lang w:val="fr-CH"/>
        </w:rPr>
        <w:t>envisager de créer un groupe consultatif interne. La direction a indiqué</w:t>
      </w:r>
      <w:r w:rsidR="00CD4D83">
        <w:rPr>
          <w:lang w:val="fr-CH"/>
        </w:rPr>
        <w:t xml:space="preserve"> que toutes les répercussions juridiques et financières doivent être examinées et </w:t>
      </w:r>
      <w:r w:rsidR="004020D6">
        <w:rPr>
          <w:lang w:val="fr-CH"/>
        </w:rPr>
        <w:t>qu'</w:t>
      </w:r>
      <w:r w:rsidR="00CD4D83">
        <w:rPr>
          <w:lang w:val="fr-CH"/>
        </w:rPr>
        <w:t xml:space="preserve">une procédure formelle appliquée à long terme sera élaborée et soumise </w:t>
      </w:r>
      <w:r w:rsidR="004020D6">
        <w:rPr>
          <w:lang w:val="fr-CH"/>
        </w:rPr>
        <w:t xml:space="preserve">au Secrétaire général </w:t>
      </w:r>
      <w:r w:rsidR="00CD4D83">
        <w:rPr>
          <w:lang w:val="fr-CH"/>
        </w:rPr>
        <w:t>pour approbation</w:t>
      </w:r>
      <w:r w:rsidR="00477F15">
        <w:rPr>
          <w:lang w:val="fr-CH"/>
        </w:rPr>
        <w:t>.</w:t>
      </w:r>
    </w:p>
    <w:p w:rsidR="001E335A" w:rsidRDefault="002851CA" w:rsidP="004020D6">
      <w:pPr>
        <w:pStyle w:val="enumlev1"/>
        <w:rPr>
          <w:lang w:val="fr-CH"/>
        </w:rPr>
      </w:pPr>
      <w:r>
        <w:rPr>
          <w:lang w:val="fr-CH"/>
        </w:rPr>
        <w:t>ii)</w:t>
      </w:r>
      <w:r>
        <w:rPr>
          <w:lang w:val="fr-CH"/>
        </w:rPr>
        <w:tab/>
      </w:r>
      <w:r w:rsidR="00CD4D83">
        <w:rPr>
          <w:lang w:val="fr-CH"/>
        </w:rPr>
        <w:t>Il a été recommandé de travailler sur le mécanisme d</w:t>
      </w:r>
      <w:r w:rsidR="000B7E88">
        <w:rPr>
          <w:lang w:val="fr-CH"/>
        </w:rPr>
        <w:t>'</w:t>
      </w:r>
      <w:r w:rsidR="00CD4D83">
        <w:rPr>
          <w:lang w:val="fr-CH"/>
        </w:rPr>
        <w:t xml:space="preserve">établissement de rapports </w:t>
      </w:r>
      <w:r w:rsidR="004020D6">
        <w:rPr>
          <w:lang w:val="fr-CH"/>
        </w:rPr>
        <w:t>pour</w:t>
      </w:r>
      <w:r w:rsidR="00CD4D83">
        <w:rPr>
          <w:lang w:val="fr-CH"/>
        </w:rPr>
        <w:t xml:space="preserve"> publier un rapport de </w:t>
      </w:r>
      <w:r w:rsidR="00CD4D83" w:rsidRPr="00CD4D83">
        <w:rPr>
          <w:i/>
          <w:iCs/>
          <w:lang w:val="fr-CH"/>
        </w:rPr>
        <w:t>prévision des flux de trésorerie</w:t>
      </w:r>
      <w:r w:rsidR="004020D6">
        <w:rPr>
          <w:lang w:val="fr-CH"/>
        </w:rPr>
        <w:t>,</w:t>
      </w:r>
      <w:r w:rsidR="00CD4D83">
        <w:rPr>
          <w:lang w:val="fr-CH"/>
        </w:rPr>
        <w:t xml:space="preserve"> afin d</w:t>
      </w:r>
      <w:r w:rsidR="000B7E88">
        <w:rPr>
          <w:lang w:val="fr-CH"/>
        </w:rPr>
        <w:t>'</w:t>
      </w:r>
      <w:r w:rsidR="00CD4D83">
        <w:rPr>
          <w:lang w:val="fr-CH"/>
        </w:rPr>
        <w:t>atténuer le risque</w:t>
      </w:r>
      <w:r w:rsidR="001E335A">
        <w:rPr>
          <w:lang w:val="fr-CH"/>
        </w:rPr>
        <w:t xml:space="preserve"> d</w:t>
      </w:r>
      <w:r w:rsidR="000B7E88">
        <w:rPr>
          <w:lang w:val="fr-CH"/>
        </w:rPr>
        <w:t>'</w:t>
      </w:r>
      <w:r w:rsidR="001E335A">
        <w:rPr>
          <w:lang w:val="fr-CH"/>
        </w:rPr>
        <w:t>absence de réaction instantanée et/ou rapide</w:t>
      </w:r>
      <w:r w:rsidR="0058641B">
        <w:rPr>
          <w:lang w:val="fr-CH"/>
        </w:rPr>
        <w:t xml:space="preserve"> face</w:t>
      </w:r>
      <w:r w:rsidR="001E335A">
        <w:rPr>
          <w:lang w:val="fr-CH"/>
        </w:rPr>
        <w:t xml:space="preserve"> à une situation donnée. La direction a indiqué qu</w:t>
      </w:r>
      <w:r w:rsidR="000B7E88">
        <w:rPr>
          <w:lang w:val="fr-CH"/>
        </w:rPr>
        <w:t>'</w:t>
      </w:r>
      <w:r w:rsidR="001E335A">
        <w:rPr>
          <w:lang w:val="fr-CH"/>
        </w:rPr>
        <w:t xml:space="preserve">elle a pris note de la recommandation et que les discussions concernant sa mise en </w:t>
      </w:r>
      <w:r w:rsidR="000B7E88">
        <w:rPr>
          <w:lang w:val="fr-CH"/>
        </w:rPr>
        <w:t>oe</w:t>
      </w:r>
      <w:r w:rsidR="001E335A">
        <w:rPr>
          <w:lang w:val="fr-CH"/>
        </w:rPr>
        <w:t>uvre sont en cours</w:t>
      </w:r>
      <w:r w:rsidR="00477F15">
        <w:rPr>
          <w:lang w:val="fr-CH"/>
        </w:rPr>
        <w:t>.</w:t>
      </w:r>
    </w:p>
    <w:p w:rsidR="001E335A" w:rsidRDefault="002851CA" w:rsidP="004020D6">
      <w:pPr>
        <w:pStyle w:val="enumlev1"/>
        <w:rPr>
          <w:lang w:val="fr-CH"/>
        </w:rPr>
      </w:pPr>
      <w:r>
        <w:rPr>
          <w:lang w:val="fr-CH"/>
        </w:rPr>
        <w:t>iii)</w:t>
      </w:r>
      <w:r>
        <w:rPr>
          <w:lang w:val="fr-CH"/>
        </w:rPr>
        <w:tab/>
      </w:r>
      <w:r w:rsidR="001E335A">
        <w:rPr>
          <w:lang w:val="fr-CH"/>
        </w:rPr>
        <w:t xml:space="preserve">Il a été recommandé de mener à bien la mise en </w:t>
      </w:r>
      <w:r w:rsidR="000B7E88">
        <w:rPr>
          <w:lang w:val="fr-CH"/>
        </w:rPr>
        <w:t>oe</w:t>
      </w:r>
      <w:r w:rsidR="001E335A">
        <w:rPr>
          <w:lang w:val="fr-CH"/>
        </w:rPr>
        <w:t>uvre du module</w:t>
      </w:r>
      <w:r w:rsidR="004020D6">
        <w:rPr>
          <w:lang w:val="fr-CH"/>
        </w:rPr>
        <w:t xml:space="preserve"> </w:t>
      </w:r>
      <w:r w:rsidR="004020D6">
        <w:rPr>
          <w:i/>
          <w:iCs/>
          <w:lang w:val="fr-CH"/>
        </w:rPr>
        <w:t>Cash management</w:t>
      </w:r>
      <w:r w:rsidR="001E335A">
        <w:rPr>
          <w:lang w:val="fr-CH"/>
        </w:rPr>
        <w:t xml:space="preserve"> </w:t>
      </w:r>
      <w:r w:rsidR="004020D6" w:rsidRPr="004020D6">
        <w:rPr>
          <w:lang w:val="fr-CH"/>
        </w:rPr>
        <w:t>(</w:t>
      </w:r>
      <w:r w:rsidR="001E335A" w:rsidRPr="004020D6">
        <w:rPr>
          <w:lang w:val="fr-CH"/>
        </w:rPr>
        <w:t>Gestion de la caisse</w:t>
      </w:r>
      <w:r w:rsidR="004020D6" w:rsidRPr="004020D6">
        <w:rPr>
          <w:lang w:val="fr-CH"/>
        </w:rPr>
        <w:t>)</w:t>
      </w:r>
      <w:r w:rsidR="001E335A">
        <w:rPr>
          <w:lang w:val="fr-CH"/>
        </w:rPr>
        <w:t xml:space="preserve"> avec toutes ses fonctionnalités et de dispenser aux utilisateurs les formations </w:t>
      </w:r>
      <w:r w:rsidR="004020D6">
        <w:rPr>
          <w:lang w:val="fr-CH"/>
        </w:rPr>
        <w:t>adéquates, pour limiter le</w:t>
      </w:r>
      <w:r w:rsidR="001E335A">
        <w:rPr>
          <w:lang w:val="fr-CH"/>
        </w:rPr>
        <w:t xml:space="preserve"> risque d</w:t>
      </w:r>
      <w:r w:rsidR="000B7E88">
        <w:rPr>
          <w:lang w:val="fr-CH"/>
        </w:rPr>
        <w:t>'</w:t>
      </w:r>
      <w:r w:rsidR="001E335A">
        <w:rPr>
          <w:lang w:val="fr-CH"/>
        </w:rPr>
        <w:t xml:space="preserve">erreur et </w:t>
      </w:r>
      <w:r w:rsidR="004020D6">
        <w:rPr>
          <w:lang w:val="fr-CH"/>
        </w:rPr>
        <w:t xml:space="preserve">de perte </w:t>
      </w:r>
      <w:r w:rsidR="001E335A">
        <w:rPr>
          <w:lang w:val="fr-CH"/>
        </w:rPr>
        <w:t>d</w:t>
      </w:r>
      <w:r w:rsidR="000B7E88">
        <w:rPr>
          <w:lang w:val="fr-CH"/>
        </w:rPr>
        <w:t>'</w:t>
      </w:r>
      <w:r w:rsidR="001E335A">
        <w:rPr>
          <w:lang w:val="fr-CH"/>
        </w:rPr>
        <w:t>efficacité. La direction a indiqué qu</w:t>
      </w:r>
      <w:r w:rsidR="000B7E88">
        <w:rPr>
          <w:lang w:val="fr-CH"/>
        </w:rPr>
        <w:t>'</w:t>
      </w:r>
      <w:r w:rsidR="001E335A">
        <w:rPr>
          <w:lang w:val="fr-CH"/>
        </w:rPr>
        <w:t xml:space="preserve">elle souscrivait à cette recommandation, tout en incitant à la prudence en ce qui concerne la mise en </w:t>
      </w:r>
      <w:r w:rsidR="000B7E88">
        <w:rPr>
          <w:lang w:val="fr-CH"/>
        </w:rPr>
        <w:t>oe</w:t>
      </w:r>
      <w:r w:rsidR="001E335A">
        <w:rPr>
          <w:lang w:val="fr-CH"/>
        </w:rPr>
        <w:t>uvre d</w:t>
      </w:r>
      <w:r w:rsidR="000B7E88">
        <w:rPr>
          <w:lang w:val="fr-CH"/>
        </w:rPr>
        <w:t>'</w:t>
      </w:r>
      <w:r w:rsidR="001E335A">
        <w:rPr>
          <w:lang w:val="fr-CH"/>
        </w:rPr>
        <w:t>applications surdimensionnées pour l</w:t>
      </w:r>
      <w:r w:rsidR="000B7E88">
        <w:rPr>
          <w:lang w:val="fr-CH"/>
        </w:rPr>
        <w:t>'</w:t>
      </w:r>
      <w:r w:rsidR="001E335A">
        <w:rPr>
          <w:lang w:val="fr-CH"/>
        </w:rPr>
        <w:t>UIT</w:t>
      </w:r>
      <w:r w:rsidR="00477F15">
        <w:rPr>
          <w:lang w:val="fr-CH"/>
        </w:rPr>
        <w:t>.</w:t>
      </w:r>
    </w:p>
    <w:p w:rsidR="00BA6E9B" w:rsidRDefault="002851CA" w:rsidP="004020D6">
      <w:pPr>
        <w:pStyle w:val="enumlev1"/>
        <w:rPr>
          <w:lang w:val="fr-CH"/>
        </w:rPr>
      </w:pPr>
      <w:r>
        <w:rPr>
          <w:lang w:val="fr-CH"/>
        </w:rPr>
        <w:lastRenderedPageBreak/>
        <w:t>iv)</w:t>
      </w:r>
      <w:r>
        <w:rPr>
          <w:lang w:val="fr-CH"/>
        </w:rPr>
        <w:tab/>
      </w:r>
      <w:r w:rsidR="0058641B">
        <w:rPr>
          <w:lang w:val="fr-CH"/>
        </w:rPr>
        <w:t>Il a été recommandé que les transactions bancaires électroniques soient la règle afin d</w:t>
      </w:r>
      <w:r w:rsidR="000B7E88">
        <w:rPr>
          <w:lang w:val="fr-CH"/>
        </w:rPr>
        <w:t>'</w:t>
      </w:r>
      <w:r w:rsidR="0058641B">
        <w:rPr>
          <w:lang w:val="fr-CH"/>
        </w:rPr>
        <w:t>atténuer le risque de transaction</w:t>
      </w:r>
      <w:r w:rsidR="004020D6">
        <w:rPr>
          <w:lang w:val="fr-CH"/>
        </w:rPr>
        <w:t>s</w:t>
      </w:r>
      <w:r w:rsidR="0058641B">
        <w:rPr>
          <w:lang w:val="fr-CH"/>
        </w:rPr>
        <w:t xml:space="preserve"> </w:t>
      </w:r>
      <w:r w:rsidR="004020D6">
        <w:rPr>
          <w:lang w:val="fr-CH"/>
        </w:rPr>
        <w:t>"</w:t>
      </w:r>
      <w:r w:rsidR="0058641B">
        <w:rPr>
          <w:lang w:val="fr-CH"/>
        </w:rPr>
        <w:t>manuelle</w:t>
      </w:r>
      <w:r w:rsidR="004020D6">
        <w:rPr>
          <w:lang w:val="fr-CH"/>
        </w:rPr>
        <w:t>s"</w:t>
      </w:r>
      <w:r w:rsidR="0058641B">
        <w:rPr>
          <w:lang w:val="fr-CH"/>
        </w:rPr>
        <w:t xml:space="preserve"> erronée</w:t>
      </w:r>
      <w:r w:rsidR="004020D6">
        <w:rPr>
          <w:lang w:val="fr-CH"/>
        </w:rPr>
        <w:t>s</w:t>
      </w:r>
      <w:r w:rsidR="0058641B">
        <w:rPr>
          <w:lang w:val="fr-CH"/>
        </w:rPr>
        <w:t xml:space="preserve"> (par télécopie). La direction a indiqué que, selon elle, la procédure actuelle est plus sûre que la procédure électronique et qu</w:t>
      </w:r>
      <w:r w:rsidR="000B7E88">
        <w:rPr>
          <w:lang w:val="fr-CH"/>
        </w:rPr>
        <w:t>'</w:t>
      </w:r>
      <w:r w:rsidR="0058641B">
        <w:rPr>
          <w:lang w:val="fr-CH"/>
        </w:rPr>
        <w:t xml:space="preserve">elle ne comptait donc pas mettre en </w:t>
      </w:r>
      <w:r w:rsidR="000B7E88">
        <w:rPr>
          <w:lang w:val="fr-CH"/>
        </w:rPr>
        <w:t>oe</w:t>
      </w:r>
      <w:r w:rsidR="0058641B">
        <w:rPr>
          <w:lang w:val="fr-CH"/>
        </w:rPr>
        <w:t>uvre la recommandation à l</w:t>
      </w:r>
      <w:r w:rsidR="000B7E88">
        <w:rPr>
          <w:lang w:val="fr-CH"/>
        </w:rPr>
        <w:t>'</w:t>
      </w:r>
      <w:r w:rsidR="0058641B">
        <w:rPr>
          <w:lang w:val="fr-CH"/>
        </w:rPr>
        <w:t xml:space="preserve">échelle globale. </w:t>
      </w:r>
    </w:p>
    <w:p w:rsidR="00903367" w:rsidRDefault="004020D6" w:rsidP="000B7E88">
      <w:pPr>
        <w:rPr>
          <w:lang w:val="fr-CH"/>
        </w:rPr>
      </w:pPr>
      <w:r>
        <w:rPr>
          <w:lang w:val="fr-CH"/>
        </w:rPr>
        <w:t>17</w:t>
      </w:r>
      <w:r w:rsidR="0058641B">
        <w:rPr>
          <w:lang w:val="fr-CH"/>
        </w:rPr>
        <w:tab/>
        <w:t xml:space="preserve">Globalement, pour le nombre limité de transactions annuelles traitées concernant des investissements, une </w:t>
      </w:r>
      <w:r w:rsidR="0058641B" w:rsidRPr="004020D6">
        <w:rPr>
          <w:i/>
          <w:iCs/>
          <w:lang w:val="fr-CH"/>
        </w:rPr>
        <w:t>assurance raisonnable</w:t>
      </w:r>
      <w:r w:rsidR="0058641B">
        <w:rPr>
          <w:lang w:val="fr-CH"/>
        </w:rPr>
        <w:t xml:space="preserve"> a été donnée au Secrétaire général que, concernant les processus liés à la trésorerie et aux investissements, les contrôles internes, la gestion des risques et les pratiques en matière de gouvernance</w:t>
      </w:r>
      <w:r w:rsidR="00903367">
        <w:rPr>
          <w:lang w:val="fr-CH"/>
        </w:rPr>
        <w:t xml:space="preserve"> fonctionnent.</w:t>
      </w:r>
    </w:p>
    <w:p w:rsidR="00D82C84" w:rsidRPr="00370124" w:rsidRDefault="00D82C84" w:rsidP="00477F15">
      <w:pPr>
        <w:pStyle w:val="Headingb"/>
        <w:spacing w:before="240"/>
        <w:rPr>
          <w:i/>
          <w:iCs/>
          <w:lang w:val="fr-CH"/>
        </w:rPr>
      </w:pPr>
      <w:r w:rsidRPr="00370124">
        <w:rPr>
          <w:i/>
          <w:iCs/>
          <w:lang w:val="fr-CH"/>
        </w:rPr>
        <w:t>D</w:t>
      </w:r>
      <w:r w:rsidRPr="00370124">
        <w:rPr>
          <w:i/>
          <w:iCs/>
          <w:lang w:val="fr-CH"/>
        </w:rPr>
        <w:tab/>
        <w:t>Cadre réglementaire interne de l</w:t>
      </w:r>
      <w:r w:rsidR="000B7E88" w:rsidRPr="00370124">
        <w:rPr>
          <w:i/>
          <w:iCs/>
          <w:lang w:val="fr-CH"/>
        </w:rPr>
        <w:t>'</w:t>
      </w:r>
      <w:r w:rsidRPr="00370124">
        <w:rPr>
          <w:i/>
          <w:iCs/>
          <w:lang w:val="fr-CH"/>
        </w:rPr>
        <w:t>UIT (ordres de service)</w:t>
      </w:r>
    </w:p>
    <w:p w:rsidR="000370F6" w:rsidRDefault="009C3ED3" w:rsidP="009C3ED3">
      <w:pPr>
        <w:rPr>
          <w:lang w:val="fr-CH"/>
        </w:rPr>
      </w:pPr>
      <w:r>
        <w:rPr>
          <w:lang w:val="fr-CH"/>
        </w:rPr>
        <w:t>18</w:t>
      </w:r>
      <w:r w:rsidR="00DD3472">
        <w:rPr>
          <w:lang w:val="fr-CH"/>
        </w:rPr>
        <w:tab/>
      </w:r>
      <w:r w:rsidR="007F1F86">
        <w:rPr>
          <w:lang w:val="fr-CH"/>
        </w:rPr>
        <w:t>L</w:t>
      </w:r>
      <w:r w:rsidR="000B7E88">
        <w:rPr>
          <w:lang w:val="fr-CH"/>
        </w:rPr>
        <w:t>'</w:t>
      </w:r>
      <w:r w:rsidR="007F1F86">
        <w:rPr>
          <w:lang w:val="fr-CH"/>
        </w:rPr>
        <w:t>objectif de cet audit avait été défini comme étant l</w:t>
      </w:r>
      <w:r w:rsidR="000B7E88">
        <w:rPr>
          <w:lang w:val="fr-CH"/>
        </w:rPr>
        <w:t>'</w:t>
      </w:r>
      <w:r w:rsidR="007F1F86">
        <w:rPr>
          <w:lang w:val="fr-CH"/>
        </w:rPr>
        <w:t>examen de l</w:t>
      </w:r>
      <w:r w:rsidR="000B7E88">
        <w:rPr>
          <w:lang w:val="fr-CH"/>
        </w:rPr>
        <w:t>'</w:t>
      </w:r>
      <w:r w:rsidR="007F1F86">
        <w:rPr>
          <w:lang w:val="fr-CH"/>
        </w:rPr>
        <w:t xml:space="preserve">exactitude </w:t>
      </w:r>
      <w:r>
        <w:rPr>
          <w:lang w:val="fr-CH"/>
        </w:rPr>
        <w:t xml:space="preserve">et </w:t>
      </w:r>
      <w:r w:rsidR="007F1F86">
        <w:rPr>
          <w:lang w:val="fr-CH"/>
        </w:rPr>
        <w:t>de la validité de tous les ordres de service</w:t>
      </w:r>
      <w:r w:rsidR="007F1F86">
        <w:rPr>
          <w:rStyle w:val="FootnoteReference"/>
          <w:lang w:val="fr-CH"/>
        </w:rPr>
        <w:footnoteReference w:id="5"/>
      </w:r>
      <w:r w:rsidR="007F1F86">
        <w:rPr>
          <w:lang w:val="fr-CH"/>
        </w:rPr>
        <w:t xml:space="preserve"> en vigueur</w:t>
      </w:r>
      <w:r>
        <w:rPr>
          <w:lang w:val="fr-CH"/>
        </w:rPr>
        <w:t>,</w:t>
      </w:r>
      <w:r w:rsidR="000370F6">
        <w:rPr>
          <w:lang w:val="fr-CH"/>
        </w:rPr>
        <w:t xml:space="preserve"> afin de déterminer s</w:t>
      </w:r>
      <w:r w:rsidR="000B7E88">
        <w:rPr>
          <w:lang w:val="fr-CH"/>
        </w:rPr>
        <w:t>'</w:t>
      </w:r>
      <w:r w:rsidR="000370F6">
        <w:rPr>
          <w:lang w:val="fr-CH"/>
        </w:rPr>
        <w:t xml:space="preserve">ils sont toujours </w:t>
      </w:r>
      <w:r>
        <w:rPr>
          <w:lang w:val="fr-CH"/>
        </w:rPr>
        <w:t>conformes aux règles en vigueur</w:t>
      </w:r>
      <w:r w:rsidR="000370F6">
        <w:rPr>
          <w:lang w:val="fr-CH"/>
        </w:rPr>
        <w:t xml:space="preserve"> et autres procédures applicables, ainsi qu</w:t>
      </w:r>
      <w:r w:rsidR="000B7E88">
        <w:rPr>
          <w:lang w:val="fr-CH"/>
        </w:rPr>
        <w:t>'</w:t>
      </w:r>
      <w:r w:rsidR="000370F6">
        <w:rPr>
          <w:lang w:val="fr-CH"/>
        </w:rPr>
        <w:t>aux bonnes pratiques. Lors de la phase de préparation de l</w:t>
      </w:r>
      <w:r w:rsidR="000B7E88">
        <w:rPr>
          <w:lang w:val="fr-CH"/>
        </w:rPr>
        <w:t>'</w:t>
      </w:r>
      <w:r w:rsidR="000370F6">
        <w:rPr>
          <w:lang w:val="fr-CH"/>
        </w:rPr>
        <w:t>audit, l</w:t>
      </w:r>
      <w:r w:rsidR="000B7E88">
        <w:rPr>
          <w:lang w:val="fr-CH"/>
        </w:rPr>
        <w:t>'</w:t>
      </w:r>
      <w:r>
        <w:rPr>
          <w:lang w:val="fr-CH"/>
        </w:rPr>
        <w:t>U</w:t>
      </w:r>
      <w:r w:rsidR="000370F6">
        <w:rPr>
          <w:lang w:val="fr-CH"/>
        </w:rPr>
        <w:t>nité de l</w:t>
      </w:r>
      <w:r w:rsidR="000B7E88">
        <w:rPr>
          <w:lang w:val="fr-CH"/>
        </w:rPr>
        <w:t>'</w:t>
      </w:r>
      <w:r w:rsidR="000370F6">
        <w:rPr>
          <w:lang w:val="fr-CH"/>
        </w:rPr>
        <w:t>audit interne a été informée que</w:t>
      </w:r>
      <w:r>
        <w:rPr>
          <w:lang w:val="fr-CH"/>
        </w:rPr>
        <w:t>, peu de temps auparavant, le Secrétaire général avait chargé</w:t>
      </w:r>
      <w:r w:rsidR="000370F6">
        <w:rPr>
          <w:lang w:val="fr-CH"/>
        </w:rPr>
        <w:t xml:space="preserve"> le Chef du Département de la gestion des ressources humaines (HRMD) de coordonner (et d</w:t>
      </w:r>
      <w:r w:rsidR="000B7E88">
        <w:rPr>
          <w:lang w:val="fr-CH"/>
        </w:rPr>
        <w:t>'</w:t>
      </w:r>
      <w:r w:rsidR="000370F6">
        <w:rPr>
          <w:lang w:val="fr-CH"/>
        </w:rPr>
        <w:t>effectuer) un examen d</w:t>
      </w:r>
      <w:r>
        <w:rPr>
          <w:lang w:val="fr-CH"/>
        </w:rPr>
        <w:t xml:space="preserve">es </w:t>
      </w:r>
      <w:r w:rsidR="000370F6">
        <w:rPr>
          <w:lang w:val="fr-CH"/>
        </w:rPr>
        <w:t>ordre</w:t>
      </w:r>
      <w:r>
        <w:rPr>
          <w:lang w:val="fr-CH"/>
        </w:rPr>
        <w:t>s</w:t>
      </w:r>
      <w:r w:rsidR="000370F6">
        <w:rPr>
          <w:lang w:val="fr-CH"/>
        </w:rPr>
        <w:t xml:space="preserve"> de service. L</w:t>
      </w:r>
      <w:r w:rsidR="000B7E88">
        <w:rPr>
          <w:lang w:val="fr-CH"/>
        </w:rPr>
        <w:t>'</w:t>
      </w:r>
      <w:r w:rsidR="000370F6">
        <w:rPr>
          <w:lang w:val="fr-CH"/>
        </w:rPr>
        <w:t>Unité de l</w:t>
      </w:r>
      <w:r w:rsidR="000B7E88">
        <w:rPr>
          <w:lang w:val="fr-CH"/>
        </w:rPr>
        <w:t>'</w:t>
      </w:r>
      <w:r w:rsidR="000370F6">
        <w:rPr>
          <w:lang w:val="fr-CH"/>
        </w:rPr>
        <w:t>audit interne a par conséquent réduit son travail d</w:t>
      </w:r>
      <w:r w:rsidR="000B7E88">
        <w:rPr>
          <w:lang w:val="fr-CH"/>
        </w:rPr>
        <w:t>'</w:t>
      </w:r>
      <w:r w:rsidR="000370F6">
        <w:rPr>
          <w:lang w:val="fr-CH"/>
        </w:rPr>
        <w:t>audit et publié une note d</w:t>
      </w:r>
      <w:r w:rsidR="000B7E88">
        <w:rPr>
          <w:lang w:val="fr-CH"/>
        </w:rPr>
        <w:t>'</w:t>
      </w:r>
      <w:r w:rsidR="00210244">
        <w:rPr>
          <w:lang w:val="fr-CH"/>
        </w:rPr>
        <w:t xml:space="preserve">audit </w:t>
      </w:r>
      <w:r w:rsidR="000370F6">
        <w:rPr>
          <w:lang w:val="fr-CH"/>
        </w:rPr>
        <w:t>i) pour décrire les travaux en cours (effectu</w:t>
      </w:r>
      <w:r>
        <w:rPr>
          <w:lang w:val="fr-CH"/>
        </w:rPr>
        <w:t>é</w:t>
      </w:r>
      <w:r w:rsidR="000370F6">
        <w:rPr>
          <w:lang w:val="fr-CH"/>
        </w:rPr>
        <w:t>s par les fonctionnaires compétents</w:t>
      </w:r>
      <w:r w:rsidR="00210244">
        <w:rPr>
          <w:lang w:val="fr-CH"/>
        </w:rPr>
        <w:t xml:space="preserve">) dans ce domaine et </w:t>
      </w:r>
      <w:r w:rsidR="000370F6">
        <w:rPr>
          <w:lang w:val="fr-CH"/>
        </w:rPr>
        <w:t>ii) pour évaluer les éventuels risques restants.</w:t>
      </w:r>
    </w:p>
    <w:p w:rsidR="009C2EC0" w:rsidRDefault="009C3ED3" w:rsidP="000B7E88">
      <w:pPr>
        <w:rPr>
          <w:lang w:val="fr-CH"/>
        </w:rPr>
      </w:pPr>
      <w:r>
        <w:rPr>
          <w:lang w:val="fr-CH"/>
        </w:rPr>
        <w:t>19</w:t>
      </w:r>
      <w:r w:rsidR="000370F6">
        <w:rPr>
          <w:lang w:val="fr-CH"/>
        </w:rPr>
        <w:tab/>
        <w:t>L</w:t>
      </w:r>
      <w:r w:rsidR="000B7E88">
        <w:rPr>
          <w:lang w:val="fr-CH"/>
        </w:rPr>
        <w:t>'</w:t>
      </w:r>
      <w:r w:rsidR="000370F6">
        <w:rPr>
          <w:lang w:val="fr-CH"/>
        </w:rPr>
        <w:t>Unité de l</w:t>
      </w:r>
      <w:r w:rsidR="000B7E88">
        <w:rPr>
          <w:lang w:val="fr-CH"/>
        </w:rPr>
        <w:t>'</w:t>
      </w:r>
      <w:r w:rsidR="000370F6">
        <w:rPr>
          <w:lang w:val="fr-CH"/>
        </w:rPr>
        <w:t>audit interne</w:t>
      </w:r>
      <w:r w:rsidR="009C2EC0">
        <w:rPr>
          <w:lang w:val="fr-CH"/>
        </w:rPr>
        <w:t xml:space="preserve"> a conclu</w:t>
      </w:r>
      <w:r w:rsidR="002851CA">
        <w:rPr>
          <w:lang w:val="fr-CH"/>
        </w:rPr>
        <w:t>:</w:t>
      </w:r>
    </w:p>
    <w:p w:rsidR="009C2EC0" w:rsidRDefault="009C3ED3" w:rsidP="009C3ED3">
      <w:pPr>
        <w:pStyle w:val="enumlev1"/>
        <w:rPr>
          <w:lang w:val="fr-CH"/>
        </w:rPr>
      </w:pPr>
      <w:r>
        <w:rPr>
          <w:lang w:val="fr-CH"/>
        </w:rPr>
        <w:t>i)</w:t>
      </w:r>
      <w:r w:rsidR="009C2EC0">
        <w:rPr>
          <w:lang w:val="fr-CH"/>
        </w:rPr>
        <w:tab/>
        <w:t>que des travaux d</w:t>
      </w:r>
      <w:r w:rsidR="000B7E88">
        <w:rPr>
          <w:lang w:val="fr-CH"/>
        </w:rPr>
        <w:t>'</w:t>
      </w:r>
      <w:r w:rsidR="009C2EC0">
        <w:rPr>
          <w:lang w:val="fr-CH"/>
        </w:rPr>
        <w:t>examen étaient en cours et qu</w:t>
      </w:r>
      <w:r w:rsidR="000B7E88">
        <w:rPr>
          <w:lang w:val="fr-CH"/>
        </w:rPr>
        <w:t>'</w:t>
      </w:r>
      <w:r w:rsidR="009C2EC0">
        <w:rPr>
          <w:lang w:val="fr-CH"/>
        </w:rPr>
        <w:t>à l</w:t>
      </w:r>
      <w:r w:rsidR="000B7E88">
        <w:rPr>
          <w:lang w:val="fr-CH"/>
        </w:rPr>
        <w:t>'</w:t>
      </w:r>
      <w:r w:rsidR="009C2EC0">
        <w:rPr>
          <w:lang w:val="fr-CH"/>
        </w:rPr>
        <w:t xml:space="preserve">issue de </w:t>
      </w:r>
      <w:r>
        <w:rPr>
          <w:lang w:val="fr-CH"/>
        </w:rPr>
        <w:t>c</w:t>
      </w:r>
      <w:r w:rsidR="009C2EC0">
        <w:rPr>
          <w:lang w:val="fr-CH"/>
        </w:rPr>
        <w:t>es travaux, le risque qu</w:t>
      </w:r>
      <w:r w:rsidR="000B7E88">
        <w:rPr>
          <w:lang w:val="fr-CH"/>
        </w:rPr>
        <w:t>'</w:t>
      </w:r>
      <w:r w:rsidR="009C2EC0">
        <w:rPr>
          <w:lang w:val="fr-CH"/>
        </w:rPr>
        <w:t>il existe des règlements/instruction</w:t>
      </w:r>
      <w:r>
        <w:rPr>
          <w:lang w:val="fr-CH"/>
        </w:rPr>
        <w:t>s</w:t>
      </w:r>
      <w:r w:rsidR="009C2EC0">
        <w:rPr>
          <w:lang w:val="fr-CH"/>
        </w:rPr>
        <w:t xml:space="preserve"> administrative</w:t>
      </w:r>
      <w:r>
        <w:rPr>
          <w:lang w:val="fr-CH"/>
        </w:rPr>
        <w:t>s</w:t>
      </w:r>
      <w:r w:rsidR="009C2EC0">
        <w:rPr>
          <w:lang w:val="fr-CH"/>
        </w:rPr>
        <w:t xml:space="preserve"> interne</w:t>
      </w:r>
      <w:r>
        <w:rPr>
          <w:lang w:val="fr-CH"/>
        </w:rPr>
        <w:t>s</w:t>
      </w:r>
      <w:r w:rsidR="009C2EC0">
        <w:rPr>
          <w:lang w:val="fr-CH"/>
        </w:rPr>
        <w:t xml:space="preserve"> inexacts aurait été atténué</w:t>
      </w:r>
      <w:r w:rsidR="002851CA">
        <w:rPr>
          <w:lang w:val="fr-CH"/>
        </w:rPr>
        <w:t>;</w:t>
      </w:r>
    </w:p>
    <w:p w:rsidR="009C2EC0" w:rsidRDefault="009C3ED3" w:rsidP="009C3ED3">
      <w:pPr>
        <w:pStyle w:val="enumlev1"/>
        <w:rPr>
          <w:lang w:val="fr-CH"/>
        </w:rPr>
      </w:pPr>
      <w:r>
        <w:rPr>
          <w:lang w:val="fr-CH"/>
        </w:rPr>
        <w:t>ii)</w:t>
      </w:r>
      <w:r>
        <w:rPr>
          <w:lang w:val="fr-CH"/>
        </w:rPr>
        <w:tab/>
      </w:r>
      <w:r w:rsidR="009C2EC0">
        <w:rPr>
          <w:lang w:val="fr-CH"/>
        </w:rPr>
        <w:t xml:space="preserve">que </w:t>
      </w:r>
      <w:r>
        <w:rPr>
          <w:lang w:val="fr-CH"/>
        </w:rPr>
        <w:t xml:space="preserve">l'Ordre de service 00/1 donne une </w:t>
      </w:r>
      <w:r w:rsidR="009C2EC0">
        <w:rPr>
          <w:lang w:val="fr-CH"/>
        </w:rPr>
        <w:t>définition d</w:t>
      </w:r>
      <w:r w:rsidR="000B7E88">
        <w:rPr>
          <w:lang w:val="fr-CH"/>
        </w:rPr>
        <w:t>'</w:t>
      </w:r>
      <w:r w:rsidR="009C2EC0">
        <w:rPr>
          <w:lang w:val="fr-CH"/>
        </w:rPr>
        <w:t xml:space="preserve">un </w:t>
      </w:r>
      <w:r>
        <w:rPr>
          <w:lang w:val="fr-CH"/>
        </w:rPr>
        <w:t>"</w:t>
      </w:r>
      <w:r w:rsidR="009C2EC0">
        <w:rPr>
          <w:lang w:val="fr-CH"/>
        </w:rPr>
        <w:t>ordre de service</w:t>
      </w:r>
      <w:r>
        <w:rPr>
          <w:lang w:val="fr-CH"/>
        </w:rPr>
        <w:t>"</w:t>
      </w:r>
      <w:r w:rsidR="009C2EC0">
        <w:rPr>
          <w:lang w:val="fr-CH"/>
        </w:rPr>
        <w:t xml:space="preserve"> (et </w:t>
      </w:r>
      <w:r>
        <w:rPr>
          <w:lang w:val="fr-CH"/>
        </w:rPr>
        <w:t xml:space="preserve">de </w:t>
      </w:r>
      <w:r w:rsidR="009C2EC0">
        <w:rPr>
          <w:lang w:val="fr-CH"/>
        </w:rPr>
        <w:t>la relation entre un ordre de service et une note de service)</w:t>
      </w:r>
      <w:r w:rsidR="002851CA">
        <w:rPr>
          <w:lang w:val="fr-CH"/>
        </w:rPr>
        <w:t>;</w:t>
      </w:r>
    </w:p>
    <w:p w:rsidR="0058641B" w:rsidRDefault="009C3ED3" w:rsidP="009C3ED3">
      <w:pPr>
        <w:pStyle w:val="enumlev1"/>
        <w:rPr>
          <w:lang w:val="fr-CH"/>
        </w:rPr>
      </w:pPr>
      <w:r>
        <w:rPr>
          <w:lang w:val="fr-CH"/>
        </w:rPr>
        <w:t>iii)</w:t>
      </w:r>
      <w:r>
        <w:rPr>
          <w:lang w:val="fr-CH"/>
        </w:rPr>
        <w:tab/>
      </w:r>
      <w:r w:rsidR="00B05ED0">
        <w:rPr>
          <w:lang w:val="fr-CH"/>
        </w:rPr>
        <w:t>que le rôle de gestion est intégré dans le processus grâce à un certain nombre de mécanismes d</w:t>
      </w:r>
      <w:r w:rsidR="000B7E88">
        <w:rPr>
          <w:lang w:val="fr-CH"/>
        </w:rPr>
        <w:t>'</w:t>
      </w:r>
      <w:r w:rsidR="00B05ED0">
        <w:rPr>
          <w:lang w:val="fr-CH"/>
        </w:rPr>
        <w:t>examen. Le travail d</w:t>
      </w:r>
      <w:r w:rsidR="000B7E88">
        <w:rPr>
          <w:lang w:val="fr-CH"/>
        </w:rPr>
        <w:t>'</w:t>
      </w:r>
      <w:r w:rsidR="00B05ED0">
        <w:rPr>
          <w:lang w:val="fr-CH"/>
        </w:rPr>
        <w:t xml:space="preserve">examen en cours, </w:t>
      </w:r>
      <w:r>
        <w:rPr>
          <w:lang w:val="fr-CH"/>
        </w:rPr>
        <w:t>dont</w:t>
      </w:r>
      <w:r w:rsidR="00B05ED0">
        <w:rPr>
          <w:lang w:val="fr-CH"/>
        </w:rPr>
        <w:t xml:space="preserve"> le suivi est assuré par le Chef du Département HRMD, le Conseiller juridique et </w:t>
      </w:r>
      <w:r>
        <w:rPr>
          <w:lang w:val="fr-CH"/>
        </w:rPr>
        <w:t>l</w:t>
      </w:r>
      <w:r w:rsidR="00B05ED0">
        <w:rPr>
          <w:lang w:val="fr-CH"/>
        </w:rPr>
        <w:t xml:space="preserve">e </w:t>
      </w:r>
      <w:r>
        <w:rPr>
          <w:lang w:val="fr-CH"/>
        </w:rPr>
        <w:t>S</w:t>
      </w:r>
      <w:r w:rsidR="00B05ED0">
        <w:rPr>
          <w:lang w:val="fr-CH"/>
        </w:rPr>
        <w:t>ervice de la bibliothèque</w:t>
      </w:r>
      <w:r>
        <w:rPr>
          <w:lang w:val="fr-CH"/>
        </w:rPr>
        <w:t>,</w:t>
      </w:r>
      <w:r w:rsidR="00B05ED0">
        <w:rPr>
          <w:lang w:val="fr-CH"/>
        </w:rPr>
        <w:t xml:space="preserve"> e</w:t>
      </w:r>
      <w:r>
        <w:rPr>
          <w:lang w:val="fr-CH"/>
        </w:rPr>
        <w:t>s</w:t>
      </w:r>
      <w:r w:rsidR="00B05ED0">
        <w:rPr>
          <w:lang w:val="fr-CH"/>
        </w:rPr>
        <w:t>t mené en étroite collaboration avec les responsables concernés.</w:t>
      </w:r>
    </w:p>
    <w:p w:rsidR="00B05ED0" w:rsidRDefault="00B05ED0" w:rsidP="009C3ED3">
      <w:pPr>
        <w:rPr>
          <w:lang w:val="fr-CH"/>
        </w:rPr>
      </w:pPr>
      <w:r>
        <w:rPr>
          <w:lang w:val="fr-CH"/>
        </w:rPr>
        <w:lastRenderedPageBreak/>
        <w:t xml:space="preserve">Il a été recommandé que le Département </w:t>
      </w:r>
      <w:r w:rsidR="009C3ED3">
        <w:rPr>
          <w:lang w:val="fr-CH"/>
        </w:rPr>
        <w:t>chargé</w:t>
      </w:r>
      <w:r>
        <w:rPr>
          <w:lang w:val="fr-CH"/>
        </w:rPr>
        <w:t xml:space="preserve"> de la coordination (HRMD) poursuive le suivi étroit du travail d</w:t>
      </w:r>
      <w:r w:rsidR="000B7E88">
        <w:rPr>
          <w:lang w:val="fr-CH"/>
        </w:rPr>
        <w:t>'</w:t>
      </w:r>
      <w:r>
        <w:rPr>
          <w:lang w:val="fr-CH"/>
        </w:rPr>
        <w:t>examen</w:t>
      </w:r>
      <w:r w:rsidR="009C3ED3">
        <w:rPr>
          <w:lang w:val="fr-CH"/>
        </w:rPr>
        <w:t>,</w:t>
      </w:r>
      <w:r>
        <w:rPr>
          <w:lang w:val="fr-CH"/>
        </w:rPr>
        <w:t xml:space="preserve"> afin de fournir au Secrétaire général l</w:t>
      </w:r>
      <w:r w:rsidR="000B7E88">
        <w:rPr>
          <w:lang w:val="fr-CH"/>
        </w:rPr>
        <w:t>'</w:t>
      </w:r>
      <w:r>
        <w:rPr>
          <w:lang w:val="fr-CH"/>
        </w:rPr>
        <w:t>assurance que le secrétariat de l</w:t>
      </w:r>
      <w:r w:rsidR="000B7E88">
        <w:rPr>
          <w:lang w:val="fr-CH"/>
        </w:rPr>
        <w:t>'</w:t>
      </w:r>
      <w:r>
        <w:rPr>
          <w:lang w:val="fr-CH"/>
        </w:rPr>
        <w:t>UIT dispose d</w:t>
      </w:r>
      <w:r w:rsidR="000B7E88">
        <w:rPr>
          <w:lang w:val="fr-CH"/>
        </w:rPr>
        <w:t>'</w:t>
      </w:r>
      <w:r>
        <w:rPr>
          <w:lang w:val="fr-CH"/>
        </w:rPr>
        <w:t xml:space="preserve">un ensemble à jour et </w:t>
      </w:r>
      <w:r w:rsidR="009C3ED3">
        <w:rPr>
          <w:lang w:val="fr-CH"/>
        </w:rPr>
        <w:t>correct</w:t>
      </w:r>
      <w:r>
        <w:rPr>
          <w:lang w:val="fr-CH"/>
        </w:rPr>
        <w:t xml:space="preserve"> de règle</w:t>
      </w:r>
      <w:r w:rsidR="009C3ED3">
        <w:rPr>
          <w:lang w:val="fr-CH"/>
        </w:rPr>
        <w:t>s</w:t>
      </w:r>
      <w:r>
        <w:rPr>
          <w:lang w:val="fr-CH"/>
        </w:rPr>
        <w:t xml:space="preserve"> interne</w:t>
      </w:r>
      <w:r w:rsidR="009C3ED3">
        <w:rPr>
          <w:lang w:val="fr-CH"/>
        </w:rPr>
        <w:t>s</w:t>
      </w:r>
      <w:r>
        <w:rPr>
          <w:lang w:val="fr-CH"/>
        </w:rPr>
        <w:t xml:space="preserve"> permettant une gouvernance judicieuse et efficace.</w:t>
      </w:r>
    </w:p>
    <w:p w:rsidR="00186F12" w:rsidRPr="00370124" w:rsidRDefault="009C3ED3" w:rsidP="00477F15">
      <w:pPr>
        <w:pStyle w:val="Headingb"/>
        <w:spacing w:before="240"/>
        <w:rPr>
          <w:i/>
          <w:iCs/>
          <w:lang w:val="fr-CH"/>
        </w:rPr>
      </w:pPr>
      <w:r w:rsidRPr="00370124">
        <w:rPr>
          <w:i/>
          <w:iCs/>
          <w:lang w:val="fr-CH"/>
        </w:rPr>
        <w:t>E</w:t>
      </w:r>
      <w:r w:rsidR="00186F12" w:rsidRPr="00370124">
        <w:rPr>
          <w:i/>
          <w:iCs/>
          <w:lang w:val="fr-CH"/>
        </w:rPr>
        <w:tab/>
        <w:t>Audit des licences de logiciels</w:t>
      </w:r>
    </w:p>
    <w:p w:rsidR="005537F5" w:rsidRDefault="009C3ED3" w:rsidP="00477F15">
      <w:pPr>
        <w:rPr>
          <w:lang w:val="fr-CH"/>
        </w:rPr>
      </w:pPr>
      <w:r>
        <w:rPr>
          <w:lang w:val="fr-CH"/>
        </w:rPr>
        <w:t>20</w:t>
      </w:r>
      <w:r w:rsidR="00186F12">
        <w:rPr>
          <w:lang w:val="fr-CH"/>
        </w:rPr>
        <w:tab/>
      </w:r>
      <w:r w:rsidR="00CC560A">
        <w:rPr>
          <w:lang w:val="fr-CH"/>
        </w:rPr>
        <w:t xml:space="preserve">Les </w:t>
      </w:r>
      <w:r w:rsidR="00CC560A" w:rsidRPr="001F6172">
        <w:rPr>
          <w:u w:val="single"/>
          <w:lang w:val="fr-CH"/>
        </w:rPr>
        <w:t>objectifs</w:t>
      </w:r>
      <w:r w:rsidR="00CC560A" w:rsidRPr="006A249C">
        <w:rPr>
          <w:lang w:val="fr-CH"/>
        </w:rPr>
        <w:t xml:space="preserve"> </w:t>
      </w:r>
      <w:r w:rsidR="00CC560A">
        <w:rPr>
          <w:lang w:val="fr-CH"/>
        </w:rPr>
        <w:t>de cet audit étaient</w:t>
      </w:r>
      <w:r w:rsidR="002851CA">
        <w:rPr>
          <w:lang w:val="fr-CH"/>
        </w:rPr>
        <w:t>:</w:t>
      </w:r>
      <w:r w:rsidR="00CC560A">
        <w:rPr>
          <w:lang w:val="fr-CH"/>
        </w:rPr>
        <w:t xml:space="preserve"> i)</w:t>
      </w:r>
      <w:r w:rsidR="005537F5">
        <w:rPr>
          <w:lang w:val="fr-CH"/>
        </w:rPr>
        <w:t xml:space="preserve"> d</w:t>
      </w:r>
      <w:r w:rsidR="000B7E88">
        <w:rPr>
          <w:lang w:val="fr-CH"/>
        </w:rPr>
        <w:t>'</w:t>
      </w:r>
      <w:r w:rsidR="005537F5">
        <w:rPr>
          <w:lang w:val="fr-CH"/>
        </w:rPr>
        <w:t>examiner et d</w:t>
      </w:r>
      <w:r w:rsidR="000B7E88">
        <w:rPr>
          <w:lang w:val="fr-CH"/>
        </w:rPr>
        <w:t>'</w:t>
      </w:r>
      <w:r w:rsidR="005537F5">
        <w:rPr>
          <w:lang w:val="fr-CH"/>
        </w:rPr>
        <w:t>évaluer le système d</w:t>
      </w:r>
      <w:r w:rsidR="000B7E88">
        <w:rPr>
          <w:lang w:val="fr-CH"/>
        </w:rPr>
        <w:t>'</w:t>
      </w:r>
      <w:r w:rsidR="005537F5">
        <w:rPr>
          <w:lang w:val="fr-CH"/>
        </w:rPr>
        <w:t xml:space="preserve">inventaire en place pour les licences </w:t>
      </w:r>
      <w:r>
        <w:rPr>
          <w:lang w:val="fr-CH"/>
        </w:rPr>
        <w:t xml:space="preserve">de </w:t>
      </w:r>
      <w:r w:rsidR="00477F15">
        <w:rPr>
          <w:lang w:val="fr-CH"/>
        </w:rPr>
        <w:t xml:space="preserve">logiciels, </w:t>
      </w:r>
      <w:r w:rsidR="005537F5">
        <w:rPr>
          <w:lang w:val="fr-CH"/>
        </w:rPr>
        <w:t>ii) d</w:t>
      </w:r>
      <w:r w:rsidR="000B7E88">
        <w:rPr>
          <w:lang w:val="fr-CH"/>
        </w:rPr>
        <w:t>'</w:t>
      </w:r>
      <w:r w:rsidR="005537F5">
        <w:rPr>
          <w:lang w:val="fr-CH"/>
        </w:rPr>
        <w:t xml:space="preserve">évaluer les contrôles internes </w:t>
      </w:r>
      <w:r>
        <w:rPr>
          <w:lang w:val="fr-CH"/>
        </w:rPr>
        <w:t>destinés</w:t>
      </w:r>
      <w:r w:rsidR="005537F5">
        <w:rPr>
          <w:lang w:val="fr-CH"/>
        </w:rPr>
        <w:t xml:space="preserve"> à empêcher ou à repérer les erreurs et </w:t>
      </w:r>
      <w:r>
        <w:rPr>
          <w:lang w:val="fr-CH"/>
        </w:rPr>
        <w:t>anomalies quant au fond,</w:t>
      </w:r>
      <w:r w:rsidR="005537F5">
        <w:rPr>
          <w:lang w:val="fr-CH"/>
        </w:rPr>
        <w:t xml:space="preserve"> ainsi que d</w:t>
      </w:r>
      <w:r w:rsidR="000B7E88">
        <w:rPr>
          <w:lang w:val="fr-CH"/>
        </w:rPr>
        <w:t>'</w:t>
      </w:r>
      <w:r w:rsidR="005537F5">
        <w:rPr>
          <w:lang w:val="fr-CH"/>
        </w:rPr>
        <w:t xml:space="preserve">évaluer si les politiques et </w:t>
      </w:r>
      <w:r>
        <w:rPr>
          <w:lang w:val="fr-CH"/>
        </w:rPr>
        <w:t xml:space="preserve">instructions </w:t>
      </w:r>
      <w:r w:rsidR="005537F5">
        <w:rPr>
          <w:lang w:val="fr-CH"/>
        </w:rPr>
        <w:t xml:space="preserve">donnent des </w:t>
      </w:r>
      <w:r>
        <w:rPr>
          <w:lang w:val="fr-CH"/>
        </w:rPr>
        <w:t>indications</w:t>
      </w:r>
      <w:r w:rsidR="005537F5">
        <w:rPr>
          <w:lang w:val="fr-CH"/>
        </w:rPr>
        <w:t xml:space="preserve"> suffisantes aux fonctionnaires pour éviter les risques sur le plan de la conformité et les risques économ</w:t>
      </w:r>
      <w:r w:rsidR="00477F15">
        <w:rPr>
          <w:lang w:val="fr-CH"/>
        </w:rPr>
        <w:t xml:space="preserve">iques, et </w:t>
      </w:r>
      <w:r w:rsidR="005537F5">
        <w:rPr>
          <w:lang w:val="fr-CH"/>
        </w:rPr>
        <w:t>iii) d</w:t>
      </w:r>
      <w:r w:rsidR="000B7E88">
        <w:rPr>
          <w:lang w:val="fr-CH"/>
        </w:rPr>
        <w:t>'</w:t>
      </w:r>
      <w:r w:rsidR="005537F5">
        <w:rPr>
          <w:lang w:val="fr-CH"/>
        </w:rPr>
        <w:t>évaluer comment l</w:t>
      </w:r>
      <w:r w:rsidR="000B7E88">
        <w:rPr>
          <w:lang w:val="fr-CH"/>
        </w:rPr>
        <w:t>'</w:t>
      </w:r>
      <w:r w:rsidR="005537F5">
        <w:rPr>
          <w:lang w:val="fr-CH"/>
        </w:rPr>
        <w:t>Union gère les logiciels conformément aux règles, politiques et procédures applicables.</w:t>
      </w:r>
      <w:r w:rsidR="005537F5" w:rsidRPr="005537F5">
        <w:rPr>
          <w:lang w:val="fr-CH"/>
        </w:rPr>
        <w:t xml:space="preserve"> </w:t>
      </w:r>
      <w:r w:rsidR="005537F5">
        <w:rPr>
          <w:lang w:val="fr-CH"/>
        </w:rPr>
        <w:t>L</w:t>
      </w:r>
      <w:r w:rsidR="000B7E88">
        <w:rPr>
          <w:lang w:val="fr-CH"/>
        </w:rPr>
        <w:t>'</w:t>
      </w:r>
      <w:r w:rsidR="005537F5">
        <w:rPr>
          <w:lang w:val="fr-CH"/>
        </w:rPr>
        <w:t>audit portait sur la période allant de janvier 2013 à décembre 2014.</w:t>
      </w:r>
    </w:p>
    <w:p w:rsidR="00210244" w:rsidRDefault="00210244" w:rsidP="000B7E88">
      <w:pPr>
        <w:rPr>
          <w:lang w:val="fr-CH"/>
        </w:rPr>
      </w:pPr>
      <w:r>
        <w:rPr>
          <w:lang w:val="fr-CH"/>
        </w:rPr>
        <w:br w:type="page"/>
      </w:r>
    </w:p>
    <w:p w:rsidR="00B05ED0" w:rsidRDefault="009C3ED3" w:rsidP="000B7E88">
      <w:pPr>
        <w:rPr>
          <w:lang w:val="fr-CH"/>
        </w:rPr>
      </w:pPr>
      <w:r>
        <w:rPr>
          <w:lang w:val="fr-CH"/>
        </w:rPr>
        <w:lastRenderedPageBreak/>
        <w:t>21</w:t>
      </w:r>
      <w:r w:rsidR="005537F5">
        <w:rPr>
          <w:lang w:val="fr-CH"/>
        </w:rPr>
        <w:tab/>
      </w:r>
      <w:r w:rsidR="009272F9" w:rsidRPr="000E75AA">
        <w:rPr>
          <w:lang w:val="fr-CH"/>
        </w:rPr>
        <w:t>Observations de l</w:t>
      </w:r>
      <w:r w:rsidR="000B7E88">
        <w:rPr>
          <w:lang w:val="fr-CH"/>
        </w:rPr>
        <w:t>'</w:t>
      </w:r>
      <w:r w:rsidR="009272F9" w:rsidRPr="000E75AA">
        <w:rPr>
          <w:lang w:val="fr-CH"/>
        </w:rPr>
        <w:t>Unité de l</w:t>
      </w:r>
      <w:r w:rsidR="000B7E88">
        <w:rPr>
          <w:lang w:val="fr-CH"/>
        </w:rPr>
        <w:t>'</w:t>
      </w:r>
      <w:r w:rsidR="009272F9" w:rsidRPr="000E75AA">
        <w:rPr>
          <w:lang w:val="fr-CH"/>
        </w:rPr>
        <w:t>audit interne, recommandations hautement prioritaires et commentaires de la direction</w:t>
      </w:r>
      <w:r w:rsidR="009272F9">
        <w:rPr>
          <w:lang w:val="fr-CH"/>
        </w:rPr>
        <w:t>:</w:t>
      </w:r>
    </w:p>
    <w:p w:rsidR="00817A3C" w:rsidRDefault="009C3ED3" w:rsidP="009C3ED3">
      <w:pPr>
        <w:pStyle w:val="enumlev1"/>
        <w:rPr>
          <w:lang w:val="fr-CH"/>
        </w:rPr>
      </w:pPr>
      <w:r>
        <w:rPr>
          <w:lang w:val="fr-CH"/>
        </w:rPr>
        <w:t>i)</w:t>
      </w:r>
      <w:r w:rsidR="00501B4C">
        <w:rPr>
          <w:lang w:val="fr-CH"/>
        </w:rPr>
        <w:tab/>
      </w:r>
      <w:r w:rsidR="00817A3C">
        <w:rPr>
          <w:lang w:val="fr-CH"/>
        </w:rPr>
        <w:t xml:space="preserve">Des politiques </w:t>
      </w:r>
      <w:r>
        <w:rPr>
          <w:lang w:val="fr-CH"/>
        </w:rPr>
        <w:t>et instructions</w:t>
      </w:r>
      <w:r w:rsidR="00817A3C">
        <w:rPr>
          <w:lang w:val="fr-CH"/>
        </w:rPr>
        <w:t xml:space="preserve"> supplémentaires concernant tous les types de logiciels devraient être fourni</w:t>
      </w:r>
      <w:r>
        <w:rPr>
          <w:lang w:val="fr-CH"/>
        </w:rPr>
        <w:t>es</w:t>
      </w:r>
      <w:r w:rsidR="00817A3C">
        <w:rPr>
          <w:lang w:val="fr-CH"/>
        </w:rPr>
        <w:t xml:space="preserve"> aux fonctionnaires de l</w:t>
      </w:r>
      <w:r w:rsidR="000B7E88">
        <w:rPr>
          <w:lang w:val="fr-CH"/>
        </w:rPr>
        <w:t>'</w:t>
      </w:r>
      <w:r w:rsidR="00817A3C">
        <w:rPr>
          <w:lang w:val="fr-CH"/>
        </w:rPr>
        <w:t>UIT</w:t>
      </w:r>
      <w:r>
        <w:rPr>
          <w:lang w:val="fr-CH"/>
        </w:rPr>
        <w:t>,</w:t>
      </w:r>
      <w:r w:rsidR="00817A3C">
        <w:rPr>
          <w:lang w:val="fr-CH"/>
        </w:rPr>
        <w:t xml:space="preserve"> afin d</w:t>
      </w:r>
      <w:r w:rsidR="000B7E88">
        <w:rPr>
          <w:lang w:val="fr-CH"/>
        </w:rPr>
        <w:t>'</w:t>
      </w:r>
      <w:r w:rsidR="00817A3C">
        <w:rPr>
          <w:lang w:val="fr-CH"/>
        </w:rPr>
        <w:t>atténuer les éventuels risques de non</w:t>
      </w:r>
      <w:r>
        <w:rPr>
          <w:lang w:val="fr-CH"/>
        </w:rPr>
        <w:t>-conformité avec les</w:t>
      </w:r>
      <w:r w:rsidR="00817A3C">
        <w:rPr>
          <w:lang w:val="fr-CH"/>
        </w:rPr>
        <w:t xml:space="preserve"> accords </w:t>
      </w:r>
      <w:r>
        <w:rPr>
          <w:lang w:val="fr-CH"/>
        </w:rPr>
        <w:t>de licence</w:t>
      </w:r>
      <w:r w:rsidR="00817A3C">
        <w:rPr>
          <w:lang w:val="fr-CH"/>
        </w:rPr>
        <w:t>. La direction a indiqué qu</w:t>
      </w:r>
      <w:r w:rsidR="000B7E88">
        <w:rPr>
          <w:lang w:val="fr-CH"/>
        </w:rPr>
        <w:t>'</w:t>
      </w:r>
      <w:r w:rsidR="00817A3C">
        <w:rPr>
          <w:lang w:val="fr-CH"/>
        </w:rPr>
        <w:t xml:space="preserve">en cas de doute, les utilisateurs </w:t>
      </w:r>
      <w:r>
        <w:rPr>
          <w:lang w:val="fr-CH"/>
        </w:rPr>
        <w:t>devraient</w:t>
      </w:r>
      <w:r w:rsidR="00817A3C">
        <w:rPr>
          <w:lang w:val="fr-CH"/>
        </w:rPr>
        <w:t xml:space="preserve"> s</w:t>
      </w:r>
      <w:r w:rsidR="000B7E88">
        <w:rPr>
          <w:lang w:val="fr-CH"/>
        </w:rPr>
        <w:t>'</w:t>
      </w:r>
      <w:r w:rsidR="00817A3C">
        <w:rPr>
          <w:lang w:val="fr-CH"/>
        </w:rPr>
        <w:t>adresser à l</w:t>
      </w:r>
      <w:r w:rsidR="000B7E88">
        <w:rPr>
          <w:lang w:val="fr-CH"/>
        </w:rPr>
        <w:t>'</w:t>
      </w:r>
      <w:r w:rsidR="00817A3C">
        <w:rPr>
          <w:lang w:val="fr-CH"/>
        </w:rPr>
        <w:t>Unité des affaires juridiques</w:t>
      </w:r>
      <w:r w:rsidR="006A249C">
        <w:rPr>
          <w:lang w:val="fr-CH"/>
        </w:rPr>
        <w:t>,</w:t>
      </w:r>
      <w:r w:rsidR="00817A3C">
        <w:rPr>
          <w:lang w:val="fr-CH"/>
        </w:rPr>
        <w:t xml:space="preserve"> afin de clarifier le sens des clauses figurant dans les licences concernées (y compris </w:t>
      </w:r>
      <w:r>
        <w:rPr>
          <w:lang w:val="fr-CH"/>
        </w:rPr>
        <w:t>concernant</w:t>
      </w:r>
      <w:r w:rsidR="00817A3C">
        <w:rPr>
          <w:lang w:val="fr-CH"/>
        </w:rPr>
        <w:t xml:space="preserve"> la </w:t>
      </w:r>
      <w:r>
        <w:rPr>
          <w:lang w:val="fr-CH"/>
        </w:rPr>
        <w:t>"</w:t>
      </w:r>
      <w:r w:rsidR="00817A3C">
        <w:rPr>
          <w:lang w:val="fr-CH"/>
        </w:rPr>
        <w:t>gratuité pour les utilisations non commerciales</w:t>
      </w:r>
      <w:r>
        <w:rPr>
          <w:lang w:val="fr-CH"/>
        </w:rPr>
        <w:t>"</w:t>
      </w:r>
      <w:r w:rsidR="00817A3C">
        <w:rPr>
          <w:lang w:val="fr-CH"/>
        </w:rPr>
        <w:t>).</w:t>
      </w:r>
    </w:p>
    <w:p w:rsidR="00501B4C" w:rsidRDefault="009C3ED3" w:rsidP="009C3ED3">
      <w:pPr>
        <w:pStyle w:val="enumlev1"/>
        <w:rPr>
          <w:lang w:val="fr-CH"/>
        </w:rPr>
      </w:pPr>
      <w:r>
        <w:rPr>
          <w:lang w:val="fr-CH"/>
        </w:rPr>
        <w:t>ii)</w:t>
      </w:r>
      <w:r>
        <w:rPr>
          <w:lang w:val="fr-CH"/>
        </w:rPr>
        <w:tab/>
      </w:r>
      <w:r w:rsidR="00817A3C">
        <w:rPr>
          <w:lang w:val="fr-CH"/>
        </w:rPr>
        <w:t>Le processus d</w:t>
      </w:r>
      <w:r w:rsidR="000B7E88">
        <w:rPr>
          <w:lang w:val="fr-CH"/>
        </w:rPr>
        <w:t>'</w:t>
      </w:r>
      <w:r w:rsidR="00817A3C">
        <w:rPr>
          <w:lang w:val="fr-CH"/>
        </w:rPr>
        <w:t>inventaire actuel n</w:t>
      </w:r>
      <w:r w:rsidR="000B7E88">
        <w:rPr>
          <w:lang w:val="fr-CH"/>
        </w:rPr>
        <w:t>'</w:t>
      </w:r>
      <w:r w:rsidR="00817A3C">
        <w:rPr>
          <w:lang w:val="fr-CH"/>
        </w:rPr>
        <w:t xml:space="preserve">est pas optimal. Le </w:t>
      </w:r>
      <w:r w:rsidR="0052340D">
        <w:rPr>
          <w:lang w:val="fr-CH"/>
        </w:rPr>
        <w:t>rapprochement</w:t>
      </w:r>
      <w:r w:rsidR="00817A3C">
        <w:rPr>
          <w:lang w:val="fr-CH"/>
        </w:rPr>
        <w:t xml:space="preserve"> effectué chaque année entre les données figurant dans le système SCCM (base de données du Département des services informatiques) et celles contenues dans le rapport sur les actifs informatiques de SAP (données fournies par le Département de la gestion des ressources financières) devrait être étayé par des documents, et éventuellement réalisé plus fréquemment en vue de faciliter le travail d</w:t>
      </w:r>
      <w:r w:rsidR="000B7E88">
        <w:rPr>
          <w:lang w:val="fr-CH"/>
        </w:rPr>
        <w:t>'</w:t>
      </w:r>
      <w:r w:rsidR="00817A3C">
        <w:rPr>
          <w:lang w:val="fr-CH"/>
        </w:rPr>
        <w:t>inventaire de fin d</w:t>
      </w:r>
      <w:r w:rsidR="000B7E88">
        <w:rPr>
          <w:lang w:val="fr-CH"/>
        </w:rPr>
        <w:t>'</w:t>
      </w:r>
      <w:r w:rsidR="00817A3C">
        <w:rPr>
          <w:lang w:val="fr-CH"/>
        </w:rPr>
        <w:t>année. La direction a indiqué qu</w:t>
      </w:r>
      <w:r w:rsidR="000B7E88">
        <w:rPr>
          <w:lang w:val="fr-CH"/>
        </w:rPr>
        <w:t>'</w:t>
      </w:r>
      <w:r w:rsidR="00817A3C">
        <w:rPr>
          <w:lang w:val="fr-CH"/>
        </w:rPr>
        <w:t xml:space="preserve">il est nécessaire que le </w:t>
      </w:r>
      <w:r w:rsidR="006A249C">
        <w:rPr>
          <w:lang w:val="fr-CH"/>
        </w:rPr>
        <w:t xml:space="preserve">Département </w:t>
      </w:r>
      <w:r w:rsidR="00817A3C">
        <w:rPr>
          <w:lang w:val="fr-CH"/>
        </w:rPr>
        <w:t>des services informatiques effectue</w:t>
      </w:r>
      <w:r w:rsidR="0052340D">
        <w:rPr>
          <w:lang w:val="fr-CH"/>
        </w:rPr>
        <w:t>, si nécessaire,</w:t>
      </w:r>
      <w:r w:rsidR="00817A3C">
        <w:rPr>
          <w:lang w:val="fr-CH"/>
        </w:rPr>
        <w:t xml:space="preserve"> les modifications </w:t>
      </w:r>
      <w:r w:rsidR="0052340D">
        <w:rPr>
          <w:lang w:val="fr-CH"/>
        </w:rPr>
        <w:t>requises</w:t>
      </w:r>
      <w:r w:rsidR="00817A3C">
        <w:rPr>
          <w:lang w:val="fr-CH"/>
        </w:rPr>
        <w:t>, qui</w:t>
      </w:r>
      <w:r w:rsidR="006A249C">
        <w:rPr>
          <w:lang w:val="fr-CH"/>
        </w:rPr>
        <w:t xml:space="preserve"> consistent</w:t>
      </w:r>
      <w:r w:rsidR="00817A3C">
        <w:rPr>
          <w:lang w:val="fr-CH"/>
        </w:rPr>
        <w:t xml:space="preserve"> pour l</w:t>
      </w:r>
      <w:r w:rsidR="000B7E88">
        <w:rPr>
          <w:lang w:val="fr-CH"/>
        </w:rPr>
        <w:t>'</w:t>
      </w:r>
      <w:r w:rsidR="00817A3C">
        <w:rPr>
          <w:lang w:val="fr-CH"/>
        </w:rPr>
        <w:t>essentiel à supprimer les logiciels qui ne sont pas utilisés ou qui ne sont plus pris en charge par les fournisseurs de technologies de l</w:t>
      </w:r>
      <w:r w:rsidR="000B7E88">
        <w:rPr>
          <w:lang w:val="fr-CH"/>
        </w:rPr>
        <w:t>'</w:t>
      </w:r>
      <w:r w:rsidR="00817A3C">
        <w:rPr>
          <w:lang w:val="fr-CH"/>
        </w:rPr>
        <w:t xml:space="preserve">information, et que la documentation relative </w:t>
      </w:r>
      <w:r w:rsidR="0052340D">
        <w:rPr>
          <w:lang w:val="fr-CH"/>
        </w:rPr>
        <w:t xml:space="preserve">au travail </w:t>
      </w:r>
      <w:r>
        <w:rPr>
          <w:lang w:val="fr-CH"/>
        </w:rPr>
        <w:t xml:space="preserve">annuel </w:t>
      </w:r>
      <w:r w:rsidR="0052340D">
        <w:rPr>
          <w:lang w:val="fr-CH"/>
        </w:rPr>
        <w:t xml:space="preserve">de rapprochement </w:t>
      </w:r>
      <w:r>
        <w:rPr>
          <w:lang w:val="fr-CH"/>
        </w:rPr>
        <w:t>des données concernant</w:t>
      </w:r>
      <w:r w:rsidR="0052340D">
        <w:rPr>
          <w:lang w:val="fr-CH"/>
        </w:rPr>
        <w:t xml:space="preserve"> les</w:t>
      </w:r>
      <w:r w:rsidR="00817A3C">
        <w:rPr>
          <w:lang w:val="fr-CH"/>
        </w:rPr>
        <w:t xml:space="preserve"> licences </w:t>
      </w:r>
      <w:r w:rsidR="009D4AC2">
        <w:rPr>
          <w:lang w:val="fr-CH"/>
        </w:rPr>
        <w:t xml:space="preserve">de </w:t>
      </w:r>
      <w:r w:rsidR="00817A3C">
        <w:rPr>
          <w:lang w:val="fr-CH"/>
        </w:rPr>
        <w:t>logiciel</w:t>
      </w:r>
      <w:r w:rsidR="009D4AC2">
        <w:rPr>
          <w:lang w:val="fr-CH"/>
        </w:rPr>
        <w:t>s</w:t>
      </w:r>
      <w:r w:rsidR="00817A3C">
        <w:rPr>
          <w:lang w:val="fr-CH"/>
        </w:rPr>
        <w:t xml:space="preserve"> </w:t>
      </w:r>
      <w:r>
        <w:rPr>
          <w:lang w:val="fr-CH"/>
        </w:rPr>
        <w:t>serait</w:t>
      </w:r>
      <w:r w:rsidR="00817A3C">
        <w:rPr>
          <w:lang w:val="fr-CH"/>
        </w:rPr>
        <w:t xml:space="preserve"> examinée et mise à jour.</w:t>
      </w:r>
    </w:p>
    <w:p w:rsidR="00F35F10" w:rsidRDefault="009C3ED3" w:rsidP="00D74890">
      <w:pPr>
        <w:pStyle w:val="enumlev1"/>
        <w:rPr>
          <w:lang w:val="fr-CH"/>
        </w:rPr>
      </w:pPr>
      <w:r>
        <w:rPr>
          <w:lang w:val="fr-CH"/>
        </w:rPr>
        <w:t>iii)</w:t>
      </w:r>
      <w:r>
        <w:rPr>
          <w:lang w:val="fr-CH"/>
        </w:rPr>
        <w:tab/>
      </w:r>
      <w:r w:rsidR="00F35F10">
        <w:rPr>
          <w:lang w:val="fr-CH"/>
        </w:rPr>
        <w:t xml:space="preserve">Un rapport qui permettrait un </w:t>
      </w:r>
      <w:r w:rsidR="00F35F10" w:rsidRPr="009C3ED3">
        <w:rPr>
          <w:i/>
          <w:iCs/>
          <w:lang w:val="fr-CH"/>
        </w:rPr>
        <w:t>classement</w:t>
      </w:r>
      <w:r w:rsidR="00F35F10">
        <w:rPr>
          <w:lang w:val="fr-CH"/>
        </w:rPr>
        <w:t xml:space="preserve"> par produit et par centre de coût dans le système SRM devrait être mis en place</w:t>
      </w:r>
      <w:r>
        <w:rPr>
          <w:lang w:val="fr-CH"/>
        </w:rPr>
        <w:t>,</w:t>
      </w:r>
      <w:r w:rsidR="00F35F10">
        <w:rPr>
          <w:lang w:val="fr-CH"/>
        </w:rPr>
        <w:t xml:space="preserve"> en vue d</w:t>
      </w:r>
      <w:r w:rsidR="000B7E88">
        <w:rPr>
          <w:lang w:val="fr-CH"/>
        </w:rPr>
        <w:t>'</w:t>
      </w:r>
      <w:r w:rsidR="00F35F10">
        <w:rPr>
          <w:lang w:val="fr-CH"/>
        </w:rPr>
        <w:t>atténuer le risque d</w:t>
      </w:r>
      <w:r w:rsidR="000B7E88">
        <w:rPr>
          <w:lang w:val="fr-CH"/>
        </w:rPr>
        <w:t>'</w:t>
      </w:r>
      <w:r w:rsidR="00F35F10">
        <w:rPr>
          <w:lang w:val="fr-CH"/>
        </w:rPr>
        <w:t>inscriptions à l</w:t>
      </w:r>
      <w:r w:rsidR="000B7E88">
        <w:rPr>
          <w:lang w:val="fr-CH"/>
        </w:rPr>
        <w:t>'</w:t>
      </w:r>
      <w:r w:rsidR="00F35F10">
        <w:rPr>
          <w:lang w:val="fr-CH"/>
        </w:rPr>
        <w:t xml:space="preserve">inventaire incomplètes et de </w:t>
      </w:r>
      <w:r w:rsidR="00D74890">
        <w:rPr>
          <w:lang w:val="fr-CH"/>
        </w:rPr>
        <w:t>non-</w:t>
      </w:r>
      <w:r w:rsidR="00F35F10">
        <w:rPr>
          <w:lang w:val="fr-CH"/>
        </w:rPr>
        <w:t>conformité des logiciels. L</w:t>
      </w:r>
      <w:r w:rsidR="000B7E88">
        <w:rPr>
          <w:lang w:val="fr-CH"/>
        </w:rPr>
        <w:t>'</w:t>
      </w:r>
      <w:r w:rsidR="00F35F10">
        <w:rPr>
          <w:lang w:val="fr-CH"/>
        </w:rPr>
        <w:t xml:space="preserve">inventaire SCCM devrait être publié afin </w:t>
      </w:r>
      <w:r w:rsidR="00D74890">
        <w:rPr>
          <w:lang w:val="fr-CH"/>
        </w:rPr>
        <w:t>d'effectuer le rapprochement des données</w:t>
      </w:r>
      <w:r w:rsidR="00F35F10">
        <w:rPr>
          <w:lang w:val="fr-CH"/>
        </w:rPr>
        <w:t xml:space="preserve"> et le rapprochement annuel pour les licences de logiciels devrait être étayé par des documents. La direction a indiqué que l</w:t>
      </w:r>
      <w:r w:rsidR="000B7E88">
        <w:rPr>
          <w:lang w:val="fr-CH"/>
        </w:rPr>
        <w:t>'</w:t>
      </w:r>
      <w:r w:rsidR="00F35F10">
        <w:rPr>
          <w:lang w:val="fr-CH"/>
        </w:rPr>
        <w:t>UIT n</w:t>
      </w:r>
      <w:r w:rsidR="000B7E88">
        <w:rPr>
          <w:lang w:val="fr-CH"/>
        </w:rPr>
        <w:t>'</w:t>
      </w:r>
      <w:r w:rsidR="00F35F10">
        <w:rPr>
          <w:lang w:val="fr-CH"/>
        </w:rPr>
        <w:t>utilisait jamais de code</w:t>
      </w:r>
      <w:r w:rsidR="00D74890">
        <w:rPr>
          <w:lang w:val="fr-CH"/>
        </w:rPr>
        <w:t>s</w:t>
      </w:r>
      <w:r w:rsidR="00F35F10">
        <w:rPr>
          <w:lang w:val="fr-CH"/>
        </w:rPr>
        <w:t xml:space="preserve"> produit</w:t>
      </w:r>
      <w:r w:rsidR="00D74890">
        <w:rPr>
          <w:lang w:val="fr-CH"/>
        </w:rPr>
        <w:t>s</w:t>
      </w:r>
      <w:r w:rsidR="00F35F10">
        <w:rPr>
          <w:lang w:val="fr-CH"/>
        </w:rPr>
        <w:t xml:space="preserve"> détaillé</w:t>
      </w:r>
      <w:r w:rsidR="00D74890">
        <w:rPr>
          <w:lang w:val="fr-CH"/>
        </w:rPr>
        <w:t>s</w:t>
      </w:r>
      <w:r w:rsidR="00F35F10">
        <w:rPr>
          <w:lang w:val="fr-CH"/>
        </w:rPr>
        <w:t xml:space="preserve"> (par exemple</w:t>
      </w:r>
      <w:r w:rsidR="00D74890">
        <w:rPr>
          <w:lang w:val="fr-CH"/>
        </w:rPr>
        <w:t>,</w:t>
      </w:r>
      <w:r w:rsidR="00F35F10">
        <w:rPr>
          <w:lang w:val="fr-CH"/>
        </w:rPr>
        <w:t xml:space="preserve"> code</w:t>
      </w:r>
      <w:r w:rsidR="00D74890">
        <w:rPr>
          <w:lang w:val="fr-CH"/>
        </w:rPr>
        <w:t>s</w:t>
      </w:r>
      <w:r w:rsidR="00F35F10">
        <w:rPr>
          <w:lang w:val="fr-CH"/>
        </w:rPr>
        <w:t xml:space="preserve"> UNSPSC) plus précis que ceux correspondant à la rubrique très générique Product Categories (anciennement Material Groups) utilisés dans le système ERP SAP et que les droits de licence figurent sous la rubrique générique S341E </w:t>
      </w:r>
      <w:r w:rsidR="00D74890">
        <w:rPr>
          <w:lang w:val="fr-CH"/>
        </w:rPr>
        <w:t>"</w:t>
      </w:r>
      <w:r w:rsidR="00F35F10">
        <w:rPr>
          <w:lang w:val="fr-CH"/>
        </w:rPr>
        <w:t xml:space="preserve">Rental </w:t>
      </w:r>
      <w:r w:rsidR="00D74890" w:rsidRPr="00D74890">
        <w:rPr>
          <w:lang w:val="fr-CH"/>
        </w:rPr>
        <w:t>–</w:t>
      </w:r>
      <w:r w:rsidR="00F35F10">
        <w:rPr>
          <w:lang w:val="fr-CH"/>
        </w:rPr>
        <w:t xml:space="preserve"> computer systems</w:t>
      </w:r>
      <w:r w:rsidR="00D74890">
        <w:rPr>
          <w:lang w:val="fr-CH"/>
        </w:rPr>
        <w:t>"</w:t>
      </w:r>
      <w:r w:rsidR="00F35F10">
        <w:rPr>
          <w:lang w:val="fr-CH"/>
        </w:rPr>
        <w:t xml:space="preserve"> (Location </w:t>
      </w:r>
      <w:r w:rsidR="00D74890" w:rsidRPr="00D74890">
        <w:rPr>
          <w:lang w:val="fr-CH"/>
        </w:rPr>
        <w:t>–</w:t>
      </w:r>
      <w:r w:rsidR="00D74890">
        <w:rPr>
          <w:lang w:val="fr-CH"/>
        </w:rPr>
        <w:t xml:space="preserve"> </w:t>
      </w:r>
      <w:r w:rsidR="00F35F10">
        <w:rPr>
          <w:lang w:val="fr-CH"/>
        </w:rPr>
        <w:t>systèmes informatiques)</w:t>
      </w:r>
      <w:r w:rsidR="009F36E6">
        <w:rPr>
          <w:lang w:val="fr-CH"/>
        </w:rPr>
        <w:t>,</w:t>
      </w:r>
      <w:r w:rsidR="00F35F10">
        <w:rPr>
          <w:lang w:val="fr-CH"/>
        </w:rPr>
        <w:t xml:space="preserve"> qui a été créé au départ pour la location</w:t>
      </w:r>
      <w:r w:rsidR="00D74890">
        <w:rPr>
          <w:lang w:val="fr-CH"/>
        </w:rPr>
        <w:t xml:space="preserve"> effective</w:t>
      </w:r>
      <w:r w:rsidR="00F35F10">
        <w:rPr>
          <w:lang w:val="fr-CH"/>
        </w:rPr>
        <w:t xml:space="preserve"> </w:t>
      </w:r>
      <w:r w:rsidR="00D74890">
        <w:rPr>
          <w:lang w:val="fr-CH"/>
        </w:rPr>
        <w:t>d'équipements informatiques</w:t>
      </w:r>
      <w:r w:rsidR="00F35F10">
        <w:rPr>
          <w:lang w:val="fr-CH"/>
        </w:rPr>
        <w:t xml:space="preserve"> pour les manifestations Telecom. La direction a en outre indiqué que cette discussion pourrait concerner le plan comptable.</w:t>
      </w:r>
    </w:p>
    <w:p w:rsidR="00EE403F" w:rsidRDefault="009C3ED3" w:rsidP="00D74890">
      <w:pPr>
        <w:pStyle w:val="enumlev1"/>
        <w:rPr>
          <w:lang w:val="fr-CH"/>
        </w:rPr>
      </w:pPr>
      <w:r>
        <w:rPr>
          <w:lang w:val="fr-CH"/>
        </w:rPr>
        <w:t>iv)</w:t>
      </w:r>
      <w:r>
        <w:rPr>
          <w:lang w:val="fr-CH"/>
        </w:rPr>
        <w:tab/>
      </w:r>
      <w:r w:rsidR="00F35F10">
        <w:rPr>
          <w:lang w:val="fr-CH"/>
        </w:rPr>
        <w:t>L</w:t>
      </w:r>
      <w:r w:rsidR="000B7E88">
        <w:rPr>
          <w:lang w:val="fr-CH"/>
        </w:rPr>
        <w:t>'</w:t>
      </w:r>
      <w:r w:rsidR="00F35F10">
        <w:rPr>
          <w:lang w:val="fr-CH"/>
        </w:rPr>
        <w:t>achat de logiciels en ligne avec la carte de crédit de l</w:t>
      </w:r>
      <w:r w:rsidR="000B7E88">
        <w:rPr>
          <w:lang w:val="fr-CH"/>
        </w:rPr>
        <w:t>'</w:t>
      </w:r>
      <w:r w:rsidR="00F35F10">
        <w:rPr>
          <w:lang w:val="fr-CH"/>
        </w:rPr>
        <w:t xml:space="preserve">UIT devrait </w:t>
      </w:r>
      <w:r w:rsidR="00D74890">
        <w:rPr>
          <w:lang w:val="fr-CH"/>
        </w:rPr>
        <w:t>se faire selon</w:t>
      </w:r>
      <w:r w:rsidR="00EE403F">
        <w:rPr>
          <w:lang w:val="fr-CH"/>
        </w:rPr>
        <w:t xml:space="preserve"> le processus </w:t>
      </w:r>
      <w:r w:rsidR="00D74890">
        <w:rPr>
          <w:lang w:val="fr-CH"/>
        </w:rPr>
        <w:t xml:space="preserve">appliqué </w:t>
      </w:r>
      <w:r w:rsidR="00EE403F">
        <w:rPr>
          <w:lang w:val="fr-CH"/>
        </w:rPr>
        <w:t>habituel</w:t>
      </w:r>
      <w:r w:rsidR="00D74890">
        <w:rPr>
          <w:lang w:val="fr-CH"/>
        </w:rPr>
        <w:t>lement</w:t>
      </w:r>
      <w:r w:rsidR="00EE403F">
        <w:rPr>
          <w:lang w:val="fr-CH"/>
        </w:rPr>
        <w:t xml:space="preserve"> pour les achats et être évité autant que faire se peut (lorsqu</w:t>
      </w:r>
      <w:r w:rsidR="000B7E88">
        <w:rPr>
          <w:lang w:val="fr-CH"/>
        </w:rPr>
        <w:t>'</w:t>
      </w:r>
      <w:r w:rsidR="00EE403F">
        <w:rPr>
          <w:lang w:val="fr-CH"/>
        </w:rPr>
        <w:t>aucun autre moyen de paiement ne peut être utilisé)</w:t>
      </w:r>
      <w:r w:rsidR="00D74890">
        <w:rPr>
          <w:lang w:val="fr-CH"/>
        </w:rPr>
        <w:t>,</w:t>
      </w:r>
      <w:r w:rsidR="00EE403F">
        <w:rPr>
          <w:lang w:val="fr-CH"/>
        </w:rPr>
        <w:t xml:space="preserve"> afin d</w:t>
      </w:r>
      <w:r w:rsidR="000B7E88">
        <w:rPr>
          <w:lang w:val="fr-CH"/>
        </w:rPr>
        <w:t>'</w:t>
      </w:r>
      <w:r w:rsidR="00EE403F">
        <w:rPr>
          <w:lang w:val="fr-CH"/>
        </w:rPr>
        <w:t>atténuer le risque économique pour l</w:t>
      </w:r>
      <w:r w:rsidR="000B7E88">
        <w:rPr>
          <w:lang w:val="fr-CH"/>
        </w:rPr>
        <w:t>'</w:t>
      </w:r>
      <w:r w:rsidR="00EE403F">
        <w:rPr>
          <w:lang w:val="fr-CH"/>
        </w:rPr>
        <w:t xml:space="preserve">Union. Il conviendrait de déterminer dans quelle mesure il </w:t>
      </w:r>
      <w:r w:rsidR="00D74890">
        <w:rPr>
          <w:lang w:val="fr-CH"/>
        </w:rPr>
        <w:t>serait</w:t>
      </w:r>
      <w:r w:rsidR="00EE403F">
        <w:rPr>
          <w:lang w:val="fr-CH"/>
        </w:rPr>
        <w:t xml:space="preserve"> possible d</w:t>
      </w:r>
      <w:r w:rsidR="000B7E88">
        <w:rPr>
          <w:lang w:val="fr-CH"/>
        </w:rPr>
        <w:t>'</w:t>
      </w:r>
      <w:r w:rsidR="00EE403F">
        <w:rPr>
          <w:lang w:val="fr-CH"/>
        </w:rPr>
        <w:t>intégrer les achats par carte de crédit dans le système SRM</w:t>
      </w:r>
      <w:r w:rsidR="00D74890">
        <w:rPr>
          <w:lang w:val="fr-CH"/>
        </w:rPr>
        <w:t>,</w:t>
      </w:r>
      <w:r w:rsidR="00EE403F">
        <w:rPr>
          <w:lang w:val="fr-CH"/>
        </w:rPr>
        <w:t xml:space="preserve"> et d</w:t>
      </w:r>
      <w:r w:rsidR="000B7E88">
        <w:rPr>
          <w:lang w:val="fr-CH"/>
        </w:rPr>
        <w:t>'</w:t>
      </w:r>
      <w:r w:rsidR="00EE403F">
        <w:rPr>
          <w:lang w:val="fr-CH"/>
        </w:rPr>
        <w:t>évaluer l</w:t>
      </w:r>
      <w:r w:rsidR="000B7E88">
        <w:rPr>
          <w:lang w:val="fr-CH"/>
        </w:rPr>
        <w:t>'</w:t>
      </w:r>
      <w:r w:rsidR="00EE403F">
        <w:rPr>
          <w:lang w:val="fr-CH"/>
        </w:rPr>
        <w:t>efficacité économique d</w:t>
      </w:r>
      <w:r w:rsidR="000B7E88">
        <w:rPr>
          <w:lang w:val="fr-CH"/>
        </w:rPr>
        <w:t>'</w:t>
      </w:r>
      <w:r w:rsidR="00EE403F">
        <w:rPr>
          <w:lang w:val="fr-CH"/>
        </w:rPr>
        <w:t>une telle mesure. La direction a souscrit à ces recommandations, tout en soulignant qu</w:t>
      </w:r>
      <w:r w:rsidR="000B7E88">
        <w:rPr>
          <w:lang w:val="fr-CH"/>
        </w:rPr>
        <w:t>'</w:t>
      </w:r>
      <w:r w:rsidR="00EE403F">
        <w:rPr>
          <w:lang w:val="fr-CH"/>
        </w:rPr>
        <w:t>elle estimait que le recours à des achats par carte de crédit était déjà limité au maximum.</w:t>
      </w:r>
    </w:p>
    <w:p w:rsidR="00C63470" w:rsidRDefault="009C3ED3" w:rsidP="00D74890">
      <w:pPr>
        <w:pStyle w:val="enumlev1"/>
        <w:rPr>
          <w:lang w:val="fr-CH"/>
        </w:rPr>
      </w:pPr>
      <w:r>
        <w:rPr>
          <w:lang w:val="fr-CH"/>
        </w:rPr>
        <w:t>v)</w:t>
      </w:r>
      <w:r>
        <w:rPr>
          <w:lang w:val="fr-CH"/>
        </w:rPr>
        <w:tab/>
      </w:r>
      <w:r w:rsidR="00EE403F">
        <w:rPr>
          <w:lang w:val="fr-CH"/>
        </w:rPr>
        <w:t>L</w:t>
      </w:r>
      <w:r w:rsidR="000B7E88">
        <w:rPr>
          <w:lang w:val="fr-CH"/>
        </w:rPr>
        <w:t>'</w:t>
      </w:r>
      <w:r w:rsidR="00EE403F">
        <w:rPr>
          <w:lang w:val="fr-CH"/>
        </w:rPr>
        <w:t>Unité de l</w:t>
      </w:r>
      <w:r w:rsidR="000B7E88">
        <w:rPr>
          <w:lang w:val="fr-CH"/>
        </w:rPr>
        <w:t>'</w:t>
      </w:r>
      <w:r w:rsidR="00EE403F">
        <w:rPr>
          <w:lang w:val="fr-CH"/>
        </w:rPr>
        <w:t xml:space="preserve">audit interne </w:t>
      </w:r>
      <w:r w:rsidR="00D74890">
        <w:rPr>
          <w:lang w:val="fr-CH"/>
        </w:rPr>
        <w:t>a</w:t>
      </w:r>
      <w:r w:rsidR="00EE403F">
        <w:rPr>
          <w:lang w:val="fr-CH"/>
        </w:rPr>
        <w:t xml:space="preserve"> not</w:t>
      </w:r>
      <w:r w:rsidR="00D74890">
        <w:rPr>
          <w:lang w:val="fr-CH"/>
        </w:rPr>
        <w:t>é</w:t>
      </w:r>
      <w:r w:rsidR="00EE403F">
        <w:rPr>
          <w:lang w:val="fr-CH"/>
        </w:rPr>
        <w:t xml:space="preserve"> que des contrôles de sécurité </w:t>
      </w:r>
      <w:r w:rsidR="00E67A70">
        <w:rPr>
          <w:lang w:val="fr-CH"/>
        </w:rPr>
        <w:t>m</w:t>
      </w:r>
      <w:r w:rsidR="00EE403F">
        <w:rPr>
          <w:lang w:val="fr-CH"/>
        </w:rPr>
        <w:t>ulti-couches sont en place pour minimiser les risques pour l</w:t>
      </w:r>
      <w:r w:rsidR="000B7E88">
        <w:rPr>
          <w:lang w:val="fr-CH"/>
        </w:rPr>
        <w:t>'</w:t>
      </w:r>
      <w:r w:rsidR="00EE403F">
        <w:rPr>
          <w:lang w:val="fr-CH"/>
        </w:rPr>
        <w:t xml:space="preserve">Union. </w:t>
      </w:r>
      <w:r w:rsidR="00D74890">
        <w:rPr>
          <w:lang w:val="fr-CH"/>
        </w:rPr>
        <w:t>Toutefois, il faudrait mettre en place l</w:t>
      </w:r>
      <w:r w:rsidR="000B7E88">
        <w:rPr>
          <w:lang w:val="fr-CH"/>
        </w:rPr>
        <w:t>'</w:t>
      </w:r>
      <w:r w:rsidR="00EE403F">
        <w:rPr>
          <w:lang w:val="fr-CH"/>
        </w:rPr>
        <w:t>outil d</w:t>
      </w:r>
      <w:r w:rsidR="000B7E88">
        <w:rPr>
          <w:lang w:val="fr-CH"/>
        </w:rPr>
        <w:t>'</w:t>
      </w:r>
      <w:r w:rsidR="00EE403F">
        <w:rPr>
          <w:lang w:val="fr-CH"/>
        </w:rPr>
        <w:t>alerte sur le système SCCM</w:t>
      </w:r>
      <w:r w:rsidR="00C63470">
        <w:rPr>
          <w:lang w:val="fr-CH"/>
        </w:rPr>
        <w:t xml:space="preserve"> concernant les </w:t>
      </w:r>
      <w:r w:rsidR="00C63470">
        <w:rPr>
          <w:lang w:val="fr-CH"/>
        </w:rPr>
        <w:lastRenderedPageBreak/>
        <w:t xml:space="preserve">logiciels </w:t>
      </w:r>
      <w:r w:rsidR="00D74890">
        <w:rPr>
          <w:lang w:val="fr-CH"/>
        </w:rPr>
        <w:t xml:space="preserve">pouvant impliquer </w:t>
      </w:r>
      <w:r w:rsidR="00C63470">
        <w:rPr>
          <w:lang w:val="fr-CH"/>
        </w:rPr>
        <w:t>un risque s</w:t>
      </w:r>
      <w:r w:rsidR="000B7E88">
        <w:rPr>
          <w:lang w:val="fr-CH"/>
        </w:rPr>
        <w:t>'</w:t>
      </w:r>
      <w:r w:rsidR="00C63470">
        <w:rPr>
          <w:lang w:val="fr-CH"/>
        </w:rPr>
        <w:t>ils sont téléchargés individuellement sur les ordinateurs des utilisateurs</w:t>
      </w:r>
      <w:r w:rsidR="00D74890">
        <w:rPr>
          <w:lang w:val="fr-CH"/>
        </w:rPr>
        <w:t>,</w:t>
      </w:r>
      <w:r w:rsidR="00C63470">
        <w:rPr>
          <w:lang w:val="fr-CH"/>
        </w:rPr>
        <w:t xml:space="preserve"> </w:t>
      </w:r>
      <w:r w:rsidR="00D74890">
        <w:rPr>
          <w:lang w:val="fr-CH"/>
        </w:rPr>
        <w:t>afin</w:t>
      </w:r>
      <w:r w:rsidR="00C63470">
        <w:rPr>
          <w:lang w:val="fr-CH"/>
        </w:rPr>
        <w:t xml:space="preserve"> </w:t>
      </w:r>
      <w:r w:rsidR="00D74890">
        <w:rPr>
          <w:lang w:val="fr-CH"/>
        </w:rPr>
        <w:t>d'</w:t>
      </w:r>
      <w:r w:rsidR="00C63470">
        <w:rPr>
          <w:lang w:val="fr-CH"/>
        </w:rPr>
        <w:t>atténuer les risques en matière de conformité</w:t>
      </w:r>
      <w:r w:rsidR="00D74890">
        <w:rPr>
          <w:lang w:val="fr-CH"/>
        </w:rPr>
        <w:t xml:space="preserve"> et</w:t>
      </w:r>
      <w:r w:rsidR="00C63470">
        <w:rPr>
          <w:lang w:val="fr-CH"/>
        </w:rPr>
        <w:t xml:space="preserve"> de sécurité </w:t>
      </w:r>
      <w:r w:rsidR="00D74890">
        <w:rPr>
          <w:lang w:val="fr-CH"/>
        </w:rPr>
        <w:t>liés au fait que des</w:t>
      </w:r>
      <w:r w:rsidR="00C63470">
        <w:rPr>
          <w:lang w:val="fr-CH"/>
        </w:rPr>
        <w:t xml:space="preserve"> utilisateurs </w:t>
      </w:r>
      <w:r w:rsidR="00D74890">
        <w:rPr>
          <w:lang w:val="fr-CH"/>
        </w:rPr>
        <w:t>"</w:t>
      </w:r>
      <w:r w:rsidR="00C63470">
        <w:rPr>
          <w:lang w:val="fr-CH"/>
        </w:rPr>
        <w:t>lambda</w:t>
      </w:r>
      <w:r w:rsidR="00D74890">
        <w:rPr>
          <w:lang w:val="fr-CH"/>
        </w:rPr>
        <w:t>" peuvent avoir des droits d'administrateur</w:t>
      </w:r>
      <w:r w:rsidR="00C63470">
        <w:rPr>
          <w:lang w:val="fr-CH"/>
        </w:rPr>
        <w:t>. La direction a indiqué qu</w:t>
      </w:r>
      <w:r w:rsidR="000B7E88">
        <w:rPr>
          <w:lang w:val="fr-CH"/>
        </w:rPr>
        <w:t>'</w:t>
      </w:r>
      <w:r w:rsidR="00C63470">
        <w:rPr>
          <w:lang w:val="fr-CH"/>
        </w:rPr>
        <w:t>elle renforcerait la surveillance des logiciels que les fonctionnaires installent sur leurs ordinateurs.</w:t>
      </w:r>
    </w:p>
    <w:p w:rsidR="00ED703F" w:rsidRDefault="00D74890" w:rsidP="00D74890">
      <w:pPr>
        <w:rPr>
          <w:lang w:val="fr-CH"/>
        </w:rPr>
      </w:pPr>
      <w:r>
        <w:rPr>
          <w:lang w:val="fr-CH"/>
        </w:rPr>
        <w:t>22</w:t>
      </w:r>
      <w:r w:rsidR="00C63470">
        <w:rPr>
          <w:lang w:val="fr-CH"/>
        </w:rPr>
        <w:tab/>
      </w:r>
      <w:r w:rsidR="003318E5" w:rsidRPr="003318E5">
        <w:rPr>
          <w:lang w:val="fr-CH"/>
        </w:rPr>
        <w:t xml:space="preserve">En </w:t>
      </w:r>
      <w:r w:rsidR="003318E5" w:rsidRPr="003318E5">
        <w:rPr>
          <w:u w:val="single"/>
          <w:lang w:val="fr-CH"/>
        </w:rPr>
        <w:t>conclusion</w:t>
      </w:r>
      <w:r w:rsidR="003318E5" w:rsidRPr="003318E5">
        <w:rPr>
          <w:lang w:val="fr-CH"/>
        </w:rPr>
        <w:t>, d</w:t>
      </w:r>
      <w:r w:rsidR="000B7E88">
        <w:rPr>
          <w:lang w:val="fr-CH"/>
        </w:rPr>
        <w:t>'</w:t>
      </w:r>
      <w:r w:rsidR="003318E5" w:rsidRPr="003318E5">
        <w:rPr>
          <w:lang w:val="fr-CH"/>
        </w:rPr>
        <w:t>une manière générale, les conclusions de l</w:t>
      </w:r>
      <w:r w:rsidR="000B7E88">
        <w:rPr>
          <w:lang w:val="fr-CH"/>
        </w:rPr>
        <w:t>'</w:t>
      </w:r>
      <w:r w:rsidR="003318E5" w:rsidRPr="003318E5">
        <w:rPr>
          <w:lang w:val="fr-CH"/>
        </w:rPr>
        <w:t>audit ont fourni</w:t>
      </w:r>
      <w:r w:rsidR="00ED703F">
        <w:rPr>
          <w:lang w:val="fr-CH"/>
        </w:rPr>
        <w:t xml:space="preserve"> au Secrétaire général</w:t>
      </w:r>
      <w:r w:rsidR="003318E5" w:rsidRPr="003318E5">
        <w:rPr>
          <w:lang w:val="fr-CH"/>
        </w:rPr>
        <w:t xml:space="preserve"> une </w:t>
      </w:r>
      <w:r w:rsidR="003318E5" w:rsidRPr="003318E5">
        <w:rPr>
          <w:i/>
          <w:iCs/>
          <w:lang w:val="fr-CH"/>
        </w:rPr>
        <w:t>assurance raisonnable</w:t>
      </w:r>
      <w:r w:rsidR="00ED703F">
        <w:rPr>
          <w:i/>
          <w:iCs/>
          <w:lang w:val="fr-CH"/>
        </w:rPr>
        <w:t xml:space="preserve"> </w:t>
      </w:r>
      <w:r w:rsidR="009F36E6">
        <w:rPr>
          <w:lang w:val="fr-CH"/>
        </w:rPr>
        <w:t xml:space="preserve">que les </w:t>
      </w:r>
      <w:r w:rsidR="00ED703F">
        <w:rPr>
          <w:lang w:val="fr-CH"/>
        </w:rPr>
        <w:t>contrôle</w:t>
      </w:r>
      <w:r>
        <w:rPr>
          <w:lang w:val="fr-CH"/>
        </w:rPr>
        <w:t>s internes</w:t>
      </w:r>
      <w:r w:rsidR="00ED703F">
        <w:rPr>
          <w:lang w:val="fr-CH"/>
        </w:rPr>
        <w:t xml:space="preserve">, </w:t>
      </w:r>
      <w:r>
        <w:rPr>
          <w:lang w:val="fr-CH"/>
        </w:rPr>
        <w:t>la</w:t>
      </w:r>
      <w:r w:rsidR="00ED703F">
        <w:rPr>
          <w:lang w:val="fr-CH"/>
        </w:rPr>
        <w:t xml:space="preserve"> gouvernance et</w:t>
      </w:r>
      <w:r>
        <w:rPr>
          <w:lang w:val="fr-CH"/>
        </w:rPr>
        <w:t xml:space="preserve"> les processus</w:t>
      </w:r>
      <w:r w:rsidR="00ED703F">
        <w:rPr>
          <w:lang w:val="fr-CH"/>
        </w:rPr>
        <w:t xml:space="preserve"> de gestion des risques</w:t>
      </w:r>
      <w:r w:rsidR="006B6256" w:rsidRPr="006B6256">
        <w:rPr>
          <w:lang w:val="fr-CH"/>
        </w:rPr>
        <w:t xml:space="preserve"> </w:t>
      </w:r>
      <w:r w:rsidR="006B6256">
        <w:rPr>
          <w:lang w:val="fr-CH"/>
        </w:rPr>
        <w:t>à l</w:t>
      </w:r>
      <w:r w:rsidR="000B7E88">
        <w:rPr>
          <w:lang w:val="fr-CH"/>
        </w:rPr>
        <w:t>'</w:t>
      </w:r>
      <w:r w:rsidR="006B6256">
        <w:rPr>
          <w:lang w:val="fr-CH"/>
        </w:rPr>
        <w:t>UIT</w:t>
      </w:r>
      <w:r w:rsidR="00ED703F">
        <w:rPr>
          <w:lang w:val="fr-CH"/>
        </w:rPr>
        <w:t xml:space="preserve"> fonctionnent. L</w:t>
      </w:r>
      <w:r w:rsidR="000B7E88">
        <w:rPr>
          <w:lang w:val="fr-CH"/>
        </w:rPr>
        <w:t>'</w:t>
      </w:r>
      <w:r w:rsidR="00ED703F">
        <w:rPr>
          <w:lang w:val="fr-CH"/>
        </w:rPr>
        <w:t>Unité de l</w:t>
      </w:r>
      <w:r w:rsidR="000B7E88">
        <w:rPr>
          <w:lang w:val="fr-CH"/>
        </w:rPr>
        <w:t>'</w:t>
      </w:r>
      <w:r w:rsidR="00ED703F">
        <w:rPr>
          <w:lang w:val="fr-CH"/>
        </w:rPr>
        <w:t xml:space="preserve">audit interne a toutefois repéré des </w:t>
      </w:r>
      <w:r>
        <w:rPr>
          <w:lang w:val="fr-CH"/>
        </w:rPr>
        <w:t>domaines</w:t>
      </w:r>
      <w:r w:rsidR="00ED703F">
        <w:rPr>
          <w:lang w:val="fr-CH"/>
        </w:rPr>
        <w:t xml:space="preserve"> à améliorer et des risques associés aux processus d</w:t>
      </w:r>
      <w:r w:rsidR="000B7E88">
        <w:rPr>
          <w:lang w:val="fr-CH"/>
        </w:rPr>
        <w:t>'</w:t>
      </w:r>
      <w:r w:rsidR="00ED703F">
        <w:rPr>
          <w:lang w:val="fr-CH"/>
        </w:rPr>
        <w:t>inventaire et de surveillance des licences de logiciels</w:t>
      </w:r>
      <w:r>
        <w:rPr>
          <w:lang w:val="fr-CH"/>
        </w:rPr>
        <w:t>, dont la prise en compte</w:t>
      </w:r>
      <w:r w:rsidR="00ED703F">
        <w:rPr>
          <w:lang w:val="fr-CH"/>
        </w:rPr>
        <w:t xml:space="preserve"> permettrait d</w:t>
      </w:r>
      <w:r w:rsidR="000B7E88">
        <w:rPr>
          <w:lang w:val="fr-CH"/>
        </w:rPr>
        <w:t>'</w:t>
      </w:r>
      <w:r w:rsidR="00ED703F">
        <w:rPr>
          <w:lang w:val="fr-CH"/>
        </w:rPr>
        <w:t>améliorer</w:t>
      </w:r>
      <w:r w:rsidR="006B6256">
        <w:rPr>
          <w:lang w:val="fr-CH"/>
        </w:rPr>
        <w:t xml:space="preserve"> en particulier </w:t>
      </w:r>
      <w:r w:rsidR="00ED703F">
        <w:rPr>
          <w:lang w:val="fr-CH"/>
        </w:rPr>
        <w:t xml:space="preserve">les processus liés aux services informatiques et </w:t>
      </w:r>
      <w:r>
        <w:rPr>
          <w:lang w:val="fr-CH"/>
        </w:rPr>
        <w:t xml:space="preserve">de </w:t>
      </w:r>
      <w:r w:rsidR="00ED703F">
        <w:rPr>
          <w:lang w:val="fr-CH"/>
        </w:rPr>
        <w:t>donner une meilleure assurance au Secrétaire général.</w:t>
      </w:r>
    </w:p>
    <w:p w:rsidR="00ED703F" w:rsidRPr="00370124" w:rsidRDefault="00D74890" w:rsidP="000B7E88">
      <w:pPr>
        <w:pStyle w:val="Headingb"/>
        <w:rPr>
          <w:i/>
          <w:iCs/>
          <w:lang w:val="fr-CH"/>
        </w:rPr>
      </w:pPr>
      <w:r w:rsidRPr="00370124">
        <w:rPr>
          <w:i/>
          <w:iCs/>
          <w:lang w:val="fr-CH"/>
        </w:rPr>
        <w:t>F</w:t>
      </w:r>
      <w:r w:rsidR="00ED703F" w:rsidRPr="00370124">
        <w:rPr>
          <w:i/>
          <w:iCs/>
          <w:lang w:val="fr-CH"/>
        </w:rPr>
        <w:tab/>
        <w:t xml:space="preserve">Audit du Bureau régional et des bureaux de zone pour la région Afrique </w:t>
      </w:r>
    </w:p>
    <w:p w:rsidR="00220801" w:rsidRDefault="00D74890" w:rsidP="00500527">
      <w:pPr>
        <w:rPr>
          <w:lang w:val="fr-CH"/>
        </w:rPr>
      </w:pPr>
      <w:r>
        <w:rPr>
          <w:lang w:val="fr-CH"/>
        </w:rPr>
        <w:t>23</w:t>
      </w:r>
      <w:r w:rsidR="00ED703F">
        <w:rPr>
          <w:lang w:val="fr-CH"/>
        </w:rPr>
        <w:tab/>
        <w:t>L</w:t>
      </w:r>
      <w:r w:rsidR="000B7E88">
        <w:rPr>
          <w:lang w:val="fr-CH"/>
        </w:rPr>
        <w:t>'</w:t>
      </w:r>
      <w:r w:rsidR="00ED703F">
        <w:rPr>
          <w:lang w:val="fr-CH"/>
        </w:rPr>
        <w:t>Unité de l</w:t>
      </w:r>
      <w:r w:rsidR="000B7E88">
        <w:rPr>
          <w:lang w:val="fr-CH"/>
        </w:rPr>
        <w:t>'</w:t>
      </w:r>
      <w:r w:rsidR="00ED703F">
        <w:rPr>
          <w:lang w:val="fr-CH"/>
        </w:rPr>
        <w:t xml:space="preserve">audit interne a procédé à un audit des bureaux de zone de Dakar (Sénégal) et de Yaoundé (Cameroun) </w:t>
      </w:r>
      <w:r>
        <w:rPr>
          <w:lang w:val="fr-CH"/>
        </w:rPr>
        <w:t>pour</w:t>
      </w:r>
      <w:r w:rsidR="00ED703F">
        <w:rPr>
          <w:lang w:val="fr-CH"/>
        </w:rPr>
        <w:t xml:space="preserve"> la période allant de janvier 2013 à juin 2015. Les </w:t>
      </w:r>
      <w:r w:rsidR="00ED703F" w:rsidRPr="00D74890">
        <w:rPr>
          <w:u w:val="single"/>
          <w:lang w:val="fr-CH"/>
        </w:rPr>
        <w:t>objectifs</w:t>
      </w:r>
      <w:r w:rsidR="00ED703F">
        <w:rPr>
          <w:lang w:val="fr-CH"/>
        </w:rPr>
        <w:t xml:space="preserve"> de cet audit ét</w:t>
      </w:r>
      <w:r>
        <w:rPr>
          <w:lang w:val="fr-CH"/>
        </w:rPr>
        <w:t>aient</w:t>
      </w:r>
      <w:r w:rsidR="002851CA">
        <w:rPr>
          <w:lang w:val="fr-CH"/>
        </w:rPr>
        <w:t>:</w:t>
      </w:r>
      <w:r w:rsidR="00500527">
        <w:rPr>
          <w:lang w:val="fr-CH"/>
        </w:rPr>
        <w:t xml:space="preserve"> </w:t>
      </w:r>
      <w:r w:rsidR="00ED703F">
        <w:rPr>
          <w:lang w:val="fr-CH"/>
        </w:rPr>
        <w:t>i)</w:t>
      </w:r>
      <w:r w:rsidR="003C4EBE">
        <w:rPr>
          <w:lang w:val="fr-CH"/>
        </w:rPr>
        <w:t xml:space="preserve"> d</w:t>
      </w:r>
      <w:r w:rsidR="000B7E88">
        <w:rPr>
          <w:lang w:val="fr-CH"/>
        </w:rPr>
        <w:t>'</w:t>
      </w:r>
      <w:r w:rsidR="003C4EBE">
        <w:rPr>
          <w:lang w:val="fr-CH"/>
        </w:rPr>
        <w:t>examiner et d</w:t>
      </w:r>
      <w:r w:rsidR="000B7E88">
        <w:rPr>
          <w:lang w:val="fr-CH"/>
        </w:rPr>
        <w:t>'</w:t>
      </w:r>
      <w:r w:rsidR="003C4EBE">
        <w:rPr>
          <w:lang w:val="fr-CH"/>
        </w:rPr>
        <w:t>évaluer l</w:t>
      </w:r>
      <w:r w:rsidR="000B7E88">
        <w:rPr>
          <w:lang w:val="fr-CH"/>
        </w:rPr>
        <w:t>'</w:t>
      </w:r>
      <w:r w:rsidR="003C4EBE">
        <w:rPr>
          <w:lang w:val="fr-CH"/>
        </w:rPr>
        <w:t>accord de pays hôte</w:t>
      </w:r>
      <w:r w:rsidR="00500527">
        <w:rPr>
          <w:lang w:val="fr-CH"/>
        </w:rPr>
        <w:t xml:space="preserve"> et les politiques en vigueur; </w:t>
      </w:r>
      <w:r w:rsidR="003C4EBE">
        <w:rPr>
          <w:lang w:val="fr-CH"/>
        </w:rPr>
        <w:t>ii) d</w:t>
      </w:r>
      <w:r w:rsidR="000B7E88">
        <w:rPr>
          <w:lang w:val="fr-CH"/>
        </w:rPr>
        <w:t>'</w:t>
      </w:r>
      <w:r w:rsidR="003C4EBE">
        <w:rPr>
          <w:lang w:val="fr-CH"/>
        </w:rPr>
        <w:t>évaluer dans quelle mesure les risques liés à la sûreté et à la sécurité</w:t>
      </w:r>
      <w:r w:rsidR="00220801">
        <w:rPr>
          <w:lang w:val="fr-CH"/>
        </w:rPr>
        <w:t xml:space="preserve"> sont atténués</w:t>
      </w:r>
      <w:r>
        <w:rPr>
          <w:lang w:val="fr-CH"/>
        </w:rPr>
        <w:t>,</w:t>
      </w:r>
      <w:r w:rsidR="00220801">
        <w:rPr>
          <w:lang w:val="fr-CH"/>
        </w:rPr>
        <w:t xml:space="preserve"> mais aussi </w:t>
      </w:r>
      <w:r>
        <w:rPr>
          <w:lang w:val="fr-CH"/>
        </w:rPr>
        <w:t xml:space="preserve">de déterminer </w:t>
      </w:r>
      <w:r w:rsidR="00220801">
        <w:rPr>
          <w:lang w:val="fr-CH"/>
        </w:rPr>
        <w:t xml:space="preserve">dans quelle mesure les transactions de petite </w:t>
      </w:r>
      <w:r w:rsidR="00345D7D">
        <w:rPr>
          <w:lang w:val="fr-CH"/>
        </w:rPr>
        <w:t>caisse</w:t>
      </w:r>
      <w:r w:rsidR="00220801">
        <w:rPr>
          <w:lang w:val="fr-CH"/>
        </w:rPr>
        <w:t xml:space="preserve"> et les transactions bancaires sont encadrées par des orientations adaptées et les risques associés atténués</w:t>
      </w:r>
      <w:r w:rsidR="00500527">
        <w:rPr>
          <w:lang w:val="fr-CH"/>
        </w:rPr>
        <w:t xml:space="preserve">; et </w:t>
      </w:r>
      <w:r w:rsidR="00220801">
        <w:rPr>
          <w:lang w:val="fr-CH"/>
        </w:rPr>
        <w:t>iii) d</w:t>
      </w:r>
      <w:r w:rsidR="000B7E88">
        <w:rPr>
          <w:lang w:val="fr-CH"/>
        </w:rPr>
        <w:t>'</w:t>
      </w:r>
      <w:r w:rsidR="00220801">
        <w:rPr>
          <w:lang w:val="fr-CH"/>
        </w:rPr>
        <w:t>évaluer de quelle manière la conformité des transactions effectuées par les bureaux de zone avec les règlements, politiques et procédures applicables e</w:t>
      </w:r>
      <w:r w:rsidR="00345D7D">
        <w:rPr>
          <w:lang w:val="fr-CH"/>
        </w:rPr>
        <w:t>s</w:t>
      </w:r>
      <w:r w:rsidR="00220801">
        <w:rPr>
          <w:lang w:val="fr-CH"/>
        </w:rPr>
        <w:t>t effectivement vérifiée.</w:t>
      </w:r>
    </w:p>
    <w:p w:rsidR="00D26891" w:rsidRDefault="00D74890" w:rsidP="00345D7D">
      <w:pPr>
        <w:rPr>
          <w:lang w:val="fr-CH"/>
        </w:rPr>
      </w:pPr>
      <w:r>
        <w:rPr>
          <w:lang w:val="fr-CH"/>
        </w:rPr>
        <w:t>24</w:t>
      </w:r>
      <w:r w:rsidR="00220801">
        <w:rPr>
          <w:lang w:val="fr-CH"/>
        </w:rPr>
        <w:tab/>
      </w:r>
      <w:r w:rsidR="00D26891">
        <w:rPr>
          <w:lang w:val="fr-CH"/>
        </w:rPr>
        <w:t>Un problème critique, à savoir l</w:t>
      </w:r>
      <w:r w:rsidR="000B7E88">
        <w:rPr>
          <w:lang w:val="fr-CH"/>
        </w:rPr>
        <w:t>'</w:t>
      </w:r>
      <w:r w:rsidR="00D26891">
        <w:rPr>
          <w:lang w:val="fr-CH"/>
        </w:rPr>
        <w:t xml:space="preserve">accès (par les collègues) au bureau des fonctionnaires </w:t>
      </w:r>
      <w:r w:rsidR="00345D7D">
        <w:rPr>
          <w:lang w:val="fr-CH"/>
        </w:rPr>
        <w:t xml:space="preserve">en leur absence </w:t>
      </w:r>
      <w:r w:rsidR="00D26891">
        <w:rPr>
          <w:lang w:val="fr-CH"/>
        </w:rPr>
        <w:t>en cas d</w:t>
      </w:r>
      <w:r w:rsidR="000B7E88">
        <w:rPr>
          <w:lang w:val="fr-CH"/>
        </w:rPr>
        <w:t>'</w:t>
      </w:r>
      <w:r w:rsidR="00D26891">
        <w:rPr>
          <w:lang w:val="fr-CH"/>
        </w:rPr>
        <w:t>urgence ou pour d</w:t>
      </w:r>
      <w:r w:rsidR="000B7E88">
        <w:rPr>
          <w:lang w:val="fr-CH"/>
        </w:rPr>
        <w:t>'</w:t>
      </w:r>
      <w:r w:rsidR="00D26891">
        <w:rPr>
          <w:lang w:val="fr-CH"/>
        </w:rPr>
        <w:t>autres raisons professionnell</w:t>
      </w:r>
      <w:r w:rsidR="00345D7D">
        <w:rPr>
          <w:lang w:val="fr-CH"/>
        </w:rPr>
        <w:t>es, a déjà été en partie résolu</w:t>
      </w:r>
      <w:r w:rsidR="00D26891">
        <w:rPr>
          <w:lang w:val="fr-CH"/>
        </w:rPr>
        <w:t xml:space="preserve"> lors de la </w:t>
      </w:r>
      <w:r w:rsidR="00345D7D">
        <w:rPr>
          <w:lang w:val="fr-CH"/>
        </w:rPr>
        <w:t>mission</w:t>
      </w:r>
      <w:r w:rsidR="00D26891">
        <w:rPr>
          <w:lang w:val="fr-CH"/>
        </w:rPr>
        <w:t xml:space="preserve"> d</w:t>
      </w:r>
      <w:r w:rsidR="000B7E88">
        <w:rPr>
          <w:lang w:val="fr-CH"/>
        </w:rPr>
        <w:t>'</w:t>
      </w:r>
      <w:r w:rsidR="00D26891">
        <w:rPr>
          <w:lang w:val="fr-CH"/>
        </w:rPr>
        <w:t xml:space="preserve">audit </w:t>
      </w:r>
      <w:r w:rsidR="00345D7D">
        <w:rPr>
          <w:lang w:val="fr-CH"/>
        </w:rPr>
        <w:t xml:space="preserve">effectuée </w:t>
      </w:r>
      <w:r w:rsidR="00D26891">
        <w:rPr>
          <w:lang w:val="fr-CH"/>
        </w:rPr>
        <w:t>au bureau de zone de Yaoundé et l</w:t>
      </w:r>
      <w:r w:rsidR="000B7E88">
        <w:rPr>
          <w:lang w:val="fr-CH"/>
        </w:rPr>
        <w:t>'</w:t>
      </w:r>
      <w:r w:rsidR="00D26891">
        <w:rPr>
          <w:lang w:val="fr-CH"/>
        </w:rPr>
        <w:t>Unité de l</w:t>
      </w:r>
      <w:r w:rsidR="000B7E88">
        <w:rPr>
          <w:lang w:val="fr-CH"/>
        </w:rPr>
        <w:t>'</w:t>
      </w:r>
      <w:r w:rsidR="00D26891">
        <w:rPr>
          <w:lang w:val="fr-CH"/>
        </w:rPr>
        <w:t xml:space="preserve">audit interne a par la suite été informée des mesures </w:t>
      </w:r>
      <w:r w:rsidR="00345D7D">
        <w:rPr>
          <w:lang w:val="fr-CH"/>
        </w:rPr>
        <w:t>additionnelles</w:t>
      </w:r>
      <w:r w:rsidR="00D26891">
        <w:rPr>
          <w:lang w:val="fr-CH"/>
        </w:rPr>
        <w:t>.</w:t>
      </w:r>
    </w:p>
    <w:p w:rsidR="006A249C" w:rsidRDefault="00D26891" w:rsidP="000B7E88">
      <w:pPr>
        <w:rPr>
          <w:lang w:val="fr-CH"/>
        </w:rPr>
      </w:pPr>
      <w:r w:rsidRPr="00D26891">
        <w:rPr>
          <w:lang w:val="fr-CH"/>
        </w:rPr>
        <w:t>Observations de l</w:t>
      </w:r>
      <w:r w:rsidR="000B7E88">
        <w:rPr>
          <w:lang w:val="fr-CH"/>
        </w:rPr>
        <w:t>'</w:t>
      </w:r>
      <w:r w:rsidRPr="00D26891">
        <w:rPr>
          <w:lang w:val="fr-CH"/>
        </w:rPr>
        <w:t>Unité de l</w:t>
      </w:r>
      <w:r w:rsidR="000B7E88">
        <w:rPr>
          <w:lang w:val="fr-CH"/>
        </w:rPr>
        <w:t>'</w:t>
      </w:r>
      <w:r w:rsidRPr="00D26891">
        <w:rPr>
          <w:lang w:val="fr-CH"/>
        </w:rPr>
        <w:t>audit interne, recommandations hautement prioritaires et commentaires de la direction:</w:t>
      </w:r>
    </w:p>
    <w:p w:rsidR="006B6256" w:rsidRDefault="00345D7D" w:rsidP="002872A3">
      <w:pPr>
        <w:pStyle w:val="enumlev1"/>
        <w:rPr>
          <w:lang w:val="fr-CH"/>
        </w:rPr>
      </w:pPr>
      <w:r>
        <w:rPr>
          <w:lang w:val="fr-CH"/>
        </w:rPr>
        <w:t>i)</w:t>
      </w:r>
      <w:r w:rsidR="007A20BE">
        <w:rPr>
          <w:lang w:val="fr-CH"/>
        </w:rPr>
        <w:tab/>
      </w:r>
      <w:r w:rsidR="006B6256">
        <w:rPr>
          <w:lang w:val="fr-CH"/>
        </w:rPr>
        <w:t xml:space="preserve">Il faudrait remédier aux </w:t>
      </w:r>
      <w:r w:rsidR="002872A3">
        <w:rPr>
          <w:lang w:val="fr-CH"/>
        </w:rPr>
        <w:t>insuffisances constatées en matière de sécurité</w:t>
      </w:r>
      <w:r w:rsidR="007A20BE">
        <w:rPr>
          <w:lang w:val="fr-CH"/>
        </w:rPr>
        <w:t xml:space="preserve"> lors de l</w:t>
      </w:r>
      <w:r w:rsidR="000B7E88">
        <w:rPr>
          <w:lang w:val="fr-CH"/>
        </w:rPr>
        <w:t>'</w:t>
      </w:r>
      <w:r w:rsidR="007A20BE">
        <w:rPr>
          <w:lang w:val="fr-CH"/>
        </w:rPr>
        <w:t xml:space="preserve">audit et/ou sur la base des rapports établis par le Département </w:t>
      </w:r>
      <w:r w:rsidR="007A20BE" w:rsidRPr="007A20BE">
        <w:rPr>
          <w:lang w:val="fr-CH"/>
        </w:rPr>
        <w:t>de la sûreté et de la sécurité des Nations Unies</w:t>
      </w:r>
      <w:r w:rsidR="006B6256">
        <w:rPr>
          <w:lang w:val="fr-CH"/>
        </w:rPr>
        <w:t>. Lors de l</w:t>
      </w:r>
      <w:r w:rsidR="000B7E88">
        <w:rPr>
          <w:lang w:val="fr-CH"/>
        </w:rPr>
        <w:t>'</w:t>
      </w:r>
      <w:r w:rsidR="006B6256">
        <w:rPr>
          <w:lang w:val="fr-CH"/>
        </w:rPr>
        <w:t>audit, la direction a déjà informé l</w:t>
      </w:r>
      <w:r w:rsidR="000B7E88">
        <w:rPr>
          <w:lang w:val="fr-CH"/>
        </w:rPr>
        <w:t>'</w:t>
      </w:r>
      <w:r w:rsidR="006B6256">
        <w:rPr>
          <w:lang w:val="fr-CH"/>
        </w:rPr>
        <w:t>Unité de l</w:t>
      </w:r>
      <w:r w:rsidR="000B7E88">
        <w:rPr>
          <w:lang w:val="fr-CH"/>
        </w:rPr>
        <w:t>'</w:t>
      </w:r>
      <w:r w:rsidR="006B6256">
        <w:rPr>
          <w:lang w:val="fr-CH"/>
        </w:rPr>
        <w:t xml:space="preserve">audit interne que ces </w:t>
      </w:r>
      <w:r w:rsidR="002872A3">
        <w:rPr>
          <w:lang w:val="fr-CH"/>
        </w:rPr>
        <w:t>insuffisances</w:t>
      </w:r>
      <w:r w:rsidR="006B6256">
        <w:rPr>
          <w:lang w:val="fr-CH"/>
        </w:rPr>
        <w:t xml:space="preserve"> seraient traitées.</w:t>
      </w:r>
    </w:p>
    <w:p w:rsidR="006B6256" w:rsidRDefault="00345D7D" w:rsidP="002872A3">
      <w:pPr>
        <w:pStyle w:val="enumlev1"/>
        <w:rPr>
          <w:lang w:val="fr-CH"/>
        </w:rPr>
      </w:pPr>
      <w:r>
        <w:rPr>
          <w:lang w:val="fr-CH"/>
        </w:rPr>
        <w:t>ii)</w:t>
      </w:r>
      <w:r>
        <w:rPr>
          <w:lang w:val="fr-CH"/>
        </w:rPr>
        <w:tab/>
      </w:r>
      <w:r w:rsidR="006B6256">
        <w:rPr>
          <w:lang w:val="fr-CH"/>
        </w:rPr>
        <w:t>Une proposition concernant les frais de représentation dans les bureaux régionaux et le</w:t>
      </w:r>
      <w:r w:rsidR="002872A3">
        <w:rPr>
          <w:lang w:val="fr-CH"/>
        </w:rPr>
        <w:t>s</w:t>
      </w:r>
      <w:r w:rsidR="006B6256">
        <w:rPr>
          <w:lang w:val="fr-CH"/>
        </w:rPr>
        <w:t xml:space="preserve"> bureau</w:t>
      </w:r>
      <w:r w:rsidR="002872A3">
        <w:rPr>
          <w:lang w:val="fr-CH"/>
        </w:rPr>
        <w:t>x</w:t>
      </w:r>
      <w:r w:rsidR="006B6256">
        <w:rPr>
          <w:lang w:val="fr-CH"/>
        </w:rPr>
        <w:t xml:space="preserve"> de zone devrait être élaborée</w:t>
      </w:r>
      <w:r w:rsidR="002872A3">
        <w:rPr>
          <w:lang w:val="fr-CH"/>
        </w:rPr>
        <w:t>,</w:t>
      </w:r>
      <w:r w:rsidR="006B6256">
        <w:rPr>
          <w:lang w:val="fr-CH"/>
        </w:rPr>
        <w:t xml:space="preserve"> afin qu</w:t>
      </w:r>
      <w:r w:rsidR="000B7E88">
        <w:rPr>
          <w:lang w:val="fr-CH"/>
        </w:rPr>
        <w:t>'</w:t>
      </w:r>
      <w:r w:rsidR="006B6256">
        <w:rPr>
          <w:lang w:val="fr-CH"/>
        </w:rPr>
        <w:t>elle puisse être soumise au Comité de coordination pour adoption. La direction a indiqué qu</w:t>
      </w:r>
      <w:r w:rsidR="000B7E88">
        <w:rPr>
          <w:lang w:val="fr-CH"/>
        </w:rPr>
        <w:t>'</w:t>
      </w:r>
      <w:r w:rsidR="006B6256">
        <w:rPr>
          <w:lang w:val="fr-CH"/>
        </w:rPr>
        <w:t xml:space="preserve">un projet de texte a été achevé et </w:t>
      </w:r>
      <w:r w:rsidR="002872A3">
        <w:rPr>
          <w:lang w:val="fr-CH"/>
        </w:rPr>
        <w:t xml:space="preserve">est </w:t>
      </w:r>
      <w:r w:rsidR="006B6256">
        <w:rPr>
          <w:lang w:val="fr-CH"/>
        </w:rPr>
        <w:t>transmis pour acceptation finale avant d</w:t>
      </w:r>
      <w:r w:rsidR="000B7E88">
        <w:rPr>
          <w:lang w:val="fr-CH"/>
        </w:rPr>
        <w:t>'</w:t>
      </w:r>
      <w:r w:rsidR="006B6256">
        <w:rPr>
          <w:lang w:val="fr-CH"/>
        </w:rPr>
        <w:t>être soumis à la direction pour approbation.</w:t>
      </w:r>
    </w:p>
    <w:p w:rsidR="007A20BE" w:rsidRDefault="002872A3" w:rsidP="002872A3">
      <w:pPr>
        <w:rPr>
          <w:lang w:val="fr-CH"/>
        </w:rPr>
      </w:pPr>
      <w:r>
        <w:rPr>
          <w:lang w:val="fr-CH"/>
        </w:rPr>
        <w:t>25</w:t>
      </w:r>
      <w:r>
        <w:rPr>
          <w:lang w:val="fr-CH"/>
        </w:rPr>
        <w:tab/>
      </w:r>
      <w:r w:rsidR="006B6256">
        <w:rPr>
          <w:lang w:val="fr-CH"/>
        </w:rPr>
        <w:t>Globalement,</w:t>
      </w:r>
      <w:r>
        <w:rPr>
          <w:lang w:val="fr-CH"/>
        </w:rPr>
        <w:t xml:space="preserve"> </w:t>
      </w:r>
      <w:r w:rsidR="006B6256" w:rsidRPr="003318E5">
        <w:rPr>
          <w:lang w:val="fr-CH"/>
        </w:rPr>
        <w:t>les conclusions de l</w:t>
      </w:r>
      <w:r w:rsidR="000B7E88">
        <w:rPr>
          <w:lang w:val="fr-CH"/>
        </w:rPr>
        <w:t>'</w:t>
      </w:r>
      <w:r w:rsidR="006B6256" w:rsidRPr="003318E5">
        <w:rPr>
          <w:lang w:val="fr-CH"/>
        </w:rPr>
        <w:t>audit fourni</w:t>
      </w:r>
      <w:r>
        <w:rPr>
          <w:lang w:val="fr-CH"/>
        </w:rPr>
        <w:t>ssent</w:t>
      </w:r>
      <w:r w:rsidR="006B6256">
        <w:rPr>
          <w:lang w:val="fr-CH"/>
        </w:rPr>
        <w:t xml:space="preserve"> </w:t>
      </w:r>
      <w:r w:rsidR="006B6256" w:rsidRPr="003318E5">
        <w:rPr>
          <w:lang w:val="fr-CH"/>
        </w:rPr>
        <w:t xml:space="preserve">une </w:t>
      </w:r>
      <w:r w:rsidR="006B6256" w:rsidRPr="003318E5">
        <w:rPr>
          <w:i/>
          <w:iCs/>
          <w:lang w:val="fr-CH"/>
        </w:rPr>
        <w:t>assurance raisonnable</w:t>
      </w:r>
      <w:r w:rsidR="006B6256">
        <w:rPr>
          <w:i/>
          <w:iCs/>
          <w:lang w:val="fr-CH"/>
        </w:rPr>
        <w:t xml:space="preserve"> </w:t>
      </w:r>
      <w:r w:rsidR="006B6256">
        <w:rPr>
          <w:lang w:val="fr-CH"/>
        </w:rPr>
        <w:t>que les contrôle</w:t>
      </w:r>
      <w:r>
        <w:rPr>
          <w:lang w:val="fr-CH"/>
        </w:rPr>
        <w:t>s</w:t>
      </w:r>
      <w:r w:rsidRPr="002872A3">
        <w:rPr>
          <w:lang w:val="fr-CH"/>
        </w:rPr>
        <w:t xml:space="preserve"> </w:t>
      </w:r>
      <w:r>
        <w:rPr>
          <w:lang w:val="fr-CH"/>
        </w:rPr>
        <w:t>internes</w:t>
      </w:r>
      <w:r w:rsidR="006B6256">
        <w:rPr>
          <w:lang w:val="fr-CH"/>
        </w:rPr>
        <w:t xml:space="preserve">, </w:t>
      </w:r>
      <w:r>
        <w:rPr>
          <w:lang w:val="fr-CH"/>
        </w:rPr>
        <w:t>la</w:t>
      </w:r>
      <w:r w:rsidR="006B6256">
        <w:rPr>
          <w:lang w:val="fr-CH"/>
        </w:rPr>
        <w:t xml:space="preserve"> gouvernance et</w:t>
      </w:r>
      <w:r>
        <w:rPr>
          <w:lang w:val="fr-CH"/>
        </w:rPr>
        <w:t xml:space="preserve"> les processus</w:t>
      </w:r>
      <w:r w:rsidR="006B6256">
        <w:rPr>
          <w:lang w:val="fr-CH"/>
        </w:rPr>
        <w:t xml:space="preserve"> de gestion des risques à l</w:t>
      </w:r>
      <w:r w:rsidR="000B7E88">
        <w:rPr>
          <w:lang w:val="fr-CH"/>
        </w:rPr>
        <w:t>'</w:t>
      </w:r>
      <w:r w:rsidR="006B6256">
        <w:rPr>
          <w:lang w:val="fr-CH"/>
        </w:rPr>
        <w:t>UIT fonctionnent. L</w:t>
      </w:r>
      <w:r w:rsidR="000B7E88">
        <w:rPr>
          <w:lang w:val="fr-CH"/>
        </w:rPr>
        <w:t>'</w:t>
      </w:r>
      <w:r w:rsidR="006B6256">
        <w:rPr>
          <w:lang w:val="fr-CH"/>
        </w:rPr>
        <w:t>Unité de l</w:t>
      </w:r>
      <w:r w:rsidR="000B7E88">
        <w:rPr>
          <w:lang w:val="fr-CH"/>
        </w:rPr>
        <w:t>'</w:t>
      </w:r>
      <w:r w:rsidR="006B6256">
        <w:rPr>
          <w:lang w:val="fr-CH"/>
        </w:rPr>
        <w:t xml:space="preserve">audit interne a toutefois repéré des </w:t>
      </w:r>
      <w:r>
        <w:rPr>
          <w:lang w:val="fr-CH"/>
        </w:rPr>
        <w:t>domaines</w:t>
      </w:r>
      <w:r w:rsidR="006B6256">
        <w:rPr>
          <w:lang w:val="fr-CH"/>
        </w:rPr>
        <w:t xml:space="preserve"> à améliorer et des risques associés</w:t>
      </w:r>
      <w:r>
        <w:rPr>
          <w:lang w:val="fr-CH"/>
        </w:rPr>
        <w:t xml:space="preserve"> en particulier</w:t>
      </w:r>
      <w:r w:rsidR="006B6256">
        <w:rPr>
          <w:lang w:val="fr-CH"/>
        </w:rPr>
        <w:t xml:space="preserve"> aux mesures de sûreté et de sécurité sur le </w:t>
      </w:r>
      <w:r w:rsidR="006B6256">
        <w:rPr>
          <w:lang w:val="fr-CH"/>
        </w:rPr>
        <w:lastRenderedPageBreak/>
        <w:t>terrain et aux frais de représentation (insuffisant</w:t>
      </w:r>
      <w:r>
        <w:rPr>
          <w:lang w:val="fr-CH"/>
        </w:rPr>
        <w:t>s</w:t>
      </w:r>
      <w:r w:rsidR="006B6256">
        <w:rPr>
          <w:lang w:val="fr-CH"/>
        </w:rPr>
        <w:t>)</w:t>
      </w:r>
      <w:r>
        <w:rPr>
          <w:lang w:val="fr-CH"/>
        </w:rPr>
        <w:t>, dont la prise en compte</w:t>
      </w:r>
      <w:r w:rsidR="006B6256">
        <w:rPr>
          <w:lang w:val="fr-CH"/>
        </w:rPr>
        <w:t xml:space="preserve"> permettrait d</w:t>
      </w:r>
      <w:r w:rsidR="000B7E88">
        <w:rPr>
          <w:lang w:val="fr-CH"/>
        </w:rPr>
        <w:t>'</w:t>
      </w:r>
      <w:r w:rsidR="006B6256">
        <w:rPr>
          <w:lang w:val="fr-CH"/>
        </w:rPr>
        <w:t>améliorer en particulier la représentation de l</w:t>
      </w:r>
      <w:r w:rsidR="000B7E88">
        <w:rPr>
          <w:lang w:val="fr-CH"/>
        </w:rPr>
        <w:t>'</w:t>
      </w:r>
      <w:r w:rsidR="006B6256">
        <w:rPr>
          <w:lang w:val="fr-CH"/>
        </w:rPr>
        <w:t xml:space="preserve">UIT sur le terrain et </w:t>
      </w:r>
      <w:r>
        <w:rPr>
          <w:lang w:val="fr-CH"/>
        </w:rPr>
        <w:t>l</w:t>
      </w:r>
      <w:r w:rsidR="006B6256">
        <w:rPr>
          <w:lang w:val="fr-CH"/>
        </w:rPr>
        <w:t xml:space="preserve">a sûreté et </w:t>
      </w:r>
      <w:r>
        <w:rPr>
          <w:lang w:val="fr-CH"/>
        </w:rPr>
        <w:t>l</w:t>
      </w:r>
      <w:r w:rsidR="006B6256">
        <w:rPr>
          <w:lang w:val="fr-CH"/>
        </w:rPr>
        <w:t>a sécurité</w:t>
      </w:r>
      <w:r>
        <w:rPr>
          <w:lang w:val="fr-CH"/>
        </w:rPr>
        <w:t xml:space="preserve"> du l'Union</w:t>
      </w:r>
      <w:r w:rsidR="006B6256">
        <w:rPr>
          <w:lang w:val="fr-CH"/>
        </w:rPr>
        <w:t>.</w:t>
      </w:r>
    </w:p>
    <w:p w:rsidR="00C411CE" w:rsidRPr="00370124" w:rsidRDefault="00C411CE" w:rsidP="00370124">
      <w:pPr>
        <w:pStyle w:val="Headingb"/>
      </w:pPr>
      <w:r w:rsidRPr="00370124">
        <w:t>Mise en oeuvre des recommandations du CCIG relatives à l</w:t>
      </w:r>
      <w:r w:rsidR="000B7E88" w:rsidRPr="00370124">
        <w:t>'</w:t>
      </w:r>
      <w:r w:rsidRPr="00370124">
        <w:t>audit interne</w:t>
      </w:r>
    </w:p>
    <w:p w:rsidR="00D74719" w:rsidRDefault="00C411CE" w:rsidP="00374359">
      <w:pPr>
        <w:rPr>
          <w:bCs/>
          <w:szCs w:val="24"/>
        </w:rPr>
      </w:pPr>
      <w:r w:rsidRPr="00361BF8">
        <w:rPr>
          <w:lang w:val="fr-CH"/>
        </w:rPr>
        <w:t>26</w:t>
      </w:r>
      <w:r w:rsidRPr="00361BF8">
        <w:rPr>
          <w:lang w:val="fr-CH"/>
        </w:rPr>
        <w:tab/>
      </w:r>
      <w:r w:rsidRPr="00361BF8">
        <w:t>Le CCIG a suivi de manière régulière la suite donnée aux recommandations relatives à la</w:t>
      </w:r>
      <w:r w:rsidRPr="00437AE7">
        <w:t xml:space="preserve"> fonction d</w:t>
      </w:r>
      <w:r w:rsidR="000B7E88">
        <w:t>'</w:t>
      </w:r>
      <w:r w:rsidRPr="00437AE7">
        <w:t xml:space="preserve">audit interne et </w:t>
      </w:r>
      <w:r>
        <w:t>a</w:t>
      </w:r>
      <w:r w:rsidRPr="00437AE7">
        <w:t xml:space="preserve"> </w:t>
      </w:r>
      <w:r>
        <w:t>rendu compte d</w:t>
      </w:r>
      <w:r w:rsidRPr="00437AE7">
        <w:t>es progrès accomplis dans le rapport qu</w:t>
      </w:r>
      <w:r w:rsidR="000B7E88">
        <w:t>'</w:t>
      </w:r>
      <w:r w:rsidRPr="00437AE7">
        <w:t xml:space="preserve">il a soumis au Secrétaire général ainsi que dans son rapport annuel au Conseil. </w:t>
      </w:r>
      <w:r>
        <w:t>A</w:t>
      </w:r>
      <w:r w:rsidRPr="00437AE7">
        <w:t xml:space="preserve"> cet égard, il est fait </w:t>
      </w:r>
      <w:r w:rsidR="002872A3">
        <w:t>expressé</w:t>
      </w:r>
      <w:r w:rsidRPr="00E444DA">
        <w:rPr>
          <w:rFonts w:asciiTheme="minorHAnsi" w:hAnsiTheme="minorHAnsi"/>
          <w:szCs w:val="24"/>
          <w:lang w:val="fr-CH"/>
        </w:rPr>
        <w:t>ment référence au deuxième rapport annuel du CCIG au Conseil (</w:t>
      </w:r>
      <w:r>
        <w:rPr>
          <w:rFonts w:asciiTheme="minorHAnsi" w:hAnsiTheme="minorHAnsi"/>
          <w:szCs w:val="24"/>
          <w:lang w:val="fr-CH"/>
        </w:rPr>
        <w:t xml:space="preserve">Document </w:t>
      </w:r>
      <w:r w:rsidRPr="00E444DA">
        <w:rPr>
          <w:rFonts w:asciiTheme="minorHAnsi" w:hAnsiTheme="minorHAnsi"/>
          <w:szCs w:val="24"/>
          <w:lang w:val="fr-CH"/>
        </w:rPr>
        <w:t xml:space="preserve">C13/65, paragraphe 3.4) </w:t>
      </w:r>
      <w:r>
        <w:rPr>
          <w:rFonts w:asciiTheme="minorHAnsi" w:hAnsiTheme="minorHAnsi"/>
          <w:szCs w:val="24"/>
          <w:lang w:val="fr-CH"/>
        </w:rPr>
        <w:t>dans lequel il est recommandé que "</w:t>
      </w:r>
      <w:r w:rsidRPr="00E444DA">
        <w:rPr>
          <w:rFonts w:asciiTheme="minorHAnsi" w:hAnsiTheme="minorHAnsi"/>
          <w:szCs w:val="24"/>
          <w:lang w:val="fr-CH"/>
        </w:rPr>
        <w:t>… l</w:t>
      </w:r>
      <w:r w:rsidR="000B7E88">
        <w:rPr>
          <w:rFonts w:asciiTheme="minorHAnsi" w:hAnsiTheme="minorHAnsi"/>
          <w:szCs w:val="24"/>
          <w:lang w:val="fr-CH"/>
        </w:rPr>
        <w:t>'</w:t>
      </w:r>
      <w:r w:rsidRPr="00E444DA">
        <w:rPr>
          <w:rFonts w:asciiTheme="minorHAnsi" w:hAnsiTheme="minorHAnsi"/>
          <w:szCs w:val="24"/>
          <w:lang w:val="fr-CH"/>
        </w:rPr>
        <w:t>examen par des pairs de la fonction d</w:t>
      </w:r>
      <w:r w:rsidR="000B7E88">
        <w:rPr>
          <w:rFonts w:asciiTheme="minorHAnsi" w:hAnsiTheme="minorHAnsi"/>
          <w:szCs w:val="24"/>
          <w:lang w:val="fr-CH"/>
        </w:rPr>
        <w:t>'</w:t>
      </w:r>
      <w:r w:rsidRPr="00E444DA">
        <w:rPr>
          <w:rFonts w:asciiTheme="minorHAnsi" w:hAnsiTheme="minorHAnsi"/>
          <w:szCs w:val="24"/>
          <w:lang w:val="fr-CH"/>
        </w:rPr>
        <w:t xml:space="preserve">audit interne ait lieu de préférence avant </w:t>
      </w:r>
      <w:r w:rsidRPr="00E444DA">
        <w:rPr>
          <w:rFonts w:asciiTheme="minorHAnsi" w:hAnsiTheme="minorHAnsi"/>
          <w:color w:val="000000"/>
          <w:szCs w:val="24"/>
          <w:lang w:val="fr-CH" w:eastAsia="zh-CN"/>
        </w:rPr>
        <w:t>2014</w:t>
      </w:r>
      <w:r>
        <w:rPr>
          <w:rFonts w:asciiTheme="minorHAnsi" w:hAnsiTheme="minorHAnsi"/>
          <w:color w:val="000000"/>
          <w:szCs w:val="24"/>
          <w:lang w:val="fr-CH" w:eastAsia="zh-CN"/>
        </w:rPr>
        <w:t>"</w:t>
      </w:r>
      <w:r w:rsidRPr="00E444DA">
        <w:rPr>
          <w:rFonts w:asciiTheme="minorHAnsi" w:hAnsiTheme="minorHAnsi"/>
          <w:color w:val="000000"/>
          <w:szCs w:val="24"/>
          <w:lang w:val="fr-CH" w:eastAsia="zh-CN"/>
        </w:rPr>
        <w:t xml:space="preserve">. </w:t>
      </w:r>
      <w:r>
        <w:rPr>
          <w:rFonts w:asciiTheme="minorHAnsi" w:hAnsiTheme="minorHAnsi"/>
          <w:color w:val="000000"/>
          <w:szCs w:val="24"/>
          <w:lang w:val="fr-CH" w:eastAsia="zh-CN"/>
        </w:rPr>
        <w:t>Cet examen a eu lieu en janvier 2015. L</w:t>
      </w:r>
      <w:r w:rsidR="000B7E88">
        <w:rPr>
          <w:rFonts w:asciiTheme="minorHAnsi" w:hAnsiTheme="minorHAnsi"/>
          <w:color w:val="000000"/>
          <w:szCs w:val="24"/>
          <w:lang w:val="fr-CH" w:eastAsia="zh-CN"/>
        </w:rPr>
        <w:t>'</w:t>
      </w:r>
      <w:r>
        <w:rPr>
          <w:rFonts w:asciiTheme="minorHAnsi" w:hAnsiTheme="minorHAnsi"/>
          <w:color w:val="000000"/>
          <w:szCs w:val="24"/>
          <w:lang w:val="fr-CH" w:eastAsia="zh-CN"/>
        </w:rPr>
        <w:t>équipe chargée de la validation extérieure a été d</w:t>
      </w:r>
      <w:r w:rsidR="000B7E88">
        <w:rPr>
          <w:rFonts w:asciiTheme="minorHAnsi" w:hAnsiTheme="minorHAnsi"/>
          <w:color w:val="000000"/>
          <w:szCs w:val="24"/>
          <w:lang w:val="fr-CH" w:eastAsia="zh-CN"/>
        </w:rPr>
        <w:t>'</w:t>
      </w:r>
      <w:r>
        <w:rPr>
          <w:rFonts w:asciiTheme="minorHAnsi" w:hAnsiTheme="minorHAnsi"/>
          <w:color w:val="000000"/>
          <w:szCs w:val="24"/>
          <w:lang w:val="fr-CH" w:eastAsia="zh-CN"/>
        </w:rPr>
        <w:t>avis globalement que l</w:t>
      </w:r>
      <w:r w:rsidR="000B7E88">
        <w:rPr>
          <w:rFonts w:asciiTheme="minorHAnsi" w:hAnsiTheme="minorHAnsi"/>
          <w:color w:val="000000"/>
          <w:szCs w:val="24"/>
          <w:lang w:val="fr-CH" w:eastAsia="zh-CN"/>
        </w:rPr>
        <w:t>'</w:t>
      </w:r>
      <w:r>
        <w:rPr>
          <w:rFonts w:asciiTheme="minorHAnsi" w:hAnsiTheme="minorHAnsi"/>
          <w:color w:val="000000"/>
          <w:szCs w:val="24"/>
          <w:lang w:val="fr-CH" w:eastAsia="zh-CN"/>
        </w:rPr>
        <w:t>audit interne de l</w:t>
      </w:r>
      <w:r w:rsidR="000B7E88">
        <w:rPr>
          <w:rFonts w:asciiTheme="minorHAnsi" w:hAnsiTheme="minorHAnsi"/>
          <w:color w:val="000000"/>
          <w:szCs w:val="24"/>
          <w:lang w:val="fr-CH" w:eastAsia="zh-CN"/>
        </w:rPr>
        <w:t>'</w:t>
      </w:r>
      <w:r>
        <w:rPr>
          <w:rFonts w:asciiTheme="minorHAnsi" w:hAnsiTheme="minorHAnsi"/>
          <w:color w:val="000000"/>
          <w:szCs w:val="24"/>
          <w:lang w:val="fr-CH" w:eastAsia="zh-CN"/>
        </w:rPr>
        <w:t>UIT est conforme d</w:t>
      </w:r>
      <w:r w:rsidR="000B7E88">
        <w:rPr>
          <w:rFonts w:asciiTheme="minorHAnsi" w:hAnsiTheme="minorHAnsi"/>
          <w:color w:val="000000"/>
          <w:szCs w:val="24"/>
          <w:lang w:val="fr-CH" w:eastAsia="zh-CN"/>
        </w:rPr>
        <w:t>'</w:t>
      </w:r>
      <w:r>
        <w:rPr>
          <w:rFonts w:asciiTheme="minorHAnsi" w:hAnsiTheme="minorHAnsi"/>
          <w:color w:val="000000"/>
          <w:szCs w:val="24"/>
          <w:lang w:val="fr-CH" w:eastAsia="zh-CN"/>
        </w:rPr>
        <w:t>une façon générale aux Normes et au Code de déontologie de l</w:t>
      </w:r>
      <w:r w:rsidR="000B7E88">
        <w:rPr>
          <w:rFonts w:asciiTheme="minorHAnsi" w:hAnsiTheme="minorHAnsi"/>
          <w:color w:val="000000"/>
          <w:szCs w:val="24"/>
          <w:lang w:val="fr-CH" w:eastAsia="zh-CN"/>
        </w:rPr>
        <w:t>'</w:t>
      </w:r>
      <w:r w:rsidRPr="00E444DA">
        <w:rPr>
          <w:rFonts w:asciiTheme="minorHAnsi" w:hAnsiTheme="minorHAnsi"/>
          <w:bCs/>
          <w:lang w:val="fr-CH"/>
        </w:rPr>
        <w:t xml:space="preserve">IIA, </w:t>
      </w:r>
      <w:r>
        <w:rPr>
          <w:rFonts w:asciiTheme="minorHAnsi" w:hAnsiTheme="minorHAnsi"/>
          <w:bCs/>
          <w:lang w:val="fr-CH"/>
        </w:rPr>
        <w:t>mais elle a noté une conformité partielle avec 1 des 14 Normes de l</w:t>
      </w:r>
      <w:r w:rsidR="000B7E88">
        <w:rPr>
          <w:rFonts w:asciiTheme="minorHAnsi" w:hAnsiTheme="minorHAnsi"/>
          <w:bCs/>
          <w:lang w:val="fr-CH"/>
        </w:rPr>
        <w:t>'</w:t>
      </w:r>
      <w:r>
        <w:rPr>
          <w:rFonts w:asciiTheme="minorHAnsi" w:hAnsiTheme="minorHAnsi"/>
          <w:bCs/>
          <w:lang w:val="fr-CH"/>
        </w:rPr>
        <w:t>IIA rela</w:t>
      </w:r>
      <w:r w:rsidR="00370124">
        <w:rPr>
          <w:rFonts w:asciiTheme="minorHAnsi" w:hAnsiTheme="minorHAnsi"/>
          <w:bCs/>
          <w:lang w:val="fr-CH"/>
        </w:rPr>
        <w:t>tives aux attributions et 5 des </w:t>
      </w:r>
      <w:r w:rsidRPr="00D74719">
        <w:rPr>
          <w:rFonts w:asciiTheme="minorHAnsi" w:hAnsiTheme="minorHAnsi"/>
          <w:bCs/>
          <w:lang w:val="fr-CH"/>
        </w:rPr>
        <w:t>26 Normes de l</w:t>
      </w:r>
      <w:r w:rsidR="000B7E88">
        <w:rPr>
          <w:rFonts w:asciiTheme="minorHAnsi" w:hAnsiTheme="minorHAnsi"/>
          <w:bCs/>
          <w:lang w:val="fr-CH"/>
        </w:rPr>
        <w:t>'</w:t>
      </w:r>
      <w:r w:rsidRPr="00D74719">
        <w:rPr>
          <w:rFonts w:asciiTheme="minorHAnsi" w:hAnsiTheme="minorHAnsi"/>
          <w:bCs/>
          <w:lang w:val="fr-CH"/>
        </w:rPr>
        <w:t>IIA relatives aux performances</w:t>
      </w:r>
      <w:r w:rsidRPr="00D74719">
        <w:rPr>
          <w:rFonts w:asciiTheme="minorHAnsi" w:hAnsiTheme="minorHAnsi"/>
          <w:bCs/>
          <w:szCs w:val="24"/>
          <w:lang w:val="fr-CH"/>
        </w:rPr>
        <w:t>.</w:t>
      </w:r>
      <w:r w:rsidRPr="00D74719">
        <w:rPr>
          <w:bCs/>
          <w:szCs w:val="24"/>
        </w:rPr>
        <w:t xml:space="preserve"> </w:t>
      </w:r>
      <w:r w:rsidR="00D74719" w:rsidRPr="00D74719">
        <w:rPr>
          <w:bCs/>
          <w:szCs w:val="24"/>
        </w:rPr>
        <w:t>Dans l</w:t>
      </w:r>
      <w:r w:rsidR="000B7E88">
        <w:rPr>
          <w:bCs/>
          <w:szCs w:val="24"/>
        </w:rPr>
        <w:t>'</w:t>
      </w:r>
      <w:r w:rsidR="00D74719" w:rsidRPr="00D74719">
        <w:rPr>
          <w:bCs/>
          <w:szCs w:val="24"/>
        </w:rPr>
        <w:t>Addendum 2 à son quatrième rapport au Conseil,</w:t>
      </w:r>
      <w:r w:rsidR="00D74719">
        <w:rPr>
          <w:bCs/>
          <w:szCs w:val="24"/>
        </w:rPr>
        <w:t xml:space="preserve"> le CCIG a approuvé </w:t>
      </w:r>
      <w:r w:rsidR="00D74719" w:rsidRPr="00D74719">
        <w:rPr>
          <w:bCs/>
          <w:szCs w:val="24"/>
        </w:rPr>
        <w:t>les conclusions du rapport de validation extérieure</w:t>
      </w:r>
      <w:r w:rsidR="00D74719">
        <w:rPr>
          <w:bCs/>
          <w:szCs w:val="24"/>
        </w:rPr>
        <w:t xml:space="preserve"> (figurant dans le </w:t>
      </w:r>
      <w:hyperlink r:id="rId9" w:history="1">
        <w:r w:rsidR="00374359" w:rsidRPr="00A669ED">
          <w:rPr>
            <w:rStyle w:val="Hyperlink"/>
            <w:rFonts w:asciiTheme="minorHAnsi" w:hAnsiTheme="minorHAnsi"/>
          </w:rPr>
          <w:t>Document C15/INF/11</w:t>
        </w:r>
      </w:hyperlink>
      <w:r w:rsidR="00D74719">
        <w:rPr>
          <w:bCs/>
          <w:szCs w:val="24"/>
        </w:rPr>
        <w:t xml:space="preserve">) et recommandé que </w:t>
      </w:r>
      <w:r w:rsidR="00D74719" w:rsidRPr="00D74719">
        <w:rPr>
          <w:bCs/>
          <w:szCs w:val="24"/>
        </w:rPr>
        <w:t>l</w:t>
      </w:r>
      <w:r w:rsidR="000B7E88">
        <w:rPr>
          <w:bCs/>
          <w:szCs w:val="24"/>
        </w:rPr>
        <w:t>'</w:t>
      </w:r>
      <w:r w:rsidR="00D74719" w:rsidRPr="00D74719">
        <w:rPr>
          <w:bCs/>
          <w:szCs w:val="24"/>
        </w:rPr>
        <w:t>Auditeur interne – dans le cadre du Rapport annuel de l</w:t>
      </w:r>
      <w:r w:rsidR="000B7E88">
        <w:rPr>
          <w:bCs/>
          <w:szCs w:val="24"/>
        </w:rPr>
        <w:t>'</w:t>
      </w:r>
      <w:r w:rsidR="00D74719" w:rsidRPr="00D74719">
        <w:rPr>
          <w:bCs/>
          <w:szCs w:val="24"/>
        </w:rPr>
        <w:t>Auditeur interne sur les activités d</w:t>
      </w:r>
      <w:r w:rsidR="000B7E88">
        <w:rPr>
          <w:bCs/>
          <w:szCs w:val="24"/>
        </w:rPr>
        <w:t>'</w:t>
      </w:r>
      <w:r w:rsidR="00D74719" w:rsidRPr="00D74719">
        <w:rPr>
          <w:bCs/>
          <w:szCs w:val="24"/>
        </w:rPr>
        <w:t xml:space="preserve">audit interne – </w:t>
      </w:r>
      <w:r w:rsidR="00D74719">
        <w:rPr>
          <w:bCs/>
          <w:szCs w:val="24"/>
        </w:rPr>
        <w:t>fasse</w:t>
      </w:r>
      <w:r w:rsidR="00D74719" w:rsidRPr="00D74719">
        <w:rPr>
          <w:bCs/>
          <w:szCs w:val="24"/>
        </w:rPr>
        <w:t xml:space="preserve"> rapport au</w:t>
      </w:r>
      <w:r w:rsidR="00370124">
        <w:rPr>
          <w:bCs/>
          <w:szCs w:val="24"/>
        </w:rPr>
        <w:t xml:space="preserve"> Conseil à sa session de </w:t>
      </w:r>
      <w:r w:rsidR="00D74719" w:rsidRPr="00D74719">
        <w:rPr>
          <w:bCs/>
          <w:szCs w:val="24"/>
        </w:rPr>
        <w:t>2016 et aux sessions suivantes quant aux mesures prises et aux progrès réalisés pour assurer la mise en application de chacune des neuf recommandations figurant dans la validation indépendante extérieure de l</w:t>
      </w:r>
      <w:r w:rsidR="000B7E88">
        <w:rPr>
          <w:bCs/>
          <w:szCs w:val="24"/>
        </w:rPr>
        <w:t>'</w:t>
      </w:r>
      <w:r w:rsidR="00D74719" w:rsidRPr="00D74719">
        <w:rPr>
          <w:bCs/>
          <w:szCs w:val="24"/>
        </w:rPr>
        <w:t>activité d</w:t>
      </w:r>
      <w:r w:rsidR="000B7E88">
        <w:rPr>
          <w:bCs/>
          <w:szCs w:val="24"/>
        </w:rPr>
        <w:t>'</w:t>
      </w:r>
      <w:r w:rsidR="00D74719" w:rsidRPr="00D74719">
        <w:rPr>
          <w:bCs/>
          <w:szCs w:val="24"/>
        </w:rPr>
        <w:t>audit interne à l</w:t>
      </w:r>
      <w:r w:rsidR="000B7E88">
        <w:rPr>
          <w:bCs/>
          <w:szCs w:val="24"/>
        </w:rPr>
        <w:t>'</w:t>
      </w:r>
      <w:r w:rsidR="00D74719" w:rsidRPr="00D74719">
        <w:rPr>
          <w:bCs/>
          <w:szCs w:val="24"/>
        </w:rPr>
        <w:t>UIT</w:t>
      </w:r>
      <w:r w:rsidR="00D74719">
        <w:rPr>
          <w:bCs/>
          <w:szCs w:val="24"/>
        </w:rPr>
        <w:t>. On trouvera donc dans l</w:t>
      </w:r>
      <w:r w:rsidR="000B7E88">
        <w:rPr>
          <w:bCs/>
          <w:szCs w:val="24"/>
        </w:rPr>
        <w:t>'</w:t>
      </w:r>
      <w:r w:rsidR="00D74719">
        <w:rPr>
          <w:bCs/>
          <w:szCs w:val="24"/>
        </w:rPr>
        <w:t>Annexe du présent rapport un aperçu des recommandations et de l</w:t>
      </w:r>
      <w:r w:rsidR="000B7E88">
        <w:rPr>
          <w:bCs/>
          <w:szCs w:val="24"/>
        </w:rPr>
        <w:t>'</w:t>
      </w:r>
      <w:r w:rsidR="00D74719">
        <w:rPr>
          <w:bCs/>
          <w:szCs w:val="24"/>
        </w:rPr>
        <w:t>évaluation, par l</w:t>
      </w:r>
      <w:r w:rsidR="000B7E88">
        <w:rPr>
          <w:bCs/>
          <w:szCs w:val="24"/>
        </w:rPr>
        <w:t>'</w:t>
      </w:r>
      <w:r w:rsidR="00D74719">
        <w:rPr>
          <w:bCs/>
          <w:szCs w:val="24"/>
        </w:rPr>
        <w:t>Unité de l</w:t>
      </w:r>
      <w:r w:rsidR="000B7E88">
        <w:rPr>
          <w:bCs/>
          <w:szCs w:val="24"/>
        </w:rPr>
        <w:t>'</w:t>
      </w:r>
      <w:r w:rsidR="00D74719">
        <w:rPr>
          <w:bCs/>
          <w:szCs w:val="24"/>
        </w:rPr>
        <w:t>audit interne, des mesures prises et des progrès accomplis.</w:t>
      </w:r>
    </w:p>
    <w:p w:rsidR="00D74719" w:rsidRPr="00361BF8" w:rsidRDefault="00D74719" w:rsidP="00370124">
      <w:pPr>
        <w:pStyle w:val="Headingb"/>
        <w:rPr>
          <w:rFonts w:asciiTheme="minorHAnsi" w:hAnsiTheme="minorHAnsi" w:cs="Calibri"/>
          <w:lang w:val="fr-CH"/>
        </w:rPr>
      </w:pPr>
      <w:r w:rsidRPr="00C84B9C">
        <w:rPr>
          <w:lang w:val="fr-CH"/>
        </w:rPr>
        <w:t>Suite donnée aux recommandations</w:t>
      </w:r>
      <w:r>
        <w:rPr>
          <w:lang w:val="fr-CH"/>
        </w:rPr>
        <w:t xml:space="preserve"> formulées par l</w:t>
      </w:r>
      <w:r w:rsidR="000B7E88">
        <w:rPr>
          <w:lang w:val="fr-CH"/>
        </w:rPr>
        <w:t>'</w:t>
      </w:r>
      <w:r>
        <w:rPr>
          <w:lang w:val="fr-CH"/>
        </w:rPr>
        <w:t>Unité de l</w:t>
      </w:r>
      <w:r w:rsidR="000B7E88">
        <w:rPr>
          <w:lang w:val="fr-CH"/>
        </w:rPr>
        <w:t>'</w:t>
      </w:r>
      <w:r>
        <w:rPr>
          <w:lang w:val="fr-CH"/>
        </w:rPr>
        <w:t>audit interne</w:t>
      </w:r>
    </w:p>
    <w:p w:rsidR="00D74719" w:rsidRDefault="00D74719" w:rsidP="00374359">
      <w:pPr>
        <w:spacing w:after="240"/>
        <w:rPr>
          <w:lang w:val="fr-CH"/>
        </w:rPr>
      </w:pPr>
      <w:r>
        <w:rPr>
          <w:lang w:val="fr-CH"/>
        </w:rPr>
        <w:t>27</w:t>
      </w:r>
      <w:r>
        <w:rPr>
          <w:lang w:val="fr-CH"/>
        </w:rPr>
        <w:tab/>
      </w:r>
      <w:r w:rsidRPr="00C84B9C">
        <w:rPr>
          <w:lang w:val="fr-CH"/>
        </w:rPr>
        <w:t>Durant la période considérée, et conformément à la Norme 2500 de</w:t>
      </w:r>
      <w:r>
        <w:rPr>
          <w:lang w:val="fr-CH"/>
        </w:rPr>
        <w:t xml:space="preserve"> l</w:t>
      </w:r>
      <w:r w:rsidR="000B7E88">
        <w:rPr>
          <w:lang w:val="fr-CH"/>
        </w:rPr>
        <w:t>'</w:t>
      </w:r>
      <w:r w:rsidRPr="00C84B9C">
        <w:rPr>
          <w:lang w:val="fr-CH"/>
        </w:rPr>
        <w:t>IIA</w:t>
      </w:r>
      <w:r w:rsidRPr="004236AA">
        <w:rPr>
          <w:rStyle w:val="FootnoteReference"/>
        </w:rPr>
        <w:footnoteReference w:id="6"/>
      </w:r>
      <w:r>
        <w:rPr>
          <w:lang w:val="fr-CH"/>
        </w:rPr>
        <w:t xml:space="preserve">, </w:t>
      </w:r>
      <w:r w:rsidRPr="00C84B9C">
        <w:rPr>
          <w:lang w:val="fr-CH"/>
        </w:rPr>
        <w:t>l</w:t>
      </w:r>
      <w:r w:rsidR="000B7E88">
        <w:rPr>
          <w:lang w:val="fr-CH"/>
        </w:rPr>
        <w:t>'</w:t>
      </w:r>
      <w:r w:rsidRPr="00C84B9C">
        <w:rPr>
          <w:lang w:val="fr-CH"/>
        </w:rPr>
        <w:t>Unité de l</w:t>
      </w:r>
      <w:r w:rsidR="000B7E88">
        <w:rPr>
          <w:lang w:val="fr-CH"/>
        </w:rPr>
        <w:t>'</w:t>
      </w:r>
      <w:r w:rsidRPr="00C84B9C">
        <w:rPr>
          <w:lang w:val="fr-CH"/>
        </w:rPr>
        <w:t>audit interne a continué de donner suite aux recommandations formulées dans les rapports d</w:t>
      </w:r>
      <w:r w:rsidR="000B7E88">
        <w:rPr>
          <w:lang w:val="fr-CH"/>
        </w:rPr>
        <w:t>'</w:t>
      </w:r>
      <w:r w:rsidRPr="00C84B9C">
        <w:rPr>
          <w:lang w:val="fr-CH"/>
        </w:rPr>
        <w:t>audit précédents. Il a été noté que des progrès avaient été accomplis au cours des 12</w:t>
      </w:r>
      <w:r>
        <w:rPr>
          <w:lang w:val="fr-CH"/>
        </w:rPr>
        <w:t> </w:t>
      </w:r>
      <w:r w:rsidRPr="00C84B9C">
        <w:rPr>
          <w:lang w:val="fr-CH"/>
        </w:rPr>
        <w:t xml:space="preserve">derniers mois </w:t>
      </w:r>
      <w:r>
        <w:rPr>
          <w:lang w:val="fr-CH"/>
        </w:rPr>
        <w:t xml:space="preserve">et les statistiques relatives à la mise en </w:t>
      </w:r>
      <w:r w:rsidR="000B7E88">
        <w:rPr>
          <w:lang w:val="fr-CH"/>
        </w:rPr>
        <w:t>oe</w:t>
      </w:r>
      <w:r>
        <w:rPr>
          <w:lang w:val="fr-CH"/>
        </w:rPr>
        <w:t>uvre se présentent comme suit</w:t>
      </w:r>
      <w:r w:rsidRPr="00C84B9C">
        <w:rPr>
          <w:lang w:val="fr-CH"/>
        </w:rPr>
        <w:t>:</w:t>
      </w:r>
    </w:p>
    <w:tbl>
      <w:tblPr>
        <w:tblW w:w="9536" w:type="dxa"/>
        <w:tblInd w:w="93" w:type="dxa"/>
        <w:tblLook w:val="04A0" w:firstRow="1" w:lastRow="0" w:firstColumn="1" w:lastColumn="0" w:noHBand="0" w:noVBand="1"/>
      </w:tblPr>
      <w:tblGrid>
        <w:gridCol w:w="2449"/>
        <w:gridCol w:w="850"/>
        <w:gridCol w:w="851"/>
        <w:gridCol w:w="850"/>
        <w:gridCol w:w="851"/>
        <w:gridCol w:w="850"/>
        <w:gridCol w:w="993"/>
        <w:gridCol w:w="909"/>
        <w:gridCol w:w="933"/>
      </w:tblGrid>
      <w:tr w:rsidR="00D74719" w:rsidRPr="00922F72" w:rsidTr="000B7E88">
        <w:trPr>
          <w:trHeight w:val="230"/>
        </w:trPr>
        <w:tc>
          <w:tcPr>
            <w:tcW w:w="2449" w:type="dxa"/>
            <w:tcBorders>
              <w:top w:val="single" w:sz="8" w:space="0" w:color="auto"/>
              <w:left w:val="single" w:sz="8" w:space="0" w:color="auto"/>
              <w:bottom w:val="nil"/>
              <w:right w:val="nil"/>
            </w:tcBorders>
            <w:shd w:val="clear" w:color="000000" w:fill="000000"/>
            <w:noWrap/>
            <w:vAlign w:val="bottom"/>
            <w:hideMark/>
          </w:tcPr>
          <w:p w:rsidR="00D74719" w:rsidRPr="00922F72" w:rsidRDefault="00D74719" w:rsidP="000B7E88">
            <w:pPr>
              <w:pStyle w:val="Tablehead"/>
              <w:jc w:val="left"/>
              <w:rPr>
                <w:lang w:val="en-US" w:eastAsia="zh-CN"/>
              </w:rPr>
            </w:pPr>
            <w:r>
              <w:rPr>
                <w:lang w:val="en-US" w:eastAsia="zh-CN"/>
              </w:rPr>
              <w:t>Année</w:t>
            </w:r>
          </w:p>
        </w:tc>
        <w:tc>
          <w:tcPr>
            <w:tcW w:w="850" w:type="dxa"/>
            <w:tcBorders>
              <w:top w:val="single" w:sz="8" w:space="0" w:color="auto"/>
              <w:left w:val="nil"/>
              <w:bottom w:val="nil"/>
              <w:right w:val="nil"/>
            </w:tcBorders>
            <w:shd w:val="clear" w:color="000000" w:fill="000000"/>
            <w:noWrap/>
            <w:vAlign w:val="bottom"/>
            <w:hideMark/>
          </w:tcPr>
          <w:p w:rsidR="00D74719" w:rsidRPr="00922F72" w:rsidRDefault="00D74719" w:rsidP="000B7E88">
            <w:pPr>
              <w:pStyle w:val="Tablehead"/>
              <w:rPr>
                <w:lang w:val="en-US" w:eastAsia="zh-CN"/>
              </w:rPr>
            </w:pPr>
            <w:r w:rsidRPr="00922F72">
              <w:rPr>
                <w:lang w:val="en-US" w:eastAsia="zh-CN"/>
              </w:rPr>
              <w:t>200</w:t>
            </w:r>
            <w:r>
              <w:rPr>
                <w:lang w:val="en-US" w:eastAsia="zh-CN"/>
              </w:rPr>
              <w:t>9</w:t>
            </w:r>
          </w:p>
        </w:tc>
        <w:tc>
          <w:tcPr>
            <w:tcW w:w="851" w:type="dxa"/>
            <w:tcBorders>
              <w:top w:val="single" w:sz="8" w:space="0" w:color="auto"/>
              <w:left w:val="nil"/>
              <w:bottom w:val="nil"/>
              <w:right w:val="nil"/>
            </w:tcBorders>
            <w:shd w:val="clear" w:color="000000" w:fill="000000"/>
            <w:noWrap/>
            <w:vAlign w:val="bottom"/>
            <w:hideMark/>
          </w:tcPr>
          <w:p w:rsidR="00D74719" w:rsidRPr="00922F72" w:rsidRDefault="00D74719" w:rsidP="000B7E88">
            <w:pPr>
              <w:pStyle w:val="Tablehead"/>
              <w:rPr>
                <w:lang w:val="en-US" w:eastAsia="zh-CN"/>
              </w:rPr>
            </w:pPr>
            <w:r w:rsidRPr="00922F72">
              <w:rPr>
                <w:lang w:val="en-US" w:eastAsia="zh-CN"/>
              </w:rPr>
              <w:t>20</w:t>
            </w:r>
            <w:r>
              <w:rPr>
                <w:lang w:val="en-US" w:eastAsia="zh-CN"/>
              </w:rPr>
              <w:t>10</w:t>
            </w:r>
          </w:p>
        </w:tc>
        <w:tc>
          <w:tcPr>
            <w:tcW w:w="850" w:type="dxa"/>
            <w:tcBorders>
              <w:top w:val="single" w:sz="8" w:space="0" w:color="auto"/>
              <w:left w:val="nil"/>
              <w:bottom w:val="nil"/>
              <w:right w:val="nil"/>
            </w:tcBorders>
            <w:shd w:val="clear" w:color="000000" w:fill="000000"/>
            <w:noWrap/>
            <w:vAlign w:val="bottom"/>
            <w:hideMark/>
          </w:tcPr>
          <w:p w:rsidR="00D74719" w:rsidRPr="00922F72" w:rsidRDefault="00D74719" w:rsidP="000B7E88">
            <w:pPr>
              <w:pStyle w:val="Tablehead"/>
              <w:rPr>
                <w:lang w:val="en-US" w:eastAsia="zh-CN"/>
              </w:rPr>
            </w:pPr>
            <w:r w:rsidRPr="00922F72">
              <w:rPr>
                <w:lang w:val="en-US" w:eastAsia="zh-CN"/>
              </w:rPr>
              <w:t>201</w:t>
            </w:r>
            <w:r>
              <w:rPr>
                <w:lang w:val="en-US" w:eastAsia="zh-CN"/>
              </w:rPr>
              <w:t>1</w:t>
            </w:r>
          </w:p>
        </w:tc>
        <w:tc>
          <w:tcPr>
            <w:tcW w:w="851" w:type="dxa"/>
            <w:tcBorders>
              <w:top w:val="single" w:sz="8" w:space="0" w:color="auto"/>
              <w:left w:val="nil"/>
              <w:bottom w:val="nil"/>
              <w:right w:val="nil"/>
            </w:tcBorders>
            <w:shd w:val="clear" w:color="000000" w:fill="000000"/>
            <w:noWrap/>
            <w:vAlign w:val="bottom"/>
            <w:hideMark/>
          </w:tcPr>
          <w:p w:rsidR="00D74719" w:rsidRPr="00922F72" w:rsidRDefault="00D74719" w:rsidP="000B7E88">
            <w:pPr>
              <w:pStyle w:val="Tablehead"/>
              <w:rPr>
                <w:lang w:val="en-US" w:eastAsia="zh-CN"/>
              </w:rPr>
            </w:pPr>
            <w:r w:rsidRPr="00922F72">
              <w:rPr>
                <w:lang w:val="en-US" w:eastAsia="zh-CN"/>
              </w:rPr>
              <w:t>201</w:t>
            </w:r>
            <w:r>
              <w:rPr>
                <w:lang w:val="en-US" w:eastAsia="zh-CN"/>
              </w:rPr>
              <w:t>2</w:t>
            </w:r>
          </w:p>
        </w:tc>
        <w:tc>
          <w:tcPr>
            <w:tcW w:w="850" w:type="dxa"/>
            <w:tcBorders>
              <w:top w:val="single" w:sz="8" w:space="0" w:color="auto"/>
              <w:left w:val="nil"/>
              <w:bottom w:val="nil"/>
              <w:right w:val="nil"/>
            </w:tcBorders>
            <w:shd w:val="clear" w:color="000000" w:fill="000000"/>
            <w:noWrap/>
            <w:vAlign w:val="bottom"/>
            <w:hideMark/>
          </w:tcPr>
          <w:p w:rsidR="00D74719" w:rsidRPr="00922F72" w:rsidRDefault="00D74719" w:rsidP="000B7E88">
            <w:pPr>
              <w:pStyle w:val="Tablehead"/>
              <w:rPr>
                <w:lang w:val="en-US" w:eastAsia="zh-CN"/>
              </w:rPr>
            </w:pPr>
            <w:r w:rsidRPr="00922F72">
              <w:rPr>
                <w:lang w:val="en-US" w:eastAsia="zh-CN"/>
              </w:rPr>
              <w:t>201</w:t>
            </w:r>
            <w:r>
              <w:rPr>
                <w:lang w:val="en-US" w:eastAsia="zh-CN"/>
              </w:rPr>
              <w:t>3</w:t>
            </w:r>
          </w:p>
        </w:tc>
        <w:tc>
          <w:tcPr>
            <w:tcW w:w="993" w:type="dxa"/>
            <w:tcBorders>
              <w:top w:val="single" w:sz="8" w:space="0" w:color="auto"/>
              <w:left w:val="nil"/>
              <w:bottom w:val="nil"/>
              <w:right w:val="nil"/>
            </w:tcBorders>
            <w:shd w:val="clear" w:color="000000" w:fill="000000"/>
            <w:noWrap/>
            <w:vAlign w:val="bottom"/>
            <w:hideMark/>
          </w:tcPr>
          <w:p w:rsidR="00D74719" w:rsidRPr="00922F72" w:rsidRDefault="00D74719" w:rsidP="000B7E88">
            <w:pPr>
              <w:pStyle w:val="Tablehead"/>
              <w:rPr>
                <w:lang w:val="en-US" w:eastAsia="zh-CN"/>
              </w:rPr>
            </w:pPr>
            <w:r w:rsidRPr="00922F72">
              <w:rPr>
                <w:lang w:val="en-US" w:eastAsia="zh-CN"/>
              </w:rPr>
              <w:t>201</w:t>
            </w:r>
            <w:r>
              <w:rPr>
                <w:lang w:val="en-US" w:eastAsia="zh-CN"/>
              </w:rPr>
              <w:t>4</w:t>
            </w:r>
          </w:p>
        </w:tc>
        <w:tc>
          <w:tcPr>
            <w:tcW w:w="909" w:type="dxa"/>
            <w:tcBorders>
              <w:top w:val="single" w:sz="8" w:space="0" w:color="auto"/>
              <w:left w:val="nil"/>
              <w:bottom w:val="nil"/>
              <w:right w:val="nil"/>
            </w:tcBorders>
            <w:shd w:val="clear" w:color="000000" w:fill="000000"/>
            <w:noWrap/>
            <w:vAlign w:val="bottom"/>
            <w:hideMark/>
          </w:tcPr>
          <w:p w:rsidR="00D74719" w:rsidRPr="00922F72" w:rsidRDefault="00D74719" w:rsidP="000B7E88">
            <w:pPr>
              <w:pStyle w:val="Tablehead"/>
              <w:rPr>
                <w:lang w:val="en-US" w:eastAsia="zh-CN"/>
              </w:rPr>
            </w:pPr>
            <w:r w:rsidRPr="00922F72">
              <w:rPr>
                <w:lang w:val="en-US" w:eastAsia="zh-CN"/>
              </w:rPr>
              <w:t>201</w:t>
            </w:r>
            <w:r>
              <w:rPr>
                <w:lang w:val="en-US" w:eastAsia="zh-CN"/>
              </w:rPr>
              <w:t>5</w:t>
            </w:r>
          </w:p>
        </w:tc>
        <w:tc>
          <w:tcPr>
            <w:tcW w:w="933" w:type="dxa"/>
            <w:tcBorders>
              <w:top w:val="single" w:sz="8" w:space="0" w:color="auto"/>
              <w:left w:val="nil"/>
              <w:bottom w:val="nil"/>
              <w:right w:val="single" w:sz="8" w:space="0" w:color="auto"/>
            </w:tcBorders>
            <w:shd w:val="clear" w:color="000000" w:fill="000000"/>
            <w:noWrap/>
            <w:vAlign w:val="bottom"/>
            <w:hideMark/>
          </w:tcPr>
          <w:p w:rsidR="00D74719" w:rsidRPr="00922F72" w:rsidRDefault="00D74719" w:rsidP="000B7E88">
            <w:pPr>
              <w:pStyle w:val="Tablehead"/>
              <w:rPr>
                <w:lang w:val="en-US" w:eastAsia="zh-CN"/>
              </w:rPr>
            </w:pPr>
            <w:r>
              <w:rPr>
                <w:lang w:val="en-US" w:eastAsia="zh-CN"/>
              </w:rPr>
              <w:t>Total</w:t>
            </w:r>
          </w:p>
        </w:tc>
      </w:tr>
      <w:tr w:rsidR="00D74719" w:rsidRPr="00922F72" w:rsidTr="000B7E88">
        <w:trPr>
          <w:trHeight w:val="217"/>
        </w:trPr>
        <w:tc>
          <w:tcPr>
            <w:tcW w:w="24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74719" w:rsidRPr="00922F72" w:rsidRDefault="00D74719" w:rsidP="000B7E88">
            <w:pPr>
              <w:pStyle w:val="Tabletext"/>
              <w:rPr>
                <w:lang w:val="en-US" w:eastAsia="zh-CN"/>
              </w:rPr>
            </w:pPr>
            <w:r w:rsidRPr="00C84B9C">
              <w:rPr>
                <w:rFonts w:asciiTheme="minorHAnsi" w:hAnsiTheme="minorHAnsi" w:cs="Calibri"/>
                <w:szCs w:val="24"/>
                <w:lang w:val="fr-CH"/>
              </w:rPr>
              <w:t>Nombre de rapports d</w:t>
            </w:r>
            <w:r w:rsidR="000B7E88">
              <w:rPr>
                <w:rFonts w:asciiTheme="minorHAnsi" w:hAnsiTheme="minorHAnsi" w:cs="Calibri"/>
                <w:szCs w:val="24"/>
                <w:lang w:val="fr-CH"/>
              </w:rPr>
              <w:t>'</w:t>
            </w:r>
            <w:r w:rsidRPr="00C84B9C">
              <w:rPr>
                <w:rFonts w:asciiTheme="minorHAnsi" w:hAnsiTheme="minorHAnsi" w:cs="Calibri"/>
                <w:szCs w:val="24"/>
                <w:lang w:val="fr-CH"/>
              </w:rPr>
              <w:t>audi</w:t>
            </w:r>
            <w:r>
              <w:rPr>
                <w:rFonts w:asciiTheme="minorHAnsi" w:hAnsiTheme="minorHAnsi" w:cs="Calibri"/>
                <w:szCs w:val="24"/>
                <w:lang w:val="fr-CH"/>
              </w:rPr>
              <w:t>t</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2</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3</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2</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0</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4</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sidRPr="00922F72">
              <w:rPr>
                <w:lang w:val="en-US" w:eastAsia="zh-CN"/>
              </w:rPr>
              <w:t>4</w:t>
            </w:r>
          </w:p>
        </w:tc>
        <w:tc>
          <w:tcPr>
            <w:tcW w:w="909" w:type="dxa"/>
            <w:tcBorders>
              <w:top w:val="single" w:sz="8" w:space="0" w:color="auto"/>
              <w:left w:val="nil"/>
              <w:bottom w:val="single" w:sz="4"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7</w:t>
            </w:r>
          </w:p>
        </w:tc>
        <w:tc>
          <w:tcPr>
            <w:tcW w:w="933" w:type="dxa"/>
            <w:tcBorders>
              <w:top w:val="single" w:sz="8" w:space="0" w:color="auto"/>
              <w:left w:val="single" w:sz="4" w:space="0" w:color="auto"/>
              <w:bottom w:val="single" w:sz="4" w:space="0" w:color="auto"/>
              <w:right w:val="single" w:sz="8" w:space="0" w:color="auto"/>
            </w:tcBorders>
            <w:shd w:val="clear" w:color="000000" w:fill="C4BD97"/>
            <w:noWrap/>
            <w:vAlign w:val="bottom"/>
            <w:hideMark/>
          </w:tcPr>
          <w:p w:rsidR="00D74719" w:rsidRPr="00922F72" w:rsidRDefault="00D74719" w:rsidP="000B7E88">
            <w:pPr>
              <w:pStyle w:val="Tabletext"/>
              <w:jc w:val="center"/>
              <w:rPr>
                <w:b/>
                <w:bCs/>
                <w:lang w:val="en-US" w:eastAsia="zh-CN"/>
              </w:rPr>
            </w:pPr>
            <w:r>
              <w:rPr>
                <w:b/>
                <w:bCs/>
                <w:lang w:val="en-US" w:eastAsia="zh-CN"/>
              </w:rPr>
              <w:t>22</w:t>
            </w:r>
          </w:p>
        </w:tc>
      </w:tr>
      <w:tr w:rsidR="00D74719" w:rsidRPr="00922F72" w:rsidTr="000B7E88">
        <w:trPr>
          <w:trHeight w:val="217"/>
        </w:trPr>
        <w:tc>
          <w:tcPr>
            <w:tcW w:w="2449" w:type="dxa"/>
            <w:tcBorders>
              <w:top w:val="nil"/>
              <w:left w:val="single" w:sz="8" w:space="0" w:color="auto"/>
              <w:bottom w:val="single" w:sz="4" w:space="0" w:color="auto"/>
              <w:right w:val="single" w:sz="4" w:space="0" w:color="auto"/>
            </w:tcBorders>
            <w:shd w:val="clear" w:color="auto" w:fill="auto"/>
            <w:noWrap/>
            <w:vAlign w:val="bottom"/>
            <w:hideMark/>
          </w:tcPr>
          <w:p w:rsidR="00D74719" w:rsidRPr="00922F72" w:rsidRDefault="00D74719" w:rsidP="000B7E88">
            <w:pPr>
              <w:pStyle w:val="Tabletext"/>
              <w:rPr>
                <w:lang w:val="en-US" w:eastAsia="zh-CN"/>
              </w:rPr>
            </w:pPr>
            <w:r w:rsidRPr="00C84B9C">
              <w:rPr>
                <w:rFonts w:asciiTheme="minorHAnsi" w:hAnsiTheme="minorHAnsi" w:cs="Calibri"/>
                <w:szCs w:val="24"/>
                <w:lang w:val="fr-CH"/>
              </w:rPr>
              <w:t>Recommandations</w:t>
            </w:r>
            <w:r>
              <w:rPr>
                <w:rFonts w:asciiTheme="minorHAnsi" w:hAnsiTheme="minorHAnsi" w:cs="Calibri"/>
                <w:szCs w:val="24"/>
                <w:lang w:val="fr-CH"/>
              </w:rPr>
              <w:t xml:space="preserve"> </w:t>
            </w:r>
            <w:r w:rsidRPr="00A04F50">
              <w:rPr>
                <w:rFonts w:asciiTheme="minorHAnsi" w:hAnsiTheme="minorHAnsi" w:cs="Calibri"/>
                <w:szCs w:val="24"/>
                <w:lang w:val="fr-CH"/>
              </w:rPr>
              <w:t>–</w:t>
            </w:r>
            <w:r>
              <w:rPr>
                <w:rFonts w:asciiTheme="minorHAnsi" w:hAnsiTheme="minorHAnsi" w:cs="Calibri"/>
                <w:szCs w:val="24"/>
                <w:lang w:val="fr-CH"/>
              </w:rPr>
              <w:t xml:space="preserve"> </w:t>
            </w:r>
            <w:r w:rsidRPr="00C84B9C">
              <w:rPr>
                <w:rFonts w:asciiTheme="minorHAnsi" w:hAnsiTheme="minorHAnsi" w:cs="Calibri"/>
                <w:szCs w:val="24"/>
                <w:lang w:val="fr-CH"/>
              </w:rPr>
              <w:t>Total</w:t>
            </w:r>
          </w:p>
        </w:tc>
        <w:tc>
          <w:tcPr>
            <w:tcW w:w="850" w:type="dxa"/>
            <w:tcBorders>
              <w:top w:val="nil"/>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sidRPr="00922F72">
              <w:rPr>
                <w:lang w:val="en-US" w:eastAsia="zh-CN"/>
              </w:rPr>
              <w:t>1</w:t>
            </w:r>
            <w:r>
              <w:rPr>
                <w:lang w:val="en-US" w:eastAsia="zh-CN"/>
              </w:rPr>
              <w:t>3</w:t>
            </w:r>
          </w:p>
        </w:tc>
        <w:tc>
          <w:tcPr>
            <w:tcW w:w="851" w:type="dxa"/>
            <w:tcBorders>
              <w:top w:val="nil"/>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21</w:t>
            </w:r>
          </w:p>
        </w:tc>
        <w:tc>
          <w:tcPr>
            <w:tcW w:w="850" w:type="dxa"/>
            <w:tcBorders>
              <w:top w:val="nil"/>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17</w:t>
            </w:r>
          </w:p>
        </w:tc>
        <w:tc>
          <w:tcPr>
            <w:tcW w:w="851" w:type="dxa"/>
            <w:tcBorders>
              <w:top w:val="nil"/>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sidRPr="00A04F50">
              <w:rPr>
                <w:lang w:val="en-US" w:eastAsia="zh-CN"/>
              </w:rPr>
              <w:t>–</w:t>
            </w:r>
          </w:p>
        </w:tc>
        <w:tc>
          <w:tcPr>
            <w:tcW w:w="850" w:type="dxa"/>
            <w:tcBorders>
              <w:top w:val="nil"/>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113</w:t>
            </w:r>
          </w:p>
        </w:tc>
        <w:tc>
          <w:tcPr>
            <w:tcW w:w="993" w:type="dxa"/>
            <w:tcBorders>
              <w:top w:val="nil"/>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55</w:t>
            </w:r>
          </w:p>
        </w:tc>
        <w:tc>
          <w:tcPr>
            <w:tcW w:w="909" w:type="dxa"/>
            <w:tcBorders>
              <w:top w:val="nil"/>
              <w:left w:val="nil"/>
              <w:bottom w:val="single" w:sz="4"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34</w:t>
            </w:r>
          </w:p>
        </w:tc>
        <w:tc>
          <w:tcPr>
            <w:tcW w:w="933" w:type="dxa"/>
            <w:tcBorders>
              <w:top w:val="nil"/>
              <w:left w:val="single" w:sz="4" w:space="0" w:color="auto"/>
              <w:bottom w:val="single" w:sz="4" w:space="0" w:color="auto"/>
              <w:right w:val="single" w:sz="8" w:space="0" w:color="auto"/>
            </w:tcBorders>
            <w:shd w:val="clear" w:color="000000" w:fill="C4BD97"/>
            <w:noWrap/>
            <w:vAlign w:val="bottom"/>
            <w:hideMark/>
          </w:tcPr>
          <w:p w:rsidR="00D74719" w:rsidRPr="00922F72" w:rsidRDefault="00D74719" w:rsidP="000B7E88">
            <w:pPr>
              <w:pStyle w:val="Tabletext"/>
              <w:jc w:val="center"/>
              <w:rPr>
                <w:b/>
                <w:bCs/>
                <w:lang w:val="en-US" w:eastAsia="zh-CN"/>
              </w:rPr>
            </w:pPr>
            <w:r>
              <w:rPr>
                <w:b/>
                <w:bCs/>
                <w:lang w:val="en-US" w:eastAsia="zh-CN"/>
              </w:rPr>
              <w:t>253</w:t>
            </w:r>
          </w:p>
        </w:tc>
      </w:tr>
      <w:tr w:rsidR="00D74719" w:rsidRPr="00922F72" w:rsidTr="000B7E88">
        <w:trPr>
          <w:trHeight w:val="217"/>
        </w:trPr>
        <w:tc>
          <w:tcPr>
            <w:tcW w:w="2449" w:type="dxa"/>
            <w:tcBorders>
              <w:top w:val="nil"/>
              <w:left w:val="single" w:sz="8" w:space="0" w:color="auto"/>
              <w:bottom w:val="single" w:sz="4" w:space="0" w:color="auto"/>
              <w:right w:val="single" w:sz="4" w:space="0" w:color="auto"/>
            </w:tcBorders>
            <w:shd w:val="clear" w:color="auto" w:fill="auto"/>
            <w:noWrap/>
            <w:vAlign w:val="bottom"/>
            <w:hideMark/>
          </w:tcPr>
          <w:p w:rsidR="00D74719" w:rsidRPr="00922F72" w:rsidRDefault="00D74719" w:rsidP="000B7E88">
            <w:pPr>
              <w:pStyle w:val="Tabletext"/>
              <w:rPr>
                <w:lang w:val="en-US" w:eastAsia="zh-CN"/>
              </w:rPr>
            </w:pPr>
            <w:r>
              <w:rPr>
                <w:rFonts w:hint="eastAsia"/>
                <w:lang w:val="en-CA" w:eastAsia="zh-CN"/>
              </w:rPr>
              <w:tab/>
            </w:r>
            <w:r>
              <w:rPr>
                <w:rFonts w:asciiTheme="minorHAnsi" w:hAnsiTheme="minorHAnsi" w:cs="Calibri"/>
                <w:szCs w:val="24"/>
                <w:lang w:val="fr-CH"/>
              </w:rPr>
              <w:t>En cours</w:t>
            </w:r>
          </w:p>
        </w:tc>
        <w:tc>
          <w:tcPr>
            <w:tcW w:w="850" w:type="dxa"/>
            <w:tcBorders>
              <w:top w:val="nil"/>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sidRPr="00A04F50">
              <w:rPr>
                <w:lang w:val="en-US" w:eastAsia="zh-CN"/>
              </w:rPr>
              <w:t>–</w:t>
            </w:r>
          </w:p>
        </w:tc>
        <w:tc>
          <w:tcPr>
            <w:tcW w:w="850" w:type="dxa"/>
            <w:tcBorders>
              <w:top w:val="nil"/>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13</w:t>
            </w:r>
          </w:p>
        </w:tc>
        <w:tc>
          <w:tcPr>
            <w:tcW w:w="993" w:type="dxa"/>
            <w:tcBorders>
              <w:top w:val="nil"/>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20</w:t>
            </w:r>
          </w:p>
        </w:tc>
        <w:tc>
          <w:tcPr>
            <w:tcW w:w="909" w:type="dxa"/>
            <w:tcBorders>
              <w:top w:val="nil"/>
              <w:left w:val="nil"/>
              <w:bottom w:val="single" w:sz="4"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30</w:t>
            </w:r>
          </w:p>
        </w:tc>
        <w:tc>
          <w:tcPr>
            <w:tcW w:w="933" w:type="dxa"/>
            <w:tcBorders>
              <w:top w:val="nil"/>
              <w:left w:val="single" w:sz="4" w:space="0" w:color="auto"/>
              <w:bottom w:val="single" w:sz="4" w:space="0" w:color="auto"/>
              <w:right w:val="single" w:sz="8" w:space="0" w:color="auto"/>
            </w:tcBorders>
            <w:shd w:val="clear" w:color="000000" w:fill="C4BD97"/>
            <w:noWrap/>
            <w:vAlign w:val="bottom"/>
            <w:hideMark/>
          </w:tcPr>
          <w:p w:rsidR="00D74719" w:rsidRPr="00922F72" w:rsidRDefault="00D74719" w:rsidP="000B7E88">
            <w:pPr>
              <w:pStyle w:val="Tabletext"/>
              <w:jc w:val="center"/>
              <w:rPr>
                <w:b/>
                <w:bCs/>
                <w:lang w:val="en-US" w:eastAsia="zh-CN"/>
              </w:rPr>
            </w:pPr>
            <w:r>
              <w:rPr>
                <w:b/>
                <w:bCs/>
                <w:lang w:val="en-US" w:eastAsia="zh-CN"/>
              </w:rPr>
              <w:t>65</w:t>
            </w:r>
          </w:p>
        </w:tc>
      </w:tr>
      <w:tr w:rsidR="00D74719" w:rsidRPr="00922F72" w:rsidTr="000B7E88">
        <w:trPr>
          <w:trHeight w:val="217"/>
        </w:trPr>
        <w:tc>
          <w:tcPr>
            <w:tcW w:w="2449" w:type="dxa"/>
            <w:tcBorders>
              <w:top w:val="nil"/>
              <w:left w:val="single" w:sz="8" w:space="0" w:color="auto"/>
              <w:bottom w:val="single" w:sz="4" w:space="0" w:color="auto"/>
              <w:right w:val="single" w:sz="4" w:space="0" w:color="auto"/>
            </w:tcBorders>
            <w:shd w:val="clear" w:color="auto" w:fill="auto"/>
            <w:noWrap/>
            <w:vAlign w:val="bottom"/>
            <w:hideMark/>
          </w:tcPr>
          <w:p w:rsidR="00D74719" w:rsidRPr="00922F72" w:rsidRDefault="00D74719" w:rsidP="000B7E88">
            <w:pPr>
              <w:pStyle w:val="Tabletext"/>
              <w:rPr>
                <w:lang w:val="en-US" w:eastAsia="zh-CN"/>
              </w:rPr>
            </w:pPr>
            <w:r>
              <w:rPr>
                <w:rFonts w:hint="eastAsia"/>
                <w:lang w:val="en-CA" w:eastAsia="zh-CN"/>
              </w:rPr>
              <w:tab/>
            </w:r>
            <w:r>
              <w:rPr>
                <w:rFonts w:asciiTheme="minorHAnsi" w:hAnsiTheme="minorHAnsi" w:cs="Calibri"/>
                <w:szCs w:val="24"/>
                <w:lang w:val="fr-CH"/>
              </w:rPr>
              <w:t>Retardées</w:t>
            </w:r>
          </w:p>
        </w:tc>
        <w:tc>
          <w:tcPr>
            <w:tcW w:w="850" w:type="dxa"/>
            <w:tcBorders>
              <w:top w:val="nil"/>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sidRPr="00922F72">
              <w:rPr>
                <w:lang w:val="en-US" w:eastAsia="zh-CN"/>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sidRPr="00922F72">
              <w:rPr>
                <w:lang w:val="en-US" w:eastAsia="zh-CN"/>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sidRPr="00A04F50">
              <w:rPr>
                <w:lang w:val="en-US" w:eastAsia="zh-CN"/>
              </w:rPr>
              <w:t>–</w:t>
            </w:r>
          </w:p>
        </w:tc>
        <w:tc>
          <w:tcPr>
            <w:tcW w:w="850" w:type="dxa"/>
            <w:tcBorders>
              <w:top w:val="nil"/>
              <w:left w:val="nil"/>
              <w:bottom w:val="single" w:sz="4"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1</w:t>
            </w:r>
          </w:p>
        </w:tc>
        <w:tc>
          <w:tcPr>
            <w:tcW w:w="993" w:type="dxa"/>
            <w:tcBorders>
              <w:top w:val="nil"/>
              <w:left w:val="nil"/>
              <w:bottom w:val="single" w:sz="4"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5</w:t>
            </w:r>
          </w:p>
        </w:tc>
        <w:tc>
          <w:tcPr>
            <w:tcW w:w="909" w:type="dxa"/>
            <w:tcBorders>
              <w:top w:val="nil"/>
              <w:left w:val="nil"/>
              <w:bottom w:val="single" w:sz="4"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0</w:t>
            </w:r>
          </w:p>
        </w:tc>
        <w:tc>
          <w:tcPr>
            <w:tcW w:w="933" w:type="dxa"/>
            <w:tcBorders>
              <w:top w:val="nil"/>
              <w:left w:val="single" w:sz="4" w:space="0" w:color="auto"/>
              <w:bottom w:val="single" w:sz="4" w:space="0" w:color="auto"/>
              <w:right w:val="single" w:sz="8" w:space="0" w:color="auto"/>
            </w:tcBorders>
            <w:shd w:val="clear" w:color="000000" w:fill="C4BD97"/>
            <w:noWrap/>
            <w:vAlign w:val="bottom"/>
            <w:hideMark/>
          </w:tcPr>
          <w:p w:rsidR="00D74719" w:rsidRPr="00922F72" w:rsidRDefault="00D74719" w:rsidP="000B7E88">
            <w:pPr>
              <w:pStyle w:val="Tabletext"/>
              <w:jc w:val="center"/>
              <w:rPr>
                <w:b/>
                <w:bCs/>
                <w:lang w:val="en-US" w:eastAsia="zh-CN"/>
              </w:rPr>
            </w:pPr>
            <w:r>
              <w:rPr>
                <w:b/>
                <w:bCs/>
                <w:lang w:val="en-US" w:eastAsia="zh-CN"/>
              </w:rPr>
              <w:t>8</w:t>
            </w:r>
          </w:p>
        </w:tc>
      </w:tr>
      <w:tr w:rsidR="00D74719" w:rsidRPr="00922F72" w:rsidTr="000B7E88">
        <w:trPr>
          <w:trHeight w:val="230"/>
        </w:trPr>
        <w:tc>
          <w:tcPr>
            <w:tcW w:w="2449"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rsidR="00D74719" w:rsidRPr="00922F72" w:rsidRDefault="00D74719" w:rsidP="000B7E88">
            <w:pPr>
              <w:pStyle w:val="Tabletext"/>
              <w:rPr>
                <w:lang w:val="en-US" w:eastAsia="zh-CN"/>
              </w:rPr>
            </w:pPr>
            <w:r>
              <w:rPr>
                <w:rFonts w:hint="eastAsia"/>
                <w:lang w:val="en-CA" w:eastAsia="zh-CN"/>
              </w:rPr>
              <w:lastRenderedPageBreak/>
              <w:tab/>
            </w:r>
            <w:r>
              <w:rPr>
                <w:rFonts w:asciiTheme="minorHAnsi" w:hAnsiTheme="minorHAnsi" w:cs="Calibri"/>
                <w:szCs w:val="24"/>
                <w:lang w:val="fr-CH"/>
              </w:rPr>
              <w:t>Closes</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12</w:t>
            </w:r>
          </w:p>
        </w:tc>
        <w:tc>
          <w:tcPr>
            <w:tcW w:w="851" w:type="dxa"/>
            <w:tcBorders>
              <w:top w:val="single" w:sz="4" w:space="0" w:color="auto"/>
              <w:left w:val="nil"/>
              <w:bottom w:val="single" w:sz="12"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21</w:t>
            </w:r>
          </w:p>
        </w:tc>
        <w:tc>
          <w:tcPr>
            <w:tcW w:w="850" w:type="dxa"/>
            <w:tcBorders>
              <w:top w:val="single" w:sz="4" w:space="0" w:color="auto"/>
              <w:left w:val="nil"/>
              <w:bottom w:val="single" w:sz="12"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14</w:t>
            </w:r>
          </w:p>
        </w:tc>
        <w:tc>
          <w:tcPr>
            <w:tcW w:w="851" w:type="dxa"/>
            <w:tcBorders>
              <w:top w:val="single" w:sz="4" w:space="0" w:color="auto"/>
              <w:left w:val="nil"/>
              <w:bottom w:val="single" w:sz="12"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sidRPr="00A04F50">
              <w:rPr>
                <w:lang w:val="en-US" w:eastAsia="zh-CN"/>
              </w:rPr>
              <w:t>–</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99</w:t>
            </w:r>
          </w:p>
        </w:tc>
        <w:tc>
          <w:tcPr>
            <w:tcW w:w="993" w:type="dxa"/>
            <w:tcBorders>
              <w:top w:val="single" w:sz="4" w:space="0" w:color="auto"/>
              <w:left w:val="nil"/>
              <w:bottom w:val="single" w:sz="12"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30</w:t>
            </w:r>
          </w:p>
        </w:tc>
        <w:tc>
          <w:tcPr>
            <w:tcW w:w="909" w:type="dxa"/>
            <w:tcBorders>
              <w:top w:val="single" w:sz="4" w:space="0" w:color="auto"/>
              <w:left w:val="nil"/>
              <w:bottom w:val="single" w:sz="12"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4</w:t>
            </w:r>
          </w:p>
        </w:tc>
        <w:tc>
          <w:tcPr>
            <w:tcW w:w="933" w:type="dxa"/>
            <w:tcBorders>
              <w:top w:val="single" w:sz="4" w:space="0" w:color="auto"/>
              <w:left w:val="single" w:sz="4" w:space="0" w:color="auto"/>
              <w:bottom w:val="single" w:sz="12" w:space="0" w:color="auto"/>
              <w:right w:val="single" w:sz="8" w:space="0" w:color="auto"/>
            </w:tcBorders>
            <w:shd w:val="clear" w:color="000000" w:fill="C4BD97"/>
            <w:noWrap/>
            <w:vAlign w:val="bottom"/>
            <w:hideMark/>
          </w:tcPr>
          <w:p w:rsidR="00D74719" w:rsidRPr="00922F72" w:rsidRDefault="00D74719" w:rsidP="000B7E88">
            <w:pPr>
              <w:pStyle w:val="Tabletext"/>
              <w:jc w:val="center"/>
              <w:rPr>
                <w:b/>
                <w:bCs/>
                <w:lang w:val="en-US" w:eastAsia="zh-CN"/>
              </w:rPr>
            </w:pPr>
            <w:r>
              <w:rPr>
                <w:b/>
                <w:bCs/>
                <w:lang w:val="en-US" w:eastAsia="zh-CN"/>
              </w:rPr>
              <w:t>180</w:t>
            </w:r>
          </w:p>
        </w:tc>
      </w:tr>
      <w:tr w:rsidR="00D74719" w:rsidRPr="00922F72" w:rsidTr="000B7E88">
        <w:trPr>
          <w:trHeight w:val="128"/>
        </w:trPr>
        <w:tc>
          <w:tcPr>
            <w:tcW w:w="2449" w:type="dxa"/>
            <w:tcBorders>
              <w:top w:val="single" w:sz="12" w:space="0" w:color="auto"/>
              <w:left w:val="nil"/>
              <w:bottom w:val="single" w:sz="12" w:space="0" w:color="auto"/>
              <w:right w:val="nil"/>
            </w:tcBorders>
            <w:shd w:val="clear" w:color="auto" w:fill="auto"/>
            <w:noWrap/>
            <w:vAlign w:val="bottom"/>
            <w:hideMark/>
          </w:tcPr>
          <w:p w:rsidR="00D74719" w:rsidRPr="00922F72" w:rsidRDefault="00D74719" w:rsidP="000B7E88">
            <w:pPr>
              <w:pStyle w:val="Tabletext"/>
              <w:rPr>
                <w:lang w:val="en-US" w:eastAsia="zh-CN"/>
              </w:rPr>
            </w:pPr>
          </w:p>
        </w:tc>
        <w:tc>
          <w:tcPr>
            <w:tcW w:w="850" w:type="dxa"/>
            <w:tcBorders>
              <w:top w:val="single" w:sz="12" w:space="0" w:color="auto"/>
              <w:left w:val="nil"/>
              <w:bottom w:val="single" w:sz="12" w:space="0" w:color="auto"/>
              <w:right w:val="nil"/>
            </w:tcBorders>
            <w:shd w:val="clear" w:color="auto" w:fill="auto"/>
            <w:noWrap/>
            <w:vAlign w:val="bottom"/>
            <w:hideMark/>
          </w:tcPr>
          <w:p w:rsidR="00D74719" w:rsidRPr="00922F72" w:rsidRDefault="00D74719" w:rsidP="000B7E88">
            <w:pPr>
              <w:pStyle w:val="Tabletext"/>
              <w:jc w:val="center"/>
              <w:rPr>
                <w:lang w:val="en-US" w:eastAsia="zh-CN"/>
              </w:rPr>
            </w:pPr>
          </w:p>
        </w:tc>
        <w:tc>
          <w:tcPr>
            <w:tcW w:w="851" w:type="dxa"/>
            <w:tcBorders>
              <w:top w:val="single" w:sz="12" w:space="0" w:color="auto"/>
              <w:left w:val="nil"/>
              <w:bottom w:val="single" w:sz="12"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p>
        </w:tc>
        <w:tc>
          <w:tcPr>
            <w:tcW w:w="850" w:type="dxa"/>
            <w:tcBorders>
              <w:top w:val="single" w:sz="12" w:space="0" w:color="auto"/>
              <w:left w:val="nil"/>
              <w:bottom w:val="single" w:sz="12"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p>
        </w:tc>
        <w:tc>
          <w:tcPr>
            <w:tcW w:w="851" w:type="dxa"/>
            <w:tcBorders>
              <w:top w:val="single" w:sz="12" w:space="0" w:color="auto"/>
              <w:left w:val="nil"/>
              <w:bottom w:val="single" w:sz="12"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p>
        </w:tc>
        <w:tc>
          <w:tcPr>
            <w:tcW w:w="850" w:type="dxa"/>
            <w:tcBorders>
              <w:top w:val="single" w:sz="12" w:space="0" w:color="auto"/>
              <w:left w:val="nil"/>
              <w:bottom w:val="single" w:sz="12" w:space="0" w:color="auto"/>
              <w:right w:val="nil"/>
            </w:tcBorders>
            <w:shd w:val="clear" w:color="auto" w:fill="auto"/>
            <w:noWrap/>
            <w:vAlign w:val="bottom"/>
            <w:hideMark/>
          </w:tcPr>
          <w:p w:rsidR="00D74719" w:rsidRPr="00922F72" w:rsidRDefault="00D74719" w:rsidP="000B7E88">
            <w:pPr>
              <w:pStyle w:val="Tabletext"/>
              <w:jc w:val="center"/>
              <w:rPr>
                <w:lang w:val="en-US" w:eastAsia="zh-CN"/>
              </w:rPr>
            </w:pPr>
          </w:p>
        </w:tc>
        <w:tc>
          <w:tcPr>
            <w:tcW w:w="993" w:type="dxa"/>
            <w:tcBorders>
              <w:top w:val="single" w:sz="12" w:space="0" w:color="auto"/>
              <w:left w:val="nil"/>
              <w:bottom w:val="single" w:sz="12"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p>
        </w:tc>
        <w:tc>
          <w:tcPr>
            <w:tcW w:w="909" w:type="dxa"/>
            <w:tcBorders>
              <w:top w:val="single" w:sz="12" w:space="0" w:color="auto"/>
              <w:left w:val="nil"/>
              <w:bottom w:val="single" w:sz="12" w:space="0" w:color="auto"/>
              <w:right w:val="nil"/>
            </w:tcBorders>
            <w:shd w:val="clear" w:color="000000" w:fill="FFFFFF"/>
            <w:noWrap/>
            <w:vAlign w:val="bottom"/>
            <w:hideMark/>
          </w:tcPr>
          <w:p w:rsidR="00D74719" w:rsidRPr="00922F72" w:rsidRDefault="00D74719" w:rsidP="000B7E88">
            <w:pPr>
              <w:pStyle w:val="Tabletext"/>
              <w:jc w:val="center"/>
              <w:rPr>
                <w:lang w:val="en-US" w:eastAsia="zh-CN"/>
              </w:rPr>
            </w:pPr>
          </w:p>
        </w:tc>
        <w:tc>
          <w:tcPr>
            <w:tcW w:w="933" w:type="dxa"/>
            <w:tcBorders>
              <w:top w:val="single" w:sz="12" w:space="0" w:color="auto"/>
              <w:left w:val="nil"/>
              <w:bottom w:val="single" w:sz="12" w:space="0" w:color="auto"/>
              <w:right w:val="nil"/>
            </w:tcBorders>
            <w:shd w:val="clear" w:color="000000" w:fill="FFFFFF"/>
            <w:noWrap/>
            <w:vAlign w:val="bottom"/>
            <w:hideMark/>
          </w:tcPr>
          <w:p w:rsidR="00D74719" w:rsidRPr="00922F72" w:rsidRDefault="00D74719" w:rsidP="000B7E88">
            <w:pPr>
              <w:pStyle w:val="Tabletext"/>
              <w:jc w:val="center"/>
              <w:rPr>
                <w:b/>
                <w:bCs/>
                <w:lang w:val="en-US" w:eastAsia="zh-CN"/>
              </w:rPr>
            </w:pPr>
          </w:p>
        </w:tc>
      </w:tr>
      <w:tr w:rsidR="00D74719" w:rsidRPr="00922F72" w:rsidTr="000B7E88">
        <w:trPr>
          <w:trHeight w:val="230"/>
        </w:trPr>
        <w:tc>
          <w:tcPr>
            <w:tcW w:w="2449" w:type="dxa"/>
            <w:tcBorders>
              <w:top w:val="single" w:sz="12" w:space="0" w:color="auto"/>
              <w:left w:val="single" w:sz="8" w:space="0" w:color="auto"/>
              <w:bottom w:val="single" w:sz="8" w:space="0" w:color="auto"/>
              <w:right w:val="single" w:sz="4" w:space="0" w:color="auto"/>
            </w:tcBorders>
            <w:shd w:val="clear" w:color="auto" w:fill="auto"/>
            <w:noWrap/>
            <w:vAlign w:val="bottom"/>
          </w:tcPr>
          <w:p w:rsidR="00D74719" w:rsidRDefault="00D74719" w:rsidP="000B7E88">
            <w:pPr>
              <w:pStyle w:val="Tabletext"/>
              <w:rPr>
                <w:sz w:val="18"/>
                <w:szCs w:val="18"/>
                <w:lang w:val="en-US" w:eastAsia="zh-CN"/>
              </w:rPr>
            </w:pPr>
            <w:r>
              <w:rPr>
                <w:rFonts w:asciiTheme="minorHAnsi" w:hAnsiTheme="minorHAnsi" w:cs="Calibri"/>
                <w:szCs w:val="24"/>
                <w:lang w:val="fr-CH"/>
              </w:rPr>
              <w:t>% de recommandations en cours</w:t>
            </w:r>
          </w:p>
        </w:tc>
        <w:tc>
          <w:tcPr>
            <w:tcW w:w="850" w:type="dxa"/>
            <w:tcBorders>
              <w:top w:val="single" w:sz="12" w:space="0" w:color="auto"/>
              <w:left w:val="nil"/>
              <w:bottom w:val="single" w:sz="8" w:space="0" w:color="auto"/>
              <w:right w:val="single" w:sz="4" w:space="0" w:color="auto"/>
            </w:tcBorders>
            <w:shd w:val="clear" w:color="auto" w:fill="auto"/>
            <w:noWrap/>
            <w:vAlign w:val="bottom"/>
          </w:tcPr>
          <w:p w:rsidR="00D74719" w:rsidRPr="00922F72" w:rsidRDefault="00D74719" w:rsidP="000B7E88">
            <w:pPr>
              <w:pStyle w:val="Tabletext"/>
              <w:jc w:val="center"/>
              <w:rPr>
                <w:lang w:val="en-US" w:eastAsia="zh-CN"/>
              </w:rPr>
            </w:pPr>
            <w:r>
              <w:rPr>
                <w:lang w:val="en-US" w:eastAsia="zh-CN"/>
              </w:rPr>
              <w:t>8</w:t>
            </w:r>
            <w:r w:rsidRPr="00922F72">
              <w:rPr>
                <w:lang w:val="en-US" w:eastAsia="zh-CN"/>
              </w:rPr>
              <w:t>%</w:t>
            </w:r>
          </w:p>
        </w:tc>
        <w:tc>
          <w:tcPr>
            <w:tcW w:w="851" w:type="dxa"/>
            <w:tcBorders>
              <w:top w:val="single" w:sz="12" w:space="0" w:color="auto"/>
              <w:left w:val="nil"/>
              <w:bottom w:val="single" w:sz="8" w:space="0" w:color="auto"/>
              <w:right w:val="single" w:sz="4" w:space="0" w:color="auto"/>
            </w:tcBorders>
            <w:shd w:val="clear" w:color="auto" w:fill="auto"/>
            <w:noWrap/>
            <w:vAlign w:val="bottom"/>
          </w:tcPr>
          <w:p w:rsidR="00D74719" w:rsidRPr="00922F72" w:rsidRDefault="00D74719" w:rsidP="000B7E88">
            <w:pPr>
              <w:pStyle w:val="Tabletext"/>
              <w:jc w:val="center"/>
              <w:rPr>
                <w:lang w:val="en-US" w:eastAsia="zh-CN"/>
              </w:rPr>
            </w:pPr>
            <w:r>
              <w:rPr>
                <w:lang w:val="en-US" w:eastAsia="zh-CN"/>
              </w:rPr>
              <w:t>0</w:t>
            </w:r>
            <w:r w:rsidRPr="00922F72">
              <w:rPr>
                <w:lang w:val="en-US" w:eastAsia="zh-CN"/>
              </w:rPr>
              <w:t>%</w:t>
            </w:r>
          </w:p>
        </w:tc>
        <w:tc>
          <w:tcPr>
            <w:tcW w:w="850" w:type="dxa"/>
            <w:tcBorders>
              <w:top w:val="single" w:sz="12" w:space="0" w:color="auto"/>
              <w:left w:val="nil"/>
              <w:bottom w:val="single" w:sz="8" w:space="0" w:color="auto"/>
              <w:right w:val="single" w:sz="4" w:space="0" w:color="auto"/>
            </w:tcBorders>
            <w:shd w:val="clear" w:color="auto" w:fill="auto"/>
            <w:noWrap/>
            <w:vAlign w:val="bottom"/>
          </w:tcPr>
          <w:p w:rsidR="00D74719" w:rsidRPr="00922F72" w:rsidRDefault="00D74719" w:rsidP="000B7E88">
            <w:pPr>
              <w:pStyle w:val="Tabletext"/>
              <w:jc w:val="center"/>
              <w:rPr>
                <w:lang w:val="en-US" w:eastAsia="zh-CN"/>
              </w:rPr>
            </w:pPr>
            <w:r>
              <w:rPr>
                <w:lang w:val="en-US" w:eastAsia="zh-CN"/>
              </w:rPr>
              <w:t>6</w:t>
            </w:r>
            <w:r w:rsidRPr="00922F72">
              <w:rPr>
                <w:lang w:val="en-US" w:eastAsia="zh-CN"/>
              </w:rPr>
              <w:t>%</w:t>
            </w:r>
          </w:p>
        </w:tc>
        <w:tc>
          <w:tcPr>
            <w:tcW w:w="851" w:type="dxa"/>
            <w:tcBorders>
              <w:top w:val="single" w:sz="12" w:space="0" w:color="auto"/>
              <w:left w:val="nil"/>
              <w:bottom w:val="single" w:sz="8" w:space="0" w:color="auto"/>
              <w:right w:val="single" w:sz="4" w:space="0" w:color="auto"/>
            </w:tcBorders>
            <w:shd w:val="clear" w:color="auto" w:fill="auto"/>
            <w:noWrap/>
            <w:vAlign w:val="bottom"/>
          </w:tcPr>
          <w:p w:rsidR="00D74719" w:rsidRPr="00922F72" w:rsidRDefault="00D74719" w:rsidP="000B7E88">
            <w:pPr>
              <w:pStyle w:val="Tabletext"/>
              <w:jc w:val="center"/>
              <w:rPr>
                <w:lang w:val="en-US" w:eastAsia="zh-CN"/>
              </w:rPr>
            </w:pPr>
            <w:r w:rsidRPr="00A04F50">
              <w:rPr>
                <w:lang w:val="en-US" w:eastAsia="zh-CN"/>
              </w:rPr>
              <w:t>–</w:t>
            </w:r>
          </w:p>
        </w:tc>
        <w:tc>
          <w:tcPr>
            <w:tcW w:w="850" w:type="dxa"/>
            <w:tcBorders>
              <w:top w:val="single" w:sz="12" w:space="0" w:color="auto"/>
              <w:left w:val="nil"/>
              <w:bottom w:val="single" w:sz="8" w:space="0" w:color="auto"/>
              <w:right w:val="single" w:sz="4" w:space="0" w:color="auto"/>
            </w:tcBorders>
            <w:shd w:val="clear" w:color="auto" w:fill="auto"/>
            <w:noWrap/>
            <w:vAlign w:val="bottom"/>
          </w:tcPr>
          <w:p w:rsidR="00D74719" w:rsidRPr="00922F72" w:rsidRDefault="00D74719" w:rsidP="000B7E88">
            <w:pPr>
              <w:pStyle w:val="Tabletext"/>
              <w:jc w:val="center"/>
              <w:rPr>
                <w:lang w:val="en-US" w:eastAsia="zh-CN"/>
              </w:rPr>
            </w:pPr>
            <w:r>
              <w:rPr>
                <w:lang w:val="en-US" w:eastAsia="zh-CN"/>
              </w:rPr>
              <w:t>12%</w:t>
            </w:r>
          </w:p>
        </w:tc>
        <w:tc>
          <w:tcPr>
            <w:tcW w:w="993" w:type="dxa"/>
            <w:tcBorders>
              <w:top w:val="single" w:sz="12" w:space="0" w:color="auto"/>
              <w:left w:val="nil"/>
              <w:bottom w:val="single" w:sz="8" w:space="0" w:color="auto"/>
              <w:right w:val="single" w:sz="4" w:space="0" w:color="auto"/>
            </w:tcBorders>
            <w:shd w:val="clear" w:color="000000" w:fill="FFFFFF"/>
            <w:noWrap/>
            <w:vAlign w:val="bottom"/>
          </w:tcPr>
          <w:p w:rsidR="00D74719" w:rsidRPr="00922F72" w:rsidRDefault="00D74719" w:rsidP="000B7E88">
            <w:pPr>
              <w:pStyle w:val="Tabletext"/>
              <w:jc w:val="center"/>
              <w:rPr>
                <w:lang w:val="en-US" w:eastAsia="zh-CN"/>
              </w:rPr>
            </w:pPr>
            <w:r>
              <w:rPr>
                <w:lang w:val="en-US" w:eastAsia="zh-CN"/>
              </w:rPr>
              <w:t>36</w:t>
            </w:r>
            <w:r w:rsidRPr="00922F72">
              <w:rPr>
                <w:lang w:val="en-US" w:eastAsia="zh-CN"/>
              </w:rPr>
              <w:t>%</w:t>
            </w:r>
          </w:p>
        </w:tc>
        <w:tc>
          <w:tcPr>
            <w:tcW w:w="909" w:type="dxa"/>
            <w:tcBorders>
              <w:top w:val="single" w:sz="12" w:space="0" w:color="auto"/>
              <w:left w:val="nil"/>
              <w:bottom w:val="single" w:sz="8" w:space="0" w:color="auto"/>
              <w:right w:val="single" w:sz="4" w:space="0" w:color="auto"/>
            </w:tcBorders>
            <w:shd w:val="clear" w:color="000000" w:fill="FFFFFF"/>
            <w:noWrap/>
            <w:vAlign w:val="bottom"/>
          </w:tcPr>
          <w:p w:rsidR="00D74719" w:rsidRPr="00922F72" w:rsidRDefault="00D74719" w:rsidP="000B7E88">
            <w:pPr>
              <w:pStyle w:val="Tabletext"/>
              <w:jc w:val="center"/>
              <w:rPr>
                <w:lang w:val="en-US" w:eastAsia="zh-CN"/>
              </w:rPr>
            </w:pPr>
            <w:r>
              <w:rPr>
                <w:lang w:val="en-US" w:eastAsia="zh-CN"/>
              </w:rPr>
              <w:t>88</w:t>
            </w:r>
            <w:r w:rsidRPr="00922F72">
              <w:rPr>
                <w:lang w:val="en-US" w:eastAsia="zh-CN"/>
              </w:rPr>
              <w:t>%</w:t>
            </w:r>
          </w:p>
        </w:tc>
        <w:tc>
          <w:tcPr>
            <w:tcW w:w="933" w:type="dxa"/>
            <w:tcBorders>
              <w:top w:val="single" w:sz="12" w:space="0" w:color="auto"/>
              <w:left w:val="nil"/>
              <w:bottom w:val="single" w:sz="8" w:space="0" w:color="auto"/>
              <w:right w:val="single" w:sz="8" w:space="0" w:color="auto"/>
            </w:tcBorders>
            <w:shd w:val="clear" w:color="000000" w:fill="C4BD97"/>
            <w:noWrap/>
            <w:vAlign w:val="bottom"/>
          </w:tcPr>
          <w:p w:rsidR="00D74719" w:rsidRPr="00F94C98" w:rsidRDefault="00D74719" w:rsidP="000B7E88">
            <w:pPr>
              <w:pStyle w:val="Tabletext"/>
              <w:jc w:val="center"/>
              <w:rPr>
                <w:b/>
                <w:bCs/>
                <w:lang w:val="en-US" w:eastAsia="zh-CN"/>
              </w:rPr>
            </w:pPr>
            <w:r>
              <w:rPr>
                <w:b/>
                <w:bCs/>
                <w:lang w:val="en-US" w:eastAsia="zh-CN"/>
              </w:rPr>
              <w:t>26</w:t>
            </w:r>
            <w:r w:rsidRPr="00F94C98">
              <w:rPr>
                <w:b/>
                <w:bCs/>
                <w:lang w:val="en-US" w:eastAsia="zh-CN"/>
              </w:rPr>
              <w:t>%</w:t>
            </w:r>
          </w:p>
        </w:tc>
      </w:tr>
      <w:tr w:rsidR="00D74719" w:rsidRPr="00922F72" w:rsidTr="000B7E88">
        <w:trPr>
          <w:trHeight w:val="230"/>
        </w:trPr>
        <w:tc>
          <w:tcPr>
            <w:tcW w:w="24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74719" w:rsidRPr="00922F72" w:rsidRDefault="00D74719" w:rsidP="000B7E88">
            <w:pPr>
              <w:pStyle w:val="Tabletext"/>
              <w:rPr>
                <w:sz w:val="18"/>
                <w:szCs w:val="18"/>
                <w:lang w:val="en-US" w:eastAsia="zh-CN"/>
              </w:rPr>
            </w:pPr>
            <w:r>
              <w:rPr>
                <w:rFonts w:asciiTheme="minorHAnsi" w:hAnsiTheme="minorHAnsi" w:cs="Calibri"/>
                <w:szCs w:val="24"/>
                <w:lang w:val="fr-CH"/>
              </w:rPr>
              <w:t>% de recommandations retardées</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sidRPr="00922F72">
              <w:rPr>
                <w:lang w:val="en-US" w:eastAsia="zh-CN"/>
              </w:rPr>
              <w:t>0%</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sidRPr="00922F72">
              <w:rPr>
                <w:lang w:val="en-US" w:eastAsia="zh-CN"/>
              </w:rPr>
              <w:t>0%</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12</w:t>
            </w:r>
            <w:r w:rsidRPr="00922F72">
              <w:rPr>
                <w:lang w:val="en-US" w:eastAsia="zh-CN"/>
              </w:rPr>
              <w:t>%</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sidRPr="00A04F50">
              <w:rPr>
                <w:lang w:val="en-US" w:eastAsia="zh-CN"/>
              </w:rPr>
              <w:t>–</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1%</w:t>
            </w:r>
          </w:p>
        </w:tc>
        <w:tc>
          <w:tcPr>
            <w:tcW w:w="993" w:type="dxa"/>
            <w:tcBorders>
              <w:top w:val="single" w:sz="8" w:space="0" w:color="auto"/>
              <w:left w:val="nil"/>
              <w:bottom w:val="single" w:sz="8"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9</w:t>
            </w:r>
            <w:r w:rsidRPr="00922F72">
              <w:rPr>
                <w:lang w:val="en-US" w:eastAsia="zh-CN"/>
              </w:rPr>
              <w:t>%</w:t>
            </w:r>
          </w:p>
        </w:tc>
        <w:tc>
          <w:tcPr>
            <w:tcW w:w="909" w:type="dxa"/>
            <w:tcBorders>
              <w:top w:val="single" w:sz="8" w:space="0" w:color="auto"/>
              <w:left w:val="nil"/>
              <w:bottom w:val="single" w:sz="8"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0</w:t>
            </w:r>
            <w:r w:rsidRPr="00922F72">
              <w:rPr>
                <w:lang w:val="en-US" w:eastAsia="zh-CN"/>
              </w:rPr>
              <w:t>%</w:t>
            </w:r>
          </w:p>
        </w:tc>
        <w:tc>
          <w:tcPr>
            <w:tcW w:w="933" w:type="dxa"/>
            <w:tcBorders>
              <w:top w:val="single" w:sz="8" w:space="0" w:color="auto"/>
              <w:left w:val="nil"/>
              <w:bottom w:val="single" w:sz="8" w:space="0" w:color="auto"/>
              <w:right w:val="single" w:sz="8" w:space="0" w:color="auto"/>
            </w:tcBorders>
            <w:shd w:val="clear" w:color="000000" w:fill="C4BD97"/>
            <w:noWrap/>
            <w:vAlign w:val="bottom"/>
            <w:hideMark/>
          </w:tcPr>
          <w:p w:rsidR="00D74719" w:rsidRPr="00922F72" w:rsidRDefault="00D74719" w:rsidP="000B7E88">
            <w:pPr>
              <w:pStyle w:val="Tabletext"/>
              <w:jc w:val="center"/>
              <w:rPr>
                <w:b/>
                <w:bCs/>
                <w:lang w:val="en-US" w:eastAsia="zh-CN"/>
              </w:rPr>
            </w:pPr>
            <w:r>
              <w:rPr>
                <w:b/>
                <w:bCs/>
                <w:lang w:val="en-US" w:eastAsia="zh-CN"/>
              </w:rPr>
              <w:t>3</w:t>
            </w:r>
            <w:r w:rsidRPr="00922F72">
              <w:rPr>
                <w:b/>
                <w:bCs/>
                <w:lang w:val="en-US" w:eastAsia="zh-CN"/>
              </w:rPr>
              <w:t>%</w:t>
            </w:r>
          </w:p>
        </w:tc>
      </w:tr>
      <w:tr w:rsidR="00D74719" w:rsidRPr="00922F72" w:rsidTr="000B7E88">
        <w:trPr>
          <w:trHeight w:val="230"/>
        </w:trPr>
        <w:tc>
          <w:tcPr>
            <w:tcW w:w="2449" w:type="dxa"/>
            <w:tcBorders>
              <w:top w:val="single" w:sz="8" w:space="0" w:color="auto"/>
              <w:left w:val="single" w:sz="8" w:space="0" w:color="auto"/>
              <w:bottom w:val="single" w:sz="12" w:space="0" w:color="auto"/>
              <w:right w:val="single" w:sz="4" w:space="0" w:color="auto"/>
            </w:tcBorders>
            <w:shd w:val="clear" w:color="auto" w:fill="auto"/>
            <w:noWrap/>
            <w:vAlign w:val="bottom"/>
            <w:hideMark/>
          </w:tcPr>
          <w:p w:rsidR="00D74719" w:rsidRPr="00922F72" w:rsidRDefault="00D74719" w:rsidP="000B7E88">
            <w:pPr>
              <w:pStyle w:val="Tabletext"/>
              <w:rPr>
                <w:sz w:val="18"/>
                <w:szCs w:val="18"/>
                <w:lang w:val="en-US" w:eastAsia="zh-CN"/>
              </w:rPr>
            </w:pPr>
            <w:r>
              <w:rPr>
                <w:rFonts w:asciiTheme="minorHAnsi" w:hAnsiTheme="minorHAnsi" w:cs="Calibri"/>
                <w:szCs w:val="24"/>
                <w:lang w:val="fr-CH"/>
              </w:rPr>
              <w:t>% de recommandations closes</w:t>
            </w:r>
          </w:p>
        </w:tc>
        <w:tc>
          <w:tcPr>
            <w:tcW w:w="850" w:type="dxa"/>
            <w:tcBorders>
              <w:top w:val="single" w:sz="8" w:space="0" w:color="auto"/>
              <w:left w:val="nil"/>
              <w:bottom w:val="single" w:sz="12"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92</w:t>
            </w:r>
            <w:r w:rsidRPr="00922F72">
              <w:rPr>
                <w:lang w:val="en-US" w:eastAsia="zh-CN"/>
              </w:rPr>
              <w:t>%</w:t>
            </w:r>
          </w:p>
        </w:tc>
        <w:tc>
          <w:tcPr>
            <w:tcW w:w="851" w:type="dxa"/>
            <w:tcBorders>
              <w:top w:val="single" w:sz="8" w:space="0" w:color="auto"/>
              <w:left w:val="nil"/>
              <w:bottom w:val="single" w:sz="12"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100</w:t>
            </w:r>
            <w:r w:rsidRPr="00922F72">
              <w:rPr>
                <w:lang w:val="en-US" w:eastAsia="zh-CN"/>
              </w:rPr>
              <w:t>%</w:t>
            </w:r>
          </w:p>
        </w:tc>
        <w:tc>
          <w:tcPr>
            <w:tcW w:w="850" w:type="dxa"/>
            <w:tcBorders>
              <w:top w:val="single" w:sz="8" w:space="0" w:color="auto"/>
              <w:left w:val="nil"/>
              <w:bottom w:val="single" w:sz="12"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82</w:t>
            </w:r>
            <w:r w:rsidRPr="00922F72">
              <w:rPr>
                <w:lang w:val="en-US" w:eastAsia="zh-CN"/>
              </w:rPr>
              <w:t>%</w:t>
            </w:r>
          </w:p>
        </w:tc>
        <w:tc>
          <w:tcPr>
            <w:tcW w:w="851" w:type="dxa"/>
            <w:tcBorders>
              <w:top w:val="single" w:sz="8" w:space="0" w:color="auto"/>
              <w:left w:val="nil"/>
              <w:bottom w:val="single" w:sz="12"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sidRPr="00A04F50">
              <w:rPr>
                <w:lang w:val="en-US" w:eastAsia="zh-CN"/>
              </w:rPr>
              <w:t>–</w:t>
            </w:r>
          </w:p>
        </w:tc>
        <w:tc>
          <w:tcPr>
            <w:tcW w:w="850" w:type="dxa"/>
            <w:tcBorders>
              <w:top w:val="single" w:sz="8" w:space="0" w:color="auto"/>
              <w:left w:val="nil"/>
              <w:bottom w:val="single" w:sz="12"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88%</w:t>
            </w:r>
          </w:p>
        </w:tc>
        <w:tc>
          <w:tcPr>
            <w:tcW w:w="993" w:type="dxa"/>
            <w:tcBorders>
              <w:top w:val="single" w:sz="8" w:space="0" w:color="auto"/>
              <w:left w:val="nil"/>
              <w:bottom w:val="single" w:sz="12" w:space="0" w:color="auto"/>
              <w:right w:val="single" w:sz="4" w:space="0" w:color="auto"/>
            </w:tcBorders>
            <w:shd w:val="clear" w:color="auto" w:fill="auto"/>
            <w:noWrap/>
            <w:vAlign w:val="bottom"/>
            <w:hideMark/>
          </w:tcPr>
          <w:p w:rsidR="00D74719" w:rsidRPr="00922F72" w:rsidRDefault="00D74719" w:rsidP="000B7E88">
            <w:pPr>
              <w:pStyle w:val="Tabletext"/>
              <w:jc w:val="center"/>
              <w:rPr>
                <w:lang w:val="en-US" w:eastAsia="zh-CN"/>
              </w:rPr>
            </w:pPr>
            <w:r>
              <w:rPr>
                <w:lang w:val="en-US" w:eastAsia="zh-CN"/>
              </w:rPr>
              <w:t>55</w:t>
            </w:r>
            <w:r w:rsidRPr="00922F72">
              <w:rPr>
                <w:lang w:val="en-US" w:eastAsia="zh-CN"/>
              </w:rPr>
              <w:t>%</w:t>
            </w:r>
          </w:p>
        </w:tc>
        <w:tc>
          <w:tcPr>
            <w:tcW w:w="909" w:type="dxa"/>
            <w:tcBorders>
              <w:top w:val="single" w:sz="8" w:space="0" w:color="auto"/>
              <w:left w:val="nil"/>
              <w:bottom w:val="single" w:sz="12" w:space="0" w:color="auto"/>
              <w:right w:val="single" w:sz="4" w:space="0" w:color="auto"/>
            </w:tcBorders>
            <w:shd w:val="clear" w:color="000000" w:fill="FFFFFF"/>
            <w:noWrap/>
            <w:vAlign w:val="bottom"/>
            <w:hideMark/>
          </w:tcPr>
          <w:p w:rsidR="00D74719" w:rsidRPr="00922F72" w:rsidRDefault="00D74719" w:rsidP="000B7E88">
            <w:pPr>
              <w:pStyle w:val="Tabletext"/>
              <w:jc w:val="center"/>
              <w:rPr>
                <w:lang w:val="en-US" w:eastAsia="zh-CN"/>
              </w:rPr>
            </w:pPr>
            <w:r>
              <w:rPr>
                <w:lang w:val="en-US" w:eastAsia="zh-CN"/>
              </w:rPr>
              <w:t>12</w:t>
            </w:r>
            <w:r w:rsidRPr="00922F72">
              <w:rPr>
                <w:lang w:val="en-US" w:eastAsia="zh-CN"/>
              </w:rPr>
              <w:t>%</w:t>
            </w:r>
          </w:p>
        </w:tc>
        <w:tc>
          <w:tcPr>
            <w:tcW w:w="933" w:type="dxa"/>
            <w:tcBorders>
              <w:top w:val="single" w:sz="8" w:space="0" w:color="auto"/>
              <w:left w:val="nil"/>
              <w:bottom w:val="single" w:sz="12" w:space="0" w:color="auto"/>
              <w:right w:val="single" w:sz="8" w:space="0" w:color="auto"/>
            </w:tcBorders>
            <w:shd w:val="clear" w:color="000000" w:fill="C4BD97"/>
            <w:noWrap/>
            <w:vAlign w:val="bottom"/>
            <w:hideMark/>
          </w:tcPr>
          <w:p w:rsidR="00D74719" w:rsidRPr="00922F72" w:rsidRDefault="00D74719" w:rsidP="000B7E88">
            <w:pPr>
              <w:pStyle w:val="Tabletext"/>
              <w:jc w:val="center"/>
              <w:rPr>
                <w:b/>
                <w:bCs/>
                <w:lang w:val="en-US" w:eastAsia="zh-CN"/>
              </w:rPr>
            </w:pPr>
            <w:r>
              <w:rPr>
                <w:b/>
                <w:bCs/>
                <w:lang w:val="en-US" w:eastAsia="zh-CN"/>
              </w:rPr>
              <w:t>71</w:t>
            </w:r>
            <w:r w:rsidRPr="00922F72">
              <w:rPr>
                <w:b/>
                <w:bCs/>
                <w:lang w:val="en-US" w:eastAsia="zh-CN"/>
              </w:rPr>
              <w:t>%</w:t>
            </w:r>
          </w:p>
        </w:tc>
      </w:tr>
    </w:tbl>
    <w:p w:rsidR="00D80160" w:rsidRDefault="00D74719" w:rsidP="00374359">
      <w:pPr>
        <w:spacing w:before="360"/>
        <w:rPr>
          <w:lang w:val="fr-CH"/>
        </w:rPr>
      </w:pPr>
      <w:r w:rsidRPr="001C5CF5">
        <w:rPr>
          <w:lang w:val="fr-CH"/>
        </w:rPr>
        <w:t>28</w:t>
      </w:r>
      <w:r w:rsidRPr="001C5CF5">
        <w:rPr>
          <w:lang w:val="fr-CH"/>
        </w:rPr>
        <w:tab/>
        <w:t>Toutes les recommandations essentielles ou d</w:t>
      </w:r>
      <w:r w:rsidR="000B7E88">
        <w:rPr>
          <w:lang w:val="fr-CH"/>
        </w:rPr>
        <w:t>'</w:t>
      </w:r>
      <w:r w:rsidRPr="001C5CF5">
        <w:rPr>
          <w:lang w:val="fr-CH"/>
        </w:rPr>
        <w:t>une importance majeure datant d</w:t>
      </w:r>
      <w:r w:rsidR="000B7E88">
        <w:rPr>
          <w:lang w:val="fr-CH"/>
        </w:rPr>
        <w:t>'</w:t>
      </w:r>
      <w:r w:rsidRPr="001C5CF5">
        <w:rPr>
          <w:lang w:val="fr-CH"/>
        </w:rPr>
        <w:t xml:space="preserve">avant 2012 ont été mises en oeuvre. </w:t>
      </w:r>
      <w:r w:rsidRPr="00511E6B">
        <w:rPr>
          <w:lang w:val="fr-CH"/>
        </w:rPr>
        <w:t>L</w:t>
      </w:r>
      <w:r w:rsidR="000B7E88">
        <w:rPr>
          <w:lang w:val="fr-CH"/>
        </w:rPr>
        <w:t>'</w:t>
      </w:r>
      <w:r w:rsidRPr="00511E6B">
        <w:rPr>
          <w:lang w:val="fr-CH"/>
        </w:rPr>
        <w:t>une de ces recommandations concerne la modification d</w:t>
      </w:r>
      <w:r w:rsidR="000B7E88">
        <w:rPr>
          <w:lang w:val="fr-CH"/>
        </w:rPr>
        <w:t>'</w:t>
      </w:r>
      <w:r w:rsidRPr="00511E6B">
        <w:rPr>
          <w:lang w:val="fr-CH"/>
        </w:rPr>
        <w:t xml:space="preserve">un flux de travail </w:t>
      </w:r>
      <w:r>
        <w:rPr>
          <w:lang w:val="fr-CH"/>
        </w:rPr>
        <w:t>interne relatif à l</w:t>
      </w:r>
      <w:r w:rsidR="000B7E88">
        <w:rPr>
          <w:lang w:val="fr-CH"/>
        </w:rPr>
        <w:t>'</w:t>
      </w:r>
      <w:r>
        <w:rPr>
          <w:lang w:val="fr-CH"/>
        </w:rPr>
        <w:t>approbation, qui a été retardée car elle a été intégrée à un examen plus global des procédures internes. Cette modification est actuellement en cours et devrait être achevée en 201</w:t>
      </w:r>
      <w:r w:rsidR="00E8451C">
        <w:rPr>
          <w:lang w:val="fr-CH"/>
        </w:rPr>
        <w:t>6</w:t>
      </w:r>
      <w:r>
        <w:rPr>
          <w:lang w:val="fr-CH"/>
        </w:rPr>
        <w:t>.</w:t>
      </w:r>
      <w:r w:rsidRPr="001C5CF5">
        <w:rPr>
          <w:lang w:val="fr-CH"/>
        </w:rPr>
        <w:t xml:space="preserve"> </w:t>
      </w:r>
      <w:r>
        <w:rPr>
          <w:lang w:val="fr-CH"/>
        </w:rPr>
        <w:t>Les recommandations datant de 2011 toujours en cours</w:t>
      </w:r>
      <w:r w:rsidR="002872A3">
        <w:rPr>
          <w:lang w:val="fr-CH"/>
        </w:rPr>
        <w:t xml:space="preserve"> ou retardées</w:t>
      </w:r>
      <w:r>
        <w:rPr>
          <w:lang w:val="fr-CH"/>
        </w:rPr>
        <w:t>, concernent l</w:t>
      </w:r>
      <w:r w:rsidR="000B7E88">
        <w:rPr>
          <w:lang w:val="fr-CH"/>
        </w:rPr>
        <w:t>'</w:t>
      </w:r>
      <w:r>
        <w:rPr>
          <w:lang w:val="fr-CH"/>
        </w:rPr>
        <w:t>audit interne du coût des publications.</w:t>
      </w:r>
      <w:r w:rsidRPr="001C5CF5">
        <w:rPr>
          <w:lang w:val="fr-CH"/>
        </w:rPr>
        <w:t xml:space="preserve"> </w:t>
      </w:r>
      <w:r w:rsidR="00E8451C">
        <w:rPr>
          <w:lang w:val="fr-CH"/>
        </w:rPr>
        <w:t>La direction a informé régulièrement l</w:t>
      </w:r>
      <w:r w:rsidR="000B7E88">
        <w:rPr>
          <w:lang w:val="fr-CH"/>
        </w:rPr>
        <w:t>'</w:t>
      </w:r>
      <w:r w:rsidR="00374359">
        <w:rPr>
          <w:lang w:val="fr-CH"/>
        </w:rPr>
        <w:t>Unité </w:t>
      </w:r>
      <w:r w:rsidR="00E8451C">
        <w:rPr>
          <w:lang w:val="fr-CH"/>
        </w:rPr>
        <w:t>de l</w:t>
      </w:r>
      <w:r w:rsidR="000B7E88">
        <w:rPr>
          <w:lang w:val="fr-CH"/>
        </w:rPr>
        <w:t>'</w:t>
      </w:r>
      <w:r w:rsidR="00E8451C">
        <w:rPr>
          <w:lang w:val="fr-CH"/>
        </w:rPr>
        <w:t>audit interne (et le CCIG) des progrès accomplis et le Vérificateur extérieur</w:t>
      </w:r>
      <w:r w:rsidR="002872A3">
        <w:rPr>
          <w:lang w:val="fr-CH"/>
        </w:rPr>
        <w:t xml:space="preserve"> des comptes</w:t>
      </w:r>
      <w:r w:rsidR="00E8451C">
        <w:rPr>
          <w:lang w:val="fr-CH"/>
        </w:rPr>
        <w:t xml:space="preserve"> avait déjà </w:t>
      </w:r>
      <w:r w:rsidR="002872A3">
        <w:rPr>
          <w:lang w:val="fr-CH"/>
        </w:rPr>
        <w:t>déterminé</w:t>
      </w:r>
      <w:r w:rsidR="00E8451C">
        <w:rPr>
          <w:lang w:val="fr-CH"/>
        </w:rPr>
        <w:t xml:space="preserve"> que certaines des recommandations datant de 2011 </w:t>
      </w:r>
      <w:r w:rsidR="006E500C">
        <w:rPr>
          <w:lang w:val="fr-CH"/>
        </w:rPr>
        <w:t>étaient closes</w:t>
      </w:r>
      <w:r w:rsidR="00E8451C">
        <w:rPr>
          <w:lang w:val="fr-CH"/>
        </w:rPr>
        <w:t xml:space="preserve">. En 2016, </w:t>
      </w:r>
      <w:r w:rsidR="00E8451C" w:rsidRPr="00E8451C">
        <w:rPr>
          <w:lang w:val="fr-CH"/>
        </w:rPr>
        <w:t>l</w:t>
      </w:r>
      <w:r w:rsidR="000B7E88">
        <w:rPr>
          <w:lang w:val="fr-CH"/>
        </w:rPr>
        <w:t>'</w:t>
      </w:r>
      <w:r w:rsidR="00E8451C" w:rsidRPr="00E8451C">
        <w:rPr>
          <w:lang w:val="fr-CH"/>
        </w:rPr>
        <w:t>Unité de l</w:t>
      </w:r>
      <w:r w:rsidR="000B7E88">
        <w:rPr>
          <w:lang w:val="fr-CH"/>
        </w:rPr>
        <w:t>'</w:t>
      </w:r>
      <w:r w:rsidR="00E8451C" w:rsidRPr="00E8451C">
        <w:rPr>
          <w:lang w:val="fr-CH"/>
        </w:rPr>
        <w:t>audit interne continuera de suivre l</w:t>
      </w:r>
      <w:r w:rsidR="000B7E88">
        <w:rPr>
          <w:lang w:val="fr-CH"/>
        </w:rPr>
        <w:t>'</w:t>
      </w:r>
      <w:r w:rsidR="00E8451C" w:rsidRPr="00E8451C">
        <w:rPr>
          <w:lang w:val="fr-CH"/>
        </w:rPr>
        <w:t xml:space="preserve">avancement de la mise en </w:t>
      </w:r>
      <w:r w:rsidR="000B7E88">
        <w:rPr>
          <w:lang w:val="fr-CH"/>
        </w:rPr>
        <w:t>oe</w:t>
      </w:r>
      <w:r w:rsidR="00E8451C" w:rsidRPr="00E8451C">
        <w:rPr>
          <w:lang w:val="fr-CH"/>
        </w:rPr>
        <w:t>uvre des diverses recommandations figurant dans les rapports d</w:t>
      </w:r>
      <w:r w:rsidR="000B7E88">
        <w:rPr>
          <w:lang w:val="fr-CH"/>
        </w:rPr>
        <w:t>'</w:t>
      </w:r>
      <w:r w:rsidR="00E8451C" w:rsidRPr="00E8451C">
        <w:rPr>
          <w:lang w:val="fr-CH"/>
        </w:rPr>
        <w:t>audit précédents, et, au besoin, fera rapport en la matière au Secrétaire général et au CCIG</w:t>
      </w:r>
      <w:r w:rsidR="00674914">
        <w:rPr>
          <w:lang w:val="fr-CH"/>
        </w:rPr>
        <w:t xml:space="preserve">. </w:t>
      </w:r>
      <w:r w:rsidR="00674914" w:rsidRPr="00674914">
        <w:rPr>
          <w:lang w:val="fr-CH"/>
        </w:rPr>
        <w:t>Globalement, on note des progrès continus</w:t>
      </w:r>
      <w:r w:rsidR="00D80160">
        <w:rPr>
          <w:lang w:val="fr-CH"/>
        </w:rPr>
        <w:t>, bien que très souvent les priorités changent, ce qui peut avoir une incidence sur le degré d</w:t>
      </w:r>
      <w:r w:rsidR="000B7E88">
        <w:rPr>
          <w:lang w:val="fr-CH"/>
        </w:rPr>
        <w:t>'</w:t>
      </w:r>
      <w:r w:rsidR="00D80160">
        <w:rPr>
          <w:lang w:val="fr-CH"/>
        </w:rPr>
        <w:t>importance des recommandations formulées initialement.</w:t>
      </w:r>
    </w:p>
    <w:p w:rsidR="00D80160" w:rsidRPr="00F86E10" w:rsidRDefault="00D80160" w:rsidP="000B7E88">
      <w:pPr>
        <w:pStyle w:val="Headingb"/>
        <w:rPr>
          <w:lang w:val="fr-CH"/>
        </w:rPr>
      </w:pPr>
      <w:r w:rsidRPr="00F86E10">
        <w:rPr>
          <w:lang w:val="fr-CH"/>
        </w:rPr>
        <w:t>Questions relatives à la méthodologie d</w:t>
      </w:r>
      <w:r w:rsidR="000B7E88">
        <w:rPr>
          <w:lang w:val="fr-CH"/>
        </w:rPr>
        <w:t>'</w:t>
      </w:r>
      <w:r w:rsidRPr="00F86E10">
        <w:rPr>
          <w:lang w:val="fr-CH"/>
        </w:rPr>
        <w:t>audit</w:t>
      </w:r>
    </w:p>
    <w:p w:rsidR="00D80160" w:rsidRDefault="00D80160" w:rsidP="002872A3">
      <w:pPr>
        <w:rPr>
          <w:lang w:val="fr-CH"/>
        </w:rPr>
      </w:pPr>
      <w:r>
        <w:rPr>
          <w:lang w:val="fr-CH"/>
        </w:rPr>
        <w:t>29</w:t>
      </w:r>
      <w:r>
        <w:rPr>
          <w:lang w:val="fr-CH"/>
        </w:rPr>
        <w:tab/>
        <w:t>Dès</w:t>
      </w:r>
      <w:r w:rsidRPr="00511E6B">
        <w:rPr>
          <w:lang w:val="fr-CH"/>
        </w:rPr>
        <w:t xml:space="preserve"> 2013, l</w:t>
      </w:r>
      <w:r w:rsidR="000B7E88">
        <w:rPr>
          <w:lang w:val="fr-CH"/>
        </w:rPr>
        <w:t>'</w:t>
      </w:r>
      <w:r w:rsidRPr="00511E6B">
        <w:rPr>
          <w:lang w:val="fr-CH"/>
        </w:rPr>
        <w:t>Unité de l</w:t>
      </w:r>
      <w:r w:rsidR="000B7E88">
        <w:rPr>
          <w:lang w:val="fr-CH"/>
        </w:rPr>
        <w:t>'</w:t>
      </w:r>
      <w:r w:rsidRPr="00511E6B">
        <w:rPr>
          <w:lang w:val="fr-CH"/>
        </w:rPr>
        <w:t>audit interne a commencé à utiliser des questionnaires d</w:t>
      </w:r>
      <w:r w:rsidR="000B7E88">
        <w:rPr>
          <w:lang w:val="fr-CH"/>
        </w:rPr>
        <w:t>'</w:t>
      </w:r>
      <w:r w:rsidRPr="00511E6B">
        <w:rPr>
          <w:lang w:val="fr-CH"/>
        </w:rPr>
        <w:t>évaluation de l</w:t>
      </w:r>
      <w:r w:rsidR="000B7E88">
        <w:rPr>
          <w:lang w:val="fr-CH"/>
        </w:rPr>
        <w:t>'</w:t>
      </w:r>
      <w:r w:rsidRPr="00511E6B">
        <w:rPr>
          <w:lang w:val="fr-CH"/>
        </w:rPr>
        <w:t>efficacité des audits, qui ont été envoyés aux superviseurs des processus et des entités faisant l</w:t>
      </w:r>
      <w:r w:rsidR="000B7E88">
        <w:rPr>
          <w:lang w:val="fr-CH"/>
        </w:rPr>
        <w:t>'</w:t>
      </w:r>
      <w:r w:rsidRPr="00511E6B">
        <w:rPr>
          <w:lang w:val="fr-CH"/>
        </w:rPr>
        <w:t>objet d</w:t>
      </w:r>
      <w:r w:rsidR="000B7E88">
        <w:rPr>
          <w:lang w:val="fr-CH"/>
        </w:rPr>
        <w:t>'</w:t>
      </w:r>
      <w:r w:rsidRPr="00511E6B">
        <w:rPr>
          <w:lang w:val="fr-CH"/>
        </w:rPr>
        <w:t>un audit, afin d</w:t>
      </w:r>
      <w:r w:rsidR="000B7E88">
        <w:rPr>
          <w:lang w:val="fr-CH"/>
        </w:rPr>
        <w:t>'</w:t>
      </w:r>
      <w:r w:rsidRPr="00511E6B">
        <w:rPr>
          <w:lang w:val="fr-CH"/>
        </w:rPr>
        <w:t>évaluer l</w:t>
      </w:r>
      <w:r w:rsidR="000B7E88">
        <w:rPr>
          <w:lang w:val="fr-CH"/>
        </w:rPr>
        <w:t>'</w:t>
      </w:r>
      <w:r w:rsidRPr="00511E6B">
        <w:rPr>
          <w:lang w:val="fr-CH"/>
        </w:rPr>
        <w:t>efficacité des travaux d</w:t>
      </w:r>
      <w:r w:rsidR="000B7E88">
        <w:rPr>
          <w:lang w:val="fr-CH"/>
        </w:rPr>
        <w:t>'</w:t>
      </w:r>
      <w:r w:rsidRPr="00511E6B">
        <w:rPr>
          <w:lang w:val="fr-CH"/>
        </w:rPr>
        <w:t>audit et de repérer les possibilités d</w:t>
      </w:r>
      <w:r w:rsidR="000B7E88">
        <w:rPr>
          <w:lang w:val="fr-CH"/>
        </w:rPr>
        <w:t>'</w:t>
      </w:r>
      <w:r w:rsidRPr="00511E6B">
        <w:rPr>
          <w:lang w:val="fr-CH"/>
        </w:rPr>
        <w:t>amélioration</w:t>
      </w:r>
      <w:r>
        <w:rPr>
          <w:lang w:val="fr-CH"/>
        </w:rPr>
        <w:t>.</w:t>
      </w:r>
      <w:r w:rsidR="002872A3">
        <w:rPr>
          <w:lang w:val="fr-CH"/>
        </w:rPr>
        <w:t xml:space="preserve"> Cette pratique s'est poursuivie pendant la période consid</w:t>
      </w:r>
      <w:r w:rsidR="00374359">
        <w:rPr>
          <w:lang w:val="fr-CH"/>
        </w:rPr>
        <w:t>érée dans le présent document. S</w:t>
      </w:r>
      <w:r w:rsidR="002872A3">
        <w:rPr>
          <w:lang w:val="fr-CH"/>
        </w:rPr>
        <w:t xml:space="preserve">ur la base des 8 </w:t>
      </w:r>
      <w:r w:rsidR="002872A3" w:rsidRPr="00374359">
        <w:rPr>
          <w:i/>
          <w:iCs/>
          <w:lang w:val="fr-CH"/>
        </w:rPr>
        <w:t>questionnaires</w:t>
      </w:r>
      <w:r w:rsidR="002872A3">
        <w:rPr>
          <w:lang w:val="fr-CH"/>
        </w:rPr>
        <w:t xml:space="preserve"> retournés à l'unité de l'audit interne en 1015, </w:t>
      </w:r>
      <w:r w:rsidR="002872A3" w:rsidRPr="00511E6B">
        <w:rPr>
          <w:lang w:val="fr-CH"/>
        </w:rPr>
        <w:t xml:space="preserve">les évaluations </w:t>
      </w:r>
      <w:r w:rsidRPr="00511E6B">
        <w:rPr>
          <w:lang w:val="fr-CH"/>
        </w:rPr>
        <w:t xml:space="preserve">ont été </w:t>
      </w:r>
      <w:r>
        <w:rPr>
          <w:lang w:val="fr-CH"/>
        </w:rPr>
        <w:t xml:space="preserve">très </w:t>
      </w:r>
      <w:r w:rsidRPr="00511E6B">
        <w:rPr>
          <w:lang w:val="fr-CH"/>
        </w:rPr>
        <w:t>positives (note moyenne de 4 sur une échelle allant de 1 à 5)</w:t>
      </w:r>
      <w:r>
        <w:rPr>
          <w:lang w:val="fr-CH"/>
        </w:rPr>
        <w:t>.</w:t>
      </w:r>
    </w:p>
    <w:p w:rsidR="00374359" w:rsidRPr="00E3346A" w:rsidRDefault="00374359" w:rsidP="002872A3">
      <w:pPr>
        <w:rPr>
          <w:lang w:val="fr-CH"/>
        </w:rPr>
      </w:pPr>
    </w:p>
    <w:p w:rsidR="00D46966" w:rsidRDefault="00D46966" w:rsidP="00374359">
      <w:pPr>
        <w:jc w:val="center"/>
        <w:rPr>
          <w:lang w:val="fr-CH"/>
        </w:rPr>
      </w:pPr>
    </w:p>
    <w:p w:rsidR="00C6530B" w:rsidRDefault="00C6530B" w:rsidP="000B7E88">
      <w:pPr>
        <w:tabs>
          <w:tab w:val="clear" w:pos="567"/>
          <w:tab w:val="clear" w:pos="1134"/>
          <w:tab w:val="clear" w:pos="1701"/>
          <w:tab w:val="clear" w:pos="2268"/>
          <w:tab w:val="clear" w:pos="2835"/>
        </w:tabs>
        <w:overflowPunct/>
        <w:autoSpaceDE/>
        <w:autoSpaceDN/>
        <w:adjustRightInd/>
        <w:spacing w:before="0"/>
        <w:textAlignment w:val="auto"/>
        <w:rPr>
          <w:lang w:val="fr-CH"/>
        </w:rPr>
        <w:sectPr w:rsidR="00C6530B"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pPr>
    </w:p>
    <w:p w:rsidR="00AB408A" w:rsidRDefault="00D46966" w:rsidP="003F287F">
      <w:pPr>
        <w:pStyle w:val="AnnexNo"/>
        <w:rPr>
          <w:lang w:val="fr-CH"/>
        </w:rPr>
      </w:pPr>
      <w:r>
        <w:rPr>
          <w:lang w:val="fr-CH"/>
        </w:rPr>
        <w:lastRenderedPageBreak/>
        <w:t>ANNEXE 1</w:t>
      </w:r>
    </w:p>
    <w:p w:rsidR="00C6530B" w:rsidRPr="00FB6CCC" w:rsidRDefault="00C6530B" w:rsidP="006226DE">
      <w:pPr>
        <w:pStyle w:val="Annextitle"/>
        <w:spacing w:after="120"/>
        <w:rPr>
          <w:color w:val="800000"/>
          <w:lang w:val="fr-CH"/>
        </w:rPr>
      </w:pPr>
      <w:r w:rsidRPr="009A078D">
        <w:t>QUATRIÈME RAPPORT ANNUEL DU COMITÉ CONSULTATIF INDÉPENDANT</w:t>
      </w:r>
      <w:r w:rsidRPr="009A078D">
        <w:br/>
        <w:t>POUR LES QUESTIONS DE GESTION (CCIG)</w:t>
      </w:r>
    </w:p>
    <w:p w:rsidR="00C6530B" w:rsidRPr="006226DE" w:rsidRDefault="00C6530B" w:rsidP="006226DE">
      <w:pPr>
        <w:pStyle w:val="Annexref"/>
        <w:spacing w:before="0"/>
        <w:rPr>
          <w:sz w:val="24"/>
          <w:szCs w:val="24"/>
          <w:lang w:val="fr-CH"/>
        </w:rPr>
      </w:pPr>
      <w:r w:rsidRPr="006226DE">
        <w:rPr>
          <w:sz w:val="24"/>
          <w:szCs w:val="24"/>
          <w:lang w:val="fr-CH"/>
        </w:rPr>
        <w:t xml:space="preserve">(Source: Addendum 2 </w:t>
      </w:r>
      <w:r w:rsidR="003F287F" w:rsidRPr="006226DE">
        <w:rPr>
          <w:sz w:val="24"/>
          <w:szCs w:val="24"/>
          <w:lang w:val="fr-CH"/>
        </w:rPr>
        <w:t>au</w:t>
      </w:r>
      <w:r w:rsidRPr="006226DE">
        <w:rPr>
          <w:sz w:val="24"/>
          <w:szCs w:val="24"/>
          <w:lang w:val="fr-CH"/>
        </w:rPr>
        <w:t xml:space="preserve"> Doc</w:t>
      </w:r>
      <w:r w:rsidR="006226DE" w:rsidRPr="006226DE">
        <w:rPr>
          <w:sz w:val="24"/>
          <w:szCs w:val="24"/>
          <w:lang w:val="fr-CH"/>
        </w:rPr>
        <w:t>ument</w:t>
      </w:r>
      <w:r w:rsidRPr="006226DE">
        <w:rPr>
          <w:sz w:val="24"/>
          <w:szCs w:val="24"/>
          <w:lang w:val="fr-CH"/>
        </w:rPr>
        <w:t xml:space="preserve"> C15/22-</w:t>
      </w:r>
      <w:r w:rsidR="006226DE" w:rsidRPr="006226DE">
        <w:rPr>
          <w:sz w:val="24"/>
          <w:szCs w:val="24"/>
          <w:lang w:val="fr-CH"/>
        </w:rPr>
        <w:t>F</w:t>
      </w:r>
      <w:r w:rsidRPr="006226DE">
        <w:rPr>
          <w:sz w:val="24"/>
          <w:szCs w:val="24"/>
          <w:lang w:val="fr-CH"/>
        </w:rPr>
        <w:t xml:space="preserve"> </w:t>
      </w:r>
      <w:r w:rsidR="003F287F" w:rsidRPr="006226DE">
        <w:rPr>
          <w:sz w:val="24"/>
          <w:szCs w:val="24"/>
          <w:lang w:val="fr-CH"/>
        </w:rPr>
        <w:t>du</w:t>
      </w:r>
      <w:r w:rsidRPr="006226DE">
        <w:rPr>
          <w:sz w:val="24"/>
          <w:szCs w:val="24"/>
          <w:lang w:val="fr-CH"/>
        </w:rPr>
        <w:t xml:space="preserve"> 13 </w:t>
      </w:r>
      <w:r w:rsidR="003F287F" w:rsidRPr="006226DE">
        <w:rPr>
          <w:sz w:val="24"/>
          <w:szCs w:val="24"/>
          <w:lang w:val="fr-CH"/>
        </w:rPr>
        <w:t>mai</w:t>
      </w:r>
      <w:r w:rsidRPr="006226DE">
        <w:rPr>
          <w:sz w:val="24"/>
          <w:szCs w:val="24"/>
          <w:lang w:val="fr-CH"/>
        </w:rPr>
        <w:t xml:space="preserve"> 2015)</w:t>
      </w:r>
    </w:p>
    <w:p w:rsidR="00D46966" w:rsidRDefault="00C6530B" w:rsidP="00AA07F5">
      <w:pPr>
        <w:spacing w:before="360"/>
        <w:jc w:val="center"/>
        <w:rPr>
          <w:rFonts w:asciiTheme="minorHAnsi" w:hAnsiTheme="minorHAnsi"/>
          <w:szCs w:val="24"/>
        </w:rPr>
      </w:pPr>
      <w:r w:rsidRPr="003F287F">
        <w:rPr>
          <w:b/>
          <w:bCs/>
        </w:rPr>
        <w:t xml:space="preserve">Recommandation </w:t>
      </w:r>
      <w:r w:rsidR="00AA07F5">
        <w:rPr>
          <w:b/>
          <w:bCs/>
        </w:rPr>
        <w:t>N</w:t>
      </w:r>
      <w:r w:rsidRPr="003F287F">
        <w:rPr>
          <w:b/>
          <w:bCs/>
        </w:rPr>
        <w:t xml:space="preserve">° </w:t>
      </w:r>
      <w:r w:rsidRPr="003F287F">
        <w:rPr>
          <w:rFonts w:eastAsia="SimSun" w:cs="SimSun"/>
          <w:b/>
          <w:bCs/>
          <w:szCs w:val="24"/>
          <w:lang w:eastAsia="en-GB" w:bidi="en-US"/>
        </w:rPr>
        <w:t>6 (2015)</w:t>
      </w:r>
      <w:r w:rsidRPr="009A078D">
        <w:rPr>
          <w:rFonts w:eastAsia="SimSun" w:cs="SimSun"/>
          <w:bCs/>
          <w:szCs w:val="24"/>
          <w:lang w:eastAsia="en-GB" w:bidi="en-US"/>
        </w:rPr>
        <w:t>: En conséquence, le CCIG approuve les conclusions du rapport de validation extérieure, qu</w:t>
      </w:r>
      <w:r w:rsidR="000B7E88">
        <w:rPr>
          <w:rFonts w:eastAsia="SimSun" w:cs="SimSun"/>
          <w:bCs/>
          <w:szCs w:val="24"/>
          <w:lang w:eastAsia="en-GB" w:bidi="en-US"/>
        </w:rPr>
        <w:t>'</w:t>
      </w:r>
      <w:r w:rsidRPr="009A078D">
        <w:rPr>
          <w:rFonts w:eastAsia="SimSun" w:cs="SimSun"/>
          <w:bCs/>
          <w:szCs w:val="24"/>
          <w:lang w:eastAsia="en-GB" w:bidi="en-US"/>
        </w:rPr>
        <w:t>il porte à l</w:t>
      </w:r>
      <w:r w:rsidR="000B7E88">
        <w:rPr>
          <w:rFonts w:eastAsia="SimSun" w:cs="SimSun"/>
          <w:bCs/>
          <w:szCs w:val="24"/>
          <w:lang w:eastAsia="en-GB" w:bidi="en-US"/>
        </w:rPr>
        <w:t>'</w:t>
      </w:r>
      <w:r w:rsidRPr="009A078D">
        <w:rPr>
          <w:rFonts w:eastAsia="SimSun" w:cs="SimSun"/>
          <w:bCs/>
          <w:szCs w:val="24"/>
          <w:lang w:eastAsia="en-GB" w:bidi="en-US"/>
        </w:rPr>
        <w:t xml:space="preserve">attention du Conseil. </w:t>
      </w:r>
      <w:r w:rsidRPr="009A078D">
        <w:rPr>
          <w:rFonts w:asciiTheme="minorHAnsi" w:hAnsiTheme="minorHAnsi"/>
          <w:szCs w:val="24"/>
        </w:rPr>
        <w:t>Le CCIG recommande au Conseil de demander au Secrétaire général et à l</w:t>
      </w:r>
      <w:r w:rsidR="000B7E88">
        <w:rPr>
          <w:rFonts w:asciiTheme="minorHAnsi" w:hAnsiTheme="minorHAnsi"/>
          <w:szCs w:val="24"/>
        </w:rPr>
        <w:t>'</w:t>
      </w:r>
      <w:r w:rsidRPr="009A078D">
        <w:rPr>
          <w:rFonts w:asciiTheme="minorHAnsi" w:hAnsiTheme="minorHAnsi"/>
          <w:szCs w:val="24"/>
        </w:rPr>
        <w:t>Auditeur interne – dans le cadre du Rapport annuel de l</w:t>
      </w:r>
      <w:r w:rsidR="000B7E88">
        <w:rPr>
          <w:rFonts w:asciiTheme="minorHAnsi" w:hAnsiTheme="minorHAnsi"/>
          <w:szCs w:val="24"/>
        </w:rPr>
        <w:t>'</w:t>
      </w:r>
      <w:r w:rsidRPr="009A078D">
        <w:rPr>
          <w:rFonts w:asciiTheme="minorHAnsi" w:hAnsiTheme="minorHAnsi"/>
          <w:szCs w:val="24"/>
        </w:rPr>
        <w:t>Auditeur interne sur les activités d</w:t>
      </w:r>
      <w:r w:rsidR="000B7E88">
        <w:rPr>
          <w:rFonts w:asciiTheme="minorHAnsi" w:hAnsiTheme="minorHAnsi"/>
          <w:szCs w:val="24"/>
        </w:rPr>
        <w:t>'</w:t>
      </w:r>
      <w:r w:rsidRPr="009A078D">
        <w:rPr>
          <w:rFonts w:asciiTheme="minorHAnsi" w:hAnsiTheme="minorHAnsi"/>
          <w:szCs w:val="24"/>
        </w:rPr>
        <w:t>audit interne – de faire rapport au Conseil à sa session de 2016 et aux sessions suivantes quant aux mesures prises et aux progrès réalisés pour assurer la mise en application de chacune des neuf recommandations figurant dans la validation indépendante extérieure de l</w:t>
      </w:r>
      <w:r w:rsidR="000B7E88">
        <w:rPr>
          <w:rFonts w:asciiTheme="minorHAnsi" w:hAnsiTheme="minorHAnsi"/>
          <w:szCs w:val="24"/>
        </w:rPr>
        <w:t>'</w:t>
      </w:r>
      <w:r w:rsidRPr="009A078D">
        <w:rPr>
          <w:rFonts w:asciiTheme="minorHAnsi" w:hAnsiTheme="minorHAnsi"/>
          <w:szCs w:val="24"/>
        </w:rPr>
        <w:t>activité d</w:t>
      </w:r>
      <w:r w:rsidR="000B7E88">
        <w:rPr>
          <w:rFonts w:asciiTheme="minorHAnsi" w:hAnsiTheme="minorHAnsi"/>
          <w:szCs w:val="24"/>
        </w:rPr>
        <w:t>'</w:t>
      </w:r>
      <w:r w:rsidRPr="009A078D">
        <w:rPr>
          <w:rFonts w:asciiTheme="minorHAnsi" w:hAnsiTheme="minorHAnsi"/>
          <w:szCs w:val="24"/>
        </w:rPr>
        <w:t>audit interne à l</w:t>
      </w:r>
      <w:r w:rsidR="000B7E88">
        <w:rPr>
          <w:rFonts w:asciiTheme="minorHAnsi" w:hAnsiTheme="minorHAnsi"/>
          <w:szCs w:val="24"/>
        </w:rPr>
        <w:t>'</w:t>
      </w:r>
      <w:r w:rsidRPr="009A078D">
        <w:rPr>
          <w:rFonts w:asciiTheme="minorHAnsi" w:hAnsiTheme="minorHAnsi"/>
          <w:szCs w:val="24"/>
        </w:rPr>
        <w:t>UIT.</w:t>
      </w:r>
    </w:p>
    <w:p w:rsidR="000D2AC7" w:rsidRDefault="000D2AC7" w:rsidP="00CD0FC1">
      <w:pPr>
        <w:spacing w:before="240" w:after="120"/>
        <w:jc w:val="center"/>
        <w:rPr>
          <w:rFonts w:asciiTheme="minorHAnsi" w:hAnsiTheme="minorHAnsi"/>
          <w:b/>
          <w:bCs/>
          <w:szCs w:val="24"/>
        </w:rPr>
      </w:pPr>
      <w:r>
        <w:rPr>
          <w:rFonts w:asciiTheme="minorHAnsi" w:hAnsiTheme="minorHAnsi"/>
          <w:b/>
          <w:bCs/>
          <w:szCs w:val="24"/>
        </w:rPr>
        <w:t>VALIDATION EXT</w:t>
      </w:r>
      <w:r w:rsidR="00374359">
        <w:rPr>
          <w:rFonts w:asciiTheme="minorHAnsi" w:hAnsiTheme="minorHAnsi"/>
          <w:b/>
          <w:bCs/>
          <w:szCs w:val="24"/>
        </w:rPr>
        <w:t>É</w:t>
      </w:r>
      <w:r>
        <w:rPr>
          <w:rFonts w:asciiTheme="minorHAnsi" w:hAnsiTheme="minorHAnsi"/>
          <w:b/>
          <w:bCs/>
          <w:szCs w:val="24"/>
        </w:rPr>
        <w:t>RIEURE</w:t>
      </w:r>
    </w:p>
    <w:tbl>
      <w:tblPr>
        <w:tblStyle w:val="TableGrid"/>
        <w:tblW w:w="0" w:type="auto"/>
        <w:tblInd w:w="-397" w:type="dxa"/>
        <w:tblLook w:val="04A0" w:firstRow="1" w:lastRow="0" w:firstColumn="1" w:lastColumn="0" w:noHBand="0" w:noVBand="1"/>
      </w:tblPr>
      <w:tblGrid>
        <w:gridCol w:w="1051"/>
        <w:gridCol w:w="4437"/>
        <w:gridCol w:w="3083"/>
        <w:gridCol w:w="1696"/>
        <w:gridCol w:w="4124"/>
      </w:tblGrid>
      <w:tr w:rsidR="00FA41F1" w:rsidRPr="00817B57" w:rsidTr="00AA07F5">
        <w:trPr>
          <w:tblHeader/>
        </w:trPr>
        <w:tc>
          <w:tcPr>
            <w:tcW w:w="1051" w:type="dxa"/>
          </w:tcPr>
          <w:p w:rsidR="000D2AC7" w:rsidRPr="00817B57" w:rsidRDefault="000D2AC7" w:rsidP="000B7E88">
            <w:pPr>
              <w:jc w:val="center"/>
              <w:rPr>
                <w:rFonts w:asciiTheme="minorHAnsi" w:hAnsiTheme="minorHAnsi"/>
                <w:b/>
                <w:bCs/>
                <w:sz w:val="22"/>
                <w:szCs w:val="22"/>
                <w:lang w:val="fr-CH"/>
              </w:rPr>
            </w:pPr>
            <w:r w:rsidRPr="00817B57">
              <w:rPr>
                <w:rFonts w:asciiTheme="minorHAnsi" w:hAnsiTheme="minorHAnsi"/>
                <w:b/>
                <w:bCs/>
                <w:sz w:val="22"/>
                <w:szCs w:val="22"/>
                <w:lang w:val="fr-CH"/>
              </w:rPr>
              <w:t>Question</w:t>
            </w:r>
          </w:p>
        </w:tc>
        <w:tc>
          <w:tcPr>
            <w:tcW w:w="4437" w:type="dxa"/>
          </w:tcPr>
          <w:p w:rsidR="000D2AC7" w:rsidRPr="00817B57" w:rsidRDefault="000D2AC7" w:rsidP="000B7E88">
            <w:pPr>
              <w:jc w:val="center"/>
              <w:rPr>
                <w:rFonts w:asciiTheme="minorHAnsi" w:hAnsiTheme="minorHAnsi"/>
                <w:b/>
                <w:bCs/>
                <w:sz w:val="22"/>
                <w:szCs w:val="22"/>
                <w:lang w:val="fr-CH"/>
              </w:rPr>
            </w:pPr>
            <w:r w:rsidRPr="00817B57">
              <w:rPr>
                <w:rFonts w:asciiTheme="minorHAnsi" w:hAnsiTheme="minorHAnsi"/>
                <w:b/>
                <w:bCs/>
                <w:sz w:val="22"/>
                <w:szCs w:val="22"/>
                <w:lang w:val="fr-CH"/>
              </w:rPr>
              <w:t>Recommandation</w:t>
            </w:r>
          </w:p>
        </w:tc>
        <w:tc>
          <w:tcPr>
            <w:tcW w:w="3083" w:type="dxa"/>
          </w:tcPr>
          <w:p w:rsidR="000D2AC7" w:rsidRPr="00817B57" w:rsidRDefault="00D54ADF" w:rsidP="000B7E88">
            <w:pPr>
              <w:jc w:val="center"/>
              <w:rPr>
                <w:rFonts w:asciiTheme="minorHAnsi" w:hAnsiTheme="minorHAnsi"/>
                <w:b/>
                <w:bCs/>
                <w:sz w:val="22"/>
                <w:szCs w:val="22"/>
                <w:lang w:val="fr-CH"/>
              </w:rPr>
            </w:pPr>
            <w:r w:rsidRPr="00817B57">
              <w:rPr>
                <w:rFonts w:asciiTheme="minorHAnsi" w:hAnsiTheme="minorHAnsi"/>
                <w:b/>
                <w:bCs/>
                <w:sz w:val="22"/>
                <w:szCs w:val="22"/>
                <w:lang w:val="fr-CH"/>
              </w:rPr>
              <w:t>Commentaire de</w:t>
            </w:r>
            <w:r w:rsidR="000D2AC7" w:rsidRPr="00817B57">
              <w:rPr>
                <w:rFonts w:asciiTheme="minorHAnsi" w:hAnsiTheme="minorHAnsi"/>
                <w:b/>
                <w:bCs/>
                <w:sz w:val="22"/>
                <w:szCs w:val="22"/>
                <w:lang w:val="fr-CH"/>
              </w:rPr>
              <w:t xml:space="preserve"> la direction (mai 2015)</w:t>
            </w:r>
          </w:p>
        </w:tc>
        <w:tc>
          <w:tcPr>
            <w:tcW w:w="1696" w:type="dxa"/>
          </w:tcPr>
          <w:p w:rsidR="000D2AC7" w:rsidRPr="00817B57" w:rsidRDefault="000D2AC7" w:rsidP="00D54ADF">
            <w:pPr>
              <w:jc w:val="center"/>
              <w:rPr>
                <w:rFonts w:asciiTheme="minorHAnsi" w:hAnsiTheme="minorHAnsi"/>
                <w:b/>
                <w:bCs/>
                <w:sz w:val="22"/>
                <w:szCs w:val="22"/>
                <w:lang w:val="fr-CH"/>
              </w:rPr>
            </w:pPr>
            <w:r w:rsidRPr="00817B57">
              <w:rPr>
                <w:rFonts w:asciiTheme="minorHAnsi" w:hAnsiTheme="minorHAnsi"/>
                <w:b/>
                <w:bCs/>
                <w:sz w:val="22"/>
                <w:szCs w:val="22"/>
                <w:lang w:val="fr-CH"/>
              </w:rPr>
              <w:t>Situation (février 201</w:t>
            </w:r>
            <w:r w:rsidR="00D54ADF" w:rsidRPr="00817B57">
              <w:rPr>
                <w:rFonts w:asciiTheme="minorHAnsi" w:hAnsiTheme="minorHAnsi"/>
                <w:b/>
                <w:bCs/>
                <w:sz w:val="22"/>
                <w:szCs w:val="22"/>
                <w:lang w:val="fr-CH"/>
              </w:rPr>
              <w:t>6</w:t>
            </w:r>
            <w:r w:rsidRPr="00817B57">
              <w:rPr>
                <w:rFonts w:asciiTheme="minorHAnsi" w:hAnsiTheme="minorHAnsi"/>
                <w:b/>
                <w:bCs/>
                <w:sz w:val="22"/>
                <w:szCs w:val="22"/>
                <w:lang w:val="fr-CH"/>
              </w:rPr>
              <w:t>)</w:t>
            </w:r>
          </w:p>
        </w:tc>
        <w:tc>
          <w:tcPr>
            <w:tcW w:w="4124" w:type="dxa"/>
          </w:tcPr>
          <w:p w:rsidR="000D2AC7" w:rsidRPr="00817B57" w:rsidRDefault="000D2AC7" w:rsidP="000B7E88">
            <w:pPr>
              <w:jc w:val="center"/>
              <w:rPr>
                <w:rFonts w:asciiTheme="minorHAnsi" w:hAnsiTheme="minorHAnsi"/>
                <w:b/>
                <w:bCs/>
                <w:sz w:val="22"/>
                <w:szCs w:val="22"/>
                <w:lang w:val="fr-CH"/>
              </w:rPr>
            </w:pPr>
            <w:r w:rsidRPr="00817B57">
              <w:rPr>
                <w:rFonts w:asciiTheme="minorHAnsi" w:hAnsiTheme="minorHAnsi"/>
                <w:b/>
                <w:bCs/>
                <w:sz w:val="22"/>
                <w:szCs w:val="22"/>
                <w:lang w:val="fr-CH"/>
              </w:rPr>
              <w:t>Remarques sur le suivi après évaluation par l</w:t>
            </w:r>
            <w:r w:rsidR="000B7E88" w:rsidRPr="00817B57">
              <w:rPr>
                <w:rFonts w:asciiTheme="minorHAnsi" w:hAnsiTheme="minorHAnsi"/>
                <w:b/>
                <w:bCs/>
                <w:sz w:val="22"/>
                <w:szCs w:val="22"/>
                <w:lang w:val="fr-CH"/>
              </w:rPr>
              <w:t>'</w:t>
            </w:r>
            <w:r w:rsidRPr="00817B57">
              <w:rPr>
                <w:rFonts w:asciiTheme="minorHAnsi" w:hAnsiTheme="minorHAnsi"/>
                <w:b/>
                <w:bCs/>
                <w:sz w:val="22"/>
                <w:szCs w:val="22"/>
                <w:lang w:val="fr-CH"/>
              </w:rPr>
              <w:t>Unité de l</w:t>
            </w:r>
            <w:r w:rsidR="000B7E88" w:rsidRPr="00817B57">
              <w:rPr>
                <w:rFonts w:asciiTheme="minorHAnsi" w:hAnsiTheme="minorHAnsi"/>
                <w:b/>
                <w:bCs/>
                <w:sz w:val="22"/>
                <w:szCs w:val="22"/>
                <w:lang w:val="fr-CH"/>
              </w:rPr>
              <w:t>'</w:t>
            </w:r>
            <w:r w:rsidRPr="00817B57">
              <w:rPr>
                <w:rFonts w:asciiTheme="minorHAnsi" w:hAnsiTheme="minorHAnsi"/>
                <w:b/>
                <w:bCs/>
                <w:sz w:val="22"/>
                <w:szCs w:val="22"/>
                <w:lang w:val="fr-CH"/>
              </w:rPr>
              <w:t>audit interne de l</w:t>
            </w:r>
            <w:r w:rsidR="000B7E88" w:rsidRPr="00817B57">
              <w:rPr>
                <w:rFonts w:asciiTheme="minorHAnsi" w:hAnsiTheme="minorHAnsi"/>
                <w:b/>
                <w:bCs/>
                <w:sz w:val="22"/>
                <w:szCs w:val="22"/>
                <w:lang w:val="fr-CH"/>
              </w:rPr>
              <w:t>'</w:t>
            </w:r>
            <w:r w:rsidRPr="00817B57">
              <w:rPr>
                <w:rFonts w:asciiTheme="minorHAnsi" w:hAnsiTheme="minorHAnsi"/>
                <w:b/>
                <w:bCs/>
                <w:sz w:val="22"/>
                <w:szCs w:val="22"/>
                <w:lang w:val="fr-CH"/>
              </w:rPr>
              <w:t>UIT (février 2016)</w:t>
            </w:r>
          </w:p>
        </w:tc>
      </w:tr>
      <w:tr w:rsidR="00AE3E55" w:rsidRPr="00817B57" w:rsidTr="00AA07F5">
        <w:tc>
          <w:tcPr>
            <w:tcW w:w="1051" w:type="dxa"/>
          </w:tcPr>
          <w:p w:rsidR="000D2AC7" w:rsidRPr="00817B57" w:rsidRDefault="001D3D2C" w:rsidP="000B7E88">
            <w:pPr>
              <w:rPr>
                <w:rFonts w:asciiTheme="minorHAnsi" w:hAnsiTheme="minorHAnsi"/>
                <w:sz w:val="22"/>
                <w:szCs w:val="22"/>
                <w:lang w:val="fr-CH"/>
              </w:rPr>
            </w:pPr>
            <w:r w:rsidRPr="00817B57">
              <w:rPr>
                <w:rFonts w:asciiTheme="minorHAnsi" w:hAnsiTheme="minorHAnsi"/>
                <w:sz w:val="22"/>
                <w:szCs w:val="22"/>
                <w:lang w:val="fr-CH"/>
              </w:rPr>
              <w:t>1.1</w:t>
            </w:r>
          </w:p>
        </w:tc>
        <w:tc>
          <w:tcPr>
            <w:tcW w:w="4437" w:type="dxa"/>
          </w:tcPr>
          <w:p w:rsidR="000D2AC7" w:rsidRPr="00817B57" w:rsidRDefault="00D54ADF" w:rsidP="00D54ADF">
            <w:pPr>
              <w:rPr>
                <w:rFonts w:asciiTheme="minorHAnsi" w:hAnsiTheme="minorHAnsi"/>
                <w:sz w:val="22"/>
                <w:szCs w:val="22"/>
                <w:lang w:val="fr-CH"/>
              </w:rPr>
            </w:pPr>
            <w:r w:rsidRPr="00817B57">
              <w:rPr>
                <w:rFonts w:asciiTheme="minorHAnsi" w:hAnsiTheme="minorHAnsi"/>
                <w:sz w:val="22"/>
                <w:szCs w:val="22"/>
                <w:lang w:val="fr-CH"/>
              </w:rPr>
              <w:t>Au titre de cette activité,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Unité de l</w:t>
            </w:r>
            <w:r w:rsidR="000B7E88" w:rsidRPr="00817B57">
              <w:rPr>
                <w:rFonts w:asciiTheme="minorHAnsi" w:hAnsiTheme="minorHAnsi"/>
                <w:sz w:val="22"/>
                <w:szCs w:val="22"/>
                <w:lang w:val="fr-CH"/>
              </w:rPr>
              <w:t>'</w:t>
            </w:r>
            <w:r w:rsidR="00AE3E55" w:rsidRPr="00817B57">
              <w:rPr>
                <w:rFonts w:asciiTheme="minorHAnsi" w:hAnsiTheme="minorHAnsi"/>
                <w:sz w:val="22"/>
                <w:szCs w:val="22"/>
                <w:lang w:val="fr-CH"/>
              </w:rPr>
              <w:t>audit interne devrait effectuer une analyse de</w:t>
            </w:r>
            <w:r w:rsidRPr="00817B57">
              <w:rPr>
                <w:rFonts w:asciiTheme="minorHAnsi" w:hAnsiTheme="minorHAnsi"/>
                <w:sz w:val="22"/>
                <w:szCs w:val="22"/>
                <w:lang w:val="fr-CH"/>
              </w:rPr>
              <w:t>s</w:t>
            </w:r>
            <w:r w:rsidR="00AE3E55" w:rsidRPr="00817B57">
              <w:rPr>
                <w:rFonts w:asciiTheme="minorHAnsi" w:hAnsiTheme="minorHAnsi"/>
                <w:sz w:val="22"/>
                <w:szCs w:val="22"/>
                <w:lang w:val="fr-CH"/>
              </w:rPr>
              <w:t xml:space="preserve"> risque</w:t>
            </w:r>
            <w:r w:rsidRPr="00817B57">
              <w:rPr>
                <w:rFonts w:asciiTheme="minorHAnsi" w:hAnsiTheme="minorHAnsi"/>
                <w:sz w:val="22"/>
                <w:szCs w:val="22"/>
                <w:lang w:val="fr-CH"/>
              </w:rPr>
              <w:t>s,</w:t>
            </w:r>
            <w:r w:rsidR="00AE3E55" w:rsidRPr="00817B57">
              <w:rPr>
                <w:rFonts w:asciiTheme="minorHAnsi" w:hAnsiTheme="minorHAnsi"/>
                <w:sz w:val="22"/>
                <w:szCs w:val="22"/>
                <w:lang w:val="fr-CH"/>
              </w:rPr>
              <w:t xml:space="preserve"> qui devrait comprendre la </w:t>
            </w:r>
            <w:r w:rsidRPr="00817B57">
              <w:rPr>
                <w:rFonts w:asciiTheme="minorHAnsi" w:hAnsiTheme="minorHAnsi"/>
                <w:sz w:val="22"/>
                <w:szCs w:val="22"/>
                <w:lang w:val="fr-CH"/>
              </w:rPr>
              <w:t>définition</w:t>
            </w:r>
            <w:r w:rsidR="00AE3E55"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AE3E55" w:rsidRPr="00817B57">
              <w:rPr>
                <w:rFonts w:asciiTheme="minorHAnsi" w:hAnsiTheme="minorHAnsi"/>
                <w:sz w:val="22"/>
                <w:szCs w:val="22"/>
                <w:lang w:val="fr-CH"/>
              </w:rPr>
              <w:t>environnement d</w:t>
            </w:r>
            <w:r w:rsidRPr="00817B57">
              <w:rPr>
                <w:rFonts w:asciiTheme="minorHAnsi" w:hAnsiTheme="minorHAnsi"/>
                <w:sz w:val="22"/>
                <w:szCs w:val="22"/>
                <w:lang w:val="fr-CH"/>
              </w:rPr>
              <w:t>e l</w:t>
            </w:r>
            <w:r w:rsidR="000B7E88" w:rsidRPr="00817B57">
              <w:rPr>
                <w:rFonts w:asciiTheme="minorHAnsi" w:hAnsiTheme="minorHAnsi"/>
                <w:sz w:val="22"/>
                <w:szCs w:val="22"/>
                <w:lang w:val="fr-CH"/>
              </w:rPr>
              <w:t>'</w:t>
            </w:r>
            <w:r w:rsidR="00AE3E55" w:rsidRPr="00817B57">
              <w:rPr>
                <w:rFonts w:asciiTheme="minorHAnsi" w:hAnsiTheme="minorHAnsi"/>
                <w:sz w:val="22"/>
                <w:szCs w:val="22"/>
                <w:lang w:val="fr-CH"/>
              </w:rPr>
              <w:t>audit et</w:t>
            </w:r>
            <w:r w:rsidRPr="00817B57">
              <w:rPr>
                <w:rFonts w:asciiTheme="minorHAnsi" w:hAnsiTheme="minorHAnsi"/>
                <w:sz w:val="22"/>
                <w:szCs w:val="22"/>
                <w:lang w:val="fr-CH"/>
              </w:rPr>
              <w:t xml:space="preserve"> l'établissement</w:t>
            </w:r>
            <w:r w:rsidR="00AE3E55" w:rsidRPr="00817B57">
              <w:rPr>
                <w:rFonts w:asciiTheme="minorHAnsi" w:hAnsiTheme="minorHAnsi"/>
                <w:sz w:val="22"/>
                <w:szCs w:val="22"/>
                <w:lang w:val="fr-CH"/>
              </w:rPr>
              <w:t xml:space="preserve"> d</w:t>
            </w:r>
            <w:r w:rsidR="000B7E88" w:rsidRPr="00817B57">
              <w:rPr>
                <w:rFonts w:asciiTheme="minorHAnsi" w:hAnsiTheme="minorHAnsi"/>
                <w:sz w:val="22"/>
                <w:szCs w:val="22"/>
                <w:lang w:val="fr-CH"/>
              </w:rPr>
              <w:t>'</w:t>
            </w:r>
            <w:r w:rsidR="00AE3E55" w:rsidRPr="00817B57">
              <w:rPr>
                <w:rFonts w:asciiTheme="minorHAnsi" w:hAnsiTheme="minorHAnsi"/>
                <w:sz w:val="22"/>
                <w:szCs w:val="22"/>
                <w:lang w:val="fr-CH"/>
              </w:rPr>
              <w:t>un registre des risques</w:t>
            </w:r>
            <w:r w:rsidRPr="00817B57">
              <w:rPr>
                <w:rFonts w:asciiTheme="minorHAnsi" w:hAnsiTheme="minorHAnsi"/>
                <w:sz w:val="22"/>
                <w:szCs w:val="22"/>
                <w:lang w:val="fr-CH"/>
              </w:rPr>
              <w:t>,</w:t>
            </w:r>
            <w:r w:rsidR="00AE3E55" w:rsidRPr="00817B57">
              <w:rPr>
                <w:rFonts w:asciiTheme="minorHAnsi" w:hAnsiTheme="minorHAnsi"/>
                <w:sz w:val="22"/>
                <w:szCs w:val="22"/>
                <w:lang w:val="fr-CH"/>
              </w:rPr>
              <w:t xml:space="preserve"> et établir des critères permettant de garantir que tous les domaines associés à un risque critique </w:t>
            </w:r>
            <w:r w:rsidRPr="00817B57">
              <w:rPr>
                <w:rFonts w:asciiTheme="minorHAnsi" w:hAnsiTheme="minorHAnsi"/>
                <w:sz w:val="22"/>
                <w:szCs w:val="22"/>
                <w:lang w:val="fr-CH"/>
              </w:rPr>
              <w:t xml:space="preserve">ou </w:t>
            </w:r>
            <w:r w:rsidR="00AE3E55" w:rsidRPr="00817B57">
              <w:rPr>
                <w:rFonts w:asciiTheme="minorHAnsi" w:hAnsiTheme="minorHAnsi"/>
                <w:sz w:val="22"/>
                <w:szCs w:val="22"/>
                <w:lang w:val="fr-CH"/>
              </w:rPr>
              <w:t>majeur recensé</w:t>
            </w:r>
            <w:r w:rsidRPr="00817B57">
              <w:rPr>
                <w:rFonts w:asciiTheme="minorHAnsi" w:hAnsiTheme="minorHAnsi"/>
                <w:sz w:val="22"/>
                <w:szCs w:val="22"/>
                <w:lang w:val="fr-CH"/>
              </w:rPr>
              <w:t>s</w:t>
            </w:r>
            <w:r w:rsidR="00AE3E55" w:rsidRPr="00817B57">
              <w:rPr>
                <w:rFonts w:asciiTheme="minorHAnsi" w:hAnsiTheme="minorHAnsi"/>
                <w:sz w:val="22"/>
                <w:szCs w:val="22"/>
                <w:lang w:val="fr-CH"/>
              </w:rPr>
              <w:t xml:space="preserve"> dans l</w:t>
            </w:r>
            <w:r w:rsidR="000B7E88" w:rsidRPr="00817B57">
              <w:rPr>
                <w:rFonts w:asciiTheme="minorHAnsi" w:hAnsiTheme="minorHAnsi"/>
                <w:sz w:val="22"/>
                <w:szCs w:val="22"/>
                <w:lang w:val="fr-CH"/>
              </w:rPr>
              <w:t>'</w:t>
            </w:r>
            <w:r w:rsidR="00AE3E55" w:rsidRPr="00817B57">
              <w:rPr>
                <w:rFonts w:asciiTheme="minorHAnsi" w:hAnsiTheme="minorHAnsi"/>
                <w:sz w:val="22"/>
                <w:szCs w:val="22"/>
                <w:lang w:val="fr-CH"/>
              </w:rPr>
              <w:t>environnement de l</w:t>
            </w:r>
            <w:r w:rsidR="000B7E88" w:rsidRPr="00817B57">
              <w:rPr>
                <w:rFonts w:asciiTheme="minorHAnsi" w:hAnsiTheme="minorHAnsi"/>
                <w:sz w:val="22"/>
                <w:szCs w:val="22"/>
                <w:lang w:val="fr-CH"/>
              </w:rPr>
              <w:t>'</w:t>
            </w:r>
            <w:r w:rsidR="00AE3E55" w:rsidRPr="00817B57">
              <w:rPr>
                <w:rFonts w:asciiTheme="minorHAnsi" w:hAnsiTheme="minorHAnsi"/>
                <w:sz w:val="22"/>
                <w:szCs w:val="22"/>
                <w:lang w:val="fr-CH"/>
              </w:rPr>
              <w:t>audit sont traités dans un délai raisonnable (par exemple deux à trois ans).</w:t>
            </w:r>
          </w:p>
        </w:tc>
        <w:tc>
          <w:tcPr>
            <w:tcW w:w="3083" w:type="dxa"/>
          </w:tcPr>
          <w:p w:rsidR="000D2AC7" w:rsidRPr="00817B57" w:rsidRDefault="00D54ADF" w:rsidP="000B7E88">
            <w:pPr>
              <w:rPr>
                <w:rFonts w:asciiTheme="minorHAnsi" w:hAnsiTheme="minorHAnsi"/>
                <w:sz w:val="22"/>
                <w:szCs w:val="22"/>
                <w:lang w:val="fr-CH"/>
              </w:rPr>
            </w:pPr>
            <w:r w:rsidRPr="00817B57">
              <w:rPr>
                <w:rFonts w:asciiTheme="minorHAnsi" w:hAnsiTheme="minorHAnsi"/>
                <w:b/>
                <w:bCs/>
                <w:sz w:val="22"/>
                <w:szCs w:val="22"/>
                <w:lang w:val="fr-CH"/>
              </w:rPr>
              <w:t>Commentaire</w:t>
            </w:r>
            <w:r w:rsidR="00AE3E55" w:rsidRPr="00817B57">
              <w:rPr>
                <w:rFonts w:asciiTheme="minorHAnsi" w:hAnsiTheme="minorHAnsi"/>
                <w:b/>
                <w:bCs/>
                <w:sz w:val="22"/>
                <w:szCs w:val="22"/>
                <w:lang w:val="fr-CH"/>
              </w:rPr>
              <w:t xml:space="preserve"> de l</w:t>
            </w:r>
            <w:r w:rsidR="000B7E88" w:rsidRPr="00817B57">
              <w:rPr>
                <w:rFonts w:asciiTheme="minorHAnsi" w:hAnsiTheme="minorHAnsi"/>
                <w:b/>
                <w:bCs/>
                <w:sz w:val="22"/>
                <w:szCs w:val="22"/>
                <w:lang w:val="fr-CH"/>
              </w:rPr>
              <w:t>'</w:t>
            </w:r>
            <w:r w:rsidR="00AE3E55" w:rsidRPr="00817B57">
              <w:rPr>
                <w:rFonts w:asciiTheme="minorHAnsi" w:hAnsiTheme="minorHAnsi"/>
                <w:b/>
                <w:bCs/>
                <w:sz w:val="22"/>
                <w:szCs w:val="22"/>
                <w:lang w:val="fr-CH"/>
              </w:rPr>
              <w:t>Unité de l</w:t>
            </w:r>
            <w:r w:rsidR="000B7E88" w:rsidRPr="00817B57">
              <w:rPr>
                <w:rFonts w:asciiTheme="minorHAnsi" w:hAnsiTheme="minorHAnsi"/>
                <w:b/>
                <w:bCs/>
                <w:sz w:val="22"/>
                <w:szCs w:val="22"/>
                <w:lang w:val="fr-CH"/>
              </w:rPr>
              <w:t>'</w:t>
            </w:r>
            <w:r w:rsidR="00AE3E55" w:rsidRPr="00817B57">
              <w:rPr>
                <w:rFonts w:asciiTheme="minorHAnsi" w:hAnsiTheme="minorHAnsi"/>
                <w:b/>
                <w:bCs/>
                <w:sz w:val="22"/>
                <w:szCs w:val="22"/>
                <w:lang w:val="fr-CH"/>
              </w:rPr>
              <w:t>audit interne</w:t>
            </w:r>
            <w:r w:rsidR="002851CA" w:rsidRPr="00817B57">
              <w:rPr>
                <w:rFonts w:asciiTheme="minorHAnsi" w:hAnsiTheme="minorHAnsi"/>
                <w:b/>
                <w:bCs/>
                <w:sz w:val="22"/>
                <w:szCs w:val="22"/>
                <w:lang w:val="fr-CH"/>
              </w:rPr>
              <w:t>:</w:t>
            </w:r>
            <w:r w:rsidR="00AE3E55" w:rsidRPr="00817B57">
              <w:rPr>
                <w:rFonts w:asciiTheme="minorHAnsi" w:hAnsiTheme="minorHAnsi"/>
                <w:sz w:val="22"/>
                <w:szCs w:val="22"/>
                <w:lang w:val="fr-CH"/>
              </w:rPr>
              <w:t xml:space="preserve"> Les travaux sur cette question ont déjà commencé et d</w:t>
            </w:r>
            <w:r w:rsidR="000B7E88" w:rsidRPr="00817B57">
              <w:rPr>
                <w:rFonts w:asciiTheme="minorHAnsi" w:hAnsiTheme="minorHAnsi"/>
                <w:sz w:val="22"/>
                <w:szCs w:val="22"/>
                <w:lang w:val="fr-CH"/>
              </w:rPr>
              <w:t>'</w:t>
            </w:r>
            <w:r w:rsidR="00AE3E55" w:rsidRPr="00817B57">
              <w:rPr>
                <w:rFonts w:asciiTheme="minorHAnsi" w:hAnsiTheme="minorHAnsi"/>
                <w:sz w:val="22"/>
                <w:szCs w:val="22"/>
                <w:lang w:val="fr-CH"/>
              </w:rPr>
              <w:t>autres seront entrepris pour le plan d</w:t>
            </w:r>
            <w:r w:rsidR="000B7E88" w:rsidRPr="00817B57">
              <w:rPr>
                <w:rFonts w:asciiTheme="minorHAnsi" w:hAnsiTheme="minorHAnsi"/>
                <w:sz w:val="22"/>
                <w:szCs w:val="22"/>
                <w:lang w:val="fr-CH"/>
              </w:rPr>
              <w:t>'</w:t>
            </w:r>
            <w:r w:rsidR="00817B57">
              <w:rPr>
                <w:rFonts w:asciiTheme="minorHAnsi" w:hAnsiTheme="minorHAnsi"/>
                <w:sz w:val="22"/>
                <w:szCs w:val="22"/>
                <w:lang w:val="fr-CH"/>
              </w:rPr>
              <w:t>audit </w:t>
            </w:r>
            <w:r w:rsidR="00AE3E55" w:rsidRPr="00817B57">
              <w:rPr>
                <w:rFonts w:asciiTheme="minorHAnsi" w:hAnsiTheme="minorHAnsi"/>
                <w:sz w:val="22"/>
                <w:szCs w:val="22"/>
                <w:lang w:val="fr-CH"/>
              </w:rPr>
              <w:t>2016.</w:t>
            </w:r>
          </w:p>
        </w:tc>
        <w:tc>
          <w:tcPr>
            <w:tcW w:w="1696" w:type="dxa"/>
          </w:tcPr>
          <w:p w:rsidR="000D2AC7" w:rsidRPr="00817B57" w:rsidRDefault="00FA41F1" w:rsidP="000B7E88">
            <w:pPr>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0D2AC7" w:rsidRPr="00817B57" w:rsidRDefault="00AE3E55" w:rsidP="000B7E88">
            <w:pPr>
              <w:rPr>
                <w:rFonts w:asciiTheme="minorHAnsi" w:hAnsiTheme="minorHAnsi"/>
                <w:sz w:val="22"/>
                <w:szCs w:val="22"/>
                <w:lang w:val="fr-CH"/>
              </w:rPr>
            </w:pPr>
            <w:r w:rsidRPr="00817B57">
              <w:rPr>
                <w:rFonts w:asciiTheme="minorHAnsi" w:hAnsiTheme="minorHAnsi"/>
                <w:sz w:val="22"/>
                <w:szCs w:val="22"/>
                <w:lang w:val="fr-CH"/>
              </w:rPr>
              <w:t>Dans le cadre de la planification de l</w:t>
            </w:r>
            <w:r w:rsidR="000B7E88" w:rsidRPr="00817B57">
              <w:rPr>
                <w:rFonts w:asciiTheme="minorHAnsi" w:hAnsiTheme="minorHAnsi"/>
                <w:sz w:val="22"/>
                <w:szCs w:val="22"/>
                <w:lang w:val="fr-CH"/>
              </w:rPr>
              <w:t>'</w:t>
            </w:r>
            <w:r w:rsidRPr="00817B57">
              <w:rPr>
                <w:rFonts w:asciiTheme="minorHAnsi" w:hAnsiTheme="minorHAnsi"/>
                <w:sz w:val="22"/>
                <w:szCs w:val="22"/>
                <w:lang w:val="fr-CH"/>
              </w:rPr>
              <w:t>audit interne pour 2016, une analyse des risques a été réalisée sur la base d</w:t>
            </w:r>
            <w:r w:rsidR="000B7E88" w:rsidRPr="00817B57">
              <w:rPr>
                <w:rFonts w:asciiTheme="minorHAnsi" w:hAnsiTheme="minorHAnsi"/>
                <w:sz w:val="22"/>
                <w:szCs w:val="22"/>
                <w:lang w:val="fr-CH"/>
              </w:rPr>
              <w:t>'</w:t>
            </w:r>
            <w:r w:rsidRPr="00817B57">
              <w:rPr>
                <w:rFonts w:asciiTheme="minorHAnsi" w:hAnsiTheme="minorHAnsi"/>
                <w:sz w:val="22"/>
                <w:szCs w:val="22"/>
                <w:lang w:val="fr-CH"/>
              </w:rPr>
              <w:t>un environnement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établi, des processus métiers de l</w:t>
            </w:r>
            <w:r w:rsidR="000B7E88" w:rsidRPr="00817B57">
              <w:rPr>
                <w:rFonts w:asciiTheme="minorHAnsi" w:hAnsiTheme="minorHAnsi"/>
                <w:sz w:val="22"/>
                <w:szCs w:val="22"/>
                <w:lang w:val="fr-CH"/>
              </w:rPr>
              <w:t>'</w:t>
            </w:r>
            <w:r w:rsidRPr="00817B57">
              <w:rPr>
                <w:rFonts w:asciiTheme="minorHAnsi" w:hAnsiTheme="minorHAnsi"/>
                <w:sz w:val="22"/>
                <w:szCs w:val="22"/>
                <w:lang w:val="fr-CH"/>
              </w:rPr>
              <w:t>UIT et du registre officiel des risques à l</w:t>
            </w:r>
            <w:r w:rsidR="000B7E88" w:rsidRPr="00817B57">
              <w:rPr>
                <w:rFonts w:asciiTheme="minorHAnsi" w:hAnsiTheme="minorHAnsi"/>
                <w:sz w:val="22"/>
                <w:szCs w:val="22"/>
                <w:lang w:val="fr-CH"/>
              </w:rPr>
              <w:t>'</w:t>
            </w:r>
            <w:r w:rsidRPr="00817B57">
              <w:rPr>
                <w:rFonts w:asciiTheme="minorHAnsi" w:hAnsiTheme="minorHAnsi"/>
                <w:sz w:val="22"/>
                <w:szCs w:val="22"/>
                <w:lang w:val="fr-CH"/>
              </w:rPr>
              <w:t>UIT</w:t>
            </w:r>
            <w:r w:rsidR="002851CA" w:rsidRPr="00817B57">
              <w:rPr>
                <w:rFonts w:asciiTheme="minorHAnsi" w:hAnsiTheme="minorHAnsi"/>
                <w:sz w:val="22"/>
                <w:szCs w:val="22"/>
                <w:lang w:val="fr-CH"/>
              </w:rPr>
              <w:t>;</w:t>
            </w:r>
            <w:r w:rsidRPr="00817B57">
              <w:rPr>
                <w:rFonts w:asciiTheme="minorHAnsi" w:hAnsiTheme="minorHAnsi"/>
                <w:sz w:val="22"/>
                <w:szCs w:val="22"/>
                <w:lang w:val="fr-CH"/>
              </w:rPr>
              <w:t xml:space="preserve"> neuf critères ont été utilisés pour déterminer l</w:t>
            </w:r>
            <w:r w:rsidR="000B7E88" w:rsidRPr="00817B57">
              <w:rPr>
                <w:rFonts w:asciiTheme="minorHAnsi" w:hAnsiTheme="minorHAnsi"/>
                <w:sz w:val="22"/>
                <w:szCs w:val="22"/>
                <w:lang w:val="fr-CH"/>
              </w:rPr>
              <w:t>'</w:t>
            </w:r>
            <w:r w:rsidRPr="00817B57">
              <w:rPr>
                <w:rFonts w:asciiTheme="minorHAnsi" w:hAnsiTheme="minorHAnsi"/>
                <w:sz w:val="22"/>
                <w:szCs w:val="22"/>
                <w:lang w:val="fr-CH"/>
              </w:rPr>
              <w:t>importance des composants de l</w:t>
            </w:r>
            <w:r w:rsidR="000B7E88" w:rsidRPr="00817B57">
              <w:rPr>
                <w:rFonts w:asciiTheme="minorHAnsi" w:hAnsiTheme="minorHAnsi"/>
                <w:sz w:val="22"/>
                <w:szCs w:val="22"/>
                <w:lang w:val="fr-CH"/>
              </w:rPr>
              <w:t>'</w:t>
            </w:r>
            <w:r w:rsidRPr="00817B57">
              <w:rPr>
                <w:rFonts w:asciiTheme="minorHAnsi" w:hAnsiTheme="minorHAnsi"/>
                <w:sz w:val="22"/>
                <w:szCs w:val="22"/>
                <w:lang w:val="fr-CH"/>
              </w:rPr>
              <w:t>environnement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w:t>
            </w:r>
          </w:p>
        </w:tc>
      </w:tr>
      <w:tr w:rsidR="003111C2" w:rsidRPr="00817B57" w:rsidTr="00AA07F5">
        <w:tc>
          <w:tcPr>
            <w:tcW w:w="1051" w:type="dxa"/>
          </w:tcPr>
          <w:p w:rsidR="003111C2" w:rsidRPr="00817B57" w:rsidRDefault="003111C2" w:rsidP="00CD0FC1">
            <w:pPr>
              <w:keepNext/>
              <w:rPr>
                <w:rFonts w:asciiTheme="minorHAnsi" w:hAnsiTheme="minorHAnsi"/>
                <w:sz w:val="22"/>
                <w:szCs w:val="22"/>
                <w:lang w:val="fr-CH"/>
              </w:rPr>
            </w:pPr>
            <w:r w:rsidRPr="00817B57">
              <w:rPr>
                <w:rFonts w:asciiTheme="minorHAnsi" w:hAnsiTheme="minorHAnsi"/>
                <w:sz w:val="22"/>
                <w:szCs w:val="22"/>
                <w:lang w:val="fr-CH"/>
              </w:rPr>
              <w:t>1.2.a</w:t>
            </w:r>
          </w:p>
        </w:tc>
        <w:tc>
          <w:tcPr>
            <w:tcW w:w="4437" w:type="dxa"/>
          </w:tcPr>
          <w:p w:rsidR="003111C2" w:rsidRPr="00817B57" w:rsidRDefault="00D54ADF" w:rsidP="00CD0FC1">
            <w:pPr>
              <w:keepNext/>
              <w:rPr>
                <w:rFonts w:asciiTheme="minorHAnsi" w:hAnsiTheme="minorHAnsi"/>
                <w:sz w:val="22"/>
                <w:szCs w:val="22"/>
                <w:lang w:val="fr-CH"/>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AE3E55" w:rsidRPr="00817B57">
              <w:rPr>
                <w:rFonts w:asciiTheme="minorHAnsi" w:hAnsiTheme="minorHAnsi"/>
                <w:sz w:val="22"/>
                <w:szCs w:val="22"/>
                <w:lang w:val="fr-CH"/>
              </w:rPr>
              <w:t>devrait renforcer le processus de planification des travaux en faisant figurer, dans le programme de travail annuel</w:t>
            </w:r>
            <w:r w:rsidR="002851CA" w:rsidRPr="00817B57">
              <w:rPr>
                <w:rFonts w:asciiTheme="minorHAnsi" w:hAnsiTheme="minorHAnsi"/>
                <w:sz w:val="22"/>
                <w:szCs w:val="22"/>
                <w:lang w:val="fr-CH"/>
              </w:rPr>
              <w:t>:</w:t>
            </w:r>
            <w:r w:rsidR="00AE3E55" w:rsidRPr="00817B57">
              <w:rPr>
                <w:rFonts w:asciiTheme="minorHAnsi" w:hAnsiTheme="minorHAnsi"/>
                <w:sz w:val="22"/>
                <w:szCs w:val="22"/>
                <w:lang w:val="fr-CH"/>
              </w:rPr>
              <w:t xml:space="preserve"> </w:t>
            </w:r>
            <w:r w:rsidR="00AE3E55" w:rsidRPr="00817B57">
              <w:rPr>
                <w:rFonts w:asciiTheme="minorHAnsi" w:hAnsiTheme="minorHAnsi"/>
                <w:b/>
                <w:bCs/>
                <w:sz w:val="22"/>
                <w:szCs w:val="22"/>
                <w:lang w:val="fr-CH"/>
              </w:rPr>
              <w:t>a)</w:t>
            </w:r>
            <w:r w:rsidR="00AE3E55" w:rsidRPr="00817B57">
              <w:rPr>
                <w:rFonts w:asciiTheme="minorHAnsi" w:hAnsiTheme="minorHAnsi"/>
                <w:sz w:val="22"/>
                <w:szCs w:val="22"/>
                <w:lang w:val="fr-CH"/>
              </w:rPr>
              <w:t xml:space="preserve"> une stratégie et une méthode d</w:t>
            </w:r>
            <w:r w:rsidR="000B7E88" w:rsidRPr="00817B57">
              <w:rPr>
                <w:rFonts w:asciiTheme="minorHAnsi" w:hAnsiTheme="minorHAnsi"/>
                <w:sz w:val="22"/>
                <w:szCs w:val="22"/>
                <w:lang w:val="fr-CH"/>
              </w:rPr>
              <w:t>'</w:t>
            </w:r>
            <w:r w:rsidR="00AE3E55" w:rsidRPr="00817B57">
              <w:rPr>
                <w:rFonts w:asciiTheme="minorHAnsi" w:hAnsiTheme="minorHAnsi"/>
                <w:sz w:val="22"/>
                <w:szCs w:val="22"/>
                <w:lang w:val="fr-CH"/>
              </w:rPr>
              <w:t>audit permettant de traiter entièrement tous les risques critique</w:t>
            </w:r>
            <w:r w:rsidRPr="00817B57">
              <w:rPr>
                <w:rFonts w:asciiTheme="minorHAnsi" w:hAnsiTheme="minorHAnsi"/>
                <w:sz w:val="22"/>
                <w:szCs w:val="22"/>
                <w:lang w:val="fr-CH"/>
              </w:rPr>
              <w:t>s</w:t>
            </w:r>
            <w:r w:rsidR="00AE3E55" w:rsidRPr="00817B57">
              <w:rPr>
                <w:rFonts w:asciiTheme="minorHAnsi" w:hAnsiTheme="minorHAnsi"/>
                <w:sz w:val="22"/>
                <w:szCs w:val="22"/>
                <w:lang w:val="fr-CH"/>
              </w:rPr>
              <w:t xml:space="preserve"> </w:t>
            </w:r>
            <w:r w:rsidRPr="00817B57">
              <w:rPr>
                <w:rFonts w:asciiTheme="minorHAnsi" w:hAnsiTheme="minorHAnsi"/>
                <w:sz w:val="22"/>
                <w:szCs w:val="22"/>
                <w:lang w:val="fr-CH"/>
              </w:rPr>
              <w:t>ou</w:t>
            </w:r>
            <w:r w:rsidR="00AE3E55" w:rsidRPr="00817B57">
              <w:rPr>
                <w:rFonts w:asciiTheme="minorHAnsi" w:hAnsiTheme="minorHAnsi"/>
                <w:sz w:val="22"/>
                <w:szCs w:val="22"/>
                <w:lang w:val="fr-CH"/>
              </w:rPr>
              <w:t xml:space="preserve"> majeur</w:t>
            </w:r>
            <w:r w:rsidRPr="00817B57">
              <w:rPr>
                <w:rFonts w:asciiTheme="minorHAnsi" w:hAnsiTheme="minorHAnsi"/>
                <w:sz w:val="22"/>
                <w:szCs w:val="22"/>
                <w:lang w:val="fr-CH"/>
              </w:rPr>
              <w:t>s</w:t>
            </w:r>
            <w:r w:rsidR="00AE3E55" w:rsidRPr="00817B57">
              <w:rPr>
                <w:rFonts w:asciiTheme="minorHAnsi" w:hAnsiTheme="minorHAnsi"/>
                <w:sz w:val="22"/>
                <w:szCs w:val="22"/>
                <w:lang w:val="fr-CH"/>
              </w:rPr>
              <w:t xml:space="preserve"> et de fournir au Secrétaire général et au Conseil une assurance raisonnable concernant l</w:t>
            </w:r>
            <w:r w:rsidR="000B7E88" w:rsidRPr="00817B57">
              <w:rPr>
                <w:rFonts w:asciiTheme="minorHAnsi" w:hAnsiTheme="minorHAnsi"/>
                <w:sz w:val="22"/>
                <w:szCs w:val="22"/>
                <w:lang w:val="fr-CH"/>
              </w:rPr>
              <w:t>'</w:t>
            </w:r>
            <w:r w:rsidR="00AE3E55" w:rsidRPr="00817B57">
              <w:rPr>
                <w:rFonts w:asciiTheme="minorHAnsi" w:hAnsiTheme="minorHAnsi"/>
                <w:sz w:val="22"/>
                <w:szCs w:val="22"/>
                <w:lang w:val="fr-CH"/>
              </w:rPr>
              <w:t>efficacité des processus de contrôle, de gestion des risques et de gouvernance</w:t>
            </w:r>
            <w:r w:rsidR="002851CA" w:rsidRPr="00817B57">
              <w:rPr>
                <w:rFonts w:asciiTheme="minorHAnsi" w:hAnsiTheme="minorHAnsi"/>
                <w:sz w:val="22"/>
                <w:szCs w:val="22"/>
                <w:lang w:val="fr-CH"/>
              </w:rPr>
              <w:t>;</w:t>
            </w:r>
          </w:p>
        </w:tc>
        <w:tc>
          <w:tcPr>
            <w:tcW w:w="3083" w:type="dxa"/>
            <w:tcBorders>
              <w:bottom w:val="nil"/>
            </w:tcBorders>
          </w:tcPr>
          <w:p w:rsidR="003111C2" w:rsidRPr="00817B57" w:rsidRDefault="003111C2" w:rsidP="00CD0FC1">
            <w:pPr>
              <w:keepNext/>
              <w:rPr>
                <w:rFonts w:asciiTheme="minorHAnsi" w:hAnsiTheme="minorHAnsi"/>
                <w:sz w:val="22"/>
                <w:szCs w:val="22"/>
                <w:lang w:val="fr-CH"/>
              </w:rPr>
            </w:pPr>
          </w:p>
        </w:tc>
        <w:tc>
          <w:tcPr>
            <w:tcW w:w="1696" w:type="dxa"/>
          </w:tcPr>
          <w:p w:rsidR="003111C2" w:rsidRPr="00817B57" w:rsidRDefault="003111C2" w:rsidP="00CD0FC1">
            <w:pPr>
              <w:keepNext/>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3111C2" w:rsidRPr="00817B57" w:rsidRDefault="00AE3E55" w:rsidP="00CD0FC1">
            <w:pPr>
              <w:keepNext/>
              <w:rPr>
                <w:rFonts w:asciiTheme="minorHAnsi" w:hAnsiTheme="minorHAnsi"/>
                <w:sz w:val="22"/>
                <w:szCs w:val="22"/>
                <w:lang w:val="fr-CH"/>
              </w:rPr>
            </w:pPr>
            <w:r w:rsidRPr="00817B57">
              <w:rPr>
                <w:rFonts w:asciiTheme="minorHAnsi" w:hAnsiTheme="minorHAnsi"/>
                <w:sz w:val="22"/>
                <w:szCs w:val="22"/>
                <w:lang w:val="fr-CH"/>
              </w:rPr>
              <w:t>La stratégie et la méthode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recense</w:t>
            </w:r>
            <w:r w:rsidR="00D54ADF" w:rsidRPr="00817B57">
              <w:rPr>
                <w:rFonts w:asciiTheme="minorHAnsi" w:hAnsiTheme="minorHAnsi"/>
                <w:sz w:val="22"/>
                <w:szCs w:val="22"/>
                <w:lang w:val="fr-CH"/>
              </w:rPr>
              <w:t>nt</w:t>
            </w:r>
            <w:r w:rsidRPr="00817B57">
              <w:rPr>
                <w:rFonts w:asciiTheme="minorHAnsi" w:hAnsiTheme="minorHAnsi"/>
                <w:sz w:val="22"/>
                <w:szCs w:val="22"/>
                <w:lang w:val="fr-CH"/>
              </w:rPr>
              <w:t xml:space="preserve"> les risques critique</w:t>
            </w:r>
            <w:r w:rsidR="00D54ADF" w:rsidRPr="00817B57">
              <w:rPr>
                <w:rFonts w:asciiTheme="minorHAnsi" w:hAnsiTheme="minorHAnsi"/>
                <w:sz w:val="22"/>
                <w:szCs w:val="22"/>
                <w:lang w:val="fr-CH"/>
              </w:rPr>
              <w:t>s</w:t>
            </w:r>
            <w:r w:rsidRPr="00817B57">
              <w:rPr>
                <w:rFonts w:asciiTheme="minorHAnsi" w:hAnsiTheme="minorHAnsi"/>
                <w:sz w:val="22"/>
                <w:szCs w:val="22"/>
                <w:lang w:val="fr-CH"/>
              </w:rPr>
              <w:t xml:space="preserve"> </w:t>
            </w:r>
            <w:r w:rsidR="00D54ADF" w:rsidRPr="00817B57">
              <w:rPr>
                <w:rFonts w:asciiTheme="minorHAnsi" w:hAnsiTheme="minorHAnsi"/>
                <w:sz w:val="22"/>
                <w:szCs w:val="22"/>
                <w:lang w:val="fr-CH"/>
              </w:rPr>
              <w:t>ou</w:t>
            </w:r>
            <w:r w:rsidRPr="00817B57">
              <w:rPr>
                <w:rFonts w:asciiTheme="minorHAnsi" w:hAnsiTheme="minorHAnsi"/>
                <w:sz w:val="22"/>
                <w:szCs w:val="22"/>
                <w:lang w:val="fr-CH"/>
              </w:rPr>
              <w:t xml:space="preserve"> majeur</w:t>
            </w:r>
            <w:r w:rsidR="00D54ADF" w:rsidRPr="00817B57">
              <w:rPr>
                <w:rFonts w:asciiTheme="minorHAnsi" w:hAnsiTheme="minorHAnsi"/>
                <w:sz w:val="22"/>
                <w:szCs w:val="22"/>
                <w:lang w:val="fr-CH"/>
              </w:rPr>
              <w:t>s</w:t>
            </w:r>
            <w:r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Pr="00817B57">
              <w:rPr>
                <w:rFonts w:asciiTheme="minorHAnsi" w:hAnsiTheme="minorHAnsi"/>
                <w:sz w:val="22"/>
                <w:szCs w:val="22"/>
                <w:lang w:val="fr-CH"/>
              </w:rPr>
              <w:t>environnement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w:t>
            </w:r>
          </w:p>
        </w:tc>
      </w:tr>
      <w:tr w:rsidR="004508F9" w:rsidRPr="00817B57" w:rsidTr="00AA07F5">
        <w:tc>
          <w:tcPr>
            <w:tcW w:w="1051"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1.2.b</w:t>
            </w:r>
          </w:p>
        </w:tc>
        <w:tc>
          <w:tcPr>
            <w:tcW w:w="4437" w:type="dxa"/>
          </w:tcPr>
          <w:p w:rsidR="004508F9" w:rsidRPr="00817B57" w:rsidRDefault="00D54ADF" w:rsidP="000B7E88">
            <w:pPr>
              <w:rPr>
                <w:rFonts w:asciiTheme="minorHAnsi" w:hAnsiTheme="minorHAnsi"/>
                <w:sz w:val="22"/>
                <w:szCs w:val="22"/>
                <w:lang w:val="fr-CH"/>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 xml:space="preserve">devrait renforcer le processus de planification des travaux en faisant figurer, </w:t>
            </w:r>
            <w:r w:rsidR="004508F9" w:rsidRPr="00817B57">
              <w:rPr>
                <w:rFonts w:asciiTheme="minorHAnsi" w:hAnsiTheme="minorHAnsi"/>
                <w:sz w:val="22"/>
                <w:szCs w:val="22"/>
                <w:lang w:val="fr-CH"/>
              </w:rPr>
              <w:lastRenderedPageBreak/>
              <w:t>dans le programme de travail annuel</w:t>
            </w:r>
            <w:r w:rsidR="002851CA"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w:t>
            </w:r>
            <w:r w:rsidR="004508F9" w:rsidRPr="00817B57">
              <w:rPr>
                <w:rFonts w:asciiTheme="minorHAnsi" w:hAnsiTheme="minorHAnsi"/>
                <w:b/>
                <w:bCs/>
                <w:sz w:val="22"/>
                <w:szCs w:val="22"/>
                <w:lang w:val="fr-CH"/>
              </w:rPr>
              <w:t>b)</w:t>
            </w:r>
            <w:r w:rsidR="004508F9" w:rsidRPr="00817B57">
              <w:rPr>
                <w:rFonts w:asciiTheme="minorHAnsi" w:hAnsiTheme="minorHAnsi"/>
                <w:sz w:val="22"/>
                <w:szCs w:val="22"/>
                <w:lang w:val="fr-CH"/>
              </w:rPr>
              <w:t xml:space="preserve"> une description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environnement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et des critères ou facteurs de risque utilisé</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pour choisir les projets  ou les sujets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w:t>
            </w:r>
            <w:r w:rsidR="002851CA" w:rsidRPr="00817B57">
              <w:rPr>
                <w:rFonts w:asciiTheme="minorHAnsi" w:hAnsiTheme="minorHAnsi"/>
                <w:sz w:val="22"/>
                <w:szCs w:val="22"/>
                <w:lang w:val="fr-CH"/>
              </w:rPr>
              <w:t>;</w:t>
            </w:r>
          </w:p>
        </w:tc>
        <w:tc>
          <w:tcPr>
            <w:tcW w:w="3083" w:type="dxa"/>
            <w:tcBorders>
              <w:top w:val="nil"/>
              <w:bottom w:val="nil"/>
            </w:tcBorders>
          </w:tcPr>
          <w:p w:rsidR="004508F9" w:rsidRPr="00817B57" w:rsidRDefault="00D54ADF" w:rsidP="000B7E88">
            <w:pPr>
              <w:rPr>
                <w:rFonts w:asciiTheme="minorHAnsi" w:hAnsiTheme="minorHAnsi"/>
                <w:sz w:val="22"/>
                <w:szCs w:val="22"/>
                <w:lang w:val="fr-CH"/>
              </w:rPr>
            </w:pPr>
            <w:r w:rsidRPr="00817B57">
              <w:rPr>
                <w:rFonts w:asciiTheme="minorHAnsi" w:hAnsiTheme="minorHAnsi"/>
                <w:b/>
                <w:bCs/>
                <w:sz w:val="22"/>
                <w:szCs w:val="22"/>
                <w:lang w:val="fr-CH"/>
              </w:rPr>
              <w:lastRenderedPageBreak/>
              <w:t>Commentaire</w:t>
            </w:r>
            <w:r w:rsidR="004508F9" w:rsidRPr="00817B57">
              <w:rPr>
                <w:rFonts w:asciiTheme="minorHAnsi" w:hAnsiTheme="minorHAnsi"/>
                <w:b/>
                <w:bCs/>
                <w:sz w:val="22"/>
                <w:szCs w:val="22"/>
                <w:lang w:val="fr-CH"/>
              </w:rPr>
              <w:t xml:space="preserve"> de l</w:t>
            </w:r>
            <w:r w:rsidR="000B7E88" w:rsidRPr="00817B57">
              <w:rPr>
                <w:rFonts w:asciiTheme="minorHAnsi" w:hAnsiTheme="minorHAnsi"/>
                <w:b/>
                <w:bCs/>
                <w:sz w:val="22"/>
                <w:szCs w:val="22"/>
                <w:lang w:val="fr-CH"/>
              </w:rPr>
              <w:t>'</w:t>
            </w:r>
            <w:r w:rsidR="004508F9" w:rsidRPr="00817B57">
              <w:rPr>
                <w:rFonts w:asciiTheme="minorHAnsi" w:hAnsiTheme="minorHAnsi"/>
                <w:b/>
                <w:bCs/>
                <w:sz w:val="22"/>
                <w:szCs w:val="22"/>
                <w:lang w:val="fr-CH"/>
              </w:rPr>
              <w:t>Unité de l</w:t>
            </w:r>
            <w:r w:rsidR="000B7E88" w:rsidRPr="00817B57">
              <w:rPr>
                <w:rFonts w:asciiTheme="minorHAnsi" w:hAnsiTheme="minorHAnsi"/>
                <w:b/>
                <w:bCs/>
                <w:sz w:val="22"/>
                <w:szCs w:val="22"/>
                <w:lang w:val="fr-CH"/>
              </w:rPr>
              <w:t>'</w:t>
            </w:r>
            <w:r w:rsidR="004508F9" w:rsidRPr="00817B57">
              <w:rPr>
                <w:rFonts w:asciiTheme="minorHAnsi" w:hAnsiTheme="minorHAnsi"/>
                <w:b/>
                <w:bCs/>
                <w:sz w:val="22"/>
                <w:szCs w:val="22"/>
                <w:lang w:val="fr-CH"/>
              </w:rPr>
              <w:t>audit interne</w:t>
            </w:r>
            <w:r w:rsidR="002851CA" w:rsidRPr="00817B57">
              <w:rPr>
                <w:rFonts w:asciiTheme="minorHAnsi" w:hAnsiTheme="minorHAnsi"/>
                <w:b/>
                <w:bCs/>
                <w:sz w:val="22"/>
                <w:szCs w:val="22"/>
                <w:lang w:val="fr-CH"/>
              </w:rPr>
              <w:t>:</w:t>
            </w:r>
            <w:r w:rsidR="004508F9" w:rsidRPr="00817B57">
              <w:rPr>
                <w:rFonts w:asciiTheme="minorHAnsi" w:hAnsiTheme="minorHAnsi"/>
                <w:sz w:val="22"/>
                <w:szCs w:val="22"/>
                <w:lang w:val="fr-CH"/>
              </w:rPr>
              <w:t xml:space="preserve"> Les travaux sur cette question ont déjà </w:t>
            </w:r>
            <w:r w:rsidR="004508F9" w:rsidRPr="00817B57">
              <w:rPr>
                <w:rFonts w:asciiTheme="minorHAnsi" w:hAnsiTheme="minorHAnsi"/>
                <w:sz w:val="22"/>
                <w:szCs w:val="22"/>
                <w:lang w:val="fr-CH"/>
              </w:rPr>
              <w:lastRenderedPageBreak/>
              <w:t>commencé et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autres seront entrepris pour le plan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2016.</w:t>
            </w:r>
          </w:p>
        </w:tc>
        <w:tc>
          <w:tcPr>
            <w:tcW w:w="1696"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lastRenderedPageBreak/>
              <w:t>Mise en oeuvre</w:t>
            </w:r>
          </w:p>
        </w:tc>
        <w:tc>
          <w:tcPr>
            <w:tcW w:w="4124"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Le plan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2016 contient une description de l</w:t>
            </w:r>
            <w:r w:rsidR="000B7E88" w:rsidRPr="00817B57">
              <w:rPr>
                <w:rFonts w:asciiTheme="minorHAnsi" w:hAnsiTheme="minorHAnsi"/>
                <w:sz w:val="22"/>
                <w:szCs w:val="22"/>
                <w:lang w:val="fr-CH"/>
              </w:rPr>
              <w:t>'</w:t>
            </w:r>
            <w:r w:rsidRPr="00817B57">
              <w:rPr>
                <w:rFonts w:asciiTheme="minorHAnsi" w:hAnsiTheme="minorHAnsi"/>
                <w:sz w:val="22"/>
                <w:szCs w:val="22"/>
                <w:lang w:val="fr-CH"/>
              </w:rPr>
              <w:t>environnement d</w:t>
            </w:r>
            <w:r w:rsidR="000B7E88" w:rsidRPr="00817B57">
              <w:rPr>
                <w:rFonts w:asciiTheme="minorHAnsi" w:hAnsiTheme="minorHAnsi"/>
                <w:sz w:val="22"/>
                <w:szCs w:val="22"/>
                <w:lang w:val="fr-CH"/>
              </w:rPr>
              <w:t>'</w:t>
            </w:r>
            <w:r w:rsidRPr="00817B57">
              <w:rPr>
                <w:rFonts w:asciiTheme="minorHAnsi" w:hAnsiTheme="minorHAnsi"/>
                <w:sz w:val="22"/>
                <w:szCs w:val="22"/>
                <w:lang w:val="fr-CH"/>
              </w:rPr>
              <w:t xml:space="preserve">audit et </w:t>
            </w:r>
            <w:r w:rsidRPr="00817B57">
              <w:rPr>
                <w:rFonts w:asciiTheme="minorHAnsi" w:hAnsiTheme="minorHAnsi"/>
                <w:sz w:val="22"/>
                <w:szCs w:val="22"/>
                <w:lang w:val="fr-CH"/>
              </w:rPr>
              <w:lastRenderedPageBreak/>
              <w:t>des critères utilisés pour choisir les sujets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w:t>
            </w:r>
          </w:p>
        </w:tc>
      </w:tr>
      <w:tr w:rsidR="004508F9" w:rsidRPr="00817B57" w:rsidTr="00AA07F5">
        <w:tc>
          <w:tcPr>
            <w:tcW w:w="1051"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lastRenderedPageBreak/>
              <w:t>1.2.c</w:t>
            </w:r>
          </w:p>
        </w:tc>
        <w:tc>
          <w:tcPr>
            <w:tcW w:w="4437" w:type="dxa"/>
          </w:tcPr>
          <w:p w:rsidR="004508F9" w:rsidRPr="00817B57" w:rsidRDefault="00D54ADF" w:rsidP="00D54ADF">
            <w:pPr>
              <w:rPr>
                <w:rFonts w:asciiTheme="minorHAnsi" w:hAnsiTheme="minorHAnsi"/>
                <w:sz w:val="22"/>
                <w:szCs w:val="22"/>
                <w:lang w:val="fr-CH"/>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devrait renforcer le processus de planification des travaux en faisant figurer, dans le programme de travail annuel</w:t>
            </w:r>
            <w:r w:rsidR="002851CA"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w:t>
            </w:r>
            <w:r w:rsidR="004508F9" w:rsidRPr="00817B57">
              <w:rPr>
                <w:rFonts w:asciiTheme="minorHAnsi" w:hAnsiTheme="minorHAnsi"/>
                <w:b/>
                <w:bCs/>
                <w:sz w:val="22"/>
                <w:szCs w:val="22"/>
                <w:lang w:val="fr-CH"/>
              </w:rPr>
              <w:t>c)</w:t>
            </w:r>
            <w:r w:rsidR="004508F9" w:rsidRPr="00817B57">
              <w:rPr>
                <w:rFonts w:asciiTheme="minorHAnsi" w:hAnsiTheme="minorHAnsi"/>
                <w:sz w:val="22"/>
                <w:szCs w:val="22"/>
                <w:lang w:val="fr-CH"/>
              </w:rPr>
              <w:t xml:space="preserve"> la nature et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étendue de la coordination avec les vérificateurs extérieurs (y compris la liste des propositions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envisagé</w:t>
            </w:r>
            <w:r w:rsidRPr="00817B57">
              <w:rPr>
                <w:rFonts w:asciiTheme="minorHAnsi" w:hAnsiTheme="minorHAnsi"/>
                <w:sz w:val="22"/>
                <w:szCs w:val="22"/>
                <w:lang w:val="fr-CH"/>
              </w:rPr>
              <w:t>es</w:t>
            </w:r>
            <w:r w:rsidR="004508F9" w:rsidRPr="00817B57">
              <w:rPr>
                <w:rFonts w:asciiTheme="minorHAnsi" w:hAnsiTheme="minorHAnsi"/>
                <w:sz w:val="22"/>
                <w:szCs w:val="22"/>
                <w:lang w:val="fr-CH"/>
              </w:rPr>
              <w:t xml:space="preserve"> par le</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vérificateur</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extérieur</w:t>
            </w:r>
            <w:r w:rsidRPr="00817B57">
              <w:rPr>
                <w:rFonts w:asciiTheme="minorHAnsi" w:hAnsiTheme="minorHAnsi"/>
                <w:sz w:val="22"/>
                <w:szCs w:val="22"/>
                <w:lang w:val="fr-CH"/>
              </w:rPr>
              <w:t>s</w:t>
            </w:r>
            <w:r w:rsidR="004508F9" w:rsidRPr="00817B57">
              <w:rPr>
                <w:rFonts w:asciiTheme="minorHAnsi" w:hAnsiTheme="minorHAnsi"/>
                <w:sz w:val="22"/>
                <w:szCs w:val="22"/>
                <w:lang w:val="fr-CH"/>
              </w:rPr>
              <w:t>) et les</w:t>
            </w:r>
            <w:r w:rsidRPr="00817B57">
              <w:rPr>
                <w:rFonts w:asciiTheme="minorHAnsi" w:hAnsiTheme="minorHAnsi"/>
                <w:sz w:val="22"/>
                <w:szCs w:val="22"/>
                <w:lang w:val="fr-CH"/>
              </w:rPr>
              <w:t xml:space="preserve"> éventuelles</w:t>
            </w:r>
            <w:r w:rsidR="004508F9" w:rsidRPr="00817B57">
              <w:rPr>
                <w:rFonts w:asciiTheme="minorHAnsi" w:hAnsiTheme="minorHAnsi"/>
                <w:sz w:val="22"/>
                <w:szCs w:val="22"/>
                <w:lang w:val="fr-CH"/>
              </w:rPr>
              <w:t xml:space="preserve"> activités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évaluation</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afin de réduire le chevauchement des travaux autant que faire se peut et de garantir une coopération et un échange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information</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efficace</w:t>
            </w:r>
            <w:r w:rsidRPr="00817B57">
              <w:rPr>
                <w:rFonts w:asciiTheme="minorHAnsi" w:hAnsiTheme="minorHAnsi"/>
                <w:sz w:val="22"/>
                <w:szCs w:val="22"/>
                <w:lang w:val="fr-CH"/>
              </w:rPr>
              <w:t>s</w:t>
            </w:r>
            <w:r w:rsidR="002851CA" w:rsidRPr="00817B57">
              <w:rPr>
                <w:rFonts w:asciiTheme="minorHAnsi" w:hAnsiTheme="minorHAnsi"/>
                <w:sz w:val="22"/>
                <w:szCs w:val="22"/>
                <w:lang w:val="fr-CH"/>
              </w:rPr>
              <w:t>;</w:t>
            </w:r>
          </w:p>
        </w:tc>
        <w:tc>
          <w:tcPr>
            <w:tcW w:w="3083" w:type="dxa"/>
            <w:tcBorders>
              <w:top w:val="nil"/>
              <w:bottom w:val="single" w:sz="4" w:space="0" w:color="auto"/>
            </w:tcBorders>
          </w:tcPr>
          <w:p w:rsidR="004508F9" w:rsidRPr="00817B57" w:rsidRDefault="004508F9" w:rsidP="000B7E88">
            <w:pPr>
              <w:rPr>
                <w:rFonts w:asciiTheme="minorHAnsi" w:hAnsiTheme="minorHAnsi"/>
                <w:sz w:val="22"/>
                <w:szCs w:val="22"/>
                <w:lang w:val="fr-CH"/>
              </w:rPr>
            </w:pPr>
          </w:p>
        </w:tc>
        <w:tc>
          <w:tcPr>
            <w:tcW w:w="1696"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4508F9" w:rsidP="00D54ADF">
            <w:pPr>
              <w:rPr>
                <w:rFonts w:asciiTheme="minorHAnsi" w:hAnsiTheme="minorHAnsi"/>
                <w:sz w:val="22"/>
                <w:szCs w:val="22"/>
                <w:lang w:val="fr-CH"/>
              </w:rPr>
            </w:pPr>
            <w:r w:rsidRPr="00817B57">
              <w:rPr>
                <w:rFonts w:asciiTheme="minorHAnsi" w:hAnsiTheme="minorHAnsi"/>
                <w:sz w:val="22"/>
                <w:szCs w:val="22"/>
                <w:lang w:val="fr-CH"/>
              </w:rPr>
              <w:t>Le plan des activités d</w:t>
            </w:r>
            <w:r w:rsidR="000B7E88" w:rsidRPr="00817B57">
              <w:rPr>
                <w:rFonts w:asciiTheme="minorHAnsi" w:hAnsiTheme="minorHAnsi"/>
                <w:sz w:val="22"/>
                <w:szCs w:val="22"/>
                <w:lang w:val="fr-CH"/>
              </w:rPr>
              <w:t>'</w:t>
            </w:r>
            <w:r w:rsidRPr="00817B57">
              <w:rPr>
                <w:rFonts w:asciiTheme="minorHAnsi" w:hAnsiTheme="minorHAnsi"/>
                <w:sz w:val="22"/>
                <w:szCs w:val="22"/>
                <w:lang w:val="fr-CH"/>
              </w:rPr>
              <w:t xml:space="preserve">audit pour 2016 a été élaboré compte tenu des sujets qui seraient traités par le </w:t>
            </w:r>
            <w:r w:rsidR="00D54ADF" w:rsidRPr="00817B57">
              <w:rPr>
                <w:rFonts w:asciiTheme="minorHAnsi" w:hAnsiTheme="minorHAnsi"/>
                <w:sz w:val="22"/>
                <w:szCs w:val="22"/>
                <w:lang w:val="fr-CH"/>
              </w:rPr>
              <w:t>V</w:t>
            </w:r>
            <w:r w:rsidRPr="00817B57">
              <w:rPr>
                <w:rFonts w:asciiTheme="minorHAnsi" w:hAnsiTheme="minorHAnsi"/>
                <w:sz w:val="22"/>
                <w:szCs w:val="22"/>
                <w:lang w:val="fr-CH"/>
              </w:rPr>
              <w:t xml:space="preserve">érificateur extérieur </w:t>
            </w:r>
            <w:r w:rsidR="00D54ADF" w:rsidRPr="00817B57">
              <w:rPr>
                <w:rFonts w:asciiTheme="minorHAnsi" w:hAnsiTheme="minorHAnsi"/>
                <w:sz w:val="22"/>
                <w:szCs w:val="22"/>
                <w:lang w:val="fr-CH"/>
              </w:rPr>
              <w:t xml:space="preserve">des comptes </w:t>
            </w:r>
            <w:r w:rsidRPr="00817B57">
              <w:rPr>
                <w:rFonts w:asciiTheme="minorHAnsi" w:hAnsiTheme="minorHAnsi"/>
                <w:sz w:val="22"/>
                <w:szCs w:val="22"/>
                <w:lang w:val="fr-CH"/>
              </w:rPr>
              <w:t>(conformément à son projet de plan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reçu le 18 décembre 2015).</w:t>
            </w:r>
          </w:p>
        </w:tc>
      </w:tr>
      <w:tr w:rsidR="004508F9" w:rsidRPr="00817B57" w:rsidTr="00AA07F5">
        <w:tc>
          <w:tcPr>
            <w:tcW w:w="1051"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1.2.d</w:t>
            </w:r>
          </w:p>
        </w:tc>
        <w:tc>
          <w:tcPr>
            <w:tcW w:w="4437" w:type="dxa"/>
          </w:tcPr>
          <w:p w:rsidR="004508F9" w:rsidRPr="00817B57" w:rsidRDefault="00D54ADF" w:rsidP="00D54ADF">
            <w:pPr>
              <w:rPr>
                <w:rFonts w:asciiTheme="minorHAnsi" w:hAnsiTheme="minorHAnsi"/>
                <w:sz w:val="22"/>
                <w:szCs w:val="22"/>
                <w:lang w:val="fr-CH"/>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devrait renforcer le processus de planification des travaux en faisant figurer, dans le programme de travail annuel</w:t>
            </w:r>
            <w:r w:rsidR="002851CA"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d) une analyse </w:t>
            </w:r>
            <w:r w:rsidRPr="00817B57">
              <w:rPr>
                <w:rFonts w:asciiTheme="minorHAnsi" w:hAnsiTheme="minorHAnsi"/>
                <w:sz w:val="22"/>
                <w:szCs w:val="22"/>
                <w:lang w:val="fr-CH"/>
              </w:rPr>
              <w:t>pour déterminer si les</w:t>
            </w:r>
            <w:r w:rsidR="004508F9" w:rsidRPr="00817B57">
              <w:rPr>
                <w:rFonts w:asciiTheme="minorHAnsi" w:hAnsiTheme="minorHAnsi"/>
                <w:sz w:val="22"/>
                <w:szCs w:val="22"/>
                <w:lang w:val="fr-CH"/>
              </w:rPr>
              <w:t xml:space="preserve"> ressources </w:t>
            </w:r>
            <w:r w:rsidRPr="00817B57">
              <w:rPr>
                <w:rFonts w:asciiTheme="minorHAnsi" w:hAnsiTheme="minorHAnsi"/>
                <w:sz w:val="22"/>
                <w:szCs w:val="22"/>
                <w:lang w:val="fr-CH"/>
              </w:rPr>
              <w:t>sont suffisantes</w:t>
            </w:r>
            <w:r w:rsidR="004508F9" w:rsidRPr="00817B57">
              <w:rPr>
                <w:rFonts w:asciiTheme="minorHAnsi" w:hAnsiTheme="minorHAnsi"/>
                <w:sz w:val="22"/>
                <w:szCs w:val="22"/>
                <w:lang w:val="fr-CH"/>
              </w:rPr>
              <w:t xml:space="preserve"> pour couvrir tous les domaines associés à des risques majeurs dans un délai défini ou pendant le cycle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donné.</w:t>
            </w:r>
          </w:p>
        </w:tc>
        <w:tc>
          <w:tcPr>
            <w:tcW w:w="3083" w:type="dxa"/>
            <w:tcBorders>
              <w:top w:val="single" w:sz="4" w:space="0" w:color="auto"/>
            </w:tcBorders>
          </w:tcPr>
          <w:p w:rsidR="004508F9" w:rsidRPr="00817B57" w:rsidRDefault="004508F9" w:rsidP="000B7E88">
            <w:pPr>
              <w:rPr>
                <w:rFonts w:asciiTheme="minorHAnsi" w:hAnsiTheme="minorHAnsi"/>
                <w:sz w:val="22"/>
                <w:szCs w:val="22"/>
                <w:lang w:val="fr-CH"/>
              </w:rPr>
            </w:pPr>
          </w:p>
        </w:tc>
        <w:tc>
          <w:tcPr>
            <w:tcW w:w="1696"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L</w:t>
            </w:r>
            <w:r w:rsidR="000B7E88" w:rsidRPr="00817B57">
              <w:rPr>
                <w:rFonts w:asciiTheme="minorHAnsi" w:hAnsiTheme="minorHAnsi"/>
                <w:sz w:val="22"/>
                <w:szCs w:val="22"/>
                <w:lang w:val="fr-CH"/>
              </w:rPr>
              <w:t>'</w:t>
            </w:r>
            <w:r w:rsidRPr="00817B57">
              <w:rPr>
                <w:rFonts w:asciiTheme="minorHAnsi" w:hAnsiTheme="minorHAnsi"/>
                <w:sz w:val="22"/>
                <w:szCs w:val="22"/>
                <w:lang w:val="fr-CH"/>
              </w:rPr>
              <w:t>analyse des ressources disponibles (et nécessaires) requises pour traiter tous les domaines associés à des risques majeurs dans un délai défini</w:t>
            </w:r>
            <w:r w:rsidR="00D54ADF" w:rsidRPr="00817B57">
              <w:rPr>
                <w:rFonts w:asciiTheme="minorHAnsi" w:hAnsiTheme="minorHAnsi"/>
                <w:sz w:val="22"/>
                <w:szCs w:val="22"/>
                <w:lang w:val="fr-CH"/>
              </w:rPr>
              <w:t xml:space="preserve"> ou</w:t>
            </w:r>
            <w:r w:rsidRPr="00817B57">
              <w:rPr>
                <w:rFonts w:asciiTheme="minorHAnsi" w:hAnsiTheme="minorHAnsi"/>
                <w:sz w:val="22"/>
                <w:szCs w:val="22"/>
                <w:lang w:val="fr-CH"/>
              </w:rPr>
              <w:t xml:space="preserve"> pendant un cycle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donné a été présenté</w:t>
            </w:r>
            <w:r w:rsidR="00D54ADF" w:rsidRPr="00817B57">
              <w:rPr>
                <w:rFonts w:asciiTheme="minorHAnsi" w:hAnsiTheme="minorHAnsi"/>
                <w:sz w:val="22"/>
                <w:szCs w:val="22"/>
                <w:lang w:val="fr-CH"/>
              </w:rPr>
              <w:t>e</w:t>
            </w:r>
            <w:r w:rsidRPr="00817B57">
              <w:rPr>
                <w:rFonts w:asciiTheme="minorHAnsi" w:hAnsiTheme="minorHAnsi"/>
                <w:sz w:val="22"/>
                <w:szCs w:val="22"/>
                <w:lang w:val="fr-CH"/>
              </w:rPr>
              <w:t xml:space="preserve"> dans le plan d</w:t>
            </w:r>
            <w:r w:rsidR="000B7E88" w:rsidRPr="00817B57">
              <w:rPr>
                <w:rFonts w:asciiTheme="minorHAnsi" w:hAnsiTheme="minorHAnsi"/>
                <w:sz w:val="22"/>
                <w:szCs w:val="22"/>
                <w:lang w:val="fr-CH"/>
              </w:rPr>
              <w:t>'</w:t>
            </w:r>
            <w:r w:rsidR="00CD0FC1">
              <w:rPr>
                <w:rFonts w:asciiTheme="minorHAnsi" w:hAnsiTheme="minorHAnsi"/>
                <w:sz w:val="22"/>
                <w:szCs w:val="22"/>
                <w:lang w:val="fr-CH"/>
              </w:rPr>
              <w:t>audit pour </w:t>
            </w:r>
            <w:r w:rsidRPr="00817B57">
              <w:rPr>
                <w:rFonts w:asciiTheme="minorHAnsi" w:hAnsiTheme="minorHAnsi"/>
                <w:sz w:val="22"/>
                <w:szCs w:val="22"/>
                <w:lang w:val="fr-CH"/>
              </w:rPr>
              <w:t>2016.</w:t>
            </w:r>
          </w:p>
        </w:tc>
      </w:tr>
      <w:tr w:rsidR="004508F9" w:rsidRPr="00817B57" w:rsidTr="00AA07F5">
        <w:tc>
          <w:tcPr>
            <w:tcW w:w="1051"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1.3</w:t>
            </w:r>
          </w:p>
        </w:tc>
        <w:tc>
          <w:tcPr>
            <w:tcW w:w="4437" w:type="dxa"/>
          </w:tcPr>
          <w:p w:rsidR="004508F9" w:rsidRPr="00817B57" w:rsidRDefault="00D54ADF" w:rsidP="00D54ADF">
            <w:pPr>
              <w:rPr>
                <w:rFonts w:asciiTheme="minorHAnsi" w:hAnsiTheme="minorHAnsi"/>
                <w:sz w:val="22"/>
                <w:szCs w:val="22"/>
                <w:lang w:val="fr-CH"/>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devrait effectuer une analyse des écarts de compétence</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afin de comparer les connaissances, compétences et expériences collectives réelles et attendues des fonctionnaires visés par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audit interne </w:t>
            </w:r>
            <w:r w:rsidRPr="00817B57">
              <w:rPr>
                <w:rFonts w:asciiTheme="minorHAnsi" w:hAnsiTheme="minorHAnsi"/>
                <w:sz w:val="22"/>
                <w:szCs w:val="22"/>
                <w:lang w:val="fr-CH"/>
              </w:rPr>
              <w:t xml:space="preserve">dans le domaine des </w:t>
            </w:r>
            <w:r w:rsidR="004508F9" w:rsidRPr="00817B57">
              <w:rPr>
                <w:rFonts w:asciiTheme="minorHAnsi" w:hAnsiTheme="minorHAnsi"/>
                <w:sz w:val="22"/>
                <w:szCs w:val="22"/>
                <w:lang w:val="fr-CH"/>
              </w:rPr>
              <w:t>audit</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de</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w:t>
            </w:r>
            <w:r w:rsidRPr="00817B57">
              <w:rPr>
                <w:rFonts w:asciiTheme="minorHAnsi" w:hAnsiTheme="minorHAnsi"/>
                <w:sz w:val="22"/>
                <w:szCs w:val="22"/>
                <w:lang w:val="fr-CH"/>
              </w:rPr>
              <w:t>performances</w:t>
            </w:r>
            <w:r w:rsidR="004508F9" w:rsidRPr="00817B57">
              <w:rPr>
                <w:rFonts w:asciiTheme="minorHAnsi" w:hAnsiTheme="minorHAnsi"/>
                <w:sz w:val="22"/>
                <w:szCs w:val="22"/>
                <w:lang w:val="fr-CH"/>
              </w:rPr>
              <w:t xml:space="preserve"> nécessaire</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pour mener à bien le</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mission</w:t>
            </w:r>
            <w:r w:rsidRPr="00817B57">
              <w:rPr>
                <w:rFonts w:asciiTheme="minorHAnsi" w:hAnsiTheme="minorHAnsi"/>
                <w:sz w:val="22"/>
                <w:szCs w:val="22"/>
                <w:lang w:val="fr-CH"/>
              </w:rPr>
              <w:t>s correspondantes</w:t>
            </w:r>
            <w:r w:rsidR="004508F9" w:rsidRPr="00817B57">
              <w:rPr>
                <w:rFonts w:asciiTheme="minorHAnsi" w:hAnsiTheme="minorHAnsi"/>
                <w:sz w:val="22"/>
                <w:szCs w:val="22"/>
                <w:lang w:val="fr-CH"/>
              </w:rPr>
              <w:t>.</w:t>
            </w:r>
          </w:p>
        </w:tc>
        <w:tc>
          <w:tcPr>
            <w:tcW w:w="3083" w:type="dxa"/>
            <w:tcBorders>
              <w:bottom w:val="single" w:sz="4" w:space="0" w:color="auto"/>
            </w:tcBorders>
          </w:tcPr>
          <w:p w:rsidR="004508F9" w:rsidRPr="00817B57" w:rsidRDefault="00D54ADF" w:rsidP="000B7E88">
            <w:pPr>
              <w:rPr>
                <w:rFonts w:asciiTheme="minorHAnsi" w:hAnsiTheme="minorHAnsi"/>
                <w:sz w:val="22"/>
                <w:szCs w:val="22"/>
                <w:lang w:val="fr-CH"/>
              </w:rPr>
            </w:pPr>
            <w:r w:rsidRPr="00817B57">
              <w:rPr>
                <w:rFonts w:asciiTheme="minorHAnsi" w:hAnsiTheme="minorHAnsi"/>
                <w:b/>
                <w:bCs/>
                <w:sz w:val="22"/>
                <w:szCs w:val="22"/>
                <w:lang w:val="fr-CH"/>
              </w:rPr>
              <w:t>Commentaire</w:t>
            </w:r>
            <w:r w:rsidR="004508F9" w:rsidRPr="00817B57">
              <w:rPr>
                <w:rFonts w:asciiTheme="minorHAnsi" w:hAnsiTheme="minorHAnsi"/>
                <w:b/>
                <w:bCs/>
                <w:sz w:val="22"/>
                <w:szCs w:val="22"/>
                <w:lang w:val="fr-CH"/>
              </w:rPr>
              <w:t xml:space="preserve"> de l</w:t>
            </w:r>
            <w:r w:rsidR="000B7E88" w:rsidRPr="00817B57">
              <w:rPr>
                <w:rFonts w:asciiTheme="minorHAnsi" w:hAnsiTheme="minorHAnsi"/>
                <w:b/>
                <w:bCs/>
                <w:sz w:val="22"/>
                <w:szCs w:val="22"/>
                <w:lang w:val="fr-CH"/>
              </w:rPr>
              <w:t>'</w:t>
            </w:r>
            <w:r w:rsidR="004508F9" w:rsidRPr="00817B57">
              <w:rPr>
                <w:rFonts w:asciiTheme="minorHAnsi" w:hAnsiTheme="minorHAnsi"/>
                <w:b/>
                <w:bCs/>
                <w:sz w:val="22"/>
                <w:szCs w:val="22"/>
                <w:lang w:val="fr-CH"/>
              </w:rPr>
              <w:t>Unité de l</w:t>
            </w:r>
            <w:r w:rsidR="000B7E88" w:rsidRPr="00817B57">
              <w:rPr>
                <w:rFonts w:asciiTheme="minorHAnsi" w:hAnsiTheme="minorHAnsi"/>
                <w:b/>
                <w:bCs/>
                <w:sz w:val="22"/>
                <w:szCs w:val="22"/>
                <w:lang w:val="fr-CH"/>
              </w:rPr>
              <w:t>'</w:t>
            </w:r>
            <w:r w:rsidR="004508F9" w:rsidRPr="00817B57">
              <w:rPr>
                <w:rFonts w:asciiTheme="minorHAnsi" w:hAnsiTheme="minorHAnsi"/>
                <w:b/>
                <w:bCs/>
                <w:sz w:val="22"/>
                <w:szCs w:val="22"/>
                <w:lang w:val="fr-CH"/>
              </w:rPr>
              <w:t>audit interne</w:t>
            </w:r>
            <w:r w:rsidR="002851CA" w:rsidRPr="00817B57">
              <w:rPr>
                <w:rFonts w:asciiTheme="minorHAnsi" w:hAnsiTheme="minorHAnsi"/>
                <w:b/>
                <w:bCs/>
                <w:sz w:val="22"/>
                <w:szCs w:val="22"/>
                <w:lang w:val="fr-CH"/>
              </w:rPr>
              <w:t>:</w:t>
            </w:r>
            <w:r w:rsidR="004508F9" w:rsidRPr="00817B57">
              <w:rPr>
                <w:rFonts w:asciiTheme="minorHAnsi" w:hAnsiTheme="minorHAnsi"/>
                <w:sz w:val="22"/>
                <w:szCs w:val="22"/>
                <w:lang w:val="fr-CH"/>
              </w:rPr>
              <w:t xml:space="preserve"> Les travaux sur cette question ont déjà commencé et d</w:t>
            </w:r>
            <w:r w:rsidR="000B7E88" w:rsidRPr="00817B57">
              <w:rPr>
                <w:rFonts w:asciiTheme="minorHAnsi" w:hAnsiTheme="minorHAnsi"/>
                <w:sz w:val="22"/>
                <w:szCs w:val="22"/>
                <w:lang w:val="fr-CH"/>
              </w:rPr>
              <w:t>'</w:t>
            </w:r>
            <w:r w:rsidR="00C14F1C">
              <w:rPr>
                <w:rFonts w:asciiTheme="minorHAnsi" w:hAnsiTheme="minorHAnsi"/>
                <w:sz w:val="22"/>
                <w:szCs w:val="22"/>
                <w:lang w:val="fr-CH"/>
              </w:rPr>
              <w:t>autres seront </w:t>
            </w:r>
            <w:r w:rsidR="004508F9" w:rsidRPr="00817B57">
              <w:rPr>
                <w:rFonts w:asciiTheme="minorHAnsi" w:hAnsiTheme="minorHAnsi"/>
                <w:sz w:val="22"/>
                <w:szCs w:val="22"/>
                <w:lang w:val="fr-CH"/>
              </w:rPr>
              <w:t>entrepris pour le plan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2016.</w:t>
            </w:r>
          </w:p>
        </w:tc>
        <w:tc>
          <w:tcPr>
            <w:tcW w:w="1696"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4508F9" w:rsidP="00D54ADF">
            <w:pPr>
              <w:rPr>
                <w:rFonts w:asciiTheme="minorHAnsi" w:hAnsiTheme="minorHAnsi"/>
                <w:sz w:val="22"/>
                <w:szCs w:val="22"/>
                <w:lang w:val="fr-CH"/>
              </w:rPr>
            </w:pPr>
            <w:r w:rsidRPr="00817B57">
              <w:rPr>
                <w:rFonts w:asciiTheme="minorHAnsi" w:hAnsiTheme="minorHAnsi"/>
                <w:sz w:val="22"/>
                <w:szCs w:val="22"/>
                <w:lang w:val="fr-CH"/>
              </w:rPr>
              <w:t>Aucune insuffisance n</w:t>
            </w:r>
            <w:r w:rsidR="000B7E88" w:rsidRPr="00817B57">
              <w:rPr>
                <w:rFonts w:asciiTheme="minorHAnsi" w:hAnsiTheme="minorHAnsi"/>
                <w:sz w:val="22"/>
                <w:szCs w:val="22"/>
                <w:lang w:val="fr-CH"/>
              </w:rPr>
              <w:t>'</w:t>
            </w:r>
            <w:r w:rsidRPr="00817B57">
              <w:rPr>
                <w:rFonts w:asciiTheme="minorHAnsi" w:hAnsiTheme="minorHAnsi"/>
                <w:sz w:val="22"/>
                <w:szCs w:val="22"/>
                <w:lang w:val="fr-CH"/>
              </w:rPr>
              <w:t>a été constatée concernant les compétences et l</w:t>
            </w:r>
            <w:r w:rsidR="000B7E88" w:rsidRPr="00817B57">
              <w:rPr>
                <w:rFonts w:asciiTheme="minorHAnsi" w:hAnsiTheme="minorHAnsi"/>
                <w:sz w:val="22"/>
                <w:szCs w:val="22"/>
                <w:lang w:val="fr-CH"/>
              </w:rPr>
              <w:t>'</w:t>
            </w:r>
            <w:r w:rsidRPr="00817B57">
              <w:rPr>
                <w:rFonts w:asciiTheme="minorHAnsi" w:hAnsiTheme="minorHAnsi"/>
                <w:sz w:val="22"/>
                <w:szCs w:val="22"/>
                <w:lang w:val="fr-CH"/>
              </w:rPr>
              <w:t>expérience des fonctionnaires chargés de l</w:t>
            </w:r>
            <w:r w:rsidR="000B7E88" w:rsidRPr="00817B57">
              <w:rPr>
                <w:rFonts w:asciiTheme="minorHAnsi" w:hAnsiTheme="minorHAnsi"/>
                <w:sz w:val="22"/>
                <w:szCs w:val="22"/>
                <w:lang w:val="fr-CH"/>
              </w:rPr>
              <w:t>'</w:t>
            </w:r>
            <w:r w:rsidRPr="00817B57">
              <w:rPr>
                <w:rFonts w:asciiTheme="minorHAnsi" w:hAnsiTheme="minorHAnsi"/>
                <w:sz w:val="22"/>
                <w:szCs w:val="22"/>
                <w:lang w:val="fr-CH"/>
              </w:rPr>
              <w:t xml:space="preserve">audit interne concernant </w:t>
            </w:r>
            <w:r w:rsidR="00D54ADF" w:rsidRPr="00817B57">
              <w:rPr>
                <w:rFonts w:asciiTheme="minorHAnsi" w:hAnsiTheme="minorHAnsi"/>
                <w:sz w:val="22"/>
                <w:szCs w:val="22"/>
                <w:lang w:val="fr-CH"/>
              </w:rPr>
              <w:t xml:space="preserve">les </w:t>
            </w:r>
            <w:r w:rsidRPr="00817B57">
              <w:rPr>
                <w:rFonts w:asciiTheme="minorHAnsi" w:hAnsiTheme="minorHAnsi"/>
                <w:sz w:val="22"/>
                <w:szCs w:val="22"/>
                <w:lang w:val="fr-CH"/>
              </w:rPr>
              <w:t>audit</w:t>
            </w:r>
            <w:r w:rsidR="00D54ADF" w:rsidRPr="00817B57">
              <w:rPr>
                <w:rFonts w:asciiTheme="minorHAnsi" w:hAnsiTheme="minorHAnsi"/>
                <w:sz w:val="22"/>
                <w:szCs w:val="22"/>
                <w:lang w:val="fr-CH"/>
              </w:rPr>
              <w:t>s</w:t>
            </w:r>
            <w:r w:rsidRPr="00817B57">
              <w:rPr>
                <w:rFonts w:asciiTheme="minorHAnsi" w:hAnsiTheme="minorHAnsi"/>
                <w:sz w:val="22"/>
                <w:szCs w:val="22"/>
                <w:lang w:val="fr-CH"/>
              </w:rPr>
              <w:t xml:space="preserve"> de</w:t>
            </w:r>
            <w:r w:rsidR="00D54ADF" w:rsidRPr="00817B57">
              <w:rPr>
                <w:rFonts w:asciiTheme="minorHAnsi" w:hAnsiTheme="minorHAnsi"/>
                <w:sz w:val="22"/>
                <w:szCs w:val="22"/>
                <w:lang w:val="fr-CH"/>
              </w:rPr>
              <w:t>s</w:t>
            </w:r>
            <w:r w:rsidRPr="00817B57">
              <w:rPr>
                <w:rFonts w:asciiTheme="minorHAnsi" w:hAnsiTheme="minorHAnsi"/>
                <w:sz w:val="22"/>
                <w:szCs w:val="22"/>
                <w:lang w:val="fr-CH"/>
              </w:rPr>
              <w:t xml:space="preserve"> </w:t>
            </w:r>
            <w:r w:rsidR="00D54ADF" w:rsidRPr="00817B57">
              <w:rPr>
                <w:rFonts w:asciiTheme="minorHAnsi" w:hAnsiTheme="minorHAnsi"/>
                <w:sz w:val="22"/>
                <w:szCs w:val="22"/>
                <w:lang w:val="fr-CH"/>
              </w:rPr>
              <w:t>performances.</w:t>
            </w:r>
            <w:r w:rsidRPr="00817B57">
              <w:rPr>
                <w:rFonts w:asciiTheme="minorHAnsi" w:hAnsiTheme="minorHAnsi"/>
                <w:sz w:val="22"/>
                <w:szCs w:val="22"/>
                <w:lang w:val="fr-CH"/>
              </w:rPr>
              <w:t xml:space="preserve"> </w:t>
            </w:r>
            <w:r w:rsidR="00D54ADF" w:rsidRPr="00817B57">
              <w:rPr>
                <w:rFonts w:asciiTheme="minorHAnsi" w:hAnsiTheme="minorHAnsi"/>
                <w:sz w:val="22"/>
                <w:szCs w:val="22"/>
                <w:lang w:val="fr-CH"/>
              </w:rPr>
              <w:t>Toutefois, pour ce qui est de la tâche liée à</w:t>
            </w:r>
            <w:r w:rsidRPr="00817B57">
              <w:rPr>
                <w:rFonts w:asciiTheme="minorHAnsi" w:hAnsiTheme="minorHAnsi"/>
                <w:sz w:val="22"/>
                <w:szCs w:val="22"/>
                <w:lang w:val="fr-CH"/>
              </w:rPr>
              <w:t xml:space="preserve"> la fonction d</w:t>
            </w:r>
            <w:r w:rsidR="000B7E88" w:rsidRPr="00817B57">
              <w:rPr>
                <w:rFonts w:asciiTheme="minorHAnsi" w:hAnsiTheme="minorHAnsi"/>
                <w:sz w:val="22"/>
                <w:szCs w:val="22"/>
                <w:lang w:val="fr-CH"/>
              </w:rPr>
              <w:t>'</w:t>
            </w:r>
            <w:r w:rsidRPr="00817B57">
              <w:rPr>
                <w:rFonts w:asciiTheme="minorHAnsi" w:hAnsiTheme="minorHAnsi"/>
                <w:sz w:val="22"/>
                <w:szCs w:val="22"/>
                <w:lang w:val="fr-CH"/>
              </w:rPr>
              <w:t>évaluation, il a été souligné qu</w:t>
            </w:r>
            <w:r w:rsidR="000B7E88" w:rsidRPr="00817B57">
              <w:rPr>
                <w:rFonts w:asciiTheme="minorHAnsi" w:hAnsiTheme="minorHAnsi"/>
                <w:sz w:val="22"/>
                <w:szCs w:val="22"/>
                <w:lang w:val="fr-CH"/>
              </w:rPr>
              <w:t>'</w:t>
            </w:r>
            <w:r w:rsidRPr="00817B57">
              <w:rPr>
                <w:rFonts w:asciiTheme="minorHAnsi" w:hAnsiTheme="minorHAnsi"/>
                <w:sz w:val="22"/>
                <w:szCs w:val="22"/>
                <w:lang w:val="fr-CH"/>
              </w:rPr>
              <w:t>il faudra peut-être faire appel à des ressources extérieures spécialisées.</w:t>
            </w:r>
          </w:p>
        </w:tc>
      </w:tr>
      <w:tr w:rsidR="004508F9" w:rsidRPr="00817B57" w:rsidTr="00AA07F5">
        <w:tc>
          <w:tcPr>
            <w:tcW w:w="1051"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2.1.a</w:t>
            </w:r>
          </w:p>
        </w:tc>
        <w:tc>
          <w:tcPr>
            <w:tcW w:w="4437" w:type="dxa"/>
          </w:tcPr>
          <w:p w:rsidR="004508F9" w:rsidRPr="00817B57" w:rsidRDefault="00D54ADF" w:rsidP="000A5DF3">
            <w:pPr>
              <w:rPr>
                <w:rFonts w:asciiTheme="minorHAnsi" w:hAnsiTheme="minorHAnsi"/>
                <w:sz w:val="22"/>
                <w:szCs w:val="22"/>
                <w:lang w:val="fr-CH"/>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devrait développer les outils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encadrement sur la planification et la mise en </w:t>
            </w:r>
            <w:r w:rsidR="000B7E88" w:rsidRPr="00817B57">
              <w:rPr>
                <w:rFonts w:asciiTheme="minorHAnsi" w:hAnsiTheme="minorHAnsi"/>
                <w:sz w:val="22"/>
                <w:szCs w:val="22"/>
                <w:lang w:val="fr-CH"/>
              </w:rPr>
              <w:t>oe</w:t>
            </w:r>
            <w:r w:rsidR="004508F9" w:rsidRPr="00817B57">
              <w:rPr>
                <w:rFonts w:asciiTheme="minorHAnsi" w:hAnsiTheme="minorHAnsi"/>
                <w:sz w:val="22"/>
                <w:szCs w:val="22"/>
                <w:lang w:val="fr-CH"/>
              </w:rPr>
              <w:t>uvre d</w:t>
            </w:r>
            <w:r w:rsidRPr="00817B57">
              <w:rPr>
                <w:rFonts w:asciiTheme="minorHAnsi" w:hAnsiTheme="minorHAnsi"/>
                <w:sz w:val="22"/>
                <w:szCs w:val="22"/>
                <w:lang w:val="fr-CH"/>
              </w:rPr>
              <w:t>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(et envisager de les regrouper dans un seul outil de gestion des connaissances</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par exemple</w:t>
            </w:r>
            <w:r w:rsidR="000A5DF3"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un manuel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afin de renforcer la capacité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activité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interne</w:t>
            </w:r>
            <w:r w:rsidR="002851CA"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a) </w:t>
            </w:r>
            <w:r w:rsidRPr="00817B57">
              <w:rPr>
                <w:rFonts w:asciiTheme="minorHAnsi" w:hAnsiTheme="minorHAnsi"/>
                <w:sz w:val="22"/>
                <w:szCs w:val="22"/>
                <w:lang w:val="fr-CH"/>
              </w:rPr>
              <w:t>à</w:t>
            </w:r>
            <w:r w:rsidR="004508F9" w:rsidRPr="00817B57">
              <w:rPr>
                <w:rFonts w:asciiTheme="minorHAnsi" w:hAnsiTheme="minorHAnsi"/>
                <w:sz w:val="22"/>
                <w:szCs w:val="22"/>
                <w:lang w:val="fr-CH"/>
              </w:rPr>
              <w:t xml:space="preserve"> définir les objectifs et le champ de chaque mission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à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issue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une évaluation primaire des risques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activité, du processus </w:t>
            </w:r>
            <w:r w:rsidRPr="00817B57">
              <w:rPr>
                <w:rFonts w:asciiTheme="minorHAnsi" w:hAnsiTheme="minorHAnsi"/>
                <w:sz w:val="22"/>
                <w:szCs w:val="22"/>
                <w:lang w:val="fr-CH"/>
              </w:rPr>
              <w:t xml:space="preserve">ou </w:t>
            </w:r>
            <w:r w:rsidR="004508F9" w:rsidRPr="00817B57">
              <w:rPr>
                <w:rFonts w:asciiTheme="minorHAnsi" w:hAnsiTheme="minorHAnsi"/>
                <w:sz w:val="22"/>
                <w:szCs w:val="22"/>
                <w:lang w:val="fr-CH"/>
              </w:rPr>
              <w:t xml:space="preserve">du système </w:t>
            </w:r>
            <w:r w:rsidRPr="00817B57">
              <w:rPr>
                <w:rFonts w:asciiTheme="minorHAnsi" w:hAnsiTheme="minorHAnsi"/>
                <w:sz w:val="22"/>
                <w:szCs w:val="22"/>
                <w:lang w:val="fr-CH"/>
              </w:rPr>
              <w:t>examiné</w:t>
            </w:r>
            <w:r w:rsidR="004508F9" w:rsidRPr="00817B57">
              <w:rPr>
                <w:rFonts w:asciiTheme="minorHAnsi" w:hAnsiTheme="minorHAnsi"/>
                <w:sz w:val="22"/>
                <w:szCs w:val="22"/>
                <w:lang w:val="fr-CH"/>
              </w:rPr>
              <w:t xml:space="preserve"> (</w:t>
            </w:r>
            <w:r w:rsidR="000A5DF3" w:rsidRPr="00817B57">
              <w:rPr>
                <w:rFonts w:asciiTheme="minorHAnsi" w:hAnsiTheme="minorHAnsi"/>
                <w:sz w:val="22"/>
                <w:szCs w:val="22"/>
                <w:lang w:val="fr-CH"/>
              </w:rPr>
              <w:t>effectuer correctement l'audit</w:t>
            </w:r>
            <w:r w:rsidR="004508F9" w:rsidRPr="00817B57">
              <w:rPr>
                <w:rFonts w:asciiTheme="minorHAnsi" w:hAnsiTheme="minorHAnsi"/>
                <w:sz w:val="22"/>
                <w:szCs w:val="22"/>
                <w:lang w:val="fr-CH"/>
              </w:rPr>
              <w:t>)</w:t>
            </w:r>
            <w:r w:rsidR="002851CA" w:rsidRPr="00817B57">
              <w:rPr>
                <w:rFonts w:asciiTheme="minorHAnsi" w:hAnsiTheme="minorHAnsi"/>
                <w:sz w:val="22"/>
                <w:szCs w:val="22"/>
                <w:lang w:val="fr-CH"/>
              </w:rPr>
              <w:t>;</w:t>
            </w:r>
          </w:p>
        </w:tc>
        <w:tc>
          <w:tcPr>
            <w:tcW w:w="3083" w:type="dxa"/>
            <w:tcBorders>
              <w:bottom w:val="single" w:sz="4" w:space="0" w:color="auto"/>
            </w:tcBorders>
          </w:tcPr>
          <w:p w:rsidR="004508F9" w:rsidRPr="00817B57" w:rsidRDefault="004508F9" w:rsidP="000B7E88">
            <w:pPr>
              <w:rPr>
                <w:rFonts w:asciiTheme="minorHAnsi" w:hAnsiTheme="minorHAnsi"/>
                <w:sz w:val="22"/>
                <w:szCs w:val="22"/>
                <w:lang w:val="fr-CH"/>
              </w:rPr>
            </w:pPr>
          </w:p>
        </w:tc>
        <w:tc>
          <w:tcPr>
            <w:tcW w:w="1696"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4508F9" w:rsidP="000A5DF3">
            <w:pPr>
              <w:rPr>
                <w:rFonts w:asciiTheme="minorHAnsi" w:hAnsiTheme="minorHAnsi"/>
                <w:sz w:val="22"/>
                <w:szCs w:val="22"/>
                <w:lang w:val="fr-CH"/>
              </w:rPr>
            </w:pPr>
            <w:r w:rsidRPr="00817B57">
              <w:rPr>
                <w:rFonts w:asciiTheme="minorHAnsi" w:hAnsiTheme="minorHAnsi"/>
                <w:sz w:val="22"/>
                <w:szCs w:val="22"/>
                <w:lang w:val="fr-CH"/>
              </w:rPr>
              <w:t>Pour chaque audit, les objectifs sont maintenant déterminés au préalable sur la base de l</w:t>
            </w:r>
            <w:r w:rsidR="000B7E88" w:rsidRPr="00817B57">
              <w:rPr>
                <w:rFonts w:asciiTheme="minorHAnsi" w:hAnsiTheme="minorHAnsi"/>
                <w:sz w:val="22"/>
                <w:szCs w:val="22"/>
                <w:lang w:val="fr-CH"/>
              </w:rPr>
              <w:t>'</w:t>
            </w:r>
            <w:r w:rsidRPr="00817B57">
              <w:rPr>
                <w:rFonts w:asciiTheme="minorHAnsi" w:hAnsiTheme="minorHAnsi"/>
                <w:sz w:val="22"/>
                <w:szCs w:val="22"/>
                <w:lang w:val="fr-CH"/>
              </w:rPr>
              <w:t>évaluation des risques pour le processus o</w:t>
            </w:r>
            <w:r w:rsidR="000A5DF3" w:rsidRPr="00817B57">
              <w:rPr>
                <w:rFonts w:asciiTheme="minorHAnsi" w:hAnsiTheme="minorHAnsi"/>
                <w:sz w:val="22"/>
                <w:szCs w:val="22"/>
                <w:lang w:val="fr-CH"/>
              </w:rPr>
              <w:t>u</w:t>
            </w:r>
            <w:r w:rsidRPr="00817B57">
              <w:rPr>
                <w:rFonts w:asciiTheme="minorHAnsi" w:hAnsiTheme="minorHAnsi"/>
                <w:sz w:val="22"/>
                <w:szCs w:val="22"/>
                <w:lang w:val="fr-CH"/>
              </w:rPr>
              <w:t xml:space="preserve"> les éléments audités.</w:t>
            </w:r>
          </w:p>
        </w:tc>
      </w:tr>
      <w:tr w:rsidR="004508F9" w:rsidRPr="00817B57" w:rsidTr="00AA07F5">
        <w:tc>
          <w:tcPr>
            <w:tcW w:w="1051" w:type="dxa"/>
          </w:tcPr>
          <w:p w:rsidR="004508F9" w:rsidRPr="00817B57" w:rsidRDefault="004508F9" w:rsidP="00817B57">
            <w:pPr>
              <w:keepNext/>
              <w:rPr>
                <w:rFonts w:asciiTheme="minorHAnsi" w:hAnsiTheme="minorHAnsi"/>
                <w:sz w:val="22"/>
                <w:szCs w:val="22"/>
                <w:lang w:val="fr-CH"/>
              </w:rPr>
            </w:pPr>
            <w:r w:rsidRPr="00817B57">
              <w:rPr>
                <w:rFonts w:asciiTheme="minorHAnsi" w:hAnsiTheme="minorHAnsi"/>
                <w:sz w:val="22"/>
                <w:szCs w:val="22"/>
                <w:lang w:val="fr-CH"/>
              </w:rPr>
              <w:t>2.1.b</w:t>
            </w:r>
          </w:p>
        </w:tc>
        <w:tc>
          <w:tcPr>
            <w:tcW w:w="4437" w:type="dxa"/>
          </w:tcPr>
          <w:p w:rsidR="004508F9" w:rsidRPr="00817B57" w:rsidRDefault="000A5DF3" w:rsidP="00817B57">
            <w:pPr>
              <w:keepNext/>
              <w:rPr>
                <w:rFonts w:asciiTheme="minorHAnsi" w:hAnsiTheme="minorHAnsi"/>
                <w:sz w:val="22"/>
                <w:szCs w:val="22"/>
                <w:lang w:val="fr-CH"/>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 xml:space="preserve">devrait développer les outils </w:t>
            </w:r>
            <w:r w:rsidR="004508F9" w:rsidRPr="00817B57">
              <w:rPr>
                <w:rFonts w:asciiTheme="minorHAnsi" w:hAnsiTheme="minorHAnsi"/>
                <w:sz w:val="22"/>
                <w:szCs w:val="22"/>
                <w:lang w:val="fr-CH"/>
              </w:rPr>
              <w:lastRenderedPageBreak/>
              <w:t>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encadrement sur la planification et la mise en </w:t>
            </w:r>
            <w:r w:rsidR="000B7E88" w:rsidRPr="00817B57">
              <w:rPr>
                <w:rFonts w:asciiTheme="minorHAnsi" w:hAnsiTheme="minorHAnsi"/>
                <w:sz w:val="22"/>
                <w:szCs w:val="22"/>
                <w:lang w:val="fr-CH"/>
              </w:rPr>
              <w:t>oe</w:t>
            </w:r>
            <w:r w:rsidR="004508F9" w:rsidRPr="00817B57">
              <w:rPr>
                <w:rFonts w:asciiTheme="minorHAnsi" w:hAnsiTheme="minorHAnsi"/>
                <w:sz w:val="22"/>
                <w:szCs w:val="22"/>
                <w:lang w:val="fr-CH"/>
              </w:rPr>
              <w:t>uvre d</w:t>
            </w:r>
            <w:r w:rsidRPr="00817B57">
              <w:rPr>
                <w:rFonts w:asciiTheme="minorHAnsi" w:hAnsiTheme="minorHAnsi"/>
                <w:sz w:val="22"/>
                <w:szCs w:val="22"/>
                <w:lang w:val="fr-CH"/>
              </w:rPr>
              <w:t>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(et envisager de les regrouper dans un seul outil de gestion des connaissances</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par exemple</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un manuel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afin de renforcer la capacité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activité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interne</w:t>
            </w:r>
            <w:r w:rsidR="002851CA"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b) </w:t>
            </w:r>
            <w:r w:rsidRPr="00817B57">
              <w:rPr>
                <w:rFonts w:asciiTheme="minorHAnsi" w:hAnsiTheme="minorHAnsi"/>
                <w:sz w:val="22"/>
                <w:szCs w:val="22"/>
                <w:lang w:val="fr-CH"/>
              </w:rPr>
              <w:t xml:space="preserve">à </w:t>
            </w:r>
            <w:r w:rsidR="004508F9" w:rsidRPr="00817B57">
              <w:rPr>
                <w:rFonts w:asciiTheme="minorHAnsi" w:hAnsiTheme="minorHAnsi"/>
                <w:sz w:val="22"/>
                <w:szCs w:val="22"/>
                <w:lang w:val="fr-CH"/>
              </w:rPr>
              <w:t>établir un mémo de planification expliquant de quelle manière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sera mené à bien et les résultats communiqués aux personnes visées par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ainsi que le calendrier des différentes phases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w:t>
            </w:r>
            <w:r w:rsidR="002851CA" w:rsidRPr="00817B57">
              <w:rPr>
                <w:rFonts w:asciiTheme="minorHAnsi" w:hAnsiTheme="minorHAnsi"/>
                <w:sz w:val="22"/>
                <w:szCs w:val="22"/>
                <w:lang w:val="fr-CH"/>
              </w:rPr>
              <w:t>;</w:t>
            </w:r>
          </w:p>
        </w:tc>
        <w:tc>
          <w:tcPr>
            <w:tcW w:w="3083" w:type="dxa"/>
            <w:tcBorders>
              <w:top w:val="single" w:sz="4" w:space="0" w:color="auto"/>
              <w:bottom w:val="nil"/>
            </w:tcBorders>
          </w:tcPr>
          <w:p w:rsidR="004508F9" w:rsidRPr="00817B57" w:rsidRDefault="004508F9" w:rsidP="00817B57">
            <w:pPr>
              <w:keepNext/>
              <w:rPr>
                <w:rFonts w:asciiTheme="minorHAnsi" w:hAnsiTheme="minorHAnsi"/>
                <w:sz w:val="22"/>
                <w:szCs w:val="22"/>
                <w:lang w:val="fr-CH"/>
              </w:rPr>
            </w:pPr>
          </w:p>
        </w:tc>
        <w:tc>
          <w:tcPr>
            <w:tcW w:w="1696" w:type="dxa"/>
          </w:tcPr>
          <w:p w:rsidR="004508F9" w:rsidRPr="00817B57" w:rsidRDefault="004508F9" w:rsidP="00817B57">
            <w:pPr>
              <w:keepNext/>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4508F9" w:rsidP="00817B57">
            <w:pPr>
              <w:keepNext/>
              <w:rPr>
                <w:rFonts w:asciiTheme="minorHAnsi" w:hAnsiTheme="minorHAnsi"/>
                <w:sz w:val="22"/>
                <w:szCs w:val="22"/>
                <w:lang w:val="fr-CH"/>
              </w:rPr>
            </w:pPr>
            <w:r w:rsidRPr="00817B57">
              <w:rPr>
                <w:rFonts w:asciiTheme="minorHAnsi" w:hAnsiTheme="minorHAnsi"/>
                <w:sz w:val="22"/>
                <w:szCs w:val="22"/>
                <w:lang w:val="fr-CH"/>
              </w:rPr>
              <w:t>La notification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qui est envoyée avant le début de l</w:t>
            </w:r>
            <w:r w:rsidR="000B7E88" w:rsidRPr="00817B57">
              <w:rPr>
                <w:rFonts w:asciiTheme="minorHAnsi" w:hAnsiTheme="minorHAnsi"/>
                <w:sz w:val="22"/>
                <w:szCs w:val="22"/>
                <w:lang w:val="fr-CH"/>
              </w:rPr>
              <w:t>'</w:t>
            </w:r>
            <w:r w:rsidRPr="00817B57">
              <w:rPr>
                <w:rFonts w:asciiTheme="minorHAnsi" w:hAnsiTheme="minorHAnsi"/>
                <w:sz w:val="22"/>
                <w:szCs w:val="22"/>
                <w:lang w:val="fr-CH"/>
              </w:rPr>
              <w:t xml:space="preserve">audit, contient les </w:t>
            </w:r>
            <w:r w:rsidRPr="00817B57">
              <w:rPr>
                <w:rFonts w:asciiTheme="minorHAnsi" w:hAnsiTheme="minorHAnsi"/>
                <w:sz w:val="22"/>
                <w:szCs w:val="22"/>
                <w:lang w:val="fr-CH"/>
              </w:rPr>
              <w:lastRenderedPageBreak/>
              <w:t>éléments, comme les objectifs, le cha</w:t>
            </w:r>
            <w:r w:rsidR="000A5DF3" w:rsidRPr="00817B57">
              <w:rPr>
                <w:rFonts w:asciiTheme="minorHAnsi" w:hAnsiTheme="minorHAnsi"/>
                <w:sz w:val="22"/>
                <w:szCs w:val="22"/>
                <w:lang w:val="fr-CH"/>
              </w:rPr>
              <w:t>mp</w:t>
            </w:r>
            <w:r w:rsidRPr="00817B57">
              <w:rPr>
                <w:rFonts w:asciiTheme="minorHAnsi" w:hAnsiTheme="minorHAnsi"/>
                <w:sz w:val="22"/>
                <w:szCs w:val="22"/>
                <w:lang w:val="fr-CH"/>
              </w:rPr>
              <w:t>, l</w:t>
            </w:r>
            <w:r w:rsidR="000B7E88" w:rsidRPr="00817B57">
              <w:rPr>
                <w:rFonts w:asciiTheme="minorHAnsi" w:hAnsiTheme="minorHAnsi"/>
                <w:sz w:val="22"/>
                <w:szCs w:val="22"/>
                <w:lang w:val="fr-CH"/>
              </w:rPr>
              <w:t>'</w:t>
            </w:r>
            <w:r w:rsidRPr="00817B57">
              <w:rPr>
                <w:rFonts w:asciiTheme="minorHAnsi" w:hAnsiTheme="minorHAnsi"/>
                <w:sz w:val="22"/>
                <w:szCs w:val="22"/>
                <w:lang w:val="fr-CH"/>
              </w:rPr>
              <w:t>objet et le calendrier. Cette pratique a toujours été en vigueur. D</w:t>
            </w:r>
            <w:r w:rsidR="000B7E88" w:rsidRPr="00817B57">
              <w:rPr>
                <w:rFonts w:asciiTheme="minorHAnsi" w:hAnsiTheme="minorHAnsi"/>
                <w:sz w:val="22"/>
                <w:szCs w:val="22"/>
                <w:lang w:val="fr-CH"/>
              </w:rPr>
              <w:t>'</w:t>
            </w:r>
            <w:r w:rsidRPr="00817B57">
              <w:rPr>
                <w:rFonts w:asciiTheme="minorHAnsi" w:hAnsiTheme="minorHAnsi"/>
                <w:sz w:val="22"/>
                <w:szCs w:val="22"/>
                <w:lang w:val="fr-CH"/>
              </w:rPr>
              <w:t xml:space="preserve">autres </w:t>
            </w:r>
            <w:r w:rsidR="000A5DF3" w:rsidRPr="00817B57">
              <w:rPr>
                <w:rFonts w:asciiTheme="minorHAnsi" w:hAnsiTheme="minorHAnsi"/>
                <w:sz w:val="22"/>
                <w:szCs w:val="22"/>
                <w:lang w:val="fr-CH"/>
              </w:rPr>
              <w:t>courriers</w:t>
            </w:r>
            <w:r w:rsidRPr="00817B57">
              <w:rPr>
                <w:rFonts w:asciiTheme="minorHAnsi" w:hAnsiTheme="minorHAnsi"/>
                <w:sz w:val="22"/>
                <w:szCs w:val="22"/>
                <w:lang w:val="fr-CH"/>
              </w:rPr>
              <w:t xml:space="preserve"> administrati</w:t>
            </w:r>
            <w:r w:rsidR="000A5DF3" w:rsidRPr="00817B57">
              <w:rPr>
                <w:rFonts w:asciiTheme="minorHAnsi" w:hAnsiTheme="minorHAnsi"/>
                <w:sz w:val="22"/>
                <w:szCs w:val="22"/>
                <w:lang w:val="fr-CH"/>
              </w:rPr>
              <w:t>f</w:t>
            </w:r>
            <w:r w:rsidRPr="00817B57">
              <w:rPr>
                <w:rFonts w:asciiTheme="minorHAnsi" w:hAnsiTheme="minorHAnsi"/>
                <w:sz w:val="22"/>
                <w:szCs w:val="22"/>
                <w:lang w:val="fr-CH"/>
              </w:rPr>
              <w:t xml:space="preserve">s détaillés sont </w:t>
            </w:r>
            <w:r w:rsidR="000A5DF3" w:rsidRPr="00817B57">
              <w:rPr>
                <w:rFonts w:asciiTheme="minorHAnsi" w:hAnsiTheme="minorHAnsi"/>
                <w:sz w:val="22"/>
                <w:szCs w:val="22"/>
                <w:lang w:val="fr-CH"/>
              </w:rPr>
              <w:t>adressés</w:t>
            </w:r>
            <w:r w:rsidRPr="00817B57">
              <w:rPr>
                <w:rFonts w:asciiTheme="minorHAnsi" w:hAnsiTheme="minorHAnsi"/>
                <w:sz w:val="22"/>
                <w:szCs w:val="22"/>
                <w:lang w:val="fr-CH"/>
              </w:rPr>
              <w:t xml:space="preserve"> ponctuellement </w:t>
            </w:r>
            <w:r w:rsidR="000A5DF3" w:rsidRPr="00817B57">
              <w:rPr>
                <w:rFonts w:asciiTheme="minorHAnsi" w:hAnsiTheme="minorHAnsi"/>
                <w:sz w:val="22"/>
                <w:szCs w:val="22"/>
                <w:lang w:val="fr-CH"/>
              </w:rPr>
              <w:t xml:space="preserve">aux personnes visées par l'audit, </w:t>
            </w:r>
            <w:r w:rsidRPr="00817B57">
              <w:rPr>
                <w:rFonts w:asciiTheme="minorHAnsi" w:hAnsiTheme="minorHAnsi"/>
                <w:sz w:val="22"/>
                <w:szCs w:val="22"/>
                <w:lang w:val="fr-CH"/>
              </w:rPr>
              <w:t>au besoin.</w:t>
            </w:r>
          </w:p>
        </w:tc>
      </w:tr>
      <w:tr w:rsidR="004508F9" w:rsidRPr="00817B57" w:rsidTr="00AA07F5">
        <w:tc>
          <w:tcPr>
            <w:tcW w:w="1051"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lastRenderedPageBreak/>
              <w:t>2.1.c</w:t>
            </w:r>
          </w:p>
        </w:tc>
        <w:tc>
          <w:tcPr>
            <w:tcW w:w="4437" w:type="dxa"/>
          </w:tcPr>
          <w:p w:rsidR="004508F9" w:rsidRPr="00817B57" w:rsidRDefault="000A5DF3" w:rsidP="00550462">
            <w:pPr>
              <w:rPr>
                <w:rFonts w:asciiTheme="minorHAnsi" w:hAnsiTheme="minorHAnsi"/>
                <w:sz w:val="22"/>
                <w:szCs w:val="22"/>
                <w:lang w:val="fr-CH"/>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devrait développer les outils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encadrement sur la planification et la mise en </w:t>
            </w:r>
            <w:r w:rsidR="000B7E88" w:rsidRPr="00817B57">
              <w:rPr>
                <w:rFonts w:asciiTheme="minorHAnsi" w:hAnsiTheme="minorHAnsi"/>
                <w:sz w:val="22"/>
                <w:szCs w:val="22"/>
                <w:lang w:val="fr-CH"/>
              </w:rPr>
              <w:t>oe</w:t>
            </w:r>
            <w:r w:rsidR="004508F9" w:rsidRPr="00817B57">
              <w:rPr>
                <w:rFonts w:asciiTheme="minorHAnsi" w:hAnsiTheme="minorHAnsi"/>
                <w:sz w:val="22"/>
                <w:szCs w:val="22"/>
                <w:lang w:val="fr-CH"/>
              </w:rPr>
              <w:t>uvre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(et envisager de les regrouper dans un seul outil de gestion des connaissances</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par exemple</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un manuel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afin de renforcer la capacité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activité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interne</w:t>
            </w:r>
            <w:r w:rsidR="002851CA"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c) </w:t>
            </w:r>
            <w:r w:rsidRPr="00817B57">
              <w:rPr>
                <w:rFonts w:asciiTheme="minorHAnsi" w:hAnsiTheme="minorHAnsi"/>
                <w:sz w:val="22"/>
                <w:szCs w:val="22"/>
                <w:lang w:val="fr-CH"/>
              </w:rPr>
              <w:t xml:space="preserve">à </w:t>
            </w:r>
            <w:r w:rsidR="004508F9" w:rsidRPr="00817B57">
              <w:rPr>
                <w:rFonts w:asciiTheme="minorHAnsi" w:hAnsiTheme="minorHAnsi"/>
                <w:sz w:val="22"/>
                <w:szCs w:val="22"/>
                <w:lang w:val="fr-CH"/>
              </w:rPr>
              <w:t>élaborer un programme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qui définit, pour chaque objectif, la liste des risques pouvant nuire à la réalisation des objectifs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activité considérée, les critères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(contrôler chaque risque identifié) et les procédures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associées (</w:t>
            </w:r>
            <w:r w:rsidRPr="00817B57">
              <w:rPr>
                <w:rFonts w:asciiTheme="minorHAnsi" w:hAnsiTheme="minorHAnsi"/>
                <w:sz w:val="22"/>
                <w:szCs w:val="22"/>
                <w:lang w:val="fr-CH"/>
              </w:rPr>
              <w:t>effectuer correctement l'</w:t>
            </w:r>
            <w:r w:rsidR="004508F9" w:rsidRPr="00817B57">
              <w:rPr>
                <w:rFonts w:asciiTheme="minorHAnsi" w:hAnsiTheme="minorHAnsi"/>
                <w:sz w:val="22"/>
                <w:szCs w:val="22"/>
                <w:lang w:val="fr-CH"/>
              </w:rPr>
              <w:t>audit)</w:t>
            </w:r>
            <w:r w:rsidR="002851CA"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et</w:t>
            </w:r>
          </w:p>
        </w:tc>
        <w:tc>
          <w:tcPr>
            <w:tcW w:w="3083" w:type="dxa"/>
            <w:tcBorders>
              <w:top w:val="nil"/>
              <w:bottom w:val="single" w:sz="4" w:space="0" w:color="auto"/>
            </w:tcBorders>
          </w:tcPr>
          <w:p w:rsidR="004508F9" w:rsidRPr="00817B57" w:rsidRDefault="000A5DF3" w:rsidP="000B7E88">
            <w:pPr>
              <w:rPr>
                <w:rFonts w:asciiTheme="minorHAnsi" w:hAnsiTheme="minorHAnsi"/>
                <w:sz w:val="22"/>
                <w:szCs w:val="22"/>
                <w:lang w:val="fr-CH"/>
              </w:rPr>
            </w:pPr>
            <w:r w:rsidRPr="00817B57">
              <w:rPr>
                <w:rFonts w:asciiTheme="minorHAnsi" w:hAnsiTheme="minorHAnsi"/>
                <w:b/>
                <w:bCs/>
                <w:sz w:val="22"/>
                <w:szCs w:val="22"/>
                <w:lang w:val="fr-CH"/>
              </w:rPr>
              <w:t>Commentaire</w:t>
            </w:r>
            <w:r w:rsidR="004508F9" w:rsidRPr="00817B57">
              <w:rPr>
                <w:rFonts w:asciiTheme="minorHAnsi" w:hAnsiTheme="minorHAnsi"/>
                <w:b/>
                <w:bCs/>
                <w:sz w:val="22"/>
                <w:szCs w:val="22"/>
                <w:lang w:val="fr-CH"/>
              </w:rPr>
              <w:t xml:space="preserve"> de l</w:t>
            </w:r>
            <w:r w:rsidR="000B7E88" w:rsidRPr="00817B57">
              <w:rPr>
                <w:rFonts w:asciiTheme="minorHAnsi" w:hAnsiTheme="minorHAnsi"/>
                <w:b/>
                <w:bCs/>
                <w:sz w:val="22"/>
                <w:szCs w:val="22"/>
                <w:lang w:val="fr-CH"/>
              </w:rPr>
              <w:t>'</w:t>
            </w:r>
            <w:r w:rsidR="004508F9" w:rsidRPr="00817B57">
              <w:rPr>
                <w:rFonts w:asciiTheme="minorHAnsi" w:hAnsiTheme="minorHAnsi"/>
                <w:b/>
                <w:bCs/>
                <w:sz w:val="22"/>
                <w:szCs w:val="22"/>
                <w:lang w:val="fr-CH"/>
              </w:rPr>
              <w:t>Unité de l</w:t>
            </w:r>
            <w:r w:rsidR="000B7E88" w:rsidRPr="00817B57">
              <w:rPr>
                <w:rFonts w:asciiTheme="minorHAnsi" w:hAnsiTheme="minorHAnsi"/>
                <w:b/>
                <w:bCs/>
                <w:sz w:val="22"/>
                <w:szCs w:val="22"/>
                <w:lang w:val="fr-CH"/>
              </w:rPr>
              <w:t>'</w:t>
            </w:r>
            <w:r w:rsidR="004508F9" w:rsidRPr="00817B57">
              <w:rPr>
                <w:rFonts w:asciiTheme="minorHAnsi" w:hAnsiTheme="minorHAnsi"/>
                <w:b/>
                <w:bCs/>
                <w:sz w:val="22"/>
                <w:szCs w:val="22"/>
                <w:lang w:val="fr-CH"/>
              </w:rPr>
              <w:t>audit interne</w:t>
            </w:r>
            <w:r w:rsidR="002851CA" w:rsidRPr="00817B57">
              <w:rPr>
                <w:rFonts w:asciiTheme="minorHAnsi" w:hAnsiTheme="minorHAnsi"/>
                <w:b/>
                <w:bCs/>
                <w:sz w:val="22"/>
                <w:szCs w:val="22"/>
                <w:lang w:val="fr-CH"/>
              </w:rPr>
              <w:t>:</w:t>
            </w:r>
            <w:r w:rsidR="004508F9" w:rsidRPr="00817B57">
              <w:rPr>
                <w:rFonts w:asciiTheme="minorHAnsi" w:hAnsiTheme="minorHAnsi"/>
                <w:sz w:val="22"/>
                <w:szCs w:val="22"/>
                <w:lang w:val="fr-CH"/>
              </w:rPr>
              <w:t xml:space="preserve"> Cette recommandation est en cours de mise en </w:t>
            </w:r>
            <w:r w:rsidR="000B7E88" w:rsidRPr="00817B57">
              <w:rPr>
                <w:rFonts w:asciiTheme="minorHAnsi" w:hAnsiTheme="minorHAnsi"/>
                <w:sz w:val="22"/>
                <w:szCs w:val="22"/>
                <w:lang w:val="fr-CH"/>
              </w:rPr>
              <w:t>oe</w:t>
            </w:r>
            <w:r w:rsidR="004508F9" w:rsidRPr="00817B57">
              <w:rPr>
                <w:rFonts w:asciiTheme="minorHAnsi" w:hAnsiTheme="minorHAnsi"/>
                <w:sz w:val="22"/>
                <w:szCs w:val="22"/>
                <w:lang w:val="fr-CH"/>
              </w:rPr>
              <w:t>uvre</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à mesure que de nouveaux audits sont réalisés et dans la mesure où les ressources le permettent.</w:t>
            </w:r>
          </w:p>
        </w:tc>
        <w:tc>
          <w:tcPr>
            <w:tcW w:w="1696"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Pour chaque objectif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la liste des risques pouvant nuire à la réalisation des objectifs de l</w:t>
            </w:r>
            <w:r w:rsidR="000B7E88" w:rsidRPr="00817B57">
              <w:rPr>
                <w:rFonts w:asciiTheme="minorHAnsi" w:hAnsiTheme="minorHAnsi"/>
                <w:sz w:val="22"/>
                <w:szCs w:val="22"/>
                <w:lang w:val="fr-CH"/>
              </w:rPr>
              <w:t>'</w:t>
            </w:r>
            <w:r w:rsidRPr="00817B57">
              <w:rPr>
                <w:rFonts w:asciiTheme="minorHAnsi" w:hAnsiTheme="minorHAnsi"/>
                <w:sz w:val="22"/>
                <w:szCs w:val="22"/>
                <w:lang w:val="fr-CH"/>
              </w:rPr>
              <w:t>activité considérée, les critères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(contrôler chaque risque identifié) et les procédures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associées sont définies dès lors qu</w:t>
            </w:r>
            <w:r w:rsidR="000B7E88" w:rsidRPr="00817B57">
              <w:rPr>
                <w:rFonts w:asciiTheme="minorHAnsi" w:hAnsiTheme="minorHAnsi"/>
                <w:sz w:val="22"/>
                <w:szCs w:val="22"/>
                <w:lang w:val="fr-CH"/>
              </w:rPr>
              <w:t>'</w:t>
            </w:r>
            <w:r w:rsidRPr="00817B57">
              <w:rPr>
                <w:rFonts w:asciiTheme="minorHAnsi" w:hAnsiTheme="minorHAnsi"/>
                <w:sz w:val="22"/>
                <w:szCs w:val="22"/>
                <w:lang w:val="fr-CH"/>
              </w:rPr>
              <w:t>ils peuvent l</w:t>
            </w:r>
            <w:r w:rsidR="000B7E88" w:rsidRPr="00817B57">
              <w:rPr>
                <w:rFonts w:asciiTheme="minorHAnsi" w:hAnsiTheme="minorHAnsi"/>
                <w:sz w:val="22"/>
                <w:szCs w:val="22"/>
                <w:lang w:val="fr-CH"/>
              </w:rPr>
              <w:t>'</w:t>
            </w:r>
            <w:r w:rsidRPr="00817B57">
              <w:rPr>
                <w:rFonts w:asciiTheme="minorHAnsi" w:hAnsiTheme="minorHAnsi"/>
                <w:sz w:val="22"/>
                <w:szCs w:val="22"/>
                <w:lang w:val="fr-CH"/>
              </w:rPr>
              <w:t>être au départ</w:t>
            </w:r>
            <w:r w:rsidR="002851CA" w:rsidRPr="00817B57">
              <w:rPr>
                <w:rFonts w:asciiTheme="minorHAnsi" w:hAnsiTheme="minorHAnsi"/>
                <w:sz w:val="22"/>
                <w:szCs w:val="22"/>
                <w:lang w:val="fr-CH"/>
              </w:rPr>
              <w:t>;</w:t>
            </w:r>
            <w:r w:rsidRPr="00817B57">
              <w:rPr>
                <w:rFonts w:asciiTheme="minorHAnsi" w:hAnsiTheme="minorHAnsi"/>
                <w:sz w:val="22"/>
                <w:szCs w:val="22"/>
                <w:lang w:val="fr-CH"/>
              </w:rPr>
              <w:t xml:space="preserve"> en diverses occasions, l</w:t>
            </w:r>
            <w:r w:rsidR="000B7E88" w:rsidRPr="00817B57">
              <w:rPr>
                <w:rFonts w:asciiTheme="minorHAnsi" w:hAnsiTheme="minorHAnsi"/>
                <w:sz w:val="22"/>
                <w:szCs w:val="22"/>
                <w:lang w:val="fr-CH"/>
              </w:rPr>
              <w:t>'</w:t>
            </w:r>
            <w:r w:rsidRPr="00817B57">
              <w:rPr>
                <w:rFonts w:asciiTheme="minorHAnsi" w:hAnsiTheme="minorHAnsi"/>
                <w:sz w:val="22"/>
                <w:szCs w:val="22"/>
                <w:lang w:val="fr-CH"/>
              </w:rPr>
              <w:t>expérience a montré que ces éléments doivent être modifiés à mesure que l</w:t>
            </w:r>
            <w:r w:rsidR="000B7E88" w:rsidRPr="00817B57">
              <w:rPr>
                <w:rFonts w:asciiTheme="minorHAnsi" w:hAnsiTheme="minorHAnsi"/>
                <w:sz w:val="22"/>
                <w:szCs w:val="22"/>
                <w:lang w:val="fr-CH"/>
              </w:rPr>
              <w:t>'</w:t>
            </w:r>
            <w:r w:rsidRPr="00817B57">
              <w:rPr>
                <w:rFonts w:asciiTheme="minorHAnsi" w:hAnsiTheme="minorHAnsi"/>
                <w:sz w:val="22"/>
                <w:szCs w:val="22"/>
                <w:lang w:val="fr-CH"/>
              </w:rPr>
              <w:t>audit avance.</w:t>
            </w:r>
          </w:p>
        </w:tc>
      </w:tr>
      <w:tr w:rsidR="004508F9" w:rsidRPr="00817B57" w:rsidTr="00AA07F5">
        <w:tc>
          <w:tcPr>
            <w:tcW w:w="1051" w:type="dxa"/>
          </w:tcPr>
          <w:p w:rsidR="004508F9" w:rsidRPr="00817B57" w:rsidRDefault="004508F9" w:rsidP="00817B57">
            <w:pPr>
              <w:keepNext/>
              <w:rPr>
                <w:rFonts w:asciiTheme="minorHAnsi" w:hAnsiTheme="minorHAnsi"/>
                <w:sz w:val="22"/>
                <w:szCs w:val="22"/>
                <w:lang w:val="fr-CH"/>
              </w:rPr>
            </w:pPr>
            <w:r w:rsidRPr="00817B57">
              <w:rPr>
                <w:rFonts w:asciiTheme="minorHAnsi" w:hAnsiTheme="minorHAnsi"/>
                <w:sz w:val="22"/>
                <w:szCs w:val="22"/>
                <w:lang w:val="fr-CH"/>
              </w:rPr>
              <w:t>2.1.d</w:t>
            </w:r>
          </w:p>
        </w:tc>
        <w:tc>
          <w:tcPr>
            <w:tcW w:w="4437" w:type="dxa"/>
          </w:tcPr>
          <w:p w:rsidR="004508F9" w:rsidRPr="00817B57" w:rsidRDefault="00550462" w:rsidP="00817B57">
            <w:pPr>
              <w:keepNext/>
              <w:rPr>
                <w:rFonts w:asciiTheme="minorHAnsi" w:hAnsiTheme="minorHAnsi"/>
                <w:sz w:val="22"/>
                <w:szCs w:val="22"/>
                <w:lang w:val="fr-CH"/>
              </w:rPr>
            </w:pPr>
            <w:r w:rsidRPr="00817B57">
              <w:rPr>
                <w:rFonts w:asciiTheme="minorHAnsi" w:hAnsiTheme="minorHAnsi"/>
                <w:sz w:val="22"/>
                <w:szCs w:val="22"/>
                <w:lang w:val="fr-CH"/>
              </w:rPr>
              <w:t xml:space="preserve">Au titre de cette activité, l'Unité </w:t>
            </w:r>
            <w:r w:rsidR="00C620F9" w:rsidRPr="00817B57">
              <w:rPr>
                <w:rFonts w:asciiTheme="minorHAnsi" w:hAnsiTheme="minorHAnsi"/>
                <w:sz w:val="22"/>
                <w:szCs w:val="22"/>
                <w:lang w:val="fr-CH"/>
              </w:rPr>
              <w:t>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devrait développer les outils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encadrement sur la planification et la mise en </w:t>
            </w:r>
            <w:r w:rsidR="000B7E88" w:rsidRPr="00817B57">
              <w:rPr>
                <w:rFonts w:asciiTheme="minorHAnsi" w:hAnsiTheme="minorHAnsi"/>
                <w:sz w:val="22"/>
                <w:szCs w:val="22"/>
                <w:lang w:val="fr-CH"/>
              </w:rPr>
              <w:t>oe</w:t>
            </w:r>
            <w:r w:rsidR="004508F9" w:rsidRPr="00817B57">
              <w:rPr>
                <w:rFonts w:asciiTheme="minorHAnsi" w:hAnsiTheme="minorHAnsi"/>
                <w:sz w:val="22"/>
                <w:szCs w:val="22"/>
                <w:lang w:val="fr-CH"/>
              </w:rPr>
              <w:t>uvre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(et envisager de les regrouper dans un seul outil de gestion des connaissances</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par exemple</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un manuel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afin de renforcer la capacité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activité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interne</w:t>
            </w:r>
            <w:r w:rsidR="002851CA"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d) </w:t>
            </w:r>
            <w:r w:rsidRPr="00817B57">
              <w:rPr>
                <w:rFonts w:asciiTheme="minorHAnsi" w:hAnsiTheme="minorHAnsi"/>
                <w:sz w:val="22"/>
                <w:szCs w:val="22"/>
                <w:lang w:val="fr-CH"/>
              </w:rPr>
              <w:t>à</w:t>
            </w:r>
            <w:r w:rsidR="004508F9" w:rsidRPr="00817B57">
              <w:rPr>
                <w:rFonts w:asciiTheme="minorHAnsi" w:hAnsiTheme="minorHAnsi"/>
                <w:sz w:val="22"/>
                <w:szCs w:val="22"/>
                <w:lang w:val="fr-CH"/>
              </w:rPr>
              <w:t xml:space="preserve"> vérifier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élaboration de documents de travail établissant un lien clair, pour chaque observation, entre les critères, les causes et les conséquences, ainsi que les conclusions pour chaque objectif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w:t>
            </w:r>
          </w:p>
        </w:tc>
        <w:tc>
          <w:tcPr>
            <w:tcW w:w="3083" w:type="dxa"/>
            <w:tcBorders>
              <w:top w:val="single" w:sz="4" w:space="0" w:color="auto"/>
              <w:bottom w:val="single" w:sz="4" w:space="0" w:color="auto"/>
            </w:tcBorders>
          </w:tcPr>
          <w:p w:rsidR="004508F9" w:rsidRPr="00817B57" w:rsidRDefault="004508F9" w:rsidP="00817B57">
            <w:pPr>
              <w:keepNext/>
              <w:rPr>
                <w:rFonts w:asciiTheme="minorHAnsi" w:hAnsiTheme="minorHAnsi"/>
                <w:sz w:val="22"/>
                <w:szCs w:val="22"/>
                <w:lang w:val="fr-CH"/>
              </w:rPr>
            </w:pPr>
          </w:p>
        </w:tc>
        <w:tc>
          <w:tcPr>
            <w:tcW w:w="1696" w:type="dxa"/>
          </w:tcPr>
          <w:p w:rsidR="004508F9" w:rsidRPr="00817B57" w:rsidRDefault="004508F9" w:rsidP="00817B57">
            <w:pPr>
              <w:keepNext/>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4508F9" w:rsidP="00817B57">
            <w:pPr>
              <w:keepNext/>
              <w:rPr>
                <w:rFonts w:asciiTheme="minorHAnsi" w:hAnsiTheme="minorHAnsi"/>
                <w:sz w:val="22"/>
                <w:szCs w:val="22"/>
                <w:lang w:val="fr-CH"/>
              </w:rPr>
            </w:pPr>
            <w:r w:rsidRPr="00817B57">
              <w:rPr>
                <w:rFonts w:asciiTheme="minorHAnsi" w:hAnsiTheme="minorHAnsi"/>
                <w:sz w:val="22"/>
                <w:szCs w:val="22"/>
                <w:lang w:val="fr-CH"/>
              </w:rPr>
              <w:t>Ce point est développé plus avant à mesure que les audits sont menés. Le processus contradictoire permettant d</w:t>
            </w:r>
            <w:r w:rsidR="000B7E88" w:rsidRPr="00817B57">
              <w:rPr>
                <w:rFonts w:asciiTheme="minorHAnsi" w:hAnsiTheme="minorHAnsi"/>
                <w:sz w:val="22"/>
                <w:szCs w:val="22"/>
                <w:lang w:val="fr-CH"/>
              </w:rPr>
              <w:t>'</w:t>
            </w:r>
            <w:r w:rsidRPr="00817B57">
              <w:rPr>
                <w:rFonts w:asciiTheme="minorHAnsi" w:hAnsiTheme="minorHAnsi"/>
                <w:sz w:val="22"/>
                <w:szCs w:val="22"/>
                <w:lang w:val="fr-CH"/>
              </w:rPr>
              <w:t>avoir confirmation par les personnes visées par l</w:t>
            </w:r>
            <w:r w:rsidR="000B7E88" w:rsidRPr="00817B57">
              <w:rPr>
                <w:rFonts w:asciiTheme="minorHAnsi" w:hAnsiTheme="minorHAnsi"/>
                <w:sz w:val="22"/>
                <w:szCs w:val="22"/>
                <w:lang w:val="fr-CH"/>
              </w:rPr>
              <w:t>'</w:t>
            </w:r>
            <w:r w:rsidRPr="00817B57">
              <w:rPr>
                <w:rFonts w:asciiTheme="minorHAnsi" w:hAnsiTheme="minorHAnsi"/>
                <w:sz w:val="22"/>
                <w:szCs w:val="22"/>
                <w:lang w:val="fr-CH"/>
              </w:rPr>
              <w:t>audit de l</w:t>
            </w:r>
            <w:r w:rsidR="000B7E88" w:rsidRPr="00817B57">
              <w:rPr>
                <w:rFonts w:asciiTheme="minorHAnsi" w:hAnsiTheme="minorHAnsi"/>
                <w:sz w:val="22"/>
                <w:szCs w:val="22"/>
                <w:lang w:val="fr-CH"/>
              </w:rPr>
              <w:t>'</w:t>
            </w:r>
            <w:r w:rsidRPr="00817B57">
              <w:rPr>
                <w:rFonts w:asciiTheme="minorHAnsi" w:hAnsiTheme="minorHAnsi"/>
                <w:sz w:val="22"/>
                <w:szCs w:val="22"/>
                <w:lang w:val="fr-CH"/>
              </w:rPr>
              <w:t xml:space="preserve">exactitude </w:t>
            </w:r>
            <w:r w:rsidR="00550462" w:rsidRPr="00817B57">
              <w:rPr>
                <w:rFonts w:asciiTheme="minorHAnsi" w:hAnsiTheme="minorHAnsi"/>
                <w:sz w:val="22"/>
                <w:szCs w:val="22"/>
                <w:lang w:val="fr-CH"/>
              </w:rPr>
              <w:t>des faits</w:t>
            </w:r>
            <w:r w:rsidRPr="00817B57">
              <w:rPr>
                <w:rFonts w:asciiTheme="minorHAnsi" w:hAnsiTheme="minorHAnsi"/>
                <w:sz w:val="22"/>
                <w:szCs w:val="22"/>
                <w:lang w:val="fr-CH"/>
              </w:rPr>
              <w:t xml:space="preserve"> et d</w:t>
            </w:r>
            <w:r w:rsidR="000B7E88" w:rsidRPr="00817B57">
              <w:rPr>
                <w:rFonts w:asciiTheme="minorHAnsi" w:hAnsiTheme="minorHAnsi"/>
                <w:sz w:val="22"/>
                <w:szCs w:val="22"/>
                <w:lang w:val="fr-CH"/>
              </w:rPr>
              <w:t>'</w:t>
            </w:r>
            <w:r w:rsidRPr="00817B57">
              <w:rPr>
                <w:rFonts w:asciiTheme="minorHAnsi" w:hAnsiTheme="minorHAnsi"/>
                <w:sz w:val="22"/>
                <w:szCs w:val="22"/>
                <w:lang w:val="fr-CH"/>
              </w:rPr>
              <w:t xml:space="preserve">obtenir les </w:t>
            </w:r>
            <w:r w:rsidR="00550462" w:rsidRPr="00817B57">
              <w:rPr>
                <w:rFonts w:asciiTheme="minorHAnsi" w:hAnsiTheme="minorHAnsi"/>
                <w:sz w:val="22"/>
                <w:szCs w:val="22"/>
                <w:lang w:val="fr-CH"/>
              </w:rPr>
              <w:t>commentaires</w:t>
            </w:r>
            <w:r w:rsidRPr="00817B57">
              <w:rPr>
                <w:rFonts w:asciiTheme="minorHAnsi" w:hAnsiTheme="minorHAnsi"/>
                <w:sz w:val="22"/>
                <w:szCs w:val="22"/>
                <w:lang w:val="fr-CH"/>
              </w:rPr>
              <w:t xml:space="preserve"> de la direction sont deux étapes essentielles du processus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w:t>
            </w:r>
            <w:r w:rsidR="00550462" w:rsidRPr="00817B57">
              <w:rPr>
                <w:rFonts w:asciiTheme="minorHAnsi" w:hAnsiTheme="minorHAnsi"/>
                <w:sz w:val="22"/>
                <w:szCs w:val="22"/>
                <w:lang w:val="fr-CH"/>
              </w:rPr>
              <w:t>,</w:t>
            </w:r>
            <w:r w:rsidRPr="00817B57">
              <w:rPr>
                <w:rFonts w:asciiTheme="minorHAnsi" w:hAnsiTheme="minorHAnsi"/>
                <w:sz w:val="22"/>
                <w:szCs w:val="22"/>
                <w:lang w:val="fr-CH"/>
              </w:rPr>
              <w:t xml:space="preserve"> qui sont systématiquement appliqué</w:t>
            </w:r>
            <w:r w:rsidR="00550462" w:rsidRPr="00817B57">
              <w:rPr>
                <w:rFonts w:asciiTheme="minorHAnsi" w:hAnsiTheme="minorHAnsi"/>
                <w:sz w:val="22"/>
                <w:szCs w:val="22"/>
                <w:lang w:val="fr-CH"/>
              </w:rPr>
              <w:t>e</w:t>
            </w:r>
            <w:r w:rsidRPr="00817B57">
              <w:rPr>
                <w:rFonts w:asciiTheme="minorHAnsi" w:hAnsiTheme="minorHAnsi"/>
                <w:sz w:val="22"/>
                <w:szCs w:val="22"/>
                <w:lang w:val="fr-CH"/>
              </w:rPr>
              <w:t>s.</w:t>
            </w:r>
          </w:p>
        </w:tc>
      </w:tr>
      <w:tr w:rsidR="004508F9" w:rsidRPr="00817B57" w:rsidTr="00C14F1C">
        <w:tc>
          <w:tcPr>
            <w:tcW w:w="1051"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3.1</w:t>
            </w:r>
          </w:p>
        </w:tc>
        <w:tc>
          <w:tcPr>
            <w:tcW w:w="4437" w:type="dxa"/>
          </w:tcPr>
          <w:p w:rsidR="004508F9" w:rsidRPr="00817B57" w:rsidRDefault="00550462" w:rsidP="00550462">
            <w:pPr>
              <w:rPr>
                <w:rFonts w:asciiTheme="minorHAnsi" w:hAnsiTheme="minorHAnsi"/>
                <w:sz w:val="22"/>
                <w:szCs w:val="22"/>
                <w:lang w:val="fr-CH"/>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devrait modifier les définitions de l</w:t>
            </w:r>
            <w:r w:rsidR="000B7E88" w:rsidRPr="00817B57">
              <w:rPr>
                <w:rFonts w:asciiTheme="minorHAnsi" w:hAnsiTheme="minorHAnsi"/>
                <w:sz w:val="22"/>
                <w:szCs w:val="22"/>
                <w:lang w:val="fr-CH"/>
              </w:rPr>
              <w:t>'</w:t>
            </w:r>
            <w:r w:rsidRPr="00817B57">
              <w:rPr>
                <w:rFonts w:asciiTheme="minorHAnsi" w:hAnsiTheme="minorHAnsi"/>
                <w:sz w:val="22"/>
                <w:szCs w:val="22"/>
                <w:lang w:val="fr-CH"/>
              </w:rPr>
              <w:t>avis</w:t>
            </w:r>
            <w:r w:rsidR="004508F9" w:rsidRPr="00817B57">
              <w:rPr>
                <w:rFonts w:asciiTheme="minorHAnsi" w:hAnsiTheme="minorHAnsi"/>
                <w:sz w:val="22"/>
                <w:szCs w:val="22"/>
                <w:lang w:val="fr-CH"/>
              </w:rPr>
              <w:t xml:space="preserve">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type</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afin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y faire figurer une conclusion non seulement sur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efficacité des contrôles, mais aussi sur les pratiques en matière de gouvernance et de gestion des risques, afin de fournir à la haute direction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UIT une assurance concernant tous les aspects du mandat </w:t>
            </w:r>
            <w:r w:rsidR="004508F9" w:rsidRPr="00CD0FC1">
              <w:rPr>
                <w:rFonts w:asciiTheme="minorHAnsi" w:hAnsiTheme="minorHAnsi"/>
                <w:sz w:val="22"/>
                <w:szCs w:val="22"/>
                <w:lang w:val="fr-CH"/>
              </w:rPr>
              <w:t xml:space="preserve">de </w:t>
            </w:r>
            <w:r w:rsidRPr="00CD0FC1">
              <w:rPr>
                <w:rFonts w:asciiTheme="minorHAnsi" w:hAnsiTheme="minorHAnsi"/>
                <w:sz w:val="22"/>
                <w:szCs w:val="22"/>
                <w:lang w:val="fr-CH"/>
              </w:rPr>
              <w:t xml:space="preserve">l'Unité </w:t>
            </w:r>
            <w:r w:rsidR="00CD0FC1" w:rsidRPr="00CD0FC1">
              <w:rPr>
                <w:rFonts w:asciiTheme="minorHAnsi" w:hAnsiTheme="minorHAnsi"/>
                <w:sz w:val="22"/>
                <w:szCs w:val="22"/>
                <w:lang w:val="fr-CH"/>
              </w:rPr>
              <w:t xml:space="preserve">de </w:t>
            </w:r>
            <w:r w:rsidR="004508F9" w:rsidRPr="00CD0FC1">
              <w:rPr>
                <w:rFonts w:asciiTheme="minorHAnsi" w:hAnsiTheme="minorHAnsi"/>
                <w:sz w:val="22"/>
                <w:szCs w:val="22"/>
                <w:lang w:val="fr-CH"/>
              </w:rPr>
              <w:t>l</w:t>
            </w:r>
            <w:r w:rsidR="000B7E88" w:rsidRPr="00CD0FC1">
              <w:rPr>
                <w:rFonts w:asciiTheme="minorHAnsi" w:hAnsiTheme="minorHAnsi"/>
                <w:sz w:val="22"/>
                <w:szCs w:val="22"/>
                <w:lang w:val="fr-CH"/>
              </w:rPr>
              <w:t>'</w:t>
            </w:r>
            <w:r w:rsidR="004508F9" w:rsidRPr="00CD0FC1">
              <w:rPr>
                <w:rFonts w:asciiTheme="minorHAnsi" w:hAnsiTheme="minorHAnsi"/>
                <w:sz w:val="22"/>
                <w:szCs w:val="22"/>
                <w:lang w:val="fr-CH"/>
              </w:rPr>
              <w:t>audit interne.</w:t>
            </w:r>
          </w:p>
        </w:tc>
        <w:tc>
          <w:tcPr>
            <w:tcW w:w="3083" w:type="dxa"/>
            <w:tcBorders>
              <w:bottom w:val="single" w:sz="4" w:space="0" w:color="auto"/>
            </w:tcBorders>
          </w:tcPr>
          <w:p w:rsidR="004508F9" w:rsidRPr="00817B57" w:rsidRDefault="004508F9" w:rsidP="000B7E88">
            <w:pPr>
              <w:rPr>
                <w:rFonts w:asciiTheme="minorHAnsi" w:hAnsiTheme="minorHAnsi"/>
                <w:sz w:val="22"/>
                <w:szCs w:val="22"/>
                <w:lang w:val="fr-CH"/>
              </w:rPr>
            </w:pPr>
          </w:p>
        </w:tc>
        <w:tc>
          <w:tcPr>
            <w:tcW w:w="1696"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4508F9" w:rsidP="007B3624">
            <w:pPr>
              <w:rPr>
                <w:rFonts w:asciiTheme="minorHAnsi" w:hAnsiTheme="minorHAnsi"/>
                <w:sz w:val="22"/>
                <w:szCs w:val="22"/>
                <w:lang w:val="fr-CH"/>
              </w:rPr>
            </w:pPr>
            <w:r w:rsidRPr="00817B57">
              <w:rPr>
                <w:rFonts w:asciiTheme="minorHAnsi" w:hAnsiTheme="minorHAnsi"/>
                <w:sz w:val="22"/>
                <w:szCs w:val="22"/>
                <w:lang w:val="fr-CH"/>
              </w:rPr>
              <w:t>La plupart des rapports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interne publié</w:t>
            </w:r>
            <w:r w:rsidR="00550462" w:rsidRPr="00817B57">
              <w:rPr>
                <w:rFonts w:asciiTheme="minorHAnsi" w:hAnsiTheme="minorHAnsi"/>
                <w:sz w:val="22"/>
                <w:szCs w:val="22"/>
                <w:lang w:val="fr-CH"/>
              </w:rPr>
              <w:t>s</w:t>
            </w:r>
            <w:r w:rsidRPr="00817B57">
              <w:rPr>
                <w:rFonts w:asciiTheme="minorHAnsi" w:hAnsiTheme="minorHAnsi"/>
                <w:sz w:val="22"/>
                <w:szCs w:val="22"/>
                <w:lang w:val="fr-CH"/>
              </w:rPr>
              <w:t xml:space="preserve"> en 2015 font </w:t>
            </w:r>
            <w:r w:rsidR="00550462" w:rsidRPr="00817B57">
              <w:rPr>
                <w:rFonts w:asciiTheme="minorHAnsi" w:hAnsiTheme="minorHAnsi"/>
                <w:sz w:val="22"/>
                <w:szCs w:val="22"/>
                <w:lang w:val="fr-CH"/>
              </w:rPr>
              <w:t xml:space="preserve">maintenant </w:t>
            </w:r>
            <w:r w:rsidRPr="00817B57">
              <w:rPr>
                <w:rFonts w:asciiTheme="minorHAnsi" w:hAnsiTheme="minorHAnsi"/>
                <w:sz w:val="22"/>
                <w:szCs w:val="22"/>
                <w:lang w:val="fr-CH"/>
              </w:rPr>
              <w:t>référence, dans l</w:t>
            </w:r>
            <w:r w:rsidR="000B7E88" w:rsidRPr="00817B57">
              <w:rPr>
                <w:rFonts w:asciiTheme="minorHAnsi" w:hAnsiTheme="minorHAnsi"/>
                <w:sz w:val="22"/>
                <w:szCs w:val="22"/>
                <w:lang w:val="fr-CH"/>
              </w:rPr>
              <w:t>'</w:t>
            </w:r>
            <w:r w:rsidR="00550462" w:rsidRPr="00817B57">
              <w:rPr>
                <w:rFonts w:asciiTheme="minorHAnsi" w:hAnsiTheme="minorHAnsi"/>
                <w:sz w:val="22"/>
                <w:szCs w:val="22"/>
                <w:lang w:val="fr-CH"/>
              </w:rPr>
              <w:t>avis</w:t>
            </w:r>
            <w:r w:rsidRPr="00817B57">
              <w:rPr>
                <w:rFonts w:asciiTheme="minorHAnsi" w:hAnsiTheme="minorHAnsi"/>
                <w:sz w:val="22"/>
                <w:szCs w:val="22"/>
                <w:lang w:val="fr-CH"/>
              </w:rPr>
              <w:t xml:space="preserve">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w:t>
            </w:r>
            <w:r w:rsidR="00550462" w:rsidRPr="00817B57">
              <w:rPr>
                <w:rFonts w:asciiTheme="minorHAnsi" w:hAnsiTheme="minorHAnsi"/>
                <w:sz w:val="22"/>
                <w:szCs w:val="22"/>
                <w:lang w:val="fr-CH"/>
              </w:rPr>
              <w:t xml:space="preserve"> général</w:t>
            </w:r>
            <w:r w:rsidRPr="00817B57">
              <w:rPr>
                <w:rFonts w:asciiTheme="minorHAnsi" w:hAnsiTheme="minorHAnsi"/>
                <w:sz w:val="22"/>
                <w:szCs w:val="22"/>
                <w:lang w:val="fr-CH"/>
              </w:rPr>
              <w:t>, à l</w:t>
            </w:r>
            <w:r w:rsidR="000B7E88" w:rsidRPr="00817B57">
              <w:rPr>
                <w:rFonts w:asciiTheme="minorHAnsi" w:hAnsiTheme="minorHAnsi"/>
                <w:sz w:val="22"/>
                <w:szCs w:val="22"/>
                <w:lang w:val="fr-CH"/>
              </w:rPr>
              <w:t>'</w:t>
            </w:r>
            <w:r w:rsidRPr="00817B57">
              <w:rPr>
                <w:rFonts w:asciiTheme="minorHAnsi" w:hAnsiTheme="minorHAnsi"/>
                <w:sz w:val="22"/>
                <w:szCs w:val="22"/>
                <w:lang w:val="fr-CH"/>
              </w:rPr>
              <w:t>assurance concernant la gouvernance, la gestion des risques et l</w:t>
            </w:r>
            <w:r w:rsidR="000B7E88" w:rsidRPr="00817B57">
              <w:rPr>
                <w:rFonts w:asciiTheme="minorHAnsi" w:hAnsiTheme="minorHAnsi"/>
                <w:sz w:val="22"/>
                <w:szCs w:val="22"/>
                <w:lang w:val="fr-CH"/>
              </w:rPr>
              <w:t>'</w:t>
            </w:r>
            <w:r w:rsidRPr="00817B57">
              <w:rPr>
                <w:rFonts w:asciiTheme="minorHAnsi" w:hAnsiTheme="minorHAnsi"/>
                <w:sz w:val="22"/>
                <w:szCs w:val="22"/>
                <w:lang w:val="fr-CH"/>
              </w:rPr>
              <w:t>efficacité des contrôle</w:t>
            </w:r>
            <w:r w:rsidR="00550462" w:rsidRPr="00817B57">
              <w:rPr>
                <w:rFonts w:asciiTheme="minorHAnsi" w:hAnsiTheme="minorHAnsi"/>
                <w:sz w:val="22"/>
                <w:szCs w:val="22"/>
                <w:lang w:val="fr-CH"/>
              </w:rPr>
              <w:t>s internes</w:t>
            </w:r>
            <w:r w:rsidRPr="00817B57">
              <w:rPr>
                <w:rFonts w:asciiTheme="minorHAnsi" w:hAnsiTheme="minorHAnsi"/>
                <w:sz w:val="22"/>
                <w:szCs w:val="22"/>
                <w:lang w:val="fr-CH"/>
              </w:rPr>
              <w:t>. Dans de très rares cas où l</w:t>
            </w:r>
            <w:r w:rsidR="000B7E88" w:rsidRPr="00817B57">
              <w:rPr>
                <w:rFonts w:asciiTheme="minorHAnsi" w:hAnsiTheme="minorHAnsi"/>
                <w:sz w:val="22"/>
                <w:szCs w:val="22"/>
                <w:lang w:val="fr-CH"/>
              </w:rPr>
              <w:t>'</w:t>
            </w:r>
            <w:r w:rsidRPr="00817B57">
              <w:rPr>
                <w:rFonts w:asciiTheme="minorHAnsi" w:hAnsiTheme="minorHAnsi"/>
                <w:sz w:val="22"/>
                <w:szCs w:val="22"/>
                <w:lang w:val="fr-CH"/>
              </w:rPr>
              <w:t>audit avait un objectif très précis, cette mesure ne serait ni applicable ni possible.</w:t>
            </w:r>
          </w:p>
        </w:tc>
      </w:tr>
      <w:tr w:rsidR="004508F9" w:rsidRPr="00817B57" w:rsidTr="00C14F1C">
        <w:tc>
          <w:tcPr>
            <w:tcW w:w="1051" w:type="dxa"/>
          </w:tcPr>
          <w:p w:rsidR="004508F9" w:rsidRPr="00817B57" w:rsidRDefault="004508F9" w:rsidP="00AA07F5">
            <w:pPr>
              <w:keepNext/>
              <w:rPr>
                <w:rFonts w:asciiTheme="minorHAnsi" w:hAnsiTheme="minorHAnsi"/>
                <w:sz w:val="22"/>
                <w:szCs w:val="22"/>
                <w:lang w:val="fr-CH"/>
              </w:rPr>
            </w:pPr>
            <w:r w:rsidRPr="00817B57">
              <w:rPr>
                <w:rFonts w:asciiTheme="minorHAnsi" w:hAnsiTheme="minorHAnsi"/>
                <w:sz w:val="22"/>
                <w:szCs w:val="22"/>
                <w:lang w:val="fr-CH"/>
              </w:rPr>
              <w:lastRenderedPageBreak/>
              <w:t>3.2</w:t>
            </w:r>
          </w:p>
        </w:tc>
        <w:tc>
          <w:tcPr>
            <w:tcW w:w="4437" w:type="dxa"/>
            <w:tcBorders>
              <w:right w:val="single" w:sz="4" w:space="0" w:color="auto"/>
            </w:tcBorders>
          </w:tcPr>
          <w:p w:rsidR="004508F9" w:rsidRPr="00817B57" w:rsidRDefault="00550462" w:rsidP="00AA07F5">
            <w:pPr>
              <w:keepNext/>
              <w:rPr>
                <w:rFonts w:asciiTheme="minorHAnsi" w:hAnsiTheme="minorHAnsi"/>
                <w:sz w:val="22"/>
                <w:szCs w:val="22"/>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devrait améliorer le contenu du rapport</w:t>
            </w:r>
            <w:r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 en y intégrant des références explicites aux causes et aux conséquences des observations dans le cadre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et en veillant à ce que les recommandations portent sur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origine des problèmes.</w:t>
            </w:r>
          </w:p>
        </w:tc>
        <w:tc>
          <w:tcPr>
            <w:tcW w:w="3083" w:type="dxa"/>
            <w:tcBorders>
              <w:top w:val="single" w:sz="4" w:space="0" w:color="auto"/>
              <w:left w:val="single" w:sz="4" w:space="0" w:color="auto"/>
              <w:bottom w:val="nil"/>
              <w:right w:val="single" w:sz="4" w:space="0" w:color="auto"/>
            </w:tcBorders>
          </w:tcPr>
          <w:p w:rsidR="004508F9" w:rsidRPr="00817B57" w:rsidRDefault="00550462" w:rsidP="00AA07F5">
            <w:pPr>
              <w:keepNext/>
              <w:rPr>
                <w:rFonts w:asciiTheme="minorHAnsi" w:hAnsiTheme="minorHAnsi"/>
                <w:sz w:val="22"/>
                <w:szCs w:val="22"/>
                <w:lang w:val="fr-CH"/>
              </w:rPr>
            </w:pPr>
            <w:r w:rsidRPr="00817B57">
              <w:rPr>
                <w:rFonts w:asciiTheme="minorHAnsi" w:hAnsiTheme="minorHAnsi"/>
                <w:b/>
                <w:bCs/>
                <w:sz w:val="22"/>
                <w:szCs w:val="22"/>
                <w:lang w:val="fr-CH"/>
              </w:rPr>
              <w:t>Commentaire</w:t>
            </w:r>
            <w:r w:rsidR="004508F9" w:rsidRPr="00817B57">
              <w:rPr>
                <w:rFonts w:asciiTheme="minorHAnsi" w:hAnsiTheme="minorHAnsi"/>
                <w:b/>
                <w:bCs/>
                <w:sz w:val="22"/>
                <w:szCs w:val="22"/>
                <w:lang w:val="fr-CH"/>
              </w:rPr>
              <w:t xml:space="preserve"> du Secrétaire général</w:t>
            </w:r>
            <w:r w:rsidR="002851CA" w:rsidRPr="00817B57">
              <w:rPr>
                <w:rFonts w:asciiTheme="minorHAnsi" w:hAnsiTheme="minorHAnsi"/>
                <w:b/>
                <w:bCs/>
                <w:sz w:val="22"/>
                <w:szCs w:val="22"/>
                <w:lang w:val="fr-CH"/>
              </w:rPr>
              <w:t>:</w:t>
            </w:r>
            <w:r w:rsidR="004508F9" w:rsidRPr="00817B57">
              <w:rPr>
                <w:rFonts w:asciiTheme="minorHAnsi" w:hAnsiTheme="minorHAnsi"/>
                <w:sz w:val="22"/>
                <w:szCs w:val="22"/>
                <w:lang w:val="fr-CH"/>
              </w:rPr>
              <w:t xml:space="preserve"> En fonction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objectif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 le premier point sera appliqué. Concernant les autres points de la recommandation, ils seront examinés en 2015 et envisag</w:t>
            </w:r>
            <w:r w:rsidRPr="00817B57">
              <w:rPr>
                <w:rFonts w:asciiTheme="minorHAnsi" w:hAnsiTheme="minorHAnsi"/>
                <w:sz w:val="22"/>
                <w:szCs w:val="22"/>
                <w:lang w:val="fr-CH"/>
              </w:rPr>
              <w:t>és</w:t>
            </w:r>
            <w:r w:rsidR="004508F9" w:rsidRPr="00817B57">
              <w:rPr>
                <w:rFonts w:asciiTheme="minorHAnsi" w:hAnsiTheme="minorHAnsi"/>
                <w:sz w:val="22"/>
                <w:szCs w:val="22"/>
                <w:lang w:val="fr-CH"/>
              </w:rPr>
              <w:t xml:space="preserve"> pour le rapport annuel en 2016. </w:t>
            </w:r>
          </w:p>
        </w:tc>
        <w:tc>
          <w:tcPr>
            <w:tcW w:w="1696" w:type="dxa"/>
            <w:tcBorders>
              <w:left w:val="single" w:sz="4" w:space="0" w:color="auto"/>
            </w:tcBorders>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On retrouve</w:t>
            </w:r>
            <w:r w:rsidR="00550462" w:rsidRPr="00817B57">
              <w:rPr>
                <w:rFonts w:asciiTheme="minorHAnsi" w:hAnsiTheme="minorHAnsi"/>
                <w:sz w:val="22"/>
                <w:szCs w:val="22"/>
                <w:lang w:val="fr-CH"/>
              </w:rPr>
              <w:t>,</w:t>
            </w:r>
            <w:r w:rsidRPr="00817B57">
              <w:rPr>
                <w:rFonts w:asciiTheme="minorHAnsi" w:hAnsiTheme="minorHAnsi"/>
                <w:sz w:val="22"/>
                <w:szCs w:val="22"/>
                <w:lang w:val="fr-CH"/>
              </w:rPr>
              <w:t xml:space="preserve"> dans le corps de chaque rapport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w:t>
            </w:r>
            <w:r w:rsidR="00550462" w:rsidRPr="00817B57">
              <w:rPr>
                <w:rFonts w:asciiTheme="minorHAnsi" w:hAnsiTheme="minorHAnsi"/>
                <w:sz w:val="22"/>
                <w:szCs w:val="22"/>
                <w:lang w:val="fr-CH"/>
              </w:rPr>
              <w:t>,</w:t>
            </w:r>
            <w:r w:rsidRPr="00817B57">
              <w:rPr>
                <w:rFonts w:asciiTheme="minorHAnsi" w:hAnsiTheme="minorHAnsi"/>
                <w:sz w:val="22"/>
                <w:szCs w:val="22"/>
                <w:lang w:val="fr-CH"/>
              </w:rPr>
              <w:t xml:space="preserve"> une référence explicite à l</w:t>
            </w:r>
            <w:r w:rsidR="000B7E88" w:rsidRPr="00817B57">
              <w:rPr>
                <w:rFonts w:asciiTheme="minorHAnsi" w:hAnsiTheme="minorHAnsi"/>
                <w:sz w:val="22"/>
                <w:szCs w:val="22"/>
                <w:lang w:val="fr-CH"/>
              </w:rPr>
              <w:t>'</w:t>
            </w:r>
            <w:r w:rsidRPr="00817B57">
              <w:rPr>
                <w:rFonts w:asciiTheme="minorHAnsi" w:hAnsiTheme="minorHAnsi"/>
                <w:sz w:val="22"/>
                <w:szCs w:val="22"/>
                <w:lang w:val="fr-CH"/>
              </w:rPr>
              <w:t>objectif de l</w:t>
            </w:r>
            <w:r w:rsidR="000B7E88" w:rsidRPr="00817B57">
              <w:rPr>
                <w:rFonts w:asciiTheme="minorHAnsi" w:hAnsiTheme="minorHAnsi"/>
                <w:sz w:val="22"/>
                <w:szCs w:val="22"/>
                <w:lang w:val="fr-CH"/>
              </w:rPr>
              <w:t>'</w:t>
            </w:r>
            <w:r w:rsidRPr="00817B57">
              <w:rPr>
                <w:rFonts w:asciiTheme="minorHAnsi" w:hAnsiTheme="minorHAnsi"/>
                <w:sz w:val="22"/>
                <w:szCs w:val="22"/>
                <w:lang w:val="fr-CH"/>
              </w:rPr>
              <w:t>audit (renvoyant à COSO2013) et des recommandations adaptées pour traiter l</w:t>
            </w:r>
            <w:r w:rsidR="000B7E88" w:rsidRPr="00817B57">
              <w:rPr>
                <w:rFonts w:asciiTheme="minorHAnsi" w:hAnsiTheme="minorHAnsi"/>
                <w:sz w:val="22"/>
                <w:szCs w:val="22"/>
                <w:lang w:val="fr-CH"/>
              </w:rPr>
              <w:t>'</w:t>
            </w:r>
            <w:r w:rsidRPr="00817B57">
              <w:rPr>
                <w:rFonts w:asciiTheme="minorHAnsi" w:hAnsiTheme="minorHAnsi"/>
                <w:sz w:val="22"/>
                <w:szCs w:val="22"/>
                <w:lang w:val="fr-CH"/>
              </w:rPr>
              <w:t xml:space="preserve">origine du problème. </w:t>
            </w:r>
          </w:p>
        </w:tc>
      </w:tr>
      <w:tr w:rsidR="004508F9" w:rsidRPr="00817B57" w:rsidTr="00C14F1C">
        <w:tc>
          <w:tcPr>
            <w:tcW w:w="1051"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3.3</w:t>
            </w:r>
          </w:p>
        </w:tc>
        <w:tc>
          <w:tcPr>
            <w:tcW w:w="4437" w:type="dxa"/>
          </w:tcPr>
          <w:p w:rsidR="004508F9" w:rsidRPr="00817B57" w:rsidRDefault="00550462" w:rsidP="00550462">
            <w:pPr>
              <w:rPr>
                <w:rFonts w:asciiTheme="minorHAnsi" w:hAnsiTheme="minorHAnsi"/>
                <w:sz w:val="22"/>
                <w:szCs w:val="22"/>
              </w:rPr>
            </w:pPr>
            <w:r w:rsidRPr="00817B57">
              <w:rPr>
                <w:rFonts w:asciiTheme="minorHAnsi" w:hAnsiTheme="minorHAnsi"/>
                <w:sz w:val="22"/>
                <w:szCs w:val="22"/>
                <w:lang w:val="fr-CH"/>
              </w:rPr>
              <w:t>Au titre de cette activité, l'Unité</w:t>
            </w:r>
            <w:r w:rsidR="00C620F9" w:rsidRPr="00817B57">
              <w:rPr>
                <w:rFonts w:asciiTheme="minorHAnsi" w:hAnsiTheme="minorHAnsi"/>
                <w:sz w:val="22"/>
                <w:szCs w:val="22"/>
                <w:lang w:val="fr-CH"/>
              </w:rPr>
              <w:t xml:space="preserve"> de l</w:t>
            </w:r>
            <w:r w:rsidR="000B7E88" w:rsidRPr="00817B57">
              <w:rPr>
                <w:rFonts w:asciiTheme="minorHAnsi" w:hAnsiTheme="minorHAnsi"/>
                <w:sz w:val="22"/>
                <w:szCs w:val="22"/>
                <w:lang w:val="fr-CH"/>
              </w:rPr>
              <w:t>'</w:t>
            </w:r>
            <w:r w:rsidR="00C620F9" w:rsidRPr="00817B57">
              <w:rPr>
                <w:rFonts w:asciiTheme="minorHAnsi" w:hAnsiTheme="minorHAnsi"/>
                <w:sz w:val="22"/>
                <w:szCs w:val="22"/>
                <w:lang w:val="fr-CH"/>
              </w:rPr>
              <w:t xml:space="preserve">audit interne </w:t>
            </w:r>
            <w:r w:rsidR="004508F9" w:rsidRPr="00817B57">
              <w:rPr>
                <w:rFonts w:asciiTheme="minorHAnsi" w:hAnsiTheme="minorHAnsi"/>
                <w:sz w:val="22"/>
                <w:szCs w:val="22"/>
                <w:lang w:val="fr-CH"/>
              </w:rPr>
              <w:t xml:space="preserve">devrait faire figurer, dans le rapport annuel au </w:t>
            </w:r>
            <w:r w:rsidRPr="00817B57">
              <w:rPr>
                <w:rFonts w:asciiTheme="minorHAnsi" w:hAnsiTheme="minorHAnsi"/>
                <w:sz w:val="22"/>
                <w:szCs w:val="22"/>
                <w:lang w:val="fr-CH"/>
              </w:rPr>
              <w:t>C</w:t>
            </w:r>
            <w:r w:rsidR="004508F9" w:rsidRPr="00817B57">
              <w:rPr>
                <w:rFonts w:asciiTheme="minorHAnsi" w:hAnsiTheme="minorHAnsi"/>
                <w:sz w:val="22"/>
                <w:szCs w:val="22"/>
                <w:lang w:val="fr-CH"/>
              </w:rPr>
              <w:t>onseil, les causes récurrentes de conclusions formulées dans le cadre d</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audit</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réalisé</w:t>
            </w:r>
            <w:r w:rsidRPr="00817B57">
              <w:rPr>
                <w:rFonts w:asciiTheme="minorHAnsi" w:hAnsiTheme="minorHAnsi"/>
                <w:sz w:val="22"/>
                <w:szCs w:val="22"/>
                <w:lang w:val="fr-CH"/>
              </w:rPr>
              <w:t>s</w:t>
            </w:r>
            <w:r w:rsidR="004508F9" w:rsidRPr="00817B57">
              <w:rPr>
                <w:rFonts w:asciiTheme="minorHAnsi" w:hAnsiTheme="minorHAnsi"/>
                <w:sz w:val="22"/>
                <w:szCs w:val="22"/>
                <w:lang w:val="fr-CH"/>
              </w:rPr>
              <w:t xml:space="preserve"> pendant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année et les mesures prises par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UIT pour y faire face (pratique efficace).</w:t>
            </w:r>
          </w:p>
        </w:tc>
        <w:tc>
          <w:tcPr>
            <w:tcW w:w="3083" w:type="dxa"/>
            <w:tcBorders>
              <w:top w:val="nil"/>
            </w:tcBorders>
          </w:tcPr>
          <w:p w:rsidR="004508F9" w:rsidRPr="00817B57" w:rsidRDefault="004508F9" w:rsidP="000B7E88">
            <w:pPr>
              <w:rPr>
                <w:rFonts w:asciiTheme="minorHAnsi" w:hAnsiTheme="minorHAnsi"/>
                <w:sz w:val="22"/>
                <w:szCs w:val="22"/>
                <w:lang w:val="fr-CH"/>
              </w:rPr>
            </w:pPr>
          </w:p>
        </w:tc>
        <w:tc>
          <w:tcPr>
            <w:tcW w:w="1696"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En cours</w:t>
            </w:r>
          </w:p>
        </w:tc>
        <w:tc>
          <w:tcPr>
            <w:tcW w:w="4124" w:type="dxa"/>
          </w:tcPr>
          <w:p w:rsidR="004508F9" w:rsidRPr="00817B57" w:rsidRDefault="004508F9" w:rsidP="00550462">
            <w:pPr>
              <w:rPr>
                <w:rFonts w:asciiTheme="minorHAnsi" w:hAnsiTheme="minorHAnsi"/>
                <w:sz w:val="22"/>
                <w:szCs w:val="22"/>
                <w:lang w:val="fr-CH"/>
              </w:rPr>
            </w:pPr>
            <w:r w:rsidRPr="00817B57">
              <w:rPr>
                <w:rFonts w:asciiTheme="minorHAnsi" w:hAnsiTheme="minorHAnsi"/>
                <w:sz w:val="22"/>
                <w:szCs w:val="22"/>
                <w:lang w:val="fr-CH"/>
              </w:rPr>
              <w:t xml:space="preserve">Cette recommandation sera mise en </w:t>
            </w:r>
            <w:r w:rsidR="000B7E88" w:rsidRPr="00817B57">
              <w:rPr>
                <w:rFonts w:asciiTheme="minorHAnsi" w:hAnsiTheme="minorHAnsi"/>
                <w:sz w:val="22"/>
                <w:szCs w:val="22"/>
                <w:lang w:val="fr-CH"/>
              </w:rPr>
              <w:t>oe</w:t>
            </w:r>
            <w:r w:rsidRPr="00817B57">
              <w:rPr>
                <w:rFonts w:asciiTheme="minorHAnsi" w:hAnsiTheme="minorHAnsi"/>
                <w:sz w:val="22"/>
                <w:szCs w:val="22"/>
                <w:lang w:val="fr-CH"/>
              </w:rPr>
              <w:t xml:space="preserve">uvre pour le </w:t>
            </w:r>
            <w:r w:rsidR="00550462" w:rsidRPr="00817B57">
              <w:rPr>
                <w:rFonts w:asciiTheme="minorHAnsi" w:hAnsiTheme="minorHAnsi"/>
                <w:sz w:val="22"/>
                <w:szCs w:val="22"/>
                <w:lang w:val="fr-CH"/>
              </w:rPr>
              <w:t>r</w:t>
            </w:r>
            <w:r w:rsidR="00817B57">
              <w:rPr>
                <w:rFonts w:asciiTheme="minorHAnsi" w:hAnsiTheme="minorHAnsi"/>
                <w:sz w:val="22"/>
                <w:szCs w:val="22"/>
                <w:lang w:val="fr-CH"/>
              </w:rPr>
              <w:t>apport à la session de </w:t>
            </w:r>
            <w:r w:rsidRPr="00817B57">
              <w:rPr>
                <w:rFonts w:asciiTheme="minorHAnsi" w:hAnsiTheme="minorHAnsi"/>
                <w:sz w:val="22"/>
                <w:szCs w:val="22"/>
                <w:lang w:val="fr-CH"/>
              </w:rPr>
              <w:t>2016 du Conseil</w:t>
            </w:r>
            <w:r w:rsidR="00550462" w:rsidRPr="00817B57">
              <w:rPr>
                <w:rFonts w:asciiTheme="minorHAnsi" w:hAnsiTheme="minorHAnsi"/>
                <w:sz w:val="22"/>
                <w:szCs w:val="22"/>
                <w:lang w:val="fr-CH"/>
              </w:rPr>
              <w:t>,</w:t>
            </w:r>
            <w:r w:rsidRPr="00817B57">
              <w:rPr>
                <w:rFonts w:asciiTheme="minorHAnsi" w:hAnsiTheme="minorHAnsi"/>
                <w:sz w:val="22"/>
                <w:szCs w:val="22"/>
                <w:lang w:val="fr-CH"/>
              </w:rPr>
              <w:t xml:space="preserve"> dans la mesure où cela </w:t>
            </w:r>
            <w:r w:rsidR="00550462" w:rsidRPr="00817B57">
              <w:rPr>
                <w:rFonts w:asciiTheme="minorHAnsi" w:hAnsiTheme="minorHAnsi"/>
                <w:sz w:val="22"/>
                <w:szCs w:val="22"/>
                <w:lang w:val="fr-CH"/>
              </w:rPr>
              <w:t>serait</w:t>
            </w:r>
            <w:r w:rsidRPr="00817B57">
              <w:rPr>
                <w:rFonts w:asciiTheme="minorHAnsi" w:hAnsiTheme="minorHAnsi"/>
                <w:sz w:val="22"/>
                <w:szCs w:val="22"/>
                <w:lang w:val="fr-CH"/>
              </w:rPr>
              <w:t xml:space="preserve"> déjà possible </w:t>
            </w:r>
            <w:r w:rsidR="00550462" w:rsidRPr="00817B57">
              <w:rPr>
                <w:rFonts w:asciiTheme="minorHAnsi" w:hAnsiTheme="minorHAnsi"/>
                <w:sz w:val="22"/>
                <w:szCs w:val="22"/>
                <w:lang w:val="fr-CH"/>
              </w:rPr>
              <w:t>compte tenu</w:t>
            </w:r>
            <w:r w:rsidRPr="00817B57">
              <w:rPr>
                <w:rFonts w:asciiTheme="minorHAnsi" w:hAnsiTheme="minorHAnsi"/>
                <w:sz w:val="22"/>
                <w:szCs w:val="22"/>
                <w:lang w:val="fr-CH"/>
              </w:rPr>
              <w:t xml:space="preserve"> des rapports d</w:t>
            </w:r>
            <w:r w:rsidR="000B7E88" w:rsidRPr="00817B57">
              <w:rPr>
                <w:rFonts w:asciiTheme="minorHAnsi" w:hAnsiTheme="minorHAnsi"/>
                <w:sz w:val="22"/>
                <w:szCs w:val="22"/>
                <w:lang w:val="fr-CH"/>
              </w:rPr>
              <w:t>'</w:t>
            </w:r>
            <w:r w:rsidRPr="00817B57">
              <w:rPr>
                <w:rFonts w:asciiTheme="minorHAnsi" w:hAnsiTheme="minorHAnsi"/>
                <w:sz w:val="22"/>
                <w:szCs w:val="22"/>
                <w:lang w:val="fr-CH"/>
              </w:rPr>
              <w:t>audit des années précédentes. Certaines conclusions ne seront pas suffisamment récurrentes pour être représentatives.</w:t>
            </w:r>
          </w:p>
        </w:tc>
      </w:tr>
      <w:tr w:rsidR="004508F9" w:rsidRPr="00817B57" w:rsidTr="00AA07F5">
        <w:tc>
          <w:tcPr>
            <w:tcW w:w="1051" w:type="dxa"/>
          </w:tcPr>
          <w:p w:rsidR="004508F9" w:rsidRPr="00817B57" w:rsidRDefault="004508F9" w:rsidP="00AA07F5">
            <w:pPr>
              <w:keepNext/>
              <w:rPr>
                <w:rFonts w:asciiTheme="minorHAnsi" w:hAnsiTheme="minorHAnsi"/>
                <w:sz w:val="22"/>
                <w:szCs w:val="22"/>
                <w:lang w:val="fr-CH"/>
              </w:rPr>
            </w:pPr>
            <w:r w:rsidRPr="00817B57">
              <w:rPr>
                <w:rFonts w:asciiTheme="minorHAnsi" w:hAnsiTheme="minorHAnsi"/>
                <w:sz w:val="22"/>
                <w:szCs w:val="22"/>
                <w:lang w:val="fr-CH"/>
              </w:rPr>
              <w:t>4.1</w:t>
            </w:r>
          </w:p>
        </w:tc>
        <w:tc>
          <w:tcPr>
            <w:tcW w:w="4437" w:type="dxa"/>
          </w:tcPr>
          <w:p w:rsidR="004508F9" w:rsidRPr="00817B57" w:rsidRDefault="004508F9" w:rsidP="00AA07F5">
            <w:pPr>
              <w:keepNext/>
              <w:rPr>
                <w:rFonts w:asciiTheme="minorHAnsi" w:hAnsiTheme="minorHAnsi"/>
                <w:sz w:val="22"/>
                <w:szCs w:val="22"/>
              </w:rPr>
            </w:pPr>
            <w:r w:rsidRPr="00817B57">
              <w:rPr>
                <w:rFonts w:asciiTheme="minorHAnsi" w:hAnsiTheme="minorHAnsi"/>
                <w:sz w:val="22"/>
                <w:szCs w:val="22"/>
                <w:lang w:val="fr-CH"/>
              </w:rPr>
              <w:t>La direction de l</w:t>
            </w:r>
            <w:r w:rsidR="000B7E88" w:rsidRPr="00817B57">
              <w:rPr>
                <w:rFonts w:asciiTheme="minorHAnsi" w:hAnsiTheme="minorHAnsi"/>
                <w:sz w:val="22"/>
                <w:szCs w:val="22"/>
                <w:lang w:val="fr-CH"/>
              </w:rPr>
              <w:t>'</w:t>
            </w:r>
            <w:r w:rsidRPr="00817B57">
              <w:rPr>
                <w:rFonts w:asciiTheme="minorHAnsi" w:hAnsiTheme="minorHAnsi"/>
                <w:sz w:val="22"/>
                <w:szCs w:val="22"/>
                <w:lang w:val="fr-CH"/>
              </w:rPr>
              <w:t>UIT devrait envisager d</w:t>
            </w:r>
            <w:r w:rsidR="000B7E88" w:rsidRPr="00817B57">
              <w:rPr>
                <w:rFonts w:asciiTheme="minorHAnsi" w:hAnsiTheme="minorHAnsi"/>
                <w:sz w:val="22"/>
                <w:szCs w:val="22"/>
                <w:lang w:val="fr-CH"/>
              </w:rPr>
              <w:t>'</w:t>
            </w:r>
            <w:r w:rsidRPr="00817B57">
              <w:rPr>
                <w:rFonts w:asciiTheme="minorHAnsi" w:hAnsiTheme="minorHAnsi"/>
                <w:sz w:val="22"/>
                <w:szCs w:val="22"/>
                <w:lang w:val="fr-CH"/>
              </w:rPr>
              <w:t>accélérer l</w:t>
            </w:r>
            <w:r w:rsidR="000B7E88" w:rsidRPr="00817B57">
              <w:rPr>
                <w:rFonts w:asciiTheme="minorHAnsi" w:hAnsiTheme="minorHAnsi"/>
                <w:sz w:val="22"/>
                <w:szCs w:val="22"/>
                <w:lang w:val="fr-CH"/>
              </w:rPr>
              <w:t>'</w:t>
            </w:r>
            <w:r w:rsidRPr="00817B57">
              <w:rPr>
                <w:rFonts w:asciiTheme="minorHAnsi" w:hAnsiTheme="minorHAnsi"/>
                <w:sz w:val="22"/>
                <w:szCs w:val="22"/>
                <w:lang w:val="fr-CH"/>
              </w:rPr>
              <w:t>élaboration d</w:t>
            </w:r>
            <w:r w:rsidR="000B7E88" w:rsidRPr="00817B57">
              <w:rPr>
                <w:rFonts w:asciiTheme="minorHAnsi" w:hAnsiTheme="minorHAnsi"/>
                <w:sz w:val="22"/>
                <w:szCs w:val="22"/>
                <w:lang w:val="fr-CH"/>
              </w:rPr>
              <w:t>'</w:t>
            </w:r>
            <w:r w:rsidRPr="00817B57">
              <w:rPr>
                <w:rFonts w:asciiTheme="minorHAnsi" w:hAnsiTheme="minorHAnsi"/>
                <w:sz w:val="22"/>
                <w:szCs w:val="22"/>
                <w:lang w:val="fr-CH"/>
              </w:rPr>
              <w:t>un système ERM et d</w:t>
            </w:r>
            <w:r w:rsidR="000B7E88" w:rsidRPr="00817B57">
              <w:rPr>
                <w:rFonts w:asciiTheme="minorHAnsi" w:hAnsiTheme="minorHAnsi"/>
                <w:sz w:val="22"/>
                <w:szCs w:val="22"/>
                <w:lang w:val="fr-CH"/>
              </w:rPr>
              <w:t>'</w:t>
            </w:r>
            <w:r w:rsidRPr="00817B57">
              <w:rPr>
                <w:rFonts w:asciiTheme="minorHAnsi" w:hAnsiTheme="minorHAnsi"/>
                <w:sz w:val="22"/>
                <w:szCs w:val="22"/>
                <w:lang w:val="fr-CH"/>
              </w:rPr>
              <w:t>un cadre de contrôle centralisé</w:t>
            </w:r>
            <w:r w:rsidR="0062609C" w:rsidRPr="00817B57">
              <w:rPr>
                <w:rFonts w:asciiTheme="minorHAnsi" w:hAnsiTheme="minorHAnsi"/>
                <w:sz w:val="22"/>
                <w:szCs w:val="22"/>
                <w:lang w:val="fr-CH"/>
              </w:rPr>
              <w:t>.</w:t>
            </w:r>
          </w:p>
        </w:tc>
        <w:tc>
          <w:tcPr>
            <w:tcW w:w="3083" w:type="dxa"/>
          </w:tcPr>
          <w:p w:rsidR="004508F9" w:rsidRPr="00817B57" w:rsidRDefault="0062609C" w:rsidP="00AA07F5">
            <w:pPr>
              <w:keepNext/>
              <w:rPr>
                <w:rFonts w:asciiTheme="minorHAnsi" w:hAnsiTheme="minorHAnsi"/>
                <w:sz w:val="22"/>
                <w:szCs w:val="22"/>
                <w:lang w:val="fr-CH"/>
              </w:rPr>
            </w:pPr>
            <w:r w:rsidRPr="00817B57">
              <w:rPr>
                <w:rFonts w:asciiTheme="minorHAnsi" w:hAnsiTheme="minorHAnsi"/>
                <w:b/>
                <w:bCs/>
                <w:sz w:val="22"/>
                <w:szCs w:val="22"/>
                <w:lang w:val="fr-CH"/>
              </w:rPr>
              <w:t>Commentaire</w:t>
            </w:r>
            <w:r w:rsidR="004508F9" w:rsidRPr="00817B57">
              <w:rPr>
                <w:rFonts w:asciiTheme="minorHAnsi" w:hAnsiTheme="minorHAnsi"/>
                <w:b/>
                <w:bCs/>
                <w:sz w:val="22"/>
                <w:szCs w:val="22"/>
                <w:lang w:val="fr-CH"/>
              </w:rPr>
              <w:t xml:space="preserve"> du Secrétaire général</w:t>
            </w:r>
            <w:r w:rsidR="002851CA" w:rsidRPr="00817B57">
              <w:rPr>
                <w:rFonts w:asciiTheme="minorHAnsi" w:hAnsiTheme="minorHAnsi"/>
                <w:b/>
                <w:bCs/>
                <w:sz w:val="22"/>
                <w:szCs w:val="22"/>
                <w:lang w:val="fr-CH"/>
              </w:rPr>
              <w:t>:</w:t>
            </w:r>
            <w:r w:rsidR="004508F9" w:rsidRPr="00817B57">
              <w:rPr>
                <w:rFonts w:asciiTheme="minorHAnsi" w:hAnsiTheme="minorHAnsi"/>
                <w:sz w:val="22"/>
                <w:szCs w:val="22"/>
                <w:lang w:val="fr-CH"/>
              </w:rPr>
              <w:t xml:space="preserve"> Le cadre global de gestion des risques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UIT est actuellement mis en </w:t>
            </w:r>
            <w:r w:rsidR="000B7E88" w:rsidRPr="00817B57">
              <w:rPr>
                <w:rFonts w:asciiTheme="minorHAnsi" w:hAnsiTheme="minorHAnsi"/>
                <w:sz w:val="22"/>
                <w:szCs w:val="22"/>
                <w:lang w:val="fr-CH"/>
              </w:rPr>
              <w:t>oe</w:t>
            </w:r>
            <w:r w:rsidR="004508F9" w:rsidRPr="00817B57">
              <w:rPr>
                <w:rFonts w:asciiTheme="minorHAnsi" w:hAnsiTheme="minorHAnsi"/>
                <w:sz w:val="22"/>
                <w:szCs w:val="22"/>
                <w:lang w:val="fr-CH"/>
              </w:rPr>
              <w:t>uvre en tant qu</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 xml:space="preserve">élément à part entière </w:t>
            </w:r>
            <w:r w:rsidRPr="00817B57">
              <w:rPr>
                <w:rFonts w:asciiTheme="minorHAnsi" w:hAnsiTheme="minorHAnsi"/>
                <w:sz w:val="22"/>
                <w:szCs w:val="22"/>
                <w:lang w:val="fr-CH"/>
              </w:rPr>
              <w:t>du</w:t>
            </w:r>
            <w:r w:rsidR="004508F9" w:rsidRPr="00817B57">
              <w:rPr>
                <w:rFonts w:asciiTheme="minorHAnsi" w:hAnsiTheme="minorHAnsi"/>
                <w:sz w:val="22"/>
                <w:szCs w:val="22"/>
                <w:lang w:val="fr-CH"/>
              </w:rPr>
              <w:t xml:space="preserve"> processus</w:t>
            </w:r>
            <w:r w:rsidRPr="00817B57">
              <w:rPr>
                <w:rFonts w:asciiTheme="minorHAnsi" w:hAnsiTheme="minorHAnsi"/>
                <w:sz w:val="22"/>
                <w:szCs w:val="22"/>
                <w:lang w:val="fr-CH"/>
              </w:rPr>
              <w:t xml:space="preserve"> global</w:t>
            </w:r>
            <w:r w:rsidR="004508F9" w:rsidRPr="00817B57">
              <w:rPr>
                <w:rFonts w:asciiTheme="minorHAnsi" w:hAnsiTheme="minorHAnsi"/>
                <w:sz w:val="22"/>
                <w:szCs w:val="22"/>
                <w:lang w:val="fr-CH"/>
              </w:rPr>
              <w:t xml:space="preserve"> de planification stratégique et opérationnelle. Il suit une méthode de gestion des ri</w:t>
            </w:r>
            <w:r w:rsidR="00275416" w:rsidRPr="00817B57">
              <w:rPr>
                <w:rFonts w:asciiTheme="minorHAnsi" w:hAnsiTheme="minorHAnsi"/>
                <w:sz w:val="22"/>
                <w:szCs w:val="22"/>
                <w:lang w:val="fr-CH"/>
              </w:rPr>
              <w:t>squ</w:t>
            </w:r>
            <w:r w:rsidR="004508F9" w:rsidRPr="00817B57">
              <w:rPr>
                <w:rFonts w:asciiTheme="minorHAnsi" w:hAnsiTheme="minorHAnsi"/>
                <w:sz w:val="22"/>
                <w:szCs w:val="22"/>
                <w:lang w:val="fr-CH"/>
              </w:rPr>
              <w:t>es à plusieurs niveaux, qui tient compte de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environnement global des risques que rencontre l</w:t>
            </w:r>
            <w:r w:rsidR="000B7E88" w:rsidRPr="00817B57">
              <w:rPr>
                <w:rFonts w:asciiTheme="minorHAnsi" w:hAnsiTheme="minorHAnsi"/>
                <w:sz w:val="22"/>
                <w:szCs w:val="22"/>
                <w:lang w:val="fr-CH"/>
              </w:rPr>
              <w:t>'</w:t>
            </w:r>
            <w:r w:rsidR="004508F9" w:rsidRPr="00817B57">
              <w:rPr>
                <w:rFonts w:asciiTheme="minorHAnsi" w:hAnsiTheme="minorHAnsi"/>
                <w:sz w:val="22"/>
                <w:szCs w:val="22"/>
                <w:lang w:val="fr-CH"/>
              </w:rPr>
              <w:t>UIT dans son ensemble, ainsi que des risques propres aux Secteurs, aux Bureaux et au Secrétariat général,</w:t>
            </w:r>
            <w:r w:rsidR="00275416" w:rsidRPr="00817B57">
              <w:rPr>
                <w:rFonts w:asciiTheme="minorHAnsi" w:hAnsiTheme="minorHAnsi"/>
                <w:sz w:val="22"/>
                <w:szCs w:val="22"/>
                <w:lang w:val="fr-CH"/>
              </w:rPr>
              <w:t xml:space="preserve"> et garantit que les risques spécifiques sont gérés au niveau le </w:t>
            </w:r>
            <w:r w:rsidRPr="00817B57">
              <w:rPr>
                <w:rFonts w:asciiTheme="minorHAnsi" w:hAnsiTheme="minorHAnsi"/>
                <w:sz w:val="22"/>
                <w:szCs w:val="22"/>
                <w:lang w:val="fr-CH"/>
              </w:rPr>
              <w:t>mieux adapté</w:t>
            </w:r>
            <w:r w:rsidR="00275416" w:rsidRPr="00817B57">
              <w:rPr>
                <w:rFonts w:asciiTheme="minorHAnsi" w:hAnsiTheme="minorHAnsi"/>
                <w:sz w:val="22"/>
                <w:szCs w:val="22"/>
                <w:lang w:val="fr-CH"/>
              </w:rPr>
              <w:t xml:space="preserve"> avec les ressources appropriées disponibles pour appliquer des mesures de limitation des risques.</w:t>
            </w:r>
          </w:p>
        </w:tc>
        <w:tc>
          <w:tcPr>
            <w:tcW w:w="1696" w:type="dxa"/>
          </w:tcPr>
          <w:p w:rsidR="004508F9" w:rsidRPr="00817B57" w:rsidRDefault="004508F9" w:rsidP="00AA07F5">
            <w:pPr>
              <w:keepNext/>
              <w:rPr>
                <w:rFonts w:asciiTheme="minorHAnsi" w:hAnsiTheme="minorHAnsi"/>
                <w:sz w:val="22"/>
                <w:szCs w:val="22"/>
                <w:lang w:val="fr-CH"/>
              </w:rPr>
            </w:pPr>
            <w:r w:rsidRPr="00817B57">
              <w:rPr>
                <w:rFonts w:asciiTheme="minorHAnsi" w:hAnsiTheme="minorHAnsi"/>
                <w:sz w:val="22"/>
                <w:szCs w:val="22"/>
                <w:lang w:val="fr-CH"/>
              </w:rPr>
              <w:t>En cours</w:t>
            </w:r>
          </w:p>
        </w:tc>
        <w:tc>
          <w:tcPr>
            <w:tcW w:w="4124" w:type="dxa"/>
          </w:tcPr>
          <w:p w:rsidR="004508F9" w:rsidRPr="00817B57" w:rsidRDefault="00275416" w:rsidP="00AA07F5">
            <w:pPr>
              <w:keepNext/>
              <w:rPr>
                <w:rFonts w:asciiTheme="minorHAnsi" w:hAnsiTheme="minorHAnsi"/>
                <w:sz w:val="22"/>
                <w:szCs w:val="22"/>
                <w:lang w:val="fr-CH"/>
              </w:rPr>
            </w:pPr>
            <w:r w:rsidRPr="00817B57">
              <w:rPr>
                <w:rFonts w:asciiTheme="minorHAnsi" w:hAnsiTheme="minorHAnsi"/>
                <w:sz w:val="22"/>
                <w:szCs w:val="22"/>
                <w:lang w:val="fr-CH"/>
              </w:rPr>
              <w:t>Voir le Document CWG-FHR6/11 pour connaître l</w:t>
            </w:r>
            <w:r w:rsidR="000B7E88" w:rsidRPr="00817B57">
              <w:rPr>
                <w:rFonts w:asciiTheme="minorHAnsi" w:hAnsiTheme="minorHAnsi"/>
                <w:sz w:val="22"/>
                <w:szCs w:val="22"/>
                <w:lang w:val="fr-CH"/>
              </w:rPr>
              <w:t>'</w:t>
            </w:r>
            <w:r w:rsidRPr="00817B57">
              <w:rPr>
                <w:rFonts w:asciiTheme="minorHAnsi" w:hAnsiTheme="minorHAnsi"/>
                <w:sz w:val="22"/>
                <w:szCs w:val="22"/>
                <w:lang w:val="fr-CH"/>
              </w:rPr>
              <w:t>évolution</w:t>
            </w:r>
            <w:r w:rsidR="0062609C" w:rsidRPr="00817B57">
              <w:rPr>
                <w:rFonts w:asciiTheme="minorHAnsi" w:hAnsiTheme="minorHAnsi"/>
                <w:sz w:val="22"/>
                <w:szCs w:val="22"/>
                <w:lang w:val="fr-CH"/>
              </w:rPr>
              <w:t>.</w:t>
            </w:r>
          </w:p>
        </w:tc>
      </w:tr>
      <w:tr w:rsidR="004508F9" w:rsidRPr="00817B57" w:rsidTr="00AA07F5">
        <w:tc>
          <w:tcPr>
            <w:tcW w:w="1051" w:type="dxa"/>
          </w:tcPr>
          <w:p w:rsidR="004508F9" w:rsidRPr="00817B57" w:rsidRDefault="004508F9" w:rsidP="00AA07F5">
            <w:pPr>
              <w:keepNext/>
              <w:rPr>
                <w:rFonts w:asciiTheme="minorHAnsi" w:hAnsiTheme="minorHAnsi"/>
                <w:sz w:val="22"/>
                <w:szCs w:val="22"/>
                <w:lang w:val="fr-CH"/>
              </w:rPr>
            </w:pPr>
            <w:r w:rsidRPr="00817B57">
              <w:rPr>
                <w:rFonts w:asciiTheme="minorHAnsi" w:hAnsiTheme="minorHAnsi"/>
                <w:sz w:val="22"/>
                <w:szCs w:val="22"/>
                <w:lang w:val="fr-CH"/>
              </w:rPr>
              <w:t>5.1</w:t>
            </w:r>
          </w:p>
        </w:tc>
        <w:tc>
          <w:tcPr>
            <w:tcW w:w="4437" w:type="dxa"/>
          </w:tcPr>
          <w:p w:rsidR="004508F9" w:rsidRPr="00817B57" w:rsidRDefault="00275416" w:rsidP="000B7E88">
            <w:pPr>
              <w:rPr>
                <w:rFonts w:asciiTheme="minorHAnsi" w:hAnsiTheme="minorHAnsi"/>
                <w:sz w:val="22"/>
                <w:szCs w:val="22"/>
              </w:rPr>
            </w:pPr>
            <w:r w:rsidRPr="00817B57">
              <w:rPr>
                <w:rFonts w:asciiTheme="minorHAnsi" w:hAnsiTheme="minorHAnsi"/>
                <w:sz w:val="22"/>
                <w:szCs w:val="22"/>
                <w:lang w:val="fr-CH"/>
              </w:rPr>
              <w:t>La direction de l</w:t>
            </w:r>
            <w:r w:rsidR="000B7E88" w:rsidRPr="00817B57">
              <w:rPr>
                <w:rFonts w:asciiTheme="minorHAnsi" w:hAnsiTheme="minorHAnsi"/>
                <w:sz w:val="22"/>
                <w:szCs w:val="22"/>
                <w:lang w:val="fr-CH"/>
              </w:rPr>
              <w:t>'</w:t>
            </w:r>
            <w:r w:rsidRPr="00817B57">
              <w:rPr>
                <w:rFonts w:asciiTheme="minorHAnsi" w:hAnsiTheme="minorHAnsi"/>
                <w:sz w:val="22"/>
                <w:szCs w:val="22"/>
                <w:lang w:val="fr-CH"/>
              </w:rPr>
              <w:t>UIT devrait envisager d</w:t>
            </w:r>
            <w:r w:rsidR="000B7E88" w:rsidRPr="00817B57">
              <w:rPr>
                <w:rFonts w:asciiTheme="minorHAnsi" w:hAnsiTheme="minorHAnsi"/>
                <w:sz w:val="22"/>
                <w:szCs w:val="22"/>
                <w:lang w:val="fr-CH"/>
              </w:rPr>
              <w:t>'</w:t>
            </w:r>
            <w:r w:rsidRPr="00817B57">
              <w:rPr>
                <w:rFonts w:asciiTheme="minorHAnsi" w:hAnsiTheme="minorHAnsi"/>
                <w:sz w:val="22"/>
                <w:szCs w:val="22"/>
                <w:lang w:val="fr-CH"/>
              </w:rPr>
              <w:t>évaluer les ressources dont l</w:t>
            </w:r>
            <w:r w:rsidR="000B7E88" w:rsidRPr="00817B57">
              <w:rPr>
                <w:rFonts w:asciiTheme="minorHAnsi" w:hAnsiTheme="minorHAnsi"/>
                <w:sz w:val="22"/>
                <w:szCs w:val="22"/>
                <w:lang w:val="fr-CH"/>
              </w:rPr>
              <w:t>'</w:t>
            </w:r>
            <w:r w:rsidRPr="00817B57">
              <w:rPr>
                <w:rFonts w:asciiTheme="minorHAnsi" w:hAnsiTheme="minorHAnsi"/>
                <w:sz w:val="22"/>
                <w:szCs w:val="22"/>
                <w:lang w:val="fr-CH"/>
              </w:rPr>
              <w:t>Unité de l</w:t>
            </w:r>
            <w:r w:rsidR="000B7E88" w:rsidRPr="00817B57">
              <w:rPr>
                <w:rFonts w:asciiTheme="minorHAnsi" w:hAnsiTheme="minorHAnsi"/>
                <w:sz w:val="22"/>
                <w:szCs w:val="22"/>
                <w:lang w:val="fr-CH"/>
              </w:rPr>
              <w:t>'</w:t>
            </w:r>
            <w:r w:rsidRPr="00817B57">
              <w:rPr>
                <w:rFonts w:asciiTheme="minorHAnsi" w:hAnsiTheme="minorHAnsi"/>
                <w:sz w:val="22"/>
                <w:szCs w:val="22"/>
                <w:lang w:val="fr-CH"/>
              </w:rPr>
              <w:t>audit interne a besoin, compte tenu de son mandat, pour fournir au Secrétaire général une assurance raisonnable quant à l</w:t>
            </w:r>
            <w:r w:rsidR="000B7E88" w:rsidRPr="00817B57">
              <w:rPr>
                <w:rFonts w:asciiTheme="minorHAnsi" w:hAnsiTheme="minorHAnsi"/>
                <w:sz w:val="22"/>
                <w:szCs w:val="22"/>
                <w:lang w:val="fr-CH"/>
              </w:rPr>
              <w:t>'</w:t>
            </w:r>
            <w:r w:rsidRPr="00817B57">
              <w:rPr>
                <w:rFonts w:asciiTheme="minorHAnsi" w:hAnsiTheme="minorHAnsi"/>
                <w:sz w:val="22"/>
                <w:szCs w:val="22"/>
                <w:lang w:val="fr-CH"/>
              </w:rPr>
              <w:t>efficacité des processus de gestion des risques, de contrôle et de gouvernance de l</w:t>
            </w:r>
            <w:r w:rsidR="000B7E88" w:rsidRPr="00817B57">
              <w:rPr>
                <w:rFonts w:asciiTheme="minorHAnsi" w:hAnsiTheme="minorHAnsi"/>
                <w:sz w:val="22"/>
                <w:szCs w:val="22"/>
                <w:lang w:val="fr-CH"/>
              </w:rPr>
              <w:t>'</w:t>
            </w:r>
            <w:r w:rsidRPr="00817B57">
              <w:rPr>
                <w:rFonts w:asciiTheme="minorHAnsi" w:hAnsiTheme="minorHAnsi"/>
                <w:sz w:val="22"/>
                <w:szCs w:val="22"/>
                <w:lang w:val="fr-CH"/>
              </w:rPr>
              <w:t>organisation et pour fournir des services de conseil.</w:t>
            </w:r>
          </w:p>
        </w:tc>
        <w:tc>
          <w:tcPr>
            <w:tcW w:w="3083" w:type="dxa"/>
          </w:tcPr>
          <w:p w:rsidR="004508F9" w:rsidRPr="00817B57" w:rsidRDefault="0062609C" w:rsidP="0062609C">
            <w:pPr>
              <w:rPr>
                <w:rFonts w:asciiTheme="minorHAnsi" w:hAnsiTheme="minorHAnsi"/>
                <w:sz w:val="22"/>
                <w:szCs w:val="22"/>
                <w:lang w:val="fr-CH"/>
              </w:rPr>
            </w:pPr>
            <w:r w:rsidRPr="00817B57">
              <w:rPr>
                <w:rFonts w:asciiTheme="minorHAnsi" w:hAnsiTheme="minorHAnsi"/>
                <w:b/>
                <w:bCs/>
                <w:sz w:val="22"/>
                <w:szCs w:val="22"/>
                <w:lang w:val="fr-CH"/>
              </w:rPr>
              <w:t>Commentaire</w:t>
            </w:r>
            <w:r w:rsidR="00275416" w:rsidRPr="00817B57">
              <w:rPr>
                <w:rFonts w:asciiTheme="minorHAnsi" w:hAnsiTheme="minorHAnsi"/>
                <w:b/>
                <w:bCs/>
                <w:sz w:val="22"/>
                <w:szCs w:val="22"/>
                <w:lang w:val="fr-CH"/>
              </w:rPr>
              <w:t xml:space="preserve"> du Secrétaire général</w:t>
            </w:r>
            <w:r w:rsidR="002851CA" w:rsidRPr="00817B57">
              <w:rPr>
                <w:rFonts w:asciiTheme="minorHAnsi" w:hAnsiTheme="minorHAnsi"/>
                <w:b/>
                <w:bCs/>
                <w:sz w:val="22"/>
                <w:szCs w:val="22"/>
                <w:lang w:val="fr-CH"/>
              </w:rPr>
              <w:t>:</w:t>
            </w:r>
            <w:r w:rsidR="00275416" w:rsidRPr="00817B57">
              <w:rPr>
                <w:rFonts w:asciiTheme="minorHAnsi" w:hAnsiTheme="minorHAnsi"/>
                <w:sz w:val="22"/>
                <w:szCs w:val="22"/>
                <w:lang w:val="fr-CH"/>
              </w:rPr>
              <w:t xml:space="preserve"> </w:t>
            </w:r>
            <w:r w:rsidRPr="00817B57">
              <w:rPr>
                <w:rFonts w:asciiTheme="minorHAnsi" w:hAnsiTheme="minorHAnsi"/>
                <w:sz w:val="22"/>
                <w:szCs w:val="22"/>
                <w:lang w:val="fr-CH"/>
              </w:rPr>
              <w:t>Cette</w:t>
            </w:r>
            <w:r w:rsidR="00275416" w:rsidRPr="00817B57">
              <w:rPr>
                <w:rFonts w:asciiTheme="minorHAnsi" w:hAnsiTheme="minorHAnsi"/>
                <w:sz w:val="22"/>
                <w:szCs w:val="22"/>
                <w:lang w:val="fr-CH"/>
              </w:rPr>
              <w:t xml:space="preserve"> évaluation sera effectuée régulièrement.</w:t>
            </w:r>
          </w:p>
        </w:tc>
        <w:tc>
          <w:tcPr>
            <w:tcW w:w="1696" w:type="dxa"/>
          </w:tcPr>
          <w:p w:rsidR="004508F9" w:rsidRPr="00817B57" w:rsidRDefault="004508F9" w:rsidP="000B7E88">
            <w:pPr>
              <w:rPr>
                <w:rFonts w:asciiTheme="minorHAnsi" w:hAnsiTheme="minorHAnsi"/>
                <w:sz w:val="22"/>
                <w:szCs w:val="22"/>
                <w:lang w:val="fr-CH"/>
              </w:rPr>
            </w:pPr>
            <w:r w:rsidRPr="00817B57">
              <w:rPr>
                <w:rFonts w:asciiTheme="minorHAnsi" w:hAnsiTheme="minorHAnsi"/>
                <w:sz w:val="22"/>
                <w:szCs w:val="22"/>
                <w:lang w:val="fr-CH"/>
              </w:rPr>
              <w:t>Mise en oeuvre</w:t>
            </w:r>
          </w:p>
        </w:tc>
        <w:tc>
          <w:tcPr>
            <w:tcW w:w="4124" w:type="dxa"/>
          </w:tcPr>
          <w:p w:rsidR="004508F9" w:rsidRPr="00817B57" w:rsidRDefault="00275416" w:rsidP="000B7E88">
            <w:pPr>
              <w:rPr>
                <w:rFonts w:asciiTheme="minorHAnsi" w:hAnsiTheme="minorHAnsi"/>
                <w:sz w:val="22"/>
                <w:szCs w:val="22"/>
                <w:lang w:val="fr-CH"/>
              </w:rPr>
            </w:pPr>
            <w:r w:rsidRPr="00817B57">
              <w:rPr>
                <w:rFonts w:asciiTheme="minorHAnsi" w:hAnsiTheme="minorHAnsi"/>
                <w:sz w:val="22"/>
                <w:szCs w:val="22"/>
                <w:lang w:val="fr-CH"/>
              </w:rPr>
              <w:t>Cette pratique est systématiquement appliquée pour élaborer le budget.</w:t>
            </w:r>
          </w:p>
        </w:tc>
      </w:tr>
    </w:tbl>
    <w:p w:rsidR="00CD0FC1" w:rsidRDefault="00CD0FC1" w:rsidP="00CD0FC1"/>
    <w:p w:rsidR="00CD0FC1" w:rsidRPr="00DA448B" w:rsidRDefault="00CD0FC1" w:rsidP="00CD0FC1">
      <w:pPr>
        <w:jc w:val="center"/>
        <w:rPr>
          <w:lang w:val="fr-CH"/>
        </w:rPr>
      </w:pPr>
      <w:r>
        <w:t>______________</w:t>
      </w:r>
    </w:p>
    <w:sectPr w:rsidR="00CD0FC1" w:rsidRPr="00DA448B" w:rsidSect="00C6530B">
      <w:headerReference w:type="first" r:id="rId15"/>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87F" w:rsidRDefault="003F287F">
      <w:r>
        <w:separator/>
      </w:r>
    </w:p>
  </w:endnote>
  <w:endnote w:type="continuationSeparator" w:id="0">
    <w:p w:rsidR="003F287F" w:rsidRDefault="003F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7F" w:rsidRDefault="000366F1">
    <w:pPr>
      <w:pStyle w:val="Footer"/>
    </w:pPr>
    <w:r>
      <w:fldChar w:fldCharType="begin"/>
    </w:r>
    <w:r>
      <w:instrText xml:space="preserve"> FILENAME \p \* MERGEFORMAT </w:instrText>
    </w:r>
    <w:r>
      <w:fldChar w:fldCharType="separate"/>
    </w:r>
    <w:r w:rsidR="002E3AAB">
      <w:t>P:\FRA\SG\CONSEIL\C16\000\044F.docx</w:t>
    </w:r>
    <w:r>
      <w:fldChar w:fldCharType="end"/>
    </w:r>
    <w:r w:rsidR="003F287F">
      <w:tab/>
    </w:r>
    <w:r w:rsidR="003F287F">
      <w:fldChar w:fldCharType="begin"/>
    </w:r>
    <w:r w:rsidR="003F287F">
      <w:instrText xml:space="preserve"> savedate \@ dd.MM.yy </w:instrText>
    </w:r>
    <w:r w:rsidR="003F287F">
      <w:fldChar w:fldCharType="separate"/>
    </w:r>
    <w:r w:rsidR="00932A42">
      <w:t>10.05.16</w:t>
    </w:r>
    <w:r w:rsidR="003F287F">
      <w:fldChar w:fldCharType="end"/>
    </w:r>
    <w:r w:rsidR="003F287F">
      <w:tab/>
    </w:r>
    <w:r w:rsidR="003F287F">
      <w:fldChar w:fldCharType="begin"/>
    </w:r>
    <w:r w:rsidR="003F287F">
      <w:instrText xml:space="preserve"> printdate \@ dd.MM.yy </w:instrText>
    </w:r>
    <w:r w:rsidR="003F287F">
      <w:fldChar w:fldCharType="separate"/>
    </w:r>
    <w:r w:rsidR="002E3AAB">
      <w:t>10.05.16</w:t>
    </w:r>
    <w:r w:rsidR="003F287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7F" w:rsidRDefault="000366F1">
    <w:pPr>
      <w:pStyle w:val="Footer"/>
    </w:pPr>
    <w:r>
      <w:fldChar w:fldCharType="begin"/>
    </w:r>
    <w:r>
      <w:instrText xml:space="preserve"> FILENAME \p  \* MERGEFORMAT </w:instrText>
    </w:r>
    <w:r>
      <w:fldChar w:fldCharType="separate"/>
    </w:r>
    <w:r w:rsidR="002E3AAB">
      <w:t>P:\FRA\SG\CONSEIL\C16\000\044F.docx</w:t>
    </w:r>
    <w:r>
      <w:fldChar w:fldCharType="end"/>
    </w:r>
    <w:r w:rsidR="003F287F">
      <w:t xml:space="preserve"> (386666)</w:t>
    </w:r>
    <w:r w:rsidR="003F287F">
      <w:tab/>
    </w:r>
    <w:r w:rsidR="003F287F">
      <w:fldChar w:fldCharType="begin"/>
    </w:r>
    <w:r w:rsidR="003F287F">
      <w:instrText xml:space="preserve"> SAVEDATE \@ DD.MM.YY </w:instrText>
    </w:r>
    <w:r w:rsidR="003F287F">
      <w:fldChar w:fldCharType="separate"/>
    </w:r>
    <w:r w:rsidR="00932A42">
      <w:t>10.05.16</w:t>
    </w:r>
    <w:r w:rsidR="003F287F">
      <w:fldChar w:fldCharType="end"/>
    </w:r>
    <w:r w:rsidR="003F287F">
      <w:tab/>
    </w:r>
    <w:r w:rsidR="003F287F">
      <w:fldChar w:fldCharType="begin"/>
    </w:r>
    <w:r w:rsidR="003F287F">
      <w:instrText xml:space="preserve"> PRINTDATE \@ DD.MM.YY </w:instrText>
    </w:r>
    <w:r w:rsidR="003F287F">
      <w:fldChar w:fldCharType="separate"/>
    </w:r>
    <w:r w:rsidR="002E3AAB">
      <w:t>10.05.16</w:t>
    </w:r>
    <w:r w:rsidR="003F287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7F" w:rsidRDefault="000366F1" w:rsidP="002872A3">
    <w:pPr>
      <w:pStyle w:val="Footer"/>
    </w:pPr>
    <w:r>
      <w:fldChar w:fldCharType="begin"/>
    </w:r>
    <w:r>
      <w:instrText xml:space="preserve"> FILENAME \p  \* MERGEFORMAT </w:instrText>
    </w:r>
    <w:r>
      <w:fldChar w:fldCharType="separate"/>
    </w:r>
    <w:r w:rsidR="002E3AAB">
      <w:t>P:\FRA\SG\CONSEIL\C16\000\044F.docx</w:t>
    </w:r>
    <w:r>
      <w:fldChar w:fldCharType="end"/>
    </w:r>
    <w:r w:rsidR="003F287F">
      <w:t xml:space="preserve"> (386666)</w:t>
    </w:r>
    <w:r w:rsidR="003F287F">
      <w:tab/>
    </w:r>
    <w:r w:rsidR="003F287F">
      <w:fldChar w:fldCharType="begin"/>
    </w:r>
    <w:r w:rsidR="003F287F">
      <w:instrText xml:space="preserve"> SAVEDATE \@ DD.MM.YY </w:instrText>
    </w:r>
    <w:r w:rsidR="003F287F">
      <w:fldChar w:fldCharType="separate"/>
    </w:r>
    <w:r w:rsidR="00932A42">
      <w:t>10.05.16</w:t>
    </w:r>
    <w:r w:rsidR="003F287F">
      <w:fldChar w:fldCharType="end"/>
    </w:r>
    <w:r w:rsidR="003F287F">
      <w:tab/>
    </w:r>
    <w:r w:rsidR="003F287F">
      <w:fldChar w:fldCharType="begin"/>
    </w:r>
    <w:r w:rsidR="003F287F">
      <w:instrText xml:space="preserve"> PRINTDATE \@ DD.MM.YY </w:instrText>
    </w:r>
    <w:r w:rsidR="003F287F">
      <w:fldChar w:fldCharType="separate"/>
    </w:r>
    <w:r w:rsidR="002E3AAB">
      <w:t>10.05.16</w:t>
    </w:r>
    <w:r w:rsidR="003F287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87F" w:rsidRDefault="003F287F">
      <w:r>
        <w:t>____________________</w:t>
      </w:r>
    </w:p>
  </w:footnote>
  <w:footnote w:type="continuationSeparator" w:id="0">
    <w:p w:rsidR="003F287F" w:rsidRDefault="003F287F">
      <w:r>
        <w:continuationSeparator/>
      </w:r>
    </w:p>
  </w:footnote>
  <w:footnote w:id="1">
    <w:p w:rsidR="003F287F" w:rsidRPr="00E32106" w:rsidRDefault="003F287F" w:rsidP="00A51350">
      <w:pPr>
        <w:pStyle w:val="FootnoteText"/>
        <w:rPr>
          <w:sz w:val="20"/>
          <w:szCs w:val="16"/>
          <w:lang w:val="fr-CH"/>
        </w:rPr>
      </w:pPr>
      <w:r>
        <w:rPr>
          <w:rStyle w:val="FootnoteReference"/>
        </w:rPr>
        <w:footnoteRef/>
      </w:r>
      <w:r>
        <w:tab/>
      </w:r>
      <w:r w:rsidRPr="00F30796">
        <w:t>Ordre de service N° 13/09, adopté par le Secrétaire général le 27 juin 2013.</w:t>
      </w:r>
    </w:p>
  </w:footnote>
  <w:footnote w:id="2">
    <w:p w:rsidR="003F287F" w:rsidRPr="00515B1A" w:rsidRDefault="003F287F" w:rsidP="006A096F">
      <w:pPr>
        <w:pStyle w:val="FootnoteText"/>
        <w:rPr>
          <w:sz w:val="20"/>
          <w:lang w:val="fr-CH"/>
        </w:rPr>
      </w:pPr>
      <w:r w:rsidRPr="00F17B62">
        <w:rPr>
          <w:rStyle w:val="FootnoteReference"/>
          <w:szCs w:val="16"/>
        </w:rPr>
        <w:footnoteRef/>
      </w:r>
      <w:r w:rsidRPr="00515B1A">
        <w:rPr>
          <w:sz w:val="20"/>
        </w:rPr>
        <w:tab/>
      </w:r>
      <w:r w:rsidRPr="00F30796">
        <w:t>Institut des auditeurs internes (</w:t>
      </w:r>
      <w:hyperlink r:id="rId1" w:history="1">
        <w:r w:rsidRPr="00ED7B76">
          <w:rPr>
            <w:rStyle w:val="Hyperlink"/>
          </w:rPr>
          <w:t>www.theiia.org</w:t>
        </w:r>
      </w:hyperlink>
      <w:r w:rsidRPr="00F30796">
        <w:t>).</w:t>
      </w:r>
    </w:p>
  </w:footnote>
  <w:footnote w:id="3">
    <w:p w:rsidR="003F287F" w:rsidRPr="00F2463D" w:rsidRDefault="003F287F" w:rsidP="006A096F">
      <w:pPr>
        <w:pStyle w:val="FootnoteText"/>
        <w:rPr>
          <w:lang w:val="fr-CH"/>
        </w:rPr>
      </w:pPr>
      <w:r>
        <w:rPr>
          <w:rStyle w:val="FootnoteReference"/>
        </w:rPr>
        <w:footnoteRef/>
      </w:r>
      <w:r>
        <w:tab/>
      </w:r>
      <w:r w:rsidRPr="00F30796">
        <w:t>Ordre de service N° 13/09, adopté par le Secrétaire général le 27 juin 2013.</w:t>
      </w:r>
    </w:p>
  </w:footnote>
  <w:footnote w:id="4">
    <w:p w:rsidR="003F287F" w:rsidRPr="00CD4D83" w:rsidRDefault="003F287F" w:rsidP="002851CA">
      <w:pPr>
        <w:pStyle w:val="FootnoteText"/>
        <w:rPr>
          <w:lang w:val="fr-CH"/>
        </w:rPr>
      </w:pPr>
      <w:r>
        <w:rPr>
          <w:rStyle w:val="FootnoteReference"/>
        </w:rPr>
        <w:footnoteRef/>
      </w:r>
      <w:r w:rsidR="00477F15">
        <w:tab/>
      </w:r>
      <w:r w:rsidRPr="00C63470">
        <w:t xml:space="preserve">On a constaté des insuffisances dans la conception et/ou le fonctionnement des contrôles, qui pourraient nuire à la réalisation des objectifs du système, </w:t>
      </w:r>
      <w:r>
        <w:t>de la</w:t>
      </w:r>
      <w:r w:rsidRPr="00C63470">
        <w:t xml:space="preserve"> fonction ou </w:t>
      </w:r>
      <w:r>
        <w:t>du</w:t>
      </w:r>
      <w:r w:rsidRPr="00C63470">
        <w:t xml:space="preserve"> processus. Toutefois, les conséquences de ces insuffisances ne seraient pas importantes ou bien auraient très peu de chance de se concrétiser.</w:t>
      </w:r>
    </w:p>
  </w:footnote>
  <w:footnote w:id="5">
    <w:p w:rsidR="003F287F" w:rsidRPr="007F1F86" w:rsidRDefault="003F287F" w:rsidP="009C3ED3">
      <w:pPr>
        <w:pStyle w:val="FootnoteText"/>
        <w:rPr>
          <w:lang w:val="fr-CH"/>
        </w:rPr>
      </w:pPr>
      <w:r>
        <w:rPr>
          <w:rStyle w:val="FootnoteReference"/>
        </w:rPr>
        <w:footnoteRef/>
      </w:r>
      <w:r w:rsidR="00477F15">
        <w:tab/>
      </w:r>
      <w:r>
        <w:t>L'ordre de service est un acte administratif à caractère réglementaire qui fait partie intégrante de l'ordre juridique interne de l'organisation et fait naître des droits ou des obligations pour tout ou partie des fonctionnaires. Ainsi, il peut, en particulier, amender ou compléter les Règlements du personnel, compléter les Statuts du personnel, ainsi que le Règlement financier, instaurer des procédures administratives ou opérationnelles, ou autoriser ou prohiber une action ou un comportement.</w:t>
      </w:r>
    </w:p>
  </w:footnote>
  <w:footnote w:id="6">
    <w:p w:rsidR="003F287F" w:rsidRPr="004236AA" w:rsidRDefault="003F287F" w:rsidP="00D74719">
      <w:pPr>
        <w:pStyle w:val="FootnoteText"/>
        <w:spacing w:before="60"/>
      </w:pPr>
      <w:r>
        <w:rPr>
          <w:rStyle w:val="FootnoteReference"/>
        </w:rPr>
        <w:footnoteRef/>
      </w:r>
      <w:r w:rsidRPr="00566540">
        <w:rPr>
          <w:lang w:val="fr-CH"/>
        </w:rPr>
        <w:t xml:space="preserve"> </w:t>
      </w:r>
      <w:r w:rsidRPr="00566540">
        <w:rPr>
          <w:lang w:val="fr-CH"/>
        </w:rPr>
        <w:tab/>
      </w:r>
      <w:r w:rsidRPr="004236AA">
        <w:t xml:space="preserve">Institut des auditeurs internes, </w:t>
      </w:r>
      <w:hyperlink r:id="rId2" w:history="1">
        <w:r w:rsidRPr="004236AA">
          <w:rPr>
            <w:rStyle w:val="Hyperlink"/>
          </w:rPr>
          <w:t>www.theiia.org</w:t>
        </w:r>
      </w:hyperlink>
      <w:r w:rsidRPr="004236A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7F" w:rsidRDefault="003F287F">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F287F" w:rsidRDefault="003F287F">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7F" w:rsidRDefault="003F287F" w:rsidP="00475FB3">
    <w:pPr>
      <w:pStyle w:val="Header"/>
    </w:pPr>
    <w:r>
      <w:fldChar w:fldCharType="begin"/>
    </w:r>
    <w:r>
      <w:instrText>PAGE</w:instrText>
    </w:r>
    <w:r>
      <w:fldChar w:fldCharType="separate"/>
    </w:r>
    <w:r w:rsidR="000366F1">
      <w:rPr>
        <w:noProof/>
      </w:rPr>
      <w:t>2</w:t>
    </w:r>
    <w:r>
      <w:rPr>
        <w:noProof/>
      </w:rPr>
      <w:fldChar w:fldCharType="end"/>
    </w:r>
  </w:p>
  <w:p w:rsidR="003F287F" w:rsidRDefault="003F287F" w:rsidP="00EF0E08">
    <w:pPr>
      <w:pStyle w:val="Header"/>
    </w:pPr>
    <w:r>
      <w:t>C16/44-F</w:t>
    </w:r>
  </w:p>
  <w:p w:rsidR="003F287F" w:rsidRDefault="003F287F" w:rsidP="00EF0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AB" w:rsidRDefault="002E3AAB" w:rsidP="002872A3">
    <w:pPr>
      <w:pStyle w:val="Header"/>
    </w:pPr>
    <w:r>
      <w:fldChar w:fldCharType="begin"/>
    </w:r>
    <w:r>
      <w:instrText>PAGE</w:instrText>
    </w:r>
    <w:r>
      <w:fldChar w:fldCharType="separate"/>
    </w:r>
    <w:r w:rsidR="000366F1">
      <w:rPr>
        <w:noProof/>
      </w:rPr>
      <w:t>10</w:t>
    </w:r>
    <w:r>
      <w:rPr>
        <w:noProof/>
      </w:rPr>
      <w:fldChar w:fldCharType="end"/>
    </w:r>
  </w:p>
  <w:p w:rsidR="002E3AAB" w:rsidRDefault="002E3AAB" w:rsidP="002872A3">
    <w:pPr>
      <w:pStyle w:val="Header"/>
    </w:pPr>
    <w:r>
      <w:t>C16/44-F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35B0"/>
    <w:multiLevelType w:val="hybridMultilevel"/>
    <w:tmpl w:val="DA3493C6"/>
    <w:lvl w:ilvl="0" w:tplc="93E42AFE">
      <w:start w:val="1"/>
      <w:numFmt w:val="lowerRoman"/>
      <w:lvlText w:val="(%1)"/>
      <w:lvlJc w:val="left"/>
      <w:pPr>
        <w:ind w:left="720" w:hanging="360"/>
      </w:pPr>
      <w:rPr>
        <w:rFonts w:hint="default"/>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8FA6849"/>
    <w:multiLevelType w:val="hybridMultilevel"/>
    <w:tmpl w:val="2C9A9938"/>
    <w:lvl w:ilvl="0" w:tplc="93E42AFE">
      <w:start w:val="1"/>
      <w:numFmt w:val="lowerRoman"/>
      <w:lvlText w:val="(%1)"/>
      <w:lvlJc w:val="left"/>
      <w:pPr>
        <w:ind w:left="720" w:hanging="360"/>
      </w:pPr>
      <w:rPr>
        <w:rFonts w:hint="default"/>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2A7114C"/>
    <w:multiLevelType w:val="hybridMultilevel"/>
    <w:tmpl w:val="6560B148"/>
    <w:lvl w:ilvl="0" w:tplc="93E42AFE">
      <w:start w:val="1"/>
      <w:numFmt w:val="lowerRoman"/>
      <w:lvlText w:val="(%1)"/>
      <w:lvlJc w:val="left"/>
      <w:pPr>
        <w:ind w:left="720" w:hanging="360"/>
      </w:pPr>
      <w:rPr>
        <w:rFonts w:hint="default"/>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6CAD0A5E"/>
    <w:multiLevelType w:val="hybridMultilevel"/>
    <w:tmpl w:val="C114A37C"/>
    <w:lvl w:ilvl="0" w:tplc="93E42AFE">
      <w:start w:val="1"/>
      <w:numFmt w:val="lowerRoman"/>
      <w:lvlText w:val="(%1)"/>
      <w:lvlJc w:val="left"/>
      <w:pPr>
        <w:ind w:left="720" w:hanging="360"/>
      </w:pPr>
      <w:rPr>
        <w:rFonts w:hint="default"/>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E8D8D1-6694-4583-A729-0317C1C6533F}"/>
    <w:docVar w:name="dgnword-eventsink" w:val="275966704"/>
  </w:docVars>
  <w:rsids>
    <w:rsidRoot w:val="008E3CDB"/>
    <w:rsid w:val="000366F1"/>
    <w:rsid w:val="000370F6"/>
    <w:rsid w:val="00070410"/>
    <w:rsid w:val="000A5DF3"/>
    <w:rsid w:val="000B7E88"/>
    <w:rsid w:val="000C7E74"/>
    <w:rsid w:val="000D0D0A"/>
    <w:rsid w:val="000D2AC7"/>
    <w:rsid w:val="000E75AA"/>
    <w:rsid w:val="00103163"/>
    <w:rsid w:val="00115D93"/>
    <w:rsid w:val="001247A8"/>
    <w:rsid w:val="001378C0"/>
    <w:rsid w:val="00157774"/>
    <w:rsid w:val="00186F12"/>
    <w:rsid w:val="001A3287"/>
    <w:rsid w:val="001D3D2C"/>
    <w:rsid w:val="001D4C31"/>
    <w:rsid w:val="001E335A"/>
    <w:rsid w:val="001E4D21"/>
    <w:rsid w:val="001F6172"/>
    <w:rsid w:val="00207CD1"/>
    <w:rsid w:val="00210244"/>
    <w:rsid w:val="00220801"/>
    <w:rsid w:val="00231E4D"/>
    <w:rsid w:val="002477A2"/>
    <w:rsid w:val="00263A51"/>
    <w:rsid w:val="00275416"/>
    <w:rsid w:val="00275C5A"/>
    <w:rsid w:val="00276FD5"/>
    <w:rsid w:val="00284AA3"/>
    <w:rsid w:val="002851CA"/>
    <w:rsid w:val="002872A3"/>
    <w:rsid w:val="002A5D44"/>
    <w:rsid w:val="002E3AAB"/>
    <w:rsid w:val="002F1B76"/>
    <w:rsid w:val="003111C2"/>
    <w:rsid w:val="003318E5"/>
    <w:rsid w:val="00345D7D"/>
    <w:rsid w:val="00355FF5"/>
    <w:rsid w:val="00357686"/>
    <w:rsid w:val="00361350"/>
    <w:rsid w:val="003672BA"/>
    <w:rsid w:val="00370124"/>
    <w:rsid w:val="00374359"/>
    <w:rsid w:val="00395FA4"/>
    <w:rsid w:val="003B5235"/>
    <w:rsid w:val="003C1413"/>
    <w:rsid w:val="003C4EBE"/>
    <w:rsid w:val="003C672C"/>
    <w:rsid w:val="003F287F"/>
    <w:rsid w:val="004020D6"/>
    <w:rsid w:val="004038CB"/>
    <w:rsid w:val="0040546F"/>
    <w:rsid w:val="00412C97"/>
    <w:rsid w:val="0042404A"/>
    <w:rsid w:val="004340E8"/>
    <w:rsid w:val="0044618F"/>
    <w:rsid w:val="004508F9"/>
    <w:rsid w:val="0046769A"/>
    <w:rsid w:val="00475FB3"/>
    <w:rsid w:val="00477F15"/>
    <w:rsid w:val="00486A00"/>
    <w:rsid w:val="004C37A9"/>
    <w:rsid w:val="004C401F"/>
    <w:rsid w:val="004D6436"/>
    <w:rsid w:val="004F017A"/>
    <w:rsid w:val="004F259E"/>
    <w:rsid w:val="00500527"/>
    <w:rsid w:val="00501B4C"/>
    <w:rsid w:val="00511F1D"/>
    <w:rsid w:val="00521FF7"/>
    <w:rsid w:val="0052340D"/>
    <w:rsid w:val="00526789"/>
    <w:rsid w:val="00540615"/>
    <w:rsid w:val="00540A6D"/>
    <w:rsid w:val="00550462"/>
    <w:rsid w:val="005537F5"/>
    <w:rsid w:val="00571EEA"/>
    <w:rsid w:val="00575417"/>
    <w:rsid w:val="005768E1"/>
    <w:rsid w:val="0058641B"/>
    <w:rsid w:val="005C36F7"/>
    <w:rsid w:val="005C3890"/>
    <w:rsid w:val="005F7BFE"/>
    <w:rsid w:val="00600017"/>
    <w:rsid w:val="00611CD3"/>
    <w:rsid w:val="006226DE"/>
    <w:rsid w:val="0062609C"/>
    <w:rsid w:val="006643AB"/>
    <w:rsid w:val="00674914"/>
    <w:rsid w:val="006A096F"/>
    <w:rsid w:val="006A249C"/>
    <w:rsid w:val="006A3070"/>
    <w:rsid w:val="006B6256"/>
    <w:rsid w:val="006E500C"/>
    <w:rsid w:val="007210CD"/>
    <w:rsid w:val="00732045"/>
    <w:rsid w:val="007369DB"/>
    <w:rsid w:val="0076028C"/>
    <w:rsid w:val="007956C2"/>
    <w:rsid w:val="007A187E"/>
    <w:rsid w:val="007A20BE"/>
    <w:rsid w:val="007B3624"/>
    <w:rsid w:val="007B5B31"/>
    <w:rsid w:val="007C72C2"/>
    <w:rsid w:val="007D4436"/>
    <w:rsid w:val="007F1F86"/>
    <w:rsid w:val="007F257A"/>
    <w:rsid w:val="007F3665"/>
    <w:rsid w:val="00800037"/>
    <w:rsid w:val="00801D9F"/>
    <w:rsid w:val="00817A3C"/>
    <w:rsid w:val="00817B57"/>
    <w:rsid w:val="00820303"/>
    <w:rsid w:val="00831D5E"/>
    <w:rsid w:val="00861273"/>
    <w:rsid w:val="00861D73"/>
    <w:rsid w:val="00894151"/>
    <w:rsid w:val="008A4E87"/>
    <w:rsid w:val="008D76E6"/>
    <w:rsid w:val="008E3CDB"/>
    <w:rsid w:val="00903367"/>
    <w:rsid w:val="00910BA7"/>
    <w:rsid w:val="0091553A"/>
    <w:rsid w:val="009212EA"/>
    <w:rsid w:val="0092392D"/>
    <w:rsid w:val="009272F9"/>
    <w:rsid w:val="00932A42"/>
    <w:rsid w:val="009331FE"/>
    <w:rsid w:val="0094248E"/>
    <w:rsid w:val="009C2EC0"/>
    <w:rsid w:val="009C307F"/>
    <w:rsid w:val="009C3ED3"/>
    <w:rsid w:val="009D4AC2"/>
    <w:rsid w:val="009F1AF7"/>
    <w:rsid w:val="009F36E6"/>
    <w:rsid w:val="00A2113E"/>
    <w:rsid w:val="00A23A51"/>
    <w:rsid w:val="00A24607"/>
    <w:rsid w:val="00A25CD3"/>
    <w:rsid w:val="00A51350"/>
    <w:rsid w:val="00A82767"/>
    <w:rsid w:val="00AA00E9"/>
    <w:rsid w:val="00AA07F5"/>
    <w:rsid w:val="00AA332F"/>
    <w:rsid w:val="00AA7BBB"/>
    <w:rsid w:val="00AB408A"/>
    <w:rsid w:val="00AB64A8"/>
    <w:rsid w:val="00AC0266"/>
    <w:rsid w:val="00AD24EC"/>
    <w:rsid w:val="00AE3E55"/>
    <w:rsid w:val="00B05ED0"/>
    <w:rsid w:val="00B11839"/>
    <w:rsid w:val="00B309F9"/>
    <w:rsid w:val="00B32B60"/>
    <w:rsid w:val="00B61619"/>
    <w:rsid w:val="00B75C25"/>
    <w:rsid w:val="00B84565"/>
    <w:rsid w:val="00BA4DCD"/>
    <w:rsid w:val="00BA5960"/>
    <w:rsid w:val="00BA6E9B"/>
    <w:rsid w:val="00BB4545"/>
    <w:rsid w:val="00BD5873"/>
    <w:rsid w:val="00BE5FAE"/>
    <w:rsid w:val="00C04BE3"/>
    <w:rsid w:val="00C05797"/>
    <w:rsid w:val="00C14F1C"/>
    <w:rsid w:val="00C25D29"/>
    <w:rsid w:val="00C27A7C"/>
    <w:rsid w:val="00C411CE"/>
    <w:rsid w:val="00C503B6"/>
    <w:rsid w:val="00C620F9"/>
    <w:rsid w:val="00C63470"/>
    <w:rsid w:val="00C6530B"/>
    <w:rsid w:val="00C66E09"/>
    <w:rsid w:val="00C7737F"/>
    <w:rsid w:val="00C828AF"/>
    <w:rsid w:val="00CA0812"/>
    <w:rsid w:val="00CA08ED"/>
    <w:rsid w:val="00CA60AA"/>
    <w:rsid w:val="00CB1BAD"/>
    <w:rsid w:val="00CC560A"/>
    <w:rsid w:val="00CD0FC1"/>
    <w:rsid w:val="00CD4D83"/>
    <w:rsid w:val="00CE6D23"/>
    <w:rsid w:val="00CF183B"/>
    <w:rsid w:val="00D16B72"/>
    <w:rsid w:val="00D26891"/>
    <w:rsid w:val="00D375CD"/>
    <w:rsid w:val="00D46966"/>
    <w:rsid w:val="00D54ADF"/>
    <w:rsid w:val="00D74719"/>
    <w:rsid w:val="00D74890"/>
    <w:rsid w:val="00D774D3"/>
    <w:rsid w:val="00D80160"/>
    <w:rsid w:val="00D82C84"/>
    <w:rsid w:val="00D904E8"/>
    <w:rsid w:val="00DA08C3"/>
    <w:rsid w:val="00DA448B"/>
    <w:rsid w:val="00DC22AA"/>
    <w:rsid w:val="00DC694E"/>
    <w:rsid w:val="00DD3472"/>
    <w:rsid w:val="00DF64B9"/>
    <w:rsid w:val="00DF74DD"/>
    <w:rsid w:val="00E220A5"/>
    <w:rsid w:val="00E24CA3"/>
    <w:rsid w:val="00E25AD0"/>
    <w:rsid w:val="00E67A70"/>
    <w:rsid w:val="00E77F9B"/>
    <w:rsid w:val="00E8451C"/>
    <w:rsid w:val="00E97D44"/>
    <w:rsid w:val="00EB1AC4"/>
    <w:rsid w:val="00EB6350"/>
    <w:rsid w:val="00EC220C"/>
    <w:rsid w:val="00EC3CFC"/>
    <w:rsid w:val="00ED2E92"/>
    <w:rsid w:val="00ED703F"/>
    <w:rsid w:val="00EE403F"/>
    <w:rsid w:val="00EF0E08"/>
    <w:rsid w:val="00EF3154"/>
    <w:rsid w:val="00F15B57"/>
    <w:rsid w:val="00F35F10"/>
    <w:rsid w:val="00F37BB7"/>
    <w:rsid w:val="00F427DB"/>
    <w:rsid w:val="00F72C45"/>
    <w:rsid w:val="00FA2729"/>
    <w:rsid w:val="00FA41F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6A48C37-5657-49B1-825E-CB3CFD62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732045"/>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EF0E08"/>
    <w:pPr>
      <w:ind w:left="720"/>
      <w:contextualSpacing/>
    </w:pPr>
    <w:rPr>
      <w:lang w:val="en-GB"/>
    </w:rPr>
  </w:style>
  <w:style w:type="table" w:styleId="TableGrid">
    <w:name w:val="Table Grid"/>
    <w:basedOn w:val="TableNormal"/>
    <w:rsid w:val="00EF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1,ALTS FOOTNOTE Char1,Footnote Text Char Char1 Char1,Footnote Text Char4 Char Char Char1,Footnote Text Char1 Char1 Char1 Char Char1,Footnote Text Char Char1 Char1 Char Char Char1,DNV-FT Char1"/>
    <w:link w:val="FootnoteText"/>
    <w:rsid w:val="00A51350"/>
    <w:rPr>
      <w:rFonts w:ascii="Calibri" w:hAnsi="Calibri"/>
      <w:sz w:val="24"/>
      <w:lang w:val="fr-FR" w:eastAsia="en-US"/>
    </w:rPr>
  </w:style>
  <w:style w:type="character" w:customStyle="1" w:styleId="FootnoteTextChar1">
    <w:name w:val="Footnote Text Char1"/>
    <w:aliases w:val="footnote text Char,ALTS FOOTNOTE Char,Footnote Text Char Char1 Char,Footnote Text Char4 Char Char Char,Footnote Text Char1 Char1 Char1 Char Char,Footnote Text Char Char1 Char1 Char Char Char,DNV-FT Char"/>
    <w:locked/>
    <w:rsid w:val="00D74719"/>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5-CL-INF-0011/en"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B3937-7CE7-4EDC-8714-B0A6D5A6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PF_C15.dotm</Template>
  <TotalTime>1</TotalTime>
  <Pages>17</Pages>
  <Words>5764</Words>
  <Characters>31892</Characters>
  <Application>Microsoft Office Word</Application>
  <DocSecurity>0</DocSecurity>
  <Lines>759</Lines>
  <Paragraphs>287</Paragraphs>
  <ScaleCrop>false</ScaleCrop>
  <HeadingPairs>
    <vt:vector size="2" baseType="variant">
      <vt:variant>
        <vt:lpstr>Title</vt:lpstr>
      </vt:variant>
      <vt:variant>
        <vt:i4>1</vt:i4>
      </vt:variant>
    </vt:vector>
  </HeadingPairs>
  <TitlesOfParts>
    <vt:vector size="1" baseType="lpstr">
      <vt:lpstr>DATES ET DURÉE PROPOSÉES POUR LES SESSIONS DE 2017, 2018 ET 2019 DU CONSEIL</vt:lpstr>
    </vt:vector>
  </TitlesOfParts>
  <Manager>Secrétariat général - Pool</Manager>
  <Company>Union internationale des télécommunications (UIT)</Company>
  <LinksUpToDate>false</LinksUpToDate>
  <CharactersWithSpaces>37369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l'Auditeur interne sur les activités d'audit interne</dc:title>
  <dc:subject>Conseil 2010</dc:subject>
  <dc:creator>Rapport du Secrétaire général</dc:creator>
  <cp:keywords>C2016, C16</cp:keywords>
  <dc:description/>
  <cp:lastModifiedBy>Janin</cp:lastModifiedBy>
  <cp:revision>3</cp:revision>
  <cp:lastPrinted>2016-05-10T08:44:00Z</cp:lastPrinted>
  <dcterms:created xsi:type="dcterms:W3CDTF">2016-05-10T13:27:00Z</dcterms:created>
  <dcterms:modified xsi:type="dcterms:W3CDTF">2016-05-10T13:28:00Z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C16/2-F</vt:lpwstr>
  </property>
  <property fmtid="{D5CDD505-2E9C-101B-9397-08002B2CF9AE}" pid="3" name="Docdate">
    <vt:lpwstr>14 janvier 2016</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4.4</vt:lpwstr>
  </property>
  <property fmtid="{D5CDD505-2E9C-101B-9397-08002B2CF9AE}" pid="7" name="Docauthor">
    <vt:lpwstr>Rapport du Secrétaire général</vt:lpwstr>
  </property>
</Properties>
</file>