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8C7AC9" w:rsidTr="006C7CC0">
        <w:trPr>
          <w:cantSplit/>
          <w:trHeight w:val="20"/>
        </w:trPr>
        <w:tc>
          <w:tcPr>
            <w:tcW w:w="6620" w:type="dxa"/>
          </w:tcPr>
          <w:p w:rsidR="00290728" w:rsidRPr="008C7AC9" w:rsidRDefault="00290728" w:rsidP="00DC1E02">
            <w:pPr>
              <w:spacing w:before="160"/>
              <w:jc w:val="left"/>
              <w:rPr>
                <w:b/>
                <w:bCs/>
              </w:rPr>
            </w:pPr>
            <w:r w:rsidRPr="008C7AC9">
              <w:rPr>
                <w:rFonts w:hint="cs"/>
                <w:b/>
                <w:bCs/>
                <w:w w:val="110"/>
                <w:sz w:val="32"/>
                <w:szCs w:val="44"/>
                <w:rtl/>
              </w:rPr>
              <w:t xml:space="preserve">ال‍مجلس </w:t>
            </w:r>
            <w:r w:rsidR="006C7CC0" w:rsidRPr="008C7AC9">
              <w:rPr>
                <w:b/>
                <w:bCs/>
                <w:w w:val="110"/>
                <w:sz w:val="32"/>
                <w:szCs w:val="44"/>
                <w:lang w:bidi="ar-SY"/>
              </w:rPr>
              <w:t>2016</w:t>
            </w:r>
            <w:r w:rsidR="00C002DE" w:rsidRPr="008C7AC9">
              <w:rPr>
                <w:b/>
                <w:bCs/>
                <w:w w:val="110"/>
                <w:sz w:val="32"/>
                <w:szCs w:val="44"/>
                <w:rtl/>
                <w:lang w:bidi="ar-SY"/>
              </w:rPr>
              <w:br/>
            </w:r>
            <w:r w:rsidRPr="008C7AC9">
              <w:rPr>
                <w:rFonts w:hint="cs"/>
                <w:b/>
                <w:bCs/>
                <w:sz w:val="24"/>
                <w:szCs w:val="32"/>
                <w:rtl/>
              </w:rPr>
              <w:t xml:space="preserve">جنيف، </w:t>
            </w:r>
            <w:r w:rsidR="00DC1E02" w:rsidRPr="008C7AC9">
              <w:rPr>
                <w:b/>
                <w:bCs/>
                <w:sz w:val="24"/>
                <w:szCs w:val="32"/>
                <w:lang w:bidi="ar-SY"/>
              </w:rPr>
              <w:t>25</w:t>
            </w:r>
            <w:r w:rsidR="00DC1E02" w:rsidRPr="008C7AC9">
              <w:rPr>
                <w:rFonts w:hint="cs"/>
                <w:b/>
                <w:bCs/>
                <w:sz w:val="24"/>
                <w:szCs w:val="32"/>
                <w:rtl/>
              </w:rPr>
              <w:t xml:space="preserve"> مايو - </w:t>
            </w:r>
            <w:r w:rsidR="00DC1E02" w:rsidRPr="008C7AC9">
              <w:rPr>
                <w:b/>
                <w:bCs/>
                <w:sz w:val="24"/>
                <w:szCs w:val="32"/>
              </w:rPr>
              <w:t>2</w:t>
            </w:r>
            <w:r w:rsidR="00DC1E02" w:rsidRPr="008C7AC9">
              <w:rPr>
                <w:rFonts w:hint="cs"/>
                <w:b/>
                <w:bCs/>
                <w:sz w:val="24"/>
                <w:szCs w:val="32"/>
                <w:rtl/>
              </w:rPr>
              <w:t xml:space="preserve"> يونيو </w:t>
            </w:r>
            <w:r w:rsidR="00DC1E02" w:rsidRPr="008C7AC9">
              <w:rPr>
                <w:b/>
                <w:bCs/>
                <w:sz w:val="24"/>
                <w:szCs w:val="32"/>
              </w:rPr>
              <w:t>2016</w:t>
            </w:r>
          </w:p>
        </w:tc>
        <w:tc>
          <w:tcPr>
            <w:tcW w:w="3052" w:type="dxa"/>
          </w:tcPr>
          <w:p w:rsidR="00290728" w:rsidRPr="008C7AC9" w:rsidRDefault="00A37501" w:rsidP="00290728">
            <w:pPr>
              <w:spacing w:before="0" w:line="240" w:lineRule="auto"/>
              <w:jc w:val="right"/>
              <w:rPr>
                <w:rtl/>
              </w:rPr>
            </w:pPr>
            <w:bookmarkStart w:id="0" w:name="ditulogo"/>
            <w:bookmarkEnd w:id="0"/>
            <w:r w:rsidRPr="00D33F72">
              <w:rPr>
                <w:noProof/>
                <w:lang w:bidi="ar-SA"/>
              </w:rPr>
              <w:drawing>
                <wp:inline distT="0" distB="0" distL="0" distR="0">
                  <wp:extent cx="1838325" cy="723900"/>
                  <wp:effectExtent l="0" t="0" r="9525" b="0"/>
                  <wp:docPr id="1"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723900"/>
                          </a:xfrm>
                          <a:prstGeom prst="rect">
                            <a:avLst/>
                          </a:prstGeom>
                          <a:noFill/>
                          <a:ln>
                            <a:noFill/>
                          </a:ln>
                        </pic:spPr>
                      </pic:pic>
                    </a:graphicData>
                  </a:graphic>
                </wp:inline>
              </w:drawing>
            </w:r>
          </w:p>
        </w:tc>
      </w:tr>
      <w:tr w:rsidR="00290728" w:rsidRPr="008C7AC9" w:rsidTr="009F66A8">
        <w:trPr>
          <w:cantSplit/>
          <w:trHeight w:val="20"/>
        </w:trPr>
        <w:tc>
          <w:tcPr>
            <w:tcW w:w="6620" w:type="dxa"/>
            <w:tcBorders>
              <w:bottom w:val="single" w:sz="12" w:space="0" w:color="auto"/>
            </w:tcBorders>
          </w:tcPr>
          <w:p w:rsidR="00290728" w:rsidRPr="008C7AC9" w:rsidRDefault="00290728" w:rsidP="00DC1E02">
            <w:pPr>
              <w:spacing w:before="0" w:line="400" w:lineRule="exact"/>
              <w:rPr>
                <w:sz w:val="24"/>
                <w:szCs w:val="32"/>
                <w:rtl/>
              </w:rPr>
            </w:pPr>
          </w:p>
        </w:tc>
        <w:tc>
          <w:tcPr>
            <w:tcW w:w="3052" w:type="dxa"/>
            <w:tcBorders>
              <w:bottom w:val="single" w:sz="12" w:space="0" w:color="auto"/>
            </w:tcBorders>
          </w:tcPr>
          <w:p w:rsidR="00290728" w:rsidRPr="008C7AC9" w:rsidRDefault="00290728" w:rsidP="00DC1E02">
            <w:pPr>
              <w:spacing w:before="0" w:line="340" w:lineRule="exact"/>
              <w:rPr>
                <w:lang w:val="en-GB" w:bidi="ar-SY"/>
              </w:rPr>
            </w:pPr>
          </w:p>
        </w:tc>
      </w:tr>
      <w:tr w:rsidR="00290728" w:rsidRPr="008C7AC9" w:rsidTr="009F66A8">
        <w:trPr>
          <w:cantSplit/>
          <w:trHeight w:val="20"/>
        </w:trPr>
        <w:tc>
          <w:tcPr>
            <w:tcW w:w="6620" w:type="dxa"/>
            <w:tcBorders>
              <w:top w:val="single" w:sz="12" w:space="0" w:color="auto"/>
            </w:tcBorders>
          </w:tcPr>
          <w:p w:rsidR="00290728" w:rsidRPr="008C7AC9" w:rsidRDefault="00290728" w:rsidP="00290728">
            <w:pPr>
              <w:spacing w:before="60" w:after="60" w:line="260" w:lineRule="exact"/>
              <w:rPr>
                <w:b/>
                <w:bCs/>
                <w:rtl/>
              </w:rPr>
            </w:pPr>
          </w:p>
        </w:tc>
        <w:tc>
          <w:tcPr>
            <w:tcW w:w="3052" w:type="dxa"/>
            <w:tcBorders>
              <w:top w:val="single" w:sz="12" w:space="0" w:color="auto"/>
            </w:tcBorders>
          </w:tcPr>
          <w:p w:rsidR="00290728" w:rsidRPr="008C7AC9" w:rsidRDefault="00290728" w:rsidP="00290728">
            <w:pPr>
              <w:spacing w:before="60" w:after="60" w:line="260" w:lineRule="exact"/>
              <w:rPr>
                <w:b/>
                <w:bCs/>
                <w:lang w:bidi="ar-SY"/>
              </w:rPr>
            </w:pPr>
          </w:p>
        </w:tc>
      </w:tr>
      <w:tr w:rsidR="00290728" w:rsidRPr="008C7AC9" w:rsidTr="009F66A8">
        <w:trPr>
          <w:cantSplit/>
        </w:trPr>
        <w:tc>
          <w:tcPr>
            <w:tcW w:w="6620" w:type="dxa"/>
          </w:tcPr>
          <w:p w:rsidR="00290728" w:rsidRPr="008C7AC9" w:rsidRDefault="00C002DE" w:rsidP="00044896">
            <w:pPr>
              <w:spacing w:before="60" w:after="60" w:line="300" w:lineRule="exact"/>
              <w:rPr>
                <w:b/>
                <w:bCs/>
              </w:rPr>
            </w:pPr>
            <w:r w:rsidRPr="008C7AC9">
              <w:rPr>
                <w:rFonts w:hint="cs"/>
                <w:b/>
                <w:bCs/>
                <w:rtl/>
              </w:rPr>
              <w:t>بند جدول الأعمال</w:t>
            </w:r>
            <w:r w:rsidR="00810B7B" w:rsidRPr="008C7AC9">
              <w:rPr>
                <w:rFonts w:hint="cs"/>
                <w:b/>
                <w:bCs/>
                <w:rtl/>
              </w:rPr>
              <w:t xml:space="preserve">: </w:t>
            </w:r>
            <w:r w:rsidR="00044896" w:rsidRPr="008C7AC9">
              <w:rPr>
                <w:b/>
                <w:bCs/>
              </w:rPr>
              <w:t>ADM 10</w:t>
            </w:r>
          </w:p>
        </w:tc>
        <w:tc>
          <w:tcPr>
            <w:tcW w:w="3052" w:type="dxa"/>
            <w:vAlign w:val="center"/>
          </w:tcPr>
          <w:p w:rsidR="00290728" w:rsidRPr="008C7AC9" w:rsidRDefault="00290728" w:rsidP="00044896">
            <w:pPr>
              <w:spacing w:before="60" w:after="60" w:line="300" w:lineRule="exact"/>
              <w:rPr>
                <w:b/>
                <w:bCs/>
                <w:lang w:bidi="ar-SY"/>
              </w:rPr>
            </w:pPr>
            <w:r w:rsidRPr="008C7AC9">
              <w:rPr>
                <w:rFonts w:hint="cs"/>
                <w:b/>
                <w:bCs/>
                <w:rtl/>
              </w:rPr>
              <w:t xml:space="preserve">الوثيقة </w:t>
            </w:r>
            <w:r w:rsidRPr="008C7AC9">
              <w:rPr>
                <w:b/>
                <w:bCs/>
                <w:lang w:bidi="ar-SY"/>
              </w:rPr>
              <w:t>C1</w:t>
            </w:r>
            <w:r w:rsidR="006C7CC0" w:rsidRPr="008C7AC9">
              <w:rPr>
                <w:b/>
                <w:bCs/>
                <w:lang w:bidi="ar-SY"/>
              </w:rPr>
              <w:t>6</w:t>
            </w:r>
            <w:r w:rsidRPr="008C7AC9">
              <w:rPr>
                <w:b/>
                <w:bCs/>
                <w:lang w:bidi="ar-SY"/>
              </w:rPr>
              <w:t>/</w:t>
            </w:r>
            <w:r w:rsidR="00044896" w:rsidRPr="008C7AC9">
              <w:rPr>
                <w:b/>
                <w:bCs/>
                <w:lang w:bidi="ar-SY"/>
              </w:rPr>
              <w:t>44</w:t>
            </w:r>
            <w:r w:rsidRPr="008C7AC9">
              <w:rPr>
                <w:b/>
                <w:bCs/>
                <w:lang w:bidi="ar-SY"/>
              </w:rPr>
              <w:t>-A</w:t>
            </w:r>
          </w:p>
        </w:tc>
      </w:tr>
      <w:tr w:rsidR="00290728" w:rsidRPr="008C7AC9" w:rsidTr="009F66A8">
        <w:trPr>
          <w:cantSplit/>
        </w:trPr>
        <w:tc>
          <w:tcPr>
            <w:tcW w:w="6620" w:type="dxa"/>
          </w:tcPr>
          <w:p w:rsidR="00290728" w:rsidRPr="008C7AC9" w:rsidRDefault="00290728" w:rsidP="00290728">
            <w:pPr>
              <w:spacing w:before="60" w:after="60" w:line="300" w:lineRule="exact"/>
              <w:rPr>
                <w:b/>
                <w:bCs/>
                <w:lang w:bidi="ar-SY"/>
              </w:rPr>
            </w:pPr>
          </w:p>
        </w:tc>
        <w:tc>
          <w:tcPr>
            <w:tcW w:w="3052" w:type="dxa"/>
            <w:vAlign w:val="center"/>
          </w:tcPr>
          <w:p w:rsidR="00290728" w:rsidRPr="008C7AC9" w:rsidRDefault="00044896" w:rsidP="00044896">
            <w:pPr>
              <w:spacing w:before="60" w:after="60" w:line="300" w:lineRule="exact"/>
              <w:rPr>
                <w:b/>
                <w:bCs/>
                <w:rtl/>
              </w:rPr>
            </w:pPr>
            <w:r w:rsidRPr="008C7AC9">
              <w:rPr>
                <w:b/>
                <w:bCs/>
                <w:lang w:bidi="ar-SY"/>
              </w:rPr>
              <w:t>12</w:t>
            </w:r>
            <w:r w:rsidR="00290728" w:rsidRPr="008C7AC9">
              <w:rPr>
                <w:rFonts w:hint="cs"/>
                <w:b/>
                <w:bCs/>
                <w:rtl/>
              </w:rPr>
              <w:t xml:space="preserve"> </w:t>
            </w:r>
            <w:r w:rsidRPr="008C7AC9">
              <w:rPr>
                <w:rFonts w:hint="cs"/>
                <w:b/>
                <w:bCs/>
                <w:rtl/>
              </w:rPr>
              <w:t>أبريل</w:t>
            </w:r>
            <w:r w:rsidR="00290728" w:rsidRPr="008C7AC9">
              <w:rPr>
                <w:rFonts w:hint="cs"/>
                <w:b/>
                <w:bCs/>
                <w:rtl/>
              </w:rPr>
              <w:t xml:space="preserve"> </w:t>
            </w:r>
            <w:r w:rsidR="00290728" w:rsidRPr="008C7AC9">
              <w:rPr>
                <w:b/>
                <w:bCs/>
                <w:lang w:bidi="ar-SY"/>
              </w:rPr>
              <w:t>201</w:t>
            </w:r>
            <w:r w:rsidR="006C7CC0" w:rsidRPr="008C7AC9">
              <w:rPr>
                <w:b/>
                <w:bCs/>
                <w:lang w:bidi="ar-SY"/>
              </w:rPr>
              <w:t>6</w:t>
            </w:r>
          </w:p>
        </w:tc>
      </w:tr>
      <w:tr w:rsidR="00290728" w:rsidRPr="008C7AC9" w:rsidTr="009F66A8">
        <w:trPr>
          <w:cantSplit/>
        </w:trPr>
        <w:tc>
          <w:tcPr>
            <w:tcW w:w="6620" w:type="dxa"/>
          </w:tcPr>
          <w:p w:rsidR="00290728" w:rsidRPr="008C7AC9" w:rsidRDefault="00290728" w:rsidP="00290728">
            <w:pPr>
              <w:spacing w:before="60" w:after="60" w:line="300" w:lineRule="exact"/>
              <w:rPr>
                <w:b/>
                <w:bCs/>
              </w:rPr>
            </w:pPr>
          </w:p>
        </w:tc>
        <w:tc>
          <w:tcPr>
            <w:tcW w:w="3052" w:type="dxa"/>
            <w:vAlign w:val="center"/>
          </w:tcPr>
          <w:p w:rsidR="00290728" w:rsidRPr="008C7AC9" w:rsidRDefault="00290728" w:rsidP="00044896">
            <w:pPr>
              <w:spacing w:before="60" w:after="60" w:line="300" w:lineRule="exact"/>
              <w:rPr>
                <w:b/>
                <w:bCs/>
                <w:lang w:bidi="ar-SY"/>
              </w:rPr>
            </w:pPr>
            <w:r w:rsidRPr="008C7AC9">
              <w:rPr>
                <w:b/>
                <w:bCs/>
                <w:rtl/>
              </w:rPr>
              <w:t xml:space="preserve">الأصل: </w:t>
            </w:r>
            <w:r w:rsidR="00044896" w:rsidRPr="008C7AC9">
              <w:rPr>
                <w:rFonts w:hint="cs"/>
                <w:b/>
                <w:bCs/>
                <w:rtl/>
              </w:rPr>
              <w:t>بالإنكليزية</w:t>
            </w:r>
          </w:p>
        </w:tc>
      </w:tr>
      <w:tr w:rsidR="00290728" w:rsidRPr="008C7AC9" w:rsidTr="009F66A8">
        <w:trPr>
          <w:cantSplit/>
        </w:trPr>
        <w:tc>
          <w:tcPr>
            <w:tcW w:w="9672" w:type="dxa"/>
            <w:gridSpan w:val="2"/>
          </w:tcPr>
          <w:p w:rsidR="00290728" w:rsidRPr="008C7AC9" w:rsidRDefault="00044896" w:rsidP="00044896">
            <w:pPr>
              <w:pStyle w:val="Source"/>
              <w:rPr>
                <w:rtl/>
                <w:lang w:bidi="ar-SY"/>
              </w:rPr>
            </w:pPr>
            <w:r w:rsidRPr="008C7AC9">
              <w:rPr>
                <w:rFonts w:hint="cs"/>
                <w:rtl/>
                <w:lang w:bidi="ar-SY"/>
              </w:rPr>
              <w:t>تقرير من الأمين العام</w:t>
            </w:r>
          </w:p>
        </w:tc>
      </w:tr>
      <w:tr w:rsidR="00290728" w:rsidRPr="008C7AC9" w:rsidTr="009F66A8">
        <w:trPr>
          <w:cantSplit/>
        </w:trPr>
        <w:tc>
          <w:tcPr>
            <w:tcW w:w="9672" w:type="dxa"/>
            <w:gridSpan w:val="2"/>
          </w:tcPr>
          <w:p w:rsidR="00290728" w:rsidRPr="008C7AC9" w:rsidRDefault="00044896" w:rsidP="00044896">
            <w:pPr>
              <w:pStyle w:val="Title1"/>
              <w:rPr>
                <w:rtl/>
              </w:rPr>
            </w:pPr>
            <w:r w:rsidRPr="008C7AC9">
              <w:rPr>
                <w:rtl/>
              </w:rPr>
              <w:t>تقرير ال</w:t>
            </w:r>
            <w:r w:rsidRPr="008C7AC9">
              <w:rPr>
                <w:rFonts w:hint="cs"/>
                <w:rtl/>
              </w:rPr>
              <w:t>‍</w:t>
            </w:r>
            <w:r w:rsidRPr="008C7AC9">
              <w:rPr>
                <w:rtl/>
              </w:rPr>
              <w:t>مراجع الداخلي عن أنشطة ال</w:t>
            </w:r>
            <w:r w:rsidRPr="008C7AC9">
              <w:rPr>
                <w:rFonts w:hint="cs"/>
                <w:rtl/>
              </w:rPr>
              <w:t>‍</w:t>
            </w:r>
            <w:r w:rsidRPr="008C7AC9">
              <w:rPr>
                <w:rtl/>
              </w:rPr>
              <w:t>مراجعة الداخلية</w:t>
            </w:r>
          </w:p>
        </w:tc>
      </w:tr>
      <w:tr w:rsidR="00A6683B" w:rsidRPr="008C7AC9" w:rsidTr="009F66A8">
        <w:trPr>
          <w:cantSplit/>
        </w:trPr>
        <w:tc>
          <w:tcPr>
            <w:tcW w:w="9672" w:type="dxa"/>
            <w:gridSpan w:val="2"/>
          </w:tcPr>
          <w:p w:rsidR="00A6683B" w:rsidRPr="008C7AC9" w:rsidRDefault="00A6683B" w:rsidP="00383829">
            <w:pPr>
              <w:pStyle w:val="Title2"/>
              <w:framePr w:hSpace="0" w:wrap="auto" w:yAlign="inline"/>
              <w:rPr>
                <w:rtl/>
              </w:rPr>
            </w:pPr>
          </w:p>
        </w:tc>
      </w:tr>
    </w:tbl>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RPr="008C7AC9" w:rsidTr="008C7AC9">
        <w:trPr>
          <w:jc w:val="center"/>
        </w:trPr>
        <w:tc>
          <w:tcPr>
            <w:tcW w:w="7230" w:type="dxa"/>
            <w:shd w:val="clear" w:color="auto" w:fill="auto"/>
          </w:tcPr>
          <w:p w:rsidR="00290728" w:rsidRPr="008C7AC9" w:rsidRDefault="00290728" w:rsidP="00706D7A">
            <w:pPr>
              <w:rPr>
                <w:b/>
                <w:bCs/>
                <w:rtl/>
                <w:lang w:bidi="ar-SY"/>
              </w:rPr>
            </w:pPr>
            <w:r w:rsidRPr="008C7AC9">
              <w:rPr>
                <w:rFonts w:hint="cs"/>
                <w:b/>
                <w:bCs/>
                <w:rtl/>
                <w:lang w:bidi="ar-SY"/>
              </w:rPr>
              <w:t>ملخص</w:t>
            </w:r>
          </w:p>
          <w:p w:rsidR="00290728" w:rsidRPr="008C7AC9" w:rsidRDefault="00044896" w:rsidP="004F1EE5">
            <w:pPr>
              <w:rPr>
                <w:rtl/>
                <w:lang w:bidi="ar-SY"/>
              </w:rPr>
            </w:pPr>
            <w:r w:rsidRPr="008C7AC9">
              <w:rPr>
                <w:rtl/>
                <w:lang w:bidi="ar-SA"/>
              </w:rPr>
              <w:t>ي</w:t>
            </w:r>
            <w:r w:rsidR="004F1EE5">
              <w:rPr>
                <w:rFonts w:hint="cs"/>
                <w:rtl/>
                <w:lang w:bidi="ar-SA"/>
              </w:rPr>
              <w:t>غطي</w:t>
            </w:r>
            <w:r w:rsidRPr="008C7AC9">
              <w:rPr>
                <w:rtl/>
                <w:lang w:bidi="ar-SA"/>
              </w:rPr>
              <w:t xml:space="preserve"> هذا التقرير أنشطة المراجعة الداخلية للفترة الممتدة من مارس </w:t>
            </w:r>
            <w:r w:rsidRPr="008C7AC9">
              <w:rPr>
                <w:lang w:bidi="ar-SY"/>
              </w:rPr>
              <w:t>2015</w:t>
            </w:r>
            <w:r w:rsidRPr="008C7AC9">
              <w:rPr>
                <w:rtl/>
                <w:lang w:bidi="ar-SA"/>
              </w:rPr>
              <w:t xml:space="preserve"> إلى فبراير </w:t>
            </w:r>
            <w:r w:rsidRPr="008C7AC9">
              <w:rPr>
                <w:lang w:bidi="ar-SY"/>
              </w:rPr>
              <w:t>2016</w:t>
            </w:r>
            <w:r w:rsidRPr="008C7AC9">
              <w:rPr>
                <w:rtl/>
                <w:lang w:bidi="ar-SA"/>
              </w:rPr>
              <w:t>.</w:t>
            </w:r>
          </w:p>
          <w:p w:rsidR="00290728" w:rsidRPr="008C7AC9" w:rsidRDefault="00290728" w:rsidP="00706D7A">
            <w:pPr>
              <w:rPr>
                <w:b/>
                <w:bCs/>
                <w:rtl/>
                <w:lang w:bidi="ar-SY"/>
              </w:rPr>
            </w:pPr>
            <w:r w:rsidRPr="008C7AC9">
              <w:rPr>
                <w:rFonts w:hint="cs"/>
                <w:b/>
                <w:bCs/>
                <w:rtl/>
                <w:lang w:bidi="ar-SY"/>
              </w:rPr>
              <w:t>الإجراء المطلوب</w:t>
            </w:r>
          </w:p>
          <w:p w:rsidR="00290728" w:rsidRPr="008C7AC9" w:rsidRDefault="00044896" w:rsidP="00044896">
            <w:pPr>
              <w:rPr>
                <w:rtl/>
                <w:lang w:bidi="ar-SY"/>
              </w:rPr>
            </w:pPr>
            <w:r w:rsidRPr="008C7AC9">
              <w:rPr>
                <w:rtl/>
                <w:lang w:bidi="ar-SA"/>
              </w:rPr>
              <w:t>يحال هذا التقرير إلى المجلس لكي</w:t>
            </w:r>
            <w:r w:rsidRPr="008C7AC9">
              <w:rPr>
                <w:b/>
                <w:bCs/>
                <w:rtl/>
                <w:lang w:bidi="ar-SA"/>
              </w:rPr>
              <w:t xml:space="preserve"> ينظر فيه</w:t>
            </w:r>
            <w:r w:rsidRPr="008C7AC9">
              <w:rPr>
                <w:rtl/>
                <w:lang w:bidi="ar-SA"/>
              </w:rPr>
              <w:t>.</w:t>
            </w:r>
          </w:p>
          <w:p w:rsidR="00290728" w:rsidRPr="008C7AC9" w:rsidRDefault="00290728" w:rsidP="008C7AC9">
            <w:pPr>
              <w:jc w:val="center"/>
              <w:rPr>
                <w:rtl/>
                <w:lang w:bidi="ar-SY"/>
              </w:rPr>
            </w:pPr>
            <w:r w:rsidRPr="008C7AC9">
              <w:rPr>
                <w:rFonts w:hint="cs"/>
                <w:rtl/>
                <w:lang w:bidi="ar-SY"/>
              </w:rPr>
              <w:t>_________</w:t>
            </w:r>
          </w:p>
          <w:p w:rsidR="00290728" w:rsidRPr="008C7AC9" w:rsidRDefault="00290728" w:rsidP="00290728">
            <w:pPr>
              <w:rPr>
                <w:b/>
                <w:bCs/>
                <w:rtl/>
                <w:lang w:bidi="ar-SY"/>
              </w:rPr>
            </w:pPr>
            <w:r w:rsidRPr="008C7AC9">
              <w:rPr>
                <w:rFonts w:hint="cs"/>
                <w:b/>
                <w:bCs/>
                <w:rtl/>
                <w:lang w:bidi="ar-SY"/>
              </w:rPr>
              <w:t>المراجع</w:t>
            </w:r>
          </w:p>
          <w:p w:rsidR="00290728" w:rsidRPr="008C7AC9" w:rsidRDefault="00044896" w:rsidP="008C7AC9">
            <w:pPr>
              <w:spacing w:after="120"/>
              <w:jc w:val="left"/>
              <w:rPr>
                <w:i/>
                <w:iCs/>
                <w:rtl/>
                <w:lang w:bidi="ar-SY"/>
              </w:rPr>
            </w:pPr>
            <w:r w:rsidRPr="008C7AC9">
              <w:rPr>
                <w:i/>
                <w:iCs/>
                <w:rtl/>
                <w:lang w:bidi="ar-SA"/>
              </w:rPr>
              <w:t xml:space="preserve">اللوائح المالية والقواعد المالية للاتحاد </w:t>
            </w:r>
            <w:r w:rsidRPr="008C7AC9">
              <w:rPr>
                <w:i/>
                <w:iCs/>
                <w:lang w:bidi="ar-SY"/>
              </w:rPr>
              <w:t>(2010)</w:t>
            </w:r>
            <w:r w:rsidRPr="008C7AC9">
              <w:rPr>
                <w:i/>
                <w:iCs/>
                <w:rtl/>
                <w:lang w:bidi="ar-SA"/>
              </w:rPr>
              <w:t xml:space="preserve">، المادة </w:t>
            </w:r>
            <w:r w:rsidRPr="008C7AC9">
              <w:rPr>
                <w:i/>
                <w:iCs/>
                <w:lang w:bidi="ar-SY"/>
              </w:rPr>
              <w:t>29</w:t>
            </w:r>
          </w:p>
        </w:tc>
      </w:tr>
    </w:tbl>
    <w:p w:rsidR="00290728" w:rsidRDefault="00290728" w:rsidP="00290728">
      <w:pPr>
        <w:rPr>
          <w:rtl/>
          <w:lang w:bidi="ar-SY"/>
        </w:rPr>
      </w:pPr>
    </w:p>
    <w:p w:rsidR="00044896" w:rsidRPr="00044896" w:rsidRDefault="00044896" w:rsidP="00044896">
      <w:pPr>
        <w:pStyle w:val="Headingb"/>
        <w:rPr>
          <w:lang w:bidi="ar-SY"/>
        </w:rPr>
      </w:pPr>
      <w:r w:rsidRPr="00044896">
        <w:rPr>
          <w:rtl/>
        </w:rPr>
        <w:lastRenderedPageBreak/>
        <w:t>مقدمة</w:t>
      </w:r>
    </w:p>
    <w:p w:rsidR="00044896" w:rsidRPr="00044896" w:rsidRDefault="00044896" w:rsidP="00F628D8">
      <w:pPr>
        <w:pStyle w:val="Referencetexte"/>
        <w:rPr>
          <w:rtl/>
          <w:lang w:bidi="ar-SA"/>
        </w:rPr>
      </w:pPr>
      <w:r w:rsidRPr="00044896">
        <w:rPr>
          <w:lang w:bidi="ar-SY"/>
        </w:rPr>
        <w:t>1</w:t>
      </w:r>
      <w:r w:rsidRPr="00044896">
        <w:rPr>
          <w:rtl/>
          <w:lang w:bidi="ar-SA"/>
        </w:rPr>
        <w:tab/>
        <w:t xml:space="preserve">يُحال هذا التقرير إلى المجلس وهو قد أُعد عملاً بالمادة </w:t>
      </w:r>
      <w:r w:rsidRPr="00044896">
        <w:rPr>
          <w:lang w:bidi="ar-SY"/>
        </w:rPr>
        <w:t>29</w:t>
      </w:r>
      <w:r w:rsidRPr="00044896">
        <w:rPr>
          <w:rtl/>
          <w:lang w:bidi="ar-SA"/>
        </w:rPr>
        <w:t xml:space="preserve"> من اللوائح المالية </w:t>
      </w:r>
      <w:r w:rsidRPr="00044896">
        <w:rPr>
          <w:lang w:bidi="ar-SY"/>
        </w:rPr>
        <w:t>(2010)</w:t>
      </w:r>
      <w:r w:rsidRPr="00044896">
        <w:rPr>
          <w:rtl/>
          <w:lang w:bidi="ar-SA"/>
        </w:rPr>
        <w:t>. ووفقاً لميثاق المراجعة الداخلية في الاتحاد</w:t>
      </w:r>
      <w:r w:rsidRPr="00F628D8">
        <w:rPr>
          <w:rStyle w:val="FootnoteReference"/>
          <w:rtl/>
        </w:rPr>
        <w:footnoteReference w:id="1"/>
      </w:r>
      <w:r w:rsidRPr="00044896">
        <w:rPr>
          <w:rtl/>
          <w:lang w:bidi="ar-SA"/>
        </w:rPr>
        <w:t>، يقدَّم هذا التقرير إلى الأمين العام ويُعر</w:t>
      </w:r>
      <w:r w:rsidR="004F1EE5">
        <w:rPr>
          <w:rtl/>
          <w:lang w:bidi="ar-SA"/>
        </w:rPr>
        <w:t>ض على المجلس لكي ينظر فيه. وي</w:t>
      </w:r>
      <w:r w:rsidR="004F1EE5">
        <w:rPr>
          <w:rFonts w:hint="cs"/>
          <w:rtl/>
          <w:lang w:bidi="ar-SA"/>
        </w:rPr>
        <w:t>غطي</w:t>
      </w:r>
      <w:r w:rsidRPr="00044896">
        <w:rPr>
          <w:rtl/>
          <w:lang w:bidi="ar-SA"/>
        </w:rPr>
        <w:t xml:space="preserve"> هذا التقرير الأنشطة المضطلَع بها في</w:t>
      </w:r>
      <w:r w:rsidRPr="00044896">
        <w:rPr>
          <w:rFonts w:hint="cs"/>
          <w:rtl/>
          <w:lang w:bidi="ar-SA"/>
        </w:rPr>
        <w:t> </w:t>
      </w:r>
      <w:r w:rsidRPr="00044896">
        <w:rPr>
          <w:rtl/>
          <w:lang w:bidi="ar-SA"/>
        </w:rPr>
        <w:t xml:space="preserve">الفترة الممتدة من مارس </w:t>
      </w:r>
      <w:r w:rsidRPr="00044896">
        <w:rPr>
          <w:lang w:bidi="ar-SY"/>
        </w:rPr>
        <w:t>2015</w:t>
      </w:r>
      <w:r w:rsidRPr="00044896">
        <w:rPr>
          <w:rtl/>
          <w:lang w:bidi="ar-SA"/>
        </w:rPr>
        <w:t xml:space="preserve"> حتى فبراير </w:t>
      </w:r>
      <w:r w:rsidRPr="00044896">
        <w:rPr>
          <w:lang w:bidi="ar-SY"/>
        </w:rPr>
        <w:t>2016</w:t>
      </w:r>
      <w:r w:rsidRPr="00044896">
        <w:rPr>
          <w:rtl/>
          <w:lang w:bidi="ar-SA"/>
        </w:rPr>
        <w:t>.</w:t>
      </w:r>
    </w:p>
    <w:p w:rsidR="00044896" w:rsidRPr="00044896" w:rsidRDefault="00044896" w:rsidP="00AE2E7B">
      <w:pPr>
        <w:rPr>
          <w:rtl/>
        </w:rPr>
      </w:pPr>
      <w:r w:rsidRPr="00044896">
        <w:t>2</w:t>
      </w:r>
      <w:r w:rsidRPr="00044896">
        <w:rPr>
          <w:rtl/>
        </w:rPr>
        <w:tab/>
      </w:r>
      <w:r w:rsidR="00FD1B3A">
        <w:rPr>
          <w:rFonts w:hint="cs"/>
          <w:rtl/>
        </w:rPr>
        <w:t xml:space="preserve">في </w:t>
      </w:r>
      <w:r w:rsidRPr="00044896">
        <w:rPr>
          <w:rtl/>
        </w:rPr>
        <w:t xml:space="preserve">عام </w:t>
      </w:r>
      <w:r w:rsidRPr="00044896">
        <w:t>2015</w:t>
      </w:r>
      <w:r w:rsidRPr="00044896">
        <w:rPr>
          <w:rtl/>
        </w:rPr>
        <w:t>، تألفت وحدة المراجعة الداخلية من موظفَيْنِ من الفئة الفنية، أحدهما من الرتبة ف.</w:t>
      </w:r>
      <w:r w:rsidRPr="00044896">
        <w:t>5</w:t>
      </w:r>
      <w:r w:rsidRPr="00044896">
        <w:rPr>
          <w:rtl/>
        </w:rPr>
        <w:t xml:space="preserve"> (رئيس الوحدة) والآخر مؤقَت من الرتبة ف.</w:t>
      </w:r>
      <w:r w:rsidRPr="00044896">
        <w:t>3</w:t>
      </w:r>
      <w:r w:rsidRPr="00044896">
        <w:rPr>
          <w:rtl/>
        </w:rPr>
        <w:t xml:space="preserve"> (مراجع داخلي). وحتى مايو </w:t>
      </w:r>
      <w:r w:rsidRPr="00044896">
        <w:t>2015</w:t>
      </w:r>
      <w:r w:rsidRPr="00044896">
        <w:rPr>
          <w:rtl/>
        </w:rPr>
        <w:t xml:space="preserve"> كان الموظف من فئة الخدمات العامة (مساعد مراجع) يعمل على أساس عدم التفرغ، ثم على أساس التفرغ. وفي سبتمبر عام </w:t>
      </w:r>
      <w:r w:rsidRPr="00044896">
        <w:t>2015</w:t>
      </w:r>
      <w:r w:rsidRPr="00044896">
        <w:rPr>
          <w:rtl/>
        </w:rPr>
        <w:t xml:space="preserve"> غادر</w:t>
      </w:r>
      <w:r w:rsidR="004F1EE5">
        <w:rPr>
          <w:rFonts w:hint="cs"/>
          <w:rtl/>
        </w:rPr>
        <w:t xml:space="preserve"> الاتحاد</w:t>
      </w:r>
      <w:r w:rsidRPr="00044896">
        <w:rPr>
          <w:rtl/>
        </w:rPr>
        <w:t xml:space="preserve"> شاغل وظيفة</w:t>
      </w:r>
      <w:r w:rsidR="004F1EE5">
        <w:rPr>
          <w:rFonts w:hint="cs"/>
          <w:rtl/>
        </w:rPr>
        <w:t xml:space="preserve"> مؤقتة</w:t>
      </w:r>
      <w:r w:rsidRPr="00044896">
        <w:rPr>
          <w:rtl/>
        </w:rPr>
        <w:t xml:space="preserve"> </w:t>
      </w:r>
      <w:r w:rsidR="004F1EE5">
        <w:rPr>
          <w:rFonts w:hint="cs"/>
          <w:rtl/>
        </w:rPr>
        <w:t>ل</w:t>
      </w:r>
      <w:r w:rsidRPr="00044896">
        <w:rPr>
          <w:rtl/>
        </w:rPr>
        <w:t>مراجع داخلي</w:t>
      </w:r>
      <w:r w:rsidR="004F1EE5">
        <w:rPr>
          <w:rFonts w:hint="cs"/>
          <w:rtl/>
        </w:rPr>
        <w:t xml:space="preserve"> مبتدئ</w:t>
      </w:r>
      <w:r w:rsidRPr="00044896">
        <w:rPr>
          <w:rtl/>
        </w:rPr>
        <w:t xml:space="preserve"> (برتبة ف.</w:t>
      </w:r>
      <w:r w:rsidRPr="00044896">
        <w:t>1</w:t>
      </w:r>
      <w:r w:rsidRPr="00044896">
        <w:rPr>
          <w:rtl/>
        </w:rPr>
        <w:t xml:space="preserve">)، واكتمل توظيف مراجع داخلي </w:t>
      </w:r>
      <w:r w:rsidR="004F1EE5">
        <w:rPr>
          <w:rFonts w:hint="cs"/>
          <w:rtl/>
        </w:rPr>
        <w:t xml:space="preserve">مبتدئ بعقد </w:t>
      </w:r>
      <w:r w:rsidRPr="00044896">
        <w:rPr>
          <w:rtl/>
        </w:rPr>
        <w:t>محدد المدة (برتبة ف.</w:t>
      </w:r>
      <w:r w:rsidRPr="00044896">
        <w:t>2</w:t>
      </w:r>
      <w:r w:rsidRPr="00044896">
        <w:rPr>
          <w:rtl/>
        </w:rPr>
        <w:t xml:space="preserve">) حيث تولى شاغل الوظيفة مهامه في منتصف مارس </w:t>
      </w:r>
      <w:r w:rsidRPr="00044896">
        <w:t>2016</w:t>
      </w:r>
      <w:r w:rsidRPr="00044896">
        <w:rPr>
          <w:rtl/>
        </w:rPr>
        <w:t xml:space="preserve">. </w:t>
      </w:r>
      <w:r w:rsidR="004F1EE5">
        <w:rPr>
          <w:rFonts w:hint="cs"/>
          <w:rtl/>
        </w:rPr>
        <w:t xml:space="preserve">وتتألف </w:t>
      </w:r>
      <w:r w:rsidRPr="00044896">
        <w:rPr>
          <w:rtl/>
        </w:rPr>
        <w:t xml:space="preserve">هذه الوحدة </w:t>
      </w:r>
      <w:r w:rsidR="00AE2E7B">
        <w:rPr>
          <w:rFonts w:hint="cs"/>
          <w:rtl/>
        </w:rPr>
        <w:t xml:space="preserve">حالياً </w:t>
      </w:r>
      <w:r w:rsidRPr="00044896">
        <w:rPr>
          <w:rtl/>
        </w:rPr>
        <w:t>من ثلاثة موظفين من الفئة الفنية وموظف متفرغ من فئة الخدمات العامة.</w:t>
      </w:r>
    </w:p>
    <w:p w:rsidR="00044896" w:rsidRPr="00044896" w:rsidRDefault="00044896" w:rsidP="00C70E25">
      <w:pPr>
        <w:rPr>
          <w:rtl/>
        </w:rPr>
      </w:pPr>
      <w:bookmarkStart w:id="1" w:name="_GoBack"/>
      <w:bookmarkEnd w:id="1"/>
      <w:r w:rsidRPr="00044896">
        <w:t>3</w:t>
      </w:r>
      <w:r w:rsidRPr="00044896">
        <w:rPr>
          <w:rtl/>
        </w:rPr>
        <w:tab/>
        <w:t xml:space="preserve">تؤكد وحدة المراجعة الداخلية </w:t>
      </w:r>
      <w:r w:rsidRPr="00044896">
        <w:t>(IA)</w:t>
      </w:r>
      <w:r w:rsidRPr="00044896">
        <w:rPr>
          <w:rtl/>
        </w:rPr>
        <w:t xml:space="preserve"> أنها تجري مراجعاتها وفقاً للمعايير الدولية للممارسة المهنية للمراجعة الداخلية ومدونة قواعد السلوك التي وضعها معهد المراجعين الداخليين</w:t>
      </w:r>
      <w:r w:rsidRPr="00F628D8">
        <w:rPr>
          <w:rStyle w:val="FootnoteReference"/>
          <w:rtl/>
        </w:rPr>
        <w:footnoteReference w:id="2"/>
      </w:r>
      <w:r w:rsidRPr="00044896">
        <w:rPr>
          <w:rtl/>
        </w:rPr>
        <w:t xml:space="preserve"> </w:t>
      </w:r>
      <w:r w:rsidRPr="00044896">
        <w:t>(IIA</w:t>
      </w:r>
      <w:proofErr w:type="gramStart"/>
      <w:r w:rsidRPr="00044896">
        <w:t>)</w:t>
      </w:r>
      <w:r w:rsidRPr="00044896">
        <w:rPr>
          <w:rtl/>
        </w:rPr>
        <w:t>،</w:t>
      </w:r>
      <w:proofErr w:type="gramEnd"/>
      <w:r w:rsidRPr="00044896">
        <w:rPr>
          <w:rtl/>
        </w:rPr>
        <w:t xml:space="preserve"> ولأحكام ميثاق المراجعة الداخلية في الاتحاد</w:t>
      </w:r>
      <w:r w:rsidRPr="00F628D8">
        <w:rPr>
          <w:rStyle w:val="FootnoteReference"/>
          <w:rtl/>
        </w:rPr>
        <w:footnoteReference w:id="3"/>
      </w:r>
      <w:r w:rsidRPr="00044896">
        <w:rPr>
          <w:rtl/>
        </w:rPr>
        <w:t>. وبالإضافة إلى ذلك، تؤكد وحدة المراجعة الداخلية فيما يخص الفترة المشمولة بهذا التقرير أنه لم يكن لموظفيها أي سلطة إدارية ولم</w:t>
      </w:r>
      <w:r w:rsidR="00C70E25">
        <w:rPr>
          <w:rFonts w:hint="cs"/>
          <w:rtl/>
        </w:rPr>
        <w:t> </w:t>
      </w:r>
      <w:r w:rsidRPr="00044896">
        <w:rPr>
          <w:rtl/>
        </w:rPr>
        <w:t>يتولوا أي مسؤولية عن أي من الأنشطة التي جرت مراجعتها ولم يؤدوا أي وظائف محاسبية أو تشغيلية ضمن الاتحاد.</w:t>
      </w:r>
    </w:p>
    <w:p w:rsidR="00044896" w:rsidRPr="00044896" w:rsidRDefault="00044896" w:rsidP="00F628D8">
      <w:pPr>
        <w:pStyle w:val="Headingb"/>
        <w:rPr>
          <w:rtl/>
        </w:rPr>
      </w:pPr>
      <w:r w:rsidRPr="00044896">
        <w:rPr>
          <w:rtl/>
        </w:rPr>
        <w:t>توجُّه أنشطة المراجعة الداخلية ونطاقها</w:t>
      </w:r>
    </w:p>
    <w:p w:rsidR="00044896" w:rsidRPr="00044896" w:rsidRDefault="00044896" w:rsidP="00F628D8">
      <w:pPr>
        <w:rPr>
          <w:rtl/>
        </w:rPr>
      </w:pPr>
      <w:r w:rsidRPr="00044896">
        <w:t>4</w:t>
      </w:r>
      <w:r w:rsidRPr="00044896">
        <w:rPr>
          <w:rtl/>
        </w:rPr>
        <w:tab/>
        <w:t xml:space="preserve">وافق الأمين العام في يناير </w:t>
      </w:r>
      <w:r w:rsidRPr="00044896">
        <w:t>2015</w:t>
      </w:r>
      <w:r w:rsidRPr="00044896">
        <w:rPr>
          <w:rtl/>
        </w:rPr>
        <w:t xml:space="preserve"> على خطة المراجعة الداخلية لعام </w:t>
      </w:r>
      <w:r w:rsidRPr="00044896">
        <w:t>2015</w:t>
      </w:r>
      <w:r w:rsidRPr="00044896">
        <w:rPr>
          <w:rtl/>
        </w:rPr>
        <w:t xml:space="preserve"> وأحيلت إلى المراجع الخارجي سعياً إلى النهوض بالنجاعة والتنسيق. وانصبَّ عمل المراجعة بصورة رئيسية على المهام المتصلة بالتزامات تأكيد صحة البيانات. ولم</w:t>
      </w:r>
      <w:r w:rsidR="00C70E25">
        <w:rPr>
          <w:rFonts w:hint="cs"/>
          <w:rtl/>
        </w:rPr>
        <w:t> </w:t>
      </w:r>
      <w:r w:rsidRPr="00044896">
        <w:rPr>
          <w:rtl/>
        </w:rPr>
        <w:t xml:space="preserve">تجرَ المراجعتان المخطط لهما في عام </w:t>
      </w:r>
      <w:r w:rsidRPr="00044896">
        <w:t>2015</w:t>
      </w:r>
      <w:r w:rsidRPr="00044896">
        <w:rPr>
          <w:rtl/>
        </w:rPr>
        <w:t xml:space="preserve"> (فرُحلت إحداهما إلى أوائل عام </w:t>
      </w:r>
      <w:r w:rsidRPr="00044896">
        <w:t>2016</w:t>
      </w:r>
      <w:r w:rsidRPr="00044896">
        <w:rPr>
          <w:rtl/>
        </w:rPr>
        <w:t xml:space="preserve"> وألغيت الأخرى إثر عمل المراجع الخارجي في</w:t>
      </w:r>
      <w:r w:rsidR="00C70E25">
        <w:rPr>
          <w:rFonts w:hint="cs"/>
          <w:rtl/>
        </w:rPr>
        <w:t> </w:t>
      </w:r>
      <w:r w:rsidRPr="00044896">
        <w:rPr>
          <w:rtl/>
        </w:rPr>
        <w:t>هذا الموضوع بما</w:t>
      </w:r>
      <w:r w:rsidR="00F628D8">
        <w:rPr>
          <w:rFonts w:hint="cs"/>
          <w:rtl/>
        </w:rPr>
        <w:t> </w:t>
      </w:r>
      <w:r w:rsidRPr="00044896">
        <w:rPr>
          <w:rtl/>
        </w:rPr>
        <w:t>يؤدي إلى تقليل مخاطر المراجعة).</w:t>
      </w:r>
    </w:p>
    <w:p w:rsidR="00044896" w:rsidRPr="00044896" w:rsidRDefault="00044896" w:rsidP="00525E82">
      <w:pPr>
        <w:rPr>
          <w:rtl/>
        </w:rPr>
      </w:pPr>
      <w:r w:rsidRPr="00044896">
        <w:t>5</w:t>
      </w:r>
      <w:r w:rsidRPr="00044896">
        <w:rPr>
          <w:rtl/>
        </w:rPr>
        <w:tab/>
        <w:t>تقدِّم وحدة المراجعة الداخلية بانتظام نسخاً من تقارير المراجعة الداخلية إلى المراجع الخارجي لحسابات الاتحاد واللجنة الاستشارية المستقلة للإدارة </w:t>
      </w:r>
      <w:r w:rsidRPr="00044896">
        <w:t>(IMAC)</w:t>
      </w:r>
      <w:r w:rsidRPr="00044896">
        <w:rPr>
          <w:rtl/>
        </w:rPr>
        <w:t xml:space="preserve">. ووفقاً للمادة </w:t>
      </w:r>
      <w:r w:rsidRPr="00044896">
        <w:t>5.29</w:t>
      </w:r>
      <w:r w:rsidRPr="00044896">
        <w:rPr>
          <w:rtl/>
        </w:rPr>
        <w:t xml:space="preserve"> من اللوائح المالية للاتحاد، يمكن أن تتاح التقارير النهائية للمراجعة الداخلية إلى الدول الأعضاء أو ممثليها المعيَّنين. وتلبيةً لطلب المجلس في دورته لعام </w:t>
      </w:r>
      <w:r w:rsidRPr="00044896">
        <w:t>2015</w:t>
      </w:r>
      <w:r w:rsidRPr="00044896">
        <w:rPr>
          <w:rtl/>
        </w:rPr>
        <w:t xml:space="preserve"> من الأمين العام للاتحاد، قُدمت </w:t>
      </w:r>
      <w:r w:rsidRPr="00046F2C">
        <w:rPr>
          <w:i/>
          <w:iCs/>
          <w:rtl/>
        </w:rPr>
        <w:t>لفريق العمل التابع للمجلس والمعني بالموارد المالية والبشرية</w:t>
      </w:r>
      <w:r w:rsidRPr="00044896">
        <w:rPr>
          <w:rtl/>
        </w:rPr>
        <w:t xml:space="preserve"> </w:t>
      </w:r>
      <w:r w:rsidR="00525E82">
        <w:t>(</w:t>
      </w:r>
      <w:r w:rsidRPr="00044896">
        <w:t>CWG-FHR</w:t>
      </w:r>
      <w:r w:rsidR="00525E82">
        <w:t>)</w:t>
      </w:r>
      <w:r w:rsidRPr="00044896">
        <w:rPr>
          <w:rtl/>
        </w:rPr>
        <w:t xml:space="preserve"> (في اجتماعه في أكتوبر </w:t>
      </w:r>
      <w:r w:rsidRPr="00044896">
        <w:t>2015</w:t>
      </w:r>
      <w:r w:rsidRPr="00044896">
        <w:rPr>
          <w:rtl/>
        </w:rPr>
        <w:t>) آلية مسهَّلة للنفاذ إلى تقارير المراجعة الداخلية، ونُفذت على الفور بعد ذلك. ولم ترد أثناء الفترة المشمولة بالتقرير الحالي أي طلبات للنفاذ إلى تقارير المراجعة الداخلية عبر الآلية (الجديدة) القائمة على شبكة الإنترنت.</w:t>
      </w:r>
    </w:p>
    <w:p w:rsidR="00044896" w:rsidRPr="00044896" w:rsidRDefault="00044896" w:rsidP="00F628D8">
      <w:pPr>
        <w:pStyle w:val="Headingb"/>
        <w:rPr>
          <w:rtl/>
        </w:rPr>
      </w:pPr>
      <w:r w:rsidRPr="00044896">
        <w:rPr>
          <w:rtl/>
        </w:rPr>
        <w:lastRenderedPageBreak/>
        <w:t xml:space="preserve">أهداف المهمات المتصلة بالتزامات تأكيد صحة البيانات والنتائج التي خلصت إليها </w:t>
      </w:r>
    </w:p>
    <w:p w:rsidR="00044896" w:rsidRPr="00044896" w:rsidRDefault="00044896" w:rsidP="00C70E25">
      <w:pPr>
        <w:rPr>
          <w:rtl/>
        </w:rPr>
      </w:pPr>
      <w:r w:rsidRPr="00044896">
        <w:t>6</w:t>
      </w:r>
      <w:r w:rsidRPr="00044896">
        <w:rPr>
          <w:rtl/>
        </w:rPr>
        <w:tab/>
        <w:t xml:space="preserve">تتمثل أهداف المهمات المتصلة بالتزامات تأكيد صحة البيانات في تقييم ما يلي: </w:t>
      </w:r>
      <w:proofErr w:type="gramStart"/>
      <w:r w:rsidR="00046F2C" w:rsidRPr="00046F2C">
        <w:rPr>
          <w:rtl/>
        </w:rPr>
        <w:t>’</w:t>
      </w:r>
      <w:r w:rsidR="00046F2C" w:rsidRPr="00046F2C">
        <w:t>1</w:t>
      </w:r>
      <w:r w:rsidR="00046F2C" w:rsidRPr="00046F2C">
        <w:rPr>
          <w:rtl/>
        </w:rPr>
        <w:t>‘</w:t>
      </w:r>
      <w:r w:rsidR="00C70E25">
        <w:rPr>
          <w:rFonts w:hint="eastAsia"/>
          <w:rtl/>
        </w:rPr>
        <w:t> </w:t>
      </w:r>
      <w:r w:rsidRPr="00044896">
        <w:rPr>
          <w:rtl/>
        </w:rPr>
        <w:t>جوانب</w:t>
      </w:r>
      <w:proofErr w:type="gramEnd"/>
      <w:r w:rsidRPr="00044896">
        <w:rPr>
          <w:rtl/>
        </w:rPr>
        <w:t xml:space="preserve"> إدارة عمليات الاتحاد التي جرت مراجعتها، </w:t>
      </w:r>
      <w:r w:rsidR="00046F2C" w:rsidRPr="00046F2C">
        <w:rPr>
          <w:rtl/>
        </w:rPr>
        <w:t>’</w:t>
      </w:r>
      <w:r w:rsidR="00046F2C">
        <w:t>2</w:t>
      </w:r>
      <w:r w:rsidR="00046F2C" w:rsidRPr="00046F2C">
        <w:rPr>
          <w:rtl/>
        </w:rPr>
        <w:t>‘</w:t>
      </w:r>
      <w:r w:rsidR="00C70E25">
        <w:rPr>
          <w:rFonts w:hint="eastAsia"/>
          <w:rtl/>
        </w:rPr>
        <w:t> </w:t>
      </w:r>
      <w:r w:rsidRPr="00044896">
        <w:rPr>
          <w:rtl/>
        </w:rPr>
        <w:t xml:space="preserve">ممارسات إدارة المخاطر، </w:t>
      </w:r>
      <w:r w:rsidR="00046F2C" w:rsidRPr="00046F2C">
        <w:rPr>
          <w:rtl/>
        </w:rPr>
        <w:t>’</w:t>
      </w:r>
      <w:r w:rsidR="00046F2C">
        <w:t>3</w:t>
      </w:r>
      <w:r w:rsidR="00046F2C" w:rsidRPr="00046F2C">
        <w:rPr>
          <w:rtl/>
        </w:rPr>
        <w:t>‘</w:t>
      </w:r>
      <w:r w:rsidR="00C70E25">
        <w:rPr>
          <w:rFonts w:hint="eastAsia"/>
          <w:rtl/>
        </w:rPr>
        <w:t> </w:t>
      </w:r>
      <w:r w:rsidRPr="00044896">
        <w:rPr>
          <w:rtl/>
        </w:rPr>
        <w:t>فعالية الضوابط (الداخلية). وتصنَّف التوصيات الناتجة عن أعمال المراجعة من حيث الأولوية بحسب أثر القصور المعني واحتماله (حاسمة الأهمية، كبيرة الأهمية، متوسطة الأهمية، متدنية الأهمية).</w:t>
      </w:r>
    </w:p>
    <w:p w:rsidR="00044896" w:rsidRPr="00044896" w:rsidRDefault="00044896" w:rsidP="004F1EE5">
      <w:pPr>
        <w:rPr>
          <w:rtl/>
        </w:rPr>
      </w:pPr>
      <w:r w:rsidRPr="00044896">
        <w:t>7</w:t>
      </w:r>
      <w:r w:rsidRPr="00044896">
        <w:rPr>
          <w:rtl/>
        </w:rPr>
        <w:tab/>
        <w:t>بناء</w:t>
      </w:r>
      <w:r w:rsidR="00046F2C">
        <w:rPr>
          <w:rFonts w:hint="cs"/>
          <w:rtl/>
        </w:rPr>
        <w:t>ً</w:t>
      </w:r>
      <w:r w:rsidRPr="00044896">
        <w:rPr>
          <w:rtl/>
        </w:rPr>
        <w:t xml:space="preserve"> على مختلف ما نُفذ من التزامات تأكيد صحة البيانات، خلصت وحدة المراجعة الداخلية إلى أن الافتقار إلى التوجيهات والسياسات (وإبلاغها) هو من أوجه القصور الأكثر حدوثاً بصفة عامة. وإلى حد أقل، وُجدت بعض أوجه القصور في تقييم المخاطر (على مستويات</w:t>
      </w:r>
      <w:r w:rsidR="004F1EE5">
        <w:rPr>
          <w:rFonts w:hint="cs"/>
          <w:rtl/>
        </w:rPr>
        <w:t xml:space="preserve"> مختلفة</w:t>
      </w:r>
      <w:r w:rsidRPr="00044896">
        <w:rPr>
          <w:rtl/>
        </w:rPr>
        <w:t>) للسماح لمسؤولي الاتحاد بإدارة المخاطر على نحو كاف. أما بالنسبة للعمليات والمعاملات، فإن الضوابط الداخلية تميل لأن تكون على قدر معقول من النجاعة. وتُتخذ بدعم من الأمين العام تدابير لتنفيذ التوصيات التي قدِّمت إلى الإدارة، ما سيزيد من تعزيز قدرة الاتحاد على النهوض بالمهام المنوطة به في إطار</w:t>
      </w:r>
      <w:r w:rsidR="00C70E25">
        <w:rPr>
          <w:rFonts w:hint="cs"/>
          <w:rtl/>
        </w:rPr>
        <w:t> </w:t>
      </w:r>
      <w:r w:rsidRPr="00044896">
        <w:rPr>
          <w:rtl/>
        </w:rPr>
        <w:t xml:space="preserve">ولايته. </w:t>
      </w:r>
    </w:p>
    <w:p w:rsidR="00044896" w:rsidRPr="00044896" w:rsidRDefault="00044896" w:rsidP="004F1EE5">
      <w:pPr>
        <w:rPr>
          <w:rtl/>
        </w:rPr>
      </w:pPr>
      <w:r w:rsidRPr="00044896">
        <w:t>8</w:t>
      </w:r>
      <w:r w:rsidRPr="00044896">
        <w:rPr>
          <w:rtl/>
        </w:rPr>
        <w:tab/>
      </w:r>
      <w:r w:rsidR="004F1EE5">
        <w:rPr>
          <w:rFonts w:hint="cs"/>
          <w:rtl/>
        </w:rPr>
        <w:t>تتابع وحدة المراجعة الداخلية</w:t>
      </w:r>
      <w:r w:rsidRPr="00044896">
        <w:rPr>
          <w:rtl/>
        </w:rPr>
        <w:t xml:space="preserve"> تنفيذ التدابير الموصى بها، وذلك بحسب الاقتضاء وعند الاقتضاء (انظر أيضاً الفقرة المتعلقة بمتابعة التنفيذ الواردة فيما يلي ضمن هذا التقرير).</w:t>
      </w:r>
    </w:p>
    <w:p w:rsidR="00044896" w:rsidRPr="00044896" w:rsidRDefault="00044896" w:rsidP="00F628D8">
      <w:pPr>
        <w:keepNext/>
        <w:spacing w:before="240"/>
        <w:rPr>
          <w:i/>
          <w:iCs/>
          <w:rtl/>
        </w:rPr>
      </w:pPr>
      <w:r w:rsidRPr="00044896">
        <w:rPr>
          <w:i/>
          <w:iCs/>
          <w:rtl/>
        </w:rPr>
        <w:t>وقد نُفِّذ ما يلي من المهمات المتصلة بالتزامات تأكيد صحة البيانات:</w:t>
      </w:r>
    </w:p>
    <w:p w:rsidR="00044896" w:rsidRPr="00044896" w:rsidRDefault="00044896" w:rsidP="00F57B46">
      <w:pPr>
        <w:pStyle w:val="Headingbi"/>
        <w:rPr>
          <w:rtl/>
        </w:rPr>
      </w:pPr>
      <w:r w:rsidRPr="00044896">
        <w:rPr>
          <w:rtl/>
        </w:rPr>
        <w:t>ألف</w:t>
      </w:r>
      <w:r w:rsidR="00046F2C">
        <w:rPr>
          <w:rFonts w:hint="cs"/>
          <w:rtl/>
        </w:rPr>
        <w:t xml:space="preserve"> </w:t>
      </w:r>
      <w:r w:rsidR="00046F2C">
        <w:rPr>
          <w:rtl/>
        </w:rPr>
        <w:t>-</w:t>
      </w:r>
      <w:r w:rsidR="00046F2C">
        <w:rPr>
          <w:rtl/>
        </w:rPr>
        <w:tab/>
      </w:r>
      <w:r w:rsidRPr="00044896">
        <w:rPr>
          <w:rtl/>
        </w:rPr>
        <w:t>مراجعة السفر بين الاتحاد/المقر الرئيسي والمكاتب الإقليمية/مكاتب المناطق</w:t>
      </w:r>
    </w:p>
    <w:p w:rsidR="00044896" w:rsidRPr="00044896" w:rsidRDefault="00044896" w:rsidP="00044896">
      <w:pPr>
        <w:rPr>
          <w:rtl/>
        </w:rPr>
      </w:pPr>
      <w:r w:rsidRPr="00044896">
        <w:t>9</w:t>
      </w:r>
      <w:r w:rsidRPr="00044896">
        <w:rPr>
          <w:rtl/>
        </w:rPr>
        <w:tab/>
        <w:t xml:space="preserve">كان </w:t>
      </w:r>
      <w:r w:rsidRPr="00044896">
        <w:rPr>
          <w:u w:val="single"/>
          <w:rtl/>
        </w:rPr>
        <w:t>الغرض</w:t>
      </w:r>
      <w:r w:rsidRPr="00044896">
        <w:rPr>
          <w:rtl/>
        </w:rPr>
        <w:t xml:space="preserve"> من المراجعة هو تقييم المدى الذي</w:t>
      </w:r>
      <w:r w:rsidR="004F1EE5">
        <w:rPr>
          <w:rFonts w:hint="cs"/>
          <w:rtl/>
        </w:rPr>
        <w:t xml:space="preserve"> أمكن فيه، أو</w:t>
      </w:r>
      <w:r w:rsidRPr="00044896">
        <w:rPr>
          <w:rtl/>
        </w:rPr>
        <w:t xml:space="preserve"> يمكن فيه</w:t>
      </w:r>
      <w:r w:rsidR="004F1EE5">
        <w:rPr>
          <w:rFonts w:hint="cs"/>
          <w:rtl/>
        </w:rPr>
        <w:t>،</w:t>
      </w:r>
      <w:r w:rsidRPr="00044896">
        <w:rPr>
          <w:rtl/>
        </w:rPr>
        <w:t xml:space="preserve"> التخفيف من السفر بين الاتحاد/المقر الرئيسي والمكاتب الإقليمية/مكاتب المناطق - أو الاستعاضة عنه - بأساليب العمل الإلكترونية الداخلية، على نحو يحتمل أن يؤدي إلى خفض النفقات. وشملت المراجعة الفترة من </w:t>
      </w:r>
      <w:r w:rsidRPr="00044896">
        <w:t>1</w:t>
      </w:r>
      <w:r w:rsidRPr="00044896">
        <w:rPr>
          <w:rtl/>
        </w:rPr>
        <w:t xml:space="preserve"> يناير </w:t>
      </w:r>
      <w:r w:rsidRPr="00044896">
        <w:t>2012</w:t>
      </w:r>
      <w:r w:rsidRPr="00044896">
        <w:rPr>
          <w:rtl/>
        </w:rPr>
        <w:t xml:space="preserve"> إلى </w:t>
      </w:r>
      <w:r w:rsidRPr="00044896">
        <w:t>31</w:t>
      </w:r>
      <w:r w:rsidRPr="00044896">
        <w:rPr>
          <w:rtl/>
        </w:rPr>
        <w:t xml:space="preserve"> ديسمبر </w:t>
      </w:r>
      <w:r w:rsidRPr="00044896">
        <w:t>2014</w:t>
      </w:r>
      <w:r w:rsidRPr="00044896">
        <w:rPr>
          <w:rtl/>
        </w:rPr>
        <w:t>.</w:t>
      </w:r>
    </w:p>
    <w:p w:rsidR="00044896" w:rsidRPr="00044896" w:rsidRDefault="00044896" w:rsidP="004F1EE5">
      <w:pPr>
        <w:rPr>
          <w:rtl/>
        </w:rPr>
      </w:pPr>
      <w:r w:rsidRPr="00044896">
        <w:t>10</w:t>
      </w:r>
      <w:r w:rsidRPr="00044896">
        <w:rPr>
          <w:rtl/>
        </w:rPr>
        <w:tab/>
        <w:t xml:space="preserve">وخُلص إلى أن البعثات التي جرت في الماضي </w:t>
      </w:r>
      <w:r w:rsidR="004F1EE5">
        <w:rPr>
          <w:rFonts w:hint="cs"/>
          <w:rtl/>
        </w:rPr>
        <w:t>كان من الصعب</w:t>
      </w:r>
      <w:r w:rsidRPr="00044896">
        <w:rPr>
          <w:rtl/>
        </w:rPr>
        <w:t xml:space="preserve"> التخفيف منها أو الاستعاضة عنها بأساليب العمل الإلكترونية الداخلية. بيد أن ثمة مجالاً محتملاً لأسلوب العمل عن ب</w:t>
      </w:r>
      <w:r w:rsidR="00046F2C">
        <w:rPr>
          <w:rFonts w:hint="cs"/>
          <w:rtl/>
        </w:rPr>
        <w:t>ُ</w:t>
      </w:r>
      <w:r w:rsidRPr="00044896">
        <w:rPr>
          <w:rtl/>
        </w:rPr>
        <w:t xml:space="preserve">عد يكمن في البعثات المتعلقة </w:t>
      </w:r>
      <w:r w:rsidRPr="00046F2C">
        <w:rPr>
          <w:i/>
          <w:iCs/>
          <w:rtl/>
        </w:rPr>
        <w:t xml:space="preserve">بالتدريب </w:t>
      </w:r>
      <w:r w:rsidRPr="00044896">
        <w:rPr>
          <w:rtl/>
        </w:rPr>
        <w:t xml:space="preserve">كلما أمكن ذلك. وعلقت الإدارة بالقول إن مكتب تنمية الاتصالات قد اتخذ بالفعل تدابير جوهرية تتوخى الكفاءة والاقتصاد فيما يتعلق بالسفر. وعموماً، توفر النتائج المستقاة من المراجعة </w:t>
      </w:r>
      <w:r w:rsidRPr="00044896">
        <w:rPr>
          <w:i/>
          <w:iCs/>
          <w:rtl/>
        </w:rPr>
        <w:t>تأكيداً معقولاً</w:t>
      </w:r>
      <w:r w:rsidRPr="00F628D8">
        <w:rPr>
          <w:rStyle w:val="FootnoteReference"/>
          <w:rtl/>
        </w:rPr>
        <w:footnoteReference w:id="4"/>
      </w:r>
      <w:r w:rsidRPr="00044896">
        <w:rPr>
          <w:rtl/>
        </w:rPr>
        <w:t xml:space="preserve"> للأمين العام، فيما يتعلق بالسفر بين الاتحاد/المقر الرئيسي والمكاتب الإقليمية/مكاتب المناطق، بأن أساليب العمل الإلكترونية الداخلية منفذَّة على نحو كاف، وبأن موارد الاتحاد تُستخدم استخداماً مقتصداً بقدر</w:t>
      </w:r>
      <w:r w:rsidR="00F628D8">
        <w:rPr>
          <w:rFonts w:hint="cs"/>
          <w:rtl/>
        </w:rPr>
        <w:t> </w:t>
      </w:r>
      <w:r w:rsidRPr="00044896">
        <w:rPr>
          <w:rtl/>
        </w:rPr>
        <w:t>معقول.</w:t>
      </w:r>
    </w:p>
    <w:p w:rsidR="00044896" w:rsidRPr="00044896" w:rsidRDefault="00044896" w:rsidP="004F1EE5">
      <w:pPr>
        <w:pStyle w:val="Headingbi"/>
        <w:rPr>
          <w:rtl/>
        </w:rPr>
      </w:pPr>
      <w:r w:rsidRPr="00044896">
        <w:rPr>
          <w:rtl/>
        </w:rPr>
        <w:lastRenderedPageBreak/>
        <w:t>باء</w:t>
      </w:r>
      <w:r w:rsidR="00046F2C">
        <w:rPr>
          <w:rtl/>
        </w:rPr>
        <w:t xml:space="preserve"> -</w:t>
      </w:r>
      <w:r w:rsidR="00046F2C">
        <w:rPr>
          <w:rtl/>
        </w:rPr>
        <w:tab/>
      </w:r>
      <w:r w:rsidRPr="00044896">
        <w:rPr>
          <w:rtl/>
        </w:rPr>
        <w:t>مراجعة استعراض رتب الوظائف الشاغرة وإمكانية تخفيضها</w:t>
      </w:r>
    </w:p>
    <w:p w:rsidR="00044896" w:rsidRPr="00044896" w:rsidRDefault="00044896" w:rsidP="00C70E25">
      <w:pPr>
        <w:rPr>
          <w:rtl/>
        </w:rPr>
      </w:pPr>
      <w:r w:rsidRPr="00044896">
        <w:t>11</w:t>
      </w:r>
      <w:r w:rsidRPr="00044896">
        <w:rPr>
          <w:rtl/>
        </w:rPr>
        <w:tab/>
        <w:t xml:space="preserve">تمثلت </w:t>
      </w:r>
      <w:r w:rsidRPr="00044896">
        <w:rPr>
          <w:u w:val="single"/>
          <w:rtl/>
        </w:rPr>
        <w:t>أغراض</w:t>
      </w:r>
      <w:r w:rsidRPr="00044896">
        <w:rPr>
          <w:rtl/>
        </w:rPr>
        <w:t xml:space="preserve"> المراجعة في تقييم عملية تصنيف الوظائف ومدى الوفورات المتحققة من استعراض رتب الوظائف الشاغرة. وكذلك شملت المراج</w:t>
      </w:r>
      <w:r w:rsidR="004F1EE5">
        <w:rPr>
          <w:rtl/>
        </w:rPr>
        <w:t>عة جزئياً استعراض الوظائف و</w:t>
      </w:r>
      <w:r w:rsidR="004F1EE5">
        <w:rPr>
          <w:rFonts w:hint="cs"/>
          <w:rtl/>
        </w:rPr>
        <w:t>رفع رتب</w:t>
      </w:r>
      <w:r w:rsidRPr="00044896">
        <w:rPr>
          <w:rtl/>
        </w:rPr>
        <w:t>ها من أجل الحصول على صورة شاملة فيما يتعلق بآلية</w:t>
      </w:r>
      <w:r w:rsidR="004F1EE5">
        <w:rPr>
          <w:rtl/>
        </w:rPr>
        <w:t xml:space="preserve"> تصنيف الوظائف والأثر المالي ل</w:t>
      </w:r>
      <w:r w:rsidR="004F1EE5">
        <w:rPr>
          <w:rFonts w:hint="cs"/>
          <w:rtl/>
        </w:rPr>
        <w:t>رفع رتب</w:t>
      </w:r>
      <w:r w:rsidRPr="00044896">
        <w:rPr>
          <w:rtl/>
        </w:rPr>
        <w:t xml:space="preserve"> الوظائف. وشملت المراجعة الفترة من </w:t>
      </w:r>
      <w:r w:rsidRPr="00044896">
        <w:t>1</w:t>
      </w:r>
      <w:r w:rsidRPr="00044896">
        <w:rPr>
          <w:rtl/>
        </w:rPr>
        <w:t xml:space="preserve"> يناير </w:t>
      </w:r>
      <w:r w:rsidRPr="00044896">
        <w:t>2012</w:t>
      </w:r>
      <w:r w:rsidRPr="00044896">
        <w:rPr>
          <w:rtl/>
        </w:rPr>
        <w:t xml:space="preserve"> إلى </w:t>
      </w:r>
      <w:r w:rsidRPr="00044896">
        <w:t>31</w:t>
      </w:r>
      <w:r w:rsidRPr="00044896">
        <w:rPr>
          <w:rtl/>
        </w:rPr>
        <w:t xml:space="preserve"> ديسمبر</w:t>
      </w:r>
      <w:r w:rsidR="00C70E25">
        <w:rPr>
          <w:rFonts w:hint="cs"/>
          <w:rtl/>
        </w:rPr>
        <w:t> </w:t>
      </w:r>
      <w:r w:rsidRPr="00044896">
        <w:t>2014</w:t>
      </w:r>
      <w:r w:rsidRPr="00044896">
        <w:rPr>
          <w:rtl/>
        </w:rPr>
        <w:t>.</w:t>
      </w:r>
    </w:p>
    <w:p w:rsidR="00044896" w:rsidRPr="00044896" w:rsidRDefault="00044896" w:rsidP="00046F2C">
      <w:pPr>
        <w:rPr>
          <w:rtl/>
        </w:rPr>
      </w:pPr>
      <w:r w:rsidRPr="00044896">
        <w:t>12</w:t>
      </w:r>
      <w:r w:rsidRPr="00044896">
        <w:rPr>
          <w:rtl/>
        </w:rPr>
        <w:tab/>
        <w:t xml:space="preserve">وخُلص إلى أن خفض رتب الوظائف في الفترة </w:t>
      </w:r>
      <w:r w:rsidRPr="00044896">
        <w:t>2012</w:t>
      </w:r>
      <w:r w:rsidRPr="00044896">
        <w:rPr>
          <w:rtl/>
        </w:rPr>
        <w:t>-</w:t>
      </w:r>
      <w:r w:rsidRPr="00044896">
        <w:t>2014</w:t>
      </w:r>
      <w:r w:rsidRPr="00044896">
        <w:rPr>
          <w:rtl/>
        </w:rPr>
        <w:t xml:space="preserve"> حقق وفورات سنوية بقيمة </w:t>
      </w:r>
      <w:r w:rsidRPr="00044896">
        <w:rPr>
          <w:lang w:val="en-GB"/>
        </w:rPr>
        <w:t>370</w:t>
      </w:r>
      <w:r w:rsidR="00046F2C">
        <w:rPr>
          <w:lang w:val="en-GB"/>
        </w:rPr>
        <w:t> </w:t>
      </w:r>
      <w:r w:rsidRPr="00044896">
        <w:rPr>
          <w:lang w:val="en-GB"/>
        </w:rPr>
        <w:t>728</w:t>
      </w:r>
      <w:r w:rsidRPr="00044896">
        <w:rPr>
          <w:rtl/>
        </w:rPr>
        <w:t xml:space="preserve"> فرنكاً سويسرياً. ويقابلها </w:t>
      </w:r>
      <w:r w:rsidRPr="00044896">
        <w:rPr>
          <w:lang w:val="en-GB"/>
        </w:rPr>
        <w:t>257</w:t>
      </w:r>
      <w:r w:rsidR="00046F2C">
        <w:rPr>
          <w:lang w:val="en-GB"/>
        </w:rPr>
        <w:t> </w:t>
      </w:r>
      <w:r w:rsidRPr="00044896">
        <w:rPr>
          <w:lang w:val="en-GB"/>
        </w:rPr>
        <w:t>251</w:t>
      </w:r>
      <w:r w:rsidRPr="00044896">
        <w:rPr>
          <w:rtl/>
        </w:rPr>
        <w:t xml:space="preserve"> فرنكاً سويسرياً من الن</w:t>
      </w:r>
      <w:r w:rsidR="004F1EE5">
        <w:rPr>
          <w:rtl/>
        </w:rPr>
        <w:t xml:space="preserve">فقات السنوية الإضافية بسبب </w:t>
      </w:r>
      <w:r w:rsidR="004F1EE5">
        <w:rPr>
          <w:rFonts w:hint="cs"/>
          <w:rtl/>
        </w:rPr>
        <w:t>رفع رتب ال</w:t>
      </w:r>
      <w:r w:rsidRPr="00044896">
        <w:rPr>
          <w:rtl/>
        </w:rPr>
        <w:t>وظائف. وتُضبط عملية التصنيف ضبطاً جيداً وتدار مخاطر التبريرات غير المناسبة لأغراض التصنيف مما يؤدى إلى اتخاذ قرارات التصنيف السليمة. وتدعو الحاجة إلى تحسين في</w:t>
      </w:r>
      <w:r w:rsidR="000D2A8E">
        <w:rPr>
          <w:rFonts w:hint="cs"/>
          <w:rtl/>
        </w:rPr>
        <w:t> </w:t>
      </w:r>
      <w:r w:rsidRPr="00044896">
        <w:rPr>
          <w:rtl/>
        </w:rPr>
        <w:t>جانب الإدارة عن طريق تحديث الأمر الإداري المعمول به. وعلقت دائرة إدارة الموارد البشرية بالقول إن ذلك الأمر الإداري يجري</w:t>
      </w:r>
      <w:r w:rsidR="000D2A8E">
        <w:rPr>
          <w:rFonts w:hint="cs"/>
          <w:rtl/>
        </w:rPr>
        <w:t> </w:t>
      </w:r>
      <w:r w:rsidRPr="00044896">
        <w:rPr>
          <w:rtl/>
        </w:rPr>
        <w:t>إعداده.</w:t>
      </w:r>
    </w:p>
    <w:p w:rsidR="00044896" w:rsidRPr="00044896" w:rsidRDefault="00044896" w:rsidP="00044896">
      <w:pPr>
        <w:rPr>
          <w:rtl/>
        </w:rPr>
      </w:pPr>
      <w:r w:rsidRPr="00044896">
        <w:t>13</w:t>
      </w:r>
      <w:r w:rsidRPr="00044896">
        <w:rPr>
          <w:rtl/>
        </w:rPr>
        <w:tab/>
        <w:t xml:space="preserve">وعموماً، توفر النتائج المستقاة من المراجعة </w:t>
      </w:r>
      <w:r w:rsidRPr="00044896">
        <w:rPr>
          <w:i/>
          <w:iCs/>
          <w:rtl/>
        </w:rPr>
        <w:t>تأكيداً معقولاً</w:t>
      </w:r>
      <w:r w:rsidRPr="00044896">
        <w:rPr>
          <w:rtl/>
        </w:rPr>
        <w:t xml:space="preserve"> للأمين العام بوجود ضوابط فعالة لعملية التصنيف وبإدارة مخاطر التصنيف تلك. وتحتاج جوانب الإدارة إلى تحسين. وخلصت وحدة المراجعة الداخلية أيضاً إلى أن وفورات قد تحققت بخفض رتب الوظائف الشاغرة في الفترة </w:t>
      </w:r>
      <w:r w:rsidRPr="00044896">
        <w:t>2012</w:t>
      </w:r>
      <w:r w:rsidRPr="00044896">
        <w:rPr>
          <w:rtl/>
        </w:rPr>
        <w:t>-</w:t>
      </w:r>
      <w:r w:rsidRPr="00044896">
        <w:t>2014</w:t>
      </w:r>
      <w:r w:rsidRPr="00044896">
        <w:rPr>
          <w:rtl/>
        </w:rPr>
        <w:t>.</w:t>
      </w:r>
    </w:p>
    <w:p w:rsidR="00044896" w:rsidRPr="00044896" w:rsidRDefault="00044896" w:rsidP="00F57B46">
      <w:pPr>
        <w:pStyle w:val="Headingbi"/>
        <w:rPr>
          <w:rtl/>
        </w:rPr>
      </w:pPr>
      <w:r w:rsidRPr="00044896">
        <w:rPr>
          <w:rtl/>
        </w:rPr>
        <w:t>جيم</w:t>
      </w:r>
      <w:r w:rsidR="00046F2C">
        <w:rPr>
          <w:rtl/>
        </w:rPr>
        <w:t xml:space="preserve"> -</w:t>
      </w:r>
      <w:r w:rsidR="00046F2C">
        <w:rPr>
          <w:rtl/>
        </w:rPr>
        <w:tab/>
      </w:r>
      <w:r w:rsidRPr="00044896">
        <w:rPr>
          <w:rtl/>
        </w:rPr>
        <w:t>مراجعة حسابات الخزينة وعملية الاستثمار</w:t>
      </w:r>
    </w:p>
    <w:p w:rsidR="00044896" w:rsidRPr="00044896" w:rsidRDefault="00044896" w:rsidP="00C70E25">
      <w:pPr>
        <w:rPr>
          <w:rtl/>
        </w:rPr>
      </w:pPr>
      <w:r w:rsidRPr="00044896">
        <w:t>14</w:t>
      </w:r>
      <w:r w:rsidRPr="00044896">
        <w:rPr>
          <w:rtl/>
        </w:rPr>
        <w:tab/>
        <w:t xml:space="preserve">تمثلت </w:t>
      </w:r>
      <w:r w:rsidRPr="00044896">
        <w:rPr>
          <w:u w:val="single"/>
          <w:rtl/>
        </w:rPr>
        <w:t>أغراض</w:t>
      </w:r>
      <w:r w:rsidRPr="00044896">
        <w:rPr>
          <w:rtl/>
        </w:rPr>
        <w:t xml:space="preserve"> المراجعة فيما يلي: </w:t>
      </w:r>
      <w:proofErr w:type="gramStart"/>
      <w:r w:rsidR="00046F2C" w:rsidRPr="00046F2C">
        <w:rPr>
          <w:rtl/>
        </w:rPr>
        <w:t>’</w:t>
      </w:r>
      <w:r w:rsidR="00046F2C">
        <w:t>1</w:t>
      </w:r>
      <w:r w:rsidR="00046F2C" w:rsidRPr="00046F2C">
        <w:rPr>
          <w:rtl/>
        </w:rPr>
        <w:t>‘</w:t>
      </w:r>
      <w:r w:rsidRPr="00044896">
        <w:rPr>
          <w:rtl/>
        </w:rPr>
        <w:t xml:space="preserve"> استعراض</w:t>
      </w:r>
      <w:proofErr w:type="gramEnd"/>
      <w:r w:rsidRPr="00044896">
        <w:rPr>
          <w:rtl/>
        </w:rPr>
        <w:t xml:space="preserve"> وتقييم الضوابط الداخلية (والإبلاغ)، فضلاً عن فعاليتها في</w:t>
      </w:r>
      <w:r w:rsidR="00C70E25">
        <w:rPr>
          <w:rFonts w:hint="cs"/>
          <w:rtl/>
        </w:rPr>
        <w:t> </w:t>
      </w:r>
      <w:r w:rsidRPr="00044896">
        <w:rPr>
          <w:rtl/>
        </w:rPr>
        <w:t>العمليات المتعلقة بالقرارات الاستثمارية للاتحاد؛</w:t>
      </w:r>
      <w:r w:rsidR="00046F2C">
        <w:rPr>
          <w:rFonts w:hint="cs"/>
          <w:rtl/>
        </w:rPr>
        <w:t xml:space="preserve"> </w:t>
      </w:r>
      <w:r w:rsidR="00046F2C" w:rsidRPr="00046F2C">
        <w:rPr>
          <w:rtl/>
        </w:rPr>
        <w:t>’</w:t>
      </w:r>
      <w:r w:rsidR="00046F2C" w:rsidRPr="00046F2C">
        <w:t>2</w:t>
      </w:r>
      <w:r w:rsidR="00046F2C" w:rsidRPr="00046F2C">
        <w:rPr>
          <w:rtl/>
        </w:rPr>
        <w:t>‘</w:t>
      </w:r>
      <w:r w:rsidR="00046F2C">
        <w:rPr>
          <w:rFonts w:hint="cs"/>
          <w:rtl/>
        </w:rPr>
        <w:t xml:space="preserve"> </w:t>
      </w:r>
      <w:r w:rsidRPr="00044896">
        <w:rPr>
          <w:rtl/>
        </w:rPr>
        <w:t>التحقق من عملية الإدارة والسياسات والإجراءات والإطار التنظيمي؛</w:t>
      </w:r>
      <w:r w:rsidR="00046F2C">
        <w:rPr>
          <w:rFonts w:hint="cs"/>
          <w:rtl/>
        </w:rPr>
        <w:t xml:space="preserve"> </w:t>
      </w:r>
      <w:r w:rsidR="00046F2C" w:rsidRPr="00046F2C">
        <w:rPr>
          <w:rtl/>
        </w:rPr>
        <w:t>’</w:t>
      </w:r>
      <w:r w:rsidR="00046F2C">
        <w:t>3</w:t>
      </w:r>
      <w:r w:rsidR="00046F2C" w:rsidRPr="00046F2C">
        <w:rPr>
          <w:rtl/>
        </w:rPr>
        <w:t>‘</w:t>
      </w:r>
      <w:r w:rsidR="00046F2C">
        <w:rPr>
          <w:rFonts w:hint="cs"/>
          <w:rtl/>
        </w:rPr>
        <w:t xml:space="preserve"> </w:t>
      </w:r>
      <w:r w:rsidRPr="00044896">
        <w:rPr>
          <w:rtl/>
        </w:rPr>
        <w:t xml:space="preserve">تقييم كيفية إدارة المخاطر المرتبطة بالأنشطة الاستثمارية. وشملت المراجعة الفترة </w:t>
      </w:r>
      <w:r w:rsidRPr="00044896">
        <w:t>2012</w:t>
      </w:r>
      <w:r w:rsidRPr="00044896">
        <w:rPr>
          <w:rtl/>
        </w:rPr>
        <w:t>-</w:t>
      </w:r>
      <w:r w:rsidRPr="00044896">
        <w:t>2014</w:t>
      </w:r>
      <w:r w:rsidRPr="00044896">
        <w:rPr>
          <w:rtl/>
        </w:rPr>
        <w:t xml:space="preserve"> (وفترة قصيرة من عام</w:t>
      </w:r>
      <w:r w:rsidR="00C70E25">
        <w:rPr>
          <w:rFonts w:hint="cs"/>
          <w:rtl/>
        </w:rPr>
        <w:t> </w:t>
      </w:r>
      <w:r w:rsidRPr="00044896">
        <w:t>2015</w:t>
      </w:r>
      <w:r w:rsidRPr="00044896">
        <w:rPr>
          <w:rtl/>
        </w:rPr>
        <w:t>).</w:t>
      </w:r>
    </w:p>
    <w:p w:rsidR="00044896" w:rsidRPr="00044896" w:rsidRDefault="00044896" w:rsidP="00C70E25">
      <w:pPr>
        <w:rPr>
          <w:rtl/>
        </w:rPr>
      </w:pPr>
      <w:r w:rsidRPr="00044896">
        <w:t>15</w:t>
      </w:r>
      <w:r w:rsidRPr="00044896">
        <w:rPr>
          <w:rtl/>
        </w:rPr>
        <w:tab/>
        <w:t xml:space="preserve">ونوهت وحدة المراجعة الداخلية بجوانب إيجابية مثل: </w:t>
      </w:r>
      <w:proofErr w:type="gramStart"/>
      <w:r w:rsidR="00046F2C" w:rsidRPr="00046F2C">
        <w:rPr>
          <w:rtl/>
        </w:rPr>
        <w:t>’</w:t>
      </w:r>
      <w:r w:rsidR="00046F2C" w:rsidRPr="00046F2C">
        <w:t>1</w:t>
      </w:r>
      <w:r w:rsidR="00046F2C" w:rsidRPr="00046F2C">
        <w:rPr>
          <w:rtl/>
        </w:rPr>
        <w:t>‘</w:t>
      </w:r>
      <w:r w:rsidR="00C70E25">
        <w:rPr>
          <w:rFonts w:hint="cs"/>
          <w:rtl/>
        </w:rPr>
        <w:t> </w:t>
      </w:r>
      <w:r w:rsidRPr="00044896">
        <w:rPr>
          <w:rtl/>
        </w:rPr>
        <w:t>توفر</w:t>
      </w:r>
      <w:proofErr w:type="gramEnd"/>
      <w:r w:rsidRPr="00044896">
        <w:rPr>
          <w:rtl/>
        </w:rPr>
        <w:t xml:space="preserve"> نقد</w:t>
      </w:r>
      <w:r w:rsidR="002D7EF2">
        <w:rPr>
          <w:rFonts w:hint="cs"/>
          <w:rtl/>
        </w:rPr>
        <w:t>ية</w:t>
      </w:r>
      <w:r w:rsidRPr="00044896">
        <w:rPr>
          <w:rtl/>
        </w:rPr>
        <w:t xml:space="preserve"> كاف</w:t>
      </w:r>
      <w:r w:rsidR="002D7EF2">
        <w:rPr>
          <w:rFonts w:hint="cs"/>
          <w:rtl/>
        </w:rPr>
        <w:t>ية</w:t>
      </w:r>
      <w:r w:rsidRPr="00044896">
        <w:rPr>
          <w:rtl/>
        </w:rPr>
        <w:t xml:space="preserve"> عند الطلب لتغطية النفقات التشغيلية المتوقعة (لم تكشف عينة المراجعة عن أي حالات نقص في السيولة)؛ </w:t>
      </w:r>
      <w:r w:rsidR="00046F2C" w:rsidRPr="00046F2C">
        <w:rPr>
          <w:rtl/>
        </w:rPr>
        <w:t>’</w:t>
      </w:r>
      <w:r w:rsidR="00046F2C" w:rsidRPr="00046F2C">
        <w:t>2</w:t>
      </w:r>
      <w:r w:rsidR="00046F2C" w:rsidRPr="00046F2C">
        <w:rPr>
          <w:rtl/>
        </w:rPr>
        <w:t>‘</w:t>
      </w:r>
      <w:r w:rsidR="00C70E25">
        <w:rPr>
          <w:rFonts w:hint="cs"/>
          <w:rtl/>
        </w:rPr>
        <w:t> </w:t>
      </w:r>
      <w:r w:rsidRPr="00044896">
        <w:rPr>
          <w:rtl/>
        </w:rPr>
        <w:t>التوقيعات المزدوجة على تعليمات الاستثمار إلى المصارف (لم</w:t>
      </w:r>
      <w:r w:rsidR="00525E82">
        <w:rPr>
          <w:rFonts w:hint="cs"/>
          <w:rtl/>
        </w:rPr>
        <w:t> </w:t>
      </w:r>
      <w:r w:rsidRPr="00044896">
        <w:rPr>
          <w:rtl/>
        </w:rPr>
        <w:t>يُعثر على أي حالات من</w:t>
      </w:r>
      <w:r w:rsidR="002D7EF2">
        <w:rPr>
          <w:rFonts w:hint="cs"/>
          <w:rtl/>
        </w:rPr>
        <w:t xml:space="preserve"> الخطأ في</w:t>
      </w:r>
      <w:r w:rsidR="002D7EF2">
        <w:rPr>
          <w:rtl/>
        </w:rPr>
        <w:t xml:space="preserve"> المعاملات/</w:t>
      </w:r>
      <w:r w:rsidR="002D7EF2">
        <w:rPr>
          <w:rFonts w:hint="cs"/>
          <w:rtl/>
        </w:rPr>
        <w:t>المراسلات ب</w:t>
      </w:r>
      <w:r w:rsidR="002D7EF2">
        <w:rPr>
          <w:rtl/>
        </w:rPr>
        <w:t>الفاكس</w:t>
      </w:r>
      <w:r w:rsidRPr="00044896">
        <w:rPr>
          <w:rtl/>
        </w:rPr>
        <w:t xml:space="preserve"> في الملفات التي استُعرضت)؛ </w:t>
      </w:r>
      <w:r w:rsidR="00046F2C" w:rsidRPr="00046F2C">
        <w:rPr>
          <w:rtl/>
        </w:rPr>
        <w:t>’</w:t>
      </w:r>
      <w:r w:rsidR="00046F2C" w:rsidRPr="00046F2C">
        <w:t>3</w:t>
      </w:r>
      <w:r w:rsidR="00046F2C" w:rsidRPr="00046F2C">
        <w:rPr>
          <w:rtl/>
        </w:rPr>
        <w:t>‘</w:t>
      </w:r>
      <w:r w:rsidR="00C70E25">
        <w:rPr>
          <w:rFonts w:hint="cs"/>
          <w:rtl/>
        </w:rPr>
        <w:t> </w:t>
      </w:r>
      <w:r w:rsidRPr="00044896">
        <w:rPr>
          <w:rtl/>
        </w:rPr>
        <w:t>لم</w:t>
      </w:r>
      <w:r w:rsidR="00C70E25">
        <w:rPr>
          <w:rFonts w:hint="cs"/>
          <w:rtl/>
        </w:rPr>
        <w:t> </w:t>
      </w:r>
      <w:r w:rsidRPr="00044896">
        <w:rPr>
          <w:rtl/>
        </w:rPr>
        <w:t>يُعثر على</w:t>
      </w:r>
      <w:r w:rsidR="002D7EF2">
        <w:rPr>
          <w:rFonts w:hint="cs"/>
          <w:rtl/>
        </w:rPr>
        <w:t xml:space="preserve"> أي</w:t>
      </w:r>
      <w:r w:rsidR="00C70E25">
        <w:rPr>
          <w:rFonts w:hint="cs"/>
          <w:rtl/>
        </w:rPr>
        <w:t> </w:t>
      </w:r>
      <w:r w:rsidRPr="00044896">
        <w:rPr>
          <w:rtl/>
        </w:rPr>
        <w:t xml:space="preserve">حالات </w:t>
      </w:r>
      <w:r w:rsidR="002D7EF2">
        <w:rPr>
          <w:rFonts w:hint="cs"/>
          <w:rtl/>
        </w:rPr>
        <w:t xml:space="preserve">تجاوز تتمثل في </w:t>
      </w:r>
      <w:r w:rsidRPr="00044896">
        <w:rPr>
          <w:rtl/>
        </w:rPr>
        <w:t>معاملات غير متوافقة في الملفات المتعلقة بالاستثمارات.</w:t>
      </w:r>
    </w:p>
    <w:p w:rsidR="00044896" w:rsidRPr="00044896" w:rsidRDefault="00044896" w:rsidP="002D7EF2">
      <w:pPr>
        <w:rPr>
          <w:rtl/>
        </w:rPr>
      </w:pPr>
      <w:r w:rsidRPr="00044896">
        <w:t>16</w:t>
      </w:r>
      <w:r w:rsidRPr="00044896">
        <w:rPr>
          <w:rtl/>
        </w:rPr>
        <w:tab/>
        <w:t xml:space="preserve">الملاحظات والتوصيات </w:t>
      </w:r>
      <w:r w:rsidR="002D7EF2">
        <w:rPr>
          <w:rFonts w:hint="cs"/>
          <w:rtl/>
        </w:rPr>
        <w:t>ذات</w:t>
      </w:r>
      <w:r w:rsidRPr="00044896">
        <w:rPr>
          <w:rtl/>
        </w:rPr>
        <w:t xml:space="preserve"> الأولويةِ </w:t>
      </w:r>
      <w:r w:rsidR="002D7EF2">
        <w:rPr>
          <w:rFonts w:hint="cs"/>
          <w:rtl/>
        </w:rPr>
        <w:t xml:space="preserve">العالية </w:t>
      </w:r>
      <w:r w:rsidRPr="00044896">
        <w:rPr>
          <w:rtl/>
        </w:rPr>
        <w:t>المقدَّمة في إطار المراجعة الداخلية وتعليقات الإدارة عليها:</w:t>
      </w:r>
    </w:p>
    <w:p w:rsidR="00044896" w:rsidRPr="00044896" w:rsidRDefault="00044896" w:rsidP="002D7EF2">
      <w:pPr>
        <w:pStyle w:val="enumlev1"/>
        <w:rPr>
          <w:rtl/>
        </w:rPr>
      </w:pPr>
      <w:r w:rsidRPr="00044896">
        <w:rPr>
          <w:rtl/>
        </w:rPr>
        <w:t>’</w:t>
      </w:r>
      <w:r w:rsidRPr="00044896">
        <w:t>1</w:t>
      </w:r>
      <w:r w:rsidRPr="00044896">
        <w:rPr>
          <w:rtl/>
        </w:rPr>
        <w:t>‘</w:t>
      </w:r>
      <w:r w:rsidRPr="00044896">
        <w:rPr>
          <w:rtl/>
        </w:rPr>
        <w:tab/>
        <w:t xml:space="preserve">قُدمت توصية باتخاذ إجراء لإدارة أسعار الفائدة السلبية وبالنظر في تشكيل فريق استشاري داخلي. وعلقت الإدارة بالقول إن جميع الآثار القانونية والمالية يتعين أن تؤخذ بعين الاعتبار وأن إجراءً رسمياً على المدى البعيد سيُعَد ويقدَّم </w:t>
      </w:r>
      <w:r w:rsidR="002D7EF2">
        <w:rPr>
          <w:rFonts w:hint="cs"/>
          <w:rtl/>
        </w:rPr>
        <w:t>إلى</w:t>
      </w:r>
      <w:r w:rsidRPr="00044896">
        <w:rPr>
          <w:rtl/>
        </w:rPr>
        <w:t xml:space="preserve"> الأمين العام</w:t>
      </w:r>
      <w:r w:rsidR="002D7EF2">
        <w:rPr>
          <w:rFonts w:hint="cs"/>
          <w:rtl/>
        </w:rPr>
        <w:t xml:space="preserve"> للموافقة عليه</w:t>
      </w:r>
      <w:r w:rsidRPr="00044896">
        <w:rPr>
          <w:rtl/>
        </w:rPr>
        <w:t>؛</w:t>
      </w:r>
    </w:p>
    <w:p w:rsidR="00044896" w:rsidRPr="00044896" w:rsidRDefault="00044896" w:rsidP="003E08FE">
      <w:pPr>
        <w:pStyle w:val="enumlev1"/>
        <w:rPr>
          <w:rtl/>
        </w:rPr>
      </w:pPr>
      <w:r w:rsidRPr="00044896">
        <w:rPr>
          <w:rtl/>
        </w:rPr>
        <w:t>’</w:t>
      </w:r>
      <w:r w:rsidRPr="00044896">
        <w:t>2</w:t>
      </w:r>
      <w:r w:rsidRPr="00044896">
        <w:rPr>
          <w:rtl/>
        </w:rPr>
        <w:t>‘</w:t>
      </w:r>
      <w:r w:rsidRPr="00044896">
        <w:rPr>
          <w:rtl/>
        </w:rPr>
        <w:tab/>
        <w:t xml:space="preserve">قُدمت توصية للعمل على آلية إبلاغ لإصدار تقرير عن </w:t>
      </w:r>
      <w:r w:rsidRPr="00F569BF">
        <w:rPr>
          <w:i/>
          <w:iCs/>
          <w:rtl/>
        </w:rPr>
        <w:t>توقعات التدفقات النقدية</w:t>
      </w:r>
      <w:r w:rsidRPr="00044896">
        <w:rPr>
          <w:rtl/>
        </w:rPr>
        <w:t xml:space="preserve"> من أجل التخفيف من المخاطر المحتملة </w:t>
      </w:r>
      <w:r w:rsidR="003E08FE">
        <w:rPr>
          <w:rFonts w:hint="cs"/>
          <w:rtl/>
        </w:rPr>
        <w:t>المتمثلة في</w:t>
      </w:r>
      <w:r w:rsidRPr="00044896">
        <w:rPr>
          <w:rtl/>
        </w:rPr>
        <w:t xml:space="preserve"> الافتقار إلى استجابة آنية و/أو تفاعلية لحالة معينة. وعلقت الإدارة بالقول إنها أخذت علماً بالتوصية وأن المناقشات جارية لتنفيذها؛</w:t>
      </w:r>
    </w:p>
    <w:p w:rsidR="00044896" w:rsidRPr="00044896" w:rsidRDefault="00044896" w:rsidP="00C70E25">
      <w:pPr>
        <w:pStyle w:val="enumlev1"/>
        <w:rPr>
          <w:rtl/>
        </w:rPr>
      </w:pPr>
      <w:r w:rsidRPr="00044896">
        <w:rPr>
          <w:rtl/>
        </w:rPr>
        <w:lastRenderedPageBreak/>
        <w:t>’</w:t>
      </w:r>
      <w:r w:rsidRPr="00044896">
        <w:t>3</w:t>
      </w:r>
      <w:r w:rsidRPr="00044896">
        <w:rPr>
          <w:rtl/>
        </w:rPr>
        <w:t>‘</w:t>
      </w:r>
      <w:r w:rsidRPr="00044896">
        <w:rPr>
          <w:rtl/>
        </w:rPr>
        <w:tab/>
        <w:t xml:space="preserve">قُدمت توصية لاستكمال تنفيذ وحدة </w:t>
      </w:r>
      <w:r w:rsidRPr="00F569BF">
        <w:rPr>
          <w:i/>
          <w:iCs/>
          <w:rtl/>
        </w:rPr>
        <w:t>إدارة النقد</w:t>
      </w:r>
      <w:r w:rsidRPr="00044896">
        <w:rPr>
          <w:rtl/>
        </w:rPr>
        <w:t xml:space="preserve"> مع جميع خواصها الوظيفية وتقديم التدريب المناسب للمستخدمين، وذلك للتخفيف من المخاطر المحتملة </w:t>
      </w:r>
      <w:r w:rsidR="003E08FE">
        <w:rPr>
          <w:rFonts w:hint="cs"/>
          <w:rtl/>
        </w:rPr>
        <w:t>المتمثلة في</w:t>
      </w:r>
      <w:r w:rsidRPr="00044896">
        <w:rPr>
          <w:rtl/>
        </w:rPr>
        <w:t xml:space="preserve"> الأخطاء وتدني الكفاءة. وعلقت الإدارة بالقول إنها وافقت على التوصية، غير أنها نبهت إلى محاذير تنفيذ التطبيقات ذات الإطار الفضفاض في الاتحاد؛</w:t>
      </w:r>
    </w:p>
    <w:p w:rsidR="00044896" w:rsidRPr="00044896" w:rsidRDefault="00044896" w:rsidP="00525E82">
      <w:pPr>
        <w:pStyle w:val="enumlev1"/>
        <w:rPr>
          <w:rtl/>
        </w:rPr>
      </w:pPr>
      <w:r w:rsidRPr="00044896">
        <w:rPr>
          <w:rtl/>
        </w:rPr>
        <w:t>’</w:t>
      </w:r>
      <w:r w:rsidRPr="00044896">
        <w:t>4</w:t>
      </w:r>
      <w:r w:rsidRPr="00044896">
        <w:rPr>
          <w:rtl/>
        </w:rPr>
        <w:t>‘</w:t>
      </w:r>
      <w:r w:rsidRPr="00044896">
        <w:rPr>
          <w:rtl/>
        </w:rPr>
        <w:tab/>
        <w:t>قُدمت توصية بأن تكون الصيرفة الإلكترونية هي القاعدة العامة من أجل التخفيف من مخاطر المعاملات "اليدوية" الخاطئة (بالفاكس). وعلقت الإدارة بالقول إنها ترى الإجراء الحالي أكثر أمناً من الإجراء الإلكتروني، ومن ثم فهي لا</w:t>
      </w:r>
      <w:r w:rsidR="00525E82">
        <w:rPr>
          <w:rFonts w:hint="cs"/>
          <w:rtl/>
        </w:rPr>
        <w:t> </w:t>
      </w:r>
      <w:r w:rsidRPr="00044896">
        <w:rPr>
          <w:rtl/>
        </w:rPr>
        <w:t>تنوي تنفيذ هذه التوصية بصورة شاملة.</w:t>
      </w:r>
    </w:p>
    <w:p w:rsidR="00044896" w:rsidRPr="00044896" w:rsidRDefault="00044896" w:rsidP="003E08FE">
      <w:pPr>
        <w:rPr>
          <w:rtl/>
        </w:rPr>
      </w:pPr>
      <w:r w:rsidRPr="00044896">
        <w:t>17</w:t>
      </w:r>
      <w:r w:rsidRPr="00044896">
        <w:rPr>
          <w:rtl/>
        </w:rPr>
        <w:tab/>
        <w:t xml:space="preserve">وعموماً، بالنسبة إلى العدد المحدود للمعاملات الاستثمارية السنوية المعالجة، قُدم </w:t>
      </w:r>
      <w:r w:rsidRPr="00044896">
        <w:rPr>
          <w:i/>
          <w:iCs/>
          <w:rtl/>
        </w:rPr>
        <w:t>تأكيد معقول</w:t>
      </w:r>
      <w:r w:rsidRPr="00044896">
        <w:rPr>
          <w:rtl/>
        </w:rPr>
        <w:t xml:space="preserve"> للأمين العام بأن </w:t>
      </w:r>
      <w:r w:rsidR="003E08FE" w:rsidRPr="003E08FE">
        <w:rPr>
          <w:rtl/>
        </w:rPr>
        <w:t xml:space="preserve">الضوابط الداخلية وإدارة المخاطر وممارسات الإدارة تؤدي مهامها </w:t>
      </w:r>
      <w:r w:rsidR="003E08FE">
        <w:rPr>
          <w:rFonts w:hint="cs"/>
          <w:rtl/>
        </w:rPr>
        <w:t>فيما يتعلق ب</w:t>
      </w:r>
      <w:r w:rsidRPr="00044896">
        <w:rPr>
          <w:rtl/>
        </w:rPr>
        <w:t>عمليات الخزينة والاستثمار.</w:t>
      </w:r>
    </w:p>
    <w:p w:rsidR="00044896" w:rsidRPr="00044896" w:rsidRDefault="00044896" w:rsidP="00F57B46">
      <w:pPr>
        <w:pStyle w:val="Headingbi"/>
        <w:rPr>
          <w:rtl/>
        </w:rPr>
      </w:pPr>
      <w:r w:rsidRPr="00044896">
        <w:rPr>
          <w:rtl/>
        </w:rPr>
        <w:t>دال</w:t>
      </w:r>
      <w:r w:rsidR="00046F2C">
        <w:rPr>
          <w:rtl/>
        </w:rPr>
        <w:t xml:space="preserve"> -</w:t>
      </w:r>
      <w:r w:rsidR="00046F2C">
        <w:rPr>
          <w:rtl/>
        </w:rPr>
        <w:tab/>
      </w:r>
      <w:r w:rsidRPr="00044896">
        <w:rPr>
          <w:rtl/>
        </w:rPr>
        <w:t>الإطار التنظيمي الداخلي للاتحاد (الأوامر الإدارية)</w:t>
      </w:r>
    </w:p>
    <w:p w:rsidR="00044896" w:rsidRPr="00044896" w:rsidRDefault="00044896" w:rsidP="00C70E25">
      <w:pPr>
        <w:rPr>
          <w:rtl/>
        </w:rPr>
      </w:pPr>
      <w:r w:rsidRPr="00044896">
        <w:t>18</w:t>
      </w:r>
      <w:r w:rsidRPr="00044896">
        <w:rPr>
          <w:rtl/>
        </w:rPr>
        <w:tab/>
        <w:t>حُدد الغرض من المراجعة على أنه استعراض لدقة جميع الأوامر الإدارية</w:t>
      </w:r>
      <w:r w:rsidRPr="00F628D8">
        <w:rPr>
          <w:rStyle w:val="FootnoteReference"/>
          <w:rtl/>
        </w:rPr>
        <w:footnoteReference w:id="5"/>
      </w:r>
      <w:r w:rsidRPr="00044896">
        <w:rPr>
          <w:rtl/>
        </w:rPr>
        <w:t xml:space="preserve"> النافذة وصحتها للوقوف على ما إذا كانت لا</w:t>
      </w:r>
      <w:r w:rsidR="00525E82">
        <w:rPr>
          <w:rFonts w:hint="cs"/>
          <w:rtl/>
        </w:rPr>
        <w:t> </w:t>
      </w:r>
      <w:r w:rsidRPr="00044896">
        <w:rPr>
          <w:rtl/>
        </w:rPr>
        <w:t xml:space="preserve">تزال تتماشى مع اللوائح الحالية والإجراءات الأخرى المعمول بها، وكذلك مع </w:t>
      </w:r>
      <w:r w:rsidR="003E08FE">
        <w:rPr>
          <w:rFonts w:hint="cs"/>
          <w:rtl/>
        </w:rPr>
        <w:t xml:space="preserve">أفضل </w:t>
      </w:r>
      <w:r w:rsidRPr="00044896">
        <w:rPr>
          <w:rtl/>
        </w:rPr>
        <w:t>الممارسات. وخلال مرحلة الإعداد للمراجعة، أُبلغت وحدة المراجعة الداخلية بأن الأمين العام كلف مؤخراً رئيس دائرة إدارة الموارد البشرية</w:t>
      </w:r>
      <w:r w:rsidR="00C70E25">
        <w:rPr>
          <w:rFonts w:hint="eastAsia"/>
          <w:rtl/>
        </w:rPr>
        <w:t> </w:t>
      </w:r>
      <w:r w:rsidR="00F569BF">
        <w:t>(HRMD)</w:t>
      </w:r>
      <w:r w:rsidRPr="00044896">
        <w:rPr>
          <w:rtl/>
        </w:rPr>
        <w:t xml:space="preserve"> بتنسيق استعراض للأوامر الإدارية (وبإجرائه). وهكذا، اختصرت وحدة المراجعة الداخلية عمل المراجعة وأصدر</w:t>
      </w:r>
      <w:r w:rsidR="003E08FE">
        <w:rPr>
          <w:rFonts w:hint="cs"/>
          <w:rtl/>
        </w:rPr>
        <w:t>ت</w:t>
      </w:r>
      <w:r w:rsidRPr="00044896">
        <w:rPr>
          <w:rtl/>
        </w:rPr>
        <w:t xml:space="preserve"> مذكرة مراجعة </w:t>
      </w:r>
      <w:r w:rsidR="003E08FE" w:rsidRPr="003E08FE">
        <w:rPr>
          <w:rtl/>
        </w:rPr>
        <w:t>’</w:t>
      </w:r>
      <w:r w:rsidR="003E08FE" w:rsidRPr="003E08FE">
        <w:t>1</w:t>
      </w:r>
      <w:r w:rsidR="003E08FE" w:rsidRPr="003E08FE">
        <w:rPr>
          <w:rtl/>
        </w:rPr>
        <w:t>‘</w:t>
      </w:r>
      <w:r w:rsidR="00C70E25">
        <w:rPr>
          <w:rFonts w:hint="eastAsia"/>
          <w:rtl/>
        </w:rPr>
        <w:t> </w:t>
      </w:r>
      <w:r w:rsidRPr="00044896">
        <w:rPr>
          <w:rtl/>
        </w:rPr>
        <w:t xml:space="preserve">لوصف العمل الجاري (الذي يقوم </w:t>
      </w:r>
      <w:r w:rsidR="003E08FE">
        <w:rPr>
          <w:rtl/>
        </w:rPr>
        <w:t xml:space="preserve">به الزملاء </w:t>
      </w:r>
      <w:r w:rsidR="003E08FE">
        <w:rPr>
          <w:rFonts w:hint="cs"/>
          <w:rtl/>
        </w:rPr>
        <w:t>المختصون</w:t>
      </w:r>
      <w:r w:rsidRPr="00044896">
        <w:rPr>
          <w:rtl/>
        </w:rPr>
        <w:t>) في هذا المجال و</w:t>
      </w:r>
      <w:r w:rsidR="003E08FE" w:rsidRPr="003E08FE">
        <w:rPr>
          <w:rtl/>
        </w:rPr>
        <w:t>’</w:t>
      </w:r>
      <w:r w:rsidR="003E08FE" w:rsidRPr="003E08FE">
        <w:t>2</w:t>
      </w:r>
      <w:r w:rsidR="003E08FE" w:rsidRPr="003E08FE">
        <w:rPr>
          <w:rtl/>
        </w:rPr>
        <w:t>‘</w:t>
      </w:r>
      <w:r w:rsidR="00C70E25">
        <w:rPr>
          <w:rFonts w:hint="eastAsia"/>
          <w:rtl/>
        </w:rPr>
        <w:t> </w:t>
      </w:r>
      <w:r w:rsidRPr="00044896">
        <w:rPr>
          <w:rtl/>
        </w:rPr>
        <w:t>لتقييم المخاطر المحتملة</w:t>
      </w:r>
      <w:r w:rsidR="00C70E25">
        <w:rPr>
          <w:rFonts w:hint="cs"/>
          <w:rtl/>
        </w:rPr>
        <w:t> </w:t>
      </w:r>
      <w:r w:rsidRPr="00044896">
        <w:rPr>
          <w:rtl/>
        </w:rPr>
        <w:t>المتبقية.</w:t>
      </w:r>
    </w:p>
    <w:p w:rsidR="00044896" w:rsidRPr="00044896" w:rsidRDefault="00044896" w:rsidP="00044896">
      <w:pPr>
        <w:rPr>
          <w:rtl/>
        </w:rPr>
      </w:pPr>
      <w:r w:rsidRPr="00044896">
        <w:t>19</w:t>
      </w:r>
      <w:r w:rsidRPr="00044896">
        <w:rPr>
          <w:rtl/>
        </w:rPr>
        <w:tab/>
        <w:t>وخلصت وحدة المراجعة الداخلية إلى ما يلي:</w:t>
      </w:r>
    </w:p>
    <w:p w:rsidR="00044896" w:rsidRPr="00044896" w:rsidRDefault="00044896" w:rsidP="00F569BF">
      <w:pPr>
        <w:pStyle w:val="enumlev1"/>
        <w:rPr>
          <w:rtl/>
        </w:rPr>
      </w:pPr>
      <w:r w:rsidRPr="00044896">
        <w:rPr>
          <w:rtl/>
        </w:rPr>
        <w:t>’</w:t>
      </w:r>
      <w:r w:rsidRPr="00044896">
        <w:t>1</w:t>
      </w:r>
      <w:r w:rsidRPr="00044896">
        <w:rPr>
          <w:rtl/>
        </w:rPr>
        <w:t>‘</w:t>
      </w:r>
      <w:r w:rsidRPr="00044896">
        <w:rPr>
          <w:rtl/>
        </w:rPr>
        <w:tab/>
        <w:t>استعراض العمل يجري مجراه، وعند الانتهاء منه، من شأن مخاطر اللوائح الداخلية/التعليمات الإدارية غير الدقيقة أن</w:t>
      </w:r>
      <w:r w:rsidR="00F569BF">
        <w:rPr>
          <w:rFonts w:hint="cs"/>
          <w:rtl/>
        </w:rPr>
        <w:t> </w:t>
      </w:r>
      <w:r w:rsidRPr="00044896">
        <w:rPr>
          <w:rtl/>
        </w:rPr>
        <w:t>تتخفف؛</w:t>
      </w:r>
    </w:p>
    <w:p w:rsidR="00044896" w:rsidRPr="00044896" w:rsidRDefault="00044896" w:rsidP="00C70E25">
      <w:pPr>
        <w:pStyle w:val="enumlev1"/>
        <w:rPr>
          <w:rtl/>
        </w:rPr>
      </w:pPr>
      <w:r w:rsidRPr="00044896">
        <w:rPr>
          <w:rtl/>
        </w:rPr>
        <w:t>’</w:t>
      </w:r>
      <w:r w:rsidRPr="00044896">
        <w:t>2</w:t>
      </w:r>
      <w:r w:rsidRPr="00044896">
        <w:rPr>
          <w:rtl/>
        </w:rPr>
        <w:t>‘</w:t>
      </w:r>
      <w:r w:rsidRPr="00044896">
        <w:rPr>
          <w:rtl/>
        </w:rPr>
        <w:tab/>
        <w:t>ورد تعريف واف "للأمر الإداري" (والعلاقة بين الأمر الإداري والمذكرة الإدارية) في الأمر الإداري</w:t>
      </w:r>
      <w:r w:rsidR="00C70E25">
        <w:rPr>
          <w:rFonts w:hint="cs"/>
          <w:rtl/>
        </w:rPr>
        <w:t> </w:t>
      </w:r>
      <w:r w:rsidRPr="00044896">
        <w:t>00/1</w:t>
      </w:r>
      <w:r w:rsidRPr="00044896">
        <w:rPr>
          <w:rtl/>
        </w:rPr>
        <w:t>؛</w:t>
      </w:r>
    </w:p>
    <w:p w:rsidR="00044896" w:rsidRPr="00044896" w:rsidRDefault="00044896" w:rsidP="00C70E25">
      <w:pPr>
        <w:pStyle w:val="enumlev1"/>
        <w:rPr>
          <w:rtl/>
        </w:rPr>
      </w:pPr>
      <w:r w:rsidRPr="00044896">
        <w:rPr>
          <w:rtl/>
        </w:rPr>
        <w:t>’</w:t>
      </w:r>
      <w:r w:rsidRPr="00044896">
        <w:t>3</w:t>
      </w:r>
      <w:r w:rsidRPr="00044896">
        <w:rPr>
          <w:rtl/>
        </w:rPr>
        <w:t>‘</w:t>
      </w:r>
      <w:r w:rsidRPr="00044896">
        <w:rPr>
          <w:rtl/>
        </w:rPr>
        <w:tab/>
        <w:t>يتأصل دور الإدارة في العملية من خلال عدد من آليات الاستعراض. وتجري عملية الاستعراض الحالية، التي تتابَع من جانب رئيس دائرة إدارة الموارد البشرية والمستشار القانوني وخدمات المكتبة، في تعاون وثيق مع المديرين</w:t>
      </w:r>
      <w:r w:rsidR="00C70E25">
        <w:rPr>
          <w:rFonts w:hint="cs"/>
          <w:rtl/>
        </w:rPr>
        <w:t> </w:t>
      </w:r>
      <w:r w:rsidRPr="00044896">
        <w:rPr>
          <w:rtl/>
        </w:rPr>
        <w:t>المعنيين.</w:t>
      </w:r>
    </w:p>
    <w:p w:rsidR="00044896" w:rsidRPr="00044896" w:rsidRDefault="00044896" w:rsidP="00C70E25">
      <w:pPr>
        <w:rPr>
          <w:rtl/>
        </w:rPr>
      </w:pPr>
      <w:r w:rsidRPr="00044896">
        <w:rPr>
          <w:rtl/>
        </w:rPr>
        <w:t>وقُدمت توصية تدعو الدائرة المنسقة (دائرة إدارة الموارد البشرية) للاستمرار في متابعة عمل الاستعراض عن كثب لتزويد الأمين العام بما</w:t>
      </w:r>
      <w:r w:rsidR="00C70E25">
        <w:rPr>
          <w:rFonts w:hint="cs"/>
          <w:rtl/>
        </w:rPr>
        <w:t> </w:t>
      </w:r>
      <w:r w:rsidRPr="00044896">
        <w:rPr>
          <w:rtl/>
        </w:rPr>
        <w:t>يؤكد أن في حوزة أمانة الاتحاد مجموعة لوائح داخلية دقيقة ومواكبة لآخر المستجدات من أجل الإدارة السليمة</w:t>
      </w:r>
      <w:r w:rsidR="00C70E25">
        <w:rPr>
          <w:rFonts w:hint="cs"/>
          <w:rtl/>
        </w:rPr>
        <w:t> </w:t>
      </w:r>
      <w:r w:rsidRPr="00044896">
        <w:rPr>
          <w:rtl/>
        </w:rPr>
        <w:t>والفعالة.</w:t>
      </w:r>
    </w:p>
    <w:p w:rsidR="00044896" w:rsidRPr="00044896" w:rsidRDefault="00044896" w:rsidP="00F57B46">
      <w:pPr>
        <w:pStyle w:val="Headingbi"/>
        <w:rPr>
          <w:rtl/>
        </w:rPr>
      </w:pPr>
      <w:r w:rsidRPr="00044896">
        <w:rPr>
          <w:rtl/>
        </w:rPr>
        <w:lastRenderedPageBreak/>
        <w:t>هاء</w:t>
      </w:r>
      <w:r w:rsidR="00046F2C">
        <w:rPr>
          <w:rtl/>
        </w:rPr>
        <w:t xml:space="preserve"> -</w:t>
      </w:r>
      <w:r w:rsidR="00046F2C">
        <w:rPr>
          <w:rtl/>
        </w:rPr>
        <w:tab/>
      </w:r>
      <w:r w:rsidRPr="00044896">
        <w:rPr>
          <w:rtl/>
        </w:rPr>
        <w:t>مراجعة تراخيص البرمجيات</w:t>
      </w:r>
    </w:p>
    <w:p w:rsidR="00044896" w:rsidRPr="00044896" w:rsidRDefault="00044896" w:rsidP="00F569BF">
      <w:pPr>
        <w:rPr>
          <w:rtl/>
        </w:rPr>
      </w:pPr>
      <w:r w:rsidRPr="00044896">
        <w:t>20</w:t>
      </w:r>
      <w:r w:rsidRPr="00044896">
        <w:rPr>
          <w:rtl/>
        </w:rPr>
        <w:tab/>
        <w:t xml:space="preserve">تمثلت </w:t>
      </w:r>
      <w:r w:rsidRPr="00044896">
        <w:rPr>
          <w:u w:val="single"/>
          <w:rtl/>
        </w:rPr>
        <w:t>أغراض</w:t>
      </w:r>
      <w:r w:rsidRPr="00044896">
        <w:rPr>
          <w:rtl/>
        </w:rPr>
        <w:t xml:space="preserve"> هذه المراجعة فيما يلي: </w:t>
      </w:r>
      <w:proofErr w:type="gramStart"/>
      <w:r w:rsidR="00F569BF" w:rsidRPr="00F569BF">
        <w:rPr>
          <w:rtl/>
        </w:rPr>
        <w:t>’</w:t>
      </w:r>
      <w:r w:rsidR="00F569BF">
        <w:t>1</w:t>
      </w:r>
      <w:r w:rsidR="00F569BF" w:rsidRPr="00F569BF">
        <w:rPr>
          <w:rtl/>
        </w:rPr>
        <w:t>‘</w:t>
      </w:r>
      <w:r w:rsidR="00C70E25">
        <w:rPr>
          <w:rFonts w:hint="cs"/>
          <w:rtl/>
        </w:rPr>
        <w:t> </w:t>
      </w:r>
      <w:r w:rsidRPr="00044896">
        <w:rPr>
          <w:rtl/>
        </w:rPr>
        <w:t>استعراض</w:t>
      </w:r>
      <w:proofErr w:type="gramEnd"/>
      <w:r w:rsidRPr="00044896">
        <w:rPr>
          <w:rtl/>
        </w:rPr>
        <w:t xml:space="preserve"> نظام الجرد القائم لتراخيص البرمجيات وتقييمه؛ </w:t>
      </w:r>
      <w:r w:rsidR="00F569BF" w:rsidRPr="00F569BF">
        <w:rPr>
          <w:rtl/>
        </w:rPr>
        <w:t>’</w:t>
      </w:r>
      <w:r w:rsidR="00F569BF">
        <w:t>2</w:t>
      </w:r>
      <w:r w:rsidR="00F569BF" w:rsidRPr="00F569BF">
        <w:rPr>
          <w:rtl/>
        </w:rPr>
        <w:t>‘</w:t>
      </w:r>
      <w:r w:rsidR="00C70E25">
        <w:rPr>
          <w:rFonts w:hint="cs"/>
          <w:rtl/>
        </w:rPr>
        <w:t> </w:t>
      </w:r>
      <w:r w:rsidRPr="00044896">
        <w:rPr>
          <w:rtl/>
        </w:rPr>
        <w:t xml:space="preserve">تقييم الضوابط الداخلية لمنع أو كشف الأخطاء المادية والمخالفات وكذلك لتقييم ما إذا كانت السياسات والتوجيهات توفر إرشادات كافية للموظفين للحيلولة دون </w:t>
      </w:r>
      <w:r w:rsidR="009A175A">
        <w:rPr>
          <w:rFonts w:hint="cs"/>
          <w:rtl/>
        </w:rPr>
        <w:t>ال</w:t>
      </w:r>
      <w:r w:rsidRPr="00044896">
        <w:rPr>
          <w:rtl/>
        </w:rPr>
        <w:t>مخاطر</w:t>
      </w:r>
      <w:r w:rsidR="009A175A">
        <w:rPr>
          <w:rFonts w:hint="cs"/>
          <w:rtl/>
        </w:rPr>
        <w:t xml:space="preserve"> ذات الصلة ب</w:t>
      </w:r>
      <w:r w:rsidRPr="00044896">
        <w:rPr>
          <w:rtl/>
        </w:rPr>
        <w:t xml:space="preserve">الامتثال والمخاطر الاقتصادية؛ </w:t>
      </w:r>
      <w:r w:rsidR="00F569BF" w:rsidRPr="00F569BF">
        <w:rPr>
          <w:rtl/>
        </w:rPr>
        <w:t>’</w:t>
      </w:r>
      <w:r w:rsidR="00F569BF" w:rsidRPr="00F569BF">
        <w:t>3</w:t>
      </w:r>
      <w:r w:rsidR="00F569BF" w:rsidRPr="00F569BF">
        <w:rPr>
          <w:rtl/>
        </w:rPr>
        <w:t>‘</w:t>
      </w:r>
      <w:r w:rsidR="00C70E25">
        <w:rPr>
          <w:rFonts w:hint="cs"/>
          <w:rtl/>
        </w:rPr>
        <w:t> </w:t>
      </w:r>
      <w:r w:rsidRPr="00044896">
        <w:rPr>
          <w:rtl/>
        </w:rPr>
        <w:t>تقييم مدى امتثال الاتحاد للوائح والسياسات والإجراءات المعمول بها في إدارته للبرمجيات. وشملت المراجعة الفترة من يناير</w:t>
      </w:r>
      <w:r w:rsidR="00C70E25">
        <w:rPr>
          <w:rFonts w:hint="cs"/>
          <w:rtl/>
        </w:rPr>
        <w:t> </w:t>
      </w:r>
      <w:r w:rsidRPr="00044896">
        <w:t>201</w:t>
      </w:r>
      <w:r w:rsidR="00F569BF">
        <w:t>3</w:t>
      </w:r>
      <w:r w:rsidRPr="00044896">
        <w:rPr>
          <w:rtl/>
        </w:rPr>
        <w:t xml:space="preserve"> إلى ديسمبر</w:t>
      </w:r>
      <w:r w:rsidR="00C70E25">
        <w:rPr>
          <w:rFonts w:hint="cs"/>
          <w:rtl/>
        </w:rPr>
        <w:t> </w:t>
      </w:r>
      <w:r w:rsidRPr="00044896">
        <w:t>2014</w:t>
      </w:r>
      <w:r w:rsidRPr="00044896">
        <w:rPr>
          <w:rtl/>
        </w:rPr>
        <w:t>.</w:t>
      </w:r>
    </w:p>
    <w:p w:rsidR="00044896" w:rsidRPr="00044896" w:rsidRDefault="00044896" w:rsidP="00F569BF">
      <w:pPr>
        <w:keepNext/>
        <w:keepLines/>
        <w:rPr>
          <w:rtl/>
        </w:rPr>
      </w:pPr>
      <w:r w:rsidRPr="00044896">
        <w:t>21</w:t>
      </w:r>
      <w:r w:rsidRPr="00044896">
        <w:rPr>
          <w:rtl/>
        </w:rPr>
        <w:tab/>
        <w:t>الملاحظات والتوصيات المقدَّمة في إطار المراجعة الداخلية وتعليقات الإدارة عليها:</w:t>
      </w:r>
    </w:p>
    <w:p w:rsidR="00044896" w:rsidRPr="00044896" w:rsidRDefault="00044896" w:rsidP="00F57B46">
      <w:pPr>
        <w:pStyle w:val="enumlev1"/>
        <w:rPr>
          <w:rtl/>
        </w:rPr>
      </w:pPr>
      <w:r w:rsidRPr="00044896">
        <w:rPr>
          <w:rtl/>
        </w:rPr>
        <w:t>’</w:t>
      </w:r>
      <w:r w:rsidRPr="00044896">
        <w:t>1</w:t>
      </w:r>
      <w:r w:rsidRPr="00044896">
        <w:rPr>
          <w:rtl/>
        </w:rPr>
        <w:t>‘</w:t>
      </w:r>
      <w:r w:rsidRPr="00044896">
        <w:rPr>
          <w:rtl/>
        </w:rPr>
        <w:tab/>
        <w:t>ينبغي تزويد موظفي الاتحاد بمزيد من السياسات والمبادئ التوجيهية بشأن جميع أنواع البرمجيات من أجل التخفيف من المخاطر المحتملة لعدم الامتثال فيما يتعلق باتفاقات البرمجيات. وعلقت الإدارة بالقول، في حال وجود شك، ينبغي للمستخدمين الاتصال بوحدة الشؤون القانونية لتوضيح معنى البنود الواردة في التراخيص المذكورة (بما</w:t>
      </w:r>
      <w:r w:rsidR="00C70E25">
        <w:rPr>
          <w:rFonts w:hint="cs"/>
          <w:rtl/>
        </w:rPr>
        <w:t> </w:t>
      </w:r>
      <w:r w:rsidRPr="00044896">
        <w:rPr>
          <w:rtl/>
        </w:rPr>
        <w:t>في</w:t>
      </w:r>
      <w:r w:rsidR="00C70E25">
        <w:rPr>
          <w:rFonts w:hint="cs"/>
          <w:rtl/>
        </w:rPr>
        <w:t> </w:t>
      </w:r>
      <w:r w:rsidRPr="00044896">
        <w:rPr>
          <w:rtl/>
        </w:rPr>
        <w:t>ذلك بنود "الاستخدام المجاني غير التجاري").</w:t>
      </w:r>
    </w:p>
    <w:p w:rsidR="00044896" w:rsidRPr="00044896" w:rsidRDefault="00044896" w:rsidP="00C70E25">
      <w:pPr>
        <w:pStyle w:val="enumlev1"/>
        <w:rPr>
          <w:rtl/>
        </w:rPr>
      </w:pPr>
      <w:r w:rsidRPr="00044896">
        <w:rPr>
          <w:rtl/>
        </w:rPr>
        <w:t>’</w:t>
      </w:r>
      <w:r w:rsidRPr="00044896">
        <w:t>2</w:t>
      </w:r>
      <w:r w:rsidRPr="00044896">
        <w:rPr>
          <w:rtl/>
        </w:rPr>
        <w:t>‘</w:t>
      </w:r>
      <w:r w:rsidRPr="00044896">
        <w:rPr>
          <w:rtl/>
        </w:rPr>
        <w:tab/>
        <w:t xml:space="preserve">إن عملية الجرد الحالية ليست مثالية. وينبغي توثيق التسوية السنوية بين البيانات المدرجة في قاعدة بيانات دائرة خدمات المعلومات </w:t>
      </w:r>
      <w:r w:rsidR="00525E82">
        <w:t>(</w:t>
      </w:r>
      <w:r w:rsidRPr="00044896">
        <w:t>SCCM</w:t>
      </w:r>
      <w:r w:rsidR="00525E82">
        <w:t>)</w:t>
      </w:r>
      <w:r w:rsidRPr="00044896">
        <w:rPr>
          <w:rtl/>
        </w:rPr>
        <w:t xml:space="preserve"> وتقرير أصول برمجيات نظام محاسبة التكاليف </w:t>
      </w:r>
      <w:r w:rsidR="00525E82">
        <w:t>(</w:t>
      </w:r>
      <w:r w:rsidRPr="00044896">
        <w:t>SAP</w:t>
      </w:r>
      <w:r w:rsidR="00525E82">
        <w:t>)</w:t>
      </w:r>
      <w:r w:rsidRPr="00044896">
        <w:rPr>
          <w:rtl/>
        </w:rPr>
        <w:t xml:space="preserve"> (بيانات دائرة إدارة الموارد المالية</w:t>
      </w:r>
      <w:r w:rsidR="00C70E25">
        <w:rPr>
          <w:rFonts w:hint="cs"/>
          <w:rtl/>
        </w:rPr>
        <w:t> </w:t>
      </w:r>
      <w:r w:rsidR="00525E82">
        <w:t>(</w:t>
      </w:r>
      <w:r w:rsidRPr="00044896">
        <w:t>FRMD</w:t>
      </w:r>
      <w:r w:rsidR="00525E82">
        <w:t>)</w:t>
      </w:r>
      <w:r w:rsidRPr="00044896">
        <w:rPr>
          <w:rtl/>
        </w:rPr>
        <w:t xml:space="preserve">)، مع احتمال زيادة التواتر لتسهيل عملية الجرد في نهاية العام. وعلقت الإدارة بالقول، تدعو الحاجة لأن تعالج دائرة خدمات المعلومات </w:t>
      </w:r>
      <w:r w:rsidR="00525E82">
        <w:t>(</w:t>
      </w:r>
      <w:r w:rsidRPr="00044896">
        <w:t>ISD</w:t>
      </w:r>
      <w:r w:rsidR="00525E82">
        <w:t>)</w:t>
      </w:r>
      <w:r w:rsidRPr="00044896">
        <w:rPr>
          <w:rtl/>
        </w:rPr>
        <w:t xml:space="preserve"> التعديلات الضرورية إذا لزم الأمر، وبصورة أساسية، لأن تزيل البرمجيات التي لم</w:t>
      </w:r>
      <w:r w:rsidR="00C70E25">
        <w:rPr>
          <w:rFonts w:hint="cs"/>
          <w:rtl/>
        </w:rPr>
        <w:t> </w:t>
      </w:r>
      <w:r w:rsidRPr="00044896">
        <w:rPr>
          <w:rtl/>
        </w:rPr>
        <w:t>تعد قيد الاستعمال أو التي كف مقدمو تكنولوجيا المعلومات عن دعمها، ومن شأن التوثيق لعملية التسوية السنوية لتراخيص البرمجيات أن يُستعرض ويحدَّث.</w:t>
      </w:r>
    </w:p>
    <w:p w:rsidR="00044896" w:rsidRPr="00F569BF" w:rsidRDefault="00044896" w:rsidP="00AE5D4B">
      <w:pPr>
        <w:pStyle w:val="enumlev1"/>
        <w:rPr>
          <w:rtl/>
        </w:rPr>
      </w:pPr>
      <w:r w:rsidRPr="00F569BF">
        <w:rPr>
          <w:rtl/>
        </w:rPr>
        <w:t>’</w:t>
      </w:r>
      <w:r w:rsidRPr="00F569BF">
        <w:t>3</w:t>
      </w:r>
      <w:r w:rsidRPr="00F569BF">
        <w:rPr>
          <w:rtl/>
        </w:rPr>
        <w:t>‘</w:t>
      </w:r>
      <w:r w:rsidRPr="00F569BF">
        <w:rPr>
          <w:rtl/>
        </w:rPr>
        <w:tab/>
        <w:t>ينبغي وضع تقرير يمكِّن الفرز حسب المنتجات وحسب مركز التكلفة في إطار إدارة ال‍مخاطر الاستراتيجية</w:t>
      </w:r>
      <w:r w:rsidR="00C70E25">
        <w:rPr>
          <w:rFonts w:hint="cs"/>
          <w:rtl/>
        </w:rPr>
        <w:t> </w:t>
      </w:r>
      <w:r w:rsidR="00525E82" w:rsidRPr="00F569BF">
        <w:t>(</w:t>
      </w:r>
      <w:r w:rsidRPr="00F569BF">
        <w:t>SRM</w:t>
      </w:r>
      <w:r w:rsidR="00525E82" w:rsidRPr="00F569BF">
        <w:t>)</w:t>
      </w:r>
      <w:r w:rsidRPr="00F569BF">
        <w:rPr>
          <w:rtl/>
        </w:rPr>
        <w:t xml:space="preserve"> من أجل التخفيف من مخاطر سجلات الجرد غير الكاملة وعدم الامتثال لشروط استخدام البرمجيات. وينبغي إصدار جرد قاعدة بيانات دائرة خدمات المعلومات لتسوية بيانات الجرد مع تراخيص البرمجيات السنوية، وينبغي توثيق التسوية. وعلقت الإدارة بالقول، إن الاتحاد لم يستخدم قط رموزاً مفصلة للمنتجات (مثل مدونة الأمم المتحدة الموحدة للمنتجات والخدمات </w:t>
      </w:r>
      <w:r w:rsidR="00525E82" w:rsidRPr="00F569BF">
        <w:t>(</w:t>
      </w:r>
      <w:r w:rsidRPr="00F569BF">
        <w:t>UNSPSC</w:t>
      </w:r>
      <w:r w:rsidR="00525E82" w:rsidRPr="00F569BF">
        <w:t>)</w:t>
      </w:r>
      <w:r w:rsidRPr="00F569BF">
        <w:rPr>
          <w:rtl/>
        </w:rPr>
        <w:t>) تتجاوز فئات المنتجات العامة جداً (مجموعات المواد سابقاً) المستخدمة في</w:t>
      </w:r>
      <w:r w:rsidR="00AE5D4B">
        <w:rPr>
          <w:rFonts w:hint="cs"/>
          <w:rtl/>
        </w:rPr>
        <w:t> </w:t>
      </w:r>
      <w:r w:rsidRPr="00F569BF">
        <w:rPr>
          <w:rtl/>
        </w:rPr>
        <w:t>نظام محاسبة التكاليف وتخطيط الموارد المؤسسية</w:t>
      </w:r>
      <w:r w:rsidR="00AE5D4B">
        <w:rPr>
          <w:rFonts w:hint="cs"/>
          <w:rtl/>
        </w:rPr>
        <w:t> </w:t>
      </w:r>
      <w:r w:rsidR="00525E82" w:rsidRPr="00F569BF">
        <w:t>(</w:t>
      </w:r>
      <w:r w:rsidRPr="00F569BF">
        <w:t>ERP</w:t>
      </w:r>
      <w:r w:rsidR="00525E82" w:rsidRPr="00F569BF">
        <w:t>)</w:t>
      </w:r>
      <w:r w:rsidRPr="00F569BF">
        <w:rPr>
          <w:rtl/>
        </w:rPr>
        <w:t>، وإن رسوم الترخيص تندرج في إطار "تأجير</w:t>
      </w:r>
      <w:r w:rsidR="00C70E25">
        <w:rPr>
          <w:rFonts w:hint="cs"/>
          <w:rtl/>
        </w:rPr>
        <w:t> </w:t>
      </w:r>
      <w:r w:rsidR="00C70E25">
        <w:rPr>
          <w:rtl/>
        </w:rPr>
        <w:noBreakHyphen/>
      </w:r>
      <w:r w:rsidR="00C70E25">
        <w:rPr>
          <w:rFonts w:hint="cs"/>
          <w:rtl/>
        </w:rPr>
        <w:t> </w:t>
      </w:r>
      <w:r w:rsidRPr="00F569BF">
        <w:rPr>
          <w:rtl/>
        </w:rPr>
        <w:t>أنظمة الحاسوب"</w:t>
      </w:r>
      <w:r w:rsidR="00525E82" w:rsidRPr="00F569BF">
        <w:rPr>
          <w:rFonts w:hint="cs"/>
          <w:rtl/>
        </w:rPr>
        <w:t> </w:t>
      </w:r>
      <w:r w:rsidRPr="00F569BF">
        <w:t>S341E</w:t>
      </w:r>
      <w:r w:rsidRPr="00F569BF">
        <w:rPr>
          <w:rtl/>
        </w:rPr>
        <w:t xml:space="preserve"> الذي أنشئ في الأصل لتأجير حواسيب حقيقية لأحداث التليكوم. وعلقت الإدارة بالقول أيضاً، لعل هذه المناقشة تخص الرسم البياني للحسابات.</w:t>
      </w:r>
    </w:p>
    <w:p w:rsidR="00044896" w:rsidRPr="00044896" w:rsidRDefault="00044896" w:rsidP="00F569BF">
      <w:pPr>
        <w:pStyle w:val="enumlev1"/>
        <w:rPr>
          <w:rtl/>
        </w:rPr>
      </w:pPr>
      <w:r w:rsidRPr="00044896">
        <w:rPr>
          <w:rtl/>
        </w:rPr>
        <w:t>’</w:t>
      </w:r>
      <w:r w:rsidRPr="00044896">
        <w:t>4</w:t>
      </w:r>
      <w:r w:rsidRPr="00044896">
        <w:rPr>
          <w:rtl/>
        </w:rPr>
        <w:t>‘</w:t>
      </w:r>
      <w:r w:rsidRPr="00044896">
        <w:rPr>
          <w:rtl/>
        </w:rPr>
        <w:tab/>
        <w:t>ينبغي للمشتريات من البرمجيات عبر الإنترنت باستخدام بطاقة ائتمان الاتحاد أن تتبع إجراءات الشراء المعتادة، وينبغي حصرها في أضيق الحدود (عند تعذر استخدام أي وسيلة أخرى للدفع) من أجل التخفيف من المخاطر الاقتصادية على الاتحاد. وينبغي تحديد جدوى دمج عمليات الشراء بواسطة بطاقة الائتمان في إطار إدارة ال‍مخاطر الاستراتيجية والفعالية من حيث التكلفة. ووافقت الإدارة على التوصيات مشددةً على أنها ترى أن اللجوء إلى مشتريات بطاقات الائتمان هو أصلاً في أضيق الحدود.</w:t>
      </w:r>
    </w:p>
    <w:p w:rsidR="00044896" w:rsidRPr="00044896" w:rsidRDefault="00044896" w:rsidP="00F569BF">
      <w:pPr>
        <w:pStyle w:val="enumlev1"/>
        <w:rPr>
          <w:rtl/>
        </w:rPr>
      </w:pPr>
      <w:r w:rsidRPr="00044896">
        <w:rPr>
          <w:rtl/>
        </w:rPr>
        <w:lastRenderedPageBreak/>
        <w:t>’</w:t>
      </w:r>
      <w:r w:rsidRPr="00044896">
        <w:t>5</w:t>
      </w:r>
      <w:r w:rsidRPr="00044896">
        <w:rPr>
          <w:rtl/>
        </w:rPr>
        <w:t>‘</w:t>
      </w:r>
      <w:r w:rsidRPr="00044896">
        <w:rPr>
          <w:rtl/>
        </w:rPr>
        <w:tab/>
        <w:t>ولاحظت وحدة المراجعة الداخلية أن ضوابط أمنية متعددة الطبقات قد أقيمت لتقليل المخاطر التي يمكن أن يتعرض لها الاتحاد إلى أدنى الحدود. ولكن ينبغي إنشاء أداة تنبيه في قاعدة بيانات دائرة خدمات المعلومات تحسباً من البرمجيات التي قد تنطوي على مخاطر في حالة تنزيلها بشكل فردي على أجهزة المستخدمين من أجل التخفيف من مخاطر عدم الامتثال والمخاطر الأمنية ذات الصلة بحقوق المدير للمستخدم "مغفل الهوية". وعلقت الإدارة بالقول إنها ستحسِّن مراقبة ماهية البرمجيات التي يثبتها الموظفون على حواسيبهم الفردية.</w:t>
      </w:r>
    </w:p>
    <w:p w:rsidR="00044896" w:rsidRPr="00044896" w:rsidRDefault="00044896" w:rsidP="00525E82">
      <w:pPr>
        <w:rPr>
          <w:rtl/>
        </w:rPr>
      </w:pPr>
      <w:r w:rsidRPr="00044896">
        <w:t>22</w:t>
      </w:r>
      <w:r w:rsidRPr="00044896">
        <w:rPr>
          <w:rtl/>
        </w:rPr>
        <w:tab/>
        <w:t>وك</w:t>
      </w:r>
      <w:r w:rsidRPr="00044896">
        <w:rPr>
          <w:u w:val="single"/>
          <w:rtl/>
        </w:rPr>
        <w:t>خلاصة</w:t>
      </w:r>
      <w:r w:rsidRPr="00044896">
        <w:rPr>
          <w:rtl/>
        </w:rPr>
        <w:t xml:space="preserve"> عامة، توفر النتائج المستقاة من المراجعة </w:t>
      </w:r>
      <w:r w:rsidRPr="00044896">
        <w:rPr>
          <w:i/>
          <w:iCs/>
          <w:rtl/>
        </w:rPr>
        <w:t>تأكيداً معقولاً</w:t>
      </w:r>
      <w:r w:rsidRPr="00044896">
        <w:rPr>
          <w:rtl/>
        </w:rPr>
        <w:t xml:space="preserve"> للأمين العام بأن الضوابط الداخلية وعمليات الإدارة وإدارة المخاطر في الاتحاد تؤدي مهامها. إلا أن وحدة المراجعة الداخلية حددت مجالات للتحسين، وإذا ما عولجت المخاطر المرتبطة بالجرد ومراقبة عمليات ترخيص البرمجيات، فمن شأن ذلك أن يعزز إجراءات أمن المعلومات تحديداً فيعزز التأكيد المقدَّم للأمين</w:t>
      </w:r>
      <w:r w:rsidR="00525E82">
        <w:rPr>
          <w:rFonts w:hint="cs"/>
          <w:rtl/>
        </w:rPr>
        <w:t> </w:t>
      </w:r>
      <w:r w:rsidRPr="00044896">
        <w:rPr>
          <w:rtl/>
        </w:rPr>
        <w:t>العام.</w:t>
      </w:r>
    </w:p>
    <w:p w:rsidR="00044896" w:rsidRPr="00044896" w:rsidRDefault="00044896" w:rsidP="00F57B46">
      <w:pPr>
        <w:pStyle w:val="Headingbi"/>
        <w:rPr>
          <w:rtl/>
        </w:rPr>
      </w:pPr>
      <w:r w:rsidRPr="00044896">
        <w:rPr>
          <w:rtl/>
        </w:rPr>
        <w:t>واو</w:t>
      </w:r>
      <w:r w:rsidR="00046F2C">
        <w:rPr>
          <w:rtl/>
        </w:rPr>
        <w:t xml:space="preserve"> -</w:t>
      </w:r>
      <w:r w:rsidR="00046F2C">
        <w:rPr>
          <w:rtl/>
        </w:rPr>
        <w:tab/>
      </w:r>
      <w:r w:rsidRPr="00044896">
        <w:rPr>
          <w:rtl/>
        </w:rPr>
        <w:t>مراجعة المكتب الإقليمي الإفريقي ومكاتب المناطق في إفريقيا</w:t>
      </w:r>
    </w:p>
    <w:p w:rsidR="00044896" w:rsidRPr="00044896" w:rsidRDefault="00044896" w:rsidP="00AE5D4B">
      <w:pPr>
        <w:rPr>
          <w:rtl/>
        </w:rPr>
      </w:pPr>
      <w:r w:rsidRPr="00044896">
        <w:t>23</w:t>
      </w:r>
      <w:r w:rsidRPr="00044896">
        <w:rPr>
          <w:rtl/>
        </w:rPr>
        <w:tab/>
        <w:t>أجرت وحدة المراجعة الداخلية مراجعة لمكاتب المناطق في داكار، السنغال وياوندي، الكاميرون تشمل الفترة من يناير</w:t>
      </w:r>
      <w:r w:rsidR="00F569BF">
        <w:rPr>
          <w:rFonts w:hint="cs"/>
          <w:rtl/>
        </w:rPr>
        <w:t> </w:t>
      </w:r>
      <w:r w:rsidRPr="00044896">
        <w:t>2013</w:t>
      </w:r>
      <w:r w:rsidRPr="00044896">
        <w:rPr>
          <w:rtl/>
        </w:rPr>
        <w:t xml:space="preserve"> إلى يونيو</w:t>
      </w:r>
      <w:r w:rsidR="00AE5D4B">
        <w:rPr>
          <w:rFonts w:hint="cs"/>
          <w:rtl/>
        </w:rPr>
        <w:t> </w:t>
      </w:r>
      <w:r w:rsidRPr="00044896">
        <w:t>2015</w:t>
      </w:r>
      <w:r w:rsidRPr="00044896">
        <w:rPr>
          <w:rtl/>
        </w:rPr>
        <w:t xml:space="preserve">. وكان </w:t>
      </w:r>
      <w:r w:rsidRPr="00F569BF">
        <w:rPr>
          <w:u w:val="single"/>
          <w:rtl/>
        </w:rPr>
        <w:t>الهدف</w:t>
      </w:r>
      <w:r w:rsidRPr="00044896">
        <w:rPr>
          <w:rtl/>
        </w:rPr>
        <w:t xml:space="preserve"> من هذه المراجعة على النحو التالي: </w:t>
      </w:r>
      <w:r w:rsidR="00F569BF" w:rsidRPr="00F569BF">
        <w:rPr>
          <w:rtl/>
        </w:rPr>
        <w:t>’</w:t>
      </w:r>
      <w:r w:rsidR="00F569BF">
        <w:t>1</w:t>
      </w:r>
      <w:r w:rsidR="00F569BF" w:rsidRPr="00F569BF">
        <w:rPr>
          <w:rtl/>
        </w:rPr>
        <w:t>‘</w:t>
      </w:r>
      <w:r w:rsidR="00AE5D4B">
        <w:rPr>
          <w:rFonts w:hint="cs"/>
          <w:rtl/>
        </w:rPr>
        <w:t> </w:t>
      </w:r>
      <w:r w:rsidRPr="00044896">
        <w:rPr>
          <w:rtl/>
        </w:rPr>
        <w:t xml:space="preserve">استعراض وتقييم اتفاق البلد المضيف والسياسات المطبقة؛ </w:t>
      </w:r>
      <w:r w:rsidR="00F569BF" w:rsidRPr="00F569BF">
        <w:rPr>
          <w:rtl/>
        </w:rPr>
        <w:t>’</w:t>
      </w:r>
      <w:r w:rsidR="00F569BF">
        <w:t>2</w:t>
      </w:r>
      <w:r w:rsidR="00F569BF" w:rsidRPr="00F569BF">
        <w:rPr>
          <w:rtl/>
        </w:rPr>
        <w:t>‘</w:t>
      </w:r>
      <w:r w:rsidR="00AE5D4B">
        <w:rPr>
          <w:rFonts w:hint="cs"/>
          <w:rtl/>
        </w:rPr>
        <w:t> </w:t>
      </w:r>
      <w:r w:rsidRPr="00044896">
        <w:rPr>
          <w:rtl/>
        </w:rPr>
        <w:t>تقييم مدى ما تخفف من المخاطر التي تهدد السلامة والأمن وكذلك تقييم مدى دعم المعاملات النقدية والمصرفية الصغيرة بالتوجيه الكافي وما تخفف من المخاطر التي تنطوي عليها هذه المعاملات؛</w:t>
      </w:r>
      <w:r w:rsidR="00F569BF">
        <w:rPr>
          <w:rFonts w:hint="cs"/>
          <w:rtl/>
        </w:rPr>
        <w:t xml:space="preserve"> </w:t>
      </w:r>
      <w:r w:rsidR="00F569BF" w:rsidRPr="00F569BF">
        <w:rPr>
          <w:rtl/>
        </w:rPr>
        <w:t>’</w:t>
      </w:r>
      <w:r w:rsidR="00F569BF" w:rsidRPr="00F569BF">
        <w:t>3</w:t>
      </w:r>
      <w:r w:rsidR="00F569BF" w:rsidRPr="00F569BF">
        <w:rPr>
          <w:rtl/>
        </w:rPr>
        <w:t>‘</w:t>
      </w:r>
      <w:r w:rsidR="00AE5D4B">
        <w:rPr>
          <w:rFonts w:hint="cs"/>
          <w:rtl/>
        </w:rPr>
        <w:t> </w:t>
      </w:r>
      <w:r w:rsidRPr="00044896">
        <w:rPr>
          <w:rtl/>
        </w:rPr>
        <w:t>تقييم كيفية مراقبة معاملات مكاتب المناطق بشكل فعال لتحقيق الامتثال للأنظمة والسياسات والإجراءات المعمول</w:t>
      </w:r>
      <w:r w:rsidR="00AE5D4B">
        <w:rPr>
          <w:rFonts w:hint="cs"/>
          <w:rtl/>
        </w:rPr>
        <w:t> </w:t>
      </w:r>
      <w:r w:rsidRPr="00044896">
        <w:rPr>
          <w:rtl/>
        </w:rPr>
        <w:t>بها.</w:t>
      </w:r>
    </w:p>
    <w:p w:rsidR="00044896" w:rsidRPr="00044896" w:rsidRDefault="00044896" w:rsidP="00AE5D4B">
      <w:pPr>
        <w:rPr>
          <w:rtl/>
        </w:rPr>
      </w:pPr>
      <w:r w:rsidRPr="00044896">
        <w:t>24</w:t>
      </w:r>
      <w:r w:rsidRPr="00044896">
        <w:rPr>
          <w:rtl/>
        </w:rPr>
        <w:tab/>
        <w:t>وسبق أن عولجت جزئياً مسألة حرجة تتصل تحديداً بنفاذ (زملاء) إلى مكتب موظف غائب في حالة طوارئ أو</w:t>
      </w:r>
      <w:r w:rsidR="00AE5D4B">
        <w:rPr>
          <w:rFonts w:hint="cs"/>
          <w:rtl/>
        </w:rPr>
        <w:t> </w:t>
      </w:r>
      <w:r w:rsidRPr="00044896">
        <w:rPr>
          <w:rtl/>
        </w:rPr>
        <w:t>لأسباب أخرى تتعلق بالعمل، وذلك خلال زيارة المراجعة إلى مكتب المنطقة في ياوندي وأُعلمت وحدة المراجعة الداخلية في</w:t>
      </w:r>
      <w:r w:rsidR="00AE5D4B">
        <w:rPr>
          <w:rFonts w:hint="cs"/>
          <w:rtl/>
        </w:rPr>
        <w:t> </w:t>
      </w:r>
      <w:r w:rsidRPr="00044896">
        <w:rPr>
          <w:rtl/>
        </w:rPr>
        <w:t>وقت لاحق بمزيد من</w:t>
      </w:r>
      <w:r w:rsidR="00AE5D4B">
        <w:rPr>
          <w:rFonts w:hint="cs"/>
          <w:rtl/>
        </w:rPr>
        <w:t> </w:t>
      </w:r>
      <w:r w:rsidRPr="00044896">
        <w:rPr>
          <w:rtl/>
        </w:rPr>
        <w:t>التدابير.</w:t>
      </w:r>
    </w:p>
    <w:p w:rsidR="00044896" w:rsidRPr="00044896" w:rsidRDefault="00044896" w:rsidP="00044896">
      <w:pPr>
        <w:rPr>
          <w:rtl/>
        </w:rPr>
      </w:pPr>
      <w:r w:rsidRPr="00044896">
        <w:rPr>
          <w:rtl/>
        </w:rPr>
        <w:t>الملاحظات والتوصيات العاليةُ درجةِ الأولويةِ المقدَّمة في إطار المراجعة الداخلية وتعليقات الإدارة عليها:</w:t>
      </w:r>
    </w:p>
    <w:p w:rsidR="00044896" w:rsidRPr="00044896" w:rsidRDefault="00044896" w:rsidP="00525E82">
      <w:pPr>
        <w:pStyle w:val="enumlev1"/>
        <w:rPr>
          <w:rtl/>
        </w:rPr>
      </w:pPr>
      <w:r w:rsidRPr="00044896">
        <w:rPr>
          <w:rtl/>
        </w:rPr>
        <w:t>’</w:t>
      </w:r>
      <w:r w:rsidRPr="00044896">
        <w:t>1</w:t>
      </w:r>
      <w:r w:rsidRPr="00044896">
        <w:rPr>
          <w:rtl/>
        </w:rPr>
        <w:t>‘</w:t>
      </w:r>
      <w:r w:rsidRPr="00044896">
        <w:rPr>
          <w:rtl/>
        </w:rPr>
        <w:tab/>
        <w:t xml:space="preserve">حُددت، أثناء المراجعة و/أو على أساس تقارير إدارة الأمم المتحدة لشؤون السلامة والأمن </w:t>
      </w:r>
      <w:r w:rsidR="00525E82">
        <w:t>(</w:t>
      </w:r>
      <w:r w:rsidRPr="00044896">
        <w:t>UNDSS</w:t>
      </w:r>
      <w:r w:rsidR="00525E82">
        <w:t>)</w:t>
      </w:r>
      <w:r w:rsidRPr="00044896">
        <w:rPr>
          <w:rtl/>
        </w:rPr>
        <w:t>، أوجه قصور أمني ينبغي أن تعالَج. وأثناء المراجعة، أبلغت الإدارةُ بالفعل وحدة المراجعة الداخلية أن هذا الأمر</w:t>
      </w:r>
      <w:r w:rsidR="00AE5D4B">
        <w:rPr>
          <w:rFonts w:hint="cs"/>
          <w:rtl/>
        </w:rPr>
        <w:t> </w:t>
      </w:r>
      <w:r w:rsidRPr="00044896">
        <w:rPr>
          <w:rtl/>
        </w:rPr>
        <w:t>سيعالَج.</w:t>
      </w:r>
    </w:p>
    <w:p w:rsidR="00044896" w:rsidRPr="00044896" w:rsidRDefault="00044896" w:rsidP="00F57B46">
      <w:pPr>
        <w:pStyle w:val="enumlev1"/>
        <w:rPr>
          <w:rtl/>
        </w:rPr>
      </w:pPr>
      <w:r w:rsidRPr="00044896">
        <w:rPr>
          <w:rtl/>
        </w:rPr>
        <w:t>’</w:t>
      </w:r>
      <w:r w:rsidRPr="00044896">
        <w:t>2</w:t>
      </w:r>
      <w:r w:rsidRPr="00044896">
        <w:rPr>
          <w:rtl/>
        </w:rPr>
        <w:t>‘</w:t>
      </w:r>
      <w:r w:rsidRPr="00044896">
        <w:rPr>
          <w:rtl/>
        </w:rPr>
        <w:tab/>
        <w:t>وينبغي استكمال مقترح بشأن بدلات التمثيل في المكاتب الإقليمية ومكاتب المناطق بحيث يمكن تقديمه إلى لجنة التنسيق لاعتماده. وعلقت الإدارة بالقول إن مشروع النص قد استُكمل وأُطلعت الجهات المعنية عليه لإقراره بشكل نهائي قبل تقديمه إلى الإدارة للموافقة</w:t>
      </w:r>
      <w:r w:rsidR="00AE5D4B">
        <w:rPr>
          <w:rFonts w:hint="cs"/>
          <w:rtl/>
        </w:rPr>
        <w:t> </w:t>
      </w:r>
      <w:r w:rsidRPr="00044896">
        <w:rPr>
          <w:rtl/>
        </w:rPr>
        <w:t>عليه.</w:t>
      </w:r>
    </w:p>
    <w:p w:rsidR="00044896" w:rsidRPr="00044896" w:rsidRDefault="00044896" w:rsidP="00525E82">
      <w:pPr>
        <w:rPr>
          <w:rtl/>
        </w:rPr>
      </w:pPr>
      <w:r w:rsidRPr="00044896">
        <w:t>25</w:t>
      </w:r>
      <w:r w:rsidRPr="00044896">
        <w:rPr>
          <w:rtl/>
        </w:rPr>
        <w:tab/>
        <w:t xml:space="preserve">وإجمالاً، توفر النتائج المستقاة من المراجعة </w:t>
      </w:r>
      <w:r w:rsidRPr="00044896">
        <w:rPr>
          <w:i/>
          <w:iCs/>
          <w:rtl/>
        </w:rPr>
        <w:t>تأكيداً معقولاً</w:t>
      </w:r>
      <w:r w:rsidRPr="00044896">
        <w:rPr>
          <w:rtl/>
        </w:rPr>
        <w:t xml:space="preserve"> بأن الضوابط الداخلية وعمليات الإدارة وإدارة المخاطر في</w:t>
      </w:r>
      <w:r w:rsidR="00525E82">
        <w:rPr>
          <w:rFonts w:hint="cs"/>
          <w:rtl/>
        </w:rPr>
        <w:t> </w:t>
      </w:r>
      <w:r w:rsidRPr="00044896">
        <w:rPr>
          <w:rtl/>
        </w:rPr>
        <w:t>الاتحاد تؤدي مهامها. إلا أن وحدة المراجعة الداخلية حددت مجالات للتحسين ومخاطر ترتبط خصوصاً بتدابير السلامة والأمن في الميدان وببدل التمثيل (انعدامه)، فإذا ما عولجت من شأن ذلك أن يعزز تحديداً التمثيل الميداني للاتحاد وسلامته</w:t>
      </w:r>
      <w:r w:rsidR="00AE5D4B">
        <w:rPr>
          <w:rFonts w:hint="cs"/>
          <w:rtl/>
        </w:rPr>
        <w:t> </w:t>
      </w:r>
      <w:r w:rsidRPr="00044896">
        <w:rPr>
          <w:rtl/>
        </w:rPr>
        <w:t xml:space="preserve">وأمنه. </w:t>
      </w:r>
    </w:p>
    <w:p w:rsidR="00044896" w:rsidRPr="00044896" w:rsidRDefault="00044896" w:rsidP="00F57B46">
      <w:pPr>
        <w:pStyle w:val="Headingb"/>
        <w:rPr>
          <w:rtl/>
        </w:rPr>
      </w:pPr>
      <w:r w:rsidRPr="00044896">
        <w:rPr>
          <w:rtl/>
        </w:rPr>
        <w:lastRenderedPageBreak/>
        <w:t xml:space="preserve">تنفيذ ما يتعلق بالمراجعة الداخلية من توصيات اللجنة الاستشارية المستقلة للإدارة </w:t>
      </w:r>
      <w:r w:rsidRPr="00044896">
        <w:t>(</w:t>
      </w:r>
      <w:r w:rsidRPr="00044896">
        <w:rPr>
          <w:lang w:val="en-CA"/>
        </w:rPr>
        <w:t>IMAC</w:t>
      </w:r>
      <w:r w:rsidRPr="00044896">
        <w:t>)</w:t>
      </w:r>
    </w:p>
    <w:p w:rsidR="00044896" w:rsidRPr="00044896" w:rsidRDefault="00044896" w:rsidP="00AE5D4B">
      <w:pPr>
        <w:rPr>
          <w:rtl/>
        </w:rPr>
      </w:pPr>
      <w:r w:rsidRPr="00044896">
        <w:t>26</w:t>
      </w:r>
      <w:r w:rsidRPr="00044896">
        <w:rPr>
          <w:rtl/>
        </w:rPr>
        <w:tab/>
      </w:r>
      <w:r w:rsidRPr="00F628D8">
        <w:rPr>
          <w:rtl/>
        </w:rPr>
        <w:t>اضطلعت اللجنة الاستشارية المستقلة للإدارة بمتابعة منتظمة لتنفيذ التوصيات المتعلقة بوظيفة المراجعة الداخلية وأدرجت عرض التقدم الملاحظ على هذا الصعيد في تقريرها الذي قُدِّم إلى الأمين العام وفي تقريرها السنوي إلى المجلس. ويشار في هذا الصدد إشارة خاصة إلى التقرير الثاني الذي قدمته هذه اللجنة إلى المجلس (</w:t>
      </w:r>
      <w:r w:rsidRPr="00F628D8">
        <w:t>C13/65</w:t>
      </w:r>
      <w:r w:rsidRPr="00F628D8">
        <w:rPr>
          <w:rtl/>
        </w:rPr>
        <w:t>، الفقرة</w:t>
      </w:r>
      <w:r w:rsidR="00AE5D4B">
        <w:rPr>
          <w:rFonts w:hint="cs"/>
          <w:rtl/>
        </w:rPr>
        <w:t> </w:t>
      </w:r>
      <w:r w:rsidRPr="00F628D8">
        <w:t>4.3</w:t>
      </w:r>
      <w:r w:rsidRPr="00F628D8">
        <w:rPr>
          <w:rtl/>
        </w:rPr>
        <w:t>) حيث أوصت بأن "... تواصل المراجعة الداخلية التكليف بإجراء استعراض من جانب الخبراء، ويفضل أن يكون ذلك بحلول</w:t>
      </w:r>
      <w:r w:rsidR="00AE5D4B">
        <w:rPr>
          <w:rFonts w:hint="cs"/>
          <w:rtl/>
        </w:rPr>
        <w:t> </w:t>
      </w:r>
      <w:r w:rsidRPr="00F628D8">
        <w:t>2014</w:t>
      </w:r>
      <w:r w:rsidRPr="00F628D8">
        <w:rPr>
          <w:rtl/>
        </w:rPr>
        <w:t xml:space="preserve">". وقد أجري استعراض من هذا القبيل في يناير </w:t>
      </w:r>
      <w:r w:rsidRPr="00F628D8">
        <w:t>2015</w:t>
      </w:r>
      <w:r w:rsidRPr="00F628D8">
        <w:rPr>
          <w:rtl/>
        </w:rPr>
        <w:t>. ولئن كان فريق التصديق الخارجي قد أعرب عن رأي إجمالي مفاده أن المراجعة الداخلية في الاتحاد تتطابق على العموم مع المعايير ومدونة قواعد السلوك التي وضعها معهد المراجعين الداخليين، فإنه قد عاين مطابقة جزئية للمعيار </w:t>
      </w:r>
      <w:r w:rsidRPr="00F628D8">
        <w:t>1</w:t>
      </w:r>
      <w:r w:rsidRPr="00F628D8">
        <w:rPr>
          <w:rtl/>
        </w:rPr>
        <w:t xml:space="preserve"> من معايير معهد المراجعين الداخليين المتعلقة بالاختصاص البالغ عددها </w:t>
      </w:r>
      <w:r w:rsidRPr="00F628D8">
        <w:t>14</w:t>
      </w:r>
      <w:r w:rsidRPr="00F628D8">
        <w:rPr>
          <w:rtl/>
        </w:rPr>
        <w:t xml:space="preserve"> وللمعيار</w:t>
      </w:r>
      <w:r w:rsidR="00AE5D4B">
        <w:rPr>
          <w:rFonts w:hint="cs"/>
          <w:rtl/>
        </w:rPr>
        <w:t> </w:t>
      </w:r>
      <w:r w:rsidRPr="00F628D8">
        <w:t>5</w:t>
      </w:r>
      <w:r w:rsidRPr="00F628D8">
        <w:rPr>
          <w:rtl/>
        </w:rPr>
        <w:t xml:space="preserve"> من معايير هذا المعهد المتعلقة بالأداء البالغ عددها </w:t>
      </w:r>
      <w:r w:rsidRPr="00F628D8">
        <w:t>26</w:t>
      </w:r>
      <w:r w:rsidRPr="00F628D8">
        <w:rPr>
          <w:rtl/>
        </w:rPr>
        <w:t xml:space="preserve">. وفي الإضافة </w:t>
      </w:r>
      <w:r w:rsidR="00F628D8" w:rsidRPr="00F628D8">
        <w:t>2</w:t>
      </w:r>
      <w:r w:rsidRPr="00F628D8">
        <w:rPr>
          <w:rtl/>
        </w:rPr>
        <w:t xml:space="preserve"> لتقريرها الرابع المقدَّم إلى المجلس أقرت اللجنة الاستشارية المستقلة للإدارة النتائج التي توصل إليها فريق التصديق الخارجي (الواردة في </w:t>
      </w:r>
      <w:hyperlink r:id="rId9" w:history="1">
        <w:r w:rsidRPr="00A6493F">
          <w:rPr>
            <w:rStyle w:val="Hyperlink"/>
            <w:rFonts w:hint="cs"/>
            <w:rtl/>
          </w:rPr>
          <w:t>الوثيقة</w:t>
        </w:r>
        <w:r w:rsidRPr="00A6493F">
          <w:rPr>
            <w:rStyle w:val="Hyperlink"/>
            <w:rtl/>
          </w:rPr>
          <w:t xml:space="preserve"> </w:t>
        </w:r>
        <w:r w:rsidRPr="00A6493F">
          <w:rPr>
            <w:rStyle w:val="Hyperlink"/>
          </w:rPr>
          <w:t>C15/INF/11</w:t>
        </w:r>
      </w:hyperlink>
      <w:r w:rsidRPr="00F628D8">
        <w:rPr>
          <w:rtl/>
        </w:rPr>
        <w:t>)، وأوصت بأن يقدم المراجع الداخلي تقاريره</w:t>
      </w:r>
      <w:r w:rsidR="00AE5D4B">
        <w:rPr>
          <w:rFonts w:hint="cs"/>
          <w:rtl/>
        </w:rPr>
        <w:t> </w:t>
      </w:r>
      <w:r w:rsidR="00AE5D4B">
        <w:rPr>
          <w:rtl/>
        </w:rPr>
        <w:noBreakHyphen/>
      </w:r>
      <w:r w:rsidR="00AE5D4B">
        <w:rPr>
          <w:rFonts w:hint="cs"/>
          <w:rtl/>
        </w:rPr>
        <w:t> </w:t>
      </w:r>
      <w:r w:rsidRPr="00F628D8">
        <w:rPr>
          <w:rtl/>
        </w:rPr>
        <w:t>من خلال آلية تقرير المراجع الداخلي السنوي عن أنشطة المراجعة الداخلية - إلى المجلس في عام</w:t>
      </w:r>
      <w:r w:rsidR="00AE5D4B">
        <w:rPr>
          <w:rFonts w:hint="cs"/>
          <w:rtl/>
        </w:rPr>
        <w:t> </w:t>
      </w:r>
      <w:r w:rsidR="00F628D8" w:rsidRPr="00F628D8">
        <w:t>2016</w:t>
      </w:r>
      <w:r w:rsidRPr="00F628D8">
        <w:rPr>
          <w:rtl/>
        </w:rPr>
        <w:t xml:space="preserve"> والسنوات اللاحقة عن الإجراءات المتخذة والتقدم المحرز في تنفيذ كل توصية من التوصيات التسع الواردة في التصديق الخارجي المستقل من نشاط وحدة المراجعة الداخلية بالاتحاد. وفى</w:t>
      </w:r>
      <w:r w:rsidR="00F569BF">
        <w:rPr>
          <w:rFonts w:hint="cs"/>
          <w:rtl/>
        </w:rPr>
        <w:t> </w:t>
      </w:r>
      <w:r w:rsidRPr="00F628D8">
        <w:rPr>
          <w:rtl/>
        </w:rPr>
        <w:t>ملحق هذا التقرير، تتاح</w:t>
      </w:r>
      <w:r w:rsidRPr="00044896">
        <w:rPr>
          <w:rtl/>
        </w:rPr>
        <w:t xml:space="preserve"> على هذا النحو لمحة عامة عن التوصيات مع تقييم وحدة المراجعة الداخلية للإجراءات المتخذة والتقدم المحرز.</w:t>
      </w:r>
    </w:p>
    <w:p w:rsidR="00044896" w:rsidRPr="00044896" w:rsidRDefault="00044896" w:rsidP="00AE5D4B">
      <w:pPr>
        <w:pStyle w:val="Headingb"/>
        <w:keepLines/>
        <w:rPr>
          <w:rtl/>
        </w:rPr>
      </w:pPr>
      <w:r w:rsidRPr="00044896">
        <w:rPr>
          <w:rtl/>
        </w:rPr>
        <w:t>متابعة تنفيذ التوصيات المقدَّمة في إطار المراجعة الداخلية</w:t>
      </w:r>
    </w:p>
    <w:p w:rsidR="0074420E" w:rsidRDefault="00044896" w:rsidP="00AE5D4B">
      <w:pPr>
        <w:keepNext/>
        <w:keepLines/>
        <w:spacing w:after="240"/>
      </w:pPr>
      <w:r w:rsidRPr="00044896">
        <w:t>27</w:t>
      </w:r>
      <w:r w:rsidRPr="00044896">
        <w:rPr>
          <w:rtl/>
        </w:rPr>
        <w:tab/>
        <w:t xml:space="preserve">واصل فريق المراجعة الداخلية طيلة الفترة المشمولة بهذا التقرير متابعة تنفيذ التوصيات التي قدمت في تقارير المراجعة السابقة، وذلك طبقاً للمعيار </w:t>
      </w:r>
      <w:r w:rsidRPr="00044896">
        <w:t>2500</w:t>
      </w:r>
      <w:r w:rsidRPr="00044896">
        <w:rPr>
          <w:rtl/>
        </w:rPr>
        <w:t xml:space="preserve"> لمعهد المراجعين الداخليين</w:t>
      </w:r>
      <w:r w:rsidRPr="00F628D8">
        <w:rPr>
          <w:rStyle w:val="FootnoteReference"/>
          <w:rtl/>
        </w:rPr>
        <w:footnoteReference w:id="6"/>
      </w:r>
      <w:r w:rsidRPr="00044896">
        <w:rPr>
          <w:rtl/>
        </w:rPr>
        <w:t>. وقد لوحظ أنه تحقق على مدى الاثني عشر شهراً الأخيرة مزيد من التقدم في تنفيذ التوصيات المعنية، الذي ترد فيما يلي الإحصاءات المتعلقة به:</w:t>
      </w:r>
    </w:p>
    <w:tbl>
      <w:tblPr>
        <w:bidiVisual/>
        <w:tblW w:w="4880" w:type="pct"/>
        <w:tblInd w:w="120" w:type="dxa"/>
        <w:tblLook w:val="04A0" w:firstRow="1" w:lastRow="0" w:firstColumn="1" w:lastColumn="0" w:noHBand="0" w:noVBand="1"/>
      </w:tblPr>
      <w:tblGrid>
        <w:gridCol w:w="2973"/>
        <w:gridCol w:w="789"/>
        <w:gridCol w:w="795"/>
        <w:gridCol w:w="795"/>
        <w:gridCol w:w="795"/>
        <w:gridCol w:w="797"/>
        <w:gridCol w:w="737"/>
        <w:gridCol w:w="866"/>
        <w:gridCol w:w="841"/>
      </w:tblGrid>
      <w:tr w:rsidR="005038A5" w:rsidRPr="008C7AC9" w:rsidTr="00AE5D4B">
        <w:trPr>
          <w:trHeight w:val="230"/>
        </w:trPr>
        <w:tc>
          <w:tcPr>
            <w:tcW w:w="1584" w:type="pct"/>
            <w:tcBorders>
              <w:top w:val="single" w:sz="8" w:space="0" w:color="auto"/>
              <w:left w:val="single" w:sz="8" w:space="0" w:color="auto"/>
              <w:bottom w:val="nil"/>
              <w:right w:val="nil"/>
            </w:tcBorders>
            <w:shd w:val="clear" w:color="auto" w:fill="000000"/>
            <w:noWrap/>
            <w:hideMark/>
          </w:tcPr>
          <w:p w:rsidR="00044896" w:rsidRPr="008C7AC9" w:rsidRDefault="00044896" w:rsidP="00AE5D4B">
            <w:pPr>
              <w:pStyle w:val="TableHead"/>
              <w:keepLines/>
              <w:rPr>
                <w:rtl/>
              </w:rPr>
            </w:pPr>
            <w:r w:rsidRPr="008C7AC9">
              <w:rPr>
                <w:rtl/>
              </w:rPr>
              <w:br w:type="page"/>
              <w:t>السنة</w:t>
            </w:r>
          </w:p>
        </w:tc>
        <w:tc>
          <w:tcPr>
            <w:tcW w:w="421"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2009</w:t>
            </w:r>
          </w:p>
        </w:tc>
        <w:tc>
          <w:tcPr>
            <w:tcW w:w="424"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2010</w:t>
            </w:r>
          </w:p>
        </w:tc>
        <w:tc>
          <w:tcPr>
            <w:tcW w:w="424"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2011</w:t>
            </w:r>
          </w:p>
        </w:tc>
        <w:tc>
          <w:tcPr>
            <w:tcW w:w="424"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2012</w:t>
            </w:r>
          </w:p>
        </w:tc>
        <w:tc>
          <w:tcPr>
            <w:tcW w:w="425"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2013</w:t>
            </w:r>
          </w:p>
        </w:tc>
        <w:tc>
          <w:tcPr>
            <w:tcW w:w="393"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2014</w:t>
            </w:r>
          </w:p>
        </w:tc>
        <w:tc>
          <w:tcPr>
            <w:tcW w:w="462" w:type="pct"/>
            <w:tcBorders>
              <w:top w:val="single" w:sz="8" w:space="0" w:color="auto"/>
              <w:left w:val="nil"/>
              <w:bottom w:val="nil"/>
              <w:right w:val="nil"/>
            </w:tcBorders>
            <w:shd w:val="clear" w:color="auto" w:fill="000000"/>
            <w:noWrap/>
            <w:hideMark/>
          </w:tcPr>
          <w:p w:rsidR="00044896" w:rsidRPr="008C7AC9" w:rsidRDefault="00044896" w:rsidP="00AE5D4B">
            <w:pPr>
              <w:pStyle w:val="TableHead"/>
              <w:keepLines/>
              <w:rPr>
                <w:lang w:bidi="ar-SY"/>
              </w:rPr>
            </w:pPr>
            <w:r w:rsidRPr="008C7AC9">
              <w:rPr>
                <w:lang w:bidi="ar-SY"/>
              </w:rPr>
              <w:t>2015</w:t>
            </w:r>
          </w:p>
        </w:tc>
        <w:tc>
          <w:tcPr>
            <w:tcW w:w="442" w:type="pct"/>
            <w:tcBorders>
              <w:top w:val="single" w:sz="8" w:space="0" w:color="auto"/>
              <w:left w:val="nil"/>
              <w:bottom w:val="nil"/>
              <w:right w:val="single" w:sz="8" w:space="0" w:color="auto"/>
            </w:tcBorders>
            <w:shd w:val="clear" w:color="auto" w:fill="000000"/>
            <w:noWrap/>
            <w:hideMark/>
          </w:tcPr>
          <w:p w:rsidR="00044896" w:rsidRPr="008C7AC9" w:rsidRDefault="00044896" w:rsidP="00AE5D4B">
            <w:pPr>
              <w:pStyle w:val="TableHead"/>
              <w:keepLines/>
              <w:rPr>
                <w:lang w:bidi="ar-SY"/>
              </w:rPr>
            </w:pPr>
            <w:r w:rsidRPr="008C7AC9">
              <w:rPr>
                <w:rtl/>
              </w:rPr>
              <w:t>المجموع</w:t>
            </w:r>
          </w:p>
        </w:tc>
      </w:tr>
      <w:tr w:rsidR="005038A5" w:rsidRPr="008C7AC9" w:rsidTr="00AE5D4B">
        <w:trPr>
          <w:trHeight w:val="217"/>
        </w:trPr>
        <w:tc>
          <w:tcPr>
            <w:tcW w:w="1584" w:type="pct"/>
            <w:tcBorders>
              <w:top w:val="single" w:sz="8" w:space="0" w:color="auto"/>
              <w:left w:val="single" w:sz="8" w:space="0" w:color="auto"/>
              <w:bottom w:val="single" w:sz="4" w:space="0" w:color="auto"/>
              <w:right w:val="single" w:sz="4" w:space="0" w:color="auto"/>
            </w:tcBorders>
            <w:noWrap/>
            <w:hideMark/>
          </w:tcPr>
          <w:p w:rsidR="005038A5" w:rsidRPr="008C7AC9" w:rsidRDefault="005038A5" w:rsidP="00AE5D4B">
            <w:pPr>
              <w:pStyle w:val="Tabletexte"/>
              <w:keepNext/>
              <w:keepLines/>
            </w:pPr>
            <w:r w:rsidRPr="008C7AC9">
              <w:rPr>
                <w:rtl/>
              </w:rPr>
              <w:t>عدد تقارير المراجعة</w:t>
            </w:r>
          </w:p>
        </w:tc>
        <w:tc>
          <w:tcPr>
            <w:tcW w:w="421" w:type="pct"/>
            <w:tcBorders>
              <w:top w:val="single" w:sz="8" w:space="0" w:color="auto"/>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rPr>
                <w:rFonts w:cs="Times New Roman"/>
                <w:lang w:bidi="ar-SA"/>
              </w:rPr>
            </w:pPr>
            <w:r>
              <w:t>2</w:t>
            </w:r>
          </w:p>
        </w:tc>
        <w:tc>
          <w:tcPr>
            <w:tcW w:w="424" w:type="pct"/>
            <w:tcBorders>
              <w:top w:val="single" w:sz="8" w:space="0" w:color="auto"/>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rPr>
                <w:rFonts w:cs="Times New Roman"/>
                <w:lang w:bidi="ar-SA"/>
              </w:rPr>
            </w:pPr>
            <w:r>
              <w:t>3</w:t>
            </w:r>
          </w:p>
        </w:tc>
        <w:tc>
          <w:tcPr>
            <w:tcW w:w="424" w:type="pct"/>
            <w:tcBorders>
              <w:top w:val="single" w:sz="8" w:space="0" w:color="auto"/>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rPr>
                <w:rFonts w:cs="Times New Roman"/>
                <w:lang w:bidi="ar-SA"/>
              </w:rPr>
            </w:pPr>
            <w:r>
              <w:t>2</w:t>
            </w:r>
          </w:p>
        </w:tc>
        <w:tc>
          <w:tcPr>
            <w:tcW w:w="424" w:type="pct"/>
            <w:tcBorders>
              <w:top w:val="single" w:sz="8" w:space="0" w:color="auto"/>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rPr>
                <w:rFonts w:cs="Times New Roman"/>
                <w:lang w:bidi="ar-SA"/>
              </w:rPr>
            </w:pPr>
            <w:r>
              <w:t>0</w:t>
            </w:r>
          </w:p>
        </w:tc>
        <w:tc>
          <w:tcPr>
            <w:tcW w:w="425" w:type="pct"/>
            <w:tcBorders>
              <w:top w:val="single" w:sz="8" w:space="0" w:color="auto"/>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rPr>
                <w:rFonts w:cs="Times New Roman"/>
                <w:lang w:bidi="ar-SA"/>
              </w:rPr>
            </w:pPr>
            <w:r>
              <w:t>4</w:t>
            </w:r>
          </w:p>
        </w:tc>
        <w:tc>
          <w:tcPr>
            <w:tcW w:w="393" w:type="pct"/>
            <w:tcBorders>
              <w:top w:val="single" w:sz="8" w:space="0" w:color="auto"/>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rPr>
                <w:rFonts w:cs="Times New Roman"/>
                <w:lang w:bidi="ar-SA"/>
              </w:rPr>
            </w:pPr>
            <w:r>
              <w:t>4</w:t>
            </w:r>
          </w:p>
        </w:tc>
        <w:tc>
          <w:tcPr>
            <w:tcW w:w="462" w:type="pct"/>
            <w:tcBorders>
              <w:top w:val="single" w:sz="8" w:space="0" w:color="auto"/>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rPr>
                <w:rFonts w:cs="Times New Roman"/>
                <w:lang w:bidi="ar-SA"/>
              </w:rPr>
            </w:pPr>
            <w:r>
              <w:t>7</w:t>
            </w:r>
          </w:p>
        </w:tc>
        <w:tc>
          <w:tcPr>
            <w:tcW w:w="442" w:type="pct"/>
            <w:tcBorders>
              <w:top w:val="single" w:sz="8" w:space="0" w:color="auto"/>
              <w:left w:val="single" w:sz="4" w:space="0" w:color="auto"/>
              <w:bottom w:val="single" w:sz="4" w:space="0" w:color="auto"/>
              <w:right w:val="single" w:sz="8" w:space="0" w:color="auto"/>
            </w:tcBorders>
            <w:shd w:val="clear" w:color="000000" w:fill="AEAAAA"/>
            <w:noWrap/>
            <w:vAlign w:val="bottom"/>
          </w:tcPr>
          <w:p w:rsidR="005038A5" w:rsidRDefault="005038A5" w:rsidP="00AE5D4B">
            <w:pPr>
              <w:pStyle w:val="Tabletexte"/>
              <w:keepNext/>
              <w:keepLines/>
              <w:bidi w:val="0"/>
              <w:jc w:val="center"/>
              <w:rPr>
                <w:rFonts w:ascii="Arial" w:hAnsi="Arial" w:cs="Arial"/>
                <w:b/>
                <w:bCs/>
                <w:szCs w:val="20"/>
                <w:lang w:bidi="ar-SA"/>
              </w:rPr>
            </w:pPr>
            <w:r>
              <w:rPr>
                <w:rFonts w:ascii="Arial" w:hAnsi="Arial" w:cs="Arial"/>
                <w:b/>
                <w:bCs/>
                <w:szCs w:val="20"/>
              </w:rPr>
              <w:t>22</w:t>
            </w:r>
          </w:p>
        </w:tc>
      </w:tr>
      <w:tr w:rsidR="005038A5" w:rsidRPr="008C7AC9" w:rsidTr="00AE5D4B">
        <w:trPr>
          <w:trHeight w:val="217"/>
        </w:trPr>
        <w:tc>
          <w:tcPr>
            <w:tcW w:w="1584" w:type="pct"/>
            <w:tcBorders>
              <w:top w:val="nil"/>
              <w:left w:val="single" w:sz="8" w:space="0" w:color="auto"/>
              <w:bottom w:val="single" w:sz="4" w:space="0" w:color="auto"/>
              <w:right w:val="single" w:sz="4" w:space="0" w:color="auto"/>
            </w:tcBorders>
            <w:noWrap/>
            <w:hideMark/>
          </w:tcPr>
          <w:p w:rsidR="005038A5" w:rsidRPr="008C7AC9" w:rsidRDefault="005038A5" w:rsidP="00AE5D4B">
            <w:pPr>
              <w:pStyle w:val="Tabletexte"/>
              <w:keepNext/>
              <w:keepLines/>
            </w:pPr>
            <w:r w:rsidRPr="008C7AC9">
              <w:rPr>
                <w:rtl/>
              </w:rPr>
              <w:t>التوصيات - المجموع</w:t>
            </w:r>
          </w:p>
        </w:tc>
        <w:tc>
          <w:tcPr>
            <w:tcW w:w="421"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13</w:t>
            </w:r>
          </w:p>
        </w:tc>
        <w:tc>
          <w:tcPr>
            <w:tcW w:w="424"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21</w:t>
            </w:r>
          </w:p>
        </w:tc>
        <w:tc>
          <w:tcPr>
            <w:tcW w:w="424"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17</w:t>
            </w:r>
          </w:p>
        </w:tc>
        <w:tc>
          <w:tcPr>
            <w:tcW w:w="424"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113</w:t>
            </w:r>
          </w:p>
        </w:tc>
        <w:tc>
          <w:tcPr>
            <w:tcW w:w="393"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55</w:t>
            </w:r>
          </w:p>
        </w:tc>
        <w:tc>
          <w:tcPr>
            <w:tcW w:w="462"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34</w:t>
            </w:r>
          </w:p>
        </w:tc>
        <w:tc>
          <w:tcPr>
            <w:tcW w:w="442" w:type="pct"/>
            <w:tcBorders>
              <w:top w:val="nil"/>
              <w:left w:val="single" w:sz="4" w:space="0" w:color="auto"/>
              <w:bottom w:val="single" w:sz="4" w:space="0" w:color="auto"/>
              <w:right w:val="single" w:sz="8" w:space="0" w:color="auto"/>
            </w:tcBorders>
            <w:shd w:val="clear" w:color="000000" w:fill="AEAAAA"/>
            <w:noWrap/>
            <w:vAlign w:val="bottom"/>
          </w:tcPr>
          <w:p w:rsidR="005038A5" w:rsidRDefault="005038A5" w:rsidP="00AE5D4B">
            <w:pPr>
              <w:pStyle w:val="Tabletexte"/>
              <w:keepNext/>
              <w:keepLines/>
              <w:bidi w:val="0"/>
              <w:jc w:val="center"/>
              <w:rPr>
                <w:rFonts w:ascii="Arial" w:hAnsi="Arial" w:cs="Arial"/>
                <w:b/>
                <w:bCs/>
                <w:szCs w:val="20"/>
              </w:rPr>
            </w:pPr>
            <w:r>
              <w:rPr>
                <w:rFonts w:ascii="Arial" w:hAnsi="Arial" w:cs="Arial"/>
                <w:b/>
                <w:bCs/>
                <w:szCs w:val="20"/>
              </w:rPr>
              <w:t>253</w:t>
            </w:r>
          </w:p>
        </w:tc>
      </w:tr>
      <w:tr w:rsidR="005038A5" w:rsidRPr="008C7AC9" w:rsidTr="00AE5D4B">
        <w:trPr>
          <w:trHeight w:val="217"/>
        </w:trPr>
        <w:tc>
          <w:tcPr>
            <w:tcW w:w="1584" w:type="pct"/>
            <w:tcBorders>
              <w:top w:val="nil"/>
              <w:left w:val="single" w:sz="8" w:space="0" w:color="auto"/>
              <w:bottom w:val="single" w:sz="4" w:space="0" w:color="auto"/>
              <w:right w:val="single" w:sz="4" w:space="0" w:color="auto"/>
            </w:tcBorders>
            <w:noWrap/>
            <w:hideMark/>
          </w:tcPr>
          <w:p w:rsidR="005038A5" w:rsidRPr="008C7AC9" w:rsidRDefault="005038A5" w:rsidP="00AE5D4B">
            <w:pPr>
              <w:pStyle w:val="Tabletexte"/>
              <w:keepNext/>
              <w:keepLines/>
              <w:ind w:left="284"/>
            </w:pPr>
            <w:r w:rsidRPr="008C7AC9">
              <w:rPr>
                <w:rtl/>
              </w:rPr>
              <w:t>التوصيات الجاري تنفيذها</w:t>
            </w:r>
          </w:p>
        </w:tc>
        <w:tc>
          <w:tcPr>
            <w:tcW w:w="421"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w:t>
            </w:r>
          </w:p>
        </w:tc>
        <w:tc>
          <w:tcPr>
            <w:tcW w:w="424"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0</w:t>
            </w:r>
          </w:p>
        </w:tc>
        <w:tc>
          <w:tcPr>
            <w:tcW w:w="424"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w:t>
            </w:r>
          </w:p>
        </w:tc>
        <w:tc>
          <w:tcPr>
            <w:tcW w:w="424"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13</w:t>
            </w:r>
          </w:p>
        </w:tc>
        <w:tc>
          <w:tcPr>
            <w:tcW w:w="393"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20</w:t>
            </w:r>
          </w:p>
        </w:tc>
        <w:tc>
          <w:tcPr>
            <w:tcW w:w="462"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30</w:t>
            </w:r>
          </w:p>
        </w:tc>
        <w:tc>
          <w:tcPr>
            <w:tcW w:w="442" w:type="pct"/>
            <w:tcBorders>
              <w:top w:val="nil"/>
              <w:left w:val="single" w:sz="4" w:space="0" w:color="auto"/>
              <w:bottom w:val="single" w:sz="4" w:space="0" w:color="auto"/>
              <w:right w:val="single" w:sz="8" w:space="0" w:color="auto"/>
            </w:tcBorders>
            <w:shd w:val="clear" w:color="000000" w:fill="AEAAAA"/>
            <w:noWrap/>
            <w:vAlign w:val="bottom"/>
          </w:tcPr>
          <w:p w:rsidR="005038A5" w:rsidRDefault="005038A5" w:rsidP="00AE5D4B">
            <w:pPr>
              <w:pStyle w:val="Tabletexte"/>
              <w:keepNext/>
              <w:keepLines/>
              <w:bidi w:val="0"/>
              <w:jc w:val="center"/>
              <w:rPr>
                <w:rFonts w:ascii="Arial" w:hAnsi="Arial" w:cs="Arial"/>
                <w:b/>
                <w:bCs/>
                <w:szCs w:val="20"/>
              </w:rPr>
            </w:pPr>
            <w:r>
              <w:rPr>
                <w:rFonts w:ascii="Arial" w:hAnsi="Arial" w:cs="Arial"/>
                <w:b/>
                <w:bCs/>
                <w:szCs w:val="20"/>
              </w:rPr>
              <w:t>65</w:t>
            </w:r>
          </w:p>
        </w:tc>
      </w:tr>
      <w:tr w:rsidR="005038A5" w:rsidRPr="008C7AC9" w:rsidTr="00AE5D4B">
        <w:trPr>
          <w:trHeight w:val="217"/>
        </w:trPr>
        <w:tc>
          <w:tcPr>
            <w:tcW w:w="1584" w:type="pct"/>
            <w:tcBorders>
              <w:top w:val="nil"/>
              <w:left w:val="single" w:sz="8" w:space="0" w:color="auto"/>
              <w:bottom w:val="single" w:sz="4" w:space="0" w:color="auto"/>
              <w:right w:val="single" w:sz="4" w:space="0" w:color="auto"/>
            </w:tcBorders>
            <w:noWrap/>
            <w:hideMark/>
          </w:tcPr>
          <w:p w:rsidR="005038A5" w:rsidRPr="008C7AC9" w:rsidRDefault="005038A5" w:rsidP="00AE5D4B">
            <w:pPr>
              <w:pStyle w:val="Tabletexte"/>
              <w:keepNext/>
              <w:keepLines/>
              <w:ind w:left="284"/>
            </w:pPr>
            <w:r w:rsidRPr="008C7AC9">
              <w:rPr>
                <w:rtl/>
              </w:rPr>
              <w:t>التوصيات المتأخَر في تنفيذها</w:t>
            </w:r>
          </w:p>
        </w:tc>
        <w:tc>
          <w:tcPr>
            <w:tcW w:w="421"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0</w:t>
            </w:r>
          </w:p>
        </w:tc>
        <w:tc>
          <w:tcPr>
            <w:tcW w:w="424"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0</w:t>
            </w:r>
          </w:p>
        </w:tc>
        <w:tc>
          <w:tcPr>
            <w:tcW w:w="424"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2</w:t>
            </w:r>
          </w:p>
        </w:tc>
        <w:tc>
          <w:tcPr>
            <w:tcW w:w="424" w:type="pct"/>
            <w:tcBorders>
              <w:top w:val="nil"/>
              <w:left w:val="single" w:sz="4" w:space="0" w:color="auto"/>
              <w:bottom w:val="single" w:sz="4"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nil"/>
              <w:left w:val="single" w:sz="4" w:space="0" w:color="auto"/>
              <w:bottom w:val="single" w:sz="4"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w:t>
            </w:r>
          </w:p>
        </w:tc>
        <w:tc>
          <w:tcPr>
            <w:tcW w:w="393"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5</w:t>
            </w:r>
          </w:p>
        </w:tc>
        <w:tc>
          <w:tcPr>
            <w:tcW w:w="462" w:type="pct"/>
            <w:tcBorders>
              <w:top w:val="nil"/>
              <w:left w:val="single" w:sz="4" w:space="0" w:color="auto"/>
              <w:bottom w:val="single" w:sz="4" w:space="0" w:color="auto"/>
              <w:right w:val="nil"/>
            </w:tcBorders>
            <w:shd w:val="clear" w:color="000000" w:fill="FFFFFF"/>
            <w:noWrap/>
            <w:vAlign w:val="bottom"/>
          </w:tcPr>
          <w:p w:rsidR="005038A5" w:rsidRDefault="005038A5" w:rsidP="00AE5D4B">
            <w:pPr>
              <w:pStyle w:val="Tabletexte"/>
              <w:keepNext/>
              <w:keepLines/>
              <w:bidi w:val="0"/>
              <w:jc w:val="center"/>
            </w:pPr>
            <w:r>
              <w:t>0</w:t>
            </w:r>
          </w:p>
        </w:tc>
        <w:tc>
          <w:tcPr>
            <w:tcW w:w="442" w:type="pct"/>
            <w:tcBorders>
              <w:top w:val="nil"/>
              <w:left w:val="single" w:sz="4" w:space="0" w:color="auto"/>
              <w:bottom w:val="single" w:sz="4" w:space="0" w:color="auto"/>
              <w:right w:val="single" w:sz="8" w:space="0" w:color="auto"/>
            </w:tcBorders>
            <w:shd w:val="clear" w:color="000000" w:fill="AEAAAA"/>
            <w:noWrap/>
            <w:vAlign w:val="bottom"/>
          </w:tcPr>
          <w:p w:rsidR="005038A5" w:rsidRDefault="005038A5" w:rsidP="00AE5D4B">
            <w:pPr>
              <w:pStyle w:val="Tabletexte"/>
              <w:keepNext/>
              <w:keepLines/>
              <w:bidi w:val="0"/>
              <w:jc w:val="center"/>
              <w:rPr>
                <w:rFonts w:ascii="Arial" w:hAnsi="Arial" w:cs="Arial"/>
                <w:b/>
                <w:bCs/>
                <w:szCs w:val="20"/>
              </w:rPr>
            </w:pPr>
            <w:r>
              <w:rPr>
                <w:rFonts w:ascii="Arial" w:hAnsi="Arial" w:cs="Arial"/>
                <w:b/>
                <w:bCs/>
                <w:szCs w:val="20"/>
              </w:rPr>
              <w:t>8</w:t>
            </w:r>
          </w:p>
        </w:tc>
      </w:tr>
      <w:tr w:rsidR="005038A5" w:rsidRPr="008C7AC9" w:rsidTr="00AE5D4B">
        <w:trPr>
          <w:trHeight w:val="230"/>
        </w:trPr>
        <w:tc>
          <w:tcPr>
            <w:tcW w:w="1584" w:type="pct"/>
            <w:tcBorders>
              <w:top w:val="nil"/>
              <w:left w:val="single" w:sz="8" w:space="0" w:color="auto"/>
              <w:bottom w:val="single" w:sz="8" w:space="0" w:color="auto"/>
              <w:right w:val="single" w:sz="4" w:space="0" w:color="auto"/>
            </w:tcBorders>
            <w:noWrap/>
            <w:hideMark/>
          </w:tcPr>
          <w:p w:rsidR="005038A5" w:rsidRPr="008C7AC9" w:rsidRDefault="005038A5" w:rsidP="00AE5D4B">
            <w:pPr>
              <w:pStyle w:val="Tabletexte"/>
              <w:keepNext/>
              <w:keepLines/>
              <w:ind w:left="284"/>
            </w:pPr>
            <w:r w:rsidRPr="008C7AC9">
              <w:rPr>
                <w:rtl/>
              </w:rPr>
              <w:lastRenderedPageBreak/>
              <w:t>التوصيات التي أُقفل ملفها</w:t>
            </w:r>
          </w:p>
        </w:tc>
        <w:tc>
          <w:tcPr>
            <w:tcW w:w="421" w:type="pct"/>
            <w:tcBorders>
              <w:top w:val="nil"/>
              <w:left w:val="single" w:sz="4" w:space="0" w:color="auto"/>
              <w:bottom w:val="single" w:sz="8"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12</w:t>
            </w:r>
          </w:p>
        </w:tc>
        <w:tc>
          <w:tcPr>
            <w:tcW w:w="424" w:type="pct"/>
            <w:tcBorders>
              <w:top w:val="nil"/>
              <w:left w:val="single" w:sz="4" w:space="0" w:color="auto"/>
              <w:bottom w:val="single" w:sz="8"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21</w:t>
            </w:r>
          </w:p>
        </w:tc>
        <w:tc>
          <w:tcPr>
            <w:tcW w:w="424" w:type="pct"/>
            <w:tcBorders>
              <w:top w:val="nil"/>
              <w:left w:val="single" w:sz="4" w:space="0" w:color="auto"/>
              <w:bottom w:val="single" w:sz="8"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14</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nil"/>
              <w:left w:val="single" w:sz="4" w:space="0" w:color="auto"/>
              <w:bottom w:val="single" w:sz="8" w:space="0" w:color="auto"/>
              <w:right w:val="single" w:sz="4" w:space="0" w:color="auto"/>
            </w:tcBorders>
            <w:shd w:val="clear" w:color="000000" w:fill="FFFFFF"/>
            <w:noWrap/>
            <w:vAlign w:val="bottom"/>
          </w:tcPr>
          <w:p w:rsidR="005038A5" w:rsidRDefault="005038A5" w:rsidP="00AE5D4B">
            <w:pPr>
              <w:pStyle w:val="Tabletexte"/>
              <w:keepNext/>
              <w:keepLines/>
              <w:bidi w:val="0"/>
              <w:jc w:val="center"/>
            </w:pPr>
            <w:r>
              <w:t>99</w:t>
            </w:r>
          </w:p>
        </w:tc>
        <w:tc>
          <w:tcPr>
            <w:tcW w:w="393" w:type="pct"/>
            <w:tcBorders>
              <w:top w:val="nil"/>
              <w:left w:val="single" w:sz="4" w:space="0" w:color="auto"/>
              <w:bottom w:val="single" w:sz="8" w:space="0" w:color="auto"/>
              <w:right w:val="nil"/>
            </w:tcBorders>
            <w:shd w:val="clear" w:color="000000" w:fill="FFFFFF"/>
            <w:noWrap/>
            <w:vAlign w:val="bottom"/>
          </w:tcPr>
          <w:p w:rsidR="005038A5" w:rsidRDefault="005038A5" w:rsidP="00AE5D4B">
            <w:pPr>
              <w:pStyle w:val="Tabletexte"/>
              <w:keepNext/>
              <w:keepLines/>
              <w:bidi w:val="0"/>
              <w:jc w:val="center"/>
            </w:pPr>
            <w:r>
              <w:t>30</w:t>
            </w:r>
          </w:p>
        </w:tc>
        <w:tc>
          <w:tcPr>
            <w:tcW w:w="462" w:type="pct"/>
            <w:tcBorders>
              <w:top w:val="nil"/>
              <w:left w:val="single" w:sz="4" w:space="0" w:color="auto"/>
              <w:bottom w:val="single" w:sz="8" w:space="0" w:color="auto"/>
              <w:right w:val="nil"/>
            </w:tcBorders>
            <w:shd w:val="clear" w:color="000000" w:fill="FFFFFF"/>
            <w:noWrap/>
            <w:vAlign w:val="bottom"/>
          </w:tcPr>
          <w:p w:rsidR="005038A5" w:rsidRDefault="005038A5" w:rsidP="00AE5D4B">
            <w:pPr>
              <w:pStyle w:val="Tabletexte"/>
              <w:keepNext/>
              <w:keepLines/>
              <w:bidi w:val="0"/>
              <w:jc w:val="center"/>
            </w:pPr>
            <w:r>
              <w:t>4</w:t>
            </w:r>
          </w:p>
        </w:tc>
        <w:tc>
          <w:tcPr>
            <w:tcW w:w="442" w:type="pct"/>
            <w:tcBorders>
              <w:top w:val="nil"/>
              <w:left w:val="single" w:sz="4" w:space="0" w:color="auto"/>
              <w:bottom w:val="single" w:sz="8" w:space="0" w:color="auto"/>
              <w:right w:val="single" w:sz="8" w:space="0" w:color="auto"/>
            </w:tcBorders>
            <w:shd w:val="clear" w:color="000000" w:fill="AEAAAA"/>
            <w:noWrap/>
            <w:vAlign w:val="bottom"/>
          </w:tcPr>
          <w:p w:rsidR="005038A5" w:rsidRDefault="005038A5" w:rsidP="00AE5D4B">
            <w:pPr>
              <w:pStyle w:val="Tabletexte"/>
              <w:keepNext/>
              <w:keepLines/>
              <w:bidi w:val="0"/>
              <w:jc w:val="center"/>
              <w:rPr>
                <w:rFonts w:ascii="Arial" w:hAnsi="Arial" w:cs="Arial"/>
                <w:b/>
                <w:bCs/>
                <w:szCs w:val="20"/>
              </w:rPr>
            </w:pPr>
            <w:r>
              <w:rPr>
                <w:rFonts w:ascii="Arial" w:hAnsi="Arial" w:cs="Arial"/>
                <w:b/>
                <w:bCs/>
                <w:szCs w:val="20"/>
              </w:rPr>
              <w:t>180</w:t>
            </w:r>
          </w:p>
        </w:tc>
      </w:tr>
      <w:tr w:rsidR="005038A5" w:rsidRPr="008C7AC9" w:rsidTr="00AE5D4B">
        <w:trPr>
          <w:trHeight w:val="128"/>
        </w:trPr>
        <w:tc>
          <w:tcPr>
            <w:tcW w:w="1584" w:type="pct"/>
            <w:noWrap/>
            <w:hideMark/>
          </w:tcPr>
          <w:p w:rsidR="005038A5" w:rsidRPr="008C7AC9" w:rsidRDefault="005038A5" w:rsidP="00AE5D4B">
            <w:pPr>
              <w:pStyle w:val="Tabletexte"/>
              <w:keepNext/>
              <w:keepLines/>
            </w:pPr>
          </w:p>
        </w:tc>
        <w:tc>
          <w:tcPr>
            <w:tcW w:w="421"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424"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424"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424" w:type="pct"/>
            <w:tcBorders>
              <w:top w:val="nil"/>
              <w:left w:val="nil"/>
              <w:bottom w:val="nil"/>
              <w:right w:val="nil"/>
            </w:tcBorders>
            <w:shd w:val="clear" w:color="auto" w:fill="auto"/>
            <w:noWrap/>
            <w:vAlign w:val="bottom"/>
            <w:hideMark/>
          </w:tcPr>
          <w:p w:rsidR="005038A5" w:rsidRDefault="005038A5" w:rsidP="00AE5D4B">
            <w:pPr>
              <w:pStyle w:val="Tabletexte"/>
              <w:keepNext/>
              <w:keepLines/>
              <w:bidi w:val="0"/>
              <w:jc w:val="center"/>
            </w:pPr>
          </w:p>
        </w:tc>
        <w:tc>
          <w:tcPr>
            <w:tcW w:w="425"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393"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462" w:type="pct"/>
            <w:tcBorders>
              <w:top w:val="nil"/>
              <w:left w:val="nil"/>
              <w:bottom w:val="nil"/>
              <w:right w:val="nil"/>
            </w:tcBorders>
            <w:shd w:val="clear" w:color="000000" w:fill="FFFFFF"/>
            <w:noWrap/>
            <w:vAlign w:val="bottom"/>
            <w:hideMark/>
          </w:tcPr>
          <w:p w:rsidR="005038A5" w:rsidRDefault="005038A5" w:rsidP="00AE5D4B">
            <w:pPr>
              <w:pStyle w:val="Tabletexte"/>
              <w:keepNext/>
              <w:keepLines/>
              <w:bidi w:val="0"/>
              <w:jc w:val="center"/>
            </w:pPr>
          </w:p>
        </w:tc>
        <w:tc>
          <w:tcPr>
            <w:tcW w:w="442" w:type="pct"/>
            <w:tcBorders>
              <w:top w:val="nil"/>
              <w:left w:val="nil"/>
              <w:bottom w:val="nil"/>
              <w:right w:val="nil"/>
            </w:tcBorders>
            <w:shd w:val="clear" w:color="000000" w:fill="AEAAAA"/>
            <w:noWrap/>
            <w:vAlign w:val="bottom"/>
            <w:hideMark/>
          </w:tcPr>
          <w:p w:rsidR="005038A5" w:rsidRDefault="005038A5" w:rsidP="00AE5D4B">
            <w:pPr>
              <w:pStyle w:val="Tabletexte"/>
              <w:keepNext/>
              <w:keepLines/>
              <w:bidi w:val="0"/>
              <w:jc w:val="center"/>
              <w:rPr>
                <w:rFonts w:ascii="Arial" w:hAnsi="Arial" w:cs="Arial"/>
                <w:b/>
                <w:bCs/>
                <w:szCs w:val="20"/>
              </w:rPr>
            </w:pPr>
          </w:p>
        </w:tc>
      </w:tr>
      <w:tr w:rsidR="005038A5" w:rsidRPr="008C7AC9" w:rsidTr="00AE5D4B">
        <w:trPr>
          <w:trHeight w:val="230"/>
        </w:trPr>
        <w:tc>
          <w:tcPr>
            <w:tcW w:w="1584" w:type="pct"/>
            <w:tcBorders>
              <w:top w:val="single" w:sz="8" w:space="0" w:color="auto"/>
              <w:left w:val="single" w:sz="8" w:space="0" w:color="auto"/>
              <w:bottom w:val="single" w:sz="8" w:space="0" w:color="auto"/>
              <w:right w:val="single" w:sz="4" w:space="0" w:color="auto"/>
            </w:tcBorders>
            <w:noWrap/>
            <w:hideMark/>
          </w:tcPr>
          <w:p w:rsidR="005038A5" w:rsidRPr="008C7AC9" w:rsidRDefault="005038A5" w:rsidP="00AE5D4B">
            <w:pPr>
              <w:pStyle w:val="Tabletexte"/>
              <w:keepNext/>
              <w:keepLines/>
            </w:pPr>
            <w:r w:rsidRPr="008C7AC9">
              <w:rPr>
                <w:rtl/>
              </w:rPr>
              <w:t>النسبة المئوية للتوصيات الجاري تنفيذها</w:t>
            </w:r>
          </w:p>
        </w:tc>
        <w:tc>
          <w:tcPr>
            <w:tcW w:w="421"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8</w:t>
            </w:r>
          </w:p>
        </w:tc>
        <w:tc>
          <w:tcPr>
            <w:tcW w:w="424"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0</w:t>
            </w:r>
          </w:p>
        </w:tc>
        <w:tc>
          <w:tcPr>
            <w:tcW w:w="424"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6</w:t>
            </w:r>
          </w:p>
        </w:tc>
        <w:tc>
          <w:tcPr>
            <w:tcW w:w="424"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12</w:t>
            </w:r>
          </w:p>
        </w:tc>
        <w:tc>
          <w:tcPr>
            <w:tcW w:w="393"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36</w:t>
            </w:r>
          </w:p>
        </w:tc>
        <w:tc>
          <w:tcPr>
            <w:tcW w:w="462" w:type="pct"/>
            <w:tcBorders>
              <w:top w:val="single" w:sz="8" w:space="0" w:color="auto"/>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88</w:t>
            </w:r>
          </w:p>
        </w:tc>
        <w:tc>
          <w:tcPr>
            <w:tcW w:w="442" w:type="pct"/>
            <w:tcBorders>
              <w:top w:val="single" w:sz="8" w:space="0" w:color="auto"/>
              <w:left w:val="single" w:sz="4" w:space="0" w:color="auto"/>
              <w:bottom w:val="single" w:sz="8" w:space="0" w:color="auto"/>
              <w:right w:val="single" w:sz="8" w:space="0" w:color="auto"/>
            </w:tcBorders>
            <w:shd w:val="clear" w:color="000000" w:fill="AEAAAA"/>
            <w:noWrap/>
            <w:vAlign w:val="bottom"/>
          </w:tcPr>
          <w:p w:rsidR="005038A5" w:rsidRDefault="00F57DD9" w:rsidP="00AE5D4B">
            <w:pPr>
              <w:pStyle w:val="Tabletexte"/>
              <w:keepNext/>
              <w:keepLines/>
              <w:bidi w:val="0"/>
              <w:jc w:val="center"/>
              <w:rPr>
                <w:rFonts w:ascii="Arial" w:hAnsi="Arial" w:cs="Arial"/>
                <w:b/>
                <w:bCs/>
                <w:szCs w:val="20"/>
              </w:rPr>
            </w:pPr>
            <w:r>
              <w:rPr>
                <w:rFonts w:ascii="Arial" w:hAnsi="Arial" w:cs="Arial"/>
                <w:b/>
                <w:bCs/>
                <w:szCs w:val="20"/>
              </w:rPr>
              <w:t>%</w:t>
            </w:r>
            <w:r w:rsidR="005038A5">
              <w:rPr>
                <w:rFonts w:ascii="Arial" w:hAnsi="Arial" w:cs="Arial"/>
                <w:b/>
                <w:bCs/>
                <w:szCs w:val="20"/>
              </w:rPr>
              <w:t>26</w:t>
            </w:r>
          </w:p>
        </w:tc>
      </w:tr>
      <w:tr w:rsidR="005038A5" w:rsidRPr="008C7AC9" w:rsidTr="00AE5D4B">
        <w:trPr>
          <w:trHeight w:val="230"/>
        </w:trPr>
        <w:tc>
          <w:tcPr>
            <w:tcW w:w="1584" w:type="pct"/>
            <w:tcBorders>
              <w:top w:val="single" w:sz="8" w:space="0" w:color="auto"/>
              <w:left w:val="single" w:sz="8" w:space="0" w:color="auto"/>
              <w:bottom w:val="single" w:sz="8" w:space="0" w:color="auto"/>
              <w:right w:val="single" w:sz="4" w:space="0" w:color="auto"/>
            </w:tcBorders>
            <w:noWrap/>
            <w:hideMark/>
          </w:tcPr>
          <w:p w:rsidR="005038A5" w:rsidRPr="008C7AC9" w:rsidRDefault="005038A5" w:rsidP="00AE5D4B">
            <w:pPr>
              <w:pStyle w:val="Tabletexte"/>
              <w:keepNext/>
              <w:keepLines/>
            </w:pPr>
            <w:r w:rsidRPr="008C7AC9">
              <w:rPr>
                <w:rtl/>
              </w:rPr>
              <w:t>النسبة المئوية للتوصيات المتأخَر في تنفيذها</w:t>
            </w:r>
          </w:p>
        </w:tc>
        <w:tc>
          <w:tcPr>
            <w:tcW w:w="421"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0</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0</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12</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5038A5" w:rsidP="00AE5D4B">
            <w:pPr>
              <w:pStyle w:val="Tabletexte"/>
              <w:keepNext/>
              <w:keepLines/>
              <w:bidi w:val="0"/>
              <w:jc w:val="center"/>
            </w:pPr>
            <w:r>
              <w:t>-</w:t>
            </w:r>
          </w:p>
        </w:tc>
        <w:tc>
          <w:tcPr>
            <w:tcW w:w="425" w:type="pct"/>
            <w:tcBorders>
              <w:top w:val="nil"/>
              <w:left w:val="single" w:sz="4" w:space="0" w:color="auto"/>
              <w:bottom w:val="single" w:sz="8" w:space="0" w:color="auto"/>
              <w:right w:val="single" w:sz="4" w:space="0" w:color="auto"/>
            </w:tcBorders>
            <w:shd w:val="clear" w:color="000000" w:fill="FFFFFF"/>
            <w:noWrap/>
            <w:vAlign w:val="bottom"/>
          </w:tcPr>
          <w:p w:rsidR="005038A5" w:rsidRDefault="00F57DD9" w:rsidP="00AE5D4B">
            <w:pPr>
              <w:pStyle w:val="Tabletexte"/>
              <w:keepNext/>
              <w:keepLines/>
              <w:bidi w:val="0"/>
              <w:jc w:val="center"/>
              <w:rPr>
                <w:rFonts w:ascii="Arial" w:hAnsi="Arial" w:cs="Arial"/>
                <w:szCs w:val="20"/>
              </w:rPr>
            </w:pPr>
            <w:r>
              <w:rPr>
                <w:rFonts w:ascii="Arial" w:hAnsi="Arial" w:cs="Arial"/>
                <w:szCs w:val="20"/>
              </w:rPr>
              <w:t>%</w:t>
            </w:r>
            <w:r w:rsidR="005038A5">
              <w:rPr>
                <w:rFonts w:ascii="Arial" w:hAnsi="Arial" w:cs="Arial"/>
                <w:szCs w:val="20"/>
              </w:rPr>
              <w:t>1</w:t>
            </w:r>
          </w:p>
        </w:tc>
        <w:tc>
          <w:tcPr>
            <w:tcW w:w="393" w:type="pct"/>
            <w:tcBorders>
              <w:top w:val="nil"/>
              <w:left w:val="single" w:sz="4" w:space="0" w:color="auto"/>
              <w:bottom w:val="single" w:sz="8" w:space="0" w:color="auto"/>
              <w:right w:val="single" w:sz="4" w:space="0" w:color="auto"/>
            </w:tcBorders>
            <w:shd w:val="clear" w:color="000000" w:fill="FFFFFF"/>
            <w:noWrap/>
            <w:vAlign w:val="bottom"/>
          </w:tcPr>
          <w:p w:rsidR="005038A5" w:rsidRDefault="00F57DD9" w:rsidP="00AE5D4B">
            <w:pPr>
              <w:pStyle w:val="Tabletexte"/>
              <w:keepNext/>
              <w:keepLines/>
              <w:bidi w:val="0"/>
              <w:jc w:val="center"/>
              <w:rPr>
                <w:rFonts w:ascii="Arial" w:hAnsi="Arial" w:cs="Arial"/>
                <w:szCs w:val="20"/>
              </w:rPr>
            </w:pPr>
            <w:r>
              <w:rPr>
                <w:rFonts w:ascii="Arial" w:hAnsi="Arial" w:cs="Arial"/>
                <w:szCs w:val="20"/>
              </w:rPr>
              <w:t>%</w:t>
            </w:r>
            <w:r w:rsidR="005038A5">
              <w:rPr>
                <w:rFonts w:ascii="Arial" w:hAnsi="Arial" w:cs="Arial"/>
                <w:szCs w:val="20"/>
              </w:rPr>
              <w:t>9</w:t>
            </w:r>
          </w:p>
        </w:tc>
        <w:tc>
          <w:tcPr>
            <w:tcW w:w="462"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AE5D4B">
            <w:pPr>
              <w:pStyle w:val="Tabletexte"/>
              <w:keepNext/>
              <w:keepLines/>
              <w:bidi w:val="0"/>
              <w:jc w:val="center"/>
            </w:pPr>
            <w:r>
              <w:t>%</w:t>
            </w:r>
            <w:r w:rsidR="005038A5">
              <w:t>0</w:t>
            </w:r>
          </w:p>
        </w:tc>
        <w:tc>
          <w:tcPr>
            <w:tcW w:w="442" w:type="pct"/>
            <w:tcBorders>
              <w:top w:val="nil"/>
              <w:left w:val="single" w:sz="4" w:space="0" w:color="auto"/>
              <w:bottom w:val="single" w:sz="8" w:space="0" w:color="auto"/>
              <w:right w:val="single" w:sz="8" w:space="0" w:color="auto"/>
            </w:tcBorders>
            <w:shd w:val="clear" w:color="000000" w:fill="AEAAAA"/>
            <w:noWrap/>
            <w:vAlign w:val="bottom"/>
          </w:tcPr>
          <w:p w:rsidR="005038A5" w:rsidRDefault="00F57DD9" w:rsidP="00AE5D4B">
            <w:pPr>
              <w:pStyle w:val="Tabletexte"/>
              <w:keepNext/>
              <w:keepLines/>
              <w:bidi w:val="0"/>
              <w:jc w:val="center"/>
              <w:rPr>
                <w:rFonts w:ascii="Arial" w:hAnsi="Arial" w:cs="Arial"/>
                <w:b/>
                <w:bCs/>
                <w:szCs w:val="20"/>
              </w:rPr>
            </w:pPr>
            <w:r>
              <w:rPr>
                <w:rFonts w:ascii="Arial" w:hAnsi="Arial" w:cs="Arial"/>
                <w:b/>
                <w:bCs/>
                <w:szCs w:val="20"/>
              </w:rPr>
              <w:t>%</w:t>
            </w:r>
            <w:r w:rsidR="005038A5">
              <w:rPr>
                <w:rFonts w:ascii="Arial" w:hAnsi="Arial" w:cs="Arial"/>
                <w:b/>
                <w:bCs/>
                <w:szCs w:val="20"/>
              </w:rPr>
              <w:t>3</w:t>
            </w:r>
          </w:p>
        </w:tc>
      </w:tr>
      <w:tr w:rsidR="005038A5" w:rsidRPr="008C7AC9" w:rsidTr="00AE5D4B">
        <w:trPr>
          <w:trHeight w:val="230"/>
        </w:trPr>
        <w:tc>
          <w:tcPr>
            <w:tcW w:w="1584" w:type="pct"/>
            <w:tcBorders>
              <w:top w:val="nil"/>
              <w:left w:val="single" w:sz="8" w:space="0" w:color="auto"/>
              <w:bottom w:val="single" w:sz="8" w:space="0" w:color="auto"/>
              <w:right w:val="single" w:sz="4" w:space="0" w:color="auto"/>
            </w:tcBorders>
            <w:noWrap/>
            <w:hideMark/>
          </w:tcPr>
          <w:p w:rsidR="005038A5" w:rsidRPr="008C7AC9" w:rsidRDefault="005038A5" w:rsidP="005038A5">
            <w:pPr>
              <w:pStyle w:val="Tabletexte"/>
            </w:pPr>
            <w:r w:rsidRPr="008C7AC9">
              <w:rPr>
                <w:rtl/>
              </w:rPr>
              <w:t>النسبة المئوية للتوصيات التي أُقفل ملفها</w:t>
            </w:r>
          </w:p>
        </w:tc>
        <w:tc>
          <w:tcPr>
            <w:tcW w:w="421"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pPr>
            <w:r>
              <w:t>%</w:t>
            </w:r>
            <w:r w:rsidR="005038A5">
              <w:t>92</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pPr>
            <w:r>
              <w:t>%</w:t>
            </w:r>
            <w:r w:rsidR="005038A5">
              <w:t>100</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pPr>
            <w:r>
              <w:t>%</w:t>
            </w:r>
            <w:r w:rsidR="005038A5">
              <w:t>82</w:t>
            </w:r>
          </w:p>
        </w:tc>
        <w:tc>
          <w:tcPr>
            <w:tcW w:w="424" w:type="pct"/>
            <w:tcBorders>
              <w:top w:val="nil"/>
              <w:left w:val="single" w:sz="4" w:space="0" w:color="auto"/>
              <w:bottom w:val="single" w:sz="8" w:space="0" w:color="auto"/>
              <w:right w:val="single" w:sz="4" w:space="0" w:color="auto"/>
            </w:tcBorders>
            <w:shd w:val="clear" w:color="auto" w:fill="auto"/>
            <w:noWrap/>
            <w:vAlign w:val="bottom"/>
          </w:tcPr>
          <w:p w:rsidR="005038A5" w:rsidRDefault="005038A5" w:rsidP="00F57DD9">
            <w:pPr>
              <w:pStyle w:val="Tabletexte"/>
              <w:bidi w:val="0"/>
              <w:jc w:val="center"/>
              <w:rPr>
                <w:rFonts w:ascii="Arial" w:hAnsi="Arial" w:cs="Arial"/>
                <w:szCs w:val="20"/>
              </w:rPr>
            </w:pPr>
            <w:r>
              <w:rPr>
                <w:rFonts w:ascii="Arial" w:hAnsi="Arial" w:cs="Arial"/>
                <w:szCs w:val="20"/>
              </w:rPr>
              <w:t>-</w:t>
            </w:r>
          </w:p>
        </w:tc>
        <w:tc>
          <w:tcPr>
            <w:tcW w:w="425"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rPr>
                <w:rFonts w:cs="Times New Roman"/>
              </w:rPr>
            </w:pPr>
            <w:r>
              <w:t>%</w:t>
            </w:r>
            <w:r w:rsidR="005038A5">
              <w:t>88</w:t>
            </w:r>
          </w:p>
        </w:tc>
        <w:tc>
          <w:tcPr>
            <w:tcW w:w="393"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rPr>
                <w:rFonts w:cs="Times New Roman"/>
              </w:rPr>
            </w:pPr>
            <w:r>
              <w:t>%</w:t>
            </w:r>
            <w:r w:rsidR="005038A5">
              <w:t>55</w:t>
            </w:r>
          </w:p>
        </w:tc>
        <w:tc>
          <w:tcPr>
            <w:tcW w:w="462" w:type="pct"/>
            <w:tcBorders>
              <w:top w:val="nil"/>
              <w:left w:val="single" w:sz="4" w:space="0" w:color="auto"/>
              <w:bottom w:val="single" w:sz="8" w:space="0" w:color="auto"/>
              <w:right w:val="single" w:sz="4" w:space="0" w:color="auto"/>
            </w:tcBorders>
            <w:shd w:val="clear" w:color="auto" w:fill="auto"/>
            <w:noWrap/>
            <w:vAlign w:val="bottom"/>
          </w:tcPr>
          <w:p w:rsidR="005038A5" w:rsidRDefault="00F57DD9" w:rsidP="00F57DD9">
            <w:pPr>
              <w:pStyle w:val="Tabletexte"/>
              <w:bidi w:val="0"/>
              <w:jc w:val="center"/>
            </w:pPr>
            <w:r>
              <w:t>%</w:t>
            </w:r>
            <w:r w:rsidR="005038A5">
              <w:t>12</w:t>
            </w:r>
          </w:p>
        </w:tc>
        <w:tc>
          <w:tcPr>
            <w:tcW w:w="442" w:type="pct"/>
            <w:tcBorders>
              <w:top w:val="nil"/>
              <w:left w:val="single" w:sz="4" w:space="0" w:color="auto"/>
              <w:bottom w:val="single" w:sz="8" w:space="0" w:color="auto"/>
              <w:right w:val="single" w:sz="8" w:space="0" w:color="auto"/>
            </w:tcBorders>
            <w:shd w:val="clear" w:color="000000" w:fill="AEAAAA"/>
            <w:noWrap/>
            <w:vAlign w:val="bottom"/>
          </w:tcPr>
          <w:p w:rsidR="005038A5" w:rsidRDefault="00F57DD9" w:rsidP="00F57DD9">
            <w:pPr>
              <w:pStyle w:val="Tabletexte"/>
              <w:bidi w:val="0"/>
              <w:jc w:val="center"/>
              <w:rPr>
                <w:rFonts w:ascii="Arial" w:hAnsi="Arial" w:cs="Arial"/>
                <w:b/>
                <w:bCs/>
                <w:szCs w:val="20"/>
              </w:rPr>
            </w:pPr>
            <w:r>
              <w:rPr>
                <w:rFonts w:ascii="Arial" w:hAnsi="Arial" w:cs="Arial"/>
                <w:b/>
                <w:bCs/>
                <w:szCs w:val="20"/>
              </w:rPr>
              <w:t>%</w:t>
            </w:r>
            <w:r w:rsidR="005038A5">
              <w:rPr>
                <w:rFonts w:ascii="Arial" w:hAnsi="Arial" w:cs="Arial"/>
                <w:b/>
                <w:bCs/>
                <w:szCs w:val="20"/>
              </w:rPr>
              <w:t>71</w:t>
            </w:r>
          </w:p>
        </w:tc>
      </w:tr>
    </w:tbl>
    <w:p w:rsidR="00F57B46" w:rsidRDefault="00F57B46" w:rsidP="00044896"/>
    <w:p w:rsidR="00044896" w:rsidRPr="00F628D8" w:rsidRDefault="00044896" w:rsidP="00AE5D4B">
      <w:pPr>
        <w:rPr>
          <w:rtl/>
        </w:rPr>
      </w:pPr>
      <w:r w:rsidRPr="00F628D8">
        <w:t>28</w:t>
      </w:r>
      <w:r w:rsidRPr="00F628D8">
        <w:rPr>
          <w:rtl/>
        </w:rPr>
        <w:tab/>
        <w:t xml:space="preserve">ما من توصيات حاسمة الأهمية أو كبيرة الأهمية ترقى إلى ما قبل عام </w:t>
      </w:r>
      <w:r w:rsidRPr="00F628D8">
        <w:t>2012</w:t>
      </w:r>
      <w:r w:rsidRPr="00F628D8">
        <w:rPr>
          <w:rtl/>
        </w:rPr>
        <w:t xml:space="preserve"> إلا وتم تنفيذها. ومن هذه التوصيات توصية تتصل بتغيير مسار للأعمال المتعلقة بالموافقة الداخلية، أُرجئ تنفيذها لأنه أصبح يندرج في إطار استعراض للإجراءات الداخلية هو أكثر اتساماً بطابع أكثر شمولاً، ويحرَز الآن تقدم في تنفيذها ويُتوقع أن ينجَز في عام</w:t>
      </w:r>
      <w:r w:rsidR="00AE5D4B">
        <w:rPr>
          <w:rFonts w:hint="cs"/>
          <w:rtl/>
        </w:rPr>
        <w:t> </w:t>
      </w:r>
      <w:r w:rsidRPr="00F628D8">
        <w:t>2016</w:t>
      </w:r>
      <w:r w:rsidRPr="00F628D8">
        <w:rPr>
          <w:rtl/>
        </w:rPr>
        <w:t>. ويتعلق ما</w:t>
      </w:r>
      <w:r w:rsidR="00AE5D4B">
        <w:rPr>
          <w:rFonts w:hint="cs"/>
          <w:rtl/>
        </w:rPr>
        <w:t> </w:t>
      </w:r>
      <w:r w:rsidRPr="00F628D8">
        <w:rPr>
          <w:rtl/>
        </w:rPr>
        <w:t>يرقى إلى عام </w:t>
      </w:r>
      <w:r w:rsidRPr="00F628D8">
        <w:t>2011</w:t>
      </w:r>
      <w:r w:rsidRPr="00F628D8">
        <w:rPr>
          <w:rtl/>
        </w:rPr>
        <w:t xml:space="preserve"> من التوصيات التي لم تزل في طور التنفيذ أو التي تأخر تنفيذها بمراجعة داخلية لتقدير تكاليف المنشورات. وأبلغت الإدارة وحدة المراجعة الداخلية (واللجنة الاستشارية المستقلة للإدارة</w:t>
      </w:r>
      <w:r w:rsidR="00AE5D4B">
        <w:rPr>
          <w:rFonts w:hint="cs"/>
          <w:rtl/>
        </w:rPr>
        <w:t> </w:t>
      </w:r>
      <w:r w:rsidRPr="00F628D8">
        <w:t>(</w:t>
      </w:r>
      <w:r w:rsidRPr="00F628D8">
        <w:rPr>
          <w:lang w:val="en-CA"/>
        </w:rPr>
        <w:t>IMAC</w:t>
      </w:r>
      <w:r w:rsidRPr="00F628D8">
        <w:t>)</w:t>
      </w:r>
      <w:r w:rsidRPr="00F628D8">
        <w:rPr>
          <w:rtl/>
        </w:rPr>
        <w:t>) بانتظام على التقدم المحرز وأفاد تقييم المراجع الخارجي بالفعل أن بعض التوصيات التي ترقى إلى عام</w:t>
      </w:r>
      <w:r w:rsidR="00AE5D4B">
        <w:rPr>
          <w:rFonts w:hint="cs"/>
          <w:rtl/>
        </w:rPr>
        <w:t> </w:t>
      </w:r>
      <w:r w:rsidR="00F628D8" w:rsidRPr="00F628D8">
        <w:t>2011</w:t>
      </w:r>
      <w:r w:rsidRPr="00F628D8">
        <w:rPr>
          <w:rtl/>
        </w:rPr>
        <w:t xml:space="preserve"> قد أقفل ملفها. ويواصل فريق المراجعة الداخلية في</w:t>
      </w:r>
      <w:r w:rsidR="00AE5D4B">
        <w:rPr>
          <w:rFonts w:hint="cs"/>
          <w:rtl/>
        </w:rPr>
        <w:t> </w:t>
      </w:r>
      <w:r w:rsidRPr="00F628D8">
        <w:rPr>
          <w:rtl/>
        </w:rPr>
        <w:t>عام </w:t>
      </w:r>
      <w:r w:rsidRPr="00F628D8">
        <w:t>2016</w:t>
      </w:r>
      <w:r w:rsidRPr="00F628D8">
        <w:rPr>
          <w:rtl/>
        </w:rPr>
        <w:t xml:space="preserve"> متابعة تنفيذ شتى التوصيات الواردة في تقارير المراجعات السابقة وسيقدم تقريراً عن هذه المتابعة، بحسب الاقتضاء، إلى اللجنة الاستشارية المستقلة للإدارة وإلى المدير العام. وقد لوحظ تحقيق تقدم على هذا الصعيد بصورة إجمالية، ولكن كثيراً ما</w:t>
      </w:r>
      <w:r w:rsidR="00AE5D4B">
        <w:rPr>
          <w:rFonts w:hint="cs"/>
          <w:rtl/>
        </w:rPr>
        <w:t> </w:t>
      </w:r>
      <w:r w:rsidRPr="00F628D8">
        <w:rPr>
          <w:rtl/>
        </w:rPr>
        <w:t>تتغير الأولويات وقد يؤثر ذلك على درجة أهمية التوصيات الصادرة في البداية.</w:t>
      </w:r>
    </w:p>
    <w:p w:rsidR="00044896" w:rsidRPr="00F628D8" w:rsidRDefault="00044896" w:rsidP="00F57B46">
      <w:pPr>
        <w:pStyle w:val="Headingb"/>
        <w:rPr>
          <w:rtl/>
        </w:rPr>
      </w:pPr>
      <w:r w:rsidRPr="00F628D8">
        <w:rPr>
          <w:rtl/>
        </w:rPr>
        <w:t>الجوانب المتصلة بمنهجية المراجعة</w:t>
      </w:r>
    </w:p>
    <w:p w:rsidR="000D2A8E" w:rsidRDefault="00044896" w:rsidP="0059772E">
      <w:pPr>
        <w:rPr>
          <w:rtl/>
        </w:rPr>
      </w:pPr>
      <w:r w:rsidRPr="00F628D8">
        <w:t>29</w:t>
      </w:r>
      <w:r w:rsidRPr="00F628D8">
        <w:rPr>
          <w:rtl/>
        </w:rPr>
        <w:tab/>
        <w:t xml:space="preserve">منذ عام </w:t>
      </w:r>
      <w:r w:rsidRPr="00F628D8">
        <w:t>2013</w:t>
      </w:r>
      <w:r w:rsidRPr="00F628D8">
        <w:rPr>
          <w:rtl/>
        </w:rPr>
        <w:t xml:space="preserve"> كان فريق المراجعة الداخلية قد شرع في استعمال </w:t>
      </w:r>
      <w:r w:rsidRPr="00F628D8">
        <w:rPr>
          <w:i/>
          <w:iCs/>
          <w:rtl/>
        </w:rPr>
        <w:t>استبيانات عن فعالية المراجعة</w:t>
      </w:r>
      <w:r w:rsidRPr="00F628D8">
        <w:rPr>
          <w:rtl/>
        </w:rPr>
        <w:t xml:space="preserve"> أُرسلت إلى المديرين المسؤولين عن العمليات والكيانات الخاضعة للمراجعة، بغية تقييم فعالية أعمال المراجعة واستبانة المتّسع المتوفر للتحسين. واستمرت هذه الممارسة في الفترة المشمولة بالتقرير الوارد في هذه الوثيقة. ويشار إلى أن التعقيبات </w:t>
      </w:r>
      <w:r w:rsidR="0059772E">
        <w:rPr>
          <w:rFonts w:hint="cs"/>
          <w:rtl/>
        </w:rPr>
        <w:t>التي وردت إلى فريق المراجعة الداخلية</w:t>
      </w:r>
      <w:r w:rsidRPr="00F628D8">
        <w:rPr>
          <w:rtl/>
        </w:rPr>
        <w:t xml:space="preserve"> في</w:t>
      </w:r>
      <w:r w:rsidR="0059772E">
        <w:rPr>
          <w:rFonts w:hint="cs"/>
          <w:rtl/>
        </w:rPr>
        <w:t> </w:t>
      </w:r>
      <w:r w:rsidRPr="00F628D8">
        <w:rPr>
          <w:rtl/>
        </w:rPr>
        <w:t>عام</w:t>
      </w:r>
      <w:r w:rsidR="0059772E">
        <w:rPr>
          <w:rFonts w:hint="cs"/>
          <w:rtl/>
        </w:rPr>
        <w:t> </w:t>
      </w:r>
      <w:r w:rsidR="00F628D8" w:rsidRPr="00F628D8">
        <w:t>2015</w:t>
      </w:r>
      <w:r w:rsidRPr="00F628D8">
        <w:rPr>
          <w:rtl/>
        </w:rPr>
        <w:t xml:space="preserve"> </w:t>
      </w:r>
      <w:r w:rsidR="0059772E">
        <w:rPr>
          <w:rFonts w:hint="cs"/>
          <w:rtl/>
        </w:rPr>
        <w:t xml:space="preserve">على الاستبيانات الثمانية </w:t>
      </w:r>
      <w:r w:rsidRPr="00F628D8">
        <w:rPr>
          <w:rtl/>
        </w:rPr>
        <w:t xml:space="preserve">كانت إيجابية جداً بوجه عام (بلغ متوسط درجة التقييم </w:t>
      </w:r>
      <w:r w:rsidRPr="00F628D8">
        <w:t>4</w:t>
      </w:r>
      <w:r w:rsidRPr="00F628D8">
        <w:rPr>
          <w:rtl/>
        </w:rPr>
        <w:t xml:space="preserve"> على سلَّم يتدرَّج من</w:t>
      </w:r>
      <w:r w:rsidR="00AE5D4B">
        <w:rPr>
          <w:rFonts w:hint="cs"/>
          <w:rtl/>
        </w:rPr>
        <w:t> </w:t>
      </w:r>
      <w:r w:rsidRPr="00F628D8">
        <w:t>1</w:t>
      </w:r>
      <w:r w:rsidRPr="00F628D8">
        <w:rPr>
          <w:rtl/>
        </w:rPr>
        <w:t xml:space="preserve"> إلى</w:t>
      </w:r>
      <w:r w:rsidR="00AE5D4B">
        <w:rPr>
          <w:rFonts w:hint="cs"/>
          <w:rtl/>
        </w:rPr>
        <w:t> </w:t>
      </w:r>
      <w:r w:rsidRPr="00F628D8">
        <w:t>5</w:t>
      </w:r>
      <w:r w:rsidRPr="00F628D8">
        <w:rPr>
          <w:rtl/>
        </w:rPr>
        <w:t>).</w:t>
      </w:r>
    </w:p>
    <w:p w:rsidR="00F57B46" w:rsidRDefault="00F57B46" w:rsidP="00044896">
      <w:r>
        <w:rPr>
          <w:rtl/>
        </w:rPr>
        <w:br w:type="page"/>
      </w:r>
    </w:p>
    <w:p w:rsidR="00F118DA" w:rsidRDefault="00F118DA" w:rsidP="00F118DA">
      <w:pPr>
        <w:pStyle w:val="AnnexNo"/>
        <w:rPr>
          <w:rtl/>
        </w:rPr>
      </w:pPr>
      <w:r w:rsidRPr="00044896">
        <w:rPr>
          <w:rFonts w:hint="cs"/>
          <w:rtl/>
        </w:rPr>
        <w:lastRenderedPageBreak/>
        <w:t xml:space="preserve">الملحق </w:t>
      </w:r>
      <w:r>
        <w:t>1</w:t>
      </w:r>
      <w:r w:rsidRPr="00044896">
        <w:rPr>
          <w:rFonts w:hint="cs"/>
          <w:rtl/>
        </w:rPr>
        <w:t xml:space="preserve"> بالوثيقة </w:t>
      </w:r>
      <w:r w:rsidRPr="00044896">
        <w:t>C16/44</w:t>
      </w:r>
    </w:p>
    <w:p w:rsidR="00C17610" w:rsidRPr="00044896" w:rsidRDefault="00C17610" w:rsidP="00C17610">
      <w:pPr>
        <w:pStyle w:val="Annextitle"/>
        <w:rPr>
          <w:rtl/>
        </w:rPr>
      </w:pPr>
      <w:r w:rsidRPr="00044896">
        <w:rPr>
          <w:rtl/>
        </w:rPr>
        <w:t xml:space="preserve">التقرير السنوي </w:t>
      </w:r>
      <w:r w:rsidRPr="00044896">
        <w:rPr>
          <w:rFonts w:hint="cs"/>
          <w:rtl/>
        </w:rPr>
        <w:t>الرابع</w:t>
      </w:r>
      <w:r w:rsidRPr="00044896">
        <w:rPr>
          <w:rtl/>
        </w:rPr>
        <w:br/>
        <w:t xml:space="preserve">للجنة الاستشارية المستقلة للإدارة </w:t>
      </w:r>
      <w:r w:rsidRPr="00044896">
        <w:t>(IMAC)</w:t>
      </w:r>
    </w:p>
    <w:p w:rsidR="00C17610" w:rsidRPr="00044896" w:rsidRDefault="00C17610" w:rsidP="00C17610">
      <w:pPr>
        <w:jc w:val="center"/>
        <w:rPr>
          <w:rtl/>
        </w:rPr>
      </w:pPr>
      <w:r w:rsidRPr="00F628D8">
        <w:rPr>
          <w:rFonts w:hint="cs"/>
          <w:rtl/>
          <w:lang w:bidi="ar-SA"/>
        </w:rPr>
        <w:t>(المصدر</w:t>
      </w:r>
      <w:r>
        <w:rPr>
          <w:rFonts w:hint="cs"/>
          <w:rtl/>
        </w:rPr>
        <w:t>:</w:t>
      </w:r>
      <w:r w:rsidRPr="00F628D8">
        <w:rPr>
          <w:rFonts w:hint="cs"/>
          <w:rtl/>
          <w:lang w:bidi="ar-SA"/>
        </w:rPr>
        <w:t xml:space="preserve"> الإضافة </w:t>
      </w:r>
      <w:r>
        <w:rPr>
          <w:lang w:bidi="ar-SA"/>
        </w:rPr>
        <w:t>2</w:t>
      </w:r>
      <w:r w:rsidRPr="00F628D8">
        <w:rPr>
          <w:rFonts w:hint="cs"/>
          <w:rtl/>
          <w:lang w:bidi="ar-SA"/>
        </w:rPr>
        <w:t xml:space="preserve"> إلى الوثيقة </w:t>
      </w:r>
      <w:r w:rsidRPr="00F628D8">
        <w:rPr>
          <w:lang w:val="en-GB" w:bidi="ar-SY"/>
        </w:rPr>
        <w:t>C15/22-A</w:t>
      </w:r>
      <w:r w:rsidRPr="00F628D8">
        <w:rPr>
          <w:rFonts w:hint="cs"/>
          <w:rtl/>
        </w:rPr>
        <w:t xml:space="preserve"> المؤرخة </w:t>
      </w:r>
      <w:r w:rsidRPr="00F628D8">
        <w:rPr>
          <w:rFonts w:hint="cs"/>
        </w:rPr>
        <w:t>13</w:t>
      </w:r>
      <w:r w:rsidRPr="00F628D8">
        <w:rPr>
          <w:rFonts w:hint="cs"/>
          <w:rtl/>
        </w:rPr>
        <w:t xml:space="preserve"> مايو </w:t>
      </w:r>
      <w:r w:rsidRPr="00F628D8">
        <w:rPr>
          <w:rFonts w:hint="cs"/>
        </w:rPr>
        <w:t>2015</w:t>
      </w:r>
      <w:r w:rsidRPr="00F628D8">
        <w:rPr>
          <w:rFonts w:hint="cs"/>
          <w:rtl/>
        </w:rPr>
        <w:t>)</w:t>
      </w:r>
    </w:p>
    <w:p w:rsidR="00C17610" w:rsidRDefault="00C17610" w:rsidP="00C17610">
      <w:pPr>
        <w:pStyle w:val="Tabletexte"/>
      </w:pPr>
      <w:r w:rsidRPr="00044896">
        <w:rPr>
          <w:rFonts w:hint="cs"/>
          <w:b/>
          <w:bCs/>
          <w:rtl/>
        </w:rPr>
        <w:t xml:space="preserve">التوصية </w:t>
      </w:r>
      <w:r w:rsidRPr="00044896">
        <w:rPr>
          <w:rFonts w:hint="cs"/>
          <w:b/>
          <w:bCs/>
        </w:rPr>
        <w:t>6</w:t>
      </w:r>
      <w:r w:rsidRPr="00044896">
        <w:rPr>
          <w:rFonts w:hint="cs"/>
          <w:b/>
          <w:bCs/>
          <w:rtl/>
        </w:rPr>
        <w:t xml:space="preserve"> </w:t>
      </w:r>
      <w:r w:rsidRPr="00044896">
        <w:rPr>
          <w:b/>
          <w:bCs/>
        </w:rPr>
        <w:t>(2015)</w:t>
      </w:r>
      <w:r w:rsidRPr="00044896">
        <w:rPr>
          <w:rFonts w:hint="cs"/>
          <w:b/>
          <w:bCs/>
          <w:rtl/>
        </w:rPr>
        <w:t>:</w:t>
      </w:r>
      <w:r w:rsidRPr="00044896">
        <w:rPr>
          <w:rFonts w:hint="cs"/>
          <w:rtl/>
        </w:rPr>
        <w:t xml:space="preserve"> بناءً على ذلك، تقر اللجنة الاستشارية المستقلة للإدارة استنتاجات تقرير التصديق الخارجي وترفعها إلى عناية المجلس. وتوصي اللجنة بأن يطلب المجلس إلى الأمين العام والمراجع الداخلي القيام، عبر آلية التقرير السنوي للمراجع الداخلي بشأن أنشطة المراجعة الداخلية، برفع تقرير إلى المجلس عام </w:t>
      </w:r>
      <w:r w:rsidRPr="00044896">
        <w:rPr>
          <w:rFonts w:hint="cs"/>
        </w:rPr>
        <w:t>2016</w:t>
      </w:r>
      <w:r w:rsidRPr="00044896">
        <w:rPr>
          <w:rFonts w:hint="cs"/>
          <w:rtl/>
        </w:rPr>
        <w:t xml:space="preserve"> والأعوام اللاحقة بشأن الإجراءات المتخذة والتقدم المحرز على طريق تنفيذ كل توصية من التوصيات التسع المدرجة في تقرير التصديق الخارجي المستقل عن أنشطة المراجعة الداخلية في</w:t>
      </w:r>
      <w:r w:rsidRPr="00044896">
        <w:rPr>
          <w:rFonts w:hint="eastAsia"/>
          <w:rtl/>
        </w:rPr>
        <w:t> </w:t>
      </w:r>
      <w:r w:rsidRPr="00044896">
        <w:rPr>
          <w:rFonts w:hint="cs"/>
          <w:rtl/>
        </w:rPr>
        <w:t>الاتحاد.</w:t>
      </w:r>
    </w:p>
    <w:p w:rsidR="00C17610" w:rsidRPr="00C17610" w:rsidRDefault="00C17610" w:rsidP="00C17610">
      <w:pPr>
        <w:pStyle w:val="AnnexNo"/>
        <w:rPr>
          <w:b/>
          <w:bCs/>
          <w:rtl/>
        </w:rPr>
      </w:pPr>
      <w:r w:rsidRPr="00C17610">
        <w:rPr>
          <w:rFonts w:hint="cs"/>
          <w:b/>
          <w:bCs/>
          <w:rtl/>
        </w:rPr>
        <w:t>التصديق الخارجي</w:t>
      </w:r>
    </w:p>
    <w:tbl>
      <w:tblPr>
        <w:bidiVisual/>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3403"/>
        <w:gridCol w:w="2268"/>
        <w:gridCol w:w="850"/>
        <w:gridCol w:w="2552"/>
      </w:tblGrid>
      <w:tr w:rsidR="00A37501" w:rsidRPr="008C7AC9" w:rsidTr="00C17610">
        <w:trPr>
          <w:tblHeader/>
          <w:jc w:val="center"/>
        </w:trPr>
        <w:tc>
          <w:tcPr>
            <w:tcW w:w="709" w:type="dxa"/>
            <w:shd w:val="clear" w:color="auto" w:fill="auto"/>
            <w:vAlign w:val="center"/>
          </w:tcPr>
          <w:p w:rsidR="00F57B46" w:rsidRPr="008C7AC9" w:rsidRDefault="00F57B46" w:rsidP="00F118DA">
            <w:pPr>
              <w:pStyle w:val="TableHead"/>
              <w:rPr>
                <w:rtl/>
              </w:rPr>
            </w:pPr>
            <w:r w:rsidRPr="008C7AC9">
              <w:rPr>
                <w:rFonts w:hint="cs"/>
                <w:rtl/>
              </w:rPr>
              <w:t>المسألة</w:t>
            </w:r>
          </w:p>
        </w:tc>
        <w:tc>
          <w:tcPr>
            <w:tcW w:w="3403" w:type="dxa"/>
            <w:shd w:val="clear" w:color="auto" w:fill="auto"/>
            <w:vAlign w:val="center"/>
          </w:tcPr>
          <w:p w:rsidR="00F57B46" w:rsidRPr="008C7AC9" w:rsidRDefault="00F57B46" w:rsidP="00F118DA">
            <w:pPr>
              <w:pStyle w:val="TableHead"/>
              <w:rPr>
                <w:rtl/>
              </w:rPr>
            </w:pPr>
            <w:r w:rsidRPr="008C7AC9">
              <w:rPr>
                <w:rFonts w:hint="cs"/>
                <w:rtl/>
              </w:rPr>
              <w:t>التوصية</w:t>
            </w:r>
          </w:p>
        </w:tc>
        <w:tc>
          <w:tcPr>
            <w:tcW w:w="2268" w:type="dxa"/>
            <w:shd w:val="clear" w:color="auto" w:fill="auto"/>
            <w:vAlign w:val="center"/>
          </w:tcPr>
          <w:p w:rsidR="00F57B46" w:rsidRPr="008C7AC9" w:rsidRDefault="00F57B46" w:rsidP="00F118DA">
            <w:pPr>
              <w:pStyle w:val="TableHead"/>
              <w:rPr>
                <w:rtl/>
              </w:rPr>
            </w:pPr>
            <w:r w:rsidRPr="008C7AC9">
              <w:rPr>
                <w:rFonts w:hint="cs"/>
                <w:rtl/>
              </w:rPr>
              <w:t>تعليق الإدارة</w:t>
            </w:r>
            <w:r w:rsidR="00A6493F" w:rsidRPr="008C7AC9">
              <w:rPr>
                <w:rtl/>
              </w:rPr>
              <w:br/>
            </w:r>
            <w:r w:rsidRPr="008C7AC9">
              <w:rPr>
                <w:rFonts w:hint="cs"/>
                <w:rtl/>
              </w:rPr>
              <w:t xml:space="preserve">(مايو </w:t>
            </w:r>
            <w:r w:rsidRPr="008C7AC9">
              <w:t>201</w:t>
            </w:r>
            <w:r w:rsidR="00F118DA">
              <w:t>5</w:t>
            </w:r>
            <w:r w:rsidRPr="008C7AC9">
              <w:rPr>
                <w:rFonts w:hint="cs"/>
                <w:rtl/>
              </w:rPr>
              <w:t>)</w:t>
            </w:r>
          </w:p>
        </w:tc>
        <w:tc>
          <w:tcPr>
            <w:tcW w:w="850" w:type="dxa"/>
            <w:shd w:val="clear" w:color="auto" w:fill="auto"/>
            <w:vAlign w:val="center"/>
          </w:tcPr>
          <w:p w:rsidR="00F57B46" w:rsidRPr="008C7AC9" w:rsidRDefault="00F57B46" w:rsidP="00F118DA">
            <w:pPr>
              <w:pStyle w:val="TableHead"/>
              <w:rPr>
                <w:rtl/>
              </w:rPr>
            </w:pPr>
            <w:r w:rsidRPr="008C7AC9">
              <w:rPr>
                <w:rFonts w:hint="cs"/>
                <w:rtl/>
              </w:rPr>
              <w:t>الحالة</w:t>
            </w:r>
            <w:r w:rsidR="00A6493F" w:rsidRPr="008C7AC9">
              <w:rPr>
                <w:rtl/>
              </w:rPr>
              <w:br/>
            </w:r>
            <w:r w:rsidRPr="008C7AC9">
              <w:rPr>
                <w:rFonts w:hint="cs"/>
                <w:rtl/>
              </w:rPr>
              <w:t xml:space="preserve">(فبراير </w:t>
            </w:r>
            <w:r w:rsidRPr="008C7AC9">
              <w:t>2016</w:t>
            </w:r>
            <w:r w:rsidRPr="008C7AC9">
              <w:rPr>
                <w:rFonts w:hint="cs"/>
                <w:rtl/>
              </w:rPr>
              <w:t>)</w:t>
            </w:r>
          </w:p>
        </w:tc>
        <w:tc>
          <w:tcPr>
            <w:tcW w:w="2552" w:type="dxa"/>
            <w:shd w:val="clear" w:color="auto" w:fill="auto"/>
            <w:vAlign w:val="center"/>
          </w:tcPr>
          <w:p w:rsidR="00F57B46" w:rsidRPr="008C7AC9" w:rsidRDefault="00F57B46" w:rsidP="00F118DA">
            <w:pPr>
              <w:pStyle w:val="TableHead"/>
              <w:rPr>
                <w:rtl/>
              </w:rPr>
            </w:pPr>
            <w:r w:rsidRPr="008C7AC9">
              <w:rPr>
                <w:rFonts w:hint="cs"/>
                <w:rtl/>
              </w:rPr>
              <w:t>تعقيبات حسب تقييم وحدة المراجعة الداخلية بالاتحاد</w:t>
            </w:r>
            <w:r w:rsidR="00525E82" w:rsidRPr="008C7AC9">
              <w:br/>
            </w:r>
            <w:r w:rsidRPr="008C7AC9">
              <w:rPr>
                <w:rFonts w:hint="cs"/>
                <w:rtl/>
              </w:rPr>
              <w:t xml:space="preserve">(فبراير </w:t>
            </w:r>
            <w:r w:rsidRPr="008C7AC9">
              <w:t>2016</w:t>
            </w:r>
            <w:r w:rsidRPr="008C7AC9">
              <w:rPr>
                <w:rFonts w:hint="cs"/>
                <w:rtl/>
              </w:rPr>
              <w:t>)</w:t>
            </w:r>
          </w:p>
        </w:tc>
      </w:tr>
      <w:tr w:rsidR="00A37501" w:rsidRPr="008C7AC9" w:rsidTr="00846643">
        <w:trPr>
          <w:jc w:val="center"/>
        </w:trPr>
        <w:tc>
          <w:tcPr>
            <w:tcW w:w="709" w:type="dxa"/>
            <w:shd w:val="clear" w:color="auto" w:fill="auto"/>
          </w:tcPr>
          <w:p w:rsidR="00A6493F" w:rsidRPr="008C7AC9" w:rsidRDefault="00A6493F" w:rsidP="00402E33">
            <w:pPr>
              <w:pStyle w:val="Tabletexte"/>
              <w:jc w:val="center"/>
              <w:rPr>
                <w:rFonts w:cs="Times New Roman"/>
                <w:lang w:bidi="ar-SA"/>
              </w:rPr>
            </w:pPr>
            <w:r w:rsidRPr="008C7AC9">
              <w:t>1.1</w:t>
            </w:r>
          </w:p>
        </w:tc>
        <w:tc>
          <w:tcPr>
            <w:tcW w:w="3403" w:type="dxa"/>
            <w:shd w:val="clear" w:color="auto" w:fill="auto"/>
          </w:tcPr>
          <w:p w:rsidR="00A6493F" w:rsidRPr="008C7AC9" w:rsidRDefault="00A6493F" w:rsidP="00D43DA2">
            <w:pPr>
              <w:pStyle w:val="Tabletexte"/>
              <w:jc w:val="left"/>
              <w:rPr>
                <w:rtl/>
                <w:lang w:bidi="ar-EG"/>
              </w:rPr>
            </w:pPr>
            <w:r w:rsidRPr="008C7AC9">
              <w:rPr>
                <w:rFonts w:hint="cs"/>
                <w:rtl/>
                <w:lang w:bidi="ar-EG"/>
              </w:rPr>
              <w:t xml:space="preserve">ينبغي أن يتضمن نشاط وحدة المراجعة الداخلية تحليلاً للمخاطر يشمل إنشاء حيز المراجعة وسجلاً </w:t>
            </w:r>
            <w:r w:rsidRPr="00E92C1F">
              <w:rPr>
                <w:rFonts w:hint="cs"/>
                <w:spacing w:val="-2"/>
                <w:rtl/>
                <w:lang w:bidi="ar-EG"/>
              </w:rPr>
              <w:t>للمخاطر، ويضع معايير لضمان تغطية كل</w:t>
            </w:r>
            <w:r w:rsidR="00D43DA2">
              <w:rPr>
                <w:rFonts w:hint="eastAsia"/>
                <w:spacing w:val="-2"/>
                <w:rtl/>
                <w:lang w:bidi="ar-EG"/>
              </w:rPr>
              <w:t> </w:t>
            </w:r>
            <w:r w:rsidRPr="00E92C1F">
              <w:rPr>
                <w:rFonts w:hint="cs"/>
                <w:spacing w:val="-2"/>
                <w:rtl/>
                <w:lang w:bidi="ar-EG"/>
              </w:rPr>
              <w:t>ما</w:t>
            </w:r>
            <w:r w:rsidR="00E92C1F" w:rsidRPr="00E92C1F">
              <w:rPr>
                <w:rFonts w:hint="eastAsia"/>
                <w:spacing w:val="-2"/>
                <w:rtl/>
                <w:lang w:bidi="ar-EG"/>
              </w:rPr>
              <w:t> </w:t>
            </w:r>
            <w:r w:rsidRPr="00E92C1F">
              <w:rPr>
                <w:rFonts w:hint="cs"/>
                <w:spacing w:val="-2"/>
                <w:rtl/>
                <w:lang w:bidi="ar-EG"/>
              </w:rPr>
              <w:t>يحدَّد</w:t>
            </w:r>
            <w:r w:rsidRPr="008C7AC9">
              <w:rPr>
                <w:rFonts w:hint="cs"/>
                <w:rtl/>
                <w:lang w:bidi="ar-EG"/>
              </w:rPr>
              <w:t xml:space="preserve"> في حيز المراجعة من مجالات حرجة وتنطوي على مخاطر كبرى ضمن إطار زمني معقول (كفترة تتراوح بين سنتين وثلاث سنوات</w:t>
            </w:r>
            <w:r w:rsidR="00D43DA2">
              <w:rPr>
                <w:rFonts w:hint="eastAsia"/>
                <w:rtl/>
                <w:lang w:bidi="ar-EG"/>
              </w:rPr>
              <w:t> </w:t>
            </w:r>
            <w:r w:rsidRPr="008C7AC9">
              <w:rPr>
                <w:rFonts w:hint="cs"/>
                <w:rtl/>
                <w:lang w:bidi="ar-EG"/>
              </w:rPr>
              <w:t>مثلاً).</w:t>
            </w:r>
          </w:p>
        </w:tc>
        <w:tc>
          <w:tcPr>
            <w:tcW w:w="2268" w:type="dxa"/>
            <w:shd w:val="clear" w:color="auto" w:fill="auto"/>
          </w:tcPr>
          <w:p w:rsidR="00A6493F" w:rsidRPr="008C7AC9" w:rsidRDefault="00A6493F" w:rsidP="00D43DA2">
            <w:pPr>
              <w:pStyle w:val="Tabletexte"/>
              <w:jc w:val="left"/>
              <w:rPr>
                <w:rtl/>
                <w:lang w:bidi="ar-EG"/>
              </w:rPr>
            </w:pPr>
            <w:r w:rsidRPr="00846643">
              <w:rPr>
                <w:rFonts w:hint="cs"/>
                <w:b/>
                <w:bCs/>
                <w:spacing w:val="-4"/>
                <w:rtl/>
                <w:lang w:bidi="ar-EG"/>
              </w:rPr>
              <w:t>تعليق وحدة المراجعة الداخلية</w:t>
            </w:r>
            <w:r w:rsidRPr="00846643">
              <w:rPr>
                <w:rFonts w:hint="cs"/>
                <w:spacing w:val="-4"/>
                <w:rtl/>
                <w:lang w:bidi="ar-EG"/>
              </w:rPr>
              <w:t>:</w:t>
            </w:r>
            <w:r w:rsidRPr="008C7AC9">
              <w:rPr>
                <w:rFonts w:hint="cs"/>
                <w:rtl/>
                <w:lang w:bidi="ar-EG"/>
              </w:rPr>
              <w:t xml:space="preserve"> بدأ العمل بالفعل على ما جاء أعلاه، وسيُضطلع بمزيد من الأعمال في</w:t>
            </w:r>
            <w:r w:rsidR="000D2A8E">
              <w:rPr>
                <w:rFonts w:hint="eastAsia"/>
                <w:rtl/>
                <w:lang w:bidi="ar-EG"/>
              </w:rPr>
              <w:t> </w:t>
            </w:r>
            <w:r w:rsidRPr="008C7AC9">
              <w:rPr>
                <w:rFonts w:hint="cs"/>
                <w:rtl/>
                <w:lang w:bidi="ar-EG"/>
              </w:rPr>
              <w:t>خطة المراجعة لعام</w:t>
            </w:r>
            <w:r w:rsidR="00D43DA2">
              <w:rPr>
                <w:rFonts w:hint="eastAsia"/>
                <w:rtl/>
                <w:lang w:bidi="ar-EG"/>
              </w:rPr>
              <w:t> </w:t>
            </w:r>
            <w:r w:rsidRPr="008C7AC9">
              <w:rPr>
                <w:rFonts w:hint="cs"/>
                <w:lang w:bidi="ar-EG"/>
              </w:rPr>
              <w:t>2016</w:t>
            </w:r>
            <w:r w:rsidRPr="008C7AC9">
              <w:rPr>
                <w:rFonts w:hint="cs"/>
                <w:rtl/>
                <w:lang w:bidi="ar-EG"/>
              </w:rPr>
              <w:t>.</w:t>
            </w:r>
          </w:p>
        </w:tc>
        <w:tc>
          <w:tcPr>
            <w:tcW w:w="850" w:type="dxa"/>
            <w:shd w:val="clear" w:color="auto" w:fill="auto"/>
          </w:tcPr>
          <w:p w:rsidR="00A6493F" w:rsidRPr="008C7AC9" w:rsidRDefault="00A6493F" w:rsidP="008C7AC9">
            <w:pPr>
              <w:pStyle w:val="Tabletexte"/>
              <w:jc w:val="center"/>
              <w:rPr>
                <w:rtl/>
                <w:lang w:bidi="ar-EG"/>
              </w:rPr>
            </w:pPr>
            <w:r w:rsidRPr="008C7AC9">
              <w:rPr>
                <w:rFonts w:hint="cs"/>
                <w:rtl/>
                <w:lang w:bidi="ar-EG"/>
              </w:rPr>
              <w:t>نُفذت</w:t>
            </w:r>
          </w:p>
        </w:tc>
        <w:tc>
          <w:tcPr>
            <w:tcW w:w="2552" w:type="dxa"/>
            <w:shd w:val="clear" w:color="auto" w:fill="auto"/>
          </w:tcPr>
          <w:p w:rsidR="00A6493F" w:rsidRPr="008C7AC9" w:rsidRDefault="00A6493F" w:rsidP="00E92C1F">
            <w:pPr>
              <w:pStyle w:val="Tabletexte"/>
              <w:jc w:val="left"/>
              <w:rPr>
                <w:rtl/>
                <w:lang w:bidi="ar-EG"/>
              </w:rPr>
            </w:pPr>
            <w:r w:rsidRPr="008C7AC9">
              <w:rPr>
                <w:rFonts w:hint="cs"/>
                <w:rtl/>
                <w:lang w:bidi="ar-EG"/>
              </w:rPr>
              <w:t xml:space="preserve">بالنسبة إلى تخطيط وحدة المراجعة الداخلية لعام </w:t>
            </w:r>
            <w:r w:rsidRPr="008C7AC9">
              <w:rPr>
                <w:rFonts w:hint="cs"/>
                <w:lang w:bidi="ar-EG"/>
              </w:rPr>
              <w:t>2016</w:t>
            </w:r>
            <w:r w:rsidRPr="008C7AC9">
              <w:rPr>
                <w:rFonts w:hint="cs"/>
                <w:rtl/>
                <w:lang w:bidi="ar-EG"/>
              </w:rPr>
              <w:t>، أُنجز تحليل المخاطر على أساس حيز مراجعة مؤسَس وإجراءات أعمال الاتحاد وسجل المخاطر الرسمي بالاتحاد؛ واستُخدمت تسعة معايير لتحديد أهمية مكونات حيز المراجعة.</w:t>
            </w:r>
          </w:p>
        </w:tc>
      </w:tr>
      <w:tr w:rsidR="00A37501" w:rsidRPr="008C7AC9" w:rsidTr="00846643">
        <w:trPr>
          <w:jc w:val="center"/>
        </w:trPr>
        <w:tc>
          <w:tcPr>
            <w:tcW w:w="709" w:type="dxa"/>
            <w:shd w:val="clear" w:color="auto" w:fill="auto"/>
          </w:tcPr>
          <w:p w:rsidR="00A6493F" w:rsidRPr="008C7AC9" w:rsidRDefault="00402E33" w:rsidP="00402E33">
            <w:pPr>
              <w:pStyle w:val="Tabletexte"/>
              <w:jc w:val="center"/>
              <w:rPr>
                <w:rtl/>
                <w:lang w:bidi="ar-EG"/>
              </w:rPr>
            </w:pPr>
            <w:r>
              <w:t>2.1</w:t>
            </w:r>
            <w:r>
              <w:rPr>
                <w:rFonts w:hint="cs"/>
                <w:rtl/>
                <w:lang w:bidi="ar-EG"/>
              </w:rPr>
              <w:t>.أ</w:t>
            </w:r>
          </w:p>
        </w:tc>
        <w:tc>
          <w:tcPr>
            <w:tcW w:w="3403" w:type="dxa"/>
            <w:shd w:val="clear" w:color="auto" w:fill="auto"/>
          </w:tcPr>
          <w:p w:rsidR="00A6493F" w:rsidRPr="008C7AC9" w:rsidRDefault="00A6493F" w:rsidP="00D43DA2">
            <w:pPr>
              <w:pStyle w:val="Tabletexte"/>
              <w:jc w:val="left"/>
              <w:rPr>
                <w:rtl/>
                <w:lang w:bidi="ar-EG"/>
              </w:rPr>
            </w:pPr>
            <w:r w:rsidRPr="008C7AC9">
              <w:rPr>
                <w:rFonts w:hint="cs"/>
                <w:rtl/>
                <w:lang w:bidi="ar-EG"/>
              </w:rPr>
              <w:t xml:space="preserve">ينبغي أن يعزز نشاط وحدة المراجعة الداخلية إجراءات تخطيط العمل بإدراجه في برنامج العمل السنوي: أ) استراتيجية ونهجاً للمراجعة لتمكين التغطية الكاملة لكل المخاطر الحرجة والكبرى وكي </w:t>
            </w:r>
            <w:r w:rsidRPr="008C7AC9">
              <w:rPr>
                <w:rFonts w:hint="cs"/>
                <w:rtl/>
                <w:lang w:bidi="ar-EG"/>
              </w:rPr>
              <w:lastRenderedPageBreak/>
              <w:t>تقدَّم إلى الأمين العام والمجلس تأكيداً معقولاً بفعالية الضوابط وعمليات إدارة المخاطر</w:t>
            </w:r>
            <w:r w:rsidR="00D43DA2">
              <w:rPr>
                <w:rFonts w:hint="eastAsia"/>
                <w:rtl/>
                <w:lang w:bidi="ar-EG"/>
              </w:rPr>
              <w:t> </w:t>
            </w:r>
            <w:r w:rsidRPr="008C7AC9">
              <w:rPr>
                <w:rFonts w:hint="cs"/>
                <w:rtl/>
                <w:lang w:bidi="ar-EG"/>
              </w:rPr>
              <w:t>والإدارة؛</w:t>
            </w:r>
          </w:p>
        </w:tc>
        <w:tc>
          <w:tcPr>
            <w:tcW w:w="2268" w:type="dxa"/>
            <w:vMerge w:val="restart"/>
            <w:shd w:val="clear" w:color="auto" w:fill="auto"/>
            <w:vAlign w:val="center"/>
          </w:tcPr>
          <w:p w:rsidR="00A6493F" w:rsidRPr="008C7AC9" w:rsidRDefault="00A6493F" w:rsidP="00D43DA2">
            <w:pPr>
              <w:pStyle w:val="Tabletexte"/>
              <w:jc w:val="left"/>
              <w:rPr>
                <w:rtl/>
                <w:lang w:bidi="ar-EG"/>
              </w:rPr>
            </w:pPr>
            <w:r w:rsidRPr="00846643">
              <w:rPr>
                <w:rFonts w:hint="cs"/>
                <w:b/>
                <w:bCs/>
                <w:spacing w:val="-4"/>
                <w:rtl/>
                <w:lang w:bidi="ar-EG"/>
              </w:rPr>
              <w:lastRenderedPageBreak/>
              <w:t>تعليق وحدة المراجعة الداخلية</w:t>
            </w:r>
            <w:r w:rsidRPr="00846643">
              <w:rPr>
                <w:rFonts w:hint="cs"/>
                <w:spacing w:val="-4"/>
                <w:rtl/>
                <w:lang w:bidi="ar-EG"/>
              </w:rPr>
              <w:t>:</w:t>
            </w:r>
            <w:r w:rsidRPr="008C7AC9">
              <w:rPr>
                <w:rFonts w:hint="cs"/>
                <w:rtl/>
                <w:lang w:bidi="ar-EG"/>
              </w:rPr>
              <w:t xml:space="preserve"> بدأ العمل بالفعل على ما جاء أعلاه، وسيُضطلع بمزيد من </w:t>
            </w:r>
            <w:r w:rsidRPr="008C7AC9">
              <w:rPr>
                <w:rFonts w:hint="cs"/>
                <w:rtl/>
                <w:lang w:bidi="ar-EG"/>
              </w:rPr>
              <w:lastRenderedPageBreak/>
              <w:t>الأعمال في</w:t>
            </w:r>
            <w:r w:rsidRPr="008C7AC9">
              <w:rPr>
                <w:rFonts w:hint="eastAsia"/>
                <w:rtl/>
                <w:lang w:bidi="ar-EG"/>
              </w:rPr>
              <w:t> </w:t>
            </w:r>
            <w:r w:rsidRPr="008C7AC9">
              <w:rPr>
                <w:rFonts w:hint="cs"/>
                <w:rtl/>
                <w:lang w:bidi="ar-EG"/>
              </w:rPr>
              <w:t>خطة المراجعة لعام</w:t>
            </w:r>
            <w:r w:rsidR="00D43DA2">
              <w:rPr>
                <w:rFonts w:hint="eastAsia"/>
                <w:rtl/>
                <w:lang w:bidi="ar-EG"/>
              </w:rPr>
              <w:t> </w:t>
            </w:r>
            <w:r w:rsidRPr="008C7AC9">
              <w:rPr>
                <w:rFonts w:hint="cs"/>
                <w:lang w:bidi="ar-EG"/>
              </w:rPr>
              <w:t>2016</w:t>
            </w:r>
            <w:r w:rsidRPr="008C7AC9">
              <w:rPr>
                <w:rFonts w:hint="cs"/>
                <w:rtl/>
                <w:lang w:bidi="ar-EG"/>
              </w:rPr>
              <w:t>.</w:t>
            </w:r>
          </w:p>
        </w:tc>
        <w:tc>
          <w:tcPr>
            <w:tcW w:w="850" w:type="dxa"/>
            <w:shd w:val="clear" w:color="auto" w:fill="auto"/>
          </w:tcPr>
          <w:p w:rsidR="00A6493F" w:rsidRPr="008C7AC9" w:rsidRDefault="00A6493F" w:rsidP="008C7AC9">
            <w:pPr>
              <w:pStyle w:val="Tabletexte"/>
              <w:jc w:val="center"/>
            </w:pPr>
            <w:r w:rsidRPr="008C7AC9">
              <w:rPr>
                <w:rFonts w:hint="cs"/>
                <w:rtl/>
                <w:lang w:bidi="ar-EG"/>
              </w:rPr>
              <w:lastRenderedPageBreak/>
              <w:t>نُفذت</w:t>
            </w:r>
          </w:p>
        </w:tc>
        <w:tc>
          <w:tcPr>
            <w:tcW w:w="2552" w:type="dxa"/>
            <w:shd w:val="clear" w:color="auto" w:fill="auto"/>
          </w:tcPr>
          <w:p w:rsidR="00A6493F" w:rsidRPr="008C7AC9" w:rsidRDefault="00A6493F" w:rsidP="00E92C1F">
            <w:pPr>
              <w:pStyle w:val="Tabletexte"/>
              <w:jc w:val="left"/>
              <w:rPr>
                <w:spacing w:val="-4"/>
                <w:rtl/>
                <w:lang w:bidi="ar-EG"/>
              </w:rPr>
            </w:pPr>
            <w:r w:rsidRPr="008C7AC9">
              <w:rPr>
                <w:rFonts w:hint="cs"/>
                <w:spacing w:val="-4"/>
                <w:rtl/>
                <w:lang w:bidi="ar-EG"/>
              </w:rPr>
              <w:t>تحدد استراتيجية المراجعة ونهجها المخاطر الحرجة والكبرى في حيز المراجعة</w:t>
            </w:r>
            <w:r w:rsidR="00E92C1F">
              <w:rPr>
                <w:rFonts w:hint="cs"/>
                <w:spacing w:val="-4"/>
                <w:rtl/>
                <w:lang w:bidi="ar-EG"/>
              </w:rPr>
              <w:t>.</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t>2.1</w:t>
            </w:r>
            <w:r>
              <w:rPr>
                <w:rFonts w:hint="cs"/>
                <w:rtl/>
                <w:lang w:bidi="ar-EG"/>
              </w:rPr>
              <w:t>.ب</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ينبغي أن يعزز نشاط وحدة المراجعة الداخلية إجراءات تخطيط العمل بإدراجه في برنامج العمل السنوي: ب) وصفاً لما يُستخدم، في اختيار مشاريع المراجعة أو مواضيعها، من حيز المراجعة والمعايير أو</w:t>
            </w:r>
            <w:r w:rsidR="000D2A8E">
              <w:rPr>
                <w:rFonts w:hint="eastAsia"/>
                <w:rtl/>
                <w:lang w:bidi="ar-EG"/>
              </w:rPr>
              <w:t> </w:t>
            </w:r>
            <w:r w:rsidRPr="008C7AC9">
              <w:rPr>
                <w:rFonts w:hint="cs"/>
                <w:rtl/>
                <w:lang w:bidi="ar-EG"/>
              </w:rPr>
              <w:t>عوامل المخاطرة</w:t>
            </w:r>
            <w:r w:rsidR="00E92C1F">
              <w:rPr>
                <w:rFonts w:hint="cs"/>
                <w:rtl/>
                <w:lang w:bidi="ar-EG"/>
              </w:rPr>
              <w:t>؛</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pPr>
            <w:r w:rsidRPr="008C7AC9">
              <w:rPr>
                <w:rFonts w:hint="cs"/>
                <w:rtl/>
                <w:lang w:bidi="ar-EG"/>
              </w:rPr>
              <w:t>نُفذت</w:t>
            </w:r>
          </w:p>
        </w:tc>
        <w:tc>
          <w:tcPr>
            <w:tcW w:w="2552" w:type="dxa"/>
            <w:shd w:val="clear" w:color="auto" w:fill="auto"/>
          </w:tcPr>
          <w:p w:rsidR="00402E33" w:rsidRPr="008C7AC9" w:rsidRDefault="00402E33" w:rsidP="00D43DA2">
            <w:pPr>
              <w:pStyle w:val="Tabletexte"/>
              <w:jc w:val="left"/>
              <w:rPr>
                <w:rtl/>
                <w:lang w:bidi="ar-EG"/>
              </w:rPr>
            </w:pPr>
            <w:r w:rsidRPr="008C7AC9">
              <w:rPr>
                <w:rFonts w:hint="cs"/>
                <w:rtl/>
                <w:lang w:bidi="ar-EG"/>
              </w:rPr>
              <w:t xml:space="preserve">تتضمن خطة المراجعة لعام </w:t>
            </w:r>
            <w:r w:rsidRPr="008C7AC9">
              <w:rPr>
                <w:rFonts w:hint="cs"/>
                <w:lang w:bidi="ar-EG"/>
              </w:rPr>
              <w:t>2016</w:t>
            </w:r>
            <w:r w:rsidRPr="008C7AC9">
              <w:rPr>
                <w:rFonts w:hint="cs"/>
                <w:rtl/>
                <w:lang w:bidi="ar-EG"/>
              </w:rPr>
              <w:t xml:space="preserve"> وصفاً لما يُستخدم، في اختيار مواضيع المراجعة، من حيز المراجعة</w:t>
            </w:r>
            <w:r w:rsidR="00D43DA2">
              <w:rPr>
                <w:rFonts w:hint="eastAsia"/>
                <w:rtl/>
                <w:lang w:bidi="ar-EG"/>
              </w:rPr>
              <w:t> </w:t>
            </w:r>
            <w:r w:rsidRPr="008C7AC9">
              <w:rPr>
                <w:rFonts w:hint="cs"/>
                <w:rtl/>
                <w:lang w:bidi="ar-EG"/>
              </w:rPr>
              <w:t>والمعايير</w:t>
            </w:r>
            <w:r w:rsidR="00E92C1F">
              <w:rPr>
                <w:rFonts w:hint="cs"/>
                <w:rtl/>
                <w:lang w:bidi="ar-EG"/>
              </w:rPr>
              <w:t>.</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t>2.1</w:t>
            </w:r>
            <w:r>
              <w:rPr>
                <w:rFonts w:hint="cs"/>
                <w:rtl/>
                <w:lang w:bidi="ar-EG"/>
              </w:rPr>
              <w:t>.ج</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ينبغي أن يعزز نشاط وحدة المراجعة الداخلية إجراءات تخطيط العمل بإدراجه في برنامج العمل السنوي: ج) طبيعة التنسيق ومداه مع المراجعين الخارجيين (بما في ذلك قائمة المراجعات المقترحة التي ينوي المراجعون الخارجيون القيام بها) وأنشطة التقييم في نهاية المطاف للتقليل من ازدواجية العمل إلى أدنى حد وضمان حسن التعاون وتبادل المعلومات</w:t>
            </w:r>
            <w:r w:rsidR="00E92C1F">
              <w:rPr>
                <w:rFonts w:hint="cs"/>
                <w:rtl/>
                <w:lang w:bidi="ar-EG"/>
              </w:rPr>
              <w:t>؛</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pPr>
            <w:r w:rsidRPr="008C7AC9">
              <w:rPr>
                <w:rFonts w:hint="cs"/>
                <w:rtl/>
                <w:lang w:bidi="ar-EG"/>
              </w:rPr>
              <w:t>نُفذت</w:t>
            </w:r>
          </w:p>
        </w:tc>
        <w:tc>
          <w:tcPr>
            <w:tcW w:w="2552" w:type="dxa"/>
            <w:shd w:val="clear" w:color="auto" w:fill="auto"/>
          </w:tcPr>
          <w:p w:rsidR="00402E33" w:rsidRPr="00D43DA2" w:rsidRDefault="00402E33" w:rsidP="00D43DA2">
            <w:pPr>
              <w:pStyle w:val="Tabletexte"/>
              <w:jc w:val="left"/>
              <w:rPr>
                <w:rtl/>
                <w:lang w:bidi="ar-EG"/>
              </w:rPr>
            </w:pPr>
            <w:r w:rsidRPr="00D43DA2">
              <w:rPr>
                <w:rFonts w:hint="cs"/>
                <w:rtl/>
                <w:lang w:bidi="ar-EG"/>
              </w:rPr>
              <w:t xml:space="preserve">وُضعت خطة عمل المراجعة لعام </w:t>
            </w:r>
            <w:r w:rsidRPr="00D43DA2">
              <w:rPr>
                <w:rFonts w:hint="cs"/>
                <w:lang w:bidi="ar-EG"/>
              </w:rPr>
              <w:t>2016</w:t>
            </w:r>
            <w:r w:rsidRPr="00D43DA2">
              <w:rPr>
                <w:rFonts w:hint="cs"/>
                <w:rtl/>
                <w:lang w:bidi="ar-EG"/>
              </w:rPr>
              <w:t xml:space="preserve"> مع الأخذ بعين الاعتبار المواضيع التي سيغطيها المراجع الخارجي (حسب مشروع خطة</w:t>
            </w:r>
            <w:r w:rsidR="00D43DA2">
              <w:rPr>
                <w:rFonts w:hint="eastAsia"/>
                <w:rtl/>
                <w:lang w:bidi="ar-EG"/>
              </w:rPr>
              <w:t> </w:t>
            </w:r>
            <w:r w:rsidRPr="00D43DA2">
              <w:rPr>
                <w:rFonts w:hint="cs"/>
                <w:rtl/>
                <w:lang w:bidi="ar-EG"/>
              </w:rPr>
              <w:t>المراجعة الذي ورد في</w:t>
            </w:r>
            <w:r w:rsidRPr="00D43DA2">
              <w:rPr>
                <w:rFonts w:hint="eastAsia"/>
                <w:rtl/>
                <w:lang w:bidi="ar-EG"/>
              </w:rPr>
              <w:t> </w:t>
            </w:r>
            <w:r w:rsidRPr="00D43DA2">
              <w:rPr>
                <w:rFonts w:hint="cs"/>
                <w:lang w:bidi="ar-EG"/>
              </w:rPr>
              <w:t>18</w:t>
            </w:r>
            <w:r w:rsidRPr="00D43DA2">
              <w:rPr>
                <w:rFonts w:hint="eastAsia"/>
                <w:rtl/>
                <w:lang w:bidi="ar-EG"/>
              </w:rPr>
              <w:t> </w:t>
            </w:r>
            <w:r w:rsidRPr="00D43DA2">
              <w:rPr>
                <w:rFonts w:hint="cs"/>
                <w:rtl/>
                <w:lang w:bidi="ar-EG"/>
              </w:rPr>
              <w:t xml:space="preserve">ديسمبر </w:t>
            </w:r>
            <w:r w:rsidRPr="00D43DA2">
              <w:rPr>
                <w:rFonts w:hint="cs"/>
                <w:lang w:bidi="ar-EG"/>
              </w:rPr>
              <w:t>2015</w:t>
            </w:r>
            <w:r w:rsidRPr="00D43DA2">
              <w:rPr>
                <w:rFonts w:hint="cs"/>
                <w:rtl/>
                <w:lang w:bidi="ar-EG"/>
              </w:rPr>
              <w:t>)</w:t>
            </w:r>
            <w:r w:rsidR="00E92C1F" w:rsidRPr="00D43DA2">
              <w:rPr>
                <w:rFonts w:hint="cs"/>
                <w:rtl/>
                <w:lang w:bidi="ar-EG"/>
              </w:rPr>
              <w:t>.</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t>2.1</w:t>
            </w:r>
            <w:r>
              <w:rPr>
                <w:rFonts w:hint="cs"/>
                <w:rtl/>
                <w:lang w:bidi="ar-EG"/>
              </w:rPr>
              <w:t>.د</w:t>
            </w:r>
          </w:p>
        </w:tc>
        <w:tc>
          <w:tcPr>
            <w:tcW w:w="3403" w:type="dxa"/>
            <w:shd w:val="clear" w:color="auto" w:fill="auto"/>
          </w:tcPr>
          <w:p w:rsidR="00402E33" w:rsidRPr="008C7AC9" w:rsidRDefault="00402E33" w:rsidP="00E92C1F">
            <w:pPr>
              <w:pStyle w:val="Tabletexte"/>
              <w:keepLines/>
              <w:jc w:val="left"/>
              <w:rPr>
                <w:rtl/>
                <w:lang w:bidi="ar-EG"/>
              </w:rPr>
            </w:pPr>
            <w:r w:rsidRPr="008C7AC9">
              <w:rPr>
                <w:rFonts w:hint="cs"/>
                <w:rtl/>
                <w:lang w:bidi="ar-EG"/>
              </w:rPr>
              <w:t>ينبغي أن يعزز نشاط وحدة المراجعة الداخلية إجراءات تخطيط العمل بإدراجه في برنامج العمل السنوي: د) تحليلاً لكفاية الموارد المطلوبة لتغطية جميع مجالات المخاطر الكبرى ضمن ما يحدَد من إطار زمني أو دورة مراجعة</w:t>
            </w:r>
            <w:r w:rsidR="007A0D23">
              <w:rPr>
                <w:rFonts w:hint="cs"/>
                <w:rtl/>
                <w:lang w:bidi="ar-EG"/>
              </w:rPr>
              <w:t>.</w:t>
            </w:r>
          </w:p>
        </w:tc>
        <w:tc>
          <w:tcPr>
            <w:tcW w:w="2268" w:type="dxa"/>
            <w:vMerge/>
            <w:shd w:val="clear" w:color="auto" w:fill="auto"/>
          </w:tcPr>
          <w:p w:rsidR="00402E33" w:rsidRPr="008C7AC9" w:rsidRDefault="00402E33" w:rsidP="00E92C1F">
            <w:pPr>
              <w:pStyle w:val="Tabletexte"/>
              <w:keepLines/>
              <w:jc w:val="left"/>
              <w:rPr>
                <w:rtl/>
                <w:lang w:bidi="ar-EG"/>
              </w:rPr>
            </w:pPr>
          </w:p>
        </w:tc>
        <w:tc>
          <w:tcPr>
            <w:tcW w:w="850" w:type="dxa"/>
            <w:shd w:val="clear" w:color="auto" w:fill="auto"/>
          </w:tcPr>
          <w:p w:rsidR="00402E33" w:rsidRPr="008C7AC9" w:rsidRDefault="00402E33" w:rsidP="00402E33">
            <w:pPr>
              <w:pStyle w:val="Tabletexte"/>
              <w:keepLines/>
              <w:jc w:val="center"/>
            </w:pPr>
            <w:r w:rsidRPr="008C7AC9">
              <w:rPr>
                <w:rFonts w:hint="cs"/>
                <w:rtl/>
                <w:lang w:bidi="ar-EG"/>
              </w:rPr>
              <w:t>نُفذت</w:t>
            </w:r>
          </w:p>
        </w:tc>
        <w:tc>
          <w:tcPr>
            <w:tcW w:w="2552" w:type="dxa"/>
            <w:shd w:val="clear" w:color="auto" w:fill="auto"/>
          </w:tcPr>
          <w:p w:rsidR="00402E33" w:rsidRPr="008C7AC9" w:rsidRDefault="00402E33" w:rsidP="00E92C1F">
            <w:pPr>
              <w:pStyle w:val="Tabletexte"/>
              <w:keepLines/>
              <w:jc w:val="left"/>
              <w:rPr>
                <w:rtl/>
                <w:lang w:bidi="ar-EG"/>
              </w:rPr>
            </w:pPr>
            <w:r w:rsidRPr="008C7AC9">
              <w:rPr>
                <w:rFonts w:hint="cs"/>
                <w:rtl/>
                <w:lang w:bidi="ar-EG"/>
              </w:rPr>
              <w:t xml:space="preserve">بدئ في خطة المراجعة لعام </w:t>
            </w:r>
            <w:r w:rsidRPr="008C7AC9">
              <w:rPr>
                <w:rFonts w:hint="cs"/>
                <w:lang w:bidi="ar-EG"/>
              </w:rPr>
              <w:t>2016</w:t>
            </w:r>
            <w:r w:rsidRPr="008C7AC9">
              <w:rPr>
                <w:rFonts w:hint="cs"/>
                <w:rtl/>
                <w:lang w:bidi="ar-EG"/>
              </w:rPr>
              <w:t xml:space="preserve"> بتحليل الموارد المتاحة (واللازمة) التي تتطلبها تغطية جميع مجالات المخاطر الكبرى ضمن ما يحدَد من إطار زمني أو دورة مراجعة</w:t>
            </w:r>
            <w:r w:rsidR="007A0D23">
              <w:rPr>
                <w:rFonts w:hint="cs"/>
                <w:rtl/>
                <w:lang w:bidi="ar-EG"/>
              </w:rPr>
              <w:t>.</w:t>
            </w:r>
          </w:p>
        </w:tc>
      </w:tr>
      <w:tr w:rsidR="00A37501" w:rsidRPr="008C7AC9" w:rsidTr="00846643">
        <w:trPr>
          <w:jc w:val="center"/>
        </w:trPr>
        <w:tc>
          <w:tcPr>
            <w:tcW w:w="709" w:type="dxa"/>
            <w:shd w:val="clear" w:color="auto" w:fill="auto"/>
          </w:tcPr>
          <w:p w:rsidR="00A6493F" w:rsidRPr="008C7AC9" w:rsidRDefault="00A6493F" w:rsidP="00402E33">
            <w:pPr>
              <w:pStyle w:val="Tabletexte"/>
              <w:jc w:val="center"/>
            </w:pPr>
            <w:r w:rsidRPr="008C7AC9">
              <w:t>3.1</w:t>
            </w:r>
          </w:p>
        </w:tc>
        <w:tc>
          <w:tcPr>
            <w:tcW w:w="3403" w:type="dxa"/>
            <w:shd w:val="clear" w:color="auto" w:fill="auto"/>
          </w:tcPr>
          <w:p w:rsidR="00A6493F" w:rsidRPr="008C7AC9" w:rsidRDefault="00A6493F" w:rsidP="00E92C1F">
            <w:pPr>
              <w:pStyle w:val="Tabletexte"/>
              <w:jc w:val="left"/>
              <w:rPr>
                <w:rtl/>
                <w:lang w:bidi="ar-EG"/>
              </w:rPr>
            </w:pPr>
            <w:r w:rsidRPr="008C7AC9">
              <w:rPr>
                <w:rFonts w:hint="cs"/>
                <w:rtl/>
                <w:lang w:bidi="ar-EG"/>
              </w:rPr>
              <w:t xml:space="preserve">ينبغي أن يتضمن نشاط وحدة المراجعة الداخلية تحليلاً للثغرات في المهارات بحيث يقارن بين ما هو فعلي وما هو متوقع من المعارف والمهارات والخبرات </w:t>
            </w:r>
            <w:r w:rsidRPr="008C7AC9">
              <w:rPr>
                <w:rFonts w:hint="cs"/>
                <w:rtl/>
                <w:lang w:bidi="ar-EG"/>
              </w:rPr>
              <w:lastRenderedPageBreak/>
              <w:t>الجماعية لموظفي المراجعة الداخلية لدى مراجعة الأداء المطلوب لإنجاز الولاية المنوطة بهم.</w:t>
            </w:r>
          </w:p>
        </w:tc>
        <w:tc>
          <w:tcPr>
            <w:tcW w:w="2268" w:type="dxa"/>
            <w:shd w:val="clear" w:color="auto" w:fill="auto"/>
          </w:tcPr>
          <w:p w:rsidR="00A6493F" w:rsidRPr="008C7AC9" w:rsidRDefault="00A6493F" w:rsidP="00D43DA2">
            <w:pPr>
              <w:pStyle w:val="Tabletexte"/>
              <w:jc w:val="left"/>
              <w:rPr>
                <w:rtl/>
                <w:lang w:bidi="ar-EG"/>
              </w:rPr>
            </w:pPr>
            <w:r w:rsidRPr="00846643">
              <w:rPr>
                <w:rFonts w:hint="cs"/>
                <w:b/>
                <w:bCs/>
                <w:spacing w:val="-4"/>
                <w:rtl/>
                <w:lang w:bidi="ar-EG"/>
              </w:rPr>
              <w:lastRenderedPageBreak/>
              <w:t>تعليق وحدة المراجعة الداخلية</w:t>
            </w:r>
            <w:r w:rsidRPr="00846643">
              <w:rPr>
                <w:rFonts w:hint="cs"/>
                <w:spacing w:val="-4"/>
                <w:rtl/>
                <w:lang w:bidi="ar-EG"/>
              </w:rPr>
              <w:t>:</w:t>
            </w:r>
            <w:r w:rsidRPr="008C7AC9">
              <w:rPr>
                <w:rFonts w:hint="cs"/>
                <w:rtl/>
                <w:lang w:bidi="ar-EG"/>
              </w:rPr>
              <w:t xml:space="preserve"> بدأ العمل بالفعل على ما جاء أعلاه، وسيُضطلع بمزيد من </w:t>
            </w:r>
            <w:r w:rsidRPr="008C7AC9">
              <w:rPr>
                <w:rFonts w:hint="cs"/>
                <w:rtl/>
                <w:lang w:bidi="ar-EG"/>
              </w:rPr>
              <w:lastRenderedPageBreak/>
              <w:t>الأعمال في</w:t>
            </w:r>
            <w:r w:rsidR="000D2A8E">
              <w:rPr>
                <w:rFonts w:hint="eastAsia"/>
                <w:rtl/>
              </w:rPr>
              <w:t> </w:t>
            </w:r>
            <w:r w:rsidRPr="008C7AC9">
              <w:rPr>
                <w:rFonts w:hint="cs"/>
                <w:rtl/>
                <w:lang w:bidi="ar-EG"/>
              </w:rPr>
              <w:t>خطة المراجعة لعام</w:t>
            </w:r>
            <w:r w:rsidR="00D43DA2">
              <w:rPr>
                <w:rFonts w:hint="eastAsia"/>
                <w:rtl/>
                <w:lang w:bidi="ar-EG"/>
              </w:rPr>
              <w:t> </w:t>
            </w:r>
            <w:r w:rsidRPr="008C7AC9">
              <w:rPr>
                <w:rFonts w:hint="cs"/>
                <w:lang w:bidi="ar-EG"/>
              </w:rPr>
              <w:t>2016</w:t>
            </w:r>
            <w:r w:rsidRPr="008C7AC9">
              <w:rPr>
                <w:rFonts w:hint="cs"/>
                <w:rtl/>
                <w:lang w:bidi="ar-EG"/>
              </w:rPr>
              <w:t>.</w:t>
            </w:r>
          </w:p>
        </w:tc>
        <w:tc>
          <w:tcPr>
            <w:tcW w:w="850" w:type="dxa"/>
            <w:shd w:val="clear" w:color="auto" w:fill="auto"/>
          </w:tcPr>
          <w:p w:rsidR="00A6493F" w:rsidRPr="008C7AC9" w:rsidRDefault="00A6493F" w:rsidP="008C7AC9">
            <w:pPr>
              <w:pStyle w:val="Tabletexte"/>
              <w:jc w:val="center"/>
            </w:pPr>
            <w:r w:rsidRPr="008C7AC9">
              <w:rPr>
                <w:rFonts w:hint="cs"/>
                <w:rtl/>
                <w:lang w:bidi="ar-EG"/>
              </w:rPr>
              <w:lastRenderedPageBreak/>
              <w:t>نُفذت</w:t>
            </w:r>
          </w:p>
        </w:tc>
        <w:tc>
          <w:tcPr>
            <w:tcW w:w="2552" w:type="dxa"/>
            <w:shd w:val="clear" w:color="auto" w:fill="auto"/>
          </w:tcPr>
          <w:p w:rsidR="00A6493F" w:rsidRPr="008C7AC9" w:rsidRDefault="00A6493F" w:rsidP="003F741E">
            <w:pPr>
              <w:pStyle w:val="Tabletexte"/>
              <w:jc w:val="left"/>
              <w:rPr>
                <w:rtl/>
                <w:lang w:bidi="ar-EG"/>
              </w:rPr>
            </w:pPr>
            <w:r w:rsidRPr="008C7AC9">
              <w:rPr>
                <w:rFonts w:hint="cs"/>
                <w:rtl/>
                <w:lang w:bidi="ar-EG"/>
              </w:rPr>
              <w:t xml:space="preserve">لم يتبين أي نقص في </w:t>
            </w:r>
            <w:r w:rsidR="00D43DA2">
              <w:rPr>
                <w:rFonts w:hint="cs"/>
                <w:rtl/>
                <w:lang w:bidi="ar-EG"/>
              </w:rPr>
              <w:t>مهارات</w:t>
            </w:r>
            <w:r w:rsidRPr="008C7AC9">
              <w:rPr>
                <w:rFonts w:hint="cs"/>
                <w:rtl/>
                <w:lang w:bidi="ar-EG"/>
              </w:rPr>
              <w:t xml:space="preserve"> وخبرات موظفي المراجعة الداخلية لدى مراجعة الأداء، ولكن فيما</w:t>
            </w:r>
            <w:r w:rsidR="003F741E">
              <w:rPr>
                <w:rFonts w:hint="eastAsia"/>
                <w:rtl/>
                <w:lang w:bidi="ar-EG"/>
              </w:rPr>
              <w:t> </w:t>
            </w:r>
            <w:r w:rsidRPr="008C7AC9">
              <w:rPr>
                <w:rFonts w:hint="cs"/>
                <w:rtl/>
                <w:lang w:bidi="ar-EG"/>
              </w:rPr>
              <w:t xml:space="preserve">يخص وظيفة </w:t>
            </w:r>
            <w:r w:rsidRPr="008C7AC9">
              <w:rPr>
                <w:rFonts w:hint="cs"/>
                <w:rtl/>
                <w:lang w:bidi="ar-EG"/>
              </w:rPr>
              <w:lastRenderedPageBreak/>
              <w:t>التقييم، سُلط الضوء على إمكانية وجود حاجة للاستعانة بموارد خارجية متخصصة.</w:t>
            </w:r>
          </w:p>
        </w:tc>
      </w:tr>
      <w:tr w:rsidR="00A37501" w:rsidRPr="008C7AC9" w:rsidTr="00846643">
        <w:trPr>
          <w:jc w:val="center"/>
        </w:trPr>
        <w:tc>
          <w:tcPr>
            <w:tcW w:w="709" w:type="dxa"/>
            <w:shd w:val="clear" w:color="auto" w:fill="auto"/>
          </w:tcPr>
          <w:p w:rsidR="00A6493F" w:rsidRPr="008C7AC9" w:rsidRDefault="00EA0F0F" w:rsidP="00402E33">
            <w:pPr>
              <w:pStyle w:val="Tabletexte"/>
              <w:jc w:val="center"/>
              <w:rPr>
                <w:rtl/>
                <w:lang w:bidi="ar-EG"/>
              </w:rPr>
            </w:pPr>
            <w:r w:rsidRPr="008C7AC9">
              <w:lastRenderedPageBreak/>
              <w:t>1.</w:t>
            </w:r>
            <w:r w:rsidR="00402E33">
              <w:t>2</w:t>
            </w:r>
            <w:r w:rsidR="00402E33">
              <w:rPr>
                <w:rFonts w:hint="cs"/>
                <w:rtl/>
                <w:lang w:bidi="ar-EG"/>
              </w:rPr>
              <w:t>.أ</w:t>
            </w:r>
          </w:p>
        </w:tc>
        <w:tc>
          <w:tcPr>
            <w:tcW w:w="3403" w:type="dxa"/>
            <w:shd w:val="clear" w:color="auto" w:fill="auto"/>
          </w:tcPr>
          <w:p w:rsidR="00A6493F" w:rsidRPr="008C7AC9" w:rsidRDefault="00A6493F" w:rsidP="00E92C1F">
            <w:pPr>
              <w:pStyle w:val="Tabletexte"/>
              <w:jc w:val="left"/>
              <w:rPr>
                <w:rtl/>
                <w:lang w:bidi="ar-EG"/>
              </w:rPr>
            </w:pPr>
            <w:r w:rsidRPr="008C7AC9">
              <w:rPr>
                <w:rFonts w:hint="cs"/>
                <w:rtl/>
                <w:lang w:bidi="ar-EG"/>
              </w:rPr>
              <w:t>ينبغي لنشاط وحدة المراجعة الداخلية أن يواصل تطوير أدوات توجيه المراجعة بشأن تخطيط المراجعة وتنفيذها (وأن ينظر في دمجها ضمن أداة واحدة لإدارة المعارف من قبيل دليل المراجعة)، بحيث يعزز قدرات نشاط وحدة المراجعة الداخلية في: أ) وضع أهداف المراجعة ونطاقها لكل عمل مراجعة بعد تقييم أولي لمخاطر النشاط أو العملية أو النظام قيد الاستعراض (مراجعة "الأشياء السليمة")؛</w:t>
            </w:r>
          </w:p>
        </w:tc>
        <w:tc>
          <w:tcPr>
            <w:tcW w:w="2268" w:type="dxa"/>
            <w:vMerge w:val="restart"/>
            <w:shd w:val="clear" w:color="auto" w:fill="auto"/>
            <w:vAlign w:val="center"/>
          </w:tcPr>
          <w:p w:rsidR="00A6493F" w:rsidRPr="008C7AC9" w:rsidRDefault="00A6493F" w:rsidP="007A0D23">
            <w:pPr>
              <w:pStyle w:val="Tabletexte"/>
              <w:jc w:val="left"/>
              <w:rPr>
                <w:rtl/>
                <w:lang w:bidi="ar-EG"/>
              </w:rPr>
            </w:pPr>
            <w:r w:rsidRPr="00846643">
              <w:rPr>
                <w:rFonts w:hint="cs"/>
                <w:b/>
                <w:bCs/>
                <w:spacing w:val="-4"/>
                <w:rtl/>
                <w:lang w:bidi="ar-EG"/>
              </w:rPr>
              <w:t>تعليق وحدة المراجعة الداخلية</w:t>
            </w:r>
            <w:r w:rsidRPr="00846643">
              <w:rPr>
                <w:rFonts w:hint="cs"/>
                <w:spacing w:val="-4"/>
                <w:rtl/>
                <w:lang w:bidi="ar-EG"/>
              </w:rPr>
              <w:t>:</w:t>
            </w:r>
            <w:r w:rsidRPr="008C7AC9">
              <w:rPr>
                <w:rFonts w:hint="cs"/>
                <w:rtl/>
                <w:lang w:bidi="ar-EG"/>
              </w:rPr>
              <w:t xml:space="preserve"> يجري تنفيذ ما جاء أعلاه، عند القيام بمراجعات جديدة وبحدود ما تسمح به الموارد المتاحة</w:t>
            </w:r>
            <w:r w:rsidR="007A0D23">
              <w:rPr>
                <w:rFonts w:hint="cs"/>
                <w:rtl/>
                <w:lang w:bidi="ar-EG"/>
              </w:rPr>
              <w:t>.</w:t>
            </w:r>
          </w:p>
        </w:tc>
        <w:tc>
          <w:tcPr>
            <w:tcW w:w="850" w:type="dxa"/>
            <w:shd w:val="clear" w:color="auto" w:fill="auto"/>
          </w:tcPr>
          <w:p w:rsidR="00A6493F" w:rsidRPr="008C7AC9" w:rsidRDefault="00A6493F" w:rsidP="008C7AC9">
            <w:pPr>
              <w:pStyle w:val="Tabletexte"/>
              <w:jc w:val="center"/>
              <w:rPr>
                <w:rtl/>
                <w:lang w:bidi="ar-EG"/>
              </w:rPr>
            </w:pPr>
            <w:r w:rsidRPr="008C7AC9">
              <w:rPr>
                <w:rFonts w:hint="cs"/>
                <w:rtl/>
                <w:lang w:bidi="ar-EG"/>
              </w:rPr>
              <w:t>نُفذت</w:t>
            </w:r>
          </w:p>
        </w:tc>
        <w:tc>
          <w:tcPr>
            <w:tcW w:w="2552" w:type="dxa"/>
            <w:shd w:val="clear" w:color="auto" w:fill="auto"/>
          </w:tcPr>
          <w:p w:rsidR="00A6493F" w:rsidRPr="008C7AC9" w:rsidRDefault="00A6493F" w:rsidP="00E92C1F">
            <w:pPr>
              <w:pStyle w:val="Tabletexte"/>
              <w:jc w:val="left"/>
              <w:rPr>
                <w:rtl/>
                <w:lang w:bidi="ar-EG"/>
              </w:rPr>
            </w:pPr>
            <w:r w:rsidRPr="008C7AC9">
              <w:rPr>
                <w:rFonts w:hint="cs"/>
                <w:rtl/>
                <w:lang w:bidi="ar-EG"/>
              </w:rPr>
              <w:t xml:space="preserve">في كل مراجعة، تحدَد الأهداف مسبقاً الآن على أساس تقييم مخاطر العملية أو البند قيد المراجعة. </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rsidRPr="008C7AC9">
              <w:t>1.</w:t>
            </w:r>
            <w:r>
              <w:t>2</w:t>
            </w:r>
            <w:r>
              <w:rPr>
                <w:rFonts w:hint="cs"/>
                <w:rtl/>
                <w:lang w:bidi="ar-EG"/>
              </w:rPr>
              <w:t>.ب</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ينبغي لنشاط وحدة المراجعة الداخلية أن يواصل تطوير أدوات توجيه المراجعة بشأن تخطيط المراجعة وتنفيذها (وأن ينظر في دمجها ضمن أداة واحدة لإدارة المعارف من قبيل دليل المراجعة)، بحيث يعزز قدرات نشاط وحدة المراجعة الداخلية في: ب) وضع مذكرة تخطيط توضح كيف ستنفَّذ المراجعة والنتائج المبلَّغة إلى الجهات الخاضعة للمراجعة؛ والجداول الزمنية لمختلف مراحل المراجعة؛</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pPr>
            <w:r w:rsidRPr="008C7AC9">
              <w:rPr>
                <w:rFonts w:hint="cs"/>
                <w:rtl/>
                <w:lang w:bidi="ar-EG"/>
              </w:rPr>
              <w:t>نُفذت</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يتضمن الإخطار بالمراجعة المرسَل قبل بدئها عناصر مثل الأهداف والنطاق والغرض والجداول الزمنية. وهكذا كان الحال دوماً. وترتَب اتصالات إدارية أخرى مفصلة مع الجهات الخاضعة للمراجعة عند الاقتضاء وحسبما يناسب.</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rsidRPr="008C7AC9">
              <w:t>1.</w:t>
            </w:r>
            <w:r>
              <w:t>2</w:t>
            </w:r>
            <w:r>
              <w:rPr>
                <w:rFonts w:hint="cs"/>
                <w:rtl/>
                <w:lang w:bidi="ar-EG"/>
              </w:rPr>
              <w:t>.ج</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 xml:space="preserve">ينبغي لنشاط وحدة المراجعة الداخلية أن يواصل تطوير أدوات توجيه المراجعة بشأن تخطيط المراجعة وتنفيذها (وأن ينظر في دمجها ضمن أداة واحدة لإدارة المعارف من قبيل دليل المراجعة)، بحيث يعزز </w:t>
            </w:r>
            <w:r w:rsidRPr="008C7AC9">
              <w:rPr>
                <w:rFonts w:hint="cs"/>
                <w:rtl/>
                <w:lang w:bidi="ar-EG"/>
              </w:rPr>
              <w:lastRenderedPageBreak/>
              <w:t>قدرات نشاط وحدة المراجعة الداخلية في: ج) إعداد برنامج مراجعة يضع لكل هدف من أهداف المراجعة قائمة بالمخاطر التي تعترض تحقيق أهداف النشاط قيد الاستعراض، ومعايير للمراجعة (للسيطرة على كل المخاطر المحددة) وإجراءات المراجعة ذات الصلة (مراجعة "الأشياء</w:t>
            </w:r>
            <w:r w:rsidR="003F741E">
              <w:rPr>
                <w:rFonts w:hint="eastAsia"/>
                <w:rtl/>
                <w:lang w:bidi="ar-EG"/>
              </w:rPr>
              <w:t> </w:t>
            </w:r>
            <w:r w:rsidRPr="008C7AC9">
              <w:rPr>
                <w:rFonts w:hint="cs"/>
                <w:rtl/>
                <w:lang w:bidi="ar-EG"/>
              </w:rPr>
              <w:t>السليمة")؛</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pPr>
            <w:r w:rsidRPr="008C7AC9">
              <w:rPr>
                <w:rFonts w:hint="cs"/>
                <w:rtl/>
                <w:lang w:bidi="ar-EG"/>
              </w:rPr>
              <w:t>نُفذت</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 xml:space="preserve">تتحدد لكل هدف من أهداف المراجعة قائمة بالمخاطر التي تعترض تحقيق أهداف النشاط قيد الاستعراض، ومعايير للمراجعة </w:t>
            </w:r>
            <w:r w:rsidRPr="008C7AC9">
              <w:rPr>
                <w:rFonts w:hint="cs"/>
                <w:rtl/>
                <w:lang w:bidi="ar-EG"/>
              </w:rPr>
              <w:lastRenderedPageBreak/>
              <w:t>(للسيطرة على كل المخاطر المحددة) وإجراءات المراجعة ذات الصلة، طالما يمكن القيام بذلك في بداية الأمر؛ وقد بينت التجربة في مناسبات مختلفة وجوب تغيير هذه العناصر عندما تجَري المراجعة مجراها.</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rPr>
                <w:rtl/>
                <w:lang w:bidi="ar-EG"/>
              </w:rPr>
            </w:pPr>
            <w:r w:rsidRPr="008C7AC9">
              <w:lastRenderedPageBreak/>
              <w:t>1.</w:t>
            </w:r>
            <w:r>
              <w:t>2</w:t>
            </w:r>
            <w:r>
              <w:rPr>
                <w:rFonts w:hint="cs"/>
                <w:rtl/>
                <w:lang w:bidi="ar-EG"/>
              </w:rPr>
              <w:t>.د</w:t>
            </w:r>
          </w:p>
        </w:tc>
        <w:tc>
          <w:tcPr>
            <w:tcW w:w="3403" w:type="dxa"/>
            <w:shd w:val="clear" w:color="auto" w:fill="auto"/>
          </w:tcPr>
          <w:p w:rsidR="00402E33" w:rsidRPr="008C7AC9" w:rsidRDefault="00402E33" w:rsidP="003F741E">
            <w:pPr>
              <w:pStyle w:val="Tabletexte"/>
              <w:jc w:val="left"/>
              <w:rPr>
                <w:rtl/>
                <w:lang w:bidi="ar-EG"/>
              </w:rPr>
            </w:pPr>
            <w:r w:rsidRPr="008C7AC9">
              <w:rPr>
                <w:rFonts w:hint="cs"/>
                <w:rtl/>
                <w:lang w:bidi="ar-EG"/>
              </w:rPr>
              <w:t>ينبغي لنشاط وحدة المراجعة الداخلية أن يواصل تطوير أدوات توجيه المراجعة بشأن تخطيط المراجعة وتنفيذها (وأن ينظر في دمجها ضمن أداة واحدة لإدارة المعارف من قبيل دليل المراجعة)، بحيث يعزز قدرات نشاط وحدة المراجعة الداخلية في: د)</w:t>
            </w:r>
            <w:r w:rsidR="003F741E">
              <w:rPr>
                <w:rFonts w:hint="eastAsia"/>
                <w:rtl/>
                <w:lang w:bidi="ar-EG"/>
              </w:rPr>
              <w:t> </w:t>
            </w:r>
            <w:r w:rsidRPr="008C7AC9">
              <w:rPr>
                <w:rFonts w:hint="cs"/>
                <w:rtl/>
                <w:lang w:bidi="ar-EG"/>
              </w:rPr>
              <w:t>ضمان إعداد أوراق عمل تقيم، عند كل ما</w:t>
            </w:r>
            <w:r w:rsidR="003F741E">
              <w:rPr>
                <w:rFonts w:hint="eastAsia"/>
                <w:rtl/>
                <w:lang w:bidi="ar-EG"/>
              </w:rPr>
              <w:t> </w:t>
            </w:r>
            <w:r w:rsidRPr="008C7AC9">
              <w:rPr>
                <w:rFonts w:hint="cs"/>
                <w:rtl/>
                <w:lang w:bidi="ar-EG"/>
              </w:rPr>
              <w:t>يُرصد، صلة وصل واضحة بين المعايير والأسباب والنتائج المترتبة والاستنتاجات إزاء كل مراجعة</w:t>
            </w:r>
            <w:r w:rsidR="007A0D23">
              <w:rPr>
                <w:rFonts w:hint="cs"/>
                <w:rtl/>
                <w:lang w:bidi="ar-EG"/>
              </w:rPr>
              <w:t>.</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pPr>
            <w:r w:rsidRPr="008C7AC9">
              <w:rPr>
                <w:rFonts w:hint="cs"/>
                <w:rtl/>
                <w:lang w:bidi="ar-EG"/>
              </w:rPr>
              <w:t>نُفذت</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يتواصل تطوير ذلك عند القيام بالمراجعات. فثمة عملية تضع على طرفي النقيض تأكيد الصحة الفعلية من جانب الجهات الخاضعة للمراقبة والحصول على تعليقات الإدارة، وهما مرحلتان رئيسيتان تشكلان عملية المراجعة المطبقة منهجياً.</w:t>
            </w:r>
          </w:p>
        </w:tc>
      </w:tr>
      <w:tr w:rsidR="00402E33" w:rsidRPr="008C7AC9" w:rsidTr="00846643">
        <w:trPr>
          <w:jc w:val="center"/>
        </w:trPr>
        <w:tc>
          <w:tcPr>
            <w:tcW w:w="709" w:type="dxa"/>
            <w:shd w:val="clear" w:color="auto" w:fill="auto"/>
          </w:tcPr>
          <w:p w:rsidR="00402E33" w:rsidRPr="008C7AC9" w:rsidRDefault="00402E33" w:rsidP="00846643">
            <w:pPr>
              <w:pStyle w:val="Tabletexte"/>
              <w:keepNext/>
              <w:keepLines/>
              <w:jc w:val="center"/>
            </w:pPr>
            <w:r w:rsidRPr="008C7AC9">
              <w:t>1.3</w:t>
            </w:r>
          </w:p>
        </w:tc>
        <w:tc>
          <w:tcPr>
            <w:tcW w:w="3403" w:type="dxa"/>
            <w:shd w:val="clear" w:color="auto" w:fill="auto"/>
          </w:tcPr>
          <w:p w:rsidR="00402E33" w:rsidRPr="008C7AC9" w:rsidRDefault="00402E33" w:rsidP="00846643">
            <w:pPr>
              <w:pStyle w:val="Tabletexte"/>
              <w:keepNext/>
              <w:keepLines/>
              <w:jc w:val="left"/>
              <w:rPr>
                <w:rtl/>
                <w:lang w:bidi="ar-EG"/>
              </w:rPr>
            </w:pPr>
            <w:r w:rsidRPr="008C7AC9">
              <w:rPr>
                <w:rFonts w:hint="cs"/>
                <w:rtl/>
                <w:lang w:bidi="ar-EG"/>
              </w:rPr>
              <w:t>ينبغي لنشاط وحدة المراجعة الداخلية أن يعدل تعاريف رأي المراجعة المعياري لتشمل استنتاجاً ليس بشأن فعالية الضوابط فحسب، بل أيضاً بشأن ممارسات الإدارة وإدارة المخاطر بحيث يقدم تأكيداً إلى الإدارة العليا بالاتحاد بشأن جميع جوانب ولاية وحدة المراجعة الداخلية.</w:t>
            </w:r>
          </w:p>
        </w:tc>
        <w:tc>
          <w:tcPr>
            <w:tcW w:w="2268" w:type="dxa"/>
            <w:vMerge w:val="restart"/>
            <w:shd w:val="clear" w:color="auto" w:fill="auto"/>
            <w:vAlign w:val="center"/>
          </w:tcPr>
          <w:p w:rsidR="00402E33" w:rsidRPr="008C7AC9" w:rsidRDefault="00402E33" w:rsidP="00846643">
            <w:pPr>
              <w:pStyle w:val="Tabletexte"/>
              <w:keepNext/>
              <w:keepLines/>
              <w:jc w:val="left"/>
              <w:rPr>
                <w:rtl/>
                <w:lang w:bidi="ar-EG"/>
              </w:rPr>
            </w:pPr>
            <w:r w:rsidRPr="007A0D23">
              <w:rPr>
                <w:rFonts w:hint="cs"/>
                <w:b/>
                <w:bCs/>
                <w:rtl/>
                <w:lang w:bidi="ar-EG"/>
              </w:rPr>
              <w:t>تعليق من الأمين العام</w:t>
            </w:r>
            <w:r w:rsidRPr="008C7AC9">
              <w:rPr>
                <w:rFonts w:hint="cs"/>
                <w:rtl/>
                <w:lang w:bidi="ar-EG"/>
              </w:rPr>
              <w:t xml:space="preserve">: تبعاً لهدف ولاية المراجعة، ستطبَّق النقطة الأولى. وبالنسبة إلى النقاط الأخرى في التوصية، سيُنظر فيها خلال عام </w:t>
            </w:r>
            <w:r w:rsidRPr="008C7AC9">
              <w:rPr>
                <w:rFonts w:hint="cs"/>
                <w:lang w:bidi="ar-EG"/>
              </w:rPr>
              <w:t>2015</w:t>
            </w:r>
            <w:r w:rsidRPr="008C7AC9">
              <w:rPr>
                <w:rFonts w:hint="cs"/>
                <w:rtl/>
                <w:lang w:bidi="ar-EG"/>
              </w:rPr>
              <w:t xml:space="preserve"> وفي التقرير السنوي في عام </w:t>
            </w:r>
            <w:r w:rsidRPr="008C7AC9">
              <w:rPr>
                <w:rFonts w:hint="cs"/>
                <w:lang w:bidi="ar-EG"/>
              </w:rPr>
              <w:t>2016</w:t>
            </w:r>
            <w:r w:rsidRPr="008C7AC9">
              <w:rPr>
                <w:rFonts w:hint="cs"/>
                <w:rtl/>
                <w:lang w:bidi="ar-EG"/>
              </w:rPr>
              <w:t>.</w:t>
            </w:r>
          </w:p>
        </w:tc>
        <w:tc>
          <w:tcPr>
            <w:tcW w:w="850" w:type="dxa"/>
            <w:shd w:val="clear" w:color="auto" w:fill="auto"/>
          </w:tcPr>
          <w:p w:rsidR="00402E33" w:rsidRPr="008C7AC9" w:rsidRDefault="00402E33" w:rsidP="00846643">
            <w:pPr>
              <w:pStyle w:val="Tabletexte"/>
              <w:keepNext/>
              <w:keepLines/>
              <w:jc w:val="center"/>
            </w:pPr>
            <w:r w:rsidRPr="008C7AC9">
              <w:rPr>
                <w:rFonts w:hint="cs"/>
                <w:rtl/>
                <w:lang w:bidi="ar-EG"/>
              </w:rPr>
              <w:t>نُفذت</w:t>
            </w:r>
          </w:p>
        </w:tc>
        <w:tc>
          <w:tcPr>
            <w:tcW w:w="2552" w:type="dxa"/>
            <w:shd w:val="clear" w:color="auto" w:fill="auto"/>
          </w:tcPr>
          <w:p w:rsidR="00402E33" w:rsidRPr="008C7AC9" w:rsidRDefault="00402E33" w:rsidP="00846643">
            <w:pPr>
              <w:pStyle w:val="Tabletexte"/>
              <w:keepNext/>
              <w:keepLines/>
              <w:jc w:val="left"/>
              <w:rPr>
                <w:rtl/>
                <w:lang w:bidi="ar-EG"/>
              </w:rPr>
            </w:pPr>
            <w:r w:rsidRPr="008C7AC9">
              <w:rPr>
                <w:rFonts w:hint="cs"/>
                <w:rtl/>
                <w:lang w:bidi="ar-EG"/>
              </w:rPr>
              <w:t xml:space="preserve">تشير الآن معظم تقارير المراجعة الداخلية الصادرة في عام </w:t>
            </w:r>
            <w:r w:rsidRPr="008C7AC9">
              <w:rPr>
                <w:rFonts w:hint="cs"/>
                <w:lang w:bidi="ar-EG"/>
              </w:rPr>
              <w:t>2015</w:t>
            </w:r>
            <w:r w:rsidRPr="008C7AC9">
              <w:rPr>
                <w:rFonts w:hint="cs"/>
                <w:rtl/>
                <w:lang w:bidi="ar-EG"/>
              </w:rPr>
              <w:t xml:space="preserve"> </w:t>
            </w:r>
            <w:r w:rsidRPr="008C7AC9">
              <w:rPr>
                <w:rtl/>
                <w:lang w:bidi="ar-EG"/>
              </w:rPr>
              <w:t>–</w:t>
            </w:r>
            <w:r w:rsidRPr="008C7AC9">
              <w:rPr>
                <w:rFonts w:hint="cs"/>
                <w:rtl/>
                <w:lang w:bidi="ar-EG"/>
              </w:rPr>
              <w:t xml:space="preserve"> في</w:t>
            </w:r>
            <w:r w:rsidRPr="008C7AC9">
              <w:rPr>
                <w:rFonts w:hint="eastAsia"/>
                <w:rtl/>
                <w:lang w:bidi="ar-EG"/>
              </w:rPr>
              <w:t> </w:t>
            </w:r>
            <w:r w:rsidRPr="008C7AC9">
              <w:rPr>
                <w:rFonts w:hint="cs"/>
                <w:rtl/>
                <w:lang w:bidi="ar-EG"/>
              </w:rPr>
              <w:t xml:space="preserve">رأي المراجعة الإجمالي </w:t>
            </w:r>
            <w:r w:rsidRPr="008C7AC9">
              <w:rPr>
                <w:rtl/>
                <w:lang w:bidi="ar-EG"/>
              </w:rPr>
              <w:t>–</w:t>
            </w:r>
            <w:r w:rsidRPr="008C7AC9">
              <w:rPr>
                <w:rFonts w:hint="cs"/>
                <w:rtl/>
                <w:lang w:bidi="ar-EG"/>
              </w:rPr>
              <w:t xml:space="preserve"> إلى التأكيد بشأن الإدارة وإدارة المخاطر وفعالية الضوابط الداخلية. وفي حالات نادرة حيث يكون للمراجعة هدف محدد جداً، لا يكون ذلك مطبقاً أو ممكناً.</w:t>
            </w:r>
          </w:p>
        </w:tc>
      </w:tr>
      <w:tr w:rsidR="00402E33" w:rsidRPr="008C7AC9" w:rsidTr="00846643">
        <w:trPr>
          <w:jc w:val="center"/>
        </w:trPr>
        <w:tc>
          <w:tcPr>
            <w:tcW w:w="709" w:type="dxa"/>
            <w:shd w:val="clear" w:color="auto" w:fill="auto"/>
          </w:tcPr>
          <w:p w:rsidR="00402E33" w:rsidRPr="008C7AC9" w:rsidRDefault="00402E33" w:rsidP="000D2A8E">
            <w:pPr>
              <w:pStyle w:val="Tabletexte"/>
              <w:keepNext/>
              <w:keepLines/>
              <w:jc w:val="center"/>
            </w:pPr>
            <w:r w:rsidRPr="008C7AC9">
              <w:lastRenderedPageBreak/>
              <w:t>2.3</w:t>
            </w:r>
          </w:p>
        </w:tc>
        <w:tc>
          <w:tcPr>
            <w:tcW w:w="3403" w:type="dxa"/>
            <w:shd w:val="clear" w:color="auto" w:fill="auto"/>
          </w:tcPr>
          <w:p w:rsidR="00402E33" w:rsidRPr="008C7AC9" w:rsidRDefault="00402E33" w:rsidP="00E92C1F">
            <w:pPr>
              <w:pStyle w:val="Tabletexte"/>
              <w:keepNext/>
              <w:keepLines/>
              <w:jc w:val="left"/>
              <w:rPr>
                <w:rtl/>
                <w:lang w:bidi="ar-EG"/>
              </w:rPr>
            </w:pPr>
            <w:r w:rsidRPr="008C7AC9">
              <w:rPr>
                <w:rFonts w:hint="cs"/>
                <w:rtl/>
                <w:lang w:bidi="ar-EG"/>
              </w:rPr>
              <w:t>ينبغي لنشاط وحدة المراجعة الداخلية أن يعزز محتوى التقرير بإدراج إشارات صريحة إلى أسباب ملاحظات المراجعة والنتائج المترتبة عليها، وبضمان أن تتناول التوصيات الأسباب الجذرية للمشاكل.</w:t>
            </w:r>
          </w:p>
        </w:tc>
        <w:tc>
          <w:tcPr>
            <w:tcW w:w="2268" w:type="dxa"/>
            <w:vMerge/>
            <w:shd w:val="clear" w:color="auto" w:fill="auto"/>
          </w:tcPr>
          <w:p w:rsidR="00402E33" w:rsidRPr="008C7AC9" w:rsidRDefault="00402E33" w:rsidP="00E92C1F">
            <w:pPr>
              <w:pStyle w:val="Tabletexte"/>
              <w:keepNext/>
              <w:keepLines/>
              <w:jc w:val="left"/>
              <w:rPr>
                <w:rtl/>
                <w:lang w:bidi="ar-EG"/>
              </w:rPr>
            </w:pPr>
          </w:p>
        </w:tc>
        <w:tc>
          <w:tcPr>
            <w:tcW w:w="850" w:type="dxa"/>
            <w:shd w:val="clear" w:color="auto" w:fill="auto"/>
          </w:tcPr>
          <w:p w:rsidR="00402E33" w:rsidRPr="008C7AC9" w:rsidRDefault="00402E33" w:rsidP="000D2A8E">
            <w:pPr>
              <w:pStyle w:val="Tabletexte"/>
              <w:keepNext/>
              <w:keepLines/>
              <w:jc w:val="center"/>
              <w:rPr>
                <w:rtl/>
                <w:lang w:bidi="ar-EG"/>
              </w:rPr>
            </w:pPr>
            <w:r w:rsidRPr="008C7AC9">
              <w:rPr>
                <w:rFonts w:hint="cs"/>
                <w:rtl/>
                <w:lang w:bidi="ar-EG"/>
              </w:rPr>
              <w:t>نُفذت</w:t>
            </w:r>
          </w:p>
        </w:tc>
        <w:tc>
          <w:tcPr>
            <w:tcW w:w="2552" w:type="dxa"/>
            <w:shd w:val="clear" w:color="auto" w:fill="auto"/>
          </w:tcPr>
          <w:p w:rsidR="00402E33" w:rsidRPr="008C7AC9" w:rsidRDefault="00402E33" w:rsidP="00E92C1F">
            <w:pPr>
              <w:pStyle w:val="Tabletexte"/>
              <w:keepNext/>
              <w:keepLines/>
              <w:jc w:val="left"/>
              <w:rPr>
                <w:rtl/>
                <w:lang w:bidi="ar-EG"/>
              </w:rPr>
            </w:pPr>
            <w:r w:rsidRPr="008C7AC9">
              <w:rPr>
                <w:rFonts w:hint="cs"/>
                <w:rtl/>
                <w:lang w:bidi="ar-EG"/>
              </w:rPr>
              <w:t xml:space="preserve">يتضمن تقرير المراجعة في الجزء الأساسي منه إشارة صريحة إلى هدف المراجعة (الإشارة إلى </w:t>
            </w:r>
            <w:r w:rsidR="00846643" w:rsidRPr="008C7AC9">
              <w:rPr>
                <w:lang w:bidi="ar-EG"/>
              </w:rPr>
              <w:t>COSO</w:t>
            </w:r>
            <w:r w:rsidRPr="008C7AC9">
              <w:rPr>
                <w:lang w:bidi="ar-EG"/>
              </w:rPr>
              <w:t>2013</w:t>
            </w:r>
            <w:r w:rsidRPr="008C7AC9">
              <w:rPr>
                <w:rFonts w:hint="cs"/>
                <w:rtl/>
                <w:lang w:bidi="ar-EG"/>
              </w:rPr>
              <w:t>)، وستتناول التوصيات المعنية الأسباب</w:t>
            </w:r>
            <w:r w:rsidRPr="008C7AC9">
              <w:rPr>
                <w:rFonts w:hint="eastAsia"/>
                <w:rtl/>
                <w:lang w:bidi="ar-EG"/>
              </w:rPr>
              <w:t> </w:t>
            </w:r>
            <w:r w:rsidRPr="008C7AC9">
              <w:rPr>
                <w:rFonts w:hint="cs"/>
                <w:rtl/>
                <w:lang w:bidi="ar-EG"/>
              </w:rPr>
              <w:t>الجذرية.</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pPr>
            <w:r w:rsidRPr="008C7AC9">
              <w:t>3.3</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ينبغي لنشاط وحدة المراجعة الداخلية أن يدرج في تقريرها السنوي المقدَّم إلى المجلس الأسباب المتكررة للنتائج المحددة في المراجعات المنفَّذة خلال ذلك العام والإجراءات التي اتخذها الاتحاد لمعالجتها (الممارسة الناجحة).</w:t>
            </w:r>
          </w:p>
        </w:tc>
        <w:tc>
          <w:tcPr>
            <w:tcW w:w="2268" w:type="dxa"/>
            <w:vMerge/>
            <w:shd w:val="clear" w:color="auto" w:fill="auto"/>
          </w:tcPr>
          <w:p w:rsidR="00402E33" w:rsidRPr="008C7AC9" w:rsidRDefault="00402E33" w:rsidP="00E92C1F">
            <w:pPr>
              <w:pStyle w:val="Tabletexte"/>
              <w:jc w:val="left"/>
              <w:rPr>
                <w:rtl/>
                <w:lang w:bidi="ar-EG"/>
              </w:rPr>
            </w:pPr>
          </w:p>
        </w:tc>
        <w:tc>
          <w:tcPr>
            <w:tcW w:w="850" w:type="dxa"/>
            <w:shd w:val="clear" w:color="auto" w:fill="auto"/>
          </w:tcPr>
          <w:p w:rsidR="00402E33" w:rsidRPr="008C7AC9" w:rsidRDefault="00402E33" w:rsidP="00402E33">
            <w:pPr>
              <w:pStyle w:val="Tabletexte"/>
              <w:jc w:val="center"/>
              <w:rPr>
                <w:rtl/>
                <w:lang w:bidi="ar-EG"/>
              </w:rPr>
            </w:pPr>
            <w:r w:rsidRPr="008C7AC9">
              <w:rPr>
                <w:rFonts w:hint="cs"/>
                <w:rtl/>
                <w:lang w:bidi="ar-EG"/>
              </w:rPr>
              <w:t>يجري تنفيذها</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 xml:space="preserve">سينفَّذ ذلك في التقرير المقدَّم إلى المجلس في عام </w:t>
            </w:r>
            <w:r w:rsidRPr="008C7AC9">
              <w:rPr>
                <w:rFonts w:hint="cs"/>
                <w:lang w:bidi="ar-EG"/>
              </w:rPr>
              <w:t>2016</w:t>
            </w:r>
            <w:r w:rsidRPr="008C7AC9">
              <w:rPr>
                <w:rFonts w:hint="cs"/>
                <w:rtl/>
                <w:lang w:bidi="ar-EG"/>
              </w:rPr>
              <w:t xml:space="preserve"> حيث سيتسنى القيام بذلك استناداً إلى تقارير المراجعة في السنوات السابقة. ولعل بعض النتائج لا تتكرر بما يكفي لكي تتخذ صفة تمثيلية.</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pPr>
            <w:r w:rsidRPr="008C7AC9">
              <w:t>1.4</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 xml:space="preserve">ينبغي أن تنظر إدارة الاتحاد في التعجيل بتطوير نظام للتعجيل بتطوير نظام لإدارة المخاطر المؤسسية </w:t>
            </w:r>
            <w:r w:rsidRPr="008C7AC9">
              <w:rPr>
                <w:lang w:bidi="ar-EG"/>
              </w:rPr>
              <w:t>(ERM)</w:t>
            </w:r>
            <w:r w:rsidRPr="008C7AC9">
              <w:rPr>
                <w:rFonts w:hint="cs"/>
                <w:rtl/>
                <w:lang w:bidi="ar-EG"/>
              </w:rPr>
              <w:t xml:space="preserve"> وإطار موحد للضوابط</w:t>
            </w:r>
            <w:r w:rsidR="00846643">
              <w:rPr>
                <w:rFonts w:hint="cs"/>
                <w:rtl/>
                <w:lang w:bidi="ar-EG"/>
              </w:rPr>
              <w:t>.</w:t>
            </w:r>
          </w:p>
        </w:tc>
        <w:tc>
          <w:tcPr>
            <w:tcW w:w="2268" w:type="dxa"/>
            <w:shd w:val="clear" w:color="auto" w:fill="auto"/>
          </w:tcPr>
          <w:p w:rsidR="00402E33" w:rsidRPr="008C7AC9" w:rsidRDefault="00402E33" w:rsidP="00E92C1F">
            <w:pPr>
              <w:pStyle w:val="Tabletexte"/>
              <w:jc w:val="left"/>
              <w:rPr>
                <w:rtl/>
                <w:lang w:bidi="ar-EG"/>
              </w:rPr>
            </w:pPr>
            <w:r w:rsidRPr="007A0D23">
              <w:rPr>
                <w:rFonts w:hint="cs"/>
                <w:b/>
                <w:bCs/>
                <w:rtl/>
                <w:lang w:bidi="ar-EG"/>
              </w:rPr>
              <w:t>تعليق من الأمين العام</w:t>
            </w:r>
            <w:r w:rsidRPr="008C7AC9">
              <w:rPr>
                <w:rFonts w:hint="cs"/>
                <w:rtl/>
                <w:lang w:bidi="ar-EG"/>
              </w:rPr>
              <w:t xml:space="preserve">: يجري تنفيذ إطار شامل لإدارة المخاطر بالاتحاد كجزء متكامل تماماً من مجمل عملية التخطيط الاستراتيجي والتشغيلي. وهو يتبع نهجاً متعدد المستويات لإدارة المخاطر يحتسب مجمل بيئة المخاطر المحيطة بالاتحاد ككل وكذلك المخاطر المحددة التي تواجهها القطاعات والمكاتب والأمانة العامة، ويضمن إدارة المخاطر المحددة في المستوى </w:t>
            </w:r>
            <w:r w:rsidRPr="008C7AC9">
              <w:rPr>
                <w:rFonts w:hint="cs"/>
                <w:rtl/>
                <w:lang w:bidi="ar-EG"/>
              </w:rPr>
              <w:lastRenderedPageBreak/>
              <w:t>الأنسب وبالموارد المناسبة المتاحة لتنفيذ تدابير التخفيف من المخاطر.</w:t>
            </w:r>
          </w:p>
        </w:tc>
        <w:tc>
          <w:tcPr>
            <w:tcW w:w="850" w:type="dxa"/>
            <w:shd w:val="clear" w:color="auto" w:fill="auto"/>
          </w:tcPr>
          <w:p w:rsidR="00402E33" w:rsidRPr="008C7AC9" w:rsidRDefault="00402E33" w:rsidP="00402E33">
            <w:pPr>
              <w:pStyle w:val="Tabletexte"/>
              <w:jc w:val="center"/>
              <w:rPr>
                <w:rtl/>
                <w:lang w:bidi="ar-EG"/>
              </w:rPr>
            </w:pPr>
            <w:r w:rsidRPr="008C7AC9">
              <w:rPr>
                <w:rFonts w:hint="cs"/>
                <w:rtl/>
                <w:lang w:bidi="ar-EG"/>
              </w:rPr>
              <w:lastRenderedPageBreak/>
              <w:t>يجري تنفيذها</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 xml:space="preserve">انظر الوثيقة </w:t>
            </w:r>
            <w:r w:rsidRPr="008C7AC9">
              <w:rPr>
                <w:lang w:bidi="ar-EG"/>
              </w:rPr>
              <w:t>CWG-FHR 6/11</w:t>
            </w:r>
            <w:r w:rsidRPr="008C7AC9">
              <w:rPr>
                <w:rFonts w:hint="cs"/>
                <w:rtl/>
                <w:lang w:bidi="ar-EG"/>
              </w:rPr>
              <w:t xml:space="preserve"> للاطلاع على آخر المستجدات</w:t>
            </w:r>
            <w:r w:rsidR="00846643">
              <w:rPr>
                <w:rFonts w:hint="cs"/>
                <w:rtl/>
                <w:lang w:bidi="ar-EG"/>
              </w:rPr>
              <w:t>.</w:t>
            </w:r>
          </w:p>
        </w:tc>
      </w:tr>
      <w:tr w:rsidR="00402E33" w:rsidRPr="008C7AC9" w:rsidTr="00846643">
        <w:trPr>
          <w:jc w:val="center"/>
        </w:trPr>
        <w:tc>
          <w:tcPr>
            <w:tcW w:w="709" w:type="dxa"/>
            <w:shd w:val="clear" w:color="auto" w:fill="auto"/>
          </w:tcPr>
          <w:p w:rsidR="00402E33" w:rsidRPr="008C7AC9" w:rsidRDefault="00402E33" w:rsidP="00402E33">
            <w:pPr>
              <w:pStyle w:val="Tabletexte"/>
              <w:jc w:val="center"/>
            </w:pPr>
            <w:r w:rsidRPr="008C7AC9">
              <w:t>1.5</w:t>
            </w:r>
          </w:p>
        </w:tc>
        <w:tc>
          <w:tcPr>
            <w:tcW w:w="3403" w:type="dxa"/>
            <w:shd w:val="clear" w:color="auto" w:fill="auto"/>
          </w:tcPr>
          <w:p w:rsidR="00402E33" w:rsidRPr="008C7AC9" w:rsidRDefault="00402E33" w:rsidP="00E92C1F">
            <w:pPr>
              <w:pStyle w:val="Tabletexte"/>
              <w:jc w:val="left"/>
              <w:rPr>
                <w:rtl/>
                <w:lang w:bidi="ar-EG"/>
              </w:rPr>
            </w:pPr>
            <w:r w:rsidRPr="008C7AC9">
              <w:rPr>
                <w:rFonts w:hint="cs"/>
                <w:rtl/>
                <w:lang w:bidi="ar-EG"/>
              </w:rPr>
              <w:t>ينبغي أن تنظر إدارة الاتحاد في تقييم احتياجات موارد نشاط وحدة المراجعة الداخلية في ضوء ولايتها كي تقدَّم إلى الأمين العام تأكيداً معقولاً بفعالية عمليات إدارة المخاطر والضوابط والإدارة، وكي تقدَّم خدمات استشارية.</w:t>
            </w:r>
          </w:p>
        </w:tc>
        <w:tc>
          <w:tcPr>
            <w:tcW w:w="2268" w:type="dxa"/>
            <w:shd w:val="clear" w:color="auto" w:fill="auto"/>
          </w:tcPr>
          <w:p w:rsidR="00402E33" w:rsidRPr="008C7AC9" w:rsidRDefault="00846643" w:rsidP="00846643">
            <w:pPr>
              <w:pStyle w:val="Tabletexte"/>
              <w:jc w:val="left"/>
              <w:rPr>
                <w:rtl/>
                <w:lang w:bidi="ar-EG"/>
              </w:rPr>
            </w:pPr>
            <w:r w:rsidRPr="00846643">
              <w:rPr>
                <w:rFonts w:hint="cs"/>
                <w:b/>
                <w:bCs/>
                <w:rtl/>
                <w:lang w:bidi="ar-EG"/>
              </w:rPr>
              <w:t>تعليق من الأمين العام</w:t>
            </w:r>
            <w:r w:rsidRPr="00846643">
              <w:rPr>
                <w:rFonts w:hint="cs"/>
                <w:rtl/>
                <w:lang w:bidi="ar-EG"/>
              </w:rPr>
              <w:t xml:space="preserve">: </w:t>
            </w:r>
            <w:r w:rsidR="00402E33" w:rsidRPr="008C7AC9">
              <w:rPr>
                <w:rFonts w:hint="cs"/>
                <w:rtl/>
                <w:lang w:bidi="ar-EG"/>
              </w:rPr>
              <w:t>سيجرى هذا التقييم بصورة منتظمة.</w:t>
            </w:r>
          </w:p>
        </w:tc>
        <w:tc>
          <w:tcPr>
            <w:tcW w:w="850" w:type="dxa"/>
            <w:shd w:val="clear" w:color="auto" w:fill="auto"/>
          </w:tcPr>
          <w:p w:rsidR="00402E33" w:rsidRPr="008C7AC9" w:rsidRDefault="00402E33" w:rsidP="00402E33">
            <w:pPr>
              <w:pStyle w:val="Tabletexte"/>
              <w:jc w:val="center"/>
              <w:rPr>
                <w:rtl/>
                <w:lang w:bidi="ar-EG"/>
              </w:rPr>
            </w:pPr>
            <w:r w:rsidRPr="008C7AC9">
              <w:rPr>
                <w:rFonts w:hint="cs"/>
                <w:rtl/>
                <w:lang w:bidi="ar-EG"/>
              </w:rPr>
              <w:t>نُفذت</w:t>
            </w:r>
          </w:p>
        </w:tc>
        <w:tc>
          <w:tcPr>
            <w:tcW w:w="2552" w:type="dxa"/>
            <w:shd w:val="clear" w:color="auto" w:fill="auto"/>
          </w:tcPr>
          <w:p w:rsidR="00402E33" w:rsidRPr="008C7AC9" w:rsidRDefault="00402E33" w:rsidP="00E92C1F">
            <w:pPr>
              <w:pStyle w:val="Tabletexte"/>
              <w:jc w:val="left"/>
              <w:rPr>
                <w:rtl/>
                <w:lang w:bidi="ar-EG"/>
              </w:rPr>
            </w:pPr>
            <w:r w:rsidRPr="008C7AC9">
              <w:rPr>
                <w:rFonts w:hint="cs"/>
                <w:rtl/>
                <w:lang w:bidi="ar-EG"/>
              </w:rPr>
              <w:t>يجري ذلك لدى إعداد كل ميزانية.</w:t>
            </w:r>
          </w:p>
        </w:tc>
      </w:tr>
    </w:tbl>
    <w:p w:rsidR="00044896" w:rsidRPr="00F57B46" w:rsidRDefault="00A6493F" w:rsidP="00A6493F">
      <w:pPr>
        <w:spacing w:before="600"/>
        <w:jc w:val="center"/>
        <w:rPr>
          <w:rtl/>
          <w:lang w:bidi="ar-SY"/>
        </w:rPr>
      </w:pPr>
      <w:r>
        <w:rPr>
          <w:rtl/>
          <w:lang w:bidi="ar-SY"/>
        </w:rPr>
        <w:t>___________</w:t>
      </w:r>
    </w:p>
    <w:sectPr w:rsidR="00044896" w:rsidRPr="00F57B46"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65" w:rsidRDefault="00056565" w:rsidP="006C3242">
      <w:pPr>
        <w:spacing w:before="0" w:line="240" w:lineRule="auto"/>
      </w:pPr>
      <w:r>
        <w:separator/>
      </w:r>
    </w:p>
  </w:endnote>
  <w:endnote w:type="continuationSeparator" w:id="0">
    <w:p w:rsidR="00056565" w:rsidRDefault="0005656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044896">
    <w:pPr>
      <w:pStyle w:val="Footer"/>
      <w:tabs>
        <w:tab w:val="clear" w:pos="4153"/>
        <w:tab w:val="clear" w:pos="8306"/>
        <w:tab w:val="center" w:pos="5529"/>
        <w:tab w:val="right" w:pos="9639"/>
      </w:tabs>
      <w:spacing w:before="120"/>
      <w:rPr>
        <w:rFonts w:ascii="Calibri" w:hAnsi="Calibri" w:cs="Calibri"/>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C66157" w:rsidRDefault="006C3242" w:rsidP="00044896">
    <w:pPr>
      <w:pStyle w:val="Footer"/>
      <w:tabs>
        <w:tab w:val="clear" w:pos="4153"/>
        <w:tab w:val="clear" w:pos="8306"/>
        <w:tab w:val="center" w:pos="5529"/>
        <w:tab w:val="right" w:pos="9639"/>
      </w:tabs>
      <w:spacing w:before="120"/>
      <w:rPr>
        <w:rFonts w:ascii="Calibri" w:hAnsi="Calibri" w:cs="Calibri"/>
        <w:vanish/>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65" w:rsidRDefault="00056565" w:rsidP="006C3242">
      <w:pPr>
        <w:spacing w:before="0" w:line="240" w:lineRule="auto"/>
      </w:pPr>
      <w:r>
        <w:separator/>
      </w:r>
    </w:p>
  </w:footnote>
  <w:footnote w:type="continuationSeparator" w:id="0">
    <w:p w:rsidR="00056565" w:rsidRDefault="00056565" w:rsidP="006C3242">
      <w:pPr>
        <w:spacing w:before="0" w:line="240" w:lineRule="auto"/>
      </w:pPr>
      <w:r>
        <w:continuationSeparator/>
      </w:r>
    </w:p>
  </w:footnote>
  <w:footnote w:id="1">
    <w:p w:rsidR="00044896" w:rsidRDefault="00044896" w:rsidP="004F1EE5">
      <w:pPr>
        <w:pStyle w:val="Footnotetexte"/>
        <w:rPr>
          <w:szCs w:val="20"/>
        </w:rPr>
      </w:pPr>
      <w:r>
        <w:rPr>
          <w:rStyle w:val="FootnoteReference"/>
        </w:rPr>
        <w:footnoteRef/>
      </w:r>
      <w:r>
        <w:rPr>
          <w:rtl/>
        </w:rPr>
        <w:t xml:space="preserve"> </w:t>
      </w:r>
      <w:r>
        <w:rPr>
          <w:rtl/>
        </w:rPr>
        <w:tab/>
        <w:t xml:space="preserve">الأمر الإداري </w:t>
      </w:r>
      <w:r>
        <w:t>13/09</w:t>
      </w:r>
      <w:r>
        <w:rPr>
          <w:rtl/>
        </w:rPr>
        <w:t xml:space="preserve">، </w:t>
      </w:r>
      <w:r w:rsidR="004F1EE5">
        <w:rPr>
          <w:rFonts w:hint="cs"/>
          <w:rtl/>
        </w:rPr>
        <w:t>الصادر عن</w:t>
      </w:r>
      <w:r>
        <w:rPr>
          <w:rtl/>
        </w:rPr>
        <w:t xml:space="preserve"> الأمين العام في </w:t>
      </w:r>
      <w:r>
        <w:t>27</w:t>
      </w:r>
      <w:r>
        <w:rPr>
          <w:rtl/>
        </w:rPr>
        <w:t xml:space="preserve"> يونيو </w:t>
      </w:r>
      <w:r>
        <w:t>2013</w:t>
      </w:r>
      <w:r>
        <w:rPr>
          <w:rtl/>
        </w:rPr>
        <w:t>.</w:t>
      </w:r>
    </w:p>
  </w:footnote>
  <w:footnote w:id="2">
    <w:p w:rsidR="00044896" w:rsidRDefault="00044896" w:rsidP="00044896">
      <w:pPr>
        <w:pStyle w:val="Footnotetexte"/>
        <w:rPr>
          <w:rtl/>
        </w:rPr>
      </w:pPr>
      <w:r>
        <w:rPr>
          <w:rStyle w:val="FootnoteReference"/>
        </w:rPr>
        <w:footnoteRef/>
      </w:r>
      <w:r>
        <w:tab/>
      </w:r>
      <w:r>
        <w:rPr>
          <w:rtl/>
        </w:rPr>
        <w:t xml:space="preserve">معهد مراجعي الحسابات الداخليين، </w:t>
      </w:r>
      <w:hyperlink r:id="rId1" w:history="1">
        <w:r>
          <w:rPr>
            <w:rStyle w:val="Hyperlink"/>
          </w:rPr>
          <w:t>www.theiia.org</w:t>
        </w:r>
      </w:hyperlink>
      <w:r>
        <w:rPr>
          <w:rtl/>
        </w:rPr>
        <w:t>.</w:t>
      </w:r>
    </w:p>
  </w:footnote>
  <w:footnote w:id="3">
    <w:p w:rsidR="00044896" w:rsidRDefault="00044896" w:rsidP="00044896">
      <w:pPr>
        <w:pStyle w:val="Footnotetexte"/>
      </w:pPr>
      <w:r>
        <w:rPr>
          <w:rStyle w:val="FootnoteReference"/>
        </w:rPr>
        <w:footnoteRef/>
      </w:r>
      <w:r>
        <w:rPr>
          <w:rtl/>
        </w:rPr>
        <w:tab/>
      </w:r>
      <w:r>
        <w:rPr>
          <w:rtl/>
        </w:rPr>
        <w:t xml:space="preserve">الأمر الإداري ذو الرقم </w:t>
      </w:r>
      <w:r>
        <w:t>13/09</w:t>
      </w:r>
      <w:r>
        <w:rPr>
          <w:rtl/>
        </w:rPr>
        <w:t xml:space="preserve">، الذي اعتمده الأمين العام في </w:t>
      </w:r>
      <w:r>
        <w:t>27</w:t>
      </w:r>
      <w:r>
        <w:rPr>
          <w:rtl/>
        </w:rPr>
        <w:t xml:space="preserve"> يونيو </w:t>
      </w:r>
      <w:r>
        <w:t>2013</w:t>
      </w:r>
      <w:r>
        <w:rPr>
          <w:rtl/>
        </w:rPr>
        <w:t>.</w:t>
      </w:r>
    </w:p>
  </w:footnote>
  <w:footnote w:id="4">
    <w:p w:rsidR="00044896" w:rsidRPr="001E5399" w:rsidRDefault="00044896" w:rsidP="00C70E25">
      <w:pPr>
        <w:pStyle w:val="Footnotetexte"/>
      </w:pPr>
      <w:r>
        <w:rPr>
          <w:rStyle w:val="FootnoteReference"/>
        </w:rPr>
        <w:footnoteRef/>
      </w:r>
      <w:r>
        <w:rPr>
          <w:rtl/>
        </w:rPr>
        <w:t xml:space="preserve"> </w:t>
      </w:r>
      <w:r w:rsidR="00F628D8">
        <w:tab/>
      </w:r>
      <w:r>
        <w:rPr>
          <w:rFonts w:hint="cs"/>
          <w:rtl/>
        </w:rPr>
        <w:t>حُددت</w:t>
      </w:r>
      <w:r w:rsidRPr="001E5399">
        <w:rPr>
          <w:rtl/>
        </w:rPr>
        <w:t xml:space="preserve"> بعض مواطن الضعف في تصميم و/أو تطبيق الضوابط، ما قد يعيق تحقيق الأهداف المنشودة من النظام، أو عمل هذا النظام، أو</w:t>
      </w:r>
      <w:r w:rsidRPr="001E5399">
        <w:rPr>
          <w:rFonts w:hint="cs"/>
          <w:rtl/>
        </w:rPr>
        <w:t> </w:t>
      </w:r>
      <w:r w:rsidRPr="001E5399">
        <w:rPr>
          <w:rtl/>
        </w:rPr>
        <w:t>الإجراءات ذات الصلة. بيد أنها إما أن تكون غير ذات أثر كبير أو أن يكون وقوعها بعيد الاحتمال.</w:t>
      </w:r>
      <w:r w:rsidR="00C70E25" w:rsidRPr="001E5399">
        <w:t xml:space="preserve"> </w:t>
      </w:r>
    </w:p>
  </w:footnote>
  <w:footnote w:id="5">
    <w:p w:rsidR="00044896" w:rsidRDefault="00044896" w:rsidP="00F628D8">
      <w:pPr>
        <w:pStyle w:val="Footnotetexte"/>
      </w:pPr>
      <w:r>
        <w:rPr>
          <w:rStyle w:val="FootnoteReference"/>
        </w:rPr>
        <w:footnoteRef/>
      </w:r>
      <w:r>
        <w:rPr>
          <w:rtl/>
        </w:rPr>
        <w:t xml:space="preserve"> </w:t>
      </w:r>
      <w:r w:rsidR="00F628D8">
        <w:tab/>
      </w:r>
      <w:r>
        <w:rPr>
          <w:rFonts w:hint="cs"/>
          <w:rtl/>
        </w:rPr>
        <w:t>الأمر الإداري</w:t>
      </w:r>
      <w:r w:rsidRPr="00201F12">
        <w:rPr>
          <w:rFonts w:hint="cs"/>
          <w:sz w:val="22"/>
          <w:szCs w:val="30"/>
          <w:rtl/>
        </w:rPr>
        <w:t xml:space="preserve"> </w:t>
      </w:r>
      <w:r w:rsidRPr="00201F12">
        <w:rPr>
          <w:rFonts w:hint="cs"/>
          <w:rtl/>
        </w:rPr>
        <w:t>هو</w:t>
      </w:r>
      <w:r w:rsidRPr="00201F12">
        <w:rPr>
          <w:rtl/>
        </w:rPr>
        <w:t xml:space="preserve"> </w:t>
      </w:r>
      <w:r w:rsidRPr="00201F12">
        <w:rPr>
          <w:rFonts w:hint="cs"/>
          <w:rtl/>
        </w:rPr>
        <w:t>إجراء</w:t>
      </w:r>
      <w:r w:rsidRPr="00201F12">
        <w:rPr>
          <w:rtl/>
        </w:rPr>
        <w:t xml:space="preserve"> </w:t>
      </w:r>
      <w:r w:rsidRPr="00201F12">
        <w:rPr>
          <w:rFonts w:hint="cs"/>
          <w:rtl/>
        </w:rPr>
        <w:t>إداري</w:t>
      </w:r>
      <w:r w:rsidRPr="00201F12">
        <w:rPr>
          <w:rtl/>
        </w:rPr>
        <w:t xml:space="preserve"> </w:t>
      </w:r>
      <w:r w:rsidRPr="00201F12">
        <w:rPr>
          <w:rFonts w:hint="cs"/>
          <w:rtl/>
        </w:rPr>
        <w:t>توجيهي</w:t>
      </w:r>
      <w:r w:rsidRPr="00201F12">
        <w:rPr>
          <w:rtl/>
        </w:rPr>
        <w:t xml:space="preserve"> </w:t>
      </w:r>
      <w:r w:rsidRPr="00201F12">
        <w:rPr>
          <w:rFonts w:hint="cs"/>
          <w:rtl/>
        </w:rPr>
        <w:t>يشكل</w:t>
      </w:r>
      <w:r w:rsidRPr="00201F12">
        <w:rPr>
          <w:rtl/>
        </w:rPr>
        <w:t xml:space="preserve"> </w:t>
      </w:r>
      <w:r w:rsidRPr="00201F12">
        <w:rPr>
          <w:rFonts w:hint="cs"/>
          <w:rtl/>
        </w:rPr>
        <w:t>جزءاً</w:t>
      </w:r>
      <w:r w:rsidRPr="00201F12">
        <w:rPr>
          <w:rtl/>
        </w:rPr>
        <w:t xml:space="preserve"> </w:t>
      </w:r>
      <w:r w:rsidRPr="00201F12">
        <w:rPr>
          <w:rFonts w:hint="cs"/>
          <w:rtl/>
        </w:rPr>
        <w:t>أساسياً</w:t>
      </w:r>
      <w:r w:rsidRPr="00201F12">
        <w:rPr>
          <w:rtl/>
        </w:rPr>
        <w:t xml:space="preserve"> </w:t>
      </w:r>
      <w:r w:rsidRPr="00201F12">
        <w:rPr>
          <w:rFonts w:hint="cs"/>
          <w:rtl/>
        </w:rPr>
        <w:t>من</w:t>
      </w:r>
      <w:r w:rsidRPr="00201F12">
        <w:rPr>
          <w:rtl/>
        </w:rPr>
        <w:t xml:space="preserve"> </w:t>
      </w:r>
      <w:r w:rsidRPr="00201F12">
        <w:rPr>
          <w:rFonts w:hint="cs"/>
          <w:rtl/>
        </w:rPr>
        <w:t>النظام</w:t>
      </w:r>
      <w:r w:rsidRPr="00201F12">
        <w:rPr>
          <w:rtl/>
        </w:rPr>
        <w:t xml:space="preserve"> </w:t>
      </w:r>
      <w:r w:rsidRPr="00201F12">
        <w:rPr>
          <w:rFonts w:hint="cs"/>
          <w:rtl/>
        </w:rPr>
        <w:t>القانوني</w:t>
      </w:r>
      <w:r w:rsidRPr="00201F12">
        <w:rPr>
          <w:rtl/>
        </w:rPr>
        <w:t xml:space="preserve"> </w:t>
      </w:r>
      <w:r w:rsidRPr="00201F12">
        <w:rPr>
          <w:rFonts w:hint="cs"/>
          <w:rtl/>
        </w:rPr>
        <w:t>الداخلي</w:t>
      </w:r>
      <w:r w:rsidRPr="00201F12">
        <w:rPr>
          <w:rtl/>
        </w:rPr>
        <w:t xml:space="preserve"> </w:t>
      </w:r>
      <w:r w:rsidRPr="00201F12">
        <w:rPr>
          <w:rFonts w:hint="cs"/>
          <w:rtl/>
        </w:rPr>
        <w:t>للمنظمة</w:t>
      </w:r>
      <w:r w:rsidRPr="00201F12">
        <w:rPr>
          <w:rtl/>
        </w:rPr>
        <w:t xml:space="preserve"> </w:t>
      </w:r>
      <w:r w:rsidRPr="00201F12">
        <w:rPr>
          <w:rFonts w:hint="cs"/>
          <w:rtl/>
        </w:rPr>
        <w:t>وتنشأ</w:t>
      </w:r>
      <w:r w:rsidRPr="00201F12">
        <w:rPr>
          <w:rtl/>
        </w:rPr>
        <w:t xml:space="preserve"> </w:t>
      </w:r>
      <w:r w:rsidRPr="00201F12">
        <w:rPr>
          <w:rFonts w:hint="cs"/>
          <w:rtl/>
        </w:rPr>
        <w:t>عنه</w:t>
      </w:r>
      <w:r w:rsidRPr="00201F12">
        <w:rPr>
          <w:rtl/>
        </w:rPr>
        <w:t xml:space="preserve"> </w:t>
      </w:r>
      <w:r w:rsidRPr="00201F12">
        <w:rPr>
          <w:rFonts w:hint="cs"/>
          <w:rtl/>
        </w:rPr>
        <w:t>حقوق</w:t>
      </w:r>
      <w:r w:rsidRPr="00201F12">
        <w:rPr>
          <w:rtl/>
        </w:rPr>
        <w:t xml:space="preserve"> </w:t>
      </w:r>
      <w:r w:rsidRPr="00201F12">
        <w:rPr>
          <w:rFonts w:hint="cs"/>
          <w:rtl/>
        </w:rPr>
        <w:t>أو</w:t>
      </w:r>
      <w:r w:rsidRPr="00201F12">
        <w:rPr>
          <w:rtl/>
        </w:rPr>
        <w:t xml:space="preserve"> </w:t>
      </w:r>
      <w:r w:rsidRPr="00201F12">
        <w:rPr>
          <w:rFonts w:hint="cs"/>
          <w:rtl/>
        </w:rPr>
        <w:t>التزامات</w:t>
      </w:r>
      <w:r w:rsidRPr="00201F12">
        <w:rPr>
          <w:rtl/>
        </w:rPr>
        <w:t xml:space="preserve"> </w:t>
      </w:r>
      <w:r w:rsidRPr="00201F12">
        <w:rPr>
          <w:rFonts w:hint="cs"/>
          <w:rtl/>
        </w:rPr>
        <w:t>لكل</w:t>
      </w:r>
      <w:r w:rsidRPr="00201F12">
        <w:rPr>
          <w:rtl/>
        </w:rPr>
        <w:t xml:space="preserve"> </w:t>
      </w:r>
      <w:r w:rsidRPr="00201F12">
        <w:rPr>
          <w:rFonts w:hint="cs"/>
          <w:rtl/>
        </w:rPr>
        <w:t>الموظفين أو</w:t>
      </w:r>
      <w:r w:rsidRPr="00201F12">
        <w:rPr>
          <w:rtl/>
        </w:rPr>
        <w:t xml:space="preserve"> </w:t>
      </w:r>
      <w:r w:rsidRPr="00201F12">
        <w:rPr>
          <w:rFonts w:hint="cs"/>
          <w:rtl/>
        </w:rPr>
        <w:t>لبعضهم</w:t>
      </w:r>
      <w:r w:rsidRPr="00201F12">
        <w:rPr>
          <w:rtl/>
        </w:rPr>
        <w:t>.</w:t>
      </w:r>
      <w:r>
        <w:rPr>
          <w:rFonts w:hint="cs"/>
          <w:rtl/>
        </w:rPr>
        <w:t xml:space="preserve"> ومن ثم، يمكن للأمر الإداري أن يعدل النظام الإداري للموظفين أو يضيف إليه، أو أن يضيف إلى </w:t>
      </w:r>
      <w:r w:rsidRPr="00201F12">
        <w:rPr>
          <w:rFonts w:hint="cs"/>
          <w:rtl/>
        </w:rPr>
        <w:t>النظام</w:t>
      </w:r>
      <w:r w:rsidRPr="00201F12">
        <w:rPr>
          <w:rtl/>
        </w:rPr>
        <w:t xml:space="preserve"> </w:t>
      </w:r>
      <w:r w:rsidRPr="00201F12">
        <w:rPr>
          <w:rFonts w:hint="cs"/>
          <w:rtl/>
        </w:rPr>
        <w:t>الأساسي</w:t>
      </w:r>
      <w:r w:rsidRPr="00201F12">
        <w:rPr>
          <w:rtl/>
        </w:rPr>
        <w:t xml:space="preserve"> </w:t>
      </w:r>
      <w:r>
        <w:rPr>
          <w:rFonts w:hint="cs"/>
          <w:rtl/>
        </w:rPr>
        <w:t>للموظفين</w:t>
      </w:r>
      <w:r w:rsidRPr="00201F12">
        <w:rPr>
          <w:rtl/>
        </w:rPr>
        <w:t xml:space="preserve"> </w:t>
      </w:r>
      <w:r w:rsidRPr="00201F12">
        <w:rPr>
          <w:rFonts w:hint="cs"/>
          <w:rtl/>
        </w:rPr>
        <w:t>والنظام</w:t>
      </w:r>
      <w:r w:rsidRPr="00201F12">
        <w:rPr>
          <w:rtl/>
        </w:rPr>
        <w:t xml:space="preserve"> </w:t>
      </w:r>
      <w:r w:rsidRPr="00201F12">
        <w:rPr>
          <w:rFonts w:hint="cs"/>
          <w:rtl/>
        </w:rPr>
        <w:t>المالي</w:t>
      </w:r>
      <w:r>
        <w:rPr>
          <w:rFonts w:hint="cs"/>
          <w:rtl/>
        </w:rPr>
        <w:t xml:space="preserve">، أو أن يؤسس </w:t>
      </w:r>
      <w:r w:rsidRPr="00201F12">
        <w:rPr>
          <w:rFonts w:hint="cs"/>
          <w:rtl/>
        </w:rPr>
        <w:t>إجراءات</w:t>
      </w:r>
      <w:r w:rsidRPr="00201F12">
        <w:rPr>
          <w:rtl/>
        </w:rPr>
        <w:t xml:space="preserve"> </w:t>
      </w:r>
      <w:r w:rsidRPr="00201F12">
        <w:rPr>
          <w:rFonts w:hint="cs"/>
          <w:rtl/>
        </w:rPr>
        <w:t>إدارية</w:t>
      </w:r>
      <w:r w:rsidRPr="00201F12">
        <w:rPr>
          <w:rtl/>
        </w:rPr>
        <w:t xml:space="preserve"> </w:t>
      </w:r>
      <w:r w:rsidRPr="00201F12">
        <w:rPr>
          <w:rFonts w:hint="cs"/>
          <w:rtl/>
        </w:rPr>
        <w:t>أو</w:t>
      </w:r>
      <w:r w:rsidRPr="00201F12">
        <w:rPr>
          <w:rtl/>
        </w:rPr>
        <w:t xml:space="preserve"> </w:t>
      </w:r>
      <w:r w:rsidRPr="00201F12">
        <w:rPr>
          <w:rFonts w:hint="cs"/>
          <w:rtl/>
        </w:rPr>
        <w:t>تشغيلية،</w:t>
      </w:r>
      <w:r w:rsidRPr="00201F12">
        <w:rPr>
          <w:rtl/>
        </w:rPr>
        <w:t xml:space="preserve"> </w:t>
      </w:r>
      <w:r w:rsidRPr="00201F12">
        <w:rPr>
          <w:rFonts w:hint="cs"/>
          <w:rtl/>
        </w:rPr>
        <w:t>أو</w:t>
      </w:r>
      <w:r>
        <w:rPr>
          <w:rFonts w:hint="cs"/>
          <w:rtl/>
        </w:rPr>
        <w:t xml:space="preserve"> أن</w:t>
      </w:r>
      <w:r w:rsidRPr="00201F12">
        <w:rPr>
          <w:rtl/>
        </w:rPr>
        <w:t xml:space="preserve"> </w:t>
      </w:r>
      <w:r w:rsidRPr="00201F12">
        <w:rPr>
          <w:rFonts w:hint="cs"/>
          <w:rtl/>
        </w:rPr>
        <w:t>يجيز</w:t>
      </w:r>
      <w:r w:rsidRPr="00201F12">
        <w:rPr>
          <w:rtl/>
        </w:rPr>
        <w:t xml:space="preserve"> </w:t>
      </w:r>
      <w:r w:rsidRPr="00201F12">
        <w:rPr>
          <w:rFonts w:hint="cs"/>
          <w:rtl/>
        </w:rPr>
        <w:t>أو</w:t>
      </w:r>
      <w:r w:rsidRPr="00201F12">
        <w:rPr>
          <w:rtl/>
        </w:rPr>
        <w:t xml:space="preserve"> </w:t>
      </w:r>
      <w:r w:rsidRPr="00201F12">
        <w:rPr>
          <w:rFonts w:hint="cs"/>
          <w:rtl/>
        </w:rPr>
        <w:t>يحظر</w:t>
      </w:r>
      <w:r w:rsidRPr="00201F12">
        <w:rPr>
          <w:rtl/>
        </w:rPr>
        <w:t xml:space="preserve"> </w:t>
      </w:r>
      <w:r w:rsidRPr="00201F12">
        <w:rPr>
          <w:rFonts w:hint="cs"/>
          <w:rtl/>
        </w:rPr>
        <w:t>إجراء</w:t>
      </w:r>
      <w:r w:rsidRPr="00201F12">
        <w:rPr>
          <w:rtl/>
        </w:rPr>
        <w:t xml:space="preserve"> </w:t>
      </w:r>
      <w:r w:rsidRPr="00201F12">
        <w:rPr>
          <w:rFonts w:hint="cs"/>
          <w:rtl/>
        </w:rPr>
        <w:t>أو</w:t>
      </w:r>
      <w:r w:rsidRPr="00201F12">
        <w:rPr>
          <w:rtl/>
        </w:rPr>
        <w:t xml:space="preserve"> </w:t>
      </w:r>
      <w:r w:rsidRPr="00201F12">
        <w:rPr>
          <w:rFonts w:hint="cs"/>
          <w:rtl/>
        </w:rPr>
        <w:t>أسلوب</w:t>
      </w:r>
      <w:r w:rsidRPr="00201F12">
        <w:rPr>
          <w:rtl/>
        </w:rPr>
        <w:t xml:space="preserve"> </w:t>
      </w:r>
      <w:r w:rsidRPr="00201F12">
        <w:rPr>
          <w:rFonts w:hint="cs"/>
          <w:rtl/>
        </w:rPr>
        <w:t>مسلكي.</w:t>
      </w:r>
    </w:p>
  </w:footnote>
  <w:footnote w:id="6">
    <w:p w:rsidR="00044896" w:rsidRDefault="00044896" w:rsidP="00044896">
      <w:pPr>
        <w:pStyle w:val="Footnotetexte"/>
        <w:rPr>
          <w:rtl/>
        </w:rPr>
      </w:pPr>
      <w:r>
        <w:rPr>
          <w:rStyle w:val="FootnoteReference"/>
        </w:rPr>
        <w:footnoteRef/>
      </w:r>
      <w:r>
        <w:rPr>
          <w:rtl/>
        </w:rPr>
        <w:tab/>
      </w:r>
      <w:r>
        <w:rPr>
          <w:rtl/>
        </w:rPr>
        <w:t xml:space="preserve">معهد المراجعين الداخليين، </w:t>
      </w:r>
      <w:hyperlink r:id="rId2" w:history="1">
        <w:r>
          <w:rPr>
            <w:rStyle w:val="Hyperlink"/>
          </w:rPr>
          <w:t>www.theiia.org</w:t>
        </w:r>
      </w:hyperlink>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447F32" w:rsidP="00F37BA4">
    <w:pPr>
      <w:pStyle w:val="Header"/>
      <w:bidi w:val="0"/>
      <w:spacing w:before="120" w:after="240"/>
      <w:jc w:val="center"/>
      <w:rPr>
        <w:rFonts w:cs="Calibri"/>
        <w:sz w:val="20"/>
        <w:szCs w:val="20"/>
      </w:rPr>
    </w:pPr>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D80585">
      <w:rPr>
        <w:rFonts w:cs="Calibri"/>
        <w:noProof/>
        <w:sz w:val="20"/>
        <w:szCs w:val="20"/>
      </w:rPr>
      <w:t>10</w:t>
    </w:r>
    <w:r w:rsidRPr="00447F32">
      <w:rPr>
        <w:rFonts w:cs="Calibri"/>
        <w:noProof/>
        <w:sz w:val="20"/>
        <w:szCs w:val="20"/>
      </w:rPr>
      <w:fldChar w:fldCharType="end"/>
    </w:r>
    <w:r w:rsidRPr="00447F32">
      <w:rPr>
        <w:rFonts w:cs="Calibri"/>
        <w:noProof/>
        <w:sz w:val="20"/>
        <w:szCs w:val="20"/>
      </w:rPr>
      <w:br/>
      <w:t>C1</w:t>
    </w:r>
    <w:r w:rsidR="006C7CC0">
      <w:rPr>
        <w:rFonts w:cs="Calibri"/>
        <w:noProof/>
        <w:sz w:val="20"/>
        <w:szCs w:val="20"/>
      </w:rPr>
      <w:t>6</w:t>
    </w:r>
    <w:r w:rsidRPr="00447F32">
      <w:rPr>
        <w:rFonts w:cs="Calibri"/>
        <w:noProof/>
        <w:sz w:val="20"/>
        <w:szCs w:val="20"/>
      </w:rPr>
      <w:t>/</w:t>
    </w:r>
    <w:r w:rsidR="00044896">
      <w:rPr>
        <w:rFonts w:cs="Calibri"/>
        <w:noProof/>
        <w:sz w:val="20"/>
        <w:szCs w:val="20"/>
      </w:rPr>
      <w:t>44</w:t>
    </w:r>
    <w:r w:rsidRPr="00447F32">
      <w:rPr>
        <w:rFonts w:cs="Calibri"/>
        <w:noProof/>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8C314B"/>
    <w:multiLevelType w:val="hybridMultilevel"/>
    <w:tmpl w:val="A27E4584"/>
    <w:lvl w:ilvl="0" w:tplc="6A92C332">
      <w:start w:val="1"/>
      <w:numFmt w:val="decimal"/>
      <w:lvlText w:val="%1."/>
      <w:lvlJc w:val="left"/>
      <w:pPr>
        <w:ind w:left="502" w:hanging="360"/>
      </w:pPr>
      <w:rPr>
        <w:rFonts w:ascii="Calibri" w:hAnsi="Calibr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65"/>
    <w:rsid w:val="00044896"/>
    <w:rsid w:val="00046F2C"/>
    <w:rsid w:val="00056565"/>
    <w:rsid w:val="00090574"/>
    <w:rsid w:val="000C548A"/>
    <w:rsid w:val="000D2A8E"/>
    <w:rsid w:val="001C0169"/>
    <w:rsid w:val="001D1D50"/>
    <w:rsid w:val="001E446E"/>
    <w:rsid w:val="002154EE"/>
    <w:rsid w:val="0023283D"/>
    <w:rsid w:val="00271C43"/>
    <w:rsid w:val="00290728"/>
    <w:rsid w:val="002978F4"/>
    <w:rsid w:val="002B028D"/>
    <w:rsid w:val="002D7EF2"/>
    <w:rsid w:val="002E6541"/>
    <w:rsid w:val="002F52BC"/>
    <w:rsid w:val="003409BC"/>
    <w:rsid w:val="00357185"/>
    <w:rsid w:val="00383829"/>
    <w:rsid w:val="003E08FE"/>
    <w:rsid w:val="003F4B29"/>
    <w:rsid w:val="003F741E"/>
    <w:rsid w:val="00402E33"/>
    <w:rsid w:val="0042686F"/>
    <w:rsid w:val="004317D8"/>
    <w:rsid w:val="00443869"/>
    <w:rsid w:val="00447F32"/>
    <w:rsid w:val="004D5075"/>
    <w:rsid w:val="004E11DC"/>
    <w:rsid w:val="004F1EE5"/>
    <w:rsid w:val="005038A5"/>
    <w:rsid w:val="00525E82"/>
    <w:rsid w:val="005409AC"/>
    <w:rsid w:val="0055516A"/>
    <w:rsid w:val="0058491B"/>
    <w:rsid w:val="0059772E"/>
    <w:rsid w:val="005A3170"/>
    <w:rsid w:val="0069200F"/>
    <w:rsid w:val="006A65CB"/>
    <w:rsid w:val="006C3242"/>
    <w:rsid w:val="006C7CC0"/>
    <w:rsid w:val="006F63F7"/>
    <w:rsid w:val="00706D7A"/>
    <w:rsid w:val="00722F0D"/>
    <w:rsid w:val="0074420E"/>
    <w:rsid w:val="00783E26"/>
    <w:rsid w:val="007A0D23"/>
    <w:rsid w:val="007C3BC7"/>
    <w:rsid w:val="007F0787"/>
    <w:rsid w:val="00810B7B"/>
    <w:rsid w:val="008235CD"/>
    <w:rsid w:val="008247DE"/>
    <w:rsid w:val="00846643"/>
    <w:rsid w:val="008513CB"/>
    <w:rsid w:val="008C7AC9"/>
    <w:rsid w:val="0091636A"/>
    <w:rsid w:val="00923B0C"/>
    <w:rsid w:val="00982B28"/>
    <w:rsid w:val="009A175A"/>
    <w:rsid w:val="009D313F"/>
    <w:rsid w:val="00A37501"/>
    <w:rsid w:val="00A47A5A"/>
    <w:rsid w:val="00A6493F"/>
    <w:rsid w:val="00A6683B"/>
    <w:rsid w:val="00A97F94"/>
    <w:rsid w:val="00AE2E7B"/>
    <w:rsid w:val="00AE5D4B"/>
    <w:rsid w:val="00B05BC8"/>
    <w:rsid w:val="00B64B47"/>
    <w:rsid w:val="00C002DE"/>
    <w:rsid w:val="00C17610"/>
    <w:rsid w:val="00C53BF8"/>
    <w:rsid w:val="00C66157"/>
    <w:rsid w:val="00C674FE"/>
    <w:rsid w:val="00C70E25"/>
    <w:rsid w:val="00C75633"/>
    <w:rsid w:val="00CE2EE1"/>
    <w:rsid w:val="00CF3FFD"/>
    <w:rsid w:val="00D43DA2"/>
    <w:rsid w:val="00D77D0F"/>
    <w:rsid w:val="00D80585"/>
    <w:rsid w:val="00DA1CF0"/>
    <w:rsid w:val="00DC1E02"/>
    <w:rsid w:val="00DC24B4"/>
    <w:rsid w:val="00DF16DC"/>
    <w:rsid w:val="00E45211"/>
    <w:rsid w:val="00E92C1F"/>
    <w:rsid w:val="00EA0F0F"/>
    <w:rsid w:val="00EB796D"/>
    <w:rsid w:val="00F118DA"/>
    <w:rsid w:val="00F24FC4"/>
    <w:rsid w:val="00F37BA4"/>
    <w:rsid w:val="00F569BF"/>
    <w:rsid w:val="00F57B46"/>
    <w:rsid w:val="00F57DD9"/>
    <w:rsid w:val="00F628D8"/>
    <w:rsid w:val="00F84366"/>
    <w:rsid w:val="00F85089"/>
    <w:rsid w:val="00FA489F"/>
    <w:rsid w:val="00FA6F46"/>
    <w:rsid w:val="00FD1B3A"/>
    <w:rsid w:val="00FD63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FBC344E-A63C-4AC0-9417-978FB5C7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cs="Traditional Arabic"/>
      <w:sz w:val="22"/>
      <w:szCs w:val="30"/>
      <w:lang w:bidi="ar-EG"/>
    </w:rPr>
  </w:style>
  <w:style w:type="paragraph" w:styleId="Heading1">
    <w:name w:val="heading 1"/>
    <w:basedOn w:val="Normal"/>
    <w:next w:val="Normal"/>
    <w:link w:val="Heading1Char"/>
    <w:uiPriority w:val="9"/>
    <w:qFormat/>
    <w:rsid w:val="000C548A"/>
    <w:pPr>
      <w:keepNext/>
      <w:keepLines/>
      <w:spacing w:before="360"/>
      <w:ind w:left="794" w:hanging="794"/>
      <w:outlineLvl w:val="0"/>
    </w:pPr>
    <w:rPr>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rPr>
      <w:color w:val="FF0000"/>
      <w:sz w:val="22"/>
      <w:szCs w:val="22"/>
    </w:rPr>
  </w:style>
  <w:style w:type="character" w:customStyle="1" w:styleId="Heading1Char">
    <w:name w:val="Heading 1 Char"/>
    <w:link w:val="Heading1"/>
    <w:uiPriority w:val="9"/>
    <w:rsid w:val="000C548A"/>
    <w:rPr>
      <w:rFonts w:ascii="Calibri" w:eastAsia="SimSun" w:hAnsi="Calibri" w:cs="Traditional Arabic"/>
      <w:b/>
      <w:bCs/>
      <w:sz w:val="26"/>
      <w:szCs w:val="36"/>
    </w:rPr>
  </w:style>
  <w:style w:type="character" w:customStyle="1" w:styleId="Heading2Char">
    <w:name w:val="Heading 2 Char"/>
    <w:link w:val="Heading2"/>
    <w:uiPriority w:val="9"/>
    <w:rsid w:val="000C548A"/>
    <w:rPr>
      <w:rFonts w:ascii="Calibri" w:eastAsia="SimSun" w:hAnsi="Calibri" w:cs="Traditional Arabic"/>
      <w:b/>
      <w:bCs/>
      <w:sz w:val="24"/>
      <w:szCs w:val="32"/>
    </w:rPr>
  </w:style>
  <w:style w:type="character" w:customStyle="1" w:styleId="Heading3Char">
    <w:name w:val="Heading 3 Char"/>
    <w:link w:val="Heading3"/>
    <w:uiPriority w:val="9"/>
    <w:rsid w:val="000C548A"/>
    <w:rPr>
      <w:rFonts w:ascii="Calibri" w:eastAsia="SimSun" w:hAnsi="Calibri" w:cs="Traditional Arabic"/>
      <w:b/>
      <w:bCs/>
      <w:szCs w:val="30"/>
    </w:rPr>
  </w:style>
  <w:style w:type="character" w:customStyle="1" w:styleId="Heading4Char">
    <w:name w:val="Heading 4 Char"/>
    <w:link w:val="Heading4"/>
    <w:uiPriority w:val="9"/>
    <w:rsid w:val="000C548A"/>
    <w:rPr>
      <w:rFonts w:ascii="Calibri" w:eastAsia="SimSun" w:hAnsi="Calibri" w:cs="Traditional Arabic"/>
      <w:b/>
      <w:bCs/>
      <w:szCs w:val="30"/>
    </w:rPr>
  </w:style>
  <w:style w:type="character" w:customStyle="1" w:styleId="Heading5Char">
    <w:name w:val="Heading 5 Char"/>
    <w:link w:val="Heading5"/>
    <w:uiPriority w:val="9"/>
    <w:rsid w:val="000C548A"/>
    <w:rPr>
      <w:rFonts w:ascii="Calibri" w:eastAsia="SimSun" w:hAnsi="Calibri" w:cs="Traditional Arabic"/>
      <w:b/>
      <w:bCs/>
      <w:szCs w:val="30"/>
    </w:rPr>
  </w:style>
  <w:style w:type="character" w:customStyle="1" w:styleId="Heading6Char">
    <w:name w:val="Heading 6 Char"/>
    <w:link w:val="Heading6"/>
    <w:uiPriority w:val="9"/>
    <w:rsid w:val="000C548A"/>
    <w:rPr>
      <w:rFonts w:ascii="Calibri" w:eastAsia="SimSun" w:hAnsi="Calibri" w:cs="Traditional Arabic"/>
      <w:b/>
      <w:bCs/>
      <w:szCs w:val="30"/>
    </w:rPr>
  </w:style>
  <w:style w:type="character" w:customStyle="1" w:styleId="Heading7Char">
    <w:name w:val="Heading 7 Char"/>
    <w:link w:val="Heading7"/>
    <w:uiPriority w:val="9"/>
    <w:rsid w:val="000C548A"/>
    <w:rPr>
      <w:rFonts w:ascii="Calibri" w:eastAsia="SimSun" w:hAnsi="Calibri" w:cs="Traditional Arabic"/>
      <w:b/>
      <w:bCs/>
      <w:szCs w:val="30"/>
    </w:rPr>
  </w:style>
  <w:style w:type="character" w:customStyle="1" w:styleId="Heading8Char">
    <w:name w:val="Heading 8 Char"/>
    <w:link w:val="Heading8"/>
    <w:uiPriority w:val="9"/>
    <w:rsid w:val="000C548A"/>
    <w:rPr>
      <w:rFonts w:ascii="Calibri" w:eastAsia="SimSun" w:hAnsi="Calibri" w:cs="Traditional Arabic"/>
      <w:b/>
      <w:bCs/>
      <w:szCs w:val="30"/>
    </w:rPr>
  </w:style>
  <w:style w:type="character" w:customStyle="1" w:styleId="Heading9Char">
    <w:name w:val="Heading 9 Char"/>
    <w:link w:val="Heading9"/>
    <w:uiPriority w:val="9"/>
    <w:rsid w:val="000C548A"/>
    <w:rPr>
      <w:rFonts w:ascii="Calibri" w:eastAsia="SimSun"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b/>
      <w:bCs/>
      <w:color w:val="FF0000"/>
      <w:kern w:val="28"/>
      <w:sz w:val="28"/>
      <w:szCs w:val="40"/>
    </w:rPr>
  </w:style>
  <w:style w:type="character" w:customStyle="1" w:styleId="TitleChar">
    <w:name w:val="Title Char"/>
    <w:aliases w:val="Title right Char"/>
    <w:link w:val="Title"/>
    <w:uiPriority w:val="10"/>
    <w:rsid w:val="007C3BC7"/>
    <w:rPr>
      <w:rFonts w:ascii="Calibri" w:eastAsia="SimSun"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link w:val="Header"/>
    <w:uiPriority w:val="99"/>
    <w:rsid w:val="006C3242"/>
    <w:rPr>
      <w:rFonts w:ascii="Calibri" w:hAnsi="Calibri" w:cs="Traditional Arabic"/>
      <w:szCs w:val="30"/>
    </w:rPr>
  </w:style>
  <w:style w:type="character" w:styleId="Hyperlink">
    <w:name w:val="Hyperlink"/>
    <w:uiPriority w:val="99"/>
    <w:unhideWhenUsed/>
    <w:rsid w:val="00271C43"/>
    <w:rPr>
      <w:color w:val="0000FF"/>
      <w:u w:val="single"/>
    </w:rPr>
  </w:style>
  <w:style w:type="character" w:styleId="BookTitle">
    <w:name w:val="Book Title"/>
    <w:uiPriority w:val="33"/>
    <w:rsid w:val="007C3BC7"/>
    <w:rPr>
      <w:b/>
      <w:bCs/>
      <w:i/>
      <w:iCs/>
      <w:color w:val="FF0000"/>
      <w:spacing w:val="5"/>
    </w:rPr>
  </w:style>
  <w:style w:type="character" w:styleId="Emphasis">
    <w:name w:val="Emphasis"/>
    <w:uiPriority w:val="20"/>
    <w:rsid w:val="007C3BC7"/>
    <w:rPr>
      <w:i/>
      <w:iCs/>
      <w:color w:val="FF0000"/>
    </w:rPr>
  </w:style>
  <w:style w:type="paragraph" w:customStyle="1" w:styleId="Footnotetexte">
    <w:name w:val="Footnote texte"/>
    <w:basedOn w:val="Normal"/>
    <w:qFormat/>
    <w:rsid w:val="00F628D8"/>
    <w:pPr>
      <w:tabs>
        <w:tab w:val="left" w:pos="397"/>
        <w:tab w:val="left" w:pos="567"/>
      </w:tabs>
      <w:spacing w:before="60" w:line="168" w:lineRule="auto"/>
      <w:ind w:left="397" w:hanging="397"/>
    </w:pPr>
    <w:rPr>
      <w:sz w:val="20"/>
      <w:szCs w:val="26"/>
    </w:rPr>
  </w:style>
  <w:style w:type="character" w:styleId="IntenseEmphasis">
    <w:name w:val="Intense Emphasis"/>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bottom w:val="single" w:sz="4" w:space="10" w:color="5B9BD5"/>
      </w:pBdr>
      <w:spacing w:before="360" w:after="360"/>
      <w:ind w:left="864" w:right="864"/>
      <w:jc w:val="center"/>
    </w:pPr>
    <w:rPr>
      <w:i/>
      <w:iCs/>
      <w:color w:val="FF0000"/>
    </w:rPr>
  </w:style>
  <w:style w:type="character" w:customStyle="1" w:styleId="IntenseQuoteChar">
    <w:name w:val="Intense Quote Char"/>
    <w:link w:val="IntenseQuote"/>
    <w:uiPriority w:val="30"/>
    <w:rsid w:val="007C3BC7"/>
    <w:rPr>
      <w:rFonts w:ascii="Calibri" w:hAnsi="Calibri" w:cs="Traditional Arabic"/>
      <w:i/>
      <w:iCs/>
      <w:color w:val="FF0000"/>
      <w:szCs w:val="30"/>
    </w:rPr>
  </w:style>
  <w:style w:type="character" w:styleId="IntenseReference">
    <w:name w:val="Intense Reference"/>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link w:val="Quote"/>
    <w:uiPriority w:val="29"/>
    <w:rsid w:val="007C3BC7"/>
    <w:rPr>
      <w:rFonts w:ascii="Calibri" w:hAnsi="Calibri" w:cs="Traditional Arabic"/>
      <w:i/>
      <w:iCs/>
      <w:color w:val="FF0000"/>
      <w:szCs w:val="30"/>
    </w:rPr>
  </w:style>
  <w:style w:type="character" w:styleId="Strong">
    <w:name w:val="Strong"/>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cs="Arial"/>
      <w:color w:val="FF0000"/>
      <w:spacing w:val="15"/>
      <w:szCs w:val="22"/>
    </w:rPr>
  </w:style>
  <w:style w:type="character" w:customStyle="1" w:styleId="SubtitleChar">
    <w:name w:val="Subtitle Char"/>
    <w:link w:val="Subtitle"/>
    <w:uiPriority w:val="11"/>
    <w:rsid w:val="007C3BC7"/>
    <w:rPr>
      <w:color w:val="FF0000"/>
      <w:spacing w:val="15"/>
    </w:rPr>
  </w:style>
  <w:style w:type="character" w:styleId="SubtleEmphasis">
    <w:name w:val="Subtle Emphasis"/>
    <w:uiPriority w:val="19"/>
    <w:rsid w:val="007C3BC7"/>
    <w:rPr>
      <w:i/>
      <w:iCs/>
      <w:color w:val="FF0000"/>
    </w:rPr>
  </w:style>
  <w:style w:type="character" w:styleId="SubtleReference">
    <w:name w:val="Subtle Reference"/>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enumlev10">
    <w:name w:val="enumlev1"/>
    <w:basedOn w:val="Normal"/>
    <w:next w:val="Normal"/>
    <w:link w:val="enumlev1Char"/>
    <w:qFormat/>
    <w:rsid w:val="000448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80"/>
      <w:ind w:left="1134" w:hanging="1134"/>
    </w:pPr>
    <w:rPr>
      <w:rFonts w:eastAsia="Times New Roman"/>
      <w:lang w:eastAsia="en-US"/>
    </w:rPr>
  </w:style>
  <w:style w:type="character" w:customStyle="1" w:styleId="enumlev1Char">
    <w:name w:val="enumlev1 Char"/>
    <w:link w:val="enumlev10"/>
    <w:rsid w:val="00044896"/>
    <w:rPr>
      <w:rFonts w:eastAsia="Times New Roman" w:cs="Traditional Arabic"/>
      <w:szCs w:val="30"/>
      <w:lang w:eastAsia="en-US"/>
    </w:rPr>
  </w:style>
  <w:style w:type="paragraph" w:customStyle="1" w:styleId="Headingbi">
    <w:name w:val="Heading b i"/>
    <w:basedOn w:val="Headingb"/>
    <w:qFormat/>
    <w:rsid w:val="00F57B46"/>
    <w:pPr>
      <w:tabs>
        <w:tab w:val="clear" w:pos="1361"/>
        <w:tab w:val="left" w:pos="1588"/>
      </w:tabs>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5-CL-INF-0011/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file:///C:\Users\khalil\Desktop\Doc_TRAD\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D5C7-34CF-4DD6-8B28-368EEAFD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C2016, C16</dc:title>
  <dc:subject/>
  <dc:creator>Saad, Samuel</dc:creator>
  <cp:keywords/>
  <dc:description/>
  <cp:lastModifiedBy>Janin</cp:lastModifiedBy>
  <cp:revision>3</cp:revision>
  <dcterms:created xsi:type="dcterms:W3CDTF">2016-05-24T16:03:00Z</dcterms:created>
  <dcterms:modified xsi:type="dcterms:W3CDTF">2016-05-24T16:03:00Z</dcterms:modified>
</cp:coreProperties>
</file>