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65E12" w:rsidRPr="00013C48">
        <w:trPr>
          <w:cantSplit/>
        </w:trPr>
        <w:tc>
          <w:tcPr>
            <w:tcW w:w="6911" w:type="dxa"/>
          </w:tcPr>
          <w:p w:rsidR="00A65E12" w:rsidRPr="00013C48" w:rsidRDefault="00364848" w:rsidP="007B4584">
            <w:pPr>
              <w:spacing w:before="360" w:after="48" w:line="240" w:lineRule="atLeast"/>
              <w:rPr>
                <w:position w:val="6"/>
                <w:lang w:val="ru-RU"/>
              </w:rPr>
            </w:pPr>
            <w:r w:rsidRPr="00013C48">
              <w:rPr>
                <w:b/>
                <w:bCs/>
                <w:position w:val="6"/>
                <w:sz w:val="28"/>
                <w:szCs w:val="28"/>
                <w:lang w:val="ru-RU"/>
              </w:rPr>
              <w:t xml:space="preserve">СОВЕТ </w:t>
            </w:r>
            <w:r w:rsidR="00A65E12" w:rsidRPr="00013C48">
              <w:rPr>
                <w:b/>
                <w:bCs/>
                <w:position w:val="6"/>
                <w:sz w:val="28"/>
                <w:szCs w:val="28"/>
                <w:lang w:val="ru-RU"/>
              </w:rPr>
              <w:t>201</w:t>
            </w:r>
            <w:r w:rsidR="00156435" w:rsidRPr="00013C48">
              <w:rPr>
                <w:b/>
                <w:bCs/>
                <w:position w:val="6"/>
                <w:sz w:val="28"/>
                <w:szCs w:val="28"/>
                <w:lang w:val="ru-RU"/>
              </w:rPr>
              <w:t>6</w:t>
            </w:r>
            <w:r w:rsidR="00A65E12" w:rsidRPr="00013C48">
              <w:rPr>
                <w:rFonts w:cs="Times"/>
                <w:b/>
                <w:position w:val="6"/>
                <w:sz w:val="24"/>
                <w:szCs w:val="24"/>
                <w:lang w:val="ru-RU"/>
              </w:rPr>
              <w:br/>
            </w:r>
            <w:r w:rsidR="007B4584" w:rsidRPr="00013C48">
              <w:rPr>
                <w:rFonts w:cs="Arial"/>
                <w:b/>
                <w:bCs/>
                <w:szCs w:val="22"/>
                <w:lang w:val="ru-RU"/>
              </w:rPr>
              <w:t>Женева</w:t>
            </w:r>
            <w:r w:rsidR="007B4584" w:rsidRPr="00013C48">
              <w:rPr>
                <w:b/>
                <w:bCs/>
                <w:szCs w:val="22"/>
                <w:lang w:val="ru-RU"/>
              </w:rPr>
              <w:t xml:space="preserve">, </w:t>
            </w:r>
            <w:r w:rsidR="007B4584" w:rsidRPr="00013C48">
              <w:rPr>
                <w:b/>
                <w:bCs/>
                <w:lang w:val="ru-RU"/>
              </w:rPr>
              <w:t xml:space="preserve">25 мая − 2 </w:t>
            </w:r>
            <w:r w:rsidR="007B4584" w:rsidRPr="00013C48">
              <w:rPr>
                <w:b/>
                <w:bCs/>
                <w:szCs w:val="22"/>
                <w:lang w:val="ru-RU"/>
              </w:rPr>
              <w:t>июня</w:t>
            </w:r>
            <w:r w:rsidR="007B4584" w:rsidRPr="00013C48">
              <w:rPr>
                <w:b/>
                <w:bCs/>
                <w:lang w:val="ru-RU"/>
              </w:rPr>
              <w:t xml:space="preserve"> 2016 года</w:t>
            </w:r>
          </w:p>
        </w:tc>
        <w:tc>
          <w:tcPr>
            <w:tcW w:w="3120" w:type="dxa"/>
          </w:tcPr>
          <w:p w:rsidR="00A65E12" w:rsidRPr="00013C48" w:rsidRDefault="00C35BC0" w:rsidP="00C35BC0">
            <w:pPr>
              <w:spacing w:before="0" w:line="240" w:lineRule="atLeast"/>
              <w:rPr>
                <w:lang w:val="ru-RU"/>
              </w:rPr>
            </w:pPr>
            <w:bookmarkStart w:id="0" w:name="ditulogo"/>
            <w:bookmarkEnd w:id="0"/>
            <w:r w:rsidRPr="00013C48">
              <w:rPr>
                <w:noProof/>
                <w:lang w:eastAsia="zh-CN"/>
              </w:rPr>
              <w:drawing>
                <wp:inline distT="0" distB="0" distL="0" distR="0" wp14:anchorId="0B4CE736" wp14:editId="204EC322">
                  <wp:extent cx="1314450" cy="695325"/>
                  <wp:effectExtent l="0" t="0" r="0" b="9525"/>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A65E12" w:rsidRPr="00013C48">
        <w:trPr>
          <w:cantSplit/>
        </w:trPr>
        <w:tc>
          <w:tcPr>
            <w:tcW w:w="6911" w:type="dxa"/>
            <w:tcBorders>
              <w:bottom w:val="single" w:sz="12" w:space="0" w:color="auto"/>
            </w:tcBorders>
          </w:tcPr>
          <w:p w:rsidR="00A65E12" w:rsidRPr="00013C48" w:rsidRDefault="00364848" w:rsidP="00E82A5B">
            <w:pPr>
              <w:spacing w:before="0" w:after="48" w:line="240" w:lineRule="atLeast"/>
              <w:rPr>
                <w:b/>
                <w:smallCaps/>
                <w:szCs w:val="24"/>
                <w:lang w:val="ru-RU"/>
              </w:rPr>
            </w:pPr>
            <w:r w:rsidRPr="00013C48">
              <w:rPr>
                <w:rFonts w:eastAsia="SimSun"/>
                <w:b/>
                <w:szCs w:val="18"/>
                <w:lang w:val="ru-RU"/>
              </w:rPr>
              <w:t>МЕЖДУНАРОДНЫЙ СОЮЗ ЭЛЕКТРОСВЯЗИ</w:t>
            </w:r>
          </w:p>
        </w:tc>
        <w:tc>
          <w:tcPr>
            <w:tcW w:w="3120" w:type="dxa"/>
            <w:tcBorders>
              <w:bottom w:val="single" w:sz="12" w:space="0" w:color="auto"/>
            </w:tcBorders>
          </w:tcPr>
          <w:p w:rsidR="00A65E12" w:rsidRPr="00013C48" w:rsidRDefault="00A65E12">
            <w:pPr>
              <w:spacing w:before="0" w:line="240" w:lineRule="atLeast"/>
              <w:rPr>
                <w:szCs w:val="24"/>
                <w:lang w:val="ru-RU"/>
              </w:rPr>
            </w:pPr>
          </w:p>
        </w:tc>
      </w:tr>
      <w:tr w:rsidR="00A65E12" w:rsidRPr="00013C48">
        <w:trPr>
          <w:cantSplit/>
        </w:trPr>
        <w:tc>
          <w:tcPr>
            <w:tcW w:w="6911" w:type="dxa"/>
            <w:tcBorders>
              <w:top w:val="single" w:sz="12" w:space="0" w:color="auto"/>
            </w:tcBorders>
          </w:tcPr>
          <w:p w:rsidR="00A65E12" w:rsidRPr="00013C48" w:rsidRDefault="00A65E12" w:rsidP="001708A0">
            <w:pPr>
              <w:spacing w:before="0"/>
              <w:rPr>
                <w:b/>
                <w:smallCaps/>
                <w:szCs w:val="24"/>
                <w:lang w:val="ru-RU"/>
              </w:rPr>
            </w:pPr>
          </w:p>
        </w:tc>
        <w:tc>
          <w:tcPr>
            <w:tcW w:w="3120" w:type="dxa"/>
            <w:tcBorders>
              <w:top w:val="single" w:sz="12" w:space="0" w:color="auto"/>
            </w:tcBorders>
          </w:tcPr>
          <w:p w:rsidR="00A65E12" w:rsidRPr="00013C48" w:rsidRDefault="00A65E12" w:rsidP="001708A0">
            <w:pPr>
              <w:spacing w:before="0"/>
              <w:rPr>
                <w:szCs w:val="24"/>
                <w:lang w:val="ru-RU"/>
              </w:rPr>
            </w:pPr>
          </w:p>
        </w:tc>
      </w:tr>
      <w:tr w:rsidR="00A65E12" w:rsidRPr="00013C48">
        <w:trPr>
          <w:cantSplit/>
          <w:trHeight w:val="23"/>
        </w:trPr>
        <w:tc>
          <w:tcPr>
            <w:tcW w:w="6911" w:type="dxa"/>
            <w:vMerge w:val="restart"/>
          </w:tcPr>
          <w:p w:rsidR="00A65E12" w:rsidRPr="00013C48" w:rsidRDefault="00E6733A" w:rsidP="007B4584">
            <w:pPr>
              <w:tabs>
                <w:tab w:val="left" w:pos="851"/>
              </w:tabs>
              <w:spacing w:before="0"/>
              <w:rPr>
                <w:b/>
                <w:lang w:val="ru-RU"/>
              </w:rPr>
            </w:pPr>
            <w:bookmarkStart w:id="1" w:name="dmeeting" w:colFirst="0" w:colLast="0"/>
            <w:bookmarkStart w:id="2" w:name="dnum" w:colFirst="1" w:colLast="1"/>
            <w:r w:rsidRPr="00013C48">
              <w:rPr>
                <w:b/>
                <w:lang w:val="ru-RU"/>
              </w:rPr>
              <w:t>Пункт повестки дня</w:t>
            </w:r>
            <w:r w:rsidR="00A65E12" w:rsidRPr="00013C48">
              <w:rPr>
                <w:b/>
                <w:lang w:val="ru-RU"/>
              </w:rPr>
              <w:t xml:space="preserve">: </w:t>
            </w:r>
            <w:proofErr w:type="spellStart"/>
            <w:r w:rsidR="006D5B51" w:rsidRPr="00013C48">
              <w:rPr>
                <w:b/>
                <w:lang w:val="ru-RU"/>
              </w:rPr>
              <w:t>ADM</w:t>
            </w:r>
            <w:proofErr w:type="spellEnd"/>
            <w:r w:rsidR="006D5B51" w:rsidRPr="00013C48">
              <w:rPr>
                <w:b/>
                <w:lang w:val="ru-RU"/>
              </w:rPr>
              <w:t xml:space="preserve"> </w:t>
            </w:r>
            <w:r w:rsidR="007B4584" w:rsidRPr="00013C48">
              <w:rPr>
                <w:b/>
                <w:lang w:val="ru-RU"/>
              </w:rPr>
              <w:t>8</w:t>
            </w:r>
          </w:p>
        </w:tc>
        <w:tc>
          <w:tcPr>
            <w:tcW w:w="3120" w:type="dxa"/>
          </w:tcPr>
          <w:p w:rsidR="00A65E12" w:rsidRPr="00013C48" w:rsidRDefault="00E6733A" w:rsidP="007B4584">
            <w:pPr>
              <w:tabs>
                <w:tab w:val="left" w:pos="851"/>
              </w:tabs>
              <w:spacing w:before="0"/>
              <w:rPr>
                <w:b/>
                <w:lang w:val="ru-RU"/>
              </w:rPr>
            </w:pPr>
            <w:r w:rsidRPr="00013C48">
              <w:rPr>
                <w:b/>
                <w:lang w:val="ru-RU"/>
              </w:rPr>
              <w:t>Документ</w:t>
            </w:r>
            <w:r w:rsidR="00A65E12" w:rsidRPr="00013C48">
              <w:rPr>
                <w:b/>
                <w:lang w:val="ru-RU"/>
              </w:rPr>
              <w:t xml:space="preserve"> </w:t>
            </w:r>
            <w:proofErr w:type="spellStart"/>
            <w:r w:rsidR="00A65E12" w:rsidRPr="00013C48">
              <w:rPr>
                <w:b/>
                <w:lang w:val="ru-RU"/>
              </w:rPr>
              <w:t>C1</w:t>
            </w:r>
            <w:r w:rsidR="007B4584" w:rsidRPr="00013C48">
              <w:rPr>
                <w:b/>
                <w:lang w:val="ru-RU"/>
              </w:rPr>
              <w:t>6</w:t>
            </w:r>
            <w:proofErr w:type="spellEnd"/>
            <w:r w:rsidR="00A65E12" w:rsidRPr="00013C48">
              <w:rPr>
                <w:b/>
                <w:lang w:val="ru-RU"/>
              </w:rPr>
              <w:t>/</w:t>
            </w:r>
            <w:r w:rsidR="00352C43" w:rsidRPr="00013C48">
              <w:rPr>
                <w:b/>
                <w:lang w:val="ru-RU"/>
              </w:rPr>
              <w:t>40</w:t>
            </w:r>
            <w:r w:rsidR="00A65E12" w:rsidRPr="00013C48">
              <w:rPr>
                <w:b/>
                <w:lang w:val="ru-RU"/>
              </w:rPr>
              <w:t>-</w:t>
            </w:r>
            <w:r w:rsidRPr="00013C48">
              <w:rPr>
                <w:b/>
                <w:lang w:val="ru-RU"/>
              </w:rPr>
              <w:t>R</w:t>
            </w:r>
          </w:p>
        </w:tc>
      </w:tr>
      <w:tr w:rsidR="00A65E12" w:rsidRPr="00013C48">
        <w:trPr>
          <w:cantSplit/>
          <w:trHeight w:val="23"/>
        </w:trPr>
        <w:tc>
          <w:tcPr>
            <w:tcW w:w="6911" w:type="dxa"/>
            <w:vMerge/>
          </w:tcPr>
          <w:p w:rsidR="00A65E12" w:rsidRPr="00013C48" w:rsidRDefault="00A65E12" w:rsidP="001708A0">
            <w:pPr>
              <w:tabs>
                <w:tab w:val="left" w:pos="851"/>
              </w:tabs>
              <w:spacing w:before="0"/>
              <w:rPr>
                <w:b/>
                <w:lang w:val="ru-RU"/>
              </w:rPr>
            </w:pPr>
            <w:bookmarkStart w:id="3" w:name="ddate" w:colFirst="1" w:colLast="1"/>
            <w:bookmarkEnd w:id="1"/>
            <w:bookmarkEnd w:id="2"/>
          </w:p>
        </w:tc>
        <w:tc>
          <w:tcPr>
            <w:tcW w:w="3120" w:type="dxa"/>
          </w:tcPr>
          <w:p w:rsidR="00A65E12" w:rsidRPr="00013C48" w:rsidRDefault="00352C43" w:rsidP="004A1A1C">
            <w:pPr>
              <w:tabs>
                <w:tab w:val="left" w:pos="993"/>
              </w:tabs>
              <w:spacing w:before="0"/>
              <w:rPr>
                <w:b/>
                <w:lang w:val="ru-RU"/>
              </w:rPr>
            </w:pPr>
            <w:r w:rsidRPr="00013C48">
              <w:rPr>
                <w:b/>
                <w:lang w:val="ru-RU"/>
              </w:rPr>
              <w:t>20</w:t>
            </w:r>
            <w:r w:rsidR="00DB4196" w:rsidRPr="00013C48">
              <w:rPr>
                <w:b/>
                <w:lang w:val="ru-RU"/>
              </w:rPr>
              <w:t xml:space="preserve"> мая</w:t>
            </w:r>
            <w:r w:rsidR="00976E48" w:rsidRPr="00013C48">
              <w:rPr>
                <w:b/>
                <w:lang w:val="ru-RU"/>
              </w:rPr>
              <w:t xml:space="preserve"> </w:t>
            </w:r>
            <w:r w:rsidR="00A65E12" w:rsidRPr="00013C48">
              <w:rPr>
                <w:b/>
                <w:lang w:val="ru-RU"/>
              </w:rPr>
              <w:t>201</w:t>
            </w:r>
            <w:r w:rsidR="004A1A1C" w:rsidRPr="00013C48">
              <w:rPr>
                <w:b/>
                <w:lang w:val="ru-RU"/>
              </w:rPr>
              <w:t>6</w:t>
            </w:r>
            <w:r w:rsidR="00E6733A" w:rsidRPr="00013C48">
              <w:rPr>
                <w:b/>
                <w:lang w:val="ru-RU"/>
              </w:rPr>
              <w:t xml:space="preserve"> г</w:t>
            </w:r>
            <w:r w:rsidR="00B369AD" w:rsidRPr="00013C48">
              <w:rPr>
                <w:b/>
                <w:lang w:val="ru-RU"/>
              </w:rPr>
              <w:t>ода</w:t>
            </w:r>
          </w:p>
        </w:tc>
      </w:tr>
      <w:tr w:rsidR="00A65E12" w:rsidRPr="00013C48">
        <w:trPr>
          <w:cantSplit/>
          <w:trHeight w:val="23"/>
        </w:trPr>
        <w:tc>
          <w:tcPr>
            <w:tcW w:w="6911" w:type="dxa"/>
            <w:vMerge/>
          </w:tcPr>
          <w:p w:rsidR="00A65E12" w:rsidRPr="00013C48" w:rsidRDefault="00A65E12" w:rsidP="001708A0">
            <w:pPr>
              <w:tabs>
                <w:tab w:val="left" w:pos="851"/>
              </w:tabs>
              <w:spacing w:before="0"/>
              <w:rPr>
                <w:b/>
                <w:lang w:val="ru-RU"/>
              </w:rPr>
            </w:pPr>
            <w:bookmarkStart w:id="4" w:name="dorlang" w:colFirst="1" w:colLast="1"/>
            <w:bookmarkEnd w:id="3"/>
          </w:p>
        </w:tc>
        <w:tc>
          <w:tcPr>
            <w:tcW w:w="3120" w:type="dxa"/>
          </w:tcPr>
          <w:p w:rsidR="00A65E12" w:rsidRPr="00013C48" w:rsidRDefault="00E6733A" w:rsidP="00FC65B6">
            <w:pPr>
              <w:tabs>
                <w:tab w:val="left" w:pos="993"/>
              </w:tabs>
              <w:spacing w:before="0"/>
              <w:rPr>
                <w:b/>
                <w:lang w:val="ru-RU"/>
              </w:rPr>
            </w:pPr>
            <w:r w:rsidRPr="00013C48">
              <w:rPr>
                <w:b/>
                <w:lang w:val="ru-RU"/>
              </w:rPr>
              <w:t>Оригинал</w:t>
            </w:r>
            <w:r w:rsidR="00A65E12" w:rsidRPr="00013C48">
              <w:rPr>
                <w:b/>
                <w:lang w:val="ru-RU"/>
              </w:rPr>
              <w:t xml:space="preserve">: </w:t>
            </w:r>
            <w:r w:rsidR="00FC65B6" w:rsidRPr="00013C48">
              <w:rPr>
                <w:b/>
                <w:lang w:val="ru-RU"/>
              </w:rPr>
              <w:t>испанский</w:t>
            </w:r>
          </w:p>
        </w:tc>
      </w:tr>
      <w:tr w:rsidR="00DB4196" w:rsidRPr="00013C48">
        <w:trPr>
          <w:cantSplit/>
        </w:trPr>
        <w:tc>
          <w:tcPr>
            <w:tcW w:w="10031" w:type="dxa"/>
            <w:gridSpan w:val="2"/>
          </w:tcPr>
          <w:p w:rsidR="00DB4196" w:rsidRPr="00013C48" w:rsidRDefault="00DB4196" w:rsidP="00DB4196">
            <w:pPr>
              <w:pStyle w:val="Source"/>
              <w:spacing w:before="720"/>
              <w:rPr>
                <w:szCs w:val="22"/>
                <w:lang w:val="ru-RU"/>
              </w:rPr>
            </w:pPr>
            <w:bookmarkStart w:id="5" w:name="dsource" w:colFirst="0" w:colLast="0"/>
            <w:bookmarkEnd w:id="4"/>
            <w:r w:rsidRPr="00013C48">
              <w:rPr>
                <w:lang w:val="ru-RU"/>
              </w:rPr>
              <w:t>Отчет Генерального секретаря</w:t>
            </w:r>
          </w:p>
        </w:tc>
      </w:tr>
      <w:tr w:rsidR="00DB4196" w:rsidRPr="00013C48">
        <w:trPr>
          <w:cantSplit/>
        </w:trPr>
        <w:tc>
          <w:tcPr>
            <w:tcW w:w="10031" w:type="dxa"/>
            <w:gridSpan w:val="2"/>
          </w:tcPr>
          <w:p w:rsidR="00DB4196" w:rsidRPr="00013C48" w:rsidRDefault="00542F98" w:rsidP="00352C43">
            <w:pPr>
              <w:pStyle w:val="Title1"/>
              <w:rPr>
                <w:szCs w:val="22"/>
                <w:lang w:val="ru-RU"/>
              </w:rPr>
            </w:pPr>
            <w:bookmarkStart w:id="6" w:name="dtitle1" w:colFirst="0" w:colLast="0"/>
            <w:bookmarkEnd w:id="5"/>
            <w:r w:rsidRPr="00013C48">
              <w:rPr>
                <w:lang w:val="ru-RU"/>
              </w:rPr>
              <w:t>ВНЕШНЯЯ</w:t>
            </w:r>
            <w:r w:rsidR="00DB4196" w:rsidRPr="00013C48">
              <w:rPr>
                <w:lang w:val="ru-RU"/>
              </w:rPr>
              <w:t xml:space="preserve"> АУДИТОРСКАЯ проверка</w:t>
            </w:r>
          </w:p>
        </w:tc>
      </w:tr>
      <w:bookmarkEnd w:id="6"/>
    </w:tbl>
    <w:p w:rsidR="00DB4196" w:rsidRPr="00013C48" w:rsidRDefault="00DB4196" w:rsidP="00DB4196">
      <w:pPr>
        <w:spacing w:before="240"/>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B4196" w:rsidRPr="00013C48" w:rsidTr="002F7DB3">
        <w:trPr>
          <w:trHeight w:val="3372"/>
        </w:trPr>
        <w:tc>
          <w:tcPr>
            <w:tcW w:w="8080" w:type="dxa"/>
            <w:tcBorders>
              <w:top w:val="single" w:sz="12" w:space="0" w:color="auto"/>
              <w:left w:val="single" w:sz="12" w:space="0" w:color="auto"/>
              <w:bottom w:val="single" w:sz="12" w:space="0" w:color="auto"/>
              <w:right w:val="single" w:sz="12" w:space="0" w:color="auto"/>
            </w:tcBorders>
          </w:tcPr>
          <w:p w:rsidR="00DB4196" w:rsidRPr="00013C48" w:rsidRDefault="00DB4196" w:rsidP="002F7DB3">
            <w:pPr>
              <w:pStyle w:val="Headingb"/>
              <w:rPr>
                <w:lang w:val="ru-RU"/>
              </w:rPr>
            </w:pPr>
            <w:bookmarkStart w:id="7" w:name="_Toc358196984"/>
            <w:bookmarkStart w:id="8" w:name="_Toc358197245"/>
            <w:bookmarkStart w:id="9" w:name="_Toc399768422"/>
            <w:bookmarkStart w:id="10" w:name="_Toc399768566"/>
            <w:bookmarkStart w:id="11" w:name="_Toc452123325"/>
            <w:bookmarkStart w:id="12" w:name="_Toc452157285"/>
            <w:bookmarkStart w:id="13" w:name="_Toc452158608"/>
            <w:r w:rsidRPr="00013C48">
              <w:rPr>
                <w:lang w:val="ru-RU"/>
              </w:rPr>
              <w:t>Резюме</w:t>
            </w:r>
            <w:bookmarkEnd w:id="7"/>
            <w:bookmarkEnd w:id="8"/>
            <w:bookmarkEnd w:id="9"/>
            <w:bookmarkEnd w:id="10"/>
            <w:bookmarkEnd w:id="11"/>
            <w:bookmarkEnd w:id="12"/>
            <w:bookmarkEnd w:id="13"/>
          </w:p>
          <w:p w:rsidR="00DB4196" w:rsidRPr="00013C48" w:rsidRDefault="00542F98" w:rsidP="008558B5">
            <w:pPr>
              <w:rPr>
                <w:lang w:val="ru-RU"/>
              </w:rPr>
            </w:pPr>
            <w:r w:rsidRPr="00013C48">
              <w:rPr>
                <w:lang w:val="ru-RU"/>
              </w:rPr>
              <w:t>Отчет Внешнего аудитора касается аудита финансовой отчетности за 2015 год.</w:t>
            </w:r>
          </w:p>
          <w:p w:rsidR="00DB4196" w:rsidRPr="00013C48" w:rsidRDefault="00DB4196" w:rsidP="002F7DB3">
            <w:pPr>
              <w:pStyle w:val="Headingb"/>
              <w:rPr>
                <w:lang w:val="ru-RU"/>
              </w:rPr>
            </w:pPr>
            <w:bookmarkStart w:id="14" w:name="_Toc358196985"/>
            <w:bookmarkStart w:id="15" w:name="_Toc358197246"/>
            <w:bookmarkStart w:id="16" w:name="_Toc399768423"/>
            <w:bookmarkStart w:id="17" w:name="_Toc399768567"/>
            <w:bookmarkStart w:id="18" w:name="_Toc452123326"/>
            <w:bookmarkStart w:id="19" w:name="_Toc452157286"/>
            <w:bookmarkStart w:id="20" w:name="_Toc452158609"/>
            <w:r w:rsidRPr="00013C48">
              <w:rPr>
                <w:lang w:val="ru-RU"/>
              </w:rPr>
              <w:t>Необходимые действия</w:t>
            </w:r>
            <w:bookmarkEnd w:id="14"/>
            <w:bookmarkEnd w:id="15"/>
            <w:bookmarkEnd w:id="16"/>
            <w:bookmarkEnd w:id="17"/>
            <w:bookmarkEnd w:id="18"/>
            <w:bookmarkEnd w:id="19"/>
            <w:bookmarkEnd w:id="20"/>
          </w:p>
          <w:p w:rsidR="00DB4196" w:rsidRPr="00013C48" w:rsidRDefault="00542F98" w:rsidP="008558B5">
            <w:pPr>
              <w:rPr>
                <w:lang w:val="ru-RU"/>
              </w:rPr>
            </w:pPr>
            <w:r w:rsidRPr="00013C48">
              <w:rPr>
                <w:lang w:val="ru-RU"/>
              </w:rPr>
              <w:t>Совету предлагается рассмотреть отчет Внешнего аудитора по счетам за 2015 год и </w:t>
            </w:r>
            <w:r w:rsidRPr="00013C48">
              <w:rPr>
                <w:b/>
                <w:bCs/>
                <w:lang w:val="ru-RU"/>
              </w:rPr>
              <w:t>утвердить</w:t>
            </w:r>
            <w:r w:rsidRPr="00013C48">
              <w:rPr>
                <w:lang w:val="ru-RU"/>
              </w:rPr>
              <w:t xml:space="preserve"> счета в том виде, в каком они были проверены</w:t>
            </w:r>
            <w:r w:rsidRPr="00013C48">
              <w:rPr>
                <w:szCs w:val="22"/>
                <w:lang w:val="ru-RU"/>
              </w:rPr>
              <w:t>.</w:t>
            </w:r>
          </w:p>
          <w:p w:rsidR="00DB4196" w:rsidRPr="00013C48" w:rsidRDefault="00DB4196" w:rsidP="002F7DB3">
            <w:pPr>
              <w:spacing w:before="240"/>
              <w:jc w:val="center"/>
              <w:rPr>
                <w:caps/>
                <w:szCs w:val="22"/>
                <w:lang w:val="ru-RU"/>
              </w:rPr>
            </w:pPr>
            <w:r w:rsidRPr="00013C48">
              <w:rPr>
                <w:caps/>
                <w:szCs w:val="22"/>
                <w:lang w:val="ru-RU"/>
              </w:rPr>
              <w:t>____________</w:t>
            </w:r>
          </w:p>
          <w:p w:rsidR="00DB4196" w:rsidRPr="00013C48" w:rsidRDefault="00DB4196" w:rsidP="002F7DB3">
            <w:pPr>
              <w:pStyle w:val="Headingb"/>
              <w:rPr>
                <w:lang w:val="ru-RU"/>
              </w:rPr>
            </w:pPr>
            <w:bookmarkStart w:id="21" w:name="_Toc358196986"/>
            <w:bookmarkStart w:id="22" w:name="_Toc358197247"/>
            <w:bookmarkStart w:id="23" w:name="_Toc399768424"/>
            <w:bookmarkStart w:id="24" w:name="_Toc399768568"/>
            <w:bookmarkStart w:id="25" w:name="_Toc452123327"/>
            <w:bookmarkStart w:id="26" w:name="_Toc452157287"/>
            <w:bookmarkStart w:id="27" w:name="_Toc452158610"/>
            <w:r w:rsidRPr="00013C48">
              <w:rPr>
                <w:lang w:val="ru-RU"/>
              </w:rPr>
              <w:t>Справочные материалы</w:t>
            </w:r>
            <w:bookmarkEnd w:id="21"/>
            <w:bookmarkEnd w:id="22"/>
            <w:bookmarkEnd w:id="23"/>
            <w:bookmarkEnd w:id="24"/>
            <w:bookmarkEnd w:id="25"/>
            <w:bookmarkEnd w:id="26"/>
            <w:bookmarkEnd w:id="27"/>
          </w:p>
          <w:p w:rsidR="00DB4196" w:rsidRPr="00013C48" w:rsidRDefault="001A3ECD" w:rsidP="002F7DB3">
            <w:pPr>
              <w:spacing w:after="120"/>
              <w:rPr>
                <w:i/>
                <w:iCs/>
                <w:lang w:val="ru-RU"/>
              </w:rPr>
            </w:pPr>
            <w:hyperlink r:id="rId9" w:history="1">
              <w:r w:rsidR="00DB4196" w:rsidRPr="00013C48">
                <w:rPr>
                  <w:rStyle w:val="Hyperlink"/>
                  <w:i/>
                  <w:iCs/>
                  <w:lang w:val="ru-RU"/>
                </w:rPr>
                <w:t>Финансовый регламент (издание 2010 г.)</w:t>
              </w:r>
            </w:hyperlink>
            <w:r w:rsidR="00DB4196" w:rsidRPr="00013C48">
              <w:rPr>
                <w:i/>
                <w:iCs/>
                <w:lang w:val="ru-RU"/>
              </w:rPr>
              <w:t>: Статья 28 и Дополнительные полномочия</w:t>
            </w:r>
          </w:p>
        </w:tc>
      </w:tr>
    </w:tbl>
    <w:p w:rsidR="00542F98" w:rsidRPr="00013C48" w:rsidRDefault="00542F98" w:rsidP="00CB7F68">
      <w:pPr>
        <w:rPr>
          <w:lang w:val="ru-RU"/>
        </w:rPr>
      </w:pPr>
    </w:p>
    <w:p w:rsidR="00542F98" w:rsidRPr="00013C48" w:rsidRDefault="00542F98">
      <w:pPr>
        <w:tabs>
          <w:tab w:val="clear" w:pos="794"/>
          <w:tab w:val="clear" w:pos="1191"/>
          <w:tab w:val="clear" w:pos="1588"/>
          <w:tab w:val="clear" w:pos="1985"/>
        </w:tabs>
        <w:overflowPunct/>
        <w:autoSpaceDE/>
        <w:autoSpaceDN/>
        <w:adjustRightInd/>
        <w:spacing w:before="0"/>
        <w:textAlignment w:val="auto"/>
        <w:rPr>
          <w:lang w:val="ru-RU"/>
        </w:rPr>
      </w:pPr>
      <w:r w:rsidRPr="00013C48">
        <w:rPr>
          <w:lang w:val="ru-RU"/>
        </w:rPr>
        <w:br w:type="page"/>
      </w:r>
    </w:p>
    <w:p w:rsidR="00542F98" w:rsidRPr="00013C48" w:rsidRDefault="00542F98" w:rsidP="00542F98">
      <w:pPr>
        <w:spacing w:before="4000"/>
        <w:ind w:left="4253" w:right="108"/>
        <w:rPr>
          <w:lang w:val="ru-RU"/>
        </w:rPr>
      </w:pPr>
      <w:bookmarkStart w:id="28" w:name="_Toc358129144"/>
      <w:bookmarkStart w:id="29" w:name="_Toc358192649"/>
      <w:bookmarkStart w:id="30" w:name="_Toc358192810"/>
      <w:bookmarkStart w:id="31" w:name="_Toc398125295"/>
      <w:bookmarkStart w:id="32" w:name="_Toc398125774"/>
      <w:r w:rsidRPr="00013C48">
        <w:rPr>
          <w:noProof/>
          <w:lang w:eastAsia="zh-CN"/>
        </w:rPr>
        <w:lastRenderedPageBreak/>
        <w:drawing>
          <wp:inline distT="0" distB="0" distL="0" distR="0" wp14:anchorId="0380F35A" wp14:editId="0504657E">
            <wp:extent cx="796060" cy="895082"/>
            <wp:effectExtent l="0" t="0" r="4445" b="635"/>
            <wp:docPr id="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p>
    <w:p w:rsidR="00542F98" w:rsidRPr="00013C48" w:rsidRDefault="00542F98" w:rsidP="00542F98">
      <w:pPr>
        <w:ind w:right="107"/>
        <w:jc w:val="center"/>
        <w:rPr>
          <w:lang w:val="ru-RU"/>
        </w:rPr>
      </w:pPr>
      <w:proofErr w:type="spellStart"/>
      <w:r w:rsidRPr="00013C48">
        <w:rPr>
          <w:rFonts w:ascii="Kunstler Script" w:hAnsi="Kunstler Script"/>
          <w:sz w:val="72"/>
          <w:szCs w:val="72"/>
          <w:lang w:val="ru-RU"/>
        </w:rPr>
        <w:t>Corte</w:t>
      </w:r>
      <w:proofErr w:type="spellEnd"/>
      <w:r w:rsidRPr="00013C48">
        <w:rPr>
          <w:rFonts w:ascii="Kunstler Script" w:hAnsi="Kunstler Script"/>
          <w:sz w:val="72"/>
          <w:szCs w:val="72"/>
          <w:lang w:val="ru-RU"/>
        </w:rPr>
        <w:t xml:space="preserve"> </w:t>
      </w:r>
      <w:proofErr w:type="spellStart"/>
      <w:r w:rsidRPr="00013C48">
        <w:rPr>
          <w:rFonts w:ascii="Kunstler Script" w:hAnsi="Kunstler Script"/>
          <w:sz w:val="72"/>
          <w:szCs w:val="72"/>
          <w:lang w:val="ru-RU"/>
        </w:rPr>
        <w:t>dei</w:t>
      </w:r>
      <w:proofErr w:type="spellEnd"/>
      <w:r w:rsidRPr="00013C48">
        <w:rPr>
          <w:rFonts w:ascii="Kunstler Script" w:hAnsi="Kunstler Script"/>
          <w:sz w:val="72"/>
          <w:szCs w:val="72"/>
          <w:lang w:val="ru-RU"/>
        </w:rPr>
        <w:t xml:space="preserve"> </w:t>
      </w:r>
      <w:proofErr w:type="spellStart"/>
      <w:r w:rsidRPr="00013C48">
        <w:rPr>
          <w:rFonts w:ascii="Kunstler Script" w:hAnsi="Kunstler Script"/>
          <w:sz w:val="72"/>
          <w:szCs w:val="72"/>
          <w:lang w:val="ru-RU"/>
        </w:rPr>
        <w:t>conti</w:t>
      </w:r>
      <w:proofErr w:type="spellEnd"/>
    </w:p>
    <w:p w:rsidR="00542F98" w:rsidRPr="00013C48" w:rsidRDefault="00542F98" w:rsidP="00542F98">
      <w:pPr>
        <w:jc w:val="center"/>
        <w:rPr>
          <w:lang w:val="ru-RU"/>
        </w:rPr>
      </w:pPr>
      <w:r w:rsidRPr="00013C48">
        <w:rPr>
          <w:lang w:val="ru-RU"/>
        </w:rPr>
        <w:t>Государственная счетная палата Италии</w:t>
      </w:r>
    </w:p>
    <w:p w:rsidR="00542F98" w:rsidRPr="00013C48" w:rsidRDefault="00542F98" w:rsidP="00542F98">
      <w:pPr>
        <w:spacing w:before="1440"/>
        <w:jc w:val="center"/>
        <w:rPr>
          <w:sz w:val="26"/>
          <w:szCs w:val="26"/>
          <w:lang w:val="ru-RU"/>
        </w:rPr>
      </w:pPr>
      <w:r w:rsidRPr="00013C48">
        <w:rPr>
          <w:sz w:val="26"/>
          <w:szCs w:val="26"/>
          <w:lang w:val="ru-RU"/>
        </w:rPr>
        <w:t>ОТЧЕТ ВНЕШНЕГО АУДИТОРА</w:t>
      </w:r>
    </w:p>
    <w:bookmarkEnd w:id="28"/>
    <w:bookmarkEnd w:id="29"/>
    <w:bookmarkEnd w:id="30"/>
    <w:bookmarkEnd w:id="31"/>
    <w:bookmarkEnd w:id="32"/>
    <w:p w:rsidR="00542F98" w:rsidRPr="00013C48" w:rsidRDefault="00542F98" w:rsidP="00542F98">
      <w:pPr>
        <w:spacing w:before="1440"/>
        <w:jc w:val="center"/>
        <w:rPr>
          <w:b/>
          <w:bCs/>
          <w:sz w:val="26"/>
          <w:szCs w:val="26"/>
          <w:lang w:val="ru-RU"/>
        </w:rPr>
      </w:pPr>
      <w:r w:rsidRPr="00013C48">
        <w:rPr>
          <w:b/>
          <w:bCs/>
          <w:sz w:val="26"/>
          <w:szCs w:val="26"/>
          <w:lang w:val="ru-RU"/>
        </w:rPr>
        <w:t>МЕЖДУНАРОДНЫЙ СОЮЗ ЭЛЕКТРОСВЯЗИ</w:t>
      </w:r>
      <w:r w:rsidRPr="00013C48">
        <w:rPr>
          <w:b/>
          <w:bCs/>
          <w:sz w:val="26"/>
          <w:szCs w:val="26"/>
          <w:lang w:val="ru-RU"/>
        </w:rPr>
        <w:br/>
        <w:t>(МСЭ)</w:t>
      </w:r>
    </w:p>
    <w:p w:rsidR="00542F98" w:rsidRPr="00013C48" w:rsidRDefault="00542F98" w:rsidP="00542F98">
      <w:pPr>
        <w:jc w:val="center"/>
        <w:rPr>
          <w:b/>
          <w:bCs/>
          <w:lang w:val="ru-RU"/>
        </w:rPr>
      </w:pPr>
      <w:r w:rsidRPr="00013C48">
        <w:rPr>
          <w:b/>
          <w:bCs/>
          <w:lang w:val="ru-RU"/>
        </w:rPr>
        <w:t>Аудиторская проверка финансовой отчетности за 2015 год</w:t>
      </w:r>
    </w:p>
    <w:p w:rsidR="00542F98" w:rsidRPr="00013C48" w:rsidRDefault="00542F98" w:rsidP="00542F98">
      <w:pPr>
        <w:spacing w:before="6000"/>
        <w:jc w:val="center"/>
        <w:rPr>
          <w:lang w:val="ru-RU"/>
        </w:rPr>
      </w:pPr>
      <w:r w:rsidRPr="00013C48">
        <w:rPr>
          <w:lang w:val="ru-RU"/>
        </w:rPr>
        <w:t>17 мая 2016 года</w:t>
      </w:r>
    </w:p>
    <w:p w:rsidR="00542F98" w:rsidRPr="00013C48" w:rsidRDefault="00542F98" w:rsidP="00542F98">
      <w:pPr>
        <w:rPr>
          <w:lang w:val="ru-RU"/>
        </w:rPr>
      </w:pPr>
      <w:r w:rsidRPr="00013C48">
        <w:rPr>
          <w:lang w:val="ru-RU"/>
        </w:rPr>
        <w:br w:type="page"/>
      </w:r>
    </w:p>
    <w:p w:rsidR="00542F98" w:rsidRPr="00013C48" w:rsidRDefault="00542F98" w:rsidP="00542F98">
      <w:pPr>
        <w:tabs>
          <w:tab w:val="clear" w:pos="794"/>
          <w:tab w:val="clear" w:pos="1191"/>
          <w:tab w:val="clear" w:pos="1588"/>
          <w:tab w:val="clear" w:pos="1985"/>
        </w:tabs>
        <w:overflowPunct/>
        <w:autoSpaceDE/>
        <w:autoSpaceDN/>
        <w:adjustRightInd/>
        <w:spacing w:before="0"/>
        <w:jc w:val="center"/>
        <w:textAlignment w:val="auto"/>
        <w:rPr>
          <w:szCs w:val="22"/>
          <w:lang w:val="ru-RU"/>
        </w:rPr>
      </w:pPr>
      <w:r w:rsidRPr="00013C48">
        <w:rPr>
          <w:szCs w:val="22"/>
          <w:lang w:val="ru-RU"/>
        </w:rPr>
        <w:lastRenderedPageBreak/>
        <w:t>СОДЕРЖАНИЕ</w:t>
      </w:r>
    </w:p>
    <w:p w:rsidR="00542F98" w:rsidRPr="00013C48" w:rsidRDefault="00542F98" w:rsidP="00542F98">
      <w:pPr>
        <w:tabs>
          <w:tab w:val="clear" w:pos="794"/>
          <w:tab w:val="clear" w:pos="1191"/>
          <w:tab w:val="clear" w:pos="1588"/>
          <w:tab w:val="clear" w:pos="1985"/>
        </w:tabs>
        <w:overflowPunct/>
        <w:autoSpaceDE/>
        <w:autoSpaceDN/>
        <w:adjustRightInd/>
        <w:jc w:val="right"/>
        <w:textAlignment w:val="auto"/>
        <w:rPr>
          <w:lang w:val="ru-RU"/>
        </w:rPr>
      </w:pPr>
      <w:r w:rsidRPr="00013C48">
        <w:rPr>
          <w:b/>
          <w:bCs/>
          <w:lang w:val="ru-RU"/>
        </w:rPr>
        <w:t>Стр</w:t>
      </w:r>
      <w:r w:rsidRPr="00013C48">
        <w:rPr>
          <w:lang w:val="ru-RU"/>
        </w:rPr>
        <w:t>.</w:t>
      </w:r>
    </w:p>
    <w:p w:rsidR="00C75987" w:rsidRDefault="00C75987"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r>
        <w:rPr>
          <w:lang w:val="ru-RU"/>
        </w:rPr>
        <w:fldChar w:fldCharType="begin"/>
      </w:r>
      <w:r>
        <w:rPr>
          <w:lang w:val="ru-RU"/>
        </w:rPr>
        <w:instrText xml:space="preserve"> TOC \o "1-1" \h \z \t "Heading_b,1,Annex_No,1,Annex_title,1,Heading_i,1" </w:instrText>
      </w:r>
      <w:r>
        <w:rPr>
          <w:lang w:val="ru-RU"/>
        </w:rPr>
        <w:fldChar w:fldCharType="separate"/>
      </w:r>
      <w:hyperlink w:anchor="_Toc452158611" w:history="1">
        <w:r w:rsidRPr="00027346">
          <w:rPr>
            <w:rStyle w:val="Hyperlink"/>
            <w:b/>
            <w:bCs/>
            <w:noProof/>
            <w:lang w:val="ru-RU"/>
          </w:rPr>
          <w:t>ВВЕДЕНИЕ</w:t>
        </w:r>
        <w:r>
          <w:rPr>
            <w:noProof/>
            <w:webHidden/>
          </w:rPr>
          <w:tab/>
        </w:r>
        <w:r w:rsidR="00A87311">
          <w:rPr>
            <w:noProof/>
            <w:webHidden/>
          </w:rPr>
          <w:tab/>
        </w:r>
        <w:r>
          <w:rPr>
            <w:noProof/>
            <w:webHidden/>
          </w:rPr>
          <w:fldChar w:fldCharType="begin"/>
        </w:r>
        <w:r>
          <w:rPr>
            <w:noProof/>
            <w:webHidden/>
          </w:rPr>
          <w:instrText xml:space="preserve"> PAGEREF _Toc452158611 \h </w:instrText>
        </w:r>
        <w:r>
          <w:rPr>
            <w:noProof/>
            <w:webHidden/>
          </w:rPr>
        </w:r>
        <w:r>
          <w:rPr>
            <w:noProof/>
            <w:webHidden/>
          </w:rPr>
          <w:fldChar w:fldCharType="separate"/>
        </w:r>
        <w:r>
          <w:rPr>
            <w:noProof/>
            <w:webHidden/>
          </w:rPr>
          <w:t>6</w:t>
        </w:r>
        <w:r>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12" w:history="1">
        <w:r w:rsidR="00C75987" w:rsidRPr="00027346">
          <w:rPr>
            <w:rStyle w:val="Hyperlink"/>
            <w:b/>
            <w:bCs/>
            <w:noProof/>
            <w:lang w:val="ru-RU"/>
          </w:rPr>
          <w:t>АУДИТОРСКОЕ ЗАКЛЮЧЕНИЕ</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_Toc452158612 \h </w:instrText>
        </w:r>
        <w:r w:rsidR="00C75987">
          <w:rPr>
            <w:noProof/>
            <w:webHidden/>
          </w:rPr>
        </w:r>
        <w:r w:rsidR="00C75987">
          <w:rPr>
            <w:noProof/>
            <w:webHidden/>
          </w:rPr>
          <w:fldChar w:fldCharType="separate"/>
        </w:r>
        <w:r w:rsidR="00C75987">
          <w:rPr>
            <w:noProof/>
            <w:webHidden/>
          </w:rPr>
          <w:t>8</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18" w:history="1">
        <w:r w:rsidR="00C75987" w:rsidRPr="00027346">
          <w:rPr>
            <w:rStyle w:val="Hyperlink"/>
            <w:b/>
            <w:bCs/>
            <w:noProof/>
            <w:lang w:val="ru-RU"/>
          </w:rPr>
          <w:t>СТРУКТУРА БУХГАЛТЕРСКОЙ ОТЧЕТНОСТИ</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_Toc452158618 \h </w:instrText>
        </w:r>
        <w:r w:rsidR="00C75987">
          <w:rPr>
            <w:noProof/>
            <w:webHidden/>
          </w:rPr>
        </w:r>
        <w:r w:rsidR="00C75987">
          <w:rPr>
            <w:noProof/>
            <w:webHidden/>
          </w:rPr>
          <w:fldChar w:fldCharType="separate"/>
        </w:r>
        <w:r w:rsidR="00C75987">
          <w:rPr>
            <w:noProof/>
            <w:webHidden/>
          </w:rPr>
          <w:t>10</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19" w:history="1">
        <w:r w:rsidR="00C75987" w:rsidRPr="00027346">
          <w:rPr>
            <w:rStyle w:val="Hyperlink"/>
            <w:b/>
            <w:bCs/>
            <w:noProof/>
            <w:lang w:val="ru-RU"/>
          </w:rPr>
          <w:t>ОТЧЕТ О ФИНАНСОВОМ ПОЛОЖЕНИИ ЗА 2015 ГОД</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_Toc452158619 \h </w:instrText>
        </w:r>
        <w:r w:rsidR="00C75987">
          <w:rPr>
            <w:noProof/>
            <w:webHidden/>
          </w:rPr>
        </w:r>
        <w:r w:rsidR="00C75987">
          <w:rPr>
            <w:noProof/>
            <w:webHidden/>
          </w:rPr>
          <w:fldChar w:fldCharType="separate"/>
        </w:r>
        <w:r w:rsidR="00C75987">
          <w:rPr>
            <w:noProof/>
            <w:webHidden/>
          </w:rPr>
          <w:t>10</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20" w:history="1">
        <w:r w:rsidR="00C75987" w:rsidRPr="00FB73E1">
          <w:rPr>
            <w:rStyle w:val="Hyperlink"/>
            <w:noProof/>
            <w:lang w:val="ru-RU"/>
          </w:rPr>
          <w:t>АКТИВЫ</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_Toc452158620 \h </w:instrText>
        </w:r>
        <w:r w:rsidR="00C75987">
          <w:rPr>
            <w:noProof/>
            <w:webHidden/>
          </w:rPr>
        </w:r>
        <w:r w:rsidR="00C75987">
          <w:rPr>
            <w:noProof/>
            <w:webHidden/>
          </w:rPr>
          <w:fldChar w:fldCharType="separate"/>
        </w:r>
        <w:r w:rsidR="00C75987">
          <w:rPr>
            <w:noProof/>
            <w:webHidden/>
          </w:rPr>
          <w:t>10</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21" w:history="1">
        <w:r w:rsidR="00C75987" w:rsidRPr="00FB73E1">
          <w:rPr>
            <w:rStyle w:val="Hyperlink"/>
            <w:noProof/>
            <w:lang w:val="ru-RU"/>
          </w:rPr>
          <w:t>Текущие активы</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_Toc452158621 \h </w:instrText>
        </w:r>
        <w:r w:rsidR="00C75987">
          <w:rPr>
            <w:noProof/>
            <w:webHidden/>
          </w:rPr>
        </w:r>
        <w:r w:rsidR="00C75987">
          <w:rPr>
            <w:noProof/>
            <w:webHidden/>
          </w:rPr>
          <w:fldChar w:fldCharType="separate"/>
        </w:r>
        <w:r w:rsidR="00C75987">
          <w:rPr>
            <w:noProof/>
            <w:webHidden/>
          </w:rPr>
          <w:t>10</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22" w:history="1">
        <w:r w:rsidR="00C75987" w:rsidRPr="00FB73E1">
          <w:rPr>
            <w:rStyle w:val="Hyperlink"/>
            <w:noProof/>
            <w:lang w:val="ru-RU"/>
          </w:rPr>
          <w:t>Денежные средства и эквиваленты денежных средств</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_Toc452158622 \h </w:instrText>
        </w:r>
        <w:r w:rsidR="00C75987">
          <w:rPr>
            <w:noProof/>
            <w:webHidden/>
          </w:rPr>
        </w:r>
        <w:r w:rsidR="00C75987">
          <w:rPr>
            <w:noProof/>
            <w:webHidden/>
          </w:rPr>
          <w:fldChar w:fldCharType="separate"/>
        </w:r>
        <w:r w:rsidR="00C75987">
          <w:rPr>
            <w:noProof/>
            <w:webHidden/>
          </w:rPr>
          <w:t>11</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23" w:history="1">
        <w:r w:rsidR="00C75987" w:rsidRPr="00C75987">
          <w:rPr>
            <w:rStyle w:val="Hyperlink"/>
            <w:i/>
            <w:iCs/>
            <w:noProof/>
            <w:lang w:val="ru-RU"/>
          </w:rPr>
          <w:t>Обновление списка разрешенных подписей в банках</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_Toc452158623 \h </w:instrText>
        </w:r>
        <w:r w:rsidR="00C75987">
          <w:rPr>
            <w:noProof/>
            <w:webHidden/>
          </w:rPr>
        </w:r>
        <w:r w:rsidR="00C75987">
          <w:rPr>
            <w:noProof/>
            <w:webHidden/>
          </w:rPr>
          <w:fldChar w:fldCharType="separate"/>
        </w:r>
        <w:r w:rsidR="00C75987">
          <w:rPr>
            <w:noProof/>
            <w:webHidden/>
          </w:rPr>
          <w:t>11</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24" w:history="1">
        <w:r w:rsidR="00C75987" w:rsidRPr="00FB73E1">
          <w:rPr>
            <w:rStyle w:val="Hyperlink"/>
            <w:noProof/>
            <w:lang w:val="ru-RU"/>
          </w:rPr>
          <w:t>Вклады</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_Toc452158624 \h </w:instrText>
        </w:r>
        <w:r w:rsidR="00C75987">
          <w:rPr>
            <w:noProof/>
            <w:webHidden/>
          </w:rPr>
        </w:r>
        <w:r w:rsidR="00C75987">
          <w:rPr>
            <w:noProof/>
            <w:webHidden/>
          </w:rPr>
          <w:fldChar w:fldCharType="separate"/>
        </w:r>
        <w:r w:rsidR="00C75987">
          <w:rPr>
            <w:noProof/>
            <w:webHidden/>
          </w:rPr>
          <w:t>11</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25" w:history="1">
        <w:r w:rsidR="00C75987" w:rsidRPr="00FB73E1">
          <w:rPr>
            <w:rStyle w:val="Hyperlink"/>
            <w:noProof/>
            <w:lang w:val="ru-RU"/>
          </w:rPr>
          <w:t>Долговые обязательства</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_Toc452158625 \h </w:instrText>
        </w:r>
        <w:r w:rsidR="00C75987">
          <w:rPr>
            <w:noProof/>
            <w:webHidden/>
          </w:rPr>
        </w:r>
        <w:r w:rsidR="00C75987">
          <w:rPr>
            <w:noProof/>
            <w:webHidden/>
          </w:rPr>
          <w:fldChar w:fldCharType="separate"/>
        </w:r>
        <w:r w:rsidR="00C75987">
          <w:rPr>
            <w:noProof/>
            <w:webHidden/>
          </w:rPr>
          <w:t>11</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26" w:history="1">
        <w:r w:rsidR="00C75987" w:rsidRPr="00FB73E1">
          <w:rPr>
            <w:rStyle w:val="Hyperlink"/>
            <w:noProof/>
            <w:lang w:val="ru-RU"/>
          </w:rPr>
          <w:t>Прочие текущие долговые обязательства</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_Toc452158626 \h </w:instrText>
        </w:r>
        <w:r w:rsidR="00C75987">
          <w:rPr>
            <w:noProof/>
            <w:webHidden/>
          </w:rPr>
        </w:r>
        <w:r w:rsidR="00C75987">
          <w:rPr>
            <w:noProof/>
            <w:webHidden/>
          </w:rPr>
          <w:fldChar w:fldCharType="separate"/>
        </w:r>
        <w:r w:rsidR="00C75987">
          <w:rPr>
            <w:noProof/>
            <w:webHidden/>
          </w:rPr>
          <w:t>12</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27" w:history="1">
        <w:r w:rsidR="00C75987" w:rsidRPr="00FB73E1">
          <w:rPr>
            <w:rStyle w:val="Hyperlink"/>
            <w:noProof/>
            <w:lang w:val="ru-RU"/>
          </w:rPr>
          <w:t>Запасы</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_Toc452158627 \h </w:instrText>
        </w:r>
        <w:r w:rsidR="00C75987">
          <w:rPr>
            <w:noProof/>
            <w:webHidden/>
          </w:rPr>
        </w:r>
        <w:r w:rsidR="00C75987">
          <w:rPr>
            <w:noProof/>
            <w:webHidden/>
          </w:rPr>
          <w:fldChar w:fldCharType="separate"/>
        </w:r>
        <w:r w:rsidR="00C75987">
          <w:rPr>
            <w:noProof/>
            <w:webHidden/>
          </w:rPr>
          <w:t>12</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28" w:history="1">
        <w:r w:rsidR="00C75987" w:rsidRPr="00FB73E1">
          <w:rPr>
            <w:rStyle w:val="Hyperlink"/>
            <w:noProof/>
            <w:lang w:val="ru-RU"/>
          </w:rPr>
          <w:t>Нетекущие активы</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_Toc452158628 \h </w:instrText>
        </w:r>
        <w:r w:rsidR="00C75987">
          <w:rPr>
            <w:noProof/>
            <w:webHidden/>
          </w:rPr>
        </w:r>
        <w:r w:rsidR="00C75987">
          <w:rPr>
            <w:noProof/>
            <w:webHidden/>
          </w:rPr>
          <w:fldChar w:fldCharType="separate"/>
        </w:r>
        <w:r w:rsidR="00C75987">
          <w:rPr>
            <w:noProof/>
            <w:webHidden/>
          </w:rPr>
          <w:t>12</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29" w:history="1">
        <w:r w:rsidR="00C75987" w:rsidRPr="00FB73E1">
          <w:rPr>
            <w:rStyle w:val="Hyperlink"/>
            <w:noProof/>
            <w:lang w:val="ru-RU"/>
          </w:rPr>
          <w:t>Материальные активы</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_Toc452158629 \h </w:instrText>
        </w:r>
        <w:r w:rsidR="00C75987">
          <w:rPr>
            <w:noProof/>
            <w:webHidden/>
          </w:rPr>
        </w:r>
        <w:r w:rsidR="00C75987">
          <w:rPr>
            <w:noProof/>
            <w:webHidden/>
          </w:rPr>
          <w:fldChar w:fldCharType="separate"/>
        </w:r>
        <w:r w:rsidR="00C75987">
          <w:rPr>
            <w:noProof/>
            <w:webHidden/>
          </w:rPr>
          <w:t>12</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30" w:history="1">
        <w:r w:rsidR="00C75987" w:rsidRPr="00C75987">
          <w:rPr>
            <w:rStyle w:val="Hyperlink"/>
            <w:i/>
            <w:iCs/>
            <w:noProof/>
            <w:lang w:val="ru-RU"/>
          </w:rPr>
          <w:t>Необходимо повысить точность реестра активов</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_Toc452158630 \h </w:instrText>
        </w:r>
        <w:r w:rsidR="00C75987">
          <w:rPr>
            <w:noProof/>
            <w:webHidden/>
          </w:rPr>
        </w:r>
        <w:r w:rsidR="00C75987">
          <w:rPr>
            <w:noProof/>
            <w:webHidden/>
          </w:rPr>
          <w:fldChar w:fldCharType="separate"/>
        </w:r>
        <w:r w:rsidR="00C75987">
          <w:rPr>
            <w:noProof/>
            <w:webHidden/>
          </w:rPr>
          <w:t>13</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31" w:history="1">
        <w:r w:rsidR="00C75987" w:rsidRPr="00C75987">
          <w:rPr>
            <w:rStyle w:val="Hyperlink"/>
            <w:i/>
            <w:iCs/>
            <w:noProof/>
            <w:lang w:val="ru-RU"/>
          </w:rPr>
          <w:t>Необходимо пересмотреть коэффициенты амортизации</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_Toc452158631 \h </w:instrText>
        </w:r>
        <w:r w:rsidR="00C75987">
          <w:rPr>
            <w:noProof/>
            <w:webHidden/>
          </w:rPr>
        </w:r>
        <w:r w:rsidR="00C75987">
          <w:rPr>
            <w:noProof/>
            <w:webHidden/>
          </w:rPr>
          <w:fldChar w:fldCharType="separate"/>
        </w:r>
        <w:r w:rsidR="00C75987">
          <w:rPr>
            <w:noProof/>
            <w:webHidden/>
          </w:rPr>
          <w:t>14</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32" w:history="1">
        <w:r w:rsidR="00C75987" w:rsidRPr="00C75987">
          <w:rPr>
            <w:rStyle w:val="Hyperlink"/>
            <w:i/>
            <w:iCs/>
            <w:noProof/>
            <w:lang w:val="ru-RU"/>
          </w:rPr>
          <w:t>Стоит осуществить дальнейшее внедрение "управления материальными активами"</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_Toc452158632 \h </w:instrText>
        </w:r>
        <w:r w:rsidR="00C75987">
          <w:rPr>
            <w:noProof/>
            <w:webHidden/>
          </w:rPr>
        </w:r>
        <w:r w:rsidR="00C75987">
          <w:rPr>
            <w:noProof/>
            <w:webHidden/>
          </w:rPr>
          <w:fldChar w:fldCharType="separate"/>
        </w:r>
        <w:r w:rsidR="00C75987">
          <w:rPr>
            <w:noProof/>
            <w:webHidden/>
          </w:rPr>
          <w:t>14</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33" w:history="1">
        <w:r w:rsidR="00C75987" w:rsidRPr="00C75987">
          <w:rPr>
            <w:rStyle w:val="Hyperlink"/>
            <w:i/>
            <w:iCs/>
            <w:noProof/>
            <w:lang w:val="ru-RU"/>
          </w:rPr>
          <w:t>Списание активов</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_Toc452158633 \h </w:instrText>
        </w:r>
        <w:r w:rsidR="00C75987">
          <w:rPr>
            <w:noProof/>
            <w:webHidden/>
          </w:rPr>
        </w:r>
        <w:r w:rsidR="00C75987">
          <w:rPr>
            <w:noProof/>
            <w:webHidden/>
          </w:rPr>
          <w:fldChar w:fldCharType="separate"/>
        </w:r>
        <w:r w:rsidR="00C75987">
          <w:rPr>
            <w:noProof/>
            <w:webHidden/>
          </w:rPr>
          <w:t>15</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34" w:history="1">
        <w:r w:rsidR="00C75987" w:rsidRPr="00FB73E1">
          <w:rPr>
            <w:rStyle w:val="Hyperlink"/>
            <w:noProof/>
            <w:lang w:val="ru-RU"/>
          </w:rPr>
          <w:t>Нематериальные активы</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_Toc452158634 \h </w:instrText>
        </w:r>
        <w:r w:rsidR="00C75987">
          <w:rPr>
            <w:noProof/>
            <w:webHidden/>
          </w:rPr>
        </w:r>
        <w:r w:rsidR="00C75987">
          <w:rPr>
            <w:noProof/>
            <w:webHidden/>
          </w:rPr>
          <w:fldChar w:fldCharType="separate"/>
        </w:r>
        <w:r w:rsidR="00C75987">
          <w:rPr>
            <w:noProof/>
            <w:webHidden/>
          </w:rPr>
          <w:t>15</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35" w:history="1">
        <w:r w:rsidR="00C75987" w:rsidRPr="00FB73E1">
          <w:rPr>
            <w:rStyle w:val="Hyperlink"/>
            <w:noProof/>
            <w:lang w:val="ru-RU"/>
          </w:rPr>
          <w:t>ПАССИВЫ</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_Toc452158635 \h </w:instrText>
        </w:r>
        <w:r w:rsidR="00C75987">
          <w:rPr>
            <w:noProof/>
            <w:webHidden/>
          </w:rPr>
        </w:r>
        <w:r w:rsidR="00C75987">
          <w:rPr>
            <w:noProof/>
            <w:webHidden/>
          </w:rPr>
          <w:fldChar w:fldCharType="separate"/>
        </w:r>
        <w:r w:rsidR="00C75987">
          <w:rPr>
            <w:noProof/>
            <w:webHidden/>
          </w:rPr>
          <w:t>16</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36" w:history="1">
        <w:r w:rsidR="00C75987" w:rsidRPr="00FB73E1">
          <w:rPr>
            <w:rStyle w:val="Hyperlink"/>
            <w:noProof/>
            <w:lang w:val="ru-RU"/>
          </w:rPr>
          <w:t>Текущие пассивы</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_Toc452158636 \h </w:instrText>
        </w:r>
        <w:r w:rsidR="00C75987">
          <w:rPr>
            <w:noProof/>
            <w:webHidden/>
          </w:rPr>
        </w:r>
        <w:r w:rsidR="00C75987">
          <w:rPr>
            <w:noProof/>
            <w:webHidden/>
          </w:rPr>
          <w:fldChar w:fldCharType="separate"/>
        </w:r>
        <w:r w:rsidR="00C75987">
          <w:rPr>
            <w:noProof/>
            <w:webHidden/>
          </w:rPr>
          <w:t>16</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37" w:history="1">
        <w:r w:rsidR="00C75987" w:rsidRPr="00FB73E1">
          <w:rPr>
            <w:rStyle w:val="Hyperlink"/>
            <w:noProof/>
            <w:lang w:val="ru-RU"/>
          </w:rPr>
          <w:t>Поставщики и прочие кредиторы</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_Toc452158637 \h </w:instrText>
        </w:r>
        <w:r w:rsidR="00C75987">
          <w:rPr>
            <w:noProof/>
            <w:webHidden/>
          </w:rPr>
        </w:r>
        <w:r w:rsidR="00C75987">
          <w:rPr>
            <w:noProof/>
            <w:webHidden/>
          </w:rPr>
          <w:fldChar w:fldCharType="separate"/>
        </w:r>
        <w:r w:rsidR="00C75987">
          <w:rPr>
            <w:noProof/>
            <w:webHidden/>
          </w:rPr>
          <w:t>16</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38" w:history="1">
        <w:r w:rsidR="00C75987" w:rsidRPr="00FB73E1">
          <w:rPr>
            <w:rStyle w:val="Hyperlink"/>
            <w:noProof/>
            <w:lang w:val="ru-RU"/>
          </w:rPr>
          <w:t>Доходы будущих периодов</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_Toc452158638 \h </w:instrText>
        </w:r>
        <w:r w:rsidR="00C75987">
          <w:rPr>
            <w:noProof/>
            <w:webHidden/>
          </w:rPr>
        </w:r>
        <w:r w:rsidR="00C75987">
          <w:rPr>
            <w:noProof/>
            <w:webHidden/>
          </w:rPr>
          <w:fldChar w:fldCharType="separate"/>
        </w:r>
        <w:r w:rsidR="00C75987">
          <w:rPr>
            <w:noProof/>
            <w:webHidden/>
          </w:rPr>
          <w:t>16</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39" w:history="1">
        <w:r w:rsidR="00C75987" w:rsidRPr="00FB73E1">
          <w:rPr>
            <w:rStyle w:val="Hyperlink"/>
            <w:noProof/>
            <w:lang w:val="ru-RU"/>
          </w:rPr>
          <w:t>Резервные фонды</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_Toc452158639 \h </w:instrText>
        </w:r>
        <w:r w:rsidR="00C75987">
          <w:rPr>
            <w:noProof/>
            <w:webHidden/>
          </w:rPr>
        </w:r>
        <w:r w:rsidR="00C75987">
          <w:rPr>
            <w:noProof/>
            <w:webHidden/>
          </w:rPr>
          <w:fldChar w:fldCharType="separate"/>
        </w:r>
        <w:r w:rsidR="00C75987">
          <w:rPr>
            <w:noProof/>
            <w:webHidden/>
          </w:rPr>
          <w:t>16</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40" w:history="1">
        <w:r w:rsidR="00C75987" w:rsidRPr="00FB73E1">
          <w:rPr>
            <w:rStyle w:val="Hyperlink"/>
            <w:noProof/>
            <w:lang w:val="ru-RU"/>
          </w:rPr>
          <w:t>Займы и финансовая задолженность</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_Toc452158640 \h </w:instrText>
        </w:r>
        <w:r w:rsidR="00C75987">
          <w:rPr>
            <w:noProof/>
            <w:webHidden/>
          </w:rPr>
        </w:r>
        <w:r w:rsidR="00C75987">
          <w:rPr>
            <w:noProof/>
            <w:webHidden/>
          </w:rPr>
          <w:fldChar w:fldCharType="separate"/>
        </w:r>
        <w:r w:rsidR="00C75987">
          <w:rPr>
            <w:noProof/>
            <w:webHidden/>
          </w:rPr>
          <w:t>17</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41" w:history="1">
        <w:r w:rsidR="00C75987" w:rsidRPr="00FB73E1">
          <w:rPr>
            <w:rStyle w:val="Hyperlink"/>
            <w:noProof/>
            <w:lang w:val="ru-RU"/>
          </w:rPr>
          <w:t>Прочие текущие пассивы</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_Toc452158641 \h </w:instrText>
        </w:r>
        <w:r w:rsidR="00C75987">
          <w:rPr>
            <w:noProof/>
            <w:webHidden/>
          </w:rPr>
        </w:r>
        <w:r w:rsidR="00C75987">
          <w:rPr>
            <w:noProof/>
            <w:webHidden/>
          </w:rPr>
          <w:fldChar w:fldCharType="separate"/>
        </w:r>
        <w:r w:rsidR="00C75987">
          <w:rPr>
            <w:noProof/>
            <w:webHidden/>
          </w:rPr>
          <w:t>17</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42" w:history="1">
        <w:r w:rsidR="00C75987" w:rsidRPr="00FB73E1">
          <w:rPr>
            <w:rStyle w:val="Hyperlink"/>
            <w:noProof/>
            <w:lang w:val="ru-RU"/>
          </w:rPr>
          <w:t>Нетекущие пассивы</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_Toc452158642 \h </w:instrText>
        </w:r>
        <w:r w:rsidR="00C75987">
          <w:rPr>
            <w:noProof/>
            <w:webHidden/>
          </w:rPr>
        </w:r>
        <w:r w:rsidR="00C75987">
          <w:rPr>
            <w:noProof/>
            <w:webHidden/>
          </w:rPr>
          <w:fldChar w:fldCharType="separate"/>
        </w:r>
        <w:r w:rsidR="00C75987">
          <w:rPr>
            <w:noProof/>
            <w:webHidden/>
          </w:rPr>
          <w:t>17</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43" w:history="1">
        <w:r w:rsidR="00C75987" w:rsidRPr="00FB73E1">
          <w:rPr>
            <w:rStyle w:val="Hyperlink"/>
            <w:noProof/>
            <w:lang w:val="ru-RU"/>
          </w:rPr>
          <w:t>Обобщенные сведения о вознаграждении сотрудников</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_Toc452158643 \h </w:instrText>
        </w:r>
        <w:r w:rsidR="00C75987">
          <w:rPr>
            <w:noProof/>
            <w:webHidden/>
          </w:rPr>
        </w:r>
        <w:r w:rsidR="00C75987">
          <w:rPr>
            <w:noProof/>
            <w:webHidden/>
          </w:rPr>
          <w:fldChar w:fldCharType="separate"/>
        </w:r>
        <w:r w:rsidR="00C75987">
          <w:rPr>
            <w:noProof/>
            <w:webHidden/>
          </w:rPr>
          <w:t>17</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44" w:history="1">
        <w:r w:rsidR="00C75987" w:rsidRPr="00FB73E1">
          <w:rPr>
            <w:rStyle w:val="Hyperlink"/>
            <w:noProof/>
            <w:lang w:val="ru-RU"/>
          </w:rPr>
          <w:t>Вознаграждение сотрудников, работающих на основе долгосрочных контрактов</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_Toc452158644 \h </w:instrText>
        </w:r>
        <w:r w:rsidR="00C75987">
          <w:rPr>
            <w:noProof/>
            <w:webHidden/>
          </w:rPr>
        </w:r>
        <w:r w:rsidR="00C75987">
          <w:rPr>
            <w:noProof/>
            <w:webHidden/>
          </w:rPr>
          <w:fldChar w:fldCharType="separate"/>
        </w:r>
        <w:r w:rsidR="00C75987">
          <w:rPr>
            <w:noProof/>
            <w:webHidden/>
          </w:rPr>
          <w:t>18</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45" w:history="1">
        <w:r w:rsidR="00C75987" w:rsidRPr="00FB73E1">
          <w:rPr>
            <w:rStyle w:val="Hyperlink"/>
            <w:noProof/>
            <w:lang w:val="ru-RU"/>
          </w:rPr>
          <w:t>Вознаграждение сотрудников: подъемные пособия и субсидии на репатриацию</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_Toc452158645 \h </w:instrText>
        </w:r>
        <w:r w:rsidR="00C75987">
          <w:rPr>
            <w:noProof/>
            <w:webHidden/>
          </w:rPr>
        </w:r>
        <w:r w:rsidR="00C75987">
          <w:rPr>
            <w:noProof/>
            <w:webHidden/>
          </w:rPr>
          <w:fldChar w:fldCharType="separate"/>
        </w:r>
        <w:r w:rsidR="00C75987">
          <w:rPr>
            <w:noProof/>
            <w:webHidden/>
          </w:rPr>
          <w:t>18</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46" w:history="1">
        <w:r w:rsidR="00C75987" w:rsidRPr="00FB73E1">
          <w:rPr>
            <w:rStyle w:val="Hyperlink"/>
            <w:noProof/>
            <w:lang w:val="ru-RU"/>
          </w:rPr>
          <w:t>Вознаграждение сотрудников: АСХИ</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_Toc452158646 \h </w:instrText>
        </w:r>
        <w:r w:rsidR="00C75987">
          <w:rPr>
            <w:noProof/>
            <w:webHidden/>
          </w:rPr>
        </w:r>
        <w:r w:rsidR="00C75987">
          <w:rPr>
            <w:noProof/>
            <w:webHidden/>
          </w:rPr>
          <w:fldChar w:fldCharType="separate"/>
        </w:r>
        <w:r w:rsidR="00C75987">
          <w:rPr>
            <w:noProof/>
            <w:webHidden/>
          </w:rPr>
          <w:t>18</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47" w:history="1">
        <w:r w:rsidR="00C75987" w:rsidRPr="00FB73E1">
          <w:rPr>
            <w:rStyle w:val="Hyperlink"/>
            <w:noProof/>
            <w:lang w:val="ru-RU"/>
          </w:rPr>
          <w:t>На отрицательное значение чистых активов влияют актуарные обязательства</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_Toc452158647 \h </w:instrText>
        </w:r>
        <w:r w:rsidR="00C75987">
          <w:rPr>
            <w:noProof/>
            <w:webHidden/>
          </w:rPr>
        </w:r>
        <w:r w:rsidR="00C75987">
          <w:rPr>
            <w:noProof/>
            <w:webHidden/>
          </w:rPr>
          <w:fldChar w:fldCharType="separate"/>
        </w:r>
        <w:r w:rsidR="00C75987">
          <w:rPr>
            <w:noProof/>
            <w:webHidden/>
          </w:rPr>
          <w:t>18</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48" w:history="1">
        <w:r w:rsidR="00C75987" w:rsidRPr="00A87311">
          <w:rPr>
            <w:rStyle w:val="Hyperlink"/>
            <w:i/>
            <w:iCs/>
            <w:noProof/>
            <w:lang w:val="ru-RU"/>
          </w:rPr>
          <w:t>Переход на "ПКМС". Ставка дисконтирования не полностью соответствует IPSAS 25</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_Toc452158648 \h </w:instrText>
        </w:r>
        <w:r w:rsidR="00C75987">
          <w:rPr>
            <w:noProof/>
            <w:webHidden/>
          </w:rPr>
        </w:r>
        <w:r w:rsidR="00C75987">
          <w:rPr>
            <w:noProof/>
            <w:webHidden/>
          </w:rPr>
          <w:fldChar w:fldCharType="separate"/>
        </w:r>
        <w:r w:rsidR="00C75987">
          <w:rPr>
            <w:noProof/>
            <w:webHidden/>
          </w:rPr>
          <w:t>19</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49" w:history="1">
        <w:r w:rsidR="00C75987" w:rsidRPr="00A87311">
          <w:rPr>
            <w:rStyle w:val="Hyperlink"/>
            <w:noProof/>
            <w:lang w:val="ru-RU"/>
          </w:rPr>
          <w:t>Необходимо провести полное актуарное исследование</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_Toc452158649 \h </w:instrText>
        </w:r>
        <w:r w:rsidR="00C75987">
          <w:rPr>
            <w:noProof/>
            <w:webHidden/>
          </w:rPr>
        </w:r>
        <w:r w:rsidR="00C75987">
          <w:rPr>
            <w:noProof/>
            <w:webHidden/>
          </w:rPr>
          <w:fldChar w:fldCharType="separate"/>
        </w:r>
        <w:r w:rsidR="00C75987">
          <w:rPr>
            <w:noProof/>
            <w:webHidden/>
          </w:rPr>
          <w:t>20</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50" w:history="1">
        <w:r w:rsidR="00C75987" w:rsidRPr="00FB73E1">
          <w:rPr>
            <w:rStyle w:val="Hyperlink"/>
            <w:noProof/>
            <w:lang w:val="ru-RU"/>
          </w:rPr>
          <w:t xml:space="preserve">Обязательства и отрицательное значение чистых активов: невозможность сравнения </w:t>
        </w:r>
        <w:r>
          <w:rPr>
            <w:rStyle w:val="Hyperlink"/>
            <w:noProof/>
            <w:lang w:val="ru-RU"/>
          </w:rPr>
          <w:br/>
        </w:r>
        <w:r w:rsidR="00C75987" w:rsidRPr="00FB73E1">
          <w:rPr>
            <w:rStyle w:val="Hyperlink"/>
            <w:noProof/>
            <w:lang w:val="ru-RU"/>
          </w:rPr>
          <w:t>в рамках системы ООН</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_Toc452158650 \h </w:instrText>
        </w:r>
        <w:r w:rsidR="00C75987">
          <w:rPr>
            <w:noProof/>
            <w:webHidden/>
          </w:rPr>
        </w:r>
        <w:r w:rsidR="00C75987">
          <w:rPr>
            <w:noProof/>
            <w:webHidden/>
          </w:rPr>
          <w:fldChar w:fldCharType="separate"/>
        </w:r>
        <w:r w:rsidR="00C75987">
          <w:rPr>
            <w:noProof/>
            <w:webHidden/>
          </w:rPr>
          <w:t>20</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51" w:history="1">
        <w:r w:rsidR="00C75987" w:rsidRPr="00FB73E1">
          <w:rPr>
            <w:rStyle w:val="Hyperlink"/>
            <w:noProof/>
            <w:lang w:val="ru-RU"/>
          </w:rPr>
          <w:t xml:space="preserve">Недофинансирование в МСЭ в будущем: определение возможных "факторов" </w:t>
        </w:r>
        <w:r w:rsidR="00A87311">
          <w:rPr>
            <w:rStyle w:val="Hyperlink"/>
            <w:noProof/>
            <w:lang w:val="ru-RU"/>
          </w:rPr>
          <w:br/>
        </w:r>
        <w:r w:rsidR="00C75987" w:rsidRPr="00FB73E1">
          <w:rPr>
            <w:rStyle w:val="Hyperlink"/>
            <w:noProof/>
            <w:lang w:val="ru-RU"/>
          </w:rPr>
          <w:t>его уменьшения</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_Toc452158651 \h </w:instrText>
        </w:r>
        <w:r w:rsidR="00C75987">
          <w:rPr>
            <w:noProof/>
            <w:webHidden/>
          </w:rPr>
        </w:r>
        <w:r w:rsidR="00C75987">
          <w:rPr>
            <w:noProof/>
            <w:webHidden/>
          </w:rPr>
          <w:fldChar w:fldCharType="separate"/>
        </w:r>
        <w:r w:rsidR="00C75987">
          <w:rPr>
            <w:noProof/>
            <w:webHidden/>
          </w:rPr>
          <w:t>21</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52" w:history="1">
        <w:r w:rsidR="00C75987" w:rsidRPr="00FB73E1">
          <w:rPr>
            <w:rStyle w:val="Hyperlink"/>
            <w:noProof/>
            <w:lang w:val="ru-RU"/>
          </w:rPr>
          <w:t>Выход из ФМСП: противоречия в производстве расчетов</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_Toc452158652 \h </w:instrText>
        </w:r>
        <w:r w:rsidR="00C75987">
          <w:rPr>
            <w:noProof/>
            <w:webHidden/>
          </w:rPr>
        </w:r>
        <w:r w:rsidR="00C75987">
          <w:rPr>
            <w:noProof/>
            <w:webHidden/>
          </w:rPr>
          <w:fldChar w:fldCharType="separate"/>
        </w:r>
        <w:r w:rsidR="00C75987">
          <w:rPr>
            <w:noProof/>
            <w:webHidden/>
          </w:rPr>
          <w:t>22</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53" w:history="1">
        <w:r w:rsidR="00C75987" w:rsidRPr="00FB73E1">
          <w:rPr>
            <w:rStyle w:val="Hyperlink"/>
            <w:noProof/>
            <w:lang w:val="ru-RU"/>
          </w:rPr>
          <w:t xml:space="preserve">Вознаграждение сотрудников: Страховая касса персонала МСЭ </w:t>
        </w:r>
        <w:r w:rsidR="00A87311">
          <w:rPr>
            <w:rStyle w:val="Hyperlink"/>
            <w:noProof/>
            <w:lang w:val="ru-RU"/>
          </w:rPr>
          <w:br/>
        </w:r>
        <w:r w:rsidR="00C75987" w:rsidRPr="00FB73E1">
          <w:rPr>
            <w:rStyle w:val="Hyperlink"/>
            <w:noProof/>
            <w:lang w:val="ru-RU"/>
          </w:rPr>
          <w:t>(закрытые пенсионные фонды МСЭ)</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_Toc452158653 \h </w:instrText>
        </w:r>
        <w:r w:rsidR="00C75987">
          <w:rPr>
            <w:noProof/>
            <w:webHidden/>
          </w:rPr>
        </w:r>
        <w:r w:rsidR="00C75987">
          <w:rPr>
            <w:noProof/>
            <w:webHidden/>
          </w:rPr>
          <w:fldChar w:fldCharType="separate"/>
        </w:r>
        <w:r w:rsidR="00C75987">
          <w:rPr>
            <w:noProof/>
            <w:webHidden/>
          </w:rPr>
          <w:t>22</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54" w:history="1">
        <w:r w:rsidR="00C75987" w:rsidRPr="00FB73E1">
          <w:rPr>
            <w:rStyle w:val="Hyperlink"/>
            <w:noProof/>
            <w:lang w:val="ru-RU"/>
          </w:rPr>
          <w:t>ЧИСТЫЕ АКТИВЫ</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_Toc452158654 \h </w:instrText>
        </w:r>
        <w:r w:rsidR="00C75987">
          <w:rPr>
            <w:noProof/>
            <w:webHidden/>
          </w:rPr>
        </w:r>
        <w:r w:rsidR="00C75987">
          <w:rPr>
            <w:noProof/>
            <w:webHidden/>
          </w:rPr>
          <w:fldChar w:fldCharType="separate"/>
        </w:r>
        <w:r w:rsidR="00C75987">
          <w:rPr>
            <w:noProof/>
            <w:webHidden/>
          </w:rPr>
          <w:t>22</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55" w:history="1">
        <w:r w:rsidR="00C75987" w:rsidRPr="00027346">
          <w:rPr>
            <w:rStyle w:val="Hyperlink"/>
            <w:b/>
            <w:bCs/>
            <w:noProof/>
            <w:lang w:val="ru-RU"/>
          </w:rPr>
          <w:t>ОТЧЕТ О РЕЗУЛЬТАТАХ ФИНАНСОВОЙ ДЕЯТЕЛЬНОСТИ ЗА 2015 ГОД</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_Toc452158655 \h </w:instrText>
        </w:r>
        <w:r w:rsidR="00C75987">
          <w:rPr>
            <w:noProof/>
            <w:webHidden/>
          </w:rPr>
        </w:r>
        <w:r w:rsidR="00C75987">
          <w:rPr>
            <w:noProof/>
            <w:webHidden/>
          </w:rPr>
          <w:fldChar w:fldCharType="separate"/>
        </w:r>
        <w:r w:rsidR="00C75987">
          <w:rPr>
            <w:noProof/>
            <w:webHidden/>
          </w:rPr>
          <w:t>23</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56" w:history="1">
        <w:r w:rsidR="00C75987" w:rsidRPr="00FB73E1">
          <w:rPr>
            <w:rStyle w:val="Hyperlink"/>
            <w:noProof/>
            <w:lang w:val="ru-RU"/>
          </w:rPr>
          <w:t>Доходы и расходы</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_Toc452158656 \h </w:instrText>
        </w:r>
        <w:r w:rsidR="00C75987">
          <w:rPr>
            <w:noProof/>
            <w:webHidden/>
          </w:rPr>
        </w:r>
        <w:r w:rsidR="00C75987">
          <w:rPr>
            <w:noProof/>
            <w:webHidden/>
          </w:rPr>
          <w:fldChar w:fldCharType="separate"/>
        </w:r>
        <w:r w:rsidR="00C75987">
          <w:rPr>
            <w:noProof/>
            <w:webHidden/>
          </w:rPr>
          <w:t>23</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57" w:history="1">
        <w:r w:rsidR="00C75987" w:rsidRPr="00FB73E1">
          <w:rPr>
            <w:rStyle w:val="Hyperlink"/>
            <w:noProof/>
            <w:lang w:val="ru-RU"/>
          </w:rPr>
          <w:t>Персонал</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_Toc452158657 \h </w:instrText>
        </w:r>
        <w:r w:rsidR="00C75987">
          <w:rPr>
            <w:noProof/>
            <w:webHidden/>
          </w:rPr>
        </w:r>
        <w:r w:rsidR="00C75987">
          <w:rPr>
            <w:noProof/>
            <w:webHidden/>
          </w:rPr>
          <w:fldChar w:fldCharType="separate"/>
        </w:r>
        <w:r w:rsidR="00C75987">
          <w:rPr>
            <w:noProof/>
            <w:webHidden/>
          </w:rPr>
          <w:t>23</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58" w:history="1">
        <w:r w:rsidR="00C75987" w:rsidRPr="00027346">
          <w:rPr>
            <w:rStyle w:val="Hyperlink"/>
            <w:b/>
            <w:bCs/>
            <w:noProof/>
            <w:lang w:val="ru-RU"/>
          </w:rPr>
          <w:t xml:space="preserve">ОТЧЕТ ОБ ИЗМЕНЕНИЯХ В ЧИСТЫХ АКТИВАХ ЗА ФИНАНСОВЫЙ ПЕРИОД, </w:t>
        </w:r>
        <w:r w:rsidR="00A87311" w:rsidRPr="00027346">
          <w:rPr>
            <w:rStyle w:val="Hyperlink"/>
            <w:b/>
            <w:bCs/>
            <w:noProof/>
            <w:lang w:val="ru-RU"/>
          </w:rPr>
          <w:br/>
        </w:r>
        <w:r w:rsidR="00C75987" w:rsidRPr="00027346">
          <w:rPr>
            <w:rStyle w:val="Hyperlink"/>
            <w:b/>
            <w:bCs/>
            <w:noProof/>
            <w:lang w:val="ru-RU"/>
          </w:rPr>
          <w:t>ЗАВЕРШИВШИЙСЯ 31 ДЕКАБРЯ 2015 ГОДА</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_Toc452158658 \h </w:instrText>
        </w:r>
        <w:r w:rsidR="00C75987">
          <w:rPr>
            <w:noProof/>
            <w:webHidden/>
          </w:rPr>
        </w:r>
        <w:r w:rsidR="00C75987">
          <w:rPr>
            <w:noProof/>
            <w:webHidden/>
          </w:rPr>
          <w:fldChar w:fldCharType="separate"/>
        </w:r>
        <w:r w:rsidR="00C75987">
          <w:rPr>
            <w:noProof/>
            <w:webHidden/>
          </w:rPr>
          <w:t>24</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59" w:history="1">
        <w:r w:rsidR="00C75987" w:rsidRPr="00027346">
          <w:rPr>
            <w:rStyle w:val="Hyperlink"/>
            <w:b/>
            <w:bCs/>
            <w:noProof/>
            <w:lang w:val="ru-RU"/>
          </w:rPr>
          <w:t xml:space="preserve">ТАБЛИЦА ДВИЖЕНИЯ ДЕНЕЖНЫХ СРЕДСТВ ЗА ФИНАНСОВЫЙ ПЕРИОД, </w:t>
        </w:r>
        <w:r w:rsidR="00A87311" w:rsidRPr="00027346">
          <w:rPr>
            <w:rStyle w:val="Hyperlink"/>
            <w:b/>
            <w:bCs/>
            <w:noProof/>
            <w:lang w:val="ru-RU"/>
          </w:rPr>
          <w:br/>
        </w:r>
        <w:r w:rsidR="00C75987" w:rsidRPr="00027346">
          <w:rPr>
            <w:rStyle w:val="Hyperlink"/>
            <w:b/>
            <w:bCs/>
            <w:noProof/>
            <w:lang w:val="ru-RU"/>
          </w:rPr>
          <w:t>ЗАВЕРШИВШИЙСЯ 31 ДЕКАБРЯ 2015 ГОДА</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_Toc452158659 \h </w:instrText>
        </w:r>
        <w:r w:rsidR="00C75987">
          <w:rPr>
            <w:noProof/>
            <w:webHidden/>
          </w:rPr>
        </w:r>
        <w:r w:rsidR="00C75987">
          <w:rPr>
            <w:noProof/>
            <w:webHidden/>
          </w:rPr>
          <w:fldChar w:fldCharType="separate"/>
        </w:r>
        <w:r w:rsidR="00C75987">
          <w:rPr>
            <w:noProof/>
            <w:webHidden/>
          </w:rPr>
          <w:t>24</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60" w:history="1">
        <w:r w:rsidR="00C75987" w:rsidRPr="00027346">
          <w:rPr>
            <w:rStyle w:val="Hyperlink"/>
            <w:b/>
            <w:bCs/>
            <w:noProof/>
            <w:lang w:val="ru-RU"/>
          </w:rPr>
          <w:t>СРАВНЕНИЕ ПРЕДУСМОТРЕННЫХ В БЮДЖЕТЕ СУММ И ФАКТИЧЕСКИХ СУММ ЗА 2015 ФИНАНСОВЫЙ ГОД</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_Toc452158660 \h </w:instrText>
        </w:r>
        <w:r w:rsidR="00C75987">
          <w:rPr>
            <w:noProof/>
            <w:webHidden/>
          </w:rPr>
        </w:r>
        <w:r w:rsidR="00C75987">
          <w:rPr>
            <w:noProof/>
            <w:webHidden/>
          </w:rPr>
          <w:fldChar w:fldCharType="separate"/>
        </w:r>
        <w:r w:rsidR="00C75987">
          <w:rPr>
            <w:noProof/>
            <w:webHidden/>
          </w:rPr>
          <w:t>25</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61" w:history="1">
        <w:r w:rsidR="00C75987" w:rsidRPr="00027346">
          <w:rPr>
            <w:rStyle w:val="Hyperlink"/>
            <w:b/>
            <w:bCs/>
            <w:noProof/>
            <w:lang w:val="ru-RU"/>
          </w:rPr>
          <w:t>СТРАХОВАЯ КАССА ПЕРСОНАЛА</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_Toc452158661 \h </w:instrText>
        </w:r>
        <w:r w:rsidR="00C75987">
          <w:rPr>
            <w:noProof/>
            <w:webHidden/>
          </w:rPr>
        </w:r>
        <w:r w:rsidR="00C75987">
          <w:rPr>
            <w:noProof/>
            <w:webHidden/>
          </w:rPr>
          <w:fldChar w:fldCharType="separate"/>
        </w:r>
        <w:r w:rsidR="00C75987">
          <w:rPr>
            <w:noProof/>
            <w:webHidden/>
          </w:rPr>
          <w:t>25</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62" w:history="1">
        <w:r w:rsidR="00C75987" w:rsidRPr="00027346">
          <w:rPr>
            <w:rStyle w:val="Hyperlink"/>
            <w:b/>
            <w:bCs/>
            <w:noProof/>
            <w:lang w:val="ru-RU"/>
          </w:rPr>
          <w:t>ПРОГРАММА РАЗВИТИЯ ОРГАНИЗАЦИИ ОБЪЕДИНЕННЫХ НАЦИЙ (ПРООН), ФОНД РАЗВИТИЯ ИНФОРМАЦИОННО-КОММУНИКАЦИОННЫХ ТЕХНОЛОГИЙ (ФРИКТ) И ЦЕЛЕВЫЕ ФОНДЫ</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_Toc452158662 \h </w:instrText>
        </w:r>
        <w:r w:rsidR="00C75987">
          <w:rPr>
            <w:noProof/>
            <w:webHidden/>
          </w:rPr>
        </w:r>
        <w:r w:rsidR="00C75987">
          <w:rPr>
            <w:noProof/>
            <w:webHidden/>
          </w:rPr>
          <w:fldChar w:fldCharType="separate"/>
        </w:r>
        <w:r w:rsidR="00C75987">
          <w:rPr>
            <w:noProof/>
            <w:webHidden/>
          </w:rPr>
          <w:t>25</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63" w:history="1">
        <w:r w:rsidR="00C75987" w:rsidRPr="00027346">
          <w:rPr>
            <w:rStyle w:val="Hyperlink"/>
            <w:b/>
            <w:bCs/>
            <w:noProof/>
            <w:lang w:val="ru-RU"/>
          </w:rPr>
          <w:t>РЕГИОНАЛЬНОЕ ПРИСУТСТВИЕ</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_Toc452158663 \h </w:instrText>
        </w:r>
        <w:r w:rsidR="00C75987">
          <w:rPr>
            <w:noProof/>
            <w:webHidden/>
          </w:rPr>
        </w:r>
        <w:r w:rsidR="00C75987">
          <w:rPr>
            <w:noProof/>
            <w:webHidden/>
          </w:rPr>
          <w:fldChar w:fldCharType="separate"/>
        </w:r>
        <w:r w:rsidR="00C75987">
          <w:rPr>
            <w:noProof/>
            <w:webHidden/>
          </w:rPr>
          <w:t>26</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64" w:history="1">
        <w:r w:rsidR="00C75987" w:rsidRPr="00FB73E1">
          <w:rPr>
            <w:rStyle w:val="Hyperlink"/>
            <w:noProof/>
            <w:lang w:val="ru-RU"/>
          </w:rPr>
          <w:t>Соглашения с принимающей страной для отделений на местах</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_Toc452158664 \h </w:instrText>
        </w:r>
        <w:r w:rsidR="00C75987">
          <w:rPr>
            <w:noProof/>
            <w:webHidden/>
          </w:rPr>
        </w:r>
        <w:r w:rsidR="00C75987">
          <w:rPr>
            <w:noProof/>
            <w:webHidden/>
          </w:rPr>
          <w:fldChar w:fldCharType="separate"/>
        </w:r>
        <w:r w:rsidR="00C75987">
          <w:rPr>
            <w:noProof/>
            <w:webHidden/>
          </w:rPr>
          <w:t>26</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65" w:history="1">
        <w:r w:rsidR="00C75987" w:rsidRPr="00027346">
          <w:rPr>
            <w:rStyle w:val="Hyperlink"/>
            <w:b/>
            <w:bCs/>
            <w:noProof/>
            <w:lang w:val="ru-RU"/>
          </w:rPr>
          <w:t>ПРЕДСТАВЛЕНИЕ KPI</w:t>
        </w:r>
        <w:r w:rsidR="00C75987">
          <w:rPr>
            <w:noProof/>
            <w:webHidden/>
          </w:rPr>
          <w:tab/>
        </w:r>
        <w:r w:rsidR="00A87311">
          <w:rPr>
            <w:noProof/>
            <w:webHidden/>
          </w:rPr>
          <w:tab/>
        </w:r>
        <w:r w:rsidR="00C75987">
          <w:rPr>
            <w:noProof/>
            <w:webHidden/>
          </w:rPr>
          <w:fldChar w:fldCharType="begin"/>
        </w:r>
        <w:r w:rsidR="00C75987">
          <w:rPr>
            <w:noProof/>
            <w:webHidden/>
          </w:rPr>
          <w:instrText xml:space="preserve"> PAGEREF _Toc452158665 \h </w:instrText>
        </w:r>
        <w:r w:rsidR="00C75987">
          <w:rPr>
            <w:noProof/>
            <w:webHidden/>
          </w:rPr>
        </w:r>
        <w:r w:rsidR="00C75987">
          <w:rPr>
            <w:noProof/>
            <w:webHidden/>
          </w:rPr>
          <w:fldChar w:fldCharType="separate"/>
        </w:r>
        <w:r w:rsidR="00C75987">
          <w:rPr>
            <w:noProof/>
            <w:webHidden/>
          </w:rPr>
          <w:t>27</w:t>
        </w:r>
        <w:r w:rsidR="00C75987">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66" w:history="1">
        <w:r w:rsidR="00C75987" w:rsidRPr="00027346">
          <w:rPr>
            <w:rStyle w:val="Hyperlink"/>
            <w:b/>
            <w:bCs/>
            <w:noProof/>
            <w:lang w:val="ru-RU"/>
          </w:rPr>
          <w:t xml:space="preserve">ПОСЛЕДУЮЩИЕ МЕРЫ В СВЯЗИ С ПРЕДЫДУЩИМИ РЕКОМЕНДАЦИЯМИ </w:t>
        </w:r>
        <w:r w:rsidR="00027346">
          <w:rPr>
            <w:rStyle w:val="Hyperlink"/>
            <w:b/>
            <w:bCs/>
            <w:noProof/>
            <w:lang w:val="ru-RU"/>
          </w:rPr>
          <w:br/>
        </w:r>
        <w:r w:rsidR="00C75987" w:rsidRPr="00027346">
          <w:rPr>
            <w:rStyle w:val="Hyperlink"/>
            <w:b/>
            <w:bCs/>
            <w:noProof/>
            <w:lang w:val="ru-RU"/>
          </w:rPr>
          <w:t>И ПРЕДЛОЖЕНИЯМИ</w:t>
        </w:r>
        <w:r w:rsidR="00C75987">
          <w:rPr>
            <w:noProof/>
            <w:webHidden/>
          </w:rPr>
          <w:tab/>
        </w:r>
        <w:r w:rsidR="00027346">
          <w:rPr>
            <w:noProof/>
            <w:webHidden/>
          </w:rPr>
          <w:tab/>
        </w:r>
        <w:r w:rsidR="00C75987">
          <w:rPr>
            <w:noProof/>
            <w:webHidden/>
          </w:rPr>
          <w:fldChar w:fldCharType="begin"/>
        </w:r>
        <w:r w:rsidR="00C75987">
          <w:rPr>
            <w:noProof/>
            <w:webHidden/>
          </w:rPr>
          <w:instrText xml:space="preserve"> PAGEREF _Toc452158666 \h </w:instrText>
        </w:r>
        <w:r w:rsidR="00C75987">
          <w:rPr>
            <w:noProof/>
            <w:webHidden/>
          </w:rPr>
        </w:r>
        <w:r w:rsidR="00C75987">
          <w:rPr>
            <w:noProof/>
            <w:webHidden/>
          </w:rPr>
          <w:fldChar w:fldCharType="separate"/>
        </w:r>
        <w:r w:rsidR="00C75987">
          <w:rPr>
            <w:noProof/>
            <w:webHidden/>
          </w:rPr>
          <w:t>27</w:t>
        </w:r>
        <w:r w:rsidR="00C75987">
          <w:rPr>
            <w:noProof/>
            <w:webHidden/>
          </w:rPr>
          <w:fldChar w:fldCharType="end"/>
        </w:r>
      </w:hyperlink>
    </w:p>
    <w:p w:rsidR="00C75987" w:rsidRPr="00027346"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67" w:history="1">
        <w:r w:rsidR="00C75987" w:rsidRPr="00027346">
          <w:rPr>
            <w:rStyle w:val="Hyperlink"/>
            <w:b/>
            <w:bCs/>
            <w:noProof/>
            <w:lang w:val="ru-RU"/>
          </w:rPr>
          <w:t>ПРИЛОЖЕНИЕ I</w:t>
        </w:r>
      </w:hyperlink>
      <w:r w:rsidR="00A87311" w:rsidRPr="00027346">
        <w:rPr>
          <w:rStyle w:val="Hyperlink"/>
          <w:b/>
          <w:bCs/>
          <w:noProof/>
          <w:u w:val="none"/>
          <w:lang w:val="ru-RU"/>
        </w:rPr>
        <w:t xml:space="preserve"> − </w:t>
      </w:r>
      <w:hyperlink w:anchor="_Toc452158668" w:history="1">
        <w:r w:rsidR="00C75987" w:rsidRPr="00027346">
          <w:rPr>
            <w:rStyle w:val="Hyperlink"/>
            <w:b/>
            <w:bCs/>
            <w:noProof/>
            <w:lang w:val="ru-RU"/>
          </w:rPr>
          <w:t xml:space="preserve">Последующие меры в связи с рекомендациями, </w:t>
        </w:r>
        <w:r w:rsidR="00027346">
          <w:rPr>
            <w:rStyle w:val="Hyperlink"/>
            <w:b/>
            <w:bCs/>
            <w:noProof/>
            <w:lang w:val="ru-RU"/>
          </w:rPr>
          <w:br/>
        </w:r>
        <w:r w:rsidR="00C75987" w:rsidRPr="00027346">
          <w:rPr>
            <w:rStyle w:val="Hyperlink"/>
            <w:b/>
            <w:bCs/>
            <w:noProof/>
            <w:lang w:val="ru-RU"/>
          </w:rPr>
          <w:t>представленными в наших предыдущих отчетах</w:t>
        </w:r>
        <w:r w:rsidR="00C75987" w:rsidRPr="00027346">
          <w:rPr>
            <w:noProof/>
            <w:webHidden/>
          </w:rPr>
          <w:tab/>
        </w:r>
        <w:r w:rsidR="00A87311" w:rsidRPr="00027346">
          <w:rPr>
            <w:noProof/>
            <w:webHidden/>
          </w:rPr>
          <w:tab/>
        </w:r>
        <w:r w:rsidR="00C75987" w:rsidRPr="00027346">
          <w:rPr>
            <w:noProof/>
            <w:webHidden/>
          </w:rPr>
          <w:fldChar w:fldCharType="begin"/>
        </w:r>
        <w:r w:rsidR="00C75987" w:rsidRPr="00027346">
          <w:rPr>
            <w:noProof/>
            <w:webHidden/>
          </w:rPr>
          <w:instrText xml:space="preserve"> PAGEREF _Toc452158668 \h </w:instrText>
        </w:r>
        <w:r w:rsidR="00C75987" w:rsidRPr="00027346">
          <w:rPr>
            <w:noProof/>
            <w:webHidden/>
          </w:rPr>
        </w:r>
        <w:r w:rsidR="00C75987" w:rsidRPr="00027346">
          <w:rPr>
            <w:noProof/>
            <w:webHidden/>
          </w:rPr>
          <w:fldChar w:fldCharType="separate"/>
        </w:r>
        <w:r w:rsidR="00C75987" w:rsidRPr="00027346">
          <w:rPr>
            <w:noProof/>
            <w:webHidden/>
          </w:rPr>
          <w:t>28</w:t>
        </w:r>
        <w:r w:rsidR="00C75987" w:rsidRPr="00027346">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69" w:history="1">
        <w:r w:rsidR="00027346" w:rsidRPr="00027346">
          <w:rPr>
            <w:rStyle w:val="Hyperlink"/>
            <w:b/>
            <w:bCs/>
            <w:noProof/>
            <w:lang w:val="ru-RU"/>
          </w:rPr>
          <w:t>ПРИЛОЖЕНИЕ II</w:t>
        </w:r>
      </w:hyperlink>
      <w:r w:rsidR="00A87311" w:rsidRPr="00027346">
        <w:rPr>
          <w:rStyle w:val="Hyperlink"/>
          <w:b/>
          <w:bCs/>
          <w:noProof/>
          <w:u w:val="none"/>
          <w:lang w:val="ru-RU"/>
        </w:rPr>
        <w:t xml:space="preserve"> − </w:t>
      </w:r>
      <w:hyperlink w:anchor="_Toc452158670" w:history="1">
        <w:r w:rsidR="00C75987" w:rsidRPr="00027346">
          <w:rPr>
            <w:rStyle w:val="Hyperlink"/>
            <w:b/>
            <w:bCs/>
            <w:noProof/>
            <w:lang w:val="ru-RU"/>
          </w:rPr>
          <w:t xml:space="preserve">Последующие меры в связи с рекомендациями, </w:t>
        </w:r>
        <w:r w:rsidR="00027346">
          <w:rPr>
            <w:rStyle w:val="Hyperlink"/>
            <w:b/>
            <w:bCs/>
            <w:noProof/>
            <w:lang w:val="ru-RU"/>
          </w:rPr>
          <w:br/>
        </w:r>
        <w:r w:rsidR="00C75987" w:rsidRPr="00027346">
          <w:rPr>
            <w:rStyle w:val="Hyperlink"/>
            <w:b/>
            <w:bCs/>
            <w:noProof/>
            <w:lang w:val="ru-RU"/>
          </w:rPr>
          <w:t>представленными ШФАБ</w:t>
        </w:r>
        <w:r w:rsidR="00C75987" w:rsidRPr="00A87311">
          <w:rPr>
            <w:noProof/>
            <w:webHidden/>
          </w:rPr>
          <w:tab/>
        </w:r>
        <w:r w:rsidR="00A87311">
          <w:rPr>
            <w:noProof/>
            <w:webHidden/>
          </w:rPr>
          <w:tab/>
        </w:r>
        <w:r w:rsidR="00C75987" w:rsidRPr="00A87311">
          <w:rPr>
            <w:noProof/>
            <w:webHidden/>
          </w:rPr>
          <w:fldChar w:fldCharType="begin"/>
        </w:r>
        <w:r w:rsidR="00C75987" w:rsidRPr="00A87311">
          <w:rPr>
            <w:noProof/>
            <w:webHidden/>
          </w:rPr>
          <w:instrText xml:space="preserve"> PAGEREF _Toc452158670 \h </w:instrText>
        </w:r>
        <w:r w:rsidR="00C75987" w:rsidRPr="00A87311">
          <w:rPr>
            <w:noProof/>
            <w:webHidden/>
          </w:rPr>
        </w:r>
        <w:r w:rsidR="00C75987" w:rsidRPr="00A87311">
          <w:rPr>
            <w:noProof/>
            <w:webHidden/>
          </w:rPr>
          <w:fldChar w:fldCharType="separate"/>
        </w:r>
        <w:r w:rsidR="00C75987" w:rsidRPr="00A87311">
          <w:rPr>
            <w:noProof/>
            <w:webHidden/>
          </w:rPr>
          <w:t>38</w:t>
        </w:r>
        <w:r w:rsidR="00C75987" w:rsidRPr="00A87311">
          <w:rPr>
            <w:noProof/>
            <w:webHidden/>
          </w:rPr>
          <w:fldChar w:fldCharType="end"/>
        </w:r>
      </w:hyperlink>
    </w:p>
    <w:p w:rsidR="00C75987" w:rsidRDefault="001A3ECD" w:rsidP="001A3ECD">
      <w:pPr>
        <w:pStyle w:val="TOC1"/>
        <w:tabs>
          <w:tab w:val="clear" w:pos="7938"/>
          <w:tab w:val="clear" w:pos="8789"/>
          <w:tab w:val="left" w:leader="dot" w:pos="9072"/>
          <w:tab w:val="right" w:pos="9639"/>
        </w:tabs>
        <w:spacing w:before="160"/>
        <w:ind w:left="0" w:firstLine="0"/>
        <w:rPr>
          <w:rFonts w:asciiTheme="minorHAnsi" w:eastAsiaTheme="minorEastAsia" w:hAnsiTheme="minorHAnsi" w:cstheme="minorBidi"/>
          <w:noProof/>
          <w:szCs w:val="22"/>
          <w:lang w:eastAsia="zh-CN"/>
        </w:rPr>
      </w:pPr>
      <w:hyperlink w:anchor="_Toc452158671" w:history="1">
        <w:r w:rsidR="00027346" w:rsidRPr="00027346">
          <w:rPr>
            <w:rStyle w:val="Hyperlink"/>
            <w:b/>
            <w:bCs/>
            <w:noProof/>
            <w:lang w:val="ru-RU"/>
          </w:rPr>
          <w:t>ПРИЛОЖЕНИЕ III</w:t>
        </w:r>
      </w:hyperlink>
      <w:r w:rsidR="00A87311" w:rsidRPr="00027346">
        <w:rPr>
          <w:rStyle w:val="Hyperlink"/>
          <w:b/>
          <w:bCs/>
          <w:noProof/>
          <w:u w:val="none"/>
          <w:lang w:val="ru-RU"/>
        </w:rPr>
        <w:t xml:space="preserve"> − </w:t>
      </w:r>
      <w:hyperlink w:anchor="_Toc452158672" w:history="1">
        <w:r w:rsidR="00C75987" w:rsidRPr="00027346">
          <w:rPr>
            <w:rStyle w:val="Hyperlink"/>
            <w:b/>
            <w:bCs/>
            <w:noProof/>
            <w:lang w:val="ru-RU"/>
          </w:rPr>
          <w:t xml:space="preserve">Последующие меры в связи с предложениями, </w:t>
        </w:r>
        <w:r w:rsidR="00027346">
          <w:rPr>
            <w:rStyle w:val="Hyperlink"/>
            <w:b/>
            <w:bCs/>
            <w:noProof/>
            <w:lang w:val="ru-RU"/>
          </w:rPr>
          <w:br/>
        </w:r>
        <w:r w:rsidR="00C75987" w:rsidRPr="00027346">
          <w:rPr>
            <w:rStyle w:val="Hyperlink"/>
            <w:b/>
            <w:bCs/>
            <w:noProof/>
            <w:lang w:val="ru-RU"/>
          </w:rPr>
          <w:t>представленными в наших предыдущих отчетах</w:t>
        </w:r>
        <w:r w:rsidR="00C75987" w:rsidRPr="00A87311">
          <w:rPr>
            <w:rStyle w:val="Hyperlink"/>
            <w:webHidden/>
            <w:lang w:val="ru-RU"/>
          </w:rPr>
          <w:tab/>
        </w:r>
        <w:r w:rsidR="00A87311">
          <w:rPr>
            <w:rStyle w:val="Hyperlink"/>
            <w:webHidden/>
            <w:lang w:val="ru-RU"/>
          </w:rPr>
          <w:tab/>
        </w:r>
        <w:r w:rsidR="00C75987" w:rsidRPr="00A87311">
          <w:rPr>
            <w:rStyle w:val="Hyperlink"/>
            <w:webHidden/>
            <w:lang w:val="ru-RU"/>
          </w:rPr>
          <w:fldChar w:fldCharType="begin"/>
        </w:r>
        <w:r w:rsidR="00C75987" w:rsidRPr="00A87311">
          <w:rPr>
            <w:rStyle w:val="Hyperlink"/>
            <w:webHidden/>
            <w:lang w:val="ru-RU"/>
          </w:rPr>
          <w:instrText xml:space="preserve"> PAGEREF _Toc452158672 \h </w:instrText>
        </w:r>
        <w:r w:rsidR="00C75987" w:rsidRPr="00A87311">
          <w:rPr>
            <w:rStyle w:val="Hyperlink"/>
            <w:webHidden/>
            <w:lang w:val="ru-RU"/>
          </w:rPr>
        </w:r>
        <w:r w:rsidR="00C75987" w:rsidRPr="00A87311">
          <w:rPr>
            <w:rStyle w:val="Hyperlink"/>
            <w:webHidden/>
            <w:lang w:val="ru-RU"/>
          </w:rPr>
          <w:fldChar w:fldCharType="separate"/>
        </w:r>
        <w:r w:rsidR="00C75987" w:rsidRPr="00A87311">
          <w:rPr>
            <w:rStyle w:val="Hyperlink"/>
            <w:webHidden/>
            <w:lang w:val="ru-RU"/>
          </w:rPr>
          <w:t>39</w:t>
        </w:r>
        <w:r w:rsidR="00C75987" w:rsidRPr="00A87311">
          <w:rPr>
            <w:rStyle w:val="Hyperlink"/>
            <w:webHidden/>
            <w:lang w:val="ru-RU"/>
          </w:rPr>
          <w:fldChar w:fldCharType="end"/>
        </w:r>
      </w:hyperlink>
    </w:p>
    <w:p w:rsidR="00C75987" w:rsidRDefault="00C75987" w:rsidP="001A3ECD">
      <w:pPr>
        <w:tabs>
          <w:tab w:val="left" w:leader="dot" w:pos="9072"/>
        </w:tabs>
        <w:rPr>
          <w:lang w:val="ru-RU"/>
        </w:rPr>
      </w:pPr>
      <w:r>
        <w:rPr>
          <w:lang w:val="ru-RU"/>
        </w:rPr>
        <w:fldChar w:fldCharType="end"/>
      </w:r>
      <w:bookmarkStart w:id="33" w:name="_GoBack"/>
      <w:bookmarkEnd w:id="33"/>
    </w:p>
    <w:p w:rsidR="00542F98" w:rsidRPr="00013C48" w:rsidRDefault="00542F98" w:rsidP="00C75987">
      <w:pPr>
        <w:rPr>
          <w:lang w:val="ru-RU"/>
        </w:rPr>
      </w:pPr>
      <w:r w:rsidRPr="00013C48">
        <w:rPr>
          <w:lang w:val="ru-RU"/>
        </w:rPr>
        <w:br w:type="page"/>
      </w:r>
    </w:p>
    <w:p w:rsidR="00542F98" w:rsidRPr="00013C48" w:rsidRDefault="00542F98" w:rsidP="00DE3B69">
      <w:pPr>
        <w:pStyle w:val="Heading1"/>
        <w:rPr>
          <w:lang w:val="ru-RU"/>
        </w:rPr>
      </w:pPr>
      <w:bookmarkStart w:id="34" w:name="_Toc452157288"/>
      <w:bookmarkStart w:id="35" w:name="_Toc452158611"/>
      <w:r w:rsidRPr="00013C48">
        <w:rPr>
          <w:lang w:val="ru-RU"/>
        </w:rPr>
        <w:lastRenderedPageBreak/>
        <w:t>ВВЕДЕНИЕ</w:t>
      </w:r>
      <w:bookmarkEnd w:id="34"/>
      <w:bookmarkEnd w:id="35"/>
    </w:p>
    <w:p w:rsidR="00542F98" w:rsidRPr="00013C48" w:rsidRDefault="00542F98" w:rsidP="00542F98">
      <w:pPr>
        <w:rPr>
          <w:lang w:val="ru-RU"/>
        </w:rPr>
      </w:pPr>
      <w:r w:rsidRPr="00013C48">
        <w:rPr>
          <w:lang w:val="ru-RU"/>
        </w:rPr>
        <w:t xml:space="preserve">Правовая основа для аудиторской проверки, проводимой </w:t>
      </w:r>
      <w:r w:rsidR="00013C48" w:rsidRPr="00013C48">
        <w:rPr>
          <w:lang w:val="ru-RU"/>
        </w:rPr>
        <w:t xml:space="preserve">Внешними </w:t>
      </w:r>
      <w:r w:rsidRPr="00013C48">
        <w:rPr>
          <w:lang w:val="ru-RU"/>
        </w:rPr>
        <w:t>аудиторами, изложена в Статье 28 Финансового регламента (издания 2010 г.) и Дополнительных полномочиях.</w:t>
      </w:r>
    </w:p>
    <w:p w:rsidR="00542F98" w:rsidRPr="00013C48" w:rsidRDefault="00542F98" w:rsidP="00542F98">
      <w:pPr>
        <w:rPr>
          <w:lang w:val="ru-RU"/>
        </w:rPr>
      </w:pPr>
      <w:r w:rsidRPr="00013C48">
        <w:rPr>
          <w:lang w:val="ru-RU"/>
        </w:rPr>
        <w:t xml:space="preserve">В настоящем отчете Совету представляется информация о результатах проведенной нами аудиторской проверки. </w:t>
      </w:r>
    </w:p>
    <w:p w:rsidR="00542F98" w:rsidRPr="00013C48" w:rsidRDefault="00542F98" w:rsidP="00542F98">
      <w:pPr>
        <w:rPr>
          <w:lang w:val="ru-RU"/>
        </w:rPr>
      </w:pPr>
      <w:r w:rsidRPr="00013C48">
        <w:rPr>
          <w:lang w:val="ru-RU"/>
        </w:rPr>
        <w:t xml:space="preserve">В ходе аудиторской проверки рассматривался Отчет о финансовой деятельности МСЭ по состоянию на 31 декабря 2015 года, а также бюджетные счета и их согласованность. </w:t>
      </w:r>
    </w:p>
    <w:p w:rsidR="00542F98" w:rsidRPr="00013C48" w:rsidRDefault="00542F98" w:rsidP="00542F98">
      <w:pPr>
        <w:rPr>
          <w:lang w:val="ru-RU"/>
        </w:rPr>
      </w:pPr>
      <w:r w:rsidRPr="00013C48">
        <w:rPr>
          <w:lang w:val="ru-RU"/>
        </w:rPr>
        <w:t xml:space="preserve">Финансовые периоды регулируются Уставом и Конвенцией Международного союза электросвязи, а также </w:t>
      </w:r>
      <w:r w:rsidRPr="00013C48">
        <w:rPr>
          <w:i/>
          <w:iCs/>
          <w:lang w:val="ru-RU"/>
        </w:rPr>
        <w:t>Финансовым регламентом и Финансовыми правилами</w:t>
      </w:r>
      <w:r w:rsidRPr="00013C48">
        <w:rPr>
          <w:lang w:val="ru-RU"/>
        </w:rPr>
        <w:t xml:space="preserve"> МСЭ в соответствии с Международными стандартами финансовой отчетности для общественного сектора (</w:t>
      </w:r>
      <w:proofErr w:type="spellStart"/>
      <w:r w:rsidRPr="00013C48">
        <w:rPr>
          <w:lang w:val="ru-RU"/>
        </w:rPr>
        <w:t>IPSAS</w:t>
      </w:r>
      <w:proofErr w:type="spellEnd"/>
      <w:r w:rsidRPr="00013C48">
        <w:rPr>
          <w:lang w:val="ru-RU"/>
        </w:rPr>
        <w:t>).</w:t>
      </w:r>
    </w:p>
    <w:p w:rsidR="00542F98" w:rsidRPr="00013C48" w:rsidRDefault="00542F98" w:rsidP="00542F98">
      <w:pPr>
        <w:rPr>
          <w:lang w:val="ru-RU"/>
        </w:rPr>
      </w:pPr>
      <w:r w:rsidRPr="00013C48">
        <w:rPr>
          <w:lang w:val="ru-RU"/>
        </w:rPr>
        <w:t>Мы провели аудиторскую проверку счетов за 2015 финансовый год на основе стандартов Международной организации высших ревизионных учреждений (</w:t>
      </w:r>
      <w:proofErr w:type="spellStart"/>
      <w:r w:rsidRPr="00013C48">
        <w:rPr>
          <w:lang w:val="ru-RU"/>
        </w:rPr>
        <w:t>МОВРУ</w:t>
      </w:r>
      <w:proofErr w:type="spellEnd"/>
      <w:r w:rsidRPr="00013C48">
        <w:rPr>
          <w:lang w:val="ru-RU"/>
        </w:rPr>
        <w:t xml:space="preserve">), метода </w:t>
      </w:r>
      <w:proofErr w:type="spellStart"/>
      <w:r w:rsidRPr="00013C48">
        <w:rPr>
          <w:lang w:val="ru-RU"/>
        </w:rPr>
        <w:t>IPSAS</w:t>
      </w:r>
      <w:proofErr w:type="spellEnd"/>
      <w:r w:rsidRPr="00013C48">
        <w:rPr>
          <w:lang w:val="ru-RU"/>
        </w:rPr>
        <w:t xml:space="preserve"> и в соответствии с дополнительными полномочиями, которые являются неотъемлемой частью Финансового регламента Союза. </w:t>
      </w:r>
    </w:p>
    <w:p w:rsidR="00542F98" w:rsidRPr="00013C48" w:rsidRDefault="00542F98" w:rsidP="00542F98">
      <w:pPr>
        <w:rPr>
          <w:lang w:val="ru-RU"/>
        </w:rPr>
      </w:pPr>
      <w:r w:rsidRPr="00013C48">
        <w:rPr>
          <w:lang w:val="ru-RU"/>
        </w:rPr>
        <w:t xml:space="preserve">Мы запланировали нашу рабочую деятельность согласно нашей стратегии аудита, чтобы получить разумные гарантии того, что в финансовой отчетности отсутствуют данные, существенным образом искажающие положение дел. </w:t>
      </w:r>
    </w:p>
    <w:p w:rsidR="00542F98" w:rsidRPr="00013C48" w:rsidRDefault="00542F98" w:rsidP="00542F98">
      <w:pPr>
        <w:rPr>
          <w:lang w:val="ru-RU"/>
        </w:rPr>
      </w:pPr>
      <w:r w:rsidRPr="00013C48">
        <w:rPr>
          <w:lang w:val="ru-RU"/>
        </w:rPr>
        <w:t xml:space="preserve">Мы провели оценку принципов бухгалтерского учета и соответствующих прогнозов, сделанных руководством, и оценили адекватность представления информации в финансовой отчетности. </w:t>
      </w:r>
    </w:p>
    <w:p w:rsidR="00542F98" w:rsidRPr="00013C48" w:rsidRDefault="00542F98" w:rsidP="00542F98">
      <w:pPr>
        <w:rPr>
          <w:lang w:val="ru-RU"/>
        </w:rPr>
      </w:pPr>
      <w:r w:rsidRPr="00013C48">
        <w:rPr>
          <w:lang w:val="ru-RU"/>
        </w:rPr>
        <w:t xml:space="preserve">Мы проверили на основе выборки ряд операций и соответствующую документацию, получив достаточные и надежные доказательства в отношении счетов и предоставления информации в финансовой отчетности. </w:t>
      </w:r>
    </w:p>
    <w:p w:rsidR="00542F98" w:rsidRPr="00013C48" w:rsidRDefault="00542F98" w:rsidP="00542F98">
      <w:pPr>
        <w:rPr>
          <w:lang w:val="ru-RU"/>
        </w:rPr>
      </w:pPr>
      <w:r w:rsidRPr="00013C48">
        <w:rPr>
          <w:lang w:val="ru-RU"/>
        </w:rPr>
        <w:t xml:space="preserve">Таким образом, благодаря аудиту мы получили достаточную основу для составления мнения, которое приводится ниже. </w:t>
      </w:r>
    </w:p>
    <w:p w:rsidR="00542F98" w:rsidRPr="00013C48" w:rsidRDefault="00542F98" w:rsidP="00542F98">
      <w:pPr>
        <w:rPr>
          <w:lang w:val="ru-RU"/>
        </w:rPr>
      </w:pPr>
      <w:r w:rsidRPr="00013C48">
        <w:rPr>
          <w:lang w:val="ru-RU"/>
        </w:rPr>
        <w:t xml:space="preserve">В ходе аудита все вопросы разъяснялись и обсуждались с ответственными сотрудниками. </w:t>
      </w:r>
    </w:p>
    <w:p w:rsidR="00542F98" w:rsidRPr="00013C48" w:rsidRDefault="00542F98" w:rsidP="00542F98">
      <w:pPr>
        <w:rPr>
          <w:lang w:val="ru-RU"/>
        </w:rPr>
      </w:pPr>
      <w:r w:rsidRPr="00013C48">
        <w:rPr>
          <w:lang w:val="ru-RU"/>
        </w:rPr>
        <w:t xml:space="preserve">Наша группа регулярно проводила обсуждения с г-ном </w:t>
      </w:r>
      <w:proofErr w:type="spellStart"/>
      <w:r w:rsidRPr="00013C48">
        <w:rPr>
          <w:lang w:val="ru-RU"/>
        </w:rPr>
        <w:t>Алассаном</w:t>
      </w:r>
      <w:proofErr w:type="spellEnd"/>
      <w:r w:rsidRPr="00013C48">
        <w:rPr>
          <w:lang w:val="ru-RU"/>
        </w:rPr>
        <w:t xml:space="preserve"> Ба, руководителем Департамента управления финансовыми ресурсами МСЭ, и сотрудниками его департамента, а также с сотрудниками других департаментов, в зависимости от рассматриваемого вопроса. </w:t>
      </w:r>
    </w:p>
    <w:p w:rsidR="00542F98" w:rsidRPr="00013C48" w:rsidRDefault="00542F98" w:rsidP="00542F98">
      <w:pPr>
        <w:rPr>
          <w:lang w:val="ru-RU"/>
        </w:rPr>
      </w:pPr>
      <w:r w:rsidRPr="00013C48">
        <w:rPr>
          <w:lang w:val="ru-RU"/>
        </w:rPr>
        <w:t xml:space="preserve">Результаты аудита были представлены 12 мая 2016 года. </w:t>
      </w:r>
    </w:p>
    <w:p w:rsidR="00542F98" w:rsidRPr="00013C48" w:rsidRDefault="00542F98" w:rsidP="00542F98">
      <w:pPr>
        <w:rPr>
          <w:lang w:val="ru-RU"/>
        </w:rPr>
      </w:pPr>
      <w:r w:rsidRPr="00013C48">
        <w:rPr>
          <w:lang w:val="ru-RU"/>
        </w:rPr>
        <w:t xml:space="preserve">В </w:t>
      </w:r>
      <w:proofErr w:type="gramStart"/>
      <w:r w:rsidRPr="00013C48">
        <w:rPr>
          <w:lang w:val="ru-RU"/>
        </w:rPr>
        <w:t>том</w:t>
      </w:r>
      <w:proofErr w:type="gramEnd"/>
      <w:r w:rsidRPr="00013C48">
        <w:rPr>
          <w:lang w:val="ru-RU"/>
        </w:rPr>
        <w:t xml:space="preserve"> что касается комментариев Генерального секретаря, которые следует включить в настоящий отчет согласно пункту 9 Дополнительных полномочий по внешней аудиторской проверке, Генеральный секретарь в ходе последнего обсуждения, состоявшегося 5 мая 2016 года, уведомил нас через своих коллег о том, что он направит нам свои комментарии. Эти комментарии были получены 13 мая 2016 года и были должным образом включены в настоящий отчет. </w:t>
      </w:r>
    </w:p>
    <w:p w:rsidR="00542F98" w:rsidRPr="00013C48" w:rsidRDefault="00542F98" w:rsidP="00542F98">
      <w:pPr>
        <w:rPr>
          <w:lang w:val="ru-RU"/>
        </w:rPr>
      </w:pPr>
      <w:r w:rsidRPr="00013C48">
        <w:rPr>
          <w:lang w:val="ru-RU"/>
        </w:rPr>
        <w:t xml:space="preserve">Мы проверили Отчет о финансовой деятельности МСЭ в отношении счетов организации, который касается финансовых результатов по состоянию на 31 декабря 2015 года, представленных в соответствии со Статьей 28 </w:t>
      </w:r>
      <w:r w:rsidRPr="00013C48">
        <w:rPr>
          <w:i/>
          <w:iCs/>
          <w:lang w:val="ru-RU"/>
        </w:rPr>
        <w:t xml:space="preserve">Финансового регламента (издания 2010 г.). </w:t>
      </w:r>
    </w:p>
    <w:p w:rsidR="00542F98" w:rsidRPr="00013C48" w:rsidRDefault="00542F98" w:rsidP="00542F98">
      <w:pPr>
        <w:rPr>
          <w:lang w:val="ru-RU"/>
        </w:rPr>
      </w:pPr>
      <w:r w:rsidRPr="00013C48">
        <w:rPr>
          <w:lang w:val="ru-RU"/>
        </w:rPr>
        <w:t xml:space="preserve">Сопроводительное письмо, касающееся счетов за 2015 финансовый год и подписанное Генеральным секретарем и руководителем Департамента управления финансовыми ресурсами, включено в финансовую отчетность и является неотъемлемой частью документации по аудиту. </w:t>
      </w:r>
    </w:p>
    <w:p w:rsidR="00542F98" w:rsidRPr="00013C48" w:rsidRDefault="00542F98" w:rsidP="00542F98">
      <w:pPr>
        <w:rPr>
          <w:lang w:val="ru-RU"/>
        </w:rPr>
      </w:pPr>
      <w:r w:rsidRPr="00013C48">
        <w:rPr>
          <w:lang w:val="ru-RU"/>
        </w:rPr>
        <w:t xml:space="preserve">Мы получили также Отчет о внутреннем контроле за 2015 год, подписанный Генеральным секретарем 29 марта 2016 года. </w:t>
      </w:r>
    </w:p>
    <w:p w:rsidR="00542F98" w:rsidRPr="00013C48" w:rsidRDefault="00542F98" w:rsidP="00542F98">
      <w:pPr>
        <w:rPr>
          <w:lang w:val="ru-RU"/>
        </w:rPr>
      </w:pPr>
      <w:r w:rsidRPr="00013C48">
        <w:rPr>
          <w:lang w:val="ru-RU"/>
        </w:rPr>
        <w:t xml:space="preserve">Мы отметили результаты нашей аудиторской деятельности как "рекомендации" и "предложения". В то время как рекомендации относятся к процессу дальнейшего отслеживания, осуществляемого </w:t>
      </w:r>
      <w:r w:rsidRPr="00013C48">
        <w:rPr>
          <w:lang w:val="ru-RU"/>
        </w:rPr>
        <w:lastRenderedPageBreak/>
        <w:t>Рабочей группой совета по финансовым и людским ресурсам, предложения отслеживаются только Внешним аудитором. Однако, в принципе, Совет МСЭ, по возможности следуя рекомендациям Независимого консультативного комитета по управлению (</w:t>
      </w:r>
      <w:proofErr w:type="spellStart"/>
      <w:r w:rsidRPr="00013C48">
        <w:rPr>
          <w:lang w:val="ru-RU"/>
        </w:rPr>
        <w:t>IMAC</w:t>
      </w:r>
      <w:proofErr w:type="spellEnd"/>
      <w:r w:rsidRPr="00013C48">
        <w:rPr>
          <w:lang w:val="ru-RU"/>
        </w:rPr>
        <w:t xml:space="preserve">), может просить Генерального секретаря реализовать "предложение", если сочтет это необходимым. </w:t>
      </w:r>
    </w:p>
    <w:p w:rsidR="00542F98" w:rsidRPr="00013C48" w:rsidRDefault="00542F98" w:rsidP="00542F98">
      <w:pPr>
        <w:rPr>
          <w:lang w:val="ru-RU"/>
        </w:rPr>
      </w:pPr>
      <w:r w:rsidRPr="00013C48">
        <w:rPr>
          <w:lang w:val="ru-RU"/>
        </w:rPr>
        <w:t xml:space="preserve">Кроме того, согласно пункту 6 раздела </w:t>
      </w:r>
      <w:r w:rsidRPr="00013C48">
        <w:rPr>
          <w:i/>
          <w:iCs/>
          <w:lang w:val="ru-RU"/>
        </w:rPr>
        <w:t>решает</w:t>
      </w:r>
      <w:r w:rsidRPr="00013C48">
        <w:rPr>
          <w:lang w:val="ru-RU"/>
        </w:rPr>
        <w:t xml:space="preserve"> Резолюции 11 (</w:t>
      </w:r>
      <w:proofErr w:type="spellStart"/>
      <w:r w:rsidRPr="00013C48">
        <w:rPr>
          <w:lang w:val="ru-RU"/>
        </w:rPr>
        <w:t>Пересм</w:t>
      </w:r>
      <w:proofErr w:type="spellEnd"/>
      <w:r w:rsidRPr="00013C48">
        <w:rPr>
          <w:lang w:val="ru-RU"/>
        </w:rPr>
        <w:t xml:space="preserve">. </w:t>
      </w:r>
      <w:proofErr w:type="spellStart"/>
      <w:r w:rsidRPr="00013C48">
        <w:rPr>
          <w:lang w:val="ru-RU"/>
        </w:rPr>
        <w:t>Пусан</w:t>
      </w:r>
      <w:proofErr w:type="spellEnd"/>
      <w:r w:rsidRPr="00013C48">
        <w:rPr>
          <w:lang w:val="ru-RU"/>
        </w:rPr>
        <w:t xml:space="preserve">, 2014 г.) мы проверили счета Всемирного мероприятия ITU </w:t>
      </w:r>
      <w:proofErr w:type="spellStart"/>
      <w:r w:rsidRPr="00013C48">
        <w:rPr>
          <w:lang w:val="ru-RU"/>
        </w:rPr>
        <w:t>Telecom</w:t>
      </w:r>
      <w:proofErr w:type="spellEnd"/>
      <w:r w:rsidRPr="00013C48">
        <w:rPr>
          <w:lang w:val="ru-RU"/>
        </w:rPr>
        <w:t xml:space="preserve"> за 2015 год. </w:t>
      </w:r>
    </w:p>
    <w:p w:rsidR="00542F98" w:rsidRPr="00013C48" w:rsidRDefault="00542F98" w:rsidP="00542F98">
      <w:pPr>
        <w:rPr>
          <w:lang w:val="ru-RU"/>
        </w:rPr>
      </w:pPr>
      <w:r w:rsidRPr="00013C48">
        <w:rPr>
          <w:lang w:val="ru-RU"/>
        </w:rPr>
        <w:t>Мы хотели бы подчеркнуть, что в следующем году вступит в силу пересмотренный международный стандарт аудита, в котором от внешних аудиторов требуется представлять в аудиторском заключении конкретную информацию, подлежащую раскрытию. Группа внешних ревизоров Организации Объединенных Наций в ходе своего следующего собрания, которое состоится в декабре 2016 года, рассмотрит указанный выше вопрос. Мы будем информировать руководство и Совет обо всех изменениях, внесен</w:t>
      </w:r>
      <w:r w:rsidR="00DE3B69" w:rsidRPr="00013C48">
        <w:rPr>
          <w:lang w:val="ru-RU"/>
        </w:rPr>
        <w:t>ных в аудиторское заключение.</w:t>
      </w:r>
    </w:p>
    <w:p w:rsidR="00542F98" w:rsidRPr="00013C48" w:rsidRDefault="00542F98" w:rsidP="00542F98">
      <w:pPr>
        <w:rPr>
          <w:lang w:val="ru-RU"/>
        </w:rPr>
      </w:pPr>
      <w:r w:rsidRPr="00013C48">
        <w:rPr>
          <w:lang w:val="ru-RU"/>
        </w:rPr>
        <w:t xml:space="preserve">Наконец, мы хотим выразить благодарность за любезность и готовность к сотрудничеству, проявленную всеми сотрудниками МСЭ, к которым мы обращались за информацией и документами. </w:t>
      </w:r>
    </w:p>
    <w:p w:rsidR="00542F98" w:rsidRPr="00013C48" w:rsidRDefault="00542F98" w:rsidP="00542F98">
      <w:pPr>
        <w:rPr>
          <w:lang w:val="ru-RU"/>
        </w:rPr>
      </w:pPr>
      <w:r w:rsidRPr="00013C48">
        <w:rPr>
          <w:lang w:val="ru-RU"/>
        </w:rPr>
        <w:br w:type="page"/>
      </w:r>
    </w:p>
    <w:p w:rsidR="00DE3B69" w:rsidRPr="00013C48" w:rsidRDefault="00DE3B69" w:rsidP="00DE3B69">
      <w:pPr>
        <w:spacing w:before="4000"/>
        <w:ind w:left="4253" w:right="108"/>
        <w:rPr>
          <w:lang w:val="ru-RU"/>
        </w:rPr>
      </w:pPr>
      <w:r w:rsidRPr="00013C48">
        <w:rPr>
          <w:noProof/>
          <w:lang w:eastAsia="zh-CN"/>
        </w:rPr>
        <w:lastRenderedPageBreak/>
        <w:drawing>
          <wp:inline distT="0" distB="0" distL="0" distR="0" wp14:anchorId="14B6432E" wp14:editId="2F3BFC3A">
            <wp:extent cx="796060" cy="895082"/>
            <wp:effectExtent l="0" t="0" r="4445" b="63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p>
    <w:p w:rsidR="00DE3B69" w:rsidRPr="00013C48" w:rsidRDefault="00DE3B69" w:rsidP="00DE3B69">
      <w:pPr>
        <w:ind w:right="107"/>
        <w:jc w:val="center"/>
        <w:rPr>
          <w:lang w:val="ru-RU"/>
        </w:rPr>
      </w:pPr>
      <w:proofErr w:type="spellStart"/>
      <w:r w:rsidRPr="00013C48">
        <w:rPr>
          <w:rFonts w:ascii="Kunstler Script" w:hAnsi="Kunstler Script"/>
          <w:sz w:val="72"/>
          <w:szCs w:val="72"/>
          <w:lang w:val="ru-RU"/>
        </w:rPr>
        <w:t>Corte</w:t>
      </w:r>
      <w:proofErr w:type="spellEnd"/>
      <w:r w:rsidRPr="00013C48">
        <w:rPr>
          <w:rFonts w:ascii="Kunstler Script" w:hAnsi="Kunstler Script"/>
          <w:sz w:val="72"/>
          <w:szCs w:val="72"/>
          <w:lang w:val="ru-RU"/>
        </w:rPr>
        <w:t xml:space="preserve"> </w:t>
      </w:r>
      <w:proofErr w:type="spellStart"/>
      <w:r w:rsidRPr="00013C48">
        <w:rPr>
          <w:rFonts w:ascii="Kunstler Script" w:hAnsi="Kunstler Script"/>
          <w:sz w:val="72"/>
          <w:szCs w:val="72"/>
          <w:lang w:val="ru-RU"/>
        </w:rPr>
        <w:t>dei</w:t>
      </w:r>
      <w:proofErr w:type="spellEnd"/>
      <w:r w:rsidRPr="00013C48">
        <w:rPr>
          <w:rFonts w:ascii="Kunstler Script" w:hAnsi="Kunstler Script"/>
          <w:sz w:val="72"/>
          <w:szCs w:val="72"/>
          <w:lang w:val="ru-RU"/>
        </w:rPr>
        <w:t xml:space="preserve"> </w:t>
      </w:r>
      <w:proofErr w:type="spellStart"/>
      <w:r w:rsidRPr="00013C48">
        <w:rPr>
          <w:rFonts w:ascii="Kunstler Script" w:hAnsi="Kunstler Script"/>
          <w:sz w:val="72"/>
          <w:szCs w:val="72"/>
          <w:lang w:val="ru-RU"/>
        </w:rPr>
        <w:t>conti</w:t>
      </w:r>
      <w:proofErr w:type="spellEnd"/>
    </w:p>
    <w:p w:rsidR="00DE3B69" w:rsidRPr="00013C48" w:rsidRDefault="00DE3B69" w:rsidP="00DE3B69">
      <w:pPr>
        <w:jc w:val="center"/>
        <w:rPr>
          <w:lang w:val="ru-RU"/>
        </w:rPr>
      </w:pPr>
      <w:r w:rsidRPr="00013C48">
        <w:rPr>
          <w:lang w:val="ru-RU"/>
        </w:rPr>
        <w:t>Государственная счетная палата Италии</w:t>
      </w:r>
    </w:p>
    <w:p w:rsidR="00542F98" w:rsidRPr="00013C48" w:rsidRDefault="00542F98" w:rsidP="00DE3B69">
      <w:pPr>
        <w:pStyle w:val="Heading1"/>
        <w:jc w:val="center"/>
        <w:rPr>
          <w:lang w:val="ru-RU"/>
        </w:rPr>
      </w:pPr>
      <w:bookmarkStart w:id="36" w:name="_Toc452157289"/>
      <w:bookmarkStart w:id="37" w:name="_Toc452158612"/>
      <w:r w:rsidRPr="00013C48">
        <w:rPr>
          <w:lang w:val="ru-RU"/>
        </w:rPr>
        <w:t>АУДИТОРСКОЕ ЗАКЛЮЧЕНИЕ</w:t>
      </w:r>
      <w:bookmarkEnd w:id="36"/>
      <w:bookmarkEnd w:id="37"/>
    </w:p>
    <w:p w:rsidR="00542F98" w:rsidRPr="00013C48" w:rsidRDefault="00542F98" w:rsidP="00DE3B69">
      <w:pPr>
        <w:pStyle w:val="Headingb"/>
        <w:rPr>
          <w:lang w:val="ru-RU"/>
        </w:rPr>
      </w:pPr>
      <w:bookmarkStart w:id="38" w:name="_Toc452157290"/>
      <w:bookmarkStart w:id="39" w:name="_Toc452158613"/>
      <w:bookmarkStart w:id="40" w:name="_Toc419489381"/>
      <w:r w:rsidRPr="00013C48">
        <w:rPr>
          <w:lang w:val="ru-RU"/>
        </w:rPr>
        <w:t>Отчет независимого аудитора</w:t>
      </w:r>
      <w:bookmarkEnd w:id="38"/>
      <w:bookmarkEnd w:id="39"/>
    </w:p>
    <w:p w:rsidR="00542F98" w:rsidRPr="00013C48" w:rsidRDefault="00542F98" w:rsidP="00542F98">
      <w:pPr>
        <w:rPr>
          <w:lang w:val="ru-RU"/>
        </w:rPr>
      </w:pPr>
      <w:r w:rsidRPr="00013C48">
        <w:rPr>
          <w:lang w:val="ru-RU"/>
        </w:rPr>
        <w:t xml:space="preserve">Мы провели аудиторскую проверку финансовой отчетности Международного союза электросвязи (МСЭ) за год, завершившийся 31 декабря 2015 года, которая включает отчет о финансовом положении, отчет о результатах финансовой деятельности, отчет об изменениях в чистых активах, сравнительную таблицу предусмотренных в бюджете сумм и фактических сумм, отчет о движении денежных средств, а также краткое описание основных методов бухгалтерского учета и прочие пояснительные примечания. </w:t>
      </w:r>
    </w:p>
    <w:p w:rsidR="00542F98" w:rsidRPr="00013C48" w:rsidRDefault="00542F98" w:rsidP="00DE3B69">
      <w:pPr>
        <w:pStyle w:val="Headingb"/>
        <w:rPr>
          <w:lang w:val="ru-RU"/>
        </w:rPr>
      </w:pPr>
      <w:bookmarkStart w:id="41" w:name="_Toc452157291"/>
      <w:bookmarkStart w:id="42" w:name="_Toc452158614"/>
      <w:r w:rsidRPr="00013C48">
        <w:rPr>
          <w:lang w:val="ru-RU"/>
        </w:rPr>
        <w:t>Ответственность Генерального секретаря МСЭ за финансовую отчетность</w:t>
      </w:r>
      <w:bookmarkEnd w:id="41"/>
      <w:bookmarkEnd w:id="42"/>
      <w:r w:rsidRPr="00013C48">
        <w:rPr>
          <w:lang w:val="ru-RU"/>
        </w:rPr>
        <w:t xml:space="preserve"> </w:t>
      </w:r>
    </w:p>
    <w:p w:rsidR="00542F98" w:rsidRPr="00013C48" w:rsidRDefault="00542F98" w:rsidP="00542F98">
      <w:pPr>
        <w:rPr>
          <w:lang w:val="ru-RU"/>
        </w:rPr>
      </w:pPr>
      <w:r w:rsidRPr="00013C48">
        <w:rPr>
          <w:lang w:val="ru-RU"/>
        </w:rPr>
        <w:t xml:space="preserve">Генеральный секретарь несет ответственность за подготовку и объективное представление финансовой отчетности в соответствии с Международными стандартами финансовой отчетности для общественного сектора (стандартами </w:t>
      </w:r>
      <w:proofErr w:type="spellStart"/>
      <w:r w:rsidRPr="00013C48">
        <w:rPr>
          <w:lang w:val="ru-RU"/>
        </w:rPr>
        <w:t>IPSAS</w:t>
      </w:r>
      <w:proofErr w:type="spellEnd"/>
      <w:r w:rsidRPr="00013C48">
        <w:rPr>
          <w:lang w:val="ru-RU"/>
        </w:rPr>
        <w:t>). Кроме того, Генеральный секретарь несет ответственность за прозрачность финансовой отчетности и ее доступность, а также за создание и поддержание системы внутреннего контроля, считающейся необходимой для обеспечения подготовки финансовой отчетности, в которой отсутствуют данные, существенным образом искажающие положение дел, будь то вследствие недобросовестных действий или в результате ошибок.</w:t>
      </w:r>
    </w:p>
    <w:p w:rsidR="00542F98" w:rsidRPr="00013C48" w:rsidRDefault="003373E4" w:rsidP="00DE3B69">
      <w:pPr>
        <w:pStyle w:val="Headingb"/>
        <w:rPr>
          <w:lang w:val="ru-RU"/>
        </w:rPr>
      </w:pPr>
      <w:bookmarkStart w:id="43" w:name="_Toc452157292"/>
      <w:bookmarkStart w:id="44" w:name="_Toc452158615"/>
      <w:r w:rsidRPr="00013C48">
        <w:rPr>
          <w:lang w:val="ru-RU"/>
        </w:rPr>
        <w:t>Ответственность аудитора</w:t>
      </w:r>
      <w:bookmarkEnd w:id="43"/>
      <w:bookmarkEnd w:id="44"/>
    </w:p>
    <w:p w:rsidR="00542F98" w:rsidRPr="00013C48" w:rsidRDefault="00542F98" w:rsidP="00542F98">
      <w:pPr>
        <w:rPr>
          <w:lang w:val="ru-RU"/>
        </w:rPr>
      </w:pPr>
      <w:r w:rsidRPr="00013C48">
        <w:rPr>
          <w:lang w:val="ru-RU"/>
        </w:rPr>
        <w:t>Наша ответственность состоит в том, чтобы дать заключение о финансовой отчетности МСЭ по результатам нашего аудита. Мы провели наш аудит в соответствии с Международными стандартами для высших ревизионных учреждений (</w:t>
      </w:r>
      <w:proofErr w:type="spellStart"/>
      <w:r w:rsidRPr="00013C48">
        <w:rPr>
          <w:lang w:val="ru-RU"/>
        </w:rPr>
        <w:t>МСВРУ</w:t>
      </w:r>
      <w:proofErr w:type="spellEnd"/>
      <w:r w:rsidRPr="00013C48">
        <w:rPr>
          <w:lang w:val="ru-RU"/>
        </w:rPr>
        <w:t xml:space="preserve">), а также Финансовым регламентом и Финансовыми правилами МСЭ. Согласно </w:t>
      </w:r>
      <w:proofErr w:type="spellStart"/>
      <w:r w:rsidRPr="00013C48">
        <w:rPr>
          <w:lang w:val="ru-RU"/>
        </w:rPr>
        <w:t>МСВРУ</w:t>
      </w:r>
      <w:proofErr w:type="spellEnd"/>
      <w:r w:rsidRPr="00013C48">
        <w:rPr>
          <w:lang w:val="ru-RU"/>
        </w:rPr>
        <w:t xml:space="preserve"> от нас требуется соблюдать правила этики, планировать и проводить аудит таким образом, чтобы получить достаточную гарантию в отношении того, отсутствуют ли в финансовой отчетности данные, существенным образом искажающие положение дел. </w:t>
      </w:r>
    </w:p>
    <w:p w:rsidR="00542F98" w:rsidRPr="00013C48" w:rsidRDefault="00542F98" w:rsidP="00013C48">
      <w:pPr>
        <w:rPr>
          <w:lang w:val="ru-RU"/>
        </w:rPr>
      </w:pPr>
      <w:r w:rsidRPr="00013C48">
        <w:rPr>
          <w:lang w:val="ru-RU"/>
        </w:rPr>
        <w:t xml:space="preserve">Аудит </w:t>
      </w:r>
      <w:r w:rsidR="00013C48" w:rsidRPr="00013C48">
        <w:rPr>
          <w:lang w:val="ru-RU"/>
        </w:rPr>
        <w:t xml:space="preserve">включает </w:t>
      </w:r>
      <w:r w:rsidRPr="00013C48">
        <w:rPr>
          <w:lang w:val="ru-RU"/>
        </w:rPr>
        <w:t>выполнени</w:t>
      </w:r>
      <w:r w:rsidR="00013C48" w:rsidRPr="00013C48">
        <w:rPr>
          <w:lang w:val="ru-RU"/>
        </w:rPr>
        <w:t>е</w:t>
      </w:r>
      <w:r w:rsidRPr="00013C48">
        <w:rPr>
          <w:lang w:val="ru-RU"/>
        </w:rPr>
        <w:t xml:space="preserve"> процедур, направленных на получение доказательных данных аудита в отношении сумм и информации, представленной в финансовой отчетности. Выбранная процедура зависит от решения аудитора, включая оценку риска наличия существенных искажений в финансовой отчетности, которые могут быть допущены вследствие недобросовестных действий или в результате ошибок. При проведении такой оценки риска аудитор рассматривает систему внутреннего контроля, важную для подготовки и объективного представления финансовой отчетности в организации, с тем чтобы разработать процедуры аудита, соответствующие данным обстоятельствам, а не для того чтобы выразить свое мнение по поводу эффективности внутреннего контроля организации. </w:t>
      </w:r>
    </w:p>
    <w:p w:rsidR="00542F98" w:rsidRPr="00013C48" w:rsidRDefault="00542F98" w:rsidP="00542F98">
      <w:pPr>
        <w:rPr>
          <w:lang w:val="ru-RU"/>
        </w:rPr>
      </w:pPr>
      <w:r w:rsidRPr="00013C48">
        <w:rPr>
          <w:lang w:val="ru-RU"/>
        </w:rPr>
        <w:lastRenderedPageBreak/>
        <w:t xml:space="preserve">Кроме того, аудит включает оценку уместности используемой учетной политики и обоснованности учетных оценок, произведенных Генеральным секретарем, а также оценку представления финансовой отчетности в целом. </w:t>
      </w:r>
    </w:p>
    <w:p w:rsidR="00542F98" w:rsidRPr="00013C48" w:rsidRDefault="00542F98" w:rsidP="00542F98">
      <w:pPr>
        <w:rPr>
          <w:lang w:val="ru-RU"/>
        </w:rPr>
      </w:pPr>
      <w:r w:rsidRPr="00013C48">
        <w:rPr>
          <w:lang w:val="ru-RU"/>
        </w:rPr>
        <w:t xml:space="preserve">Мы убедились в том, что финансовая отчетность была подготовлена в соответствии с установленной учетной политикой и что эта политика применялась на основе, которая соответствует основе, применявшейся в предыдущем финансовом периоде. Мы также убедились на выборочной основе в соответствии транзакций Финансовому регламенту и Финансовым правилам МСЭ. </w:t>
      </w:r>
    </w:p>
    <w:p w:rsidR="00542F98" w:rsidRPr="00013C48" w:rsidRDefault="00542F98" w:rsidP="00542F98">
      <w:pPr>
        <w:rPr>
          <w:lang w:val="ru-RU"/>
        </w:rPr>
      </w:pPr>
      <w:r w:rsidRPr="00013C48">
        <w:rPr>
          <w:lang w:val="ru-RU"/>
        </w:rPr>
        <w:t>Считаем, что собранные нами доказательные данные аудита обеспечивают достаточную и адекватную основу для нашего аудиторского заключения.</w:t>
      </w:r>
    </w:p>
    <w:p w:rsidR="00542F98" w:rsidRPr="00013C48" w:rsidRDefault="00542F98" w:rsidP="00542F98">
      <w:pPr>
        <w:rPr>
          <w:lang w:val="ru-RU"/>
        </w:rPr>
      </w:pPr>
      <w:r w:rsidRPr="00013C48">
        <w:rPr>
          <w:lang w:val="ru-RU"/>
        </w:rPr>
        <w:t xml:space="preserve">В соответствии с Финансовым регламентом и Финансовыми правилами МСЭ (Статья 28) и Дополнительным полномочиям по внешней аудиторской проверке счетов (Приложение I к Финансовому регламенту и Финансовым правилам МСЭ), мы также выпустили подробный отчет о нашей аудиторской проверке финансовой отчетности МСЭ за 2015 год. </w:t>
      </w:r>
    </w:p>
    <w:p w:rsidR="00542F98" w:rsidRPr="00013C48" w:rsidRDefault="003373E4" w:rsidP="00DE3B69">
      <w:pPr>
        <w:pStyle w:val="Headingb"/>
        <w:rPr>
          <w:lang w:val="ru-RU"/>
        </w:rPr>
      </w:pPr>
      <w:bookmarkStart w:id="45" w:name="_Toc452157293"/>
      <w:bookmarkStart w:id="46" w:name="_Toc452158616"/>
      <w:r w:rsidRPr="00013C48">
        <w:rPr>
          <w:lang w:val="ru-RU"/>
        </w:rPr>
        <w:t>Пояснительный раздел</w:t>
      </w:r>
      <w:bookmarkEnd w:id="45"/>
      <w:bookmarkEnd w:id="46"/>
    </w:p>
    <w:p w:rsidR="00542F98" w:rsidRPr="00013C48" w:rsidRDefault="00542F98" w:rsidP="00013C48">
      <w:pPr>
        <w:rPr>
          <w:lang w:val="ru-RU"/>
        </w:rPr>
      </w:pPr>
      <w:r w:rsidRPr="00013C48">
        <w:rPr>
          <w:lang w:val="ru-RU"/>
        </w:rPr>
        <w:t xml:space="preserve">В отчете о финансовом положении показано отрицательное значение чистых активов (−343,2 млн. швейцарских франков) в основном в результате воздействия актуарных обязательств размере 495,0 млн. швейцарских франков, учтенных в отчете о финансовом положении, которые связаны с вознаграждением сотрудников, работающих на основе долгосрочных контрактов. Подробные сведения о проведенном нами анализе включены в наш отчет. Руководство принимает соответствующие меры и заверило нас в том, что будет контролировать эффективность этих мер. </w:t>
      </w:r>
    </w:p>
    <w:p w:rsidR="00542F98" w:rsidRPr="00013C48" w:rsidRDefault="00542F98" w:rsidP="00DE3B69">
      <w:pPr>
        <w:pStyle w:val="Headingb"/>
        <w:rPr>
          <w:lang w:val="ru-RU"/>
        </w:rPr>
      </w:pPr>
      <w:bookmarkStart w:id="47" w:name="_Toc452157294"/>
      <w:bookmarkStart w:id="48" w:name="_Toc452158617"/>
      <w:r w:rsidRPr="00013C48">
        <w:rPr>
          <w:lang w:val="ru-RU"/>
        </w:rPr>
        <w:t>Заключение об аудите</w:t>
      </w:r>
      <w:bookmarkEnd w:id="47"/>
      <w:bookmarkEnd w:id="48"/>
    </w:p>
    <w:p w:rsidR="00542F98" w:rsidRPr="00013C48" w:rsidRDefault="00542F98" w:rsidP="00542F98">
      <w:pPr>
        <w:rPr>
          <w:lang w:val="ru-RU"/>
        </w:rPr>
      </w:pPr>
      <w:r w:rsidRPr="00013C48">
        <w:rPr>
          <w:lang w:val="ru-RU"/>
        </w:rPr>
        <w:t xml:space="preserve">По нашему мнению, финансовая отчетность МСЭ за 2015 год во всех существенных отношениях четко отражает финансовое положение Международного союза электросвязи на 31 декабря 2015 года, а также результаты его финансовой деятельности, изменения в чистых активах, движение денежных средств и сравнение предусмотренных в бюджете сумм и фактических сумм за год, завершившийся на указанную дату, в соответствии со стандартами </w:t>
      </w:r>
      <w:proofErr w:type="spellStart"/>
      <w:r w:rsidRPr="00013C48">
        <w:rPr>
          <w:lang w:val="ru-RU"/>
        </w:rPr>
        <w:t>IPSAS</w:t>
      </w:r>
      <w:proofErr w:type="spellEnd"/>
      <w:r w:rsidRPr="00013C48">
        <w:rPr>
          <w:lang w:val="ru-RU"/>
        </w:rPr>
        <w:t>, а также Финансовым регламентом и Финансовыми правилами МСЭ.</w:t>
      </w:r>
    </w:p>
    <w:p w:rsidR="00542F98" w:rsidRPr="00013C48" w:rsidRDefault="003373E4" w:rsidP="00DE3B69">
      <w:pPr>
        <w:tabs>
          <w:tab w:val="clear" w:pos="794"/>
        </w:tabs>
        <w:spacing w:before="720"/>
        <w:rPr>
          <w:lang w:val="ru-RU"/>
        </w:rPr>
      </w:pPr>
      <w:r w:rsidRPr="00013C48">
        <w:rPr>
          <w:lang w:val="ru-RU"/>
        </w:rPr>
        <w:t>Рим, 17 мая 2016 года</w:t>
      </w:r>
    </w:p>
    <w:p w:rsidR="00542F98" w:rsidRPr="00013C48" w:rsidRDefault="00542F98" w:rsidP="00DE3B69">
      <w:pPr>
        <w:tabs>
          <w:tab w:val="clear" w:pos="794"/>
          <w:tab w:val="clear" w:pos="1191"/>
          <w:tab w:val="clear" w:pos="1588"/>
          <w:tab w:val="clear" w:pos="1985"/>
          <w:tab w:val="center" w:pos="7088"/>
        </w:tabs>
        <w:spacing w:before="1080"/>
        <w:rPr>
          <w:lang w:val="ru-RU"/>
        </w:rPr>
      </w:pPr>
      <w:r w:rsidRPr="00013C48">
        <w:rPr>
          <w:lang w:val="ru-RU"/>
        </w:rPr>
        <w:tab/>
      </w:r>
      <w:proofErr w:type="spellStart"/>
      <w:r w:rsidRPr="00013C48">
        <w:rPr>
          <w:lang w:val="ru-RU"/>
        </w:rPr>
        <w:t>Раффаэле</w:t>
      </w:r>
      <w:proofErr w:type="spellEnd"/>
      <w:r w:rsidRPr="00013C48">
        <w:rPr>
          <w:lang w:val="ru-RU"/>
        </w:rPr>
        <w:t xml:space="preserve"> </w:t>
      </w:r>
      <w:proofErr w:type="spellStart"/>
      <w:r w:rsidRPr="00013C48">
        <w:rPr>
          <w:lang w:val="ru-RU"/>
        </w:rPr>
        <w:t>Сквитьери</w:t>
      </w:r>
      <w:proofErr w:type="spellEnd"/>
      <w:r w:rsidRPr="00013C48">
        <w:rPr>
          <w:lang w:val="ru-RU"/>
        </w:rPr>
        <w:t xml:space="preserve"> </w:t>
      </w:r>
      <w:r w:rsidRPr="00013C48">
        <w:rPr>
          <w:lang w:val="ru-RU"/>
        </w:rPr>
        <w:br/>
      </w:r>
      <w:r w:rsidRPr="00013C48">
        <w:rPr>
          <w:lang w:val="ru-RU"/>
        </w:rPr>
        <w:tab/>
        <w:t xml:space="preserve">Председатель </w:t>
      </w:r>
      <w:r w:rsidRPr="00013C48">
        <w:rPr>
          <w:rFonts w:cs="Calibri"/>
          <w:szCs w:val="22"/>
          <w:lang w:val="ru-RU" w:eastAsia="zh-CN"/>
        </w:rPr>
        <w:t>Государственной</w:t>
      </w:r>
      <w:r w:rsidRPr="00013C48">
        <w:rPr>
          <w:lang w:val="ru-RU"/>
        </w:rPr>
        <w:t xml:space="preserve"> счетной </w:t>
      </w:r>
      <w:r w:rsidRPr="00013C48">
        <w:rPr>
          <w:lang w:val="ru-RU"/>
        </w:rPr>
        <w:br/>
      </w:r>
      <w:r w:rsidRPr="00013C48">
        <w:rPr>
          <w:lang w:val="ru-RU"/>
        </w:rPr>
        <w:tab/>
        <w:t>палаты Италии (</w:t>
      </w:r>
      <w:proofErr w:type="spellStart"/>
      <w:r w:rsidRPr="00013C48">
        <w:rPr>
          <w:lang w:val="ru-RU"/>
        </w:rPr>
        <w:t>Corte</w:t>
      </w:r>
      <w:proofErr w:type="spellEnd"/>
      <w:r w:rsidRPr="00013C48">
        <w:rPr>
          <w:lang w:val="ru-RU"/>
        </w:rPr>
        <w:t xml:space="preserve"> </w:t>
      </w:r>
      <w:proofErr w:type="spellStart"/>
      <w:r w:rsidRPr="00013C48">
        <w:rPr>
          <w:lang w:val="ru-RU"/>
        </w:rPr>
        <w:t>dei</w:t>
      </w:r>
      <w:proofErr w:type="spellEnd"/>
      <w:r w:rsidRPr="00013C48">
        <w:rPr>
          <w:lang w:val="ru-RU"/>
        </w:rPr>
        <w:t xml:space="preserve"> </w:t>
      </w:r>
      <w:proofErr w:type="spellStart"/>
      <w:r w:rsidRPr="00013C48">
        <w:rPr>
          <w:lang w:val="ru-RU"/>
        </w:rPr>
        <w:t>conti</w:t>
      </w:r>
      <w:proofErr w:type="spellEnd"/>
      <w:r w:rsidRPr="00013C48">
        <w:rPr>
          <w:lang w:val="ru-RU"/>
        </w:rPr>
        <w:t xml:space="preserve">) </w:t>
      </w:r>
    </w:p>
    <w:p w:rsidR="00542F98" w:rsidRPr="00013C48" w:rsidRDefault="00542F98" w:rsidP="00542F98">
      <w:pPr>
        <w:rPr>
          <w:lang w:val="ru-RU"/>
        </w:rPr>
      </w:pPr>
      <w:bookmarkStart w:id="49" w:name="_Toc358192819"/>
      <w:bookmarkStart w:id="50" w:name="_Toc398125304"/>
      <w:bookmarkStart w:id="51" w:name="_Toc398125783"/>
      <w:bookmarkEnd w:id="40"/>
      <w:r w:rsidRPr="00013C48">
        <w:rPr>
          <w:lang w:val="ru-RU"/>
        </w:rPr>
        <w:br w:type="page"/>
      </w:r>
    </w:p>
    <w:p w:rsidR="00542F98" w:rsidRPr="00013C48" w:rsidRDefault="00542F98" w:rsidP="004366F9">
      <w:pPr>
        <w:pStyle w:val="Heading1"/>
        <w:rPr>
          <w:lang w:val="ru-RU"/>
        </w:rPr>
      </w:pPr>
      <w:bookmarkStart w:id="52" w:name="_Toc452157295"/>
      <w:bookmarkStart w:id="53" w:name="_Toc452158618"/>
      <w:r w:rsidRPr="00013C48">
        <w:rPr>
          <w:lang w:val="ru-RU"/>
        </w:rPr>
        <w:lastRenderedPageBreak/>
        <w:t>СТРУКТУРА БУХГАЛТЕРСКОЙ ОТЧЕТНОСТИ</w:t>
      </w:r>
      <w:bookmarkEnd w:id="49"/>
      <w:bookmarkEnd w:id="50"/>
      <w:bookmarkEnd w:id="51"/>
      <w:bookmarkEnd w:id="52"/>
      <w:bookmarkEnd w:id="53"/>
    </w:p>
    <w:p w:rsidR="00542F98" w:rsidRPr="00013C48" w:rsidRDefault="00542F98" w:rsidP="00542F98">
      <w:pPr>
        <w:rPr>
          <w:lang w:val="ru-RU"/>
        </w:rPr>
      </w:pPr>
      <w:r w:rsidRPr="00013C48">
        <w:rPr>
          <w:lang w:val="ru-RU"/>
        </w:rPr>
        <w:t>1</w:t>
      </w:r>
      <w:r w:rsidRPr="00013C48">
        <w:rPr>
          <w:lang w:val="ru-RU"/>
        </w:rPr>
        <w:tab/>
        <w:t xml:space="preserve">Финансовая отчетность МСЭ подготовлена и представлена в соответствии со стандартом </w:t>
      </w:r>
      <w:proofErr w:type="spellStart"/>
      <w:r w:rsidRPr="00013C48">
        <w:rPr>
          <w:lang w:val="ru-RU"/>
        </w:rPr>
        <w:t>IPSAS</w:t>
      </w:r>
      <w:proofErr w:type="spellEnd"/>
      <w:r w:rsidRPr="00013C48">
        <w:rPr>
          <w:lang w:val="ru-RU"/>
        </w:rPr>
        <w:t xml:space="preserve"> 1 и включает следующие элементы: </w:t>
      </w:r>
    </w:p>
    <w:p w:rsidR="00542F98" w:rsidRPr="00013C48" w:rsidRDefault="00542F98" w:rsidP="004366F9">
      <w:pPr>
        <w:pStyle w:val="enumlev1"/>
        <w:rPr>
          <w:lang w:val="ru-RU"/>
        </w:rPr>
      </w:pPr>
      <w:r w:rsidRPr="00013C48">
        <w:rPr>
          <w:lang w:val="ru-RU"/>
        </w:rPr>
        <w:t>•</w:t>
      </w:r>
      <w:r w:rsidRPr="00013C48">
        <w:rPr>
          <w:lang w:val="ru-RU"/>
        </w:rPr>
        <w:tab/>
        <w:t xml:space="preserve">Отчет о финансовом положении – Балансовая ведомость по состоянию на 31 декабря 2015 года и сравнительные данные на 31 декабря 2014 года, в которой показаны активы (подразделенные на текущие и </w:t>
      </w:r>
      <w:proofErr w:type="spellStart"/>
      <w:r w:rsidRPr="00013C48">
        <w:rPr>
          <w:lang w:val="ru-RU"/>
        </w:rPr>
        <w:t>нетекущие</w:t>
      </w:r>
      <w:proofErr w:type="spellEnd"/>
      <w:r w:rsidRPr="00013C48">
        <w:rPr>
          <w:lang w:val="ru-RU"/>
        </w:rPr>
        <w:t xml:space="preserve"> активы), пассивы (подразделенные на текущие и </w:t>
      </w:r>
      <w:proofErr w:type="spellStart"/>
      <w:r w:rsidRPr="00013C48">
        <w:rPr>
          <w:lang w:val="ru-RU"/>
        </w:rPr>
        <w:t>нетекущие</w:t>
      </w:r>
      <w:proofErr w:type="spellEnd"/>
      <w:r w:rsidRPr="00013C48">
        <w:rPr>
          <w:lang w:val="ru-RU"/>
        </w:rPr>
        <w:t xml:space="preserve"> пассивы) и чистые активы; </w:t>
      </w:r>
    </w:p>
    <w:p w:rsidR="00542F98" w:rsidRPr="00013C48" w:rsidRDefault="00542F98" w:rsidP="004366F9">
      <w:pPr>
        <w:pStyle w:val="enumlev1"/>
        <w:rPr>
          <w:lang w:val="ru-RU"/>
        </w:rPr>
      </w:pPr>
      <w:r w:rsidRPr="00013C48">
        <w:rPr>
          <w:lang w:val="ru-RU"/>
        </w:rPr>
        <w:t>•</w:t>
      </w:r>
      <w:r w:rsidRPr="00013C48">
        <w:rPr>
          <w:lang w:val="ru-RU"/>
        </w:rPr>
        <w:tab/>
        <w:t>Отчет о результатах финансовой деятельности за финансовый период, завершившийся 31 декабря 2015 года, и сравнительные данные на 31 декабря 2014 года, в котором показаны активное сальдо/дефицит за финансовый год;</w:t>
      </w:r>
    </w:p>
    <w:p w:rsidR="00542F98" w:rsidRPr="00013C48" w:rsidRDefault="00542F98" w:rsidP="004366F9">
      <w:pPr>
        <w:pStyle w:val="enumlev1"/>
        <w:rPr>
          <w:lang w:val="ru-RU"/>
        </w:rPr>
      </w:pPr>
      <w:r w:rsidRPr="00013C48">
        <w:rPr>
          <w:lang w:val="ru-RU"/>
        </w:rPr>
        <w:t>•</w:t>
      </w:r>
      <w:r w:rsidRPr="00013C48">
        <w:rPr>
          <w:lang w:val="ru-RU"/>
        </w:rPr>
        <w:tab/>
        <w:t>Отчет об изменениях в чистых активах за финансовый период, завершившийся 31 декабря 2015 года, в котором показана стоимость чистых активов, включая активное сальдо или дефицит за финансовый год, а также убытки, непосредственно учтенные в чистых активах и не затрагивающие отчет о результатах финансовой деятельности;</w:t>
      </w:r>
    </w:p>
    <w:p w:rsidR="00542F98" w:rsidRPr="00013C48" w:rsidRDefault="00542F98" w:rsidP="004366F9">
      <w:pPr>
        <w:pStyle w:val="enumlev1"/>
        <w:rPr>
          <w:lang w:val="ru-RU"/>
        </w:rPr>
      </w:pPr>
      <w:r w:rsidRPr="00013C48">
        <w:rPr>
          <w:lang w:val="ru-RU"/>
        </w:rPr>
        <w:t>•</w:t>
      </w:r>
      <w:r w:rsidRPr="00013C48">
        <w:rPr>
          <w:lang w:val="ru-RU"/>
        </w:rPr>
        <w:tab/>
        <w:t xml:space="preserve">Таблица движения денежных средств за финансовый период, завершившийся 31 декабря 2015 года, в которой показаны приток и отток денежных средств и эквивалентов денежных средств для оперативных, инвестиционных и финансовых операций и общих денежных сумм на конец финансового года; </w:t>
      </w:r>
    </w:p>
    <w:p w:rsidR="00542F98" w:rsidRPr="00013C48" w:rsidRDefault="00542F98" w:rsidP="004366F9">
      <w:pPr>
        <w:pStyle w:val="enumlev1"/>
        <w:rPr>
          <w:lang w:val="ru-RU"/>
        </w:rPr>
      </w:pPr>
      <w:r w:rsidRPr="00013C48">
        <w:rPr>
          <w:lang w:val="ru-RU"/>
        </w:rPr>
        <w:t>•</w:t>
      </w:r>
      <w:r w:rsidRPr="00013C48">
        <w:rPr>
          <w:lang w:val="ru-RU"/>
        </w:rPr>
        <w:tab/>
        <w:t>Сравнительная таблица предусмотренных в бюджете сумм и фактических сумм за 2015 финансовый год;</w:t>
      </w:r>
    </w:p>
    <w:p w:rsidR="00542F98" w:rsidRPr="00013C48" w:rsidRDefault="00542F98" w:rsidP="004366F9">
      <w:pPr>
        <w:pStyle w:val="enumlev1"/>
        <w:rPr>
          <w:lang w:val="ru-RU"/>
        </w:rPr>
      </w:pPr>
      <w:r w:rsidRPr="00013C48">
        <w:rPr>
          <w:lang w:val="ru-RU"/>
        </w:rPr>
        <w:t>•</w:t>
      </w:r>
      <w:r w:rsidRPr="00013C48">
        <w:rPr>
          <w:lang w:val="ru-RU"/>
        </w:rPr>
        <w:tab/>
        <w:t xml:space="preserve">Примечания к финансовой отчетности, где представлена информация о политике бухгалтерского учета и дополнительная информация, необходимая для беспристрастного представления. </w:t>
      </w:r>
    </w:p>
    <w:p w:rsidR="00542F98" w:rsidRPr="00013C48" w:rsidRDefault="00542F98" w:rsidP="004366F9">
      <w:pPr>
        <w:pStyle w:val="Heading1"/>
        <w:rPr>
          <w:lang w:val="ru-RU"/>
        </w:rPr>
      </w:pPr>
      <w:bookmarkStart w:id="54" w:name="_Toc356330870"/>
      <w:bookmarkStart w:id="55" w:name="_Toc358192820"/>
      <w:bookmarkStart w:id="56" w:name="_Toc398125305"/>
      <w:bookmarkStart w:id="57" w:name="_Toc398125784"/>
      <w:bookmarkStart w:id="58" w:name="_Toc452157296"/>
      <w:bookmarkStart w:id="59" w:name="_Toc452158619"/>
      <w:r w:rsidRPr="00013C48">
        <w:rPr>
          <w:lang w:val="ru-RU"/>
        </w:rPr>
        <w:t>ОТЧЕТ О ФИНАНСОВОМ ПОЛОЖЕНИИ ЗА 2015 ГОД</w:t>
      </w:r>
      <w:bookmarkEnd w:id="54"/>
      <w:bookmarkEnd w:id="55"/>
      <w:bookmarkEnd w:id="56"/>
      <w:bookmarkEnd w:id="57"/>
      <w:bookmarkEnd w:id="58"/>
      <w:bookmarkEnd w:id="59"/>
    </w:p>
    <w:p w:rsidR="00542F98" w:rsidRPr="00013C48" w:rsidRDefault="00542F98" w:rsidP="004366F9">
      <w:pPr>
        <w:pStyle w:val="Headingb"/>
        <w:rPr>
          <w:lang w:val="ru-RU"/>
        </w:rPr>
      </w:pPr>
      <w:bookmarkStart w:id="60" w:name="_Toc358192821"/>
      <w:bookmarkStart w:id="61" w:name="_Toc398125306"/>
      <w:bookmarkStart w:id="62" w:name="_Toc398125785"/>
      <w:bookmarkStart w:id="63" w:name="_Toc398127082"/>
      <w:bookmarkStart w:id="64" w:name="_Toc452157297"/>
      <w:bookmarkStart w:id="65" w:name="_Toc452158620"/>
      <w:r w:rsidRPr="00013C48">
        <w:rPr>
          <w:lang w:val="ru-RU"/>
        </w:rPr>
        <w:t>АКТИВЫ</w:t>
      </w:r>
      <w:bookmarkEnd w:id="60"/>
      <w:bookmarkEnd w:id="61"/>
      <w:bookmarkEnd w:id="62"/>
      <w:bookmarkEnd w:id="63"/>
      <w:bookmarkEnd w:id="64"/>
      <w:bookmarkEnd w:id="65"/>
    </w:p>
    <w:p w:rsidR="00542F98" w:rsidRPr="00013C48" w:rsidRDefault="00542F98" w:rsidP="00542F98">
      <w:pPr>
        <w:rPr>
          <w:lang w:val="ru-RU"/>
        </w:rPr>
      </w:pPr>
      <w:r w:rsidRPr="00013C48">
        <w:rPr>
          <w:lang w:val="ru-RU"/>
        </w:rPr>
        <w:t>2</w:t>
      </w:r>
      <w:r w:rsidRPr="00013C48">
        <w:rPr>
          <w:lang w:val="ru-RU"/>
        </w:rPr>
        <w:tab/>
        <w:t xml:space="preserve">В 2015 году объем активов составил 370,3 млн. швейцарских франков, что соответствует объему, зарегистрированному в 2014 году (370,3 млн. швейцарских франков). </w:t>
      </w:r>
    </w:p>
    <w:p w:rsidR="00542F98" w:rsidRPr="00013C48" w:rsidRDefault="00542F98" w:rsidP="00542F98">
      <w:pPr>
        <w:rPr>
          <w:lang w:val="ru-RU"/>
        </w:rPr>
      </w:pPr>
      <w:r w:rsidRPr="00013C48">
        <w:rPr>
          <w:lang w:val="ru-RU"/>
        </w:rPr>
        <w:t>3</w:t>
      </w:r>
      <w:r w:rsidRPr="00013C48">
        <w:rPr>
          <w:lang w:val="ru-RU"/>
        </w:rPr>
        <w:tab/>
        <w:t xml:space="preserve">Активы включают текущие активы в объеме 262,1 млн. швейцарских франков, что составляет 70,8% от общего размера активов (незначительно больше, чем в 2014 г. – 69,9%), и </w:t>
      </w:r>
      <w:proofErr w:type="spellStart"/>
      <w:r w:rsidRPr="00013C48">
        <w:rPr>
          <w:lang w:val="ru-RU"/>
        </w:rPr>
        <w:t>нетекущие</w:t>
      </w:r>
      <w:proofErr w:type="spellEnd"/>
      <w:r w:rsidRPr="00013C48">
        <w:rPr>
          <w:lang w:val="ru-RU"/>
        </w:rPr>
        <w:t xml:space="preserve"> активы в объеме 108,2 млн. швейцарских франков, что составляет 29,2% от общего размера активов (в 2014 г. – 30,1%).</w:t>
      </w:r>
    </w:p>
    <w:p w:rsidR="00542F98" w:rsidRPr="00013C48" w:rsidRDefault="00542F98" w:rsidP="004366F9">
      <w:pPr>
        <w:pStyle w:val="Headingb"/>
        <w:rPr>
          <w:lang w:val="ru-RU"/>
        </w:rPr>
      </w:pPr>
      <w:bookmarkStart w:id="66" w:name="_Toc356330872"/>
      <w:bookmarkStart w:id="67" w:name="_Toc358192822"/>
      <w:bookmarkStart w:id="68" w:name="_Toc398125307"/>
      <w:bookmarkStart w:id="69" w:name="_Toc398125786"/>
      <w:bookmarkStart w:id="70" w:name="_Toc398127083"/>
      <w:bookmarkStart w:id="71" w:name="_Toc452157298"/>
      <w:bookmarkStart w:id="72" w:name="_Toc452158621"/>
      <w:r w:rsidRPr="00013C48">
        <w:rPr>
          <w:lang w:val="ru-RU"/>
        </w:rPr>
        <w:t>Текущие активы</w:t>
      </w:r>
      <w:bookmarkEnd w:id="66"/>
      <w:bookmarkEnd w:id="67"/>
      <w:bookmarkEnd w:id="68"/>
      <w:bookmarkEnd w:id="69"/>
      <w:bookmarkEnd w:id="70"/>
      <w:bookmarkEnd w:id="71"/>
      <w:bookmarkEnd w:id="72"/>
    </w:p>
    <w:p w:rsidR="00542F98" w:rsidRPr="00013C48" w:rsidRDefault="00542F98" w:rsidP="00542F98">
      <w:pPr>
        <w:rPr>
          <w:lang w:val="ru-RU"/>
        </w:rPr>
      </w:pPr>
      <w:r w:rsidRPr="00013C48">
        <w:rPr>
          <w:lang w:val="ru-RU"/>
        </w:rPr>
        <w:t>4</w:t>
      </w:r>
      <w:r w:rsidRPr="00013C48">
        <w:rPr>
          <w:lang w:val="ru-RU"/>
        </w:rPr>
        <w:tab/>
        <w:t xml:space="preserve">Общий размер текущих активов в 2015 году составил 262,1 млн. швейцарских франков, что представляет собой увеличение на 3,3 млн. швейцарских франков (+1,3%) по сравнению с 2014 годом (258,8 млн. швейцарских франков). В целом это увеличение </w:t>
      </w:r>
      <w:r w:rsidR="003373E4" w:rsidRPr="00013C48">
        <w:rPr>
          <w:lang w:val="ru-RU"/>
        </w:rPr>
        <w:t>связано со вкладами (+24,7 млн. </w:t>
      </w:r>
      <w:r w:rsidRPr="00013C48">
        <w:rPr>
          <w:lang w:val="ru-RU"/>
        </w:rPr>
        <w:t>швейцарских франков) и долговыми обязательствами по необменным операциям (+0,7 млн. швейцарских франков), тогда как денежные средства и эквивален</w:t>
      </w:r>
      <w:r w:rsidR="003373E4" w:rsidRPr="00013C48">
        <w:rPr>
          <w:lang w:val="ru-RU"/>
        </w:rPr>
        <w:t>ты денежных средств (−19,9 млн. </w:t>
      </w:r>
      <w:r w:rsidRPr="00013C48">
        <w:rPr>
          <w:lang w:val="ru-RU"/>
        </w:rPr>
        <w:t>швейцарских франков), дебиторская задолженность по взносам (−1,4 млн. швейцарских франков), запасы (−0,1 млн. швейцарских франков) и прочие до</w:t>
      </w:r>
      <w:r w:rsidR="003373E4" w:rsidRPr="00013C48">
        <w:rPr>
          <w:lang w:val="ru-RU"/>
        </w:rPr>
        <w:t>лговые обязательства (−0,8 млн. </w:t>
      </w:r>
      <w:r w:rsidRPr="00013C48">
        <w:rPr>
          <w:lang w:val="ru-RU"/>
        </w:rPr>
        <w:t xml:space="preserve">швейцарских франков) уменьшились. Основа для оценки текущих активов изложена в Основных принципах бухгалтерского учета (Примечание 3). </w:t>
      </w:r>
    </w:p>
    <w:p w:rsidR="00542F98" w:rsidRPr="00013C48" w:rsidRDefault="00542F98" w:rsidP="004366F9">
      <w:pPr>
        <w:pStyle w:val="Headingb"/>
        <w:rPr>
          <w:lang w:val="ru-RU"/>
        </w:rPr>
      </w:pPr>
      <w:bookmarkStart w:id="73" w:name="_Toc358192823"/>
      <w:bookmarkStart w:id="74" w:name="_Toc398125308"/>
      <w:bookmarkStart w:id="75" w:name="_Toc398125787"/>
      <w:bookmarkStart w:id="76" w:name="_Toc398127084"/>
      <w:bookmarkStart w:id="77" w:name="_Toc452157299"/>
      <w:bookmarkStart w:id="78" w:name="_Toc452158622"/>
      <w:r w:rsidRPr="00013C48">
        <w:rPr>
          <w:lang w:val="ru-RU"/>
        </w:rPr>
        <w:lastRenderedPageBreak/>
        <w:t>Денежные средства и эквиваленты денежных средств</w:t>
      </w:r>
      <w:bookmarkEnd w:id="73"/>
      <w:bookmarkEnd w:id="74"/>
      <w:bookmarkEnd w:id="75"/>
      <w:bookmarkEnd w:id="76"/>
      <w:bookmarkEnd w:id="77"/>
      <w:bookmarkEnd w:id="78"/>
    </w:p>
    <w:p w:rsidR="00542F98" w:rsidRPr="00013C48" w:rsidRDefault="00542F98" w:rsidP="00542F98">
      <w:pPr>
        <w:rPr>
          <w:lang w:val="ru-RU"/>
        </w:rPr>
      </w:pPr>
      <w:r w:rsidRPr="00013C48">
        <w:rPr>
          <w:lang w:val="ru-RU"/>
        </w:rPr>
        <w:t>5</w:t>
      </w:r>
      <w:r w:rsidRPr="00013C48">
        <w:rPr>
          <w:lang w:val="ru-RU"/>
        </w:rPr>
        <w:tab/>
        <w:t>Подраздел "Денежные средства и эквиваленты денежных средств", общий размер которого составляет 55,5 млн. швейцарских франков, уменьшился на 19,9 млн. швейцарских франков (−26,4%) по сравнению с 75,4 млн. швейцарских франков в 2014 году; он включает наличные денежные средства и все остатки средств на почтовом и банковском текущих счетах МСЭ на 31 декабря 2015 года. Данное уменьшение связано в основном с "Банковскими текущими счетами в швейцарских франках" (−21,9 млн. швейцарских франков), составляющими в этом подразделе в целом около 63,4%. Данное уменьшение возникло в результате перевода в подраздел "Вклады", обусловленного политикой диверсификации, которая внедрялась в течение года. Подробная разбивка подраздела "Денежные средства и эквиваленты денежных средств" приводится в Примечании 7 к Отчету о финансовой деятельности.</w:t>
      </w:r>
    </w:p>
    <w:p w:rsidR="00542F98" w:rsidRPr="00013C48" w:rsidRDefault="00542F98" w:rsidP="00542F98">
      <w:pPr>
        <w:rPr>
          <w:lang w:val="ru-RU"/>
        </w:rPr>
      </w:pPr>
      <w:r w:rsidRPr="00013C48">
        <w:rPr>
          <w:lang w:val="ru-RU"/>
        </w:rPr>
        <w:t>6</w:t>
      </w:r>
      <w:r w:rsidRPr="00013C48">
        <w:rPr>
          <w:lang w:val="ru-RU"/>
        </w:rPr>
        <w:tab/>
        <w:t xml:space="preserve">Мы обратились с просьбой ко всем банкам, у которых имеются деловые отношения с МСЭ, подтвердить остатки средств на текущих счетах по состоянию на 31 декабря 2015 года. Мы удостоверились, что остатки средств на счетах должным образом отражены в счетах. Все выявленные расхождения были объяснены и обоснованы. Следует упомянуть о том, что мы не получили прямого подтверждения от восьми банков. Это обстоятельство ограничило нашу работу в данной области, хотя руководство сделало все возможное, чтобы мы могли получить такие подтверждения. </w:t>
      </w:r>
    </w:p>
    <w:p w:rsidR="00542F98" w:rsidRPr="00013C48" w:rsidRDefault="00542F98" w:rsidP="00542F98">
      <w:pPr>
        <w:rPr>
          <w:lang w:val="ru-RU"/>
        </w:rPr>
      </w:pPr>
      <w:r w:rsidRPr="00013C48">
        <w:rPr>
          <w:lang w:val="ru-RU"/>
        </w:rPr>
        <w:t>7</w:t>
      </w:r>
      <w:r w:rsidRPr="00013C48">
        <w:rPr>
          <w:lang w:val="ru-RU"/>
        </w:rPr>
        <w:tab/>
        <w:t xml:space="preserve">В </w:t>
      </w:r>
      <w:proofErr w:type="gramStart"/>
      <w:r w:rsidRPr="00013C48">
        <w:rPr>
          <w:lang w:val="ru-RU"/>
        </w:rPr>
        <w:t>том</w:t>
      </w:r>
      <w:proofErr w:type="gramEnd"/>
      <w:r w:rsidRPr="00013C48">
        <w:rPr>
          <w:lang w:val="ru-RU"/>
        </w:rPr>
        <w:t xml:space="preserve"> что касается отсутствующих подтверждений от банков, руководство представило нам копию отчетности по состоянию на 31 декабря 2015 года, которая относится ко всем вышеупомянутым банкам, и мы использовали эту отчетность для выверки данных. </w:t>
      </w:r>
    </w:p>
    <w:p w:rsidR="00542F98" w:rsidRPr="00013C48" w:rsidRDefault="00542F98" w:rsidP="004366F9">
      <w:pPr>
        <w:pStyle w:val="Headingb"/>
        <w:rPr>
          <w:lang w:val="ru-RU"/>
        </w:rPr>
      </w:pPr>
      <w:bookmarkStart w:id="79" w:name="_Toc452157300"/>
      <w:bookmarkStart w:id="80" w:name="_Toc452158623"/>
      <w:bookmarkStart w:id="81" w:name="_Toc358192827"/>
      <w:bookmarkStart w:id="82" w:name="_Toc398125313"/>
      <w:bookmarkStart w:id="83" w:name="_Toc398125792"/>
      <w:bookmarkStart w:id="84" w:name="_Toc398127085"/>
      <w:r w:rsidRPr="00013C48">
        <w:rPr>
          <w:lang w:val="ru-RU"/>
        </w:rPr>
        <w:t>Обновление списка разрешенных подписей в банках</w:t>
      </w:r>
      <w:bookmarkEnd w:id="79"/>
      <w:bookmarkEnd w:id="80"/>
    </w:p>
    <w:p w:rsidR="00542F98" w:rsidRPr="00013C48" w:rsidRDefault="00542F98" w:rsidP="00542F98">
      <w:pPr>
        <w:rPr>
          <w:lang w:val="ru-RU"/>
        </w:rPr>
      </w:pPr>
      <w:r w:rsidRPr="00013C48">
        <w:rPr>
          <w:lang w:val="ru-RU"/>
        </w:rPr>
        <w:t>8</w:t>
      </w:r>
      <w:r w:rsidRPr="00013C48">
        <w:rPr>
          <w:lang w:val="ru-RU"/>
        </w:rPr>
        <w:tab/>
      </w:r>
      <w:proofErr w:type="gramStart"/>
      <w:r w:rsidRPr="00013C48">
        <w:rPr>
          <w:lang w:val="ru-RU"/>
        </w:rPr>
        <w:t>В</w:t>
      </w:r>
      <w:proofErr w:type="gramEnd"/>
      <w:r w:rsidRPr="00013C48">
        <w:rPr>
          <w:lang w:val="ru-RU"/>
        </w:rPr>
        <w:t xml:space="preserve"> результате нашей аудиторской проверки полученных от банков подтверждений, как и в прошлом году, мы также обнаружили отдельные расхождения между списком разрешенных подписей, который ведет руководство в штаб-квартире, и списками, которые мы получили от банков. В связи с тем, что не все подтверждения были получены, мы не смогли сделать заключение в отношении лиц с правом подписи. Также следует отметить, что в случае если банки представляли устаревшие списки, руководство было об этом осведомлено и действовало надлежащим образом, обращаясь к банкам в целях устранения этих расхождений.</w:t>
      </w:r>
    </w:p>
    <w:p w:rsidR="00542F98" w:rsidRPr="00013C48" w:rsidRDefault="00542F98" w:rsidP="004366F9">
      <w:pPr>
        <w:pStyle w:val="Headingb"/>
        <w:rPr>
          <w:lang w:val="ru-RU"/>
        </w:rPr>
      </w:pPr>
      <w:bookmarkStart w:id="85" w:name="_Toc452157301"/>
      <w:bookmarkStart w:id="86" w:name="_Toc452158624"/>
      <w:r w:rsidRPr="00013C48">
        <w:rPr>
          <w:lang w:val="ru-RU"/>
        </w:rPr>
        <w:t>Вклады</w:t>
      </w:r>
      <w:bookmarkEnd w:id="81"/>
      <w:bookmarkEnd w:id="82"/>
      <w:bookmarkEnd w:id="83"/>
      <w:bookmarkEnd w:id="84"/>
      <w:bookmarkEnd w:id="85"/>
      <w:bookmarkEnd w:id="86"/>
    </w:p>
    <w:p w:rsidR="00542F98" w:rsidRPr="00013C48" w:rsidRDefault="00542F98" w:rsidP="00542F98">
      <w:pPr>
        <w:rPr>
          <w:lang w:val="ru-RU"/>
        </w:rPr>
      </w:pPr>
      <w:r w:rsidRPr="00013C48">
        <w:rPr>
          <w:lang w:val="ru-RU"/>
        </w:rPr>
        <w:t>9</w:t>
      </w:r>
      <w:r w:rsidRPr="00013C48">
        <w:rPr>
          <w:lang w:val="ru-RU"/>
        </w:rPr>
        <w:tab/>
        <w:t>В 2015 году подраздел "Вклады", размер которых составил 111,8 млн. швейцарских франков, увеличился на 24,7 млн. швейцарских франков (+28,4%) по ср</w:t>
      </w:r>
      <w:r w:rsidR="003373E4" w:rsidRPr="00013C48">
        <w:rPr>
          <w:lang w:val="ru-RU"/>
        </w:rPr>
        <w:t>авнению с 2014 годом (87,1 млн. </w:t>
      </w:r>
      <w:r w:rsidRPr="00013C48">
        <w:rPr>
          <w:lang w:val="ru-RU"/>
        </w:rPr>
        <w:t xml:space="preserve">швейцарских франков) и включает с 31 декабря 2015 года срочные вклады со сроком возврата не более 6 месяцев. Подробная разбивка вкладов по срокам возврата и основание для принятия решения об увеличении объема вкладов в 2015 году приводятся в Примечании 8 к Отчету о финансовой деятельности. </w:t>
      </w:r>
    </w:p>
    <w:p w:rsidR="00542F98" w:rsidRPr="00013C48" w:rsidRDefault="00542F98" w:rsidP="00542F98">
      <w:pPr>
        <w:rPr>
          <w:lang w:val="ru-RU"/>
        </w:rPr>
      </w:pPr>
      <w:r w:rsidRPr="00013C48">
        <w:rPr>
          <w:lang w:val="ru-RU"/>
        </w:rPr>
        <w:t>10</w:t>
      </w:r>
      <w:r w:rsidRPr="00013C48">
        <w:rPr>
          <w:lang w:val="ru-RU"/>
        </w:rPr>
        <w:tab/>
        <w:t xml:space="preserve">В Примечании 3 к Отчету о финансовой деятельности, касающемся Основных принципов бухгалтерского учета, в отдельном пункте по финансовым инструментам представлена раскрытая информация о вкладах. В соответствии с </w:t>
      </w:r>
      <w:proofErr w:type="spellStart"/>
      <w:r w:rsidRPr="00013C48">
        <w:rPr>
          <w:lang w:val="ru-RU"/>
        </w:rPr>
        <w:t>IPSAS</w:t>
      </w:r>
      <w:proofErr w:type="spellEnd"/>
      <w:r w:rsidRPr="00013C48">
        <w:rPr>
          <w:lang w:val="ru-RU"/>
        </w:rPr>
        <w:t xml:space="preserve">, в Примечании 5 представлена информация об управлении финансовыми рисками; в частности, все вклады подвержены кредитному риску, а также риску, связанному с процентной ставкой, риску ликвидности, валютному и рыночному рискам. </w:t>
      </w:r>
    </w:p>
    <w:p w:rsidR="00542F98" w:rsidRPr="00013C48" w:rsidRDefault="00542F98" w:rsidP="004366F9">
      <w:pPr>
        <w:pStyle w:val="Headingb"/>
        <w:rPr>
          <w:lang w:val="ru-RU"/>
        </w:rPr>
      </w:pPr>
      <w:bookmarkStart w:id="87" w:name="_Toc358192829"/>
      <w:bookmarkStart w:id="88" w:name="_Toc398125314"/>
      <w:bookmarkStart w:id="89" w:name="_Toc398125793"/>
      <w:bookmarkStart w:id="90" w:name="_Toc398127086"/>
      <w:bookmarkStart w:id="91" w:name="_Toc452157302"/>
      <w:bookmarkStart w:id="92" w:name="_Toc452158625"/>
      <w:r w:rsidRPr="00013C48">
        <w:rPr>
          <w:lang w:val="ru-RU"/>
        </w:rPr>
        <w:t>Долговые обязательства</w:t>
      </w:r>
      <w:bookmarkEnd w:id="87"/>
      <w:bookmarkEnd w:id="88"/>
      <w:bookmarkEnd w:id="89"/>
      <w:bookmarkEnd w:id="90"/>
      <w:bookmarkEnd w:id="91"/>
      <w:bookmarkEnd w:id="92"/>
    </w:p>
    <w:p w:rsidR="00542F98" w:rsidRPr="00013C48" w:rsidRDefault="00542F98" w:rsidP="00542F98">
      <w:pPr>
        <w:rPr>
          <w:lang w:val="ru-RU"/>
        </w:rPr>
      </w:pPr>
      <w:r w:rsidRPr="00013C48">
        <w:rPr>
          <w:lang w:val="ru-RU"/>
        </w:rPr>
        <w:t>11</w:t>
      </w:r>
      <w:r w:rsidRPr="00013C48">
        <w:rPr>
          <w:lang w:val="ru-RU"/>
        </w:rPr>
        <w:tab/>
        <w:t>Чистый объем текущих долговых обязательств, как по обменным, так и по необменным операциям, составил в 2015 году 86,2 млн. швейцарских ф</w:t>
      </w:r>
      <w:r w:rsidR="003373E4" w:rsidRPr="00013C48">
        <w:rPr>
          <w:lang w:val="ru-RU"/>
        </w:rPr>
        <w:t>ранков по сравнению с 86,8 млн. </w:t>
      </w:r>
      <w:r w:rsidRPr="00013C48">
        <w:rPr>
          <w:lang w:val="ru-RU"/>
        </w:rPr>
        <w:t xml:space="preserve">швейцарских франков в 2014 году. Они представляют собой 33,5% от общего объема текущих активов по сравнению примерно с 32,9% в 2014 году. Как отмечается в Примечании 9 к </w:t>
      </w:r>
      <w:r w:rsidRPr="00013C48">
        <w:rPr>
          <w:lang w:val="ru-RU"/>
        </w:rPr>
        <w:lastRenderedPageBreak/>
        <w:t xml:space="preserve">Отчету о финансовой деятельности, текущие долговые обязательства представляют собой неполученные доходы, которые Государства-Члены, Члены Секторов и Ассоциированные члены обязались внести в МСЭ в рамках ежегодных взносов, приобретения публикаций, обработки заявок на регистрацию спутниковых сетей и по другим счетам-фактурам, которые выставил МСЭ. </w:t>
      </w:r>
    </w:p>
    <w:p w:rsidR="00542F98" w:rsidRPr="00013C48" w:rsidRDefault="00542F98" w:rsidP="00542F98">
      <w:pPr>
        <w:rPr>
          <w:lang w:val="ru-RU"/>
        </w:rPr>
      </w:pPr>
      <w:r w:rsidRPr="00013C48">
        <w:rPr>
          <w:lang w:val="ru-RU"/>
        </w:rPr>
        <w:t>12</w:t>
      </w:r>
      <w:r w:rsidRPr="00013C48">
        <w:rPr>
          <w:lang w:val="ru-RU"/>
        </w:rPr>
        <w:tab/>
      </w:r>
      <w:proofErr w:type="spellStart"/>
      <w:r w:rsidRPr="00013C48">
        <w:rPr>
          <w:lang w:val="ru-RU"/>
        </w:rPr>
        <w:t>Нетекущие</w:t>
      </w:r>
      <w:proofErr w:type="spellEnd"/>
      <w:r w:rsidRPr="00013C48">
        <w:rPr>
          <w:lang w:val="ru-RU"/>
        </w:rPr>
        <w:t xml:space="preserve"> долговые обязательства, как по обменным, так и по необменным операциям, которые также включены и пояснены руководством в Пр</w:t>
      </w:r>
      <w:r w:rsidR="003373E4" w:rsidRPr="00013C48">
        <w:rPr>
          <w:lang w:val="ru-RU"/>
        </w:rPr>
        <w:t>имечании 9, составили 14,9 млн. </w:t>
      </w:r>
      <w:r w:rsidRPr="00013C48">
        <w:rPr>
          <w:lang w:val="ru-RU"/>
        </w:rPr>
        <w:t>швейцарских франков (в 2014 г. – 17,5 млн. швейцарских франков). На 31 декабря 2015 года эти обязательства были полностью покрыты в соответствии с принципами, изложенными в Примечании 3 к финансовой отчетности. Дополнительные разъяс</w:t>
      </w:r>
      <w:r w:rsidR="003373E4" w:rsidRPr="00013C48">
        <w:rPr>
          <w:lang w:val="ru-RU"/>
        </w:rPr>
        <w:t>нения представлены в Примечании </w:t>
      </w:r>
      <w:r w:rsidRPr="00013C48">
        <w:rPr>
          <w:lang w:val="ru-RU"/>
        </w:rPr>
        <w:t xml:space="preserve">9 "Долговые обязательства". </w:t>
      </w:r>
    </w:p>
    <w:p w:rsidR="00542F98" w:rsidRPr="00013C48" w:rsidRDefault="00542F98" w:rsidP="004366F9">
      <w:pPr>
        <w:pStyle w:val="Headingb"/>
        <w:rPr>
          <w:lang w:val="ru-RU"/>
        </w:rPr>
      </w:pPr>
      <w:bookmarkStart w:id="93" w:name="_Toc358192830"/>
      <w:bookmarkStart w:id="94" w:name="_Toc398125315"/>
      <w:bookmarkStart w:id="95" w:name="_Toc398125794"/>
      <w:bookmarkStart w:id="96" w:name="_Toc398127087"/>
      <w:bookmarkStart w:id="97" w:name="_Toc452157303"/>
      <w:bookmarkStart w:id="98" w:name="_Toc452158626"/>
      <w:r w:rsidRPr="00013C48">
        <w:rPr>
          <w:lang w:val="ru-RU"/>
        </w:rPr>
        <w:t>Прочие текущие долговые обязательства</w:t>
      </w:r>
      <w:bookmarkEnd w:id="93"/>
      <w:bookmarkEnd w:id="94"/>
      <w:bookmarkEnd w:id="95"/>
      <w:bookmarkEnd w:id="96"/>
      <w:bookmarkEnd w:id="97"/>
      <w:bookmarkEnd w:id="98"/>
      <w:r w:rsidRPr="00013C48">
        <w:rPr>
          <w:lang w:val="ru-RU"/>
        </w:rPr>
        <w:t xml:space="preserve"> </w:t>
      </w:r>
    </w:p>
    <w:p w:rsidR="00542F98" w:rsidRPr="00013C48" w:rsidRDefault="00542F98" w:rsidP="00542F98">
      <w:pPr>
        <w:rPr>
          <w:lang w:val="ru-RU"/>
        </w:rPr>
      </w:pPr>
      <w:r w:rsidRPr="00013C48">
        <w:rPr>
          <w:lang w:val="ru-RU"/>
        </w:rPr>
        <w:t>13</w:t>
      </w:r>
      <w:r w:rsidRPr="00013C48">
        <w:rPr>
          <w:lang w:val="ru-RU"/>
        </w:rPr>
        <w:tab/>
      </w:r>
      <w:proofErr w:type="gramStart"/>
      <w:r w:rsidRPr="00013C48">
        <w:rPr>
          <w:lang w:val="ru-RU"/>
        </w:rPr>
        <w:t>В</w:t>
      </w:r>
      <w:proofErr w:type="gramEnd"/>
      <w:r w:rsidRPr="00013C48">
        <w:rPr>
          <w:lang w:val="ru-RU"/>
        </w:rPr>
        <w:t xml:space="preserve"> разделе "Прочие долговые обязательства" заключительного баланса представлена сумма в размере 8,1 млн. швейцарских франков. (в 2014 г. – 8,8 млн. швейцарских франков). Подробная разбивка раздела "Прочие долговые обязательства" приводится в Примечании 11 к Отчету о финансовой деятельности.</w:t>
      </w:r>
    </w:p>
    <w:p w:rsidR="00542F98" w:rsidRPr="00013C48" w:rsidRDefault="00542F98" w:rsidP="004366F9">
      <w:pPr>
        <w:pStyle w:val="Headingb"/>
        <w:rPr>
          <w:lang w:val="ru-RU"/>
        </w:rPr>
      </w:pPr>
      <w:bookmarkStart w:id="99" w:name="_Toc358192831"/>
      <w:bookmarkStart w:id="100" w:name="_Toc398125316"/>
      <w:bookmarkStart w:id="101" w:name="_Toc398125795"/>
      <w:bookmarkStart w:id="102" w:name="_Toc398127088"/>
      <w:bookmarkStart w:id="103" w:name="_Toc452157304"/>
      <w:bookmarkStart w:id="104" w:name="_Toc452158627"/>
      <w:r w:rsidRPr="00013C48">
        <w:rPr>
          <w:lang w:val="ru-RU"/>
        </w:rPr>
        <w:t>Запасы</w:t>
      </w:r>
      <w:bookmarkEnd w:id="99"/>
      <w:bookmarkEnd w:id="100"/>
      <w:bookmarkEnd w:id="101"/>
      <w:bookmarkEnd w:id="102"/>
      <w:bookmarkEnd w:id="103"/>
      <w:bookmarkEnd w:id="104"/>
    </w:p>
    <w:p w:rsidR="00542F98" w:rsidRPr="00013C48" w:rsidRDefault="00542F98" w:rsidP="00542F98">
      <w:pPr>
        <w:rPr>
          <w:lang w:val="ru-RU"/>
        </w:rPr>
      </w:pPr>
      <w:r w:rsidRPr="00013C48">
        <w:rPr>
          <w:lang w:val="ru-RU"/>
        </w:rPr>
        <w:t>14</w:t>
      </w:r>
      <w:r w:rsidRPr="00013C48">
        <w:rPr>
          <w:lang w:val="ru-RU"/>
        </w:rPr>
        <w:tab/>
        <w:t>В 2015 году статьи, включающие публикации, сувениры и предметы снабжения, были учтены по чистой стоимости в размере 0,6 млн. швейцарских франков, уменьшившись на 0,1 млн. швейцарских франков по сравнению с чистой стоимостью в размере 0,7 млн. швейцарских франков в 2014 году. Запасы подробно описываются в Примечании 10 к Отчету о финансовой деятельности.</w:t>
      </w:r>
    </w:p>
    <w:p w:rsidR="00542F98" w:rsidRPr="00013C48" w:rsidRDefault="00542F98" w:rsidP="00542F98">
      <w:pPr>
        <w:rPr>
          <w:lang w:val="ru-RU"/>
        </w:rPr>
      </w:pPr>
      <w:r w:rsidRPr="00013C48">
        <w:rPr>
          <w:lang w:val="ru-RU"/>
        </w:rPr>
        <w:t>15</w:t>
      </w:r>
      <w:r w:rsidRPr="00013C48">
        <w:rPr>
          <w:lang w:val="ru-RU"/>
        </w:rPr>
        <w:tab/>
        <w:t xml:space="preserve">Мы получили и проверили списки инвентарных объектов, сравнив их со списками за предыдущий год. Не было выявлено никаких крупных проблем, которые могли бы оказать воздействие на счета на дату их закрытия (31.12.2015 г.). </w:t>
      </w:r>
    </w:p>
    <w:p w:rsidR="00542F98" w:rsidRPr="00013C48" w:rsidRDefault="00542F98" w:rsidP="004366F9">
      <w:pPr>
        <w:pStyle w:val="Headingb"/>
        <w:rPr>
          <w:lang w:val="ru-RU"/>
        </w:rPr>
      </w:pPr>
      <w:bookmarkStart w:id="105" w:name="_Ref292884400"/>
      <w:bookmarkStart w:id="106" w:name="_Toc324506726"/>
      <w:bookmarkStart w:id="107" w:name="_Toc325622854"/>
      <w:bookmarkStart w:id="108" w:name="_Toc356330882"/>
      <w:bookmarkStart w:id="109" w:name="_Toc358192832"/>
      <w:bookmarkStart w:id="110" w:name="_Toc398125317"/>
      <w:bookmarkStart w:id="111" w:name="_Toc398125796"/>
      <w:bookmarkStart w:id="112" w:name="_Toc398127089"/>
      <w:bookmarkStart w:id="113" w:name="_Toc452157305"/>
      <w:bookmarkStart w:id="114" w:name="_Toc452158628"/>
      <w:proofErr w:type="spellStart"/>
      <w:r w:rsidRPr="00013C48">
        <w:rPr>
          <w:lang w:val="ru-RU"/>
        </w:rPr>
        <w:t>Нетекущие</w:t>
      </w:r>
      <w:proofErr w:type="spellEnd"/>
      <w:r w:rsidRPr="00013C48">
        <w:rPr>
          <w:lang w:val="ru-RU"/>
        </w:rPr>
        <w:t xml:space="preserve"> активы</w:t>
      </w:r>
      <w:bookmarkEnd w:id="105"/>
      <w:bookmarkEnd w:id="106"/>
      <w:bookmarkEnd w:id="107"/>
      <w:bookmarkEnd w:id="108"/>
      <w:bookmarkEnd w:id="109"/>
      <w:bookmarkEnd w:id="110"/>
      <w:bookmarkEnd w:id="111"/>
      <w:bookmarkEnd w:id="112"/>
      <w:bookmarkEnd w:id="113"/>
      <w:bookmarkEnd w:id="114"/>
    </w:p>
    <w:p w:rsidR="00542F98" w:rsidRPr="00013C48" w:rsidRDefault="00542F98" w:rsidP="00542F98">
      <w:pPr>
        <w:rPr>
          <w:lang w:val="ru-RU"/>
        </w:rPr>
      </w:pPr>
      <w:r w:rsidRPr="00013C48">
        <w:rPr>
          <w:lang w:val="ru-RU"/>
        </w:rPr>
        <w:t>16</w:t>
      </w:r>
      <w:r w:rsidRPr="00013C48">
        <w:rPr>
          <w:lang w:val="ru-RU"/>
        </w:rPr>
        <w:tab/>
        <w:t xml:space="preserve">Объем </w:t>
      </w:r>
      <w:proofErr w:type="spellStart"/>
      <w:r w:rsidRPr="00013C48">
        <w:rPr>
          <w:lang w:val="ru-RU"/>
        </w:rPr>
        <w:t>нетекущих</w:t>
      </w:r>
      <w:proofErr w:type="spellEnd"/>
      <w:r w:rsidRPr="00013C48">
        <w:rPr>
          <w:lang w:val="ru-RU"/>
        </w:rPr>
        <w:t xml:space="preserve"> активов по состоянию на 31 декабря 2015 года составил в целом 108,2 млн. швейцарских франков, сократившись на 3,4 млн. швейцарских франков (−3,0%) по сравнению с 2014 годом, когда их объем составлял 111,5 млн. швейцарских франков, что объясняется в основном амортизацией зданий МСЭ. Основа оценки </w:t>
      </w:r>
      <w:proofErr w:type="spellStart"/>
      <w:r w:rsidRPr="00013C48">
        <w:rPr>
          <w:lang w:val="ru-RU"/>
        </w:rPr>
        <w:t>нетекущих</w:t>
      </w:r>
      <w:proofErr w:type="spellEnd"/>
      <w:r w:rsidRPr="00013C48">
        <w:rPr>
          <w:lang w:val="ru-RU"/>
        </w:rPr>
        <w:t xml:space="preserve"> активов изложена в Принципах бухгалтерского учета (Примечание 3).</w:t>
      </w:r>
    </w:p>
    <w:p w:rsidR="00542F98" w:rsidRPr="00013C48" w:rsidRDefault="00542F98" w:rsidP="00542F98">
      <w:pPr>
        <w:rPr>
          <w:lang w:val="ru-RU"/>
        </w:rPr>
      </w:pPr>
      <w:r w:rsidRPr="00013C48">
        <w:rPr>
          <w:lang w:val="ru-RU"/>
        </w:rPr>
        <w:t>17</w:t>
      </w:r>
      <w:r w:rsidRPr="00013C48">
        <w:rPr>
          <w:lang w:val="ru-RU"/>
        </w:rPr>
        <w:tab/>
        <w:t xml:space="preserve">Этот раздел включает "Материальные активы" на сумму 104,9 млн. швейцарских франков, или 97,0% от общего объема </w:t>
      </w:r>
      <w:proofErr w:type="spellStart"/>
      <w:r w:rsidRPr="00013C48">
        <w:rPr>
          <w:lang w:val="ru-RU"/>
        </w:rPr>
        <w:t>нетекущих</w:t>
      </w:r>
      <w:proofErr w:type="spellEnd"/>
      <w:r w:rsidRPr="00013C48">
        <w:rPr>
          <w:lang w:val="ru-RU"/>
        </w:rPr>
        <w:t xml:space="preserve"> активов (в 2014 г. − 107,4 млн. швейцарских франков, </w:t>
      </w:r>
      <w:r w:rsidR="003373E4" w:rsidRPr="00013C48">
        <w:rPr>
          <w:lang w:val="ru-RU"/>
        </w:rPr>
        <w:t>или </w:t>
      </w:r>
      <w:r w:rsidRPr="00013C48">
        <w:rPr>
          <w:lang w:val="ru-RU"/>
        </w:rPr>
        <w:t xml:space="preserve">96,3% от общего объема </w:t>
      </w:r>
      <w:proofErr w:type="spellStart"/>
      <w:r w:rsidRPr="00013C48">
        <w:rPr>
          <w:lang w:val="ru-RU"/>
        </w:rPr>
        <w:t>нетекущих</w:t>
      </w:r>
      <w:proofErr w:type="spellEnd"/>
      <w:r w:rsidRPr="00013C48">
        <w:rPr>
          <w:lang w:val="ru-RU"/>
        </w:rPr>
        <w:t xml:space="preserve"> активов), и "Нематериальные активы" на сумму 3,2 млн. швейцарских франков, или 3,0% от общего объема (в 2014 г. − 4,</w:t>
      </w:r>
      <w:r w:rsidR="003373E4" w:rsidRPr="00013C48">
        <w:rPr>
          <w:lang w:val="ru-RU"/>
        </w:rPr>
        <w:t>1 млн. швейцарских франков, или </w:t>
      </w:r>
      <w:r w:rsidRPr="00013C48">
        <w:rPr>
          <w:lang w:val="ru-RU"/>
        </w:rPr>
        <w:t>3,7%). Они показаны, соответственно, в Примечаниях 12 и 13 к Отчету о финансовой деятельности.</w:t>
      </w:r>
    </w:p>
    <w:p w:rsidR="00542F98" w:rsidRPr="00013C48" w:rsidRDefault="00542F98" w:rsidP="004366F9">
      <w:pPr>
        <w:pStyle w:val="Headingb"/>
        <w:rPr>
          <w:lang w:val="ru-RU"/>
        </w:rPr>
      </w:pPr>
      <w:bookmarkStart w:id="115" w:name="_Toc358192833"/>
      <w:bookmarkStart w:id="116" w:name="_Toc398125318"/>
      <w:bookmarkStart w:id="117" w:name="_Toc398125797"/>
      <w:bookmarkStart w:id="118" w:name="_Toc398127090"/>
      <w:bookmarkStart w:id="119" w:name="_Toc452157306"/>
      <w:bookmarkStart w:id="120" w:name="_Toc452158629"/>
      <w:r w:rsidRPr="00013C48">
        <w:rPr>
          <w:lang w:val="ru-RU"/>
        </w:rPr>
        <w:t>Материальные активы</w:t>
      </w:r>
      <w:bookmarkEnd w:id="115"/>
      <w:bookmarkEnd w:id="116"/>
      <w:bookmarkEnd w:id="117"/>
      <w:bookmarkEnd w:id="118"/>
      <w:bookmarkEnd w:id="119"/>
      <w:bookmarkEnd w:id="120"/>
    </w:p>
    <w:p w:rsidR="00542F98" w:rsidRPr="00013C48" w:rsidRDefault="00542F98" w:rsidP="00542F98">
      <w:pPr>
        <w:rPr>
          <w:lang w:val="ru-RU"/>
        </w:rPr>
      </w:pPr>
      <w:bookmarkStart w:id="121" w:name="_Ref355125291"/>
      <w:r w:rsidRPr="00013C48">
        <w:rPr>
          <w:lang w:val="ru-RU"/>
        </w:rPr>
        <w:t>18</w:t>
      </w:r>
      <w:r w:rsidRPr="00013C48">
        <w:rPr>
          <w:lang w:val="ru-RU"/>
        </w:rPr>
        <w:tab/>
        <w:t xml:space="preserve">В этом разделе приводится величина в 104,9 млн. швейцарских франков, которая представляла собой чистую стоимость по состоянию на 31 декабря 2015 года капитализированных затрат за вычетом соответствующей амортизации по каждой перечисленной здесь категории: здания (в 2015 году были учтены по чистой стоимости в размере 103,9 млн. швейцарских франков; в 2014 г. − 105,4 млн. швейцарских франков); машины и оборудование (в 2015 г. − 0,09 млн. швейцарских франков; в 2014 г. − 0,1 млн. швейцарских франков); мебель (в 2015 г. − 0,2 млн. швейцарских франков; в 2014 г. − 0,4 млн. швейцарских франков); оборудование </w:t>
      </w:r>
      <w:proofErr w:type="spellStart"/>
      <w:r w:rsidRPr="00013C48">
        <w:rPr>
          <w:lang w:val="ru-RU"/>
        </w:rPr>
        <w:t>ИТ</w:t>
      </w:r>
      <w:proofErr w:type="spellEnd"/>
      <w:r w:rsidRPr="00013C48">
        <w:rPr>
          <w:lang w:val="ru-RU"/>
        </w:rPr>
        <w:t xml:space="preserve"> (в 2015 г. − 0,7 млн. швейцарских франков; в 2014 г. − 0,5 млн. швейцарских франков). Это проиллюстрировано в Примечании 12 к Отчету о финансовой деятельности.</w:t>
      </w:r>
    </w:p>
    <w:bookmarkEnd w:id="121"/>
    <w:p w:rsidR="00542F98" w:rsidRPr="00013C48" w:rsidRDefault="00542F98" w:rsidP="00542F98">
      <w:pPr>
        <w:rPr>
          <w:lang w:val="ru-RU"/>
        </w:rPr>
      </w:pPr>
      <w:r w:rsidRPr="00013C48">
        <w:rPr>
          <w:lang w:val="ru-RU"/>
        </w:rPr>
        <w:lastRenderedPageBreak/>
        <w:t>19</w:t>
      </w:r>
      <w:r w:rsidRPr="00013C48">
        <w:rPr>
          <w:lang w:val="ru-RU"/>
        </w:rPr>
        <w:tab/>
        <w:t xml:space="preserve">Согласно </w:t>
      </w:r>
      <w:proofErr w:type="gramStart"/>
      <w:r w:rsidRPr="00013C48">
        <w:rPr>
          <w:lang w:val="ru-RU"/>
        </w:rPr>
        <w:t>стандарту</w:t>
      </w:r>
      <w:proofErr w:type="gramEnd"/>
      <w:r w:rsidRPr="00013C48">
        <w:rPr>
          <w:lang w:val="ru-RU"/>
        </w:rPr>
        <w:t xml:space="preserve"> </w:t>
      </w:r>
      <w:proofErr w:type="spellStart"/>
      <w:r w:rsidRPr="00013C48">
        <w:rPr>
          <w:lang w:val="ru-RU"/>
        </w:rPr>
        <w:t>IPSAS</w:t>
      </w:r>
      <w:proofErr w:type="spellEnd"/>
      <w:r w:rsidRPr="00013C48">
        <w:rPr>
          <w:lang w:val="ru-RU"/>
        </w:rPr>
        <w:t xml:space="preserve"> 1 требуется, чтобы в Отчете о финансовом положении здания учитывались в качестве активов. В стандарте </w:t>
      </w:r>
      <w:proofErr w:type="spellStart"/>
      <w:r w:rsidRPr="00013C48">
        <w:rPr>
          <w:lang w:val="ru-RU"/>
        </w:rPr>
        <w:t>IPSAS</w:t>
      </w:r>
      <w:proofErr w:type="spellEnd"/>
      <w:r w:rsidRPr="00013C48">
        <w:rPr>
          <w:lang w:val="ru-RU"/>
        </w:rPr>
        <w:t xml:space="preserve"> 17 отмечается, что при первоначальном учете должна указываться стоимость этих позиций или надежные данные по текущей стоимости. Амортизация систематически начисляется в течение срока полезного использования актива, а метод амортизации должен отражать модель, на основе которой, как ожидается, организация будет использовать будущие экономические выгоды от актива или потенциал услуг. Остаточную стоимость необходимо оценивать, по крайней мере, ежегодно, и она должна быть равна той сумме, которую организация могла бы сейчас получить, если бы данный актив уже достиг возраста и состояния, которые ожидаются в конце срока его полезного использования. Земля и здания являются делимыми активами и учитываются отдельно, даже если они приобретены вместе. </w:t>
      </w:r>
    </w:p>
    <w:p w:rsidR="00542F98" w:rsidRPr="00013C48" w:rsidRDefault="00542F98" w:rsidP="00542F98">
      <w:pPr>
        <w:rPr>
          <w:lang w:val="ru-RU"/>
        </w:rPr>
      </w:pPr>
      <w:r w:rsidRPr="00013C48">
        <w:rPr>
          <w:lang w:val="ru-RU"/>
        </w:rPr>
        <w:t>20</w:t>
      </w:r>
      <w:r w:rsidRPr="00013C48">
        <w:rPr>
          <w:lang w:val="ru-RU"/>
        </w:rPr>
        <w:tab/>
        <w:t xml:space="preserve">Согласно </w:t>
      </w:r>
      <w:proofErr w:type="gramStart"/>
      <w:r w:rsidRPr="00013C48">
        <w:rPr>
          <w:lang w:val="ru-RU"/>
        </w:rPr>
        <w:t>Приложению</w:t>
      </w:r>
      <w:proofErr w:type="gramEnd"/>
      <w:r w:rsidRPr="00013C48">
        <w:rPr>
          <w:lang w:val="ru-RU"/>
        </w:rPr>
        <w:t xml:space="preserve"> </w:t>
      </w:r>
      <w:proofErr w:type="spellStart"/>
      <w:r w:rsidRPr="00013C48">
        <w:rPr>
          <w:lang w:val="ru-RU"/>
        </w:rPr>
        <w:t>II</w:t>
      </w:r>
      <w:proofErr w:type="spellEnd"/>
      <w:r w:rsidRPr="00013C48">
        <w:rPr>
          <w:lang w:val="ru-RU"/>
        </w:rPr>
        <w:t xml:space="preserve"> к Финансовому регламенту МСЭ Внешний аудитор должен высказать мнение по поводу того, что "при учете всех активов, пассивов, излишков и дефицитов средств применялись процедуры, которые Внешний аудитор считает удовлетворительными". </w:t>
      </w:r>
    </w:p>
    <w:p w:rsidR="00542F98" w:rsidRPr="00013C48" w:rsidRDefault="00542F98" w:rsidP="00542F98">
      <w:pPr>
        <w:rPr>
          <w:lang w:val="ru-RU"/>
        </w:rPr>
      </w:pPr>
      <w:r w:rsidRPr="00013C48">
        <w:rPr>
          <w:lang w:val="ru-RU"/>
        </w:rPr>
        <w:t>21</w:t>
      </w:r>
      <w:r w:rsidRPr="00013C48">
        <w:rPr>
          <w:lang w:val="ru-RU"/>
        </w:rPr>
        <w:tab/>
        <w:t>В Примечании 3 к Отчету о финансовой деятельности "Основные принципы бухгалтерского учета" в подпункте "Материальные активы" отмечается, что первоначальный учет зданий был произведен по "</w:t>
      </w:r>
      <w:r w:rsidRPr="00013C48">
        <w:rPr>
          <w:i/>
          <w:lang w:val="ru-RU"/>
        </w:rPr>
        <w:t>фактической стоимости</w:t>
      </w:r>
      <w:r w:rsidRPr="00013C48">
        <w:rPr>
          <w:lang w:val="ru-RU"/>
        </w:rPr>
        <w:t>" "</w:t>
      </w:r>
      <w:r w:rsidRPr="00013C48">
        <w:rPr>
          <w:i/>
          <w:lang w:val="ru-RU"/>
        </w:rPr>
        <w:t>на основе оценки, проведенной внешней организацией</w:t>
      </w:r>
      <w:r w:rsidRPr="00013C48">
        <w:rPr>
          <w:lang w:val="ru-RU"/>
        </w:rPr>
        <w:t xml:space="preserve">" для определения величины начального баланса согласно </w:t>
      </w:r>
      <w:proofErr w:type="spellStart"/>
      <w:r w:rsidRPr="00013C48">
        <w:rPr>
          <w:lang w:val="ru-RU"/>
        </w:rPr>
        <w:t>IPSAS</w:t>
      </w:r>
      <w:proofErr w:type="spellEnd"/>
      <w:r w:rsidRPr="00013C48">
        <w:rPr>
          <w:lang w:val="ru-RU"/>
        </w:rPr>
        <w:t>. Эта величина считалась "стоимостью приобретения", а амортизация рассчитывалась на основе "</w:t>
      </w:r>
      <w:r w:rsidRPr="00013C48">
        <w:rPr>
          <w:i/>
          <w:lang w:val="ru-RU"/>
        </w:rPr>
        <w:t>прогнозируемой продолжительности полезного использования</w:t>
      </w:r>
      <w:r w:rsidRPr="00013C48">
        <w:rPr>
          <w:lang w:val="ru-RU"/>
        </w:rPr>
        <w:t>", которая составляет для сооружений 100 лет. При определении первоначальной стоимости зданий не учитывались земельные площади, на которые МСЭ имеет бесплатное "</w:t>
      </w:r>
      <w:r w:rsidRPr="00013C48">
        <w:rPr>
          <w:i/>
          <w:lang w:val="ru-RU"/>
        </w:rPr>
        <w:t xml:space="preserve">право </w:t>
      </w:r>
      <w:proofErr w:type="spellStart"/>
      <w:r w:rsidRPr="00013C48">
        <w:rPr>
          <w:i/>
          <w:lang w:val="ru-RU"/>
        </w:rPr>
        <w:t>суперфиция</w:t>
      </w:r>
      <w:proofErr w:type="spellEnd"/>
      <w:r w:rsidRPr="00013C48">
        <w:rPr>
          <w:lang w:val="ru-RU"/>
        </w:rPr>
        <w:t xml:space="preserve">". В прошлые годы мы дали рекомендацию относительно пересмотра Соглашения с принимающей страной (см. таблицу последующих мер, Приложение 1), и когда подготовка данного соглашению будет завершена, следует соответствующим образом скорректировать остаточную балансовую стоимость. </w:t>
      </w:r>
    </w:p>
    <w:p w:rsidR="00542F98" w:rsidRPr="00013C48" w:rsidRDefault="00542F98" w:rsidP="00542F98">
      <w:pPr>
        <w:rPr>
          <w:lang w:val="ru-RU"/>
        </w:rPr>
      </w:pPr>
      <w:r w:rsidRPr="00013C48">
        <w:rPr>
          <w:lang w:val="ru-RU"/>
        </w:rPr>
        <w:t>22</w:t>
      </w:r>
      <w:r w:rsidRPr="00013C48">
        <w:rPr>
          <w:lang w:val="ru-RU"/>
        </w:rPr>
        <w:tab/>
        <w:t xml:space="preserve">В Примечании 12 к финансовой отчетности зданиями, учтенными в качестве </w:t>
      </w:r>
      <w:proofErr w:type="spellStart"/>
      <w:r w:rsidRPr="00013C48">
        <w:rPr>
          <w:lang w:val="ru-RU"/>
        </w:rPr>
        <w:t>нетекущих</w:t>
      </w:r>
      <w:proofErr w:type="spellEnd"/>
      <w:r w:rsidRPr="00013C48">
        <w:rPr>
          <w:lang w:val="ru-RU"/>
        </w:rPr>
        <w:t xml:space="preserve"> активов, были здания "Башня", "</w:t>
      </w:r>
      <w:proofErr w:type="spellStart"/>
      <w:r w:rsidRPr="00013C48">
        <w:rPr>
          <w:lang w:val="ru-RU"/>
        </w:rPr>
        <w:t>Варембе</w:t>
      </w:r>
      <w:proofErr w:type="spellEnd"/>
      <w:r w:rsidRPr="00013C48">
        <w:rPr>
          <w:lang w:val="ru-RU"/>
        </w:rPr>
        <w:t>", пристройки A, B и С и кафетерий, а также здание "</w:t>
      </w:r>
      <w:proofErr w:type="spellStart"/>
      <w:r w:rsidRPr="00013C48">
        <w:rPr>
          <w:lang w:val="ru-RU"/>
        </w:rPr>
        <w:t>Монбрийан</w:t>
      </w:r>
      <w:proofErr w:type="spellEnd"/>
      <w:r w:rsidRPr="00013C48">
        <w:rPr>
          <w:lang w:val="ru-RU"/>
        </w:rPr>
        <w:t xml:space="preserve">". В </w:t>
      </w:r>
      <w:proofErr w:type="gramStart"/>
      <w:r w:rsidRPr="00013C48">
        <w:rPr>
          <w:lang w:val="ru-RU"/>
        </w:rPr>
        <w:t>том</w:t>
      </w:r>
      <w:proofErr w:type="gramEnd"/>
      <w:r w:rsidRPr="00013C48">
        <w:rPr>
          <w:lang w:val="ru-RU"/>
        </w:rPr>
        <w:t xml:space="preserve"> что касается зданий, как отмечено выше, чистая балансовая стоимость изменилась от 105,4 млн. швейцарских франков по состоянию на 1 января 2015 года до 103,9 млн. швейцарских франков на 31 декабря 2015 года, что вызвано амортизацией в размере 3,4 млн. швейцарских франков, учтенной в течение года.</w:t>
      </w:r>
    </w:p>
    <w:p w:rsidR="00542F98" w:rsidRPr="00013C48" w:rsidRDefault="00542F98" w:rsidP="00542F98">
      <w:pPr>
        <w:rPr>
          <w:lang w:val="ru-RU"/>
        </w:rPr>
      </w:pPr>
      <w:r w:rsidRPr="00013C48">
        <w:rPr>
          <w:lang w:val="ru-RU"/>
        </w:rPr>
        <w:t>23</w:t>
      </w:r>
      <w:r w:rsidRPr="00013C48">
        <w:rPr>
          <w:lang w:val="ru-RU"/>
        </w:rPr>
        <w:tab/>
        <w:t>Швейцарская Конфедерация обеспечивает финансирование строительства зданий для международных организаций через Фонд недвижимого имущества для международных организаций (</w:t>
      </w:r>
      <w:proofErr w:type="spellStart"/>
      <w:r w:rsidRPr="00013C48">
        <w:rPr>
          <w:lang w:val="ru-RU"/>
        </w:rPr>
        <w:t>ФИПОИ</w:t>
      </w:r>
      <w:proofErr w:type="spellEnd"/>
      <w:r w:rsidRPr="00013C48">
        <w:rPr>
          <w:lang w:val="ru-RU"/>
        </w:rPr>
        <w:t>) в форме займа, предоставляемого на благоприятных условиях, а именно на период 50 лет с процентной ставкой в размере 0%. Земельные площади предоставляются на бесплатной основе Администрацией Женевы с использованием "</w:t>
      </w:r>
      <w:r w:rsidRPr="00013C48">
        <w:rPr>
          <w:i/>
          <w:lang w:val="ru-RU"/>
        </w:rPr>
        <w:t xml:space="preserve">права </w:t>
      </w:r>
      <w:proofErr w:type="spellStart"/>
      <w:r w:rsidRPr="00013C48">
        <w:rPr>
          <w:i/>
          <w:lang w:val="ru-RU"/>
        </w:rPr>
        <w:t>суперфиция</w:t>
      </w:r>
      <w:proofErr w:type="spellEnd"/>
      <w:r w:rsidRPr="00013C48">
        <w:rPr>
          <w:lang w:val="ru-RU"/>
        </w:rPr>
        <w:t xml:space="preserve">". Объем займов из </w:t>
      </w:r>
      <w:proofErr w:type="spellStart"/>
      <w:r w:rsidRPr="00013C48">
        <w:rPr>
          <w:lang w:val="ru-RU"/>
        </w:rPr>
        <w:t>ФИПОИ</w:t>
      </w:r>
      <w:proofErr w:type="spellEnd"/>
      <w:r w:rsidRPr="00013C48">
        <w:rPr>
          <w:lang w:val="ru-RU"/>
        </w:rPr>
        <w:t xml:space="preserve"> показан в Примечании 16 к Отчету о финансовой деятельности. </w:t>
      </w:r>
    </w:p>
    <w:p w:rsidR="00542F98" w:rsidRPr="00013C48" w:rsidRDefault="00542F98" w:rsidP="004366F9">
      <w:pPr>
        <w:pStyle w:val="Headingi"/>
        <w:rPr>
          <w:b/>
          <w:bCs/>
          <w:lang w:val="ru-RU"/>
        </w:rPr>
      </w:pPr>
      <w:bookmarkStart w:id="122" w:name="_Toc450158097"/>
      <w:bookmarkStart w:id="123" w:name="_Toc450323527"/>
      <w:bookmarkStart w:id="124" w:name="_Toc450991466"/>
      <w:bookmarkStart w:id="125" w:name="_Toc452157307"/>
      <w:bookmarkStart w:id="126" w:name="_Toc452158630"/>
      <w:r w:rsidRPr="00013C48">
        <w:rPr>
          <w:b/>
          <w:bCs/>
          <w:lang w:val="ru-RU"/>
        </w:rPr>
        <w:t>Необходимо повысить точность реестра активов</w:t>
      </w:r>
      <w:bookmarkEnd w:id="122"/>
      <w:bookmarkEnd w:id="123"/>
      <w:bookmarkEnd w:id="124"/>
      <w:bookmarkEnd w:id="125"/>
      <w:bookmarkEnd w:id="126"/>
    </w:p>
    <w:p w:rsidR="00542F98" w:rsidRPr="00013C48" w:rsidRDefault="004366F9" w:rsidP="00542F98">
      <w:pPr>
        <w:rPr>
          <w:lang w:val="ru-RU"/>
        </w:rPr>
      </w:pPr>
      <w:r w:rsidRPr="00013C48">
        <w:rPr>
          <w:lang w:val="ru-RU"/>
        </w:rPr>
        <w:t>24</w:t>
      </w:r>
      <w:r w:rsidRPr="00013C48">
        <w:rPr>
          <w:lang w:val="ru-RU"/>
        </w:rPr>
        <w:tab/>
      </w:r>
      <w:r w:rsidR="00542F98" w:rsidRPr="00013C48">
        <w:rPr>
          <w:lang w:val="ru-RU"/>
        </w:rPr>
        <w:t xml:space="preserve">Мы получили и проверили списки активов, и мы провели проверку реальных запасов на основе выборки объектов, учтенных в реестре материальных активов. Мы отметили, что некоторые объекты из нашей выборки не были ни надлежащим образом учтены в счетах за 2015 год, ни маркированы. Например, неоднократно отмечались нарушения, связанные со средствами ИТ. Также следует отметить, что в некоторых случаях передача в дар (до 2010 года) не была учтена в реестре. Несмотря на то, что чистая балансовая стоимость неучтенных объектов несущественна для нашей проверки, руководство заверило нас, что в ближайшие месяцы будут приняты надлежащие меры по обеспечению точного учета всех этих объектов. </w:t>
      </w:r>
    </w:p>
    <w:p w:rsidR="00542F98" w:rsidRPr="00013C48" w:rsidRDefault="00542F98" w:rsidP="00542F98">
      <w:pPr>
        <w:rPr>
          <w:lang w:val="ru-RU"/>
        </w:rPr>
      </w:pPr>
      <w:r w:rsidRPr="00013C48">
        <w:rPr>
          <w:lang w:val="ru-RU"/>
        </w:rPr>
        <w:t>25</w:t>
      </w:r>
      <w:r w:rsidRPr="00013C48">
        <w:rPr>
          <w:lang w:val="ru-RU"/>
        </w:rPr>
        <w:tab/>
        <w:t xml:space="preserve">Мы подчеркнули значение точной инвентарной ведомости согласно правилам </w:t>
      </w:r>
      <w:proofErr w:type="spellStart"/>
      <w:r w:rsidRPr="00013C48">
        <w:rPr>
          <w:lang w:val="ru-RU"/>
        </w:rPr>
        <w:t>IPSAS</w:t>
      </w:r>
      <w:proofErr w:type="spellEnd"/>
      <w:r w:rsidRPr="00013C48">
        <w:rPr>
          <w:lang w:val="ru-RU"/>
        </w:rPr>
        <w:t xml:space="preserve">. Важно, чтобы ответственные лица в каждом Секторе строго следовали соответствующим процедурам, касающимся учета наличия и перемещения некоторых объектов, а также правильной оценки их </w:t>
      </w:r>
      <w:r w:rsidRPr="00013C48">
        <w:rPr>
          <w:lang w:val="ru-RU"/>
        </w:rPr>
        <w:lastRenderedPageBreak/>
        <w:t xml:space="preserve">стоимости. Мы также подчеркнули тот факт, что точный реестр активов не только имеет значение для учета стоимости в отчетности, но и является важным инструментом эффективного и действенного управления активами. </w:t>
      </w:r>
    </w:p>
    <w:p w:rsidR="00542F98" w:rsidRPr="00013C48" w:rsidRDefault="00542F98" w:rsidP="00542F98">
      <w:pPr>
        <w:rPr>
          <w:lang w:val="ru-RU"/>
        </w:rPr>
      </w:pPr>
    </w:p>
    <w:tbl>
      <w:tblPr>
        <w:tblStyle w:val="TableGrid"/>
        <w:tblW w:w="0" w:type="auto"/>
        <w:tblInd w:w="-5" w:type="dxa"/>
        <w:tblLook w:val="04A0" w:firstRow="1" w:lastRow="0" w:firstColumn="1" w:lastColumn="0" w:noHBand="0" w:noVBand="1"/>
      </w:tblPr>
      <w:tblGrid>
        <w:gridCol w:w="9634"/>
      </w:tblGrid>
      <w:tr w:rsidR="00542F98" w:rsidRPr="00013C48" w:rsidTr="00542F98">
        <w:tc>
          <w:tcPr>
            <w:tcW w:w="9634" w:type="dxa"/>
          </w:tcPr>
          <w:p w:rsidR="00542F98" w:rsidRPr="00013C48" w:rsidRDefault="00542F98" w:rsidP="00542F98">
            <w:pPr>
              <w:rPr>
                <w:b/>
                <w:bCs/>
                <w:lang w:val="ru-RU"/>
              </w:rPr>
            </w:pPr>
            <w:r w:rsidRPr="00013C48">
              <w:rPr>
                <w:b/>
                <w:bCs/>
                <w:lang w:val="ru-RU"/>
              </w:rPr>
              <w:t>Рекомендация 1</w:t>
            </w:r>
          </w:p>
          <w:p w:rsidR="00542F98" w:rsidRPr="00013C48" w:rsidRDefault="00542F98" w:rsidP="004366F9">
            <w:pPr>
              <w:spacing w:after="120"/>
              <w:rPr>
                <w:lang w:val="ru-RU"/>
              </w:rPr>
            </w:pPr>
            <w:r w:rsidRPr="00013C48">
              <w:rPr>
                <w:lang w:val="ru-RU"/>
              </w:rPr>
              <w:t>26</w:t>
            </w:r>
            <w:r w:rsidRPr="00013C48">
              <w:rPr>
                <w:lang w:val="ru-RU"/>
              </w:rPr>
              <w:tab/>
              <w:t xml:space="preserve">В связи с этим </w:t>
            </w:r>
            <w:r w:rsidRPr="00013C48">
              <w:rPr>
                <w:u w:val="single"/>
                <w:lang w:val="ru-RU"/>
              </w:rPr>
              <w:t>мы рекомендуем</w:t>
            </w:r>
            <w:r w:rsidRPr="00013C48">
              <w:rPr>
                <w:lang w:val="ru-RU"/>
              </w:rPr>
              <w:t xml:space="preserve"> руководству приложить дополнительные усилия для учета, маркировки и капитализации находящихся в МСЭ материальных активов в целях ведения более точных записей об активах, используя для этого процедуры и процессы, которые усилят координацию между различными Департаментами. </w:t>
            </w:r>
          </w:p>
        </w:tc>
      </w:tr>
    </w:tbl>
    <w:p w:rsidR="00542F98" w:rsidRPr="00013C48" w:rsidRDefault="00542F98" w:rsidP="00542F98">
      <w:pPr>
        <w:rPr>
          <w:lang w:val="ru-RU"/>
        </w:rPr>
      </w:pPr>
    </w:p>
    <w:tbl>
      <w:tblPr>
        <w:tblStyle w:val="TableGrid"/>
        <w:tblW w:w="0" w:type="auto"/>
        <w:tblInd w:w="-5" w:type="dxa"/>
        <w:tblLook w:val="04A0" w:firstRow="1" w:lastRow="0" w:firstColumn="1" w:lastColumn="0" w:noHBand="0" w:noVBand="1"/>
      </w:tblPr>
      <w:tblGrid>
        <w:gridCol w:w="9634"/>
      </w:tblGrid>
      <w:tr w:rsidR="00542F98" w:rsidRPr="00013C48" w:rsidTr="00542F98">
        <w:trPr>
          <w:cantSplit/>
        </w:trPr>
        <w:tc>
          <w:tcPr>
            <w:tcW w:w="9634" w:type="dxa"/>
          </w:tcPr>
          <w:p w:rsidR="00542F98" w:rsidRPr="00013C48" w:rsidRDefault="00542F98" w:rsidP="00542F98">
            <w:pPr>
              <w:rPr>
                <w:lang w:val="ru-RU"/>
              </w:rPr>
            </w:pPr>
            <w:r w:rsidRPr="00013C48">
              <w:rPr>
                <w:b/>
                <w:bCs/>
                <w:u w:val="single"/>
                <w:lang w:val="ru-RU"/>
              </w:rPr>
              <w:t>Комментарии Генерального секретаря</w:t>
            </w:r>
          </w:p>
          <w:p w:rsidR="00542F98" w:rsidRPr="00013C48" w:rsidRDefault="00542F98" w:rsidP="004366F9">
            <w:pPr>
              <w:spacing w:after="120"/>
              <w:rPr>
                <w:lang w:val="ru-RU"/>
              </w:rPr>
            </w:pPr>
            <w:r w:rsidRPr="00013C48">
              <w:rPr>
                <w:lang w:val="ru-RU"/>
              </w:rPr>
              <w:t xml:space="preserve">Секретариат продолжит предпринятые усилия для обеспечения учета всех активов в соответствующих базах данных. </w:t>
            </w:r>
          </w:p>
        </w:tc>
      </w:tr>
    </w:tbl>
    <w:p w:rsidR="00542F98" w:rsidRPr="00013C48" w:rsidRDefault="00542F98" w:rsidP="004366F9">
      <w:pPr>
        <w:pStyle w:val="Headingi"/>
        <w:rPr>
          <w:b/>
          <w:bCs/>
          <w:lang w:val="ru-RU"/>
        </w:rPr>
      </w:pPr>
      <w:bookmarkStart w:id="127" w:name="_Toc452157308"/>
      <w:bookmarkStart w:id="128" w:name="_Toc452158631"/>
      <w:r w:rsidRPr="00013C48">
        <w:rPr>
          <w:b/>
          <w:bCs/>
          <w:lang w:val="ru-RU"/>
        </w:rPr>
        <w:t>Необходимо пересмотреть коэффициенты амортизации</w:t>
      </w:r>
      <w:bookmarkEnd w:id="127"/>
      <w:bookmarkEnd w:id="128"/>
    </w:p>
    <w:p w:rsidR="00542F98" w:rsidRPr="00013C48" w:rsidRDefault="00542F98" w:rsidP="00013C48">
      <w:pPr>
        <w:rPr>
          <w:lang w:val="ru-RU"/>
        </w:rPr>
      </w:pPr>
      <w:r w:rsidRPr="00013C48">
        <w:rPr>
          <w:lang w:val="ru-RU"/>
        </w:rPr>
        <w:t>27</w:t>
      </w:r>
      <w:r w:rsidRPr="00013C48">
        <w:rPr>
          <w:lang w:val="ru-RU"/>
        </w:rPr>
        <w:tab/>
      </w:r>
      <w:proofErr w:type="gramStart"/>
      <w:r w:rsidRPr="00013C48">
        <w:rPr>
          <w:lang w:val="ru-RU"/>
        </w:rPr>
        <w:t>В</w:t>
      </w:r>
      <w:proofErr w:type="gramEnd"/>
      <w:r w:rsidRPr="00013C48">
        <w:rPr>
          <w:lang w:val="ru-RU"/>
        </w:rPr>
        <w:t xml:space="preserve"> качестве справочного документа руководство пользуется Политикой и руководящими указаниями МСЭ в отношении управления основными средствами (5-я версия, выпущена в марте 2013 г</w:t>
      </w:r>
      <w:r w:rsidR="00013C48">
        <w:rPr>
          <w:lang w:val="ru-RU"/>
        </w:rPr>
        <w:t>.</w:t>
      </w:r>
      <w:r w:rsidRPr="00013C48">
        <w:rPr>
          <w:lang w:val="ru-RU"/>
        </w:rPr>
        <w:t xml:space="preserve">), в частности пунктом 4, содержащим описание категорий, по которым распределяются активы МСЭ, а также соответствующих сроков их использования. </w:t>
      </w:r>
    </w:p>
    <w:p w:rsidR="00542F98" w:rsidRPr="00013C48" w:rsidRDefault="00542F98" w:rsidP="00542F98">
      <w:pPr>
        <w:rPr>
          <w:lang w:val="ru-RU"/>
        </w:rPr>
      </w:pPr>
      <w:r w:rsidRPr="00013C48">
        <w:rPr>
          <w:lang w:val="ru-RU"/>
        </w:rPr>
        <w:t>28</w:t>
      </w:r>
      <w:r w:rsidRPr="00013C48">
        <w:rPr>
          <w:lang w:val="ru-RU"/>
        </w:rPr>
        <w:tab/>
      </w:r>
      <w:proofErr w:type="gramStart"/>
      <w:r w:rsidRPr="00013C48">
        <w:rPr>
          <w:lang w:val="ru-RU"/>
        </w:rPr>
        <w:t>В</w:t>
      </w:r>
      <w:proofErr w:type="gramEnd"/>
      <w:r w:rsidRPr="00013C48">
        <w:rPr>
          <w:lang w:val="ru-RU"/>
        </w:rPr>
        <w:t xml:space="preserve"> ходе проводимой нами аудиторской проверки мы отметили, что сроки использования, указанные в политике МСЭ, не всегда соответствуют документу "Нормативная база </w:t>
      </w:r>
      <w:proofErr w:type="spellStart"/>
      <w:r w:rsidRPr="00013C48">
        <w:rPr>
          <w:lang w:val="ru-RU"/>
        </w:rPr>
        <w:t>IPSAS</w:t>
      </w:r>
      <w:proofErr w:type="spellEnd"/>
      <w:r w:rsidRPr="00013C48">
        <w:rPr>
          <w:lang w:val="ru-RU"/>
        </w:rPr>
        <w:t xml:space="preserve"> в ООН" (второе издание, для справки см. пункт 13.2 и следующий далее текст). Поэтому в некоторые категории и соответствующие сроки их использования необходимо внести надлежащие поправки.</w:t>
      </w:r>
    </w:p>
    <w:p w:rsidR="00542F98" w:rsidRPr="00013C48" w:rsidRDefault="00542F98" w:rsidP="00542F98">
      <w:pPr>
        <w:rPr>
          <w:lang w:val="ru-RU"/>
        </w:rPr>
      </w:pPr>
    </w:p>
    <w:tbl>
      <w:tblPr>
        <w:tblStyle w:val="TableGrid"/>
        <w:tblW w:w="0" w:type="auto"/>
        <w:tblInd w:w="-5" w:type="dxa"/>
        <w:tblLook w:val="04A0" w:firstRow="1" w:lastRow="0" w:firstColumn="1" w:lastColumn="0" w:noHBand="0" w:noVBand="1"/>
      </w:tblPr>
      <w:tblGrid>
        <w:gridCol w:w="9634"/>
      </w:tblGrid>
      <w:tr w:rsidR="00542F98" w:rsidRPr="00013C48" w:rsidTr="00542F98">
        <w:tc>
          <w:tcPr>
            <w:tcW w:w="9634" w:type="dxa"/>
          </w:tcPr>
          <w:p w:rsidR="00542F98" w:rsidRPr="00013C48" w:rsidRDefault="00542F98" w:rsidP="00542F98">
            <w:pPr>
              <w:rPr>
                <w:b/>
                <w:bCs/>
                <w:lang w:val="ru-RU"/>
              </w:rPr>
            </w:pPr>
            <w:r w:rsidRPr="00013C48">
              <w:rPr>
                <w:b/>
                <w:bCs/>
                <w:lang w:val="ru-RU"/>
              </w:rPr>
              <w:t>Рекомендация 2</w:t>
            </w:r>
          </w:p>
          <w:p w:rsidR="00542F98" w:rsidRPr="00013C48" w:rsidRDefault="00542F98" w:rsidP="003373E4">
            <w:pPr>
              <w:spacing w:after="120"/>
              <w:rPr>
                <w:lang w:val="ru-RU"/>
              </w:rPr>
            </w:pPr>
            <w:r w:rsidRPr="00013C48">
              <w:rPr>
                <w:lang w:val="ru-RU"/>
              </w:rPr>
              <w:t>29</w:t>
            </w:r>
            <w:r w:rsidRPr="00013C48">
              <w:rPr>
                <w:lang w:val="ru-RU"/>
              </w:rPr>
              <w:tab/>
              <w:t xml:space="preserve">В связи с этим </w:t>
            </w:r>
            <w:r w:rsidRPr="00013C48">
              <w:rPr>
                <w:u w:val="single"/>
                <w:lang w:val="ru-RU"/>
              </w:rPr>
              <w:t>мы рекомендуем</w:t>
            </w:r>
            <w:r w:rsidRPr="00013C48">
              <w:rPr>
                <w:lang w:val="ru-RU"/>
              </w:rPr>
              <w:t xml:space="preserve"> руководству пересмотреть сроки использования различных категорий и относящиеся к ним коэффициенты амортизации в соответствии с практикой ООН. В случае уточнения категорий потребуется осуществить корректировку чистой балансовой стоимости. </w:t>
            </w:r>
          </w:p>
        </w:tc>
      </w:tr>
    </w:tbl>
    <w:p w:rsidR="00542F98" w:rsidRPr="00013C48" w:rsidRDefault="00542F98" w:rsidP="00542F98">
      <w:pPr>
        <w:rPr>
          <w:lang w:val="ru-RU"/>
        </w:rPr>
      </w:pPr>
    </w:p>
    <w:tbl>
      <w:tblPr>
        <w:tblStyle w:val="TableGrid"/>
        <w:tblW w:w="0" w:type="auto"/>
        <w:tblInd w:w="-5" w:type="dxa"/>
        <w:tblLook w:val="04A0" w:firstRow="1" w:lastRow="0" w:firstColumn="1" w:lastColumn="0" w:noHBand="0" w:noVBand="1"/>
      </w:tblPr>
      <w:tblGrid>
        <w:gridCol w:w="9634"/>
      </w:tblGrid>
      <w:tr w:rsidR="00542F98" w:rsidRPr="00013C48" w:rsidTr="00542F98">
        <w:trPr>
          <w:cantSplit/>
        </w:trPr>
        <w:tc>
          <w:tcPr>
            <w:tcW w:w="9634" w:type="dxa"/>
          </w:tcPr>
          <w:p w:rsidR="00542F98" w:rsidRPr="00013C48" w:rsidRDefault="00542F98" w:rsidP="00542F98">
            <w:pPr>
              <w:rPr>
                <w:lang w:val="ru-RU"/>
              </w:rPr>
            </w:pPr>
            <w:r w:rsidRPr="00013C48">
              <w:rPr>
                <w:b/>
                <w:bCs/>
                <w:u w:val="single"/>
                <w:lang w:val="ru-RU"/>
              </w:rPr>
              <w:t>Комментарии Генерального секретаря</w:t>
            </w:r>
          </w:p>
          <w:p w:rsidR="00542F98" w:rsidRPr="00013C48" w:rsidRDefault="00542F98" w:rsidP="003373E4">
            <w:pPr>
              <w:spacing w:after="120"/>
              <w:rPr>
                <w:lang w:val="ru-RU"/>
              </w:rPr>
            </w:pPr>
            <w:r w:rsidRPr="00013C48">
              <w:rPr>
                <w:lang w:val="ru-RU"/>
              </w:rPr>
              <w:t xml:space="preserve">Секретариат проведет дополнительный анализ этой рекомендации и ее возможных последствий. </w:t>
            </w:r>
          </w:p>
        </w:tc>
      </w:tr>
    </w:tbl>
    <w:p w:rsidR="00542F98" w:rsidRPr="00013C48" w:rsidRDefault="00542F98" w:rsidP="003373E4">
      <w:pPr>
        <w:pStyle w:val="Headingi"/>
        <w:rPr>
          <w:b/>
          <w:bCs/>
          <w:lang w:val="ru-RU"/>
        </w:rPr>
      </w:pPr>
      <w:bookmarkStart w:id="129" w:name="_Toc452157309"/>
      <w:bookmarkStart w:id="130" w:name="_Toc452158632"/>
      <w:r w:rsidRPr="00013C48">
        <w:rPr>
          <w:b/>
          <w:bCs/>
          <w:lang w:val="ru-RU"/>
        </w:rPr>
        <w:t>Стоит осуществить дальнейшее внедрение "управления материальными активами"</w:t>
      </w:r>
      <w:bookmarkEnd w:id="129"/>
      <w:bookmarkEnd w:id="130"/>
    </w:p>
    <w:p w:rsidR="00542F98" w:rsidRPr="00013C48" w:rsidRDefault="00542F98" w:rsidP="00542F98">
      <w:pPr>
        <w:rPr>
          <w:lang w:val="ru-RU"/>
        </w:rPr>
      </w:pPr>
      <w:r w:rsidRPr="00013C48">
        <w:rPr>
          <w:lang w:val="ru-RU"/>
        </w:rPr>
        <w:t>30</w:t>
      </w:r>
      <w:r w:rsidRPr="00013C48">
        <w:rPr>
          <w:lang w:val="ru-RU"/>
        </w:rPr>
        <w:tab/>
        <w:t>На основе проведенной в этом году аудиторской проверки мы обнаружили, что в реестре активов и других вспомогательных базах данных не был четко указан статус активов (например, "действующие", "неиспользуемые", "частично используемые" и т.</w:t>
      </w:r>
      <w:r w:rsidR="003373E4" w:rsidRPr="00013C48">
        <w:rPr>
          <w:lang w:val="ru-RU"/>
        </w:rPr>
        <w:t xml:space="preserve"> </w:t>
      </w:r>
      <w:r w:rsidRPr="00013C48">
        <w:rPr>
          <w:lang w:val="ru-RU"/>
        </w:rPr>
        <w:t xml:space="preserve">д.). Кроме того, не было четко указано их точное закрепление за тем или иным сотрудником, а также отсутствовал контроль в отношении того, использует ли </w:t>
      </w:r>
      <w:proofErr w:type="gramStart"/>
      <w:r w:rsidRPr="00013C48">
        <w:rPr>
          <w:lang w:val="ru-RU"/>
        </w:rPr>
        <w:t>этот сотрудник</w:t>
      </w:r>
      <w:proofErr w:type="gramEnd"/>
      <w:r w:rsidRPr="00013C48">
        <w:rPr>
          <w:lang w:val="ru-RU"/>
        </w:rPr>
        <w:t xml:space="preserve"> данный объект эффективным и надлежащим образом.</w:t>
      </w:r>
    </w:p>
    <w:p w:rsidR="00542F98" w:rsidRPr="00013C48" w:rsidRDefault="00542F98" w:rsidP="00542F98">
      <w:pPr>
        <w:rPr>
          <w:lang w:val="ru-RU"/>
        </w:rPr>
      </w:pPr>
    </w:p>
    <w:tbl>
      <w:tblPr>
        <w:tblStyle w:val="TableGrid"/>
        <w:tblW w:w="0" w:type="auto"/>
        <w:tblInd w:w="-5" w:type="dxa"/>
        <w:tblLook w:val="04A0" w:firstRow="1" w:lastRow="0" w:firstColumn="1" w:lastColumn="0" w:noHBand="0" w:noVBand="1"/>
      </w:tblPr>
      <w:tblGrid>
        <w:gridCol w:w="9634"/>
      </w:tblGrid>
      <w:tr w:rsidR="00542F98" w:rsidRPr="00013C48" w:rsidTr="00542F98">
        <w:tc>
          <w:tcPr>
            <w:tcW w:w="9634" w:type="dxa"/>
          </w:tcPr>
          <w:p w:rsidR="00542F98" w:rsidRPr="00013C48" w:rsidRDefault="00542F98" w:rsidP="003373E4">
            <w:pPr>
              <w:keepNext/>
              <w:keepLines/>
              <w:rPr>
                <w:b/>
                <w:bCs/>
                <w:lang w:val="ru-RU"/>
              </w:rPr>
            </w:pPr>
            <w:r w:rsidRPr="00013C48">
              <w:rPr>
                <w:b/>
                <w:bCs/>
                <w:lang w:val="ru-RU"/>
              </w:rPr>
              <w:lastRenderedPageBreak/>
              <w:t>Рекомендация 3</w:t>
            </w:r>
          </w:p>
          <w:p w:rsidR="00542F98" w:rsidRPr="00013C48" w:rsidRDefault="00542F98" w:rsidP="003373E4">
            <w:pPr>
              <w:spacing w:after="120"/>
              <w:rPr>
                <w:lang w:val="ru-RU"/>
              </w:rPr>
            </w:pPr>
            <w:r w:rsidRPr="00013C48">
              <w:rPr>
                <w:lang w:val="ru-RU"/>
              </w:rPr>
              <w:t>31</w:t>
            </w:r>
            <w:r w:rsidRPr="00013C48">
              <w:rPr>
                <w:lang w:val="ru-RU"/>
              </w:rPr>
              <w:tab/>
              <w:t xml:space="preserve">Мы считаем, что необходимо дальнейшее совершенствование системы управления активами, и поэтому </w:t>
            </w:r>
            <w:r w:rsidRPr="00013C48">
              <w:rPr>
                <w:u w:val="single"/>
                <w:lang w:val="ru-RU"/>
              </w:rPr>
              <w:t>мы рекомендуем</w:t>
            </w:r>
            <w:r w:rsidRPr="00013C48">
              <w:rPr>
                <w:lang w:val="ru-RU"/>
              </w:rPr>
              <w:t xml:space="preserve"> руководству: i) рассмотреть осуществимость оценки статуса и уровня использования активов; </w:t>
            </w:r>
            <w:proofErr w:type="spellStart"/>
            <w:r w:rsidRPr="00013C48">
              <w:rPr>
                <w:lang w:val="ru-RU"/>
              </w:rPr>
              <w:t>ii</w:t>
            </w:r>
            <w:proofErr w:type="spellEnd"/>
            <w:r w:rsidRPr="00013C48">
              <w:rPr>
                <w:lang w:val="ru-RU"/>
              </w:rPr>
              <w:t xml:space="preserve">) периодически отслеживать моральное устаревание объектов, в том числе для оценки точности реестра активов; </w:t>
            </w:r>
            <w:proofErr w:type="spellStart"/>
            <w:r w:rsidRPr="00013C48">
              <w:rPr>
                <w:lang w:val="ru-RU"/>
              </w:rPr>
              <w:t>iii</w:t>
            </w:r>
            <w:proofErr w:type="spellEnd"/>
            <w:r w:rsidRPr="00013C48">
              <w:rPr>
                <w:lang w:val="ru-RU"/>
              </w:rPr>
              <w:t xml:space="preserve">) распространить эти процессы и процедуры на все департаменты и региональные отделения МСЭ. </w:t>
            </w:r>
          </w:p>
        </w:tc>
      </w:tr>
    </w:tbl>
    <w:p w:rsidR="00542F98" w:rsidRPr="00013C48" w:rsidRDefault="00542F98" w:rsidP="00542F98">
      <w:pPr>
        <w:rPr>
          <w:lang w:val="ru-RU"/>
        </w:rPr>
      </w:pPr>
    </w:p>
    <w:tbl>
      <w:tblPr>
        <w:tblStyle w:val="TableGrid"/>
        <w:tblW w:w="0" w:type="auto"/>
        <w:tblInd w:w="-5" w:type="dxa"/>
        <w:tblLook w:val="04A0" w:firstRow="1" w:lastRow="0" w:firstColumn="1" w:lastColumn="0" w:noHBand="0" w:noVBand="1"/>
      </w:tblPr>
      <w:tblGrid>
        <w:gridCol w:w="9634"/>
      </w:tblGrid>
      <w:tr w:rsidR="00542F98" w:rsidRPr="00013C48" w:rsidTr="00542F98">
        <w:trPr>
          <w:cantSplit/>
        </w:trPr>
        <w:tc>
          <w:tcPr>
            <w:tcW w:w="9634" w:type="dxa"/>
          </w:tcPr>
          <w:p w:rsidR="00542F98" w:rsidRPr="00013C48" w:rsidRDefault="00542F98" w:rsidP="00542F98">
            <w:pPr>
              <w:rPr>
                <w:lang w:val="ru-RU"/>
              </w:rPr>
            </w:pPr>
            <w:r w:rsidRPr="00013C48">
              <w:rPr>
                <w:b/>
                <w:bCs/>
                <w:u w:val="single"/>
                <w:lang w:val="ru-RU"/>
              </w:rPr>
              <w:t>Комментарии Генерального секретаря</w:t>
            </w:r>
          </w:p>
          <w:p w:rsidR="00542F98" w:rsidRPr="00013C48" w:rsidRDefault="00542F98" w:rsidP="003373E4">
            <w:pPr>
              <w:spacing w:after="120"/>
              <w:rPr>
                <w:lang w:val="ru-RU"/>
              </w:rPr>
            </w:pPr>
            <w:r w:rsidRPr="00013C48">
              <w:rPr>
                <w:lang w:val="ru-RU"/>
              </w:rPr>
              <w:t xml:space="preserve">Секретариат проведет дополнительный анализ этой рекомендации и представит внешним аудиторам отчет о своих выводах и заключениях. </w:t>
            </w:r>
          </w:p>
        </w:tc>
      </w:tr>
    </w:tbl>
    <w:p w:rsidR="00542F98" w:rsidRPr="00013C48" w:rsidRDefault="00542F98" w:rsidP="003373E4">
      <w:pPr>
        <w:pStyle w:val="Headingi"/>
        <w:rPr>
          <w:b/>
          <w:bCs/>
          <w:lang w:val="ru-RU"/>
        </w:rPr>
      </w:pPr>
      <w:bookmarkStart w:id="131" w:name="_Toc452157310"/>
      <w:bookmarkStart w:id="132" w:name="_Toc452158633"/>
      <w:r w:rsidRPr="00013C48">
        <w:rPr>
          <w:b/>
          <w:bCs/>
          <w:lang w:val="ru-RU"/>
        </w:rPr>
        <w:t>Списание активов</w:t>
      </w:r>
      <w:bookmarkEnd w:id="131"/>
      <w:bookmarkEnd w:id="132"/>
    </w:p>
    <w:p w:rsidR="00542F98" w:rsidRPr="00013C48" w:rsidRDefault="00542F98" w:rsidP="00542F98">
      <w:pPr>
        <w:rPr>
          <w:lang w:val="ru-RU"/>
        </w:rPr>
      </w:pPr>
      <w:r w:rsidRPr="00013C48">
        <w:rPr>
          <w:lang w:val="ru-RU"/>
        </w:rPr>
        <w:t>32</w:t>
      </w:r>
      <w:r w:rsidRPr="00013C48">
        <w:rPr>
          <w:lang w:val="ru-RU"/>
        </w:rPr>
        <w:tab/>
        <w:t>В прошлом году мы дали рекомендацию (Рек. 1/2014, см. Приложение 1) о необходимости усиления процедур, касающихся списания утерянных или украденных объектов. Мы признаем, что руководство внедрило процессы в отношении утерянных или украденных объектов. Могут быть рассмотрены конкретные меры, направленные на уменьшение количества этих случаев.</w:t>
      </w:r>
    </w:p>
    <w:p w:rsidR="00542F98" w:rsidRPr="00013C48" w:rsidRDefault="00542F98" w:rsidP="00542F98">
      <w:pPr>
        <w:rPr>
          <w:lang w:val="ru-RU"/>
        </w:rPr>
      </w:pPr>
      <w:r w:rsidRPr="00013C48">
        <w:rPr>
          <w:lang w:val="ru-RU"/>
        </w:rPr>
        <w:t>33</w:t>
      </w:r>
      <w:r w:rsidRPr="00013C48">
        <w:rPr>
          <w:lang w:val="ru-RU"/>
        </w:rPr>
        <w:tab/>
        <w:t xml:space="preserve">Кроме того, в ходе проводимой нами аудиторской проверки мы отметили, что представление официальных форм, которые применяются для санкционирования списания объектов, независимо от того, были ли они украдены или не используются, нередко относится к исключительной ответственности одного уполномоченного сотрудника. </w:t>
      </w:r>
    </w:p>
    <w:p w:rsidR="00542F98" w:rsidRPr="00013C48" w:rsidRDefault="00542F98" w:rsidP="00542F98">
      <w:pPr>
        <w:rPr>
          <w:lang w:val="ru-RU"/>
        </w:rPr>
      </w:pPr>
      <w:r w:rsidRPr="00013C48">
        <w:rPr>
          <w:lang w:val="ru-RU"/>
        </w:rPr>
        <w:t>34</w:t>
      </w:r>
      <w:r w:rsidRPr="00013C48">
        <w:rPr>
          <w:lang w:val="ru-RU"/>
        </w:rPr>
        <w:tab/>
        <w:t>Мы считаем, что с точки зрения управления активами, прежде чем списывать тот или иной актив, целесообразно проинформировать об этом все департаменты и региональные отделения, с тем чтобы принять решение о его остаточной стоимости и связанной с ним выгоде до приобретения аналогичного актива.</w:t>
      </w:r>
    </w:p>
    <w:p w:rsidR="00542F98" w:rsidRPr="00013C48" w:rsidRDefault="00542F98" w:rsidP="00542F98">
      <w:pPr>
        <w:rPr>
          <w:lang w:val="ru-RU"/>
        </w:rPr>
      </w:pPr>
    </w:p>
    <w:tbl>
      <w:tblPr>
        <w:tblStyle w:val="TableGrid"/>
        <w:tblW w:w="0" w:type="auto"/>
        <w:tblInd w:w="-5" w:type="dxa"/>
        <w:tblLook w:val="04A0" w:firstRow="1" w:lastRow="0" w:firstColumn="1" w:lastColumn="0" w:noHBand="0" w:noVBand="1"/>
      </w:tblPr>
      <w:tblGrid>
        <w:gridCol w:w="9634"/>
      </w:tblGrid>
      <w:tr w:rsidR="00542F98" w:rsidRPr="00013C48" w:rsidTr="00542F98">
        <w:tc>
          <w:tcPr>
            <w:tcW w:w="9634" w:type="dxa"/>
          </w:tcPr>
          <w:p w:rsidR="00542F98" w:rsidRPr="00013C48" w:rsidRDefault="00542F98" w:rsidP="00542F98">
            <w:pPr>
              <w:rPr>
                <w:b/>
                <w:bCs/>
                <w:lang w:val="ru-RU"/>
              </w:rPr>
            </w:pPr>
            <w:r w:rsidRPr="00013C48">
              <w:rPr>
                <w:b/>
                <w:bCs/>
                <w:lang w:val="ru-RU"/>
              </w:rPr>
              <w:t>Предложение 1</w:t>
            </w:r>
          </w:p>
          <w:p w:rsidR="00542F98" w:rsidRPr="00013C48" w:rsidRDefault="00542F98" w:rsidP="003373E4">
            <w:pPr>
              <w:spacing w:after="120"/>
              <w:rPr>
                <w:lang w:val="ru-RU"/>
              </w:rPr>
            </w:pPr>
            <w:r w:rsidRPr="00013C48">
              <w:rPr>
                <w:lang w:val="ru-RU"/>
              </w:rPr>
              <w:t>35</w:t>
            </w:r>
            <w:r w:rsidRPr="00013C48">
              <w:rPr>
                <w:lang w:val="ru-RU"/>
              </w:rPr>
              <w:tab/>
            </w:r>
            <w:r w:rsidRPr="00013C48">
              <w:rPr>
                <w:u w:val="single"/>
                <w:lang w:val="ru-RU"/>
              </w:rPr>
              <w:t>Мы</w:t>
            </w:r>
            <w:r w:rsidRPr="00013C48">
              <w:rPr>
                <w:lang w:val="ru-RU"/>
              </w:rPr>
              <w:t xml:space="preserve"> также </w:t>
            </w:r>
            <w:r w:rsidRPr="00013C48">
              <w:rPr>
                <w:u w:val="single"/>
                <w:lang w:val="ru-RU"/>
              </w:rPr>
              <w:t>предлагаем</w:t>
            </w:r>
            <w:r w:rsidRPr="00013C48">
              <w:rPr>
                <w:lang w:val="ru-RU"/>
              </w:rPr>
              <w:t xml:space="preserve"> и далее совершенствовать управление активами, связанное с реализацией и передачей в дар, в частности путем оптимизации процедур, например, учреждения специального комитета. Кроме того, было бы целесообразно учитывать, при условии оценки затрат/выгоды, возможность передачи активов между департаментами и региональными отделениями до принятия решения о приобретении новых объектов. </w:t>
            </w:r>
          </w:p>
        </w:tc>
      </w:tr>
    </w:tbl>
    <w:p w:rsidR="00542F98" w:rsidRPr="00013C48" w:rsidRDefault="00542F98" w:rsidP="00542F98">
      <w:pPr>
        <w:rPr>
          <w:lang w:val="ru-RU"/>
        </w:rPr>
      </w:pPr>
    </w:p>
    <w:tbl>
      <w:tblPr>
        <w:tblStyle w:val="TableGrid"/>
        <w:tblW w:w="0" w:type="auto"/>
        <w:tblInd w:w="-5" w:type="dxa"/>
        <w:tblLook w:val="04A0" w:firstRow="1" w:lastRow="0" w:firstColumn="1" w:lastColumn="0" w:noHBand="0" w:noVBand="1"/>
      </w:tblPr>
      <w:tblGrid>
        <w:gridCol w:w="9634"/>
      </w:tblGrid>
      <w:tr w:rsidR="00542F98" w:rsidRPr="00013C48" w:rsidTr="00542F98">
        <w:trPr>
          <w:cantSplit/>
        </w:trPr>
        <w:tc>
          <w:tcPr>
            <w:tcW w:w="9634" w:type="dxa"/>
          </w:tcPr>
          <w:p w:rsidR="00542F98" w:rsidRPr="00013C48" w:rsidRDefault="00542F98" w:rsidP="00542F98">
            <w:pPr>
              <w:rPr>
                <w:lang w:val="ru-RU"/>
              </w:rPr>
            </w:pPr>
            <w:r w:rsidRPr="00013C48">
              <w:rPr>
                <w:b/>
                <w:bCs/>
                <w:u w:val="single"/>
                <w:lang w:val="ru-RU"/>
              </w:rPr>
              <w:t>Комментарии Генерального секретаря</w:t>
            </w:r>
          </w:p>
          <w:p w:rsidR="00542F98" w:rsidRPr="00013C48" w:rsidRDefault="00542F98" w:rsidP="003373E4">
            <w:pPr>
              <w:spacing w:after="120"/>
              <w:rPr>
                <w:lang w:val="ru-RU"/>
              </w:rPr>
            </w:pPr>
            <w:r w:rsidRPr="00013C48">
              <w:rPr>
                <w:lang w:val="ru-RU"/>
              </w:rPr>
              <w:t xml:space="preserve">Секретариат рассмотрит степень осуществимости данного предложения и изучит несколько вариантов, например, учреждение внутреннего комитета, внедрение электронных деловых процедур или использование аналогичных внутренних процессов. </w:t>
            </w:r>
          </w:p>
        </w:tc>
      </w:tr>
    </w:tbl>
    <w:p w:rsidR="003373E4" w:rsidRPr="00013C48" w:rsidRDefault="003373E4" w:rsidP="00826221">
      <w:pPr>
        <w:rPr>
          <w:lang w:val="ru-RU"/>
        </w:rPr>
      </w:pPr>
    </w:p>
    <w:p w:rsidR="00EB539F" w:rsidRPr="00013C48" w:rsidRDefault="00EB539F" w:rsidP="00EB539F">
      <w:pPr>
        <w:pStyle w:val="Headingb"/>
        <w:rPr>
          <w:lang w:val="ru-RU"/>
        </w:rPr>
      </w:pPr>
      <w:bookmarkStart w:id="133" w:name="_Toc452157311"/>
      <w:bookmarkStart w:id="134" w:name="_Toc452158634"/>
      <w:r w:rsidRPr="00013C48">
        <w:rPr>
          <w:lang w:val="ru-RU"/>
        </w:rPr>
        <w:t>Нематериальные активы</w:t>
      </w:r>
      <w:bookmarkEnd w:id="133"/>
      <w:bookmarkEnd w:id="134"/>
    </w:p>
    <w:p w:rsidR="00EB539F" w:rsidRPr="00013C48" w:rsidRDefault="00EB539F" w:rsidP="00EB539F">
      <w:pPr>
        <w:rPr>
          <w:lang w:val="ru-RU"/>
        </w:rPr>
      </w:pPr>
      <w:r w:rsidRPr="00013C48">
        <w:rPr>
          <w:lang w:val="ru-RU"/>
        </w:rPr>
        <w:t>36</w:t>
      </w:r>
      <w:r w:rsidRPr="00013C48">
        <w:rPr>
          <w:lang w:val="ru-RU"/>
        </w:rPr>
        <w:tab/>
        <w:t>В 2015 году размер нематериальных активов составил 3,2 млн. швейцарских франков, уменьшившись на 0,8 млн. швейцарских франков (−20,5%) по с</w:t>
      </w:r>
      <w:r w:rsidR="00826221" w:rsidRPr="00013C48">
        <w:rPr>
          <w:lang w:val="ru-RU"/>
        </w:rPr>
        <w:t>равнению с 2014 годом (4,1 млн. </w:t>
      </w:r>
      <w:r w:rsidRPr="00013C48">
        <w:rPr>
          <w:lang w:val="ru-RU"/>
        </w:rPr>
        <w:t>швейцарских франков).</w:t>
      </w:r>
    </w:p>
    <w:p w:rsidR="00EB539F" w:rsidRPr="00013C48" w:rsidRDefault="00EB539F" w:rsidP="00EB539F">
      <w:pPr>
        <w:rPr>
          <w:lang w:val="ru-RU"/>
        </w:rPr>
      </w:pPr>
      <w:r w:rsidRPr="00013C48">
        <w:rPr>
          <w:lang w:val="ru-RU"/>
        </w:rPr>
        <w:lastRenderedPageBreak/>
        <w:t>37</w:t>
      </w:r>
      <w:r w:rsidRPr="00013C48">
        <w:rPr>
          <w:lang w:val="ru-RU"/>
        </w:rPr>
        <w:tab/>
        <w:t xml:space="preserve">Как указано руководством в Примечании 13 к Отчету о финансовой деятельности, капитализация, согласно </w:t>
      </w:r>
      <w:proofErr w:type="gramStart"/>
      <w:r w:rsidRPr="00013C48">
        <w:rPr>
          <w:lang w:val="ru-RU"/>
        </w:rPr>
        <w:t>стандарту</w:t>
      </w:r>
      <w:proofErr w:type="gramEnd"/>
      <w:r w:rsidRPr="00013C48">
        <w:rPr>
          <w:lang w:val="ru-RU"/>
        </w:rPr>
        <w:t xml:space="preserve"> </w:t>
      </w:r>
      <w:proofErr w:type="spellStart"/>
      <w:r w:rsidRPr="00013C48">
        <w:rPr>
          <w:lang w:val="ru-RU"/>
        </w:rPr>
        <w:t>IPSAS</w:t>
      </w:r>
      <w:proofErr w:type="spellEnd"/>
      <w:r w:rsidRPr="00013C48">
        <w:rPr>
          <w:lang w:val="ru-RU"/>
        </w:rPr>
        <w:t xml:space="preserve"> 31, касалась внутренних разработок, связанных с совершенствованием некоторых конкретных услуг, предлагаемых членам, в частности в отношении доступа к документам МСЭ, управления документами и их архивирования. </w:t>
      </w:r>
    </w:p>
    <w:p w:rsidR="00EB539F" w:rsidRPr="00013C48" w:rsidRDefault="00EB539F" w:rsidP="00EB539F">
      <w:pPr>
        <w:pStyle w:val="Headingb"/>
        <w:rPr>
          <w:lang w:val="ru-RU"/>
        </w:rPr>
      </w:pPr>
      <w:bookmarkStart w:id="135" w:name="_Toc358192836"/>
      <w:bookmarkStart w:id="136" w:name="_Toc398125320"/>
      <w:bookmarkStart w:id="137" w:name="_Toc398125799"/>
      <w:bookmarkStart w:id="138" w:name="_Toc398127092"/>
      <w:bookmarkStart w:id="139" w:name="_Toc452157312"/>
      <w:bookmarkStart w:id="140" w:name="_Toc452158635"/>
      <w:r w:rsidRPr="00013C48">
        <w:rPr>
          <w:lang w:val="ru-RU"/>
        </w:rPr>
        <w:t>ПАССИВЫ</w:t>
      </w:r>
      <w:bookmarkEnd w:id="135"/>
      <w:bookmarkEnd w:id="136"/>
      <w:bookmarkEnd w:id="137"/>
      <w:bookmarkEnd w:id="138"/>
      <w:bookmarkEnd w:id="139"/>
      <w:bookmarkEnd w:id="140"/>
    </w:p>
    <w:p w:rsidR="00EB539F" w:rsidRPr="00013C48" w:rsidRDefault="00EB539F" w:rsidP="00EB539F">
      <w:pPr>
        <w:rPr>
          <w:lang w:val="ru-RU"/>
        </w:rPr>
      </w:pPr>
      <w:r w:rsidRPr="00013C48">
        <w:rPr>
          <w:lang w:val="ru-RU"/>
        </w:rPr>
        <w:t>38</w:t>
      </w:r>
      <w:r w:rsidRPr="00013C48">
        <w:rPr>
          <w:lang w:val="ru-RU"/>
        </w:rPr>
        <w:tab/>
        <w:t>В 2015 году общий размер пассивов составил 713,5 млн. швейцарских франков, уменьшившись на 42,8 млн. швейцарских франков (−5,7%) по сравнению с величиной, учтенной в 2014 году (756,3 млн. швейцарских франков). Пассивы включают:</w:t>
      </w:r>
    </w:p>
    <w:p w:rsidR="00EB539F" w:rsidRPr="00013C48" w:rsidRDefault="00EB539F" w:rsidP="00826221">
      <w:pPr>
        <w:pStyle w:val="enumlev1"/>
        <w:rPr>
          <w:lang w:val="ru-RU"/>
        </w:rPr>
      </w:pPr>
      <w:r w:rsidRPr="00013C48">
        <w:rPr>
          <w:lang w:val="ru-RU"/>
        </w:rPr>
        <w:t>a)</w:t>
      </w:r>
      <w:r w:rsidRPr="00013C48">
        <w:rPr>
          <w:lang w:val="ru-RU"/>
        </w:rPr>
        <w:tab/>
      </w:r>
      <w:r w:rsidRPr="00013C48">
        <w:rPr>
          <w:i/>
          <w:iCs/>
          <w:lang w:val="ru-RU"/>
        </w:rPr>
        <w:t>текущие пассивы</w:t>
      </w:r>
      <w:r w:rsidRPr="00013C48">
        <w:rPr>
          <w:lang w:val="ru-RU"/>
        </w:rPr>
        <w:t xml:space="preserve"> в размере 143,0 млн. швейцарских франков, что составляет 20,1% от общего размера пассивов (в 2014 году они составляли </w:t>
      </w:r>
      <w:r w:rsidR="00826221" w:rsidRPr="00013C48">
        <w:rPr>
          <w:lang w:val="ru-RU"/>
        </w:rPr>
        <w:t>19,1% на общую сумму 144,4 млн. </w:t>
      </w:r>
      <w:r w:rsidRPr="00013C48">
        <w:rPr>
          <w:lang w:val="ru-RU"/>
        </w:rPr>
        <w:t>швейцарских франков)</w:t>
      </w:r>
      <w:r w:rsidR="00826221" w:rsidRPr="00013C48">
        <w:rPr>
          <w:lang w:val="ru-RU"/>
        </w:rPr>
        <w:t>; и</w:t>
      </w:r>
    </w:p>
    <w:p w:rsidR="00EB539F" w:rsidRPr="00013C48" w:rsidRDefault="00EB539F" w:rsidP="00826221">
      <w:pPr>
        <w:pStyle w:val="enumlev1"/>
        <w:rPr>
          <w:lang w:val="ru-RU"/>
        </w:rPr>
      </w:pPr>
      <w:r w:rsidRPr="00013C48">
        <w:rPr>
          <w:lang w:val="ru-RU"/>
        </w:rPr>
        <w:t>b)</w:t>
      </w:r>
      <w:r w:rsidRPr="00013C48">
        <w:rPr>
          <w:lang w:val="ru-RU"/>
        </w:rPr>
        <w:tab/>
      </w:r>
      <w:proofErr w:type="spellStart"/>
      <w:r w:rsidRPr="00013C48">
        <w:rPr>
          <w:i/>
          <w:iCs/>
          <w:lang w:val="ru-RU"/>
        </w:rPr>
        <w:t>нетекущие</w:t>
      </w:r>
      <w:proofErr w:type="spellEnd"/>
      <w:r w:rsidRPr="00013C48">
        <w:rPr>
          <w:i/>
          <w:iCs/>
          <w:lang w:val="ru-RU"/>
        </w:rPr>
        <w:t xml:space="preserve"> пассивы</w:t>
      </w:r>
      <w:r w:rsidRPr="00013C48">
        <w:rPr>
          <w:lang w:val="ru-RU"/>
        </w:rPr>
        <w:t xml:space="preserve"> в размере 570,4 млн. швейцарских франков, составляющие 79,9% от общего размера пассивов (в 2014 году они составляли </w:t>
      </w:r>
      <w:r w:rsidR="00826221" w:rsidRPr="00013C48">
        <w:rPr>
          <w:lang w:val="ru-RU"/>
        </w:rPr>
        <w:t>80,9% на общую сумму 611,9 млн. </w:t>
      </w:r>
      <w:r w:rsidRPr="00013C48">
        <w:rPr>
          <w:lang w:val="ru-RU"/>
        </w:rPr>
        <w:t>швейцарских франков).</w:t>
      </w:r>
    </w:p>
    <w:p w:rsidR="00EB539F" w:rsidRPr="00013C48" w:rsidRDefault="00EB539F" w:rsidP="00826221">
      <w:pPr>
        <w:pStyle w:val="Headingb"/>
        <w:rPr>
          <w:lang w:val="ru-RU"/>
        </w:rPr>
      </w:pPr>
      <w:bookmarkStart w:id="141" w:name="_Toc358192837"/>
      <w:bookmarkStart w:id="142" w:name="_Toc398125321"/>
      <w:bookmarkStart w:id="143" w:name="_Toc398125800"/>
      <w:bookmarkStart w:id="144" w:name="_Toc398127093"/>
      <w:bookmarkStart w:id="145" w:name="_Toc452157313"/>
      <w:bookmarkStart w:id="146" w:name="_Toc452158636"/>
      <w:r w:rsidRPr="00013C48">
        <w:rPr>
          <w:lang w:val="ru-RU"/>
        </w:rPr>
        <w:t>Текущие пассивы</w:t>
      </w:r>
      <w:bookmarkEnd w:id="141"/>
      <w:bookmarkEnd w:id="142"/>
      <w:bookmarkEnd w:id="143"/>
      <w:bookmarkEnd w:id="144"/>
      <w:bookmarkEnd w:id="145"/>
      <w:bookmarkEnd w:id="146"/>
    </w:p>
    <w:p w:rsidR="00EB539F" w:rsidRPr="00013C48" w:rsidRDefault="00EB539F" w:rsidP="00EB539F">
      <w:pPr>
        <w:rPr>
          <w:lang w:val="ru-RU"/>
        </w:rPr>
      </w:pPr>
      <w:r w:rsidRPr="00013C48">
        <w:rPr>
          <w:lang w:val="ru-RU"/>
        </w:rPr>
        <w:t>39</w:t>
      </w:r>
      <w:r w:rsidRPr="00013C48">
        <w:rPr>
          <w:lang w:val="ru-RU"/>
        </w:rPr>
        <w:tab/>
        <w:t xml:space="preserve">Общий размер текущих пассивов в 2015 году составил 143,0 млн. швейцарских франков, уменьшившись на 1,4 млн. швейцарских франков по сравнению с 2014 годом (144,4 млн. швейцарских франков). Это снижение в целом вызвано воздействием, с одной стороны, уменьшением разделов "Доходы будущих периодов" (−1,9 млн. швейцарских франков) и "Поставщики и прочие кредиторы" (−2,0 млн. швейцарских франков) и, с другой стороны, увеличением подразделов "Прочая задолженность" (+2,3 млн. швейцарских франков) и "Резервные фонды" (+0,2 млн. швейцарских франков). Основа оценки текущих пассивов и активов изложена в Принципах бухгалтерского учета (Примечание 3). </w:t>
      </w:r>
    </w:p>
    <w:p w:rsidR="00EB539F" w:rsidRPr="00013C48" w:rsidRDefault="00EB539F" w:rsidP="00EB539F">
      <w:pPr>
        <w:pStyle w:val="Headingb"/>
        <w:rPr>
          <w:spacing w:val="6"/>
          <w:lang w:val="ru-RU"/>
        </w:rPr>
      </w:pPr>
      <w:bookmarkStart w:id="147" w:name="_Toc358192838"/>
      <w:bookmarkStart w:id="148" w:name="_Toc398125322"/>
      <w:bookmarkStart w:id="149" w:name="_Toc398125801"/>
      <w:bookmarkStart w:id="150" w:name="_Toc398127094"/>
      <w:bookmarkStart w:id="151" w:name="_Toc452157314"/>
      <w:bookmarkStart w:id="152" w:name="_Toc452158637"/>
      <w:r w:rsidRPr="00013C48">
        <w:rPr>
          <w:lang w:val="ru-RU"/>
        </w:rPr>
        <w:t>Поставщики и прочие кредиторы</w:t>
      </w:r>
      <w:bookmarkEnd w:id="147"/>
      <w:bookmarkEnd w:id="148"/>
      <w:bookmarkEnd w:id="149"/>
      <w:bookmarkEnd w:id="150"/>
      <w:bookmarkEnd w:id="151"/>
      <w:bookmarkEnd w:id="152"/>
      <w:r w:rsidRPr="00013C48">
        <w:rPr>
          <w:spacing w:val="6"/>
          <w:lang w:val="ru-RU"/>
        </w:rPr>
        <w:t xml:space="preserve"> </w:t>
      </w:r>
    </w:p>
    <w:p w:rsidR="00EB539F" w:rsidRPr="00013C48" w:rsidRDefault="00EB539F" w:rsidP="00EB539F">
      <w:pPr>
        <w:rPr>
          <w:lang w:val="ru-RU"/>
        </w:rPr>
      </w:pPr>
      <w:r w:rsidRPr="00013C48">
        <w:rPr>
          <w:lang w:val="ru-RU"/>
        </w:rPr>
        <w:t>40</w:t>
      </w:r>
      <w:r w:rsidRPr="00013C48">
        <w:rPr>
          <w:lang w:val="ru-RU"/>
        </w:rPr>
        <w:tab/>
      </w:r>
      <w:proofErr w:type="gramStart"/>
      <w:r w:rsidRPr="00013C48">
        <w:rPr>
          <w:lang w:val="ru-RU"/>
        </w:rPr>
        <w:t>В</w:t>
      </w:r>
      <w:proofErr w:type="gramEnd"/>
      <w:r w:rsidRPr="00013C48">
        <w:rPr>
          <w:lang w:val="ru-RU"/>
        </w:rPr>
        <w:t xml:space="preserve"> разделе "Поставщики и прочие кредиторы" заключительного баланса приводится сумма в размере 7,2 млн. швейцарских франков (в 2014 г. − 9,2 млн. швейцарских франков). Подробная разбивка показана в Примечании 14 к Отчету о финансовой деятельности.</w:t>
      </w:r>
    </w:p>
    <w:p w:rsidR="00EB539F" w:rsidRPr="00013C48" w:rsidRDefault="00EB539F" w:rsidP="00EB539F">
      <w:pPr>
        <w:pStyle w:val="Headingb"/>
        <w:rPr>
          <w:lang w:val="ru-RU"/>
        </w:rPr>
      </w:pPr>
      <w:bookmarkStart w:id="153" w:name="_Toc358192839"/>
      <w:bookmarkStart w:id="154" w:name="_Toc398125323"/>
      <w:bookmarkStart w:id="155" w:name="_Toc398125802"/>
      <w:bookmarkStart w:id="156" w:name="_Toc398127095"/>
      <w:bookmarkStart w:id="157" w:name="_Toc452157315"/>
      <w:bookmarkStart w:id="158" w:name="_Toc452158638"/>
      <w:r w:rsidRPr="00013C48">
        <w:rPr>
          <w:lang w:val="ru-RU"/>
        </w:rPr>
        <w:t>Доходы будущих периодов</w:t>
      </w:r>
      <w:bookmarkEnd w:id="153"/>
      <w:bookmarkEnd w:id="154"/>
      <w:bookmarkEnd w:id="155"/>
      <w:bookmarkEnd w:id="156"/>
      <w:bookmarkEnd w:id="157"/>
      <w:bookmarkEnd w:id="158"/>
    </w:p>
    <w:p w:rsidR="00EB539F" w:rsidRPr="00013C48" w:rsidRDefault="00EB539F" w:rsidP="00826221">
      <w:pPr>
        <w:rPr>
          <w:lang w:val="ru-RU"/>
        </w:rPr>
      </w:pPr>
      <w:r w:rsidRPr="00013C48">
        <w:rPr>
          <w:lang w:val="ru-RU"/>
        </w:rPr>
        <w:t>41</w:t>
      </w:r>
      <w:r w:rsidRPr="00013C48">
        <w:rPr>
          <w:lang w:val="ru-RU"/>
        </w:rPr>
        <w:tab/>
        <w:t>Подраздел "Доходы будущих периодов" составил 127,6 млн. швейцарских франков (</w:t>
      </w:r>
      <w:r w:rsidR="00826221" w:rsidRPr="00013C48">
        <w:rPr>
          <w:lang w:val="ru-RU"/>
        </w:rPr>
        <w:t>в 2014 </w:t>
      </w:r>
      <w:r w:rsidRPr="00013C48">
        <w:rPr>
          <w:lang w:val="ru-RU"/>
        </w:rPr>
        <w:t>г.</w:t>
      </w:r>
      <w:r w:rsidR="00826221" w:rsidRPr="00013C48">
        <w:rPr>
          <w:lang w:val="ru-RU"/>
        </w:rPr>
        <w:t> </w:t>
      </w:r>
      <w:r w:rsidRPr="00013C48">
        <w:rPr>
          <w:lang w:val="ru-RU"/>
        </w:rPr>
        <w:t xml:space="preserve">− 129,5 млн. швейцарских франков). </w:t>
      </w:r>
      <w:proofErr w:type="spellStart"/>
      <w:r w:rsidRPr="00013C48">
        <w:rPr>
          <w:lang w:val="ru-RU"/>
        </w:rPr>
        <w:t>Бóльшая</w:t>
      </w:r>
      <w:proofErr w:type="spellEnd"/>
      <w:r w:rsidRPr="00013C48">
        <w:rPr>
          <w:lang w:val="ru-RU"/>
        </w:rPr>
        <w:t xml:space="preserve"> часть этой суммы приходится на взносы членов МСЭ (Государств-Членов, Членов Секторов, Ассоциированных членов) и на доходы от обработки заявок на регистрацию спутниковых сетей, еще окончательно не определенные на конец 2015 года. Подобная разбивка доходов будущих периодов приводится в Примечании 15 к Отчету о финансовой деятельности.</w:t>
      </w:r>
    </w:p>
    <w:p w:rsidR="00EB539F" w:rsidRPr="00013C48" w:rsidRDefault="00EB539F" w:rsidP="00EB539F">
      <w:pPr>
        <w:pStyle w:val="Headingb"/>
        <w:rPr>
          <w:lang w:val="ru-RU"/>
        </w:rPr>
      </w:pPr>
      <w:bookmarkStart w:id="159" w:name="_Toc358192840"/>
      <w:bookmarkStart w:id="160" w:name="_Toc398125324"/>
      <w:bookmarkStart w:id="161" w:name="_Toc398125803"/>
      <w:bookmarkStart w:id="162" w:name="_Toc398127096"/>
      <w:bookmarkStart w:id="163" w:name="_Toc452157316"/>
      <w:bookmarkStart w:id="164" w:name="_Toc452158639"/>
      <w:r w:rsidRPr="00013C48">
        <w:rPr>
          <w:lang w:val="ru-RU"/>
        </w:rPr>
        <w:t>Резервные фонды</w:t>
      </w:r>
      <w:bookmarkEnd w:id="159"/>
      <w:bookmarkEnd w:id="160"/>
      <w:bookmarkEnd w:id="161"/>
      <w:bookmarkEnd w:id="162"/>
      <w:bookmarkEnd w:id="163"/>
      <w:bookmarkEnd w:id="164"/>
    </w:p>
    <w:p w:rsidR="00EB539F" w:rsidRPr="00013C48" w:rsidRDefault="00EB539F" w:rsidP="00EB539F">
      <w:pPr>
        <w:rPr>
          <w:lang w:val="ru-RU"/>
        </w:rPr>
      </w:pPr>
      <w:r w:rsidRPr="00013C48">
        <w:rPr>
          <w:lang w:val="ru-RU"/>
        </w:rPr>
        <w:t>42</w:t>
      </w:r>
      <w:r w:rsidRPr="00013C48">
        <w:rPr>
          <w:lang w:val="ru-RU"/>
        </w:rPr>
        <w:tab/>
        <w:t>В 2015 году подраздел "Резервные фонды" составил 1,0 млн. швейцарских франков (</w:t>
      </w:r>
      <w:r w:rsidR="00826221" w:rsidRPr="00013C48">
        <w:rPr>
          <w:lang w:val="ru-RU"/>
        </w:rPr>
        <w:t>в 2014 г. </w:t>
      </w:r>
      <w:r w:rsidRPr="00013C48">
        <w:rPr>
          <w:lang w:val="ru-RU"/>
        </w:rPr>
        <w:t xml:space="preserve">− 0,8 млн. швейцарских франков). Этот раздел включает резервный фонд для судебных разбирательств (0,8 млн. швейцарских франков) и резервный фонд для бесплатной обработки заявок на регистрацию спутниковых сетей (0,2 млн. швейцарских франков). </w:t>
      </w:r>
    </w:p>
    <w:p w:rsidR="00EB539F" w:rsidRPr="00013C48" w:rsidRDefault="00EB539F" w:rsidP="00EB539F">
      <w:pPr>
        <w:rPr>
          <w:lang w:val="ru-RU"/>
        </w:rPr>
      </w:pPr>
      <w:r w:rsidRPr="00013C48">
        <w:rPr>
          <w:lang w:val="ru-RU"/>
        </w:rPr>
        <w:t>43</w:t>
      </w:r>
      <w:r w:rsidRPr="00013C48">
        <w:rPr>
          <w:lang w:val="ru-RU"/>
        </w:rPr>
        <w:tab/>
        <w:t xml:space="preserve">Увеличение резервного фонда для судебных разбирательств на 0,6 млн. швейцарских франков по сравнению с 2014 годом связано, в основном, с возможностью судебного разбирательства с </w:t>
      </w:r>
      <w:proofErr w:type="spellStart"/>
      <w:r w:rsidRPr="00013C48">
        <w:rPr>
          <w:lang w:val="ru-RU"/>
        </w:rPr>
        <w:t>МБТ</w:t>
      </w:r>
      <w:proofErr w:type="spellEnd"/>
      <w:r w:rsidRPr="00013C48">
        <w:rPr>
          <w:lang w:val="ru-RU"/>
        </w:rPr>
        <w:t xml:space="preserve"> (Международное бюро труда) в связи с выходом МСЭ из </w:t>
      </w:r>
      <w:proofErr w:type="spellStart"/>
      <w:r w:rsidRPr="00013C48">
        <w:rPr>
          <w:lang w:val="ru-RU"/>
        </w:rPr>
        <w:t>ФМСП</w:t>
      </w:r>
      <w:proofErr w:type="spellEnd"/>
      <w:r w:rsidRPr="00013C48">
        <w:rPr>
          <w:lang w:val="ru-RU"/>
        </w:rPr>
        <w:t xml:space="preserve"> (Фонд медицинского страхования персонала). Мы рассмотрели полный перечень судебных разбирательств </w:t>
      </w:r>
      <w:r w:rsidRPr="00013C48">
        <w:rPr>
          <w:lang w:val="ru-RU"/>
        </w:rPr>
        <w:lastRenderedPageBreak/>
        <w:t xml:space="preserve">и соответствующие суммы, зарезервированные на счетах, и считаем их правильными. Дополнительные соображения приводятся в следующих ниже пунктах, посвященных этому вопросу. </w:t>
      </w:r>
    </w:p>
    <w:p w:rsidR="00EB539F" w:rsidRPr="00013C48" w:rsidRDefault="00EB539F" w:rsidP="00EB539F">
      <w:pPr>
        <w:pStyle w:val="Headingb"/>
        <w:rPr>
          <w:lang w:val="ru-RU"/>
        </w:rPr>
      </w:pPr>
      <w:bookmarkStart w:id="165" w:name="_Toc358192843"/>
      <w:bookmarkStart w:id="166" w:name="_Toc398125325"/>
      <w:bookmarkStart w:id="167" w:name="_Toc398125804"/>
      <w:bookmarkStart w:id="168" w:name="_Toc398127097"/>
      <w:bookmarkStart w:id="169" w:name="_Toc452157317"/>
      <w:bookmarkStart w:id="170" w:name="_Toc452158640"/>
      <w:r w:rsidRPr="00013C48">
        <w:rPr>
          <w:lang w:val="ru-RU"/>
        </w:rPr>
        <w:t>Займы и финансовая задолженность</w:t>
      </w:r>
      <w:bookmarkEnd w:id="165"/>
      <w:bookmarkEnd w:id="166"/>
      <w:bookmarkEnd w:id="167"/>
      <w:bookmarkEnd w:id="168"/>
      <w:bookmarkEnd w:id="169"/>
      <w:bookmarkEnd w:id="170"/>
    </w:p>
    <w:p w:rsidR="00EB539F" w:rsidRPr="00013C48" w:rsidRDefault="00EB539F" w:rsidP="00EB539F">
      <w:pPr>
        <w:rPr>
          <w:lang w:val="ru-RU"/>
        </w:rPr>
      </w:pPr>
      <w:r w:rsidRPr="00013C48">
        <w:rPr>
          <w:lang w:val="ru-RU"/>
        </w:rPr>
        <w:t>44</w:t>
      </w:r>
      <w:r w:rsidRPr="00013C48">
        <w:rPr>
          <w:lang w:val="ru-RU"/>
        </w:rPr>
        <w:tab/>
        <w:t>Сумма, относящаяся к полученному МСЭ займу в </w:t>
      </w:r>
      <w:proofErr w:type="spellStart"/>
      <w:r w:rsidRPr="00013C48">
        <w:rPr>
          <w:lang w:val="ru-RU"/>
        </w:rPr>
        <w:t>ФИПОИ</w:t>
      </w:r>
      <w:proofErr w:type="spellEnd"/>
      <w:r w:rsidRPr="00013C48">
        <w:rPr>
          <w:lang w:val="ru-RU"/>
        </w:rPr>
        <w:t xml:space="preserve"> на строительство и капитальный ремонт некоторых его зданий, была учтена как краткосрочные выплаты (1,5 млн. швейцарских франков, или 1,0% от общей суммы текущих пассивов), что соответствует очередному платежу, подлежащему выплате МСЭ в </w:t>
      </w:r>
      <w:proofErr w:type="spellStart"/>
      <w:r w:rsidRPr="00013C48">
        <w:rPr>
          <w:lang w:val="ru-RU"/>
        </w:rPr>
        <w:t>ФИПОИ</w:t>
      </w:r>
      <w:proofErr w:type="spellEnd"/>
      <w:r w:rsidRPr="00013C48">
        <w:rPr>
          <w:lang w:val="ru-RU"/>
        </w:rPr>
        <w:t xml:space="preserve"> в 2015 году, и как долгосрочные выплаты (43,8 млн. швейцарских франков, или 7,7% от общей суммы </w:t>
      </w:r>
      <w:proofErr w:type="spellStart"/>
      <w:r w:rsidRPr="00013C48">
        <w:rPr>
          <w:lang w:val="ru-RU"/>
        </w:rPr>
        <w:t>нетекущих</w:t>
      </w:r>
      <w:proofErr w:type="spellEnd"/>
      <w:r w:rsidRPr="00013C48">
        <w:rPr>
          <w:lang w:val="ru-RU"/>
        </w:rPr>
        <w:t xml:space="preserve"> пассивов). Суммы, по которым представлена подробная информация в Примечании 16 к Отчету о финансовой деятельности, также подтверждаются предоставленной </w:t>
      </w:r>
      <w:proofErr w:type="spellStart"/>
      <w:r w:rsidRPr="00013C48">
        <w:rPr>
          <w:lang w:val="ru-RU"/>
        </w:rPr>
        <w:t>ФИПОИ</w:t>
      </w:r>
      <w:proofErr w:type="spellEnd"/>
      <w:r w:rsidRPr="00013C48">
        <w:rPr>
          <w:lang w:val="ru-RU"/>
        </w:rPr>
        <w:t xml:space="preserve"> выпиской от 14 декабря 2015 года.</w:t>
      </w:r>
    </w:p>
    <w:p w:rsidR="00EB539F" w:rsidRPr="00013C48" w:rsidRDefault="00EB539F" w:rsidP="00EB539F">
      <w:pPr>
        <w:pStyle w:val="Headingb"/>
        <w:rPr>
          <w:lang w:val="ru-RU"/>
        </w:rPr>
      </w:pPr>
      <w:bookmarkStart w:id="171" w:name="_Toc398125326"/>
      <w:bookmarkStart w:id="172" w:name="_Toc398125805"/>
      <w:bookmarkStart w:id="173" w:name="_Toc398127098"/>
      <w:bookmarkStart w:id="174" w:name="_Toc452157318"/>
      <w:bookmarkStart w:id="175" w:name="_Toc452158641"/>
      <w:r w:rsidRPr="00013C48">
        <w:rPr>
          <w:lang w:val="ru-RU"/>
        </w:rPr>
        <w:t>Прочие текущие пассивы</w:t>
      </w:r>
      <w:bookmarkEnd w:id="171"/>
      <w:bookmarkEnd w:id="172"/>
      <w:bookmarkEnd w:id="173"/>
      <w:bookmarkEnd w:id="174"/>
      <w:bookmarkEnd w:id="175"/>
    </w:p>
    <w:p w:rsidR="00EB539F" w:rsidRPr="00013C48" w:rsidRDefault="00EB539F" w:rsidP="00EB539F">
      <w:pPr>
        <w:rPr>
          <w:lang w:val="ru-RU"/>
        </w:rPr>
      </w:pPr>
      <w:r w:rsidRPr="00013C48">
        <w:rPr>
          <w:lang w:val="ru-RU"/>
        </w:rPr>
        <w:t>45</w:t>
      </w:r>
      <w:r w:rsidRPr="00013C48">
        <w:rPr>
          <w:lang w:val="ru-RU"/>
        </w:rPr>
        <w:tab/>
        <w:t>В 2015 году подразделы "Вознаграждение сотрудников" и "Прочая задолженность" составили, соответственно, 0,5 млн. швейцарских франков (2014 г. – столько же) и 5,3 </w:t>
      </w:r>
      <w:r w:rsidR="00826221" w:rsidRPr="00013C48">
        <w:rPr>
          <w:lang w:val="ru-RU"/>
        </w:rPr>
        <w:t>млн. </w:t>
      </w:r>
      <w:r w:rsidRPr="00013C48">
        <w:rPr>
          <w:lang w:val="ru-RU"/>
        </w:rPr>
        <w:t>швейцарских франков (в 2014 г. − 3,0 млн. швейцарских франков). Подробное описание и разбивка приводятся, соответственно, в Примечаниях 17.1 и 19 к Отчету о финансовой деятельности.</w:t>
      </w:r>
    </w:p>
    <w:p w:rsidR="00EB539F" w:rsidRPr="00013C48" w:rsidRDefault="00EB539F" w:rsidP="00EB539F">
      <w:pPr>
        <w:rPr>
          <w:lang w:val="ru-RU"/>
        </w:rPr>
      </w:pPr>
      <w:r w:rsidRPr="00013C48">
        <w:rPr>
          <w:lang w:val="ru-RU"/>
        </w:rPr>
        <w:t>46</w:t>
      </w:r>
      <w:r w:rsidRPr="00013C48">
        <w:rPr>
          <w:lang w:val="ru-RU"/>
        </w:rPr>
        <w:tab/>
        <w:t xml:space="preserve">В частности, вознаграждение сотрудников, работающих на основе краткосрочных контрактов, учтенное в "Текущих пассивах", относится к резервному фонду для оплаты сверхурочных часов (0,08 млн. швейцарских франков; в 2014 г. − 0,06 млн. швейцарских франков) и к резервному фонду для оплаты накопленных дней отпуска (0,4 млн. швейцарских франков; в 2014 г. – столько же). Проведенные нами проверки не выявили каких-либо существенных проблем, и данные по резервным фондам являются по существу точными. </w:t>
      </w:r>
    </w:p>
    <w:p w:rsidR="00EB539F" w:rsidRPr="00013C48" w:rsidRDefault="00EB539F" w:rsidP="00EB539F">
      <w:pPr>
        <w:pStyle w:val="Headingb"/>
        <w:rPr>
          <w:u w:val="single"/>
          <w:lang w:val="ru-RU"/>
        </w:rPr>
      </w:pPr>
      <w:bookmarkStart w:id="176" w:name="_Toc358192844"/>
      <w:bookmarkStart w:id="177" w:name="_Toc398125327"/>
      <w:bookmarkStart w:id="178" w:name="_Toc398125806"/>
      <w:bookmarkStart w:id="179" w:name="_Toc398127099"/>
      <w:bookmarkStart w:id="180" w:name="_Toc452157319"/>
      <w:bookmarkStart w:id="181" w:name="_Toc452158642"/>
      <w:proofErr w:type="spellStart"/>
      <w:r w:rsidRPr="00013C48">
        <w:rPr>
          <w:lang w:val="ru-RU"/>
        </w:rPr>
        <w:t>Нетекущие</w:t>
      </w:r>
      <w:proofErr w:type="spellEnd"/>
      <w:r w:rsidRPr="00013C48">
        <w:rPr>
          <w:lang w:val="ru-RU"/>
        </w:rPr>
        <w:t xml:space="preserve"> пассивы</w:t>
      </w:r>
      <w:bookmarkEnd w:id="176"/>
      <w:bookmarkEnd w:id="177"/>
      <w:bookmarkEnd w:id="178"/>
      <w:bookmarkEnd w:id="179"/>
      <w:bookmarkEnd w:id="180"/>
      <w:bookmarkEnd w:id="181"/>
    </w:p>
    <w:p w:rsidR="00EB539F" w:rsidRPr="00013C48" w:rsidRDefault="00EB539F" w:rsidP="00826221">
      <w:pPr>
        <w:rPr>
          <w:lang w:val="ru-RU"/>
        </w:rPr>
      </w:pPr>
      <w:r w:rsidRPr="00013C48">
        <w:rPr>
          <w:lang w:val="ru-RU"/>
        </w:rPr>
        <w:t>47</w:t>
      </w:r>
      <w:r w:rsidRPr="00013C48">
        <w:rPr>
          <w:lang w:val="ru-RU"/>
        </w:rPr>
        <w:tab/>
        <w:t xml:space="preserve">Общая сумма </w:t>
      </w:r>
      <w:proofErr w:type="spellStart"/>
      <w:r w:rsidRPr="00013C48">
        <w:rPr>
          <w:lang w:val="ru-RU"/>
        </w:rPr>
        <w:t>нетекущих</w:t>
      </w:r>
      <w:proofErr w:type="spellEnd"/>
      <w:r w:rsidRPr="00013C48">
        <w:rPr>
          <w:lang w:val="ru-RU"/>
        </w:rPr>
        <w:t xml:space="preserve"> пассивов в 2015 году составила 570,4 млн. швейцарских франков, что на 41,5 млн. швейцарских франков (−6,8%) меньше по сравнению с 2014 годом (611,9 млн. швейцарских франков). Это снижение в целом объясняется уменьшением суммы вознаграждения сотрудников (−39,3 млн. швейцарских франков, или −7,4% по сравнению с 2014 г</w:t>
      </w:r>
      <w:r w:rsidR="00826221" w:rsidRPr="00013C48">
        <w:rPr>
          <w:lang w:val="ru-RU"/>
        </w:rPr>
        <w:t>.</w:t>
      </w:r>
      <w:r w:rsidRPr="00013C48">
        <w:rPr>
          <w:lang w:val="ru-RU"/>
        </w:rPr>
        <w:t xml:space="preserve">). Основа для оценки </w:t>
      </w:r>
      <w:proofErr w:type="spellStart"/>
      <w:r w:rsidRPr="00013C48">
        <w:rPr>
          <w:lang w:val="ru-RU"/>
        </w:rPr>
        <w:t>нетекущих</w:t>
      </w:r>
      <w:proofErr w:type="spellEnd"/>
      <w:r w:rsidRPr="00013C48">
        <w:rPr>
          <w:lang w:val="ru-RU"/>
        </w:rPr>
        <w:t xml:space="preserve"> пассивов изложена в Принципах бухгалтерского учета (Примечание 3).</w:t>
      </w:r>
    </w:p>
    <w:p w:rsidR="00EB539F" w:rsidRPr="00013C48" w:rsidRDefault="00EB539F" w:rsidP="00EB539F">
      <w:pPr>
        <w:rPr>
          <w:lang w:val="ru-RU"/>
        </w:rPr>
      </w:pPr>
      <w:r w:rsidRPr="00013C48">
        <w:rPr>
          <w:lang w:val="ru-RU"/>
        </w:rPr>
        <w:t>48</w:t>
      </w:r>
      <w:r w:rsidRPr="00013C48">
        <w:rPr>
          <w:lang w:val="ru-RU"/>
        </w:rPr>
        <w:tab/>
        <w:t>Этот раздел состоит из долгосрочных задолженностей (см. раздел "Займы"), средств третьих сторон, распределенных или в процессе распределения, обязательств по линии системы медицинского страхования МСЭ и резервных фондов, покрывающих обязательства с неопределенными суммами и сроками, в основном относящиеся к пособиям, причитающимся сотрудникам после прекращения службы.</w:t>
      </w:r>
    </w:p>
    <w:p w:rsidR="00EB539F" w:rsidRPr="00013C48" w:rsidRDefault="00EB539F" w:rsidP="00EB539F">
      <w:pPr>
        <w:pStyle w:val="Headingb"/>
        <w:rPr>
          <w:lang w:val="ru-RU"/>
        </w:rPr>
      </w:pPr>
      <w:bookmarkStart w:id="182" w:name="_Toc452157320"/>
      <w:bookmarkStart w:id="183" w:name="_Toc452158643"/>
      <w:r w:rsidRPr="00013C48">
        <w:rPr>
          <w:lang w:val="ru-RU"/>
        </w:rPr>
        <w:t>Обобщенные сведения о вознаграждении сотрудников</w:t>
      </w:r>
      <w:bookmarkEnd w:id="182"/>
      <w:bookmarkEnd w:id="183"/>
      <w:r w:rsidRPr="00013C48">
        <w:rPr>
          <w:lang w:val="ru-RU"/>
        </w:rPr>
        <w:t xml:space="preserve"> </w:t>
      </w:r>
    </w:p>
    <w:p w:rsidR="00826221" w:rsidRPr="00013C48" w:rsidRDefault="00EB539F" w:rsidP="00826221">
      <w:pPr>
        <w:spacing w:after="120"/>
        <w:rPr>
          <w:lang w:val="ru-RU"/>
        </w:rPr>
      </w:pPr>
      <w:r w:rsidRPr="00013C48">
        <w:rPr>
          <w:lang w:val="ru-RU"/>
        </w:rPr>
        <w:t>49</w:t>
      </w:r>
      <w:r w:rsidRPr="00013C48">
        <w:rPr>
          <w:lang w:val="ru-RU"/>
        </w:rPr>
        <w:tab/>
        <w:t>Информация о вознаграждении сотрудников приводится в финансовой отчетности в разделах "Текущие пассивы" и "</w:t>
      </w:r>
      <w:proofErr w:type="spellStart"/>
      <w:r w:rsidRPr="00013C48">
        <w:rPr>
          <w:lang w:val="ru-RU"/>
        </w:rPr>
        <w:t>Нетекущие</w:t>
      </w:r>
      <w:proofErr w:type="spellEnd"/>
      <w:r w:rsidRPr="00013C48">
        <w:rPr>
          <w:lang w:val="ru-RU"/>
        </w:rPr>
        <w:t xml:space="preserve"> пассивы". В 2015 году общий размер вознаграждения сотрудников составил 495,5 млн. швейцарских франков. В обобщенном виде эта информация представлена в приведенной ниже таблице. </w:t>
      </w:r>
    </w:p>
    <w:p w:rsidR="00826221" w:rsidRPr="00013C48" w:rsidRDefault="00826221" w:rsidP="00826221">
      <w:pPr>
        <w:rPr>
          <w:lang w:val="ru-RU"/>
        </w:rPr>
      </w:pPr>
      <w:r w:rsidRPr="00013C48">
        <w:rPr>
          <w:lang w:val="ru-RU"/>
        </w:rPr>
        <w:br w:type="page"/>
      </w:r>
    </w:p>
    <w:tbl>
      <w:tblPr>
        <w:tblW w:w="9626" w:type="dxa"/>
        <w:tblLayout w:type="fixed"/>
        <w:tblLook w:val="04A0" w:firstRow="1" w:lastRow="0" w:firstColumn="1" w:lastColumn="0" w:noHBand="0" w:noVBand="1"/>
      </w:tblPr>
      <w:tblGrid>
        <w:gridCol w:w="4248"/>
        <w:gridCol w:w="1417"/>
        <w:gridCol w:w="1418"/>
        <w:gridCol w:w="1271"/>
        <w:gridCol w:w="1272"/>
      </w:tblGrid>
      <w:tr w:rsidR="00EB539F" w:rsidRPr="00013C48" w:rsidTr="009C03CB">
        <w:tc>
          <w:tcPr>
            <w:tcW w:w="424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B539F" w:rsidRPr="00013C48" w:rsidRDefault="00EB539F" w:rsidP="00826221">
            <w:pPr>
              <w:pStyle w:val="Tablehead"/>
              <w:rPr>
                <w:rFonts w:eastAsia="SimSun"/>
                <w:i/>
                <w:iCs/>
                <w:sz w:val="18"/>
                <w:szCs w:val="18"/>
                <w:lang w:val="ru-RU" w:eastAsia="zh-CN"/>
              </w:rPr>
            </w:pPr>
            <w:r w:rsidRPr="00013C48">
              <w:rPr>
                <w:rFonts w:eastAsia="SimSun"/>
                <w:i/>
                <w:iCs/>
                <w:sz w:val="18"/>
                <w:szCs w:val="18"/>
                <w:lang w:val="ru-RU" w:eastAsia="zh-CN"/>
              </w:rPr>
              <w:lastRenderedPageBreak/>
              <w:t>Пассивы</w:t>
            </w:r>
          </w:p>
        </w:tc>
        <w:tc>
          <w:tcPr>
            <w:tcW w:w="283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EB539F" w:rsidRPr="00013C48" w:rsidRDefault="00EB539F" w:rsidP="00826221">
            <w:pPr>
              <w:pStyle w:val="Tablehead"/>
              <w:rPr>
                <w:rFonts w:eastAsia="SimSun"/>
                <w:sz w:val="18"/>
                <w:szCs w:val="18"/>
                <w:lang w:val="ru-RU" w:eastAsia="zh-CN"/>
              </w:rPr>
            </w:pPr>
            <w:r w:rsidRPr="00013C48">
              <w:rPr>
                <w:rFonts w:eastAsia="SimSun"/>
                <w:sz w:val="18"/>
                <w:szCs w:val="18"/>
                <w:lang w:val="ru-RU" w:eastAsia="zh-CN"/>
              </w:rPr>
              <w:t>(в тыс. швейцарских франков)</w:t>
            </w:r>
          </w:p>
        </w:tc>
        <w:tc>
          <w:tcPr>
            <w:tcW w:w="2543"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EB539F" w:rsidRPr="00013C48" w:rsidRDefault="00EB539F" w:rsidP="00826221">
            <w:pPr>
              <w:pStyle w:val="Tablehead"/>
              <w:rPr>
                <w:rFonts w:eastAsia="SimSun"/>
                <w:sz w:val="18"/>
                <w:szCs w:val="18"/>
                <w:lang w:val="ru-RU" w:eastAsia="zh-CN"/>
              </w:rPr>
            </w:pPr>
            <w:r w:rsidRPr="00013C48">
              <w:rPr>
                <w:rFonts w:eastAsia="SimSun"/>
                <w:sz w:val="18"/>
                <w:szCs w:val="18"/>
                <w:lang w:val="ru-RU" w:eastAsia="zh-CN"/>
              </w:rPr>
              <w:t>Расхождение 2015−2014 гг.</w:t>
            </w:r>
          </w:p>
        </w:tc>
      </w:tr>
      <w:tr w:rsidR="00EB539F" w:rsidRPr="00013C48" w:rsidTr="009C03CB">
        <w:tc>
          <w:tcPr>
            <w:tcW w:w="4248" w:type="dxa"/>
            <w:vMerge/>
            <w:tcBorders>
              <w:top w:val="single" w:sz="4" w:space="0" w:color="auto"/>
              <w:left w:val="single" w:sz="4" w:space="0" w:color="auto"/>
              <w:bottom w:val="single" w:sz="4" w:space="0" w:color="auto"/>
              <w:right w:val="single" w:sz="4" w:space="0" w:color="auto"/>
            </w:tcBorders>
            <w:vAlign w:val="center"/>
            <w:hideMark/>
          </w:tcPr>
          <w:p w:rsidR="00EB539F" w:rsidRPr="00013C48" w:rsidRDefault="00EB539F" w:rsidP="00826221">
            <w:pPr>
              <w:pStyle w:val="Tablehead"/>
              <w:rPr>
                <w:rFonts w:eastAsia="SimSun"/>
                <w:sz w:val="18"/>
                <w:szCs w:val="18"/>
                <w:lang w:val="ru-RU" w:eastAsia="zh-CN"/>
              </w:rPr>
            </w:pPr>
          </w:p>
        </w:tc>
        <w:tc>
          <w:tcPr>
            <w:tcW w:w="1417" w:type="dxa"/>
            <w:tcBorders>
              <w:top w:val="nil"/>
              <w:left w:val="nil"/>
              <w:bottom w:val="single" w:sz="4" w:space="0" w:color="auto"/>
              <w:right w:val="single" w:sz="4" w:space="0" w:color="auto"/>
            </w:tcBorders>
            <w:shd w:val="clear" w:color="000000" w:fill="D9D9D9"/>
            <w:noWrap/>
            <w:vAlign w:val="center"/>
            <w:hideMark/>
          </w:tcPr>
          <w:p w:rsidR="00EB539F" w:rsidRPr="00013C48" w:rsidRDefault="00EB539F" w:rsidP="00826221">
            <w:pPr>
              <w:pStyle w:val="Tablehead"/>
              <w:rPr>
                <w:rFonts w:eastAsia="SimSun"/>
                <w:i/>
                <w:iCs/>
                <w:sz w:val="18"/>
                <w:szCs w:val="18"/>
                <w:lang w:val="ru-RU" w:eastAsia="zh-CN"/>
              </w:rPr>
            </w:pPr>
            <w:r w:rsidRPr="00013C48">
              <w:rPr>
                <w:rFonts w:eastAsia="SimSun"/>
                <w:i/>
                <w:iCs/>
                <w:sz w:val="18"/>
                <w:szCs w:val="18"/>
                <w:lang w:val="ru-RU" w:eastAsia="zh-CN"/>
              </w:rPr>
              <w:t>2015 г.</w:t>
            </w:r>
          </w:p>
        </w:tc>
        <w:tc>
          <w:tcPr>
            <w:tcW w:w="1418" w:type="dxa"/>
            <w:tcBorders>
              <w:top w:val="nil"/>
              <w:left w:val="nil"/>
              <w:bottom w:val="single" w:sz="4" w:space="0" w:color="auto"/>
              <w:right w:val="single" w:sz="4" w:space="0" w:color="auto"/>
            </w:tcBorders>
            <w:shd w:val="clear" w:color="000000" w:fill="D9D9D9"/>
            <w:noWrap/>
            <w:vAlign w:val="center"/>
            <w:hideMark/>
          </w:tcPr>
          <w:p w:rsidR="00EB539F" w:rsidRPr="00013C48" w:rsidRDefault="00EB539F" w:rsidP="00826221">
            <w:pPr>
              <w:pStyle w:val="Tablehead"/>
              <w:rPr>
                <w:rFonts w:eastAsia="SimSun"/>
                <w:i/>
                <w:iCs/>
                <w:sz w:val="18"/>
                <w:szCs w:val="18"/>
                <w:lang w:val="ru-RU" w:eastAsia="zh-CN"/>
              </w:rPr>
            </w:pPr>
            <w:r w:rsidRPr="00013C48">
              <w:rPr>
                <w:rFonts w:eastAsia="SimSun"/>
                <w:i/>
                <w:iCs/>
                <w:sz w:val="18"/>
                <w:szCs w:val="18"/>
                <w:lang w:val="ru-RU" w:eastAsia="zh-CN"/>
              </w:rPr>
              <w:t>2014 г.</w:t>
            </w:r>
          </w:p>
        </w:tc>
        <w:tc>
          <w:tcPr>
            <w:tcW w:w="1271" w:type="dxa"/>
            <w:tcBorders>
              <w:top w:val="nil"/>
              <w:left w:val="nil"/>
              <w:bottom w:val="single" w:sz="4" w:space="0" w:color="auto"/>
              <w:right w:val="single" w:sz="4" w:space="0" w:color="auto"/>
            </w:tcBorders>
            <w:shd w:val="clear" w:color="000000" w:fill="D9D9D9"/>
            <w:noWrap/>
            <w:vAlign w:val="center"/>
            <w:hideMark/>
          </w:tcPr>
          <w:p w:rsidR="00EB539F" w:rsidRPr="00013C48" w:rsidRDefault="00EB539F" w:rsidP="00826221">
            <w:pPr>
              <w:pStyle w:val="Tablehead"/>
              <w:rPr>
                <w:rFonts w:eastAsia="SimSun"/>
                <w:sz w:val="18"/>
                <w:szCs w:val="18"/>
                <w:lang w:val="ru-RU" w:eastAsia="zh-CN"/>
              </w:rPr>
            </w:pPr>
            <w:r w:rsidRPr="00013C48">
              <w:rPr>
                <w:rFonts w:eastAsia="SimSun"/>
                <w:sz w:val="18"/>
                <w:szCs w:val="18"/>
                <w:lang w:val="ru-RU" w:eastAsia="zh-CN"/>
              </w:rPr>
              <w:t xml:space="preserve">тыс. </w:t>
            </w:r>
            <w:proofErr w:type="spellStart"/>
            <w:r w:rsidRPr="00013C48">
              <w:rPr>
                <w:rFonts w:eastAsia="SimSun"/>
                <w:sz w:val="18"/>
                <w:szCs w:val="18"/>
                <w:lang w:val="ru-RU" w:eastAsia="zh-CN"/>
              </w:rPr>
              <w:t>шв</w:t>
            </w:r>
            <w:proofErr w:type="spellEnd"/>
            <w:r w:rsidRPr="00013C48">
              <w:rPr>
                <w:rFonts w:eastAsia="SimSun"/>
                <w:sz w:val="18"/>
                <w:szCs w:val="18"/>
                <w:lang w:val="ru-RU" w:eastAsia="zh-CN"/>
              </w:rPr>
              <w:t>. фр.</w:t>
            </w:r>
          </w:p>
        </w:tc>
        <w:tc>
          <w:tcPr>
            <w:tcW w:w="1272" w:type="dxa"/>
            <w:tcBorders>
              <w:top w:val="nil"/>
              <w:left w:val="nil"/>
              <w:bottom w:val="single" w:sz="4" w:space="0" w:color="auto"/>
              <w:right w:val="single" w:sz="4" w:space="0" w:color="auto"/>
            </w:tcBorders>
            <w:shd w:val="clear" w:color="000000" w:fill="D9D9D9"/>
            <w:noWrap/>
            <w:vAlign w:val="center"/>
            <w:hideMark/>
          </w:tcPr>
          <w:p w:rsidR="00EB539F" w:rsidRPr="00013C48" w:rsidRDefault="00EB539F" w:rsidP="00826221">
            <w:pPr>
              <w:pStyle w:val="Tablehead"/>
              <w:rPr>
                <w:rFonts w:eastAsia="SimSun"/>
                <w:sz w:val="18"/>
                <w:szCs w:val="18"/>
                <w:lang w:val="ru-RU" w:eastAsia="zh-CN"/>
              </w:rPr>
            </w:pPr>
            <w:r w:rsidRPr="00013C48">
              <w:rPr>
                <w:rFonts w:eastAsia="SimSun"/>
                <w:sz w:val="18"/>
                <w:szCs w:val="18"/>
                <w:lang w:val="ru-RU" w:eastAsia="zh-CN"/>
              </w:rPr>
              <w:t>%</w:t>
            </w:r>
          </w:p>
        </w:tc>
      </w:tr>
      <w:tr w:rsidR="00EB539F" w:rsidRPr="00013C48" w:rsidTr="00826221">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EB539F" w:rsidRPr="00013C48" w:rsidRDefault="00EB539F" w:rsidP="00826221">
            <w:pPr>
              <w:pStyle w:val="Tabletext"/>
              <w:rPr>
                <w:rFonts w:eastAsia="SimSun"/>
                <w:sz w:val="18"/>
                <w:szCs w:val="18"/>
                <w:u w:val="single"/>
                <w:lang w:val="ru-RU" w:eastAsia="zh-CN"/>
              </w:rPr>
            </w:pPr>
            <w:r w:rsidRPr="00013C48">
              <w:rPr>
                <w:rFonts w:eastAsia="SimSun"/>
                <w:sz w:val="18"/>
                <w:szCs w:val="18"/>
                <w:u w:val="single"/>
                <w:lang w:val="ru-RU" w:eastAsia="zh-CN"/>
              </w:rPr>
              <w:t>Текущие</w:t>
            </w:r>
          </w:p>
        </w:tc>
        <w:tc>
          <w:tcPr>
            <w:tcW w:w="1417" w:type="dxa"/>
            <w:tcBorders>
              <w:top w:val="nil"/>
              <w:left w:val="nil"/>
              <w:bottom w:val="single" w:sz="4" w:space="0" w:color="auto"/>
              <w:right w:val="single" w:sz="4" w:space="0" w:color="auto"/>
            </w:tcBorders>
            <w:shd w:val="clear" w:color="auto" w:fill="auto"/>
            <w:noWrap/>
            <w:vAlign w:val="bottom"/>
            <w:hideMark/>
          </w:tcPr>
          <w:p w:rsidR="00EB539F" w:rsidRPr="00013C48" w:rsidRDefault="00EB539F" w:rsidP="00826221">
            <w:pPr>
              <w:pStyle w:val="Tabletext"/>
              <w:ind w:right="284"/>
              <w:jc w:val="right"/>
              <w:rPr>
                <w:rFonts w:eastAsia="SimSun"/>
                <w:sz w:val="18"/>
                <w:szCs w:val="18"/>
                <w:lang w:val="ru-RU" w:eastAsia="zh-CN"/>
              </w:rPr>
            </w:pPr>
            <w:r w:rsidRPr="00013C48">
              <w:rPr>
                <w:rFonts w:eastAsia="SimSun"/>
                <w:sz w:val="18"/>
                <w:szCs w:val="18"/>
                <w:lang w:val="ru-RU" w:eastAsia="zh-CN"/>
              </w:rPr>
              <w:t>481</w:t>
            </w:r>
          </w:p>
        </w:tc>
        <w:tc>
          <w:tcPr>
            <w:tcW w:w="1418" w:type="dxa"/>
            <w:tcBorders>
              <w:top w:val="nil"/>
              <w:left w:val="nil"/>
              <w:bottom w:val="single" w:sz="4" w:space="0" w:color="auto"/>
              <w:right w:val="single" w:sz="4" w:space="0" w:color="auto"/>
            </w:tcBorders>
            <w:shd w:val="clear" w:color="auto" w:fill="auto"/>
            <w:noWrap/>
            <w:vAlign w:val="bottom"/>
            <w:hideMark/>
          </w:tcPr>
          <w:p w:rsidR="00EB539F" w:rsidRPr="00013C48" w:rsidRDefault="00EB539F" w:rsidP="00826221">
            <w:pPr>
              <w:pStyle w:val="Tabletext"/>
              <w:ind w:right="284"/>
              <w:jc w:val="right"/>
              <w:rPr>
                <w:rFonts w:eastAsia="SimSun"/>
                <w:sz w:val="18"/>
                <w:szCs w:val="18"/>
                <w:lang w:val="ru-RU" w:eastAsia="zh-CN"/>
              </w:rPr>
            </w:pPr>
            <w:r w:rsidRPr="00013C48">
              <w:rPr>
                <w:rFonts w:eastAsia="SimSun"/>
                <w:sz w:val="18"/>
                <w:szCs w:val="18"/>
                <w:lang w:val="ru-RU" w:eastAsia="zh-CN"/>
              </w:rPr>
              <w:t>484</w:t>
            </w:r>
          </w:p>
        </w:tc>
        <w:tc>
          <w:tcPr>
            <w:tcW w:w="1271" w:type="dxa"/>
            <w:tcBorders>
              <w:top w:val="nil"/>
              <w:left w:val="nil"/>
              <w:bottom w:val="single" w:sz="4" w:space="0" w:color="auto"/>
              <w:right w:val="single" w:sz="4" w:space="0" w:color="auto"/>
            </w:tcBorders>
            <w:shd w:val="clear" w:color="auto" w:fill="auto"/>
            <w:noWrap/>
            <w:vAlign w:val="bottom"/>
            <w:hideMark/>
          </w:tcPr>
          <w:p w:rsidR="00EB539F" w:rsidRPr="00013C48" w:rsidRDefault="00826221" w:rsidP="00826221">
            <w:pPr>
              <w:pStyle w:val="Tabletext"/>
              <w:ind w:right="284"/>
              <w:jc w:val="right"/>
              <w:rPr>
                <w:rFonts w:eastAsia="SimSun"/>
                <w:sz w:val="18"/>
                <w:szCs w:val="18"/>
                <w:lang w:val="ru-RU" w:eastAsia="zh-CN"/>
              </w:rPr>
            </w:pPr>
            <w:r w:rsidRPr="00013C48">
              <w:rPr>
                <w:rFonts w:eastAsia="SimSun"/>
                <w:sz w:val="18"/>
                <w:szCs w:val="18"/>
                <w:lang w:val="ru-RU" w:eastAsia="zh-CN"/>
              </w:rPr>
              <w:t>−</w:t>
            </w:r>
            <w:r w:rsidR="00EB539F" w:rsidRPr="00013C48">
              <w:rPr>
                <w:rFonts w:eastAsia="SimSun"/>
                <w:sz w:val="18"/>
                <w:szCs w:val="18"/>
                <w:lang w:val="ru-RU" w:eastAsia="zh-CN"/>
              </w:rPr>
              <w:t>3</w:t>
            </w:r>
          </w:p>
        </w:tc>
        <w:tc>
          <w:tcPr>
            <w:tcW w:w="1272" w:type="dxa"/>
            <w:tcBorders>
              <w:top w:val="nil"/>
              <w:left w:val="nil"/>
              <w:bottom w:val="single" w:sz="4" w:space="0" w:color="auto"/>
              <w:right w:val="single" w:sz="4" w:space="0" w:color="auto"/>
            </w:tcBorders>
            <w:shd w:val="clear" w:color="auto" w:fill="auto"/>
            <w:noWrap/>
            <w:vAlign w:val="bottom"/>
            <w:hideMark/>
          </w:tcPr>
          <w:p w:rsidR="00EB539F" w:rsidRPr="00013C48" w:rsidRDefault="00826221" w:rsidP="00826221">
            <w:pPr>
              <w:pStyle w:val="Tabletext"/>
              <w:ind w:right="284"/>
              <w:jc w:val="right"/>
              <w:rPr>
                <w:rFonts w:eastAsia="SimSun"/>
                <w:sz w:val="18"/>
                <w:szCs w:val="18"/>
                <w:lang w:val="ru-RU" w:eastAsia="zh-CN"/>
              </w:rPr>
            </w:pPr>
            <w:r w:rsidRPr="00013C48">
              <w:rPr>
                <w:rFonts w:eastAsia="SimSun"/>
                <w:sz w:val="18"/>
                <w:szCs w:val="18"/>
                <w:lang w:val="ru-RU" w:eastAsia="zh-CN"/>
              </w:rPr>
              <w:t>−</w:t>
            </w:r>
            <w:r w:rsidR="00EB539F" w:rsidRPr="00013C48">
              <w:rPr>
                <w:rFonts w:eastAsia="SimSun"/>
                <w:sz w:val="18"/>
                <w:szCs w:val="18"/>
                <w:lang w:val="ru-RU" w:eastAsia="zh-CN"/>
              </w:rPr>
              <w:t>0,6%</w:t>
            </w:r>
          </w:p>
        </w:tc>
      </w:tr>
      <w:tr w:rsidR="00EB539F" w:rsidRPr="00013C48" w:rsidTr="00826221">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EB539F" w:rsidRPr="00013C48" w:rsidRDefault="00EB539F" w:rsidP="00826221">
            <w:pPr>
              <w:pStyle w:val="Tabletext"/>
              <w:rPr>
                <w:rFonts w:eastAsia="SimSun"/>
                <w:sz w:val="18"/>
                <w:szCs w:val="18"/>
                <w:u w:val="single"/>
                <w:lang w:val="ru-RU" w:eastAsia="zh-CN"/>
              </w:rPr>
            </w:pPr>
            <w:proofErr w:type="spellStart"/>
            <w:r w:rsidRPr="00013C48">
              <w:rPr>
                <w:rFonts w:eastAsia="SimSun"/>
                <w:sz w:val="18"/>
                <w:szCs w:val="18"/>
                <w:u w:val="single"/>
                <w:lang w:val="ru-RU" w:eastAsia="zh-CN"/>
              </w:rPr>
              <w:t>Нетекущие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EB539F" w:rsidRPr="00013C48" w:rsidRDefault="00EB539F" w:rsidP="00826221">
            <w:pPr>
              <w:pStyle w:val="Tabletext"/>
              <w:ind w:right="284"/>
              <w:jc w:val="right"/>
              <w:rPr>
                <w:rFonts w:eastAsia="SimSun"/>
                <w:sz w:val="18"/>
                <w:szCs w:val="18"/>
                <w:lang w:val="ru-RU" w:eastAsia="zh-CN"/>
              </w:rPr>
            </w:pPr>
            <w:r w:rsidRPr="00013C48">
              <w:rPr>
                <w:rFonts w:eastAsia="SimSun"/>
                <w:sz w:val="18"/>
                <w:szCs w:val="18"/>
                <w:lang w:val="ru-RU" w:eastAsia="zh-CN"/>
              </w:rPr>
              <w:t>495 025</w:t>
            </w:r>
          </w:p>
        </w:tc>
        <w:tc>
          <w:tcPr>
            <w:tcW w:w="1418" w:type="dxa"/>
            <w:tcBorders>
              <w:top w:val="nil"/>
              <w:left w:val="nil"/>
              <w:bottom w:val="single" w:sz="4" w:space="0" w:color="auto"/>
              <w:right w:val="single" w:sz="4" w:space="0" w:color="auto"/>
            </w:tcBorders>
            <w:shd w:val="clear" w:color="auto" w:fill="auto"/>
            <w:noWrap/>
            <w:vAlign w:val="bottom"/>
            <w:hideMark/>
          </w:tcPr>
          <w:p w:rsidR="00EB539F" w:rsidRPr="00013C48" w:rsidRDefault="00EB539F" w:rsidP="00826221">
            <w:pPr>
              <w:pStyle w:val="Tabletext"/>
              <w:ind w:right="284"/>
              <w:jc w:val="right"/>
              <w:rPr>
                <w:rFonts w:eastAsia="SimSun"/>
                <w:sz w:val="18"/>
                <w:szCs w:val="18"/>
                <w:lang w:val="ru-RU" w:eastAsia="zh-CN"/>
              </w:rPr>
            </w:pPr>
            <w:r w:rsidRPr="00013C48">
              <w:rPr>
                <w:rFonts w:eastAsia="SimSun"/>
                <w:sz w:val="18"/>
                <w:szCs w:val="18"/>
                <w:lang w:val="ru-RU" w:eastAsia="zh-CN"/>
              </w:rPr>
              <w:t>534 358</w:t>
            </w:r>
          </w:p>
        </w:tc>
        <w:tc>
          <w:tcPr>
            <w:tcW w:w="1271" w:type="dxa"/>
            <w:tcBorders>
              <w:top w:val="nil"/>
              <w:left w:val="nil"/>
              <w:bottom w:val="single" w:sz="4" w:space="0" w:color="auto"/>
              <w:right w:val="single" w:sz="4" w:space="0" w:color="auto"/>
            </w:tcBorders>
            <w:shd w:val="clear" w:color="auto" w:fill="auto"/>
            <w:noWrap/>
            <w:vAlign w:val="bottom"/>
            <w:hideMark/>
          </w:tcPr>
          <w:p w:rsidR="00EB539F" w:rsidRPr="00013C48" w:rsidRDefault="00826221" w:rsidP="00826221">
            <w:pPr>
              <w:pStyle w:val="Tabletext"/>
              <w:ind w:right="284"/>
              <w:jc w:val="right"/>
              <w:rPr>
                <w:rFonts w:eastAsia="SimSun"/>
                <w:sz w:val="18"/>
                <w:szCs w:val="18"/>
                <w:lang w:val="ru-RU" w:eastAsia="zh-CN"/>
              </w:rPr>
            </w:pPr>
            <w:r w:rsidRPr="00013C48">
              <w:rPr>
                <w:rFonts w:eastAsia="SimSun"/>
                <w:sz w:val="18"/>
                <w:szCs w:val="18"/>
                <w:lang w:val="ru-RU" w:eastAsia="zh-CN"/>
              </w:rPr>
              <w:t>−</w:t>
            </w:r>
            <w:r w:rsidR="00EB539F" w:rsidRPr="00013C48">
              <w:rPr>
                <w:rFonts w:eastAsia="SimSun"/>
                <w:sz w:val="18"/>
                <w:szCs w:val="18"/>
                <w:lang w:val="ru-RU" w:eastAsia="zh-CN"/>
              </w:rPr>
              <w:t>39 333</w:t>
            </w:r>
          </w:p>
        </w:tc>
        <w:tc>
          <w:tcPr>
            <w:tcW w:w="1272" w:type="dxa"/>
            <w:tcBorders>
              <w:top w:val="nil"/>
              <w:left w:val="nil"/>
              <w:bottom w:val="single" w:sz="4" w:space="0" w:color="auto"/>
              <w:right w:val="single" w:sz="4" w:space="0" w:color="auto"/>
            </w:tcBorders>
            <w:shd w:val="clear" w:color="auto" w:fill="auto"/>
            <w:noWrap/>
            <w:vAlign w:val="bottom"/>
            <w:hideMark/>
          </w:tcPr>
          <w:p w:rsidR="00EB539F" w:rsidRPr="00013C48" w:rsidRDefault="00826221" w:rsidP="00826221">
            <w:pPr>
              <w:pStyle w:val="Tabletext"/>
              <w:ind w:right="284"/>
              <w:jc w:val="right"/>
              <w:rPr>
                <w:rFonts w:eastAsia="SimSun"/>
                <w:sz w:val="18"/>
                <w:szCs w:val="18"/>
                <w:lang w:val="ru-RU" w:eastAsia="zh-CN"/>
              </w:rPr>
            </w:pPr>
            <w:r w:rsidRPr="00013C48">
              <w:rPr>
                <w:rFonts w:eastAsia="SimSun"/>
                <w:sz w:val="18"/>
                <w:szCs w:val="18"/>
                <w:lang w:val="ru-RU" w:eastAsia="zh-CN"/>
              </w:rPr>
              <w:t>−</w:t>
            </w:r>
            <w:r w:rsidR="00EB539F" w:rsidRPr="00013C48">
              <w:rPr>
                <w:rFonts w:eastAsia="SimSun"/>
                <w:sz w:val="18"/>
                <w:szCs w:val="18"/>
                <w:lang w:val="ru-RU" w:eastAsia="zh-CN"/>
              </w:rPr>
              <w:t>7,4%</w:t>
            </w:r>
          </w:p>
        </w:tc>
      </w:tr>
      <w:tr w:rsidR="00EB539F" w:rsidRPr="00013C48" w:rsidTr="00826221">
        <w:tc>
          <w:tcPr>
            <w:tcW w:w="4248" w:type="dxa"/>
            <w:tcBorders>
              <w:top w:val="nil"/>
              <w:left w:val="single" w:sz="4" w:space="0" w:color="auto"/>
              <w:bottom w:val="single" w:sz="4" w:space="0" w:color="auto"/>
              <w:right w:val="single" w:sz="4" w:space="0" w:color="auto"/>
            </w:tcBorders>
            <w:shd w:val="clear" w:color="000000" w:fill="DCE6F1"/>
            <w:noWrap/>
            <w:vAlign w:val="center"/>
            <w:hideMark/>
          </w:tcPr>
          <w:p w:rsidR="00EB539F" w:rsidRPr="00013C48" w:rsidRDefault="00EB539F" w:rsidP="00826221">
            <w:pPr>
              <w:pStyle w:val="Tabletext"/>
              <w:rPr>
                <w:rFonts w:eastAsia="SimSun"/>
                <w:b/>
                <w:bCs/>
                <w:sz w:val="18"/>
                <w:szCs w:val="18"/>
                <w:u w:val="single"/>
                <w:lang w:val="ru-RU" w:eastAsia="zh-CN"/>
              </w:rPr>
            </w:pPr>
            <w:r w:rsidRPr="00013C48">
              <w:rPr>
                <w:rFonts w:eastAsia="SimSun"/>
                <w:b/>
                <w:bCs/>
                <w:sz w:val="18"/>
                <w:szCs w:val="18"/>
                <w:u w:val="single"/>
                <w:lang w:val="ru-RU" w:eastAsia="zh-CN"/>
              </w:rPr>
              <w:t>Всего</w:t>
            </w:r>
          </w:p>
        </w:tc>
        <w:tc>
          <w:tcPr>
            <w:tcW w:w="1417" w:type="dxa"/>
            <w:tcBorders>
              <w:top w:val="nil"/>
              <w:left w:val="nil"/>
              <w:bottom w:val="single" w:sz="4" w:space="0" w:color="auto"/>
              <w:right w:val="single" w:sz="4" w:space="0" w:color="auto"/>
            </w:tcBorders>
            <w:shd w:val="clear" w:color="000000" w:fill="DCE6F1"/>
            <w:noWrap/>
            <w:vAlign w:val="bottom"/>
            <w:hideMark/>
          </w:tcPr>
          <w:p w:rsidR="00EB539F" w:rsidRPr="00013C48" w:rsidRDefault="00EB539F" w:rsidP="00826221">
            <w:pPr>
              <w:pStyle w:val="Tabletext"/>
              <w:ind w:right="284"/>
              <w:jc w:val="right"/>
              <w:rPr>
                <w:rFonts w:eastAsia="SimSun"/>
                <w:b/>
                <w:bCs/>
                <w:sz w:val="18"/>
                <w:szCs w:val="18"/>
                <w:lang w:val="ru-RU" w:eastAsia="zh-CN"/>
              </w:rPr>
            </w:pPr>
            <w:r w:rsidRPr="00013C48">
              <w:rPr>
                <w:rFonts w:eastAsia="SimSun"/>
                <w:b/>
                <w:bCs/>
                <w:sz w:val="18"/>
                <w:szCs w:val="18"/>
                <w:lang w:val="ru-RU" w:eastAsia="zh-CN"/>
              </w:rPr>
              <w:t>495 506</w:t>
            </w:r>
          </w:p>
        </w:tc>
        <w:tc>
          <w:tcPr>
            <w:tcW w:w="1418" w:type="dxa"/>
            <w:tcBorders>
              <w:top w:val="nil"/>
              <w:left w:val="nil"/>
              <w:bottom w:val="single" w:sz="4" w:space="0" w:color="auto"/>
              <w:right w:val="single" w:sz="4" w:space="0" w:color="auto"/>
            </w:tcBorders>
            <w:shd w:val="clear" w:color="000000" w:fill="DCE6F1"/>
            <w:noWrap/>
            <w:vAlign w:val="bottom"/>
            <w:hideMark/>
          </w:tcPr>
          <w:p w:rsidR="00EB539F" w:rsidRPr="00013C48" w:rsidRDefault="00EB539F" w:rsidP="00826221">
            <w:pPr>
              <w:pStyle w:val="Tabletext"/>
              <w:ind w:right="284"/>
              <w:jc w:val="right"/>
              <w:rPr>
                <w:rFonts w:eastAsia="SimSun"/>
                <w:b/>
                <w:bCs/>
                <w:sz w:val="18"/>
                <w:szCs w:val="18"/>
                <w:lang w:val="ru-RU" w:eastAsia="zh-CN"/>
              </w:rPr>
            </w:pPr>
            <w:r w:rsidRPr="00013C48">
              <w:rPr>
                <w:rFonts w:eastAsia="SimSun"/>
                <w:b/>
                <w:bCs/>
                <w:sz w:val="18"/>
                <w:szCs w:val="18"/>
                <w:lang w:val="ru-RU" w:eastAsia="zh-CN"/>
              </w:rPr>
              <w:t>534 842</w:t>
            </w:r>
          </w:p>
        </w:tc>
        <w:tc>
          <w:tcPr>
            <w:tcW w:w="1271" w:type="dxa"/>
            <w:tcBorders>
              <w:top w:val="nil"/>
              <w:left w:val="nil"/>
              <w:bottom w:val="single" w:sz="4" w:space="0" w:color="auto"/>
              <w:right w:val="single" w:sz="4" w:space="0" w:color="auto"/>
            </w:tcBorders>
            <w:shd w:val="clear" w:color="000000" w:fill="DCE6F1"/>
            <w:noWrap/>
            <w:vAlign w:val="bottom"/>
            <w:hideMark/>
          </w:tcPr>
          <w:p w:rsidR="00EB539F" w:rsidRPr="00013C48" w:rsidRDefault="00826221" w:rsidP="00826221">
            <w:pPr>
              <w:pStyle w:val="Tabletext"/>
              <w:ind w:right="284"/>
              <w:jc w:val="right"/>
              <w:rPr>
                <w:rFonts w:eastAsia="SimSun"/>
                <w:b/>
                <w:bCs/>
                <w:sz w:val="18"/>
                <w:szCs w:val="18"/>
                <w:lang w:val="ru-RU" w:eastAsia="zh-CN"/>
              </w:rPr>
            </w:pPr>
            <w:r w:rsidRPr="00013C48">
              <w:rPr>
                <w:rFonts w:eastAsia="SimSun"/>
                <w:b/>
                <w:bCs/>
                <w:sz w:val="18"/>
                <w:szCs w:val="18"/>
                <w:lang w:val="ru-RU" w:eastAsia="zh-CN"/>
              </w:rPr>
              <w:t>−</w:t>
            </w:r>
            <w:r w:rsidR="00EB539F" w:rsidRPr="00013C48">
              <w:rPr>
                <w:rFonts w:eastAsia="SimSun"/>
                <w:b/>
                <w:bCs/>
                <w:sz w:val="18"/>
                <w:szCs w:val="18"/>
                <w:lang w:val="ru-RU" w:eastAsia="zh-CN"/>
              </w:rPr>
              <w:t>39 336</w:t>
            </w:r>
          </w:p>
        </w:tc>
        <w:tc>
          <w:tcPr>
            <w:tcW w:w="1272" w:type="dxa"/>
            <w:tcBorders>
              <w:top w:val="nil"/>
              <w:left w:val="nil"/>
              <w:bottom w:val="single" w:sz="4" w:space="0" w:color="auto"/>
              <w:right w:val="single" w:sz="4" w:space="0" w:color="auto"/>
            </w:tcBorders>
            <w:shd w:val="clear" w:color="000000" w:fill="DCE6F1"/>
            <w:noWrap/>
            <w:vAlign w:val="bottom"/>
            <w:hideMark/>
          </w:tcPr>
          <w:p w:rsidR="00EB539F" w:rsidRPr="00013C48" w:rsidRDefault="00826221" w:rsidP="00826221">
            <w:pPr>
              <w:pStyle w:val="Tabletext"/>
              <w:ind w:right="284"/>
              <w:jc w:val="right"/>
              <w:rPr>
                <w:rFonts w:eastAsia="SimSun"/>
                <w:b/>
                <w:bCs/>
                <w:sz w:val="18"/>
                <w:szCs w:val="18"/>
                <w:lang w:val="ru-RU" w:eastAsia="zh-CN"/>
              </w:rPr>
            </w:pPr>
            <w:r w:rsidRPr="00013C48">
              <w:rPr>
                <w:rFonts w:eastAsia="SimSun"/>
                <w:b/>
                <w:bCs/>
                <w:sz w:val="18"/>
                <w:szCs w:val="18"/>
                <w:lang w:val="ru-RU" w:eastAsia="zh-CN"/>
              </w:rPr>
              <w:t>−</w:t>
            </w:r>
            <w:r w:rsidR="00EB539F" w:rsidRPr="00013C48">
              <w:rPr>
                <w:rFonts w:eastAsia="SimSun"/>
                <w:b/>
                <w:bCs/>
                <w:sz w:val="18"/>
                <w:szCs w:val="18"/>
                <w:lang w:val="ru-RU" w:eastAsia="zh-CN"/>
              </w:rPr>
              <w:t>7,4%</w:t>
            </w:r>
          </w:p>
        </w:tc>
      </w:tr>
      <w:tr w:rsidR="00EB539F" w:rsidRPr="00013C48" w:rsidTr="00826221">
        <w:tc>
          <w:tcPr>
            <w:tcW w:w="4248" w:type="dxa"/>
            <w:tcBorders>
              <w:top w:val="nil"/>
              <w:left w:val="single" w:sz="4" w:space="0" w:color="auto"/>
              <w:bottom w:val="single" w:sz="4" w:space="0" w:color="auto"/>
              <w:right w:val="single" w:sz="4" w:space="0" w:color="auto"/>
            </w:tcBorders>
            <w:shd w:val="clear" w:color="000000" w:fill="D9D9D9"/>
            <w:noWrap/>
            <w:vAlign w:val="center"/>
            <w:hideMark/>
          </w:tcPr>
          <w:p w:rsidR="00EB539F" w:rsidRPr="00013C48" w:rsidRDefault="00EB539F" w:rsidP="00826221">
            <w:pPr>
              <w:pStyle w:val="Tabletext"/>
              <w:rPr>
                <w:rFonts w:eastAsia="SimSun"/>
                <w:b/>
                <w:bCs/>
                <w:i/>
                <w:iCs/>
                <w:sz w:val="18"/>
                <w:szCs w:val="18"/>
                <w:lang w:val="ru-RU" w:eastAsia="zh-CN"/>
              </w:rPr>
            </w:pPr>
            <w:r w:rsidRPr="00013C48">
              <w:rPr>
                <w:rFonts w:eastAsia="SimSun"/>
                <w:b/>
                <w:bCs/>
                <w:i/>
                <w:iCs/>
                <w:sz w:val="18"/>
                <w:szCs w:val="18"/>
                <w:lang w:val="ru-RU" w:eastAsia="zh-CN"/>
              </w:rPr>
              <w:t xml:space="preserve">Состав </w:t>
            </w:r>
            <w:proofErr w:type="spellStart"/>
            <w:r w:rsidRPr="00013C48">
              <w:rPr>
                <w:rFonts w:eastAsia="SimSun"/>
                <w:b/>
                <w:bCs/>
                <w:i/>
                <w:iCs/>
                <w:sz w:val="18"/>
                <w:szCs w:val="18"/>
                <w:lang w:val="ru-RU" w:eastAsia="zh-CN"/>
              </w:rPr>
              <w:t>нетекущих</w:t>
            </w:r>
            <w:proofErr w:type="spellEnd"/>
            <w:r w:rsidRPr="00013C48">
              <w:rPr>
                <w:rFonts w:eastAsia="SimSun"/>
                <w:b/>
                <w:bCs/>
                <w:i/>
                <w:iCs/>
                <w:sz w:val="18"/>
                <w:szCs w:val="18"/>
                <w:lang w:val="ru-RU" w:eastAsia="zh-CN"/>
              </w:rPr>
              <w:t xml:space="preserve"> пассивов</w:t>
            </w:r>
          </w:p>
        </w:tc>
        <w:tc>
          <w:tcPr>
            <w:tcW w:w="1417" w:type="dxa"/>
            <w:tcBorders>
              <w:top w:val="nil"/>
              <w:left w:val="nil"/>
              <w:bottom w:val="single" w:sz="4" w:space="0" w:color="auto"/>
              <w:right w:val="single" w:sz="4" w:space="0" w:color="auto"/>
            </w:tcBorders>
            <w:shd w:val="clear" w:color="000000" w:fill="D9D9D9"/>
            <w:noWrap/>
            <w:vAlign w:val="bottom"/>
            <w:hideMark/>
          </w:tcPr>
          <w:p w:rsidR="00EB539F" w:rsidRPr="00013C48" w:rsidRDefault="00EB539F" w:rsidP="00826221">
            <w:pPr>
              <w:pStyle w:val="Tabletext"/>
              <w:ind w:right="284"/>
              <w:jc w:val="right"/>
              <w:rPr>
                <w:rFonts w:eastAsia="SimSun"/>
                <w:b/>
                <w:bCs/>
                <w:i/>
                <w:iCs/>
                <w:sz w:val="18"/>
                <w:szCs w:val="18"/>
                <w:lang w:val="ru-RU" w:eastAsia="zh-CN"/>
              </w:rPr>
            </w:pPr>
          </w:p>
        </w:tc>
        <w:tc>
          <w:tcPr>
            <w:tcW w:w="1418" w:type="dxa"/>
            <w:tcBorders>
              <w:top w:val="nil"/>
              <w:left w:val="nil"/>
              <w:bottom w:val="single" w:sz="4" w:space="0" w:color="auto"/>
              <w:right w:val="single" w:sz="4" w:space="0" w:color="auto"/>
            </w:tcBorders>
            <w:shd w:val="clear" w:color="000000" w:fill="D9D9D9"/>
            <w:noWrap/>
            <w:vAlign w:val="bottom"/>
            <w:hideMark/>
          </w:tcPr>
          <w:p w:rsidR="00EB539F" w:rsidRPr="00013C48" w:rsidRDefault="00EB539F" w:rsidP="00826221">
            <w:pPr>
              <w:pStyle w:val="Tabletext"/>
              <w:ind w:right="284"/>
              <w:jc w:val="right"/>
              <w:rPr>
                <w:rFonts w:eastAsia="SimSun"/>
                <w:b/>
                <w:bCs/>
                <w:i/>
                <w:iCs/>
                <w:sz w:val="18"/>
                <w:szCs w:val="18"/>
                <w:lang w:val="ru-RU" w:eastAsia="zh-CN"/>
              </w:rPr>
            </w:pPr>
          </w:p>
        </w:tc>
        <w:tc>
          <w:tcPr>
            <w:tcW w:w="1271" w:type="dxa"/>
            <w:tcBorders>
              <w:top w:val="nil"/>
              <w:left w:val="nil"/>
              <w:bottom w:val="single" w:sz="4" w:space="0" w:color="auto"/>
              <w:right w:val="single" w:sz="4" w:space="0" w:color="auto"/>
            </w:tcBorders>
            <w:shd w:val="clear" w:color="000000" w:fill="D9D9D9"/>
            <w:noWrap/>
            <w:vAlign w:val="bottom"/>
            <w:hideMark/>
          </w:tcPr>
          <w:p w:rsidR="00EB539F" w:rsidRPr="00013C48" w:rsidRDefault="00EB539F" w:rsidP="00826221">
            <w:pPr>
              <w:pStyle w:val="Tabletext"/>
              <w:ind w:right="284"/>
              <w:jc w:val="right"/>
              <w:rPr>
                <w:rFonts w:eastAsia="SimSun"/>
                <w:b/>
                <w:bCs/>
                <w:i/>
                <w:iCs/>
                <w:sz w:val="18"/>
                <w:szCs w:val="18"/>
                <w:lang w:val="ru-RU" w:eastAsia="zh-CN"/>
              </w:rPr>
            </w:pPr>
          </w:p>
        </w:tc>
        <w:tc>
          <w:tcPr>
            <w:tcW w:w="1272" w:type="dxa"/>
            <w:tcBorders>
              <w:top w:val="nil"/>
              <w:left w:val="nil"/>
              <w:bottom w:val="single" w:sz="4" w:space="0" w:color="auto"/>
              <w:right w:val="single" w:sz="4" w:space="0" w:color="auto"/>
            </w:tcBorders>
            <w:shd w:val="clear" w:color="000000" w:fill="D9D9D9"/>
            <w:noWrap/>
            <w:vAlign w:val="bottom"/>
            <w:hideMark/>
          </w:tcPr>
          <w:p w:rsidR="00EB539F" w:rsidRPr="00013C48" w:rsidRDefault="00EB539F" w:rsidP="00826221">
            <w:pPr>
              <w:pStyle w:val="Tabletext"/>
              <w:ind w:right="284"/>
              <w:jc w:val="right"/>
              <w:rPr>
                <w:rFonts w:eastAsia="SimSun"/>
                <w:b/>
                <w:bCs/>
                <w:i/>
                <w:iCs/>
                <w:sz w:val="18"/>
                <w:szCs w:val="18"/>
                <w:lang w:val="ru-RU" w:eastAsia="zh-CN"/>
              </w:rPr>
            </w:pPr>
          </w:p>
        </w:tc>
      </w:tr>
      <w:tr w:rsidR="00EB539F" w:rsidRPr="00013C48" w:rsidTr="00826221">
        <w:tc>
          <w:tcPr>
            <w:tcW w:w="4248" w:type="dxa"/>
            <w:tcBorders>
              <w:top w:val="nil"/>
              <w:left w:val="single" w:sz="4" w:space="0" w:color="auto"/>
              <w:bottom w:val="single" w:sz="4" w:space="0" w:color="auto"/>
              <w:right w:val="single" w:sz="4" w:space="0" w:color="auto"/>
            </w:tcBorders>
            <w:shd w:val="clear" w:color="auto" w:fill="auto"/>
            <w:vAlign w:val="center"/>
            <w:hideMark/>
          </w:tcPr>
          <w:p w:rsidR="00EB539F" w:rsidRPr="00013C48" w:rsidRDefault="00EB539F" w:rsidP="00826221">
            <w:pPr>
              <w:pStyle w:val="Tabletext"/>
              <w:rPr>
                <w:rFonts w:eastAsia="SimSun"/>
                <w:sz w:val="18"/>
                <w:szCs w:val="18"/>
                <w:lang w:val="ru-RU" w:eastAsia="zh-CN"/>
              </w:rPr>
            </w:pPr>
            <w:r w:rsidRPr="00013C48">
              <w:rPr>
                <w:rFonts w:eastAsia="SimSun"/>
                <w:sz w:val="18"/>
                <w:szCs w:val="18"/>
                <w:lang w:val="ru-RU" w:eastAsia="zh-CN"/>
              </w:rPr>
              <w:t>План пособий после выхода на пенсию (</w:t>
            </w:r>
            <w:proofErr w:type="spellStart"/>
            <w:r w:rsidRPr="00013C48">
              <w:rPr>
                <w:rFonts w:eastAsia="SimSun"/>
                <w:sz w:val="18"/>
                <w:szCs w:val="18"/>
                <w:lang w:val="ru-RU" w:eastAsia="zh-CN"/>
              </w:rPr>
              <w:t>АСХИ</w:t>
            </w:r>
            <w:proofErr w:type="spellEnd"/>
            <w:r w:rsidRPr="00013C48">
              <w:rPr>
                <w:rFonts w:eastAsia="SimSun"/>
                <w:sz w:val="18"/>
                <w:szCs w:val="18"/>
                <w:lang w:val="ru-RU" w:eastAsia="zh-CN"/>
              </w:rPr>
              <w:t>)</w:t>
            </w:r>
          </w:p>
        </w:tc>
        <w:tc>
          <w:tcPr>
            <w:tcW w:w="1417" w:type="dxa"/>
            <w:tcBorders>
              <w:top w:val="nil"/>
              <w:left w:val="nil"/>
              <w:bottom w:val="single" w:sz="4" w:space="0" w:color="auto"/>
              <w:right w:val="single" w:sz="4" w:space="0" w:color="auto"/>
            </w:tcBorders>
            <w:shd w:val="clear" w:color="auto" w:fill="auto"/>
            <w:noWrap/>
            <w:vAlign w:val="bottom"/>
            <w:hideMark/>
          </w:tcPr>
          <w:p w:rsidR="00EB539F" w:rsidRPr="00013C48" w:rsidRDefault="00EB539F" w:rsidP="00826221">
            <w:pPr>
              <w:pStyle w:val="Tabletext"/>
              <w:ind w:right="284"/>
              <w:jc w:val="right"/>
              <w:rPr>
                <w:rFonts w:eastAsia="SimSun"/>
                <w:sz w:val="18"/>
                <w:szCs w:val="18"/>
                <w:lang w:val="ru-RU" w:eastAsia="zh-CN"/>
              </w:rPr>
            </w:pPr>
            <w:r w:rsidRPr="00013C48">
              <w:rPr>
                <w:rFonts w:eastAsia="SimSun"/>
                <w:sz w:val="18"/>
                <w:szCs w:val="18"/>
                <w:lang w:val="ru-RU" w:eastAsia="zh-CN"/>
              </w:rPr>
              <w:t>472 801</w:t>
            </w:r>
          </w:p>
        </w:tc>
        <w:tc>
          <w:tcPr>
            <w:tcW w:w="1418" w:type="dxa"/>
            <w:tcBorders>
              <w:top w:val="nil"/>
              <w:left w:val="nil"/>
              <w:bottom w:val="single" w:sz="4" w:space="0" w:color="auto"/>
              <w:right w:val="single" w:sz="4" w:space="0" w:color="auto"/>
            </w:tcBorders>
            <w:shd w:val="clear" w:color="auto" w:fill="auto"/>
            <w:noWrap/>
            <w:vAlign w:val="bottom"/>
            <w:hideMark/>
          </w:tcPr>
          <w:p w:rsidR="00EB539F" w:rsidRPr="00013C48" w:rsidRDefault="00EB539F" w:rsidP="00826221">
            <w:pPr>
              <w:pStyle w:val="Tabletext"/>
              <w:ind w:right="284"/>
              <w:jc w:val="right"/>
              <w:rPr>
                <w:rFonts w:eastAsia="SimSun"/>
                <w:sz w:val="18"/>
                <w:szCs w:val="18"/>
                <w:lang w:val="ru-RU" w:eastAsia="zh-CN"/>
              </w:rPr>
            </w:pPr>
            <w:r w:rsidRPr="00013C48">
              <w:rPr>
                <w:rFonts w:eastAsia="SimSun"/>
                <w:sz w:val="18"/>
                <w:szCs w:val="18"/>
                <w:lang w:val="ru-RU" w:eastAsia="zh-CN"/>
              </w:rPr>
              <w:t>512 661</w:t>
            </w:r>
          </w:p>
        </w:tc>
        <w:tc>
          <w:tcPr>
            <w:tcW w:w="1271" w:type="dxa"/>
            <w:tcBorders>
              <w:top w:val="nil"/>
              <w:left w:val="nil"/>
              <w:bottom w:val="single" w:sz="4" w:space="0" w:color="auto"/>
              <w:right w:val="single" w:sz="4" w:space="0" w:color="auto"/>
            </w:tcBorders>
            <w:shd w:val="clear" w:color="auto" w:fill="auto"/>
            <w:noWrap/>
            <w:vAlign w:val="bottom"/>
            <w:hideMark/>
          </w:tcPr>
          <w:p w:rsidR="00EB539F" w:rsidRPr="00013C48" w:rsidRDefault="00826221" w:rsidP="00826221">
            <w:pPr>
              <w:pStyle w:val="Tabletext"/>
              <w:ind w:right="284"/>
              <w:jc w:val="right"/>
              <w:rPr>
                <w:rFonts w:eastAsia="SimSun"/>
                <w:sz w:val="18"/>
                <w:szCs w:val="18"/>
                <w:lang w:val="ru-RU" w:eastAsia="zh-CN"/>
              </w:rPr>
            </w:pPr>
            <w:r w:rsidRPr="00013C48">
              <w:rPr>
                <w:rFonts w:eastAsia="SimSun"/>
                <w:sz w:val="18"/>
                <w:szCs w:val="18"/>
                <w:lang w:val="ru-RU" w:eastAsia="zh-CN"/>
              </w:rPr>
              <w:t>−</w:t>
            </w:r>
            <w:r w:rsidR="00EB539F" w:rsidRPr="00013C48">
              <w:rPr>
                <w:rFonts w:eastAsia="SimSun"/>
                <w:sz w:val="18"/>
                <w:szCs w:val="18"/>
                <w:lang w:val="ru-RU" w:eastAsia="zh-CN"/>
              </w:rPr>
              <w:t>39 860</w:t>
            </w:r>
          </w:p>
        </w:tc>
        <w:tc>
          <w:tcPr>
            <w:tcW w:w="1272" w:type="dxa"/>
            <w:tcBorders>
              <w:top w:val="nil"/>
              <w:left w:val="nil"/>
              <w:bottom w:val="single" w:sz="4" w:space="0" w:color="auto"/>
              <w:right w:val="single" w:sz="4" w:space="0" w:color="auto"/>
            </w:tcBorders>
            <w:shd w:val="clear" w:color="auto" w:fill="auto"/>
            <w:noWrap/>
            <w:vAlign w:val="bottom"/>
            <w:hideMark/>
          </w:tcPr>
          <w:p w:rsidR="00EB539F" w:rsidRPr="00013C48" w:rsidRDefault="00826221" w:rsidP="00826221">
            <w:pPr>
              <w:pStyle w:val="Tabletext"/>
              <w:ind w:right="284"/>
              <w:jc w:val="right"/>
              <w:rPr>
                <w:rFonts w:eastAsia="SimSun"/>
                <w:sz w:val="18"/>
                <w:szCs w:val="18"/>
                <w:lang w:val="ru-RU" w:eastAsia="zh-CN"/>
              </w:rPr>
            </w:pPr>
            <w:r w:rsidRPr="00013C48">
              <w:rPr>
                <w:rFonts w:eastAsia="SimSun"/>
                <w:sz w:val="18"/>
                <w:szCs w:val="18"/>
                <w:lang w:val="ru-RU" w:eastAsia="zh-CN"/>
              </w:rPr>
              <w:t>−</w:t>
            </w:r>
            <w:r w:rsidR="00EB539F" w:rsidRPr="00013C48">
              <w:rPr>
                <w:rFonts w:eastAsia="SimSun"/>
                <w:sz w:val="18"/>
                <w:szCs w:val="18"/>
                <w:lang w:val="ru-RU" w:eastAsia="zh-CN"/>
              </w:rPr>
              <w:t>7,8%</w:t>
            </w:r>
          </w:p>
        </w:tc>
      </w:tr>
      <w:tr w:rsidR="00EB539F" w:rsidRPr="00013C48" w:rsidTr="00826221">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EB539F" w:rsidRPr="00013C48" w:rsidRDefault="00EB539F" w:rsidP="00826221">
            <w:pPr>
              <w:pStyle w:val="Tabletext"/>
              <w:rPr>
                <w:rFonts w:eastAsia="SimSun"/>
                <w:sz w:val="18"/>
                <w:szCs w:val="18"/>
                <w:lang w:val="ru-RU" w:eastAsia="zh-CN"/>
              </w:rPr>
            </w:pPr>
            <w:r w:rsidRPr="00013C48">
              <w:rPr>
                <w:rFonts w:eastAsia="SimSun"/>
                <w:sz w:val="18"/>
                <w:szCs w:val="18"/>
                <w:lang w:val="ru-RU" w:eastAsia="zh-CN"/>
              </w:rPr>
              <w:t>Пенсии</w:t>
            </w:r>
          </w:p>
        </w:tc>
        <w:tc>
          <w:tcPr>
            <w:tcW w:w="1417" w:type="dxa"/>
            <w:tcBorders>
              <w:top w:val="nil"/>
              <w:left w:val="nil"/>
              <w:bottom w:val="single" w:sz="4" w:space="0" w:color="auto"/>
              <w:right w:val="single" w:sz="4" w:space="0" w:color="auto"/>
            </w:tcBorders>
            <w:shd w:val="clear" w:color="auto" w:fill="auto"/>
            <w:noWrap/>
            <w:vAlign w:val="bottom"/>
            <w:hideMark/>
          </w:tcPr>
          <w:p w:rsidR="00EB539F" w:rsidRPr="00013C48" w:rsidRDefault="00EB539F" w:rsidP="00826221">
            <w:pPr>
              <w:pStyle w:val="Tabletext"/>
              <w:ind w:right="284"/>
              <w:jc w:val="right"/>
              <w:rPr>
                <w:rFonts w:eastAsia="SimSun"/>
                <w:sz w:val="18"/>
                <w:szCs w:val="18"/>
                <w:lang w:val="ru-RU" w:eastAsia="zh-CN"/>
              </w:rPr>
            </w:pPr>
            <w:r w:rsidRPr="00013C48">
              <w:rPr>
                <w:rFonts w:eastAsia="SimSun"/>
                <w:sz w:val="18"/>
                <w:szCs w:val="18"/>
                <w:lang w:val="ru-RU" w:eastAsia="zh-CN"/>
              </w:rPr>
              <w:t>90</w:t>
            </w:r>
          </w:p>
        </w:tc>
        <w:tc>
          <w:tcPr>
            <w:tcW w:w="1418" w:type="dxa"/>
            <w:tcBorders>
              <w:top w:val="nil"/>
              <w:left w:val="nil"/>
              <w:bottom w:val="single" w:sz="4" w:space="0" w:color="auto"/>
              <w:right w:val="single" w:sz="4" w:space="0" w:color="auto"/>
            </w:tcBorders>
            <w:shd w:val="clear" w:color="auto" w:fill="auto"/>
            <w:noWrap/>
            <w:vAlign w:val="bottom"/>
            <w:hideMark/>
          </w:tcPr>
          <w:p w:rsidR="00EB539F" w:rsidRPr="00013C48" w:rsidRDefault="00EB539F" w:rsidP="00826221">
            <w:pPr>
              <w:pStyle w:val="Tabletext"/>
              <w:ind w:right="284"/>
              <w:jc w:val="right"/>
              <w:rPr>
                <w:rFonts w:eastAsia="SimSun"/>
                <w:sz w:val="18"/>
                <w:szCs w:val="18"/>
                <w:lang w:val="ru-RU" w:eastAsia="zh-CN"/>
              </w:rPr>
            </w:pPr>
            <w:r w:rsidRPr="00013C48">
              <w:rPr>
                <w:rFonts w:eastAsia="SimSun"/>
                <w:sz w:val="18"/>
                <w:szCs w:val="18"/>
                <w:lang w:val="ru-RU" w:eastAsia="zh-CN"/>
              </w:rPr>
              <w:t>90</w:t>
            </w:r>
          </w:p>
        </w:tc>
        <w:tc>
          <w:tcPr>
            <w:tcW w:w="1271" w:type="dxa"/>
            <w:tcBorders>
              <w:top w:val="nil"/>
              <w:left w:val="nil"/>
              <w:bottom w:val="single" w:sz="4" w:space="0" w:color="auto"/>
              <w:right w:val="single" w:sz="4" w:space="0" w:color="auto"/>
            </w:tcBorders>
            <w:shd w:val="clear" w:color="auto" w:fill="auto"/>
            <w:noWrap/>
            <w:vAlign w:val="bottom"/>
            <w:hideMark/>
          </w:tcPr>
          <w:p w:rsidR="00EB539F" w:rsidRPr="00013C48" w:rsidRDefault="00EB539F" w:rsidP="00826221">
            <w:pPr>
              <w:pStyle w:val="Tabletext"/>
              <w:ind w:right="284"/>
              <w:jc w:val="right"/>
              <w:rPr>
                <w:rFonts w:eastAsia="SimSun"/>
                <w:sz w:val="18"/>
                <w:szCs w:val="18"/>
                <w:lang w:val="ru-RU" w:eastAsia="zh-CN"/>
              </w:rPr>
            </w:pPr>
            <w:r w:rsidRPr="00013C48">
              <w:rPr>
                <w:rFonts w:eastAsia="SimSun"/>
                <w:sz w:val="18"/>
                <w:szCs w:val="18"/>
                <w:lang w:val="ru-RU" w:eastAsia="zh-CN"/>
              </w:rPr>
              <w:t>0</w:t>
            </w:r>
          </w:p>
        </w:tc>
        <w:tc>
          <w:tcPr>
            <w:tcW w:w="1272" w:type="dxa"/>
            <w:tcBorders>
              <w:top w:val="nil"/>
              <w:left w:val="nil"/>
              <w:bottom w:val="single" w:sz="4" w:space="0" w:color="auto"/>
              <w:right w:val="single" w:sz="4" w:space="0" w:color="auto"/>
            </w:tcBorders>
            <w:shd w:val="clear" w:color="auto" w:fill="auto"/>
            <w:noWrap/>
            <w:vAlign w:val="bottom"/>
            <w:hideMark/>
          </w:tcPr>
          <w:p w:rsidR="00EB539F" w:rsidRPr="00013C48" w:rsidRDefault="00EB539F" w:rsidP="00826221">
            <w:pPr>
              <w:pStyle w:val="Tabletext"/>
              <w:ind w:right="284"/>
              <w:jc w:val="right"/>
              <w:rPr>
                <w:rFonts w:eastAsia="SimSun"/>
                <w:sz w:val="18"/>
                <w:szCs w:val="18"/>
                <w:lang w:val="ru-RU" w:eastAsia="zh-CN"/>
              </w:rPr>
            </w:pPr>
            <w:r w:rsidRPr="00013C48">
              <w:rPr>
                <w:rFonts w:eastAsia="SimSun"/>
                <w:sz w:val="18"/>
                <w:szCs w:val="18"/>
                <w:lang w:val="ru-RU" w:eastAsia="zh-CN"/>
              </w:rPr>
              <w:t>0,0%</w:t>
            </w:r>
          </w:p>
        </w:tc>
      </w:tr>
      <w:tr w:rsidR="00EB539F" w:rsidRPr="00013C48" w:rsidTr="00826221">
        <w:tc>
          <w:tcPr>
            <w:tcW w:w="4248" w:type="dxa"/>
            <w:tcBorders>
              <w:top w:val="nil"/>
              <w:left w:val="single" w:sz="4" w:space="0" w:color="auto"/>
              <w:bottom w:val="single" w:sz="4" w:space="0" w:color="auto"/>
              <w:right w:val="single" w:sz="4" w:space="0" w:color="auto"/>
            </w:tcBorders>
            <w:shd w:val="clear" w:color="auto" w:fill="auto"/>
            <w:vAlign w:val="center"/>
            <w:hideMark/>
          </w:tcPr>
          <w:p w:rsidR="00EB539F" w:rsidRPr="00013C48" w:rsidRDefault="00EB539F" w:rsidP="00826221">
            <w:pPr>
              <w:pStyle w:val="Tabletext"/>
              <w:rPr>
                <w:rFonts w:eastAsia="SimSun"/>
                <w:sz w:val="18"/>
                <w:szCs w:val="18"/>
                <w:lang w:val="ru-RU" w:eastAsia="zh-CN"/>
              </w:rPr>
            </w:pPr>
            <w:r w:rsidRPr="00013C48">
              <w:rPr>
                <w:rFonts w:eastAsia="SimSun"/>
                <w:sz w:val="18"/>
                <w:szCs w:val="18"/>
                <w:lang w:val="ru-RU" w:eastAsia="zh-CN"/>
              </w:rPr>
              <w:t>Подъемное пособие и субсидия на репатриацию</w:t>
            </w:r>
          </w:p>
        </w:tc>
        <w:tc>
          <w:tcPr>
            <w:tcW w:w="1417" w:type="dxa"/>
            <w:tcBorders>
              <w:top w:val="nil"/>
              <w:left w:val="nil"/>
              <w:bottom w:val="single" w:sz="4" w:space="0" w:color="auto"/>
              <w:right w:val="single" w:sz="4" w:space="0" w:color="auto"/>
            </w:tcBorders>
            <w:shd w:val="clear" w:color="auto" w:fill="auto"/>
            <w:noWrap/>
            <w:vAlign w:val="bottom"/>
            <w:hideMark/>
          </w:tcPr>
          <w:p w:rsidR="00EB539F" w:rsidRPr="00013C48" w:rsidRDefault="00EB539F" w:rsidP="00826221">
            <w:pPr>
              <w:pStyle w:val="Tabletext"/>
              <w:ind w:right="284"/>
              <w:jc w:val="right"/>
              <w:rPr>
                <w:rFonts w:eastAsia="SimSun"/>
                <w:sz w:val="18"/>
                <w:szCs w:val="18"/>
                <w:lang w:val="ru-RU" w:eastAsia="zh-CN"/>
              </w:rPr>
            </w:pPr>
            <w:r w:rsidRPr="00013C48">
              <w:rPr>
                <w:rFonts w:eastAsia="SimSun"/>
                <w:sz w:val="18"/>
                <w:szCs w:val="18"/>
                <w:lang w:val="ru-RU" w:eastAsia="zh-CN"/>
              </w:rPr>
              <w:t>12 925</w:t>
            </w:r>
          </w:p>
        </w:tc>
        <w:tc>
          <w:tcPr>
            <w:tcW w:w="1418" w:type="dxa"/>
            <w:tcBorders>
              <w:top w:val="nil"/>
              <w:left w:val="nil"/>
              <w:bottom w:val="single" w:sz="4" w:space="0" w:color="auto"/>
              <w:right w:val="single" w:sz="4" w:space="0" w:color="auto"/>
            </w:tcBorders>
            <w:shd w:val="clear" w:color="auto" w:fill="auto"/>
            <w:noWrap/>
            <w:vAlign w:val="bottom"/>
            <w:hideMark/>
          </w:tcPr>
          <w:p w:rsidR="00EB539F" w:rsidRPr="00013C48" w:rsidRDefault="00EB539F" w:rsidP="00826221">
            <w:pPr>
              <w:pStyle w:val="Tabletext"/>
              <w:ind w:right="284"/>
              <w:jc w:val="right"/>
              <w:rPr>
                <w:rFonts w:eastAsia="SimSun"/>
                <w:sz w:val="18"/>
                <w:szCs w:val="18"/>
                <w:lang w:val="ru-RU" w:eastAsia="zh-CN"/>
              </w:rPr>
            </w:pPr>
            <w:r w:rsidRPr="00013C48">
              <w:rPr>
                <w:rFonts w:eastAsia="SimSun"/>
                <w:sz w:val="18"/>
                <w:szCs w:val="18"/>
                <w:lang w:val="ru-RU" w:eastAsia="zh-CN"/>
              </w:rPr>
              <w:t>12 357</w:t>
            </w:r>
          </w:p>
        </w:tc>
        <w:tc>
          <w:tcPr>
            <w:tcW w:w="1271" w:type="dxa"/>
            <w:tcBorders>
              <w:top w:val="nil"/>
              <w:left w:val="nil"/>
              <w:bottom w:val="single" w:sz="4" w:space="0" w:color="auto"/>
              <w:right w:val="single" w:sz="4" w:space="0" w:color="auto"/>
            </w:tcBorders>
            <w:shd w:val="clear" w:color="auto" w:fill="auto"/>
            <w:noWrap/>
            <w:vAlign w:val="bottom"/>
            <w:hideMark/>
          </w:tcPr>
          <w:p w:rsidR="00EB539F" w:rsidRPr="00013C48" w:rsidRDefault="00EB539F" w:rsidP="00826221">
            <w:pPr>
              <w:pStyle w:val="Tabletext"/>
              <w:ind w:right="284"/>
              <w:jc w:val="right"/>
              <w:rPr>
                <w:rFonts w:eastAsia="SimSun"/>
                <w:sz w:val="18"/>
                <w:szCs w:val="18"/>
                <w:lang w:val="ru-RU" w:eastAsia="zh-CN"/>
              </w:rPr>
            </w:pPr>
            <w:r w:rsidRPr="00013C48">
              <w:rPr>
                <w:rFonts w:eastAsia="SimSun"/>
                <w:sz w:val="18"/>
                <w:szCs w:val="18"/>
                <w:lang w:val="ru-RU" w:eastAsia="zh-CN"/>
              </w:rPr>
              <w:t>568</w:t>
            </w:r>
          </w:p>
        </w:tc>
        <w:tc>
          <w:tcPr>
            <w:tcW w:w="1272" w:type="dxa"/>
            <w:tcBorders>
              <w:top w:val="nil"/>
              <w:left w:val="nil"/>
              <w:bottom w:val="single" w:sz="4" w:space="0" w:color="auto"/>
              <w:right w:val="single" w:sz="4" w:space="0" w:color="auto"/>
            </w:tcBorders>
            <w:shd w:val="clear" w:color="auto" w:fill="auto"/>
            <w:noWrap/>
            <w:vAlign w:val="bottom"/>
            <w:hideMark/>
          </w:tcPr>
          <w:p w:rsidR="00EB539F" w:rsidRPr="00013C48" w:rsidRDefault="00EB539F" w:rsidP="00826221">
            <w:pPr>
              <w:pStyle w:val="Tabletext"/>
              <w:ind w:right="284"/>
              <w:jc w:val="right"/>
              <w:rPr>
                <w:rFonts w:eastAsia="SimSun"/>
                <w:sz w:val="18"/>
                <w:szCs w:val="18"/>
                <w:lang w:val="ru-RU" w:eastAsia="zh-CN"/>
              </w:rPr>
            </w:pPr>
            <w:r w:rsidRPr="00013C48">
              <w:rPr>
                <w:rFonts w:eastAsia="SimSun"/>
                <w:sz w:val="18"/>
                <w:szCs w:val="18"/>
                <w:lang w:val="ru-RU" w:eastAsia="zh-CN"/>
              </w:rPr>
              <w:t>4,6%</w:t>
            </w:r>
          </w:p>
        </w:tc>
      </w:tr>
      <w:tr w:rsidR="00EB539F" w:rsidRPr="00013C48" w:rsidTr="00826221">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EB539F" w:rsidRPr="00013C48" w:rsidRDefault="00EB539F" w:rsidP="00826221">
            <w:pPr>
              <w:pStyle w:val="Tabletext"/>
              <w:rPr>
                <w:rFonts w:eastAsia="SimSun"/>
                <w:sz w:val="18"/>
                <w:szCs w:val="18"/>
                <w:lang w:val="ru-RU" w:eastAsia="zh-CN"/>
              </w:rPr>
            </w:pPr>
            <w:r w:rsidRPr="00013C48">
              <w:rPr>
                <w:rFonts w:eastAsia="SimSun"/>
                <w:sz w:val="18"/>
                <w:szCs w:val="18"/>
                <w:lang w:val="ru-RU" w:eastAsia="zh-CN"/>
              </w:rPr>
              <w:t>Накопленные дни отпуска</w:t>
            </w:r>
          </w:p>
        </w:tc>
        <w:tc>
          <w:tcPr>
            <w:tcW w:w="1417" w:type="dxa"/>
            <w:tcBorders>
              <w:top w:val="nil"/>
              <w:left w:val="nil"/>
              <w:bottom w:val="single" w:sz="4" w:space="0" w:color="auto"/>
              <w:right w:val="single" w:sz="4" w:space="0" w:color="auto"/>
            </w:tcBorders>
            <w:shd w:val="clear" w:color="auto" w:fill="auto"/>
            <w:noWrap/>
            <w:vAlign w:val="bottom"/>
            <w:hideMark/>
          </w:tcPr>
          <w:p w:rsidR="00EB539F" w:rsidRPr="00013C48" w:rsidRDefault="00EB539F" w:rsidP="00826221">
            <w:pPr>
              <w:pStyle w:val="Tabletext"/>
              <w:ind w:right="284"/>
              <w:jc w:val="right"/>
              <w:rPr>
                <w:rFonts w:eastAsia="SimSun"/>
                <w:sz w:val="18"/>
                <w:szCs w:val="18"/>
                <w:lang w:val="ru-RU" w:eastAsia="zh-CN"/>
              </w:rPr>
            </w:pPr>
            <w:r w:rsidRPr="00013C48">
              <w:rPr>
                <w:rFonts w:eastAsia="SimSun"/>
                <w:sz w:val="18"/>
                <w:szCs w:val="18"/>
                <w:lang w:val="ru-RU" w:eastAsia="zh-CN"/>
              </w:rPr>
              <w:t>9 209</w:t>
            </w:r>
          </w:p>
        </w:tc>
        <w:tc>
          <w:tcPr>
            <w:tcW w:w="1418" w:type="dxa"/>
            <w:tcBorders>
              <w:top w:val="nil"/>
              <w:left w:val="nil"/>
              <w:bottom w:val="single" w:sz="4" w:space="0" w:color="auto"/>
              <w:right w:val="single" w:sz="4" w:space="0" w:color="auto"/>
            </w:tcBorders>
            <w:shd w:val="clear" w:color="auto" w:fill="auto"/>
            <w:noWrap/>
            <w:vAlign w:val="bottom"/>
            <w:hideMark/>
          </w:tcPr>
          <w:p w:rsidR="00EB539F" w:rsidRPr="00013C48" w:rsidRDefault="00EB539F" w:rsidP="00826221">
            <w:pPr>
              <w:pStyle w:val="Tabletext"/>
              <w:ind w:right="284"/>
              <w:jc w:val="right"/>
              <w:rPr>
                <w:rFonts w:eastAsia="SimSun"/>
                <w:sz w:val="18"/>
                <w:szCs w:val="18"/>
                <w:lang w:val="ru-RU" w:eastAsia="zh-CN"/>
              </w:rPr>
            </w:pPr>
            <w:r w:rsidRPr="00013C48">
              <w:rPr>
                <w:rFonts w:eastAsia="SimSun"/>
                <w:sz w:val="18"/>
                <w:szCs w:val="18"/>
                <w:lang w:val="ru-RU" w:eastAsia="zh-CN"/>
              </w:rPr>
              <w:t>9 250</w:t>
            </w:r>
          </w:p>
        </w:tc>
        <w:tc>
          <w:tcPr>
            <w:tcW w:w="1271" w:type="dxa"/>
            <w:tcBorders>
              <w:top w:val="nil"/>
              <w:left w:val="nil"/>
              <w:bottom w:val="single" w:sz="4" w:space="0" w:color="auto"/>
              <w:right w:val="single" w:sz="4" w:space="0" w:color="auto"/>
            </w:tcBorders>
            <w:shd w:val="clear" w:color="auto" w:fill="auto"/>
            <w:noWrap/>
            <w:vAlign w:val="bottom"/>
            <w:hideMark/>
          </w:tcPr>
          <w:p w:rsidR="00EB539F" w:rsidRPr="00013C48" w:rsidRDefault="00826221" w:rsidP="00826221">
            <w:pPr>
              <w:pStyle w:val="Tabletext"/>
              <w:ind w:right="284"/>
              <w:jc w:val="right"/>
              <w:rPr>
                <w:rFonts w:eastAsia="SimSun"/>
                <w:sz w:val="18"/>
                <w:szCs w:val="18"/>
                <w:lang w:val="ru-RU" w:eastAsia="zh-CN"/>
              </w:rPr>
            </w:pPr>
            <w:r w:rsidRPr="00013C48">
              <w:rPr>
                <w:rFonts w:eastAsia="SimSun"/>
                <w:sz w:val="18"/>
                <w:szCs w:val="18"/>
                <w:lang w:val="ru-RU" w:eastAsia="zh-CN"/>
              </w:rPr>
              <w:t>−</w:t>
            </w:r>
            <w:r w:rsidR="00EB539F" w:rsidRPr="00013C48">
              <w:rPr>
                <w:rFonts w:eastAsia="SimSun"/>
                <w:sz w:val="18"/>
                <w:szCs w:val="18"/>
                <w:lang w:val="ru-RU" w:eastAsia="zh-CN"/>
              </w:rPr>
              <w:t>41</w:t>
            </w:r>
          </w:p>
        </w:tc>
        <w:tc>
          <w:tcPr>
            <w:tcW w:w="1272" w:type="dxa"/>
            <w:tcBorders>
              <w:top w:val="nil"/>
              <w:left w:val="nil"/>
              <w:bottom w:val="single" w:sz="4" w:space="0" w:color="auto"/>
              <w:right w:val="single" w:sz="4" w:space="0" w:color="auto"/>
            </w:tcBorders>
            <w:shd w:val="clear" w:color="auto" w:fill="auto"/>
            <w:noWrap/>
            <w:vAlign w:val="bottom"/>
            <w:hideMark/>
          </w:tcPr>
          <w:p w:rsidR="00EB539F" w:rsidRPr="00013C48" w:rsidRDefault="00826221" w:rsidP="00826221">
            <w:pPr>
              <w:pStyle w:val="Tabletext"/>
              <w:ind w:right="284"/>
              <w:jc w:val="right"/>
              <w:rPr>
                <w:rFonts w:eastAsia="SimSun"/>
                <w:sz w:val="18"/>
                <w:szCs w:val="18"/>
                <w:lang w:val="ru-RU" w:eastAsia="zh-CN"/>
              </w:rPr>
            </w:pPr>
            <w:r w:rsidRPr="00013C48">
              <w:rPr>
                <w:rFonts w:eastAsia="SimSun"/>
                <w:sz w:val="18"/>
                <w:szCs w:val="18"/>
                <w:lang w:val="ru-RU" w:eastAsia="zh-CN"/>
              </w:rPr>
              <w:t>−</w:t>
            </w:r>
            <w:r w:rsidR="00EB539F" w:rsidRPr="00013C48">
              <w:rPr>
                <w:rFonts w:eastAsia="SimSun"/>
                <w:sz w:val="18"/>
                <w:szCs w:val="18"/>
                <w:lang w:val="ru-RU" w:eastAsia="zh-CN"/>
              </w:rPr>
              <w:t>0,4%</w:t>
            </w:r>
          </w:p>
        </w:tc>
      </w:tr>
      <w:tr w:rsidR="00EB539F" w:rsidRPr="00013C48" w:rsidTr="00826221">
        <w:tc>
          <w:tcPr>
            <w:tcW w:w="4248" w:type="dxa"/>
            <w:tcBorders>
              <w:top w:val="nil"/>
              <w:left w:val="single" w:sz="4" w:space="0" w:color="auto"/>
              <w:bottom w:val="single" w:sz="4" w:space="0" w:color="auto"/>
              <w:right w:val="single" w:sz="4" w:space="0" w:color="auto"/>
            </w:tcBorders>
            <w:shd w:val="clear" w:color="000000" w:fill="DCE6F1"/>
            <w:noWrap/>
            <w:vAlign w:val="center"/>
            <w:hideMark/>
          </w:tcPr>
          <w:p w:rsidR="00EB539F" w:rsidRPr="00013C48" w:rsidRDefault="00EB539F" w:rsidP="00826221">
            <w:pPr>
              <w:pStyle w:val="Tabletext"/>
              <w:rPr>
                <w:rFonts w:eastAsia="SimSun"/>
                <w:b/>
                <w:bCs/>
                <w:sz w:val="18"/>
                <w:szCs w:val="18"/>
                <w:lang w:val="ru-RU" w:eastAsia="zh-CN"/>
              </w:rPr>
            </w:pPr>
            <w:r w:rsidRPr="00013C48">
              <w:rPr>
                <w:rFonts w:eastAsia="SimSun"/>
                <w:b/>
                <w:bCs/>
                <w:sz w:val="18"/>
                <w:szCs w:val="18"/>
                <w:lang w:val="ru-RU" w:eastAsia="zh-CN"/>
              </w:rPr>
              <w:t>Всего</w:t>
            </w:r>
          </w:p>
        </w:tc>
        <w:tc>
          <w:tcPr>
            <w:tcW w:w="1417" w:type="dxa"/>
            <w:tcBorders>
              <w:top w:val="nil"/>
              <w:left w:val="nil"/>
              <w:bottom w:val="single" w:sz="4" w:space="0" w:color="auto"/>
              <w:right w:val="single" w:sz="4" w:space="0" w:color="auto"/>
            </w:tcBorders>
            <w:shd w:val="clear" w:color="000000" w:fill="DCE6F1"/>
            <w:noWrap/>
            <w:vAlign w:val="bottom"/>
            <w:hideMark/>
          </w:tcPr>
          <w:p w:rsidR="00EB539F" w:rsidRPr="00013C48" w:rsidRDefault="00EB539F" w:rsidP="00826221">
            <w:pPr>
              <w:pStyle w:val="Tabletext"/>
              <w:ind w:right="284"/>
              <w:jc w:val="right"/>
              <w:rPr>
                <w:rFonts w:eastAsia="SimSun"/>
                <w:b/>
                <w:bCs/>
                <w:sz w:val="18"/>
                <w:szCs w:val="18"/>
                <w:lang w:val="ru-RU" w:eastAsia="zh-CN"/>
              </w:rPr>
            </w:pPr>
            <w:r w:rsidRPr="00013C48">
              <w:rPr>
                <w:rFonts w:eastAsia="SimSun"/>
                <w:b/>
                <w:bCs/>
                <w:sz w:val="18"/>
                <w:szCs w:val="18"/>
                <w:lang w:val="ru-RU" w:eastAsia="zh-CN"/>
              </w:rPr>
              <w:t>495 025</w:t>
            </w:r>
          </w:p>
        </w:tc>
        <w:tc>
          <w:tcPr>
            <w:tcW w:w="1418" w:type="dxa"/>
            <w:tcBorders>
              <w:top w:val="nil"/>
              <w:left w:val="nil"/>
              <w:bottom w:val="single" w:sz="4" w:space="0" w:color="auto"/>
              <w:right w:val="single" w:sz="4" w:space="0" w:color="auto"/>
            </w:tcBorders>
            <w:shd w:val="clear" w:color="000000" w:fill="DCE6F1"/>
            <w:noWrap/>
            <w:vAlign w:val="bottom"/>
            <w:hideMark/>
          </w:tcPr>
          <w:p w:rsidR="00EB539F" w:rsidRPr="00013C48" w:rsidRDefault="00EB539F" w:rsidP="00826221">
            <w:pPr>
              <w:pStyle w:val="Tabletext"/>
              <w:ind w:right="284"/>
              <w:jc w:val="right"/>
              <w:rPr>
                <w:rFonts w:eastAsia="SimSun"/>
                <w:b/>
                <w:bCs/>
                <w:sz w:val="18"/>
                <w:szCs w:val="18"/>
                <w:lang w:val="ru-RU" w:eastAsia="zh-CN"/>
              </w:rPr>
            </w:pPr>
            <w:r w:rsidRPr="00013C48">
              <w:rPr>
                <w:rFonts w:eastAsia="SimSun"/>
                <w:b/>
                <w:bCs/>
                <w:sz w:val="18"/>
                <w:szCs w:val="18"/>
                <w:lang w:val="ru-RU" w:eastAsia="zh-CN"/>
              </w:rPr>
              <w:t>534 358</w:t>
            </w:r>
          </w:p>
        </w:tc>
        <w:tc>
          <w:tcPr>
            <w:tcW w:w="1271" w:type="dxa"/>
            <w:tcBorders>
              <w:top w:val="nil"/>
              <w:left w:val="nil"/>
              <w:bottom w:val="single" w:sz="4" w:space="0" w:color="auto"/>
              <w:right w:val="single" w:sz="4" w:space="0" w:color="auto"/>
            </w:tcBorders>
            <w:shd w:val="clear" w:color="000000" w:fill="DCE6F1"/>
            <w:noWrap/>
            <w:vAlign w:val="bottom"/>
            <w:hideMark/>
          </w:tcPr>
          <w:p w:rsidR="00EB539F" w:rsidRPr="00013C48" w:rsidRDefault="00EB539F" w:rsidP="00826221">
            <w:pPr>
              <w:pStyle w:val="Tabletext"/>
              <w:ind w:right="284"/>
              <w:jc w:val="right"/>
              <w:rPr>
                <w:rFonts w:eastAsia="SimSun"/>
                <w:b/>
                <w:bCs/>
                <w:sz w:val="18"/>
                <w:szCs w:val="18"/>
                <w:lang w:val="ru-RU" w:eastAsia="zh-CN"/>
              </w:rPr>
            </w:pPr>
          </w:p>
        </w:tc>
        <w:tc>
          <w:tcPr>
            <w:tcW w:w="1272" w:type="dxa"/>
            <w:tcBorders>
              <w:top w:val="nil"/>
              <w:left w:val="nil"/>
              <w:bottom w:val="single" w:sz="4" w:space="0" w:color="auto"/>
              <w:right w:val="single" w:sz="4" w:space="0" w:color="auto"/>
            </w:tcBorders>
            <w:shd w:val="clear" w:color="000000" w:fill="DCE6F1"/>
            <w:noWrap/>
            <w:vAlign w:val="bottom"/>
            <w:hideMark/>
          </w:tcPr>
          <w:p w:rsidR="00EB539F" w:rsidRPr="00013C48" w:rsidRDefault="00EB539F" w:rsidP="00826221">
            <w:pPr>
              <w:pStyle w:val="Tabletext"/>
              <w:ind w:right="284"/>
              <w:jc w:val="right"/>
              <w:rPr>
                <w:rFonts w:eastAsia="SimSun"/>
                <w:b/>
                <w:bCs/>
                <w:sz w:val="18"/>
                <w:szCs w:val="18"/>
                <w:lang w:val="ru-RU" w:eastAsia="zh-CN"/>
              </w:rPr>
            </w:pPr>
          </w:p>
        </w:tc>
      </w:tr>
    </w:tbl>
    <w:p w:rsidR="00EB539F" w:rsidRPr="00013C48" w:rsidRDefault="00EB539F" w:rsidP="00EB539F">
      <w:pPr>
        <w:pStyle w:val="Headingb"/>
        <w:rPr>
          <w:lang w:val="ru-RU"/>
        </w:rPr>
      </w:pPr>
      <w:bookmarkStart w:id="184" w:name="_Toc356330896"/>
      <w:bookmarkStart w:id="185" w:name="_Toc358192845"/>
      <w:bookmarkStart w:id="186" w:name="_Toc398125328"/>
      <w:bookmarkStart w:id="187" w:name="_Toc398125807"/>
      <w:bookmarkStart w:id="188" w:name="_Toc398127100"/>
      <w:bookmarkStart w:id="189" w:name="_Toc452157321"/>
      <w:bookmarkStart w:id="190" w:name="_Toc452158644"/>
      <w:r w:rsidRPr="00013C48">
        <w:rPr>
          <w:lang w:val="ru-RU"/>
        </w:rPr>
        <w:t xml:space="preserve">Вознаграждение сотрудников, </w:t>
      </w:r>
      <w:bookmarkEnd w:id="184"/>
      <w:bookmarkEnd w:id="185"/>
      <w:bookmarkEnd w:id="186"/>
      <w:bookmarkEnd w:id="187"/>
      <w:bookmarkEnd w:id="188"/>
      <w:r w:rsidRPr="00013C48">
        <w:rPr>
          <w:lang w:val="ru-RU"/>
        </w:rPr>
        <w:t>работающих на основе долгосрочных контрактов</w:t>
      </w:r>
      <w:bookmarkEnd w:id="189"/>
      <w:bookmarkEnd w:id="190"/>
    </w:p>
    <w:p w:rsidR="00EB539F" w:rsidRPr="00013C48" w:rsidRDefault="00EB539F" w:rsidP="00EB539F">
      <w:pPr>
        <w:rPr>
          <w:lang w:val="ru-RU"/>
        </w:rPr>
      </w:pPr>
      <w:r w:rsidRPr="00013C48">
        <w:rPr>
          <w:lang w:val="ru-RU"/>
        </w:rPr>
        <w:t>50</w:t>
      </w:r>
      <w:r w:rsidRPr="00013C48">
        <w:rPr>
          <w:lang w:val="ru-RU"/>
        </w:rPr>
        <w:tab/>
        <w:t>Как показано в приведенной выше таблице, в 2015 году сумма по подразделу "</w:t>
      </w:r>
      <w:proofErr w:type="spellStart"/>
      <w:r w:rsidRPr="00013C48">
        <w:rPr>
          <w:lang w:val="ru-RU"/>
        </w:rPr>
        <w:t>Нетекущие</w:t>
      </w:r>
      <w:proofErr w:type="spellEnd"/>
      <w:r w:rsidRPr="00013C48">
        <w:rPr>
          <w:lang w:val="ru-RU"/>
        </w:rPr>
        <w:t xml:space="preserve"> пассивы" (относящаяся к вознаграждению сотрудников, работающих на основе долгосрочных контрактов) составила 495,0 млн. швейцарских франков, уменьшившись на 39,3 млн. швейцарских франков (−7,4%) по сравнению с 534,3 млн. швейцарских франков в 2014 году. Это составило 86,8% от общих </w:t>
      </w:r>
      <w:proofErr w:type="spellStart"/>
      <w:r w:rsidRPr="00013C48">
        <w:rPr>
          <w:lang w:val="ru-RU"/>
        </w:rPr>
        <w:t>нетекущих</w:t>
      </w:r>
      <w:proofErr w:type="spellEnd"/>
      <w:r w:rsidRPr="00013C48">
        <w:rPr>
          <w:lang w:val="ru-RU"/>
        </w:rPr>
        <w:t xml:space="preserve"> пассивов и 69,4% от общих пассивов. Данный раздел включает актуарные обязательства по пособиям, причитающимся после прекращения службы, которые связаны с планом медицинского страхования после прекращения службы (</w:t>
      </w:r>
      <w:proofErr w:type="spellStart"/>
      <w:r w:rsidRPr="00013C48">
        <w:rPr>
          <w:lang w:val="ru-RU"/>
        </w:rPr>
        <w:t>АСХИ</w:t>
      </w:r>
      <w:proofErr w:type="spellEnd"/>
      <w:r w:rsidRPr="00013C48">
        <w:rPr>
          <w:lang w:val="ru-RU"/>
        </w:rPr>
        <w:t xml:space="preserve">) (472,8 млн. швейцарских франков; в 2014 году − 512,7 млн. швейцарских франков), резервный фонд для оценочных обязательств по субсидиям на репатриацию (12,9 млн. швейцарских франков; в 2014 году − 12,4 млн. швейцарских франков) и резервный фонд для оплаты накопленных дней отпуска (9,2 млн. швейцарских франков; в 2014 году − 9,3 млн. швейцарских франков). Подробное описание и разбивка вознаграждения сотрудников показаны в Примечании 17.2 к Отчету о финансовой деятельности. </w:t>
      </w:r>
    </w:p>
    <w:p w:rsidR="00EB539F" w:rsidRPr="00013C48" w:rsidRDefault="00EB539F" w:rsidP="00EB539F">
      <w:pPr>
        <w:pStyle w:val="Headingb"/>
        <w:rPr>
          <w:lang w:val="ru-RU"/>
        </w:rPr>
      </w:pPr>
      <w:bookmarkStart w:id="191" w:name="_Toc356330897"/>
      <w:bookmarkStart w:id="192" w:name="_Toc358192846"/>
      <w:bookmarkStart w:id="193" w:name="_Toc398125329"/>
      <w:bookmarkStart w:id="194" w:name="_Toc398125808"/>
      <w:bookmarkStart w:id="195" w:name="_Toc398127101"/>
      <w:bookmarkStart w:id="196" w:name="_Toc452157322"/>
      <w:bookmarkStart w:id="197" w:name="_Toc452158645"/>
      <w:r w:rsidRPr="00013C48">
        <w:rPr>
          <w:lang w:val="ru-RU"/>
        </w:rPr>
        <w:t>Вознаграждение сотрудников: подъемные пособия и субсидии на репатриацию</w:t>
      </w:r>
      <w:bookmarkEnd w:id="191"/>
      <w:bookmarkEnd w:id="192"/>
      <w:bookmarkEnd w:id="193"/>
      <w:bookmarkEnd w:id="194"/>
      <w:bookmarkEnd w:id="195"/>
      <w:bookmarkEnd w:id="196"/>
      <w:bookmarkEnd w:id="197"/>
    </w:p>
    <w:p w:rsidR="00EB539F" w:rsidRPr="00013C48" w:rsidRDefault="00EB539F" w:rsidP="00EB539F">
      <w:pPr>
        <w:rPr>
          <w:lang w:val="ru-RU"/>
        </w:rPr>
      </w:pPr>
      <w:r w:rsidRPr="00013C48">
        <w:rPr>
          <w:lang w:val="ru-RU"/>
        </w:rPr>
        <w:t>51</w:t>
      </w:r>
      <w:r w:rsidRPr="00013C48">
        <w:rPr>
          <w:lang w:val="ru-RU"/>
        </w:rPr>
        <w:tab/>
        <w:t xml:space="preserve">Как показано в предыдущем пункте, резервные фонды, учтенные по состоянию на 31 декабря 2015 года, для введения в должность и возвращения на родину сотрудников составили 12,9 млн. швейцарских франков (в 2014 г. − 12,4 млн. швейцарских франков) и рассчитывались в соответствии с актуарным исследованием, для проведения которого руководство привлекло актуария – компанию </w:t>
      </w:r>
      <w:proofErr w:type="spellStart"/>
      <w:r w:rsidRPr="00013C48">
        <w:rPr>
          <w:lang w:val="ru-RU"/>
        </w:rPr>
        <w:t>CPA</w:t>
      </w:r>
      <w:proofErr w:type="spellEnd"/>
      <w:r w:rsidRPr="00013C48">
        <w:rPr>
          <w:lang w:val="ru-RU"/>
        </w:rPr>
        <w:t xml:space="preserve"> Conseil. Результаты исследования представлены в отчете компании от 16 февраля 2016 года. </w:t>
      </w:r>
    </w:p>
    <w:p w:rsidR="00EB539F" w:rsidRPr="00013C48" w:rsidRDefault="00EB539F" w:rsidP="00EB539F">
      <w:pPr>
        <w:pStyle w:val="Headingb"/>
        <w:rPr>
          <w:lang w:val="ru-RU"/>
        </w:rPr>
      </w:pPr>
      <w:bookmarkStart w:id="198" w:name="_Toc356330899"/>
      <w:bookmarkStart w:id="199" w:name="_Toc358192848"/>
      <w:bookmarkStart w:id="200" w:name="_Toc398125331"/>
      <w:bookmarkStart w:id="201" w:name="_Toc398125810"/>
      <w:bookmarkStart w:id="202" w:name="_Toc398127102"/>
      <w:bookmarkStart w:id="203" w:name="_Toc452157323"/>
      <w:bookmarkStart w:id="204" w:name="_Toc452158646"/>
      <w:r w:rsidRPr="00013C48">
        <w:rPr>
          <w:lang w:val="ru-RU"/>
        </w:rPr>
        <w:t xml:space="preserve">Вознаграждение сотрудников: </w:t>
      </w:r>
      <w:proofErr w:type="spellStart"/>
      <w:r w:rsidRPr="00013C48">
        <w:rPr>
          <w:lang w:val="ru-RU"/>
        </w:rPr>
        <w:t>АСХИ</w:t>
      </w:r>
      <w:bookmarkEnd w:id="198"/>
      <w:bookmarkEnd w:id="199"/>
      <w:bookmarkEnd w:id="200"/>
      <w:bookmarkEnd w:id="201"/>
      <w:bookmarkEnd w:id="202"/>
      <w:bookmarkEnd w:id="203"/>
      <w:bookmarkEnd w:id="204"/>
      <w:proofErr w:type="spellEnd"/>
    </w:p>
    <w:p w:rsidR="00EB539F" w:rsidRPr="00013C48" w:rsidRDefault="00EB539F" w:rsidP="00EB539F">
      <w:pPr>
        <w:rPr>
          <w:lang w:val="ru-RU"/>
        </w:rPr>
      </w:pPr>
      <w:r w:rsidRPr="00013C48">
        <w:rPr>
          <w:lang w:val="ru-RU"/>
        </w:rPr>
        <w:t>52</w:t>
      </w:r>
      <w:r w:rsidRPr="00013C48">
        <w:rPr>
          <w:lang w:val="ru-RU"/>
        </w:rPr>
        <w:tab/>
        <w:t xml:space="preserve">В 2015 году резервный фонд для актуарных обязательств в отношении плана </w:t>
      </w:r>
      <w:proofErr w:type="spellStart"/>
      <w:r w:rsidRPr="00013C48">
        <w:rPr>
          <w:lang w:val="ru-RU"/>
        </w:rPr>
        <w:t>АСХИ</w:t>
      </w:r>
      <w:proofErr w:type="spellEnd"/>
      <w:r w:rsidRPr="00013C48">
        <w:rPr>
          <w:lang w:val="ru-RU"/>
        </w:rPr>
        <w:t xml:space="preserve"> составил 472,8 млн. швейцарских франков, уменьшившись на 39,9 млн. швейцарских франков (−7,8%) по сравнению с 512,7 млн. швейцарских франков в 2014 году. Это уменьшение в основном обусловлено изменением ряда допущений (см. пункт 58), несмотря на уменьшение ставки дисконтирования до 1,32% в 2015 году с 1,51% в 2014 году). Данный расчет на основе актуарных допущений был выполнен актуарием – компанией </w:t>
      </w:r>
      <w:proofErr w:type="spellStart"/>
      <w:r w:rsidRPr="00013C48">
        <w:rPr>
          <w:lang w:val="ru-RU"/>
        </w:rPr>
        <w:t>AON</w:t>
      </w:r>
      <w:proofErr w:type="spellEnd"/>
      <w:r w:rsidRPr="00013C48">
        <w:rPr>
          <w:lang w:val="ru-RU"/>
        </w:rPr>
        <w:t xml:space="preserve"> </w:t>
      </w:r>
      <w:proofErr w:type="spellStart"/>
      <w:r w:rsidRPr="00013C48">
        <w:rPr>
          <w:lang w:val="ru-RU"/>
        </w:rPr>
        <w:t>Hewitt</w:t>
      </w:r>
      <w:proofErr w:type="spellEnd"/>
      <w:r w:rsidRPr="00013C48">
        <w:rPr>
          <w:lang w:val="ru-RU"/>
        </w:rPr>
        <w:t xml:space="preserve"> </w:t>
      </w:r>
      <w:proofErr w:type="spellStart"/>
      <w:r w:rsidRPr="00013C48">
        <w:rPr>
          <w:lang w:val="ru-RU"/>
        </w:rPr>
        <w:t>Consulting</w:t>
      </w:r>
      <w:proofErr w:type="spellEnd"/>
      <w:r w:rsidRPr="00013C48">
        <w:rPr>
          <w:lang w:val="ru-RU"/>
        </w:rPr>
        <w:t>.</w:t>
      </w:r>
    </w:p>
    <w:p w:rsidR="00EB539F" w:rsidRPr="00013C48" w:rsidRDefault="00EB539F" w:rsidP="00EB539F">
      <w:pPr>
        <w:pStyle w:val="Headingb"/>
        <w:rPr>
          <w:lang w:val="ru-RU"/>
        </w:rPr>
      </w:pPr>
      <w:bookmarkStart w:id="205" w:name="_Toc452157324"/>
      <w:bookmarkStart w:id="206" w:name="_Toc452158647"/>
      <w:r w:rsidRPr="00013C48">
        <w:rPr>
          <w:lang w:val="ru-RU"/>
        </w:rPr>
        <w:t>На отрицательное значение чистых активов влияют актуарные обязательства</w:t>
      </w:r>
      <w:bookmarkEnd w:id="205"/>
      <w:bookmarkEnd w:id="206"/>
    </w:p>
    <w:p w:rsidR="00EB539F" w:rsidRPr="00013C48" w:rsidRDefault="00EB539F" w:rsidP="00EB539F">
      <w:pPr>
        <w:rPr>
          <w:lang w:val="ru-RU"/>
        </w:rPr>
      </w:pPr>
      <w:r w:rsidRPr="00013C48">
        <w:rPr>
          <w:lang w:val="ru-RU"/>
        </w:rPr>
        <w:t>53</w:t>
      </w:r>
      <w:r w:rsidRPr="00013C48">
        <w:rPr>
          <w:lang w:val="ru-RU"/>
        </w:rPr>
        <w:tab/>
        <w:t xml:space="preserve">Значительная величина актуарных потерь </w:t>
      </w:r>
      <w:proofErr w:type="spellStart"/>
      <w:r w:rsidRPr="00013C48">
        <w:rPr>
          <w:lang w:val="ru-RU"/>
        </w:rPr>
        <w:t>АСХИ</w:t>
      </w:r>
      <w:proofErr w:type="spellEnd"/>
      <w:r w:rsidRPr="00013C48">
        <w:rPr>
          <w:lang w:val="ru-RU"/>
        </w:rPr>
        <w:t xml:space="preserve"> (257,1 млн. швейцарских франков) оказывает существенное воздействие на чистые активы МСЭ, и по этой причине, как и в прошлые годы, часть нашей аудиторской проверки мы посвятили вопросам правильности и надежности сумм раздела "Вознаграждение сотрудников".</w:t>
      </w:r>
    </w:p>
    <w:p w:rsidR="00EB539F" w:rsidRPr="00013C48" w:rsidRDefault="00EB539F" w:rsidP="00EB539F">
      <w:pPr>
        <w:rPr>
          <w:lang w:val="ru-RU"/>
        </w:rPr>
      </w:pPr>
      <w:r w:rsidRPr="00013C48">
        <w:rPr>
          <w:lang w:val="ru-RU"/>
        </w:rPr>
        <w:lastRenderedPageBreak/>
        <w:t>54</w:t>
      </w:r>
      <w:r w:rsidRPr="00013C48">
        <w:rPr>
          <w:lang w:val="ru-RU"/>
        </w:rPr>
        <w:tab/>
        <w:t xml:space="preserve">Выбор актуарных допущений является исключительной ответственностью руководства. Внешний аудитор проверяет их правдоподобие и их соответствие стандарту </w:t>
      </w:r>
      <w:proofErr w:type="spellStart"/>
      <w:r w:rsidRPr="00013C48">
        <w:rPr>
          <w:lang w:val="ru-RU"/>
        </w:rPr>
        <w:t>IPSAS</w:t>
      </w:r>
      <w:proofErr w:type="spellEnd"/>
      <w:r w:rsidRPr="00013C48">
        <w:rPr>
          <w:lang w:val="ru-RU"/>
        </w:rPr>
        <w:t xml:space="preserve"> 25 и допущениям, использовавшимся в предыдущем году, а также подтверждает их правильность. </w:t>
      </w:r>
    </w:p>
    <w:p w:rsidR="00EB539F" w:rsidRPr="00013C48" w:rsidRDefault="00EB539F" w:rsidP="00EB539F">
      <w:pPr>
        <w:rPr>
          <w:lang w:val="ru-RU"/>
        </w:rPr>
      </w:pPr>
      <w:proofErr w:type="gramStart"/>
      <w:r w:rsidRPr="00013C48">
        <w:rPr>
          <w:lang w:val="ru-RU"/>
        </w:rPr>
        <w:t>55</w:t>
      </w:r>
      <w:proofErr w:type="gramEnd"/>
      <w:r w:rsidRPr="00013C48">
        <w:rPr>
          <w:lang w:val="ru-RU"/>
        </w:rPr>
        <w:tab/>
        <w:t>Как и в прошлом году, по этому конкретному вопросу мы подключили группу актуариев, занимающихся общественным сектором, которые являются экспертами по социальным выплатам. Они выполнили анализ ключевых допущений, относящихся к 2015 году, которые были должным образом обсуждены с руководством. Мы установили, что эти допущения соответствуют экономическим тенденциям и ставкам, а также согласуются с данными, имевшимися в МСЭ на момент проведения нами аудита, и мы подтвердили их правильность.</w:t>
      </w:r>
    </w:p>
    <w:p w:rsidR="00EB539F" w:rsidRPr="00013C48" w:rsidRDefault="00EB539F" w:rsidP="00EB539F">
      <w:pPr>
        <w:rPr>
          <w:lang w:val="ru-RU"/>
        </w:rPr>
      </w:pPr>
      <w:r w:rsidRPr="00013C48">
        <w:rPr>
          <w:lang w:val="ru-RU"/>
        </w:rPr>
        <w:t>56</w:t>
      </w:r>
      <w:r w:rsidRPr="00013C48">
        <w:rPr>
          <w:lang w:val="ru-RU"/>
        </w:rPr>
        <w:tab/>
        <w:t>Для проведения своего аудита наши актуарии пересчитали оценки, подготовленные двумя актуариями (</w:t>
      </w:r>
      <w:proofErr w:type="spellStart"/>
      <w:r w:rsidRPr="00013C48">
        <w:rPr>
          <w:lang w:val="ru-RU"/>
        </w:rPr>
        <w:t>CPA</w:t>
      </w:r>
      <w:proofErr w:type="spellEnd"/>
      <w:r w:rsidRPr="00013C48">
        <w:rPr>
          <w:lang w:val="ru-RU"/>
        </w:rPr>
        <w:t xml:space="preserve"> Conseil и </w:t>
      </w:r>
      <w:proofErr w:type="spellStart"/>
      <w:r w:rsidRPr="00013C48">
        <w:rPr>
          <w:lang w:val="ru-RU"/>
        </w:rPr>
        <w:t>AON</w:t>
      </w:r>
      <w:proofErr w:type="spellEnd"/>
      <w:r w:rsidRPr="00013C48">
        <w:rPr>
          <w:lang w:val="ru-RU"/>
        </w:rPr>
        <w:t>), отобранными МСЭ; кроме того, они провели углубленный анализ всех актуарных оценок и допущений, чтобы рассмотреть их правдоподобие и использованные алгоритмы. Руководство и актуарии оказали всемерное содействие проведению данного анализа.</w:t>
      </w:r>
    </w:p>
    <w:p w:rsidR="00EB539F" w:rsidRPr="00013C48" w:rsidRDefault="00EB539F" w:rsidP="00EB539F">
      <w:pPr>
        <w:rPr>
          <w:lang w:val="ru-RU"/>
        </w:rPr>
      </w:pPr>
      <w:r w:rsidRPr="00013C48">
        <w:rPr>
          <w:lang w:val="ru-RU"/>
        </w:rPr>
        <w:t>57</w:t>
      </w:r>
      <w:r w:rsidRPr="00013C48">
        <w:rPr>
          <w:lang w:val="ru-RU"/>
        </w:rPr>
        <w:tab/>
      </w:r>
      <w:proofErr w:type="gramStart"/>
      <w:r w:rsidRPr="00013C48">
        <w:rPr>
          <w:lang w:val="ru-RU"/>
        </w:rPr>
        <w:t>В</w:t>
      </w:r>
      <w:proofErr w:type="gramEnd"/>
      <w:r w:rsidRPr="00013C48">
        <w:rPr>
          <w:lang w:val="ru-RU"/>
        </w:rPr>
        <w:t xml:space="preserve"> результате работы наших актуариев было подтверждено, что суммы, учтенные на счетах, в целом верны; однако, помимо ключевых допущений, связанных с экономическими изменениями, которые необходимо рассматривать каждый год, в будущем, возможно, целесообразно пересмотреть актуальность прочих допущений.</w:t>
      </w:r>
    </w:p>
    <w:p w:rsidR="00EB539F" w:rsidRPr="00013C48" w:rsidRDefault="00EB539F" w:rsidP="00EB539F">
      <w:pPr>
        <w:rPr>
          <w:lang w:val="ru-RU"/>
        </w:rPr>
      </w:pPr>
      <w:r w:rsidRPr="00013C48">
        <w:rPr>
          <w:lang w:val="ru-RU"/>
        </w:rPr>
        <w:t>58</w:t>
      </w:r>
      <w:r w:rsidRPr="00013C48">
        <w:rPr>
          <w:lang w:val="ru-RU"/>
        </w:rPr>
        <w:tab/>
        <w:t xml:space="preserve">Мы отмечаем, что в соответствии с предложением 2, представленным в нашем отчете относительно финансовой отчетности за 2014 год, руководство пересмотрело некоторые допущения, касающиеся, в основном, изменений в составе лиц, застрахованных МСЭ в рамках плана медицинских льгот. Как показано в отчете </w:t>
      </w:r>
      <w:proofErr w:type="spellStart"/>
      <w:r w:rsidRPr="00013C48">
        <w:rPr>
          <w:lang w:val="ru-RU"/>
        </w:rPr>
        <w:t>AON</w:t>
      </w:r>
      <w:proofErr w:type="spellEnd"/>
      <w:r w:rsidRPr="00013C48">
        <w:rPr>
          <w:lang w:val="ru-RU"/>
        </w:rPr>
        <w:t>, уменьшилось количество членов, включенных в оценку. Другие изменения касались:</w:t>
      </w:r>
    </w:p>
    <w:p w:rsidR="00EB539F" w:rsidRPr="00013C48" w:rsidRDefault="00EB539F" w:rsidP="00EB539F">
      <w:pPr>
        <w:pStyle w:val="enumlev1"/>
        <w:rPr>
          <w:lang w:val="ru-RU"/>
        </w:rPr>
      </w:pPr>
      <w:r w:rsidRPr="00013C48">
        <w:rPr>
          <w:lang w:val="ru-RU"/>
        </w:rPr>
        <w:t>a)</w:t>
      </w:r>
      <w:r w:rsidRPr="00013C48">
        <w:rPr>
          <w:lang w:val="ru-RU"/>
        </w:rPr>
        <w:tab/>
        <w:t xml:space="preserve">решения МСЭ принять допущение относительно инфляции, использованное в последнем актуарном отчете </w:t>
      </w:r>
      <w:proofErr w:type="spellStart"/>
      <w:r w:rsidRPr="00013C48">
        <w:rPr>
          <w:lang w:val="ru-RU"/>
        </w:rPr>
        <w:t>ОПФП</w:t>
      </w:r>
      <w:proofErr w:type="spellEnd"/>
      <w:r w:rsidRPr="00013C48">
        <w:rPr>
          <w:lang w:val="ru-RU"/>
        </w:rPr>
        <w:t xml:space="preserve"> ООН (Объединенный пенсионный фонда персонала Организации Объединенных Наций), при котором уровень инфляции увеличивается с 2% до 3%;</w:t>
      </w:r>
    </w:p>
    <w:p w:rsidR="00EB539F" w:rsidRPr="00013C48" w:rsidRDefault="00EB539F" w:rsidP="00F3336C">
      <w:pPr>
        <w:pStyle w:val="enumlev1"/>
        <w:rPr>
          <w:lang w:val="ru-RU"/>
        </w:rPr>
      </w:pPr>
      <w:r w:rsidRPr="00013C48">
        <w:rPr>
          <w:lang w:val="ru-RU"/>
        </w:rPr>
        <w:t>b)</w:t>
      </w:r>
      <w:r w:rsidRPr="00013C48">
        <w:rPr>
          <w:lang w:val="ru-RU"/>
        </w:rPr>
        <w:tab/>
        <w:t xml:space="preserve">принятия допущения о темпе роста окладов, используемого в последнем актуарном отчете </w:t>
      </w:r>
      <w:proofErr w:type="spellStart"/>
      <w:r w:rsidRPr="00013C48">
        <w:rPr>
          <w:lang w:val="ru-RU"/>
        </w:rPr>
        <w:t>ОПФП</w:t>
      </w:r>
      <w:proofErr w:type="spellEnd"/>
      <w:r w:rsidRPr="00013C48">
        <w:rPr>
          <w:lang w:val="ru-RU"/>
        </w:rPr>
        <w:t xml:space="preserve"> ООН, который составил 3,5% в год, а также связанной с выслугой лет фиксированной шкалы роста окладов, тогда как до 31</w:t>
      </w:r>
      <w:r w:rsidR="00F3336C" w:rsidRPr="00013C48">
        <w:rPr>
          <w:lang w:val="ru-RU"/>
        </w:rPr>
        <w:t xml:space="preserve"> декабря </w:t>
      </w:r>
      <w:r w:rsidRPr="00013C48">
        <w:rPr>
          <w:lang w:val="ru-RU"/>
        </w:rPr>
        <w:t>2014 г</w:t>
      </w:r>
      <w:r w:rsidR="00F3336C" w:rsidRPr="00013C48">
        <w:rPr>
          <w:lang w:val="ru-RU"/>
        </w:rPr>
        <w:t>ода</w:t>
      </w:r>
      <w:r w:rsidRPr="00013C48">
        <w:rPr>
          <w:lang w:val="ru-RU"/>
        </w:rPr>
        <w:t xml:space="preserve"> использовалась едина</w:t>
      </w:r>
      <w:r w:rsidR="00826221" w:rsidRPr="00013C48">
        <w:rPr>
          <w:lang w:val="ru-RU"/>
        </w:rPr>
        <w:t>я ставка по категории персонала;</w:t>
      </w:r>
    </w:p>
    <w:p w:rsidR="00EB539F" w:rsidRPr="00013C48" w:rsidRDefault="00EB539F" w:rsidP="00EB539F">
      <w:pPr>
        <w:pStyle w:val="enumlev1"/>
        <w:rPr>
          <w:lang w:val="ru-RU"/>
        </w:rPr>
      </w:pPr>
      <w:r w:rsidRPr="00013C48">
        <w:rPr>
          <w:lang w:val="ru-RU"/>
        </w:rPr>
        <w:t>c)</w:t>
      </w:r>
      <w:r w:rsidRPr="00013C48">
        <w:rPr>
          <w:lang w:val="ru-RU"/>
        </w:rPr>
        <w:tab/>
        <w:t xml:space="preserve">указанного выше уменьшения ставки дисконтирования, обусловленного тем, что </w:t>
      </w:r>
      <w:proofErr w:type="spellStart"/>
      <w:r w:rsidRPr="00013C48">
        <w:rPr>
          <w:lang w:val="ru-RU"/>
        </w:rPr>
        <w:t>бóльшая</w:t>
      </w:r>
      <w:proofErr w:type="spellEnd"/>
      <w:r w:rsidRPr="00013C48">
        <w:rPr>
          <w:lang w:val="ru-RU"/>
        </w:rPr>
        <w:t xml:space="preserve"> часть обязательств МСЭ в отношении пособий, причитающихся после прекращения службы, выражена в швейцарских франках.</w:t>
      </w:r>
    </w:p>
    <w:p w:rsidR="00EB539F" w:rsidRPr="00013C48" w:rsidRDefault="00EB539F" w:rsidP="00EB539F">
      <w:pPr>
        <w:pStyle w:val="Headingi"/>
        <w:rPr>
          <w:b/>
          <w:bCs/>
          <w:lang w:val="ru-RU"/>
        </w:rPr>
      </w:pPr>
      <w:bookmarkStart w:id="207" w:name="_Toc452157325"/>
      <w:bookmarkStart w:id="208" w:name="_Toc452158648"/>
      <w:r w:rsidRPr="00013C48">
        <w:rPr>
          <w:b/>
          <w:bCs/>
          <w:lang w:val="ru-RU"/>
        </w:rPr>
        <w:t>Переход на "</w:t>
      </w:r>
      <w:proofErr w:type="spellStart"/>
      <w:r w:rsidRPr="00013C48">
        <w:rPr>
          <w:b/>
          <w:bCs/>
          <w:lang w:val="ru-RU"/>
        </w:rPr>
        <w:t>ПКМС</w:t>
      </w:r>
      <w:proofErr w:type="spellEnd"/>
      <w:r w:rsidRPr="00013C48">
        <w:rPr>
          <w:b/>
          <w:bCs/>
          <w:lang w:val="ru-RU"/>
        </w:rPr>
        <w:t xml:space="preserve">". Ставка дисконтирования не полностью соответствует </w:t>
      </w:r>
      <w:proofErr w:type="spellStart"/>
      <w:r w:rsidRPr="00013C48">
        <w:rPr>
          <w:b/>
          <w:bCs/>
          <w:lang w:val="ru-RU"/>
        </w:rPr>
        <w:t>IPSAS</w:t>
      </w:r>
      <w:proofErr w:type="spellEnd"/>
      <w:r w:rsidRPr="00013C48">
        <w:rPr>
          <w:b/>
          <w:bCs/>
          <w:lang w:val="ru-RU"/>
        </w:rPr>
        <w:t xml:space="preserve"> 25</w:t>
      </w:r>
      <w:bookmarkEnd w:id="207"/>
      <w:bookmarkEnd w:id="208"/>
    </w:p>
    <w:p w:rsidR="00EB539F" w:rsidRPr="00013C48" w:rsidRDefault="00EB539F" w:rsidP="00EB539F">
      <w:pPr>
        <w:rPr>
          <w:lang w:val="ru-RU"/>
        </w:rPr>
      </w:pPr>
      <w:r w:rsidRPr="00013C48">
        <w:rPr>
          <w:lang w:val="ru-RU"/>
        </w:rPr>
        <w:t>59</w:t>
      </w:r>
      <w:r w:rsidRPr="00013C48">
        <w:rPr>
          <w:lang w:val="ru-RU"/>
        </w:rPr>
        <w:tab/>
        <w:t>Следует учесть, что в 2014 году МСЭ вышел из Фонда медицинского страхования персонала (</w:t>
      </w:r>
      <w:proofErr w:type="spellStart"/>
      <w:r w:rsidRPr="00013C48">
        <w:rPr>
          <w:lang w:val="ru-RU"/>
        </w:rPr>
        <w:t>ФМСП</w:t>
      </w:r>
      <w:proofErr w:type="spellEnd"/>
      <w:r w:rsidRPr="00013C48">
        <w:rPr>
          <w:lang w:val="ru-RU"/>
        </w:rPr>
        <w:t>) МОТ/МСЭ, которым он совместно управлял с МОТ. МСЭ внедрил новую систему медицинского страхования персонала – План коллективного медицинского страхования (</w:t>
      </w:r>
      <w:proofErr w:type="spellStart"/>
      <w:r w:rsidRPr="00013C48">
        <w:rPr>
          <w:lang w:val="ru-RU"/>
        </w:rPr>
        <w:t>ПКМС</w:t>
      </w:r>
      <w:proofErr w:type="spellEnd"/>
      <w:r w:rsidRPr="00013C48">
        <w:rPr>
          <w:lang w:val="ru-RU"/>
        </w:rPr>
        <w:t xml:space="preserve">), страховщиком и </w:t>
      </w:r>
      <w:proofErr w:type="spellStart"/>
      <w:r w:rsidRPr="00013C48">
        <w:rPr>
          <w:lang w:val="ru-RU"/>
        </w:rPr>
        <w:t>претензионистом</w:t>
      </w:r>
      <w:proofErr w:type="spellEnd"/>
      <w:r w:rsidRPr="00013C48">
        <w:rPr>
          <w:lang w:val="ru-RU"/>
        </w:rPr>
        <w:t xml:space="preserve"> которого является компания Cigna/</w:t>
      </w:r>
      <w:proofErr w:type="spellStart"/>
      <w:r w:rsidRPr="00013C48">
        <w:rPr>
          <w:lang w:val="ru-RU"/>
        </w:rPr>
        <w:t>Vanbreda</w:t>
      </w:r>
      <w:proofErr w:type="spellEnd"/>
      <w:r w:rsidRPr="00013C48">
        <w:rPr>
          <w:lang w:val="ru-RU"/>
        </w:rPr>
        <w:t xml:space="preserve"> </w:t>
      </w:r>
      <w:proofErr w:type="spellStart"/>
      <w:r w:rsidRPr="00013C48">
        <w:rPr>
          <w:lang w:val="ru-RU"/>
        </w:rPr>
        <w:t>International</w:t>
      </w:r>
      <w:proofErr w:type="spellEnd"/>
      <w:r w:rsidRPr="00013C48">
        <w:rPr>
          <w:lang w:val="ru-RU"/>
        </w:rPr>
        <w:t>.</w:t>
      </w:r>
    </w:p>
    <w:p w:rsidR="00EB539F" w:rsidRPr="00013C48" w:rsidRDefault="00EB539F" w:rsidP="00EB539F">
      <w:pPr>
        <w:rPr>
          <w:lang w:val="ru-RU"/>
        </w:rPr>
      </w:pPr>
      <w:r w:rsidRPr="00013C48">
        <w:rPr>
          <w:lang w:val="ru-RU"/>
        </w:rPr>
        <w:t>60</w:t>
      </w:r>
      <w:r w:rsidRPr="00013C48">
        <w:rPr>
          <w:lang w:val="ru-RU"/>
        </w:rPr>
        <w:tab/>
      </w:r>
      <w:proofErr w:type="gramStart"/>
      <w:r w:rsidRPr="00013C48">
        <w:rPr>
          <w:lang w:val="ru-RU"/>
        </w:rPr>
        <w:t>С</w:t>
      </w:r>
      <w:proofErr w:type="gramEnd"/>
      <w:r w:rsidRPr="00013C48">
        <w:rPr>
          <w:lang w:val="ru-RU"/>
        </w:rPr>
        <w:t xml:space="preserve"> учетом того, что изменение в системе страхования персонала вступило в силу 1 мая 2014 года, однако до января 2015 года сохранялась возможность подачи заявки на возмещение в рамках старой системы, пока еще рано в полной мере измерять воздействие новой системы. В преддверии закрытия счетов </w:t>
      </w:r>
      <w:proofErr w:type="spellStart"/>
      <w:r w:rsidRPr="00013C48">
        <w:rPr>
          <w:lang w:val="ru-RU"/>
        </w:rPr>
        <w:t>ФМСП</w:t>
      </w:r>
      <w:proofErr w:type="spellEnd"/>
      <w:r w:rsidRPr="00013C48">
        <w:rPr>
          <w:lang w:val="ru-RU"/>
        </w:rPr>
        <w:t xml:space="preserve"> расчет оставшихся средств МСЭ в гарантийном фонде не был завершен. В связи с этим в ближайшие годы мы будем отслеживать воздействие перехода на новую систему.</w:t>
      </w:r>
    </w:p>
    <w:p w:rsidR="00F3336C" w:rsidRPr="00013C48" w:rsidRDefault="00F3336C" w:rsidP="00F3336C">
      <w:pPr>
        <w:rPr>
          <w:lang w:val="ru-RU"/>
        </w:rPr>
      </w:pPr>
      <w:r w:rsidRPr="00013C48">
        <w:rPr>
          <w:lang w:val="ru-RU"/>
        </w:rPr>
        <w:t>61</w:t>
      </w:r>
      <w:r w:rsidRPr="00013C48">
        <w:rPr>
          <w:lang w:val="ru-RU"/>
        </w:rPr>
        <w:tab/>
        <w:t xml:space="preserve">Мы понимаем причины, по которым компания </w:t>
      </w:r>
      <w:proofErr w:type="spellStart"/>
      <w:r w:rsidRPr="00013C48">
        <w:rPr>
          <w:lang w:val="ru-RU"/>
        </w:rPr>
        <w:t>AON</w:t>
      </w:r>
      <w:proofErr w:type="spellEnd"/>
      <w:r w:rsidRPr="00013C48">
        <w:rPr>
          <w:lang w:val="ru-RU"/>
        </w:rPr>
        <w:t xml:space="preserve"> рассчитывала ставку дисконтирования, используя собственные показатели доходности корпоративных облигаций, имеющих рейтинг </w:t>
      </w:r>
      <w:proofErr w:type="spellStart"/>
      <w:r w:rsidRPr="00013C48">
        <w:rPr>
          <w:lang w:val="ru-RU"/>
        </w:rPr>
        <w:t>AA</w:t>
      </w:r>
      <w:proofErr w:type="spellEnd"/>
      <w:r w:rsidRPr="00013C48">
        <w:rPr>
          <w:lang w:val="ru-RU"/>
        </w:rPr>
        <w:t xml:space="preserve">, которые базируются на основных валютах и взвешены по ним; вместе с тем, по нашему мнению, для расчета актуарных обязательств следует использовать другую ставку дисконтирования. </w:t>
      </w:r>
      <w:r w:rsidRPr="00013C48">
        <w:rPr>
          <w:lang w:val="ru-RU"/>
        </w:rPr>
        <w:lastRenderedPageBreak/>
        <w:t xml:space="preserve">Действительно, в пункте 94 стандарта </w:t>
      </w:r>
      <w:proofErr w:type="spellStart"/>
      <w:r w:rsidRPr="00013C48">
        <w:rPr>
          <w:lang w:val="ru-RU"/>
        </w:rPr>
        <w:t>IPSAS</w:t>
      </w:r>
      <w:proofErr w:type="spellEnd"/>
      <w:r w:rsidRPr="00013C48">
        <w:rPr>
          <w:lang w:val="ru-RU"/>
        </w:rPr>
        <w:t xml:space="preserve"> 25 требуется следующее: "</w:t>
      </w:r>
      <w:r w:rsidRPr="00013C48">
        <w:rPr>
          <w:i/>
          <w:iCs/>
          <w:lang w:val="ru-RU"/>
        </w:rPr>
        <w:t>соответствующая структура сама решает, как лучше всего определять ставку дисконтирования, с тем чтобы она отражала стоимость денег с учетом фактора времени: на основе зафиксированной на дату представления отчетности рыночной доходности государственных облигаций, высококачественных корпоративных облигаций или других финансовых инструментов. В некоторых странах наилучшим показателем, отражающим стоимость денег с учетом фактора времени, будет зафиксированная на дату представления отчетности рыночная доходность государственных облигаций. Однако в некоторых странах дело может обстоять и по-иному: например, там, где отсутствует емкий рынок государственных облигаций или где показатель рыночной доходности по государственным облигациям на дату представления отчетности не отражает стоимости денег с учетом фактора времени</w:t>
      </w:r>
      <w:r w:rsidRPr="00013C48">
        <w:rPr>
          <w:lang w:val="ru-RU"/>
        </w:rPr>
        <w:t>".</w:t>
      </w:r>
    </w:p>
    <w:p w:rsidR="00F3336C" w:rsidRPr="00013C48" w:rsidRDefault="00F3336C" w:rsidP="00F3336C">
      <w:pPr>
        <w:rPr>
          <w:lang w:val="ru-RU"/>
        </w:rPr>
      </w:pPr>
      <w:r w:rsidRPr="00013C48">
        <w:rPr>
          <w:lang w:val="ru-RU"/>
        </w:rPr>
        <w:t>62</w:t>
      </w:r>
      <w:r w:rsidRPr="00013C48">
        <w:rPr>
          <w:lang w:val="ru-RU"/>
        </w:rPr>
        <w:tab/>
        <w:t xml:space="preserve">Поскольку мы с уверенностью можем утверждать, что в Швейцарии существует "емкий рынок" государственных облигаций, ставка дисконтирования должна быть равной доходности государственных долгосрочных облигаций Швейцарии на конец года, скорректированной для учета расчетных сроков выплаты пособий. При этом следует также учесть, что </w:t>
      </w:r>
      <w:proofErr w:type="spellStart"/>
      <w:r w:rsidRPr="00013C48">
        <w:rPr>
          <w:lang w:val="ru-RU"/>
        </w:rPr>
        <w:t>бóльшая</w:t>
      </w:r>
      <w:proofErr w:type="spellEnd"/>
      <w:r w:rsidRPr="00013C48">
        <w:rPr>
          <w:lang w:val="ru-RU"/>
        </w:rPr>
        <w:t xml:space="preserve"> часть обязательств, связанных с </w:t>
      </w:r>
      <w:proofErr w:type="spellStart"/>
      <w:r w:rsidRPr="00013C48">
        <w:rPr>
          <w:lang w:val="ru-RU"/>
        </w:rPr>
        <w:t>АСХИ</w:t>
      </w:r>
      <w:proofErr w:type="spellEnd"/>
      <w:r w:rsidRPr="00013C48">
        <w:rPr>
          <w:lang w:val="ru-RU"/>
        </w:rPr>
        <w:t>, выражена в швейцарских франках.</w:t>
      </w:r>
    </w:p>
    <w:p w:rsidR="00F3336C" w:rsidRPr="00013C48" w:rsidRDefault="00F3336C" w:rsidP="00F3336C">
      <w:pPr>
        <w:rPr>
          <w:lang w:val="ru-RU"/>
        </w:rPr>
      </w:pPr>
      <w:r w:rsidRPr="00013C48">
        <w:rPr>
          <w:lang w:val="ru-RU"/>
        </w:rPr>
        <w:t>63</w:t>
      </w:r>
      <w:r w:rsidRPr="00013C48">
        <w:rPr>
          <w:lang w:val="ru-RU"/>
        </w:rPr>
        <w:tab/>
        <w:t>Это может привести к временному увеличению актуарных обязательств, поскольку рыночная доходность государственных облигаций Швейцарии в настоящее время находится на низком уровне; и наоборот, увеличение доходности в будущем должно привести к уменьшению этих обязательств.</w:t>
      </w:r>
    </w:p>
    <w:p w:rsidR="00F3336C" w:rsidRPr="00013C48" w:rsidRDefault="00F3336C" w:rsidP="00F3336C">
      <w:pPr>
        <w:rPr>
          <w:lang w:val="ru-RU"/>
        </w:rPr>
      </w:pPr>
    </w:p>
    <w:tbl>
      <w:tblPr>
        <w:tblStyle w:val="TableGrid2"/>
        <w:tblW w:w="0" w:type="auto"/>
        <w:tblInd w:w="-5" w:type="dxa"/>
        <w:tblLook w:val="04A0" w:firstRow="1" w:lastRow="0" w:firstColumn="1" w:lastColumn="0" w:noHBand="0" w:noVBand="1"/>
      </w:tblPr>
      <w:tblGrid>
        <w:gridCol w:w="9634"/>
      </w:tblGrid>
      <w:tr w:rsidR="00F3336C" w:rsidRPr="00013C48" w:rsidTr="009C03CB">
        <w:tc>
          <w:tcPr>
            <w:tcW w:w="9634" w:type="dxa"/>
          </w:tcPr>
          <w:p w:rsidR="00F3336C" w:rsidRPr="00013C48" w:rsidRDefault="00F3336C" w:rsidP="00F3336C">
            <w:pPr>
              <w:rPr>
                <w:b/>
                <w:bCs/>
                <w:lang w:val="ru-RU"/>
              </w:rPr>
            </w:pPr>
            <w:r w:rsidRPr="00013C48">
              <w:rPr>
                <w:b/>
                <w:bCs/>
                <w:lang w:val="ru-RU"/>
              </w:rPr>
              <w:t>Рекомендация 4</w:t>
            </w:r>
          </w:p>
          <w:p w:rsidR="00F3336C" w:rsidRPr="00013C48" w:rsidRDefault="00F3336C" w:rsidP="00F3336C">
            <w:pPr>
              <w:spacing w:after="120"/>
              <w:rPr>
                <w:lang w:val="ru-RU"/>
              </w:rPr>
            </w:pPr>
            <w:r w:rsidRPr="00013C48">
              <w:rPr>
                <w:lang w:val="ru-RU"/>
              </w:rPr>
              <w:t>64</w:t>
            </w:r>
            <w:r w:rsidRPr="00013C48">
              <w:rPr>
                <w:lang w:val="ru-RU"/>
              </w:rPr>
              <w:tab/>
            </w:r>
            <w:proofErr w:type="gramStart"/>
            <w:r w:rsidRPr="00013C48">
              <w:rPr>
                <w:lang w:val="ru-RU"/>
              </w:rPr>
              <w:t>С</w:t>
            </w:r>
            <w:proofErr w:type="gramEnd"/>
            <w:r w:rsidRPr="00013C48">
              <w:rPr>
                <w:lang w:val="ru-RU"/>
              </w:rPr>
              <w:t xml:space="preserve"> учетом цели оценки в соответствии с требованиями </w:t>
            </w:r>
            <w:proofErr w:type="spellStart"/>
            <w:r w:rsidRPr="00013C48">
              <w:rPr>
                <w:lang w:val="ru-RU"/>
              </w:rPr>
              <w:t>IPSAS</w:t>
            </w:r>
            <w:proofErr w:type="spellEnd"/>
            <w:r w:rsidRPr="00013C48">
              <w:rPr>
                <w:lang w:val="ru-RU"/>
              </w:rPr>
              <w:t xml:space="preserve"> 25, а также указаний, приведенных в пунктах 92–94 этого стандарта, </w:t>
            </w:r>
            <w:r w:rsidRPr="00013C48">
              <w:rPr>
                <w:u w:val="single"/>
                <w:lang w:val="ru-RU"/>
              </w:rPr>
              <w:t>мы рекомендуем</w:t>
            </w:r>
            <w:r w:rsidRPr="00013C48">
              <w:rPr>
                <w:lang w:val="ru-RU"/>
              </w:rPr>
              <w:t xml:space="preserve"> руководству в будущем просить актуария использовать ставку дисконтирования, равную доходности государственных долгосрочных облигаций Швейцарии. </w:t>
            </w:r>
          </w:p>
        </w:tc>
      </w:tr>
    </w:tbl>
    <w:p w:rsidR="00F3336C" w:rsidRPr="00013C48" w:rsidRDefault="00F3336C" w:rsidP="00F3336C">
      <w:pPr>
        <w:rPr>
          <w:lang w:val="ru-RU"/>
        </w:rPr>
      </w:pPr>
    </w:p>
    <w:tbl>
      <w:tblPr>
        <w:tblStyle w:val="TableGrid2"/>
        <w:tblW w:w="0" w:type="auto"/>
        <w:tblInd w:w="-5" w:type="dxa"/>
        <w:tblLook w:val="04A0" w:firstRow="1" w:lastRow="0" w:firstColumn="1" w:lastColumn="0" w:noHBand="0" w:noVBand="1"/>
      </w:tblPr>
      <w:tblGrid>
        <w:gridCol w:w="9634"/>
      </w:tblGrid>
      <w:tr w:rsidR="00F3336C" w:rsidRPr="00013C48" w:rsidTr="009C03CB">
        <w:trPr>
          <w:cantSplit/>
        </w:trPr>
        <w:tc>
          <w:tcPr>
            <w:tcW w:w="9634" w:type="dxa"/>
          </w:tcPr>
          <w:p w:rsidR="00F3336C" w:rsidRPr="00013C48" w:rsidRDefault="00F3336C" w:rsidP="00F3336C">
            <w:pPr>
              <w:rPr>
                <w:b/>
                <w:bCs/>
                <w:lang w:val="ru-RU"/>
              </w:rPr>
            </w:pPr>
            <w:r w:rsidRPr="00013C48">
              <w:rPr>
                <w:b/>
                <w:bCs/>
                <w:lang w:val="ru-RU"/>
              </w:rPr>
              <w:t>Комментарии Генерального секретаря</w:t>
            </w:r>
          </w:p>
          <w:p w:rsidR="00F3336C" w:rsidRPr="00013C48" w:rsidRDefault="00F3336C" w:rsidP="00F3336C">
            <w:pPr>
              <w:spacing w:after="120"/>
              <w:rPr>
                <w:lang w:val="ru-RU"/>
              </w:rPr>
            </w:pPr>
            <w:r w:rsidRPr="00013C48">
              <w:rPr>
                <w:lang w:val="ru-RU"/>
              </w:rPr>
              <w:t xml:space="preserve">Руководство приняло к сведению данную рекомендацию и обсудит этот вопрос с назначенным актуарием, с тем чтобы определить наиболее целесообразный подход, с учетом передового опыта организаций системы ООН. </w:t>
            </w:r>
          </w:p>
        </w:tc>
      </w:tr>
    </w:tbl>
    <w:p w:rsidR="00F3336C" w:rsidRPr="00013C48" w:rsidRDefault="00F3336C" w:rsidP="00F3336C">
      <w:pPr>
        <w:pStyle w:val="Headingi"/>
        <w:rPr>
          <w:b/>
          <w:bCs/>
          <w:lang w:val="ru-RU"/>
        </w:rPr>
      </w:pPr>
      <w:bookmarkStart w:id="209" w:name="_Toc452157326"/>
      <w:bookmarkStart w:id="210" w:name="_Toc452158649"/>
      <w:r w:rsidRPr="00013C48">
        <w:rPr>
          <w:b/>
          <w:bCs/>
          <w:lang w:val="ru-RU"/>
        </w:rPr>
        <w:t>Необходимо провести полное актуарное исследование</w:t>
      </w:r>
      <w:bookmarkEnd w:id="209"/>
      <w:bookmarkEnd w:id="210"/>
    </w:p>
    <w:p w:rsidR="00F3336C" w:rsidRPr="00013C48" w:rsidRDefault="00F3336C" w:rsidP="00F3336C">
      <w:pPr>
        <w:rPr>
          <w:lang w:val="ru-RU"/>
        </w:rPr>
      </w:pPr>
      <w:r w:rsidRPr="00013C48">
        <w:rPr>
          <w:lang w:val="ru-RU"/>
        </w:rPr>
        <w:t>65</w:t>
      </w:r>
      <w:r w:rsidRPr="00013C48">
        <w:rPr>
          <w:lang w:val="ru-RU"/>
        </w:rPr>
        <w:tab/>
      </w:r>
      <w:proofErr w:type="gramStart"/>
      <w:r w:rsidRPr="00013C48">
        <w:rPr>
          <w:lang w:val="ru-RU"/>
        </w:rPr>
        <w:t>В</w:t>
      </w:r>
      <w:proofErr w:type="gramEnd"/>
      <w:r w:rsidRPr="00013C48">
        <w:rPr>
          <w:lang w:val="ru-RU"/>
        </w:rPr>
        <w:t xml:space="preserve"> нашем отчете, касающемся финансовой отчетности за 2014 год, мы рекомендовали руководству в ближайшие годы провести полное актуарное исследование: важно получить ответы на вопросы достаточного финансирования и возможные пути их решения, с тем чтобы не допустить недофинансирования системы медицинского страхования МСЭ на распределительной основе в долгосрочной перспективе.</w:t>
      </w:r>
    </w:p>
    <w:p w:rsidR="00F3336C" w:rsidRPr="00013C48" w:rsidRDefault="00F3336C" w:rsidP="00F3336C">
      <w:pPr>
        <w:rPr>
          <w:lang w:val="ru-RU"/>
        </w:rPr>
      </w:pPr>
      <w:r w:rsidRPr="00013C48">
        <w:rPr>
          <w:lang w:val="ru-RU"/>
        </w:rPr>
        <w:t>66</w:t>
      </w:r>
      <w:r w:rsidRPr="00013C48">
        <w:rPr>
          <w:lang w:val="ru-RU"/>
        </w:rPr>
        <w:tab/>
        <w:t>В соответствии с нашей рекомендацией 3/2014 и ответом Генерального секретаря это исследование должно быть проведено в конце 2016 года; нам известно, что руководство уже начало процедуру тендера по отбору соответствующего эксперта-актуария для выполнения этой задачи, и мы будем следить за этим процессом.</w:t>
      </w:r>
    </w:p>
    <w:p w:rsidR="00F3336C" w:rsidRPr="00013C48" w:rsidRDefault="00F3336C" w:rsidP="00F3336C">
      <w:pPr>
        <w:pStyle w:val="Headingb"/>
        <w:rPr>
          <w:lang w:val="ru-RU"/>
        </w:rPr>
      </w:pPr>
      <w:bookmarkStart w:id="211" w:name="_Toc452157327"/>
      <w:bookmarkStart w:id="212" w:name="_Toc452158650"/>
      <w:r w:rsidRPr="00013C48">
        <w:rPr>
          <w:lang w:val="ru-RU"/>
        </w:rPr>
        <w:t>Обязательства и отрицательное значение чистых активов: невозможность сравнения в рамках системы ООН</w:t>
      </w:r>
      <w:bookmarkEnd w:id="211"/>
      <w:bookmarkEnd w:id="212"/>
    </w:p>
    <w:p w:rsidR="00F3336C" w:rsidRPr="00013C48" w:rsidRDefault="00F3336C" w:rsidP="00F3336C">
      <w:pPr>
        <w:rPr>
          <w:lang w:val="ru-RU"/>
        </w:rPr>
      </w:pPr>
      <w:r w:rsidRPr="00013C48">
        <w:rPr>
          <w:lang w:val="ru-RU"/>
        </w:rPr>
        <w:t>67</w:t>
      </w:r>
      <w:r w:rsidRPr="00013C48">
        <w:rPr>
          <w:lang w:val="ru-RU"/>
        </w:rPr>
        <w:tab/>
        <w:t xml:space="preserve">В прошлом году мы приветствовали участие руководства МСЭ в Рабочей группе по вопросам </w:t>
      </w:r>
      <w:proofErr w:type="spellStart"/>
      <w:r w:rsidRPr="00013C48">
        <w:rPr>
          <w:lang w:val="ru-RU"/>
        </w:rPr>
        <w:t>АСХИ</w:t>
      </w:r>
      <w:proofErr w:type="spellEnd"/>
      <w:r w:rsidRPr="00013C48">
        <w:rPr>
          <w:lang w:val="ru-RU"/>
        </w:rPr>
        <w:t xml:space="preserve">, действующей в рамках системы ООН. Результаты деятельности этой </w:t>
      </w:r>
      <w:proofErr w:type="spellStart"/>
      <w:r w:rsidRPr="00013C48">
        <w:rPr>
          <w:lang w:val="ru-RU"/>
        </w:rPr>
        <w:t>РГ</w:t>
      </w:r>
      <w:proofErr w:type="spellEnd"/>
      <w:r w:rsidRPr="00013C48">
        <w:rPr>
          <w:lang w:val="ru-RU"/>
        </w:rPr>
        <w:t xml:space="preserve"> были включены в </w:t>
      </w:r>
      <w:r w:rsidRPr="00013C48">
        <w:rPr>
          <w:lang w:val="ru-RU"/>
        </w:rPr>
        <w:lastRenderedPageBreak/>
        <w:t xml:space="preserve">доклад Генерального секретаря ООН A/70/590 от 4 декабря 2015 года. Мы получили этот доклад в конце марта 2016 года вместе с документом </w:t>
      </w:r>
      <w:proofErr w:type="spellStart"/>
      <w:r w:rsidRPr="00013C48">
        <w:rPr>
          <w:lang w:val="ru-RU"/>
        </w:rPr>
        <w:t>CEB</w:t>
      </w:r>
      <w:proofErr w:type="spellEnd"/>
      <w:r w:rsidRPr="00013C48">
        <w:rPr>
          <w:lang w:val="ru-RU"/>
        </w:rPr>
        <w:t>/2016/</w:t>
      </w:r>
      <w:proofErr w:type="spellStart"/>
      <w:r w:rsidRPr="00013C48">
        <w:rPr>
          <w:lang w:val="ru-RU"/>
        </w:rPr>
        <w:t>HLCM</w:t>
      </w:r>
      <w:proofErr w:type="spellEnd"/>
      <w:r w:rsidRPr="00013C48">
        <w:rPr>
          <w:lang w:val="ru-RU"/>
        </w:rPr>
        <w:t>/12 от 14 марта 2016 года, выпущенным Комитетом высокого уровня по вопросам управления (</w:t>
      </w:r>
      <w:proofErr w:type="spellStart"/>
      <w:r w:rsidRPr="00013C48">
        <w:rPr>
          <w:lang w:val="ru-RU"/>
        </w:rPr>
        <w:t>КВУУ</w:t>
      </w:r>
      <w:proofErr w:type="spellEnd"/>
      <w:r w:rsidRPr="00013C48">
        <w:rPr>
          <w:lang w:val="ru-RU"/>
        </w:rPr>
        <w:t>) в связи с его 33-й сессией, состоявшейся 22−23 марта 2016 года.</w:t>
      </w:r>
    </w:p>
    <w:p w:rsidR="00F3336C" w:rsidRPr="00013C48" w:rsidRDefault="00F3336C" w:rsidP="00F3336C">
      <w:pPr>
        <w:rPr>
          <w:lang w:val="ru-RU"/>
        </w:rPr>
      </w:pPr>
      <w:r w:rsidRPr="00013C48">
        <w:rPr>
          <w:lang w:val="ru-RU"/>
        </w:rPr>
        <w:t>68</w:t>
      </w:r>
      <w:r w:rsidRPr="00013C48">
        <w:rPr>
          <w:lang w:val="ru-RU"/>
        </w:rPr>
        <w:tab/>
      </w:r>
      <w:proofErr w:type="gramStart"/>
      <w:r w:rsidRPr="00013C48">
        <w:rPr>
          <w:lang w:val="ru-RU"/>
        </w:rPr>
        <w:t>В</w:t>
      </w:r>
      <w:proofErr w:type="gramEnd"/>
      <w:r w:rsidRPr="00013C48">
        <w:rPr>
          <w:lang w:val="ru-RU"/>
        </w:rPr>
        <w:t xml:space="preserve"> этих двух документах содержится множество рекомендаций по решению проблемы актуарных обязательств, связанных с </w:t>
      </w:r>
      <w:proofErr w:type="spellStart"/>
      <w:r w:rsidRPr="00013C48">
        <w:rPr>
          <w:lang w:val="ru-RU"/>
        </w:rPr>
        <w:t>АСХИ</w:t>
      </w:r>
      <w:proofErr w:type="spellEnd"/>
      <w:r w:rsidRPr="00013C48">
        <w:rPr>
          <w:lang w:val="ru-RU"/>
        </w:rPr>
        <w:t>. Мы проведем тщательный анализ последствий возможного выполнения этих рекомендаций, с учетом того, что они по-прежнему находятся на стадии разработки, поскольку деятельность Рабочей группы продолжается.</w:t>
      </w:r>
    </w:p>
    <w:p w:rsidR="00F3336C" w:rsidRPr="00013C48" w:rsidRDefault="00F3336C" w:rsidP="00F3336C">
      <w:pPr>
        <w:rPr>
          <w:lang w:val="ru-RU"/>
        </w:rPr>
      </w:pPr>
      <w:r w:rsidRPr="00013C48">
        <w:rPr>
          <w:lang w:val="ru-RU"/>
        </w:rPr>
        <w:t>69</w:t>
      </w:r>
      <w:r w:rsidRPr="00013C48">
        <w:rPr>
          <w:lang w:val="ru-RU"/>
        </w:rPr>
        <w:tab/>
        <w:t xml:space="preserve">Как уже указывалось в нашем отчете, касающемся финансовой отчетности за 2014 год, мы обращаем особое внимание на тот факт, что в рамках системы ООН не всегда возможно согласовать большинство ключевых допущений, используемых в связи с </w:t>
      </w:r>
      <w:proofErr w:type="spellStart"/>
      <w:r w:rsidRPr="00013C48">
        <w:rPr>
          <w:lang w:val="ru-RU"/>
        </w:rPr>
        <w:t>АСХИ</w:t>
      </w:r>
      <w:proofErr w:type="spellEnd"/>
      <w:r w:rsidRPr="00013C48">
        <w:rPr>
          <w:lang w:val="ru-RU"/>
        </w:rPr>
        <w:t>, из-за различия характеристик каждого учреждения. К этим характеристикам относятся численность и состав персонала (оклады и продвижение по службе, семейные пособия и т. д.) и месторасположения (число сотрудников, размещенных в отделениях на местах), которые влияют на прогнозируемую заболеваемость и смертность.</w:t>
      </w:r>
    </w:p>
    <w:p w:rsidR="00F3336C" w:rsidRPr="00013C48" w:rsidRDefault="00F3336C" w:rsidP="00F3336C">
      <w:pPr>
        <w:rPr>
          <w:lang w:val="ru-RU"/>
        </w:rPr>
      </w:pPr>
      <w:r w:rsidRPr="00013C48">
        <w:rPr>
          <w:lang w:val="ru-RU"/>
        </w:rPr>
        <w:t>70</w:t>
      </w:r>
      <w:r w:rsidRPr="00013C48">
        <w:rPr>
          <w:lang w:val="ru-RU"/>
        </w:rPr>
        <w:tab/>
        <w:t xml:space="preserve">Принимая во внимание, например, различия в расчете ставки дисконтирования в соответствии со стандартом </w:t>
      </w:r>
      <w:proofErr w:type="spellStart"/>
      <w:r w:rsidRPr="00013C48">
        <w:rPr>
          <w:lang w:val="ru-RU"/>
        </w:rPr>
        <w:t>IPSAS</w:t>
      </w:r>
      <w:proofErr w:type="spellEnd"/>
      <w:r w:rsidRPr="00013C48">
        <w:rPr>
          <w:lang w:val="ru-RU"/>
        </w:rPr>
        <w:t xml:space="preserve"> 25, мы отмечаем, что некоторые учреждения указывают разные показатели доходности (например, показатели доходности корпоративных облигаций, имеющих рейтинг </w:t>
      </w:r>
      <w:proofErr w:type="spellStart"/>
      <w:r w:rsidRPr="00013C48">
        <w:rPr>
          <w:lang w:val="ru-RU"/>
        </w:rPr>
        <w:t>AA</w:t>
      </w:r>
      <w:proofErr w:type="spellEnd"/>
      <w:r w:rsidRPr="00013C48">
        <w:rPr>
          <w:lang w:val="ru-RU"/>
        </w:rPr>
        <w:t xml:space="preserve">, которые разрабатываются различными операторами, или показатели доходности государственных долгосрочных облигаций); поэтому трудно провести прямое сравнение текущей ситуации с актуарными обязательствами МСЭ и текущей ситуации с обязательствами других учреждений системы ООН. </w:t>
      </w:r>
    </w:p>
    <w:p w:rsidR="00F3336C" w:rsidRPr="00013C48" w:rsidRDefault="00F3336C" w:rsidP="00F3336C">
      <w:pPr>
        <w:pStyle w:val="Headingb"/>
        <w:rPr>
          <w:lang w:val="ru-RU"/>
        </w:rPr>
      </w:pPr>
      <w:bookmarkStart w:id="213" w:name="_Toc452157328"/>
      <w:bookmarkStart w:id="214" w:name="_Toc452158651"/>
      <w:bookmarkStart w:id="215" w:name="_Toc415170489"/>
      <w:bookmarkStart w:id="216" w:name="_Toc415566494"/>
      <w:bookmarkStart w:id="217" w:name="_Toc418501327"/>
      <w:bookmarkStart w:id="218" w:name="_Toc418597594"/>
      <w:r w:rsidRPr="00013C48">
        <w:rPr>
          <w:lang w:val="ru-RU"/>
        </w:rPr>
        <w:t>Недофинансирование в МСЭ в будущем: определение возможных "факторов" его уменьшения</w:t>
      </w:r>
      <w:bookmarkEnd w:id="213"/>
      <w:bookmarkEnd w:id="214"/>
    </w:p>
    <w:p w:rsidR="00F3336C" w:rsidRPr="00013C48" w:rsidRDefault="00F3336C" w:rsidP="00F3336C">
      <w:pPr>
        <w:rPr>
          <w:lang w:val="ru-RU"/>
        </w:rPr>
      </w:pPr>
      <w:r w:rsidRPr="00013C48">
        <w:rPr>
          <w:lang w:val="ru-RU"/>
        </w:rPr>
        <w:t>71</w:t>
      </w:r>
      <w:r w:rsidRPr="00013C48">
        <w:rPr>
          <w:lang w:val="ru-RU"/>
        </w:rPr>
        <w:tab/>
        <w:t xml:space="preserve">В прошлом году мы также указали, что, по нашему мнению, необходимо принять меры по исправлению ситуации, чтобы сократить уровень недофинансирования обязательств по вознаграждению сотрудников, которое связано, в основном, с увеличением актуарных обязательств по </w:t>
      </w:r>
      <w:proofErr w:type="spellStart"/>
      <w:r w:rsidRPr="00013C48">
        <w:rPr>
          <w:lang w:val="ru-RU"/>
        </w:rPr>
        <w:t>АСХИ</w:t>
      </w:r>
      <w:bookmarkEnd w:id="215"/>
      <w:bookmarkEnd w:id="216"/>
      <w:bookmarkEnd w:id="217"/>
      <w:bookmarkEnd w:id="218"/>
      <w:proofErr w:type="spellEnd"/>
      <w:r w:rsidRPr="00013C48">
        <w:rPr>
          <w:lang w:val="ru-RU"/>
        </w:rPr>
        <w:t>.</w:t>
      </w:r>
    </w:p>
    <w:p w:rsidR="00F3336C" w:rsidRPr="00013C48" w:rsidRDefault="00F3336C" w:rsidP="00F3336C">
      <w:pPr>
        <w:rPr>
          <w:lang w:val="ru-RU"/>
        </w:rPr>
      </w:pPr>
      <w:r w:rsidRPr="00013C48">
        <w:rPr>
          <w:lang w:val="ru-RU"/>
        </w:rPr>
        <w:t>72</w:t>
      </w:r>
      <w:r w:rsidRPr="00013C48">
        <w:rPr>
          <w:lang w:val="ru-RU"/>
        </w:rPr>
        <w:tab/>
        <w:t>Мы также показали пять основных "факторов" финансирования обязательств, и, следовательно, покрытия отрицательных чистых активов. Три из них направлены на финансирование обязательств, а два – на управление ими; мы также рекомендовали (рекомендация 4/2014), чтобы руководство контролировало эти факторы и обеспечило достаточное финансирование на распределительной и долгосрочной основе.</w:t>
      </w:r>
    </w:p>
    <w:p w:rsidR="00F3336C" w:rsidRPr="00013C48" w:rsidRDefault="00F3336C" w:rsidP="00F3336C">
      <w:pPr>
        <w:rPr>
          <w:lang w:val="ru-RU"/>
        </w:rPr>
      </w:pPr>
      <w:r w:rsidRPr="00013C48">
        <w:rPr>
          <w:lang w:val="ru-RU"/>
        </w:rPr>
        <w:t>73</w:t>
      </w:r>
      <w:r w:rsidRPr="00013C48">
        <w:rPr>
          <w:lang w:val="ru-RU"/>
        </w:rPr>
        <w:tab/>
        <w:t xml:space="preserve">Мы также представили предложение о том, чтобы определить комплексный набор факторов и </w:t>
      </w:r>
      <w:proofErr w:type="spellStart"/>
      <w:r w:rsidRPr="00013C48">
        <w:rPr>
          <w:lang w:val="ru-RU"/>
        </w:rPr>
        <w:t>субфакторов</w:t>
      </w:r>
      <w:proofErr w:type="spellEnd"/>
      <w:r w:rsidRPr="00013C48">
        <w:rPr>
          <w:lang w:val="ru-RU"/>
        </w:rPr>
        <w:t xml:space="preserve"> и использовать наиболее подходящие факторы для эффективного мониторинга положения </w:t>
      </w:r>
      <w:proofErr w:type="spellStart"/>
      <w:r w:rsidRPr="00013C48">
        <w:rPr>
          <w:lang w:val="ru-RU"/>
        </w:rPr>
        <w:t>АСХИ</w:t>
      </w:r>
      <w:proofErr w:type="spellEnd"/>
      <w:r w:rsidRPr="00013C48">
        <w:rPr>
          <w:lang w:val="ru-RU"/>
        </w:rPr>
        <w:t xml:space="preserve"> и принятия по нему мер.</w:t>
      </w:r>
    </w:p>
    <w:p w:rsidR="00F3336C" w:rsidRPr="00013C48" w:rsidRDefault="00F3336C" w:rsidP="00F3336C">
      <w:pPr>
        <w:rPr>
          <w:lang w:val="ru-RU"/>
        </w:rPr>
      </w:pPr>
      <w:r w:rsidRPr="00013C48">
        <w:rPr>
          <w:lang w:val="ru-RU"/>
        </w:rPr>
        <w:t>74</w:t>
      </w:r>
      <w:r w:rsidRPr="00013C48">
        <w:rPr>
          <w:lang w:val="ru-RU"/>
        </w:rPr>
        <w:tab/>
        <w:t xml:space="preserve">Мы отмечаем, что руководство МСЭ рассмотрело ряд мер по решению проблемы недофинансирования </w:t>
      </w:r>
      <w:proofErr w:type="spellStart"/>
      <w:r w:rsidRPr="00013C48">
        <w:rPr>
          <w:lang w:val="ru-RU"/>
        </w:rPr>
        <w:t>АСХИ</w:t>
      </w:r>
      <w:proofErr w:type="spellEnd"/>
      <w:r w:rsidRPr="00013C48">
        <w:rPr>
          <w:lang w:val="ru-RU"/>
        </w:rPr>
        <w:t xml:space="preserve">; вместе с тем, поскольку полное актуарное исследование поможет показать, при каких условиях издержки, связанные с </w:t>
      </w:r>
      <w:proofErr w:type="spellStart"/>
      <w:r w:rsidRPr="00013C48">
        <w:rPr>
          <w:lang w:val="ru-RU"/>
        </w:rPr>
        <w:t>АСХИ</w:t>
      </w:r>
      <w:proofErr w:type="spellEnd"/>
      <w:r w:rsidRPr="00013C48">
        <w:rPr>
          <w:lang w:val="ru-RU"/>
        </w:rPr>
        <w:t>, могут затронуть основную деятельность, мы будем контролировать эффективность любых мер, принятых руководством, на основе результатов данного исследования.</w:t>
      </w:r>
    </w:p>
    <w:p w:rsidR="00810A7E" w:rsidRPr="00013C48" w:rsidRDefault="00810A7E" w:rsidP="00E752E3">
      <w:pPr>
        <w:pStyle w:val="Headingb"/>
        <w:rPr>
          <w:lang w:val="ru-RU"/>
        </w:rPr>
      </w:pPr>
      <w:bookmarkStart w:id="219" w:name="_Toc392187686"/>
      <w:bookmarkStart w:id="220" w:name="_Toc418501329"/>
      <w:bookmarkStart w:id="221" w:name="_Toc418597596"/>
      <w:bookmarkStart w:id="222" w:name="_Toc450158119"/>
      <w:bookmarkStart w:id="223" w:name="_Toc450323549"/>
      <w:bookmarkStart w:id="224" w:name="_Toc450991488"/>
      <w:bookmarkStart w:id="225" w:name="_Toc452157329"/>
      <w:bookmarkStart w:id="226" w:name="_Toc452158652"/>
      <w:bookmarkStart w:id="227" w:name="_Toc392672719"/>
      <w:bookmarkStart w:id="228" w:name="_Toc392187689"/>
      <w:bookmarkStart w:id="229" w:name="_Toc418501330"/>
      <w:bookmarkStart w:id="230" w:name="_Toc418597597"/>
      <w:r w:rsidRPr="00013C48">
        <w:rPr>
          <w:lang w:val="ru-RU"/>
        </w:rPr>
        <w:lastRenderedPageBreak/>
        <w:t xml:space="preserve">Выход из </w:t>
      </w:r>
      <w:proofErr w:type="spellStart"/>
      <w:r w:rsidRPr="00013C48">
        <w:rPr>
          <w:lang w:val="ru-RU"/>
        </w:rPr>
        <w:t>ФМСП</w:t>
      </w:r>
      <w:proofErr w:type="spellEnd"/>
      <w:r w:rsidRPr="00013C48">
        <w:rPr>
          <w:lang w:val="ru-RU"/>
        </w:rPr>
        <w:t>:</w:t>
      </w:r>
      <w:bookmarkEnd w:id="219"/>
      <w:bookmarkEnd w:id="220"/>
      <w:bookmarkEnd w:id="221"/>
      <w:r w:rsidRPr="00013C48">
        <w:rPr>
          <w:lang w:val="ru-RU"/>
        </w:rPr>
        <w:t xml:space="preserve"> противоречия в производстве расчетов</w:t>
      </w:r>
      <w:bookmarkEnd w:id="222"/>
      <w:bookmarkEnd w:id="223"/>
      <w:bookmarkEnd w:id="224"/>
      <w:bookmarkEnd w:id="225"/>
      <w:bookmarkEnd w:id="226"/>
    </w:p>
    <w:p w:rsidR="00810A7E" w:rsidRPr="00013C48" w:rsidRDefault="00810A7E" w:rsidP="006E3CE4">
      <w:pPr>
        <w:keepNext/>
        <w:keepLines/>
        <w:rPr>
          <w:lang w:val="ru-RU"/>
        </w:rPr>
      </w:pPr>
      <w:r w:rsidRPr="00013C48">
        <w:rPr>
          <w:lang w:val="ru-RU"/>
        </w:rPr>
        <w:t>75</w:t>
      </w:r>
      <w:r w:rsidRPr="00013C48">
        <w:rPr>
          <w:lang w:val="ru-RU"/>
        </w:rPr>
        <w:tab/>
        <w:t xml:space="preserve">Следует отметить, что выход из </w:t>
      </w:r>
      <w:proofErr w:type="spellStart"/>
      <w:r w:rsidRPr="00013C48">
        <w:rPr>
          <w:lang w:val="ru-RU"/>
        </w:rPr>
        <w:t>ФМСП</w:t>
      </w:r>
      <w:proofErr w:type="spellEnd"/>
      <w:r w:rsidRPr="00013C48">
        <w:rPr>
          <w:lang w:val="ru-RU"/>
        </w:rPr>
        <w:t xml:space="preserve"> – находящейся в ведении МОТ системы медицинского страхования, в которой МСЭ участвовал до 2014 года, полностью еще не завершен из-за существующих между двумя учреждениями разногласий относительно суммы, подлежащей выплате МСЭ со стороны </w:t>
      </w:r>
      <w:proofErr w:type="spellStart"/>
      <w:r w:rsidRPr="00013C48">
        <w:rPr>
          <w:lang w:val="ru-RU"/>
        </w:rPr>
        <w:t>ФМСП</w:t>
      </w:r>
      <w:proofErr w:type="spellEnd"/>
      <w:r w:rsidRPr="00013C48">
        <w:rPr>
          <w:lang w:val="ru-RU"/>
        </w:rPr>
        <w:t>, суть которых составляют два ключевых вопроса:</w:t>
      </w:r>
    </w:p>
    <w:p w:rsidR="00810A7E" w:rsidRPr="00013C48" w:rsidRDefault="00E752E3" w:rsidP="00E752E3">
      <w:pPr>
        <w:pStyle w:val="enumlev1"/>
        <w:rPr>
          <w:lang w:val="ru-RU"/>
        </w:rPr>
      </w:pPr>
      <w:proofErr w:type="gramStart"/>
      <w:r w:rsidRPr="00013C48">
        <w:rPr>
          <w:lang w:val="ru-RU"/>
        </w:rPr>
        <w:t>а)</w:t>
      </w:r>
      <w:r w:rsidRPr="00013C48">
        <w:rPr>
          <w:lang w:val="ru-RU"/>
        </w:rPr>
        <w:tab/>
      </w:r>
      <w:proofErr w:type="gramEnd"/>
      <w:r w:rsidR="00810A7E" w:rsidRPr="00013C48">
        <w:rPr>
          <w:lang w:val="ru-RU"/>
        </w:rPr>
        <w:t xml:space="preserve">учитывая выход из системы, застрахованные МСЭ сотрудники могли направлять в </w:t>
      </w:r>
      <w:proofErr w:type="spellStart"/>
      <w:r w:rsidR="00810A7E" w:rsidRPr="00013C48">
        <w:rPr>
          <w:lang w:val="ru-RU"/>
        </w:rPr>
        <w:t>ФМСП</w:t>
      </w:r>
      <w:proofErr w:type="spellEnd"/>
      <w:r w:rsidR="00810A7E" w:rsidRPr="00013C48">
        <w:rPr>
          <w:lang w:val="ru-RU"/>
        </w:rPr>
        <w:t xml:space="preserve"> заявки на возмещение расходов до 31 января 2015 года. Очевидно, что после этой даты требовалось время для обработки заявок на возмещение расходов. МОТ начислила на МСЭ административные затраты в полном объеме за пять месяцев (до 31 мая 2015 г.), как если бы все сотрудники МСЭ обратились за выплатами в прежний фонд. МСЭ утверждает, что речь идет лишь о небольшом числе заявлений, поэтому административные расходы не могут быть начислены на МСЭ в таком размере;</w:t>
      </w:r>
    </w:p>
    <w:p w:rsidR="00810A7E" w:rsidRPr="00013C48" w:rsidRDefault="00E752E3" w:rsidP="00E752E3">
      <w:pPr>
        <w:pStyle w:val="enumlev1"/>
        <w:rPr>
          <w:lang w:val="ru-RU"/>
        </w:rPr>
      </w:pPr>
      <w:r w:rsidRPr="00013C48">
        <w:rPr>
          <w:lang w:val="ru-RU"/>
        </w:rPr>
        <w:t>b)</w:t>
      </w:r>
      <w:r w:rsidRPr="00013C48">
        <w:rPr>
          <w:lang w:val="ru-RU"/>
        </w:rPr>
        <w:tab/>
      </w:r>
      <w:r w:rsidR="00810A7E" w:rsidRPr="00013C48">
        <w:rPr>
          <w:lang w:val="ru-RU"/>
        </w:rPr>
        <w:t xml:space="preserve">второй вопрос касается ликвидации гарантийного фонда </w:t>
      </w:r>
      <w:proofErr w:type="spellStart"/>
      <w:r w:rsidR="00810A7E" w:rsidRPr="00013C48">
        <w:rPr>
          <w:lang w:val="ru-RU"/>
        </w:rPr>
        <w:t>ФМСП</w:t>
      </w:r>
      <w:proofErr w:type="spellEnd"/>
      <w:r w:rsidR="00810A7E" w:rsidRPr="00013C48">
        <w:rPr>
          <w:lang w:val="ru-RU"/>
        </w:rPr>
        <w:t>, в создании и ведении которого участвовал МСЭ и его взнос составлял 23% этого фонда: МСЭ полгал, что в соответствии с принципом пропорциональности своего взноса, а также принципами взаимности и солидарности, Союзу будет выплачена доля от оцененной стоимости фонда, соответствующая доле его уплаченного взноса в фонд; МОТ не согласилась с этой цифрой и предложила значительно меньшую сумму.</w:t>
      </w:r>
    </w:p>
    <w:p w:rsidR="00810A7E" w:rsidRPr="00013C48" w:rsidRDefault="00810A7E" w:rsidP="00810A7E">
      <w:pPr>
        <w:rPr>
          <w:lang w:val="ru-RU"/>
        </w:rPr>
      </w:pPr>
      <w:r w:rsidRPr="00013C48">
        <w:rPr>
          <w:lang w:val="ru-RU"/>
        </w:rPr>
        <w:t>76</w:t>
      </w:r>
      <w:r w:rsidRPr="00013C48">
        <w:rPr>
          <w:lang w:val="ru-RU"/>
        </w:rPr>
        <w:tab/>
        <w:t>По этим двум основным причинам МСЭ предусмотрел сумму в 500 тыс. швейцарских франков для последующего возможного судебного разбирательства (см. п. 43, выше).</w:t>
      </w:r>
    </w:p>
    <w:p w:rsidR="00810A7E" w:rsidRPr="00013C48" w:rsidRDefault="00810A7E" w:rsidP="00E752E3">
      <w:pPr>
        <w:pStyle w:val="Headingb"/>
        <w:rPr>
          <w:lang w:val="ru-RU"/>
        </w:rPr>
      </w:pPr>
      <w:bookmarkStart w:id="231" w:name="_Toc452157330"/>
      <w:bookmarkStart w:id="232" w:name="_Toc452158653"/>
      <w:r w:rsidRPr="00013C48">
        <w:rPr>
          <w:lang w:val="ru-RU"/>
        </w:rPr>
        <w:t>Вознаграждение сотрудников: Страховая касса персонала МСЭ</w:t>
      </w:r>
      <w:bookmarkEnd w:id="227"/>
      <w:r w:rsidRPr="00013C48">
        <w:rPr>
          <w:lang w:val="ru-RU"/>
        </w:rPr>
        <w:t xml:space="preserve"> (закрытые пенсионные фонды МСЭ</w:t>
      </w:r>
      <w:bookmarkEnd w:id="228"/>
      <w:bookmarkEnd w:id="229"/>
      <w:bookmarkEnd w:id="230"/>
      <w:r w:rsidRPr="00013C48">
        <w:rPr>
          <w:lang w:val="ru-RU"/>
        </w:rPr>
        <w:t>)</w:t>
      </w:r>
      <w:bookmarkEnd w:id="231"/>
      <w:bookmarkEnd w:id="232"/>
    </w:p>
    <w:p w:rsidR="00810A7E" w:rsidRPr="00013C48" w:rsidRDefault="00810A7E" w:rsidP="00810A7E">
      <w:pPr>
        <w:rPr>
          <w:lang w:val="ru-RU"/>
        </w:rPr>
      </w:pPr>
      <w:proofErr w:type="gramStart"/>
      <w:r w:rsidRPr="00013C48">
        <w:rPr>
          <w:lang w:val="ru-RU"/>
        </w:rPr>
        <w:t>77</w:t>
      </w:r>
      <w:proofErr w:type="gramEnd"/>
      <w:r w:rsidRPr="00013C48">
        <w:rPr>
          <w:lang w:val="ru-RU"/>
        </w:rPr>
        <w:tab/>
        <w:t>Как и в предыдущие годы, на момент закрытия на счетах учтена сумма в 90 000 швейцарских франков; она связана с обязательствами по пособиям в форме пенсии, выплачиваемой бывшим сотрудникам из Страховой кассы персонала (см. также связанный с этим пункт 93).</w:t>
      </w:r>
    </w:p>
    <w:p w:rsidR="00810A7E" w:rsidRPr="00013C48" w:rsidRDefault="00810A7E" w:rsidP="00E752E3">
      <w:pPr>
        <w:pStyle w:val="Heading1"/>
        <w:rPr>
          <w:lang w:val="ru-RU"/>
        </w:rPr>
      </w:pPr>
      <w:bookmarkStart w:id="233" w:name="_Toc418501331"/>
      <w:bookmarkStart w:id="234" w:name="_Toc418597598"/>
      <w:bookmarkStart w:id="235" w:name="_Toc452157331"/>
      <w:bookmarkStart w:id="236" w:name="_Toc452158654"/>
      <w:r w:rsidRPr="00013C48">
        <w:rPr>
          <w:lang w:val="ru-RU"/>
        </w:rPr>
        <w:t>ЧИСТЫЕ АКТИВЫ</w:t>
      </w:r>
      <w:bookmarkEnd w:id="233"/>
      <w:bookmarkEnd w:id="234"/>
      <w:bookmarkEnd w:id="235"/>
      <w:bookmarkEnd w:id="236"/>
    </w:p>
    <w:p w:rsidR="00810A7E" w:rsidRPr="00013C48" w:rsidRDefault="00810A7E" w:rsidP="00E752E3">
      <w:pPr>
        <w:rPr>
          <w:lang w:val="ru-RU"/>
        </w:rPr>
      </w:pPr>
      <w:r w:rsidRPr="00013C48">
        <w:rPr>
          <w:lang w:val="ru-RU"/>
        </w:rPr>
        <w:t>78</w:t>
      </w:r>
      <w:r w:rsidRPr="00013C48">
        <w:rPr>
          <w:lang w:val="ru-RU"/>
        </w:rPr>
        <w:tab/>
        <w:t xml:space="preserve">Чистые активы состояли из собственных целевых и нецелевых средств, внебюджетных фондов, результата внебюджетной деятельности, активного сальдо/дефицита за финансовый год и воздействия перехода к </w:t>
      </w:r>
      <w:proofErr w:type="spellStart"/>
      <w:r w:rsidRPr="00013C48">
        <w:rPr>
          <w:lang w:val="ru-RU"/>
        </w:rPr>
        <w:t>IPSAS</w:t>
      </w:r>
      <w:proofErr w:type="spellEnd"/>
      <w:r w:rsidRPr="00013C48">
        <w:rPr>
          <w:lang w:val="ru-RU"/>
        </w:rPr>
        <w:t xml:space="preserve">. В 2015 году чистые активы составили отрицательное значение </w:t>
      </w:r>
      <w:r w:rsidR="00E752E3" w:rsidRPr="00013C48">
        <w:rPr>
          <w:lang w:val="ru-RU"/>
        </w:rPr>
        <w:t>−</w:t>
      </w:r>
      <w:r w:rsidRPr="00013C48">
        <w:rPr>
          <w:lang w:val="ru-RU"/>
        </w:rPr>
        <w:t xml:space="preserve">343,2 млн. швейцарских франков, что представляет уменьшение по сравнению с </w:t>
      </w:r>
      <w:r w:rsidR="00E752E3" w:rsidRPr="00013C48">
        <w:rPr>
          <w:lang w:val="ru-RU"/>
        </w:rPr>
        <w:t>−</w:t>
      </w:r>
      <w:r w:rsidRPr="00013C48">
        <w:rPr>
          <w:lang w:val="ru-RU"/>
        </w:rPr>
        <w:t>386,0 млн. швейцарских франков в 2014 году.</w:t>
      </w:r>
    </w:p>
    <w:p w:rsidR="00810A7E" w:rsidRPr="00013C48" w:rsidRDefault="00810A7E" w:rsidP="00810A7E">
      <w:pPr>
        <w:rPr>
          <w:lang w:val="ru-RU"/>
        </w:rPr>
      </w:pPr>
      <w:r w:rsidRPr="00013C48">
        <w:rPr>
          <w:lang w:val="ru-RU"/>
        </w:rPr>
        <w:t>79</w:t>
      </w:r>
      <w:r w:rsidRPr="00013C48">
        <w:rPr>
          <w:lang w:val="ru-RU"/>
        </w:rPr>
        <w:tab/>
        <w:t>Все движения в чистых активах поясняются в различных таблицах и примечаниях к Отчету о финансовой деятельности, в частности:</w:t>
      </w:r>
    </w:p>
    <w:p w:rsidR="00810A7E" w:rsidRPr="00013C48" w:rsidRDefault="00810A7E" w:rsidP="00E752E3">
      <w:pPr>
        <w:pStyle w:val="enumlev1"/>
        <w:rPr>
          <w:lang w:val="ru-RU"/>
        </w:rPr>
      </w:pPr>
      <w:r w:rsidRPr="00013C48">
        <w:rPr>
          <w:lang w:val="ru-RU"/>
        </w:rPr>
        <w:t>a)</w:t>
      </w:r>
      <w:r w:rsidRPr="00013C48">
        <w:rPr>
          <w:lang w:val="ru-RU"/>
        </w:rPr>
        <w:tab/>
        <w:t>в Таблице </w:t>
      </w:r>
      <w:proofErr w:type="spellStart"/>
      <w:r w:rsidRPr="00013C48">
        <w:rPr>
          <w:lang w:val="ru-RU"/>
        </w:rPr>
        <w:t>II</w:t>
      </w:r>
      <w:proofErr w:type="spellEnd"/>
      <w:r w:rsidRPr="00013C48">
        <w:rPr>
          <w:lang w:val="ru-RU"/>
        </w:rPr>
        <w:t xml:space="preserve"> "Отчет о результатах финансовой деятельности", в котором показан дефицит за финансовый период (–15,8 млн. швейцарских франков);</w:t>
      </w:r>
    </w:p>
    <w:p w:rsidR="00810A7E" w:rsidRPr="00013C48" w:rsidRDefault="00810A7E" w:rsidP="00E752E3">
      <w:pPr>
        <w:pStyle w:val="enumlev1"/>
        <w:rPr>
          <w:lang w:val="ru-RU"/>
        </w:rPr>
      </w:pPr>
      <w:r w:rsidRPr="00013C48">
        <w:rPr>
          <w:lang w:val="ru-RU"/>
        </w:rPr>
        <w:t>b)</w:t>
      </w:r>
      <w:r w:rsidRPr="00013C48">
        <w:rPr>
          <w:lang w:val="ru-RU"/>
        </w:rPr>
        <w:tab/>
        <w:t>в Таблице </w:t>
      </w:r>
      <w:proofErr w:type="spellStart"/>
      <w:r w:rsidRPr="00013C48">
        <w:rPr>
          <w:lang w:val="ru-RU"/>
        </w:rPr>
        <w:t>III</w:t>
      </w:r>
      <w:proofErr w:type="spellEnd"/>
      <w:r w:rsidRPr="00013C48">
        <w:rPr>
          <w:lang w:val="ru-RU"/>
        </w:rPr>
        <w:t xml:space="preserve"> "Отчет об изменениях в чистых активах", в котором показано движение отдельно по каждому виду собственных средств и воздействие перехода к </w:t>
      </w:r>
      <w:proofErr w:type="spellStart"/>
      <w:r w:rsidRPr="00013C48">
        <w:rPr>
          <w:lang w:val="ru-RU"/>
        </w:rPr>
        <w:t>IPSAS</w:t>
      </w:r>
      <w:proofErr w:type="spellEnd"/>
      <w:r w:rsidRPr="00013C48">
        <w:rPr>
          <w:lang w:val="ru-RU"/>
        </w:rPr>
        <w:t>;</w:t>
      </w:r>
    </w:p>
    <w:p w:rsidR="00810A7E" w:rsidRPr="00013C48" w:rsidRDefault="00810A7E" w:rsidP="00E752E3">
      <w:pPr>
        <w:pStyle w:val="enumlev1"/>
        <w:rPr>
          <w:lang w:val="ru-RU"/>
        </w:rPr>
      </w:pPr>
      <w:r w:rsidRPr="00013C48">
        <w:rPr>
          <w:lang w:val="ru-RU"/>
        </w:rPr>
        <w:t>c)</w:t>
      </w:r>
      <w:r w:rsidRPr="00013C48">
        <w:rPr>
          <w:lang w:val="ru-RU"/>
        </w:rPr>
        <w:tab/>
        <w:t>в Таблице V "Сравнительная таблица предусмотренных в бюджете сумм и фактических сумм", в которой также приводится информация по бухгалтерской выверке указанных в бюджете результатов (фактических сумм) и сумм, учтенных в финансовой отчетности (в связи с этим см. также Примечание 25);</w:t>
      </w:r>
    </w:p>
    <w:p w:rsidR="00810A7E" w:rsidRPr="00013C48" w:rsidRDefault="00810A7E" w:rsidP="00E752E3">
      <w:pPr>
        <w:pStyle w:val="enumlev1"/>
        <w:rPr>
          <w:lang w:val="ru-RU"/>
        </w:rPr>
      </w:pPr>
      <w:r w:rsidRPr="00013C48">
        <w:rPr>
          <w:lang w:val="ru-RU"/>
        </w:rPr>
        <w:t>d)</w:t>
      </w:r>
      <w:r w:rsidRPr="00013C48">
        <w:rPr>
          <w:lang w:val="ru-RU"/>
        </w:rPr>
        <w:tab/>
        <w:t>в Примечании 3 "Основные принципы бухгалтерского учета", в пункте, касающемся "учета средств", в частности в подпункте "Собственные целевые средства" и пункте, касающемся "Резервного счета";</w:t>
      </w:r>
    </w:p>
    <w:p w:rsidR="00810A7E" w:rsidRPr="00013C48" w:rsidRDefault="00810A7E" w:rsidP="00013C48">
      <w:pPr>
        <w:pStyle w:val="enumlev1"/>
        <w:rPr>
          <w:lang w:val="ru-RU"/>
        </w:rPr>
      </w:pPr>
      <w:r w:rsidRPr="00013C48">
        <w:rPr>
          <w:lang w:val="ru-RU"/>
        </w:rPr>
        <w:lastRenderedPageBreak/>
        <w:t>e)</w:t>
      </w:r>
      <w:r w:rsidRPr="00013C48">
        <w:rPr>
          <w:lang w:val="ru-RU"/>
        </w:rPr>
        <w:tab/>
        <w:t>в Примечании 4 "Управление чистыми активами", в котором отражено движение средств Резервного счета.</w:t>
      </w:r>
    </w:p>
    <w:p w:rsidR="00810A7E" w:rsidRPr="00013C48" w:rsidRDefault="00810A7E" w:rsidP="00E752E3">
      <w:pPr>
        <w:pStyle w:val="Heading1"/>
        <w:rPr>
          <w:lang w:val="ru-RU"/>
        </w:rPr>
      </w:pPr>
      <w:bookmarkStart w:id="237" w:name="_Toc418501332"/>
      <w:bookmarkStart w:id="238" w:name="_Toc418597599"/>
      <w:bookmarkStart w:id="239" w:name="_Toc452157332"/>
      <w:bookmarkStart w:id="240" w:name="_Toc452158655"/>
      <w:r w:rsidRPr="00013C48">
        <w:rPr>
          <w:lang w:val="ru-RU"/>
        </w:rPr>
        <w:t>ОТЧЕТ О РЕЗУЛЬТАТАХ ФИНАНСОВОЙ ДЕЯТЕЛЬНОСТИ ЗА 201</w:t>
      </w:r>
      <w:bookmarkEnd w:id="237"/>
      <w:bookmarkEnd w:id="238"/>
      <w:r w:rsidRPr="00013C48">
        <w:rPr>
          <w:lang w:val="ru-RU"/>
        </w:rPr>
        <w:t>5 ГОД</w:t>
      </w:r>
      <w:bookmarkEnd w:id="239"/>
      <w:bookmarkEnd w:id="240"/>
    </w:p>
    <w:p w:rsidR="00810A7E" w:rsidRPr="00013C48" w:rsidRDefault="00810A7E" w:rsidP="00810A7E">
      <w:pPr>
        <w:rPr>
          <w:lang w:val="ru-RU"/>
        </w:rPr>
      </w:pPr>
      <w:r w:rsidRPr="00013C48">
        <w:rPr>
          <w:lang w:val="ru-RU"/>
        </w:rPr>
        <w:t>80</w:t>
      </w:r>
      <w:r w:rsidRPr="00013C48">
        <w:rPr>
          <w:lang w:val="ru-RU"/>
        </w:rPr>
        <w:tab/>
      </w:r>
      <w:proofErr w:type="gramStart"/>
      <w:r w:rsidRPr="00013C48">
        <w:rPr>
          <w:lang w:val="ru-RU"/>
        </w:rPr>
        <w:t>В</w:t>
      </w:r>
      <w:proofErr w:type="gramEnd"/>
      <w:r w:rsidRPr="00013C48">
        <w:rPr>
          <w:lang w:val="ru-RU"/>
        </w:rPr>
        <w:t> этом Отчете показаны оперативные и финансовые доходы и расходы Организации, которые классифицированы, раскрыты и представлены на согласованной основе, с тем чтобы пояснить чистый дефицит или чистое активное сальдо за год. Финансов</w:t>
      </w:r>
      <w:r w:rsidR="00013C48">
        <w:rPr>
          <w:lang w:val="ru-RU"/>
        </w:rPr>
        <w:t>ый период завершен с дефицитом −</w:t>
      </w:r>
      <w:r w:rsidRPr="00013C48">
        <w:rPr>
          <w:lang w:val="ru-RU"/>
        </w:rPr>
        <w:t>15,8 млн. швейцарских франков.</w:t>
      </w:r>
    </w:p>
    <w:p w:rsidR="00810A7E" w:rsidRPr="00013C48" w:rsidRDefault="00810A7E" w:rsidP="00E752E3">
      <w:pPr>
        <w:pStyle w:val="Headingb"/>
        <w:rPr>
          <w:lang w:val="ru-RU"/>
        </w:rPr>
      </w:pPr>
      <w:bookmarkStart w:id="241" w:name="_Toc418501333"/>
      <w:bookmarkStart w:id="242" w:name="_Toc418597600"/>
      <w:bookmarkStart w:id="243" w:name="_Toc392672723"/>
      <w:bookmarkStart w:id="244" w:name="_Toc452157333"/>
      <w:bookmarkStart w:id="245" w:name="_Toc452158656"/>
      <w:r w:rsidRPr="00013C48">
        <w:rPr>
          <w:lang w:val="ru-RU"/>
        </w:rPr>
        <w:t>Доходы и расходы</w:t>
      </w:r>
      <w:bookmarkEnd w:id="241"/>
      <w:bookmarkEnd w:id="242"/>
      <w:bookmarkEnd w:id="243"/>
      <w:bookmarkEnd w:id="244"/>
      <w:bookmarkEnd w:id="245"/>
    </w:p>
    <w:p w:rsidR="00810A7E" w:rsidRPr="00013C48" w:rsidRDefault="00810A7E" w:rsidP="00810A7E">
      <w:pPr>
        <w:rPr>
          <w:lang w:val="ru-RU"/>
        </w:rPr>
      </w:pPr>
      <w:r w:rsidRPr="00013C48">
        <w:rPr>
          <w:lang w:val="ru-RU"/>
        </w:rPr>
        <w:t>81</w:t>
      </w:r>
      <w:r w:rsidRPr="00013C48">
        <w:rPr>
          <w:lang w:val="ru-RU"/>
        </w:rPr>
        <w:tab/>
        <w:t xml:space="preserve">Общие доходы составили 174,3 млн. швейцарских франков, что является уменьшением на 5,8 млн. швейцарских франков (–3,2%) по сравнению с 2014 годом (180,1 млн. швейцарских франков), обусловленное в основном сокращением i) добровольных взносов (−2,5 млн. швейцарских франков, или –21,4%); </w:t>
      </w:r>
      <w:proofErr w:type="spellStart"/>
      <w:r w:rsidRPr="00013C48">
        <w:rPr>
          <w:lang w:val="ru-RU"/>
        </w:rPr>
        <w:t>ii</w:t>
      </w:r>
      <w:proofErr w:type="spellEnd"/>
      <w:r w:rsidRPr="00013C48">
        <w:rPr>
          <w:lang w:val="ru-RU"/>
        </w:rPr>
        <w:t xml:space="preserve">) других операционных доходов (−2,8 млн. швейцарских франков, или –7,0%), в частности уменьшением внебюджетных доходов, связанных с поддержкой проектов и продажами публикаций; и </w:t>
      </w:r>
      <w:proofErr w:type="spellStart"/>
      <w:r w:rsidRPr="00013C48">
        <w:rPr>
          <w:lang w:val="ru-RU"/>
        </w:rPr>
        <w:t>iii</w:t>
      </w:r>
      <w:proofErr w:type="spellEnd"/>
      <w:r w:rsidRPr="00013C48">
        <w:rPr>
          <w:lang w:val="ru-RU"/>
        </w:rPr>
        <w:t>) финансовых доходов (–0,2 млн. швейцарских франков, или −19,5%) – сокращение, вызванное, в основном, неполучением курсовых прибылей, и уменьшение процентов по вложенным средствам, как отмечается в Примечании 22. Начисленные взносы на сумму 126,4 млн. швейцарских франков, что составляет 72,5% от общих доходов, уменьшились незначительно (−0,3 млн. швейцарских франков, или –0,3%) по сравнению с 2014 годом, как отмечается в Примечании 21 к Отчету о финансовой деятельности.</w:t>
      </w:r>
    </w:p>
    <w:p w:rsidR="00810A7E" w:rsidRPr="00013C48" w:rsidRDefault="00810A7E" w:rsidP="00810A7E">
      <w:pPr>
        <w:rPr>
          <w:lang w:val="ru-RU"/>
        </w:rPr>
      </w:pPr>
      <w:r w:rsidRPr="00013C48">
        <w:rPr>
          <w:lang w:val="ru-RU"/>
        </w:rPr>
        <w:t>82</w:t>
      </w:r>
      <w:r w:rsidRPr="00013C48">
        <w:rPr>
          <w:lang w:val="ru-RU"/>
        </w:rPr>
        <w:tab/>
        <w:t>Расходы составили 190,1 млн. швейцарских франков, увеличившись на 4,5 млн. швейцарских франков (2,4%) по сравнению с 2014 годом (185,6 млн. швейцарских франков). Расходы по персоналу в размере 150,8 млн. швейцарских франков, составляющие 79,3% общих расходов, возросли на 7,1 млн. швейцарских франков (+4,9%), как отмечается в Примечании 23 к От</w:t>
      </w:r>
      <w:r w:rsidR="00510B83" w:rsidRPr="00013C48">
        <w:rPr>
          <w:lang w:val="ru-RU"/>
        </w:rPr>
        <w:t>чету о финансовой деятельности.</w:t>
      </w:r>
    </w:p>
    <w:p w:rsidR="00810A7E" w:rsidRPr="00013C48" w:rsidRDefault="00810A7E" w:rsidP="00E752E3">
      <w:pPr>
        <w:pStyle w:val="Headingb"/>
        <w:rPr>
          <w:lang w:val="ru-RU"/>
        </w:rPr>
      </w:pPr>
      <w:bookmarkStart w:id="246" w:name="_Toc415170511"/>
      <w:bookmarkStart w:id="247" w:name="_Toc418501339"/>
      <w:bookmarkStart w:id="248" w:name="_Toc418597606"/>
      <w:bookmarkStart w:id="249" w:name="_Toc452157334"/>
      <w:bookmarkStart w:id="250" w:name="_Toc452158657"/>
      <w:r w:rsidRPr="00013C48">
        <w:rPr>
          <w:lang w:val="ru-RU"/>
        </w:rPr>
        <w:t>Персонал</w:t>
      </w:r>
      <w:bookmarkEnd w:id="246"/>
      <w:bookmarkEnd w:id="247"/>
      <w:bookmarkEnd w:id="248"/>
      <w:bookmarkEnd w:id="249"/>
      <w:bookmarkEnd w:id="250"/>
    </w:p>
    <w:p w:rsidR="00810A7E" w:rsidRPr="00013C48" w:rsidRDefault="00810A7E" w:rsidP="00810A7E">
      <w:pPr>
        <w:rPr>
          <w:lang w:val="ru-RU"/>
        </w:rPr>
      </w:pPr>
      <w:r w:rsidRPr="00013C48">
        <w:rPr>
          <w:lang w:val="ru-RU"/>
        </w:rPr>
        <w:t>83</w:t>
      </w:r>
      <w:r w:rsidRPr="00013C48">
        <w:rPr>
          <w:lang w:val="ru-RU"/>
        </w:rPr>
        <w:tab/>
        <w:t xml:space="preserve">Мы провели подробное выборочное испытание заработной платы произвольно отобранных сотрудников различных категорий и классов. Некоторые ведомости заработной платы относились к штатному персоналу, нанятому на постоянной/длящейся основе, другие относились к сотрудникам, имеющим срочные контракты на период в один год или более. Наша выборка включала также временный персонал, назначаемый на более короткие периоды (краткосрочный персонал), и консультантов, работающих по специальным соглашениям об услугах (внештатный персонал). По всем отобранным позициям местом несения службы была Женева и оплата производилась в швейцарских франках, за исключением одного случая, когда местом несения службы был Нью-Йорк и оплата производилась в долларах США. Консультанты могут работать из дома. Мы проверили точность и правильность ведомостей заработной платы по отношению к установленным правилам и процедурам. По всем ведомостям заработной платы в выборке мы запросили доступ к личным делам, чтобы убедиться, что пособия и надбавки, представляемые отдельным сотрудникам, подтверждены соответствующими документами. В результате наших испытаний мы не обнаружили каких-либо ошибок или существенных слабых сторон, поэтому считаем, что получили достаточные доказательства того, что данные ведомостей верны. </w:t>
      </w:r>
    </w:p>
    <w:p w:rsidR="00810A7E" w:rsidRPr="00013C48" w:rsidRDefault="00810A7E" w:rsidP="00810A7E">
      <w:pPr>
        <w:rPr>
          <w:lang w:val="ru-RU"/>
        </w:rPr>
      </w:pPr>
      <w:bookmarkStart w:id="251" w:name="_Toc415170513"/>
      <w:r w:rsidRPr="00013C48">
        <w:rPr>
          <w:lang w:val="ru-RU"/>
        </w:rPr>
        <w:t>84</w:t>
      </w:r>
      <w:r w:rsidRPr="00013C48">
        <w:rPr>
          <w:lang w:val="ru-RU"/>
        </w:rPr>
        <w:tab/>
      </w:r>
      <w:proofErr w:type="gramStart"/>
      <w:r w:rsidRPr="00013C48">
        <w:rPr>
          <w:lang w:val="ru-RU"/>
        </w:rPr>
        <w:t>В</w:t>
      </w:r>
      <w:proofErr w:type="gramEnd"/>
      <w:r w:rsidRPr="00013C48">
        <w:rPr>
          <w:lang w:val="ru-RU"/>
        </w:rPr>
        <w:t xml:space="preserve"> нашем прошлогоднем отчете мы обратили внимание на риски нарушения последовательности, вызываемые широким использованием частных консультантов, частично занимаемых для выполнения текущих задач, которые необязательно являются узкоспециализированными и могут выполняться штатным персоналом. Руководство сообщило нам, что в 2015 году использование внешних ресурсов (внештатный персонал) в основном было связано с действиями и видами деятельности каждого Сектора, в особенности </w:t>
      </w:r>
      <w:proofErr w:type="spellStart"/>
      <w:r w:rsidRPr="00013C48">
        <w:rPr>
          <w:lang w:val="ru-RU"/>
        </w:rPr>
        <w:t>БРЭ</w:t>
      </w:r>
      <w:proofErr w:type="spellEnd"/>
      <w:r w:rsidRPr="00013C48">
        <w:rPr>
          <w:lang w:val="ru-RU"/>
        </w:rPr>
        <w:t xml:space="preserve">. Что касается использования </w:t>
      </w:r>
      <w:r w:rsidRPr="00013C48">
        <w:rPr>
          <w:lang w:val="ru-RU"/>
        </w:rPr>
        <w:lastRenderedPageBreak/>
        <w:t xml:space="preserve">внешних ресурсов в </w:t>
      </w:r>
      <w:proofErr w:type="spellStart"/>
      <w:r w:rsidRPr="00013C48">
        <w:rPr>
          <w:lang w:val="ru-RU"/>
        </w:rPr>
        <w:t>ГС</w:t>
      </w:r>
      <w:proofErr w:type="spellEnd"/>
      <w:r w:rsidRPr="00013C48">
        <w:rPr>
          <w:lang w:val="ru-RU"/>
        </w:rPr>
        <w:t xml:space="preserve">, то наряду с конкретными видами деятельности и действиями, включая </w:t>
      </w:r>
      <w:proofErr w:type="spellStart"/>
      <w:r w:rsidRPr="00013C48">
        <w:rPr>
          <w:lang w:val="ru-RU"/>
        </w:rPr>
        <w:t>Telecom</w:t>
      </w:r>
      <w:proofErr w:type="spellEnd"/>
      <w:r w:rsidRPr="00013C48">
        <w:rPr>
          <w:lang w:val="ru-RU"/>
        </w:rPr>
        <w:t xml:space="preserve">, внештатный персонал использовался также для предоставлений дополнительных услуг письменного перевода; услуг, связанных с </w:t>
      </w:r>
      <w:proofErr w:type="spellStart"/>
      <w:r w:rsidRPr="00013C48">
        <w:rPr>
          <w:lang w:val="ru-RU"/>
        </w:rPr>
        <w:t>ИТ</w:t>
      </w:r>
      <w:proofErr w:type="spellEnd"/>
      <w:r w:rsidRPr="00013C48">
        <w:rPr>
          <w:lang w:val="ru-RU"/>
        </w:rPr>
        <w:t xml:space="preserve">; для усиления служб безопасности и укрепления медицинских услуг. В 2015 году число лиц, имевших по крайней мере один контракт на предоставление консультационных услуг, было следующим: </w:t>
      </w:r>
      <w:proofErr w:type="spellStart"/>
      <w:r w:rsidRPr="00013C48">
        <w:rPr>
          <w:lang w:val="ru-RU"/>
        </w:rPr>
        <w:t>ГС</w:t>
      </w:r>
      <w:proofErr w:type="spellEnd"/>
      <w:r w:rsidRPr="00013C48">
        <w:rPr>
          <w:lang w:val="ru-RU"/>
        </w:rPr>
        <w:t xml:space="preserve">: 159 (+ 31 переводчик), </w:t>
      </w:r>
      <w:proofErr w:type="spellStart"/>
      <w:r w:rsidRPr="00013C48">
        <w:rPr>
          <w:lang w:val="ru-RU"/>
        </w:rPr>
        <w:t>БСЭ</w:t>
      </w:r>
      <w:proofErr w:type="spellEnd"/>
      <w:r w:rsidRPr="00013C48">
        <w:rPr>
          <w:lang w:val="ru-RU"/>
        </w:rPr>
        <w:t xml:space="preserve">: 93, </w:t>
      </w:r>
      <w:proofErr w:type="spellStart"/>
      <w:r w:rsidRPr="00013C48">
        <w:rPr>
          <w:lang w:val="ru-RU"/>
        </w:rPr>
        <w:t>БР</w:t>
      </w:r>
      <w:proofErr w:type="spellEnd"/>
      <w:r w:rsidRPr="00013C48">
        <w:rPr>
          <w:lang w:val="ru-RU"/>
        </w:rPr>
        <w:t>:</w:t>
      </w:r>
      <w:r w:rsidR="00E752E3" w:rsidRPr="00013C48">
        <w:rPr>
          <w:lang w:val="ru-RU"/>
        </w:rPr>
        <w:t> </w:t>
      </w:r>
      <w:r w:rsidRPr="00013C48">
        <w:rPr>
          <w:lang w:val="ru-RU"/>
        </w:rPr>
        <w:t xml:space="preserve">33, </w:t>
      </w:r>
      <w:proofErr w:type="spellStart"/>
      <w:r w:rsidRPr="00013C48">
        <w:rPr>
          <w:lang w:val="ru-RU"/>
        </w:rPr>
        <w:t>БРЭ</w:t>
      </w:r>
      <w:proofErr w:type="spellEnd"/>
      <w:r w:rsidRPr="00013C48">
        <w:rPr>
          <w:lang w:val="ru-RU"/>
        </w:rPr>
        <w:t xml:space="preserve">: 293. В 2014 году соответствующие цифры были следующими: </w:t>
      </w:r>
      <w:proofErr w:type="spellStart"/>
      <w:r w:rsidRPr="00013C48">
        <w:rPr>
          <w:lang w:val="ru-RU"/>
        </w:rPr>
        <w:t>ГС</w:t>
      </w:r>
      <w:proofErr w:type="spellEnd"/>
      <w:r w:rsidRPr="00013C48">
        <w:rPr>
          <w:lang w:val="ru-RU"/>
        </w:rPr>
        <w:t xml:space="preserve">: 174 (+ 31 переводчик), </w:t>
      </w:r>
      <w:proofErr w:type="spellStart"/>
      <w:r w:rsidRPr="00013C48">
        <w:rPr>
          <w:lang w:val="ru-RU"/>
        </w:rPr>
        <w:t>БСЭ</w:t>
      </w:r>
      <w:proofErr w:type="spellEnd"/>
      <w:r w:rsidRPr="00013C48">
        <w:rPr>
          <w:lang w:val="ru-RU"/>
        </w:rPr>
        <w:t>:</w:t>
      </w:r>
      <w:r w:rsidR="00780FBB" w:rsidRPr="00013C48">
        <w:rPr>
          <w:lang w:val="ru-RU"/>
        </w:rPr>
        <w:t> </w:t>
      </w:r>
      <w:r w:rsidRPr="00013C48">
        <w:rPr>
          <w:lang w:val="ru-RU"/>
        </w:rPr>
        <w:t xml:space="preserve">61, </w:t>
      </w:r>
      <w:proofErr w:type="spellStart"/>
      <w:r w:rsidRPr="00013C48">
        <w:rPr>
          <w:lang w:val="ru-RU"/>
        </w:rPr>
        <w:t>БР</w:t>
      </w:r>
      <w:proofErr w:type="spellEnd"/>
      <w:r w:rsidRPr="00013C48">
        <w:rPr>
          <w:lang w:val="ru-RU"/>
        </w:rPr>
        <w:t xml:space="preserve">: 17, </w:t>
      </w:r>
      <w:proofErr w:type="spellStart"/>
      <w:r w:rsidRPr="00013C48">
        <w:rPr>
          <w:lang w:val="ru-RU"/>
        </w:rPr>
        <w:t>БРЭ</w:t>
      </w:r>
      <w:proofErr w:type="spellEnd"/>
      <w:r w:rsidRPr="00013C48">
        <w:rPr>
          <w:lang w:val="ru-RU"/>
        </w:rPr>
        <w:t>: 297 (+ 13 переводчиков).</w:t>
      </w:r>
    </w:p>
    <w:p w:rsidR="00810A7E" w:rsidRPr="00013C48" w:rsidRDefault="00810A7E" w:rsidP="00810A7E">
      <w:pPr>
        <w:rPr>
          <w:lang w:val="ru-RU"/>
        </w:rPr>
      </w:pPr>
      <w:r w:rsidRPr="00013C48">
        <w:rPr>
          <w:lang w:val="ru-RU"/>
        </w:rPr>
        <w:t>85</w:t>
      </w:r>
      <w:r w:rsidRPr="00013C48">
        <w:rPr>
          <w:lang w:val="ru-RU"/>
        </w:rPr>
        <w:tab/>
        <w:t xml:space="preserve">Как было подтверждено руководством (см. ответ на наше предложение 7 в таблице, отражающей последующие меры, которая содержится в приложении к настоящему отчету), в настоящее время разрабатывается новая нормативная основа, определяющая объем и использование консультантов, также во исполнение рекомендации, включенной в недавно выполненный </w:t>
      </w:r>
      <w:proofErr w:type="spellStart"/>
      <w:r w:rsidRPr="00013C48">
        <w:rPr>
          <w:lang w:val="ru-RU"/>
        </w:rPr>
        <w:t>ОИГ</w:t>
      </w:r>
      <w:proofErr w:type="spellEnd"/>
      <w:r w:rsidRPr="00013C48">
        <w:rPr>
          <w:lang w:val="ru-RU"/>
        </w:rPr>
        <w:t xml:space="preserve"> обзор управления и администрирования в МСЭ (</w:t>
      </w:r>
      <w:proofErr w:type="spellStart"/>
      <w:r w:rsidRPr="00013C48">
        <w:rPr>
          <w:lang w:val="ru-RU"/>
        </w:rPr>
        <w:t>JIU</w:t>
      </w:r>
      <w:proofErr w:type="spellEnd"/>
      <w:r w:rsidRPr="00013C48">
        <w:rPr>
          <w:lang w:val="ru-RU"/>
        </w:rPr>
        <w:t>/</w:t>
      </w:r>
      <w:proofErr w:type="spellStart"/>
      <w:r w:rsidRPr="00013C48">
        <w:rPr>
          <w:lang w:val="ru-RU"/>
        </w:rPr>
        <w:t>REP</w:t>
      </w:r>
      <w:proofErr w:type="spellEnd"/>
      <w:r w:rsidRPr="00013C48">
        <w:rPr>
          <w:lang w:val="ru-RU"/>
        </w:rPr>
        <w:t xml:space="preserve">/2016/1). </w:t>
      </w:r>
    </w:p>
    <w:p w:rsidR="00810A7E" w:rsidRPr="00013C48" w:rsidRDefault="00810A7E" w:rsidP="00810A7E">
      <w:pPr>
        <w:rPr>
          <w:lang w:val="ru-RU"/>
        </w:rPr>
      </w:pPr>
      <w:r w:rsidRPr="00013C48">
        <w:rPr>
          <w:lang w:val="ru-RU"/>
        </w:rPr>
        <w:t>86</w:t>
      </w:r>
      <w:r w:rsidRPr="00013C48">
        <w:rPr>
          <w:lang w:val="ru-RU"/>
        </w:rPr>
        <w:tab/>
        <w:t xml:space="preserve">Учитывая массовый выход на пенсию, ожидаемый в ближайшем будущем (в течение следующих 10 лет вакантными станут 34% должностей), возникает вопрос о том, какая модель "смены поколений" рассматривается желательной в нынешних условиях сдерживания затрат. Это включает рассмотрение ряда элементов, таких как корректировка организационной структуры, возможное снижение классов вакантных должностей, перемещение персонала в соответствии с приоритетами работы и возможное увеличение обязательного возраста прекращения службы. Ряд этих элементов подлежат включению в новый Стратегический план в области </w:t>
      </w:r>
      <w:proofErr w:type="spellStart"/>
      <w:r w:rsidRPr="00013C48">
        <w:rPr>
          <w:lang w:val="ru-RU"/>
        </w:rPr>
        <w:t>ЛР</w:t>
      </w:r>
      <w:proofErr w:type="spellEnd"/>
      <w:r w:rsidRPr="00013C48">
        <w:rPr>
          <w:lang w:val="ru-RU"/>
        </w:rPr>
        <w:t xml:space="preserve"> на период 2016</w:t>
      </w:r>
      <w:r w:rsidR="00E752E3" w:rsidRPr="00013C48">
        <w:rPr>
          <w:lang w:val="ru-RU"/>
        </w:rPr>
        <w:t>−</w:t>
      </w:r>
      <w:r w:rsidRPr="00013C48">
        <w:rPr>
          <w:lang w:val="ru-RU"/>
        </w:rPr>
        <w:t xml:space="preserve">2019 годов, который также находится на этапе рассмотрения. Прогресс, достигнутый в выполнении Стратегического плана в области </w:t>
      </w:r>
      <w:proofErr w:type="spellStart"/>
      <w:r w:rsidRPr="00013C48">
        <w:rPr>
          <w:lang w:val="ru-RU"/>
        </w:rPr>
        <w:t>ЛР</w:t>
      </w:r>
      <w:proofErr w:type="spellEnd"/>
      <w:r w:rsidRPr="00013C48">
        <w:rPr>
          <w:lang w:val="ru-RU"/>
        </w:rPr>
        <w:t>, будет проверяться в будущем.</w:t>
      </w:r>
    </w:p>
    <w:p w:rsidR="00810A7E" w:rsidRPr="00013C48" w:rsidRDefault="00810A7E" w:rsidP="00E752E3">
      <w:pPr>
        <w:pStyle w:val="Heading1"/>
        <w:ind w:left="0" w:firstLine="0"/>
        <w:rPr>
          <w:lang w:val="ru-RU"/>
        </w:rPr>
      </w:pPr>
      <w:bookmarkStart w:id="252" w:name="_Toc418501341"/>
      <w:bookmarkStart w:id="253" w:name="_Toc358192859"/>
      <w:bookmarkStart w:id="254" w:name="_Toc398125346"/>
      <w:bookmarkStart w:id="255" w:name="_Toc398125825"/>
      <w:bookmarkStart w:id="256" w:name="_Toc418597609"/>
      <w:bookmarkStart w:id="257" w:name="_Toc452157335"/>
      <w:bookmarkStart w:id="258" w:name="_Toc452158658"/>
      <w:bookmarkEnd w:id="251"/>
      <w:r w:rsidRPr="00013C48">
        <w:rPr>
          <w:lang w:val="ru-RU"/>
        </w:rPr>
        <w:t>ОТЧЕТ ОБ ИЗМЕНЕНИЯХ В ЧИСТЫХ АКТИВАХ ЗА ФИНАНСОВЫЙ ПЕРИОД, ЗАВЕРШИВШИЙСЯ 31 ДЕКАБРЯ 2015 ГОДА</w:t>
      </w:r>
      <w:bookmarkEnd w:id="252"/>
      <w:bookmarkEnd w:id="253"/>
      <w:bookmarkEnd w:id="254"/>
      <w:bookmarkEnd w:id="255"/>
      <w:bookmarkEnd w:id="256"/>
      <w:bookmarkEnd w:id="257"/>
      <w:bookmarkEnd w:id="258"/>
    </w:p>
    <w:p w:rsidR="00810A7E" w:rsidRPr="00013C48" w:rsidRDefault="00810A7E" w:rsidP="00810A7E">
      <w:pPr>
        <w:rPr>
          <w:lang w:val="ru-RU"/>
        </w:rPr>
      </w:pPr>
      <w:r w:rsidRPr="00013C48">
        <w:rPr>
          <w:lang w:val="ru-RU"/>
        </w:rPr>
        <w:t>87</w:t>
      </w:r>
      <w:r w:rsidRPr="00013C48">
        <w:rPr>
          <w:lang w:val="ru-RU"/>
        </w:rPr>
        <w:tab/>
        <w:t>В Таблице </w:t>
      </w:r>
      <w:proofErr w:type="spellStart"/>
      <w:r w:rsidRPr="00013C48">
        <w:rPr>
          <w:lang w:val="ru-RU"/>
        </w:rPr>
        <w:t>III</w:t>
      </w:r>
      <w:proofErr w:type="spellEnd"/>
      <w:r w:rsidRPr="00013C48">
        <w:rPr>
          <w:lang w:val="ru-RU"/>
        </w:rPr>
        <w:t xml:space="preserve"> "Отчет об изменениях в чистых активах" представлено не только движение накопленных собственных целевых и нецелевых средств и воздействие перехода к </w:t>
      </w:r>
      <w:proofErr w:type="spellStart"/>
      <w:r w:rsidRPr="00013C48">
        <w:rPr>
          <w:lang w:val="ru-RU"/>
        </w:rPr>
        <w:t>IPSAS</w:t>
      </w:r>
      <w:proofErr w:type="spellEnd"/>
      <w:r w:rsidRPr="00013C48">
        <w:rPr>
          <w:lang w:val="ru-RU"/>
        </w:rPr>
        <w:t xml:space="preserve">, но и движение каждого вида собственных средств, как это отмечается в Примечании 4. </w:t>
      </w:r>
    </w:p>
    <w:p w:rsidR="00810A7E" w:rsidRPr="00013C48" w:rsidRDefault="00810A7E" w:rsidP="00E752E3">
      <w:pPr>
        <w:pStyle w:val="Heading1"/>
        <w:ind w:left="0" w:firstLine="0"/>
        <w:rPr>
          <w:lang w:val="ru-RU"/>
        </w:rPr>
      </w:pPr>
      <w:bookmarkStart w:id="259" w:name="_Toc358192861"/>
      <w:bookmarkStart w:id="260" w:name="_Toc398125348"/>
      <w:bookmarkStart w:id="261" w:name="_Toc398125827"/>
      <w:bookmarkStart w:id="262" w:name="_Toc452157336"/>
      <w:bookmarkStart w:id="263" w:name="_Toc452158659"/>
      <w:r w:rsidRPr="00013C48">
        <w:rPr>
          <w:lang w:val="ru-RU"/>
        </w:rPr>
        <w:t>ТАБЛИЦА ДВИЖЕНИЯ ДЕНЕЖНЫХ СРЕДСТВ ЗА ФИНАНСОВЫЙ ПЕРИОД, ЗАВЕРШИВШИЙСЯ 31 ДЕКАБРЯ</w:t>
      </w:r>
      <w:bookmarkEnd w:id="259"/>
      <w:r w:rsidRPr="00013C48">
        <w:rPr>
          <w:lang w:val="ru-RU"/>
        </w:rPr>
        <w:t xml:space="preserve"> 2015 ГОДА</w:t>
      </w:r>
      <w:bookmarkEnd w:id="260"/>
      <w:bookmarkEnd w:id="261"/>
      <w:bookmarkEnd w:id="262"/>
      <w:bookmarkEnd w:id="263"/>
    </w:p>
    <w:p w:rsidR="00810A7E" w:rsidRPr="00013C48" w:rsidRDefault="00810A7E" w:rsidP="00810A7E">
      <w:pPr>
        <w:rPr>
          <w:lang w:val="ru-RU"/>
        </w:rPr>
      </w:pPr>
      <w:r w:rsidRPr="00013C48">
        <w:rPr>
          <w:lang w:val="ru-RU"/>
        </w:rPr>
        <w:t>88</w:t>
      </w:r>
      <w:r w:rsidRPr="00013C48">
        <w:rPr>
          <w:lang w:val="ru-RU"/>
        </w:rPr>
        <w:tab/>
      </w:r>
      <w:proofErr w:type="gramStart"/>
      <w:r w:rsidRPr="00013C48">
        <w:rPr>
          <w:lang w:val="ru-RU"/>
        </w:rPr>
        <w:t>В</w:t>
      </w:r>
      <w:proofErr w:type="gramEnd"/>
      <w:r w:rsidRPr="00013C48">
        <w:rPr>
          <w:lang w:val="ru-RU"/>
        </w:rPr>
        <w:t> таблице движения денежных средств определены источники притока средств; статьи, на которые потрачены денежные средства за отчетный период; и остаток денежных средств на дату составления отчета.</w:t>
      </w:r>
    </w:p>
    <w:p w:rsidR="00810A7E" w:rsidRPr="00013C48" w:rsidRDefault="00810A7E" w:rsidP="00810A7E">
      <w:pPr>
        <w:rPr>
          <w:lang w:val="ru-RU"/>
        </w:rPr>
      </w:pPr>
      <w:r w:rsidRPr="00013C48">
        <w:rPr>
          <w:lang w:val="ru-RU"/>
        </w:rPr>
        <w:t>89</w:t>
      </w:r>
      <w:r w:rsidRPr="00013C48">
        <w:rPr>
          <w:lang w:val="ru-RU"/>
        </w:rPr>
        <w:tab/>
        <w:t xml:space="preserve">В 2015 году МСЭ сообщил о движении денежных средств в результате оперативной деятельности в размере +1,7 млн. швейцарских франков, что является положительным показателем, но меньшим по сравнению со значением, зарегистрированным в 2014 году, когда этот показатель составил +9,1 млн. швейцарских франков. Отрицательное значение движения денежных средств зарегистрировано также в результате финансовой деятельности (–1,5 млн. швейцарских франков), что обусловлено выплатой ссуды </w:t>
      </w:r>
      <w:proofErr w:type="spellStart"/>
      <w:r w:rsidRPr="00013C48">
        <w:rPr>
          <w:lang w:val="ru-RU"/>
        </w:rPr>
        <w:t>ФИПОИ</w:t>
      </w:r>
      <w:proofErr w:type="spellEnd"/>
      <w:r w:rsidRPr="00013C48">
        <w:rPr>
          <w:lang w:val="ru-RU"/>
        </w:rPr>
        <w:t>. По чистому движению денежных средств в результате инвестиционной деятельности (−26,8 млн. швейцарских франков) отмечается значительное отрицательное изменение по сравнению с 2014 годом, когда этот показатель состави</w:t>
      </w:r>
      <w:r w:rsidR="00780FBB" w:rsidRPr="00013C48">
        <w:rPr>
          <w:lang w:val="ru-RU"/>
        </w:rPr>
        <w:t>л −</w:t>
      </w:r>
      <w:r w:rsidRPr="00013C48">
        <w:rPr>
          <w:lang w:val="ru-RU"/>
        </w:rPr>
        <w:t>1</w:t>
      </w:r>
      <w:r w:rsidR="00780FBB" w:rsidRPr="00013C48">
        <w:rPr>
          <w:lang w:val="ru-RU"/>
        </w:rPr>
        <w:t>,6 млн. </w:t>
      </w:r>
      <w:r w:rsidRPr="00013C48">
        <w:rPr>
          <w:lang w:val="ru-RU"/>
        </w:rPr>
        <w:t>швейцарских франков, которое объясняется в основном увеличением объема вложенных средств.</w:t>
      </w:r>
    </w:p>
    <w:p w:rsidR="00810A7E" w:rsidRPr="00013C48" w:rsidRDefault="00810A7E" w:rsidP="00810A7E">
      <w:pPr>
        <w:rPr>
          <w:lang w:val="ru-RU"/>
        </w:rPr>
      </w:pPr>
      <w:r w:rsidRPr="00013C48">
        <w:rPr>
          <w:lang w:val="ru-RU"/>
        </w:rPr>
        <w:t>90</w:t>
      </w:r>
      <w:r w:rsidRPr="00013C48">
        <w:rPr>
          <w:lang w:val="ru-RU"/>
        </w:rPr>
        <w:tab/>
        <w:t xml:space="preserve">Чистый результат по денежным средствам и эквивалентам денежных средств показал уменьшение на 19,9 млн. швейцарских франков в 2015 году. Мы проверили служившие основой записи путем выборки по некоторым счетам. Как показал результат, все выбранные транзакции были </w:t>
      </w:r>
      <w:r w:rsidRPr="00013C48">
        <w:rPr>
          <w:lang w:val="ru-RU"/>
        </w:rPr>
        <w:lastRenderedPageBreak/>
        <w:t>надлежащим образом обоснованы подтверждающими документами. Отчет о движении денежных средств, таким образом, проверен и подтвержден.</w:t>
      </w:r>
    </w:p>
    <w:p w:rsidR="00810A7E" w:rsidRPr="00013C48" w:rsidRDefault="00810A7E" w:rsidP="00E752E3">
      <w:pPr>
        <w:pStyle w:val="Heading1"/>
        <w:ind w:left="0" w:firstLine="0"/>
        <w:rPr>
          <w:lang w:val="ru-RU"/>
        </w:rPr>
      </w:pPr>
      <w:bookmarkStart w:id="264" w:name="_Toc358192860"/>
      <w:bookmarkStart w:id="265" w:name="_Toc398125347"/>
      <w:bookmarkStart w:id="266" w:name="_Toc398125826"/>
      <w:bookmarkStart w:id="267" w:name="_Toc452157337"/>
      <w:bookmarkStart w:id="268" w:name="_Toc452158660"/>
      <w:r w:rsidRPr="00013C48">
        <w:rPr>
          <w:lang w:val="ru-RU"/>
        </w:rPr>
        <w:t>СРАВНЕНИЕ ПРЕДУСМОТРЕННЫХ В БЮДЖЕТЕ СУММ И ФАКТИЧЕСКИХ СУММ ЗА 2015</w:t>
      </w:r>
      <w:r w:rsidR="00780FBB" w:rsidRPr="00013C48">
        <w:rPr>
          <w:lang w:val="ru-RU"/>
        </w:rPr>
        <w:t> ФИНАНСОВЫЙ </w:t>
      </w:r>
      <w:r w:rsidRPr="00013C48">
        <w:rPr>
          <w:lang w:val="ru-RU"/>
        </w:rPr>
        <w:t>ГОД</w:t>
      </w:r>
      <w:bookmarkEnd w:id="264"/>
      <w:bookmarkEnd w:id="265"/>
      <w:bookmarkEnd w:id="266"/>
      <w:bookmarkEnd w:id="267"/>
      <w:bookmarkEnd w:id="268"/>
    </w:p>
    <w:p w:rsidR="00810A7E" w:rsidRPr="00013C48" w:rsidRDefault="00810A7E" w:rsidP="00810A7E">
      <w:pPr>
        <w:rPr>
          <w:lang w:val="ru-RU"/>
        </w:rPr>
      </w:pPr>
      <w:r w:rsidRPr="00013C48">
        <w:rPr>
          <w:lang w:val="ru-RU"/>
        </w:rPr>
        <w:t>91</w:t>
      </w:r>
      <w:r w:rsidRPr="00013C48">
        <w:rPr>
          <w:lang w:val="ru-RU"/>
        </w:rPr>
        <w:tab/>
        <w:t xml:space="preserve">Таблица V "Сравнительная таблица предусмотренных в бюджете сумм и фактических сумм за 2015 финансовый год" составлена в целях соответствия стандарту </w:t>
      </w:r>
      <w:proofErr w:type="spellStart"/>
      <w:r w:rsidRPr="00013C48">
        <w:rPr>
          <w:lang w:val="ru-RU"/>
        </w:rPr>
        <w:t>IPSAS</w:t>
      </w:r>
      <w:proofErr w:type="spellEnd"/>
      <w:r w:rsidRPr="00013C48">
        <w:rPr>
          <w:lang w:val="ru-RU"/>
        </w:rPr>
        <w:t> 24, который требует включения в финансовую отчетность сравнения сумм, полученных в результате исполнения этого бюджета. Данным стандартом также определяется раскрытие причин существенных расхождений, возникающих между бюджетом и фактическими суммами.</w:t>
      </w:r>
    </w:p>
    <w:p w:rsidR="00810A7E" w:rsidRPr="00013C48" w:rsidRDefault="00810A7E" w:rsidP="00810A7E">
      <w:pPr>
        <w:rPr>
          <w:lang w:val="ru-RU"/>
        </w:rPr>
      </w:pPr>
      <w:r w:rsidRPr="00013C48">
        <w:rPr>
          <w:lang w:val="ru-RU"/>
        </w:rPr>
        <w:t>92</w:t>
      </w:r>
      <w:r w:rsidRPr="00013C48">
        <w:rPr>
          <w:lang w:val="ru-RU"/>
        </w:rPr>
        <w:tab/>
        <w:t>В Таблицу V включена также бухгалтерская выверка расхождений между бюджетными результатами (фактическими суммами) и суммами, учтенными в бухгалтерской отчетности. Более подробная информация представлена в Примечании 25 к Отчету о финансовой деятельности, и мы также ссылаемся на комментарии Генерального секретаря, отраженные в Отчете о финансовой деятельности.</w:t>
      </w:r>
    </w:p>
    <w:p w:rsidR="00810A7E" w:rsidRPr="00013C48" w:rsidRDefault="00810A7E" w:rsidP="00E752E3">
      <w:pPr>
        <w:pStyle w:val="Heading1"/>
        <w:rPr>
          <w:lang w:val="ru-RU"/>
        </w:rPr>
      </w:pPr>
      <w:bookmarkStart w:id="269" w:name="_Toc358192862"/>
      <w:bookmarkStart w:id="270" w:name="_Toc398125349"/>
      <w:bookmarkStart w:id="271" w:name="_Toc398125828"/>
      <w:bookmarkStart w:id="272" w:name="_Toc452157338"/>
      <w:bookmarkStart w:id="273" w:name="_Toc452158661"/>
      <w:r w:rsidRPr="00013C48">
        <w:rPr>
          <w:lang w:val="ru-RU"/>
        </w:rPr>
        <w:t>СТРАХОВАЯ КАССА ПЕРСОНАЛА</w:t>
      </w:r>
      <w:bookmarkEnd w:id="269"/>
      <w:bookmarkEnd w:id="270"/>
      <w:bookmarkEnd w:id="271"/>
      <w:bookmarkEnd w:id="272"/>
      <w:bookmarkEnd w:id="273"/>
    </w:p>
    <w:p w:rsidR="00810A7E" w:rsidRPr="00013C48" w:rsidRDefault="00810A7E" w:rsidP="00810A7E">
      <w:pPr>
        <w:rPr>
          <w:lang w:val="ru-RU"/>
        </w:rPr>
      </w:pPr>
      <w:bookmarkStart w:id="274" w:name="_Ref418164202"/>
      <w:r w:rsidRPr="00013C48">
        <w:rPr>
          <w:lang w:val="ru-RU"/>
        </w:rPr>
        <w:t>93</w:t>
      </w:r>
      <w:r w:rsidRPr="00013C48">
        <w:rPr>
          <w:lang w:val="ru-RU"/>
        </w:rPr>
        <w:tab/>
        <w:t>В Приложение </w:t>
      </w:r>
      <w:proofErr w:type="spellStart"/>
      <w:r w:rsidRPr="00013C48">
        <w:rPr>
          <w:lang w:val="ru-RU"/>
        </w:rPr>
        <w:t>B2</w:t>
      </w:r>
      <w:proofErr w:type="spellEnd"/>
      <w:r w:rsidRPr="00013C48">
        <w:rPr>
          <w:lang w:val="ru-RU"/>
        </w:rPr>
        <w:t xml:space="preserve"> к Отчету о финансовой деятельности включены три фонда: </w:t>
      </w:r>
      <w:r w:rsidRPr="00013C48">
        <w:rPr>
          <w:i/>
          <w:iCs/>
          <w:lang w:val="ru-RU"/>
        </w:rPr>
        <w:t>Фонд резервных и дополнительных средств</w:t>
      </w:r>
      <w:r w:rsidRPr="00013C48">
        <w:rPr>
          <w:lang w:val="ru-RU"/>
        </w:rPr>
        <w:t xml:space="preserve"> (общие активы которого составляют 6,3 млн. швейцарских франков), </w:t>
      </w:r>
      <w:r w:rsidRPr="00013C48">
        <w:rPr>
          <w:i/>
          <w:iCs/>
          <w:lang w:val="ru-RU"/>
        </w:rPr>
        <w:t>Пенсионный фонд</w:t>
      </w:r>
      <w:r w:rsidRPr="00013C48">
        <w:rPr>
          <w:lang w:val="ru-RU"/>
        </w:rPr>
        <w:t xml:space="preserve"> (общие активы которого составляют около 1,5 млн. швейцарских франков) и </w:t>
      </w:r>
      <w:r w:rsidRPr="00013C48">
        <w:rPr>
          <w:i/>
          <w:iCs/>
          <w:lang w:val="ru-RU"/>
        </w:rPr>
        <w:t>Фонд помощи</w:t>
      </w:r>
      <w:r w:rsidRPr="00013C48">
        <w:rPr>
          <w:lang w:val="ru-RU"/>
        </w:rPr>
        <w:t xml:space="preserve"> (общие активы которого составляют около 0,2 млн. швейцарских франков), без существенных изменений по сравнению с прошлым годом.</w:t>
      </w:r>
    </w:p>
    <w:p w:rsidR="00810A7E" w:rsidRPr="00013C48" w:rsidRDefault="00810A7E" w:rsidP="00810A7E">
      <w:pPr>
        <w:rPr>
          <w:lang w:val="ru-RU"/>
        </w:rPr>
      </w:pPr>
      <w:r w:rsidRPr="00013C48">
        <w:rPr>
          <w:lang w:val="ru-RU"/>
        </w:rPr>
        <w:t>94</w:t>
      </w:r>
      <w:r w:rsidRPr="00013C48">
        <w:rPr>
          <w:lang w:val="ru-RU"/>
        </w:rPr>
        <w:tab/>
      </w:r>
      <w:bookmarkEnd w:id="274"/>
      <w:proofErr w:type="gramStart"/>
      <w:r w:rsidRPr="00013C48">
        <w:rPr>
          <w:lang w:val="ru-RU"/>
        </w:rPr>
        <w:t>В</w:t>
      </w:r>
      <w:proofErr w:type="gramEnd"/>
      <w:r w:rsidRPr="00013C48">
        <w:rPr>
          <w:lang w:val="ru-RU"/>
        </w:rPr>
        <w:t xml:space="preserve"> отношении обязательств по </w:t>
      </w:r>
      <w:r w:rsidRPr="00013C48">
        <w:rPr>
          <w:i/>
          <w:iCs/>
          <w:lang w:val="ru-RU"/>
        </w:rPr>
        <w:t>Фонду резервных и дополнительных средств</w:t>
      </w:r>
      <w:r w:rsidRPr="00013C48">
        <w:rPr>
          <w:lang w:val="ru-RU"/>
        </w:rPr>
        <w:t xml:space="preserve"> и </w:t>
      </w:r>
      <w:r w:rsidRPr="00013C48">
        <w:rPr>
          <w:i/>
          <w:iCs/>
          <w:lang w:val="ru-RU"/>
        </w:rPr>
        <w:t xml:space="preserve">Пенсионному фонду </w:t>
      </w:r>
      <w:r w:rsidRPr="00013C48">
        <w:rPr>
          <w:lang w:val="ru-RU"/>
        </w:rPr>
        <w:t xml:space="preserve">показаны два актуарных резервных фонда объемом, соответственно, 54 тыс. швейцарских франков и 36 тыс. швейцарских франков по статье "Вознаграждение сотрудников", в соответствии с актуарной оценкой, проведенной в 2010 году. </w:t>
      </w:r>
    </w:p>
    <w:p w:rsidR="00810A7E" w:rsidRPr="00013C48" w:rsidRDefault="00810A7E" w:rsidP="00E752E3">
      <w:pPr>
        <w:pStyle w:val="Heading1"/>
        <w:ind w:left="0" w:firstLine="0"/>
        <w:rPr>
          <w:lang w:val="ru-RU"/>
        </w:rPr>
      </w:pPr>
      <w:bookmarkStart w:id="275" w:name="_Toc356330915"/>
      <w:bookmarkStart w:id="276" w:name="_Toc358192864"/>
      <w:bookmarkStart w:id="277" w:name="_Toc398125350"/>
      <w:bookmarkStart w:id="278" w:name="_Toc398125829"/>
      <w:bookmarkStart w:id="279" w:name="_Toc452157339"/>
      <w:bookmarkStart w:id="280" w:name="_Toc452158662"/>
      <w:r w:rsidRPr="00013C48">
        <w:rPr>
          <w:lang w:val="ru-RU"/>
        </w:rPr>
        <w:t>ПРОГРАММА РАЗВИТИЯ ОРГАНИЗАЦИИ ОБЪЕДИНЕННЫХ НАЦИЙ (</w:t>
      </w:r>
      <w:proofErr w:type="spellStart"/>
      <w:r w:rsidRPr="00013C48">
        <w:rPr>
          <w:lang w:val="ru-RU"/>
        </w:rPr>
        <w:t>ПРООН</w:t>
      </w:r>
      <w:proofErr w:type="spellEnd"/>
      <w:r w:rsidRPr="00013C48">
        <w:rPr>
          <w:lang w:val="ru-RU"/>
        </w:rPr>
        <w:t>), ФОНД РАЗВИТИЯ ИНФОРМАЦИОННО-КОММУНИКАЦИОННЫХ ТЕХНОЛОГИЙ (</w:t>
      </w:r>
      <w:proofErr w:type="spellStart"/>
      <w:r w:rsidRPr="00013C48">
        <w:rPr>
          <w:lang w:val="ru-RU"/>
        </w:rPr>
        <w:t>ФРИКТ</w:t>
      </w:r>
      <w:proofErr w:type="spellEnd"/>
      <w:r w:rsidRPr="00013C48">
        <w:rPr>
          <w:lang w:val="ru-RU"/>
        </w:rPr>
        <w:t>) И</w:t>
      </w:r>
      <w:bookmarkEnd w:id="275"/>
      <w:r w:rsidRPr="00013C48">
        <w:rPr>
          <w:lang w:val="ru-RU"/>
        </w:rPr>
        <w:t> ЦЕЛЕВЫЕ ФОНДЫ</w:t>
      </w:r>
      <w:bookmarkEnd w:id="276"/>
      <w:bookmarkEnd w:id="277"/>
      <w:bookmarkEnd w:id="278"/>
      <w:bookmarkEnd w:id="279"/>
      <w:bookmarkEnd w:id="280"/>
    </w:p>
    <w:p w:rsidR="00810A7E" w:rsidRPr="00013C48" w:rsidRDefault="00810A7E" w:rsidP="00810A7E">
      <w:pPr>
        <w:rPr>
          <w:lang w:val="ru-RU"/>
        </w:rPr>
      </w:pPr>
      <w:r w:rsidRPr="00013C48">
        <w:rPr>
          <w:lang w:val="ru-RU"/>
        </w:rPr>
        <w:t>95</w:t>
      </w:r>
      <w:r w:rsidRPr="00013C48">
        <w:rPr>
          <w:lang w:val="ru-RU"/>
        </w:rPr>
        <w:tab/>
        <w:t>В Правиле 5 Приложения 2 к Финансовому регламенту предусмотрено, что "для каждого добровольного взноса или целевого фонда в рамках специального счета Союза открывается отдельный счет".</w:t>
      </w:r>
    </w:p>
    <w:p w:rsidR="00810A7E" w:rsidRPr="00013C48" w:rsidRDefault="00810A7E" w:rsidP="00810A7E">
      <w:pPr>
        <w:rPr>
          <w:lang w:val="ru-RU"/>
        </w:rPr>
      </w:pPr>
      <w:r w:rsidRPr="00013C48">
        <w:rPr>
          <w:lang w:val="ru-RU"/>
        </w:rPr>
        <w:t>96</w:t>
      </w:r>
      <w:r w:rsidRPr="00013C48">
        <w:rPr>
          <w:lang w:val="ru-RU"/>
        </w:rPr>
        <w:tab/>
        <w:t>В Приложении </w:t>
      </w:r>
      <w:proofErr w:type="spellStart"/>
      <w:r w:rsidRPr="00013C48">
        <w:rPr>
          <w:lang w:val="ru-RU"/>
        </w:rPr>
        <w:t>B3</w:t>
      </w:r>
      <w:proofErr w:type="spellEnd"/>
      <w:r w:rsidRPr="00013C48">
        <w:rPr>
          <w:lang w:val="ru-RU"/>
        </w:rPr>
        <w:t xml:space="preserve"> к Отчету о финансовой деятельности указаны три проекта, в настоящее время относящиеся к деятельности </w:t>
      </w:r>
      <w:proofErr w:type="spellStart"/>
      <w:r w:rsidRPr="00013C48">
        <w:rPr>
          <w:lang w:val="ru-RU"/>
        </w:rPr>
        <w:t>ПРООН</w:t>
      </w:r>
      <w:proofErr w:type="spellEnd"/>
      <w:r w:rsidRPr="00013C48">
        <w:rPr>
          <w:lang w:val="ru-RU"/>
        </w:rPr>
        <w:t>. В Приложении </w:t>
      </w:r>
      <w:proofErr w:type="spellStart"/>
      <w:r w:rsidRPr="00013C48">
        <w:rPr>
          <w:lang w:val="ru-RU"/>
        </w:rPr>
        <w:t>B4</w:t>
      </w:r>
      <w:proofErr w:type="spellEnd"/>
      <w:r w:rsidRPr="00013C48">
        <w:rPr>
          <w:lang w:val="ru-RU"/>
        </w:rPr>
        <w:t xml:space="preserve"> к Отчету о финансовой деятельности показаны проекты, финансируемые по линии целевых фондов. Они частично финансируются путем снятия средств из </w:t>
      </w:r>
      <w:proofErr w:type="spellStart"/>
      <w:r w:rsidRPr="00013C48">
        <w:rPr>
          <w:lang w:val="ru-RU"/>
        </w:rPr>
        <w:t>ФРИКТ</w:t>
      </w:r>
      <w:proofErr w:type="spellEnd"/>
      <w:r w:rsidRPr="00013C48">
        <w:rPr>
          <w:lang w:val="ru-RU"/>
        </w:rPr>
        <w:t xml:space="preserve">, разрешенного решением Руководящего комитета </w:t>
      </w:r>
      <w:proofErr w:type="spellStart"/>
      <w:r w:rsidRPr="00013C48">
        <w:rPr>
          <w:lang w:val="ru-RU"/>
        </w:rPr>
        <w:t>ФРИКТ</w:t>
      </w:r>
      <w:proofErr w:type="spellEnd"/>
      <w:r w:rsidRPr="00013C48">
        <w:rPr>
          <w:lang w:val="ru-RU"/>
        </w:rPr>
        <w:t>. Другие проекты финансируются за счет специальных взносов (показанных в Приложении </w:t>
      </w:r>
      <w:proofErr w:type="spellStart"/>
      <w:r w:rsidRPr="00013C48">
        <w:rPr>
          <w:lang w:val="ru-RU"/>
        </w:rPr>
        <w:t>В5</w:t>
      </w:r>
      <w:proofErr w:type="spellEnd"/>
      <w:r w:rsidRPr="00013C48">
        <w:rPr>
          <w:lang w:val="ru-RU"/>
        </w:rPr>
        <w:t>) и регулируются соглашениями с донорами. В Приложении </w:t>
      </w:r>
      <w:proofErr w:type="spellStart"/>
      <w:r w:rsidRPr="00013C48">
        <w:rPr>
          <w:lang w:val="ru-RU"/>
        </w:rPr>
        <w:t>B6</w:t>
      </w:r>
      <w:proofErr w:type="spellEnd"/>
      <w:r w:rsidRPr="00013C48">
        <w:rPr>
          <w:lang w:val="ru-RU"/>
        </w:rPr>
        <w:t xml:space="preserve"> представлены проекты, относящиеся к </w:t>
      </w:r>
      <w:proofErr w:type="spellStart"/>
      <w:r w:rsidRPr="00013C48">
        <w:rPr>
          <w:lang w:val="ru-RU"/>
        </w:rPr>
        <w:t>ФРИКТ</w:t>
      </w:r>
      <w:proofErr w:type="spellEnd"/>
      <w:r w:rsidRPr="00013C48">
        <w:rPr>
          <w:lang w:val="ru-RU"/>
        </w:rPr>
        <w:t xml:space="preserve">. </w:t>
      </w:r>
    </w:p>
    <w:p w:rsidR="00810A7E" w:rsidRPr="00013C48" w:rsidRDefault="00810A7E" w:rsidP="00810A7E">
      <w:pPr>
        <w:rPr>
          <w:lang w:val="ru-RU"/>
        </w:rPr>
      </w:pPr>
      <w:r w:rsidRPr="00013C48">
        <w:rPr>
          <w:lang w:val="ru-RU"/>
        </w:rPr>
        <w:t>97</w:t>
      </w:r>
      <w:r w:rsidRPr="00013C48">
        <w:rPr>
          <w:lang w:val="ru-RU"/>
        </w:rPr>
        <w:tab/>
        <w:t>В 2015 году собственные средства МСЭ, выделенные на проекты, увеличились до 6,4</w:t>
      </w:r>
      <w:r w:rsidR="00780FBB" w:rsidRPr="00013C48">
        <w:rPr>
          <w:lang w:val="ru-RU"/>
        </w:rPr>
        <w:t> млн. </w:t>
      </w:r>
      <w:r w:rsidRPr="00013C48">
        <w:rPr>
          <w:lang w:val="ru-RU"/>
        </w:rPr>
        <w:t>швейцарских франков по сравнению с 5,7 млн. швейцарских франков в 2014 году. С другой стороны, средства третьих сторон, выделяемые на проекты, в 2015 году сократились до 28,7</w:t>
      </w:r>
      <w:r w:rsidR="00780FBB" w:rsidRPr="00013C48">
        <w:rPr>
          <w:lang w:val="ru-RU"/>
        </w:rPr>
        <w:t> млн. </w:t>
      </w:r>
      <w:r w:rsidRPr="00013C48">
        <w:rPr>
          <w:lang w:val="ru-RU"/>
        </w:rPr>
        <w:t>швейцарских франков по сравнению с 30,0 млн. швейцарских франков в 2014 году.</w:t>
      </w:r>
    </w:p>
    <w:p w:rsidR="00810A7E" w:rsidRPr="00013C48" w:rsidRDefault="00810A7E" w:rsidP="00780FBB">
      <w:pPr>
        <w:rPr>
          <w:highlight w:val="yellow"/>
          <w:lang w:val="ru-RU"/>
        </w:rPr>
      </w:pPr>
      <w:r w:rsidRPr="00013C48">
        <w:rPr>
          <w:lang w:val="ru-RU"/>
        </w:rPr>
        <w:t>98</w:t>
      </w:r>
      <w:r w:rsidRPr="00013C48">
        <w:rPr>
          <w:lang w:val="ru-RU"/>
        </w:rPr>
        <w:tab/>
        <w:t xml:space="preserve">Объем собственных средств МСЭ, выделенных на проекты, увеличился в основном благодаря переводу средств из </w:t>
      </w:r>
      <w:proofErr w:type="spellStart"/>
      <w:r w:rsidRPr="00013C48">
        <w:rPr>
          <w:lang w:val="ru-RU"/>
        </w:rPr>
        <w:t>ФРИКТ</w:t>
      </w:r>
      <w:proofErr w:type="spellEnd"/>
      <w:r w:rsidRPr="00013C48">
        <w:rPr>
          <w:lang w:val="ru-RU"/>
        </w:rPr>
        <w:t>. Ожидающие распределения средства третьих сторон в 2015 г</w:t>
      </w:r>
      <w:r w:rsidR="00780FBB" w:rsidRPr="00013C48">
        <w:rPr>
          <w:lang w:val="ru-RU"/>
        </w:rPr>
        <w:t>оду</w:t>
      </w:r>
      <w:r w:rsidRPr="00013C48">
        <w:rPr>
          <w:lang w:val="ru-RU"/>
        </w:rPr>
        <w:t xml:space="preserve"> увеличились до 2,9 млн. швейцарских франков (в 2014 г</w:t>
      </w:r>
      <w:r w:rsidR="00780FBB" w:rsidRPr="00013C48">
        <w:rPr>
          <w:lang w:val="ru-RU"/>
        </w:rPr>
        <w:t>.</w:t>
      </w:r>
      <w:r w:rsidRPr="00013C48">
        <w:rPr>
          <w:lang w:val="ru-RU"/>
        </w:rPr>
        <w:t xml:space="preserve"> они составляли 2,2</w:t>
      </w:r>
      <w:r w:rsidR="00780FBB" w:rsidRPr="00013C48">
        <w:rPr>
          <w:lang w:val="ru-RU"/>
        </w:rPr>
        <w:t> млн. </w:t>
      </w:r>
      <w:r w:rsidRPr="00013C48">
        <w:rPr>
          <w:lang w:val="ru-RU"/>
        </w:rPr>
        <w:t>швейцарских франков).</w:t>
      </w:r>
    </w:p>
    <w:p w:rsidR="00810A7E" w:rsidRPr="00013C48" w:rsidRDefault="00810A7E" w:rsidP="00E752E3">
      <w:pPr>
        <w:pStyle w:val="Heading1"/>
        <w:rPr>
          <w:lang w:val="ru-RU"/>
        </w:rPr>
      </w:pPr>
      <w:bookmarkStart w:id="281" w:name="_Toc452157340"/>
      <w:bookmarkStart w:id="282" w:name="_Toc452158663"/>
      <w:r w:rsidRPr="00013C48">
        <w:rPr>
          <w:lang w:val="ru-RU"/>
        </w:rPr>
        <w:lastRenderedPageBreak/>
        <w:t>РЕГИОНАЛЬНОЕ ПРИСУТСТВИЕ</w:t>
      </w:r>
      <w:bookmarkEnd w:id="281"/>
      <w:bookmarkEnd w:id="282"/>
    </w:p>
    <w:p w:rsidR="00810A7E" w:rsidRPr="00013C48" w:rsidRDefault="00810A7E" w:rsidP="00810A7E">
      <w:pPr>
        <w:rPr>
          <w:lang w:val="ru-RU"/>
        </w:rPr>
      </w:pPr>
      <w:r w:rsidRPr="00013C48">
        <w:rPr>
          <w:lang w:val="ru-RU"/>
        </w:rPr>
        <w:t>99</w:t>
      </w:r>
      <w:r w:rsidRPr="00013C48">
        <w:rPr>
          <w:lang w:val="ru-RU"/>
        </w:rPr>
        <w:tab/>
        <w:t xml:space="preserve">Отражение информации по сегментам представлено в Примечании 24 к Отчету о финансовой деятельности за 2015 финансовый год. Как указано в Примечании 3, представление информации по сегментам базируется на основных видах деятельности и источниках финансирования МСЭ. </w:t>
      </w:r>
    </w:p>
    <w:p w:rsidR="00810A7E" w:rsidRPr="00013C48" w:rsidRDefault="00810A7E" w:rsidP="00810A7E">
      <w:pPr>
        <w:rPr>
          <w:lang w:val="ru-RU"/>
        </w:rPr>
      </w:pPr>
      <w:r w:rsidRPr="00013C48">
        <w:rPr>
          <w:lang w:val="ru-RU"/>
        </w:rPr>
        <w:t>100</w:t>
      </w:r>
      <w:r w:rsidRPr="00013C48">
        <w:rPr>
          <w:lang w:val="ru-RU"/>
        </w:rPr>
        <w:tab/>
        <w:t xml:space="preserve">Согласно </w:t>
      </w:r>
      <w:proofErr w:type="spellStart"/>
      <w:r w:rsidRPr="00013C48">
        <w:rPr>
          <w:lang w:val="ru-RU"/>
        </w:rPr>
        <w:t>IPSAS</w:t>
      </w:r>
      <w:proofErr w:type="spellEnd"/>
      <w:r w:rsidRPr="00013C48">
        <w:rPr>
          <w:lang w:val="ru-RU"/>
        </w:rPr>
        <w:t xml:space="preserve"> "сегмент – это различимая деятельность…</w:t>
      </w:r>
      <w:r w:rsidR="00013C48">
        <w:rPr>
          <w:lang w:val="ru-RU"/>
        </w:rPr>
        <w:t>,</w:t>
      </w:r>
      <w:r w:rsidRPr="00013C48">
        <w:rPr>
          <w:lang w:val="ru-RU"/>
        </w:rPr>
        <w:t xml:space="preserve"> по которой составляется отдельная отчетная финансовая информация для целей оценки результатов проведенной деятельности предприятия по достижению им своих целей, а также для принятия решений о дальнейшем распределении ресурсов".</w:t>
      </w:r>
    </w:p>
    <w:p w:rsidR="00810A7E" w:rsidRPr="00013C48" w:rsidRDefault="00810A7E" w:rsidP="00810A7E">
      <w:pPr>
        <w:rPr>
          <w:lang w:val="ru-RU"/>
        </w:rPr>
      </w:pPr>
      <w:proofErr w:type="gramStart"/>
      <w:r w:rsidRPr="00013C48">
        <w:rPr>
          <w:lang w:val="ru-RU"/>
        </w:rPr>
        <w:t>101</w:t>
      </w:r>
      <w:r w:rsidRPr="00013C48">
        <w:rPr>
          <w:lang w:val="ru-RU"/>
        </w:rPr>
        <w:tab/>
        <w:t>По нашему мнению</w:t>
      </w:r>
      <w:proofErr w:type="gramEnd"/>
      <w:r w:rsidRPr="00013C48">
        <w:rPr>
          <w:lang w:val="ru-RU"/>
        </w:rPr>
        <w:t>, деятельность по региональному присутствию может рассматриваться как деятельность, которую стоит выделить в отдельный предмет на уровне информации вторичного сегмента. Это тесно связано с Резолюцией 25 (</w:t>
      </w:r>
      <w:proofErr w:type="spellStart"/>
      <w:r w:rsidRPr="00013C48">
        <w:rPr>
          <w:lang w:val="ru-RU"/>
        </w:rPr>
        <w:t>Пересм</w:t>
      </w:r>
      <w:proofErr w:type="spellEnd"/>
      <w:r w:rsidRPr="00013C48">
        <w:rPr>
          <w:lang w:val="ru-RU"/>
        </w:rPr>
        <w:t xml:space="preserve">. </w:t>
      </w:r>
      <w:proofErr w:type="spellStart"/>
      <w:r w:rsidRPr="00013C48">
        <w:rPr>
          <w:lang w:val="ru-RU"/>
        </w:rPr>
        <w:t>Пусан</w:t>
      </w:r>
      <w:proofErr w:type="spellEnd"/>
      <w:r w:rsidRPr="00013C48">
        <w:rPr>
          <w:lang w:val="ru-RU"/>
        </w:rPr>
        <w:t xml:space="preserve">, 2014 г.) "Укрепление регионального присутствия". Следует отметить также, что </w:t>
      </w:r>
      <w:proofErr w:type="spellStart"/>
      <w:r w:rsidRPr="00013C48">
        <w:rPr>
          <w:lang w:val="ru-RU"/>
        </w:rPr>
        <w:t>IMAC</w:t>
      </w:r>
      <w:proofErr w:type="spellEnd"/>
      <w:r w:rsidRPr="00013C48">
        <w:rPr>
          <w:lang w:val="ru-RU"/>
        </w:rPr>
        <w:t xml:space="preserve"> неоднократно обращал внимание Совета на деятельность региональных и зональных отделений (см. п. 3.13 четвертого ежегодного отчета </w:t>
      </w:r>
      <w:proofErr w:type="spellStart"/>
      <w:r w:rsidRPr="00013C48">
        <w:rPr>
          <w:lang w:val="ru-RU"/>
        </w:rPr>
        <w:t>IMAC</w:t>
      </w:r>
      <w:proofErr w:type="spellEnd"/>
      <w:r w:rsidRPr="00013C48">
        <w:rPr>
          <w:lang w:val="ru-RU"/>
        </w:rPr>
        <w:t>).</w:t>
      </w:r>
    </w:p>
    <w:p w:rsidR="000A438D" w:rsidRPr="00013C48" w:rsidRDefault="000A438D" w:rsidP="00810A7E">
      <w:pPr>
        <w:rPr>
          <w:lang w:val="ru-RU"/>
        </w:rPr>
      </w:pPr>
    </w:p>
    <w:tbl>
      <w:tblPr>
        <w:tblStyle w:val="TableGrid"/>
        <w:tblW w:w="0" w:type="auto"/>
        <w:tblLook w:val="04A0" w:firstRow="1" w:lastRow="0" w:firstColumn="1" w:lastColumn="0" w:noHBand="0" w:noVBand="1"/>
      </w:tblPr>
      <w:tblGrid>
        <w:gridCol w:w="9629"/>
      </w:tblGrid>
      <w:tr w:rsidR="000A438D" w:rsidRPr="00013C48" w:rsidTr="000A438D">
        <w:tc>
          <w:tcPr>
            <w:tcW w:w="9629" w:type="dxa"/>
          </w:tcPr>
          <w:p w:rsidR="000A438D" w:rsidRPr="00013C48" w:rsidRDefault="000A438D" w:rsidP="000A438D">
            <w:pPr>
              <w:rPr>
                <w:b/>
                <w:bCs/>
                <w:lang w:val="ru-RU"/>
              </w:rPr>
            </w:pPr>
            <w:r w:rsidRPr="00013C48">
              <w:rPr>
                <w:b/>
                <w:bCs/>
                <w:lang w:val="ru-RU"/>
              </w:rPr>
              <w:t>Рекомендация 5</w:t>
            </w:r>
          </w:p>
          <w:p w:rsidR="000A438D" w:rsidRPr="00013C48" w:rsidRDefault="000A438D" w:rsidP="000A438D">
            <w:pPr>
              <w:spacing w:after="120"/>
              <w:rPr>
                <w:lang w:val="ru-RU"/>
              </w:rPr>
            </w:pPr>
            <w:r w:rsidRPr="00013C48">
              <w:rPr>
                <w:lang w:val="ru-RU"/>
              </w:rPr>
              <w:t>102</w:t>
            </w:r>
            <w:r w:rsidRPr="00013C48">
              <w:rPr>
                <w:lang w:val="ru-RU"/>
              </w:rPr>
              <w:tab/>
              <w:t xml:space="preserve">Мы подтверждаем тот факт, что руководство предоставляет прозрачным образом Совету и членам информацию о региональном присутствии в рамках нескольких документов и отчетов. Однако в целях более полного выполнения требований Резолюции 25 и в соответствии с принципами </w:t>
            </w:r>
            <w:proofErr w:type="spellStart"/>
            <w:r w:rsidRPr="00013C48">
              <w:rPr>
                <w:lang w:val="ru-RU"/>
              </w:rPr>
              <w:t>IPSAS</w:t>
            </w:r>
            <w:proofErr w:type="spellEnd"/>
            <w:r w:rsidRPr="00013C48">
              <w:rPr>
                <w:lang w:val="ru-RU"/>
              </w:rPr>
              <w:t xml:space="preserve"> </w:t>
            </w:r>
            <w:r w:rsidRPr="00013C48">
              <w:rPr>
                <w:u w:val="single"/>
                <w:lang w:val="ru-RU"/>
              </w:rPr>
              <w:t>мы рекомендуем</w:t>
            </w:r>
            <w:r w:rsidRPr="00013C48">
              <w:rPr>
                <w:lang w:val="ru-RU"/>
              </w:rPr>
              <w:t xml:space="preserve"> добавить в отчет о финансовой деятельности информацию по сегменту регионального присутствия, содержащую подробные данные об ассигнованиях и фактических показателях региональных отделений.</w:t>
            </w:r>
          </w:p>
        </w:tc>
      </w:tr>
    </w:tbl>
    <w:p w:rsidR="00810A7E" w:rsidRPr="00013C48" w:rsidRDefault="00810A7E" w:rsidP="00810A7E">
      <w:pPr>
        <w:rPr>
          <w:lang w:val="ru-RU"/>
        </w:rPr>
      </w:pPr>
    </w:p>
    <w:tbl>
      <w:tblPr>
        <w:tblStyle w:val="TableGrid"/>
        <w:tblW w:w="0" w:type="auto"/>
        <w:tblLook w:val="04A0" w:firstRow="1" w:lastRow="0" w:firstColumn="1" w:lastColumn="0" w:noHBand="0" w:noVBand="1"/>
      </w:tblPr>
      <w:tblGrid>
        <w:gridCol w:w="9629"/>
      </w:tblGrid>
      <w:tr w:rsidR="000A438D" w:rsidRPr="00013C48" w:rsidTr="000A438D">
        <w:tc>
          <w:tcPr>
            <w:tcW w:w="9629" w:type="dxa"/>
          </w:tcPr>
          <w:p w:rsidR="000A438D" w:rsidRPr="00013C48" w:rsidRDefault="000A438D" w:rsidP="000A438D">
            <w:pPr>
              <w:rPr>
                <w:b/>
                <w:bCs/>
                <w:u w:val="single"/>
                <w:lang w:val="ru-RU"/>
              </w:rPr>
            </w:pPr>
            <w:r w:rsidRPr="00013C48">
              <w:rPr>
                <w:b/>
                <w:bCs/>
                <w:u w:val="single"/>
                <w:lang w:val="ru-RU"/>
              </w:rPr>
              <w:t>Комментарии Генерального секретаря</w:t>
            </w:r>
          </w:p>
          <w:p w:rsidR="000A438D" w:rsidRPr="00013C48" w:rsidRDefault="000A438D" w:rsidP="000A438D">
            <w:pPr>
              <w:spacing w:after="120"/>
              <w:rPr>
                <w:lang w:val="ru-RU"/>
              </w:rPr>
            </w:pPr>
            <w:r w:rsidRPr="00013C48">
              <w:rPr>
                <w:lang w:val="ru-RU"/>
              </w:rPr>
              <w:t>Данная рекомендация будет учтена при подготовке отчета о финансовой деятельности за 2016 год, который будет представлен Совету на его сессии 2017 года. В отчет о финансовой деятельности за 2017 год будет включено отдельное примечание, касающееся регионального присутствия, и финансовая таблица.</w:t>
            </w:r>
          </w:p>
        </w:tc>
      </w:tr>
    </w:tbl>
    <w:p w:rsidR="00810A7E" w:rsidRPr="00013C48" w:rsidRDefault="00810A7E" w:rsidP="000A438D">
      <w:pPr>
        <w:pStyle w:val="Headingb"/>
        <w:rPr>
          <w:lang w:val="ru-RU"/>
        </w:rPr>
      </w:pPr>
      <w:bookmarkStart w:id="283" w:name="_Toc450158131"/>
      <w:bookmarkStart w:id="284" w:name="_Toc450323561"/>
      <w:bookmarkStart w:id="285" w:name="_Toc450991500"/>
      <w:bookmarkStart w:id="286" w:name="_Toc452157341"/>
      <w:bookmarkStart w:id="287" w:name="_Toc452158664"/>
      <w:r w:rsidRPr="00013C48">
        <w:rPr>
          <w:lang w:val="ru-RU"/>
        </w:rPr>
        <w:t xml:space="preserve">Соглашения с принимающей страной для </w:t>
      </w:r>
      <w:bookmarkEnd w:id="283"/>
      <w:bookmarkEnd w:id="284"/>
      <w:bookmarkEnd w:id="285"/>
      <w:r w:rsidRPr="00013C48">
        <w:rPr>
          <w:lang w:val="ru-RU"/>
        </w:rPr>
        <w:t>отделений на местах</w:t>
      </w:r>
      <w:bookmarkEnd w:id="286"/>
      <w:bookmarkEnd w:id="287"/>
    </w:p>
    <w:p w:rsidR="00810A7E" w:rsidRPr="00013C48" w:rsidRDefault="00810A7E" w:rsidP="00810A7E">
      <w:pPr>
        <w:rPr>
          <w:lang w:val="ru-RU"/>
        </w:rPr>
      </w:pPr>
      <w:r w:rsidRPr="00013C48">
        <w:rPr>
          <w:lang w:val="ru-RU"/>
        </w:rPr>
        <w:t>103</w:t>
      </w:r>
      <w:r w:rsidRPr="00013C48">
        <w:rPr>
          <w:lang w:val="ru-RU"/>
        </w:rPr>
        <w:tab/>
        <w:t xml:space="preserve">После анализа отчетов </w:t>
      </w:r>
      <w:r w:rsidR="008558B5" w:rsidRPr="00013C48">
        <w:rPr>
          <w:lang w:val="ru-RU"/>
        </w:rPr>
        <w:t xml:space="preserve">Внутреннего </w:t>
      </w:r>
      <w:r w:rsidRPr="00013C48">
        <w:rPr>
          <w:lang w:val="ru-RU"/>
        </w:rPr>
        <w:t>аудитора, касающихся отделений на местах, мы провели анализ соглашений с принимающей страной в различных регионах. Наш анализ показал, что возможно необходим пересмотр некоторых соглашений с принимающей страной, а в двух случаях размещение в странах отделений осуществляется на основе только "принятой практики", а не на основе официальных актов.</w:t>
      </w:r>
    </w:p>
    <w:p w:rsidR="00810A7E" w:rsidRPr="00013C48" w:rsidRDefault="00810A7E" w:rsidP="00810A7E">
      <w:pPr>
        <w:rPr>
          <w:lang w:val="ru-RU"/>
        </w:rPr>
      </w:pPr>
    </w:p>
    <w:tbl>
      <w:tblPr>
        <w:tblStyle w:val="TableGrid"/>
        <w:tblW w:w="0" w:type="auto"/>
        <w:tblLook w:val="04A0" w:firstRow="1" w:lastRow="0" w:firstColumn="1" w:lastColumn="0" w:noHBand="0" w:noVBand="1"/>
      </w:tblPr>
      <w:tblGrid>
        <w:gridCol w:w="9629"/>
      </w:tblGrid>
      <w:tr w:rsidR="000A438D" w:rsidRPr="00013C48" w:rsidTr="000A438D">
        <w:tc>
          <w:tcPr>
            <w:tcW w:w="9629" w:type="dxa"/>
          </w:tcPr>
          <w:p w:rsidR="000A438D" w:rsidRPr="00013C48" w:rsidRDefault="000A438D" w:rsidP="000A438D">
            <w:pPr>
              <w:rPr>
                <w:b/>
                <w:bCs/>
                <w:lang w:val="ru-RU"/>
              </w:rPr>
            </w:pPr>
            <w:r w:rsidRPr="00013C48">
              <w:rPr>
                <w:b/>
                <w:bCs/>
                <w:lang w:val="ru-RU"/>
              </w:rPr>
              <w:t>Предложение 2</w:t>
            </w:r>
          </w:p>
          <w:p w:rsidR="000A438D" w:rsidRPr="00013C48" w:rsidRDefault="000A438D" w:rsidP="000A438D">
            <w:pPr>
              <w:spacing w:after="120"/>
              <w:rPr>
                <w:lang w:val="ru-RU"/>
              </w:rPr>
            </w:pPr>
            <w:r w:rsidRPr="00013C48">
              <w:rPr>
                <w:lang w:val="ru-RU"/>
              </w:rPr>
              <w:t>104</w:t>
            </w:r>
            <w:r w:rsidRPr="00013C48">
              <w:rPr>
                <w:lang w:val="ru-RU"/>
              </w:rPr>
              <w:tab/>
              <w:t xml:space="preserve">В связи с этим </w:t>
            </w:r>
            <w:r w:rsidRPr="00013C48">
              <w:rPr>
                <w:u w:val="single"/>
                <w:lang w:val="ru-RU"/>
              </w:rPr>
              <w:t>мы рекомендуем</w:t>
            </w:r>
            <w:r w:rsidRPr="00013C48">
              <w:rPr>
                <w:lang w:val="ru-RU"/>
              </w:rPr>
              <w:t xml:space="preserve"> руководству МСЭ продолжить анализ существующих соглашений с принимающей страной в целях закрепления в документе "принятой практики" и выгод, получаемых по соглашению с принимающей страной, с тем чтобы усилить его значение и защитить его активы.</w:t>
            </w:r>
          </w:p>
        </w:tc>
      </w:tr>
    </w:tbl>
    <w:p w:rsidR="00810A7E" w:rsidRPr="00013C48" w:rsidRDefault="00810A7E" w:rsidP="00810A7E">
      <w:pPr>
        <w:rPr>
          <w:lang w:val="ru-RU"/>
        </w:rPr>
      </w:pPr>
      <w:bookmarkStart w:id="288" w:name="_Toc356330916"/>
      <w:bookmarkStart w:id="289" w:name="_Toc415170524"/>
      <w:bookmarkStart w:id="290" w:name="_Toc415566518"/>
      <w:bookmarkStart w:id="291" w:name="_Toc418501347"/>
      <w:bookmarkStart w:id="292" w:name="_Toc418861208"/>
    </w:p>
    <w:tbl>
      <w:tblPr>
        <w:tblStyle w:val="TableGrid"/>
        <w:tblW w:w="0" w:type="auto"/>
        <w:tblLook w:val="04A0" w:firstRow="1" w:lastRow="0" w:firstColumn="1" w:lastColumn="0" w:noHBand="0" w:noVBand="1"/>
      </w:tblPr>
      <w:tblGrid>
        <w:gridCol w:w="9629"/>
      </w:tblGrid>
      <w:tr w:rsidR="000A438D" w:rsidRPr="00013C48" w:rsidTr="000A438D">
        <w:tc>
          <w:tcPr>
            <w:tcW w:w="9629" w:type="dxa"/>
          </w:tcPr>
          <w:p w:rsidR="000A438D" w:rsidRPr="00013C48" w:rsidRDefault="000A438D" w:rsidP="000A438D">
            <w:pPr>
              <w:keepNext/>
              <w:keepLines/>
              <w:rPr>
                <w:b/>
                <w:bCs/>
                <w:u w:val="single"/>
                <w:lang w:val="ru-RU"/>
              </w:rPr>
            </w:pPr>
            <w:r w:rsidRPr="00013C48">
              <w:rPr>
                <w:b/>
                <w:bCs/>
                <w:u w:val="single"/>
                <w:lang w:val="ru-RU"/>
              </w:rPr>
              <w:lastRenderedPageBreak/>
              <w:t>Комментарии Генерального секретаря</w:t>
            </w:r>
          </w:p>
          <w:p w:rsidR="000A438D" w:rsidRPr="00013C48" w:rsidRDefault="000A438D" w:rsidP="000A438D">
            <w:pPr>
              <w:rPr>
                <w:lang w:val="ru-RU"/>
              </w:rPr>
            </w:pPr>
            <w:r w:rsidRPr="00013C48">
              <w:rPr>
                <w:lang w:val="ru-RU"/>
              </w:rPr>
              <w:t xml:space="preserve">Предложение 2 приемлемо и на практике его реализация осуществляется на протяжении несколько лет и будет продолжена в будущем. </w:t>
            </w:r>
          </w:p>
          <w:p w:rsidR="000A438D" w:rsidRPr="00013C48" w:rsidRDefault="000A438D" w:rsidP="000A438D">
            <w:pPr>
              <w:rPr>
                <w:lang w:val="ru-RU"/>
              </w:rPr>
            </w:pPr>
            <w:r w:rsidRPr="00013C48">
              <w:rPr>
                <w:lang w:val="ru-RU"/>
              </w:rPr>
              <w:t>Так, в 2013 году было заключено специальное соглашение о зональном отделении в Гондурасе, по которому отсутствовало конкретное соглашение.</w:t>
            </w:r>
          </w:p>
          <w:p w:rsidR="000A438D" w:rsidRPr="00013C48" w:rsidRDefault="000A438D" w:rsidP="000A438D">
            <w:pPr>
              <w:rPr>
                <w:lang w:val="ru-RU"/>
              </w:rPr>
            </w:pPr>
            <w:r w:rsidRPr="00013C48">
              <w:rPr>
                <w:lang w:val="ru-RU"/>
              </w:rPr>
              <w:t>Аналогично, в ближайшем будущем должно быть подписано официальное соглашение о зональном отделении в Индонезии (по которому в настоящее время официального соглашения не существует); проект соглашения был в принципе согласован обеими сторонами, за исключением одного пункта, который отложен на период проведения внутренних консультаций с правительством Индонезии. Вскоре может быть также завершено рассмотрение действующего в настоящее время соглашения с принимающей страной о региональном отделении в Бангкоке. Наконец, ведутся переговоры о заключении соглашения с принимающей страной о зональном отделении в Чили.</w:t>
            </w:r>
          </w:p>
          <w:p w:rsidR="000A438D" w:rsidRPr="00013C48" w:rsidRDefault="000A438D" w:rsidP="000A438D">
            <w:pPr>
              <w:spacing w:after="120"/>
              <w:rPr>
                <w:lang w:val="ru-RU"/>
              </w:rPr>
            </w:pPr>
            <w:r w:rsidRPr="00013C48">
              <w:rPr>
                <w:lang w:val="ru-RU"/>
              </w:rPr>
              <w:t>Цель проводимых переговоров об отделениях на местах, по которым отсутствует официальное соглашение с принимающей страной, заключается в кодификации существующей практики с помощью соглашений с заинтересованными принимающими странами.</w:t>
            </w:r>
          </w:p>
        </w:tc>
      </w:tr>
    </w:tbl>
    <w:p w:rsidR="00810A7E" w:rsidRPr="00013C48" w:rsidRDefault="00810A7E" w:rsidP="000A438D">
      <w:pPr>
        <w:pStyle w:val="Heading1"/>
        <w:rPr>
          <w:lang w:val="ru-RU"/>
        </w:rPr>
      </w:pPr>
      <w:bookmarkStart w:id="293" w:name="_Toc450323562"/>
      <w:bookmarkStart w:id="294" w:name="_Toc450991501"/>
      <w:bookmarkStart w:id="295" w:name="_Toc452157342"/>
      <w:bookmarkStart w:id="296" w:name="_Toc452158665"/>
      <w:r w:rsidRPr="00013C48">
        <w:rPr>
          <w:lang w:val="ru-RU"/>
        </w:rPr>
        <w:t xml:space="preserve">ПРЕДСТАВЛЕНИЕ </w:t>
      </w:r>
      <w:proofErr w:type="spellStart"/>
      <w:r w:rsidRPr="00013C48">
        <w:rPr>
          <w:lang w:val="ru-RU"/>
        </w:rPr>
        <w:t>KPI</w:t>
      </w:r>
      <w:bookmarkEnd w:id="293"/>
      <w:bookmarkEnd w:id="294"/>
      <w:bookmarkEnd w:id="295"/>
      <w:bookmarkEnd w:id="296"/>
      <w:proofErr w:type="spellEnd"/>
    </w:p>
    <w:p w:rsidR="00810A7E" w:rsidRPr="00013C48" w:rsidRDefault="00810A7E" w:rsidP="00810A7E">
      <w:pPr>
        <w:rPr>
          <w:lang w:val="ru-RU"/>
        </w:rPr>
      </w:pPr>
      <w:r w:rsidRPr="00013C48">
        <w:rPr>
          <w:lang w:val="ru-RU"/>
        </w:rPr>
        <w:t>105</w:t>
      </w:r>
      <w:r w:rsidRPr="00013C48">
        <w:rPr>
          <w:lang w:val="ru-RU"/>
        </w:rPr>
        <w:tab/>
        <w:t>Мы приняли к сведению ключевые показатели финансовой деятельности (</w:t>
      </w:r>
      <w:proofErr w:type="spellStart"/>
      <w:r w:rsidRPr="00013C48">
        <w:rPr>
          <w:lang w:val="ru-RU"/>
        </w:rPr>
        <w:t>KPI</w:t>
      </w:r>
      <w:proofErr w:type="spellEnd"/>
      <w:r w:rsidRPr="00013C48">
        <w:rPr>
          <w:lang w:val="ru-RU"/>
        </w:rPr>
        <w:t>), представленные в предисловии Генерального секретаря к Отчету о финансовой деятельности, и считаем, что они в основном отвечают на вопросы, поднятые на сессии Совета 2015 года.</w:t>
      </w:r>
    </w:p>
    <w:p w:rsidR="00810A7E" w:rsidRPr="00013C48" w:rsidRDefault="00810A7E" w:rsidP="00013C48">
      <w:pPr>
        <w:rPr>
          <w:lang w:val="ru-RU"/>
        </w:rPr>
      </w:pPr>
      <w:r w:rsidRPr="00013C48">
        <w:rPr>
          <w:lang w:val="ru-RU"/>
        </w:rPr>
        <w:t>106</w:t>
      </w:r>
      <w:r w:rsidRPr="00013C48">
        <w:rPr>
          <w:lang w:val="ru-RU"/>
        </w:rPr>
        <w:tab/>
        <w:t xml:space="preserve">Мы согласны с утверждением Генерального секретаря о том, что "точное толкование результатов таких показателей необходимо для обеспечения корректного сравнения с другими организациями и специализированными учреждениями Организации Объединенных Наций" (см. также </w:t>
      </w:r>
      <w:proofErr w:type="spellStart"/>
      <w:r w:rsidRPr="00013C48">
        <w:rPr>
          <w:lang w:val="ru-RU"/>
        </w:rPr>
        <w:t>пп</w:t>
      </w:r>
      <w:proofErr w:type="spellEnd"/>
      <w:r w:rsidRPr="00013C48">
        <w:rPr>
          <w:lang w:val="ru-RU"/>
        </w:rPr>
        <w:t>. </w:t>
      </w:r>
      <w:r w:rsidR="00013C48">
        <w:rPr>
          <w:lang w:val="ru-RU"/>
        </w:rPr>
        <w:t>69</w:t>
      </w:r>
      <w:r w:rsidRPr="00013C48">
        <w:rPr>
          <w:lang w:val="ru-RU"/>
        </w:rPr>
        <w:t xml:space="preserve"> и 70, выше). Кроме того, следует отметить также, что в некоторых случаях стандарты учета (</w:t>
      </w:r>
      <w:proofErr w:type="spellStart"/>
      <w:r w:rsidRPr="00013C48">
        <w:rPr>
          <w:lang w:val="ru-RU"/>
        </w:rPr>
        <w:t>IPSAS</w:t>
      </w:r>
      <w:proofErr w:type="spellEnd"/>
      <w:r w:rsidRPr="00013C48">
        <w:rPr>
          <w:lang w:val="ru-RU"/>
        </w:rPr>
        <w:t xml:space="preserve">) оставляют руководству варианты и возможность выбора по собственному усмотрению порядка их реализации и, следовательно, согласованность учета в разных учреждениях Организации Объединенных Наций может не гарантироваться. </w:t>
      </w:r>
    </w:p>
    <w:p w:rsidR="00810A7E" w:rsidRPr="00013C48" w:rsidRDefault="00810A7E" w:rsidP="00810A7E">
      <w:pPr>
        <w:rPr>
          <w:lang w:val="ru-RU"/>
        </w:rPr>
      </w:pPr>
      <w:r w:rsidRPr="00013C48">
        <w:rPr>
          <w:lang w:val="ru-RU"/>
        </w:rPr>
        <w:t>107</w:t>
      </w:r>
      <w:r w:rsidRPr="00013C48">
        <w:rPr>
          <w:lang w:val="ru-RU"/>
        </w:rPr>
        <w:tab/>
        <w:t xml:space="preserve">Мы считаем, что для МСЭ важно проводить финансовый анализ с использованием ключевых показателей (согласно </w:t>
      </w:r>
      <w:proofErr w:type="gramStart"/>
      <w:r w:rsidRPr="00013C48">
        <w:rPr>
          <w:lang w:val="ru-RU"/>
        </w:rPr>
        <w:t>Документу</w:t>
      </w:r>
      <w:proofErr w:type="gramEnd"/>
      <w:r w:rsidRPr="00013C48">
        <w:rPr>
          <w:lang w:val="ru-RU"/>
        </w:rPr>
        <w:t xml:space="preserve"> </w:t>
      </w:r>
      <w:proofErr w:type="spellStart"/>
      <w:r w:rsidRPr="00013C48">
        <w:rPr>
          <w:lang w:val="ru-RU"/>
        </w:rPr>
        <w:t>CWG-FHR</w:t>
      </w:r>
      <w:proofErr w:type="spellEnd"/>
      <w:r w:rsidRPr="00013C48">
        <w:rPr>
          <w:lang w:val="ru-RU"/>
        </w:rPr>
        <w:t xml:space="preserve"> 5/6), а также приводя пояснения и анализ. При том что внешний сравнительный анализ потенциально важен, но учитывая при этом сложности обеспечения надлежащих и единообразных внешних целевых ориентиров, которые пояснялись ранее, важно отметить, что эти соотношения следует рассматривать в качестве общего анализа тенденций и они не должны быть, как правило, частью процесса проверки счетов.</w:t>
      </w:r>
    </w:p>
    <w:p w:rsidR="00810A7E" w:rsidRPr="00013C48" w:rsidRDefault="00810A7E" w:rsidP="000A438D">
      <w:pPr>
        <w:pStyle w:val="Heading1"/>
        <w:rPr>
          <w:lang w:val="ru-RU"/>
        </w:rPr>
      </w:pPr>
      <w:bookmarkStart w:id="297" w:name="_Toc452157343"/>
      <w:bookmarkStart w:id="298" w:name="_Toc452158666"/>
      <w:r w:rsidRPr="00013C48">
        <w:rPr>
          <w:lang w:val="ru-RU"/>
        </w:rPr>
        <w:t>ПОСЛЕДУЮЩИЕ МЕРЫ В СВЯЗИ С ПРЕДЫДУЩИМИ РЕКОМЕНДАЦИЯМИ И ПРЕДЛОЖЕНИЯМИ</w:t>
      </w:r>
      <w:bookmarkEnd w:id="288"/>
      <w:bookmarkEnd w:id="289"/>
      <w:bookmarkEnd w:id="290"/>
      <w:bookmarkEnd w:id="291"/>
      <w:bookmarkEnd w:id="292"/>
      <w:bookmarkEnd w:id="297"/>
      <w:bookmarkEnd w:id="298"/>
    </w:p>
    <w:p w:rsidR="00810A7E" w:rsidRPr="00013C48" w:rsidRDefault="00810A7E" w:rsidP="00810A7E">
      <w:pPr>
        <w:rPr>
          <w:lang w:val="ru-RU"/>
        </w:rPr>
      </w:pPr>
      <w:r w:rsidRPr="00013C48">
        <w:rPr>
          <w:lang w:val="ru-RU"/>
        </w:rPr>
        <w:t>108</w:t>
      </w:r>
      <w:r w:rsidRPr="00013C48">
        <w:rPr>
          <w:lang w:val="ru-RU"/>
        </w:rPr>
        <w:tab/>
        <w:t>В Приложении I представлены все наши предыдущие рекомендации, а также комментарии, полученные от руководства МСЭ во время выпуска Отчета. В Приложении </w:t>
      </w:r>
      <w:proofErr w:type="spellStart"/>
      <w:r w:rsidRPr="00013C48">
        <w:rPr>
          <w:lang w:val="ru-RU"/>
        </w:rPr>
        <w:t>II</w:t>
      </w:r>
      <w:proofErr w:type="spellEnd"/>
      <w:r w:rsidRPr="00013C48">
        <w:rPr>
          <w:lang w:val="ru-RU"/>
        </w:rPr>
        <w:t xml:space="preserve"> представлены все рекомендации наших предшественников из </w:t>
      </w:r>
      <w:proofErr w:type="spellStart"/>
      <w:r w:rsidRPr="00013C48">
        <w:rPr>
          <w:lang w:val="ru-RU"/>
        </w:rPr>
        <w:t>ШФАБ</w:t>
      </w:r>
      <w:proofErr w:type="spellEnd"/>
      <w:r w:rsidRPr="00013C48">
        <w:rPr>
          <w:lang w:val="ru-RU"/>
        </w:rPr>
        <w:t xml:space="preserve"> и комментарии, полученные от руководства МСЭ во время выпуска Отчета. В Приложении </w:t>
      </w:r>
      <w:proofErr w:type="spellStart"/>
      <w:r w:rsidRPr="00013C48">
        <w:rPr>
          <w:lang w:val="ru-RU"/>
        </w:rPr>
        <w:t>III</w:t>
      </w:r>
      <w:proofErr w:type="spellEnd"/>
      <w:r w:rsidRPr="00013C48">
        <w:rPr>
          <w:lang w:val="ru-RU"/>
        </w:rPr>
        <w:t xml:space="preserve"> представлены последующие меры, принятые по всем нашим предложениям.</w:t>
      </w:r>
    </w:p>
    <w:p w:rsidR="00810A7E" w:rsidRPr="00013C48" w:rsidRDefault="00810A7E" w:rsidP="00810A7E">
      <w:pPr>
        <w:rPr>
          <w:lang w:val="ru-RU"/>
        </w:rPr>
      </w:pPr>
      <w:r w:rsidRPr="00013C48">
        <w:rPr>
          <w:lang w:val="ru-RU"/>
        </w:rPr>
        <w:t>109</w:t>
      </w:r>
      <w:r w:rsidRPr="00013C48">
        <w:rPr>
          <w:lang w:val="ru-RU"/>
        </w:rPr>
        <w:tab/>
        <w:t>Рекомендации, получившие оценку "Выполнено", не будут включаться повторно в отчет об аудиторской проверке следующего года, если только они не требуют принятия последующих мер на ежегодной основе.</w:t>
      </w:r>
    </w:p>
    <w:p w:rsidR="00CA0ADA" w:rsidRPr="00013C48" w:rsidRDefault="00CA0ADA" w:rsidP="00CA0ADA">
      <w:pPr>
        <w:rPr>
          <w:lang w:val="ru-RU"/>
        </w:rPr>
      </w:pPr>
    </w:p>
    <w:p w:rsidR="00CA0ADA" w:rsidRPr="00013C48" w:rsidRDefault="00CA0ADA" w:rsidP="00CA0ADA">
      <w:pPr>
        <w:rPr>
          <w:lang w:val="ru-RU"/>
        </w:rPr>
        <w:sectPr w:rsidR="00CA0ADA" w:rsidRPr="00013C48" w:rsidSect="00E774F5">
          <w:headerReference w:type="default" r:id="rId11"/>
          <w:footerReference w:type="default" r:id="rId12"/>
          <w:footerReference w:type="first" r:id="rId13"/>
          <w:pgSz w:w="11907" w:h="16834" w:code="9"/>
          <w:pgMar w:top="1418" w:right="1134" w:bottom="1418" w:left="1134" w:header="567" w:footer="567" w:gutter="0"/>
          <w:paperSrc w:first="15" w:other="15"/>
          <w:cols w:space="720"/>
          <w:titlePg/>
        </w:sectPr>
      </w:pPr>
    </w:p>
    <w:p w:rsidR="00790294" w:rsidRPr="00013C48" w:rsidRDefault="00790294" w:rsidP="00790294">
      <w:pPr>
        <w:pStyle w:val="AnnexNo"/>
        <w:spacing w:before="0"/>
        <w:rPr>
          <w:lang w:val="ru-RU"/>
        </w:rPr>
      </w:pPr>
      <w:bookmarkStart w:id="299" w:name="_Toc419489441"/>
      <w:bookmarkStart w:id="300" w:name="_Toc452157344"/>
      <w:bookmarkStart w:id="301" w:name="_Toc452158667"/>
      <w:bookmarkStart w:id="302" w:name="_Toc418501348"/>
      <w:bookmarkStart w:id="303" w:name="_Toc418861209"/>
      <w:r w:rsidRPr="00013C48">
        <w:rPr>
          <w:lang w:val="ru-RU"/>
        </w:rPr>
        <w:lastRenderedPageBreak/>
        <w:t>ПРИЛОЖЕНИЕ I</w:t>
      </w:r>
      <w:bookmarkEnd w:id="299"/>
      <w:bookmarkEnd w:id="300"/>
      <w:bookmarkEnd w:id="301"/>
    </w:p>
    <w:p w:rsidR="00790294" w:rsidRPr="00013C48" w:rsidRDefault="00790294" w:rsidP="00790294">
      <w:pPr>
        <w:pStyle w:val="Annextitle"/>
        <w:rPr>
          <w:lang w:val="ru-RU"/>
        </w:rPr>
      </w:pPr>
      <w:bookmarkStart w:id="304" w:name="_Toc452157345"/>
      <w:bookmarkStart w:id="305" w:name="_Toc452158668"/>
      <w:r w:rsidRPr="00013C48">
        <w:rPr>
          <w:lang w:val="ru-RU"/>
        </w:rPr>
        <w:t>Последующие меры в связи с рекомендациями, представленными в наших предыдущих отчет</w:t>
      </w:r>
      <w:bookmarkEnd w:id="302"/>
      <w:bookmarkEnd w:id="303"/>
      <w:r w:rsidRPr="00013C48">
        <w:rPr>
          <w:lang w:val="ru-RU"/>
        </w:rPr>
        <w:t>ах</w:t>
      </w:r>
      <w:bookmarkEnd w:id="304"/>
      <w:bookmarkEnd w:id="305"/>
    </w:p>
    <w:tbl>
      <w:tblPr>
        <w:tblW w:w="14559" w:type="dxa"/>
        <w:tblLayout w:type="fixed"/>
        <w:tblCellMar>
          <w:left w:w="85" w:type="dxa"/>
          <w:right w:w="85" w:type="dxa"/>
        </w:tblCellMar>
        <w:tblLook w:val="0000" w:firstRow="0" w:lastRow="0" w:firstColumn="0" w:lastColumn="0" w:noHBand="0" w:noVBand="0"/>
      </w:tblPr>
      <w:tblGrid>
        <w:gridCol w:w="1493"/>
        <w:gridCol w:w="3322"/>
        <w:gridCol w:w="3544"/>
        <w:gridCol w:w="3674"/>
        <w:gridCol w:w="2526"/>
      </w:tblGrid>
      <w:tr w:rsidR="00790294" w:rsidRPr="00013C48" w:rsidTr="00B50CE5">
        <w:trPr>
          <w:cantSplit/>
          <w:tblHeader/>
        </w:trPr>
        <w:tc>
          <w:tcPr>
            <w:tcW w:w="149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90294" w:rsidRPr="00013C48" w:rsidRDefault="00790294" w:rsidP="00790294">
            <w:pPr>
              <w:spacing w:before="40" w:after="40"/>
              <w:jc w:val="center"/>
              <w:rPr>
                <w:b/>
                <w:bCs/>
                <w:sz w:val="18"/>
                <w:szCs w:val="18"/>
                <w:lang w:val="ru-RU"/>
              </w:rPr>
            </w:pPr>
          </w:p>
        </w:tc>
        <w:tc>
          <w:tcPr>
            <w:tcW w:w="332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90294" w:rsidRPr="00013C48" w:rsidRDefault="00790294" w:rsidP="00790294">
            <w:pPr>
              <w:spacing w:before="40" w:after="40"/>
              <w:jc w:val="center"/>
              <w:rPr>
                <w:b/>
                <w:bCs/>
                <w:sz w:val="18"/>
                <w:szCs w:val="18"/>
                <w:lang w:val="ru-RU"/>
              </w:rPr>
            </w:pPr>
            <w:r w:rsidRPr="00013C48">
              <w:rPr>
                <w:b/>
                <w:bCs/>
                <w:sz w:val="18"/>
                <w:szCs w:val="18"/>
                <w:lang w:val="ru-RU"/>
              </w:rPr>
              <w:t>Рекомендация, представленная Государственной сч</w:t>
            </w:r>
            <w:r w:rsidR="00AA4F19" w:rsidRPr="00013C48">
              <w:rPr>
                <w:b/>
                <w:bCs/>
                <w:sz w:val="18"/>
                <w:szCs w:val="18"/>
                <w:lang w:val="ru-RU"/>
              </w:rPr>
              <w:t>етной палатой </w:t>
            </w:r>
            <w:r w:rsidRPr="00013C48">
              <w:rPr>
                <w:b/>
                <w:bCs/>
                <w:sz w:val="18"/>
                <w:szCs w:val="18"/>
                <w:lang w:val="ru-RU"/>
              </w:rPr>
              <w:t>Италии</w:t>
            </w:r>
          </w:p>
        </w:tc>
        <w:tc>
          <w:tcPr>
            <w:tcW w:w="354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90294" w:rsidRPr="00013C48" w:rsidRDefault="00790294" w:rsidP="00790294">
            <w:pPr>
              <w:spacing w:before="40" w:after="40"/>
              <w:jc w:val="center"/>
              <w:rPr>
                <w:b/>
                <w:bCs/>
                <w:sz w:val="18"/>
                <w:szCs w:val="18"/>
                <w:lang w:val="ru-RU"/>
              </w:rPr>
            </w:pPr>
            <w:r w:rsidRPr="00013C48">
              <w:rPr>
                <w:b/>
                <w:bCs/>
                <w:sz w:val="18"/>
                <w:szCs w:val="18"/>
                <w:lang w:val="ru-RU"/>
              </w:rPr>
              <w:t>Комментарии, полученные от Генерального секретаря во время опубликования отчета</w:t>
            </w:r>
          </w:p>
        </w:tc>
        <w:tc>
          <w:tcPr>
            <w:tcW w:w="367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90294" w:rsidRPr="00013C48" w:rsidRDefault="00790294" w:rsidP="00790294">
            <w:pPr>
              <w:spacing w:before="40" w:after="40"/>
              <w:jc w:val="center"/>
              <w:rPr>
                <w:b/>
                <w:bCs/>
                <w:sz w:val="18"/>
                <w:szCs w:val="18"/>
                <w:lang w:val="ru-RU"/>
              </w:rPr>
            </w:pPr>
            <w:r w:rsidRPr="00013C48">
              <w:rPr>
                <w:b/>
                <w:bCs/>
                <w:sz w:val="18"/>
                <w:szCs w:val="18"/>
                <w:lang w:val="ru-RU"/>
              </w:rPr>
              <w:t>Статус выполнения по сообщению руководства МСЭ</w:t>
            </w:r>
          </w:p>
        </w:tc>
        <w:tc>
          <w:tcPr>
            <w:tcW w:w="25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90294" w:rsidRPr="00013C48" w:rsidRDefault="00790294" w:rsidP="00790294">
            <w:pPr>
              <w:spacing w:before="40" w:after="40"/>
              <w:jc w:val="center"/>
              <w:rPr>
                <w:b/>
                <w:bCs/>
                <w:sz w:val="18"/>
                <w:szCs w:val="18"/>
                <w:lang w:val="ru-RU"/>
              </w:rPr>
            </w:pPr>
            <w:r w:rsidRPr="00013C48">
              <w:rPr>
                <w:b/>
                <w:bCs/>
                <w:sz w:val="18"/>
                <w:szCs w:val="18"/>
                <w:lang w:val="ru-RU"/>
              </w:rPr>
              <w:t>Статус мер, принятых руководством, по оценке Государственной счетной палаты Италии</w:t>
            </w:r>
          </w:p>
        </w:tc>
      </w:tr>
      <w:tr w:rsidR="00B50CE5" w:rsidRPr="00013C48" w:rsidTr="00B50CE5">
        <w:trPr>
          <w:cantSplit/>
        </w:trPr>
        <w:tc>
          <w:tcPr>
            <w:tcW w:w="149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90294" w:rsidRPr="00013C48" w:rsidRDefault="00790294" w:rsidP="00790294">
            <w:pPr>
              <w:spacing w:before="40" w:after="40"/>
              <w:rPr>
                <w:b/>
                <w:bCs/>
                <w:sz w:val="18"/>
                <w:szCs w:val="18"/>
                <w:lang w:val="ru-RU"/>
              </w:rPr>
            </w:pPr>
            <w:r w:rsidRPr="00013C48">
              <w:rPr>
                <w:b/>
                <w:bCs/>
                <w:sz w:val="18"/>
                <w:szCs w:val="18"/>
                <w:lang w:val="ru-RU"/>
              </w:rPr>
              <w:t>Рек. 1/2014</w:t>
            </w:r>
          </w:p>
        </w:tc>
        <w:tc>
          <w:tcPr>
            <w:tcW w:w="332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90294" w:rsidRPr="00013C48" w:rsidRDefault="00790294" w:rsidP="00790294">
            <w:pPr>
              <w:spacing w:before="40" w:after="40"/>
              <w:rPr>
                <w:sz w:val="18"/>
                <w:szCs w:val="18"/>
                <w:lang w:val="ru-RU"/>
              </w:rPr>
            </w:pPr>
            <w:r w:rsidRPr="00013C48">
              <w:rPr>
                <w:sz w:val="18"/>
                <w:szCs w:val="18"/>
                <w:lang w:val="ru-RU"/>
              </w:rPr>
              <w:t xml:space="preserve">Мы считаем, что прежде чем списать утерянные или украденные предметы, к ним стоит применить отдельную специальную процедуру, </w:t>
            </w:r>
            <w:proofErr w:type="gramStart"/>
            <w:r w:rsidRPr="00013C48">
              <w:rPr>
                <w:sz w:val="18"/>
                <w:szCs w:val="18"/>
                <w:lang w:val="ru-RU"/>
              </w:rPr>
              <w:t>и</w:t>
            </w:r>
            <w:proofErr w:type="gramEnd"/>
            <w:r w:rsidRPr="00013C48">
              <w:rPr>
                <w:sz w:val="18"/>
                <w:szCs w:val="18"/>
                <w:lang w:val="ru-RU"/>
              </w:rPr>
              <w:t xml:space="preserve"> хотя мы признаем, что такая процедура действует, мы рекомендуем руководству усилить ее в данном конкретном вопросе.</w:t>
            </w:r>
          </w:p>
        </w:tc>
        <w:tc>
          <w:tcPr>
            <w:tcW w:w="354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90294" w:rsidRPr="00013C48" w:rsidRDefault="00790294" w:rsidP="00790294">
            <w:pPr>
              <w:spacing w:before="40" w:after="40"/>
              <w:rPr>
                <w:sz w:val="18"/>
                <w:szCs w:val="18"/>
                <w:lang w:val="ru-RU"/>
              </w:rPr>
            </w:pPr>
            <w:r w:rsidRPr="00013C48">
              <w:rPr>
                <w:sz w:val="18"/>
                <w:szCs w:val="18"/>
                <w:lang w:val="ru-RU"/>
              </w:rPr>
              <w:t>В 2015 году в существующую процедуру будут внесены соответствующие изменения.</w:t>
            </w:r>
          </w:p>
        </w:tc>
        <w:tc>
          <w:tcPr>
            <w:tcW w:w="367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90294" w:rsidRPr="00013C48" w:rsidRDefault="00790294" w:rsidP="00790294">
            <w:pPr>
              <w:spacing w:before="40" w:after="40"/>
              <w:rPr>
                <w:sz w:val="18"/>
                <w:szCs w:val="18"/>
                <w:lang w:val="ru-RU"/>
              </w:rPr>
            </w:pPr>
            <w:bookmarkStart w:id="306" w:name="lt_pId403"/>
            <w:r w:rsidRPr="00013C48">
              <w:rPr>
                <w:sz w:val="18"/>
                <w:szCs w:val="18"/>
                <w:lang w:val="ru-RU"/>
              </w:rPr>
              <w:t>Процедура была усилена боле</w:t>
            </w:r>
            <w:r w:rsidR="00AA4F19" w:rsidRPr="00013C48">
              <w:rPr>
                <w:sz w:val="18"/>
                <w:szCs w:val="18"/>
                <w:lang w:val="ru-RU"/>
              </w:rPr>
              <w:t>е</w:t>
            </w:r>
            <w:r w:rsidRPr="00013C48">
              <w:rPr>
                <w:sz w:val="18"/>
                <w:szCs w:val="18"/>
                <w:lang w:val="ru-RU"/>
              </w:rPr>
              <w:t xml:space="preserve"> явным образом в том, что касается утерянных или украденных предметов, в соответствии с рекомендацией.</w:t>
            </w:r>
            <w:bookmarkEnd w:id="306"/>
          </w:p>
          <w:p w:rsidR="00790294" w:rsidRPr="00013C48" w:rsidRDefault="00790294" w:rsidP="00790294">
            <w:pPr>
              <w:spacing w:before="40" w:after="40"/>
              <w:rPr>
                <w:sz w:val="18"/>
                <w:szCs w:val="18"/>
                <w:lang w:val="ru-RU"/>
              </w:rPr>
            </w:pPr>
            <w:bookmarkStart w:id="307" w:name="lt_pId404"/>
            <w:r w:rsidRPr="00013C48">
              <w:rPr>
                <w:sz w:val="18"/>
                <w:szCs w:val="18"/>
                <w:lang w:val="ru-RU"/>
              </w:rPr>
              <w:t xml:space="preserve">Кроме того, было налажено более тесное взаимодействие со службой безопасности Союза, подразделением управления активами </w:t>
            </w:r>
            <w:proofErr w:type="spellStart"/>
            <w:r w:rsidRPr="00013C48">
              <w:rPr>
                <w:sz w:val="18"/>
                <w:szCs w:val="18"/>
                <w:lang w:val="ru-RU"/>
              </w:rPr>
              <w:t>FRMD</w:t>
            </w:r>
            <w:proofErr w:type="spellEnd"/>
            <w:r w:rsidRPr="00013C48">
              <w:rPr>
                <w:sz w:val="18"/>
                <w:szCs w:val="18"/>
                <w:lang w:val="ru-RU"/>
              </w:rPr>
              <w:t xml:space="preserve"> и Департаментом </w:t>
            </w:r>
            <w:proofErr w:type="spellStart"/>
            <w:r w:rsidRPr="00013C48">
              <w:rPr>
                <w:sz w:val="18"/>
                <w:szCs w:val="18"/>
                <w:lang w:val="ru-RU"/>
              </w:rPr>
              <w:t>IS</w:t>
            </w:r>
            <w:proofErr w:type="spellEnd"/>
            <w:r w:rsidRPr="00013C48">
              <w:rPr>
                <w:sz w:val="18"/>
                <w:szCs w:val="18"/>
                <w:lang w:val="ru-RU"/>
              </w:rPr>
              <w:t>.</w:t>
            </w:r>
            <w:bookmarkEnd w:id="307"/>
          </w:p>
          <w:p w:rsidR="00790294" w:rsidRPr="00013C48" w:rsidRDefault="00790294" w:rsidP="00AA4F19">
            <w:pPr>
              <w:spacing w:before="40" w:after="40"/>
              <w:rPr>
                <w:sz w:val="18"/>
                <w:szCs w:val="18"/>
                <w:lang w:val="ru-RU"/>
              </w:rPr>
            </w:pPr>
            <w:bookmarkStart w:id="308" w:name="lt_pId405"/>
            <w:r w:rsidRPr="00013C48">
              <w:rPr>
                <w:b/>
                <w:bCs/>
                <w:sz w:val="18"/>
                <w:szCs w:val="18"/>
                <w:lang w:val="ru-RU"/>
              </w:rPr>
              <w:t>Обновление по состоянию на конец января 2016 г.</w:t>
            </w:r>
            <w:r w:rsidRPr="00013C48">
              <w:rPr>
                <w:sz w:val="18"/>
                <w:szCs w:val="18"/>
                <w:lang w:val="ru-RU"/>
              </w:rPr>
              <w:t xml:space="preserve">: </w:t>
            </w:r>
            <w:r w:rsidR="004B3F98" w:rsidRPr="00013C48">
              <w:rPr>
                <w:sz w:val="18"/>
                <w:szCs w:val="18"/>
                <w:lang w:val="ru-RU"/>
              </w:rPr>
              <w:t xml:space="preserve">Процедура </w:t>
            </w:r>
            <w:r w:rsidRPr="00013C48">
              <w:rPr>
                <w:sz w:val="18"/>
                <w:szCs w:val="18"/>
                <w:lang w:val="ru-RU"/>
              </w:rPr>
              <w:t xml:space="preserve">защиты активов </w:t>
            </w:r>
            <w:proofErr w:type="spellStart"/>
            <w:r w:rsidR="00AA4F19" w:rsidRPr="00013C48">
              <w:rPr>
                <w:sz w:val="18"/>
                <w:szCs w:val="18"/>
                <w:lang w:val="ru-RU"/>
              </w:rPr>
              <w:t>ИТ</w:t>
            </w:r>
            <w:proofErr w:type="spellEnd"/>
            <w:r w:rsidRPr="00013C48">
              <w:rPr>
                <w:sz w:val="18"/>
                <w:szCs w:val="18"/>
                <w:lang w:val="ru-RU"/>
              </w:rPr>
              <w:t xml:space="preserve"> изложена в Служебном приказе 15/11, в который были внесены поправки и который был опубликован 16 декабря 2015 </w:t>
            </w:r>
            <w:r w:rsidR="004B3F98" w:rsidRPr="00013C48">
              <w:rPr>
                <w:sz w:val="18"/>
                <w:szCs w:val="18"/>
                <w:lang w:val="ru-RU"/>
              </w:rPr>
              <w:t>г</w:t>
            </w:r>
            <w:r w:rsidRPr="00013C48">
              <w:rPr>
                <w:sz w:val="18"/>
                <w:szCs w:val="18"/>
                <w:lang w:val="ru-RU"/>
              </w:rPr>
              <w:t>.</w:t>
            </w:r>
            <w:bookmarkEnd w:id="308"/>
          </w:p>
          <w:p w:rsidR="00790294" w:rsidRPr="00013C48" w:rsidRDefault="00790294" w:rsidP="00790294">
            <w:pPr>
              <w:spacing w:before="40" w:after="40"/>
              <w:rPr>
                <w:sz w:val="18"/>
                <w:szCs w:val="18"/>
                <w:lang w:val="ru-RU"/>
              </w:rPr>
            </w:pPr>
            <w:bookmarkStart w:id="309" w:name="lt_pId406"/>
            <w:r w:rsidRPr="00013C48">
              <w:rPr>
                <w:b/>
                <w:bCs/>
                <w:sz w:val="18"/>
                <w:szCs w:val="18"/>
                <w:lang w:val="ru-RU"/>
              </w:rPr>
              <w:t>Обновление по состоянию на конец февраля 2016 г.</w:t>
            </w:r>
            <w:bookmarkEnd w:id="309"/>
            <w:r w:rsidRPr="00013C48">
              <w:rPr>
                <w:sz w:val="18"/>
                <w:szCs w:val="18"/>
                <w:lang w:val="ru-RU"/>
              </w:rPr>
              <w:t xml:space="preserve">: </w:t>
            </w:r>
            <w:r w:rsidR="004B3F98" w:rsidRPr="00013C48">
              <w:rPr>
                <w:sz w:val="18"/>
                <w:szCs w:val="18"/>
                <w:lang w:val="ru-RU"/>
              </w:rPr>
              <w:t xml:space="preserve">Были </w:t>
            </w:r>
            <w:r w:rsidRPr="00013C48">
              <w:rPr>
                <w:sz w:val="18"/>
                <w:szCs w:val="18"/>
                <w:lang w:val="ru-RU"/>
              </w:rPr>
              <w:t>внесены поправки в Служебный приказ об управлении запасами, и в декабре 2015 </w:t>
            </w:r>
            <w:r w:rsidR="004B3F98" w:rsidRPr="00013C48">
              <w:rPr>
                <w:sz w:val="18"/>
                <w:szCs w:val="18"/>
                <w:lang w:val="ru-RU"/>
              </w:rPr>
              <w:t>г.</w:t>
            </w:r>
            <w:r w:rsidRPr="00013C48">
              <w:rPr>
                <w:sz w:val="18"/>
                <w:szCs w:val="18"/>
                <w:lang w:val="ru-RU"/>
              </w:rPr>
              <w:t xml:space="preserve"> был опубликован Служебный приказ 15/11, в котором подробно описана процедура создания инвентарных записей и управления ими, а также процедура защиты активов ИТ.</w:t>
            </w:r>
          </w:p>
        </w:tc>
        <w:tc>
          <w:tcPr>
            <w:tcW w:w="25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90294" w:rsidRPr="00013C48" w:rsidRDefault="00790294" w:rsidP="00790294">
            <w:pPr>
              <w:spacing w:before="40" w:after="40"/>
              <w:rPr>
                <w:sz w:val="18"/>
                <w:szCs w:val="18"/>
                <w:lang w:val="ru-RU"/>
              </w:rPr>
            </w:pPr>
            <w:bookmarkStart w:id="310" w:name="lt_pId407"/>
            <w:r w:rsidRPr="00013C48">
              <w:rPr>
                <w:sz w:val="18"/>
                <w:szCs w:val="18"/>
                <w:lang w:val="ru-RU"/>
              </w:rPr>
              <w:t>Выполнено.</w:t>
            </w:r>
            <w:bookmarkEnd w:id="310"/>
          </w:p>
          <w:p w:rsidR="00790294" w:rsidRPr="00013C48" w:rsidRDefault="00790294" w:rsidP="00790294">
            <w:pPr>
              <w:spacing w:before="40" w:after="40"/>
              <w:rPr>
                <w:sz w:val="18"/>
                <w:szCs w:val="18"/>
                <w:lang w:val="ru-RU"/>
              </w:rPr>
            </w:pPr>
          </w:p>
          <w:p w:rsidR="00790294" w:rsidRPr="00013C48" w:rsidRDefault="00790294" w:rsidP="00790294">
            <w:pPr>
              <w:spacing w:before="40" w:after="40"/>
              <w:rPr>
                <w:sz w:val="18"/>
                <w:szCs w:val="18"/>
                <w:lang w:val="ru-RU"/>
              </w:rPr>
            </w:pPr>
            <w:r w:rsidRPr="00013C48">
              <w:rPr>
                <w:sz w:val="18"/>
                <w:szCs w:val="18"/>
                <w:lang w:val="ru-RU"/>
              </w:rPr>
              <w:t>Эта рекомендация будет отслеживаться в рамках наших будущих аудиторских проверок.</w:t>
            </w:r>
          </w:p>
        </w:tc>
      </w:tr>
      <w:tr w:rsidR="00B50CE5" w:rsidRPr="00013C48" w:rsidTr="00B50CE5">
        <w:trPr>
          <w:cantSplit/>
        </w:trPr>
        <w:tc>
          <w:tcPr>
            <w:tcW w:w="149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90294" w:rsidRPr="00013C48" w:rsidRDefault="00790294" w:rsidP="00790294">
            <w:pPr>
              <w:spacing w:before="40" w:after="40"/>
              <w:rPr>
                <w:b/>
                <w:bCs/>
                <w:sz w:val="18"/>
                <w:szCs w:val="18"/>
                <w:lang w:val="ru-RU"/>
              </w:rPr>
            </w:pPr>
            <w:r w:rsidRPr="00013C48">
              <w:rPr>
                <w:b/>
                <w:bCs/>
                <w:sz w:val="18"/>
                <w:szCs w:val="18"/>
                <w:lang w:val="ru-RU"/>
              </w:rPr>
              <w:lastRenderedPageBreak/>
              <w:t>Рек. 2/2014</w:t>
            </w:r>
          </w:p>
        </w:tc>
        <w:tc>
          <w:tcPr>
            <w:tcW w:w="332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90294" w:rsidRPr="00013C48" w:rsidRDefault="00790294" w:rsidP="00790294">
            <w:pPr>
              <w:spacing w:before="40" w:after="40"/>
              <w:rPr>
                <w:sz w:val="18"/>
                <w:szCs w:val="18"/>
                <w:lang w:val="ru-RU"/>
              </w:rPr>
            </w:pPr>
            <w:r w:rsidRPr="00013C48">
              <w:rPr>
                <w:sz w:val="18"/>
                <w:szCs w:val="18"/>
                <w:lang w:val="ru-RU"/>
              </w:rPr>
              <w:t xml:space="preserve">Мы рекомендуем руководству приступить к процедуре проведения тендера, чтобы отобрать актуария для осуществления актуарных оценок, связанных со стандартом </w:t>
            </w:r>
            <w:proofErr w:type="spellStart"/>
            <w:r w:rsidRPr="00013C48">
              <w:rPr>
                <w:sz w:val="18"/>
                <w:szCs w:val="18"/>
                <w:lang w:val="ru-RU"/>
              </w:rPr>
              <w:t>IPSAS</w:t>
            </w:r>
            <w:proofErr w:type="spellEnd"/>
            <w:r w:rsidRPr="00013C48">
              <w:rPr>
                <w:sz w:val="18"/>
                <w:szCs w:val="18"/>
                <w:lang w:val="ru-RU"/>
              </w:rPr>
              <w:t xml:space="preserve"> 25.</w:t>
            </w:r>
          </w:p>
        </w:tc>
        <w:tc>
          <w:tcPr>
            <w:tcW w:w="354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90294" w:rsidRPr="00013C48" w:rsidRDefault="00790294" w:rsidP="00790294">
            <w:pPr>
              <w:spacing w:before="40" w:after="40"/>
              <w:rPr>
                <w:sz w:val="18"/>
                <w:szCs w:val="18"/>
                <w:lang w:val="ru-RU"/>
              </w:rPr>
            </w:pPr>
            <w:r w:rsidRPr="00013C48">
              <w:rPr>
                <w:sz w:val="18"/>
                <w:szCs w:val="18"/>
                <w:lang w:val="ru-RU"/>
              </w:rPr>
              <w:t>При проведении тендера в отношении актуарных оценок по</w:t>
            </w:r>
            <w:r w:rsidR="004B3F98" w:rsidRPr="00013C48">
              <w:rPr>
                <w:sz w:val="18"/>
                <w:szCs w:val="18"/>
                <w:lang w:val="ru-RU"/>
              </w:rPr>
              <w:t xml:space="preserve"> стандарту </w:t>
            </w:r>
            <w:proofErr w:type="spellStart"/>
            <w:r w:rsidR="004B3F98" w:rsidRPr="00013C48">
              <w:rPr>
                <w:sz w:val="18"/>
                <w:szCs w:val="18"/>
                <w:lang w:val="ru-RU"/>
              </w:rPr>
              <w:t>IPSAS</w:t>
            </w:r>
            <w:proofErr w:type="spellEnd"/>
            <w:r w:rsidR="004B3F98" w:rsidRPr="00013C48">
              <w:rPr>
                <w:sz w:val="18"/>
                <w:szCs w:val="18"/>
                <w:lang w:val="ru-RU"/>
              </w:rPr>
              <w:t> </w:t>
            </w:r>
            <w:r w:rsidRPr="00013C48">
              <w:rPr>
                <w:sz w:val="18"/>
                <w:szCs w:val="18"/>
                <w:lang w:val="ru-RU"/>
              </w:rPr>
              <w:t>25 неукоснительно соблюдаются и будут соблюдаться правила производства закупок.</w:t>
            </w:r>
          </w:p>
        </w:tc>
        <w:tc>
          <w:tcPr>
            <w:tcW w:w="367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90294" w:rsidRPr="00013C48" w:rsidRDefault="00790294" w:rsidP="00790294">
            <w:pPr>
              <w:spacing w:before="40" w:after="40"/>
              <w:rPr>
                <w:sz w:val="18"/>
                <w:szCs w:val="18"/>
                <w:lang w:val="ru-RU"/>
              </w:rPr>
            </w:pPr>
            <w:bookmarkStart w:id="311" w:name="lt_pId413"/>
            <w:r w:rsidRPr="00013C48">
              <w:rPr>
                <w:sz w:val="18"/>
                <w:szCs w:val="18"/>
                <w:lang w:val="ru-RU"/>
              </w:rPr>
              <w:t>МСЭ связан контрактом до конца 2015 </w:t>
            </w:r>
            <w:r w:rsidR="004B3F98" w:rsidRPr="00013C48">
              <w:rPr>
                <w:sz w:val="18"/>
                <w:szCs w:val="18"/>
                <w:lang w:val="ru-RU"/>
              </w:rPr>
              <w:t>г</w:t>
            </w:r>
            <w:r w:rsidRPr="00013C48">
              <w:rPr>
                <w:sz w:val="18"/>
                <w:szCs w:val="18"/>
                <w:lang w:val="ru-RU"/>
              </w:rPr>
              <w:t>.</w:t>
            </w:r>
            <w:bookmarkEnd w:id="311"/>
          </w:p>
          <w:p w:rsidR="00790294" w:rsidRPr="00013C48" w:rsidRDefault="00790294" w:rsidP="00790294">
            <w:pPr>
              <w:spacing w:before="40" w:after="40"/>
              <w:rPr>
                <w:sz w:val="18"/>
                <w:szCs w:val="18"/>
                <w:lang w:val="ru-RU"/>
              </w:rPr>
            </w:pPr>
            <w:bookmarkStart w:id="312" w:name="lt_pId414"/>
            <w:r w:rsidRPr="00013C48">
              <w:rPr>
                <w:sz w:val="18"/>
                <w:szCs w:val="18"/>
                <w:lang w:val="ru-RU"/>
              </w:rPr>
              <w:t>В соответствии с действующими правилами и нормами производства закупок предложение о представлении заявок будет опубликовано в начале 2016 </w:t>
            </w:r>
            <w:r w:rsidR="004B3F98" w:rsidRPr="00013C48">
              <w:rPr>
                <w:sz w:val="18"/>
                <w:szCs w:val="18"/>
                <w:lang w:val="ru-RU"/>
              </w:rPr>
              <w:t>г</w:t>
            </w:r>
            <w:r w:rsidRPr="00013C48">
              <w:rPr>
                <w:sz w:val="18"/>
                <w:szCs w:val="18"/>
                <w:lang w:val="ru-RU"/>
              </w:rPr>
              <w:t>.</w:t>
            </w:r>
            <w:bookmarkEnd w:id="312"/>
          </w:p>
          <w:p w:rsidR="00790294" w:rsidRPr="00013C48" w:rsidRDefault="00790294" w:rsidP="00790294">
            <w:pPr>
              <w:spacing w:before="40" w:after="40"/>
              <w:rPr>
                <w:sz w:val="18"/>
                <w:szCs w:val="18"/>
                <w:lang w:val="ru-RU"/>
              </w:rPr>
            </w:pPr>
            <w:bookmarkStart w:id="313" w:name="lt_pId415"/>
            <w:r w:rsidRPr="00013C48">
              <w:rPr>
                <w:b/>
                <w:bCs/>
                <w:sz w:val="18"/>
                <w:szCs w:val="18"/>
                <w:lang w:val="ru-RU"/>
              </w:rPr>
              <w:t>Обновление по состоянию на конец января 2016 г.</w:t>
            </w:r>
            <w:r w:rsidRPr="00013C48">
              <w:rPr>
                <w:sz w:val="18"/>
                <w:szCs w:val="18"/>
                <w:lang w:val="ru-RU"/>
              </w:rPr>
              <w:t xml:space="preserve">: </w:t>
            </w:r>
            <w:proofErr w:type="gramStart"/>
            <w:r w:rsidRPr="00013C48">
              <w:rPr>
                <w:sz w:val="18"/>
                <w:szCs w:val="18"/>
                <w:lang w:val="ru-RU"/>
              </w:rPr>
              <w:t>В</w:t>
            </w:r>
            <w:proofErr w:type="gramEnd"/>
            <w:r w:rsidRPr="00013C48">
              <w:rPr>
                <w:sz w:val="18"/>
                <w:szCs w:val="18"/>
                <w:lang w:val="ru-RU"/>
              </w:rPr>
              <w:t xml:space="preserve"> начале марта </w:t>
            </w:r>
            <w:proofErr w:type="spellStart"/>
            <w:r w:rsidRPr="00013C48">
              <w:rPr>
                <w:sz w:val="18"/>
                <w:szCs w:val="18"/>
                <w:lang w:val="ru-RU"/>
              </w:rPr>
              <w:t>HRMD</w:t>
            </w:r>
            <w:proofErr w:type="spellEnd"/>
            <w:r w:rsidRPr="00013C48">
              <w:rPr>
                <w:sz w:val="18"/>
                <w:szCs w:val="18"/>
                <w:lang w:val="ru-RU"/>
              </w:rPr>
              <w:t xml:space="preserve"> и </w:t>
            </w:r>
            <w:proofErr w:type="spellStart"/>
            <w:r w:rsidRPr="00013C48">
              <w:rPr>
                <w:sz w:val="18"/>
                <w:szCs w:val="18"/>
                <w:lang w:val="ru-RU"/>
              </w:rPr>
              <w:t>FRMD</w:t>
            </w:r>
            <w:proofErr w:type="spellEnd"/>
            <w:r w:rsidRPr="00013C48">
              <w:rPr>
                <w:sz w:val="18"/>
                <w:szCs w:val="18"/>
                <w:lang w:val="ru-RU"/>
              </w:rPr>
              <w:t xml:space="preserve"> начнут обсуждение для определения требований МСЭ, и предложение о представлении заявок должно быть опубликовано к концу апреля.</w:t>
            </w:r>
            <w:bookmarkEnd w:id="313"/>
          </w:p>
          <w:p w:rsidR="00790294" w:rsidRPr="00013C48" w:rsidRDefault="00790294" w:rsidP="00790294">
            <w:pPr>
              <w:spacing w:before="40" w:after="40"/>
              <w:rPr>
                <w:sz w:val="18"/>
                <w:szCs w:val="18"/>
                <w:lang w:val="ru-RU"/>
              </w:rPr>
            </w:pPr>
            <w:bookmarkStart w:id="314" w:name="lt_pId416"/>
            <w:r w:rsidRPr="00013C48">
              <w:rPr>
                <w:b/>
                <w:bCs/>
                <w:sz w:val="18"/>
                <w:szCs w:val="18"/>
                <w:lang w:val="ru-RU"/>
              </w:rPr>
              <w:t>Обновление по состоянию на конец февраля 2016 г.</w:t>
            </w:r>
            <w:r w:rsidRPr="00013C48">
              <w:rPr>
                <w:sz w:val="18"/>
                <w:szCs w:val="18"/>
                <w:lang w:val="ru-RU"/>
              </w:rPr>
              <w:t xml:space="preserve">: </w:t>
            </w:r>
            <w:bookmarkEnd w:id="314"/>
            <w:proofErr w:type="gramStart"/>
            <w:r w:rsidRPr="00013C48">
              <w:rPr>
                <w:sz w:val="18"/>
                <w:szCs w:val="18"/>
                <w:lang w:val="ru-RU"/>
              </w:rPr>
              <w:t>В</w:t>
            </w:r>
            <w:proofErr w:type="gramEnd"/>
            <w:r w:rsidRPr="00013C48">
              <w:rPr>
                <w:sz w:val="18"/>
                <w:szCs w:val="18"/>
                <w:lang w:val="ru-RU"/>
              </w:rPr>
              <w:t xml:space="preserve"> марте 2016 </w:t>
            </w:r>
            <w:r w:rsidR="004B3F98" w:rsidRPr="00013C48">
              <w:rPr>
                <w:sz w:val="18"/>
                <w:szCs w:val="18"/>
                <w:lang w:val="ru-RU"/>
              </w:rPr>
              <w:t>г.</w:t>
            </w:r>
            <w:r w:rsidRPr="00013C48">
              <w:rPr>
                <w:sz w:val="18"/>
                <w:szCs w:val="18"/>
                <w:lang w:val="ru-RU"/>
              </w:rPr>
              <w:t xml:space="preserve"> Департамент управления финансовыми ресурсами (</w:t>
            </w:r>
            <w:proofErr w:type="spellStart"/>
            <w:r w:rsidRPr="00013C48">
              <w:rPr>
                <w:sz w:val="18"/>
                <w:szCs w:val="18"/>
                <w:lang w:val="ru-RU"/>
              </w:rPr>
              <w:t>FRMD</w:t>
            </w:r>
            <w:proofErr w:type="spellEnd"/>
            <w:r w:rsidRPr="00013C48">
              <w:rPr>
                <w:sz w:val="18"/>
                <w:szCs w:val="18"/>
                <w:lang w:val="ru-RU"/>
              </w:rPr>
              <w:t>) в сотрудничестве с Департаментом управления людскими ресурсами (</w:t>
            </w:r>
            <w:proofErr w:type="spellStart"/>
            <w:r w:rsidRPr="00013C48">
              <w:rPr>
                <w:sz w:val="18"/>
                <w:szCs w:val="18"/>
                <w:lang w:val="ru-RU"/>
              </w:rPr>
              <w:t>HRMD</w:t>
            </w:r>
            <w:proofErr w:type="spellEnd"/>
            <w:r w:rsidRPr="00013C48">
              <w:rPr>
                <w:sz w:val="18"/>
                <w:szCs w:val="18"/>
                <w:lang w:val="ru-RU"/>
              </w:rPr>
              <w:t xml:space="preserve">) определит требования, связанные с полным актуарным исследованием по стандарту </w:t>
            </w:r>
            <w:proofErr w:type="spellStart"/>
            <w:r w:rsidRPr="00013C48">
              <w:rPr>
                <w:sz w:val="18"/>
                <w:szCs w:val="18"/>
                <w:lang w:val="ru-RU"/>
              </w:rPr>
              <w:t>IPSAS</w:t>
            </w:r>
            <w:proofErr w:type="spellEnd"/>
            <w:r w:rsidRPr="00013C48">
              <w:rPr>
                <w:sz w:val="18"/>
                <w:szCs w:val="18"/>
                <w:lang w:val="ru-RU"/>
              </w:rPr>
              <w:t> 25. Соответствующее предложение о представлении заявок планируется опубликовать к концу апреля 2016 </w:t>
            </w:r>
            <w:r w:rsidR="004B3F98" w:rsidRPr="00013C48">
              <w:rPr>
                <w:sz w:val="18"/>
                <w:szCs w:val="18"/>
                <w:lang w:val="ru-RU"/>
              </w:rPr>
              <w:t>г</w:t>
            </w:r>
            <w:r w:rsidRPr="00013C48">
              <w:rPr>
                <w:sz w:val="18"/>
                <w:szCs w:val="18"/>
                <w:lang w:val="ru-RU"/>
              </w:rPr>
              <w:t>.</w:t>
            </w:r>
          </w:p>
        </w:tc>
        <w:tc>
          <w:tcPr>
            <w:tcW w:w="25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90294" w:rsidRPr="00013C48" w:rsidRDefault="00790294" w:rsidP="00790294">
            <w:pPr>
              <w:spacing w:before="40" w:after="40"/>
              <w:rPr>
                <w:sz w:val="18"/>
                <w:szCs w:val="18"/>
                <w:lang w:val="ru-RU"/>
              </w:rPr>
            </w:pPr>
            <w:bookmarkStart w:id="315" w:name="lt_pId418"/>
            <w:r w:rsidRPr="00013C48">
              <w:rPr>
                <w:sz w:val="18"/>
                <w:szCs w:val="18"/>
                <w:lang w:val="ru-RU"/>
              </w:rPr>
              <w:t>Частично выполнено.</w:t>
            </w:r>
            <w:bookmarkEnd w:id="315"/>
          </w:p>
          <w:p w:rsidR="00790294" w:rsidRPr="00013C48" w:rsidRDefault="00790294" w:rsidP="00790294">
            <w:pPr>
              <w:spacing w:before="40" w:after="40"/>
              <w:rPr>
                <w:sz w:val="18"/>
                <w:szCs w:val="18"/>
                <w:lang w:val="ru-RU"/>
              </w:rPr>
            </w:pPr>
          </w:p>
          <w:p w:rsidR="00790294" w:rsidRPr="00013C48" w:rsidRDefault="00790294" w:rsidP="00790294">
            <w:pPr>
              <w:spacing w:before="40" w:after="40"/>
              <w:rPr>
                <w:sz w:val="18"/>
                <w:szCs w:val="18"/>
                <w:lang w:val="ru-RU"/>
              </w:rPr>
            </w:pPr>
            <w:bookmarkStart w:id="316" w:name="lt_pId419"/>
            <w:r w:rsidRPr="00013C48">
              <w:rPr>
                <w:sz w:val="18"/>
                <w:szCs w:val="18"/>
                <w:lang w:val="ru-RU"/>
              </w:rPr>
              <w:t>Мы принимаем к сведению меры, уже принятые руководством, и будем отслеживать процесс реализации</w:t>
            </w:r>
            <w:bookmarkEnd w:id="316"/>
            <w:r w:rsidRPr="00013C48">
              <w:rPr>
                <w:sz w:val="18"/>
                <w:szCs w:val="18"/>
                <w:lang w:val="ru-RU"/>
              </w:rPr>
              <w:t>.</w:t>
            </w:r>
          </w:p>
        </w:tc>
      </w:tr>
      <w:tr w:rsidR="00D12A14" w:rsidRPr="00013C48" w:rsidTr="00B50CE5">
        <w:trPr>
          <w:cantSplit/>
        </w:trPr>
        <w:tc>
          <w:tcPr>
            <w:tcW w:w="1493"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b/>
                <w:bCs/>
                <w:sz w:val="18"/>
                <w:szCs w:val="18"/>
                <w:lang w:val="ru-RU"/>
              </w:rPr>
            </w:pPr>
            <w:r w:rsidRPr="00013C48">
              <w:rPr>
                <w:b/>
                <w:bCs/>
                <w:sz w:val="18"/>
                <w:szCs w:val="18"/>
                <w:lang w:val="ru-RU"/>
              </w:rPr>
              <w:lastRenderedPageBreak/>
              <w:t>Рек. 3/2014</w:t>
            </w:r>
          </w:p>
        </w:tc>
        <w:tc>
          <w:tcPr>
            <w:tcW w:w="3322"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 xml:space="preserve">Мы рекомендуем руководству провести полное актуарное экспертное исследование для оценки того, когда, при долгосрочном сценарии, финансовая стабильность МСЭ могла бы быть ослаблена резервными фондами для системы медицинского страхования. Однако, с учетом продолжающегося перехода на новую систему, данное исследование должно быть проведено после выхода из </w:t>
            </w:r>
            <w:proofErr w:type="spellStart"/>
            <w:r w:rsidRPr="00013C48">
              <w:rPr>
                <w:sz w:val="18"/>
                <w:szCs w:val="18"/>
                <w:lang w:val="ru-RU"/>
              </w:rPr>
              <w:t>ФМСП</w:t>
            </w:r>
            <w:proofErr w:type="spellEnd"/>
            <w:r w:rsidRPr="00013C48">
              <w:rPr>
                <w:sz w:val="18"/>
                <w:szCs w:val="18"/>
                <w:lang w:val="ru-RU"/>
              </w:rPr>
              <w:t xml:space="preserve"> и получения в рамках </w:t>
            </w:r>
            <w:proofErr w:type="spellStart"/>
            <w:r w:rsidRPr="00013C48">
              <w:rPr>
                <w:sz w:val="18"/>
                <w:szCs w:val="18"/>
                <w:lang w:val="ru-RU"/>
              </w:rPr>
              <w:t>ПКМС</w:t>
            </w:r>
            <w:proofErr w:type="spellEnd"/>
            <w:r w:rsidRPr="00013C48">
              <w:rPr>
                <w:sz w:val="18"/>
                <w:szCs w:val="18"/>
                <w:lang w:val="ru-RU"/>
              </w:rPr>
              <w:t xml:space="preserve"> данных в достаточном объеме, то есть не раньше конца 2016 г. Данная рекомендация з</w:t>
            </w:r>
            <w:r w:rsidR="004B3F98" w:rsidRPr="00013C48">
              <w:rPr>
                <w:sz w:val="18"/>
                <w:szCs w:val="18"/>
                <w:lang w:val="ru-RU"/>
              </w:rPr>
              <w:t>аменяет предыдущие рекомендации </w:t>
            </w:r>
            <w:r w:rsidRPr="00013C48">
              <w:rPr>
                <w:sz w:val="18"/>
                <w:szCs w:val="18"/>
                <w:lang w:val="ru-RU"/>
              </w:rPr>
              <w:t>6/2012 и 3/2013, которые считаются выполненными.</w:t>
            </w:r>
          </w:p>
        </w:tc>
        <w:tc>
          <w:tcPr>
            <w:tcW w:w="3544"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 xml:space="preserve">Данная рекомендация принята к сведению, и в соответствии с ней будет проведено полное актуарное исследование. </w:t>
            </w:r>
          </w:p>
        </w:tc>
        <w:tc>
          <w:tcPr>
            <w:tcW w:w="3674" w:type="dxa"/>
            <w:tcBorders>
              <w:top w:val="single" w:sz="4" w:space="0" w:color="auto"/>
              <w:left w:val="single" w:sz="4" w:space="0" w:color="auto"/>
              <w:bottom w:val="single" w:sz="4" w:space="0" w:color="auto"/>
              <w:right w:val="single" w:sz="4" w:space="0" w:color="auto"/>
            </w:tcBorders>
          </w:tcPr>
          <w:p w:rsidR="00D12A14" w:rsidRPr="00013C48" w:rsidRDefault="00D12A14" w:rsidP="004B3F98">
            <w:pPr>
              <w:spacing w:before="40" w:after="40"/>
              <w:rPr>
                <w:sz w:val="18"/>
                <w:szCs w:val="18"/>
                <w:lang w:val="ru-RU"/>
              </w:rPr>
            </w:pPr>
            <w:r w:rsidRPr="00013C48">
              <w:rPr>
                <w:sz w:val="18"/>
                <w:szCs w:val="18"/>
                <w:lang w:val="ru-RU"/>
              </w:rPr>
              <w:t>Как рекомендовано, полное актуарное исследование будет проведено в конце 2016</w:t>
            </w:r>
            <w:r w:rsidR="004B3F98" w:rsidRPr="00013C48">
              <w:rPr>
                <w:sz w:val="18"/>
                <w:szCs w:val="18"/>
                <w:lang w:val="ru-RU"/>
              </w:rPr>
              <w:t> </w:t>
            </w:r>
            <w:r w:rsidRPr="00013C48">
              <w:rPr>
                <w:sz w:val="18"/>
                <w:szCs w:val="18"/>
                <w:lang w:val="ru-RU"/>
              </w:rPr>
              <w:t>г. на основе данных и результатов, представленных в рамках Плана коллективного медицинского страхования (</w:t>
            </w:r>
            <w:proofErr w:type="spellStart"/>
            <w:r w:rsidRPr="00013C48">
              <w:rPr>
                <w:sz w:val="18"/>
                <w:szCs w:val="18"/>
                <w:lang w:val="ru-RU"/>
              </w:rPr>
              <w:t>ПКМС</w:t>
            </w:r>
            <w:proofErr w:type="spellEnd"/>
            <w:r w:rsidRPr="00013C48">
              <w:rPr>
                <w:sz w:val="18"/>
                <w:szCs w:val="18"/>
                <w:lang w:val="ru-RU"/>
              </w:rPr>
              <w:t>).</w:t>
            </w:r>
          </w:p>
          <w:p w:rsidR="00D12A14" w:rsidRPr="00013C48" w:rsidRDefault="00D12A14" w:rsidP="00D12A14">
            <w:pPr>
              <w:spacing w:before="40" w:after="40"/>
              <w:rPr>
                <w:sz w:val="18"/>
                <w:szCs w:val="18"/>
                <w:lang w:val="ru-RU"/>
              </w:rPr>
            </w:pPr>
            <w:r w:rsidRPr="00013C48">
              <w:rPr>
                <w:b/>
                <w:bCs/>
                <w:sz w:val="18"/>
                <w:szCs w:val="18"/>
                <w:lang w:val="ru-RU"/>
              </w:rPr>
              <w:t>Обновление по состоянию на конец января 2016 г.</w:t>
            </w:r>
            <w:r w:rsidRPr="00013C48">
              <w:rPr>
                <w:sz w:val="18"/>
                <w:szCs w:val="18"/>
                <w:lang w:val="ru-RU"/>
              </w:rPr>
              <w:t>: Требование о проведении этого исследования будет включено в основное актуарное</w:t>
            </w:r>
            <w:r w:rsidR="004B3F98" w:rsidRPr="00013C48">
              <w:rPr>
                <w:sz w:val="18"/>
                <w:szCs w:val="18"/>
                <w:lang w:val="ru-RU"/>
              </w:rPr>
              <w:t xml:space="preserve"> исследование, касающееся </w:t>
            </w:r>
            <w:proofErr w:type="spellStart"/>
            <w:r w:rsidR="004B3F98" w:rsidRPr="00013C48">
              <w:rPr>
                <w:sz w:val="18"/>
                <w:szCs w:val="18"/>
                <w:lang w:val="ru-RU"/>
              </w:rPr>
              <w:t>IPSAS</w:t>
            </w:r>
            <w:proofErr w:type="spellEnd"/>
            <w:r w:rsidR="004B3F98" w:rsidRPr="00013C48">
              <w:rPr>
                <w:sz w:val="18"/>
                <w:szCs w:val="18"/>
                <w:lang w:val="ru-RU"/>
              </w:rPr>
              <w:t> </w:t>
            </w:r>
            <w:r w:rsidRPr="00013C48">
              <w:rPr>
                <w:sz w:val="18"/>
                <w:szCs w:val="18"/>
                <w:lang w:val="ru-RU"/>
              </w:rPr>
              <w:t>25 (Рек. 2/2014).</w:t>
            </w:r>
          </w:p>
        </w:tc>
        <w:tc>
          <w:tcPr>
            <w:tcW w:w="2526"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В процессе выполнения.</w:t>
            </w:r>
          </w:p>
        </w:tc>
      </w:tr>
      <w:tr w:rsidR="00D12A14" w:rsidRPr="00013C48" w:rsidTr="00B50CE5">
        <w:trPr>
          <w:cantSplit/>
        </w:trPr>
        <w:tc>
          <w:tcPr>
            <w:tcW w:w="1493"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b/>
                <w:bCs/>
                <w:sz w:val="18"/>
                <w:szCs w:val="18"/>
                <w:lang w:val="ru-RU"/>
              </w:rPr>
            </w:pPr>
            <w:r w:rsidRPr="00013C48">
              <w:rPr>
                <w:b/>
                <w:bCs/>
                <w:sz w:val="18"/>
                <w:szCs w:val="18"/>
                <w:lang w:val="ru-RU"/>
              </w:rPr>
              <w:lastRenderedPageBreak/>
              <w:t>Рек. 4/2014</w:t>
            </w:r>
          </w:p>
        </w:tc>
        <w:tc>
          <w:tcPr>
            <w:tcW w:w="3322"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В связи с необходимостью принятия корректирующих мер эти факторы могут быть рассмотрены Советом: мы рекомендуем руководству контролировать эти факторы и обеспечить достаточное финансирование на распределительной и долгосрочной основе.</w:t>
            </w:r>
          </w:p>
        </w:tc>
        <w:tc>
          <w:tcPr>
            <w:tcW w:w="3544"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 xml:space="preserve">Финансирование медицинского страхования на распределительной основе, а также финансирование актуарных обязательств по </w:t>
            </w:r>
            <w:proofErr w:type="spellStart"/>
            <w:r w:rsidRPr="00013C48">
              <w:rPr>
                <w:sz w:val="18"/>
                <w:szCs w:val="18"/>
                <w:lang w:val="ru-RU"/>
              </w:rPr>
              <w:t>АСХИ</w:t>
            </w:r>
            <w:proofErr w:type="spellEnd"/>
            <w:r w:rsidRPr="00013C48">
              <w:rPr>
                <w:sz w:val="18"/>
                <w:szCs w:val="18"/>
                <w:lang w:val="ru-RU"/>
              </w:rPr>
              <w:t xml:space="preserve"> имеет важнейшее значение для Союза и тщательно контролируется. Указанные выше факторы были учтены среди прочих факторов при планировании перехода на </w:t>
            </w:r>
            <w:proofErr w:type="spellStart"/>
            <w:r w:rsidRPr="00013C48">
              <w:rPr>
                <w:sz w:val="18"/>
                <w:szCs w:val="18"/>
                <w:lang w:val="ru-RU"/>
              </w:rPr>
              <w:t>ПКМ</w:t>
            </w:r>
            <w:r w:rsidR="004B3F98" w:rsidRPr="00013C48">
              <w:rPr>
                <w:sz w:val="18"/>
                <w:szCs w:val="18"/>
                <w:lang w:val="ru-RU"/>
              </w:rPr>
              <w:t>С</w:t>
            </w:r>
            <w:proofErr w:type="spellEnd"/>
            <w:r w:rsidR="004B3F98" w:rsidRPr="00013C48">
              <w:rPr>
                <w:sz w:val="18"/>
                <w:szCs w:val="18"/>
                <w:lang w:val="ru-RU"/>
              </w:rPr>
              <w:t xml:space="preserve"> и составлении бюджета на 2014−</w:t>
            </w:r>
            <w:r w:rsidRPr="00013C48">
              <w:rPr>
                <w:sz w:val="18"/>
                <w:szCs w:val="18"/>
                <w:lang w:val="ru-RU"/>
              </w:rPr>
              <w:t>2015</w:t>
            </w:r>
            <w:r w:rsidR="004B3F98" w:rsidRPr="00013C48">
              <w:rPr>
                <w:sz w:val="18"/>
                <w:szCs w:val="18"/>
                <w:lang w:val="ru-RU"/>
              </w:rPr>
              <w:t xml:space="preserve"> гг., финансового плана на 2016−</w:t>
            </w:r>
            <w:r w:rsidRPr="00013C48">
              <w:rPr>
                <w:sz w:val="18"/>
                <w:szCs w:val="18"/>
                <w:lang w:val="ru-RU"/>
              </w:rPr>
              <w:t>20</w:t>
            </w:r>
            <w:r w:rsidR="004B3F98" w:rsidRPr="00013C48">
              <w:rPr>
                <w:sz w:val="18"/>
                <w:szCs w:val="18"/>
                <w:lang w:val="ru-RU"/>
              </w:rPr>
              <w:t>19 гг., а также бюджета на 2016−</w:t>
            </w:r>
            <w:r w:rsidRPr="00013C48">
              <w:rPr>
                <w:sz w:val="18"/>
                <w:szCs w:val="18"/>
                <w:lang w:val="ru-RU"/>
              </w:rPr>
              <w:t xml:space="preserve">2017 гг., который будет представлен в ходе сессии Совета 2015 г. Постоянный контроль результатов </w:t>
            </w:r>
            <w:proofErr w:type="spellStart"/>
            <w:r w:rsidRPr="00013C48">
              <w:rPr>
                <w:sz w:val="18"/>
                <w:szCs w:val="18"/>
                <w:lang w:val="ru-RU"/>
              </w:rPr>
              <w:t>ПКМС</w:t>
            </w:r>
            <w:proofErr w:type="spellEnd"/>
            <w:r w:rsidRPr="00013C48">
              <w:rPr>
                <w:sz w:val="18"/>
                <w:szCs w:val="18"/>
                <w:lang w:val="ru-RU"/>
              </w:rPr>
              <w:t xml:space="preserve"> в сочетании с регулярным упреждающим взаимодействием со всеми заинтересованными сторонами и своевременно предлагаемыми корректировками и решениями обеспечит возможность финансирования на распределительной основе.</w:t>
            </w:r>
          </w:p>
        </w:tc>
        <w:tc>
          <w:tcPr>
            <w:tcW w:w="3674"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Руководство следует этой рекомендации и тщательно контролирует различные факторы для обеспечения прочной финансовой стабильности МСЭ.</w:t>
            </w:r>
          </w:p>
        </w:tc>
        <w:tc>
          <w:tcPr>
            <w:tcW w:w="2526"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 xml:space="preserve">В процессе выполнения. </w:t>
            </w:r>
          </w:p>
        </w:tc>
      </w:tr>
      <w:tr w:rsidR="00D12A14" w:rsidRPr="00013C48" w:rsidTr="00B50CE5">
        <w:trPr>
          <w:cantSplit/>
        </w:trPr>
        <w:tc>
          <w:tcPr>
            <w:tcW w:w="1493"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b/>
                <w:bCs/>
                <w:sz w:val="18"/>
                <w:szCs w:val="18"/>
                <w:lang w:val="ru-RU"/>
              </w:rPr>
            </w:pPr>
            <w:r w:rsidRPr="00013C48">
              <w:rPr>
                <w:b/>
                <w:bCs/>
                <w:sz w:val="18"/>
                <w:szCs w:val="18"/>
                <w:lang w:val="ru-RU"/>
              </w:rPr>
              <w:lastRenderedPageBreak/>
              <w:t>Рек. 1/2013</w:t>
            </w:r>
          </w:p>
        </w:tc>
        <w:tc>
          <w:tcPr>
            <w:tcW w:w="3322"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b/>
                <w:bCs/>
                <w:sz w:val="18"/>
                <w:szCs w:val="18"/>
                <w:lang w:val="ru-RU"/>
              </w:rPr>
            </w:pPr>
            <w:r w:rsidRPr="00013C48">
              <w:rPr>
                <w:b/>
                <w:bCs/>
                <w:sz w:val="18"/>
                <w:szCs w:val="18"/>
                <w:lang w:val="ru-RU"/>
              </w:rPr>
              <w:t>Обновление списка разрешенных подписей в банках</w:t>
            </w:r>
          </w:p>
          <w:p w:rsidR="00D12A14" w:rsidRPr="00013C48" w:rsidRDefault="00D12A14" w:rsidP="00D12A14">
            <w:pPr>
              <w:spacing w:before="40" w:after="40"/>
              <w:rPr>
                <w:sz w:val="18"/>
                <w:szCs w:val="18"/>
                <w:lang w:val="ru-RU"/>
              </w:rPr>
            </w:pPr>
            <w:r w:rsidRPr="00013C48">
              <w:rPr>
                <w:sz w:val="18"/>
                <w:szCs w:val="18"/>
                <w:lang w:val="ru-RU"/>
              </w:rPr>
              <w:t xml:space="preserve">В </w:t>
            </w:r>
            <w:proofErr w:type="gramStart"/>
            <w:r w:rsidRPr="00013C48">
              <w:rPr>
                <w:sz w:val="18"/>
                <w:szCs w:val="18"/>
                <w:lang w:val="ru-RU"/>
              </w:rPr>
              <w:t>том</w:t>
            </w:r>
            <w:proofErr w:type="gramEnd"/>
            <w:r w:rsidRPr="00013C48">
              <w:rPr>
                <w:sz w:val="18"/>
                <w:szCs w:val="18"/>
                <w:lang w:val="ru-RU"/>
              </w:rPr>
              <w:t xml:space="preserve"> что касается счетов отделений на местах, рекомендуем, чтобы руководство приняло меры для более тщательной проверки и обновления права подписи в банках, в надлежащих случаях, в соответствии с Финансовым регламентом МСЭ, а также для более эффективного контроля штаб</w:t>
            </w:r>
            <w:r w:rsidRPr="00013C48">
              <w:rPr>
                <w:sz w:val="18"/>
                <w:szCs w:val="18"/>
                <w:lang w:val="ru-RU"/>
              </w:rPr>
              <w:noBreakHyphen/>
              <w:t>квартирой любых изменений в праве банковской подписи, т. е. в случае добавления лица с правом подписи или в случае исключения какого-либо лица, у которого более нет соответствующего разрешения.</w:t>
            </w:r>
          </w:p>
        </w:tc>
        <w:tc>
          <w:tcPr>
            <w:tcW w:w="3544"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proofErr w:type="spellStart"/>
            <w:r w:rsidRPr="00013C48">
              <w:rPr>
                <w:sz w:val="18"/>
                <w:szCs w:val="18"/>
                <w:lang w:val="ru-RU"/>
              </w:rPr>
              <w:t>FRMD</w:t>
            </w:r>
            <w:proofErr w:type="spellEnd"/>
            <w:r w:rsidRPr="00013C48">
              <w:rPr>
                <w:sz w:val="18"/>
                <w:szCs w:val="18"/>
                <w:lang w:val="ru-RU"/>
              </w:rPr>
              <w:t xml:space="preserve"> направил всем отделениям на местах напоминание, касающееся важности постоянного обновления списка сотрудников, имеющих право подписи, который предъявляется в банках. Отделениям на местах было поручено сообщать в </w:t>
            </w:r>
            <w:proofErr w:type="spellStart"/>
            <w:r w:rsidRPr="00013C48">
              <w:rPr>
                <w:sz w:val="18"/>
                <w:szCs w:val="18"/>
                <w:lang w:val="ru-RU"/>
              </w:rPr>
              <w:t>FRMD</w:t>
            </w:r>
            <w:proofErr w:type="spellEnd"/>
            <w:r w:rsidRPr="00013C48">
              <w:rPr>
                <w:sz w:val="18"/>
                <w:szCs w:val="18"/>
                <w:lang w:val="ru-RU"/>
              </w:rPr>
              <w:t xml:space="preserve"> о любых связанных с персоналом изменениях, которые влияют на список подписей, с тем чтобы обеспечивать должное обновление и ведение таких списков.</w:t>
            </w:r>
          </w:p>
        </w:tc>
        <w:tc>
          <w:tcPr>
            <w:tcW w:w="3674"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 xml:space="preserve">Отделениям на местах было поручено сообщать на постоянной основе о любых связанных с персоналом изменениях, которые влияют на список лиц с правом подписи. В ноябре 2014 г. в целях подготовки к внешней аудиторской проверке Союза за 2014 г. руководитель </w:t>
            </w:r>
            <w:proofErr w:type="spellStart"/>
            <w:r w:rsidRPr="00013C48">
              <w:rPr>
                <w:sz w:val="18"/>
                <w:szCs w:val="18"/>
                <w:lang w:val="ru-RU"/>
              </w:rPr>
              <w:t>FRMD</w:t>
            </w:r>
            <w:proofErr w:type="spellEnd"/>
            <w:r w:rsidRPr="00013C48">
              <w:rPr>
                <w:sz w:val="18"/>
                <w:szCs w:val="18"/>
                <w:lang w:val="ru-RU"/>
              </w:rPr>
              <w:t xml:space="preserve"> направил напоминание во все отделения на местах, с тем чтобы обеспечить представление в банки необходимой информации обо всех изменениях до конца 2014 г. Этот процесс будет осуществляться в конце каждого </w:t>
            </w:r>
            <w:r w:rsidR="004B3F98" w:rsidRPr="00013C48">
              <w:rPr>
                <w:sz w:val="18"/>
                <w:szCs w:val="18"/>
                <w:lang w:val="ru-RU"/>
              </w:rPr>
              <w:t>г</w:t>
            </w:r>
            <w:r w:rsidR="00AA4F19" w:rsidRPr="00013C48">
              <w:rPr>
                <w:sz w:val="18"/>
                <w:szCs w:val="18"/>
                <w:lang w:val="ru-RU"/>
              </w:rPr>
              <w:t>ода.</w:t>
            </w:r>
          </w:p>
          <w:p w:rsidR="00D12A14" w:rsidRPr="00013C48" w:rsidRDefault="00D12A14" w:rsidP="00D12A14">
            <w:pPr>
              <w:spacing w:before="40" w:after="40"/>
              <w:rPr>
                <w:sz w:val="18"/>
                <w:szCs w:val="18"/>
                <w:lang w:val="ru-RU"/>
              </w:rPr>
            </w:pPr>
            <w:r w:rsidRPr="00013C48">
              <w:rPr>
                <w:b/>
                <w:bCs/>
                <w:sz w:val="18"/>
                <w:szCs w:val="18"/>
                <w:lang w:val="ru-RU"/>
              </w:rPr>
              <w:t>Обновление по состоянию на конец января 2016 г.</w:t>
            </w:r>
            <w:r w:rsidRPr="00013C48">
              <w:rPr>
                <w:sz w:val="18"/>
                <w:szCs w:val="18"/>
                <w:lang w:val="ru-RU"/>
              </w:rPr>
              <w:t xml:space="preserve">: Все эти списки были обновлены с указанием надлежащих лиц с правом подписи. </w:t>
            </w:r>
          </w:p>
        </w:tc>
        <w:tc>
          <w:tcPr>
            <w:tcW w:w="2526"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Выполнено.</w:t>
            </w:r>
          </w:p>
        </w:tc>
      </w:tr>
      <w:tr w:rsidR="00D12A14" w:rsidRPr="00013C48" w:rsidTr="00B50CE5">
        <w:trPr>
          <w:cantSplit/>
        </w:trPr>
        <w:tc>
          <w:tcPr>
            <w:tcW w:w="1493"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b/>
                <w:bCs/>
                <w:sz w:val="18"/>
                <w:szCs w:val="18"/>
                <w:lang w:val="ru-RU"/>
              </w:rPr>
            </w:pPr>
            <w:r w:rsidRPr="00013C48">
              <w:rPr>
                <w:b/>
                <w:bCs/>
                <w:sz w:val="18"/>
                <w:szCs w:val="18"/>
                <w:lang w:val="ru-RU"/>
              </w:rPr>
              <w:lastRenderedPageBreak/>
              <w:t>Рек. 5/2013</w:t>
            </w:r>
          </w:p>
        </w:tc>
        <w:tc>
          <w:tcPr>
            <w:tcW w:w="3322"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b/>
                <w:bCs/>
                <w:sz w:val="18"/>
                <w:szCs w:val="18"/>
                <w:lang w:val="ru-RU"/>
              </w:rPr>
            </w:pPr>
            <w:r w:rsidRPr="00013C48">
              <w:rPr>
                <w:b/>
                <w:bCs/>
                <w:sz w:val="18"/>
                <w:szCs w:val="18"/>
                <w:lang w:val="ru-RU"/>
              </w:rPr>
              <w:t xml:space="preserve">Хотя </w:t>
            </w:r>
            <w:proofErr w:type="spellStart"/>
            <w:r w:rsidRPr="00013C48">
              <w:rPr>
                <w:b/>
                <w:bCs/>
                <w:sz w:val="18"/>
                <w:szCs w:val="18"/>
                <w:lang w:val="ru-RU"/>
              </w:rPr>
              <w:t>ERM</w:t>
            </w:r>
            <w:proofErr w:type="spellEnd"/>
            <w:r w:rsidRPr="00013C48">
              <w:rPr>
                <w:b/>
                <w:bCs/>
                <w:sz w:val="18"/>
                <w:szCs w:val="18"/>
                <w:lang w:val="ru-RU"/>
              </w:rPr>
              <w:t xml:space="preserve"> еще не внедрено, необходим план, основанный на оценке рисков</w:t>
            </w:r>
          </w:p>
          <w:p w:rsidR="00D12A14" w:rsidRPr="00013C48" w:rsidRDefault="00D12A14" w:rsidP="00D12A14">
            <w:pPr>
              <w:spacing w:before="40" w:after="40"/>
              <w:rPr>
                <w:sz w:val="18"/>
                <w:szCs w:val="18"/>
                <w:lang w:val="ru-RU"/>
              </w:rPr>
            </w:pPr>
            <w:r w:rsidRPr="00013C48">
              <w:rPr>
                <w:sz w:val="18"/>
                <w:szCs w:val="18"/>
                <w:lang w:val="ru-RU"/>
              </w:rPr>
              <w:t xml:space="preserve">Хотя мы знаем о том, что может оказаться сложным проводить оценку рисков в отсутствии </w:t>
            </w:r>
            <w:proofErr w:type="spellStart"/>
            <w:r w:rsidRPr="00013C48">
              <w:rPr>
                <w:sz w:val="18"/>
                <w:szCs w:val="18"/>
                <w:lang w:val="ru-RU"/>
              </w:rPr>
              <w:t>ERM</w:t>
            </w:r>
            <w:proofErr w:type="spellEnd"/>
            <w:r w:rsidRPr="00013C48">
              <w:rPr>
                <w:sz w:val="18"/>
                <w:szCs w:val="18"/>
                <w:lang w:val="ru-RU"/>
              </w:rPr>
              <w:t xml:space="preserve">, мы рекомендуем </w:t>
            </w:r>
            <w:r w:rsidR="00AA4F19" w:rsidRPr="00013C48">
              <w:rPr>
                <w:sz w:val="18"/>
                <w:szCs w:val="18"/>
                <w:lang w:val="ru-RU"/>
              </w:rPr>
              <w:t xml:space="preserve">Внутреннему </w:t>
            </w:r>
            <w:r w:rsidRPr="00013C48">
              <w:rPr>
                <w:sz w:val="18"/>
                <w:szCs w:val="18"/>
                <w:lang w:val="ru-RU"/>
              </w:rPr>
              <w:t>аудитору усовершенствовать процесс составления плана аудиторской проверки, "основанного на оценке рисков", начав с составления реестра рисков и анализа рисков (проводимого ежегодно).</w:t>
            </w:r>
          </w:p>
        </w:tc>
        <w:tc>
          <w:tcPr>
            <w:tcW w:w="3544"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 xml:space="preserve">В соответствии с рекомендацией, также представленной </w:t>
            </w:r>
            <w:proofErr w:type="spellStart"/>
            <w:r w:rsidRPr="00013C48">
              <w:rPr>
                <w:sz w:val="18"/>
                <w:szCs w:val="18"/>
                <w:lang w:val="ru-RU"/>
              </w:rPr>
              <w:t>IMAC</w:t>
            </w:r>
            <w:proofErr w:type="spellEnd"/>
            <w:r w:rsidRPr="00013C48">
              <w:rPr>
                <w:sz w:val="18"/>
                <w:szCs w:val="18"/>
                <w:lang w:val="ru-RU"/>
              </w:rPr>
              <w:t xml:space="preserve">, Подразделение внутреннего аудита усовершенствует процесс планирования и представит элементы плана аудиторской проверки, касающиеся анализа рисков и приоритетов. </w:t>
            </w:r>
          </w:p>
        </w:tc>
        <w:tc>
          <w:tcPr>
            <w:tcW w:w="3674" w:type="dxa"/>
            <w:tcBorders>
              <w:top w:val="single" w:sz="4" w:space="0" w:color="auto"/>
              <w:left w:val="single" w:sz="4" w:space="0" w:color="auto"/>
              <w:bottom w:val="single" w:sz="4" w:space="0" w:color="auto"/>
              <w:right w:val="single" w:sz="4" w:space="0" w:color="auto"/>
            </w:tcBorders>
          </w:tcPr>
          <w:p w:rsidR="00D12A14" w:rsidRPr="00013C48" w:rsidRDefault="00D12A14" w:rsidP="004B3F98">
            <w:pPr>
              <w:spacing w:before="40" w:after="40"/>
              <w:rPr>
                <w:sz w:val="18"/>
                <w:szCs w:val="18"/>
                <w:lang w:val="ru-RU"/>
              </w:rPr>
            </w:pPr>
            <w:r w:rsidRPr="00013C48">
              <w:rPr>
                <w:sz w:val="18"/>
                <w:szCs w:val="18"/>
                <w:lang w:val="ru-RU"/>
              </w:rPr>
              <w:t>Составлен план аудиторской проверки 2015</w:t>
            </w:r>
            <w:r w:rsidR="004B3F98" w:rsidRPr="00013C48">
              <w:rPr>
                <w:sz w:val="18"/>
                <w:szCs w:val="18"/>
                <w:lang w:val="ru-RU"/>
              </w:rPr>
              <w:t> г.</w:t>
            </w:r>
            <w:r w:rsidRPr="00013C48">
              <w:rPr>
                <w:sz w:val="18"/>
                <w:szCs w:val="18"/>
                <w:lang w:val="ru-RU"/>
              </w:rPr>
              <w:t xml:space="preserve">, в максимально возможной степени базирующийся на информации о рисках, полученной в ходе обсуждений со старшими руководителями и дополненной данными прошедших на ПК-14 дискуссий и их результатов. План аудиторской проверки 2015 </w:t>
            </w:r>
            <w:r w:rsidR="004B3F98" w:rsidRPr="00013C48">
              <w:rPr>
                <w:sz w:val="18"/>
                <w:szCs w:val="18"/>
                <w:lang w:val="ru-RU"/>
              </w:rPr>
              <w:t>г.</w:t>
            </w:r>
            <w:r w:rsidRPr="00013C48">
              <w:rPr>
                <w:sz w:val="18"/>
                <w:szCs w:val="18"/>
                <w:lang w:val="ru-RU"/>
              </w:rPr>
              <w:t xml:space="preserve"> содержит эти элементы, касающиеся рисков, а также позиции среднесрочного планирования. </w:t>
            </w:r>
          </w:p>
          <w:p w:rsidR="00D12A14" w:rsidRPr="00013C48" w:rsidRDefault="00D12A14" w:rsidP="00D12A14">
            <w:pPr>
              <w:spacing w:before="40" w:after="40"/>
              <w:rPr>
                <w:sz w:val="18"/>
                <w:szCs w:val="18"/>
                <w:lang w:val="ru-RU"/>
              </w:rPr>
            </w:pPr>
            <w:r w:rsidRPr="00013C48">
              <w:rPr>
                <w:b/>
                <w:bCs/>
                <w:sz w:val="18"/>
                <w:szCs w:val="18"/>
                <w:lang w:val="ru-RU"/>
              </w:rPr>
              <w:t>Обновление по состоянию на конец января 2016 г.</w:t>
            </w:r>
            <w:r w:rsidRPr="00013C48">
              <w:rPr>
                <w:sz w:val="18"/>
                <w:szCs w:val="18"/>
                <w:lang w:val="ru-RU"/>
              </w:rPr>
              <w:t xml:space="preserve">: Для плана аудиторской проверки 2016 </w:t>
            </w:r>
            <w:r w:rsidR="004B3F98" w:rsidRPr="00013C48">
              <w:rPr>
                <w:sz w:val="18"/>
                <w:szCs w:val="18"/>
                <w:lang w:val="ru-RU"/>
              </w:rPr>
              <w:t>г.</w:t>
            </w:r>
            <w:r w:rsidRPr="00013C48">
              <w:rPr>
                <w:sz w:val="18"/>
                <w:szCs w:val="18"/>
                <w:lang w:val="ru-RU"/>
              </w:rPr>
              <w:t xml:space="preserve"> будет проведена дополнительная работа. </w:t>
            </w:r>
          </w:p>
          <w:p w:rsidR="00D12A14" w:rsidRPr="00013C48" w:rsidRDefault="00D12A14" w:rsidP="00D12A14">
            <w:pPr>
              <w:spacing w:before="40" w:after="40"/>
              <w:rPr>
                <w:sz w:val="18"/>
                <w:szCs w:val="18"/>
                <w:lang w:val="ru-RU"/>
              </w:rPr>
            </w:pPr>
            <w:r w:rsidRPr="00013C48">
              <w:rPr>
                <w:b/>
                <w:bCs/>
                <w:sz w:val="18"/>
                <w:szCs w:val="18"/>
                <w:lang w:val="ru-RU"/>
              </w:rPr>
              <w:t>Обновление по состоянию на конец февраля 2016 г.</w:t>
            </w:r>
            <w:r w:rsidRPr="00013C48">
              <w:rPr>
                <w:sz w:val="18"/>
                <w:szCs w:val="18"/>
                <w:lang w:val="ru-RU"/>
              </w:rPr>
              <w:t>: Для составления плана внутреннего аудита 2016 </w:t>
            </w:r>
            <w:r w:rsidR="004B3F98" w:rsidRPr="00013C48">
              <w:rPr>
                <w:sz w:val="18"/>
                <w:szCs w:val="18"/>
                <w:lang w:val="ru-RU"/>
              </w:rPr>
              <w:t>г.</w:t>
            </w:r>
            <w:r w:rsidRPr="00013C48">
              <w:rPr>
                <w:sz w:val="18"/>
                <w:szCs w:val="18"/>
                <w:lang w:val="ru-RU"/>
              </w:rPr>
              <w:t xml:space="preserve"> был проведен анализ рисков на основе установленного пространства аудита, бизнес-процессов МСЭ и официального реестра рисков МСЭ. </w:t>
            </w:r>
          </w:p>
        </w:tc>
        <w:tc>
          <w:tcPr>
            <w:tcW w:w="2526"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Выполнено.</w:t>
            </w:r>
          </w:p>
        </w:tc>
      </w:tr>
      <w:tr w:rsidR="00D12A14" w:rsidRPr="00013C48" w:rsidTr="00B50CE5">
        <w:trPr>
          <w:cantSplit/>
        </w:trPr>
        <w:tc>
          <w:tcPr>
            <w:tcW w:w="1493"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b/>
                <w:bCs/>
                <w:sz w:val="18"/>
                <w:szCs w:val="18"/>
                <w:lang w:val="ru-RU"/>
              </w:rPr>
            </w:pPr>
            <w:r w:rsidRPr="00013C48">
              <w:rPr>
                <w:b/>
                <w:bCs/>
                <w:sz w:val="18"/>
                <w:szCs w:val="18"/>
                <w:lang w:val="ru-RU"/>
              </w:rPr>
              <w:lastRenderedPageBreak/>
              <w:t>Рек. 1/2012</w:t>
            </w:r>
          </w:p>
        </w:tc>
        <w:tc>
          <w:tcPr>
            <w:tcW w:w="3322"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b/>
                <w:bCs/>
                <w:sz w:val="18"/>
                <w:szCs w:val="18"/>
                <w:lang w:val="ru-RU"/>
              </w:rPr>
            </w:pPr>
            <w:r w:rsidRPr="00013C48">
              <w:rPr>
                <w:b/>
                <w:bCs/>
                <w:sz w:val="18"/>
                <w:szCs w:val="18"/>
                <w:lang w:val="ru-RU"/>
              </w:rPr>
              <w:t xml:space="preserve">Следует, чтобы для сумм, превышающих 5000 швейцарских франков, требовалось два подписывающих лица </w:t>
            </w:r>
          </w:p>
          <w:p w:rsidR="00D12A14" w:rsidRPr="00013C48" w:rsidRDefault="00D12A14" w:rsidP="00D12A14">
            <w:pPr>
              <w:spacing w:before="40" w:after="40"/>
              <w:rPr>
                <w:sz w:val="18"/>
                <w:szCs w:val="18"/>
                <w:lang w:val="ru-RU"/>
              </w:rPr>
            </w:pPr>
            <w:r w:rsidRPr="00013C48">
              <w:rPr>
                <w:sz w:val="18"/>
                <w:szCs w:val="18"/>
                <w:lang w:val="ru-RU"/>
              </w:rPr>
              <w:t>Хотя из разъяснений руководства мы поняли вопрос, связанный с практической возможностью внедрения в отделениях на местах принципа двойной подписи, например, в местном отделении может работать только один сотрудник категории специалистов, мы рекомендовали руководству обеспечить, когда это возможно, чтобы при финансовых операциях с бан</w:t>
            </w:r>
            <w:r w:rsidR="00AA4F19" w:rsidRPr="00013C48">
              <w:rPr>
                <w:sz w:val="18"/>
                <w:szCs w:val="18"/>
                <w:lang w:val="ru-RU"/>
              </w:rPr>
              <w:t>ками на суммы, превышающие 5000 </w:t>
            </w:r>
            <w:r w:rsidRPr="00013C48">
              <w:rPr>
                <w:sz w:val="18"/>
                <w:szCs w:val="18"/>
                <w:lang w:val="ru-RU"/>
              </w:rPr>
              <w:t>швейцарских франков, имелось два подписывающих лица, а в случае, если ответственный сотрудник на месте один распоряжается счетом МСЭ в банке, он должен получить от руководства предварительное разрешение.</w:t>
            </w:r>
          </w:p>
        </w:tc>
        <w:tc>
          <w:tcPr>
            <w:tcW w:w="3544"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Такие процедуры применяются, когда это возможно. Для отделений на местах, в которых двойная подпись невозможна в связи с конкретными ограничениями (юридические ограничения в некоторых странах для банковских подписей), будет применяться практика разрешений и мониторинга.</w:t>
            </w:r>
          </w:p>
        </w:tc>
        <w:tc>
          <w:tcPr>
            <w:tcW w:w="3674"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Процедуры применяются в соответствии с комментарием Генерального секретаря.</w:t>
            </w:r>
          </w:p>
          <w:p w:rsidR="00D12A14" w:rsidRPr="00013C48" w:rsidRDefault="00D12A14" w:rsidP="00D12A14">
            <w:pPr>
              <w:spacing w:before="40" w:after="40"/>
              <w:rPr>
                <w:sz w:val="18"/>
                <w:szCs w:val="18"/>
                <w:lang w:val="ru-RU"/>
              </w:rPr>
            </w:pPr>
            <w:r w:rsidRPr="00013C48">
              <w:rPr>
                <w:sz w:val="18"/>
                <w:szCs w:val="18"/>
                <w:lang w:val="ru-RU"/>
              </w:rPr>
              <w:t xml:space="preserve">Кроме того, проведен обзор разрешенных подписей, и ответственным сотрудникам отделений на местах направлены напоминания о том, чтобы они своевременно сообщали о любых изменениях в персонале, влияющих на уполномоченных лиц с правом подписи. Кроме того, внесены изменения в служебную записку </w:t>
            </w:r>
            <w:proofErr w:type="spellStart"/>
            <w:r w:rsidRPr="00013C48">
              <w:rPr>
                <w:sz w:val="18"/>
                <w:szCs w:val="18"/>
                <w:lang w:val="ru-RU"/>
              </w:rPr>
              <w:t>FRMD</w:t>
            </w:r>
            <w:proofErr w:type="spellEnd"/>
            <w:r w:rsidRPr="00013C48">
              <w:rPr>
                <w:sz w:val="18"/>
                <w:szCs w:val="18"/>
                <w:lang w:val="ru-RU"/>
              </w:rPr>
              <w:t xml:space="preserve"> о делегировании права подписи для отражения последних изменений в персонале, а также предельной суммы в 5000 долл. США для отделений на местах.</w:t>
            </w:r>
          </w:p>
          <w:p w:rsidR="00D12A14" w:rsidRPr="00013C48" w:rsidRDefault="00D12A14" w:rsidP="00D12A14">
            <w:pPr>
              <w:spacing w:before="40" w:after="40"/>
              <w:rPr>
                <w:sz w:val="18"/>
                <w:szCs w:val="18"/>
                <w:lang w:val="ru-RU"/>
              </w:rPr>
            </w:pPr>
            <w:r w:rsidRPr="00013C48">
              <w:rPr>
                <w:b/>
                <w:bCs/>
                <w:sz w:val="18"/>
                <w:szCs w:val="18"/>
                <w:lang w:val="ru-RU"/>
              </w:rPr>
              <w:t>Обновление по состоянию на конец января 2016 г.</w:t>
            </w:r>
            <w:r w:rsidRPr="00013C48">
              <w:rPr>
                <w:sz w:val="18"/>
                <w:szCs w:val="18"/>
                <w:lang w:val="ru-RU"/>
              </w:rPr>
              <w:t xml:space="preserve">: Все необходимые корректировки разрешенных подписей произведены при координации с региональными отделениями. </w:t>
            </w:r>
          </w:p>
        </w:tc>
        <w:tc>
          <w:tcPr>
            <w:tcW w:w="2526"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Выполнено.</w:t>
            </w:r>
          </w:p>
          <w:p w:rsidR="00D12A14" w:rsidRPr="00013C48" w:rsidRDefault="00D12A14" w:rsidP="00D12A14">
            <w:pPr>
              <w:spacing w:before="40" w:after="40"/>
              <w:rPr>
                <w:sz w:val="18"/>
                <w:szCs w:val="18"/>
                <w:lang w:val="ru-RU"/>
              </w:rPr>
            </w:pPr>
          </w:p>
          <w:p w:rsidR="00D12A14" w:rsidRPr="00013C48" w:rsidRDefault="00D12A14" w:rsidP="00D12A14">
            <w:pPr>
              <w:spacing w:before="40" w:after="40"/>
              <w:rPr>
                <w:sz w:val="18"/>
                <w:szCs w:val="18"/>
                <w:lang w:val="ru-RU"/>
              </w:rPr>
            </w:pPr>
            <w:r w:rsidRPr="00013C48">
              <w:rPr>
                <w:sz w:val="18"/>
                <w:szCs w:val="18"/>
                <w:lang w:val="ru-RU"/>
              </w:rPr>
              <w:t>Мы принимаем к сведению меры, уже принятые руководством, и будем и далее отслеживать процесс выполнения.</w:t>
            </w:r>
          </w:p>
        </w:tc>
      </w:tr>
      <w:tr w:rsidR="00D12A14" w:rsidRPr="00013C48" w:rsidTr="00B50CE5">
        <w:trPr>
          <w:cantSplit/>
        </w:trPr>
        <w:tc>
          <w:tcPr>
            <w:tcW w:w="1493"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b/>
                <w:bCs/>
                <w:sz w:val="18"/>
                <w:szCs w:val="18"/>
                <w:lang w:val="ru-RU"/>
              </w:rPr>
            </w:pPr>
            <w:r w:rsidRPr="00013C48">
              <w:rPr>
                <w:b/>
                <w:bCs/>
                <w:sz w:val="18"/>
                <w:szCs w:val="18"/>
                <w:lang w:val="ru-RU"/>
              </w:rPr>
              <w:t>Рек. 2/2012</w:t>
            </w:r>
          </w:p>
        </w:tc>
        <w:tc>
          <w:tcPr>
            <w:tcW w:w="3322"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b/>
                <w:bCs/>
                <w:sz w:val="18"/>
                <w:szCs w:val="18"/>
                <w:lang w:val="ru-RU"/>
              </w:rPr>
            </w:pPr>
            <w:r w:rsidRPr="00013C48">
              <w:rPr>
                <w:b/>
                <w:bCs/>
                <w:sz w:val="18"/>
                <w:szCs w:val="18"/>
                <w:lang w:val="ru-RU"/>
              </w:rPr>
              <w:t>Наличные денежные средства в отделениях на местах</w:t>
            </w:r>
          </w:p>
          <w:p w:rsidR="00D12A14" w:rsidRPr="00013C48" w:rsidRDefault="00D12A14" w:rsidP="00D12A14">
            <w:pPr>
              <w:spacing w:before="40" w:after="40"/>
              <w:rPr>
                <w:sz w:val="18"/>
                <w:szCs w:val="18"/>
                <w:lang w:val="ru-RU"/>
              </w:rPr>
            </w:pPr>
            <w:r w:rsidRPr="00013C48">
              <w:rPr>
                <w:sz w:val="18"/>
                <w:szCs w:val="18"/>
                <w:lang w:val="ru-RU"/>
              </w:rPr>
              <w:t xml:space="preserve">Мы считаем, что разница, которую мы обнаружили благодаря выверке, не является существенной с точки зрения ее величины. Тем не менее, мы рекомендовали руководству усилить контроль над наличными денежными средствами, ссылаясь также на рекомендацию, которую Подразделение внутреннего аудита дало в своих отчетах, связанных с региональным присутствием МСЭ. </w:t>
            </w:r>
          </w:p>
        </w:tc>
        <w:tc>
          <w:tcPr>
            <w:tcW w:w="3544"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Выверка наличных средств в настоящее время проводится в отделениях на местах на ежемесячной основе. Поэтому любой подсчет в течение месяца приведет к возникновению вопросов, связанных с выверкой. Департамент управления финансовыми ресурсами (</w:t>
            </w:r>
            <w:proofErr w:type="spellStart"/>
            <w:r w:rsidRPr="00013C48">
              <w:rPr>
                <w:sz w:val="18"/>
                <w:szCs w:val="18"/>
                <w:lang w:val="ru-RU"/>
              </w:rPr>
              <w:t>FRMD</w:t>
            </w:r>
            <w:proofErr w:type="spellEnd"/>
            <w:r w:rsidRPr="00013C48">
              <w:rPr>
                <w:sz w:val="18"/>
                <w:szCs w:val="18"/>
                <w:lang w:val="ru-RU"/>
              </w:rPr>
              <w:t xml:space="preserve">) обеспечит проведение в 2013 г. обзора текущих процессов. В недавних отчетах по внутреннему аудиту уже определены эти вопросы, а также процедуры внутреннего контроля, направленные на уменьшение связанных </w:t>
            </w:r>
            <w:proofErr w:type="gramStart"/>
            <w:r w:rsidRPr="00013C48">
              <w:rPr>
                <w:sz w:val="18"/>
                <w:szCs w:val="18"/>
                <w:lang w:val="ru-RU"/>
              </w:rPr>
              <w:t>с этим рисков</w:t>
            </w:r>
            <w:proofErr w:type="gramEnd"/>
            <w:r w:rsidRPr="00013C48">
              <w:rPr>
                <w:sz w:val="18"/>
                <w:szCs w:val="18"/>
                <w:lang w:val="ru-RU"/>
              </w:rPr>
              <w:t>. Руководство уже согласилось с этими рекомендациями, и в 2013 г. будут приняты дальнейшие меры.</w:t>
            </w:r>
          </w:p>
        </w:tc>
        <w:tc>
          <w:tcPr>
            <w:tcW w:w="3674"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 xml:space="preserve">Во всех отделениях на местах используется стандартизованный отчет. К июню 2015 г. </w:t>
            </w:r>
            <w:proofErr w:type="spellStart"/>
            <w:r w:rsidRPr="00013C48">
              <w:rPr>
                <w:sz w:val="18"/>
                <w:szCs w:val="18"/>
                <w:lang w:val="ru-RU"/>
              </w:rPr>
              <w:t>ADM</w:t>
            </w:r>
            <w:proofErr w:type="spellEnd"/>
            <w:r w:rsidRPr="00013C48">
              <w:rPr>
                <w:sz w:val="18"/>
                <w:szCs w:val="18"/>
                <w:lang w:val="ru-RU"/>
              </w:rPr>
              <w:t xml:space="preserve"> </w:t>
            </w:r>
            <w:proofErr w:type="spellStart"/>
            <w:r w:rsidRPr="00013C48">
              <w:rPr>
                <w:sz w:val="18"/>
                <w:szCs w:val="18"/>
                <w:lang w:val="ru-RU"/>
              </w:rPr>
              <w:t>БРЭ</w:t>
            </w:r>
            <w:proofErr w:type="spellEnd"/>
            <w:r w:rsidRPr="00013C48">
              <w:rPr>
                <w:sz w:val="18"/>
                <w:szCs w:val="18"/>
                <w:lang w:val="ru-RU"/>
              </w:rPr>
              <w:t xml:space="preserve"> при поддержке </w:t>
            </w:r>
            <w:proofErr w:type="spellStart"/>
            <w:r w:rsidRPr="00013C48">
              <w:rPr>
                <w:sz w:val="18"/>
                <w:szCs w:val="18"/>
                <w:lang w:val="ru-RU"/>
              </w:rPr>
              <w:t>FRMD</w:t>
            </w:r>
            <w:proofErr w:type="spellEnd"/>
            <w:r w:rsidRPr="00013C48">
              <w:rPr>
                <w:sz w:val="18"/>
                <w:szCs w:val="18"/>
                <w:lang w:val="ru-RU"/>
              </w:rPr>
              <w:t xml:space="preserve"> выпустит в соответствии с рекомендацией, представленной в отчете Внутреннего аудитора </w:t>
            </w:r>
            <w:proofErr w:type="spellStart"/>
            <w:r w:rsidRPr="00013C48">
              <w:rPr>
                <w:sz w:val="18"/>
                <w:szCs w:val="18"/>
                <w:lang w:val="ru-RU"/>
              </w:rPr>
              <w:t>SG</w:t>
            </w:r>
            <w:proofErr w:type="spellEnd"/>
            <w:r w:rsidRPr="00013C48">
              <w:rPr>
                <w:sz w:val="18"/>
                <w:szCs w:val="18"/>
                <w:lang w:val="ru-RU"/>
              </w:rPr>
              <w:t>-SGO/</w:t>
            </w:r>
            <w:proofErr w:type="spellStart"/>
            <w:r w:rsidRPr="00013C48">
              <w:rPr>
                <w:sz w:val="18"/>
                <w:szCs w:val="18"/>
                <w:lang w:val="ru-RU"/>
              </w:rPr>
              <w:t>IA</w:t>
            </w:r>
            <w:proofErr w:type="spellEnd"/>
            <w:r w:rsidRPr="00013C48">
              <w:rPr>
                <w:sz w:val="18"/>
                <w:szCs w:val="18"/>
                <w:lang w:val="ru-RU"/>
              </w:rPr>
              <w:t xml:space="preserve">/14-18, руководящие указания по использованию мелких сумм наличных средств. </w:t>
            </w:r>
          </w:p>
          <w:p w:rsidR="00D12A14" w:rsidRPr="00013C48" w:rsidRDefault="00D12A14" w:rsidP="00D12A14">
            <w:pPr>
              <w:spacing w:before="40" w:after="40"/>
              <w:rPr>
                <w:sz w:val="18"/>
                <w:szCs w:val="18"/>
                <w:lang w:val="ru-RU"/>
              </w:rPr>
            </w:pPr>
            <w:r w:rsidRPr="00013C48">
              <w:rPr>
                <w:b/>
                <w:bCs/>
                <w:sz w:val="18"/>
                <w:szCs w:val="18"/>
                <w:lang w:val="ru-RU"/>
              </w:rPr>
              <w:t>Обновление по состоянию на конец января 2016 г.</w:t>
            </w:r>
            <w:r w:rsidRPr="00013C48">
              <w:rPr>
                <w:sz w:val="18"/>
                <w:szCs w:val="18"/>
                <w:lang w:val="ru-RU"/>
              </w:rPr>
              <w:t xml:space="preserve">: Введен типовой отчет по управлению наличными средствами, который теперь используется всеми региональными/зональными отделениями. </w:t>
            </w:r>
          </w:p>
        </w:tc>
        <w:tc>
          <w:tcPr>
            <w:tcW w:w="2526"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Выполнено.</w:t>
            </w:r>
          </w:p>
        </w:tc>
      </w:tr>
      <w:tr w:rsidR="00D12A14" w:rsidRPr="00013C48" w:rsidTr="00B50CE5">
        <w:trPr>
          <w:cantSplit/>
        </w:trPr>
        <w:tc>
          <w:tcPr>
            <w:tcW w:w="1493"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b/>
                <w:bCs/>
                <w:sz w:val="18"/>
                <w:szCs w:val="18"/>
                <w:lang w:val="ru-RU"/>
              </w:rPr>
            </w:pPr>
            <w:r w:rsidRPr="00013C48">
              <w:rPr>
                <w:b/>
                <w:bCs/>
                <w:sz w:val="18"/>
                <w:szCs w:val="18"/>
                <w:lang w:val="ru-RU"/>
              </w:rPr>
              <w:lastRenderedPageBreak/>
              <w:t>Рек. 3/2012</w:t>
            </w:r>
          </w:p>
        </w:tc>
        <w:tc>
          <w:tcPr>
            <w:tcW w:w="3322"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b/>
                <w:bCs/>
                <w:sz w:val="18"/>
                <w:szCs w:val="18"/>
                <w:lang w:val="ru-RU"/>
              </w:rPr>
            </w:pPr>
            <w:r w:rsidRPr="00013C48">
              <w:rPr>
                <w:b/>
                <w:bCs/>
                <w:sz w:val="18"/>
                <w:szCs w:val="18"/>
                <w:lang w:val="ru-RU"/>
              </w:rPr>
              <w:t xml:space="preserve">"Право </w:t>
            </w:r>
            <w:proofErr w:type="spellStart"/>
            <w:r w:rsidRPr="00013C48">
              <w:rPr>
                <w:b/>
                <w:bCs/>
                <w:sz w:val="18"/>
                <w:szCs w:val="18"/>
                <w:lang w:val="ru-RU"/>
              </w:rPr>
              <w:t>суперфиция</w:t>
            </w:r>
            <w:proofErr w:type="spellEnd"/>
            <w:r w:rsidRPr="00013C48">
              <w:rPr>
                <w:b/>
                <w:bCs/>
                <w:sz w:val="18"/>
                <w:szCs w:val="18"/>
                <w:lang w:val="ru-RU"/>
              </w:rPr>
              <w:t>"</w:t>
            </w:r>
          </w:p>
          <w:p w:rsidR="00D12A14" w:rsidRPr="00013C48" w:rsidRDefault="00D12A14" w:rsidP="00D12A14">
            <w:pPr>
              <w:spacing w:before="40" w:after="40"/>
              <w:rPr>
                <w:sz w:val="18"/>
                <w:szCs w:val="18"/>
                <w:lang w:val="ru-RU"/>
              </w:rPr>
            </w:pPr>
            <w:r w:rsidRPr="00013C48">
              <w:rPr>
                <w:sz w:val="18"/>
                <w:szCs w:val="18"/>
                <w:lang w:val="ru-RU"/>
              </w:rPr>
              <w:t xml:space="preserve">С учетом того, что важно и в интересах МСЭ продлить "право </w:t>
            </w:r>
            <w:proofErr w:type="spellStart"/>
            <w:r w:rsidRPr="00013C48">
              <w:rPr>
                <w:sz w:val="18"/>
                <w:szCs w:val="18"/>
                <w:lang w:val="ru-RU"/>
              </w:rPr>
              <w:t>суперфиция</w:t>
            </w:r>
            <w:proofErr w:type="spellEnd"/>
            <w:r w:rsidRPr="00013C48">
              <w:rPr>
                <w:sz w:val="18"/>
                <w:szCs w:val="18"/>
                <w:lang w:val="ru-RU"/>
              </w:rPr>
              <w:t>", предоставленное МСЭ администрацией Женевы с 1967 г., мы рекомендовали руководству как можно скорее начать переговоры по этому вопросу с компетентными органами власти принимающей страны.</w:t>
            </w:r>
          </w:p>
        </w:tc>
        <w:tc>
          <w:tcPr>
            <w:tcW w:w="3544"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В январе 2013 г. Советник по правовым вопросам уже установил контакт с компетентными органами власти принимающей страны в целях начала процесса переговоров.</w:t>
            </w:r>
          </w:p>
        </w:tc>
        <w:tc>
          <w:tcPr>
            <w:tcW w:w="3674"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Компетентные органы власти принимающей страны в принципе поддержали просьбу МСЭ и подтвердили свою заинтересованность, а также то, что дальнейшее развитие событий будет зависеть от решений, связанных с заменой здания "</w:t>
            </w:r>
            <w:proofErr w:type="spellStart"/>
            <w:r w:rsidRPr="00013C48">
              <w:rPr>
                <w:sz w:val="18"/>
                <w:szCs w:val="18"/>
                <w:lang w:val="ru-RU"/>
              </w:rPr>
              <w:t>Варембе</w:t>
            </w:r>
            <w:proofErr w:type="spellEnd"/>
            <w:r w:rsidRPr="00013C48">
              <w:rPr>
                <w:sz w:val="18"/>
                <w:szCs w:val="18"/>
                <w:lang w:val="ru-RU"/>
              </w:rPr>
              <w:t xml:space="preserve">", обсуждение которых в настоящее время продолжается. </w:t>
            </w:r>
          </w:p>
          <w:p w:rsidR="00D12A14" w:rsidRPr="00013C48" w:rsidRDefault="00D12A14" w:rsidP="00AA4F19">
            <w:pPr>
              <w:spacing w:before="40" w:after="40"/>
              <w:rPr>
                <w:sz w:val="18"/>
                <w:szCs w:val="18"/>
                <w:lang w:val="ru-RU"/>
              </w:rPr>
            </w:pPr>
            <w:r w:rsidRPr="00013C48">
              <w:rPr>
                <w:sz w:val="18"/>
                <w:szCs w:val="18"/>
                <w:lang w:val="ru-RU"/>
              </w:rPr>
              <w:t xml:space="preserve">ПК-14 приняла решение создать рабочую группу Совета. Эта </w:t>
            </w:r>
            <w:proofErr w:type="spellStart"/>
            <w:r w:rsidRPr="00013C48">
              <w:rPr>
                <w:sz w:val="18"/>
                <w:szCs w:val="18"/>
                <w:lang w:val="ru-RU"/>
              </w:rPr>
              <w:t>РГС</w:t>
            </w:r>
            <w:proofErr w:type="spellEnd"/>
            <w:r w:rsidRPr="00013C48">
              <w:rPr>
                <w:sz w:val="18"/>
                <w:szCs w:val="18"/>
                <w:lang w:val="ru-RU"/>
              </w:rPr>
              <w:t xml:space="preserve"> при поддержке со стороны Секретариата изучит состояние помещений штаб-квартиры Союза и продолжит анализ вариантов, представленных до настоящего времени, и любых других предложений Государств</w:t>
            </w:r>
            <w:r w:rsidR="00AA4F19" w:rsidRPr="00013C48">
              <w:rPr>
                <w:sz w:val="18"/>
                <w:szCs w:val="18"/>
                <w:lang w:val="ru-RU"/>
              </w:rPr>
              <w:t>-Членов</w:t>
            </w:r>
            <w:r w:rsidRPr="00013C48">
              <w:rPr>
                <w:sz w:val="18"/>
                <w:szCs w:val="18"/>
                <w:lang w:val="ru-RU"/>
              </w:rPr>
              <w:t xml:space="preserve"> для обеспечения взвешенного подхода к размещению помещений в долгосрочной перспективе, с тем чтобы подготовить рекомендацию для Совета. Первое собрание </w:t>
            </w:r>
            <w:proofErr w:type="spellStart"/>
            <w:r w:rsidRPr="00013C48">
              <w:rPr>
                <w:sz w:val="18"/>
                <w:szCs w:val="18"/>
                <w:lang w:val="ru-RU"/>
              </w:rPr>
              <w:t>РГС</w:t>
            </w:r>
            <w:proofErr w:type="spellEnd"/>
            <w:r w:rsidRPr="00013C48">
              <w:rPr>
                <w:sz w:val="18"/>
                <w:szCs w:val="18"/>
                <w:lang w:val="ru-RU"/>
              </w:rPr>
              <w:t xml:space="preserve"> состоялось 28 января 2015 г.</w:t>
            </w:r>
          </w:p>
          <w:p w:rsidR="00D12A14" w:rsidRPr="00013C48" w:rsidRDefault="00D12A14" w:rsidP="00D12A14">
            <w:pPr>
              <w:spacing w:before="40" w:after="40"/>
              <w:rPr>
                <w:sz w:val="18"/>
                <w:szCs w:val="18"/>
                <w:lang w:val="ru-RU"/>
              </w:rPr>
            </w:pPr>
            <w:r w:rsidRPr="00013C48">
              <w:rPr>
                <w:b/>
                <w:bCs/>
                <w:sz w:val="18"/>
                <w:szCs w:val="18"/>
                <w:lang w:val="ru-RU"/>
              </w:rPr>
              <w:t>Обновление по состоянию на конец января 2016 г.</w:t>
            </w:r>
            <w:r w:rsidRPr="00013C48">
              <w:rPr>
                <w:sz w:val="18"/>
                <w:szCs w:val="18"/>
                <w:lang w:val="ru-RU"/>
              </w:rPr>
              <w:t xml:space="preserve">: Работа </w:t>
            </w:r>
            <w:proofErr w:type="spellStart"/>
            <w:r w:rsidRPr="00013C48">
              <w:rPr>
                <w:sz w:val="18"/>
                <w:szCs w:val="18"/>
                <w:lang w:val="ru-RU"/>
              </w:rPr>
              <w:t>РГС</w:t>
            </w:r>
            <w:proofErr w:type="spellEnd"/>
            <w:r w:rsidRPr="00013C48">
              <w:rPr>
                <w:sz w:val="18"/>
                <w:szCs w:val="18"/>
                <w:lang w:val="ru-RU"/>
              </w:rPr>
              <w:t xml:space="preserve"> по вариантам помещений штаб-квартиры Союза в долгосрочной перспективе все еще продолжается. Второе собрание </w:t>
            </w:r>
            <w:proofErr w:type="spellStart"/>
            <w:r w:rsidRPr="00013C48">
              <w:rPr>
                <w:sz w:val="18"/>
                <w:szCs w:val="18"/>
                <w:lang w:val="ru-RU"/>
              </w:rPr>
              <w:t>РГС</w:t>
            </w:r>
            <w:proofErr w:type="spellEnd"/>
            <w:r w:rsidRPr="00013C48">
              <w:rPr>
                <w:sz w:val="18"/>
                <w:szCs w:val="18"/>
                <w:lang w:val="ru-RU"/>
              </w:rPr>
              <w:t xml:space="preserve"> было проведено 28 сентября 2015 г. </w:t>
            </w:r>
          </w:p>
        </w:tc>
        <w:tc>
          <w:tcPr>
            <w:tcW w:w="2526"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В процессе выполнения.</w:t>
            </w:r>
          </w:p>
        </w:tc>
      </w:tr>
      <w:tr w:rsidR="00D12A14" w:rsidRPr="00013C48" w:rsidTr="00B50CE5">
        <w:tblPrEx>
          <w:jc w:val="center"/>
        </w:tblPrEx>
        <w:trPr>
          <w:cantSplit/>
          <w:jc w:val="center"/>
        </w:trPr>
        <w:tc>
          <w:tcPr>
            <w:tcW w:w="1493"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b/>
                <w:bCs/>
                <w:sz w:val="18"/>
                <w:szCs w:val="18"/>
                <w:lang w:val="ru-RU"/>
              </w:rPr>
            </w:pPr>
            <w:r w:rsidRPr="00013C48">
              <w:rPr>
                <w:b/>
                <w:bCs/>
                <w:sz w:val="18"/>
                <w:szCs w:val="18"/>
                <w:lang w:val="ru-RU"/>
              </w:rPr>
              <w:lastRenderedPageBreak/>
              <w:t>Рек. 4/2012</w:t>
            </w:r>
          </w:p>
        </w:tc>
        <w:tc>
          <w:tcPr>
            <w:tcW w:w="3322"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b/>
                <w:bCs/>
                <w:sz w:val="18"/>
                <w:szCs w:val="18"/>
                <w:lang w:val="ru-RU"/>
              </w:rPr>
            </w:pPr>
            <w:r w:rsidRPr="00013C48">
              <w:rPr>
                <w:b/>
                <w:bCs/>
                <w:sz w:val="18"/>
                <w:szCs w:val="18"/>
                <w:lang w:val="ru-RU"/>
              </w:rPr>
              <w:t>Учет активов в реестре</w:t>
            </w:r>
          </w:p>
          <w:p w:rsidR="00D12A14" w:rsidRPr="00013C48" w:rsidRDefault="00D12A14" w:rsidP="00D12A14">
            <w:pPr>
              <w:spacing w:before="40" w:after="40"/>
              <w:rPr>
                <w:sz w:val="18"/>
                <w:szCs w:val="18"/>
                <w:lang w:val="ru-RU"/>
              </w:rPr>
            </w:pPr>
            <w:r w:rsidRPr="00013C48">
              <w:rPr>
                <w:sz w:val="18"/>
                <w:szCs w:val="18"/>
                <w:lang w:val="ru-RU"/>
              </w:rPr>
              <w:t xml:space="preserve">[…] мы провели проверку наличных запасов по некоторым категориям основного капитала на основе выборки предметов мебели и оборудования </w:t>
            </w:r>
            <w:proofErr w:type="spellStart"/>
            <w:r w:rsidRPr="00013C48">
              <w:rPr>
                <w:sz w:val="18"/>
                <w:szCs w:val="18"/>
                <w:lang w:val="ru-RU"/>
              </w:rPr>
              <w:t>ИТ</w:t>
            </w:r>
            <w:proofErr w:type="spellEnd"/>
            <w:r w:rsidRPr="00013C48">
              <w:rPr>
                <w:sz w:val="18"/>
                <w:szCs w:val="18"/>
                <w:lang w:val="ru-RU"/>
              </w:rPr>
              <w:t xml:space="preserve"> и отследили их в счетах. Мы заметили, что ответственные лица МСЭ из Отдела административно-хозяйственного управления (Департамент </w:t>
            </w:r>
            <w:proofErr w:type="spellStart"/>
            <w:r w:rsidRPr="00013C48">
              <w:rPr>
                <w:sz w:val="18"/>
                <w:szCs w:val="18"/>
                <w:lang w:val="ru-RU"/>
              </w:rPr>
              <w:t>HRMD</w:t>
            </w:r>
            <w:proofErr w:type="spellEnd"/>
            <w:r w:rsidRPr="00013C48">
              <w:rPr>
                <w:sz w:val="18"/>
                <w:szCs w:val="18"/>
                <w:lang w:val="ru-RU"/>
              </w:rPr>
              <w:t xml:space="preserve">) в ходе проверки наличных запасов на конец года не обнаружили некоторых активов (около 0,73% от стоимости приобретения соответствующих активов). Мы в курсе того, </w:t>
            </w:r>
            <w:r w:rsidR="00AA4F19" w:rsidRPr="00013C48">
              <w:rPr>
                <w:sz w:val="18"/>
                <w:szCs w:val="18"/>
                <w:lang w:val="ru-RU"/>
              </w:rPr>
              <w:t xml:space="preserve">что </w:t>
            </w:r>
            <w:r w:rsidRPr="00013C48">
              <w:rPr>
                <w:sz w:val="18"/>
                <w:szCs w:val="18"/>
                <w:lang w:val="ru-RU"/>
              </w:rPr>
              <w:t>при контроле было обнаружено, что часть этих активов в конце года не была найдена, но, тем не менее, мы рекомендовали руководству продолжить изучение этого вопроса и списать предметы, которые не будут обнаружены в течение 2013 г.</w:t>
            </w:r>
          </w:p>
        </w:tc>
        <w:tc>
          <w:tcPr>
            <w:tcW w:w="3544"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 xml:space="preserve">Я дам </w:t>
            </w:r>
            <w:proofErr w:type="spellStart"/>
            <w:r w:rsidRPr="00013C48">
              <w:rPr>
                <w:sz w:val="18"/>
                <w:szCs w:val="18"/>
                <w:lang w:val="ru-RU"/>
              </w:rPr>
              <w:t>FRMD</w:t>
            </w:r>
            <w:proofErr w:type="spellEnd"/>
            <w:r w:rsidRPr="00013C48">
              <w:rPr>
                <w:sz w:val="18"/>
                <w:szCs w:val="18"/>
                <w:lang w:val="ru-RU"/>
              </w:rPr>
              <w:t xml:space="preserve"> поручение координировать свою работу с Отделом административно-хозяйственного управления, с тем чтобы продолжить в 2013 г. эти усилия, и представлю пояснения по поводу существования и порядка действий в отношении позиций, которые не были охвачены при проверке запасов.</w:t>
            </w:r>
          </w:p>
        </w:tc>
        <w:tc>
          <w:tcPr>
            <w:tcW w:w="3674"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 xml:space="preserve">Процесс выявления и определения местонахождения и/или списания активов, не обнаруженных в ходе проверки запасов, был начат в прошлых годах и продолжается согласно плану. </w:t>
            </w:r>
          </w:p>
          <w:p w:rsidR="00D12A14" w:rsidRPr="00013C48" w:rsidRDefault="00D12A14" w:rsidP="00D12A14">
            <w:pPr>
              <w:spacing w:before="40" w:after="40"/>
              <w:rPr>
                <w:sz w:val="18"/>
                <w:szCs w:val="18"/>
                <w:lang w:val="ru-RU"/>
              </w:rPr>
            </w:pPr>
            <w:r w:rsidRPr="00013C48">
              <w:rPr>
                <w:b/>
                <w:bCs/>
                <w:sz w:val="18"/>
                <w:szCs w:val="18"/>
                <w:lang w:val="ru-RU"/>
              </w:rPr>
              <w:t>В конце 2014 г</w:t>
            </w:r>
            <w:r w:rsidRPr="00013C48">
              <w:rPr>
                <w:sz w:val="18"/>
                <w:szCs w:val="18"/>
                <w:lang w:val="ru-RU"/>
              </w:rPr>
              <w:t xml:space="preserve">. </w:t>
            </w:r>
            <w:r w:rsidR="004B3F98" w:rsidRPr="00013C48">
              <w:rPr>
                <w:sz w:val="18"/>
                <w:szCs w:val="18"/>
                <w:lang w:val="ru-RU"/>
              </w:rPr>
              <w:t xml:space="preserve">Стоимость </w:t>
            </w:r>
            <w:r w:rsidRPr="00013C48">
              <w:rPr>
                <w:sz w:val="18"/>
                <w:szCs w:val="18"/>
                <w:lang w:val="ru-RU"/>
              </w:rPr>
              <w:t xml:space="preserve">необнаруженных активов существенно сократилась на 83% по сравнению с 2012 г. </w:t>
            </w:r>
          </w:p>
          <w:p w:rsidR="00D12A14" w:rsidRPr="00013C48" w:rsidRDefault="00D12A14" w:rsidP="00D12A14">
            <w:pPr>
              <w:spacing w:before="40" w:after="40"/>
              <w:rPr>
                <w:sz w:val="18"/>
                <w:szCs w:val="18"/>
                <w:lang w:val="ru-RU"/>
              </w:rPr>
            </w:pPr>
            <w:r w:rsidRPr="00013C48">
              <w:rPr>
                <w:b/>
                <w:bCs/>
                <w:sz w:val="18"/>
                <w:szCs w:val="18"/>
                <w:lang w:val="ru-RU"/>
              </w:rPr>
              <w:t>Обновление по состоянию на конец января 2016 г.</w:t>
            </w:r>
            <w:r w:rsidRPr="00013C48">
              <w:rPr>
                <w:sz w:val="18"/>
                <w:szCs w:val="18"/>
                <w:lang w:val="ru-RU"/>
              </w:rPr>
              <w:t>: Уровень выявления активов, которые не были обнаружены, станет известен по завершении инвентаризации наличных запасов 31 декабря 2015 г.</w:t>
            </w:r>
          </w:p>
        </w:tc>
        <w:tc>
          <w:tcPr>
            <w:tcW w:w="2526"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В процессе выполнения.</w:t>
            </w:r>
          </w:p>
        </w:tc>
      </w:tr>
      <w:tr w:rsidR="00D12A14" w:rsidRPr="00013C48" w:rsidTr="00B50CE5">
        <w:tblPrEx>
          <w:jc w:val="center"/>
        </w:tblPrEx>
        <w:trPr>
          <w:trHeight w:val="2423"/>
          <w:jc w:val="center"/>
        </w:trPr>
        <w:tc>
          <w:tcPr>
            <w:tcW w:w="1493"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b/>
                <w:bCs/>
                <w:sz w:val="18"/>
                <w:szCs w:val="18"/>
                <w:lang w:val="ru-RU"/>
              </w:rPr>
            </w:pPr>
            <w:r w:rsidRPr="00013C48">
              <w:rPr>
                <w:b/>
                <w:bCs/>
                <w:sz w:val="18"/>
                <w:szCs w:val="18"/>
                <w:lang w:val="ru-RU"/>
              </w:rPr>
              <w:t>Рек. 10/2012</w:t>
            </w:r>
          </w:p>
        </w:tc>
        <w:tc>
          <w:tcPr>
            <w:tcW w:w="3322"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b/>
                <w:bCs/>
                <w:sz w:val="18"/>
                <w:szCs w:val="18"/>
                <w:lang w:val="ru-RU"/>
              </w:rPr>
            </w:pPr>
            <w:r w:rsidRPr="00013C48">
              <w:rPr>
                <w:b/>
                <w:bCs/>
                <w:sz w:val="18"/>
                <w:szCs w:val="18"/>
                <w:lang w:val="ru-RU"/>
              </w:rPr>
              <w:t>Перевод в цифровую форму досье сотрудников</w:t>
            </w:r>
          </w:p>
          <w:p w:rsidR="00D12A14" w:rsidRPr="00013C48" w:rsidRDefault="00D12A14" w:rsidP="00AA4F19">
            <w:pPr>
              <w:spacing w:before="40" w:after="40"/>
              <w:rPr>
                <w:sz w:val="18"/>
                <w:szCs w:val="18"/>
                <w:lang w:val="ru-RU"/>
              </w:rPr>
            </w:pPr>
            <w:r w:rsidRPr="00013C48">
              <w:rPr>
                <w:sz w:val="18"/>
                <w:szCs w:val="18"/>
                <w:lang w:val="ru-RU"/>
              </w:rPr>
              <w:t xml:space="preserve">Хотя проведенный нами анализ соответствия данных, введенных в систему </w:t>
            </w:r>
            <w:proofErr w:type="spellStart"/>
            <w:r w:rsidRPr="00013C48">
              <w:rPr>
                <w:sz w:val="18"/>
                <w:szCs w:val="18"/>
                <w:lang w:val="ru-RU"/>
              </w:rPr>
              <w:t>ИТ</w:t>
            </w:r>
            <w:proofErr w:type="spellEnd"/>
            <w:r w:rsidRPr="00013C48">
              <w:rPr>
                <w:sz w:val="18"/>
                <w:szCs w:val="18"/>
                <w:lang w:val="ru-RU"/>
              </w:rPr>
              <w:t xml:space="preserve">, с досье сотрудников не выявил каких-либо серьезных проблем, мы рекомендовали руководству начать оценку экономической эффективности перевода в цифровую форму досье сотрудников не только для предотвращения потери важных данных в результате случайного события, но и для обеспечения прямого интерфейса между досье сотрудников с </w:t>
            </w:r>
            <w:proofErr w:type="spellStart"/>
            <w:r w:rsidRPr="00013C48">
              <w:rPr>
                <w:sz w:val="18"/>
                <w:szCs w:val="18"/>
                <w:lang w:val="ru-RU"/>
              </w:rPr>
              <w:t>SAP</w:t>
            </w:r>
            <w:proofErr w:type="spellEnd"/>
            <w:r w:rsidRPr="00013C48">
              <w:rPr>
                <w:sz w:val="18"/>
                <w:szCs w:val="18"/>
                <w:lang w:val="ru-RU"/>
              </w:rPr>
              <w:t xml:space="preserve"> </w:t>
            </w:r>
            <w:proofErr w:type="spellStart"/>
            <w:r w:rsidRPr="00013C48">
              <w:rPr>
                <w:sz w:val="18"/>
                <w:szCs w:val="18"/>
                <w:lang w:val="ru-RU"/>
              </w:rPr>
              <w:t>HR</w:t>
            </w:r>
            <w:proofErr w:type="spellEnd"/>
            <w:r w:rsidRPr="00013C48">
              <w:rPr>
                <w:sz w:val="18"/>
                <w:szCs w:val="18"/>
                <w:lang w:val="ru-RU"/>
              </w:rPr>
              <w:t>.</w:t>
            </w:r>
          </w:p>
        </w:tc>
        <w:tc>
          <w:tcPr>
            <w:tcW w:w="3544"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 xml:space="preserve">Я принимаю к сведению данную рекомендацию и сообщаю вам, что департамент </w:t>
            </w:r>
            <w:proofErr w:type="spellStart"/>
            <w:r w:rsidRPr="00013C48">
              <w:rPr>
                <w:sz w:val="18"/>
                <w:szCs w:val="18"/>
                <w:lang w:val="ru-RU"/>
              </w:rPr>
              <w:t>HRMD</w:t>
            </w:r>
            <w:proofErr w:type="spellEnd"/>
            <w:r w:rsidRPr="00013C48">
              <w:rPr>
                <w:sz w:val="18"/>
                <w:szCs w:val="18"/>
                <w:lang w:val="ru-RU"/>
              </w:rPr>
              <w:t xml:space="preserve"> изучает эту возможность.</w:t>
            </w:r>
          </w:p>
        </w:tc>
        <w:tc>
          <w:tcPr>
            <w:tcW w:w="3674"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t>Подробный концептуальный проект (</w:t>
            </w:r>
            <w:proofErr w:type="spellStart"/>
            <w:r w:rsidRPr="00013C48">
              <w:rPr>
                <w:sz w:val="18"/>
                <w:szCs w:val="18"/>
                <w:lang w:val="ru-RU"/>
              </w:rPr>
              <w:t>DBBP</w:t>
            </w:r>
            <w:proofErr w:type="spellEnd"/>
            <w:r w:rsidRPr="00013C48">
              <w:rPr>
                <w:sz w:val="18"/>
                <w:szCs w:val="18"/>
                <w:lang w:val="ru-RU"/>
              </w:rPr>
              <w:t>) системы электронных личных дел сотрудников (ведения цифровых личных дел) был составлен 19 апреля 2013 г.</w:t>
            </w:r>
          </w:p>
          <w:p w:rsidR="00D12A14" w:rsidRPr="00013C48" w:rsidRDefault="00D12A14" w:rsidP="00D12A14">
            <w:pPr>
              <w:spacing w:before="40" w:after="40"/>
              <w:rPr>
                <w:sz w:val="18"/>
                <w:szCs w:val="18"/>
                <w:lang w:val="ru-RU"/>
              </w:rPr>
            </w:pPr>
            <w:r w:rsidRPr="00013C48">
              <w:rPr>
                <w:sz w:val="18"/>
                <w:szCs w:val="18"/>
                <w:lang w:val="ru-RU"/>
              </w:rPr>
              <w:t xml:space="preserve">Этот </w:t>
            </w:r>
            <w:proofErr w:type="spellStart"/>
            <w:r w:rsidRPr="00013C48">
              <w:rPr>
                <w:sz w:val="18"/>
                <w:szCs w:val="18"/>
                <w:lang w:val="ru-RU"/>
              </w:rPr>
              <w:t>DBBP</w:t>
            </w:r>
            <w:proofErr w:type="spellEnd"/>
            <w:r w:rsidRPr="00013C48">
              <w:rPr>
                <w:sz w:val="18"/>
                <w:szCs w:val="18"/>
                <w:lang w:val="ru-RU"/>
              </w:rPr>
              <w:t xml:space="preserve"> включает бизнес-процессы </w:t>
            </w:r>
            <w:proofErr w:type="spellStart"/>
            <w:r w:rsidRPr="00013C48">
              <w:rPr>
                <w:sz w:val="18"/>
                <w:szCs w:val="18"/>
                <w:lang w:val="ru-RU"/>
              </w:rPr>
              <w:t>HRAD</w:t>
            </w:r>
            <w:proofErr w:type="spellEnd"/>
            <w:r w:rsidRPr="00013C48">
              <w:rPr>
                <w:sz w:val="18"/>
                <w:szCs w:val="18"/>
                <w:lang w:val="ru-RU"/>
              </w:rPr>
              <w:t xml:space="preserve"> (служба </w:t>
            </w:r>
            <w:proofErr w:type="spellStart"/>
            <w:r w:rsidRPr="00013C48">
              <w:rPr>
                <w:sz w:val="18"/>
                <w:szCs w:val="18"/>
                <w:lang w:val="ru-RU"/>
              </w:rPr>
              <w:t>E&amp;B</w:t>
            </w:r>
            <w:proofErr w:type="spellEnd"/>
            <w:r w:rsidRPr="00013C48">
              <w:rPr>
                <w:sz w:val="18"/>
                <w:szCs w:val="18"/>
                <w:lang w:val="ru-RU"/>
              </w:rPr>
              <w:t xml:space="preserve">) и отображение структуры личного дела сотрудника (в бумажном виде). Эта система связана с </w:t>
            </w:r>
            <w:proofErr w:type="spellStart"/>
            <w:r w:rsidRPr="00013C48">
              <w:rPr>
                <w:sz w:val="18"/>
                <w:szCs w:val="18"/>
                <w:lang w:val="ru-RU"/>
              </w:rPr>
              <w:t>SAP-ERP_HCM</w:t>
            </w:r>
            <w:proofErr w:type="spellEnd"/>
            <w:r w:rsidRPr="00013C48">
              <w:rPr>
                <w:sz w:val="18"/>
                <w:szCs w:val="18"/>
                <w:lang w:val="ru-RU"/>
              </w:rPr>
              <w:t xml:space="preserve">. </w:t>
            </w:r>
          </w:p>
          <w:p w:rsidR="00D12A14" w:rsidRPr="00013C48" w:rsidRDefault="00D12A14" w:rsidP="00D12A14">
            <w:pPr>
              <w:spacing w:before="40" w:after="40"/>
              <w:rPr>
                <w:sz w:val="18"/>
                <w:szCs w:val="18"/>
                <w:lang w:val="ru-RU"/>
              </w:rPr>
            </w:pPr>
            <w:r w:rsidRPr="00013C48">
              <w:rPr>
                <w:b/>
                <w:bCs/>
                <w:sz w:val="18"/>
                <w:szCs w:val="18"/>
                <w:lang w:val="ru-RU"/>
              </w:rPr>
              <w:t>Обновление на конец января 2015 г.</w:t>
            </w:r>
            <w:r w:rsidRPr="00013C48">
              <w:rPr>
                <w:sz w:val="18"/>
                <w:szCs w:val="18"/>
                <w:lang w:val="ru-RU"/>
              </w:rPr>
              <w:t xml:space="preserve">: Завершен первый этап создания этого инструмента. Система электронных личных дел сотрудников (ведения цифровых личных дел) теперь действует. </w:t>
            </w:r>
          </w:p>
          <w:p w:rsidR="00D12A14" w:rsidRPr="00013C48" w:rsidRDefault="00D12A14" w:rsidP="004B3F98">
            <w:pPr>
              <w:keepNext/>
              <w:keepLines/>
              <w:spacing w:before="40" w:after="40"/>
              <w:rPr>
                <w:sz w:val="18"/>
                <w:szCs w:val="18"/>
                <w:lang w:val="ru-RU"/>
              </w:rPr>
            </w:pPr>
            <w:r w:rsidRPr="00013C48">
              <w:rPr>
                <w:sz w:val="18"/>
                <w:szCs w:val="18"/>
                <w:lang w:val="ru-RU"/>
              </w:rPr>
              <w:lastRenderedPageBreak/>
              <w:t xml:space="preserve">Следующий этап работы, касающийся </w:t>
            </w:r>
            <w:proofErr w:type="spellStart"/>
            <w:r w:rsidRPr="00013C48">
              <w:rPr>
                <w:sz w:val="18"/>
                <w:szCs w:val="18"/>
                <w:lang w:val="ru-RU"/>
              </w:rPr>
              <w:t>HRAD</w:t>
            </w:r>
            <w:proofErr w:type="spellEnd"/>
            <w:r w:rsidRPr="00013C48">
              <w:rPr>
                <w:sz w:val="18"/>
                <w:szCs w:val="18"/>
                <w:lang w:val="ru-RU"/>
              </w:rPr>
              <w:t xml:space="preserve"> (служба </w:t>
            </w:r>
            <w:proofErr w:type="spellStart"/>
            <w:r w:rsidRPr="00013C48">
              <w:rPr>
                <w:sz w:val="18"/>
                <w:szCs w:val="18"/>
                <w:lang w:val="ru-RU"/>
              </w:rPr>
              <w:t>E&amp;B</w:t>
            </w:r>
            <w:proofErr w:type="spellEnd"/>
            <w:r w:rsidRPr="00013C48">
              <w:rPr>
                <w:sz w:val="18"/>
                <w:szCs w:val="18"/>
                <w:lang w:val="ru-RU"/>
              </w:rPr>
              <w:t>), посвящен, в основном, двум следующим различным тенденциям:</w:t>
            </w:r>
          </w:p>
          <w:p w:rsidR="00D12A14" w:rsidRPr="00013C48" w:rsidRDefault="00D12A14" w:rsidP="00941FC5">
            <w:pPr>
              <w:tabs>
                <w:tab w:val="left" w:pos="284"/>
              </w:tabs>
              <w:spacing w:before="40" w:after="40"/>
              <w:ind w:left="284" w:hanging="284"/>
              <w:rPr>
                <w:sz w:val="18"/>
                <w:szCs w:val="18"/>
                <w:lang w:val="ru-RU"/>
              </w:rPr>
            </w:pPr>
            <w:r w:rsidRPr="00013C48">
              <w:rPr>
                <w:sz w:val="18"/>
                <w:szCs w:val="18"/>
                <w:lang w:val="ru-RU"/>
              </w:rPr>
              <w:t>1)</w:t>
            </w:r>
            <w:r w:rsidR="00941FC5" w:rsidRPr="00013C48">
              <w:rPr>
                <w:sz w:val="18"/>
                <w:szCs w:val="18"/>
                <w:lang w:val="ru-RU"/>
              </w:rPr>
              <w:tab/>
            </w:r>
            <w:r w:rsidRPr="00013C48">
              <w:rPr>
                <w:sz w:val="18"/>
                <w:szCs w:val="18"/>
                <w:lang w:val="ru-RU"/>
              </w:rPr>
              <w:t>сокращение ранее существовавших мест для хранения (шкафы, компьютеризованные справочники) для перенаправления потоков архивных документов в новую систему электронных личных дел</w:t>
            </w:r>
            <w:r w:rsidR="00941FC5" w:rsidRPr="00013C48">
              <w:rPr>
                <w:sz w:val="18"/>
                <w:szCs w:val="18"/>
                <w:lang w:val="ru-RU"/>
              </w:rPr>
              <w:t>;</w:t>
            </w:r>
          </w:p>
          <w:p w:rsidR="00D12A14" w:rsidRPr="00013C48" w:rsidRDefault="00D12A14" w:rsidP="004B3F98">
            <w:pPr>
              <w:tabs>
                <w:tab w:val="left" w:pos="284"/>
              </w:tabs>
              <w:spacing w:before="40" w:after="40"/>
              <w:ind w:left="284" w:hanging="284"/>
              <w:rPr>
                <w:sz w:val="18"/>
                <w:szCs w:val="18"/>
                <w:lang w:val="ru-RU"/>
              </w:rPr>
            </w:pPr>
            <w:r w:rsidRPr="00013C48">
              <w:rPr>
                <w:sz w:val="18"/>
                <w:szCs w:val="18"/>
                <w:lang w:val="ru-RU"/>
              </w:rPr>
              <w:t>2)</w:t>
            </w:r>
            <w:r w:rsidR="00941FC5" w:rsidRPr="00013C48">
              <w:rPr>
                <w:sz w:val="18"/>
                <w:szCs w:val="18"/>
                <w:lang w:val="ru-RU"/>
              </w:rPr>
              <w:tab/>
            </w:r>
            <w:r w:rsidRPr="00013C48">
              <w:rPr>
                <w:sz w:val="18"/>
                <w:szCs w:val="18"/>
                <w:lang w:val="ru-RU"/>
              </w:rPr>
              <w:t>сокращение числа бумажных документов в результате пересмотра методов работы (повторение, дублирование, ненужные распечатки и т.</w:t>
            </w:r>
            <w:r w:rsidR="00941FC5" w:rsidRPr="00013C48">
              <w:rPr>
                <w:sz w:val="18"/>
                <w:szCs w:val="18"/>
                <w:lang w:val="ru-RU"/>
              </w:rPr>
              <w:t> </w:t>
            </w:r>
            <w:r w:rsidRPr="00013C48">
              <w:rPr>
                <w:sz w:val="18"/>
                <w:szCs w:val="18"/>
                <w:lang w:val="ru-RU"/>
              </w:rPr>
              <w:t xml:space="preserve">д.). Всегда будут существовать бумажные документы, так как по юридическим причинам должны храниться подписанные оригиналы документов, а также для удостоверения точности информации, занесенной в </w:t>
            </w:r>
            <w:proofErr w:type="spellStart"/>
            <w:r w:rsidRPr="00013C48">
              <w:rPr>
                <w:sz w:val="18"/>
                <w:szCs w:val="18"/>
                <w:lang w:val="ru-RU"/>
              </w:rPr>
              <w:t>SAP</w:t>
            </w:r>
            <w:r w:rsidR="004B3F98" w:rsidRPr="00013C48">
              <w:rPr>
                <w:sz w:val="18"/>
                <w:szCs w:val="18"/>
                <w:lang w:val="ru-RU"/>
              </w:rPr>
              <w:noBreakHyphen/>
            </w:r>
            <w:r w:rsidRPr="00013C48">
              <w:rPr>
                <w:sz w:val="18"/>
                <w:szCs w:val="18"/>
                <w:lang w:val="ru-RU"/>
              </w:rPr>
              <w:t>ERP_HCM</w:t>
            </w:r>
            <w:proofErr w:type="spellEnd"/>
            <w:r w:rsidRPr="00013C48">
              <w:rPr>
                <w:sz w:val="18"/>
                <w:szCs w:val="18"/>
                <w:lang w:val="ru-RU"/>
              </w:rPr>
              <w:t>.</w:t>
            </w:r>
          </w:p>
          <w:p w:rsidR="00D12A14" w:rsidRPr="00013C48" w:rsidRDefault="00D12A14" w:rsidP="00790294">
            <w:pPr>
              <w:keepNext/>
              <w:keepLines/>
              <w:spacing w:before="40" w:after="40"/>
              <w:rPr>
                <w:sz w:val="18"/>
                <w:szCs w:val="18"/>
                <w:lang w:val="ru-RU"/>
              </w:rPr>
            </w:pPr>
            <w:r w:rsidRPr="00013C48">
              <w:rPr>
                <w:b/>
                <w:bCs/>
                <w:sz w:val="18"/>
                <w:szCs w:val="18"/>
                <w:lang w:val="ru-RU"/>
              </w:rPr>
              <w:t>Обновление по состоянию на конец января 2016 г.</w:t>
            </w:r>
            <w:r w:rsidRPr="00013C48">
              <w:rPr>
                <w:sz w:val="18"/>
                <w:szCs w:val="18"/>
                <w:lang w:val="ru-RU"/>
              </w:rPr>
              <w:t xml:space="preserve">: Осуществляется перевод в цифровую форму. </w:t>
            </w:r>
            <w:proofErr w:type="spellStart"/>
            <w:r w:rsidRPr="00013C48">
              <w:rPr>
                <w:sz w:val="18"/>
                <w:szCs w:val="18"/>
                <w:lang w:val="ru-RU"/>
              </w:rPr>
              <w:t>HRMD</w:t>
            </w:r>
            <w:proofErr w:type="spellEnd"/>
            <w:r w:rsidRPr="00013C48">
              <w:rPr>
                <w:sz w:val="18"/>
                <w:szCs w:val="18"/>
                <w:lang w:val="ru-RU"/>
              </w:rPr>
              <w:t xml:space="preserve"> проводит фундаментальный анализ всех своих процедур и потока документов, с тем чтобы создать инфраструктуру централизованного, организованного и безопасного управления электронной информацией в поддержку предоставления услуг </w:t>
            </w:r>
            <w:proofErr w:type="spellStart"/>
            <w:r w:rsidRPr="00013C48">
              <w:rPr>
                <w:sz w:val="18"/>
                <w:szCs w:val="18"/>
                <w:lang w:val="ru-RU"/>
              </w:rPr>
              <w:t>HR</w:t>
            </w:r>
            <w:proofErr w:type="spellEnd"/>
            <w:r w:rsidRPr="00013C48">
              <w:rPr>
                <w:sz w:val="18"/>
                <w:szCs w:val="18"/>
                <w:lang w:val="ru-RU"/>
              </w:rPr>
              <w:t>.</w:t>
            </w:r>
          </w:p>
        </w:tc>
        <w:tc>
          <w:tcPr>
            <w:tcW w:w="2526" w:type="dxa"/>
            <w:tcBorders>
              <w:top w:val="single" w:sz="4" w:space="0" w:color="auto"/>
              <w:left w:val="single" w:sz="4" w:space="0" w:color="auto"/>
              <w:bottom w:val="single" w:sz="4" w:space="0" w:color="auto"/>
              <w:right w:val="single" w:sz="4" w:space="0" w:color="auto"/>
            </w:tcBorders>
          </w:tcPr>
          <w:p w:rsidR="00D12A14" w:rsidRPr="00013C48" w:rsidRDefault="00D12A14" w:rsidP="00D12A14">
            <w:pPr>
              <w:spacing w:before="40" w:after="40"/>
              <w:rPr>
                <w:sz w:val="18"/>
                <w:szCs w:val="18"/>
                <w:lang w:val="ru-RU"/>
              </w:rPr>
            </w:pPr>
            <w:r w:rsidRPr="00013C48">
              <w:rPr>
                <w:sz w:val="18"/>
                <w:szCs w:val="18"/>
                <w:lang w:val="ru-RU"/>
              </w:rPr>
              <w:lastRenderedPageBreak/>
              <w:t>В процессе выполнения.</w:t>
            </w:r>
          </w:p>
        </w:tc>
      </w:tr>
    </w:tbl>
    <w:p w:rsidR="005B5204" w:rsidRPr="00013C48" w:rsidRDefault="005B5204" w:rsidP="00941FC5">
      <w:pPr>
        <w:rPr>
          <w:lang w:val="ru-RU"/>
        </w:rPr>
      </w:pPr>
      <w:r w:rsidRPr="00013C48">
        <w:rPr>
          <w:lang w:val="ru-RU"/>
        </w:rPr>
        <w:lastRenderedPageBreak/>
        <w:br w:type="page"/>
      </w:r>
    </w:p>
    <w:p w:rsidR="008E0D64" w:rsidRPr="00013C48" w:rsidRDefault="00941FC5" w:rsidP="008E0D64">
      <w:pPr>
        <w:pStyle w:val="AnnexNo"/>
        <w:rPr>
          <w:lang w:val="ru-RU"/>
        </w:rPr>
      </w:pPr>
      <w:bookmarkStart w:id="317" w:name="_Toc418501349"/>
      <w:bookmarkStart w:id="318" w:name="_Toc418861210"/>
      <w:bookmarkStart w:id="319" w:name="_Toc450158134"/>
      <w:bookmarkStart w:id="320" w:name="_Toc450323565"/>
      <w:bookmarkStart w:id="321" w:name="_Toc450991504"/>
      <w:bookmarkStart w:id="322" w:name="_Toc452157346"/>
      <w:bookmarkStart w:id="323" w:name="_Toc452158669"/>
      <w:r w:rsidRPr="00013C48">
        <w:rPr>
          <w:lang w:val="ru-RU"/>
        </w:rPr>
        <w:lastRenderedPageBreak/>
        <w:t xml:space="preserve">Приложение </w:t>
      </w:r>
      <w:proofErr w:type="spellStart"/>
      <w:r w:rsidRPr="00013C48">
        <w:rPr>
          <w:lang w:val="ru-RU"/>
        </w:rPr>
        <w:t>II</w:t>
      </w:r>
      <w:bookmarkEnd w:id="317"/>
      <w:bookmarkEnd w:id="318"/>
      <w:bookmarkEnd w:id="319"/>
      <w:bookmarkEnd w:id="320"/>
      <w:bookmarkEnd w:id="321"/>
      <w:bookmarkEnd w:id="322"/>
      <w:bookmarkEnd w:id="323"/>
      <w:proofErr w:type="spellEnd"/>
    </w:p>
    <w:p w:rsidR="00941FC5" w:rsidRPr="00013C48" w:rsidRDefault="00941FC5" w:rsidP="008E0D64">
      <w:pPr>
        <w:pStyle w:val="Annextitle"/>
        <w:rPr>
          <w:lang w:val="ru-RU"/>
        </w:rPr>
      </w:pPr>
      <w:bookmarkStart w:id="324" w:name="_Toc452157347"/>
      <w:bookmarkStart w:id="325" w:name="_Toc452158670"/>
      <w:r w:rsidRPr="00013C48">
        <w:rPr>
          <w:lang w:val="ru-RU"/>
        </w:rPr>
        <w:t xml:space="preserve">Последующие меры в связи с рекомендациями, представленными </w:t>
      </w:r>
      <w:proofErr w:type="spellStart"/>
      <w:r w:rsidRPr="00013C48">
        <w:rPr>
          <w:lang w:val="ru-RU"/>
        </w:rPr>
        <w:t>ШФАБ</w:t>
      </w:r>
      <w:bookmarkEnd w:id="324"/>
      <w:bookmarkEnd w:id="325"/>
      <w:proofErr w:type="spellEnd"/>
    </w:p>
    <w:tbl>
      <w:tblPr>
        <w:tblW w:w="14923" w:type="dxa"/>
        <w:jc w:val="center"/>
        <w:tblLayout w:type="fixed"/>
        <w:tblCellMar>
          <w:left w:w="85" w:type="dxa"/>
          <w:right w:w="85" w:type="dxa"/>
        </w:tblCellMar>
        <w:tblLook w:val="0000" w:firstRow="0" w:lastRow="0" w:firstColumn="0" w:lastColumn="0" w:noHBand="0" w:noVBand="0"/>
      </w:tblPr>
      <w:tblGrid>
        <w:gridCol w:w="1070"/>
        <w:gridCol w:w="3603"/>
        <w:gridCol w:w="3686"/>
        <w:gridCol w:w="2268"/>
        <w:gridCol w:w="1984"/>
        <w:gridCol w:w="2312"/>
      </w:tblGrid>
      <w:tr w:rsidR="008E0D64" w:rsidRPr="00013C48" w:rsidTr="008E0D64">
        <w:trPr>
          <w:trHeight w:hRule="exact" w:val="920"/>
          <w:jc w:val="center"/>
        </w:trPr>
        <w:tc>
          <w:tcPr>
            <w:tcW w:w="1070" w:type="dxa"/>
            <w:tcBorders>
              <w:top w:val="single" w:sz="4" w:space="0" w:color="auto"/>
              <w:left w:val="single" w:sz="4" w:space="0" w:color="auto"/>
              <w:bottom w:val="single" w:sz="4" w:space="0" w:color="auto"/>
              <w:right w:val="single" w:sz="4" w:space="0" w:color="auto"/>
            </w:tcBorders>
            <w:vAlign w:val="center"/>
          </w:tcPr>
          <w:p w:rsidR="00941FC5" w:rsidRPr="00013C48" w:rsidRDefault="00941FC5" w:rsidP="00941FC5">
            <w:pPr>
              <w:spacing w:before="40" w:after="40"/>
              <w:jc w:val="center"/>
              <w:rPr>
                <w:b/>
                <w:bCs/>
                <w:sz w:val="18"/>
                <w:szCs w:val="18"/>
                <w:lang w:val="ru-RU"/>
              </w:rPr>
            </w:pPr>
            <w:r w:rsidRPr="00013C48">
              <w:rPr>
                <w:b/>
                <w:bCs/>
                <w:sz w:val="18"/>
                <w:szCs w:val="18"/>
                <w:lang w:val="ru-RU"/>
              </w:rPr>
              <w:t>Отчет</w:t>
            </w:r>
          </w:p>
        </w:tc>
        <w:tc>
          <w:tcPr>
            <w:tcW w:w="3603" w:type="dxa"/>
            <w:tcBorders>
              <w:top w:val="single" w:sz="4" w:space="0" w:color="auto"/>
              <w:left w:val="single" w:sz="4" w:space="0" w:color="auto"/>
              <w:bottom w:val="single" w:sz="4" w:space="0" w:color="auto"/>
              <w:right w:val="single" w:sz="4" w:space="0" w:color="auto"/>
            </w:tcBorders>
            <w:vAlign w:val="center"/>
          </w:tcPr>
          <w:p w:rsidR="00941FC5" w:rsidRPr="00013C48" w:rsidRDefault="00941FC5" w:rsidP="00941FC5">
            <w:pPr>
              <w:spacing w:before="40" w:after="40"/>
              <w:jc w:val="center"/>
              <w:rPr>
                <w:b/>
                <w:bCs/>
                <w:sz w:val="18"/>
                <w:szCs w:val="18"/>
                <w:lang w:val="ru-RU"/>
              </w:rPr>
            </w:pPr>
            <w:r w:rsidRPr="00013C48">
              <w:rPr>
                <w:b/>
                <w:bCs/>
                <w:sz w:val="18"/>
                <w:szCs w:val="18"/>
                <w:lang w:val="ru-RU"/>
              </w:rPr>
              <w:t xml:space="preserve">Рекомендация, представленная </w:t>
            </w:r>
            <w:r w:rsidRPr="00013C48">
              <w:rPr>
                <w:b/>
                <w:bCs/>
                <w:sz w:val="18"/>
                <w:szCs w:val="18"/>
                <w:lang w:val="ru-RU"/>
              </w:rPr>
              <w:br/>
              <w:t>аудиторами Швейцарии</w:t>
            </w:r>
          </w:p>
        </w:tc>
        <w:tc>
          <w:tcPr>
            <w:tcW w:w="3686" w:type="dxa"/>
            <w:tcBorders>
              <w:top w:val="single" w:sz="4" w:space="0" w:color="auto"/>
              <w:left w:val="single" w:sz="4" w:space="0" w:color="auto"/>
              <w:bottom w:val="single" w:sz="4" w:space="0" w:color="auto"/>
              <w:right w:val="single" w:sz="4" w:space="0" w:color="auto"/>
            </w:tcBorders>
            <w:vAlign w:val="center"/>
          </w:tcPr>
          <w:p w:rsidR="00941FC5" w:rsidRPr="00013C48" w:rsidRDefault="00941FC5" w:rsidP="00941FC5">
            <w:pPr>
              <w:spacing w:before="40" w:after="40"/>
              <w:jc w:val="center"/>
              <w:rPr>
                <w:b/>
                <w:bCs/>
                <w:sz w:val="18"/>
                <w:szCs w:val="18"/>
                <w:lang w:val="ru-RU"/>
              </w:rPr>
            </w:pPr>
            <w:r w:rsidRPr="00013C48">
              <w:rPr>
                <w:b/>
                <w:bCs/>
                <w:sz w:val="18"/>
                <w:szCs w:val="18"/>
                <w:lang w:val="ru-RU"/>
              </w:rPr>
              <w:t>Комментарии, полученные от Генерального секретаря во время опубликования отчета аудиторов Швейцарии</w:t>
            </w:r>
          </w:p>
        </w:tc>
        <w:tc>
          <w:tcPr>
            <w:tcW w:w="2268" w:type="dxa"/>
            <w:tcBorders>
              <w:top w:val="single" w:sz="4" w:space="0" w:color="auto"/>
              <w:left w:val="single" w:sz="4" w:space="0" w:color="auto"/>
              <w:bottom w:val="single" w:sz="4" w:space="0" w:color="auto"/>
              <w:right w:val="single" w:sz="4" w:space="0" w:color="auto"/>
            </w:tcBorders>
            <w:vAlign w:val="center"/>
          </w:tcPr>
          <w:p w:rsidR="00941FC5" w:rsidRPr="00013C48" w:rsidRDefault="00941FC5" w:rsidP="008E0D64">
            <w:pPr>
              <w:spacing w:before="40" w:after="40"/>
              <w:jc w:val="center"/>
              <w:rPr>
                <w:b/>
                <w:bCs/>
                <w:sz w:val="18"/>
                <w:szCs w:val="18"/>
                <w:lang w:val="ru-RU"/>
              </w:rPr>
            </w:pPr>
            <w:r w:rsidRPr="00013C48">
              <w:rPr>
                <w:b/>
                <w:bCs/>
                <w:sz w:val="18"/>
                <w:szCs w:val="18"/>
                <w:lang w:val="ru-RU"/>
              </w:rPr>
              <w:t>Статус выполнения по сообщению руководства МСЭ в связи с отчетом аудиторов Швейцарии</w:t>
            </w:r>
          </w:p>
        </w:tc>
        <w:tc>
          <w:tcPr>
            <w:tcW w:w="1984" w:type="dxa"/>
            <w:tcBorders>
              <w:top w:val="single" w:sz="4" w:space="0" w:color="auto"/>
              <w:left w:val="single" w:sz="4" w:space="0" w:color="auto"/>
              <w:bottom w:val="single" w:sz="4" w:space="0" w:color="auto"/>
              <w:right w:val="single" w:sz="4" w:space="0" w:color="auto"/>
            </w:tcBorders>
            <w:vAlign w:val="center"/>
          </w:tcPr>
          <w:p w:rsidR="00941FC5" w:rsidRPr="00013C48" w:rsidRDefault="00941FC5" w:rsidP="008E0D64">
            <w:pPr>
              <w:spacing w:before="40" w:after="40"/>
              <w:jc w:val="center"/>
              <w:rPr>
                <w:b/>
                <w:bCs/>
                <w:sz w:val="18"/>
                <w:szCs w:val="18"/>
                <w:lang w:val="ru-RU"/>
              </w:rPr>
            </w:pPr>
            <w:r w:rsidRPr="00013C48">
              <w:rPr>
                <w:b/>
                <w:bCs/>
                <w:sz w:val="18"/>
                <w:szCs w:val="18"/>
                <w:lang w:val="ru-RU"/>
              </w:rPr>
              <w:t xml:space="preserve">Статус выполнения </w:t>
            </w:r>
            <w:r w:rsidRPr="00013C48">
              <w:rPr>
                <w:b/>
                <w:bCs/>
                <w:sz w:val="18"/>
                <w:szCs w:val="18"/>
                <w:lang w:val="ru-RU"/>
              </w:rPr>
              <w:br/>
              <w:t>по сообщению руководства МСЭ</w:t>
            </w:r>
          </w:p>
        </w:tc>
        <w:tc>
          <w:tcPr>
            <w:tcW w:w="2312" w:type="dxa"/>
            <w:tcBorders>
              <w:top w:val="single" w:sz="4" w:space="0" w:color="auto"/>
              <w:left w:val="single" w:sz="4" w:space="0" w:color="auto"/>
              <w:bottom w:val="single" w:sz="4" w:space="0" w:color="auto"/>
              <w:right w:val="single" w:sz="4" w:space="0" w:color="auto"/>
            </w:tcBorders>
            <w:vAlign w:val="center"/>
          </w:tcPr>
          <w:p w:rsidR="00941FC5" w:rsidRPr="00013C48" w:rsidRDefault="00941FC5" w:rsidP="008E0D64">
            <w:pPr>
              <w:spacing w:before="40" w:after="40"/>
              <w:jc w:val="center"/>
              <w:rPr>
                <w:b/>
                <w:bCs/>
                <w:sz w:val="18"/>
                <w:szCs w:val="18"/>
                <w:lang w:val="ru-RU"/>
              </w:rPr>
            </w:pPr>
            <w:r w:rsidRPr="00013C48">
              <w:rPr>
                <w:b/>
                <w:bCs/>
                <w:sz w:val="18"/>
                <w:szCs w:val="18"/>
                <w:lang w:val="ru-RU"/>
              </w:rPr>
              <w:t>Статус мер, принятых руководством, по оценке Государственной счетной палаты Италии</w:t>
            </w:r>
          </w:p>
        </w:tc>
      </w:tr>
      <w:tr w:rsidR="008E0D64" w:rsidRPr="00013C48" w:rsidTr="008E0D64">
        <w:trPr>
          <w:jc w:val="center"/>
        </w:trPr>
        <w:tc>
          <w:tcPr>
            <w:tcW w:w="1070" w:type="dxa"/>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b/>
                <w:bCs/>
                <w:sz w:val="18"/>
                <w:szCs w:val="18"/>
                <w:lang w:val="ru-RU"/>
              </w:rPr>
            </w:pPr>
            <w:r w:rsidRPr="00013C48">
              <w:rPr>
                <w:b/>
                <w:bCs/>
                <w:sz w:val="18"/>
                <w:szCs w:val="18"/>
                <w:lang w:val="ru-RU"/>
              </w:rPr>
              <w:t>Рек. 2/2008</w:t>
            </w:r>
          </w:p>
          <w:p w:rsidR="00941FC5" w:rsidRPr="00013C48" w:rsidRDefault="00941FC5" w:rsidP="00941FC5">
            <w:pPr>
              <w:spacing w:before="40" w:after="40"/>
              <w:rPr>
                <w:b/>
                <w:bCs/>
                <w:sz w:val="18"/>
                <w:szCs w:val="18"/>
                <w:lang w:val="ru-RU"/>
              </w:rPr>
            </w:pPr>
            <w:r w:rsidRPr="00013C48">
              <w:rPr>
                <w:b/>
                <w:bCs/>
                <w:sz w:val="18"/>
                <w:szCs w:val="18"/>
                <w:lang w:val="ru-RU"/>
              </w:rPr>
              <w:t>Рек. 3/2009</w:t>
            </w:r>
          </w:p>
        </w:tc>
        <w:tc>
          <w:tcPr>
            <w:tcW w:w="3603" w:type="dxa"/>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Операции, произведенные вручную вне среды </w:t>
            </w:r>
            <w:proofErr w:type="spellStart"/>
            <w:r w:rsidRPr="00013C48">
              <w:rPr>
                <w:sz w:val="18"/>
                <w:szCs w:val="18"/>
                <w:lang w:val="ru-RU"/>
              </w:rPr>
              <w:t>SAP</w:t>
            </w:r>
            <w:proofErr w:type="spellEnd"/>
            <w:r w:rsidRPr="00013C48">
              <w:rPr>
                <w:sz w:val="18"/>
                <w:szCs w:val="18"/>
                <w:lang w:val="ru-RU"/>
              </w:rPr>
              <w:t xml:space="preserve">, приводят к ошибкам и нарушениям в работе и ставят дополнительные задачи, которые могут быть не предусмотрены перечнем обязанностей соответствующих сотрудников. Выполняемые в условиях отсутствия эффективного заместительства, они приводят к задержкам в их реализации. </w:t>
            </w:r>
          </w:p>
          <w:p w:rsidR="00941FC5" w:rsidRPr="00013C48" w:rsidRDefault="00941FC5" w:rsidP="00941FC5">
            <w:pPr>
              <w:spacing w:before="40" w:after="40"/>
              <w:rPr>
                <w:sz w:val="18"/>
                <w:szCs w:val="18"/>
                <w:lang w:val="ru-RU"/>
              </w:rPr>
            </w:pPr>
            <w:r w:rsidRPr="00013C48">
              <w:rPr>
                <w:sz w:val="18"/>
                <w:szCs w:val="18"/>
                <w:lang w:val="ru-RU"/>
              </w:rPr>
              <w:t xml:space="preserve">Повторно предлагаю МСЭ как можно скорее приступить к включению системы управления проектами </w:t>
            </w:r>
            <w:proofErr w:type="spellStart"/>
            <w:r w:rsidRPr="00013C48">
              <w:rPr>
                <w:sz w:val="18"/>
                <w:szCs w:val="18"/>
                <w:lang w:val="ru-RU"/>
              </w:rPr>
              <w:t>BCS</w:t>
            </w:r>
            <w:proofErr w:type="spellEnd"/>
            <w:r w:rsidRPr="00013C48">
              <w:rPr>
                <w:sz w:val="18"/>
                <w:szCs w:val="18"/>
                <w:lang w:val="ru-RU"/>
              </w:rPr>
              <w:t xml:space="preserve"> в программное обеспечение </w:t>
            </w:r>
            <w:proofErr w:type="spellStart"/>
            <w:r w:rsidRPr="00013C48">
              <w:rPr>
                <w:sz w:val="18"/>
                <w:szCs w:val="18"/>
                <w:lang w:val="ru-RU"/>
              </w:rPr>
              <w:t>SAP</w:t>
            </w:r>
            <w:proofErr w:type="spellEnd"/>
            <w:r w:rsidRPr="00013C48">
              <w:rPr>
                <w:sz w:val="18"/>
                <w:szCs w:val="18"/>
                <w:lang w:val="ru-RU"/>
              </w:rPr>
              <w:t>.</w:t>
            </w:r>
          </w:p>
          <w:p w:rsidR="00941FC5" w:rsidRPr="00013C48" w:rsidRDefault="00941FC5" w:rsidP="00941FC5">
            <w:pPr>
              <w:spacing w:before="40" w:after="40"/>
              <w:rPr>
                <w:sz w:val="18"/>
                <w:szCs w:val="18"/>
                <w:lang w:val="ru-RU"/>
              </w:rPr>
            </w:pPr>
            <w:r w:rsidRPr="00013C48">
              <w:rPr>
                <w:sz w:val="18"/>
                <w:szCs w:val="18"/>
                <w:lang w:val="ru-RU"/>
              </w:rPr>
              <w:t>Поэтому я предлагаю МСЭ:</w:t>
            </w:r>
          </w:p>
          <w:p w:rsidR="00941FC5" w:rsidRPr="00013C48" w:rsidRDefault="00941FC5" w:rsidP="00941FC5">
            <w:pPr>
              <w:tabs>
                <w:tab w:val="left" w:pos="283"/>
              </w:tabs>
              <w:spacing w:before="40" w:after="40"/>
              <w:ind w:left="283" w:hanging="283"/>
              <w:rPr>
                <w:sz w:val="18"/>
                <w:szCs w:val="18"/>
                <w:lang w:val="ru-RU"/>
              </w:rPr>
            </w:pPr>
            <w:r w:rsidRPr="00013C48">
              <w:rPr>
                <w:sz w:val="18"/>
                <w:szCs w:val="18"/>
                <w:lang w:val="ru-RU"/>
              </w:rPr>
              <w:t>–</w:t>
            </w:r>
            <w:r w:rsidRPr="00013C48">
              <w:rPr>
                <w:sz w:val="18"/>
                <w:szCs w:val="18"/>
                <w:lang w:val="ru-RU"/>
              </w:rPr>
              <w:tab/>
              <w:t>принять решение о возможном включении в модуль "Управление субсидиями" (</w:t>
            </w:r>
            <w:proofErr w:type="spellStart"/>
            <w:r w:rsidRPr="00013C48">
              <w:rPr>
                <w:sz w:val="18"/>
                <w:szCs w:val="18"/>
                <w:lang w:val="ru-RU"/>
              </w:rPr>
              <w:t>GM</w:t>
            </w:r>
            <w:proofErr w:type="spellEnd"/>
            <w:r w:rsidRPr="00013C48">
              <w:rPr>
                <w:sz w:val="18"/>
                <w:szCs w:val="18"/>
                <w:lang w:val="ru-RU"/>
              </w:rPr>
              <w:t>) всех проектов, не закрытых в оперативном и финансовом отношении, таким образом, чтобы можно было правильно осуществлять расчет и распределение процентов на капитал, вложенный в проекты;</w:t>
            </w:r>
          </w:p>
          <w:p w:rsidR="00941FC5" w:rsidRPr="00013C48" w:rsidRDefault="00941FC5" w:rsidP="00941FC5">
            <w:pPr>
              <w:tabs>
                <w:tab w:val="left" w:pos="283"/>
              </w:tabs>
              <w:spacing w:before="40" w:after="40"/>
              <w:ind w:left="283" w:hanging="283"/>
              <w:rPr>
                <w:sz w:val="18"/>
                <w:szCs w:val="18"/>
                <w:lang w:val="ru-RU"/>
              </w:rPr>
            </w:pPr>
            <w:r w:rsidRPr="00013C48">
              <w:rPr>
                <w:sz w:val="18"/>
                <w:szCs w:val="18"/>
                <w:lang w:val="ru-RU"/>
              </w:rPr>
              <w:t>–</w:t>
            </w:r>
            <w:r w:rsidRPr="00013C48">
              <w:rPr>
                <w:sz w:val="18"/>
                <w:szCs w:val="18"/>
                <w:lang w:val="ru-RU"/>
              </w:rPr>
              <w:tab/>
              <w:t>определить основные процессы технического сотрудничества и установить соответствующие сферы ответственности;</w:t>
            </w:r>
          </w:p>
          <w:p w:rsidR="00941FC5" w:rsidRPr="00013C48" w:rsidRDefault="00941FC5" w:rsidP="00941FC5">
            <w:pPr>
              <w:tabs>
                <w:tab w:val="left" w:pos="283"/>
              </w:tabs>
              <w:spacing w:before="40" w:after="40"/>
              <w:ind w:left="283" w:hanging="283"/>
              <w:rPr>
                <w:sz w:val="18"/>
                <w:szCs w:val="18"/>
                <w:lang w:val="ru-RU"/>
              </w:rPr>
            </w:pPr>
            <w:r w:rsidRPr="00013C48">
              <w:rPr>
                <w:sz w:val="18"/>
                <w:szCs w:val="18"/>
                <w:lang w:val="ru-RU"/>
              </w:rPr>
              <w:t>–</w:t>
            </w:r>
            <w:r w:rsidRPr="00013C48">
              <w:rPr>
                <w:sz w:val="18"/>
                <w:szCs w:val="18"/>
                <w:lang w:val="ru-RU"/>
              </w:rPr>
              <w:tab/>
              <w:t xml:space="preserve">внедрить меры по профессиональной подготовке, необходимые для эффективного использования новой среды </w:t>
            </w:r>
            <w:proofErr w:type="spellStart"/>
            <w:r w:rsidRPr="00013C48">
              <w:rPr>
                <w:sz w:val="18"/>
                <w:szCs w:val="18"/>
                <w:lang w:val="ru-RU"/>
              </w:rPr>
              <w:t>SAP</w:t>
            </w:r>
            <w:proofErr w:type="spellEnd"/>
            <w:r w:rsidRPr="00013C48">
              <w:rPr>
                <w:sz w:val="18"/>
                <w:szCs w:val="18"/>
                <w:lang w:val="ru-RU"/>
              </w:rPr>
              <w:t xml:space="preserve"> в области технического сотрудничества.</w:t>
            </w:r>
          </w:p>
        </w:tc>
        <w:tc>
          <w:tcPr>
            <w:tcW w:w="3686" w:type="dxa"/>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Эти две рекомендации – 1/2008 и 2/2009 – тесно связаны между собой. В 2011 г. Департамент управления финансовыми ресурсами, Бюро развития электросвязи (</w:t>
            </w:r>
            <w:proofErr w:type="spellStart"/>
            <w:r w:rsidRPr="00013C48">
              <w:rPr>
                <w:sz w:val="18"/>
                <w:szCs w:val="18"/>
                <w:lang w:val="ru-RU"/>
              </w:rPr>
              <w:t>БРЭ</w:t>
            </w:r>
            <w:proofErr w:type="spellEnd"/>
            <w:r w:rsidRPr="00013C48">
              <w:rPr>
                <w:sz w:val="18"/>
                <w:szCs w:val="18"/>
                <w:lang w:val="ru-RU"/>
              </w:rPr>
              <w:t xml:space="preserve">) и Департамент информационных служб при поддержке консультантов провели исследование вопроса о необходимости введения второй системы учета в долларах США. По итогам исследования был сделан вывод о том, что следует активизировать профессиональную подготовку для работы с модулем </w:t>
            </w:r>
            <w:proofErr w:type="spellStart"/>
            <w:r w:rsidRPr="00013C48">
              <w:rPr>
                <w:sz w:val="18"/>
                <w:szCs w:val="18"/>
                <w:lang w:val="ru-RU"/>
              </w:rPr>
              <w:t>GM</w:t>
            </w:r>
            <w:proofErr w:type="spellEnd"/>
            <w:r w:rsidRPr="00013C48">
              <w:rPr>
                <w:sz w:val="18"/>
                <w:szCs w:val="18"/>
                <w:lang w:val="ru-RU"/>
              </w:rPr>
              <w:t>, с тем чтобы добиться максимального использования специальных возможностей этого модуля.</w:t>
            </w:r>
          </w:p>
          <w:p w:rsidR="00941FC5" w:rsidRPr="00013C48" w:rsidRDefault="00941FC5" w:rsidP="00941FC5">
            <w:pPr>
              <w:spacing w:before="40" w:after="40"/>
              <w:rPr>
                <w:sz w:val="18"/>
                <w:szCs w:val="18"/>
                <w:lang w:val="ru-RU"/>
              </w:rPr>
            </w:pPr>
            <w:r w:rsidRPr="00013C48">
              <w:rPr>
                <w:sz w:val="18"/>
                <w:szCs w:val="18"/>
                <w:lang w:val="ru-RU"/>
              </w:rPr>
              <w:t xml:space="preserve">Был достигнут определенный прогресс в области административного управления проектами. Все проекты, по которым в течение нескольких лет не велись работы, были закрыты, а оставшиеся средства помещены на промежуточный счет (для возмещения донорам, использования в других проектах и т. д.). К принятию решения о дальнейшем использовании этих средств привлекались доноры. </w:t>
            </w:r>
          </w:p>
          <w:p w:rsidR="00941FC5" w:rsidRPr="00013C48" w:rsidRDefault="00941FC5" w:rsidP="00941FC5">
            <w:pPr>
              <w:spacing w:before="40" w:after="40"/>
              <w:rPr>
                <w:sz w:val="18"/>
                <w:szCs w:val="18"/>
                <w:lang w:val="ru-RU"/>
              </w:rPr>
            </w:pPr>
            <w:r w:rsidRPr="00013C48">
              <w:rPr>
                <w:sz w:val="18"/>
                <w:szCs w:val="18"/>
                <w:lang w:val="ru-RU"/>
              </w:rPr>
              <w:t xml:space="preserve">В отношении системы </w:t>
            </w:r>
            <w:proofErr w:type="spellStart"/>
            <w:r w:rsidRPr="00013C48">
              <w:rPr>
                <w:sz w:val="18"/>
                <w:szCs w:val="18"/>
                <w:lang w:val="ru-RU"/>
              </w:rPr>
              <w:t>SAP</w:t>
            </w:r>
            <w:proofErr w:type="spellEnd"/>
            <w:r w:rsidRPr="00013C48">
              <w:rPr>
                <w:sz w:val="18"/>
                <w:szCs w:val="18"/>
                <w:lang w:val="ru-RU"/>
              </w:rPr>
              <w:t xml:space="preserve"> </w:t>
            </w:r>
            <w:proofErr w:type="spellStart"/>
            <w:r w:rsidRPr="00013C48">
              <w:rPr>
                <w:sz w:val="18"/>
                <w:szCs w:val="18"/>
                <w:lang w:val="ru-RU"/>
              </w:rPr>
              <w:t>GM</w:t>
            </w:r>
            <w:proofErr w:type="spellEnd"/>
            <w:r w:rsidRPr="00013C48">
              <w:rPr>
                <w:sz w:val="18"/>
                <w:szCs w:val="18"/>
                <w:lang w:val="ru-RU"/>
              </w:rPr>
              <w:t xml:space="preserve"> в 2011 г. было проведено исследование или анализ пробелов в целях определения потребностей в отношении развития, которые позволили бы обеспечить оптимальное и адаптированное использование этой системы.</w:t>
            </w:r>
          </w:p>
        </w:tc>
        <w:tc>
          <w:tcPr>
            <w:tcW w:w="2268" w:type="dxa"/>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Модуль </w:t>
            </w:r>
            <w:proofErr w:type="spellStart"/>
            <w:r w:rsidRPr="00013C48">
              <w:rPr>
                <w:sz w:val="18"/>
                <w:szCs w:val="18"/>
                <w:lang w:val="ru-RU"/>
              </w:rPr>
              <w:t>SAP</w:t>
            </w:r>
            <w:proofErr w:type="spellEnd"/>
            <w:r w:rsidRPr="00013C48">
              <w:rPr>
                <w:sz w:val="18"/>
                <w:szCs w:val="18"/>
                <w:lang w:val="ru-RU"/>
              </w:rPr>
              <w:t xml:space="preserve"> "Управление субсидиями" (</w:t>
            </w:r>
            <w:proofErr w:type="spellStart"/>
            <w:r w:rsidRPr="00013C48">
              <w:rPr>
                <w:sz w:val="18"/>
                <w:szCs w:val="18"/>
                <w:lang w:val="ru-RU"/>
              </w:rPr>
              <w:t>GM</w:t>
            </w:r>
            <w:proofErr w:type="spellEnd"/>
            <w:r w:rsidRPr="00013C48">
              <w:rPr>
                <w:sz w:val="18"/>
                <w:szCs w:val="18"/>
                <w:lang w:val="ru-RU"/>
              </w:rPr>
              <w:t>) был внедрен МСЭ в январе 2010 г. для финансового управления проектами технического сотрудничества. В 2011 г. были проанализированы соответствующие финансовые процессы, и в настоящее время осуществляется их оптимизация и переподготовка пользователей.</w:t>
            </w:r>
          </w:p>
        </w:tc>
        <w:tc>
          <w:tcPr>
            <w:tcW w:w="1984" w:type="dxa"/>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Этот процесс все еще находится в процессе выполнения вследствие бюджетных ограничений.</w:t>
            </w:r>
          </w:p>
          <w:p w:rsidR="00941FC5" w:rsidRPr="00013C48" w:rsidRDefault="00941FC5" w:rsidP="00941FC5">
            <w:pPr>
              <w:spacing w:before="40" w:after="40"/>
              <w:rPr>
                <w:sz w:val="18"/>
                <w:szCs w:val="18"/>
                <w:lang w:val="ru-RU"/>
              </w:rPr>
            </w:pPr>
            <w:r w:rsidRPr="00013C48">
              <w:rPr>
                <w:b/>
                <w:bCs/>
                <w:sz w:val="18"/>
                <w:szCs w:val="18"/>
                <w:lang w:val="ru-RU"/>
              </w:rPr>
              <w:t>Обновление по состоянию на конец января 2016 г.</w:t>
            </w:r>
            <w:r w:rsidRPr="00013C48">
              <w:rPr>
                <w:sz w:val="18"/>
                <w:szCs w:val="18"/>
                <w:lang w:val="ru-RU"/>
              </w:rPr>
              <w:t xml:space="preserve">: Вследствие бюджетных ограничений </w:t>
            </w:r>
            <w:proofErr w:type="spellStart"/>
            <w:r w:rsidRPr="00013C48">
              <w:rPr>
                <w:sz w:val="18"/>
                <w:szCs w:val="18"/>
                <w:lang w:val="ru-RU"/>
              </w:rPr>
              <w:t>БРЭ</w:t>
            </w:r>
            <w:proofErr w:type="spellEnd"/>
            <w:r w:rsidRPr="00013C48">
              <w:rPr>
                <w:sz w:val="18"/>
                <w:szCs w:val="18"/>
                <w:lang w:val="ru-RU"/>
              </w:rPr>
              <w:t xml:space="preserve"> оптимизация этого процесса отложена. </w:t>
            </w:r>
          </w:p>
        </w:tc>
        <w:tc>
          <w:tcPr>
            <w:tcW w:w="2312" w:type="dxa"/>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В процессе выполнения</w:t>
            </w:r>
            <w:r w:rsidR="008E0D64" w:rsidRPr="00013C48">
              <w:rPr>
                <w:sz w:val="18"/>
                <w:szCs w:val="18"/>
                <w:lang w:val="ru-RU"/>
              </w:rPr>
              <w:t>.</w:t>
            </w:r>
          </w:p>
        </w:tc>
      </w:tr>
    </w:tbl>
    <w:p w:rsidR="005B5204" w:rsidRPr="00013C48" w:rsidRDefault="005B5204" w:rsidP="00941FC5">
      <w:pPr>
        <w:rPr>
          <w:sz w:val="4"/>
          <w:szCs w:val="4"/>
          <w:lang w:val="ru-RU"/>
        </w:rPr>
      </w:pPr>
      <w:r w:rsidRPr="00013C48">
        <w:rPr>
          <w:sz w:val="4"/>
          <w:szCs w:val="4"/>
          <w:lang w:val="ru-RU"/>
        </w:rPr>
        <w:br w:type="page"/>
      </w:r>
    </w:p>
    <w:p w:rsidR="008E0D64" w:rsidRPr="00013C48" w:rsidRDefault="00941FC5" w:rsidP="008E0D64">
      <w:pPr>
        <w:pStyle w:val="AnnexNo"/>
        <w:rPr>
          <w:lang w:val="ru-RU"/>
        </w:rPr>
      </w:pPr>
      <w:bookmarkStart w:id="326" w:name="_Toc452157348"/>
      <w:bookmarkStart w:id="327" w:name="_Toc452158671"/>
      <w:bookmarkStart w:id="328" w:name="_Toc418501350"/>
      <w:bookmarkStart w:id="329" w:name="_Toc418861211"/>
      <w:bookmarkStart w:id="330" w:name="_Toc450158135"/>
      <w:bookmarkStart w:id="331" w:name="_Toc450323566"/>
      <w:bookmarkStart w:id="332" w:name="_Toc450991505"/>
      <w:r w:rsidRPr="00013C48">
        <w:rPr>
          <w:lang w:val="ru-RU"/>
        </w:rPr>
        <w:lastRenderedPageBreak/>
        <w:t xml:space="preserve">Приложение </w:t>
      </w:r>
      <w:proofErr w:type="spellStart"/>
      <w:r w:rsidRPr="00013C48">
        <w:rPr>
          <w:lang w:val="ru-RU"/>
        </w:rPr>
        <w:t>III</w:t>
      </w:r>
      <w:bookmarkEnd w:id="326"/>
      <w:bookmarkEnd w:id="327"/>
      <w:proofErr w:type="spellEnd"/>
      <w:r w:rsidRPr="00013C48">
        <w:rPr>
          <w:lang w:val="ru-RU"/>
        </w:rPr>
        <w:t xml:space="preserve"> </w:t>
      </w:r>
      <w:bookmarkEnd w:id="328"/>
      <w:bookmarkEnd w:id="329"/>
      <w:bookmarkEnd w:id="330"/>
      <w:bookmarkEnd w:id="331"/>
      <w:bookmarkEnd w:id="332"/>
    </w:p>
    <w:p w:rsidR="00941FC5" w:rsidRPr="00013C48" w:rsidRDefault="00941FC5" w:rsidP="008E0D64">
      <w:pPr>
        <w:pStyle w:val="Annextitle"/>
        <w:rPr>
          <w:lang w:val="ru-RU"/>
        </w:rPr>
      </w:pPr>
      <w:bookmarkStart w:id="333" w:name="_Toc452157349"/>
      <w:bookmarkStart w:id="334" w:name="_Toc452158672"/>
      <w:r w:rsidRPr="00013C48">
        <w:rPr>
          <w:lang w:val="ru-RU"/>
        </w:rPr>
        <w:t>Последующие меры в связи с предложениями, представленными в наших предыдущих отчетах</w:t>
      </w:r>
      <w:bookmarkEnd w:id="333"/>
      <w:bookmarkEnd w:id="334"/>
    </w:p>
    <w:tbl>
      <w:tblPr>
        <w:tblW w:w="5000" w:type="pct"/>
        <w:jc w:val="center"/>
        <w:tblCellMar>
          <w:left w:w="85" w:type="dxa"/>
          <w:right w:w="85" w:type="dxa"/>
        </w:tblCellMar>
        <w:tblLook w:val="0000" w:firstRow="0" w:lastRow="0" w:firstColumn="0" w:lastColumn="0" w:noHBand="0" w:noVBand="0"/>
      </w:tblPr>
      <w:tblGrid>
        <w:gridCol w:w="1464"/>
        <w:gridCol w:w="3345"/>
        <w:gridCol w:w="3543"/>
        <w:gridCol w:w="3680"/>
        <w:gridCol w:w="2524"/>
      </w:tblGrid>
      <w:tr w:rsidR="00941FC5" w:rsidRPr="00013C48" w:rsidTr="00B50CE5">
        <w:trPr>
          <w:cantSplit/>
          <w:tblHeader/>
          <w:jc w:val="center"/>
        </w:trPr>
        <w:tc>
          <w:tcPr>
            <w:tcW w:w="503" w:type="pct"/>
            <w:tcBorders>
              <w:top w:val="single" w:sz="4" w:space="0" w:color="auto"/>
              <w:left w:val="single" w:sz="4" w:space="0" w:color="auto"/>
              <w:bottom w:val="single" w:sz="4" w:space="0" w:color="auto"/>
              <w:right w:val="single" w:sz="4" w:space="0" w:color="auto"/>
            </w:tcBorders>
          </w:tcPr>
          <w:p w:rsidR="00941FC5" w:rsidRPr="00013C48" w:rsidRDefault="00941FC5" w:rsidP="008E0D64">
            <w:pPr>
              <w:spacing w:before="40" w:after="40"/>
              <w:jc w:val="center"/>
              <w:rPr>
                <w:b/>
                <w:bCs/>
                <w:sz w:val="18"/>
                <w:szCs w:val="18"/>
                <w:lang w:val="ru-RU"/>
              </w:rPr>
            </w:pPr>
          </w:p>
        </w:tc>
        <w:tc>
          <w:tcPr>
            <w:tcW w:w="1149" w:type="pct"/>
            <w:tcBorders>
              <w:top w:val="single" w:sz="4" w:space="0" w:color="auto"/>
              <w:left w:val="single" w:sz="4" w:space="0" w:color="auto"/>
              <w:bottom w:val="single" w:sz="4" w:space="0" w:color="auto"/>
              <w:right w:val="single" w:sz="4" w:space="0" w:color="auto"/>
            </w:tcBorders>
            <w:vAlign w:val="center"/>
          </w:tcPr>
          <w:p w:rsidR="00941FC5" w:rsidRPr="00013C48" w:rsidRDefault="00941FC5" w:rsidP="008E0D64">
            <w:pPr>
              <w:spacing w:before="40" w:after="40"/>
              <w:jc w:val="center"/>
              <w:rPr>
                <w:b/>
                <w:bCs/>
                <w:sz w:val="18"/>
                <w:szCs w:val="18"/>
                <w:lang w:val="ru-RU"/>
              </w:rPr>
            </w:pPr>
            <w:r w:rsidRPr="00013C48">
              <w:rPr>
                <w:b/>
                <w:bCs/>
                <w:sz w:val="18"/>
                <w:szCs w:val="18"/>
                <w:lang w:val="ru-RU"/>
              </w:rPr>
              <w:t xml:space="preserve">Предложение, представленное </w:t>
            </w:r>
            <w:r w:rsidR="008E0D64" w:rsidRPr="00013C48">
              <w:rPr>
                <w:b/>
                <w:bCs/>
                <w:sz w:val="18"/>
                <w:szCs w:val="18"/>
                <w:lang w:val="ru-RU"/>
              </w:rPr>
              <w:t>Государственной счетной палатой </w:t>
            </w:r>
            <w:r w:rsidRPr="00013C48">
              <w:rPr>
                <w:b/>
                <w:bCs/>
                <w:sz w:val="18"/>
                <w:szCs w:val="18"/>
                <w:lang w:val="ru-RU"/>
              </w:rPr>
              <w:t>Италии</w:t>
            </w:r>
          </w:p>
        </w:tc>
        <w:tc>
          <w:tcPr>
            <w:tcW w:w="1217" w:type="pct"/>
            <w:tcBorders>
              <w:top w:val="single" w:sz="4" w:space="0" w:color="auto"/>
              <w:left w:val="single" w:sz="4" w:space="0" w:color="auto"/>
              <w:bottom w:val="single" w:sz="4" w:space="0" w:color="auto"/>
              <w:right w:val="single" w:sz="4" w:space="0" w:color="auto"/>
            </w:tcBorders>
            <w:vAlign w:val="center"/>
          </w:tcPr>
          <w:p w:rsidR="00941FC5" w:rsidRPr="00013C48" w:rsidRDefault="00941FC5" w:rsidP="008E0D64">
            <w:pPr>
              <w:spacing w:before="40" w:after="40"/>
              <w:jc w:val="center"/>
              <w:rPr>
                <w:b/>
                <w:bCs/>
                <w:sz w:val="18"/>
                <w:szCs w:val="18"/>
                <w:lang w:val="ru-RU"/>
              </w:rPr>
            </w:pPr>
            <w:r w:rsidRPr="00013C48">
              <w:rPr>
                <w:b/>
                <w:bCs/>
                <w:sz w:val="18"/>
                <w:szCs w:val="18"/>
                <w:lang w:val="ru-RU"/>
              </w:rPr>
              <w:t>Комментарии, полученные от Генерального секретаря во время опубликования отчета</w:t>
            </w:r>
          </w:p>
        </w:tc>
        <w:tc>
          <w:tcPr>
            <w:tcW w:w="1264" w:type="pct"/>
            <w:tcBorders>
              <w:top w:val="single" w:sz="4" w:space="0" w:color="auto"/>
              <w:left w:val="single" w:sz="4" w:space="0" w:color="auto"/>
              <w:bottom w:val="single" w:sz="4" w:space="0" w:color="auto"/>
              <w:right w:val="single" w:sz="4" w:space="0" w:color="auto"/>
            </w:tcBorders>
            <w:vAlign w:val="center"/>
          </w:tcPr>
          <w:p w:rsidR="00941FC5" w:rsidRPr="00013C48" w:rsidRDefault="00941FC5" w:rsidP="008E0D64">
            <w:pPr>
              <w:spacing w:before="40" w:after="40"/>
              <w:jc w:val="center"/>
              <w:rPr>
                <w:b/>
                <w:bCs/>
                <w:sz w:val="18"/>
                <w:szCs w:val="18"/>
                <w:lang w:val="ru-RU"/>
              </w:rPr>
            </w:pPr>
            <w:r w:rsidRPr="00013C48">
              <w:rPr>
                <w:b/>
                <w:bCs/>
                <w:sz w:val="18"/>
                <w:szCs w:val="18"/>
                <w:lang w:val="ru-RU"/>
              </w:rPr>
              <w:t xml:space="preserve">Статус выполнения по сообщению </w:t>
            </w:r>
            <w:r w:rsidRPr="00013C48">
              <w:rPr>
                <w:b/>
                <w:bCs/>
                <w:sz w:val="18"/>
                <w:szCs w:val="18"/>
                <w:lang w:val="ru-RU"/>
              </w:rPr>
              <w:br/>
              <w:t>руководства МСЭ</w:t>
            </w:r>
          </w:p>
        </w:tc>
        <w:tc>
          <w:tcPr>
            <w:tcW w:w="867" w:type="pct"/>
            <w:tcBorders>
              <w:top w:val="single" w:sz="4" w:space="0" w:color="auto"/>
              <w:left w:val="single" w:sz="4" w:space="0" w:color="auto"/>
              <w:bottom w:val="single" w:sz="4" w:space="0" w:color="auto"/>
              <w:right w:val="single" w:sz="4" w:space="0" w:color="auto"/>
            </w:tcBorders>
            <w:vAlign w:val="center"/>
          </w:tcPr>
          <w:p w:rsidR="00941FC5" w:rsidRPr="00013C48" w:rsidRDefault="00941FC5" w:rsidP="008E0D64">
            <w:pPr>
              <w:spacing w:before="40" w:after="40"/>
              <w:jc w:val="center"/>
              <w:rPr>
                <w:b/>
                <w:bCs/>
                <w:sz w:val="18"/>
                <w:szCs w:val="18"/>
                <w:lang w:val="ru-RU"/>
              </w:rPr>
            </w:pPr>
            <w:r w:rsidRPr="00013C48">
              <w:rPr>
                <w:b/>
                <w:bCs/>
                <w:sz w:val="18"/>
                <w:szCs w:val="18"/>
                <w:lang w:val="ru-RU"/>
              </w:rPr>
              <w:t>Статус мер, принятых руководством, по оценке Государственной счетной палаты Италии</w:t>
            </w:r>
          </w:p>
        </w:tc>
      </w:tr>
      <w:tr w:rsidR="00941FC5" w:rsidRPr="00013C48" w:rsidTr="00B50CE5">
        <w:trPr>
          <w:cantSplit/>
          <w:jc w:val="center"/>
        </w:trPr>
        <w:tc>
          <w:tcPr>
            <w:tcW w:w="503"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b/>
                <w:bCs/>
                <w:sz w:val="18"/>
                <w:szCs w:val="18"/>
                <w:lang w:val="ru-RU"/>
              </w:rPr>
            </w:pPr>
            <w:r w:rsidRPr="00013C48">
              <w:rPr>
                <w:b/>
                <w:bCs/>
                <w:sz w:val="18"/>
                <w:szCs w:val="18"/>
                <w:lang w:val="ru-RU"/>
              </w:rPr>
              <w:t>Предл. 1/2014</w:t>
            </w:r>
          </w:p>
        </w:tc>
        <w:tc>
          <w:tcPr>
            <w:tcW w:w="1149"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b/>
                <w:bCs/>
                <w:sz w:val="18"/>
                <w:szCs w:val="18"/>
                <w:lang w:val="ru-RU"/>
              </w:rPr>
            </w:pPr>
            <w:r w:rsidRPr="00013C48">
              <w:rPr>
                <w:b/>
                <w:bCs/>
                <w:sz w:val="18"/>
                <w:szCs w:val="18"/>
                <w:lang w:val="ru-RU"/>
              </w:rPr>
              <w:t xml:space="preserve">Малоценные активы </w:t>
            </w:r>
          </w:p>
          <w:p w:rsidR="00941FC5" w:rsidRPr="00013C48" w:rsidRDefault="00941FC5" w:rsidP="00941FC5">
            <w:pPr>
              <w:spacing w:before="40" w:after="40"/>
              <w:rPr>
                <w:sz w:val="18"/>
                <w:szCs w:val="18"/>
                <w:lang w:val="ru-RU"/>
              </w:rPr>
            </w:pPr>
            <w:r w:rsidRPr="00013C48">
              <w:rPr>
                <w:sz w:val="18"/>
                <w:szCs w:val="18"/>
                <w:lang w:val="ru-RU"/>
              </w:rPr>
              <w:t>В связи с этим мы предлагаем руководству рассмотреть вопрос о пересмотре порогового уровня малоценных активов, в частности определить различные категории предметов и их амортизацию в соответствии с продолжительностью их полезного использования.</w:t>
            </w:r>
          </w:p>
        </w:tc>
        <w:tc>
          <w:tcPr>
            <w:tcW w:w="121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Данное предложение будет изучено с целью анализа последствий введения дифференцированных пороговых уровней в соответствии с категорией материальных активов. Следует отметить, что 15,2 млн. швейцарских франков составляют накопленную сумму малоценных активов, определяемую моделью материальных активов со времени введения </w:t>
            </w:r>
            <w:proofErr w:type="spellStart"/>
            <w:r w:rsidRPr="00013C48">
              <w:rPr>
                <w:sz w:val="18"/>
                <w:szCs w:val="18"/>
                <w:lang w:val="ru-RU"/>
              </w:rPr>
              <w:t>IPSAS</w:t>
            </w:r>
            <w:proofErr w:type="spellEnd"/>
            <w:r w:rsidRPr="00013C48">
              <w:rPr>
                <w:sz w:val="18"/>
                <w:szCs w:val="18"/>
                <w:lang w:val="ru-RU"/>
              </w:rPr>
              <w:t xml:space="preserve"> (включая остаток на момент, предшествовавший внедрению </w:t>
            </w:r>
            <w:proofErr w:type="spellStart"/>
            <w:r w:rsidRPr="00013C48">
              <w:rPr>
                <w:sz w:val="18"/>
                <w:szCs w:val="18"/>
                <w:lang w:val="ru-RU"/>
              </w:rPr>
              <w:t>IPSAS</w:t>
            </w:r>
            <w:proofErr w:type="spellEnd"/>
            <w:r w:rsidRPr="00013C48">
              <w:rPr>
                <w:sz w:val="18"/>
                <w:szCs w:val="18"/>
                <w:lang w:val="ru-RU"/>
              </w:rPr>
              <w:t>).</w:t>
            </w:r>
          </w:p>
        </w:tc>
        <w:tc>
          <w:tcPr>
            <w:tcW w:w="1264"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Выполнение этого предложения пока оценивается. </w:t>
            </w:r>
          </w:p>
        </w:tc>
        <w:tc>
          <w:tcPr>
            <w:tcW w:w="86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В процессе выполнения</w:t>
            </w:r>
            <w:r w:rsidR="008E0D64" w:rsidRPr="00013C48">
              <w:rPr>
                <w:sz w:val="18"/>
                <w:szCs w:val="18"/>
                <w:lang w:val="ru-RU"/>
              </w:rPr>
              <w:t>.</w:t>
            </w:r>
          </w:p>
        </w:tc>
      </w:tr>
      <w:tr w:rsidR="00941FC5" w:rsidRPr="00013C48" w:rsidTr="00B50CE5">
        <w:trPr>
          <w:cantSplit/>
          <w:jc w:val="center"/>
        </w:trPr>
        <w:tc>
          <w:tcPr>
            <w:tcW w:w="503"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b/>
                <w:bCs/>
                <w:sz w:val="18"/>
                <w:szCs w:val="18"/>
                <w:lang w:val="ru-RU"/>
              </w:rPr>
            </w:pPr>
            <w:r w:rsidRPr="00013C48">
              <w:rPr>
                <w:b/>
                <w:bCs/>
                <w:sz w:val="18"/>
                <w:szCs w:val="18"/>
                <w:lang w:val="ru-RU"/>
              </w:rPr>
              <w:t>Предл. 2/2014</w:t>
            </w:r>
          </w:p>
        </w:tc>
        <w:tc>
          <w:tcPr>
            <w:tcW w:w="1149"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Мы предлагаем руководству в конце 2015 г. рассмотреть вопрос о том, следует ли дополнительно пересмотреть некоторые допущения.</w:t>
            </w:r>
          </w:p>
        </w:tc>
        <w:tc>
          <w:tcPr>
            <w:tcW w:w="121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Данное предложение принято к сведению, и все допущения применительн</w:t>
            </w:r>
            <w:r w:rsidR="00AA4F19" w:rsidRPr="00013C48">
              <w:rPr>
                <w:sz w:val="18"/>
                <w:szCs w:val="18"/>
                <w:lang w:val="ru-RU"/>
              </w:rPr>
              <w:t>о к оценкам, относящимся к 2015 </w:t>
            </w:r>
            <w:r w:rsidRPr="00013C48">
              <w:rPr>
                <w:sz w:val="18"/>
                <w:szCs w:val="18"/>
                <w:lang w:val="ru-RU"/>
              </w:rPr>
              <w:t>финансовому году, будут надлежащим образом рассмотрены.</w:t>
            </w:r>
          </w:p>
        </w:tc>
        <w:tc>
          <w:tcPr>
            <w:tcW w:w="1264"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Допущения были пересмотрены с учетом также некоторых изменений в характеристиках сотрудников МСЭ, которые охватываются </w:t>
            </w:r>
            <w:proofErr w:type="spellStart"/>
            <w:r w:rsidRPr="00013C48">
              <w:rPr>
                <w:sz w:val="18"/>
                <w:szCs w:val="18"/>
                <w:lang w:val="ru-RU"/>
              </w:rPr>
              <w:t>ПКМС</w:t>
            </w:r>
            <w:proofErr w:type="spellEnd"/>
            <w:r w:rsidRPr="00013C48">
              <w:rPr>
                <w:sz w:val="18"/>
                <w:szCs w:val="18"/>
                <w:lang w:val="ru-RU"/>
              </w:rPr>
              <w:t xml:space="preserve">, в </w:t>
            </w:r>
            <w:proofErr w:type="gramStart"/>
            <w:r w:rsidRPr="00013C48">
              <w:rPr>
                <w:sz w:val="18"/>
                <w:szCs w:val="18"/>
                <w:lang w:val="ru-RU"/>
              </w:rPr>
              <w:t>том</w:t>
            </w:r>
            <w:proofErr w:type="gramEnd"/>
            <w:r w:rsidRPr="00013C48">
              <w:rPr>
                <w:sz w:val="18"/>
                <w:szCs w:val="18"/>
                <w:lang w:val="ru-RU"/>
              </w:rPr>
              <w:t xml:space="preserve"> что касается количества (меньшее число), возраста и других аспектов. Различные допущения приводятся в отчете компании </w:t>
            </w:r>
            <w:proofErr w:type="spellStart"/>
            <w:r w:rsidRPr="00013C48">
              <w:rPr>
                <w:sz w:val="18"/>
                <w:szCs w:val="18"/>
                <w:lang w:val="ru-RU"/>
              </w:rPr>
              <w:t>AON</w:t>
            </w:r>
            <w:proofErr w:type="spellEnd"/>
            <w:r w:rsidRPr="00013C48">
              <w:rPr>
                <w:sz w:val="18"/>
                <w:szCs w:val="18"/>
                <w:lang w:val="ru-RU"/>
              </w:rPr>
              <w:t>.</w:t>
            </w:r>
          </w:p>
        </w:tc>
        <w:tc>
          <w:tcPr>
            <w:tcW w:w="86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Выполнено</w:t>
            </w:r>
            <w:r w:rsidR="008E0D64" w:rsidRPr="00013C48">
              <w:rPr>
                <w:sz w:val="18"/>
                <w:szCs w:val="18"/>
                <w:lang w:val="ru-RU"/>
              </w:rPr>
              <w:t>.</w:t>
            </w:r>
          </w:p>
        </w:tc>
      </w:tr>
      <w:tr w:rsidR="00941FC5" w:rsidRPr="00013C48" w:rsidTr="00B50CE5">
        <w:trPr>
          <w:cantSplit/>
          <w:jc w:val="center"/>
        </w:trPr>
        <w:tc>
          <w:tcPr>
            <w:tcW w:w="503"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b/>
                <w:bCs/>
                <w:sz w:val="18"/>
                <w:szCs w:val="18"/>
                <w:lang w:val="ru-RU"/>
              </w:rPr>
            </w:pPr>
            <w:r w:rsidRPr="00013C48">
              <w:rPr>
                <w:b/>
                <w:bCs/>
                <w:sz w:val="18"/>
                <w:szCs w:val="18"/>
                <w:lang w:val="ru-RU"/>
              </w:rPr>
              <w:t>Предл. 3/2014</w:t>
            </w:r>
          </w:p>
        </w:tc>
        <w:tc>
          <w:tcPr>
            <w:tcW w:w="1149"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Мы предлагаем руководству, по мере необходимости, определить комплексный набор факторов и </w:t>
            </w:r>
            <w:proofErr w:type="spellStart"/>
            <w:r w:rsidRPr="00013C48">
              <w:rPr>
                <w:sz w:val="18"/>
                <w:szCs w:val="18"/>
                <w:lang w:val="ru-RU"/>
              </w:rPr>
              <w:t>субфакторов</w:t>
            </w:r>
            <w:proofErr w:type="spellEnd"/>
            <w:r w:rsidRPr="00013C48">
              <w:rPr>
                <w:sz w:val="18"/>
                <w:szCs w:val="18"/>
                <w:lang w:val="ru-RU"/>
              </w:rPr>
              <w:t xml:space="preserve"> и использовать наиболее подходящие факторы для эффективного мониторинга положения </w:t>
            </w:r>
            <w:proofErr w:type="spellStart"/>
            <w:r w:rsidRPr="00013C48">
              <w:rPr>
                <w:sz w:val="18"/>
                <w:szCs w:val="18"/>
                <w:lang w:val="ru-RU"/>
              </w:rPr>
              <w:t>АСХИ</w:t>
            </w:r>
            <w:proofErr w:type="spellEnd"/>
            <w:r w:rsidRPr="00013C48">
              <w:rPr>
                <w:sz w:val="18"/>
                <w:szCs w:val="18"/>
                <w:lang w:val="ru-RU"/>
              </w:rPr>
              <w:t xml:space="preserve"> и принятия по нему мер.</w:t>
            </w:r>
          </w:p>
        </w:tc>
        <w:tc>
          <w:tcPr>
            <w:tcW w:w="121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В настоящее время проводится мониторинг </w:t>
            </w:r>
            <w:proofErr w:type="spellStart"/>
            <w:r w:rsidRPr="00013C48">
              <w:rPr>
                <w:sz w:val="18"/>
                <w:szCs w:val="18"/>
                <w:lang w:val="ru-RU"/>
              </w:rPr>
              <w:t>ПКМС</w:t>
            </w:r>
            <w:proofErr w:type="spellEnd"/>
            <w:r w:rsidRPr="00013C48">
              <w:rPr>
                <w:sz w:val="18"/>
                <w:szCs w:val="18"/>
                <w:lang w:val="ru-RU"/>
              </w:rPr>
              <w:t xml:space="preserve"> с целью заблаговременного определения коррективов для обеспечения финансирования на основе оплаты по факту оказания услуг. Вышеупомянутые факторы принимаются во внимание для определения соответствующих коррективов. Обязательство по </w:t>
            </w:r>
            <w:proofErr w:type="spellStart"/>
            <w:r w:rsidRPr="00013C48">
              <w:rPr>
                <w:sz w:val="18"/>
                <w:szCs w:val="18"/>
                <w:lang w:val="ru-RU"/>
              </w:rPr>
              <w:t>АСХИ</w:t>
            </w:r>
            <w:proofErr w:type="spellEnd"/>
            <w:r w:rsidRPr="00013C48">
              <w:rPr>
                <w:sz w:val="18"/>
                <w:szCs w:val="18"/>
                <w:lang w:val="ru-RU"/>
              </w:rPr>
              <w:t xml:space="preserve"> будет финансироваться в соответствии с имеющимися ресурсами на долгосрочной основе, принимая во внимание бюджетные ограничения.</w:t>
            </w:r>
          </w:p>
        </w:tc>
        <w:tc>
          <w:tcPr>
            <w:tcW w:w="1264"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Руководство следует этому предложению; как только будет завершено полное актуарное исследование, его результаты будут учтены при определении надлежащих факторов для эффективного мониторинга положения </w:t>
            </w:r>
            <w:proofErr w:type="spellStart"/>
            <w:r w:rsidRPr="00013C48">
              <w:rPr>
                <w:sz w:val="18"/>
                <w:szCs w:val="18"/>
                <w:lang w:val="ru-RU"/>
              </w:rPr>
              <w:t>АСХИ</w:t>
            </w:r>
            <w:proofErr w:type="spellEnd"/>
            <w:r w:rsidRPr="00013C48">
              <w:rPr>
                <w:sz w:val="18"/>
                <w:szCs w:val="18"/>
                <w:lang w:val="ru-RU"/>
              </w:rPr>
              <w:t>.</w:t>
            </w:r>
          </w:p>
        </w:tc>
        <w:tc>
          <w:tcPr>
            <w:tcW w:w="86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В процессе выполнения</w:t>
            </w:r>
            <w:r w:rsidR="008E0D64" w:rsidRPr="00013C48">
              <w:rPr>
                <w:sz w:val="18"/>
                <w:szCs w:val="18"/>
                <w:lang w:val="ru-RU"/>
              </w:rPr>
              <w:t>.</w:t>
            </w:r>
          </w:p>
        </w:tc>
      </w:tr>
      <w:tr w:rsidR="00941FC5" w:rsidRPr="00013C48" w:rsidTr="00B50CE5">
        <w:trPr>
          <w:cantSplit/>
          <w:jc w:val="center"/>
        </w:trPr>
        <w:tc>
          <w:tcPr>
            <w:tcW w:w="503"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b/>
                <w:bCs/>
                <w:sz w:val="18"/>
                <w:szCs w:val="18"/>
                <w:lang w:val="ru-RU"/>
              </w:rPr>
            </w:pPr>
            <w:r w:rsidRPr="00013C48">
              <w:rPr>
                <w:b/>
                <w:bCs/>
                <w:sz w:val="18"/>
                <w:szCs w:val="18"/>
                <w:lang w:val="ru-RU"/>
              </w:rPr>
              <w:lastRenderedPageBreak/>
              <w:t>Предл. 4/2014</w:t>
            </w:r>
          </w:p>
        </w:tc>
        <w:tc>
          <w:tcPr>
            <w:tcW w:w="1149"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Мы предлагаем руководству начать проведение внутреннего анализа возможности дальнейшего расширения распространения путем увеличения числа торговых посредников в других регионах.</w:t>
            </w:r>
          </w:p>
        </w:tc>
        <w:tc>
          <w:tcPr>
            <w:tcW w:w="1217" w:type="pct"/>
            <w:tcBorders>
              <w:top w:val="single" w:sz="4" w:space="0" w:color="auto"/>
              <w:left w:val="single" w:sz="4" w:space="0" w:color="auto"/>
              <w:bottom w:val="single" w:sz="4" w:space="0" w:color="auto"/>
              <w:right w:val="single" w:sz="4" w:space="0" w:color="auto"/>
            </w:tcBorders>
          </w:tcPr>
          <w:p w:rsidR="00941FC5" w:rsidRPr="00013C48" w:rsidRDefault="00941FC5" w:rsidP="00AA4F19">
            <w:pPr>
              <w:spacing w:before="40" w:after="40"/>
              <w:rPr>
                <w:sz w:val="18"/>
                <w:szCs w:val="18"/>
                <w:lang w:val="ru-RU"/>
              </w:rPr>
            </w:pPr>
            <w:r w:rsidRPr="00013C48">
              <w:rPr>
                <w:sz w:val="18"/>
                <w:szCs w:val="18"/>
                <w:lang w:val="ru-RU"/>
              </w:rPr>
              <w:t>Привлечение новых торговых посредников</w:t>
            </w:r>
            <w:r w:rsidR="00AA4F19" w:rsidRPr="00013C48">
              <w:rPr>
                <w:sz w:val="18"/>
                <w:szCs w:val="18"/>
                <w:lang w:val="ru-RU"/>
              </w:rPr>
              <w:t> </w:t>
            </w:r>
            <w:r w:rsidRPr="00013C48">
              <w:rPr>
                <w:sz w:val="18"/>
                <w:szCs w:val="18"/>
                <w:lang w:val="ru-RU"/>
              </w:rPr>
              <w:t>– это постоянно ведущийся процесс, имеющий целью повышение доходов от продаж. За последние пять лет Отдел продаж и маркетинга привлек 26 новых торговых посредников (в 2010 г. их было 59). Мы продолжим поиск новых торговых посредников в регионах, которые в настоящее время обеспечены ими в недостаточной степени.</w:t>
            </w:r>
          </w:p>
        </w:tc>
        <w:tc>
          <w:tcPr>
            <w:tcW w:w="1264"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В 2015 г. добавилось еще пять торговых посредников, и в настоящее время мы пытаемся привлечь еще нескольких торговых посредников в Южной Америке, но довольно сложно заинтересовать новых агентов.</w:t>
            </w:r>
          </w:p>
        </w:tc>
        <w:tc>
          <w:tcPr>
            <w:tcW w:w="86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Выполнено</w:t>
            </w:r>
            <w:r w:rsidR="008E0D64" w:rsidRPr="00013C48">
              <w:rPr>
                <w:sz w:val="18"/>
                <w:szCs w:val="18"/>
                <w:lang w:val="ru-RU"/>
              </w:rPr>
              <w:t>.</w:t>
            </w:r>
          </w:p>
        </w:tc>
      </w:tr>
      <w:tr w:rsidR="00941FC5" w:rsidRPr="00013C48" w:rsidTr="00B50CE5">
        <w:trPr>
          <w:cantSplit/>
          <w:jc w:val="center"/>
        </w:trPr>
        <w:tc>
          <w:tcPr>
            <w:tcW w:w="503"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b/>
                <w:bCs/>
                <w:sz w:val="18"/>
                <w:szCs w:val="18"/>
                <w:lang w:val="ru-RU"/>
              </w:rPr>
            </w:pPr>
            <w:r w:rsidRPr="00013C48">
              <w:rPr>
                <w:b/>
                <w:bCs/>
                <w:sz w:val="18"/>
                <w:szCs w:val="18"/>
                <w:lang w:val="ru-RU"/>
              </w:rPr>
              <w:t>Предл. 5/2014</w:t>
            </w:r>
          </w:p>
        </w:tc>
        <w:tc>
          <w:tcPr>
            <w:tcW w:w="1149"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Как объяснило руководство, в рамках этой "политики возврата" доля выше 5% могла бы активизировать деятельность торговых посредников; ввиду этого мы предлагаем оценить, по окончании первого годового испытательного периода, оказывает ли политика 5% ожидаемое воздействие.</w:t>
            </w:r>
          </w:p>
        </w:tc>
        <w:tc>
          <w:tcPr>
            <w:tcW w:w="121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"Политика возврата" в отношении публикаций МСЭ была впервые введена в 2014 г. Коэффициент возврата намеренно был установлен на низком уровне 5%, чтобы свести к минимуму создание торговыми посредниками излишних запасов, что приводит к увеличению затрат МСЭ. Первые возвраты публикаций в апреле 2015 г. составляли всего около 1%, что отражает осторожный подход со стороны торговых посредников. Мы будем продолжать отслеживать возвраты в будущем и</w:t>
            </w:r>
            <w:r w:rsidR="00AA4F19" w:rsidRPr="00013C48">
              <w:rPr>
                <w:sz w:val="18"/>
                <w:szCs w:val="18"/>
                <w:lang w:val="ru-RU"/>
              </w:rPr>
              <w:t>,</w:t>
            </w:r>
            <w:r w:rsidRPr="00013C48">
              <w:rPr>
                <w:sz w:val="18"/>
                <w:szCs w:val="18"/>
                <w:lang w:val="ru-RU"/>
              </w:rPr>
              <w:t xml:space="preserve"> при необходимости</w:t>
            </w:r>
            <w:r w:rsidR="00AA4F19" w:rsidRPr="00013C48">
              <w:rPr>
                <w:sz w:val="18"/>
                <w:szCs w:val="18"/>
                <w:lang w:val="ru-RU"/>
              </w:rPr>
              <w:t>,</w:t>
            </w:r>
            <w:r w:rsidRPr="00013C48">
              <w:rPr>
                <w:sz w:val="18"/>
                <w:szCs w:val="18"/>
                <w:lang w:val="ru-RU"/>
              </w:rPr>
              <w:t xml:space="preserve"> будем постепенно увеличивать их долю.</w:t>
            </w:r>
          </w:p>
        </w:tc>
        <w:tc>
          <w:tcPr>
            <w:tcW w:w="1264"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По состоянию на конец 2015 г. мы все еще можем считать обоснованным процент возврата на уровне 5%; но мы продолжаем держать ситуацию под контролем и, при необходимости, готовы увеличить этот процент. </w:t>
            </w:r>
          </w:p>
        </w:tc>
        <w:tc>
          <w:tcPr>
            <w:tcW w:w="86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Выполнено</w:t>
            </w:r>
            <w:r w:rsidR="008E0D64" w:rsidRPr="00013C48">
              <w:rPr>
                <w:sz w:val="18"/>
                <w:szCs w:val="18"/>
                <w:lang w:val="ru-RU"/>
              </w:rPr>
              <w:t>.</w:t>
            </w:r>
          </w:p>
        </w:tc>
      </w:tr>
      <w:tr w:rsidR="00941FC5" w:rsidRPr="00013C48" w:rsidTr="00B50CE5">
        <w:trPr>
          <w:cantSplit/>
          <w:jc w:val="center"/>
        </w:trPr>
        <w:tc>
          <w:tcPr>
            <w:tcW w:w="503"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b/>
                <w:bCs/>
                <w:sz w:val="18"/>
                <w:szCs w:val="18"/>
                <w:lang w:val="ru-RU"/>
              </w:rPr>
            </w:pPr>
            <w:r w:rsidRPr="00013C48">
              <w:rPr>
                <w:b/>
                <w:bCs/>
                <w:sz w:val="18"/>
                <w:szCs w:val="18"/>
                <w:lang w:val="ru-RU"/>
              </w:rPr>
              <w:lastRenderedPageBreak/>
              <w:t>Предл. 6/2014</w:t>
            </w:r>
          </w:p>
        </w:tc>
        <w:tc>
          <w:tcPr>
            <w:tcW w:w="1149"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Мы предлагаем руководству следить за динамикой продаж бумажных экземпляров, чтобы располагать доводами для обоснования решений по дальнейшим действиям по этому вопросу.</w:t>
            </w:r>
          </w:p>
        </w:tc>
        <w:tc>
          <w:tcPr>
            <w:tcW w:w="121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Велось пристальное наблюдение за показателями продаж всех публикаций, к которым для широкой общественности был предоставлен бесплатный онлайновый доступ. Постоянно анализируется каждая публикация, с тем чтобы оценивать воздействие на доходы и обеспечивать нам возможность вносить коррективы. В настоящее время одной из таких публикаций является издание Регламента радиосвязи 2012 г., четырехгодичный жизненный цикл которого закончится в 2016 г., после чего мы оценим воздействие и примем соответствующие меры.</w:t>
            </w:r>
          </w:p>
        </w:tc>
        <w:tc>
          <w:tcPr>
            <w:tcW w:w="1264"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Мы точно знаем, сколько людей пользовались бесплатными загрузками, а также загружаемыми документами. Мы потеряли нескольких мелких покупателей, которые обычно приобретали только одну книгу, но продажи через торговых посредников возросли. </w:t>
            </w:r>
          </w:p>
          <w:p w:rsidR="00941FC5" w:rsidRPr="00013C48" w:rsidRDefault="00941FC5" w:rsidP="00941FC5">
            <w:pPr>
              <w:spacing w:before="40" w:after="40"/>
              <w:rPr>
                <w:sz w:val="18"/>
                <w:szCs w:val="18"/>
                <w:lang w:val="ru-RU"/>
              </w:rPr>
            </w:pPr>
            <w:r w:rsidRPr="00013C48">
              <w:rPr>
                <w:sz w:val="18"/>
                <w:szCs w:val="18"/>
                <w:lang w:val="ru-RU"/>
              </w:rPr>
              <w:t xml:space="preserve">Кроме того, мы ввели систему платных загрузок, которая дает возможность покупателям сэкономить по сравнению с приобретением бумажного экземпляра. Однако мы обнаружили, что, хотя электронные копии предлагаются со скидкой в 40%, многие покупатели по-прежнему предпочитают получить материальную копию в бумажном варианте или на </w:t>
            </w:r>
            <w:proofErr w:type="spellStart"/>
            <w:r w:rsidRPr="00013C48">
              <w:rPr>
                <w:sz w:val="18"/>
                <w:szCs w:val="18"/>
                <w:lang w:val="ru-RU"/>
              </w:rPr>
              <w:t>DVD</w:t>
            </w:r>
            <w:proofErr w:type="spellEnd"/>
            <w:r w:rsidRPr="00013C48">
              <w:rPr>
                <w:sz w:val="18"/>
                <w:szCs w:val="18"/>
                <w:lang w:val="ru-RU"/>
              </w:rPr>
              <w:t xml:space="preserve">. К счастью, </w:t>
            </w:r>
            <w:proofErr w:type="spellStart"/>
            <w:r w:rsidRPr="00013C48">
              <w:rPr>
                <w:sz w:val="18"/>
                <w:szCs w:val="18"/>
                <w:lang w:val="ru-RU"/>
              </w:rPr>
              <w:t>DVD</w:t>
            </w:r>
            <w:proofErr w:type="spellEnd"/>
            <w:r w:rsidRPr="00013C48">
              <w:rPr>
                <w:sz w:val="18"/>
                <w:szCs w:val="18"/>
                <w:lang w:val="ru-RU"/>
              </w:rPr>
              <w:t xml:space="preserve"> практически полностью заменили бумажные копии, что сокращает почтовые затраты и затраты по тиражированию и даже способствует охране окружающей среды. </w:t>
            </w:r>
          </w:p>
        </w:tc>
        <w:tc>
          <w:tcPr>
            <w:tcW w:w="86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Выполнено</w:t>
            </w:r>
            <w:r w:rsidR="008E0D64" w:rsidRPr="00013C48">
              <w:rPr>
                <w:sz w:val="18"/>
                <w:szCs w:val="18"/>
                <w:lang w:val="ru-RU"/>
              </w:rPr>
              <w:t>.</w:t>
            </w:r>
          </w:p>
        </w:tc>
      </w:tr>
      <w:tr w:rsidR="00941FC5" w:rsidRPr="00013C48" w:rsidTr="00B50CE5">
        <w:trPr>
          <w:jc w:val="center"/>
        </w:trPr>
        <w:tc>
          <w:tcPr>
            <w:tcW w:w="503"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b/>
                <w:bCs/>
                <w:sz w:val="18"/>
                <w:szCs w:val="18"/>
                <w:lang w:val="ru-RU"/>
              </w:rPr>
            </w:pPr>
            <w:r w:rsidRPr="00013C48">
              <w:rPr>
                <w:b/>
                <w:bCs/>
                <w:sz w:val="18"/>
                <w:szCs w:val="18"/>
                <w:lang w:val="ru-RU"/>
              </w:rPr>
              <w:t>Предл. 7/2014</w:t>
            </w:r>
          </w:p>
        </w:tc>
        <w:tc>
          <w:tcPr>
            <w:tcW w:w="1149"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Мы предлагаем руководству проанализировать последствия в отношении утраты соответствующего опыта, что может стать следствием быстрой ротации и ожидаемых случаев выхода на пенсию, а также установить стратегические приоритеты по кадровым потребностям в будущем в среднесрочной перспективе.</w:t>
            </w:r>
          </w:p>
        </w:tc>
        <w:tc>
          <w:tcPr>
            <w:tcW w:w="121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Руководство принимает данное предложение к сведению. Дополнительно будет введена в действие политика использования специальных соглашений об услугах, с тем чтобы обеспечить надлежащее использование рабочей силы в интересах Союза.</w:t>
            </w:r>
          </w:p>
        </w:tc>
        <w:tc>
          <w:tcPr>
            <w:tcW w:w="1264" w:type="pct"/>
            <w:tcBorders>
              <w:top w:val="single" w:sz="4" w:space="0" w:color="auto"/>
              <w:left w:val="single" w:sz="4" w:space="0" w:color="auto"/>
              <w:bottom w:val="single" w:sz="4" w:space="0" w:color="auto"/>
              <w:right w:val="single" w:sz="4" w:space="0" w:color="auto"/>
            </w:tcBorders>
          </w:tcPr>
          <w:p w:rsidR="00941FC5" w:rsidRPr="00013C48" w:rsidRDefault="00941FC5" w:rsidP="008E0D64">
            <w:pPr>
              <w:tabs>
                <w:tab w:val="left" w:pos="284"/>
              </w:tabs>
              <w:spacing w:before="40" w:after="40"/>
              <w:ind w:left="284" w:hanging="284"/>
              <w:rPr>
                <w:sz w:val="18"/>
                <w:szCs w:val="18"/>
                <w:lang w:val="ru-RU"/>
              </w:rPr>
            </w:pPr>
            <w:r w:rsidRPr="00013C48">
              <w:rPr>
                <w:sz w:val="18"/>
                <w:szCs w:val="18"/>
                <w:lang w:val="ru-RU"/>
              </w:rPr>
              <w:t>a)</w:t>
            </w:r>
            <w:r w:rsidRPr="00013C48">
              <w:rPr>
                <w:sz w:val="18"/>
                <w:szCs w:val="18"/>
                <w:lang w:val="ru-RU"/>
              </w:rPr>
              <w:tab/>
              <w:t>Все еще ведется работа по введению в действие политики использования специальных соглашений об услугах (</w:t>
            </w:r>
            <w:proofErr w:type="spellStart"/>
            <w:r w:rsidRPr="00013C48">
              <w:rPr>
                <w:sz w:val="18"/>
                <w:szCs w:val="18"/>
                <w:lang w:val="ru-RU"/>
              </w:rPr>
              <w:t>SSA</w:t>
            </w:r>
            <w:proofErr w:type="spellEnd"/>
            <w:r w:rsidRPr="00013C48">
              <w:rPr>
                <w:sz w:val="18"/>
                <w:szCs w:val="18"/>
                <w:lang w:val="ru-RU"/>
              </w:rPr>
              <w:t>). Новая политика будет</w:t>
            </w:r>
            <w:r w:rsidR="008E0D64" w:rsidRPr="00013C48">
              <w:rPr>
                <w:sz w:val="18"/>
                <w:szCs w:val="18"/>
                <w:lang w:val="ru-RU"/>
              </w:rPr>
              <w:t xml:space="preserve"> охватывать следующие элементы:</w:t>
            </w:r>
          </w:p>
          <w:p w:rsidR="00941FC5" w:rsidRPr="00013C48" w:rsidRDefault="008E0D64" w:rsidP="001767CE">
            <w:pPr>
              <w:tabs>
                <w:tab w:val="left" w:pos="567"/>
              </w:tabs>
              <w:spacing w:before="40" w:after="40"/>
              <w:ind w:left="568" w:hanging="284"/>
              <w:rPr>
                <w:sz w:val="18"/>
                <w:szCs w:val="18"/>
                <w:lang w:val="ru-RU"/>
              </w:rPr>
            </w:pPr>
            <w:r w:rsidRPr="00013C48">
              <w:rPr>
                <w:sz w:val="18"/>
                <w:szCs w:val="18"/>
                <w:lang w:val="ru-RU"/>
              </w:rPr>
              <w:t>−</w:t>
            </w:r>
            <w:r w:rsidR="00941FC5" w:rsidRPr="00013C48">
              <w:rPr>
                <w:sz w:val="18"/>
                <w:szCs w:val="18"/>
                <w:lang w:val="ru-RU"/>
              </w:rPr>
              <w:tab/>
              <w:t xml:space="preserve">пересмотренное определение работающих по </w:t>
            </w:r>
            <w:proofErr w:type="spellStart"/>
            <w:r w:rsidR="00941FC5" w:rsidRPr="00013C48">
              <w:rPr>
                <w:sz w:val="18"/>
                <w:szCs w:val="18"/>
                <w:lang w:val="ru-RU"/>
              </w:rPr>
              <w:t>SSA</w:t>
            </w:r>
            <w:proofErr w:type="spellEnd"/>
            <w:r w:rsidR="00941FC5" w:rsidRPr="00013C48">
              <w:rPr>
                <w:sz w:val="18"/>
                <w:szCs w:val="18"/>
                <w:lang w:val="ru-RU"/>
              </w:rPr>
              <w:t>;</w:t>
            </w:r>
          </w:p>
          <w:p w:rsidR="00941FC5" w:rsidRPr="00013C48" w:rsidRDefault="008E0D64" w:rsidP="00AA4F19">
            <w:pPr>
              <w:tabs>
                <w:tab w:val="left" w:pos="567"/>
              </w:tabs>
              <w:spacing w:before="40" w:after="40"/>
              <w:ind w:left="568" w:hanging="284"/>
              <w:rPr>
                <w:sz w:val="18"/>
                <w:szCs w:val="18"/>
                <w:lang w:val="ru-RU"/>
              </w:rPr>
            </w:pPr>
            <w:r w:rsidRPr="00013C48">
              <w:rPr>
                <w:sz w:val="18"/>
                <w:szCs w:val="18"/>
                <w:lang w:val="ru-RU"/>
              </w:rPr>
              <w:t>−</w:t>
            </w:r>
            <w:r w:rsidR="00941FC5" w:rsidRPr="00013C48">
              <w:rPr>
                <w:sz w:val="18"/>
                <w:szCs w:val="18"/>
                <w:lang w:val="ru-RU"/>
              </w:rPr>
              <w:tab/>
              <w:t xml:space="preserve">установление различных категорий задач, для выполнения которых могут быть выданы контракты </w:t>
            </w:r>
            <w:proofErr w:type="spellStart"/>
            <w:r w:rsidR="00941FC5" w:rsidRPr="00013C48">
              <w:rPr>
                <w:sz w:val="18"/>
                <w:szCs w:val="18"/>
                <w:lang w:val="ru-RU"/>
              </w:rPr>
              <w:t>SSA</w:t>
            </w:r>
            <w:proofErr w:type="spellEnd"/>
            <w:r w:rsidR="00941FC5" w:rsidRPr="00013C48">
              <w:rPr>
                <w:sz w:val="18"/>
                <w:szCs w:val="18"/>
                <w:lang w:val="ru-RU"/>
              </w:rPr>
              <w:t xml:space="preserve">, с учетом объема основных/неосновных функций, задач, связанных с проектами, и высокого уровня профессиональных знаний, </w:t>
            </w:r>
            <w:r w:rsidR="00941FC5" w:rsidRPr="00013C48">
              <w:rPr>
                <w:sz w:val="18"/>
                <w:szCs w:val="18"/>
                <w:lang w:val="ru-RU"/>
              </w:rPr>
              <w:lastRenderedPageBreak/>
              <w:t>необходимо</w:t>
            </w:r>
            <w:r w:rsidR="001767CE" w:rsidRPr="00013C48">
              <w:rPr>
                <w:sz w:val="18"/>
                <w:szCs w:val="18"/>
                <w:lang w:val="ru-RU"/>
              </w:rPr>
              <w:t>го для конкретных исследований;</w:t>
            </w:r>
          </w:p>
          <w:p w:rsidR="00941FC5" w:rsidRPr="00013C48" w:rsidRDefault="008E0D64" w:rsidP="001767CE">
            <w:pPr>
              <w:tabs>
                <w:tab w:val="left" w:pos="567"/>
              </w:tabs>
              <w:spacing w:before="40" w:after="40"/>
              <w:ind w:left="568" w:hanging="284"/>
              <w:rPr>
                <w:sz w:val="18"/>
                <w:szCs w:val="18"/>
                <w:lang w:val="ru-RU"/>
              </w:rPr>
            </w:pPr>
            <w:r w:rsidRPr="00013C48">
              <w:rPr>
                <w:sz w:val="18"/>
                <w:szCs w:val="18"/>
                <w:lang w:val="ru-RU"/>
              </w:rPr>
              <w:t>−</w:t>
            </w:r>
            <w:r w:rsidR="00941FC5" w:rsidRPr="00013C48">
              <w:rPr>
                <w:sz w:val="18"/>
                <w:szCs w:val="18"/>
                <w:lang w:val="ru-RU"/>
              </w:rPr>
              <w:tab/>
              <w:t xml:space="preserve">введение единого для всего Союза процесса </w:t>
            </w:r>
            <w:r w:rsidR="001767CE" w:rsidRPr="00013C48">
              <w:rPr>
                <w:sz w:val="18"/>
                <w:szCs w:val="18"/>
                <w:lang w:val="ru-RU"/>
              </w:rPr>
              <w:t>набора персонала;</w:t>
            </w:r>
          </w:p>
          <w:p w:rsidR="00941FC5" w:rsidRPr="00013C48" w:rsidRDefault="008E0D64" w:rsidP="001767CE">
            <w:pPr>
              <w:tabs>
                <w:tab w:val="left" w:pos="567"/>
              </w:tabs>
              <w:spacing w:before="40" w:after="40"/>
              <w:ind w:left="568" w:hanging="284"/>
              <w:rPr>
                <w:sz w:val="18"/>
                <w:szCs w:val="18"/>
                <w:lang w:val="ru-RU"/>
              </w:rPr>
            </w:pPr>
            <w:r w:rsidRPr="00013C48">
              <w:rPr>
                <w:sz w:val="18"/>
                <w:szCs w:val="18"/>
                <w:lang w:val="ru-RU"/>
              </w:rPr>
              <w:t>−</w:t>
            </w:r>
            <w:r w:rsidR="00941FC5" w:rsidRPr="00013C48">
              <w:rPr>
                <w:sz w:val="18"/>
                <w:szCs w:val="18"/>
                <w:lang w:val="ru-RU"/>
              </w:rPr>
              <w:tab/>
              <w:t>введение шкалы и диапазонов вознаграждений, охва</w:t>
            </w:r>
            <w:r w:rsidR="001767CE" w:rsidRPr="00013C48">
              <w:rPr>
                <w:sz w:val="18"/>
                <w:szCs w:val="18"/>
                <w:lang w:val="ru-RU"/>
              </w:rPr>
              <w:t>тывающих различные потребности;</w:t>
            </w:r>
          </w:p>
          <w:p w:rsidR="00941FC5" w:rsidRPr="00013C48" w:rsidRDefault="008E0D64" w:rsidP="001767CE">
            <w:pPr>
              <w:tabs>
                <w:tab w:val="left" w:pos="567"/>
              </w:tabs>
              <w:spacing w:before="40" w:after="40"/>
              <w:ind w:left="568" w:hanging="284"/>
              <w:rPr>
                <w:sz w:val="18"/>
                <w:szCs w:val="18"/>
                <w:lang w:val="ru-RU"/>
              </w:rPr>
            </w:pPr>
            <w:r w:rsidRPr="00013C48">
              <w:rPr>
                <w:sz w:val="18"/>
                <w:szCs w:val="18"/>
                <w:lang w:val="ru-RU"/>
              </w:rPr>
              <w:t>−</w:t>
            </w:r>
            <w:r w:rsidR="00941FC5" w:rsidRPr="00013C48">
              <w:rPr>
                <w:sz w:val="18"/>
                <w:szCs w:val="18"/>
                <w:lang w:val="ru-RU"/>
              </w:rPr>
              <w:tab/>
              <w:t>четкие руководящие указания по включени</w:t>
            </w:r>
            <w:r w:rsidR="001767CE" w:rsidRPr="00013C48">
              <w:rPr>
                <w:sz w:val="18"/>
                <w:szCs w:val="18"/>
                <w:lang w:val="ru-RU"/>
              </w:rPr>
              <w:t>ю установления временных рамок;</w:t>
            </w:r>
          </w:p>
          <w:p w:rsidR="00941FC5" w:rsidRPr="00013C48" w:rsidRDefault="008E0D64" w:rsidP="001767CE">
            <w:pPr>
              <w:tabs>
                <w:tab w:val="left" w:pos="567"/>
              </w:tabs>
              <w:spacing w:before="40" w:after="40"/>
              <w:ind w:left="568" w:hanging="284"/>
              <w:rPr>
                <w:sz w:val="18"/>
                <w:szCs w:val="18"/>
                <w:lang w:val="ru-RU"/>
              </w:rPr>
            </w:pPr>
            <w:r w:rsidRPr="00013C48">
              <w:rPr>
                <w:sz w:val="18"/>
                <w:szCs w:val="18"/>
                <w:lang w:val="ru-RU"/>
              </w:rPr>
              <w:t>−</w:t>
            </w:r>
            <w:r w:rsidR="00941FC5" w:rsidRPr="00013C48">
              <w:rPr>
                <w:sz w:val="18"/>
                <w:szCs w:val="18"/>
                <w:lang w:val="ru-RU"/>
              </w:rPr>
              <w:tab/>
              <w:t>четкие руководящие указания по продолжительности, включая ограничения и условия продления и возобновления таких контрактов;</w:t>
            </w:r>
          </w:p>
          <w:p w:rsidR="00941FC5" w:rsidRPr="00013C48" w:rsidRDefault="008E0D64" w:rsidP="001767CE">
            <w:pPr>
              <w:tabs>
                <w:tab w:val="left" w:pos="567"/>
              </w:tabs>
              <w:spacing w:before="40" w:after="40"/>
              <w:ind w:left="568" w:hanging="284"/>
              <w:rPr>
                <w:sz w:val="18"/>
                <w:szCs w:val="18"/>
                <w:lang w:val="ru-RU"/>
              </w:rPr>
            </w:pPr>
            <w:r w:rsidRPr="00013C48">
              <w:rPr>
                <w:sz w:val="18"/>
                <w:szCs w:val="18"/>
                <w:lang w:val="ru-RU"/>
              </w:rPr>
              <w:t>−</w:t>
            </w:r>
            <w:r w:rsidR="00941FC5" w:rsidRPr="00013C48">
              <w:rPr>
                <w:sz w:val="18"/>
                <w:szCs w:val="18"/>
                <w:lang w:val="ru-RU"/>
              </w:rPr>
              <w:tab/>
              <w:t>повторное определение соответствующих социальных пособий и других льгот (путевые затраты, суточные для нанятого на неместной основе персонала и др.);</w:t>
            </w:r>
          </w:p>
          <w:p w:rsidR="00941FC5" w:rsidRPr="00013C48" w:rsidRDefault="008E0D64" w:rsidP="001767CE">
            <w:pPr>
              <w:tabs>
                <w:tab w:val="left" w:pos="567"/>
              </w:tabs>
              <w:spacing w:before="40" w:after="40"/>
              <w:ind w:left="568" w:hanging="284"/>
              <w:rPr>
                <w:sz w:val="18"/>
                <w:szCs w:val="18"/>
                <w:lang w:val="ru-RU"/>
              </w:rPr>
            </w:pPr>
            <w:r w:rsidRPr="00013C48">
              <w:rPr>
                <w:sz w:val="18"/>
                <w:szCs w:val="18"/>
                <w:lang w:val="ru-RU"/>
              </w:rPr>
              <w:t>−</w:t>
            </w:r>
            <w:r w:rsidR="00941FC5" w:rsidRPr="00013C48">
              <w:rPr>
                <w:sz w:val="18"/>
                <w:szCs w:val="18"/>
                <w:lang w:val="ru-RU"/>
              </w:rPr>
              <w:tab/>
              <w:t xml:space="preserve">определение инструмента оценки результатов работы. </w:t>
            </w:r>
          </w:p>
          <w:p w:rsidR="00941FC5" w:rsidRPr="00013C48" w:rsidRDefault="00941FC5" w:rsidP="008E0D64">
            <w:pPr>
              <w:tabs>
                <w:tab w:val="left" w:pos="284"/>
              </w:tabs>
              <w:spacing w:before="40" w:after="40"/>
              <w:ind w:left="284" w:hanging="284"/>
              <w:rPr>
                <w:sz w:val="18"/>
                <w:szCs w:val="18"/>
                <w:lang w:val="ru-RU"/>
              </w:rPr>
            </w:pPr>
            <w:r w:rsidRPr="00013C48">
              <w:rPr>
                <w:sz w:val="18"/>
                <w:szCs w:val="18"/>
                <w:lang w:val="ru-RU"/>
              </w:rPr>
              <w:t>b)</w:t>
            </w:r>
            <w:r w:rsidRPr="00013C48">
              <w:rPr>
                <w:sz w:val="18"/>
                <w:szCs w:val="18"/>
                <w:lang w:val="ru-RU"/>
              </w:rPr>
              <w:tab/>
              <w:t xml:space="preserve">Кроме того, важно отметить, что помочь в сохранении постоянного персонала может привлечение практикантов и сотрудников с </w:t>
            </w:r>
            <w:proofErr w:type="spellStart"/>
            <w:r w:rsidRPr="00013C48">
              <w:rPr>
                <w:sz w:val="18"/>
                <w:szCs w:val="18"/>
                <w:lang w:val="ru-RU"/>
              </w:rPr>
              <w:t>SSA</w:t>
            </w:r>
            <w:proofErr w:type="spellEnd"/>
            <w:r w:rsidRPr="00013C48">
              <w:rPr>
                <w:sz w:val="18"/>
                <w:szCs w:val="18"/>
                <w:lang w:val="ru-RU"/>
              </w:rPr>
              <w:t xml:space="preserve">, работающих под контролем со стороны назначаемого персонала. </w:t>
            </w:r>
          </w:p>
        </w:tc>
        <w:tc>
          <w:tcPr>
            <w:tcW w:w="86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lastRenderedPageBreak/>
              <w:t>В процессе выполнения</w:t>
            </w:r>
            <w:r w:rsidR="008E0D64" w:rsidRPr="00013C48">
              <w:rPr>
                <w:sz w:val="18"/>
                <w:szCs w:val="18"/>
                <w:lang w:val="ru-RU"/>
              </w:rPr>
              <w:t>.</w:t>
            </w:r>
          </w:p>
        </w:tc>
      </w:tr>
      <w:tr w:rsidR="00941FC5" w:rsidRPr="00013C48" w:rsidTr="00B50CE5">
        <w:trPr>
          <w:cantSplit/>
          <w:jc w:val="center"/>
        </w:trPr>
        <w:tc>
          <w:tcPr>
            <w:tcW w:w="503"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b/>
                <w:bCs/>
                <w:sz w:val="18"/>
                <w:szCs w:val="18"/>
                <w:lang w:val="ru-RU"/>
              </w:rPr>
            </w:pPr>
            <w:r w:rsidRPr="00013C48">
              <w:rPr>
                <w:b/>
                <w:bCs/>
                <w:sz w:val="18"/>
                <w:szCs w:val="18"/>
                <w:lang w:val="ru-RU"/>
              </w:rPr>
              <w:lastRenderedPageBreak/>
              <w:t>Предл. 2/2013</w:t>
            </w:r>
          </w:p>
        </w:tc>
        <w:tc>
          <w:tcPr>
            <w:tcW w:w="1149"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В </w:t>
            </w:r>
            <w:proofErr w:type="gramStart"/>
            <w:r w:rsidRPr="00013C48">
              <w:rPr>
                <w:sz w:val="18"/>
                <w:szCs w:val="18"/>
                <w:lang w:val="ru-RU"/>
              </w:rPr>
              <w:t>том</w:t>
            </w:r>
            <w:proofErr w:type="gramEnd"/>
            <w:r w:rsidRPr="00013C48">
              <w:rPr>
                <w:sz w:val="18"/>
                <w:szCs w:val="18"/>
                <w:lang w:val="ru-RU"/>
              </w:rPr>
              <w:t xml:space="preserve"> что касается возмещения расходов на медицинские услуги, мы предлагаем руководству провести исследование для оценки воздействия существенного сокращения услуг, которые не относятся строго к здравоохранению.</w:t>
            </w:r>
          </w:p>
        </w:tc>
        <w:tc>
          <w:tcPr>
            <w:tcW w:w="121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Принимаю к сведению это предложение и информирую вас о том, что руководство проведет указанное исследование вместе с новым </w:t>
            </w:r>
            <w:proofErr w:type="spellStart"/>
            <w:r w:rsidRPr="00013C48">
              <w:rPr>
                <w:sz w:val="18"/>
                <w:szCs w:val="18"/>
                <w:lang w:val="ru-RU"/>
              </w:rPr>
              <w:t>претензионистом</w:t>
            </w:r>
            <w:proofErr w:type="spellEnd"/>
            <w:r w:rsidRPr="00013C48">
              <w:rPr>
                <w:sz w:val="18"/>
                <w:szCs w:val="18"/>
                <w:lang w:val="ru-RU"/>
              </w:rPr>
              <w:t>.</w:t>
            </w:r>
          </w:p>
        </w:tc>
        <w:tc>
          <w:tcPr>
            <w:tcW w:w="1264"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Новый план медицинского страхования введен в действие менее года назад, и осуществляется его тщательный контроль, с тем чтобы провести анализ первых последствий внедрения </w:t>
            </w:r>
            <w:proofErr w:type="spellStart"/>
            <w:r w:rsidRPr="00013C48">
              <w:rPr>
                <w:sz w:val="18"/>
                <w:szCs w:val="18"/>
                <w:lang w:val="ru-RU"/>
              </w:rPr>
              <w:t>ПКМС</w:t>
            </w:r>
            <w:proofErr w:type="spellEnd"/>
            <w:r w:rsidRPr="00013C48">
              <w:rPr>
                <w:sz w:val="18"/>
                <w:szCs w:val="18"/>
                <w:lang w:val="ru-RU"/>
              </w:rPr>
              <w:t xml:space="preserve">. На текущий момент введена вычитаемая франшиза, а также более жесткое сдерживание затрат. В соответствии с ходом выполнения плана будут рассматриваться и внедряться дальнейшие меры контроля затрат. </w:t>
            </w:r>
          </w:p>
          <w:p w:rsidR="00941FC5" w:rsidRPr="00013C48" w:rsidRDefault="00941FC5" w:rsidP="009A6EB5">
            <w:pPr>
              <w:spacing w:before="40" w:after="40"/>
              <w:rPr>
                <w:sz w:val="18"/>
                <w:szCs w:val="18"/>
                <w:lang w:val="ru-RU"/>
              </w:rPr>
            </w:pPr>
            <w:r w:rsidRPr="00013C48">
              <w:rPr>
                <w:b/>
                <w:bCs/>
                <w:sz w:val="18"/>
                <w:szCs w:val="18"/>
                <w:lang w:val="ru-RU"/>
              </w:rPr>
              <w:t>Обновление по состоянию на 31 декабря 2015 г.</w:t>
            </w:r>
            <w:r w:rsidRPr="00013C48">
              <w:rPr>
                <w:sz w:val="18"/>
                <w:szCs w:val="18"/>
                <w:lang w:val="ru-RU"/>
              </w:rPr>
              <w:t xml:space="preserve">: На регулярной основе проводятся собрания Комитета управления для изучения других мер по сдерживанию затрат. Финансовое положение Плана находится под постоянным контролем. </w:t>
            </w:r>
          </w:p>
        </w:tc>
        <w:tc>
          <w:tcPr>
            <w:tcW w:w="86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Выполнено.</w:t>
            </w:r>
          </w:p>
          <w:p w:rsidR="009A6EB5" w:rsidRPr="00013C48" w:rsidRDefault="009A6EB5" w:rsidP="00941FC5">
            <w:pPr>
              <w:spacing w:before="40" w:after="40"/>
              <w:rPr>
                <w:sz w:val="18"/>
                <w:szCs w:val="18"/>
                <w:lang w:val="ru-RU"/>
              </w:rPr>
            </w:pPr>
          </w:p>
          <w:p w:rsidR="00941FC5" w:rsidRPr="00013C48" w:rsidRDefault="00941FC5" w:rsidP="00941FC5">
            <w:pPr>
              <w:spacing w:before="40" w:after="40"/>
              <w:rPr>
                <w:sz w:val="18"/>
                <w:szCs w:val="18"/>
                <w:lang w:val="ru-RU"/>
              </w:rPr>
            </w:pPr>
            <w:r w:rsidRPr="00013C48">
              <w:rPr>
                <w:sz w:val="18"/>
                <w:szCs w:val="18"/>
                <w:lang w:val="ru-RU"/>
              </w:rPr>
              <w:t xml:space="preserve">Это предложение будет отслеживаться в рамках наших будущих аудиторских проверок. </w:t>
            </w:r>
          </w:p>
        </w:tc>
      </w:tr>
      <w:tr w:rsidR="00941FC5" w:rsidRPr="00013C48" w:rsidTr="00B50CE5">
        <w:trPr>
          <w:cantSplit/>
          <w:jc w:val="center"/>
        </w:trPr>
        <w:tc>
          <w:tcPr>
            <w:tcW w:w="503"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b/>
                <w:bCs/>
                <w:sz w:val="18"/>
                <w:szCs w:val="18"/>
                <w:lang w:val="ru-RU"/>
              </w:rPr>
            </w:pPr>
            <w:r w:rsidRPr="00013C48">
              <w:rPr>
                <w:b/>
                <w:bCs/>
                <w:sz w:val="18"/>
                <w:szCs w:val="18"/>
                <w:lang w:val="ru-RU"/>
              </w:rPr>
              <w:t>Предл. 3/2013</w:t>
            </w:r>
          </w:p>
        </w:tc>
        <w:tc>
          <w:tcPr>
            <w:tcW w:w="1149"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Мы предлагаем руководству, без снижения качества медицинского обслуживания, рассмотреть верхний предел издержек на медицинские услуги, сопоставляя их с разумными и обычными расходами, с тем чтобы обеспечить устойчивость затрат при новой схеме.</w:t>
            </w:r>
          </w:p>
        </w:tc>
        <w:tc>
          <w:tcPr>
            <w:tcW w:w="121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Принимаю к сведению это предложение и информирую вас о том, что руководство изучит вместе с новым </w:t>
            </w:r>
            <w:proofErr w:type="spellStart"/>
            <w:r w:rsidRPr="00013C48">
              <w:rPr>
                <w:sz w:val="18"/>
                <w:szCs w:val="18"/>
                <w:lang w:val="ru-RU"/>
              </w:rPr>
              <w:t>претензионистом</w:t>
            </w:r>
            <w:proofErr w:type="spellEnd"/>
            <w:r w:rsidRPr="00013C48">
              <w:rPr>
                <w:sz w:val="18"/>
                <w:szCs w:val="18"/>
                <w:lang w:val="ru-RU"/>
              </w:rPr>
              <w:t xml:space="preserve"> подходящие варианты для верхнего предела.</w:t>
            </w:r>
          </w:p>
        </w:tc>
        <w:tc>
          <w:tcPr>
            <w:tcW w:w="1264"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Новый план медицинского страхования введен в действие менее года назад, и осуществляется его тщательный контроль, с тем чтобы провести анализ первых последствий внедрения </w:t>
            </w:r>
            <w:proofErr w:type="spellStart"/>
            <w:r w:rsidRPr="00013C48">
              <w:rPr>
                <w:sz w:val="18"/>
                <w:szCs w:val="18"/>
                <w:lang w:val="ru-RU"/>
              </w:rPr>
              <w:t>ПКМС</w:t>
            </w:r>
            <w:proofErr w:type="spellEnd"/>
            <w:r w:rsidRPr="00013C48">
              <w:rPr>
                <w:sz w:val="18"/>
                <w:szCs w:val="18"/>
                <w:lang w:val="ru-RU"/>
              </w:rPr>
              <w:t>. На текущий момент введена вычитаемая франшиза, а также более жесткое сдерживание затрат. В соответствии с ходом выполнения плана будут рассматриваться и внедряться дальнейшие меры контроля затрат.</w:t>
            </w:r>
          </w:p>
          <w:p w:rsidR="00941FC5" w:rsidRPr="00013C48" w:rsidRDefault="00941FC5" w:rsidP="009A6EB5">
            <w:pPr>
              <w:spacing w:before="40" w:after="40"/>
              <w:rPr>
                <w:sz w:val="18"/>
                <w:szCs w:val="18"/>
                <w:lang w:val="ru-RU"/>
              </w:rPr>
            </w:pPr>
            <w:r w:rsidRPr="00013C48">
              <w:rPr>
                <w:b/>
                <w:bCs/>
                <w:sz w:val="18"/>
                <w:szCs w:val="18"/>
                <w:lang w:val="ru-RU"/>
              </w:rPr>
              <w:t>Обновление по состоянию на 31 декабря 2015 г.</w:t>
            </w:r>
            <w:r w:rsidRPr="00013C48">
              <w:rPr>
                <w:sz w:val="18"/>
                <w:szCs w:val="18"/>
                <w:lang w:val="ru-RU"/>
              </w:rPr>
              <w:t>: На регулярной основе проводятся собрания Комитета управления для изучения других мер по сдерживанию затрат. Финансовое положение Плана находится под постоянным контролем.</w:t>
            </w:r>
          </w:p>
        </w:tc>
        <w:tc>
          <w:tcPr>
            <w:tcW w:w="86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Выполнено.</w:t>
            </w:r>
          </w:p>
          <w:p w:rsidR="009A6EB5" w:rsidRPr="00013C48" w:rsidRDefault="009A6EB5" w:rsidP="00941FC5">
            <w:pPr>
              <w:spacing w:before="40" w:after="40"/>
              <w:rPr>
                <w:sz w:val="18"/>
                <w:szCs w:val="18"/>
                <w:lang w:val="ru-RU"/>
              </w:rPr>
            </w:pPr>
          </w:p>
          <w:p w:rsidR="00941FC5" w:rsidRPr="00013C48" w:rsidRDefault="00941FC5" w:rsidP="001767CE">
            <w:pPr>
              <w:spacing w:before="40" w:after="40"/>
              <w:rPr>
                <w:sz w:val="18"/>
                <w:szCs w:val="18"/>
                <w:lang w:val="ru-RU"/>
              </w:rPr>
            </w:pPr>
            <w:r w:rsidRPr="00013C48">
              <w:rPr>
                <w:sz w:val="18"/>
                <w:szCs w:val="18"/>
                <w:lang w:val="ru-RU"/>
              </w:rPr>
              <w:t>Это предложение будет отслеживаться в рамках наших будущих аудиторских проверок.</w:t>
            </w:r>
          </w:p>
        </w:tc>
      </w:tr>
      <w:tr w:rsidR="00941FC5" w:rsidRPr="00013C48" w:rsidTr="00B50CE5">
        <w:trPr>
          <w:cantSplit/>
          <w:jc w:val="center"/>
        </w:trPr>
        <w:tc>
          <w:tcPr>
            <w:tcW w:w="503"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b/>
                <w:bCs/>
                <w:sz w:val="18"/>
                <w:szCs w:val="18"/>
                <w:lang w:val="ru-RU"/>
              </w:rPr>
            </w:pPr>
            <w:r w:rsidRPr="00013C48">
              <w:rPr>
                <w:b/>
                <w:bCs/>
                <w:sz w:val="18"/>
                <w:szCs w:val="18"/>
                <w:lang w:val="ru-RU"/>
              </w:rPr>
              <w:lastRenderedPageBreak/>
              <w:t>Предл. 5/2013</w:t>
            </w:r>
          </w:p>
        </w:tc>
        <w:tc>
          <w:tcPr>
            <w:tcW w:w="1149"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Мы предлагаем </w:t>
            </w:r>
            <w:proofErr w:type="spellStart"/>
            <w:r w:rsidRPr="00013C48">
              <w:rPr>
                <w:sz w:val="18"/>
                <w:szCs w:val="18"/>
                <w:lang w:val="ru-RU"/>
              </w:rPr>
              <w:t>IAU</w:t>
            </w:r>
            <w:proofErr w:type="spellEnd"/>
            <w:r w:rsidRPr="00013C48">
              <w:rPr>
                <w:sz w:val="18"/>
                <w:szCs w:val="18"/>
                <w:lang w:val="ru-RU"/>
              </w:rPr>
              <w:t xml:space="preserve"> принять план аудита, рассчитанный на несколько лет, со скользящим циклом на основе </w:t>
            </w:r>
            <w:proofErr w:type="gramStart"/>
            <w:r w:rsidRPr="00013C48">
              <w:rPr>
                <w:sz w:val="18"/>
                <w:szCs w:val="18"/>
                <w:lang w:val="ru-RU"/>
              </w:rPr>
              <w:t>деятельности</w:t>
            </w:r>
            <w:proofErr w:type="gramEnd"/>
            <w:r w:rsidRPr="00013C48">
              <w:rPr>
                <w:sz w:val="18"/>
                <w:szCs w:val="18"/>
                <w:lang w:val="ru-RU"/>
              </w:rPr>
              <w:t xml:space="preserve"> по оценке рисков.</w:t>
            </w:r>
          </w:p>
        </w:tc>
        <w:tc>
          <w:tcPr>
            <w:tcW w:w="121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Подразделение внутреннего аудита будет стремиться расширить планирование аудита на несколько лет. </w:t>
            </w:r>
          </w:p>
        </w:tc>
        <w:tc>
          <w:tcPr>
            <w:tcW w:w="1264" w:type="pct"/>
            <w:tcBorders>
              <w:top w:val="single" w:sz="4" w:space="0" w:color="auto"/>
              <w:left w:val="single" w:sz="4" w:space="0" w:color="auto"/>
              <w:bottom w:val="single" w:sz="4" w:space="0" w:color="auto"/>
              <w:right w:val="single" w:sz="4" w:space="0" w:color="auto"/>
            </w:tcBorders>
          </w:tcPr>
          <w:p w:rsidR="00941FC5" w:rsidRPr="00013C48" w:rsidRDefault="00941FC5" w:rsidP="004B3F98">
            <w:pPr>
              <w:spacing w:before="40" w:after="40"/>
              <w:rPr>
                <w:sz w:val="18"/>
                <w:szCs w:val="18"/>
                <w:lang w:val="ru-RU"/>
              </w:rPr>
            </w:pPr>
            <w:r w:rsidRPr="00013C48">
              <w:rPr>
                <w:sz w:val="18"/>
                <w:szCs w:val="18"/>
                <w:lang w:val="ru-RU"/>
              </w:rPr>
              <w:t xml:space="preserve">Февраль 2015 г.: </w:t>
            </w:r>
            <w:r w:rsidRPr="00013C48">
              <w:rPr>
                <w:sz w:val="18"/>
                <w:szCs w:val="18"/>
                <w:u w:val="single"/>
                <w:lang w:val="ru-RU"/>
              </w:rPr>
              <w:t>выполняется</w:t>
            </w:r>
            <w:r w:rsidRPr="00013C48">
              <w:rPr>
                <w:sz w:val="18"/>
                <w:szCs w:val="18"/>
                <w:lang w:val="ru-RU"/>
              </w:rPr>
              <w:t xml:space="preserve"> – план аудито</w:t>
            </w:r>
            <w:r w:rsidR="004B3F98" w:rsidRPr="00013C48">
              <w:rPr>
                <w:sz w:val="18"/>
                <w:szCs w:val="18"/>
                <w:lang w:val="ru-RU"/>
              </w:rPr>
              <w:t>рской проверки 2015 г.</w:t>
            </w:r>
            <w:r w:rsidRPr="00013C48">
              <w:rPr>
                <w:sz w:val="18"/>
                <w:szCs w:val="18"/>
                <w:lang w:val="ru-RU"/>
              </w:rPr>
              <w:t xml:space="preserve"> содержит три элемента рисков и также затрагивает позиции среднесрочного планирования. </w:t>
            </w:r>
          </w:p>
          <w:p w:rsidR="00941FC5" w:rsidRPr="00013C48" w:rsidRDefault="00941FC5" w:rsidP="009A6EB5">
            <w:pPr>
              <w:spacing w:before="40" w:after="40"/>
              <w:rPr>
                <w:sz w:val="18"/>
                <w:szCs w:val="18"/>
                <w:lang w:val="ru-RU"/>
              </w:rPr>
            </w:pPr>
            <w:r w:rsidRPr="00013C48">
              <w:rPr>
                <w:b/>
                <w:bCs/>
                <w:sz w:val="18"/>
                <w:szCs w:val="18"/>
                <w:lang w:val="ru-RU"/>
              </w:rPr>
              <w:t>Обновление по состоянию на 31 марта 2016</w:t>
            </w:r>
            <w:r w:rsidR="004B3F98" w:rsidRPr="00013C48">
              <w:rPr>
                <w:b/>
                <w:bCs/>
                <w:sz w:val="18"/>
                <w:szCs w:val="18"/>
                <w:lang w:val="ru-RU"/>
              </w:rPr>
              <w:t> </w:t>
            </w:r>
            <w:r w:rsidRPr="00013C48">
              <w:rPr>
                <w:b/>
                <w:bCs/>
                <w:sz w:val="18"/>
                <w:szCs w:val="18"/>
                <w:lang w:val="ru-RU"/>
              </w:rPr>
              <w:t>г.</w:t>
            </w:r>
            <w:r w:rsidRPr="00013C48">
              <w:rPr>
                <w:sz w:val="18"/>
                <w:szCs w:val="18"/>
                <w:lang w:val="ru-RU"/>
              </w:rPr>
              <w:t>:</w:t>
            </w:r>
            <w:r w:rsidR="009A6EB5" w:rsidRPr="00013C48">
              <w:rPr>
                <w:sz w:val="18"/>
                <w:szCs w:val="18"/>
                <w:lang w:val="ru-RU"/>
              </w:rPr>
              <w:t xml:space="preserve"> </w:t>
            </w:r>
            <w:r w:rsidRPr="00013C48">
              <w:rPr>
                <w:sz w:val="18"/>
                <w:szCs w:val="18"/>
                <w:lang w:val="ru-RU"/>
              </w:rPr>
              <w:t>План аудиторской проверки 2016 г</w:t>
            </w:r>
            <w:r w:rsidR="004B3F98" w:rsidRPr="00013C48">
              <w:rPr>
                <w:sz w:val="18"/>
                <w:szCs w:val="18"/>
                <w:lang w:val="ru-RU"/>
              </w:rPr>
              <w:t>.</w:t>
            </w:r>
            <w:r w:rsidRPr="00013C48">
              <w:rPr>
                <w:sz w:val="18"/>
                <w:szCs w:val="18"/>
                <w:lang w:val="ru-RU"/>
              </w:rPr>
              <w:t xml:space="preserve"> основан на оценке рисков и содержит также элементы для определения крупных среднесрочных рисков, которые будут охватываться аудиторскими проверками. </w:t>
            </w:r>
          </w:p>
        </w:tc>
        <w:tc>
          <w:tcPr>
            <w:tcW w:w="86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Выполнено</w:t>
            </w:r>
            <w:r w:rsidR="001767CE" w:rsidRPr="00013C48">
              <w:rPr>
                <w:sz w:val="18"/>
                <w:szCs w:val="18"/>
                <w:lang w:val="ru-RU"/>
              </w:rPr>
              <w:t>.</w:t>
            </w:r>
          </w:p>
        </w:tc>
      </w:tr>
      <w:tr w:rsidR="00941FC5" w:rsidRPr="00013C48" w:rsidTr="00B50CE5">
        <w:trPr>
          <w:cantSplit/>
          <w:jc w:val="center"/>
        </w:trPr>
        <w:tc>
          <w:tcPr>
            <w:tcW w:w="503"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b/>
                <w:bCs/>
                <w:sz w:val="18"/>
                <w:szCs w:val="18"/>
                <w:lang w:val="ru-RU"/>
              </w:rPr>
            </w:pPr>
            <w:r w:rsidRPr="00013C48">
              <w:rPr>
                <w:b/>
                <w:bCs/>
                <w:sz w:val="18"/>
                <w:szCs w:val="18"/>
                <w:lang w:val="ru-RU"/>
              </w:rPr>
              <w:t>Предл. 6/2013</w:t>
            </w:r>
          </w:p>
        </w:tc>
        <w:tc>
          <w:tcPr>
            <w:tcW w:w="1149"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Согласно нашей предыдущей рекомендации 5, увязка деятельности с рисками является, по нашему мнению, важной. Хотя мы заметили, что в </w:t>
            </w:r>
            <w:proofErr w:type="spellStart"/>
            <w:r w:rsidRPr="00013C48">
              <w:rPr>
                <w:sz w:val="18"/>
                <w:szCs w:val="18"/>
                <w:lang w:val="ru-RU"/>
              </w:rPr>
              <w:t>AWP</w:t>
            </w:r>
            <w:proofErr w:type="spellEnd"/>
            <w:r w:rsidRPr="00013C48">
              <w:rPr>
                <w:sz w:val="18"/>
                <w:szCs w:val="18"/>
                <w:lang w:val="ru-RU"/>
              </w:rPr>
              <w:t xml:space="preserve"> 2014 г. запланировано проведение большего количества аудиторских проверок на уровне штаб-квартиры, мы предлагаем </w:t>
            </w:r>
            <w:proofErr w:type="spellStart"/>
            <w:r w:rsidRPr="00013C48">
              <w:rPr>
                <w:sz w:val="18"/>
                <w:szCs w:val="18"/>
                <w:lang w:val="ru-RU"/>
              </w:rPr>
              <w:t>IAU</w:t>
            </w:r>
            <w:proofErr w:type="spellEnd"/>
            <w:r w:rsidRPr="00013C48">
              <w:rPr>
                <w:sz w:val="18"/>
                <w:szCs w:val="18"/>
                <w:lang w:val="ru-RU"/>
              </w:rPr>
              <w:t xml:space="preserve"> уточнить для Генерального секретаря и </w:t>
            </w:r>
            <w:proofErr w:type="spellStart"/>
            <w:r w:rsidRPr="00013C48">
              <w:rPr>
                <w:sz w:val="18"/>
                <w:szCs w:val="18"/>
                <w:lang w:val="ru-RU"/>
              </w:rPr>
              <w:t>IMAC</w:t>
            </w:r>
            <w:proofErr w:type="spellEnd"/>
            <w:r w:rsidRPr="00013C48">
              <w:rPr>
                <w:sz w:val="18"/>
                <w:szCs w:val="18"/>
                <w:lang w:val="ru-RU"/>
              </w:rPr>
              <w:t xml:space="preserve"> при утверждении </w:t>
            </w:r>
            <w:proofErr w:type="spellStart"/>
            <w:r w:rsidRPr="00013C48">
              <w:rPr>
                <w:sz w:val="18"/>
                <w:szCs w:val="18"/>
                <w:lang w:val="ru-RU"/>
              </w:rPr>
              <w:t>AWP</w:t>
            </w:r>
            <w:proofErr w:type="spellEnd"/>
            <w:r w:rsidRPr="00013C48">
              <w:rPr>
                <w:sz w:val="18"/>
                <w:szCs w:val="18"/>
                <w:lang w:val="ru-RU"/>
              </w:rPr>
              <w:t>, является ли количество запланированных аудиторских проверок достаточным для охвата основных установленных рисков.</w:t>
            </w:r>
          </w:p>
        </w:tc>
        <w:tc>
          <w:tcPr>
            <w:tcW w:w="121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Подразделению внутреннего аудита будет поставлена задача сообщать Генеральному секретарю и </w:t>
            </w:r>
            <w:proofErr w:type="spellStart"/>
            <w:r w:rsidRPr="00013C48">
              <w:rPr>
                <w:sz w:val="18"/>
                <w:szCs w:val="18"/>
                <w:lang w:val="ru-RU"/>
              </w:rPr>
              <w:t>IMAC</w:t>
            </w:r>
            <w:proofErr w:type="spellEnd"/>
            <w:r w:rsidRPr="00013C48">
              <w:rPr>
                <w:sz w:val="18"/>
                <w:szCs w:val="18"/>
                <w:lang w:val="ru-RU"/>
              </w:rPr>
              <w:t>, были ли установлены какие-либо пробелы в сфере охвата аудита.</w:t>
            </w:r>
          </w:p>
        </w:tc>
        <w:tc>
          <w:tcPr>
            <w:tcW w:w="1264" w:type="pct"/>
            <w:tcBorders>
              <w:top w:val="single" w:sz="4" w:space="0" w:color="auto"/>
              <w:left w:val="single" w:sz="4" w:space="0" w:color="auto"/>
              <w:bottom w:val="single" w:sz="4" w:space="0" w:color="auto"/>
              <w:right w:val="single" w:sz="4" w:space="0" w:color="auto"/>
            </w:tcBorders>
          </w:tcPr>
          <w:p w:rsidR="00941FC5" w:rsidRPr="00013C48" w:rsidRDefault="00941FC5" w:rsidP="004B3F98">
            <w:pPr>
              <w:spacing w:before="40" w:after="40"/>
              <w:rPr>
                <w:sz w:val="18"/>
                <w:szCs w:val="18"/>
                <w:lang w:val="ru-RU"/>
              </w:rPr>
            </w:pPr>
            <w:r w:rsidRPr="00013C48">
              <w:rPr>
                <w:sz w:val="18"/>
                <w:szCs w:val="18"/>
                <w:lang w:val="ru-RU"/>
              </w:rPr>
              <w:t xml:space="preserve">Февраль 2015 г.: </w:t>
            </w:r>
            <w:r w:rsidRPr="00013C48">
              <w:rPr>
                <w:sz w:val="18"/>
                <w:szCs w:val="18"/>
                <w:u w:val="single"/>
                <w:lang w:val="ru-RU"/>
              </w:rPr>
              <w:t>в ожидании</w:t>
            </w:r>
            <w:r w:rsidRPr="00013C48">
              <w:rPr>
                <w:sz w:val="18"/>
                <w:szCs w:val="18"/>
                <w:lang w:val="ru-RU"/>
              </w:rPr>
              <w:t xml:space="preserve"> – дальнейшая работа будет выполняться для плана аудиторской проверки 2016 г.</w:t>
            </w:r>
          </w:p>
          <w:p w:rsidR="00941FC5" w:rsidRPr="00013C48" w:rsidRDefault="00941FC5" w:rsidP="00AA4F19">
            <w:pPr>
              <w:spacing w:before="40" w:after="40"/>
              <w:rPr>
                <w:sz w:val="18"/>
                <w:szCs w:val="18"/>
                <w:lang w:val="ru-RU"/>
              </w:rPr>
            </w:pPr>
            <w:r w:rsidRPr="00013C48">
              <w:rPr>
                <w:b/>
                <w:bCs/>
                <w:sz w:val="18"/>
                <w:szCs w:val="18"/>
                <w:lang w:val="ru-RU"/>
              </w:rPr>
              <w:t>Обновление по состоянию на 31 марта 2016</w:t>
            </w:r>
            <w:r w:rsidR="004B3F98" w:rsidRPr="00013C48">
              <w:rPr>
                <w:b/>
                <w:bCs/>
                <w:sz w:val="18"/>
                <w:szCs w:val="18"/>
                <w:lang w:val="ru-RU"/>
              </w:rPr>
              <w:t> </w:t>
            </w:r>
            <w:r w:rsidRPr="00013C48">
              <w:rPr>
                <w:b/>
                <w:bCs/>
                <w:sz w:val="18"/>
                <w:szCs w:val="18"/>
                <w:lang w:val="ru-RU"/>
              </w:rPr>
              <w:t>г.</w:t>
            </w:r>
            <w:r w:rsidRPr="00013C48">
              <w:rPr>
                <w:sz w:val="18"/>
                <w:szCs w:val="18"/>
                <w:lang w:val="ru-RU"/>
              </w:rPr>
              <w:t>:</w:t>
            </w:r>
            <w:r w:rsidR="009A6EB5" w:rsidRPr="00013C48">
              <w:rPr>
                <w:sz w:val="18"/>
                <w:szCs w:val="18"/>
                <w:lang w:val="ru-RU"/>
              </w:rPr>
              <w:t xml:space="preserve"> </w:t>
            </w:r>
            <w:r w:rsidRPr="00013C48">
              <w:rPr>
                <w:sz w:val="18"/>
                <w:szCs w:val="18"/>
                <w:lang w:val="ru-RU"/>
              </w:rPr>
              <w:t>План аудиторской проверки 2016</w:t>
            </w:r>
            <w:r w:rsidR="00AA4F19" w:rsidRPr="00013C48">
              <w:rPr>
                <w:sz w:val="18"/>
                <w:szCs w:val="18"/>
                <w:lang w:val="ru-RU"/>
              </w:rPr>
              <w:t> </w:t>
            </w:r>
            <w:r w:rsidRPr="00013C48">
              <w:rPr>
                <w:sz w:val="18"/>
                <w:szCs w:val="18"/>
                <w:lang w:val="ru-RU"/>
              </w:rPr>
              <w:t>г</w:t>
            </w:r>
            <w:r w:rsidR="00AA4F19" w:rsidRPr="00013C48">
              <w:rPr>
                <w:sz w:val="18"/>
                <w:szCs w:val="18"/>
                <w:lang w:val="ru-RU"/>
              </w:rPr>
              <w:t>.</w:t>
            </w:r>
            <w:r w:rsidRPr="00013C48">
              <w:rPr>
                <w:sz w:val="18"/>
                <w:szCs w:val="18"/>
                <w:lang w:val="ru-RU"/>
              </w:rPr>
              <w:t xml:space="preserve"> основан на оценке рисков и содержит также элементы для определения крупных среднесрочных рисков, которые будут охватываться аудиторскими проверками.</w:t>
            </w:r>
          </w:p>
        </w:tc>
        <w:tc>
          <w:tcPr>
            <w:tcW w:w="86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Выполнено</w:t>
            </w:r>
            <w:r w:rsidR="001767CE" w:rsidRPr="00013C48">
              <w:rPr>
                <w:sz w:val="18"/>
                <w:szCs w:val="18"/>
                <w:lang w:val="ru-RU"/>
              </w:rPr>
              <w:t>.</w:t>
            </w:r>
          </w:p>
        </w:tc>
      </w:tr>
      <w:tr w:rsidR="00941FC5" w:rsidRPr="00013C48" w:rsidTr="00B50CE5">
        <w:trPr>
          <w:cantSplit/>
          <w:jc w:val="center"/>
        </w:trPr>
        <w:tc>
          <w:tcPr>
            <w:tcW w:w="503"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b/>
                <w:bCs/>
                <w:sz w:val="18"/>
                <w:szCs w:val="18"/>
                <w:lang w:val="ru-RU"/>
              </w:rPr>
            </w:pPr>
            <w:r w:rsidRPr="00013C48">
              <w:rPr>
                <w:b/>
                <w:bCs/>
                <w:sz w:val="18"/>
                <w:szCs w:val="18"/>
                <w:lang w:val="ru-RU"/>
              </w:rPr>
              <w:t>Предл. 7/2013</w:t>
            </w:r>
          </w:p>
        </w:tc>
        <w:tc>
          <w:tcPr>
            <w:tcW w:w="1149"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Согласно нашему предыдущему предложению 5, учитывая, что может оказаться сложным охватить все риски, установленные в том или ином конкретном году, мы предлагаем Подразделению внутреннего аудита представить в плане работы на несколько лет такое количество аудиторских проверок, которое достаточно для охвата в течение определенного срока основных установленных рисков.</w:t>
            </w:r>
          </w:p>
        </w:tc>
        <w:tc>
          <w:tcPr>
            <w:tcW w:w="121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Подразделение внутреннего аудита будет стремиться расширить планирование аудита на несколько лет с учетом того, чтобы аудит охватывал основные риски, установленные Подразделением.</w:t>
            </w:r>
          </w:p>
        </w:tc>
        <w:tc>
          <w:tcPr>
            <w:tcW w:w="1264"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Февраль 2015 г.: </w:t>
            </w:r>
            <w:r w:rsidRPr="00013C48">
              <w:rPr>
                <w:sz w:val="18"/>
                <w:szCs w:val="18"/>
                <w:u w:val="single"/>
                <w:lang w:val="ru-RU"/>
              </w:rPr>
              <w:t>в ожидании</w:t>
            </w:r>
            <w:r w:rsidRPr="00013C48">
              <w:rPr>
                <w:sz w:val="18"/>
                <w:szCs w:val="18"/>
                <w:lang w:val="ru-RU"/>
              </w:rPr>
              <w:t xml:space="preserve"> – дальнейшая работа будет выполняться для плана аудиторской проверки 2016 года.</w:t>
            </w:r>
          </w:p>
          <w:p w:rsidR="00941FC5" w:rsidRPr="00013C48" w:rsidRDefault="00941FC5" w:rsidP="009A6EB5">
            <w:pPr>
              <w:spacing w:before="40" w:after="40"/>
              <w:rPr>
                <w:sz w:val="18"/>
                <w:szCs w:val="18"/>
                <w:lang w:val="ru-RU"/>
              </w:rPr>
            </w:pPr>
            <w:r w:rsidRPr="00013C48">
              <w:rPr>
                <w:b/>
                <w:bCs/>
                <w:sz w:val="18"/>
                <w:szCs w:val="18"/>
                <w:lang w:val="ru-RU"/>
              </w:rPr>
              <w:t>Обновление по состоянию на 31 марта 2016</w:t>
            </w:r>
            <w:r w:rsidR="004B3F98" w:rsidRPr="00013C48">
              <w:rPr>
                <w:b/>
                <w:bCs/>
                <w:sz w:val="18"/>
                <w:szCs w:val="18"/>
                <w:lang w:val="ru-RU"/>
              </w:rPr>
              <w:t> </w:t>
            </w:r>
            <w:r w:rsidRPr="00013C48">
              <w:rPr>
                <w:b/>
                <w:bCs/>
                <w:sz w:val="18"/>
                <w:szCs w:val="18"/>
                <w:lang w:val="ru-RU"/>
              </w:rPr>
              <w:t>г.</w:t>
            </w:r>
            <w:r w:rsidRPr="00013C48">
              <w:rPr>
                <w:sz w:val="18"/>
                <w:szCs w:val="18"/>
                <w:lang w:val="ru-RU"/>
              </w:rPr>
              <w:t>:</w:t>
            </w:r>
            <w:r w:rsidR="009A6EB5" w:rsidRPr="00013C48">
              <w:rPr>
                <w:sz w:val="18"/>
                <w:szCs w:val="18"/>
                <w:lang w:val="ru-RU"/>
              </w:rPr>
              <w:t xml:space="preserve"> </w:t>
            </w:r>
            <w:r w:rsidRPr="00013C48">
              <w:rPr>
                <w:sz w:val="18"/>
                <w:szCs w:val="18"/>
                <w:lang w:val="ru-RU"/>
              </w:rPr>
              <w:t>План аудиторской проверки 2016 г</w:t>
            </w:r>
            <w:r w:rsidR="004B3F98" w:rsidRPr="00013C48">
              <w:rPr>
                <w:sz w:val="18"/>
                <w:szCs w:val="18"/>
                <w:lang w:val="ru-RU"/>
              </w:rPr>
              <w:t>.</w:t>
            </w:r>
            <w:r w:rsidRPr="00013C48">
              <w:rPr>
                <w:sz w:val="18"/>
                <w:szCs w:val="18"/>
                <w:lang w:val="ru-RU"/>
              </w:rPr>
              <w:t xml:space="preserve"> основан на оценке рисков и содержит также элементы для определения крупных среднесрочных рисков, которые будут охватываться аудиторскими проверками.</w:t>
            </w:r>
          </w:p>
        </w:tc>
        <w:tc>
          <w:tcPr>
            <w:tcW w:w="86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Выполнено</w:t>
            </w:r>
            <w:r w:rsidR="001767CE" w:rsidRPr="00013C48">
              <w:rPr>
                <w:sz w:val="18"/>
                <w:szCs w:val="18"/>
                <w:lang w:val="ru-RU"/>
              </w:rPr>
              <w:t>.</w:t>
            </w:r>
          </w:p>
        </w:tc>
      </w:tr>
      <w:tr w:rsidR="00941FC5" w:rsidRPr="00013C48" w:rsidTr="00B50CE5">
        <w:trPr>
          <w:cantSplit/>
          <w:jc w:val="center"/>
        </w:trPr>
        <w:tc>
          <w:tcPr>
            <w:tcW w:w="503"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b/>
                <w:bCs/>
                <w:sz w:val="18"/>
                <w:szCs w:val="18"/>
                <w:lang w:val="ru-RU"/>
              </w:rPr>
            </w:pPr>
            <w:r w:rsidRPr="00013C48">
              <w:rPr>
                <w:b/>
                <w:bCs/>
                <w:sz w:val="18"/>
                <w:szCs w:val="18"/>
                <w:lang w:val="ru-RU"/>
              </w:rPr>
              <w:lastRenderedPageBreak/>
              <w:t>Предл. 8/2013</w:t>
            </w:r>
          </w:p>
        </w:tc>
        <w:tc>
          <w:tcPr>
            <w:tcW w:w="1149"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Хотя мы признаем наличие детальной системы отслеживания времени, мы предлагаем </w:t>
            </w:r>
            <w:proofErr w:type="spellStart"/>
            <w:r w:rsidRPr="00013C48">
              <w:rPr>
                <w:sz w:val="18"/>
                <w:szCs w:val="18"/>
                <w:lang w:val="ru-RU"/>
              </w:rPr>
              <w:t>IAU</w:t>
            </w:r>
            <w:proofErr w:type="spellEnd"/>
            <w:r w:rsidRPr="00013C48">
              <w:rPr>
                <w:sz w:val="18"/>
                <w:szCs w:val="18"/>
                <w:lang w:val="ru-RU"/>
              </w:rPr>
              <w:t xml:space="preserve"> увязать ее со всеми возможными задачами, предусмотренными в </w:t>
            </w:r>
            <w:proofErr w:type="spellStart"/>
            <w:r w:rsidRPr="00013C48">
              <w:rPr>
                <w:sz w:val="18"/>
                <w:szCs w:val="18"/>
                <w:lang w:val="ru-RU"/>
              </w:rPr>
              <w:t>AWP</w:t>
            </w:r>
            <w:proofErr w:type="spellEnd"/>
            <w:r w:rsidRPr="00013C48">
              <w:rPr>
                <w:sz w:val="18"/>
                <w:szCs w:val="18"/>
                <w:lang w:val="ru-RU"/>
              </w:rPr>
              <w:t xml:space="preserve"> и в плане работы на несколько лет (см. предложение 7), с тем чтобы </w:t>
            </w:r>
            <w:proofErr w:type="spellStart"/>
            <w:r w:rsidRPr="00013C48">
              <w:rPr>
                <w:sz w:val="18"/>
                <w:szCs w:val="18"/>
                <w:lang w:val="ru-RU"/>
              </w:rPr>
              <w:t>ГС</w:t>
            </w:r>
            <w:proofErr w:type="spellEnd"/>
            <w:r w:rsidRPr="00013C48">
              <w:rPr>
                <w:sz w:val="18"/>
                <w:szCs w:val="18"/>
                <w:lang w:val="ru-RU"/>
              </w:rPr>
              <w:t xml:space="preserve"> можно было предоставить больше элементов и информации для принятия в будущем решения о том, достаточно ли ресурсов у </w:t>
            </w:r>
            <w:proofErr w:type="spellStart"/>
            <w:r w:rsidRPr="00013C48">
              <w:rPr>
                <w:sz w:val="18"/>
                <w:szCs w:val="18"/>
                <w:lang w:val="ru-RU"/>
              </w:rPr>
              <w:t>IAU</w:t>
            </w:r>
            <w:proofErr w:type="spellEnd"/>
            <w:r w:rsidRPr="00013C48">
              <w:rPr>
                <w:sz w:val="18"/>
                <w:szCs w:val="18"/>
                <w:lang w:val="ru-RU"/>
              </w:rPr>
              <w:t>.</w:t>
            </w:r>
          </w:p>
        </w:tc>
        <w:tc>
          <w:tcPr>
            <w:tcW w:w="121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Подразделению внутреннего аудита будет дано поручение продолжить отслеживать свое время и на регулярной основе сообщать о прогрессе, достигнутом по сравнению с </w:t>
            </w:r>
            <w:proofErr w:type="spellStart"/>
            <w:r w:rsidRPr="00013C48">
              <w:rPr>
                <w:sz w:val="18"/>
                <w:szCs w:val="18"/>
                <w:lang w:val="ru-RU"/>
              </w:rPr>
              <w:t>AWP</w:t>
            </w:r>
            <w:proofErr w:type="spellEnd"/>
            <w:r w:rsidRPr="00013C48">
              <w:rPr>
                <w:sz w:val="18"/>
                <w:szCs w:val="18"/>
                <w:lang w:val="ru-RU"/>
              </w:rPr>
              <w:t>.</w:t>
            </w:r>
          </w:p>
        </w:tc>
        <w:tc>
          <w:tcPr>
            <w:tcW w:w="1264"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 xml:space="preserve">Февраль 2015 г.: </w:t>
            </w:r>
            <w:r w:rsidRPr="00013C48">
              <w:rPr>
                <w:sz w:val="18"/>
                <w:szCs w:val="18"/>
                <w:u w:val="single"/>
                <w:lang w:val="ru-RU"/>
              </w:rPr>
              <w:t>выполняется</w:t>
            </w:r>
            <w:r w:rsidRPr="00013C48">
              <w:rPr>
                <w:sz w:val="18"/>
                <w:szCs w:val="18"/>
                <w:lang w:val="ru-RU"/>
              </w:rPr>
              <w:t xml:space="preserve"> – несмотря на сложности, связанные с бюджетом МСЭ на 2016–2017 гг., в начале 2015 г. была открыта должность младшего внутреннего аудитора </w:t>
            </w:r>
            <w:proofErr w:type="spellStart"/>
            <w:r w:rsidRPr="00013C48">
              <w:rPr>
                <w:sz w:val="18"/>
                <w:szCs w:val="18"/>
                <w:lang w:val="ru-RU"/>
              </w:rPr>
              <w:t>P2</w:t>
            </w:r>
            <w:proofErr w:type="spellEnd"/>
            <w:r w:rsidRPr="00013C48">
              <w:rPr>
                <w:sz w:val="18"/>
                <w:szCs w:val="18"/>
                <w:lang w:val="ru-RU"/>
              </w:rPr>
              <w:t xml:space="preserve"> (срочный контракт) с целью дополнения ресурсов (и во исполнение рекомендации </w:t>
            </w:r>
            <w:proofErr w:type="spellStart"/>
            <w:r w:rsidRPr="00013C48">
              <w:rPr>
                <w:sz w:val="18"/>
                <w:szCs w:val="18"/>
                <w:lang w:val="ru-RU"/>
              </w:rPr>
              <w:t>IMAC</w:t>
            </w:r>
            <w:proofErr w:type="spellEnd"/>
            <w:r w:rsidRPr="00013C48">
              <w:rPr>
                <w:sz w:val="18"/>
                <w:szCs w:val="18"/>
                <w:lang w:val="ru-RU"/>
              </w:rPr>
              <w:t>).</w:t>
            </w:r>
          </w:p>
          <w:p w:rsidR="00941FC5" w:rsidRPr="00013C48" w:rsidRDefault="00941FC5" w:rsidP="009A6EB5">
            <w:pPr>
              <w:spacing w:before="40" w:after="40"/>
              <w:rPr>
                <w:sz w:val="18"/>
                <w:szCs w:val="18"/>
                <w:lang w:val="ru-RU"/>
              </w:rPr>
            </w:pPr>
            <w:r w:rsidRPr="00013C48">
              <w:rPr>
                <w:b/>
                <w:bCs/>
                <w:sz w:val="18"/>
                <w:szCs w:val="18"/>
                <w:lang w:val="ru-RU"/>
              </w:rPr>
              <w:t>Обновление по состоянию на 31 марта 2016</w:t>
            </w:r>
            <w:r w:rsidR="009A6EB5" w:rsidRPr="00013C48">
              <w:rPr>
                <w:b/>
                <w:bCs/>
                <w:sz w:val="18"/>
                <w:szCs w:val="18"/>
                <w:lang w:val="ru-RU"/>
              </w:rPr>
              <w:t> </w:t>
            </w:r>
            <w:r w:rsidRPr="00013C48">
              <w:rPr>
                <w:b/>
                <w:bCs/>
                <w:sz w:val="18"/>
                <w:szCs w:val="18"/>
                <w:lang w:val="ru-RU"/>
              </w:rPr>
              <w:t>г.</w:t>
            </w:r>
            <w:r w:rsidRPr="00013C48">
              <w:rPr>
                <w:sz w:val="18"/>
                <w:szCs w:val="18"/>
                <w:lang w:val="ru-RU"/>
              </w:rPr>
              <w:t>:</w:t>
            </w:r>
            <w:r w:rsidR="009A6EB5" w:rsidRPr="00013C48">
              <w:rPr>
                <w:sz w:val="18"/>
                <w:szCs w:val="18"/>
                <w:lang w:val="ru-RU"/>
              </w:rPr>
              <w:t xml:space="preserve"> </w:t>
            </w:r>
            <w:r w:rsidRPr="00013C48">
              <w:rPr>
                <w:sz w:val="18"/>
                <w:szCs w:val="18"/>
                <w:lang w:val="ru-RU"/>
              </w:rPr>
              <w:t xml:space="preserve">Отслеживание времени является одной из важнейших частей плана аудиторской проверки, который содержит необходимые элементы. Нанят новый младший внутренний аудитор </w:t>
            </w:r>
            <w:proofErr w:type="spellStart"/>
            <w:r w:rsidRPr="00013C48">
              <w:rPr>
                <w:sz w:val="18"/>
                <w:szCs w:val="18"/>
                <w:lang w:val="ru-RU"/>
              </w:rPr>
              <w:t>P2</w:t>
            </w:r>
            <w:proofErr w:type="spellEnd"/>
            <w:r w:rsidRPr="00013C48">
              <w:rPr>
                <w:sz w:val="18"/>
                <w:szCs w:val="18"/>
                <w:lang w:val="ru-RU"/>
              </w:rPr>
              <w:t xml:space="preserve"> для укрепления ресурсов </w:t>
            </w:r>
            <w:proofErr w:type="spellStart"/>
            <w:r w:rsidRPr="00013C48">
              <w:rPr>
                <w:sz w:val="18"/>
                <w:szCs w:val="18"/>
                <w:lang w:val="ru-RU"/>
              </w:rPr>
              <w:t>IAU</w:t>
            </w:r>
            <w:proofErr w:type="spellEnd"/>
            <w:r w:rsidRPr="00013C48">
              <w:rPr>
                <w:sz w:val="18"/>
                <w:szCs w:val="18"/>
                <w:lang w:val="ru-RU"/>
              </w:rPr>
              <w:t>.</w:t>
            </w:r>
          </w:p>
        </w:tc>
        <w:tc>
          <w:tcPr>
            <w:tcW w:w="867" w:type="pct"/>
            <w:tcBorders>
              <w:top w:val="single" w:sz="4" w:space="0" w:color="auto"/>
              <w:left w:val="single" w:sz="4" w:space="0" w:color="auto"/>
              <w:bottom w:val="single" w:sz="4" w:space="0" w:color="auto"/>
              <w:right w:val="single" w:sz="4" w:space="0" w:color="auto"/>
            </w:tcBorders>
          </w:tcPr>
          <w:p w:rsidR="00941FC5" w:rsidRPr="00013C48" w:rsidRDefault="00941FC5" w:rsidP="001767CE">
            <w:pPr>
              <w:spacing w:before="40" w:after="40"/>
              <w:rPr>
                <w:sz w:val="18"/>
                <w:szCs w:val="18"/>
                <w:lang w:val="ru-RU"/>
              </w:rPr>
            </w:pPr>
            <w:r w:rsidRPr="00013C48">
              <w:rPr>
                <w:sz w:val="18"/>
                <w:szCs w:val="18"/>
                <w:lang w:val="ru-RU"/>
              </w:rPr>
              <w:t>Выполнено</w:t>
            </w:r>
            <w:r w:rsidR="001767CE" w:rsidRPr="00013C48">
              <w:rPr>
                <w:sz w:val="18"/>
                <w:szCs w:val="18"/>
                <w:lang w:val="ru-RU"/>
              </w:rPr>
              <w:t>.</w:t>
            </w:r>
          </w:p>
        </w:tc>
      </w:tr>
      <w:tr w:rsidR="00941FC5" w:rsidRPr="00013C48" w:rsidTr="00B50CE5">
        <w:trPr>
          <w:cantSplit/>
          <w:jc w:val="center"/>
        </w:trPr>
        <w:tc>
          <w:tcPr>
            <w:tcW w:w="503"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b/>
                <w:bCs/>
                <w:sz w:val="18"/>
                <w:szCs w:val="18"/>
                <w:lang w:val="ru-RU"/>
              </w:rPr>
            </w:pPr>
            <w:r w:rsidRPr="00013C48">
              <w:rPr>
                <w:b/>
                <w:bCs/>
                <w:sz w:val="18"/>
                <w:szCs w:val="18"/>
                <w:lang w:val="ru-RU"/>
              </w:rPr>
              <w:t>Предл. 1/2012</w:t>
            </w:r>
          </w:p>
        </w:tc>
        <w:tc>
          <w:tcPr>
            <w:tcW w:w="1149"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Наличие финансовой отчетности для отделений на местах</w:t>
            </w:r>
          </w:p>
          <w:p w:rsidR="00941FC5" w:rsidRPr="00013C48" w:rsidRDefault="00941FC5" w:rsidP="00941FC5">
            <w:pPr>
              <w:spacing w:before="40" w:after="40"/>
              <w:rPr>
                <w:sz w:val="18"/>
                <w:szCs w:val="18"/>
                <w:lang w:val="ru-RU"/>
              </w:rPr>
            </w:pPr>
            <w:r w:rsidRPr="00013C48">
              <w:rPr>
                <w:sz w:val="18"/>
                <w:szCs w:val="18"/>
                <w:lang w:val="ru-RU"/>
              </w:rPr>
              <w:t xml:space="preserve">Следует упомянуть о том, что все банковские счета, использующиеся в отделениях на местах, на периодической основе выверяются и контролируются руководством МСЭ. Но в связи с тем фактом, что суммы не включаются непосредственно в счета сотрудниками на местах, включение всех движений средств в учетную систему </w:t>
            </w:r>
            <w:proofErr w:type="spellStart"/>
            <w:r w:rsidRPr="00013C48">
              <w:rPr>
                <w:sz w:val="18"/>
                <w:szCs w:val="18"/>
                <w:lang w:val="ru-RU"/>
              </w:rPr>
              <w:t>ИТ</w:t>
            </w:r>
            <w:proofErr w:type="spellEnd"/>
            <w:r w:rsidRPr="00013C48">
              <w:rPr>
                <w:sz w:val="18"/>
                <w:szCs w:val="18"/>
                <w:lang w:val="ru-RU"/>
              </w:rPr>
              <w:t xml:space="preserve"> (</w:t>
            </w:r>
            <w:proofErr w:type="spellStart"/>
            <w:r w:rsidRPr="00013C48">
              <w:rPr>
                <w:sz w:val="18"/>
                <w:szCs w:val="18"/>
                <w:lang w:val="ru-RU"/>
              </w:rPr>
              <w:t>SAP</w:t>
            </w:r>
            <w:proofErr w:type="spellEnd"/>
            <w:r w:rsidRPr="00013C48">
              <w:rPr>
                <w:sz w:val="18"/>
                <w:szCs w:val="18"/>
                <w:lang w:val="ru-RU"/>
              </w:rPr>
              <w:t>) осуществляется периодически на уровне штаб-квартиры. Руководство в курсе этого вопроса, и поэтому мы предлагаем продолжить работу, направленную на внедрение подходящей финансовой отчетности на уровне отделений на местах.</w:t>
            </w:r>
          </w:p>
        </w:tc>
        <w:tc>
          <w:tcPr>
            <w:tcW w:w="1217" w:type="pct"/>
            <w:tcBorders>
              <w:top w:val="single" w:sz="4" w:space="0" w:color="auto"/>
              <w:left w:val="single" w:sz="4" w:space="0" w:color="auto"/>
              <w:bottom w:val="single" w:sz="4" w:space="0" w:color="auto"/>
              <w:right w:val="single" w:sz="4" w:space="0" w:color="auto"/>
            </w:tcBorders>
          </w:tcPr>
          <w:p w:rsidR="00941FC5" w:rsidRPr="00013C48" w:rsidRDefault="00941FC5" w:rsidP="00941FC5">
            <w:pPr>
              <w:spacing w:before="40" w:after="40"/>
              <w:rPr>
                <w:sz w:val="18"/>
                <w:szCs w:val="18"/>
                <w:lang w:val="ru-RU"/>
              </w:rPr>
            </w:pPr>
            <w:r w:rsidRPr="00013C48">
              <w:rPr>
                <w:sz w:val="18"/>
                <w:szCs w:val="18"/>
                <w:lang w:val="ru-RU"/>
              </w:rPr>
              <w:t>Я принимаю к сведению это предложение и сообщаю вам о том, что существенная часть выявленных проблем, касающихся финансовой отчетности, будет, в принципе, решена с помощью профессиональной подготовки соответствующих сотрудников отделений на местах.</w:t>
            </w:r>
          </w:p>
        </w:tc>
        <w:tc>
          <w:tcPr>
            <w:tcW w:w="1264" w:type="pct"/>
            <w:tcBorders>
              <w:top w:val="single" w:sz="4" w:space="0" w:color="auto"/>
              <w:left w:val="single" w:sz="4" w:space="0" w:color="auto"/>
              <w:bottom w:val="single" w:sz="4" w:space="0" w:color="auto"/>
              <w:right w:val="single" w:sz="4" w:space="0" w:color="auto"/>
            </w:tcBorders>
          </w:tcPr>
          <w:p w:rsidR="00941FC5" w:rsidRPr="00013C48" w:rsidRDefault="00941FC5" w:rsidP="001767CE">
            <w:pPr>
              <w:spacing w:before="40" w:after="40"/>
              <w:rPr>
                <w:sz w:val="18"/>
                <w:szCs w:val="18"/>
                <w:lang w:val="ru-RU"/>
              </w:rPr>
            </w:pPr>
            <w:r w:rsidRPr="00013C48">
              <w:rPr>
                <w:sz w:val="18"/>
                <w:szCs w:val="18"/>
                <w:lang w:val="ru-RU"/>
              </w:rPr>
              <w:t xml:space="preserve">Поскольку бухгалтерский учет по-прежнему сосредоточен в штаб-квартире, основное внимание уделялось стандартизации финансовой отчетности отделений на местах. Эта работа была завершена в январе 2015 г. </w:t>
            </w:r>
          </w:p>
        </w:tc>
        <w:tc>
          <w:tcPr>
            <w:tcW w:w="867" w:type="pct"/>
            <w:tcBorders>
              <w:top w:val="single" w:sz="4" w:space="0" w:color="auto"/>
              <w:left w:val="single" w:sz="4" w:space="0" w:color="auto"/>
              <w:bottom w:val="single" w:sz="4" w:space="0" w:color="auto"/>
              <w:right w:val="single" w:sz="4" w:space="0" w:color="auto"/>
            </w:tcBorders>
          </w:tcPr>
          <w:p w:rsidR="00941FC5" w:rsidRPr="00013C48" w:rsidRDefault="00941FC5" w:rsidP="001767CE">
            <w:pPr>
              <w:spacing w:before="40" w:after="40"/>
              <w:rPr>
                <w:sz w:val="18"/>
                <w:szCs w:val="18"/>
                <w:lang w:val="ru-RU"/>
              </w:rPr>
            </w:pPr>
            <w:r w:rsidRPr="00013C48">
              <w:rPr>
                <w:sz w:val="18"/>
                <w:szCs w:val="18"/>
                <w:lang w:val="ru-RU"/>
              </w:rPr>
              <w:t>Выполнено</w:t>
            </w:r>
            <w:r w:rsidR="001767CE" w:rsidRPr="00013C48">
              <w:rPr>
                <w:sz w:val="18"/>
                <w:szCs w:val="18"/>
                <w:lang w:val="ru-RU"/>
              </w:rPr>
              <w:t>.</w:t>
            </w:r>
          </w:p>
        </w:tc>
      </w:tr>
    </w:tbl>
    <w:p w:rsidR="00334BAD" w:rsidRPr="00013C48" w:rsidRDefault="00334BAD" w:rsidP="00542F98">
      <w:pPr>
        <w:pStyle w:val="Reasons"/>
        <w:rPr>
          <w:lang w:val="ru-RU"/>
        </w:rPr>
      </w:pPr>
    </w:p>
    <w:p w:rsidR="00334BAD" w:rsidRPr="00013C48" w:rsidRDefault="00334BAD">
      <w:pPr>
        <w:jc w:val="center"/>
        <w:rPr>
          <w:lang w:val="ru-RU"/>
        </w:rPr>
      </w:pPr>
      <w:r w:rsidRPr="00013C48">
        <w:rPr>
          <w:lang w:val="ru-RU"/>
        </w:rPr>
        <w:t>______________</w:t>
      </w:r>
    </w:p>
    <w:sectPr w:rsidR="00334BAD" w:rsidRPr="00013C48" w:rsidSect="00241827">
      <w:headerReference w:type="default" r:id="rId14"/>
      <w:footerReference w:type="default" r:id="rId15"/>
      <w:headerReference w:type="first" r:id="rId16"/>
      <w:footerReference w:type="first" r:id="rId17"/>
      <w:pgSz w:w="16834" w:h="11907" w:orient="landscape" w:code="9"/>
      <w:pgMar w:top="1418" w:right="1134" w:bottom="1134" w:left="1134" w:header="624" w:footer="624"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987" w:rsidRDefault="00C75987">
      <w:r>
        <w:separator/>
      </w:r>
    </w:p>
  </w:endnote>
  <w:endnote w:type="continuationSeparator" w:id="0">
    <w:p w:rsidR="00C75987" w:rsidRDefault="00C7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87" w:rsidRPr="00C35BC0" w:rsidRDefault="001A3ECD" w:rsidP="00C35BC0">
    <w:pPr>
      <w:pStyle w:val="Footer"/>
    </w:pPr>
    <w:r>
      <w:fldChar w:fldCharType="begin"/>
    </w:r>
    <w:r>
      <w:instrText xml:space="preserve"> FILENAME \p  \* MERGEFORMAT </w:instrText>
    </w:r>
    <w:r>
      <w:fldChar w:fldCharType="separate"/>
    </w:r>
    <w:r w:rsidR="00C75987" w:rsidRPr="0002435F">
      <w:rPr>
        <w:lang w:val="fr-CH"/>
      </w:rPr>
      <w:t>P</w:t>
    </w:r>
    <w:r w:rsidR="00C75987">
      <w:t>:\RUS\SG\CONSEIL\C16\000\040R.docx</w:t>
    </w:r>
    <w:r>
      <w:fldChar w:fldCharType="end"/>
    </w:r>
    <w:r w:rsidR="00C75987" w:rsidRPr="0055695C">
      <w:rPr>
        <w:lang w:val="fr-CH"/>
      </w:rPr>
      <w:t xml:space="preserve"> (</w:t>
    </w:r>
    <w:r w:rsidR="00C75987">
      <w:rPr>
        <w:lang w:val="fr-CH"/>
      </w:rPr>
      <w:t>38666</w:t>
    </w:r>
    <w:r w:rsidR="00C75987">
      <w:rPr>
        <w:lang w:val="ru-RU"/>
      </w:rPr>
      <w:t>2</w:t>
    </w:r>
    <w:r w:rsidR="00C75987" w:rsidRPr="0055695C">
      <w:rPr>
        <w:lang w:val="fr-CH"/>
      </w:rPr>
      <w:t>)</w:t>
    </w:r>
    <w:r w:rsidR="00C75987" w:rsidRPr="0055695C">
      <w:rPr>
        <w:lang w:val="fr-CH"/>
      </w:rPr>
      <w:tab/>
    </w:r>
    <w:r w:rsidR="00C75987">
      <w:fldChar w:fldCharType="begin"/>
    </w:r>
    <w:r w:rsidR="00C75987">
      <w:instrText xml:space="preserve"> SAVEDATE \@ DD.MM.YY </w:instrText>
    </w:r>
    <w:r w:rsidR="00C75987">
      <w:fldChar w:fldCharType="separate"/>
    </w:r>
    <w:r w:rsidR="00027346">
      <w:t>28.05.16</w:t>
    </w:r>
    <w:r w:rsidR="00C75987">
      <w:fldChar w:fldCharType="end"/>
    </w:r>
    <w:r w:rsidR="00C75987" w:rsidRPr="0055695C">
      <w:rPr>
        <w:lang w:val="fr-CH"/>
      </w:rPr>
      <w:tab/>
    </w:r>
    <w:r w:rsidR="00C75987">
      <w:fldChar w:fldCharType="begin"/>
    </w:r>
    <w:r w:rsidR="00C75987">
      <w:instrText xml:space="preserve"> PRINTDATE \@ DD.MM.YY </w:instrText>
    </w:r>
    <w:r w:rsidR="00C75987">
      <w:fldChar w:fldCharType="separate"/>
    </w:r>
    <w:r w:rsidR="00C75987">
      <w:t>27.05.16</w:t>
    </w:r>
    <w:r w:rsidR="00C7598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87" w:rsidRDefault="00C75987" w:rsidP="0067246D">
    <w:pPr>
      <w:spacing w:after="120"/>
      <w:jc w:val="center"/>
    </w:pPr>
    <w:r>
      <w:t xml:space="preserve">• </w:t>
    </w:r>
    <w:hyperlink r:id="rId1" w:history="1">
      <w:r>
        <w:rPr>
          <w:rStyle w:val="Hyperlink"/>
        </w:rPr>
        <w:t>http://www.itu.int/council</w:t>
      </w:r>
    </w:hyperlink>
    <w:r>
      <w:t xml:space="preserve"> •</w:t>
    </w:r>
  </w:p>
  <w:p w:rsidR="00C75987" w:rsidRDefault="001A3ECD" w:rsidP="00C35BC0">
    <w:pPr>
      <w:pStyle w:val="Footer"/>
    </w:pPr>
    <w:r>
      <w:fldChar w:fldCharType="begin"/>
    </w:r>
    <w:r>
      <w:instrText xml:space="preserve"> FILENAME \p  \* MERGEFORMAT </w:instrText>
    </w:r>
    <w:r>
      <w:fldChar w:fldCharType="separate"/>
    </w:r>
    <w:r w:rsidR="00C75987" w:rsidRPr="0002435F">
      <w:rPr>
        <w:lang w:val="fr-CH"/>
      </w:rPr>
      <w:t>P</w:t>
    </w:r>
    <w:r w:rsidR="00C75987">
      <w:t>:\RUS\SG\CONSEIL\C16\000\040R.docx</w:t>
    </w:r>
    <w:r>
      <w:fldChar w:fldCharType="end"/>
    </w:r>
    <w:r w:rsidR="00C75987" w:rsidRPr="0055695C">
      <w:rPr>
        <w:lang w:val="fr-CH"/>
      </w:rPr>
      <w:t xml:space="preserve"> (</w:t>
    </w:r>
    <w:r w:rsidR="00C75987">
      <w:rPr>
        <w:lang w:val="fr-CH"/>
      </w:rPr>
      <w:t>38666</w:t>
    </w:r>
    <w:r w:rsidR="00C75987">
      <w:rPr>
        <w:lang w:val="ru-RU"/>
      </w:rPr>
      <w:t>2</w:t>
    </w:r>
    <w:r w:rsidR="00C75987" w:rsidRPr="0055695C">
      <w:rPr>
        <w:lang w:val="fr-CH"/>
      </w:rPr>
      <w:t>)</w:t>
    </w:r>
    <w:r w:rsidR="00C75987" w:rsidRPr="0055695C">
      <w:rPr>
        <w:lang w:val="fr-CH"/>
      </w:rPr>
      <w:tab/>
    </w:r>
    <w:r w:rsidR="00C75987">
      <w:fldChar w:fldCharType="begin"/>
    </w:r>
    <w:r w:rsidR="00C75987">
      <w:instrText xml:space="preserve"> SAVEDATE \@ DD.MM.YY </w:instrText>
    </w:r>
    <w:r w:rsidR="00C75987">
      <w:fldChar w:fldCharType="separate"/>
    </w:r>
    <w:r w:rsidR="00027346">
      <w:t>28.05.16</w:t>
    </w:r>
    <w:r w:rsidR="00C75987">
      <w:fldChar w:fldCharType="end"/>
    </w:r>
    <w:r w:rsidR="00C75987" w:rsidRPr="0055695C">
      <w:rPr>
        <w:lang w:val="fr-CH"/>
      </w:rPr>
      <w:tab/>
    </w:r>
    <w:r w:rsidR="00C75987">
      <w:fldChar w:fldCharType="begin"/>
    </w:r>
    <w:r w:rsidR="00C75987">
      <w:instrText xml:space="preserve"> PRINTDATE \@ DD.MM.YY </w:instrText>
    </w:r>
    <w:r w:rsidR="00C75987">
      <w:fldChar w:fldCharType="separate"/>
    </w:r>
    <w:r w:rsidR="00C75987">
      <w:t>27.05.16</w:t>
    </w:r>
    <w:r w:rsidR="00C7598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87" w:rsidRPr="00241827" w:rsidRDefault="001A3ECD" w:rsidP="005B5204">
    <w:pPr>
      <w:pStyle w:val="Footer"/>
      <w:tabs>
        <w:tab w:val="clear" w:pos="5954"/>
        <w:tab w:val="clear" w:pos="9639"/>
        <w:tab w:val="left" w:pos="9072"/>
        <w:tab w:val="right" w:pos="14459"/>
      </w:tabs>
    </w:pPr>
    <w:r>
      <w:fldChar w:fldCharType="begin"/>
    </w:r>
    <w:r>
      <w:instrText xml:space="preserve"> FILENAME \p  \* MERGEFORMAT </w:instrText>
    </w:r>
    <w:r>
      <w:fldChar w:fldCharType="separate"/>
    </w:r>
    <w:r w:rsidR="00C75987" w:rsidRPr="0002435F">
      <w:rPr>
        <w:lang w:val="fr-CH"/>
      </w:rPr>
      <w:t>P</w:t>
    </w:r>
    <w:r w:rsidR="00C75987">
      <w:t>:\RUS\SG\CONSEIL\C16\000\040R.docx</w:t>
    </w:r>
    <w:r>
      <w:fldChar w:fldCharType="end"/>
    </w:r>
    <w:r w:rsidR="00C75987" w:rsidRPr="0055695C">
      <w:rPr>
        <w:lang w:val="fr-CH"/>
      </w:rPr>
      <w:t xml:space="preserve"> (</w:t>
    </w:r>
    <w:r w:rsidR="00C75987">
      <w:rPr>
        <w:lang w:val="ru-RU"/>
      </w:rPr>
      <w:t>386662</w:t>
    </w:r>
    <w:r w:rsidR="00C75987" w:rsidRPr="0055695C">
      <w:rPr>
        <w:lang w:val="fr-CH"/>
      </w:rPr>
      <w:t>)</w:t>
    </w:r>
    <w:r w:rsidR="00C75987" w:rsidRPr="0055695C">
      <w:rPr>
        <w:lang w:val="fr-CH"/>
      </w:rPr>
      <w:tab/>
    </w:r>
    <w:r w:rsidR="00C75987">
      <w:fldChar w:fldCharType="begin"/>
    </w:r>
    <w:r w:rsidR="00C75987">
      <w:instrText xml:space="preserve"> SAVEDATE \@ DD.MM.YY </w:instrText>
    </w:r>
    <w:r w:rsidR="00C75987">
      <w:fldChar w:fldCharType="separate"/>
    </w:r>
    <w:r w:rsidR="00027346">
      <w:t>28.05.16</w:t>
    </w:r>
    <w:r w:rsidR="00C75987">
      <w:fldChar w:fldCharType="end"/>
    </w:r>
    <w:r w:rsidR="00C75987" w:rsidRPr="0055695C">
      <w:rPr>
        <w:lang w:val="fr-CH"/>
      </w:rPr>
      <w:tab/>
    </w:r>
    <w:r w:rsidR="00C75987">
      <w:fldChar w:fldCharType="begin"/>
    </w:r>
    <w:r w:rsidR="00C75987">
      <w:instrText xml:space="preserve"> PRINTDATE \@ DD.MM.YY </w:instrText>
    </w:r>
    <w:r w:rsidR="00C75987">
      <w:fldChar w:fldCharType="separate"/>
    </w:r>
    <w:r w:rsidR="00C75987">
      <w:t>27.05.16</w:t>
    </w:r>
    <w:r w:rsidR="00C75987">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87" w:rsidRDefault="001A3ECD" w:rsidP="00241827">
    <w:pPr>
      <w:pStyle w:val="Footer"/>
      <w:tabs>
        <w:tab w:val="clear" w:pos="5954"/>
        <w:tab w:val="clear" w:pos="9639"/>
        <w:tab w:val="left" w:pos="9072"/>
        <w:tab w:val="right" w:pos="14459"/>
      </w:tabs>
    </w:pPr>
    <w:r>
      <w:fldChar w:fldCharType="begin"/>
    </w:r>
    <w:r>
      <w:instrText xml:space="preserve"> FILENAME \p  \* MERGEFORMAT </w:instrText>
    </w:r>
    <w:r>
      <w:fldChar w:fldCharType="separate"/>
    </w:r>
    <w:r w:rsidR="00C75987" w:rsidRPr="0002435F">
      <w:rPr>
        <w:lang w:val="fr-CH"/>
      </w:rPr>
      <w:t>P</w:t>
    </w:r>
    <w:r w:rsidR="00C75987">
      <w:t>:\RUS\SG\CONSEIL\C16\000\040R.docx</w:t>
    </w:r>
    <w:r>
      <w:fldChar w:fldCharType="end"/>
    </w:r>
    <w:r w:rsidR="00C75987" w:rsidRPr="0055695C">
      <w:rPr>
        <w:lang w:val="fr-CH"/>
      </w:rPr>
      <w:t xml:space="preserve"> (</w:t>
    </w:r>
    <w:r w:rsidR="00C75987" w:rsidRPr="00C35BC0">
      <w:rPr>
        <w:lang w:val="fr-CH"/>
      </w:rPr>
      <w:t>386663</w:t>
    </w:r>
    <w:r w:rsidR="00C75987" w:rsidRPr="0055695C">
      <w:rPr>
        <w:lang w:val="fr-CH"/>
      </w:rPr>
      <w:t>)</w:t>
    </w:r>
    <w:r w:rsidR="00C75987" w:rsidRPr="0055695C">
      <w:rPr>
        <w:lang w:val="fr-CH"/>
      </w:rPr>
      <w:tab/>
    </w:r>
    <w:r w:rsidR="00C75987">
      <w:fldChar w:fldCharType="begin"/>
    </w:r>
    <w:r w:rsidR="00C75987">
      <w:instrText xml:space="preserve"> SAVEDATE \@ DD.MM.YY </w:instrText>
    </w:r>
    <w:r w:rsidR="00C75987">
      <w:fldChar w:fldCharType="separate"/>
    </w:r>
    <w:r w:rsidR="00027346">
      <w:t>28.05.16</w:t>
    </w:r>
    <w:r w:rsidR="00C75987">
      <w:fldChar w:fldCharType="end"/>
    </w:r>
    <w:r w:rsidR="00C75987" w:rsidRPr="0055695C">
      <w:rPr>
        <w:lang w:val="fr-CH"/>
      </w:rPr>
      <w:tab/>
    </w:r>
    <w:r w:rsidR="00C75987">
      <w:fldChar w:fldCharType="begin"/>
    </w:r>
    <w:r w:rsidR="00C75987">
      <w:instrText xml:space="preserve"> PRINTDATE \@ DD.MM.YY </w:instrText>
    </w:r>
    <w:r w:rsidR="00C75987">
      <w:fldChar w:fldCharType="separate"/>
    </w:r>
    <w:r w:rsidR="00C75987">
      <w:t>27.05.16</w:t>
    </w:r>
    <w:r w:rsidR="00C7598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987" w:rsidRDefault="00C75987">
      <w:r>
        <w:t>____________________</w:t>
      </w:r>
    </w:p>
  </w:footnote>
  <w:footnote w:type="continuationSeparator" w:id="0">
    <w:p w:rsidR="00C75987" w:rsidRDefault="00C75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87" w:rsidRDefault="00C75987" w:rsidP="00CE433C">
    <w:pPr>
      <w:pStyle w:val="Header"/>
    </w:pPr>
    <w:r>
      <w:fldChar w:fldCharType="begin"/>
    </w:r>
    <w:r>
      <w:instrText>PAGE</w:instrText>
    </w:r>
    <w:r>
      <w:fldChar w:fldCharType="separate"/>
    </w:r>
    <w:r w:rsidR="001A3ECD">
      <w:rPr>
        <w:noProof/>
      </w:rPr>
      <w:t>21</w:t>
    </w:r>
    <w:r>
      <w:rPr>
        <w:noProof/>
      </w:rPr>
      <w:fldChar w:fldCharType="end"/>
    </w:r>
  </w:p>
  <w:p w:rsidR="00C75987" w:rsidRPr="00FC468B" w:rsidRDefault="00C75987" w:rsidP="00542F98">
    <w:pPr>
      <w:pStyle w:val="Header"/>
      <w:spacing w:after="120"/>
      <w:rPr>
        <w:lang w:val="ru-RU"/>
      </w:rPr>
    </w:pPr>
    <w:proofErr w:type="spellStart"/>
    <w:r>
      <w:t>C1</w:t>
    </w:r>
    <w:proofErr w:type="spellEnd"/>
    <w:r>
      <w:rPr>
        <w:lang w:val="ru-RU"/>
      </w:rPr>
      <w:t>6</w:t>
    </w:r>
    <w:r>
      <w:t>/</w:t>
    </w:r>
    <w:r>
      <w:rPr>
        <w:lang w:val="ru-RU"/>
      </w:rPr>
      <w:t>40</w:t>
    </w:r>
    <w:r>
      <w:t>-</w:t>
    </w:r>
    <w:r>
      <w:rPr>
        <w:lang w:val="en-US"/>
      </w:rP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87" w:rsidRDefault="00C75987" w:rsidP="00CE433C">
    <w:pPr>
      <w:pStyle w:val="Header"/>
    </w:pPr>
    <w:r>
      <w:fldChar w:fldCharType="begin"/>
    </w:r>
    <w:r>
      <w:instrText>PAGE</w:instrText>
    </w:r>
    <w:r>
      <w:fldChar w:fldCharType="separate"/>
    </w:r>
    <w:r w:rsidR="00134860">
      <w:rPr>
        <w:noProof/>
      </w:rPr>
      <w:t>44</w:t>
    </w:r>
    <w:r>
      <w:rPr>
        <w:noProof/>
      </w:rPr>
      <w:fldChar w:fldCharType="end"/>
    </w:r>
  </w:p>
  <w:p w:rsidR="00C75987" w:rsidRPr="00FC468B" w:rsidRDefault="00C75987" w:rsidP="005B5204">
    <w:pPr>
      <w:pStyle w:val="Header"/>
      <w:spacing w:after="120"/>
      <w:rPr>
        <w:lang w:val="ru-RU"/>
      </w:rPr>
    </w:pPr>
    <w:proofErr w:type="spellStart"/>
    <w:r>
      <w:t>C1</w:t>
    </w:r>
    <w:proofErr w:type="spellEnd"/>
    <w:r>
      <w:rPr>
        <w:lang w:val="ru-RU"/>
      </w:rPr>
      <w:t>6</w:t>
    </w:r>
    <w:r>
      <w:t>/</w:t>
    </w:r>
    <w:r>
      <w:rPr>
        <w:lang w:val="ru-RU"/>
      </w:rPr>
      <w:t>40</w:t>
    </w:r>
    <w:r>
      <w:t>-</w:t>
    </w:r>
    <w:r>
      <w:rPr>
        <w:lang w:val="en-US"/>
      </w:rPr>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87" w:rsidRDefault="00C75987" w:rsidP="00241827">
    <w:pPr>
      <w:pStyle w:val="Header"/>
    </w:pPr>
    <w:r>
      <w:fldChar w:fldCharType="begin"/>
    </w:r>
    <w:r>
      <w:instrText>PAGE</w:instrText>
    </w:r>
    <w:r>
      <w:fldChar w:fldCharType="separate"/>
    </w:r>
    <w:r w:rsidR="00027346">
      <w:rPr>
        <w:noProof/>
      </w:rPr>
      <w:t>27</w:t>
    </w:r>
    <w:r>
      <w:rPr>
        <w:noProof/>
      </w:rPr>
      <w:fldChar w:fldCharType="end"/>
    </w:r>
  </w:p>
  <w:p w:rsidR="00C75987" w:rsidRPr="00241827" w:rsidRDefault="00C75987" w:rsidP="00241827">
    <w:pPr>
      <w:pStyle w:val="Header"/>
      <w:spacing w:after="120"/>
      <w:rPr>
        <w:lang w:val="ru-RU"/>
      </w:rPr>
    </w:pPr>
    <w:proofErr w:type="spellStart"/>
    <w:r>
      <w:t>C1</w:t>
    </w:r>
    <w:proofErr w:type="spellEnd"/>
    <w:r>
      <w:rPr>
        <w:lang w:val="ru-RU"/>
      </w:rPr>
      <w:t>6</w:t>
    </w:r>
    <w:r>
      <w:t>/</w:t>
    </w:r>
    <w:r>
      <w:rPr>
        <w:lang w:val="ru-RU"/>
      </w:rPr>
      <w:t>41</w:t>
    </w:r>
    <w:r>
      <w:t>-</w:t>
    </w:r>
    <w:r>
      <w:rPr>
        <w:lang w:val="en-U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7CD"/>
    <w:multiLevelType w:val="hybridMultilevel"/>
    <w:tmpl w:val="CC68386E"/>
    <w:lvl w:ilvl="0" w:tplc="5846FF46">
      <w:start w:val="1"/>
      <w:numFmt w:val="decimal"/>
      <w:pStyle w:val="testobase"/>
      <w:lvlText w:val="%1."/>
      <w:lvlJc w:val="left"/>
      <w:pPr>
        <w:ind w:left="420" w:hanging="420"/>
      </w:pPr>
      <w:rPr>
        <w:rFonts w:hint="default"/>
        <w:lang w:val="en-US"/>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nsid w:val="1E1843C3"/>
    <w:multiLevelType w:val="hybridMultilevel"/>
    <w:tmpl w:val="3DA2DD58"/>
    <w:lvl w:ilvl="0" w:tplc="5B46E080">
      <w:start w:val="91"/>
      <w:numFmt w:val="decimal"/>
      <w:pStyle w:val="recesug"/>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
    <w:nsid w:val="674634EA"/>
    <w:multiLevelType w:val="hybridMultilevel"/>
    <w:tmpl w:val="6136F190"/>
    <w:lvl w:ilvl="0" w:tplc="04100001">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ru-RU"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31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12"/>
    <w:rsid w:val="0000385B"/>
    <w:rsid w:val="00005CA4"/>
    <w:rsid w:val="00013C48"/>
    <w:rsid w:val="00015010"/>
    <w:rsid w:val="0002435F"/>
    <w:rsid w:val="00027346"/>
    <w:rsid w:val="0003192F"/>
    <w:rsid w:val="00035E84"/>
    <w:rsid w:val="00036DF6"/>
    <w:rsid w:val="00046672"/>
    <w:rsid w:val="00052D5B"/>
    <w:rsid w:val="0005520D"/>
    <w:rsid w:val="00063016"/>
    <w:rsid w:val="000662BB"/>
    <w:rsid w:val="00072413"/>
    <w:rsid w:val="0007483C"/>
    <w:rsid w:val="00076AF6"/>
    <w:rsid w:val="00085C4D"/>
    <w:rsid w:val="00085CF2"/>
    <w:rsid w:val="00092F36"/>
    <w:rsid w:val="000940E9"/>
    <w:rsid w:val="00094B4C"/>
    <w:rsid w:val="000969EE"/>
    <w:rsid w:val="000A1B27"/>
    <w:rsid w:val="000A1BA4"/>
    <w:rsid w:val="000A438D"/>
    <w:rsid w:val="000A6916"/>
    <w:rsid w:val="000A6ED5"/>
    <w:rsid w:val="000B102A"/>
    <w:rsid w:val="000B1705"/>
    <w:rsid w:val="000B1ADA"/>
    <w:rsid w:val="000B5425"/>
    <w:rsid w:val="000C5DE2"/>
    <w:rsid w:val="000C7FDC"/>
    <w:rsid w:val="000D0496"/>
    <w:rsid w:val="000D75B2"/>
    <w:rsid w:val="000E6180"/>
    <w:rsid w:val="000F1A10"/>
    <w:rsid w:val="0010437C"/>
    <w:rsid w:val="00106A7C"/>
    <w:rsid w:val="00107CE4"/>
    <w:rsid w:val="001121F5"/>
    <w:rsid w:val="001123DF"/>
    <w:rsid w:val="001144BA"/>
    <w:rsid w:val="00117BEC"/>
    <w:rsid w:val="00117CBE"/>
    <w:rsid w:val="00131987"/>
    <w:rsid w:val="00134860"/>
    <w:rsid w:val="001361FF"/>
    <w:rsid w:val="00137438"/>
    <w:rsid w:val="00140CE1"/>
    <w:rsid w:val="0015054B"/>
    <w:rsid w:val="001527F0"/>
    <w:rsid w:val="001529FA"/>
    <w:rsid w:val="00156435"/>
    <w:rsid w:val="00163A66"/>
    <w:rsid w:val="001674FF"/>
    <w:rsid w:val="0017046E"/>
    <w:rsid w:val="001708A0"/>
    <w:rsid w:val="00170E25"/>
    <w:rsid w:val="00172FAB"/>
    <w:rsid w:val="0017539C"/>
    <w:rsid w:val="00175476"/>
    <w:rsid w:val="00175AC2"/>
    <w:rsid w:val="0017609F"/>
    <w:rsid w:val="00176186"/>
    <w:rsid w:val="001767CE"/>
    <w:rsid w:val="00177C23"/>
    <w:rsid w:val="00194E99"/>
    <w:rsid w:val="00195B4D"/>
    <w:rsid w:val="001A3ECD"/>
    <w:rsid w:val="001A59CB"/>
    <w:rsid w:val="001A7F84"/>
    <w:rsid w:val="001B0822"/>
    <w:rsid w:val="001C628E"/>
    <w:rsid w:val="001C6BF9"/>
    <w:rsid w:val="001C76A2"/>
    <w:rsid w:val="001D1884"/>
    <w:rsid w:val="001D2580"/>
    <w:rsid w:val="001D2BEE"/>
    <w:rsid w:val="001D6B29"/>
    <w:rsid w:val="001E0F7B"/>
    <w:rsid w:val="001E185A"/>
    <w:rsid w:val="001E5C49"/>
    <w:rsid w:val="001E7C40"/>
    <w:rsid w:val="001F185B"/>
    <w:rsid w:val="001F36DD"/>
    <w:rsid w:val="001F5129"/>
    <w:rsid w:val="001F6DF5"/>
    <w:rsid w:val="00200C3C"/>
    <w:rsid w:val="00202852"/>
    <w:rsid w:val="00206C1D"/>
    <w:rsid w:val="002079FD"/>
    <w:rsid w:val="002101D4"/>
    <w:rsid w:val="002119FD"/>
    <w:rsid w:val="00211E82"/>
    <w:rsid w:val="002130E0"/>
    <w:rsid w:val="002209DB"/>
    <w:rsid w:val="00222040"/>
    <w:rsid w:val="002241C6"/>
    <w:rsid w:val="00227160"/>
    <w:rsid w:val="002271DE"/>
    <w:rsid w:val="00231515"/>
    <w:rsid w:val="00233A6F"/>
    <w:rsid w:val="00234A1D"/>
    <w:rsid w:val="002364CE"/>
    <w:rsid w:val="002369A3"/>
    <w:rsid w:val="00241827"/>
    <w:rsid w:val="0025379D"/>
    <w:rsid w:val="002569E8"/>
    <w:rsid w:val="0025743F"/>
    <w:rsid w:val="002606B7"/>
    <w:rsid w:val="00265875"/>
    <w:rsid w:val="00272E7E"/>
    <w:rsid w:val="0027303B"/>
    <w:rsid w:val="0028109B"/>
    <w:rsid w:val="0028120D"/>
    <w:rsid w:val="00282F35"/>
    <w:rsid w:val="00283B13"/>
    <w:rsid w:val="00284ACB"/>
    <w:rsid w:val="00284D02"/>
    <w:rsid w:val="0028559A"/>
    <w:rsid w:val="002957E5"/>
    <w:rsid w:val="002A165D"/>
    <w:rsid w:val="002A5B4E"/>
    <w:rsid w:val="002A65C0"/>
    <w:rsid w:val="002A7785"/>
    <w:rsid w:val="002B1F58"/>
    <w:rsid w:val="002B3F69"/>
    <w:rsid w:val="002B66CD"/>
    <w:rsid w:val="002B758F"/>
    <w:rsid w:val="002C0596"/>
    <w:rsid w:val="002C1C7A"/>
    <w:rsid w:val="002C4C50"/>
    <w:rsid w:val="002C607F"/>
    <w:rsid w:val="002D2857"/>
    <w:rsid w:val="002D3CD0"/>
    <w:rsid w:val="002D6EA7"/>
    <w:rsid w:val="002D7163"/>
    <w:rsid w:val="002E225C"/>
    <w:rsid w:val="002E2827"/>
    <w:rsid w:val="002E6CFB"/>
    <w:rsid w:val="002E6D8D"/>
    <w:rsid w:val="002F29BC"/>
    <w:rsid w:val="002F4ABA"/>
    <w:rsid w:val="002F7DB3"/>
    <w:rsid w:val="0030160F"/>
    <w:rsid w:val="00302F49"/>
    <w:rsid w:val="003031EE"/>
    <w:rsid w:val="0031617C"/>
    <w:rsid w:val="00321398"/>
    <w:rsid w:val="00321DEA"/>
    <w:rsid w:val="00322D0D"/>
    <w:rsid w:val="003247F7"/>
    <w:rsid w:val="00324D79"/>
    <w:rsid w:val="003306CB"/>
    <w:rsid w:val="003332B3"/>
    <w:rsid w:val="0033339F"/>
    <w:rsid w:val="00334BAD"/>
    <w:rsid w:val="003373E4"/>
    <w:rsid w:val="0033765A"/>
    <w:rsid w:val="0034706F"/>
    <w:rsid w:val="00351E4D"/>
    <w:rsid w:val="00352C43"/>
    <w:rsid w:val="003558A1"/>
    <w:rsid w:val="00356358"/>
    <w:rsid w:val="00362A11"/>
    <w:rsid w:val="003641B9"/>
    <w:rsid w:val="00364848"/>
    <w:rsid w:val="00367324"/>
    <w:rsid w:val="00371C2A"/>
    <w:rsid w:val="0037241D"/>
    <w:rsid w:val="003746B2"/>
    <w:rsid w:val="00380661"/>
    <w:rsid w:val="00381137"/>
    <w:rsid w:val="00381753"/>
    <w:rsid w:val="003831CF"/>
    <w:rsid w:val="00383721"/>
    <w:rsid w:val="003942D4"/>
    <w:rsid w:val="003958A8"/>
    <w:rsid w:val="003A3FB4"/>
    <w:rsid w:val="003A65C1"/>
    <w:rsid w:val="003A7795"/>
    <w:rsid w:val="003B0FB9"/>
    <w:rsid w:val="003B73FD"/>
    <w:rsid w:val="003C2533"/>
    <w:rsid w:val="003C3FA2"/>
    <w:rsid w:val="003C5EF2"/>
    <w:rsid w:val="003D1D4B"/>
    <w:rsid w:val="003D29A0"/>
    <w:rsid w:val="003D394A"/>
    <w:rsid w:val="003D55E0"/>
    <w:rsid w:val="003D5BED"/>
    <w:rsid w:val="003E1E03"/>
    <w:rsid w:val="003E5AA6"/>
    <w:rsid w:val="003E7B3B"/>
    <w:rsid w:val="003F2C5F"/>
    <w:rsid w:val="003F5903"/>
    <w:rsid w:val="0040435A"/>
    <w:rsid w:val="00407C3C"/>
    <w:rsid w:val="00413D78"/>
    <w:rsid w:val="004152F2"/>
    <w:rsid w:val="00416A24"/>
    <w:rsid w:val="004203D6"/>
    <w:rsid w:val="004249CF"/>
    <w:rsid w:val="00424D18"/>
    <w:rsid w:val="00426543"/>
    <w:rsid w:val="00427904"/>
    <w:rsid w:val="00431D9E"/>
    <w:rsid w:val="00433CE8"/>
    <w:rsid w:val="00434A5C"/>
    <w:rsid w:val="004366F9"/>
    <w:rsid w:val="0044148F"/>
    <w:rsid w:val="00446E72"/>
    <w:rsid w:val="00451CB7"/>
    <w:rsid w:val="00452C2B"/>
    <w:rsid w:val="0045391D"/>
    <w:rsid w:val="004544D9"/>
    <w:rsid w:val="004601FB"/>
    <w:rsid w:val="0046161E"/>
    <w:rsid w:val="0046396D"/>
    <w:rsid w:val="00465501"/>
    <w:rsid w:val="00465ECD"/>
    <w:rsid w:val="00466027"/>
    <w:rsid w:val="00466E22"/>
    <w:rsid w:val="00476930"/>
    <w:rsid w:val="004820A8"/>
    <w:rsid w:val="00482DD8"/>
    <w:rsid w:val="004844DC"/>
    <w:rsid w:val="0048521A"/>
    <w:rsid w:val="00490E72"/>
    <w:rsid w:val="004921C8"/>
    <w:rsid w:val="004A1A1C"/>
    <w:rsid w:val="004A1EE0"/>
    <w:rsid w:val="004A2B9D"/>
    <w:rsid w:val="004A2CAE"/>
    <w:rsid w:val="004A32D9"/>
    <w:rsid w:val="004A60C0"/>
    <w:rsid w:val="004A6176"/>
    <w:rsid w:val="004B05FC"/>
    <w:rsid w:val="004B0C53"/>
    <w:rsid w:val="004B23C7"/>
    <w:rsid w:val="004B3F98"/>
    <w:rsid w:val="004B6620"/>
    <w:rsid w:val="004C08CA"/>
    <w:rsid w:val="004C138C"/>
    <w:rsid w:val="004C3B6D"/>
    <w:rsid w:val="004D018D"/>
    <w:rsid w:val="004D15F0"/>
    <w:rsid w:val="004D1851"/>
    <w:rsid w:val="004D599D"/>
    <w:rsid w:val="004D5D30"/>
    <w:rsid w:val="004E07FA"/>
    <w:rsid w:val="004E2CF3"/>
    <w:rsid w:val="004E2D00"/>
    <w:rsid w:val="004E2EA5"/>
    <w:rsid w:val="004E3AEB"/>
    <w:rsid w:val="004F0164"/>
    <w:rsid w:val="004F4BD3"/>
    <w:rsid w:val="004F5A92"/>
    <w:rsid w:val="004F7B47"/>
    <w:rsid w:val="0050097E"/>
    <w:rsid w:val="00500F34"/>
    <w:rsid w:val="0050223C"/>
    <w:rsid w:val="005048C5"/>
    <w:rsid w:val="00506231"/>
    <w:rsid w:val="00510B83"/>
    <w:rsid w:val="0051663A"/>
    <w:rsid w:val="005169E7"/>
    <w:rsid w:val="005173C5"/>
    <w:rsid w:val="005243FF"/>
    <w:rsid w:val="00532DD0"/>
    <w:rsid w:val="00533A76"/>
    <w:rsid w:val="0053584D"/>
    <w:rsid w:val="00536285"/>
    <w:rsid w:val="005368BA"/>
    <w:rsid w:val="00536ADC"/>
    <w:rsid w:val="00542C51"/>
    <w:rsid w:val="00542F98"/>
    <w:rsid w:val="00545D43"/>
    <w:rsid w:val="00553329"/>
    <w:rsid w:val="00557749"/>
    <w:rsid w:val="005614EF"/>
    <w:rsid w:val="00564FBC"/>
    <w:rsid w:val="00570E21"/>
    <w:rsid w:val="005719F8"/>
    <w:rsid w:val="00581299"/>
    <w:rsid w:val="005823B0"/>
    <w:rsid w:val="00582442"/>
    <w:rsid w:val="005834FC"/>
    <w:rsid w:val="00584DC3"/>
    <w:rsid w:val="005861D1"/>
    <w:rsid w:val="00587678"/>
    <w:rsid w:val="0059225E"/>
    <w:rsid w:val="00592B72"/>
    <w:rsid w:val="005953B4"/>
    <w:rsid w:val="005956AE"/>
    <w:rsid w:val="005A32C0"/>
    <w:rsid w:val="005A7A7D"/>
    <w:rsid w:val="005B0D63"/>
    <w:rsid w:val="005B17BA"/>
    <w:rsid w:val="005B3F3A"/>
    <w:rsid w:val="005B4922"/>
    <w:rsid w:val="005B5204"/>
    <w:rsid w:val="005C3659"/>
    <w:rsid w:val="005C3759"/>
    <w:rsid w:val="005C519C"/>
    <w:rsid w:val="005C73B7"/>
    <w:rsid w:val="005D2C60"/>
    <w:rsid w:val="005D353C"/>
    <w:rsid w:val="006025C4"/>
    <w:rsid w:val="0060388B"/>
    <w:rsid w:val="0060516D"/>
    <w:rsid w:val="00605A67"/>
    <w:rsid w:val="0060737F"/>
    <w:rsid w:val="006078F7"/>
    <w:rsid w:val="006104DA"/>
    <w:rsid w:val="00610C5C"/>
    <w:rsid w:val="00612525"/>
    <w:rsid w:val="00614969"/>
    <w:rsid w:val="006218D3"/>
    <w:rsid w:val="00621AD2"/>
    <w:rsid w:val="00633917"/>
    <w:rsid w:val="00634C27"/>
    <w:rsid w:val="006355BF"/>
    <w:rsid w:val="0063567F"/>
    <w:rsid w:val="00640CC5"/>
    <w:rsid w:val="00641443"/>
    <w:rsid w:val="0064144F"/>
    <w:rsid w:val="00645543"/>
    <w:rsid w:val="006478FD"/>
    <w:rsid w:val="006535F1"/>
    <w:rsid w:val="00654265"/>
    <w:rsid w:val="006547B1"/>
    <w:rsid w:val="0065557D"/>
    <w:rsid w:val="00657962"/>
    <w:rsid w:val="0066165D"/>
    <w:rsid w:val="00662984"/>
    <w:rsid w:val="0067055C"/>
    <w:rsid w:val="006716BB"/>
    <w:rsid w:val="0067246D"/>
    <w:rsid w:val="00672830"/>
    <w:rsid w:val="00676276"/>
    <w:rsid w:val="006829F3"/>
    <w:rsid w:val="00682EF1"/>
    <w:rsid w:val="0068385A"/>
    <w:rsid w:val="0068618C"/>
    <w:rsid w:val="00691ADA"/>
    <w:rsid w:val="006A1558"/>
    <w:rsid w:val="006A2BF6"/>
    <w:rsid w:val="006A3BC7"/>
    <w:rsid w:val="006A690E"/>
    <w:rsid w:val="006B34FA"/>
    <w:rsid w:val="006B3E48"/>
    <w:rsid w:val="006B4BB1"/>
    <w:rsid w:val="006B6DCC"/>
    <w:rsid w:val="006C0CAF"/>
    <w:rsid w:val="006C3234"/>
    <w:rsid w:val="006C35E3"/>
    <w:rsid w:val="006C5D80"/>
    <w:rsid w:val="006D0C65"/>
    <w:rsid w:val="006D5B51"/>
    <w:rsid w:val="006E3CE4"/>
    <w:rsid w:val="006E4196"/>
    <w:rsid w:val="006F42FE"/>
    <w:rsid w:val="006F7E76"/>
    <w:rsid w:val="00702B95"/>
    <w:rsid w:val="00704883"/>
    <w:rsid w:val="00714514"/>
    <w:rsid w:val="00725B8E"/>
    <w:rsid w:val="007315C4"/>
    <w:rsid w:val="007321FC"/>
    <w:rsid w:val="00734875"/>
    <w:rsid w:val="007354B0"/>
    <w:rsid w:val="00735616"/>
    <w:rsid w:val="00737C9C"/>
    <w:rsid w:val="00740894"/>
    <w:rsid w:val="007422E8"/>
    <w:rsid w:val="00743403"/>
    <w:rsid w:val="00745191"/>
    <w:rsid w:val="007467C4"/>
    <w:rsid w:val="00746DEC"/>
    <w:rsid w:val="0075051B"/>
    <w:rsid w:val="00751F1D"/>
    <w:rsid w:val="00753492"/>
    <w:rsid w:val="00753DB8"/>
    <w:rsid w:val="00757126"/>
    <w:rsid w:val="00757698"/>
    <w:rsid w:val="00762680"/>
    <w:rsid w:val="00762F5B"/>
    <w:rsid w:val="0076344C"/>
    <w:rsid w:val="00770A1C"/>
    <w:rsid w:val="007757B7"/>
    <w:rsid w:val="00780FBB"/>
    <w:rsid w:val="00782DB5"/>
    <w:rsid w:val="007853AE"/>
    <w:rsid w:val="00786E58"/>
    <w:rsid w:val="00790294"/>
    <w:rsid w:val="00791548"/>
    <w:rsid w:val="00794D34"/>
    <w:rsid w:val="007A08A3"/>
    <w:rsid w:val="007A141C"/>
    <w:rsid w:val="007A31F4"/>
    <w:rsid w:val="007B179D"/>
    <w:rsid w:val="007B2C6D"/>
    <w:rsid w:val="007B3795"/>
    <w:rsid w:val="007B3D1C"/>
    <w:rsid w:val="007B4584"/>
    <w:rsid w:val="007B685D"/>
    <w:rsid w:val="007B76CF"/>
    <w:rsid w:val="007B7E1A"/>
    <w:rsid w:val="007C6FE3"/>
    <w:rsid w:val="007D0B3B"/>
    <w:rsid w:val="007D4A14"/>
    <w:rsid w:val="007D5ACF"/>
    <w:rsid w:val="007E4DFF"/>
    <w:rsid w:val="007F0681"/>
    <w:rsid w:val="007F150E"/>
    <w:rsid w:val="007F2026"/>
    <w:rsid w:val="007F3001"/>
    <w:rsid w:val="007F31F7"/>
    <w:rsid w:val="00802785"/>
    <w:rsid w:val="0080483A"/>
    <w:rsid w:val="00806B0B"/>
    <w:rsid w:val="00806C3E"/>
    <w:rsid w:val="00810A7E"/>
    <w:rsid w:val="008116CF"/>
    <w:rsid w:val="008121B9"/>
    <w:rsid w:val="008130A3"/>
    <w:rsid w:val="00813E5E"/>
    <w:rsid w:val="0081557E"/>
    <w:rsid w:val="00816E98"/>
    <w:rsid w:val="00817D5B"/>
    <w:rsid w:val="00820A2E"/>
    <w:rsid w:val="00823C98"/>
    <w:rsid w:val="00826221"/>
    <w:rsid w:val="0083581B"/>
    <w:rsid w:val="0084411B"/>
    <w:rsid w:val="008503D8"/>
    <w:rsid w:val="0085345D"/>
    <w:rsid w:val="00853A54"/>
    <w:rsid w:val="008558B5"/>
    <w:rsid w:val="0086223C"/>
    <w:rsid w:val="00862E19"/>
    <w:rsid w:val="008633EC"/>
    <w:rsid w:val="00864AFF"/>
    <w:rsid w:val="008667C3"/>
    <w:rsid w:val="00867362"/>
    <w:rsid w:val="0087022F"/>
    <w:rsid w:val="00871FCA"/>
    <w:rsid w:val="0088065E"/>
    <w:rsid w:val="00884959"/>
    <w:rsid w:val="00891815"/>
    <w:rsid w:val="00895FCC"/>
    <w:rsid w:val="00896C59"/>
    <w:rsid w:val="008A38F5"/>
    <w:rsid w:val="008A4B33"/>
    <w:rsid w:val="008B163E"/>
    <w:rsid w:val="008B3ED5"/>
    <w:rsid w:val="008B4A6A"/>
    <w:rsid w:val="008B5C2B"/>
    <w:rsid w:val="008C07C3"/>
    <w:rsid w:val="008C0CFB"/>
    <w:rsid w:val="008C0DB9"/>
    <w:rsid w:val="008C5322"/>
    <w:rsid w:val="008C7E27"/>
    <w:rsid w:val="008D0180"/>
    <w:rsid w:val="008D2060"/>
    <w:rsid w:val="008E0D64"/>
    <w:rsid w:val="008F09C5"/>
    <w:rsid w:val="008F1E7C"/>
    <w:rsid w:val="009018BF"/>
    <w:rsid w:val="009031E9"/>
    <w:rsid w:val="00906BF3"/>
    <w:rsid w:val="00914661"/>
    <w:rsid w:val="00915EB2"/>
    <w:rsid w:val="009173EF"/>
    <w:rsid w:val="009239A2"/>
    <w:rsid w:val="009239FF"/>
    <w:rsid w:val="009241D7"/>
    <w:rsid w:val="009267AA"/>
    <w:rsid w:val="00926940"/>
    <w:rsid w:val="00927192"/>
    <w:rsid w:val="00932906"/>
    <w:rsid w:val="009357DE"/>
    <w:rsid w:val="00936EAD"/>
    <w:rsid w:val="00941FC5"/>
    <w:rsid w:val="00942686"/>
    <w:rsid w:val="009435C5"/>
    <w:rsid w:val="0094467D"/>
    <w:rsid w:val="00961A2E"/>
    <w:rsid w:val="00961B0B"/>
    <w:rsid w:val="0096383C"/>
    <w:rsid w:val="009641C3"/>
    <w:rsid w:val="009643A7"/>
    <w:rsid w:val="009740C8"/>
    <w:rsid w:val="009746FB"/>
    <w:rsid w:val="00975664"/>
    <w:rsid w:val="00976E48"/>
    <w:rsid w:val="0097747C"/>
    <w:rsid w:val="00977DE8"/>
    <w:rsid w:val="00980D4D"/>
    <w:rsid w:val="0098162D"/>
    <w:rsid w:val="0098349E"/>
    <w:rsid w:val="00983B49"/>
    <w:rsid w:val="0099690A"/>
    <w:rsid w:val="009A0989"/>
    <w:rsid w:val="009A58D5"/>
    <w:rsid w:val="009A6EB5"/>
    <w:rsid w:val="009B38C3"/>
    <w:rsid w:val="009B3F6D"/>
    <w:rsid w:val="009C03CB"/>
    <w:rsid w:val="009C06A2"/>
    <w:rsid w:val="009C65CC"/>
    <w:rsid w:val="009D1EAC"/>
    <w:rsid w:val="009D3353"/>
    <w:rsid w:val="009D50D6"/>
    <w:rsid w:val="009E17BD"/>
    <w:rsid w:val="009E1B99"/>
    <w:rsid w:val="009E2447"/>
    <w:rsid w:val="009E674E"/>
    <w:rsid w:val="009E7915"/>
    <w:rsid w:val="009F01A9"/>
    <w:rsid w:val="009F0350"/>
    <w:rsid w:val="009F4CEF"/>
    <w:rsid w:val="009F53D4"/>
    <w:rsid w:val="00A04CEC"/>
    <w:rsid w:val="00A06A40"/>
    <w:rsid w:val="00A06C66"/>
    <w:rsid w:val="00A155B2"/>
    <w:rsid w:val="00A15E0E"/>
    <w:rsid w:val="00A17958"/>
    <w:rsid w:val="00A17CAB"/>
    <w:rsid w:val="00A22B29"/>
    <w:rsid w:val="00A22E33"/>
    <w:rsid w:val="00A25EFA"/>
    <w:rsid w:val="00A27F92"/>
    <w:rsid w:val="00A32257"/>
    <w:rsid w:val="00A327F8"/>
    <w:rsid w:val="00A36D20"/>
    <w:rsid w:val="00A37885"/>
    <w:rsid w:val="00A438A7"/>
    <w:rsid w:val="00A44EB0"/>
    <w:rsid w:val="00A46BDF"/>
    <w:rsid w:val="00A55622"/>
    <w:rsid w:val="00A55FF9"/>
    <w:rsid w:val="00A56DA2"/>
    <w:rsid w:val="00A6129F"/>
    <w:rsid w:val="00A627A9"/>
    <w:rsid w:val="00A6294B"/>
    <w:rsid w:val="00A6548E"/>
    <w:rsid w:val="00A65E12"/>
    <w:rsid w:val="00A66F90"/>
    <w:rsid w:val="00A750A3"/>
    <w:rsid w:val="00A77840"/>
    <w:rsid w:val="00A80896"/>
    <w:rsid w:val="00A83502"/>
    <w:rsid w:val="00A855DC"/>
    <w:rsid w:val="00A85786"/>
    <w:rsid w:val="00A87019"/>
    <w:rsid w:val="00A87311"/>
    <w:rsid w:val="00A902DD"/>
    <w:rsid w:val="00A91D29"/>
    <w:rsid w:val="00A921AB"/>
    <w:rsid w:val="00A925B2"/>
    <w:rsid w:val="00A92F08"/>
    <w:rsid w:val="00A930F9"/>
    <w:rsid w:val="00A9359D"/>
    <w:rsid w:val="00A94BF4"/>
    <w:rsid w:val="00A969C5"/>
    <w:rsid w:val="00A96D78"/>
    <w:rsid w:val="00AA00BD"/>
    <w:rsid w:val="00AA06C1"/>
    <w:rsid w:val="00AA4949"/>
    <w:rsid w:val="00AA4F19"/>
    <w:rsid w:val="00AA71D6"/>
    <w:rsid w:val="00AA7EA7"/>
    <w:rsid w:val="00AB119D"/>
    <w:rsid w:val="00AB2B54"/>
    <w:rsid w:val="00AB37BA"/>
    <w:rsid w:val="00AB581C"/>
    <w:rsid w:val="00AC047A"/>
    <w:rsid w:val="00AC4FCF"/>
    <w:rsid w:val="00AD7F19"/>
    <w:rsid w:val="00AE2E08"/>
    <w:rsid w:val="00AE31BF"/>
    <w:rsid w:val="00AE39A8"/>
    <w:rsid w:val="00AF67EC"/>
    <w:rsid w:val="00AF6E49"/>
    <w:rsid w:val="00B001C9"/>
    <w:rsid w:val="00B00D46"/>
    <w:rsid w:val="00B02100"/>
    <w:rsid w:val="00B04A67"/>
    <w:rsid w:val="00B0559F"/>
    <w:rsid w:val="00B0583C"/>
    <w:rsid w:val="00B069C2"/>
    <w:rsid w:val="00B1107B"/>
    <w:rsid w:val="00B113BC"/>
    <w:rsid w:val="00B11A7A"/>
    <w:rsid w:val="00B11DBB"/>
    <w:rsid w:val="00B148F7"/>
    <w:rsid w:val="00B200EA"/>
    <w:rsid w:val="00B20DD9"/>
    <w:rsid w:val="00B2670F"/>
    <w:rsid w:val="00B34CCF"/>
    <w:rsid w:val="00B352EB"/>
    <w:rsid w:val="00B369AD"/>
    <w:rsid w:val="00B40A81"/>
    <w:rsid w:val="00B44910"/>
    <w:rsid w:val="00B47D44"/>
    <w:rsid w:val="00B50AA8"/>
    <w:rsid w:val="00B50CE5"/>
    <w:rsid w:val="00B528BA"/>
    <w:rsid w:val="00B52919"/>
    <w:rsid w:val="00B5650F"/>
    <w:rsid w:val="00B66546"/>
    <w:rsid w:val="00B72267"/>
    <w:rsid w:val="00B74C88"/>
    <w:rsid w:val="00B74D78"/>
    <w:rsid w:val="00B76EB6"/>
    <w:rsid w:val="00B81213"/>
    <w:rsid w:val="00B824C8"/>
    <w:rsid w:val="00B82F9B"/>
    <w:rsid w:val="00BA6CBB"/>
    <w:rsid w:val="00BA7A9B"/>
    <w:rsid w:val="00BB0302"/>
    <w:rsid w:val="00BB11E4"/>
    <w:rsid w:val="00BB3F33"/>
    <w:rsid w:val="00BB4CDD"/>
    <w:rsid w:val="00BB5EC4"/>
    <w:rsid w:val="00BC251A"/>
    <w:rsid w:val="00BC3526"/>
    <w:rsid w:val="00BD032B"/>
    <w:rsid w:val="00BE05D0"/>
    <w:rsid w:val="00BE0E73"/>
    <w:rsid w:val="00BE2640"/>
    <w:rsid w:val="00BE46D9"/>
    <w:rsid w:val="00BE72FC"/>
    <w:rsid w:val="00BE765F"/>
    <w:rsid w:val="00BE7BF4"/>
    <w:rsid w:val="00BF2783"/>
    <w:rsid w:val="00BF34A5"/>
    <w:rsid w:val="00BF418F"/>
    <w:rsid w:val="00C01189"/>
    <w:rsid w:val="00C02180"/>
    <w:rsid w:val="00C026BE"/>
    <w:rsid w:val="00C03E76"/>
    <w:rsid w:val="00C04ACE"/>
    <w:rsid w:val="00C0737C"/>
    <w:rsid w:val="00C110B3"/>
    <w:rsid w:val="00C1640D"/>
    <w:rsid w:val="00C1663F"/>
    <w:rsid w:val="00C20B9A"/>
    <w:rsid w:val="00C2520C"/>
    <w:rsid w:val="00C25A22"/>
    <w:rsid w:val="00C269CF"/>
    <w:rsid w:val="00C31310"/>
    <w:rsid w:val="00C35BC0"/>
    <w:rsid w:val="00C374DE"/>
    <w:rsid w:val="00C374E4"/>
    <w:rsid w:val="00C47AD4"/>
    <w:rsid w:val="00C528CC"/>
    <w:rsid w:val="00C52D81"/>
    <w:rsid w:val="00C544D4"/>
    <w:rsid w:val="00C55198"/>
    <w:rsid w:val="00C55362"/>
    <w:rsid w:val="00C55F27"/>
    <w:rsid w:val="00C63173"/>
    <w:rsid w:val="00C704B7"/>
    <w:rsid w:val="00C75987"/>
    <w:rsid w:val="00C75B97"/>
    <w:rsid w:val="00C75F90"/>
    <w:rsid w:val="00C7645B"/>
    <w:rsid w:val="00C76FE2"/>
    <w:rsid w:val="00C82A00"/>
    <w:rsid w:val="00C83EA7"/>
    <w:rsid w:val="00C84B6C"/>
    <w:rsid w:val="00C8646A"/>
    <w:rsid w:val="00C86CD1"/>
    <w:rsid w:val="00C946B9"/>
    <w:rsid w:val="00CA04C6"/>
    <w:rsid w:val="00CA0ADA"/>
    <w:rsid w:val="00CA540F"/>
    <w:rsid w:val="00CA6393"/>
    <w:rsid w:val="00CB022D"/>
    <w:rsid w:val="00CB18FF"/>
    <w:rsid w:val="00CB7D84"/>
    <w:rsid w:val="00CB7F68"/>
    <w:rsid w:val="00CC2BAD"/>
    <w:rsid w:val="00CC4F29"/>
    <w:rsid w:val="00CC626F"/>
    <w:rsid w:val="00CD0C08"/>
    <w:rsid w:val="00CD4438"/>
    <w:rsid w:val="00CD71A9"/>
    <w:rsid w:val="00CE03FB"/>
    <w:rsid w:val="00CE433C"/>
    <w:rsid w:val="00CE4EE4"/>
    <w:rsid w:val="00CF2A0E"/>
    <w:rsid w:val="00CF33F3"/>
    <w:rsid w:val="00CF3767"/>
    <w:rsid w:val="00CF3C17"/>
    <w:rsid w:val="00D0075B"/>
    <w:rsid w:val="00D02FEF"/>
    <w:rsid w:val="00D06183"/>
    <w:rsid w:val="00D12A14"/>
    <w:rsid w:val="00D16D32"/>
    <w:rsid w:val="00D2068A"/>
    <w:rsid w:val="00D22C42"/>
    <w:rsid w:val="00D24C7C"/>
    <w:rsid w:val="00D2688A"/>
    <w:rsid w:val="00D30CF2"/>
    <w:rsid w:val="00D33C39"/>
    <w:rsid w:val="00D34880"/>
    <w:rsid w:val="00D4107F"/>
    <w:rsid w:val="00D4393D"/>
    <w:rsid w:val="00D468F2"/>
    <w:rsid w:val="00D53296"/>
    <w:rsid w:val="00D548EA"/>
    <w:rsid w:val="00D562CB"/>
    <w:rsid w:val="00D63021"/>
    <w:rsid w:val="00D64609"/>
    <w:rsid w:val="00D65041"/>
    <w:rsid w:val="00D67148"/>
    <w:rsid w:val="00D70716"/>
    <w:rsid w:val="00D71368"/>
    <w:rsid w:val="00D774E1"/>
    <w:rsid w:val="00D82688"/>
    <w:rsid w:val="00D826E6"/>
    <w:rsid w:val="00D901DA"/>
    <w:rsid w:val="00D92FFC"/>
    <w:rsid w:val="00D969D0"/>
    <w:rsid w:val="00DA0F3B"/>
    <w:rsid w:val="00DA29CD"/>
    <w:rsid w:val="00DA31FD"/>
    <w:rsid w:val="00DA49A6"/>
    <w:rsid w:val="00DA557F"/>
    <w:rsid w:val="00DA5D09"/>
    <w:rsid w:val="00DB1AD4"/>
    <w:rsid w:val="00DB4196"/>
    <w:rsid w:val="00DB44AD"/>
    <w:rsid w:val="00DB4541"/>
    <w:rsid w:val="00DB5075"/>
    <w:rsid w:val="00DB6D6C"/>
    <w:rsid w:val="00DC1270"/>
    <w:rsid w:val="00DD2135"/>
    <w:rsid w:val="00DD21BD"/>
    <w:rsid w:val="00DD21F7"/>
    <w:rsid w:val="00DD371C"/>
    <w:rsid w:val="00DD5CCF"/>
    <w:rsid w:val="00DE3B69"/>
    <w:rsid w:val="00DF1E91"/>
    <w:rsid w:val="00DF65B9"/>
    <w:rsid w:val="00E01FDA"/>
    <w:rsid w:val="00E026CF"/>
    <w:rsid w:val="00E101F1"/>
    <w:rsid w:val="00E10E80"/>
    <w:rsid w:val="00E124F0"/>
    <w:rsid w:val="00E13B3B"/>
    <w:rsid w:val="00E1533A"/>
    <w:rsid w:val="00E155F2"/>
    <w:rsid w:val="00E22412"/>
    <w:rsid w:val="00E22C41"/>
    <w:rsid w:val="00E24382"/>
    <w:rsid w:val="00E2621F"/>
    <w:rsid w:val="00E46841"/>
    <w:rsid w:val="00E57212"/>
    <w:rsid w:val="00E60F04"/>
    <w:rsid w:val="00E647EF"/>
    <w:rsid w:val="00E6733A"/>
    <w:rsid w:val="00E676CA"/>
    <w:rsid w:val="00E70B54"/>
    <w:rsid w:val="00E737BC"/>
    <w:rsid w:val="00E752E3"/>
    <w:rsid w:val="00E774F5"/>
    <w:rsid w:val="00E82A5B"/>
    <w:rsid w:val="00E94F60"/>
    <w:rsid w:val="00E97803"/>
    <w:rsid w:val="00EA0C92"/>
    <w:rsid w:val="00EA0D35"/>
    <w:rsid w:val="00EA1255"/>
    <w:rsid w:val="00EA7C0D"/>
    <w:rsid w:val="00EB0D6F"/>
    <w:rsid w:val="00EB2232"/>
    <w:rsid w:val="00EB3B73"/>
    <w:rsid w:val="00EB539F"/>
    <w:rsid w:val="00EC5337"/>
    <w:rsid w:val="00ED0617"/>
    <w:rsid w:val="00ED34A5"/>
    <w:rsid w:val="00ED47DF"/>
    <w:rsid w:val="00EF5D4E"/>
    <w:rsid w:val="00EF69C9"/>
    <w:rsid w:val="00EF76E5"/>
    <w:rsid w:val="00F06885"/>
    <w:rsid w:val="00F13F85"/>
    <w:rsid w:val="00F14880"/>
    <w:rsid w:val="00F17C2F"/>
    <w:rsid w:val="00F2150A"/>
    <w:rsid w:val="00F219A4"/>
    <w:rsid w:val="00F223DA"/>
    <w:rsid w:val="00F231D8"/>
    <w:rsid w:val="00F234A2"/>
    <w:rsid w:val="00F235CC"/>
    <w:rsid w:val="00F30539"/>
    <w:rsid w:val="00F30D9B"/>
    <w:rsid w:val="00F32360"/>
    <w:rsid w:val="00F3336C"/>
    <w:rsid w:val="00F333EF"/>
    <w:rsid w:val="00F336A7"/>
    <w:rsid w:val="00F37678"/>
    <w:rsid w:val="00F4142D"/>
    <w:rsid w:val="00F43957"/>
    <w:rsid w:val="00F44F0A"/>
    <w:rsid w:val="00F46C5F"/>
    <w:rsid w:val="00F614B7"/>
    <w:rsid w:val="00F65903"/>
    <w:rsid w:val="00F700E7"/>
    <w:rsid w:val="00F7372A"/>
    <w:rsid w:val="00F75162"/>
    <w:rsid w:val="00F75B08"/>
    <w:rsid w:val="00F777C5"/>
    <w:rsid w:val="00F77F32"/>
    <w:rsid w:val="00F84000"/>
    <w:rsid w:val="00F875DD"/>
    <w:rsid w:val="00F910B1"/>
    <w:rsid w:val="00F91EB2"/>
    <w:rsid w:val="00F92404"/>
    <w:rsid w:val="00F94A63"/>
    <w:rsid w:val="00FA0DEE"/>
    <w:rsid w:val="00FA17B8"/>
    <w:rsid w:val="00FA21D4"/>
    <w:rsid w:val="00FA4E2B"/>
    <w:rsid w:val="00FB06E8"/>
    <w:rsid w:val="00FB0B3C"/>
    <w:rsid w:val="00FB14B0"/>
    <w:rsid w:val="00FB7596"/>
    <w:rsid w:val="00FB7FB8"/>
    <w:rsid w:val="00FC0983"/>
    <w:rsid w:val="00FC0B2B"/>
    <w:rsid w:val="00FC11F3"/>
    <w:rsid w:val="00FC4233"/>
    <w:rsid w:val="00FC468B"/>
    <w:rsid w:val="00FC5BA9"/>
    <w:rsid w:val="00FC65B6"/>
    <w:rsid w:val="00FE4077"/>
    <w:rsid w:val="00FE5DB3"/>
    <w:rsid w:val="00FE6D95"/>
    <w:rsid w:val="00FE778B"/>
    <w:rsid w:val="00FE77D2"/>
    <w:rsid w:val="00FE7C3B"/>
    <w:rsid w:val="00FF3582"/>
    <w:rsid w:val="00FF37AA"/>
    <w:rsid w:val="00FF3D4F"/>
    <w:rsid w:val="00FF3F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5:docId w15:val="{44116B15-EA9B-420C-ADB8-9A2D59B4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AD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uiPriority w:val="9"/>
    <w:qFormat/>
    <w:rsid w:val="00C31310"/>
    <w:pPr>
      <w:keepNext/>
      <w:keepLines/>
      <w:spacing w:before="480"/>
      <w:ind w:left="794" w:hanging="794"/>
      <w:outlineLvl w:val="0"/>
    </w:pPr>
    <w:rPr>
      <w:b/>
    </w:rPr>
  </w:style>
  <w:style w:type="paragraph" w:styleId="Heading2">
    <w:name w:val="heading 2"/>
    <w:basedOn w:val="Heading1"/>
    <w:next w:val="Normal"/>
    <w:link w:val="Heading2Char"/>
    <w:uiPriority w:val="9"/>
    <w:qFormat/>
    <w:rsid w:val="00C35BC0"/>
    <w:pPr>
      <w:spacing w:before="320"/>
      <w:outlineLvl w:val="1"/>
    </w:pPr>
  </w:style>
  <w:style w:type="paragraph" w:styleId="Heading3">
    <w:name w:val="heading 3"/>
    <w:basedOn w:val="Heading1"/>
    <w:next w:val="Normal"/>
    <w:link w:val="Heading3Char"/>
    <w:uiPriority w:val="9"/>
    <w:qFormat/>
    <w:rsid w:val="00C35BC0"/>
    <w:pPr>
      <w:spacing w:before="200"/>
      <w:ind w:left="0" w:firstLine="0"/>
      <w:outlineLvl w:val="2"/>
    </w:pPr>
    <w:rPr>
      <w:rFonts w:ascii="Times New Roman Bold" w:hAnsi="Times New Roman Bold"/>
      <w:i/>
    </w:rPr>
  </w:style>
  <w:style w:type="paragraph" w:styleId="Heading4">
    <w:name w:val="heading 4"/>
    <w:basedOn w:val="Heading3"/>
    <w:next w:val="Normal"/>
    <w:link w:val="Heading4Char"/>
    <w:qFormat/>
    <w:rsid w:val="00C35BC0"/>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C35BC0"/>
    <w:pPr>
      <w:outlineLvl w:val="4"/>
    </w:pPr>
  </w:style>
  <w:style w:type="paragraph" w:styleId="Heading6">
    <w:name w:val="heading 6"/>
    <w:basedOn w:val="Heading4"/>
    <w:next w:val="Normal"/>
    <w:link w:val="Heading6Char"/>
    <w:qFormat/>
    <w:rsid w:val="00C35BC0"/>
    <w:pPr>
      <w:outlineLvl w:val="5"/>
    </w:pPr>
  </w:style>
  <w:style w:type="paragraph" w:styleId="Heading7">
    <w:name w:val="heading 7"/>
    <w:basedOn w:val="Heading6"/>
    <w:next w:val="Normal"/>
    <w:link w:val="Heading7Char"/>
    <w:qFormat/>
    <w:rsid w:val="00C35BC0"/>
    <w:pPr>
      <w:outlineLvl w:val="6"/>
    </w:pPr>
  </w:style>
  <w:style w:type="paragraph" w:styleId="Heading8">
    <w:name w:val="heading 8"/>
    <w:basedOn w:val="Heading6"/>
    <w:next w:val="Normal"/>
    <w:link w:val="Heading8Char"/>
    <w:qFormat/>
    <w:rsid w:val="00C35BC0"/>
    <w:pPr>
      <w:outlineLvl w:val="7"/>
    </w:pPr>
  </w:style>
  <w:style w:type="paragraph" w:styleId="Heading9">
    <w:name w:val="heading 9"/>
    <w:basedOn w:val="Heading6"/>
    <w:next w:val="Normal"/>
    <w:link w:val="Heading9Char"/>
    <w:qFormat/>
    <w:rsid w:val="00C35B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C35BC0"/>
  </w:style>
  <w:style w:type="paragraph" w:styleId="TOC4">
    <w:name w:val="toc 4"/>
    <w:basedOn w:val="TOC3"/>
    <w:rsid w:val="00C35BC0"/>
    <w:pPr>
      <w:spacing w:before="80"/>
    </w:pPr>
  </w:style>
  <w:style w:type="paragraph" w:styleId="TOC3">
    <w:name w:val="toc 3"/>
    <w:basedOn w:val="TOC2"/>
    <w:uiPriority w:val="39"/>
    <w:qFormat/>
    <w:rsid w:val="00C35BC0"/>
  </w:style>
  <w:style w:type="paragraph" w:styleId="TOC2">
    <w:name w:val="toc 2"/>
    <w:basedOn w:val="TOC1"/>
    <w:uiPriority w:val="39"/>
    <w:qFormat/>
    <w:rsid w:val="00C35BC0"/>
    <w:pPr>
      <w:spacing w:before="160"/>
    </w:pPr>
  </w:style>
  <w:style w:type="paragraph" w:styleId="TOC1">
    <w:name w:val="toc 1"/>
    <w:basedOn w:val="Normal"/>
    <w:uiPriority w:val="39"/>
    <w:qFormat/>
    <w:rsid w:val="00C35BC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C35BC0"/>
  </w:style>
  <w:style w:type="paragraph" w:styleId="TOC6">
    <w:name w:val="toc 6"/>
    <w:basedOn w:val="TOC4"/>
    <w:rsid w:val="00C35BC0"/>
  </w:style>
  <w:style w:type="paragraph" w:styleId="TOC5">
    <w:name w:val="toc 5"/>
    <w:basedOn w:val="TOC4"/>
    <w:rsid w:val="00C35BC0"/>
  </w:style>
  <w:style w:type="paragraph" w:styleId="Index7">
    <w:name w:val="index 7"/>
    <w:basedOn w:val="Normal"/>
    <w:next w:val="Normal"/>
    <w:rsid w:val="00C35BC0"/>
    <w:pPr>
      <w:ind w:left="1698"/>
    </w:pPr>
  </w:style>
  <w:style w:type="paragraph" w:styleId="Index6">
    <w:name w:val="index 6"/>
    <w:basedOn w:val="Normal"/>
    <w:next w:val="Normal"/>
    <w:rsid w:val="00C35BC0"/>
    <w:pPr>
      <w:ind w:left="1415"/>
    </w:pPr>
  </w:style>
  <w:style w:type="paragraph" w:styleId="Index5">
    <w:name w:val="index 5"/>
    <w:basedOn w:val="Normal"/>
    <w:next w:val="Normal"/>
    <w:rsid w:val="00C35BC0"/>
    <w:pPr>
      <w:ind w:left="1132"/>
    </w:pPr>
  </w:style>
  <w:style w:type="paragraph" w:styleId="Index4">
    <w:name w:val="index 4"/>
    <w:basedOn w:val="Normal"/>
    <w:next w:val="Normal"/>
    <w:rsid w:val="00C35BC0"/>
    <w:pPr>
      <w:ind w:left="849"/>
    </w:pPr>
  </w:style>
  <w:style w:type="paragraph" w:styleId="Index3">
    <w:name w:val="index 3"/>
    <w:basedOn w:val="Normal"/>
    <w:next w:val="Normal"/>
    <w:rsid w:val="00C35BC0"/>
    <w:pPr>
      <w:ind w:left="566"/>
    </w:pPr>
  </w:style>
  <w:style w:type="paragraph" w:styleId="Index2">
    <w:name w:val="index 2"/>
    <w:basedOn w:val="Normal"/>
    <w:next w:val="Normal"/>
    <w:rsid w:val="00C35BC0"/>
    <w:pPr>
      <w:ind w:left="283"/>
    </w:pPr>
  </w:style>
  <w:style w:type="paragraph" w:styleId="Index1">
    <w:name w:val="index 1"/>
    <w:basedOn w:val="Normal"/>
    <w:next w:val="Normal"/>
    <w:rsid w:val="00C35BC0"/>
  </w:style>
  <w:style w:type="character" w:styleId="LineNumber">
    <w:name w:val="line number"/>
    <w:basedOn w:val="DefaultParagraphFont"/>
    <w:rsid w:val="00C35BC0"/>
  </w:style>
  <w:style w:type="paragraph" w:styleId="IndexHeading">
    <w:name w:val="index heading"/>
    <w:basedOn w:val="Normal"/>
    <w:next w:val="Index1"/>
    <w:rsid w:val="00C35BC0"/>
  </w:style>
  <w:style w:type="paragraph" w:styleId="Footer">
    <w:name w:val="footer"/>
    <w:basedOn w:val="Normal"/>
    <w:link w:val="FooterChar"/>
    <w:uiPriority w:val="99"/>
    <w:rsid w:val="00C35BC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C35BC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C35BC0"/>
    <w:rPr>
      <w:position w:val="6"/>
      <w:sz w:val="16"/>
    </w:rPr>
  </w:style>
  <w:style w:type="paragraph" w:styleId="FootnoteText">
    <w:name w:val="footnote text"/>
    <w:basedOn w:val="Normal"/>
    <w:link w:val="FootnoteTextChar"/>
    <w:rsid w:val="00C35BC0"/>
    <w:pPr>
      <w:keepLines/>
      <w:tabs>
        <w:tab w:val="left" w:pos="255"/>
      </w:tabs>
      <w:spacing w:before="60"/>
      <w:ind w:left="284" w:hanging="284"/>
    </w:pPr>
    <w:rPr>
      <w:sz w:val="20"/>
    </w:rPr>
  </w:style>
  <w:style w:type="paragraph" w:styleId="NormalIndent">
    <w:name w:val="Normal Indent"/>
    <w:basedOn w:val="Normal"/>
    <w:rsid w:val="00C35BC0"/>
    <w:pPr>
      <w:ind w:left="794"/>
    </w:pPr>
  </w:style>
  <w:style w:type="paragraph" w:customStyle="1" w:styleId="enumlev1">
    <w:name w:val="enumlev1"/>
    <w:basedOn w:val="Normal"/>
    <w:link w:val="enumlev1Char"/>
    <w:rsid w:val="00C35BC0"/>
    <w:pPr>
      <w:tabs>
        <w:tab w:val="left" w:pos="2608"/>
        <w:tab w:val="left" w:pos="3345"/>
      </w:tabs>
      <w:spacing w:before="80"/>
      <w:ind w:left="794" w:hanging="794"/>
    </w:pPr>
  </w:style>
  <w:style w:type="paragraph" w:customStyle="1" w:styleId="enumlev2">
    <w:name w:val="enumlev2"/>
    <w:basedOn w:val="enumlev1"/>
    <w:rsid w:val="00C35BC0"/>
    <w:pPr>
      <w:ind w:left="1191" w:hanging="397"/>
    </w:pPr>
  </w:style>
  <w:style w:type="paragraph" w:customStyle="1" w:styleId="enumlev3">
    <w:name w:val="enumlev3"/>
    <w:basedOn w:val="enumlev2"/>
    <w:rsid w:val="00C35BC0"/>
    <w:pPr>
      <w:ind w:left="1588"/>
    </w:pPr>
  </w:style>
  <w:style w:type="paragraph" w:customStyle="1" w:styleId="Normalaftertitle">
    <w:name w:val="Normal after title"/>
    <w:basedOn w:val="Normal"/>
    <w:next w:val="Normal"/>
    <w:link w:val="NormalaftertitleChar"/>
    <w:rsid w:val="00C35BC0"/>
    <w:pPr>
      <w:spacing w:before="320"/>
    </w:pPr>
  </w:style>
  <w:style w:type="paragraph" w:customStyle="1" w:styleId="Equation">
    <w:name w:val="Equation"/>
    <w:basedOn w:val="Normal"/>
    <w:rsid w:val="00C35BC0"/>
    <w:pPr>
      <w:tabs>
        <w:tab w:val="clear" w:pos="1191"/>
        <w:tab w:val="clear" w:pos="1588"/>
        <w:tab w:val="clear" w:pos="1985"/>
        <w:tab w:val="center" w:pos="4820"/>
        <w:tab w:val="right" w:pos="9639"/>
      </w:tabs>
    </w:pPr>
  </w:style>
  <w:style w:type="paragraph" w:customStyle="1" w:styleId="Head">
    <w:name w:val="Head"/>
    <w:basedOn w:val="Normal"/>
    <w:rsid w:val="00C35BC0"/>
    <w:pPr>
      <w:tabs>
        <w:tab w:val="left" w:pos="6663"/>
      </w:tabs>
      <w:overflowPunct/>
      <w:autoSpaceDE/>
      <w:autoSpaceDN/>
      <w:adjustRightInd/>
      <w:spacing w:before="0"/>
      <w:textAlignment w:val="auto"/>
    </w:pPr>
  </w:style>
  <w:style w:type="paragraph" w:customStyle="1" w:styleId="toc0">
    <w:name w:val="toc 0"/>
    <w:basedOn w:val="Normal"/>
    <w:next w:val="TOC1"/>
    <w:rsid w:val="00C35BC0"/>
    <w:pPr>
      <w:tabs>
        <w:tab w:val="clear" w:pos="1191"/>
        <w:tab w:val="clear" w:pos="1588"/>
        <w:tab w:val="clear" w:pos="1985"/>
        <w:tab w:val="center" w:pos="8789"/>
      </w:tabs>
    </w:pPr>
    <w:rPr>
      <w:b/>
    </w:rPr>
  </w:style>
  <w:style w:type="paragraph" w:styleId="List">
    <w:name w:val="List"/>
    <w:basedOn w:val="Normal"/>
    <w:rsid w:val="00C35BC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C35BC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C35BC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C35BC0"/>
    <w:pPr>
      <w:spacing w:before="480"/>
      <w:jc w:val="center"/>
    </w:pPr>
    <w:rPr>
      <w:b/>
      <w:sz w:val="26"/>
    </w:rPr>
  </w:style>
  <w:style w:type="paragraph" w:customStyle="1" w:styleId="meeting">
    <w:name w:val="meeting"/>
    <w:basedOn w:val="Head"/>
    <w:next w:val="Head"/>
    <w:rsid w:val="00C35BC0"/>
    <w:pPr>
      <w:tabs>
        <w:tab w:val="left" w:pos="7371"/>
      </w:tabs>
      <w:spacing w:after="567"/>
    </w:pPr>
  </w:style>
  <w:style w:type="paragraph" w:customStyle="1" w:styleId="Subject">
    <w:name w:val="Subject"/>
    <w:basedOn w:val="Normal"/>
    <w:next w:val="Source"/>
    <w:rsid w:val="00C35BC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C35BC0"/>
  </w:style>
  <w:style w:type="paragraph" w:customStyle="1" w:styleId="Data">
    <w:name w:val="Data"/>
    <w:basedOn w:val="Subject"/>
    <w:next w:val="Subject"/>
    <w:rsid w:val="00C35BC0"/>
  </w:style>
  <w:style w:type="paragraph" w:customStyle="1" w:styleId="Reasons">
    <w:name w:val="Reasons"/>
    <w:basedOn w:val="Normal"/>
    <w:qFormat/>
    <w:rsid w:val="00C35BC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C35BC0"/>
    <w:rPr>
      <w:color w:val="0000FF"/>
      <w:u w:val="single"/>
    </w:rPr>
  </w:style>
  <w:style w:type="paragraph" w:customStyle="1" w:styleId="FirstFooter">
    <w:name w:val="FirstFooter"/>
    <w:basedOn w:val="Footer"/>
    <w:rsid w:val="00C35BC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C35BC0"/>
    <w:pPr>
      <w:tabs>
        <w:tab w:val="clear" w:pos="794"/>
        <w:tab w:val="clear" w:pos="1191"/>
        <w:tab w:val="clear" w:pos="1588"/>
        <w:tab w:val="clear" w:pos="1985"/>
      </w:tabs>
      <w:spacing w:before="80"/>
    </w:pPr>
  </w:style>
  <w:style w:type="paragraph" w:styleId="TOC9">
    <w:name w:val="toc 9"/>
    <w:basedOn w:val="TOC4"/>
    <w:rsid w:val="00C35BC0"/>
  </w:style>
  <w:style w:type="paragraph" w:customStyle="1" w:styleId="Headingb">
    <w:name w:val="Heading_b"/>
    <w:basedOn w:val="Heading3"/>
    <w:next w:val="Normal"/>
    <w:rsid w:val="0076344C"/>
    <w:pPr>
      <w:tabs>
        <w:tab w:val="clear" w:pos="1191"/>
        <w:tab w:val="clear" w:pos="1588"/>
        <w:tab w:val="clear" w:pos="1985"/>
        <w:tab w:val="left" w:pos="2127"/>
        <w:tab w:val="left" w:pos="2410"/>
        <w:tab w:val="left" w:pos="2921"/>
        <w:tab w:val="left" w:pos="3261"/>
      </w:tabs>
      <w:overflowPunct/>
      <w:autoSpaceDE/>
      <w:autoSpaceDN/>
      <w:adjustRightInd/>
      <w:spacing w:before="240"/>
      <w:textAlignment w:val="auto"/>
      <w:outlineLvl w:val="9"/>
    </w:pPr>
    <w:rPr>
      <w:rFonts w:ascii="Calibri" w:hAnsi="Calibri"/>
      <w:i w:val="0"/>
    </w:rPr>
  </w:style>
  <w:style w:type="character" w:styleId="FollowedHyperlink">
    <w:name w:val="FollowedHyperlink"/>
    <w:basedOn w:val="DefaultParagraphFont"/>
    <w:rsid w:val="00C35BC0"/>
    <w:rPr>
      <w:color w:val="800080"/>
      <w:u w:val="single"/>
    </w:rPr>
  </w:style>
  <w:style w:type="paragraph" w:customStyle="1" w:styleId="Title1">
    <w:name w:val="Title 1"/>
    <w:basedOn w:val="Source"/>
    <w:next w:val="Title2"/>
    <w:rsid w:val="00C35BC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C35BC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C35BC0"/>
    <w:pPr>
      <w:spacing w:before="240"/>
    </w:pPr>
    <w:rPr>
      <w:caps w:val="0"/>
    </w:rPr>
  </w:style>
  <w:style w:type="paragraph" w:customStyle="1" w:styleId="Title4">
    <w:name w:val="Title 4"/>
    <w:basedOn w:val="Title3"/>
    <w:next w:val="Heading1"/>
    <w:rsid w:val="00C35BC0"/>
    <w:rPr>
      <w:b/>
    </w:rPr>
  </w:style>
  <w:style w:type="paragraph" w:customStyle="1" w:styleId="dnum">
    <w:name w:val="dnum"/>
    <w:basedOn w:val="Normal"/>
    <w:rsid w:val="00C35BC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C35BC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C35BC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C35BC0"/>
    <w:pPr>
      <w:keepNext/>
      <w:keepLines/>
      <w:spacing w:before="480" w:after="80"/>
      <w:jc w:val="center"/>
    </w:pPr>
    <w:rPr>
      <w:caps/>
      <w:sz w:val="26"/>
    </w:rPr>
  </w:style>
  <w:style w:type="paragraph" w:customStyle="1" w:styleId="Annextitle">
    <w:name w:val="Annex_title"/>
    <w:basedOn w:val="Normal"/>
    <w:next w:val="Annexref"/>
    <w:rsid w:val="00C35BC0"/>
    <w:pPr>
      <w:keepNext/>
      <w:keepLines/>
      <w:spacing w:before="240" w:after="280"/>
      <w:jc w:val="center"/>
    </w:pPr>
    <w:rPr>
      <w:b/>
      <w:sz w:val="26"/>
    </w:rPr>
  </w:style>
  <w:style w:type="paragraph" w:customStyle="1" w:styleId="Annexref">
    <w:name w:val="Annex_ref"/>
    <w:basedOn w:val="Normal"/>
    <w:next w:val="Normalaftertitle"/>
    <w:rsid w:val="00C35BC0"/>
    <w:pPr>
      <w:keepNext/>
      <w:keepLines/>
      <w:spacing w:after="280"/>
      <w:jc w:val="center"/>
    </w:pPr>
  </w:style>
  <w:style w:type="paragraph" w:customStyle="1" w:styleId="AppendixNo">
    <w:name w:val="Appendix_No"/>
    <w:basedOn w:val="AnnexNo"/>
    <w:next w:val="Appendixtitle"/>
    <w:rsid w:val="00C35BC0"/>
  </w:style>
  <w:style w:type="paragraph" w:customStyle="1" w:styleId="Appendixtitle">
    <w:name w:val="Appendix_title"/>
    <w:basedOn w:val="Annextitle"/>
    <w:next w:val="Appendixref"/>
    <w:rsid w:val="00C35BC0"/>
  </w:style>
  <w:style w:type="paragraph" w:customStyle="1" w:styleId="Appendixref">
    <w:name w:val="Appendix_ref"/>
    <w:basedOn w:val="Annexref"/>
    <w:next w:val="Normalaftertitle"/>
    <w:rsid w:val="00C35BC0"/>
  </w:style>
  <w:style w:type="paragraph" w:customStyle="1" w:styleId="Call">
    <w:name w:val="Call"/>
    <w:basedOn w:val="Normal"/>
    <w:next w:val="Normal"/>
    <w:rsid w:val="00C35BC0"/>
    <w:pPr>
      <w:keepNext/>
      <w:keepLines/>
      <w:spacing w:before="160"/>
      <w:ind w:left="794"/>
    </w:pPr>
    <w:rPr>
      <w:i/>
    </w:rPr>
  </w:style>
  <w:style w:type="character" w:styleId="EndnoteReference">
    <w:name w:val="endnote reference"/>
    <w:basedOn w:val="DefaultParagraphFont"/>
    <w:rsid w:val="00C35BC0"/>
    <w:rPr>
      <w:vertAlign w:val="superscript"/>
    </w:rPr>
  </w:style>
  <w:style w:type="paragraph" w:customStyle="1" w:styleId="Equationlegend">
    <w:name w:val="Equation_legend"/>
    <w:basedOn w:val="Normal"/>
    <w:rsid w:val="00C35BC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C35BC0"/>
    <w:pPr>
      <w:keepNext/>
      <w:keepLines/>
      <w:spacing w:after="120"/>
      <w:jc w:val="center"/>
    </w:pPr>
  </w:style>
  <w:style w:type="paragraph" w:customStyle="1" w:styleId="Figuretitle">
    <w:name w:val="Figure_title"/>
    <w:basedOn w:val="Tabletitle"/>
    <w:next w:val="Normalaftertitle"/>
    <w:rsid w:val="00C35BC0"/>
    <w:pPr>
      <w:spacing w:before="240" w:after="480"/>
    </w:pPr>
  </w:style>
  <w:style w:type="paragraph" w:customStyle="1" w:styleId="Tabletitle">
    <w:name w:val="Table_title"/>
    <w:basedOn w:val="TableNo"/>
    <w:next w:val="Tabletext"/>
    <w:rsid w:val="00C35BC0"/>
    <w:pPr>
      <w:spacing w:before="0"/>
    </w:pPr>
    <w:rPr>
      <w:b/>
      <w:caps w:val="0"/>
    </w:rPr>
  </w:style>
  <w:style w:type="paragraph" w:customStyle="1" w:styleId="TableNo">
    <w:name w:val="Table_No"/>
    <w:basedOn w:val="Normal"/>
    <w:next w:val="Tabletitle"/>
    <w:rsid w:val="00C35BC0"/>
    <w:pPr>
      <w:keepNext/>
      <w:spacing w:before="360" w:after="120"/>
      <w:jc w:val="center"/>
    </w:pPr>
    <w:rPr>
      <w:caps/>
    </w:rPr>
  </w:style>
  <w:style w:type="paragraph" w:customStyle="1" w:styleId="Tabletext">
    <w:name w:val="Table_text"/>
    <w:basedOn w:val="Normal"/>
    <w:rsid w:val="00C35B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C35BC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C35BC0"/>
    <w:pPr>
      <w:keepNext/>
      <w:keepLines/>
      <w:spacing w:before="240" w:after="120"/>
      <w:jc w:val="center"/>
    </w:pPr>
    <w:rPr>
      <w:caps/>
    </w:rPr>
  </w:style>
  <w:style w:type="paragraph" w:customStyle="1" w:styleId="Figurewithouttitle">
    <w:name w:val="Figure_without_title"/>
    <w:basedOn w:val="Figure"/>
    <w:next w:val="Normalaftertitle"/>
    <w:rsid w:val="00C35BC0"/>
    <w:pPr>
      <w:keepNext w:val="0"/>
      <w:spacing w:after="240"/>
    </w:pPr>
  </w:style>
  <w:style w:type="paragraph" w:customStyle="1" w:styleId="Headingi">
    <w:name w:val="Heading_i"/>
    <w:basedOn w:val="Heading3"/>
    <w:next w:val="Normal"/>
    <w:rsid w:val="00C31310"/>
    <w:pPr>
      <w:spacing w:before="160"/>
    </w:pPr>
    <w:rPr>
      <w:rFonts w:ascii="Calibri" w:hAnsi="Calibri"/>
      <w:b w:val="0"/>
    </w:rPr>
  </w:style>
  <w:style w:type="character" w:styleId="PageNumber">
    <w:name w:val="page number"/>
    <w:basedOn w:val="DefaultParagraphFont"/>
    <w:uiPriority w:val="99"/>
    <w:rsid w:val="00C35BC0"/>
    <w:rPr>
      <w:rFonts w:ascii="Calibri" w:hAnsi="Calibri"/>
    </w:rPr>
  </w:style>
  <w:style w:type="paragraph" w:customStyle="1" w:styleId="PartNo">
    <w:name w:val="Part_No"/>
    <w:basedOn w:val="AnnexNo"/>
    <w:next w:val="Parttitle"/>
    <w:rsid w:val="00C35BC0"/>
  </w:style>
  <w:style w:type="paragraph" w:customStyle="1" w:styleId="Parttitle">
    <w:name w:val="Part_title"/>
    <w:basedOn w:val="Annextitle"/>
    <w:next w:val="Partref"/>
    <w:rsid w:val="00C35BC0"/>
  </w:style>
  <w:style w:type="paragraph" w:customStyle="1" w:styleId="Partref">
    <w:name w:val="Part_ref"/>
    <w:basedOn w:val="Annexref"/>
    <w:next w:val="Normalaftertitle"/>
    <w:rsid w:val="00C35BC0"/>
  </w:style>
  <w:style w:type="paragraph" w:customStyle="1" w:styleId="RecNo">
    <w:name w:val="Rec_No"/>
    <w:basedOn w:val="Normal"/>
    <w:next w:val="Rectitle"/>
    <w:rsid w:val="00C35BC0"/>
    <w:pPr>
      <w:keepNext/>
      <w:keepLines/>
      <w:spacing w:before="480"/>
      <w:jc w:val="center"/>
    </w:pPr>
    <w:rPr>
      <w:caps/>
      <w:sz w:val="26"/>
    </w:rPr>
  </w:style>
  <w:style w:type="paragraph" w:customStyle="1" w:styleId="Rectitle">
    <w:name w:val="Rec_title"/>
    <w:basedOn w:val="RecNo"/>
    <w:next w:val="Recref"/>
    <w:rsid w:val="00C35BC0"/>
    <w:pPr>
      <w:spacing w:before="240"/>
    </w:pPr>
    <w:rPr>
      <w:b/>
      <w:caps w:val="0"/>
    </w:rPr>
  </w:style>
  <w:style w:type="paragraph" w:customStyle="1" w:styleId="Recref">
    <w:name w:val="Rec_ref"/>
    <w:basedOn w:val="Rectitle"/>
    <w:next w:val="Recdate"/>
    <w:rsid w:val="00C35BC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C35BC0"/>
    <w:pPr>
      <w:jc w:val="right"/>
    </w:pPr>
    <w:rPr>
      <w:sz w:val="22"/>
    </w:rPr>
  </w:style>
  <w:style w:type="paragraph" w:customStyle="1" w:styleId="Questiondate">
    <w:name w:val="Question_date"/>
    <w:basedOn w:val="Recdate"/>
    <w:next w:val="Normalaftertitle"/>
    <w:rsid w:val="00C35BC0"/>
  </w:style>
  <w:style w:type="paragraph" w:customStyle="1" w:styleId="QuestionNo">
    <w:name w:val="Question_No"/>
    <w:basedOn w:val="RecNo"/>
    <w:next w:val="Questiontitle"/>
    <w:rsid w:val="00C35BC0"/>
  </w:style>
  <w:style w:type="paragraph" w:customStyle="1" w:styleId="Questionref">
    <w:name w:val="Question_ref"/>
    <w:basedOn w:val="Recref"/>
    <w:next w:val="Questiondate"/>
    <w:rsid w:val="00C35BC0"/>
  </w:style>
  <w:style w:type="paragraph" w:customStyle="1" w:styleId="Questiontitle">
    <w:name w:val="Question_title"/>
    <w:basedOn w:val="Rectitle"/>
    <w:next w:val="Questionref"/>
    <w:rsid w:val="00C35BC0"/>
  </w:style>
  <w:style w:type="paragraph" w:customStyle="1" w:styleId="Reftext">
    <w:name w:val="Ref_text"/>
    <w:basedOn w:val="Normal"/>
    <w:rsid w:val="00C35BC0"/>
    <w:pPr>
      <w:ind w:left="794" w:hanging="794"/>
    </w:pPr>
  </w:style>
  <w:style w:type="paragraph" w:customStyle="1" w:styleId="Reftitle">
    <w:name w:val="Ref_title"/>
    <w:basedOn w:val="Normal"/>
    <w:next w:val="Reftext"/>
    <w:rsid w:val="00C35BC0"/>
    <w:pPr>
      <w:spacing w:before="480"/>
      <w:jc w:val="center"/>
    </w:pPr>
    <w:rPr>
      <w:caps/>
    </w:rPr>
  </w:style>
  <w:style w:type="paragraph" w:customStyle="1" w:styleId="Repdate">
    <w:name w:val="Rep_date"/>
    <w:basedOn w:val="Recdate"/>
    <w:next w:val="Normalaftertitle"/>
    <w:rsid w:val="00C35BC0"/>
  </w:style>
  <w:style w:type="paragraph" w:customStyle="1" w:styleId="RepNo">
    <w:name w:val="Rep_No"/>
    <w:basedOn w:val="RecNo"/>
    <w:next w:val="Reptitle"/>
    <w:rsid w:val="00C35BC0"/>
  </w:style>
  <w:style w:type="paragraph" w:customStyle="1" w:styleId="Reptitle">
    <w:name w:val="Rep_title"/>
    <w:basedOn w:val="Rectitle"/>
    <w:next w:val="Repref"/>
    <w:rsid w:val="00C35BC0"/>
  </w:style>
  <w:style w:type="paragraph" w:customStyle="1" w:styleId="Repref">
    <w:name w:val="Rep_ref"/>
    <w:basedOn w:val="Recref"/>
    <w:next w:val="Repdate"/>
    <w:rsid w:val="00C35BC0"/>
  </w:style>
  <w:style w:type="paragraph" w:customStyle="1" w:styleId="Resdate">
    <w:name w:val="Res_date"/>
    <w:basedOn w:val="Recdate"/>
    <w:next w:val="Normalaftertitle"/>
    <w:rsid w:val="00C35BC0"/>
  </w:style>
  <w:style w:type="paragraph" w:customStyle="1" w:styleId="ResNo">
    <w:name w:val="Res_No"/>
    <w:basedOn w:val="RecNo"/>
    <w:next w:val="Restitle"/>
    <w:rsid w:val="00C35BC0"/>
  </w:style>
  <w:style w:type="paragraph" w:customStyle="1" w:styleId="Restitle">
    <w:name w:val="Res_title"/>
    <w:basedOn w:val="Rectitle"/>
    <w:next w:val="Resref"/>
    <w:rsid w:val="00C35BC0"/>
  </w:style>
  <w:style w:type="paragraph" w:customStyle="1" w:styleId="Resref">
    <w:name w:val="Res_ref"/>
    <w:basedOn w:val="Recref"/>
    <w:next w:val="Resdate"/>
    <w:rsid w:val="00C35BC0"/>
  </w:style>
  <w:style w:type="paragraph" w:customStyle="1" w:styleId="SectionNo">
    <w:name w:val="Section_No"/>
    <w:basedOn w:val="AnnexNo"/>
    <w:next w:val="Sectiontitle"/>
    <w:rsid w:val="00C35BC0"/>
  </w:style>
  <w:style w:type="paragraph" w:customStyle="1" w:styleId="Sectiontitle">
    <w:name w:val="Section_title"/>
    <w:basedOn w:val="Normal"/>
    <w:next w:val="Normalaftertitle"/>
    <w:rsid w:val="00C35BC0"/>
    <w:rPr>
      <w:sz w:val="26"/>
    </w:rPr>
  </w:style>
  <w:style w:type="paragraph" w:customStyle="1" w:styleId="SpecialFooter">
    <w:name w:val="Special Footer"/>
    <w:basedOn w:val="Footer"/>
    <w:rsid w:val="00C35BC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C35BC0"/>
    <w:pPr>
      <w:keepNext/>
      <w:spacing w:before="80" w:after="80"/>
      <w:jc w:val="center"/>
    </w:pPr>
    <w:rPr>
      <w:b/>
    </w:rPr>
  </w:style>
  <w:style w:type="paragraph" w:customStyle="1" w:styleId="Tablelegend">
    <w:name w:val="Table_legend"/>
    <w:basedOn w:val="Tabletext"/>
    <w:rsid w:val="00C35BC0"/>
    <w:pPr>
      <w:spacing w:before="120"/>
    </w:pPr>
  </w:style>
  <w:style w:type="paragraph" w:customStyle="1" w:styleId="Tableref">
    <w:name w:val="Table_ref"/>
    <w:basedOn w:val="Normal"/>
    <w:next w:val="Tabletitle"/>
    <w:rsid w:val="00C35BC0"/>
    <w:pPr>
      <w:keepNext/>
      <w:spacing w:before="567"/>
      <w:jc w:val="center"/>
    </w:pPr>
  </w:style>
  <w:style w:type="paragraph" w:customStyle="1" w:styleId="Artheading">
    <w:name w:val="Art_heading"/>
    <w:basedOn w:val="Normal"/>
    <w:next w:val="Normalaftertitle"/>
    <w:rsid w:val="00C35BC0"/>
    <w:pPr>
      <w:spacing w:before="480"/>
      <w:jc w:val="center"/>
    </w:pPr>
    <w:rPr>
      <w:rFonts w:ascii="Times New Roman Bold" w:hAnsi="Times New Roman Bold"/>
      <w:b/>
      <w:sz w:val="26"/>
    </w:rPr>
  </w:style>
  <w:style w:type="paragraph" w:customStyle="1" w:styleId="ArtNo">
    <w:name w:val="Art_No"/>
    <w:basedOn w:val="Normal"/>
    <w:next w:val="Normal"/>
    <w:rsid w:val="00C35BC0"/>
    <w:pPr>
      <w:keepNext/>
      <w:keepLines/>
      <w:spacing w:before="480"/>
      <w:jc w:val="center"/>
    </w:pPr>
    <w:rPr>
      <w:caps/>
      <w:sz w:val="26"/>
    </w:rPr>
  </w:style>
  <w:style w:type="paragraph" w:customStyle="1" w:styleId="Arttitle">
    <w:name w:val="Art_title"/>
    <w:basedOn w:val="Normal"/>
    <w:next w:val="Normalaftertitle"/>
    <w:rsid w:val="00C35BC0"/>
    <w:pPr>
      <w:keepNext/>
      <w:keepLines/>
      <w:spacing w:before="240"/>
      <w:jc w:val="center"/>
    </w:pPr>
    <w:rPr>
      <w:b/>
      <w:sz w:val="26"/>
    </w:rPr>
  </w:style>
  <w:style w:type="paragraph" w:customStyle="1" w:styleId="ChapNo">
    <w:name w:val="Chap_No"/>
    <w:basedOn w:val="ArtNo"/>
    <w:next w:val="Chaptitle"/>
    <w:rsid w:val="00C35BC0"/>
    <w:rPr>
      <w:b/>
    </w:rPr>
  </w:style>
  <w:style w:type="paragraph" w:customStyle="1" w:styleId="Chaptitle">
    <w:name w:val="Chap_title"/>
    <w:basedOn w:val="Arttitle"/>
    <w:next w:val="Normalaftertitle"/>
    <w:rsid w:val="00C35BC0"/>
  </w:style>
  <w:style w:type="paragraph" w:customStyle="1" w:styleId="firstfooter0">
    <w:name w:val="firstfooter"/>
    <w:basedOn w:val="Normal"/>
    <w:rsid w:val="00813E5E"/>
    <w:pPr>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overflowPunct/>
      <w:autoSpaceDE/>
      <w:autoSpaceDN/>
      <w:adjustRightInd/>
      <w:spacing w:before="560" w:after="120"/>
      <w:jc w:val="center"/>
      <w:textAlignment w:val="auto"/>
    </w:pPr>
    <w:rPr>
      <w:rFonts w:ascii="Times New Roman" w:hAnsi="Times New Roman"/>
      <w:caps/>
    </w:rPr>
  </w:style>
  <w:style w:type="character" w:customStyle="1" w:styleId="NormalaftertitleChar">
    <w:name w:val="Normal after title Char"/>
    <w:basedOn w:val="DefaultParagraphFont"/>
    <w:link w:val="Normalaftertitle"/>
    <w:rsid w:val="00E01FDA"/>
    <w:rPr>
      <w:rFonts w:ascii="Calibri" w:hAnsi="Calibri"/>
      <w:sz w:val="22"/>
      <w:lang w:val="en-GB" w:eastAsia="en-US"/>
    </w:rPr>
  </w:style>
  <w:style w:type="paragraph" w:styleId="ListParagraph">
    <w:name w:val="List Paragraph"/>
    <w:basedOn w:val="Normal"/>
    <w:link w:val="ListParagraphChar"/>
    <w:uiPriority w:val="34"/>
    <w:qFormat/>
    <w:rsid w:val="00E01FDA"/>
    <w:pPr>
      <w:overflowPunct/>
      <w:autoSpaceDE/>
      <w:autoSpaceDN/>
      <w:adjustRightInd/>
      <w:spacing w:before="0" w:after="160" w:line="259" w:lineRule="auto"/>
      <w:ind w:left="720"/>
      <w:contextualSpacing/>
      <w:textAlignment w:val="auto"/>
    </w:pPr>
    <w:rPr>
      <w:rFonts w:asciiTheme="minorHAnsi" w:eastAsiaTheme="minorEastAsia" w:hAnsiTheme="minorHAnsi" w:cstheme="minorBidi"/>
      <w:szCs w:val="22"/>
      <w:lang w:val="en-US" w:eastAsia="zh-CN"/>
    </w:rPr>
  </w:style>
  <w:style w:type="paragraph" w:styleId="BalloonText">
    <w:name w:val="Balloon Text"/>
    <w:basedOn w:val="Normal"/>
    <w:link w:val="BalloonTextChar"/>
    <w:uiPriority w:val="99"/>
    <w:rsid w:val="00C35BC0"/>
    <w:rPr>
      <w:rFonts w:ascii="Tahoma" w:hAnsi="Tahoma" w:cs="Tahoma"/>
      <w:sz w:val="16"/>
      <w:szCs w:val="16"/>
    </w:rPr>
  </w:style>
  <w:style w:type="character" w:customStyle="1" w:styleId="BalloonTextChar">
    <w:name w:val="Balloon Text Char"/>
    <w:basedOn w:val="DefaultParagraphFont"/>
    <w:link w:val="BalloonText"/>
    <w:uiPriority w:val="99"/>
    <w:rsid w:val="001E7C40"/>
    <w:rPr>
      <w:rFonts w:ascii="Tahoma" w:hAnsi="Tahoma" w:cs="Tahoma"/>
      <w:sz w:val="16"/>
      <w:szCs w:val="16"/>
      <w:lang w:val="en-GB" w:eastAsia="en-US"/>
    </w:rPr>
  </w:style>
  <w:style w:type="character" w:customStyle="1" w:styleId="FooterChar">
    <w:name w:val="Footer Char"/>
    <w:basedOn w:val="DefaultParagraphFont"/>
    <w:link w:val="Footer"/>
    <w:uiPriority w:val="99"/>
    <w:rsid w:val="0096383C"/>
    <w:rPr>
      <w:rFonts w:ascii="Calibri" w:hAnsi="Calibri"/>
      <w:caps/>
      <w:noProof/>
      <w:sz w:val="16"/>
      <w:lang w:val="fr-FR" w:eastAsia="en-US"/>
    </w:rPr>
  </w:style>
  <w:style w:type="paragraph" w:customStyle="1" w:styleId="Body">
    <w:name w:val="Body"/>
    <w:rsid w:val="00DD21F7"/>
    <w:rPr>
      <w:rFonts w:ascii="Helvetica" w:eastAsia="ヒラギノ角ゴ Pro W3" w:hAnsi="Helvetica"/>
      <w:color w:val="000000"/>
      <w:sz w:val="24"/>
      <w:lang w:eastAsia="en-US"/>
    </w:rPr>
  </w:style>
  <w:style w:type="paragraph" w:customStyle="1" w:styleId="call0">
    <w:name w:val="call"/>
    <w:basedOn w:val="Normal"/>
    <w:next w:val="Normal"/>
    <w:rsid w:val="00DD21F7"/>
    <w:pPr>
      <w:keepNext/>
      <w:keepLines/>
      <w:tabs>
        <w:tab w:val="clear" w:pos="794"/>
        <w:tab w:val="clear" w:pos="1191"/>
        <w:tab w:val="clear" w:pos="1588"/>
        <w:tab w:val="clear" w:pos="1985"/>
        <w:tab w:val="left" w:pos="567"/>
        <w:tab w:val="left" w:pos="1134"/>
        <w:tab w:val="left" w:pos="1701"/>
        <w:tab w:val="left" w:pos="2268"/>
        <w:tab w:val="left" w:pos="2835"/>
      </w:tabs>
      <w:spacing w:before="160"/>
      <w:ind w:left="794" w:hanging="357"/>
    </w:pPr>
    <w:rPr>
      <w:i/>
      <w:sz w:val="24"/>
    </w:rPr>
  </w:style>
  <w:style w:type="character" w:customStyle="1" w:styleId="A1">
    <w:name w:val="A1"/>
    <w:uiPriority w:val="99"/>
    <w:rsid w:val="00F333EF"/>
    <w:rPr>
      <w:color w:val="000000"/>
      <w:sz w:val="22"/>
      <w:szCs w:val="22"/>
    </w:rPr>
  </w:style>
  <w:style w:type="table" w:styleId="TableGrid">
    <w:name w:val="Table Grid"/>
    <w:basedOn w:val="TableNormal"/>
    <w:rsid w:val="003B73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base">
    <w:name w:val="testo base"/>
    <w:basedOn w:val="ListParagraph"/>
    <w:link w:val="testobaseCarattere"/>
    <w:qFormat/>
    <w:rsid w:val="006547B1"/>
    <w:pPr>
      <w:numPr>
        <w:numId w:val="1"/>
      </w:numPr>
      <w:tabs>
        <w:tab w:val="clear" w:pos="794"/>
        <w:tab w:val="clear" w:pos="1191"/>
        <w:tab w:val="clear" w:pos="1588"/>
        <w:tab w:val="clear" w:pos="1985"/>
      </w:tabs>
      <w:adjustRightInd w:val="0"/>
      <w:spacing w:before="120" w:after="0" w:line="319" w:lineRule="auto"/>
      <w:ind w:left="425" w:hanging="425"/>
      <w:contextualSpacing w:val="0"/>
      <w:jc w:val="both"/>
    </w:pPr>
    <w:rPr>
      <w:rFonts w:ascii="Times New Roman" w:eastAsiaTheme="minorHAnsi" w:hAnsi="Times New Roman" w:cs="Times New Roman"/>
      <w:sz w:val="24"/>
      <w:szCs w:val="24"/>
      <w:lang w:val="en-GB" w:eastAsia="it-IT"/>
    </w:rPr>
  </w:style>
  <w:style w:type="character" w:customStyle="1" w:styleId="testobaseCarattere">
    <w:name w:val="testo base Carattere"/>
    <w:basedOn w:val="DefaultParagraphFont"/>
    <w:link w:val="testobase"/>
    <w:rsid w:val="006547B1"/>
    <w:rPr>
      <w:rFonts w:ascii="Times New Roman" w:eastAsiaTheme="minorHAnsi" w:hAnsi="Times New Roman"/>
      <w:sz w:val="24"/>
      <w:szCs w:val="24"/>
      <w:lang w:val="en-GB" w:eastAsia="it-IT"/>
    </w:rPr>
  </w:style>
  <w:style w:type="paragraph" w:customStyle="1" w:styleId="recesugg">
    <w:name w:val="rec e sugg"/>
    <w:basedOn w:val="testobase"/>
    <w:qFormat/>
    <w:rsid w:val="006547B1"/>
    <w:pPr>
      <w:pBdr>
        <w:top w:val="single" w:sz="4" w:space="1" w:color="auto"/>
        <w:left w:val="single" w:sz="4" w:space="4" w:color="auto"/>
        <w:bottom w:val="single" w:sz="4" w:space="1" w:color="auto"/>
        <w:right w:val="single" w:sz="4" w:space="4" w:color="auto"/>
      </w:pBdr>
    </w:pPr>
  </w:style>
  <w:style w:type="paragraph" w:customStyle="1" w:styleId="titolorecesug">
    <w:name w:val="titolo rec e sug"/>
    <w:basedOn w:val="Normal"/>
    <w:qFormat/>
    <w:rsid w:val="006547B1"/>
    <w:pPr>
      <w:keepNext/>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b/>
      <w:bCs/>
      <w:sz w:val="24"/>
      <w:szCs w:val="24"/>
    </w:rPr>
  </w:style>
  <w:style w:type="paragraph" w:customStyle="1" w:styleId="titcomments">
    <w:name w:val="tit comments"/>
    <w:basedOn w:val="titolorecesug"/>
    <w:qFormat/>
    <w:rsid w:val="008D2060"/>
    <w:rPr>
      <w:u w:val="single"/>
    </w:rPr>
  </w:style>
  <w:style w:type="paragraph" w:customStyle="1" w:styleId="comments">
    <w:name w:val="comments"/>
    <w:basedOn w:val="Normal"/>
    <w:next w:val="Normal"/>
    <w:qFormat/>
    <w:rsid w:val="00C7645B"/>
    <w:pPr>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sz w:val="24"/>
      <w:szCs w:val="24"/>
    </w:rPr>
  </w:style>
  <w:style w:type="character" w:customStyle="1" w:styleId="Heading1Char">
    <w:name w:val="Heading 1 Char"/>
    <w:basedOn w:val="DefaultParagraphFont"/>
    <w:link w:val="Heading1"/>
    <w:uiPriority w:val="9"/>
    <w:rsid w:val="00810A7E"/>
    <w:rPr>
      <w:rFonts w:ascii="Calibri" w:hAnsi="Calibri"/>
      <w:b/>
      <w:sz w:val="22"/>
      <w:lang w:val="en-GB" w:eastAsia="en-US"/>
    </w:rPr>
  </w:style>
  <w:style w:type="character" w:customStyle="1" w:styleId="Heading2Char">
    <w:name w:val="Heading 2 Char"/>
    <w:basedOn w:val="DefaultParagraphFont"/>
    <w:link w:val="Heading2"/>
    <w:uiPriority w:val="9"/>
    <w:rsid w:val="00810A7E"/>
    <w:rPr>
      <w:rFonts w:ascii="Calibri" w:hAnsi="Calibri"/>
      <w:b/>
      <w:sz w:val="22"/>
      <w:lang w:val="en-GB" w:eastAsia="en-US"/>
    </w:rPr>
  </w:style>
  <w:style w:type="character" w:customStyle="1" w:styleId="Heading3Char">
    <w:name w:val="Heading 3 Char"/>
    <w:basedOn w:val="DefaultParagraphFont"/>
    <w:link w:val="Heading3"/>
    <w:uiPriority w:val="9"/>
    <w:rsid w:val="00810A7E"/>
    <w:rPr>
      <w:rFonts w:ascii="Times New Roman Bold" w:hAnsi="Times New Roman Bold"/>
      <w:b/>
      <w:i/>
      <w:sz w:val="22"/>
      <w:lang w:val="en-GB" w:eastAsia="en-US"/>
    </w:rPr>
  </w:style>
  <w:style w:type="character" w:customStyle="1" w:styleId="Heading4Char">
    <w:name w:val="Heading 4 Char"/>
    <w:basedOn w:val="DefaultParagraphFont"/>
    <w:link w:val="Heading4"/>
    <w:rsid w:val="00810A7E"/>
    <w:rPr>
      <w:rFonts w:ascii="Times New Roman Bold" w:hAnsi="Times New Roman Bold"/>
      <w:i/>
      <w:sz w:val="22"/>
      <w:lang w:val="en-GB" w:eastAsia="en-US"/>
    </w:rPr>
  </w:style>
  <w:style w:type="character" w:customStyle="1" w:styleId="Heading5Char">
    <w:name w:val="Heading 5 Char"/>
    <w:basedOn w:val="DefaultParagraphFont"/>
    <w:link w:val="Heading5"/>
    <w:rsid w:val="00810A7E"/>
    <w:rPr>
      <w:rFonts w:ascii="Times New Roman Bold" w:hAnsi="Times New Roman Bold"/>
      <w:i/>
      <w:sz w:val="22"/>
      <w:lang w:val="en-GB" w:eastAsia="en-US"/>
    </w:rPr>
  </w:style>
  <w:style w:type="character" w:customStyle="1" w:styleId="Heading6Char">
    <w:name w:val="Heading 6 Char"/>
    <w:basedOn w:val="DefaultParagraphFont"/>
    <w:link w:val="Heading6"/>
    <w:rsid w:val="00810A7E"/>
    <w:rPr>
      <w:rFonts w:ascii="Times New Roman Bold" w:hAnsi="Times New Roman Bold"/>
      <w:i/>
      <w:sz w:val="22"/>
      <w:lang w:val="en-GB" w:eastAsia="en-US"/>
    </w:rPr>
  </w:style>
  <w:style w:type="character" w:customStyle="1" w:styleId="Heading7Char">
    <w:name w:val="Heading 7 Char"/>
    <w:basedOn w:val="DefaultParagraphFont"/>
    <w:link w:val="Heading7"/>
    <w:rsid w:val="00810A7E"/>
    <w:rPr>
      <w:rFonts w:ascii="Times New Roman Bold" w:hAnsi="Times New Roman Bold"/>
      <w:i/>
      <w:sz w:val="22"/>
      <w:lang w:val="en-GB" w:eastAsia="en-US"/>
    </w:rPr>
  </w:style>
  <w:style w:type="character" w:customStyle="1" w:styleId="Heading8Char">
    <w:name w:val="Heading 8 Char"/>
    <w:basedOn w:val="DefaultParagraphFont"/>
    <w:link w:val="Heading8"/>
    <w:rsid w:val="00810A7E"/>
    <w:rPr>
      <w:rFonts w:ascii="Times New Roman Bold" w:hAnsi="Times New Roman Bold"/>
      <w:i/>
      <w:sz w:val="22"/>
      <w:lang w:val="en-GB" w:eastAsia="en-US"/>
    </w:rPr>
  </w:style>
  <w:style w:type="character" w:customStyle="1" w:styleId="Heading9Char">
    <w:name w:val="Heading 9 Char"/>
    <w:basedOn w:val="DefaultParagraphFont"/>
    <w:link w:val="Heading9"/>
    <w:rsid w:val="00810A7E"/>
    <w:rPr>
      <w:rFonts w:ascii="Times New Roman Bold" w:hAnsi="Times New Roman Bold"/>
      <w:i/>
      <w:sz w:val="22"/>
      <w:lang w:val="en-GB" w:eastAsia="en-US"/>
    </w:rPr>
  </w:style>
  <w:style w:type="character" w:customStyle="1" w:styleId="HeaderChar">
    <w:name w:val="Header Char"/>
    <w:basedOn w:val="DefaultParagraphFont"/>
    <w:link w:val="Header"/>
    <w:uiPriority w:val="99"/>
    <w:rsid w:val="00810A7E"/>
    <w:rPr>
      <w:rFonts w:ascii="Calibri" w:hAnsi="Calibri"/>
      <w:sz w:val="18"/>
      <w:lang w:val="fr-FR" w:eastAsia="en-US"/>
    </w:rPr>
  </w:style>
  <w:style w:type="character" w:customStyle="1" w:styleId="FootnoteTextChar">
    <w:name w:val="Footnote Text Char"/>
    <w:basedOn w:val="DefaultParagraphFont"/>
    <w:link w:val="FootnoteText"/>
    <w:rsid w:val="00810A7E"/>
    <w:rPr>
      <w:rFonts w:ascii="Calibri" w:hAnsi="Calibri"/>
      <w:lang w:val="en-GB" w:eastAsia="en-US"/>
    </w:rPr>
  </w:style>
  <w:style w:type="table" w:customStyle="1" w:styleId="TableGrid1">
    <w:name w:val="Table Grid1"/>
    <w:basedOn w:val="TableNormal"/>
    <w:next w:val="TableGrid"/>
    <w:uiPriority w:val="59"/>
    <w:rsid w:val="00810A7E"/>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puntato1">
    <w:name w:val="elenco puntato 1"/>
    <w:basedOn w:val="ListParagraph"/>
    <w:link w:val="elencopuntato1Carattere"/>
    <w:qFormat/>
    <w:rsid w:val="00810A7E"/>
    <w:pPr>
      <w:numPr>
        <w:numId w:val="2"/>
      </w:numPr>
      <w:tabs>
        <w:tab w:val="clear" w:pos="794"/>
        <w:tab w:val="clear" w:pos="1191"/>
        <w:tab w:val="clear" w:pos="1588"/>
        <w:tab w:val="clear" w:pos="1985"/>
      </w:tabs>
      <w:adjustRightInd w:val="0"/>
      <w:spacing w:before="120" w:after="0" w:line="319" w:lineRule="auto"/>
      <w:ind w:left="709" w:hanging="284"/>
      <w:contextualSpacing w:val="0"/>
      <w:jc w:val="both"/>
    </w:pPr>
    <w:rPr>
      <w:rFonts w:ascii="Times New Roman" w:eastAsiaTheme="minorHAnsi" w:hAnsi="Times New Roman" w:cs="Times New Roman"/>
      <w:sz w:val="24"/>
      <w:szCs w:val="24"/>
      <w:lang w:val="en-GB" w:eastAsia="it-IT"/>
    </w:rPr>
  </w:style>
  <w:style w:type="character" w:customStyle="1" w:styleId="elencopuntato1Carattere">
    <w:name w:val="elenco puntato 1 Carattere"/>
    <w:basedOn w:val="DefaultParagraphFont"/>
    <w:link w:val="elencopuntato1"/>
    <w:rsid w:val="00810A7E"/>
    <w:rPr>
      <w:rFonts w:ascii="Times New Roman" w:eastAsiaTheme="minorHAnsi" w:hAnsi="Times New Roman"/>
      <w:sz w:val="24"/>
      <w:szCs w:val="24"/>
      <w:lang w:val="en-GB" w:eastAsia="it-IT"/>
    </w:rPr>
  </w:style>
  <w:style w:type="paragraph" w:customStyle="1" w:styleId="recesug">
    <w:name w:val="rec e sug"/>
    <w:basedOn w:val="testobase"/>
    <w:next w:val="Normal"/>
    <w:qFormat/>
    <w:rsid w:val="00810A7E"/>
    <w:pPr>
      <w:keepLines/>
      <w:numPr>
        <w:numId w:val="3"/>
      </w:numPr>
      <w:pBdr>
        <w:top w:val="single" w:sz="4" w:space="1" w:color="auto"/>
        <w:left w:val="single" w:sz="4" w:space="4" w:color="auto"/>
        <w:bottom w:val="single" w:sz="4" w:space="1" w:color="auto"/>
        <w:right w:val="single" w:sz="4" w:space="4" w:color="auto"/>
      </w:pBdr>
      <w:ind w:left="425" w:hanging="425"/>
    </w:pPr>
  </w:style>
  <w:style w:type="character" w:customStyle="1" w:styleId="enumlev1Char">
    <w:name w:val="enumlev1 Char"/>
    <w:basedOn w:val="DefaultParagraphFont"/>
    <w:link w:val="enumlev1"/>
    <w:rsid w:val="00810A7E"/>
    <w:rPr>
      <w:rFonts w:ascii="Calibri" w:hAnsi="Calibri"/>
      <w:sz w:val="22"/>
      <w:lang w:val="en-GB" w:eastAsia="en-US"/>
    </w:rPr>
  </w:style>
  <w:style w:type="character" w:customStyle="1" w:styleId="ListParagraphChar">
    <w:name w:val="List Paragraph Char"/>
    <w:basedOn w:val="DefaultParagraphFont"/>
    <w:link w:val="ListParagraph"/>
    <w:uiPriority w:val="34"/>
    <w:rsid w:val="00810A7E"/>
    <w:rPr>
      <w:rFonts w:asciiTheme="minorHAnsi" w:eastAsiaTheme="minorEastAsia" w:hAnsiTheme="minorHAnsi" w:cstheme="minorBidi"/>
      <w:sz w:val="22"/>
      <w:szCs w:val="22"/>
    </w:rPr>
  </w:style>
  <w:style w:type="paragraph" w:styleId="NormalWeb">
    <w:name w:val="Normal (Web)"/>
    <w:basedOn w:val="Normal"/>
    <w:link w:val="NormalWebChar"/>
    <w:uiPriority w:val="99"/>
    <w:unhideWhenUsed/>
    <w:rsid w:val="00810A7E"/>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sz w:val="24"/>
      <w:szCs w:val="24"/>
    </w:rPr>
  </w:style>
  <w:style w:type="character" w:customStyle="1" w:styleId="NormalWebChar">
    <w:name w:val="Normal (Web) Char"/>
    <w:link w:val="NormalWeb"/>
    <w:uiPriority w:val="99"/>
    <w:locked/>
    <w:rsid w:val="00810A7E"/>
    <w:rPr>
      <w:rFonts w:ascii="Times New Roman" w:eastAsia="SimSun" w:hAnsi="Times New Roman"/>
      <w:sz w:val="24"/>
      <w:szCs w:val="24"/>
      <w:lang w:val="en-GB" w:eastAsia="en-US"/>
    </w:rPr>
  </w:style>
  <w:style w:type="paragraph" w:styleId="TOCHeading">
    <w:name w:val="TOC Heading"/>
    <w:basedOn w:val="Heading1"/>
    <w:next w:val="Normal"/>
    <w:uiPriority w:val="39"/>
    <w:unhideWhenUsed/>
    <w:qFormat/>
    <w:rsid w:val="00810A7E"/>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qFormat/>
    <w:rsid w:val="00810A7E"/>
    <w:pPr>
      <w:tabs>
        <w:tab w:val="clear" w:pos="794"/>
        <w:tab w:val="clear" w:pos="1191"/>
        <w:tab w:val="clear" w:pos="1588"/>
        <w:tab w:val="clear" w:pos="1985"/>
      </w:tabs>
      <w:overflowPunct/>
      <w:autoSpaceDE/>
      <w:autoSpaceDN/>
      <w:spacing w:line="319" w:lineRule="auto"/>
      <w:contextualSpacing/>
      <w:jc w:val="both"/>
      <w:textAlignment w:val="auto"/>
    </w:pPr>
    <w:rPr>
      <w:rFonts w:asciiTheme="majorBidi" w:eastAsiaTheme="minorHAnsi" w:hAnsiTheme="majorBidi" w:cstheme="majorBidi"/>
      <w:b/>
      <w:bCs/>
      <w:sz w:val="24"/>
      <w:szCs w:val="24"/>
      <w:lang w:val="en-US"/>
    </w:rPr>
  </w:style>
  <w:style w:type="character" w:customStyle="1" w:styleId="Style1Char">
    <w:name w:val="Style1 Char"/>
    <w:basedOn w:val="DefaultParagraphFont"/>
    <w:link w:val="Style1"/>
    <w:rsid w:val="00810A7E"/>
    <w:rPr>
      <w:rFonts w:asciiTheme="majorBidi" w:eastAsiaTheme="minorHAnsi" w:hAnsiTheme="majorBidi" w:cstheme="majorBidi"/>
      <w:b/>
      <w:bCs/>
      <w:sz w:val="24"/>
      <w:szCs w:val="24"/>
      <w:lang w:eastAsia="en-US"/>
    </w:rPr>
  </w:style>
  <w:style w:type="character" w:customStyle="1" w:styleId="CharacterStyle17">
    <w:name w:val="Character Style 17"/>
    <w:uiPriority w:val="99"/>
    <w:rsid w:val="00810A7E"/>
    <w:rPr>
      <w:sz w:val="20"/>
    </w:rPr>
  </w:style>
  <w:style w:type="character" w:customStyle="1" w:styleId="hps">
    <w:name w:val="hps"/>
    <w:basedOn w:val="DefaultParagraphFont"/>
    <w:rsid w:val="00810A7E"/>
  </w:style>
  <w:style w:type="character" w:customStyle="1" w:styleId="shorttext">
    <w:name w:val="short_text"/>
    <w:basedOn w:val="DefaultParagraphFont"/>
    <w:rsid w:val="00810A7E"/>
  </w:style>
  <w:style w:type="character" w:styleId="Strong">
    <w:name w:val="Strong"/>
    <w:basedOn w:val="DefaultParagraphFont"/>
    <w:uiPriority w:val="22"/>
    <w:qFormat/>
    <w:rsid w:val="00810A7E"/>
    <w:rPr>
      <w:b/>
      <w:bCs/>
    </w:rPr>
  </w:style>
  <w:style w:type="paragraph" w:customStyle="1" w:styleId="testorientrato">
    <w:name w:val="testo rientrato"/>
    <w:basedOn w:val="testobase"/>
    <w:qFormat/>
    <w:rsid w:val="00810A7E"/>
    <w:pPr>
      <w:numPr>
        <w:numId w:val="0"/>
      </w:numPr>
      <w:ind w:left="425"/>
    </w:pPr>
    <w:rPr>
      <w:iCs/>
    </w:rPr>
  </w:style>
  <w:style w:type="character" w:customStyle="1" w:styleId="CommentTextChar">
    <w:name w:val="Comment Text Char"/>
    <w:basedOn w:val="DefaultParagraphFont"/>
    <w:link w:val="CommentText"/>
    <w:uiPriority w:val="99"/>
    <w:semiHidden/>
    <w:rsid w:val="00810A7E"/>
    <w:rPr>
      <w:rFonts w:asciiTheme="majorBidi" w:eastAsiaTheme="minorHAnsi" w:hAnsiTheme="majorBidi" w:cstheme="majorBidi"/>
      <w:lang w:eastAsia="en-US"/>
    </w:rPr>
  </w:style>
  <w:style w:type="paragraph" w:styleId="CommentText">
    <w:name w:val="annotation text"/>
    <w:basedOn w:val="Normal"/>
    <w:link w:val="CommentTextChar"/>
    <w:uiPriority w:val="99"/>
    <w:semiHidden/>
    <w:unhideWhenUsed/>
    <w:rsid w:val="00810A7E"/>
    <w:pPr>
      <w:tabs>
        <w:tab w:val="clear" w:pos="794"/>
        <w:tab w:val="clear" w:pos="1191"/>
        <w:tab w:val="clear" w:pos="1588"/>
        <w:tab w:val="clear" w:pos="1985"/>
      </w:tabs>
      <w:overflowPunct/>
      <w:autoSpaceDE/>
      <w:autoSpaceDN/>
      <w:jc w:val="both"/>
      <w:textAlignment w:val="auto"/>
    </w:pPr>
    <w:rPr>
      <w:rFonts w:asciiTheme="majorBidi" w:eastAsiaTheme="minorHAnsi" w:hAnsiTheme="majorBidi" w:cstheme="majorBidi"/>
      <w:sz w:val="20"/>
      <w:lang w:val="en-US"/>
    </w:rPr>
  </w:style>
  <w:style w:type="character" w:customStyle="1" w:styleId="CommentTextChar1">
    <w:name w:val="Comment Text Char1"/>
    <w:basedOn w:val="DefaultParagraphFont"/>
    <w:semiHidden/>
    <w:rsid w:val="00810A7E"/>
    <w:rPr>
      <w:rFonts w:ascii="Calibri" w:hAnsi="Calibri"/>
      <w:lang w:val="en-GB" w:eastAsia="en-US"/>
    </w:rPr>
  </w:style>
  <w:style w:type="character" w:customStyle="1" w:styleId="CommentSubjectChar">
    <w:name w:val="Comment Subject Char"/>
    <w:basedOn w:val="CommentTextChar"/>
    <w:link w:val="CommentSubject"/>
    <w:uiPriority w:val="99"/>
    <w:semiHidden/>
    <w:rsid w:val="00810A7E"/>
    <w:rPr>
      <w:rFonts w:asciiTheme="majorBidi" w:eastAsiaTheme="minorHAnsi" w:hAnsiTheme="majorBidi" w:cstheme="majorBidi"/>
      <w:b/>
      <w:bCs/>
      <w:lang w:eastAsia="en-US"/>
    </w:rPr>
  </w:style>
  <w:style w:type="paragraph" w:styleId="CommentSubject">
    <w:name w:val="annotation subject"/>
    <w:basedOn w:val="CommentText"/>
    <w:next w:val="CommentText"/>
    <w:link w:val="CommentSubjectChar"/>
    <w:uiPriority w:val="99"/>
    <w:semiHidden/>
    <w:unhideWhenUsed/>
    <w:rsid w:val="00810A7E"/>
    <w:rPr>
      <w:b/>
      <w:bCs/>
    </w:rPr>
  </w:style>
  <w:style w:type="character" w:customStyle="1" w:styleId="CommentSubjectChar1">
    <w:name w:val="Comment Subject Char1"/>
    <w:basedOn w:val="CommentTextChar1"/>
    <w:semiHidden/>
    <w:rsid w:val="00810A7E"/>
    <w:rPr>
      <w:rFonts w:ascii="Calibri" w:hAnsi="Calibri"/>
      <w:b/>
      <w:bCs/>
      <w:lang w:val="en-GB" w:eastAsia="en-US"/>
    </w:rPr>
  </w:style>
  <w:style w:type="paragraph" w:customStyle="1" w:styleId="elencoconlettere1">
    <w:name w:val="elenco con lettere 1"/>
    <w:basedOn w:val="Normal"/>
    <w:qFormat/>
    <w:rsid w:val="00810A7E"/>
    <w:pPr>
      <w:tabs>
        <w:tab w:val="clear" w:pos="794"/>
        <w:tab w:val="clear" w:pos="1191"/>
        <w:tab w:val="clear" w:pos="1588"/>
        <w:tab w:val="clear" w:pos="1985"/>
      </w:tabs>
      <w:overflowPunct/>
      <w:autoSpaceDE/>
      <w:autoSpaceDN/>
      <w:spacing w:line="319" w:lineRule="auto"/>
      <w:ind w:left="709" w:hanging="284"/>
      <w:jc w:val="both"/>
      <w:textAlignment w:val="auto"/>
    </w:pPr>
    <w:rPr>
      <w:rFonts w:asciiTheme="majorBidi" w:eastAsiaTheme="minorHAnsi" w:hAnsiTheme="majorBidi" w:cstheme="majorBidi"/>
      <w:sz w:val="24"/>
      <w:szCs w:val="24"/>
    </w:rPr>
  </w:style>
  <w:style w:type="paragraph" w:customStyle="1" w:styleId="titolorec">
    <w:name w:val="titolo rec"/>
    <w:basedOn w:val="Normal"/>
    <w:next w:val="recesug"/>
    <w:qFormat/>
    <w:rsid w:val="00810A7E"/>
    <w:pPr>
      <w:keepNext/>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ind w:left="360" w:hanging="360"/>
      <w:jc w:val="both"/>
      <w:textAlignment w:val="auto"/>
    </w:pPr>
    <w:rPr>
      <w:rFonts w:asciiTheme="majorBidi" w:eastAsiaTheme="minorHAnsi" w:hAnsiTheme="majorBidi" w:cstheme="majorBidi"/>
      <w:b/>
      <w:bCs/>
      <w:sz w:val="24"/>
      <w:szCs w:val="24"/>
    </w:rPr>
  </w:style>
  <w:style w:type="paragraph" w:customStyle="1" w:styleId="titolosugg">
    <w:name w:val="titolo sugg"/>
    <w:basedOn w:val="titolorec"/>
    <w:next w:val="recesug"/>
    <w:qFormat/>
    <w:rsid w:val="00810A7E"/>
  </w:style>
  <w:style w:type="table" w:customStyle="1" w:styleId="TableGrid2">
    <w:name w:val="Table Grid2"/>
    <w:basedOn w:val="TableNormal"/>
    <w:next w:val="TableGrid"/>
    <w:rsid w:val="00F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416727">
      <w:bodyDiv w:val="1"/>
      <w:marLeft w:val="0"/>
      <w:marRight w:val="0"/>
      <w:marTop w:val="0"/>
      <w:marBottom w:val="0"/>
      <w:divBdr>
        <w:top w:val="none" w:sz="0" w:space="0" w:color="auto"/>
        <w:left w:val="none" w:sz="0" w:space="0" w:color="auto"/>
        <w:bottom w:val="none" w:sz="0" w:space="0" w:color="auto"/>
        <w:right w:val="none" w:sz="0" w:space="0" w:color="auto"/>
      </w:divBdr>
    </w:div>
    <w:div w:id="1343701928">
      <w:bodyDiv w:val="1"/>
      <w:marLeft w:val="0"/>
      <w:marRight w:val="0"/>
      <w:marTop w:val="0"/>
      <w:marBottom w:val="0"/>
      <w:divBdr>
        <w:top w:val="none" w:sz="0" w:space="0" w:color="auto"/>
        <w:left w:val="none" w:sz="0" w:space="0" w:color="auto"/>
        <w:bottom w:val="none" w:sz="0" w:space="0" w:color="auto"/>
        <w:right w:val="none" w:sz="0" w:space="0" w:color="auto"/>
      </w:divBdr>
    </w:div>
    <w:div w:id="14800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council/finregs/Regl_Fin_10r.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C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11934-0231-4ECB-BEDC-69DDCE00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PR_C16.dotm</Template>
  <TotalTime>200</TotalTime>
  <Pages>44</Pages>
  <Words>13571</Words>
  <Characters>92893</Characters>
  <Application>Microsoft Office Word</Application>
  <DocSecurity>0</DocSecurity>
  <Lines>774</Lines>
  <Paragraphs>212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106252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2015</dc:subject>
  <dc:creator>Brouard, Ricarda</dc:creator>
  <cp:keywords/>
  <dc:description/>
  <cp:lastModifiedBy>Maloletkova, Svetlana</cp:lastModifiedBy>
  <cp:revision>30</cp:revision>
  <cp:lastPrinted>2016-05-27T21:44:00Z</cp:lastPrinted>
  <dcterms:created xsi:type="dcterms:W3CDTF">2016-05-27T15:37:00Z</dcterms:created>
  <dcterms:modified xsi:type="dcterms:W3CDTF">2016-05-27T22:52:00Z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