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471D83" w:rsidRPr="00F927DE">
        <w:trPr>
          <w:cantSplit/>
        </w:trPr>
        <w:tc>
          <w:tcPr>
            <w:tcW w:w="6912" w:type="dxa"/>
          </w:tcPr>
          <w:p w:rsidR="00471D83" w:rsidRPr="00F927DE" w:rsidRDefault="00471D83" w:rsidP="00471D83">
            <w:pPr>
              <w:spacing w:before="360"/>
              <w:rPr>
                <w:szCs w:val="24"/>
              </w:rPr>
            </w:pPr>
            <w:bookmarkStart w:id="0" w:name="dc06"/>
            <w:bookmarkStart w:id="1" w:name="dbluepink" w:colFirst="0" w:colLast="0"/>
            <w:bookmarkEnd w:id="0"/>
            <w:r w:rsidRPr="00F927DE">
              <w:rPr>
                <w:b/>
                <w:bCs/>
                <w:sz w:val="30"/>
                <w:szCs w:val="30"/>
              </w:rPr>
              <w:t>Consejo 2016</w:t>
            </w:r>
            <w:r w:rsidRPr="00F927DE">
              <w:rPr>
                <w:b/>
                <w:bCs/>
                <w:sz w:val="26"/>
                <w:szCs w:val="26"/>
              </w:rPr>
              <w:br/>
            </w:r>
            <w:r w:rsidRPr="00F927DE">
              <w:rPr>
                <w:b/>
                <w:bCs/>
                <w:szCs w:val="24"/>
              </w:rPr>
              <w:t>Ginebra, 25 de mayo – 2 de junio de 2016</w:t>
            </w:r>
          </w:p>
        </w:tc>
        <w:tc>
          <w:tcPr>
            <w:tcW w:w="3261" w:type="dxa"/>
          </w:tcPr>
          <w:p w:rsidR="00471D83" w:rsidRPr="00F927DE" w:rsidRDefault="00471D83" w:rsidP="00471D83">
            <w:pPr>
              <w:spacing w:before="0"/>
              <w:jc w:val="right"/>
              <w:rPr>
                <w:szCs w:val="24"/>
              </w:rPr>
            </w:pPr>
            <w:bookmarkStart w:id="2" w:name="ditulogo"/>
            <w:bookmarkEnd w:id="2"/>
            <w:r w:rsidRPr="00F927DE">
              <w:rPr>
                <w:rFonts w:cstheme="minorHAnsi"/>
                <w:b/>
                <w:bCs/>
                <w:noProof/>
                <w:szCs w:val="24"/>
                <w:lang w:val="en-US" w:eastAsia="zh-CN"/>
              </w:rPr>
              <w:drawing>
                <wp:inline distT="0" distB="0" distL="0" distR="0" wp14:anchorId="35255194" wp14:editId="73B775BA">
                  <wp:extent cx="1771650" cy="695325"/>
                  <wp:effectExtent l="0" t="0" r="0" b="9525"/>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471D83" w:rsidRPr="00F927DE">
        <w:trPr>
          <w:cantSplit/>
          <w:trHeight w:val="20"/>
        </w:trPr>
        <w:tc>
          <w:tcPr>
            <w:tcW w:w="10173" w:type="dxa"/>
            <w:gridSpan w:val="2"/>
            <w:tcBorders>
              <w:bottom w:val="single" w:sz="12" w:space="0" w:color="auto"/>
            </w:tcBorders>
          </w:tcPr>
          <w:p w:rsidR="00471D83" w:rsidRPr="00F927DE" w:rsidRDefault="00471D83">
            <w:pPr>
              <w:spacing w:before="0"/>
              <w:rPr>
                <w:b/>
                <w:bCs/>
                <w:szCs w:val="24"/>
              </w:rPr>
            </w:pPr>
          </w:p>
        </w:tc>
      </w:tr>
      <w:tr w:rsidR="00471D83" w:rsidRPr="00F927DE">
        <w:trPr>
          <w:cantSplit/>
          <w:trHeight w:val="20"/>
        </w:trPr>
        <w:tc>
          <w:tcPr>
            <w:tcW w:w="6912" w:type="dxa"/>
            <w:tcBorders>
              <w:top w:val="single" w:sz="12" w:space="0" w:color="auto"/>
            </w:tcBorders>
          </w:tcPr>
          <w:p w:rsidR="00471D83" w:rsidRPr="00F927DE" w:rsidRDefault="00471D83">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rsidR="00471D83" w:rsidRPr="00F927DE" w:rsidRDefault="00471D83">
            <w:pPr>
              <w:spacing w:before="0"/>
              <w:rPr>
                <w:b/>
                <w:bCs/>
                <w:szCs w:val="24"/>
              </w:rPr>
            </w:pPr>
          </w:p>
        </w:tc>
      </w:tr>
      <w:tr w:rsidR="00471D83" w:rsidRPr="00F927DE">
        <w:trPr>
          <w:cantSplit/>
          <w:trHeight w:val="20"/>
        </w:trPr>
        <w:tc>
          <w:tcPr>
            <w:tcW w:w="6912" w:type="dxa"/>
            <w:shd w:val="clear" w:color="auto" w:fill="auto"/>
          </w:tcPr>
          <w:p w:rsidR="00471D83" w:rsidRPr="00F927DE" w:rsidRDefault="00471D83" w:rsidP="00D50EB5">
            <w:pPr>
              <w:tabs>
                <w:tab w:val="left" w:pos="1560"/>
                <w:tab w:val="left" w:pos="3544"/>
                <w:tab w:val="left" w:pos="3969"/>
              </w:tabs>
              <w:spacing w:before="0" w:line="240" w:lineRule="atLeast"/>
              <w:rPr>
                <w:rFonts w:cs="Times"/>
                <w:b/>
                <w:szCs w:val="24"/>
              </w:rPr>
            </w:pPr>
            <w:bookmarkStart w:id="3" w:name="dnum" w:colFirst="1" w:colLast="1"/>
            <w:bookmarkStart w:id="4" w:name="dmeeting" w:colFirst="0" w:colLast="0"/>
            <w:r w:rsidRPr="00F927DE">
              <w:rPr>
                <w:rFonts w:cs="Times"/>
                <w:b/>
                <w:szCs w:val="24"/>
              </w:rPr>
              <w:t xml:space="preserve">Punto del orden del día: </w:t>
            </w:r>
            <w:r w:rsidRPr="00F927DE">
              <w:rPr>
                <w:b/>
              </w:rPr>
              <w:t>ADM 7</w:t>
            </w:r>
          </w:p>
        </w:tc>
        <w:tc>
          <w:tcPr>
            <w:tcW w:w="3261" w:type="dxa"/>
          </w:tcPr>
          <w:p w:rsidR="00471D83" w:rsidRPr="00F927DE" w:rsidRDefault="00B06DAA" w:rsidP="00471D83">
            <w:pPr>
              <w:spacing w:before="0"/>
              <w:rPr>
                <w:b/>
                <w:bCs/>
                <w:szCs w:val="24"/>
              </w:rPr>
            </w:pPr>
            <w:proofErr w:type="spellStart"/>
            <w:r w:rsidRPr="00F927DE">
              <w:rPr>
                <w:b/>
              </w:rPr>
              <w:t>Addéndum</w:t>
            </w:r>
            <w:proofErr w:type="spellEnd"/>
            <w:r w:rsidRPr="00F927DE">
              <w:rPr>
                <w:b/>
              </w:rPr>
              <w:t xml:space="preserve"> 1 al</w:t>
            </w:r>
            <w:r w:rsidRPr="00F927DE">
              <w:rPr>
                <w:b/>
                <w:bCs/>
                <w:szCs w:val="24"/>
              </w:rPr>
              <w:t xml:space="preserve"> </w:t>
            </w:r>
            <w:r>
              <w:rPr>
                <w:b/>
                <w:bCs/>
                <w:szCs w:val="24"/>
              </w:rPr>
              <w:br/>
            </w:r>
            <w:r w:rsidR="00471D83" w:rsidRPr="00F927DE">
              <w:rPr>
                <w:b/>
                <w:bCs/>
                <w:szCs w:val="24"/>
              </w:rPr>
              <w:t>Documento C16/22-S</w:t>
            </w:r>
          </w:p>
        </w:tc>
      </w:tr>
      <w:tr w:rsidR="00471D83" w:rsidRPr="00F927DE">
        <w:trPr>
          <w:cantSplit/>
          <w:trHeight w:val="20"/>
        </w:trPr>
        <w:tc>
          <w:tcPr>
            <w:tcW w:w="6912" w:type="dxa"/>
            <w:shd w:val="clear" w:color="auto" w:fill="auto"/>
          </w:tcPr>
          <w:p w:rsidR="00471D83" w:rsidRPr="00F927DE" w:rsidRDefault="00471D83">
            <w:pPr>
              <w:shd w:val="solid" w:color="FFFFFF" w:fill="FFFFFF"/>
              <w:spacing w:before="0"/>
              <w:rPr>
                <w:smallCaps/>
                <w:szCs w:val="24"/>
              </w:rPr>
            </w:pPr>
            <w:bookmarkStart w:id="5" w:name="ddate" w:colFirst="1" w:colLast="1"/>
            <w:bookmarkEnd w:id="3"/>
            <w:bookmarkEnd w:id="4"/>
          </w:p>
        </w:tc>
        <w:tc>
          <w:tcPr>
            <w:tcW w:w="3261" w:type="dxa"/>
          </w:tcPr>
          <w:p w:rsidR="00471D83" w:rsidRPr="00F927DE" w:rsidRDefault="00471D83" w:rsidP="00471D83">
            <w:pPr>
              <w:spacing w:before="0"/>
              <w:rPr>
                <w:b/>
                <w:bCs/>
                <w:szCs w:val="24"/>
              </w:rPr>
            </w:pPr>
            <w:r w:rsidRPr="00F927DE">
              <w:rPr>
                <w:b/>
                <w:bCs/>
                <w:szCs w:val="24"/>
              </w:rPr>
              <w:t>26 de mayo de 2016</w:t>
            </w:r>
          </w:p>
        </w:tc>
      </w:tr>
      <w:tr w:rsidR="00471D83" w:rsidRPr="00F927DE">
        <w:trPr>
          <w:cantSplit/>
          <w:trHeight w:val="20"/>
        </w:trPr>
        <w:tc>
          <w:tcPr>
            <w:tcW w:w="6912" w:type="dxa"/>
            <w:shd w:val="clear" w:color="auto" w:fill="auto"/>
          </w:tcPr>
          <w:p w:rsidR="00471D83" w:rsidRPr="00F927DE" w:rsidRDefault="00471D83">
            <w:pPr>
              <w:shd w:val="solid" w:color="FFFFFF" w:fill="FFFFFF"/>
              <w:spacing w:before="0"/>
              <w:rPr>
                <w:smallCaps/>
                <w:szCs w:val="24"/>
              </w:rPr>
            </w:pPr>
            <w:bookmarkStart w:id="6" w:name="dorlang" w:colFirst="1" w:colLast="1"/>
            <w:bookmarkEnd w:id="5"/>
          </w:p>
        </w:tc>
        <w:tc>
          <w:tcPr>
            <w:tcW w:w="3261" w:type="dxa"/>
          </w:tcPr>
          <w:p w:rsidR="00471D83" w:rsidRPr="00F927DE" w:rsidRDefault="00471D83" w:rsidP="00471D83">
            <w:pPr>
              <w:spacing w:before="0"/>
              <w:rPr>
                <w:b/>
                <w:bCs/>
                <w:szCs w:val="24"/>
              </w:rPr>
            </w:pPr>
            <w:r w:rsidRPr="00F927DE">
              <w:rPr>
                <w:b/>
                <w:bCs/>
                <w:szCs w:val="24"/>
              </w:rPr>
              <w:t>Original: inglés</w:t>
            </w:r>
          </w:p>
        </w:tc>
      </w:tr>
      <w:tr w:rsidR="00471D83" w:rsidRPr="00F927DE">
        <w:trPr>
          <w:cantSplit/>
        </w:trPr>
        <w:tc>
          <w:tcPr>
            <w:tcW w:w="10173" w:type="dxa"/>
            <w:gridSpan w:val="2"/>
          </w:tcPr>
          <w:p w:rsidR="00471D83" w:rsidRPr="00F927DE" w:rsidRDefault="00471D83">
            <w:pPr>
              <w:pStyle w:val="Source"/>
            </w:pPr>
            <w:bookmarkStart w:id="7" w:name="dsource" w:colFirst="0" w:colLast="0"/>
            <w:bookmarkEnd w:id="1"/>
            <w:bookmarkEnd w:id="6"/>
            <w:r w:rsidRPr="00F927DE">
              <w:t>Informe del Secretario General</w:t>
            </w:r>
          </w:p>
        </w:tc>
      </w:tr>
      <w:tr w:rsidR="00471D83" w:rsidRPr="00F927DE">
        <w:trPr>
          <w:cantSplit/>
        </w:trPr>
        <w:tc>
          <w:tcPr>
            <w:tcW w:w="10173" w:type="dxa"/>
            <w:gridSpan w:val="2"/>
          </w:tcPr>
          <w:p w:rsidR="00471D83" w:rsidRPr="00F927DE" w:rsidRDefault="00471D83" w:rsidP="00F02BDD">
            <w:pPr>
              <w:pStyle w:val="Title1"/>
            </w:pPr>
            <w:bookmarkStart w:id="8" w:name="dtitle1" w:colFirst="0" w:colLast="0"/>
            <w:bookmarkEnd w:id="7"/>
            <w:r w:rsidRPr="00F927DE">
              <w:t>QUINTO INFORME ANUAL DEL COMITÉ ASESOR INDEDENDIENTE</w:t>
            </w:r>
            <w:bookmarkStart w:id="9" w:name="_GoBack"/>
            <w:bookmarkEnd w:id="9"/>
            <w:r w:rsidRPr="00F927DE">
              <w:t xml:space="preserve"> </w:t>
            </w:r>
            <w:r w:rsidR="00F02BDD">
              <w:br/>
            </w:r>
            <w:r w:rsidRPr="00F927DE">
              <w:t>SOBRE LA GESTIÓN (CAIG)</w:t>
            </w:r>
          </w:p>
        </w:tc>
      </w:tr>
      <w:tr w:rsidR="00F02BDD" w:rsidRPr="00F927DE">
        <w:trPr>
          <w:cantSplit/>
        </w:trPr>
        <w:tc>
          <w:tcPr>
            <w:tcW w:w="10173" w:type="dxa"/>
            <w:gridSpan w:val="2"/>
          </w:tcPr>
          <w:p w:rsidR="00F02BDD" w:rsidRDefault="00F02BDD" w:rsidP="00F02BDD">
            <w:pPr>
              <w:pStyle w:val="Title4"/>
            </w:pPr>
            <w:proofErr w:type="spellStart"/>
            <w:r w:rsidRPr="00F02BDD">
              <w:rPr>
                <w:lang w:val="fr-FR"/>
              </w:rPr>
              <w:t>Addéndum</w:t>
            </w:r>
            <w:proofErr w:type="spellEnd"/>
            <w:r w:rsidRPr="00F02BDD">
              <w:rPr>
                <w:lang w:val="fr-FR"/>
              </w:rPr>
              <w:t xml:space="preserve"> 1, </w:t>
            </w:r>
            <w:proofErr w:type="spellStart"/>
            <w:r w:rsidRPr="00F02BDD">
              <w:rPr>
                <w:lang w:val="fr-FR"/>
              </w:rPr>
              <w:t>Auditoría</w:t>
            </w:r>
            <w:proofErr w:type="spellEnd"/>
            <w:r w:rsidRPr="00F02BDD">
              <w:rPr>
                <w:lang w:val="fr-FR"/>
              </w:rPr>
              <w:t xml:space="preserve"> </w:t>
            </w:r>
            <w:proofErr w:type="spellStart"/>
            <w:r w:rsidRPr="00F02BDD">
              <w:rPr>
                <w:lang w:val="fr-FR"/>
              </w:rPr>
              <w:t>Externa</w:t>
            </w:r>
            <w:proofErr w:type="spellEnd"/>
          </w:p>
        </w:tc>
      </w:tr>
      <w:bookmarkEnd w:id="8"/>
    </w:tbl>
    <w:p w:rsidR="00471D83" w:rsidRPr="00F927DE" w:rsidRDefault="00471D83"/>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471D83" w:rsidRPr="00F927DE">
        <w:trPr>
          <w:trHeight w:val="3372"/>
        </w:trPr>
        <w:tc>
          <w:tcPr>
            <w:tcW w:w="8080" w:type="dxa"/>
            <w:tcBorders>
              <w:top w:val="single" w:sz="12" w:space="0" w:color="auto"/>
              <w:left w:val="single" w:sz="12" w:space="0" w:color="auto"/>
              <w:bottom w:val="single" w:sz="12" w:space="0" w:color="auto"/>
              <w:right w:val="single" w:sz="12" w:space="0" w:color="auto"/>
            </w:tcBorders>
          </w:tcPr>
          <w:p w:rsidR="00471D83" w:rsidRPr="00F927DE" w:rsidRDefault="00471D83" w:rsidP="00D50EB5">
            <w:pPr>
              <w:pStyle w:val="Headingb"/>
              <w:keepNext w:val="0"/>
              <w:keepLines w:val="0"/>
              <w:spacing w:before="240"/>
              <w:ind w:right="48"/>
            </w:pPr>
            <w:r w:rsidRPr="00F927DE">
              <w:rPr>
                <w:bCs/>
                <w:szCs w:val="24"/>
                <w:lang w:bidi="en-US"/>
              </w:rPr>
              <w:t>Resumen</w:t>
            </w:r>
          </w:p>
          <w:p w:rsidR="00471D83" w:rsidRPr="00F927DE" w:rsidRDefault="00471D83" w:rsidP="00457167">
            <w:r w:rsidRPr="00F927DE">
              <w:rPr>
                <w:bCs/>
                <w:szCs w:val="24"/>
                <w:lang w:bidi="en-US"/>
              </w:rPr>
              <w:t xml:space="preserve">El presente documento contiene un </w:t>
            </w:r>
            <w:proofErr w:type="spellStart"/>
            <w:r w:rsidRPr="00F927DE">
              <w:rPr>
                <w:bCs/>
                <w:szCs w:val="24"/>
                <w:lang w:bidi="en-US"/>
              </w:rPr>
              <w:t>Addéndum</w:t>
            </w:r>
            <w:proofErr w:type="spellEnd"/>
            <w:r w:rsidRPr="00F927DE">
              <w:rPr>
                <w:bCs/>
                <w:szCs w:val="24"/>
                <w:lang w:bidi="en-US"/>
              </w:rPr>
              <w:t xml:space="preserve"> al quinto Informe Anual del CAIG y</w:t>
            </w:r>
            <w:r w:rsidRPr="00F927DE">
              <w:t xml:space="preserve"> s</w:t>
            </w:r>
            <w:r w:rsidRPr="00F927DE">
              <w:rPr>
                <w:bCs/>
                <w:szCs w:val="24"/>
                <w:lang w:bidi="en-US"/>
              </w:rPr>
              <w:t>e somete a la consideración del Consejo de la UIT en cumplimiento de las responsabilidades específicas del Comité, que consisten en asesorar al Consejo acerca de los problemas planteados por los estados financieros verificados de la UIT y los Informes elaborados por el Auditor Externo, y facilitar y fundamentar su examen de los estados financieros y el Informe de Auditoría Externa correspondientes al ejercicio 2015.</w:t>
            </w:r>
          </w:p>
          <w:p w:rsidR="00471D83" w:rsidRPr="00F927DE" w:rsidRDefault="00471D83">
            <w:pPr>
              <w:pStyle w:val="Headingb"/>
            </w:pPr>
            <w:r w:rsidRPr="00F927DE">
              <w:t>Acción solicitada</w:t>
            </w:r>
          </w:p>
          <w:p w:rsidR="00471D83" w:rsidRPr="00F927DE" w:rsidRDefault="00471D83" w:rsidP="00457167">
            <w:r w:rsidRPr="00F927DE">
              <w:rPr>
                <w:bCs/>
                <w:szCs w:val="24"/>
                <w:lang w:bidi="en-US"/>
              </w:rPr>
              <w:t>Se invita al Consejo a</w:t>
            </w:r>
            <w:r w:rsidRPr="00F927DE">
              <w:rPr>
                <w:szCs w:val="24"/>
                <w:lang w:bidi="en-US"/>
              </w:rPr>
              <w:t xml:space="preserve"> </w:t>
            </w:r>
            <w:r w:rsidRPr="00F927DE">
              <w:rPr>
                <w:b/>
                <w:bCs/>
                <w:szCs w:val="24"/>
                <w:lang w:bidi="en-US"/>
              </w:rPr>
              <w:t>refrendar</w:t>
            </w:r>
            <w:r w:rsidRPr="00F927DE">
              <w:rPr>
                <w:bCs/>
                <w:szCs w:val="24"/>
                <w:lang w:bidi="en-US"/>
              </w:rPr>
              <w:t xml:space="preserve"> el </w:t>
            </w:r>
            <w:proofErr w:type="spellStart"/>
            <w:r w:rsidRPr="00F927DE">
              <w:rPr>
                <w:bCs/>
                <w:szCs w:val="24"/>
                <w:lang w:bidi="en-US"/>
              </w:rPr>
              <w:t>Addéndum</w:t>
            </w:r>
            <w:proofErr w:type="spellEnd"/>
            <w:r w:rsidRPr="00F927DE">
              <w:rPr>
                <w:bCs/>
                <w:szCs w:val="24"/>
                <w:lang w:bidi="en-US"/>
              </w:rPr>
              <w:t xml:space="preserve"> 1 al quinto</w:t>
            </w:r>
            <w:r w:rsidR="00D50EB5" w:rsidRPr="00F927DE">
              <w:rPr>
                <w:bCs/>
                <w:szCs w:val="24"/>
                <w:lang w:bidi="en-US"/>
              </w:rPr>
              <w:t xml:space="preserve"> Informe Anual del </w:t>
            </w:r>
            <w:r w:rsidRPr="00F927DE">
              <w:rPr>
                <w:bCs/>
                <w:szCs w:val="24"/>
                <w:lang w:bidi="en-US"/>
              </w:rPr>
              <w:t>CAIG.</w:t>
            </w:r>
          </w:p>
          <w:p w:rsidR="00471D83" w:rsidRPr="00F927DE" w:rsidRDefault="00471D83">
            <w:pPr>
              <w:pStyle w:val="Table"/>
              <w:keepNext w:val="0"/>
              <w:spacing w:before="0" w:after="0"/>
              <w:rPr>
                <w:caps w:val="0"/>
                <w:sz w:val="22"/>
                <w:lang w:val="es-ES_tradnl"/>
              </w:rPr>
            </w:pPr>
            <w:r w:rsidRPr="00F927DE">
              <w:rPr>
                <w:caps w:val="0"/>
                <w:sz w:val="22"/>
                <w:lang w:val="es-ES_tradnl"/>
              </w:rPr>
              <w:t>____________</w:t>
            </w:r>
          </w:p>
          <w:p w:rsidR="00471D83" w:rsidRPr="00F927DE" w:rsidRDefault="00471D83">
            <w:pPr>
              <w:pStyle w:val="Headingb"/>
            </w:pPr>
            <w:r w:rsidRPr="00F927DE">
              <w:t>Referencias</w:t>
            </w:r>
          </w:p>
          <w:p w:rsidR="00471D83" w:rsidRPr="00F927DE" w:rsidRDefault="00471D83" w:rsidP="00B06DAA">
            <w:pPr>
              <w:spacing w:after="120"/>
              <w:rPr>
                <w:i/>
                <w:iCs/>
              </w:rPr>
            </w:pPr>
            <w:r w:rsidRPr="00F927DE">
              <w:rPr>
                <w:bCs/>
                <w:i/>
                <w:iCs/>
                <w:szCs w:val="24"/>
                <w:lang w:bidi="en-US"/>
              </w:rPr>
              <w:t xml:space="preserve">Documento </w:t>
            </w:r>
            <w:hyperlink r:id="rId8" w:history="1">
              <w:r w:rsidR="00B06DAA" w:rsidRPr="00AB594C">
                <w:rPr>
                  <w:rStyle w:val="Hyperlink"/>
                  <w:rFonts w:cs="Calibri"/>
                  <w:i/>
                  <w:iCs/>
                  <w:szCs w:val="24"/>
                  <w:lang w:eastAsia="zh-CN"/>
                </w:rPr>
                <w:t>C16/22</w:t>
              </w:r>
            </w:hyperlink>
            <w:r w:rsidRPr="00F927DE">
              <w:rPr>
                <w:bCs/>
                <w:i/>
                <w:iCs/>
                <w:szCs w:val="24"/>
                <w:lang w:bidi="en-US"/>
              </w:rPr>
              <w:t xml:space="preserve">, Quinto Informe Anual del CAIG al Consejo. </w:t>
            </w:r>
            <w:r w:rsidRPr="00F927DE">
              <w:rPr>
                <w:bCs/>
                <w:i/>
                <w:iCs/>
                <w:szCs w:val="24"/>
                <w:lang w:bidi="en-US"/>
              </w:rPr>
              <w:br/>
              <w:t xml:space="preserve">Documento </w:t>
            </w:r>
            <w:hyperlink r:id="rId9" w:history="1">
              <w:r w:rsidR="00B06DAA" w:rsidRPr="000E682C">
                <w:rPr>
                  <w:rStyle w:val="Hyperlink"/>
                  <w:i/>
                  <w:iCs/>
                  <w:lang w:val="fr-CH" w:bidi="en-US"/>
                </w:rPr>
                <w:t>C16/40</w:t>
              </w:r>
            </w:hyperlink>
            <w:r w:rsidRPr="00F927DE">
              <w:rPr>
                <w:bCs/>
                <w:i/>
                <w:iCs/>
                <w:szCs w:val="24"/>
                <w:lang w:bidi="en-US"/>
              </w:rPr>
              <w:t>, Informe del Auditor Externo</w:t>
            </w:r>
          </w:p>
        </w:tc>
      </w:tr>
    </w:tbl>
    <w:p w:rsidR="00471D83" w:rsidRPr="00F927DE" w:rsidRDefault="00471D83" w:rsidP="00F9182B">
      <w:pPr>
        <w:pStyle w:val="Heading1"/>
        <w:rPr>
          <w:rFonts w:eastAsia="SimSun"/>
          <w:lang w:eastAsia="en-GB" w:bidi="en-US"/>
        </w:rPr>
      </w:pPr>
      <w:r w:rsidRPr="00F927DE">
        <w:rPr>
          <w:rFonts w:eastAsia="SimSun"/>
          <w:lang w:eastAsia="en-GB" w:bidi="en-US"/>
        </w:rPr>
        <w:t>1</w:t>
      </w:r>
      <w:r w:rsidRPr="00F927DE">
        <w:rPr>
          <w:rFonts w:eastAsia="SimSun"/>
          <w:lang w:eastAsia="en-GB" w:bidi="en-US"/>
        </w:rPr>
        <w:tab/>
        <w:t xml:space="preserve">Finalidad del presente </w:t>
      </w:r>
      <w:proofErr w:type="spellStart"/>
      <w:r w:rsidRPr="00F927DE">
        <w:rPr>
          <w:rFonts w:eastAsia="SimSun"/>
          <w:lang w:eastAsia="en-GB" w:bidi="en-US"/>
        </w:rPr>
        <w:t>Addéndum</w:t>
      </w:r>
      <w:proofErr w:type="spellEnd"/>
    </w:p>
    <w:p w:rsidR="00471D83" w:rsidRPr="00F927DE" w:rsidRDefault="00471D83" w:rsidP="00D50EB5">
      <w:pPr>
        <w:rPr>
          <w:rFonts w:eastAsia="SimSun"/>
          <w:lang w:eastAsia="en-GB" w:bidi="en-US"/>
        </w:rPr>
      </w:pPr>
      <w:r w:rsidRPr="00F927DE">
        <w:rPr>
          <w:rFonts w:eastAsia="SimSun"/>
          <w:lang w:eastAsia="en-GB" w:bidi="en-US"/>
        </w:rPr>
        <w:t>1.1</w:t>
      </w:r>
      <w:r w:rsidRPr="00F927DE">
        <w:rPr>
          <w:rFonts w:eastAsia="SimSun"/>
          <w:lang w:eastAsia="en-GB" w:bidi="en-US"/>
        </w:rPr>
        <w:tab/>
        <w:t xml:space="preserve">En su quinto Informe Anual, el CAIG señaló que, una vez examinado el Informe del Auditor Externo, </w:t>
      </w:r>
      <w:r w:rsidRPr="00F927DE">
        <w:rPr>
          <w:rFonts w:eastAsia="SimSun"/>
        </w:rPr>
        <w:t>formularía</w:t>
      </w:r>
      <w:r w:rsidRPr="00F927DE">
        <w:rPr>
          <w:rFonts w:eastAsia="SimSun"/>
          <w:lang w:eastAsia="en-GB" w:bidi="en-US"/>
        </w:rPr>
        <w:t xml:space="preserve"> observaciones relativas a la Auditoría Extern</w:t>
      </w:r>
      <w:r w:rsidR="00B06DAA">
        <w:rPr>
          <w:rFonts w:eastAsia="SimSun"/>
          <w:lang w:eastAsia="en-GB" w:bidi="en-US"/>
        </w:rPr>
        <w:t xml:space="preserve">a en un </w:t>
      </w:r>
      <w:proofErr w:type="spellStart"/>
      <w:r w:rsidR="00B06DAA">
        <w:rPr>
          <w:rFonts w:eastAsia="SimSun"/>
          <w:lang w:eastAsia="en-GB" w:bidi="en-US"/>
        </w:rPr>
        <w:t>Addéndum</w:t>
      </w:r>
      <w:proofErr w:type="spellEnd"/>
      <w:r w:rsidR="00B06DAA">
        <w:rPr>
          <w:rFonts w:eastAsia="SimSun"/>
          <w:lang w:eastAsia="en-GB" w:bidi="en-US"/>
        </w:rPr>
        <w:t xml:space="preserve"> al Informe del </w:t>
      </w:r>
      <w:r w:rsidRPr="00F927DE">
        <w:rPr>
          <w:rFonts w:eastAsia="SimSun"/>
          <w:lang w:eastAsia="en-GB" w:bidi="en-US"/>
        </w:rPr>
        <w:t xml:space="preserve">CAIG. El CAIG se reunió del 9 al 11 de mayo de 2016 con </w:t>
      </w:r>
      <w:r w:rsidRPr="00F927DE">
        <w:rPr>
          <w:rFonts w:eastAsia="SimSun"/>
          <w:i/>
          <w:iCs/>
          <w:lang w:eastAsia="en-GB" w:bidi="en-US"/>
        </w:rPr>
        <w:t xml:space="preserve">Corte </w:t>
      </w:r>
      <w:proofErr w:type="spellStart"/>
      <w:r w:rsidRPr="00F927DE">
        <w:rPr>
          <w:rFonts w:eastAsia="SimSun"/>
          <w:i/>
          <w:iCs/>
          <w:lang w:eastAsia="en-GB" w:bidi="en-US"/>
        </w:rPr>
        <w:t>dei</w:t>
      </w:r>
      <w:proofErr w:type="spellEnd"/>
      <w:r w:rsidRPr="00F927DE">
        <w:rPr>
          <w:rFonts w:eastAsia="SimSun"/>
          <w:i/>
          <w:iCs/>
          <w:lang w:eastAsia="en-GB" w:bidi="en-US"/>
        </w:rPr>
        <w:t xml:space="preserve"> </w:t>
      </w:r>
      <w:proofErr w:type="spellStart"/>
      <w:r w:rsidRPr="00F927DE">
        <w:rPr>
          <w:rFonts w:eastAsia="SimSun"/>
          <w:i/>
          <w:iCs/>
          <w:lang w:eastAsia="en-GB" w:bidi="en-US"/>
        </w:rPr>
        <w:t>Conti</w:t>
      </w:r>
      <w:proofErr w:type="spellEnd"/>
      <w:r w:rsidRPr="00F927DE">
        <w:rPr>
          <w:rFonts w:eastAsia="SimSun"/>
          <w:lang w:eastAsia="en-GB" w:bidi="en-US"/>
        </w:rPr>
        <w:t xml:space="preserve"> para debatir el proceso </w:t>
      </w:r>
      <w:proofErr w:type="gramStart"/>
      <w:r w:rsidRPr="00F927DE">
        <w:rPr>
          <w:rFonts w:eastAsia="SimSun"/>
          <w:lang w:eastAsia="en-GB" w:bidi="en-US"/>
        </w:rPr>
        <w:t>de</w:t>
      </w:r>
      <w:proofErr w:type="gramEnd"/>
      <w:r w:rsidRPr="00F927DE">
        <w:rPr>
          <w:rFonts w:eastAsia="SimSun"/>
          <w:lang w:eastAsia="en-GB" w:bidi="en-US"/>
        </w:rPr>
        <w:t xml:space="preserve"> elaboración del informe de Auditoría Externa; el CAIG recibió el in</w:t>
      </w:r>
      <w:r w:rsidR="00D50EB5" w:rsidRPr="00F927DE">
        <w:rPr>
          <w:rFonts w:eastAsia="SimSun"/>
          <w:lang w:eastAsia="en-GB" w:bidi="en-US"/>
        </w:rPr>
        <w:t>forme del Auditor Externo el 23 </w:t>
      </w:r>
      <w:r w:rsidRPr="00F927DE">
        <w:rPr>
          <w:rFonts w:eastAsia="SimSun"/>
          <w:lang w:eastAsia="en-GB" w:bidi="en-US"/>
        </w:rPr>
        <w:t>de mayo de 2016.</w:t>
      </w:r>
    </w:p>
    <w:p w:rsidR="00471D83" w:rsidRPr="00F927DE" w:rsidRDefault="00471D83" w:rsidP="00F02BDD">
      <w:pPr>
        <w:keepLines/>
        <w:rPr>
          <w:rFonts w:eastAsia="SimSun"/>
          <w:lang w:eastAsia="en-GB" w:bidi="en-US"/>
        </w:rPr>
      </w:pPr>
      <w:r w:rsidRPr="00F927DE">
        <w:rPr>
          <w:rFonts w:eastAsia="SimSun"/>
          <w:lang w:eastAsia="en-GB" w:bidi="en-US"/>
        </w:rPr>
        <w:lastRenderedPageBreak/>
        <w:t>1.2</w:t>
      </w:r>
      <w:r w:rsidRPr="00F927DE">
        <w:rPr>
          <w:rFonts w:eastAsia="SimSun"/>
          <w:lang w:eastAsia="en-GB" w:bidi="en-US"/>
        </w:rPr>
        <w:tab/>
        <w:t xml:space="preserve">Por tanto, la finalidad del presente </w:t>
      </w:r>
      <w:proofErr w:type="spellStart"/>
      <w:r w:rsidRPr="00F927DE">
        <w:rPr>
          <w:rFonts w:eastAsia="SimSun"/>
          <w:lang w:eastAsia="en-GB" w:bidi="en-US"/>
        </w:rPr>
        <w:t>Addéndum</w:t>
      </w:r>
      <w:proofErr w:type="spellEnd"/>
      <w:r w:rsidRPr="00F927DE">
        <w:rPr>
          <w:rFonts w:eastAsia="SimSun"/>
          <w:lang w:eastAsia="en-GB" w:bidi="en-US"/>
        </w:rPr>
        <w:t xml:space="preserve"> al quinto Informe Anual del CAIG es asesorar al Consejo respecto a las cuestiones que plantea el Informe del Auditor Externo sobre la verificación de los estados financieros de la UIT, y fundamentar su examen de los estados financieros y del Informe de Auditoría Externa correspondientes al ejercicio 2015.</w:t>
      </w:r>
    </w:p>
    <w:p w:rsidR="00471D83" w:rsidRPr="00F927DE" w:rsidRDefault="00471D83" w:rsidP="001334CC">
      <w:pPr>
        <w:pStyle w:val="Heading1"/>
        <w:jc w:val="both"/>
        <w:rPr>
          <w:rFonts w:eastAsia="SimSun"/>
          <w:lang w:eastAsia="en-GB" w:bidi="en-US"/>
        </w:rPr>
      </w:pPr>
      <w:r w:rsidRPr="00F927DE">
        <w:rPr>
          <w:rFonts w:eastAsia="SimSun"/>
          <w:lang w:eastAsia="en-GB" w:bidi="en-US"/>
        </w:rPr>
        <w:t>2</w:t>
      </w:r>
      <w:r w:rsidRPr="00F927DE">
        <w:rPr>
          <w:rFonts w:eastAsia="SimSun"/>
          <w:lang w:eastAsia="en-GB" w:bidi="en-US"/>
        </w:rPr>
        <w:tab/>
        <w:t>Informe de 2015 del Auditor Externo: Opinión favorable</w:t>
      </w:r>
    </w:p>
    <w:p w:rsidR="00471D83" w:rsidRPr="00F927DE" w:rsidRDefault="00471D83" w:rsidP="00510F21">
      <w:pPr>
        <w:rPr>
          <w:rFonts w:eastAsia="SimSun"/>
          <w:lang w:eastAsia="en-GB" w:bidi="en-US"/>
        </w:rPr>
      </w:pPr>
      <w:r w:rsidRPr="00F927DE">
        <w:rPr>
          <w:rFonts w:eastAsia="SimSun"/>
          <w:lang w:eastAsia="en-GB" w:bidi="en-US"/>
        </w:rPr>
        <w:t>2.1</w:t>
      </w:r>
      <w:r w:rsidRPr="00F927DE">
        <w:rPr>
          <w:rFonts w:eastAsia="SimSun"/>
          <w:lang w:eastAsia="en-GB" w:bidi="en-US"/>
        </w:rPr>
        <w:tab/>
        <w:t>El Auditor Externo ha emitido una opinión de auditoría favorable y sin salvedades respecto de los estados financieros de la UIT correspondientes al ejercicio 2015, que incluye un párrafo de énfasis relativo a la situación financiera que muestra activos netos negativos</w:t>
      </w:r>
      <w:r w:rsidR="00510F21">
        <w:rPr>
          <w:rFonts w:eastAsia="SimSun"/>
          <w:lang w:eastAsia="en-GB" w:bidi="en-US"/>
        </w:rPr>
        <w:t xml:space="preserve"> por valor de </w:t>
      </w:r>
      <w:r w:rsidR="00510F21">
        <w:rPr>
          <w:rFonts w:eastAsia="SimSun"/>
          <w:lang w:eastAsia="en-GB" w:bidi="en-US"/>
        </w:rPr>
        <w:noBreakHyphen/>
        <w:t xml:space="preserve">343,2 millones </w:t>
      </w:r>
      <w:r w:rsidRPr="00F927DE">
        <w:rPr>
          <w:rFonts w:eastAsia="SimSun"/>
          <w:lang w:eastAsia="en-GB" w:bidi="en-US"/>
        </w:rPr>
        <w:t>CHF, principalmente debido a los pasivos actuariales relacionados con las prestaciones a largo plazo adeudadas al personal. Dicho párrafo de énfasis no cambia la opinión de auditoría favorable pero llama la atención sobre un asunto que a juicio de los Auditores Externos es de tal importancia que es fundamental para una comprensión cabal por parte de los usuarios del informe de los estados financieros. En el extenso Informe del Auditor Externo se examina la situación financiera de forma integral, y se formulan cinco (5) recomendaciones y dos (2) sugerencias destinadas a la Dirección</w:t>
      </w:r>
      <w:r w:rsidR="00D50EB5" w:rsidRPr="00F927DE">
        <w:rPr>
          <w:rFonts w:eastAsia="SimSun"/>
          <w:lang w:eastAsia="en-GB" w:bidi="en-US"/>
        </w:rPr>
        <w:t>.</w:t>
      </w:r>
    </w:p>
    <w:p w:rsidR="00471D83" w:rsidRPr="00F927DE" w:rsidRDefault="00471D83" w:rsidP="001334CC">
      <w:pPr>
        <w:pStyle w:val="Heading1"/>
        <w:jc w:val="both"/>
        <w:rPr>
          <w:rFonts w:eastAsia="SimSun"/>
          <w:lang w:eastAsia="en-GB" w:bidi="en-US"/>
        </w:rPr>
      </w:pPr>
      <w:r w:rsidRPr="00F927DE">
        <w:rPr>
          <w:rFonts w:eastAsia="SimSun"/>
          <w:lang w:eastAsia="en-GB" w:bidi="en-US"/>
        </w:rPr>
        <w:t>3</w:t>
      </w:r>
      <w:r w:rsidRPr="00F927DE">
        <w:rPr>
          <w:rFonts w:eastAsia="SimSun"/>
          <w:lang w:eastAsia="en-GB" w:bidi="en-US"/>
        </w:rPr>
        <w:tab/>
        <w:t>Recomendaciones y sugerencias del Auditor Externo</w:t>
      </w:r>
    </w:p>
    <w:p w:rsidR="00471D83" w:rsidRPr="00F927DE" w:rsidRDefault="00471D83" w:rsidP="00D50EB5">
      <w:pPr>
        <w:rPr>
          <w:rFonts w:eastAsia="SimSun"/>
          <w:lang w:eastAsia="en-GB" w:bidi="en-US"/>
        </w:rPr>
      </w:pPr>
      <w:r w:rsidRPr="00F927DE">
        <w:rPr>
          <w:rFonts w:eastAsia="SimSun"/>
          <w:lang w:eastAsia="en-GB" w:bidi="en-US"/>
        </w:rPr>
        <w:t>3.1</w:t>
      </w:r>
      <w:r w:rsidRPr="00F927DE">
        <w:rPr>
          <w:rFonts w:eastAsia="SimSun"/>
          <w:lang w:eastAsia="en-GB" w:bidi="en-US"/>
        </w:rPr>
        <w:tab/>
        <w:t>El Auditor Externo recomienda:</w:t>
      </w:r>
    </w:p>
    <w:p w:rsidR="00471D83" w:rsidRPr="00F927DE" w:rsidRDefault="00857E84" w:rsidP="004C55E1">
      <w:pPr>
        <w:pStyle w:val="enumlev1"/>
        <w:jc w:val="both"/>
        <w:rPr>
          <w:rFonts w:eastAsia="SimSun"/>
          <w:lang w:eastAsia="en-GB" w:bidi="en-US"/>
        </w:rPr>
      </w:pPr>
      <w:r w:rsidRPr="00F927DE">
        <w:rPr>
          <w:rFonts w:eastAsia="SimSun"/>
          <w:lang w:eastAsia="en-GB" w:bidi="en-US"/>
        </w:rPr>
        <w:t>i)</w:t>
      </w:r>
      <w:r w:rsidR="00471D83" w:rsidRPr="00F927DE">
        <w:rPr>
          <w:rFonts w:eastAsia="SimSun"/>
          <w:lang w:eastAsia="en-GB" w:bidi="en-US"/>
        </w:rPr>
        <w:tab/>
      </w:r>
      <w:r w:rsidRPr="00F927DE">
        <w:rPr>
          <w:rFonts w:eastAsia="SimSun"/>
          <w:lang w:eastAsia="en-GB" w:bidi="en-US"/>
        </w:rPr>
        <w:t>M</w:t>
      </w:r>
      <w:r w:rsidR="00471D83" w:rsidRPr="00F927DE">
        <w:rPr>
          <w:rFonts w:eastAsia="SimSun"/>
          <w:lang w:eastAsia="en-GB" w:bidi="en-US"/>
        </w:rPr>
        <w:t xml:space="preserve">ejorar los procedimientos y procesos para una consignación más precisa de los activos, en particular el reconocimiento, el etiquetado y la capitalización de los activos fijos ubicados en la UIT (Recomendación </w:t>
      </w:r>
      <w:r w:rsidR="004C55E1">
        <w:rPr>
          <w:rFonts w:eastAsia="SimSun"/>
          <w:lang w:eastAsia="en-GB" w:bidi="en-US"/>
        </w:rPr>
        <w:t xml:space="preserve">Nº </w:t>
      </w:r>
      <w:r w:rsidR="00471D83" w:rsidRPr="00F927DE">
        <w:rPr>
          <w:rFonts w:eastAsia="SimSun"/>
          <w:lang w:eastAsia="en-GB" w:bidi="en-US"/>
        </w:rPr>
        <w:t>1)</w:t>
      </w:r>
      <w:r w:rsidR="00F927DE">
        <w:rPr>
          <w:rFonts w:eastAsia="SimSun"/>
          <w:lang w:eastAsia="en-GB" w:bidi="en-US"/>
        </w:rPr>
        <w:t>.</w:t>
      </w:r>
    </w:p>
    <w:p w:rsidR="00471D83" w:rsidRPr="00F927DE" w:rsidRDefault="00857E84" w:rsidP="004C55E1">
      <w:pPr>
        <w:pStyle w:val="enumlev1"/>
        <w:jc w:val="both"/>
        <w:rPr>
          <w:rFonts w:eastAsia="SimSun"/>
          <w:lang w:eastAsia="en-GB" w:bidi="en-US"/>
        </w:rPr>
      </w:pPr>
      <w:r w:rsidRPr="00F927DE">
        <w:rPr>
          <w:rFonts w:eastAsia="SimSun"/>
          <w:lang w:eastAsia="en-GB" w:bidi="en-US"/>
        </w:rPr>
        <w:t>ii)</w:t>
      </w:r>
      <w:r w:rsidR="00471D83" w:rsidRPr="00F927DE">
        <w:rPr>
          <w:rFonts w:eastAsia="SimSun"/>
          <w:lang w:eastAsia="en-GB" w:bidi="en-US"/>
        </w:rPr>
        <w:tab/>
      </w:r>
      <w:r w:rsidRPr="00F927DE">
        <w:rPr>
          <w:rFonts w:eastAsia="SimSun"/>
          <w:lang w:eastAsia="en-GB" w:bidi="en-US"/>
        </w:rPr>
        <w:t>R</w:t>
      </w:r>
      <w:r w:rsidR="00471D83" w:rsidRPr="00F927DE">
        <w:rPr>
          <w:rFonts w:eastAsia="SimSun"/>
          <w:lang w:eastAsia="en-GB" w:bidi="en-US"/>
        </w:rPr>
        <w:t xml:space="preserve">evisar la vida útil de categorías de activos y la amortización conforme a las prácticas de la Naciones Unidas (Recomendación </w:t>
      </w:r>
      <w:r w:rsidR="004C55E1">
        <w:rPr>
          <w:rFonts w:eastAsia="SimSun"/>
          <w:lang w:eastAsia="en-GB" w:bidi="en-US"/>
        </w:rPr>
        <w:t xml:space="preserve">Nº </w:t>
      </w:r>
      <w:r w:rsidR="00471D83" w:rsidRPr="00F927DE">
        <w:rPr>
          <w:rFonts w:eastAsia="SimSun"/>
          <w:lang w:eastAsia="en-GB" w:bidi="en-US"/>
        </w:rPr>
        <w:t>2)</w:t>
      </w:r>
      <w:r w:rsidR="00F927DE">
        <w:rPr>
          <w:rFonts w:eastAsia="SimSun"/>
          <w:lang w:eastAsia="en-GB" w:bidi="en-US"/>
        </w:rPr>
        <w:t>.</w:t>
      </w:r>
    </w:p>
    <w:p w:rsidR="00471D83" w:rsidRPr="00F927DE" w:rsidRDefault="00857E84" w:rsidP="004C55E1">
      <w:pPr>
        <w:pStyle w:val="enumlev1"/>
        <w:jc w:val="both"/>
        <w:rPr>
          <w:rFonts w:eastAsia="SimSun"/>
          <w:lang w:eastAsia="en-GB" w:bidi="en-US"/>
        </w:rPr>
      </w:pPr>
      <w:r w:rsidRPr="00F927DE">
        <w:rPr>
          <w:rFonts w:eastAsia="SimSun"/>
          <w:lang w:eastAsia="en-GB" w:bidi="en-US"/>
        </w:rPr>
        <w:t>iii)</w:t>
      </w:r>
      <w:r w:rsidR="00471D83" w:rsidRPr="00F927DE">
        <w:rPr>
          <w:rFonts w:eastAsia="SimSun"/>
          <w:lang w:eastAsia="en-GB" w:bidi="en-US"/>
        </w:rPr>
        <w:tab/>
      </w:r>
      <w:r w:rsidRPr="00F927DE">
        <w:rPr>
          <w:rFonts w:eastAsia="SimSun"/>
          <w:lang w:eastAsia="en-GB" w:bidi="en-US"/>
        </w:rPr>
        <w:t>R</w:t>
      </w:r>
      <w:r w:rsidR="00471D83" w:rsidRPr="00F927DE">
        <w:rPr>
          <w:rFonts w:eastAsia="SimSun"/>
          <w:lang w:eastAsia="en-GB" w:bidi="en-US"/>
        </w:rPr>
        <w:t xml:space="preserve">ealizar mejoras adicionales </w:t>
      </w:r>
      <w:r w:rsidR="00471D83" w:rsidRPr="002D40D9">
        <w:rPr>
          <w:rFonts w:eastAsia="SimSun"/>
          <w:lang w:eastAsia="en-GB" w:bidi="en-US"/>
        </w:rPr>
        <w:t xml:space="preserve">en el ámbito </w:t>
      </w:r>
      <w:r w:rsidR="00471D83" w:rsidRPr="00F927DE">
        <w:rPr>
          <w:rFonts w:eastAsia="SimSun"/>
          <w:lang w:eastAsia="en-GB" w:bidi="en-US"/>
        </w:rPr>
        <w:t xml:space="preserve">de la gestión de activos, mediante la evaluación de la situación y </w:t>
      </w:r>
      <w:r w:rsidR="00471D83" w:rsidRPr="002D40D9">
        <w:rPr>
          <w:rFonts w:eastAsia="SimSun"/>
          <w:lang w:eastAsia="en-GB" w:bidi="en-US"/>
        </w:rPr>
        <w:t xml:space="preserve">del </w:t>
      </w:r>
      <w:r w:rsidR="00471D83" w:rsidRPr="00F927DE">
        <w:rPr>
          <w:rFonts w:eastAsia="SimSun"/>
          <w:lang w:eastAsia="en-GB" w:bidi="en-US"/>
        </w:rPr>
        <w:t xml:space="preserve">nivel de utilización de los activos, la vigilancia regular de la obsolescencia de elementos </w:t>
      </w:r>
      <w:r w:rsidR="00471D83" w:rsidRPr="002D40D9">
        <w:rPr>
          <w:rFonts w:eastAsia="SimSun"/>
          <w:lang w:eastAsia="en-GB" w:bidi="en-US"/>
        </w:rPr>
        <w:t xml:space="preserve">a fin de </w:t>
      </w:r>
      <w:r w:rsidR="00471D83" w:rsidRPr="00F927DE">
        <w:rPr>
          <w:rFonts w:eastAsia="SimSun"/>
          <w:lang w:eastAsia="en-GB" w:bidi="en-US"/>
        </w:rPr>
        <w:t xml:space="preserve">asegurar un Registro de Activos preciso, así como la aplicación de dichos procesos y procedimientos en todos los Departamentos de la UIT y Oficinas regionales (Recomendación </w:t>
      </w:r>
      <w:r w:rsidR="004C55E1">
        <w:rPr>
          <w:rFonts w:eastAsia="SimSun"/>
          <w:lang w:eastAsia="en-GB" w:bidi="en-US"/>
        </w:rPr>
        <w:t xml:space="preserve">Nº </w:t>
      </w:r>
      <w:r w:rsidR="00F927DE">
        <w:rPr>
          <w:rFonts w:eastAsia="SimSun"/>
          <w:lang w:eastAsia="en-GB" w:bidi="en-US"/>
        </w:rPr>
        <w:t>3).</w:t>
      </w:r>
    </w:p>
    <w:p w:rsidR="00471D83" w:rsidRPr="00687D32" w:rsidRDefault="00857E84" w:rsidP="004C55E1">
      <w:pPr>
        <w:pStyle w:val="enumlev1"/>
        <w:jc w:val="both"/>
        <w:rPr>
          <w:rFonts w:eastAsia="SimSun"/>
          <w:lang w:eastAsia="en-GB" w:bidi="en-US"/>
        </w:rPr>
      </w:pPr>
      <w:r w:rsidRPr="00F927DE">
        <w:rPr>
          <w:rFonts w:eastAsia="SimSun"/>
          <w:lang w:eastAsia="en-GB" w:bidi="en-US"/>
        </w:rPr>
        <w:t>iv)</w:t>
      </w:r>
      <w:r w:rsidR="00471D83" w:rsidRPr="00F927DE">
        <w:rPr>
          <w:rFonts w:eastAsia="SimSun"/>
          <w:lang w:eastAsia="en-GB" w:bidi="en-US"/>
        </w:rPr>
        <w:tab/>
      </w:r>
      <w:r w:rsidRPr="00F927DE">
        <w:rPr>
          <w:rFonts w:eastAsia="SimSun"/>
          <w:lang w:eastAsia="en-GB" w:bidi="en-US"/>
        </w:rPr>
        <w:t>Q</w:t>
      </w:r>
      <w:r w:rsidR="00471D83" w:rsidRPr="00F927DE">
        <w:rPr>
          <w:rFonts w:eastAsia="SimSun"/>
          <w:lang w:eastAsia="en-GB" w:bidi="en-US"/>
        </w:rPr>
        <w:t xml:space="preserve">ue la Dirección de la UIT solicite al actuario la utilización de una tasa de descuento igual al </w:t>
      </w:r>
      <w:r w:rsidR="00471D83" w:rsidRPr="00687D32">
        <w:rPr>
          <w:rFonts w:eastAsia="SimSun"/>
          <w:lang w:eastAsia="en-GB" w:bidi="en-US"/>
        </w:rPr>
        <w:t>rendimiento a largo plazo de los bonos del gobierno de Suiza, a la vista del propósito de la valoración establecida por las</w:t>
      </w:r>
      <w:r w:rsidR="00F927DE" w:rsidRPr="00687D32">
        <w:rPr>
          <w:rFonts w:eastAsia="SimSun"/>
          <w:lang w:eastAsia="en-GB" w:bidi="en-US"/>
        </w:rPr>
        <w:t xml:space="preserve"> NICSP 25 (Recomendación </w:t>
      </w:r>
      <w:r w:rsidR="004C55E1">
        <w:rPr>
          <w:rFonts w:eastAsia="SimSun"/>
          <w:lang w:eastAsia="en-GB" w:bidi="en-US"/>
        </w:rPr>
        <w:t xml:space="preserve">Nº </w:t>
      </w:r>
      <w:r w:rsidR="00F927DE" w:rsidRPr="00687D32">
        <w:rPr>
          <w:rFonts w:eastAsia="SimSun"/>
          <w:lang w:eastAsia="en-GB" w:bidi="en-US"/>
        </w:rPr>
        <w:t>4).</w:t>
      </w:r>
    </w:p>
    <w:p w:rsidR="00471D83" w:rsidRPr="00F927DE" w:rsidRDefault="00857E84" w:rsidP="004C55E1">
      <w:pPr>
        <w:pStyle w:val="enumlev1"/>
        <w:jc w:val="both"/>
        <w:rPr>
          <w:rFonts w:eastAsia="SimSun"/>
          <w:lang w:eastAsia="en-GB" w:bidi="en-US"/>
        </w:rPr>
      </w:pPr>
      <w:r w:rsidRPr="00F927DE">
        <w:rPr>
          <w:rFonts w:eastAsia="SimSun"/>
          <w:lang w:eastAsia="en-GB" w:bidi="en-US"/>
        </w:rPr>
        <w:t>v)</w:t>
      </w:r>
      <w:r w:rsidR="00471D83" w:rsidRPr="00F927DE">
        <w:rPr>
          <w:rFonts w:eastAsia="SimSun"/>
          <w:lang w:eastAsia="en-GB" w:bidi="en-US"/>
        </w:rPr>
        <w:tab/>
      </w:r>
      <w:r w:rsidRPr="00F927DE">
        <w:rPr>
          <w:rFonts w:eastAsia="SimSun"/>
          <w:lang w:eastAsia="en-GB" w:bidi="en-US"/>
        </w:rPr>
        <w:t>A</w:t>
      </w:r>
      <w:r w:rsidR="00471D83" w:rsidRPr="00F927DE">
        <w:rPr>
          <w:rFonts w:eastAsia="SimSun"/>
          <w:lang w:eastAsia="en-GB" w:bidi="en-US"/>
        </w:rPr>
        <w:t xml:space="preserve">ñadir al Informe de Gestión Financiera la revelación de información segmentada relativa a la presencia regional a fin de disponer de información detallada sobre las aportaciones y gastos reales de las Oficinas regionales (Recomendación </w:t>
      </w:r>
      <w:r w:rsidR="004C55E1">
        <w:rPr>
          <w:rFonts w:eastAsia="SimSun"/>
          <w:lang w:eastAsia="en-GB" w:bidi="en-US"/>
        </w:rPr>
        <w:t xml:space="preserve">Nº </w:t>
      </w:r>
      <w:r w:rsidR="00471D83" w:rsidRPr="00F927DE">
        <w:rPr>
          <w:rFonts w:eastAsia="SimSun"/>
          <w:lang w:eastAsia="en-GB" w:bidi="en-US"/>
        </w:rPr>
        <w:t>5).</w:t>
      </w:r>
    </w:p>
    <w:p w:rsidR="00471D83" w:rsidRPr="00F927DE" w:rsidRDefault="00D50EB5" w:rsidP="001334CC">
      <w:pPr>
        <w:spacing w:after="120"/>
        <w:jc w:val="both"/>
        <w:rPr>
          <w:rFonts w:eastAsia="SimSun" w:cs="SimSun"/>
          <w:szCs w:val="24"/>
          <w:lang w:eastAsia="en-GB" w:bidi="en-US"/>
        </w:rPr>
      </w:pPr>
      <w:r w:rsidRPr="00F927DE">
        <w:rPr>
          <w:rFonts w:eastAsia="SimSun" w:cs="SimSun"/>
          <w:szCs w:val="24"/>
          <w:lang w:eastAsia="en-GB" w:bidi="en-US"/>
        </w:rPr>
        <w:t>3.2</w:t>
      </w:r>
      <w:r w:rsidRPr="00F927DE">
        <w:rPr>
          <w:rFonts w:eastAsia="SimSun" w:cs="SimSun"/>
          <w:szCs w:val="24"/>
          <w:lang w:eastAsia="en-GB" w:bidi="en-US"/>
        </w:rPr>
        <w:tab/>
        <w:t>El Auditor Externo sugiere:</w:t>
      </w:r>
    </w:p>
    <w:p w:rsidR="00471D83" w:rsidRPr="00F927DE" w:rsidRDefault="00857E84" w:rsidP="004C55E1">
      <w:pPr>
        <w:pStyle w:val="enumlev1"/>
        <w:jc w:val="both"/>
        <w:rPr>
          <w:rFonts w:eastAsia="SimSun"/>
          <w:lang w:eastAsia="en-GB" w:bidi="en-US"/>
        </w:rPr>
      </w:pPr>
      <w:r w:rsidRPr="00F927DE">
        <w:rPr>
          <w:rFonts w:eastAsia="SimSun"/>
          <w:lang w:eastAsia="en-GB" w:bidi="en-US"/>
        </w:rPr>
        <w:t>i)</w:t>
      </w:r>
      <w:r w:rsidR="00471D83" w:rsidRPr="00F927DE">
        <w:rPr>
          <w:rFonts w:eastAsia="SimSun"/>
          <w:lang w:eastAsia="en-GB" w:bidi="en-US"/>
        </w:rPr>
        <w:tab/>
      </w:r>
      <w:r w:rsidR="00F927DE">
        <w:rPr>
          <w:rFonts w:eastAsia="SimSun"/>
          <w:lang w:eastAsia="en-GB" w:bidi="en-US"/>
        </w:rPr>
        <w:t>Q</w:t>
      </w:r>
      <w:r w:rsidR="00471D83" w:rsidRPr="00F927DE">
        <w:rPr>
          <w:rFonts w:eastAsia="SimSun"/>
          <w:lang w:eastAsia="en-GB" w:bidi="en-US"/>
        </w:rPr>
        <w:t xml:space="preserve">ue se mejore la gestión de activos relacionada con enajenaciones y donaciones mediante la optimización de procedimientos tales como la creación de un comité específico y la evaluación de los costes y beneficios del intercambio de activos entre Departamentos y Oficinas regionales antes de decidir la adquisición de un nuevo elemento (Sugerencia </w:t>
      </w:r>
      <w:r w:rsidR="004C55E1">
        <w:rPr>
          <w:rFonts w:eastAsia="SimSun"/>
          <w:lang w:eastAsia="en-GB" w:bidi="en-US"/>
        </w:rPr>
        <w:t>N</w:t>
      </w:r>
      <w:r w:rsidR="00471D83" w:rsidRPr="00F927DE">
        <w:rPr>
          <w:rFonts w:eastAsia="SimSun"/>
          <w:lang w:eastAsia="en-GB" w:bidi="en-US"/>
        </w:rPr>
        <w:t>º</w:t>
      </w:r>
      <w:r w:rsidR="004C55E1">
        <w:rPr>
          <w:rFonts w:eastAsia="SimSun"/>
          <w:lang w:eastAsia="en-GB" w:bidi="en-US"/>
        </w:rPr>
        <w:t xml:space="preserve"> </w:t>
      </w:r>
      <w:r w:rsidR="00471D83" w:rsidRPr="00F927DE">
        <w:rPr>
          <w:rFonts w:eastAsia="SimSun"/>
          <w:lang w:eastAsia="en-GB" w:bidi="en-US"/>
        </w:rPr>
        <w:t>1)</w:t>
      </w:r>
      <w:r w:rsidR="00F927DE">
        <w:rPr>
          <w:rFonts w:eastAsia="SimSun"/>
          <w:lang w:eastAsia="en-GB" w:bidi="en-US"/>
        </w:rPr>
        <w:t>.</w:t>
      </w:r>
    </w:p>
    <w:p w:rsidR="00471D83" w:rsidRPr="00F927DE" w:rsidRDefault="00857E84" w:rsidP="00ED5E1B">
      <w:pPr>
        <w:pStyle w:val="enumlev1"/>
        <w:jc w:val="both"/>
        <w:rPr>
          <w:rFonts w:eastAsia="SimSun"/>
          <w:lang w:eastAsia="en-GB" w:bidi="en-US"/>
        </w:rPr>
      </w:pPr>
      <w:r w:rsidRPr="00F927DE">
        <w:rPr>
          <w:rFonts w:eastAsia="SimSun"/>
          <w:lang w:eastAsia="en-GB" w:bidi="en-US"/>
        </w:rPr>
        <w:lastRenderedPageBreak/>
        <w:t>ii)</w:t>
      </w:r>
      <w:r w:rsidR="00471D83" w:rsidRPr="00F927DE">
        <w:rPr>
          <w:rFonts w:eastAsia="SimSun"/>
          <w:lang w:eastAsia="en-GB" w:bidi="en-US"/>
        </w:rPr>
        <w:tab/>
      </w:r>
      <w:r w:rsidR="00F927DE">
        <w:rPr>
          <w:rFonts w:eastAsia="SimSun"/>
          <w:lang w:eastAsia="en-GB" w:bidi="en-US"/>
        </w:rPr>
        <w:t>Q</w:t>
      </w:r>
      <w:r w:rsidR="00792A81">
        <w:rPr>
          <w:rFonts w:eastAsia="SimSun"/>
          <w:lang w:eastAsia="en-GB" w:bidi="en-US"/>
        </w:rPr>
        <w:t>ue la d</w:t>
      </w:r>
      <w:r w:rsidR="00471D83" w:rsidRPr="00F927DE">
        <w:rPr>
          <w:rFonts w:eastAsia="SimSun"/>
          <w:lang w:eastAsia="en-GB" w:bidi="en-US"/>
        </w:rPr>
        <w:t xml:space="preserve">irección de la UIT siga examinando los acuerdos de país anfitrión con vistas a formalizar prácticas aceptadas y conseguir las ventajas conexas </w:t>
      </w:r>
      <w:r w:rsidR="00471D83" w:rsidRPr="00687D32">
        <w:rPr>
          <w:rFonts w:eastAsia="SimSun"/>
          <w:lang w:eastAsia="en-GB" w:bidi="en-US"/>
        </w:rPr>
        <w:t xml:space="preserve">a fin de </w:t>
      </w:r>
      <w:r w:rsidR="00471D83" w:rsidRPr="00F927DE">
        <w:rPr>
          <w:rFonts w:eastAsia="SimSun"/>
          <w:lang w:eastAsia="en-GB" w:bidi="en-US"/>
        </w:rPr>
        <w:t xml:space="preserve">fortalecer el papel de la UIT y proteger sus activos (Sugerencia </w:t>
      </w:r>
      <w:r w:rsidR="004C55E1">
        <w:rPr>
          <w:rFonts w:eastAsia="SimSun"/>
          <w:lang w:eastAsia="en-GB" w:bidi="en-US"/>
        </w:rPr>
        <w:t xml:space="preserve">Nº </w:t>
      </w:r>
      <w:r w:rsidR="00471D83" w:rsidRPr="00F927DE">
        <w:rPr>
          <w:rFonts w:eastAsia="SimSun"/>
          <w:lang w:eastAsia="en-GB" w:bidi="en-US"/>
        </w:rPr>
        <w:t>2).</w:t>
      </w:r>
    </w:p>
    <w:p w:rsidR="00471D83" w:rsidRPr="00F927DE" w:rsidRDefault="00471D83" w:rsidP="001334CC">
      <w:pPr>
        <w:pStyle w:val="Heading1"/>
        <w:jc w:val="both"/>
        <w:rPr>
          <w:rFonts w:eastAsia="SimSun"/>
          <w:lang w:eastAsia="en-GB" w:bidi="en-US"/>
        </w:rPr>
      </w:pPr>
      <w:r w:rsidRPr="00F927DE">
        <w:rPr>
          <w:rFonts w:eastAsia="SimSun"/>
          <w:lang w:eastAsia="en-GB" w:bidi="en-US"/>
        </w:rPr>
        <w:t>4</w:t>
      </w:r>
      <w:r w:rsidRPr="00F927DE">
        <w:rPr>
          <w:rFonts w:eastAsia="SimSun"/>
          <w:lang w:eastAsia="en-GB" w:bidi="en-US"/>
        </w:rPr>
        <w:tab/>
        <w:t>Observaciones y recomendación del CAIG</w:t>
      </w:r>
    </w:p>
    <w:p w:rsidR="00471D83" w:rsidRPr="00F927DE" w:rsidRDefault="00471D83" w:rsidP="00B0579F">
      <w:pPr>
        <w:rPr>
          <w:rFonts w:eastAsia="SimSun"/>
          <w:lang w:eastAsia="en-GB" w:bidi="en-US"/>
        </w:rPr>
      </w:pPr>
      <w:r w:rsidRPr="00F927DE">
        <w:rPr>
          <w:rFonts w:eastAsia="SimSun"/>
          <w:lang w:eastAsia="en-GB" w:bidi="en-US"/>
        </w:rPr>
        <w:t>4.1</w:t>
      </w:r>
      <w:r w:rsidRPr="00F927DE">
        <w:rPr>
          <w:rFonts w:eastAsia="SimSun"/>
          <w:lang w:eastAsia="en-GB" w:bidi="en-US"/>
        </w:rPr>
        <w:tab/>
        <w:t xml:space="preserve">En relación con las tasas de descuento utilizadas en relación con el seguro de salud de jubilados (ASHI) y en el Plan Colectivo de Seguro Médico (Recomendación </w:t>
      </w:r>
      <w:r w:rsidR="004C55E1">
        <w:rPr>
          <w:rFonts w:eastAsia="SimSun"/>
          <w:lang w:eastAsia="en-GB" w:bidi="en-US"/>
        </w:rPr>
        <w:t xml:space="preserve">Nº </w:t>
      </w:r>
      <w:r w:rsidRPr="00F927DE">
        <w:rPr>
          <w:rFonts w:eastAsia="SimSun"/>
          <w:lang w:eastAsia="en-GB" w:bidi="en-US"/>
        </w:rPr>
        <w:t xml:space="preserve">4), el CAIG aconseja en la Recomendación 3/2016 de su informe que se hagan consultas adicionales a los actuarios sobre la aplicación de las tasas de descuento más adecuadas. El CAIG considera que la aplicación de las recomendaciones y las sugerencias del Auditor Externo serán beneficiosas para mejorar la gestión financiera y el control en la UIT, y que el Comité supervisará en sus futuras reuniones la aplicación de parte de la </w:t>
      </w:r>
      <w:r w:rsidR="00B0579F">
        <w:rPr>
          <w:rFonts w:eastAsia="SimSun"/>
          <w:lang w:eastAsia="en-GB" w:bidi="en-US"/>
        </w:rPr>
        <w:t>d</w:t>
      </w:r>
      <w:r w:rsidRPr="00F927DE">
        <w:rPr>
          <w:rFonts w:eastAsia="SimSun"/>
          <w:lang w:eastAsia="en-GB" w:bidi="en-US"/>
        </w:rPr>
        <w:t>irección de las recomendaciones de la auditoría.</w:t>
      </w:r>
    </w:p>
    <w:p w:rsidR="00471D83" w:rsidRPr="00F927DE" w:rsidRDefault="00471D83" w:rsidP="00ED5E1B">
      <w:pPr>
        <w:rPr>
          <w:rFonts w:eastAsia="SimSun"/>
          <w:lang w:eastAsia="en-GB" w:bidi="en-US"/>
        </w:rPr>
      </w:pPr>
      <w:r w:rsidRPr="00F927DE">
        <w:rPr>
          <w:rFonts w:eastAsia="SimSun"/>
          <w:lang w:eastAsia="en-GB" w:bidi="en-US"/>
        </w:rPr>
        <w:t>4.2</w:t>
      </w:r>
      <w:r w:rsidRPr="00F927DE">
        <w:rPr>
          <w:rFonts w:eastAsia="SimSun"/>
          <w:lang w:eastAsia="en-GB" w:bidi="en-US"/>
        </w:rPr>
        <w:tab/>
        <w:t>En el Anexo 1 al Informe del Auditor Externo se incluye información sobre la aplicación de las recomendaciones de auditorías de años anteriores. E</w:t>
      </w:r>
      <w:r w:rsidR="004C55E1">
        <w:rPr>
          <w:rFonts w:eastAsia="SimSun"/>
          <w:lang w:eastAsia="en-GB" w:bidi="en-US"/>
        </w:rPr>
        <w:t>l CAIG señala que un total de 6 </w:t>
      </w:r>
      <w:r w:rsidRPr="00F927DE">
        <w:rPr>
          <w:rFonts w:eastAsia="SimSun"/>
          <w:lang w:eastAsia="en-GB" w:bidi="en-US"/>
        </w:rPr>
        <w:t>recomendaciones de 2012 y 2014 siguen en curso de aplicación o han sido aplicadas parcialmente y aún no están cerradas. Dos recomendaciones de 2008 y 2009 planteadas por los auditores suizos anteriores permanecen pendientes y se ven afectadas por restricciones en el presupuesto.</w:t>
      </w:r>
    </w:p>
    <w:p w:rsidR="00DE3BD0" w:rsidRDefault="00DE3BD0" w:rsidP="00855B81">
      <w:pPr>
        <w:spacing w:before="840"/>
        <w:jc w:val="center"/>
      </w:pPr>
      <w:r>
        <w:t>______________</w:t>
      </w:r>
    </w:p>
    <w:sectPr w:rsidR="00DE3BD0" w:rsidSect="006710F6">
      <w:headerReference w:type="default" r:id="rId10"/>
      <w:footerReference w:type="default" r:id="rId11"/>
      <w:footerReference w:type="first" r:id="rId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D83" w:rsidRDefault="00471D83">
      <w:r>
        <w:separator/>
      </w:r>
    </w:p>
  </w:endnote>
  <w:endnote w:type="continuationSeparator" w:id="0">
    <w:p w:rsidR="00471D83" w:rsidRDefault="0047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7DE" w:rsidRPr="00855B81" w:rsidRDefault="00855B81" w:rsidP="00F927DE">
    <w:pPr>
      <w:pStyle w:val="Footer"/>
      <w:tabs>
        <w:tab w:val="clear" w:pos="5954"/>
        <w:tab w:val="left" w:pos="5670"/>
      </w:tabs>
      <w:rPr>
        <w:color w:val="FFFFFF" w:themeColor="background1"/>
      </w:rPr>
    </w:pPr>
    <w:r w:rsidRPr="00855B81">
      <w:rPr>
        <w:color w:val="FFFFFF" w:themeColor="background1"/>
      </w:rPr>
      <w:fldChar w:fldCharType="begin"/>
    </w:r>
    <w:r w:rsidRPr="00855B81">
      <w:rPr>
        <w:color w:val="FFFFFF" w:themeColor="background1"/>
      </w:rPr>
      <w:instrText xml:space="preserve"> FILENAME \p  \* MERGEFORMAT </w:instrText>
    </w:r>
    <w:r w:rsidRPr="00855B81">
      <w:rPr>
        <w:color w:val="FFFFFF" w:themeColor="background1"/>
      </w:rPr>
      <w:fldChar w:fldCharType="separate"/>
    </w:r>
    <w:r w:rsidR="00867B51" w:rsidRPr="00855B81">
      <w:rPr>
        <w:color w:val="FFFFFF" w:themeColor="background1"/>
      </w:rPr>
      <w:t>P:\ESP\SG\CONSEIL\C16\000\022ADD01S.docx</w:t>
    </w:r>
    <w:r w:rsidRPr="00855B81">
      <w:rPr>
        <w:color w:val="FFFFFF" w:themeColor="background1"/>
      </w:rPr>
      <w:fldChar w:fldCharType="end"/>
    </w:r>
    <w:r w:rsidR="00F927DE" w:rsidRPr="00855B81">
      <w:rPr>
        <w:color w:val="FFFFFF" w:themeColor="background1"/>
      </w:rPr>
      <w:t xml:space="preserve"> (399355)</w:t>
    </w:r>
    <w:r w:rsidR="00F927DE" w:rsidRPr="00855B81">
      <w:rPr>
        <w:color w:val="FFFFFF" w:themeColor="background1"/>
      </w:rPr>
      <w:tab/>
    </w:r>
    <w:r w:rsidR="00F927DE" w:rsidRPr="00855B81">
      <w:rPr>
        <w:color w:val="FFFFFF" w:themeColor="background1"/>
      </w:rPr>
      <w:fldChar w:fldCharType="begin"/>
    </w:r>
    <w:r w:rsidR="00F927DE" w:rsidRPr="00855B81">
      <w:rPr>
        <w:color w:val="FFFFFF" w:themeColor="background1"/>
      </w:rPr>
      <w:instrText xml:space="preserve"> SAVEDATE \@ DD.MM.YY </w:instrText>
    </w:r>
    <w:r w:rsidR="00F927DE" w:rsidRPr="00855B81">
      <w:rPr>
        <w:color w:val="FFFFFF" w:themeColor="background1"/>
      </w:rPr>
      <w:fldChar w:fldCharType="separate"/>
    </w:r>
    <w:r w:rsidRPr="00855B81">
      <w:rPr>
        <w:color w:val="FFFFFF" w:themeColor="background1"/>
      </w:rPr>
      <w:t>30.05.16</w:t>
    </w:r>
    <w:r w:rsidR="00F927DE" w:rsidRPr="00855B81">
      <w:rPr>
        <w:color w:val="FFFFFF" w:themeColor="background1"/>
      </w:rPr>
      <w:fldChar w:fldCharType="end"/>
    </w:r>
    <w:r w:rsidR="00F927DE" w:rsidRPr="00855B81">
      <w:rPr>
        <w:color w:val="FFFFFF" w:themeColor="background1"/>
      </w:rPr>
      <w:tab/>
    </w:r>
    <w:r w:rsidR="00F927DE" w:rsidRPr="00855B81">
      <w:rPr>
        <w:color w:val="FFFFFF" w:themeColor="background1"/>
      </w:rPr>
      <w:fldChar w:fldCharType="begin"/>
    </w:r>
    <w:r w:rsidR="00F927DE" w:rsidRPr="00855B81">
      <w:rPr>
        <w:color w:val="FFFFFF" w:themeColor="background1"/>
      </w:rPr>
      <w:instrText xml:space="preserve"> PRINTDATE \@ DD.MM.YY </w:instrText>
    </w:r>
    <w:r w:rsidR="00F927DE" w:rsidRPr="00855B81">
      <w:rPr>
        <w:color w:val="FFFFFF" w:themeColor="background1"/>
      </w:rPr>
      <w:fldChar w:fldCharType="separate"/>
    </w:r>
    <w:r w:rsidR="00867B51" w:rsidRPr="00855B81">
      <w:rPr>
        <w:color w:val="FFFFFF" w:themeColor="background1"/>
      </w:rPr>
      <w:t>30.05.16</w:t>
    </w:r>
    <w:r w:rsidR="00F927DE" w:rsidRPr="00855B81">
      <w:rPr>
        <w:color w:val="FFFFFF" w:themeColor="background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760F1C">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D83" w:rsidRDefault="00471D83">
      <w:r>
        <w:t>____________________</w:t>
      </w:r>
    </w:p>
  </w:footnote>
  <w:footnote w:type="continuationSeparator" w:id="0">
    <w:p w:rsidR="00471D83" w:rsidRDefault="00471D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0B7C15" w:rsidP="007657F0">
    <w:pPr>
      <w:pStyle w:val="Header"/>
    </w:pPr>
    <w:r>
      <w:fldChar w:fldCharType="begin"/>
    </w:r>
    <w:r>
      <w:instrText>PAGE</w:instrText>
    </w:r>
    <w:r>
      <w:fldChar w:fldCharType="separate"/>
    </w:r>
    <w:r w:rsidR="00855B81">
      <w:rPr>
        <w:noProof/>
      </w:rPr>
      <w:t>3</w:t>
    </w:r>
    <w:r>
      <w:rPr>
        <w:noProof/>
      </w:rPr>
      <w:fldChar w:fldCharType="end"/>
    </w:r>
  </w:p>
  <w:p w:rsidR="00760F1C" w:rsidRDefault="00760F1C" w:rsidP="00726872">
    <w:pPr>
      <w:pStyle w:val="Header"/>
    </w:pPr>
    <w:r>
      <w:t>C</w:t>
    </w:r>
    <w:r w:rsidR="007F350B">
      <w:t>1</w:t>
    </w:r>
    <w:r w:rsidR="00726872">
      <w:t>6</w:t>
    </w:r>
    <w:r w:rsidR="00F927DE">
      <w:t>/22(Add.1)</w:t>
    </w:r>
    <w:r>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D83"/>
    <w:rsid w:val="000B0D00"/>
    <w:rsid w:val="000B7C15"/>
    <w:rsid w:val="000D1D0F"/>
    <w:rsid w:val="000F5290"/>
    <w:rsid w:val="000F5C78"/>
    <w:rsid w:val="0010165C"/>
    <w:rsid w:val="00146BFB"/>
    <w:rsid w:val="001F14A2"/>
    <w:rsid w:val="001F21F5"/>
    <w:rsid w:val="00225846"/>
    <w:rsid w:val="002801AA"/>
    <w:rsid w:val="002B1A07"/>
    <w:rsid w:val="002C4676"/>
    <w:rsid w:val="002C70B0"/>
    <w:rsid w:val="002D40D9"/>
    <w:rsid w:val="002F3CC4"/>
    <w:rsid w:val="00471D83"/>
    <w:rsid w:val="00497BB2"/>
    <w:rsid w:val="004C55E1"/>
    <w:rsid w:val="00510F21"/>
    <w:rsid w:val="00513630"/>
    <w:rsid w:val="00560125"/>
    <w:rsid w:val="0058027F"/>
    <w:rsid w:val="00585553"/>
    <w:rsid w:val="005B34D9"/>
    <w:rsid w:val="005D0CCF"/>
    <w:rsid w:val="005F410F"/>
    <w:rsid w:val="00601924"/>
    <w:rsid w:val="00644B3B"/>
    <w:rsid w:val="0064731F"/>
    <w:rsid w:val="006710F6"/>
    <w:rsid w:val="00687D32"/>
    <w:rsid w:val="006C1B56"/>
    <w:rsid w:val="006D4761"/>
    <w:rsid w:val="00726872"/>
    <w:rsid w:val="00760F1C"/>
    <w:rsid w:val="007657F0"/>
    <w:rsid w:val="00792A81"/>
    <w:rsid w:val="007E5DD3"/>
    <w:rsid w:val="007F350B"/>
    <w:rsid w:val="00820BE4"/>
    <w:rsid w:val="008451E8"/>
    <w:rsid w:val="00855B81"/>
    <w:rsid w:val="00857E84"/>
    <w:rsid w:val="00867B51"/>
    <w:rsid w:val="00894D8C"/>
    <w:rsid w:val="00913B9C"/>
    <w:rsid w:val="00956E77"/>
    <w:rsid w:val="00A4113E"/>
    <w:rsid w:val="00AA390C"/>
    <w:rsid w:val="00AB1114"/>
    <w:rsid w:val="00B0579F"/>
    <w:rsid w:val="00B06DAA"/>
    <w:rsid w:val="00B33ADE"/>
    <w:rsid w:val="00B574DB"/>
    <w:rsid w:val="00B71696"/>
    <w:rsid w:val="00B826C2"/>
    <w:rsid w:val="00B8687A"/>
    <w:rsid w:val="00BD0723"/>
    <w:rsid w:val="00C20C59"/>
    <w:rsid w:val="00C55B1F"/>
    <w:rsid w:val="00C9011D"/>
    <w:rsid w:val="00CA01D7"/>
    <w:rsid w:val="00CF1A67"/>
    <w:rsid w:val="00D2750E"/>
    <w:rsid w:val="00D50EB5"/>
    <w:rsid w:val="00D57F0E"/>
    <w:rsid w:val="00D62446"/>
    <w:rsid w:val="00DA4EA2"/>
    <w:rsid w:val="00DE2C90"/>
    <w:rsid w:val="00DE3B24"/>
    <w:rsid w:val="00DE3BD0"/>
    <w:rsid w:val="00DF2FD1"/>
    <w:rsid w:val="00E3592D"/>
    <w:rsid w:val="00E92DE8"/>
    <w:rsid w:val="00EB1212"/>
    <w:rsid w:val="00EB750F"/>
    <w:rsid w:val="00ED5E1B"/>
    <w:rsid w:val="00ED65AB"/>
    <w:rsid w:val="00F02BDD"/>
    <w:rsid w:val="00F12850"/>
    <w:rsid w:val="00F33BF4"/>
    <w:rsid w:val="00F7105E"/>
    <w:rsid w:val="00F75F57"/>
    <w:rsid w:val="00F82FEE"/>
    <w:rsid w:val="00F927DE"/>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FC7A04B-9B75-41D4-BC62-4CF73C68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character" w:styleId="EndnoteReference">
    <w:name w:val="endnote reference"/>
    <w:basedOn w:val="DefaultParagraphFont"/>
    <w:rsid w:val="006710F6"/>
    <w:rPr>
      <w:vertAlign w:val="superscript"/>
    </w:rPr>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Object">
    <w:name w:val="Object"/>
    <w:basedOn w:val="Subject"/>
    <w:next w:val="Subject"/>
    <w:rsid w:val="006710F6"/>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docnoted">
    <w:name w:val="docnoted"/>
    <w:basedOn w:val="Normal"/>
    <w:rsid w:val="006710F6"/>
    <w:pPr>
      <w:pBdr>
        <w:top w:val="single" w:sz="6" w:space="0" w:color="auto"/>
        <w:left w:val="single" w:sz="6" w:space="0" w:color="auto"/>
        <w:bottom w:val="single" w:sz="6" w:space="0" w:color="auto"/>
        <w:right w:val="single" w:sz="6" w:space="0" w:color="auto"/>
      </w:pBdr>
      <w:shd w:val="pct10" w:color="auto" w:fill="auto"/>
    </w:pPr>
    <w:rPr>
      <w:sz w:val="20"/>
    </w:rPr>
  </w:style>
  <w:style w:type="paragraph" w:customStyle="1" w:styleId="Table">
    <w:name w:val="Table_#"/>
    <w:basedOn w:val="Normal"/>
    <w:next w:val="Normal"/>
    <w:rsid w:val="006710F6"/>
    <w:pPr>
      <w:keepNext/>
      <w:overflowPunct/>
      <w:autoSpaceDE/>
      <w:autoSpaceDN/>
      <w:adjustRightInd/>
      <w:spacing w:before="560" w:after="120"/>
      <w:jc w:val="center"/>
      <w:textAlignment w:val="auto"/>
    </w:pPr>
    <w:rPr>
      <w:caps/>
      <w:lang w:val="en-GB"/>
    </w:rPr>
  </w:style>
  <w:style w:type="paragraph" w:customStyle="1" w:styleId="FigureNo">
    <w:name w:val="Figure_No"/>
    <w:basedOn w:val="Normal"/>
    <w:next w:val="Figuretitle"/>
    <w:rsid w:val="006710F6"/>
    <w:pPr>
      <w:keepNext/>
      <w:keepLines/>
      <w:spacing w:before="240" w:after="120"/>
      <w:jc w:val="center"/>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md/S16-CL-C-0022/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tu.int/md/S16-CL-C-0040/en"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dozas\AppData\Roaming\Microsoft\Templates\POOL%20S%20-%20ITU\PS_C16.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828CE-CC7E-4327-BEED-4083CC3FA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PS_C16.dotm</Template>
  <TotalTime>1</TotalTime>
  <Pages>3</Pages>
  <Words>954</Words>
  <Characters>5088</Characters>
  <Application>Microsoft Office Word</Application>
  <DocSecurity>4</DocSecurity>
  <Lines>42</Lines>
  <Paragraphs>12</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QUINTO INFORME ANUAL DEL COMITÉ ASESOR INDEDENDIENTE SOBRE LA GESTIÓN (CAIG)</vt:lpstr>
    </vt:vector>
  </TitlesOfParts>
  <Manager>Secretaría General - Pool</Manager>
  <Company>Unión Internacional de Telecomunicaciones (UIT)</Company>
  <LinksUpToDate>false</LinksUpToDate>
  <CharactersWithSpaces>6030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1 AL QUINTO INFORME ANUAL DEL COMITÉ ASESOR INDEDENDIENTE SOBRE LA GESTIÓN (CAIG)</dc:title>
  <dc:subject>Consejo 2016</dc:subject>
  <dc:creator>Informe del Secretario General</dc:creator>
  <cp:keywords>C2016, C16</cp:keywords>
  <dc:description/>
  <cp:lastModifiedBy>Brouard, Ricarda</cp:lastModifiedBy>
  <cp:revision>2</cp:revision>
  <cp:lastPrinted>2016-05-30T15:51:00Z</cp:lastPrinted>
  <dcterms:created xsi:type="dcterms:W3CDTF">2016-05-30T17:25:00Z</dcterms:created>
  <dcterms:modified xsi:type="dcterms:W3CDTF">2016-05-30T17:25:00Z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Addéndum 1 al Documento C16/22-S</vt:lpwstr>
  </property>
  <property fmtid="{D5CDD505-2E9C-101B-9397-08002B2CF9AE}" pid="3" name="Docdate">
    <vt:lpwstr>26 de mayo de 2016</vt:lpwstr>
  </property>
  <property fmtid="{D5CDD505-2E9C-101B-9397-08002B2CF9AE}" pid="4" name="Docorlang">
    <vt:lpwstr>Original: inglés</vt:lpwstr>
  </property>
  <property fmtid="{D5CDD505-2E9C-101B-9397-08002B2CF9AE}" pid="5" name="Docbluepink">
    <vt:lpwstr>Consejo 2016 Ginebra, 25 de mayo – 2 de junio de 2016</vt:lpwstr>
  </property>
  <property fmtid="{D5CDD505-2E9C-101B-9397-08002B2CF9AE}" pid="6" name="Docdest">
    <vt:lpwstr>Punto del orden del día: ADM 7</vt:lpwstr>
  </property>
  <property fmtid="{D5CDD505-2E9C-101B-9397-08002B2CF9AE}" pid="7" name="Docauthor">
    <vt:lpwstr>Informe del Secretario General</vt:lpwstr>
  </property>
</Properties>
</file>