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65E12" w:rsidRPr="00813E5E" w14:paraId="41C1869A" w14:textId="77777777">
        <w:trPr>
          <w:cantSplit/>
        </w:trPr>
        <w:tc>
          <w:tcPr>
            <w:tcW w:w="6911" w:type="dxa"/>
          </w:tcPr>
          <w:p w14:paraId="6C72B64F" w14:textId="1F2F44B9" w:rsidR="00A65E12" w:rsidRPr="006626FB" w:rsidRDefault="00A65E12" w:rsidP="004D689E">
            <w:pPr>
              <w:spacing w:before="360" w:after="48" w:line="240" w:lineRule="atLeast"/>
              <w:rPr>
                <w:position w:val="6"/>
              </w:rPr>
            </w:pPr>
            <w:bookmarkStart w:id="0" w:name="dc06"/>
            <w:bookmarkEnd w:id="0"/>
            <w:r w:rsidRPr="006626FB">
              <w:rPr>
                <w:b/>
                <w:bCs/>
                <w:position w:val="6"/>
                <w:sz w:val="30"/>
                <w:szCs w:val="30"/>
              </w:rPr>
              <w:t>Council 201</w:t>
            </w:r>
            <w:r w:rsidR="004D689E" w:rsidRPr="006626FB">
              <w:rPr>
                <w:b/>
                <w:bCs/>
                <w:position w:val="6"/>
                <w:sz w:val="30"/>
                <w:szCs w:val="30"/>
              </w:rPr>
              <w:t>6</w:t>
            </w:r>
            <w:r w:rsidRPr="006626FB">
              <w:rPr>
                <w:rFonts w:cs="Times"/>
                <w:b/>
                <w:position w:val="6"/>
                <w:sz w:val="26"/>
                <w:szCs w:val="26"/>
                <w:lang w:val="en-US"/>
              </w:rPr>
              <w:br/>
            </w:r>
            <w:r w:rsidRPr="006626FB">
              <w:rPr>
                <w:b/>
                <w:bCs/>
                <w:position w:val="6"/>
                <w:szCs w:val="24"/>
              </w:rPr>
              <w:t>Geneva, 2</w:t>
            </w:r>
            <w:r w:rsidR="004D689E" w:rsidRPr="006626FB">
              <w:rPr>
                <w:b/>
                <w:bCs/>
                <w:position w:val="6"/>
                <w:szCs w:val="24"/>
              </w:rPr>
              <w:t>5</w:t>
            </w:r>
            <w:r w:rsidRPr="006626FB">
              <w:rPr>
                <w:b/>
                <w:bCs/>
                <w:position w:val="6"/>
                <w:szCs w:val="24"/>
              </w:rPr>
              <w:t xml:space="preserve"> May</w:t>
            </w:r>
            <w:r w:rsidR="004D689E" w:rsidRPr="006626FB">
              <w:rPr>
                <w:b/>
                <w:bCs/>
                <w:position w:val="6"/>
                <w:szCs w:val="24"/>
              </w:rPr>
              <w:t xml:space="preserve"> – 2 June</w:t>
            </w:r>
            <w:r w:rsidRPr="006626FB">
              <w:rPr>
                <w:b/>
                <w:bCs/>
                <w:position w:val="6"/>
                <w:szCs w:val="24"/>
              </w:rPr>
              <w:t xml:space="preserve"> 201</w:t>
            </w:r>
            <w:r w:rsidR="004D689E" w:rsidRPr="006626FB">
              <w:rPr>
                <w:b/>
                <w:bCs/>
                <w:position w:val="6"/>
                <w:szCs w:val="24"/>
              </w:rPr>
              <w:t>6</w:t>
            </w:r>
          </w:p>
        </w:tc>
        <w:tc>
          <w:tcPr>
            <w:tcW w:w="3120" w:type="dxa"/>
          </w:tcPr>
          <w:p w14:paraId="07C8E9E4" w14:textId="1FA4327B" w:rsidR="00A65E12" w:rsidRPr="00813E5E" w:rsidRDefault="006626FB" w:rsidP="00A65E12">
            <w:pPr>
              <w:spacing w:before="0" w:line="240" w:lineRule="atLeast"/>
              <w:jc w:val="right"/>
            </w:pPr>
            <w:bookmarkStart w:id="1" w:name="ditulogo"/>
            <w:bookmarkEnd w:id="1"/>
            <w:r>
              <w:rPr>
                <w:noProof/>
                <w:lang w:eastAsia="zh-CN"/>
              </w:rPr>
              <w:drawing>
                <wp:inline distT="0" distB="0" distL="0" distR="0" wp14:anchorId="793165EE" wp14:editId="77206613">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A65E12" w:rsidRPr="00813E5E" w14:paraId="3FF1850C" w14:textId="77777777">
        <w:trPr>
          <w:cantSplit/>
        </w:trPr>
        <w:tc>
          <w:tcPr>
            <w:tcW w:w="6911" w:type="dxa"/>
            <w:tcBorders>
              <w:bottom w:val="single" w:sz="12" w:space="0" w:color="auto"/>
            </w:tcBorders>
          </w:tcPr>
          <w:p w14:paraId="38559351" w14:textId="4D5FF895" w:rsidR="00A65E12" w:rsidRPr="006626FB" w:rsidRDefault="00A65E12">
            <w:pPr>
              <w:spacing w:before="0" w:after="48" w:line="240" w:lineRule="atLeast"/>
              <w:rPr>
                <w:b/>
                <w:smallCaps/>
                <w:szCs w:val="24"/>
              </w:rPr>
            </w:pPr>
            <w:bookmarkStart w:id="2" w:name="_GoBack"/>
            <w:bookmarkEnd w:id="2"/>
          </w:p>
        </w:tc>
        <w:tc>
          <w:tcPr>
            <w:tcW w:w="3120" w:type="dxa"/>
            <w:tcBorders>
              <w:bottom w:val="single" w:sz="12" w:space="0" w:color="auto"/>
            </w:tcBorders>
          </w:tcPr>
          <w:p w14:paraId="46016E4E" w14:textId="77777777" w:rsidR="00A65E12" w:rsidRPr="00813E5E" w:rsidRDefault="00A65E12">
            <w:pPr>
              <w:spacing w:before="0" w:line="240" w:lineRule="atLeast"/>
              <w:rPr>
                <w:szCs w:val="24"/>
              </w:rPr>
            </w:pPr>
          </w:p>
        </w:tc>
      </w:tr>
      <w:tr w:rsidR="00A65E12" w:rsidRPr="00813E5E" w14:paraId="597F41A8" w14:textId="77777777">
        <w:trPr>
          <w:cantSplit/>
        </w:trPr>
        <w:tc>
          <w:tcPr>
            <w:tcW w:w="6911" w:type="dxa"/>
            <w:tcBorders>
              <w:top w:val="single" w:sz="12" w:space="0" w:color="auto"/>
            </w:tcBorders>
          </w:tcPr>
          <w:p w14:paraId="2F89E79D" w14:textId="77777777" w:rsidR="00A65E12" w:rsidRPr="006626FB" w:rsidRDefault="00A65E12">
            <w:pPr>
              <w:spacing w:before="0" w:after="48" w:line="240" w:lineRule="atLeast"/>
              <w:rPr>
                <w:b/>
                <w:smallCaps/>
                <w:szCs w:val="24"/>
              </w:rPr>
            </w:pPr>
          </w:p>
        </w:tc>
        <w:tc>
          <w:tcPr>
            <w:tcW w:w="3120" w:type="dxa"/>
            <w:tcBorders>
              <w:top w:val="single" w:sz="12" w:space="0" w:color="auto"/>
            </w:tcBorders>
          </w:tcPr>
          <w:p w14:paraId="58874C19" w14:textId="77777777" w:rsidR="00A65E12" w:rsidRPr="00813E5E" w:rsidRDefault="00A65E12">
            <w:pPr>
              <w:spacing w:before="0" w:line="240" w:lineRule="atLeast"/>
              <w:rPr>
                <w:szCs w:val="24"/>
              </w:rPr>
            </w:pPr>
          </w:p>
        </w:tc>
      </w:tr>
      <w:tr w:rsidR="00A65E12" w:rsidRPr="00813E5E" w14:paraId="5632E6AE" w14:textId="77777777">
        <w:trPr>
          <w:cantSplit/>
          <w:trHeight w:val="23"/>
        </w:trPr>
        <w:tc>
          <w:tcPr>
            <w:tcW w:w="6911" w:type="dxa"/>
            <w:vMerge w:val="restart"/>
          </w:tcPr>
          <w:p w14:paraId="0206BD6D" w14:textId="059A1FC4" w:rsidR="00A65E12" w:rsidRPr="00AE57FF" w:rsidRDefault="00A65E12" w:rsidP="0041552F">
            <w:pPr>
              <w:tabs>
                <w:tab w:val="left" w:pos="851"/>
              </w:tabs>
              <w:spacing w:before="0" w:line="240" w:lineRule="atLeast"/>
              <w:rPr>
                <w:b/>
              </w:rPr>
            </w:pPr>
            <w:bookmarkStart w:id="3" w:name="dmeeting" w:colFirst="0" w:colLast="0"/>
            <w:bookmarkStart w:id="4" w:name="dnum" w:colFirst="1" w:colLast="1"/>
            <w:r w:rsidRPr="00AE57FF">
              <w:rPr>
                <w:b/>
              </w:rPr>
              <w:t xml:space="preserve">Agenda item: </w:t>
            </w:r>
            <w:r w:rsidR="007E2B84" w:rsidRPr="00AE57FF">
              <w:rPr>
                <w:b/>
              </w:rPr>
              <w:t>ADM</w:t>
            </w:r>
            <w:r w:rsidR="006626FB" w:rsidRPr="00AE57FF">
              <w:rPr>
                <w:b/>
              </w:rPr>
              <w:t xml:space="preserve"> </w:t>
            </w:r>
            <w:r w:rsidR="0041552F" w:rsidRPr="00AE57FF">
              <w:rPr>
                <w:b/>
              </w:rPr>
              <w:t>7</w:t>
            </w:r>
          </w:p>
        </w:tc>
        <w:tc>
          <w:tcPr>
            <w:tcW w:w="3120" w:type="dxa"/>
          </w:tcPr>
          <w:p w14:paraId="4901D74B" w14:textId="66AD3F58" w:rsidR="008D7490" w:rsidRPr="00AE57FF" w:rsidRDefault="008D7490" w:rsidP="008D7490">
            <w:pPr>
              <w:tabs>
                <w:tab w:val="left" w:pos="851"/>
              </w:tabs>
              <w:spacing w:before="0" w:line="240" w:lineRule="atLeast"/>
              <w:rPr>
                <w:b/>
              </w:rPr>
            </w:pPr>
            <w:r w:rsidRPr="00AE57FF">
              <w:rPr>
                <w:b/>
              </w:rPr>
              <w:t>Addendum 1</w:t>
            </w:r>
          </w:p>
          <w:p w14:paraId="579DA795" w14:textId="3071AF44" w:rsidR="00A65E12" w:rsidRPr="00AE57FF" w:rsidRDefault="00A65E12" w:rsidP="008D7490">
            <w:pPr>
              <w:tabs>
                <w:tab w:val="left" w:pos="851"/>
              </w:tabs>
              <w:spacing w:before="0" w:line="240" w:lineRule="atLeast"/>
              <w:rPr>
                <w:b/>
              </w:rPr>
            </w:pPr>
            <w:r w:rsidRPr="00AE57FF">
              <w:rPr>
                <w:b/>
              </w:rPr>
              <w:t>Document C1</w:t>
            </w:r>
            <w:r w:rsidR="004D689E" w:rsidRPr="00AE57FF">
              <w:rPr>
                <w:b/>
              </w:rPr>
              <w:t>6</w:t>
            </w:r>
            <w:r w:rsidRPr="00AE57FF">
              <w:rPr>
                <w:b/>
              </w:rPr>
              <w:t>/</w:t>
            </w:r>
            <w:r w:rsidR="008D7490" w:rsidRPr="00AE57FF">
              <w:rPr>
                <w:b/>
              </w:rPr>
              <w:t>2</w:t>
            </w:r>
            <w:r w:rsidR="00D576D5" w:rsidRPr="00AE57FF">
              <w:rPr>
                <w:b/>
              </w:rPr>
              <w:t>2</w:t>
            </w:r>
            <w:r w:rsidRPr="00AE57FF">
              <w:rPr>
                <w:b/>
              </w:rPr>
              <w:t>-E</w:t>
            </w:r>
          </w:p>
        </w:tc>
      </w:tr>
      <w:tr w:rsidR="00A65E12" w:rsidRPr="00813E5E" w14:paraId="4D138A0F" w14:textId="77777777">
        <w:trPr>
          <w:cantSplit/>
          <w:trHeight w:val="23"/>
        </w:trPr>
        <w:tc>
          <w:tcPr>
            <w:tcW w:w="6911" w:type="dxa"/>
            <w:vMerge/>
          </w:tcPr>
          <w:p w14:paraId="79C89319" w14:textId="77777777" w:rsidR="00A65E12" w:rsidRPr="00AE57FF" w:rsidRDefault="00A65E12">
            <w:pPr>
              <w:tabs>
                <w:tab w:val="left" w:pos="851"/>
              </w:tabs>
              <w:spacing w:line="240" w:lineRule="atLeast"/>
              <w:rPr>
                <w:b/>
              </w:rPr>
            </w:pPr>
            <w:bookmarkStart w:id="5" w:name="ddate" w:colFirst="1" w:colLast="1"/>
            <w:bookmarkEnd w:id="3"/>
            <w:bookmarkEnd w:id="4"/>
          </w:p>
        </w:tc>
        <w:tc>
          <w:tcPr>
            <w:tcW w:w="3120" w:type="dxa"/>
          </w:tcPr>
          <w:p w14:paraId="1EC029E2" w14:textId="093A17CA" w:rsidR="00A65E12" w:rsidRPr="00AE57FF" w:rsidRDefault="0041552F" w:rsidP="00AE57FF">
            <w:pPr>
              <w:tabs>
                <w:tab w:val="left" w:pos="993"/>
              </w:tabs>
              <w:spacing w:before="0"/>
              <w:rPr>
                <w:b/>
              </w:rPr>
            </w:pPr>
            <w:r w:rsidRPr="00AE57FF">
              <w:rPr>
                <w:b/>
              </w:rPr>
              <w:t xml:space="preserve">26 </w:t>
            </w:r>
            <w:r w:rsidR="00DD77FB" w:rsidRPr="00AE57FF">
              <w:rPr>
                <w:b/>
              </w:rPr>
              <w:t>May</w:t>
            </w:r>
            <w:r w:rsidR="00A65E12" w:rsidRPr="00AE57FF">
              <w:rPr>
                <w:b/>
              </w:rPr>
              <w:t xml:space="preserve"> </w:t>
            </w:r>
            <w:r w:rsidR="004D689E" w:rsidRPr="00AE57FF">
              <w:rPr>
                <w:b/>
              </w:rPr>
              <w:t>2016</w:t>
            </w:r>
          </w:p>
        </w:tc>
      </w:tr>
      <w:tr w:rsidR="00A65E12" w:rsidRPr="00813E5E" w14:paraId="11AFA137" w14:textId="77777777">
        <w:trPr>
          <w:cantSplit/>
          <w:trHeight w:val="23"/>
        </w:trPr>
        <w:tc>
          <w:tcPr>
            <w:tcW w:w="6911" w:type="dxa"/>
            <w:vMerge/>
          </w:tcPr>
          <w:p w14:paraId="01A43BD1" w14:textId="77777777" w:rsidR="00A65E12" w:rsidRPr="00AE57FF" w:rsidRDefault="00A65E12">
            <w:pPr>
              <w:tabs>
                <w:tab w:val="left" w:pos="851"/>
              </w:tabs>
              <w:spacing w:line="240" w:lineRule="atLeast"/>
              <w:rPr>
                <w:b/>
              </w:rPr>
            </w:pPr>
            <w:bookmarkStart w:id="6" w:name="dorlang" w:colFirst="1" w:colLast="1"/>
            <w:bookmarkEnd w:id="5"/>
          </w:p>
        </w:tc>
        <w:tc>
          <w:tcPr>
            <w:tcW w:w="3120" w:type="dxa"/>
          </w:tcPr>
          <w:p w14:paraId="149776A7" w14:textId="77777777" w:rsidR="00A65E12" w:rsidRPr="00AE57FF" w:rsidRDefault="00A65E12" w:rsidP="00A65E12">
            <w:pPr>
              <w:tabs>
                <w:tab w:val="left" w:pos="993"/>
              </w:tabs>
              <w:spacing w:before="0"/>
              <w:rPr>
                <w:b/>
              </w:rPr>
            </w:pPr>
            <w:r w:rsidRPr="00AE57FF">
              <w:rPr>
                <w:b/>
              </w:rPr>
              <w:t>Original: English</w:t>
            </w:r>
          </w:p>
        </w:tc>
      </w:tr>
      <w:tr w:rsidR="00A65E12" w:rsidRPr="00813E5E" w14:paraId="39A29BD8" w14:textId="77777777">
        <w:trPr>
          <w:cantSplit/>
        </w:trPr>
        <w:tc>
          <w:tcPr>
            <w:tcW w:w="10031" w:type="dxa"/>
            <w:gridSpan w:val="2"/>
          </w:tcPr>
          <w:p w14:paraId="19C870F8" w14:textId="77777777" w:rsidR="00A65E12" w:rsidRPr="00AE57FF" w:rsidRDefault="00A65E12">
            <w:pPr>
              <w:pStyle w:val="Source"/>
            </w:pPr>
            <w:bookmarkStart w:id="7" w:name="dsource" w:colFirst="0" w:colLast="0"/>
            <w:bookmarkEnd w:id="6"/>
            <w:r w:rsidRPr="00AE57FF">
              <w:t>Report by the Secretary-General</w:t>
            </w:r>
          </w:p>
        </w:tc>
      </w:tr>
      <w:tr w:rsidR="00A65E12" w:rsidRPr="00813E5E" w14:paraId="224E4AB8" w14:textId="77777777">
        <w:trPr>
          <w:cantSplit/>
        </w:trPr>
        <w:tc>
          <w:tcPr>
            <w:tcW w:w="10031" w:type="dxa"/>
            <w:gridSpan w:val="2"/>
          </w:tcPr>
          <w:p w14:paraId="1E0446B8" w14:textId="77777777" w:rsidR="00A65E12" w:rsidRDefault="004D689E" w:rsidP="008A260C">
            <w:pPr>
              <w:pStyle w:val="Title1"/>
            </w:pPr>
            <w:bookmarkStart w:id="8" w:name="dtitle1" w:colFirst="0" w:colLast="0"/>
            <w:bookmarkEnd w:id="7"/>
            <w:r>
              <w:t xml:space="preserve">Fifth </w:t>
            </w:r>
            <w:r w:rsidR="008A260C">
              <w:t xml:space="preserve">ANNUAL REPORT OF THE </w:t>
            </w:r>
            <w:r w:rsidR="008A260C">
              <w:br/>
              <w:t>INDEPENDENT MANAGEMENT ADVISORY COMMITTEE (IMAC)</w:t>
            </w:r>
          </w:p>
          <w:p w14:paraId="2E418313" w14:textId="668EFACE" w:rsidR="00D576D5" w:rsidRPr="00D576D5" w:rsidRDefault="00D576D5" w:rsidP="00D576D5">
            <w:pPr>
              <w:jc w:val="center"/>
              <w:rPr>
                <w:rFonts w:eastAsia="SimSun" w:cs="SimSun"/>
                <w:b/>
                <w:sz w:val="28"/>
                <w:szCs w:val="24"/>
                <w:lang w:eastAsia="en-GB" w:bidi="en-US"/>
              </w:rPr>
            </w:pPr>
            <w:r w:rsidRPr="005915CF">
              <w:rPr>
                <w:rFonts w:eastAsia="SimSun" w:cs="SimSun"/>
                <w:b/>
                <w:sz w:val="28"/>
                <w:szCs w:val="24"/>
                <w:lang w:eastAsia="en-GB" w:bidi="en-US"/>
              </w:rPr>
              <w:t>Addendum 1, External Audit</w:t>
            </w:r>
          </w:p>
        </w:tc>
      </w:tr>
      <w:bookmarkEnd w:id="8"/>
    </w:tbl>
    <w:p w14:paraId="16388F53" w14:textId="77777777" w:rsidR="00D576D5" w:rsidRDefault="00D576D5" w:rsidP="00D576D5">
      <w:pPr>
        <w:rPr>
          <w:lang w:val="en-US" w:eastAsia="zh-CN"/>
        </w:rPr>
      </w:pPr>
    </w:p>
    <w:tbl>
      <w:tblPr>
        <w:tblW w:w="892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5"/>
      </w:tblGrid>
      <w:tr w:rsidR="00D576D5" w:rsidRPr="00D73823" w14:paraId="57BE7593" w14:textId="77777777" w:rsidTr="00D576D5">
        <w:trPr>
          <w:trHeight w:val="3372"/>
        </w:trPr>
        <w:tc>
          <w:tcPr>
            <w:tcW w:w="8925" w:type="dxa"/>
            <w:tcBorders>
              <w:top w:val="single" w:sz="12" w:space="0" w:color="auto"/>
              <w:left w:val="single" w:sz="12" w:space="0" w:color="auto"/>
              <w:bottom w:val="single" w:sz="12" w:space="0" w:color="auto"/>
              <w:right w:val="single" w:sz="12" w:space="0" w:color="auto"/>
            </w:tcBorders>
          </w:tcPr>
          <w:p w14:paraId="174C5E2E" w14:textId="77777777" w:rsidR="00D576D5" w:rsidRPr="005915CF" w:rsidRDefault="00D576D5" w:rsidP="00550F66">
            <w:pPr>
              <w:pStyle w:val="Headingb"/>
              <w:keepNext w:val="0"/>
              <w:keepLines w:val="0"/>
              <w:spacing w:before="240"/>
              <w:ind w:right="48"/>
              <w:rPr>
                <w:bCs/>
                <w:szCs w:val="24"/>
                <w:lang w:bidi="en-US"/>
              </w:rPr>
            </w:pPr>
            <w:r w:rsidRPr="005915CF">
              <w:rPr>
                <w:bCs/>
                <w:szCs w:val="24"/>
                <w:lang w:bidi="en-US"/>
              </w:rPr>
              <w:t>Summary</w:t>
            </w:r>
          </w:p>
          <w:p w14:paraId="67C5C1C8" w14:textId="10D8EA14" w:rsidR="00D576D5" w:rsidRPr="00D576D5" w:rsidRDefault="00D576D5" w:rsidP="00A736C3">
            <w:pPr>
              <w:rPr>
                <w:lang w:bidi="en-US"/>
              </w:rPr>
            </w:pPr>
            <w:r w:rsidRPr="00D576D5">
              <w:rPr>
                <w:lang w:bidi="en-US"/>
              </w:rPr>
              <w:t xml:space="preserve">This document presents an Addendum to the IMAC’s </w:t>
            </w:r>
            <w:r w:rsidR="009719A8">
              <w:rPr>
                <w:lang w:bidi="en-US"/>
              </w:rPr>
              <w:t>f</w:t>
            </w:r>
            <w:r w:rsidRPr="00D576D5">
              <w:rPr>
                <w:lang w:bidi="en-US"/>
              </w:rPr>
              <w:t>ifth Annual Report. It is submitted to the ITU Council to fulfil the Committee’s specific responsibility to advise the Council on issues arising from the audited financial statements of ITU and reports produced by the external auditor; and to support and inform the Council’s consideration of the financial statements and external audit report for 201</w:t>
            </w:r>
            <w:r>
              <w:rPr>
                <w:lang w:bidi="en-US"/>
              </w:rPr>
              <w:t>5</w:t>
            </w:r>
            <w:r w:rsidRPr="00D576D5">
              <w:rPr>
                <w:lang w:bidi="en-US"/>
              </w:rPr>
              <w:t>.</w:t>
            </w:r>
          </w:p>
          <w:p w14:paraId="28A81145" w14:textId="77777777" w:rsidR="00D576D5" w:rsidRPr="005915CF" w:rsidRDefault="00D576D5" w:rsidP="00550F66">
            <w:pPr>
              <w:pStyle w:val="Headingb"/>
              <w:keepNext w:val="0"/>
              <w:keepLines w:val="0"/>
              <w:spacing w:before="240"/>
              <w:ind w:right="48"/>
              <w:rPr>
                <w:bCs/>
                <w:szCs w:val="24"/>
                <w:lang w:bidi="en-US"/>
              </w:rPr>
            </w:pPr>
            <w:r w:rsidRPr="005915CF">
              <w:rPr>
                <w:bCs/>
                <w:szCs w:val="24"/>
                <w:lang w:bidi="en-US"/>
              </w:rPr>
              <w:t>Action required</w:t>
            </w:r>
          </w:p>
          <w:p w14:paraId="52AB5A88" w14:textId="4581085E" w:rsidR="00D576D5" w:rsidRPr="005915CF" w:rsidRDefault="00D576D5" w:rsidP="00D576D5">
            <w:pPr>
              <w:pStyle w:val="Headingb"/>
              <w:spacing w:before="240"/>
              <w:ind w:right="48"/>
              <w:rPr>
                <w:szCs w:val="24"/>
                <w:lang w:bidi="en-US"/>
              </w:rPr>
            </w:pPr>
            <w:r w:rsidRPr="005915CF">
              <w:rPr>
                <w:b w:val="0"/>
                <w:bCs/>
                <w:szCs w:val="24"/>
                <w:lang w:bidi="en-US"/>
              </w:rPr>
              <w:t>The Council is invited</w:t>
            </w:r>
            <w:r w:rsidRPr="005915CF">
              <w:rPr>
                <w:szCs w:val="24"/>
                <w:lang w:bidi="en-US"/>
              </w:rPr>
              <w:t xml:space="preserve"> to endorse</w:t>
            </w:r>
            <w:r w:rsidRPr="005915CF">
              <w:rPr>
                <w:i/>
                <w:iCs/>
                <w:szCs w:val="24"/>
                <w:lang w:bidi="en-US"/>
              </w:rPr>
              <w:t xml:space="preserve"> </w:t>
            </w:r>
            <w:r w:rsidRPr="005915CF">
              <w:rPr>
                <w:b w:val="0"/>
                <w:bCs/>
                <w:szCs w:val="24"/>
                <w:lang w:bidi="en-US"/>
              </w:rPr>
              <w:t xml:space="preserve">the Addendum 1 to the </w:t>
            </w:r>
            <w:r>
              <w:rPr>
                <w:b w:val="0"/>
                <w:bCs/>
                <w:szCs w:val="24"/>
                <w:lang w:bidi="en-US"/>
              </w:rPr>
              <w:t xml:space="preserve">Fifth </w:t>
            </w:r>
            <w:r w:rsidRPr="005915CF">
              <w:rPr>
                <w:b w:val="0"/>
                <w:bCs/>
                <w:szCs w:val="24"/>
                <w:lang w:bidi="en-US"/>
              </w:rPr>
              <w:t>Annual Report of IMAC.</w:t>
            </w:r>
          </w:p>
          <w:p w14:paraId="12BD04C7" w14:textId="77777777" w:rsidR="00D576D5" w:rsidRPr="005915CF" w:rsidRDefault="00D576D5" w:rsidP="00550F66">
            <w:pPr>
              <w:pStyle w:val="Headingb"/>
              <w:spacing w:before="240"/>
              <w:ind w:right="48"/>
              <w:jc w:val="center"/>
              <w:rPr>
                <w:b w:val="0"/>
                <w:bCs/>
                <w:szCs w:val="24"/>
                <w:lang w:bidi="en-US"/>
              </w:rPr>
            </w:pPr>
            <w:r w:rsidRPr="005915CF">
              <w:rPr>
                <w:b w:val="0"/>
                <w:bCs/>
                <w:szCs w:val="24"/>
                <w:lang w:bidi="en-US"/>
              </w:rPr>
              <w:t>____________</w:t>
            </w:r>
          </w:p>
          <w:p w14:paraId="786CF2F2" w14:textId="77777777" w:rsidR="00D576D5" w:rsidRPr="005915CF" w:rsidRDefault="00D576D5" w:rsidP="00550F66">
            <w:pPr>
              <w:pStyle w:val="Headingb"/>
              <w:keepNext w:val="0"/>
              <w:keepLines w:val="0"/>
              <w:spacing w:before="240"/>
              <w:ind w:right="48"/>
              <w:rPr>
                <w:bCs/>
                <w:szCs w:val="24"/>
                <w:lang w:bidi="en-US"/>
              </w:rPr>
            </w:pPr>
            <w:r w:rsidRPr="005915CF">
              <w:rPr>
                <w:bCs/>
                <w:szCs w:val="24"/>
                <w:lang w:bidi="en-US"/>
              </w:rPr>
              <w:t>References</w:t>
            </w:r>
          </w:p>
          <w:p w14:paraId="06B13803" w14:textId="75DA8F99" w:rsidR="00D73823" w:rsidRPr="00D73823" w:rsidRDefault="00D576D5" w:rsidP="00EF5E56">
            <w:pPr>
              <w:spacing w:after="120"/>
              <w:rPr>
                <w:lang w:val="en-US" w:bidi="en-US"/>
              </w:rPr>
            </w:pPr>
            <w:r w:rsidRPr="00AE57FF">
              <w:rPr>
                <w:i/>
                <w:iCs/>
                <w:lang w:bidi="en-US"/>
              </w:rPr>
              <w:t xml:space="preserve">Document </w:t>
            </w:r>
            <w:hyperlink r:id="rId9" w:history="1">
              <w:r w:rsidRPr="00AE57FF">
                <w:rPr>
                  <w:rStyle w:val="Hyperlink"/>
                  <w:i/>
                  <w:iCs/>
                  <w:lang w:bidi="en-US"/>
                </w:rPr>
                <w:t>C16/22</w:t>
              </w:r>
            </w:hyperlink>
            <w:r w:rsidRPr="00AE57FF">
              <w:rPr>
                <w:i/>
                <w:iCs/>
                <w:lang w:bidi="en-US"/>
              </w:rPr>
              <w:t xml:space="preserve"> Fifth annual report of IMAC to the Council</w:t>
            </w:r>
            <w:r w:rsidR="00D73823" w:rsidRPr="00AE57FF">
              <w:rPr>
                <w:i/>
                <w:iCs/>
                <w:lang w:bidi="en-US"/>
              </w:rPr>
              <w:t>;</w:t>
            </w:r>
            <w:r w:rsidRPr="00AE57FF">
              <w:rPr>
                <w:i/>
                <w:iCs/>
                <w:lang w:bidi="en-US"/>
              </w:rPr>
              <w:br/>
            </w:r>
            <w:r w:rsidRPr="00AE57FF">
              <w:rPr>
                <w:i/>
                <w:iCs/>
                <w:lang w:val="en-US" w:bidi="en-US"/>
              </w:rPr>
              <w:t xml:space="preserve">Document </w:t>
            </w:r>
            <w:hyperlink r:id="rId10" w:history="1">
              <w:r w:rsidRPr="00EF5E56">
                <w:rPr>
                  <w:rStyle w:val="Hyperlink"/>
                  <w:i/>
                  <w:iCs/>
                  <w:lang w:val="en-US" w:bidi="en-US"/>
                </w:rPr>
                <w:t>C16/</w:t>
              </w:r>
              <w:r w:rsidR="00EF5E56" w:rsidRPr="00EF5E56">
                <w:rPr>
                  <w:rStyle w:val="Hyperlink"/>
                  <w:i/>
                  <w:iCs/>
                  <w:lang w:val="en-US" w:bidi="en-US"/>
                </w:rPr>
                <w:t>4</w:t>
              </w:r>
              <w:r w:rsidR="00AE57FF" w:rsidRPr="00EF5E56">
                <w:rPr>
                  <w:rStyle w:val="Hyperlink"/>
                  <w:i/>
                  <w:iCs/>
                  <w:lang w:val="en-US" w:bidi="en-US"/>
                </w:rPr>
                <w:t>0</w:t>
              </w:r>
            </w:hyperlink>
            <w:r w:rsidRPr="00AE57FF">
              <w:rPr>
                <w:i/>
                <w:iCs/>
                <w:lang w:val="en-US" w:bidi="en-US"/>
              </w:rPr>
              <w:t xml:space="preserve"> External Auditor’s Report</w:t>
            </w:r>
          </w:p>
        </w:tc>
      </w:tr>
    </w:tbl>
    <w:p w14:paraId="40B161DE" w14:textId="4C649CAF" w:rsidR="00D576D5" w:rsidRPr="00D73823" w:rsidRDefault="00D576D5" w:rsidP="00D73823">
      <w:pPr>
        <w:pStyle w:val="NumberedHeading"/>
        <w:rPr>
          <w:rFonts w:eastAsia="SimSun"/>
          <w:lang w:eastAsia="en-GB" w:bidi="en-US"/>
        </w:rPr>
      </w:pPr>
      <w:r w:rsidRPr="00D73823">
        <w:rPr>
          <w:rFonts w:eastAsia="SimSun"/>
          <w:lang w:eastAsia="en-GB" w:bidi="en-US"/>
        </w:rPr>
        <w:t>Purpose of this Addendum</w:t>
      </w:r>
    </w:p>
    <w:p w14:paraId="61BE6531" w14:textId="599EDF2A" w:rsidR="0072490B" w:rsidRPr="0072490B" w:rsidRDefault="00D576D5" w:rsidP="00A4620F">
      <w:pPr>
        <w:pStyle w:val="Normalnumbered"/>
        <w:rPr>
          <w:rFonts w:ascii="Calibri" w:eastAsia="SimSun" w:hAnsi="Calibri" w:cs="SimSun"/>
          <w:lang w:eastAsia="en-GB" w:bidi="en-US"/>
        </w:rPr>
      </w:pPr>
      <w:r w:rsidRPr="0072490B">
        <w:rPr>
          <w:rFonts w:eastAsia="SimSun"/>
          <w:lang w:eastAsia="en-GB" w:bidi="en-US"/>
        </w:rPr>
        <w:t xml:space="preserve">In its fifth Annual Report, IMAC noted that its observations on </w:t>
      </w:r>
      <w:r w:rsidR="0072490B" w:rsidRPr="0072490B">
        <w:rPr>
          <w:rFonts w:eastAsia="SimSun"/>
          <w:lang w:eastAsia="en-GB" w:bidi="en-US"/>
        </w:rPr>
        <w:t xml:space="preserve">the </w:t>
      </w:r>
      <w:r w:rsidRPr="0072490B">
        <w:rPr>
          <w:rFonts w:eastAsia="SimSun"/>
          <w:lang w:eastAsia="en-GB" w:bidi="en-US"/>
        </w:rPr>
        <w:t>External Audit</w:t>
      </w:r>
      <w:r w:rsidR="0072490B" w:rsidRPr="0072490B">
        <w:rPr>
          <w:rFonts w:eastAsia="SimSun"/>
          <w:lang w:eastAsia="en-GB" w:bidi="en-US"/>
        </w:rPr>
        <w:t>ors</w:t>
      </w:r>
      <w:r w:rsidR="00A4620F">
        <w:rPr>
          <w:rFonts w:eastAsia="SimSun"/>
          <w:lang w:eastAsia="en-GB" w:bidi="en-US"/>
        </w:rPr>
        <w:t>’</w:t>
      </w:r>
      <w:r w:rsidR="0072490B" w:rsidRPr="0072490B">
        <w:rPr>
          <w:rFonts w:eastAsia="SimSun"/>
          <w:lang w:eastAsia="en-GB" w:bidi="en-US"/>
        </w:rPr>
        <w:t xml:space="preserve"> </w:t>
      </w:r>
      <w:r w:rsidR="004E6629">
        <w:rPr>
          <w:rFonts w:eastAsia="SimSun"/>
          <w:lang w:eastAsia="en-GB" w:bidi="en-US"/>
        </w:rPr>
        <w:t>r</w:t>
      </w:r>
      <w:r w:rsidR="0072490B" w:rsidRPr="0072490B">
        <w:rPr>
          <w:rFonts w:eastAsia="SimSun"/>
          <w:lang w:eastAsia="en-GB" w:bidi="en-US"/>
        </w:rPr>
        <w:t>eport</w:t>
      </w:r>
      <w:r w:rsidRPr="0072490B">
        <w:rPr>
          <w:rFonts w:eastAsia="SimSun"/>
          <w:lang w:eastAsia="en-GB" w:bidi="en-US"/>
        </w:rPr>
        <w:t xml:space="preserve"> would be covered in an Addendum to </w:t>
      </w:r>
      <w:r w:rsidR="0072490B" w:rsidRPr="0072490B">
        <w:rPr>
          <w:rFonts w:eastAsia="SimSun"/>
          <w:lang w:eastAsia="en-GB" w:bidi="en-US"/>
        </w:rPr>
        <w:t>the IMAC</w:t>
      </w:r>
      <w:r w:rsidRPr="0072490B">
        <w:rPr>
          <w:rFonts w:eastAsia="SimSun"/>
          <w:lang w:eastAsia="en-GB" w:bidi="en-US"/>
        </w:rPr>
        <w:t xml:space="preserve"> report, following review of the External Auditors’ </w:t>
      </w:r>
      <w:r w:rsidR="004E6629">
        <w:rPr>
          <w:rFonts w:eastAsia="SimSun"/>
          <w:lang w:eastAsia="en-GB" w:bidi="en-US"/>
        </w:rPr>
        <w:t>r</w:t>
      </w:r>
      <w:r w:rsidRPr="0072490B">
        <w:rPr>
          <w:rFonts w:eastAsia="SimSun"/>
          <w:lang w:eastAsia="en-GB" w:bidi="en-US"/>
        </w:rPr>
        <w:t>eport, when received. On</w:t>
      </w:r>
      <w:r w:rsidR="0072490B" w:rsidRPr="0072490B">
        <w:rPr>
          <w:rFonts w:eastAsia="SimSun"/>
          <w:lang w:eastAsia="en-GB" w:bidi="en-US"/>
        </w:rPr>
        <w:t xml:space="preserve"> 9-11 May 2016</w:t>
      </w:r>
      <w:r w:rsidRPr="0072490B">
        <w:rPr>
          <w:rFonts w:eastAsia="SimSun"/>
          <w:lang w:eastAsia="en-GB" w:bidi="en-US"/>
        </w:rPr>
        <w:t xml:space="preserve">, IMAC met with the Corte </w:t>
      </w:r>
      <w:proofErr w:type="spellStart"/>
      <w:r w:rsidRPr="0072490B">
        <w:rPr>
          <w:rFonts w:eastAsia="SimSun"/>
          <w:lang w:eastAsia="en-GB" w:bidi="en-US"/>
        </w:rPr>
        <w:t>dei</w:t>
      </w:r>
      <w:proofErr w:type="spellEnd"/>
      <w:r w:rsidRPr="0072490B">
        <w:rPr>
          <w:rFonts w:eastAsia="SimSun"/>
          <w:lang w:eastAsia="en-GB" w:bidi="en-US"/>
        </w:rPr>
        <w:t xml:space="preserve"> Conti’s</w:t>
      </w:r>
      <w:r w:rsidR="0072490B" w:rsidRPr="0072490B">
        <w:rPr>
          <w:rFonts w:eastAsia="SimSun"/>
          <w:lang w:eastAsia="en-GB" w:bidi="en-US"/>
        </w:rPr>
        <w:t xml:space="preserve"> and discussed the process of elaboration of the External Audit report, while IMAC received the External Auditors</w:t>
      </w:r>
      <w:r w:rsidR="00A4620F">
        <w:rPr>
          <w:rFonts w:eastAsia="SimSun"/>
          <w:lang w:eastAsia="en-GB" w:bidi="en-US"/>
        </w:rPr>
        <w:t>’</w:t>
      </w:r>
      <w:r w:rsidR="0072490B" w:rsidRPr="0072490B">
        <w:rPr>
          <w:rFonts w:eastAsia="SimSun"/>
          <w:lang w:eastAsia="en-GB" w:bidi="en-US"/>
        </w:rPr>
        <w:t xml:space="preserve"> </w:t>
      </w:r>
      <w:r w:rsidR="004E6629">
        <w:rPr>
          <w:rFonts w:eastAsia="SimSun"/>
          <w:lang w:eastAsia="en-GB" w:bidi="en-US"/>
        </w:rPr>
        <w:t>r</w:t>
      </w:r>
      <w:r w:rsidR="0072490B" w:rsidRPr="0072490B">
        <w:rPr>
          <w:rFonts w:eastAsia="SimSun"/>
          <w:lang w:eastAsia="en-GB" w:bidi="en-US"/>
        </w:rPr>
        <w:t>eport on 23 May 2016</w:t>
      </w:r>
      <w:r w:rsidRPr="0072490B">
        <w:rPr>
          <w:rFonts w:eastAsia="SimSun"/>
          <w:lang w:eastAsia="en-GB" w:bidi="en-US"/>
        </w:rPr>
        <w:t>.</w:t>
      </w:r>
    </w:p>
    <w:p w14:paraId="71846419" w14:textId="596C7B0D" w:rsidR="00D576D5" w:rsidRPr="0072490B" w:rsidRDefault="00D576D5" w:rsidP="004E6629">
      <w:pPr>
        <w:pStyle w:val="Normalnumbered"/>
        <w:rPr>
          <w:rFonts w:ascii="Calibri" w:eastAsia="SimSun" w:hAnsi="Calibri" w:cs="SimSun"/>
          <w:lang w:eastAsia="en-GB" w:bidi="en-US"/>
        </w:rPr>
      </w:pPr>
      <w:r w:rsidRPr="0072490B">
        <w:rPr>
          <w:rFonts w:ascii="Calibri" w:eastAsia="SimSun" w:hAnsi="Calibri" w:cs="SimSun"/>
          <w:lang w:eastAsia="en-GB" w:bidi="en-US"/>
        </w:rPr>
        <w:t xml:space="preserve">This Addendum to IMAC’s </w:t>
      </w:r>
      <w:r w:rsidRPr="0072490B">
        <w:rPr>
          <w:rFonts w:eastAsia="SimSun" w:cs="SimSun"/>
          <w:lang w:eastAsia="en-GB" w:bidi="en-US"/>
        </w:rPr>
        <w:t>fifth</w:t>
      </w:r>
      <w:r w:rsidRPr="0072490B">
        <w:rPr>
          <w:rFonts w:ascii="Calibri" w:eastAsia="SimSun" w:hAnsi="Calibri" w:cs="SimSun"/>
          <w:lang w:eastAsia="en-GB" w:bidi="en-US"/>
        </w:rPr>
        <w:t xml:space="preserve"> Annual Report is therefore submitted to advise the Council on issues arising from the External Auditors’ Report on their audit of the financial statements of ITU; </w:t>
      </w:r>
      <w:r w:rsidRPr="0072490B">
        <w:rPr>
          <w:rFonts w:ascii="Calibri" w:eastAsia="SimSun" w:hAnsi="Calibri" w:cs="SimSun"/>
          <w:lang w:eastAsia="en-GB" w:bidi="en-US"/>
        </w:rPr>
        <w:lastRenderedPageBreak/>
        <w:t>and to inform the Council’s consideration of the financial statements and external audit report for 201</w:t>
      </w:r>
      <w:r w:rsidR="004E6629">
        <w:rPr>
          <w:rFonts w:ascii="Calibri" w:eastAsia="SimSun" w:hAnsi="Calibri" w:cs="SimSun"/>
          <w:lang w:eastAsia="en-GB" w:bidi="en-US"/>
        </w:rPr>
        <w:t>5</w:t>
      </w:r>
      <w:r w:rsidRPr="0072490B">
        <w:rPr>
          <w:rFonts w:ascii="Calibri" w:eastAsia="SimSun" w:hAnsi="Calibri" w:cs="SimSun"/>
          <w:lang w:eastAsia="en-GB" w:bidi="en-US"/>
        </w:rPr>
        <w:t>.</w:t>
      </w:r>
    </w:p>
    <w:p w14:paraId="7F0105CB" w14:textId="671E8642" w:rsidR="00D576D5" w:rsidRPr="006201D8" w:rsidRDefault="00D576D5" w:rsidP="00FA15C0">
      <w:pPr>
        <w:pStyle w:val="NumberedHeading"/>
        <w:rPr>
          <w:rFonts w:eastAsia="SimSun"/>
          <w:lang w:eastAsia="en-GB" w:bidi="en-US"/>
        </w:rPr>
      </w:pPr>
      <w:r w:rsidRPr="006201D8">
        <w:rPr>
          <w:rFonts w:eastAsia="SimSun"/>
          <w:lang w:eastAsia="en-GB" w:bidi="en-US"/>
        </w:rPr>
        <w:t>The External Auditors’ Report for 20</w:t>
      </w:r>
      <w:r w:rsidR="00FA15C0">
        <w:rPr>
          <w:rFonts w:eastAsia="SimSun"/>
          <w:lang w:eastAsia="en-GB" w:bidi="en-US"/>
        </w:rPr>
        <w:t>15</w:t>
      </w:r>
      <w:r w:rsidRPr="006201D8">
        <w:rPr>
          <w:rFonts w:eastAsia="SimSun"/>
          <w:lang w:eastAsia="en-GB" w:bidi="en-US"/>
        </w:rPr>
        <w:t>: Unqualified audit opinion</w:t>
      </w:r>
    </w:p>
    <w:p w14:paraId="22C424DF" w14:textId="0C187C12" w:rsidR="00D51868" w:rsidRDefault="00D576D5" w:rsidP="00D51868">
      <w:pPr>
        <w:pStyle w:val="Normalnumbered"/>
        <w:rPr>
          <w:rFonts w:eastAsia="SimSun"/>
          <w:lang w:eastAsia="en-GB" w:bidi="en-US"/>
        </w:rPr>
      </w:pPr>
      <w:r w:rsidRPr="00D51868">
        <w:rPr>
          <w:rFonts w:eastAsia="SimSun"/>
          <w:lang w:eastAsia="en-GB" w:bidi="en-US"/>
        </w:rPr>
        <w:t>The External Auditors have provided an unqualified audit opinion on the ITU’s financial statements for 201</w:t>
      </w:r>
      <w:r w:rsidR="004E6629" w:rsidRPr="00D51868">
        <w:rPr>
          <w:rFonts w:eastAsia="SimSun"/>
          <w:lang w:eastAsia="en-GB" w:bidi="en-US"/>
        </w:rPr>
        <w:t>5</w:t>
      </w:r>
      <w:r w:rsidRPr="00D51868">
        <w:rPr>
          <w:rFonts w:eastAsia="SimSun"/>
          <w:lang w:eastAsia="en-GB" w:bidi="en-US"/>
        </w:rPr>
        <w:t>,</w:t>
      </w:r>
      <w:r w:rsidR="004E6629" w:rsidRPr="00D51868">
        <w:rPr>
          <w:rFonts w:eastAsia="SimSun"/>
          <w:lang w:eastAsia="en-GB" w:bidi="en-US"/>
        </w:rPr>
        <w:t xml:space="preserve"> </w:t>
      </w:r>
      <w:r w:rsidR="00674094" w:rsidRPr="00D51868">
        <w:rPr>
          <w:rFonts w:eastAsia="SimSun"/>
          <w:lang w:eastAsia="en-GB" w:bidi="en-US"/>
        </w:rPr>
        <w:t xml:space="preserve">with an emphasis of matter on the financial position </w:t>
      </w:r>
      <w:r w:rsidR="00D51868" w:rsidRPr="00D51868">
        <w:rPr>
          <w:rFonts w:eastAsia="SimSun"/>
          <w:lang w:eastAsia="en-GB" w:bidi="en-US"/>
        </w:rPr>
        <w:t xml:space="preserve">showing a negative </w:t>
      </w:r>
      <w:r w:rsidR="00E91ABA">
        <w:rPr>
          <w:rFonts w:eastAsia="SimSun"/>
          <w:lang w:eastAsia="en-GB" w:bidi="en-US"/>
        </w:rPr>
        <w:t>n</w:t>
      </w:r>
      <w:r w:rsidR="00D51868" w:rsidRPr="00D51868">
        <w:rPr>
          <w:rFonts w:eastAsia="SimSun"/>
          <w:lang w:eastAsia="en-GB" w:bidi="en-US"/>
        </w:rPr>
        <w:t xml:space="preserve">et </w:t>
      </w:r>
      <w:r w:rsidR="00E91ABA">
        <w:rPr>
          <w:rFonts w:eastAsia="SimSun"/>
          <w:lang w:eastAsia="en-GB" w:bidi="en-US"/>
        </w:rPr>
        <w:t>a</w:t>
      </w:r>
      <w:r w:rsidR="00E91ABA" w:rsidRPr="00D51868">
        <w:rPr>
          <w:rFonts w:eastAsia="SimSun"/>
          <w:lang w:eastAsia="en-GB" w:bidi="en-US"/>
        </w:rPr>
        <w:t>sset</w:t>
      </w:r>
      <w:r w:rsidR="00E91ABA">
        <w:rPr>
          <w:rFonts w:eastAsia="SimSun"/>
          <w:lang w:eastAsia="en-GB" w:bidi="en-US"/>
        </w:rPr>
        <w:t xml:space="preserve"> of CHF -343.2 million</w:t>
      </w:r>
      <w:r w:rsidR="00D51868" w:rsidRPr="00D51868">
        <w:rPr>
          <w:rFonts w:eastAsia="SimSun"/>
          <w:lang w:eastAsia="en-GB" w:bidi="en-US"/>
        </w:rPr>
        <w:t>, mainly due to the actuarial liabilities relating to long-term employee benefits. The emphasis of matter does not modify the unqualified audit opinion</w:t>
      </w:r>
      <w:r w:rsidR="00E91ABA">
        <w:rPr>
          <w:rFonts w:eastAsia="SimSun"/>
          <w:lang w:eastAsia="en-GB" w:bidi="en-US"/>
        </w:rPr>
        <w:t xml:space="preserve"> but draws attention to a matter that in the External Auditors’ judgement is of such importance that it is fundamental to users’ understanding of the financial statements</w:t>
      </w:r>
      <w:r w:rsidR="00D51868" w:rsidRPr="00D51868">
        <w:rPr>
          <w:rFonts w:eastAsia="SimSun"/>
          <w:lang w:eastAsia="en-GB" w:bidi="en-US"/>
        </w:rPr>
        <w:t xml:space="preserve">. The External Auditors’ long-form audit report provides a comprehensive </w:t>
      </w:r>
      <w:r w:rsidR="00E91ABA">
        <w:rPr>
          <w:rFonts w:eastAsia="SimSun"/>
          <w:lang w:eastAsia="en-GB" w:bidi="en-US"/>
        </w:rPr>
        <w:t>review of the</w:t>
      </w:r>
      <w:r w:rsidR="00D51868" w:rsidRPr="00D51868">
        <w:rPr>
          <w:rFonts w:eastAsia="SimSun"/>
          <w:lang w:eastAsia="en-GB" w:bidi="en-US"/>
        </w:rPr>
        <w:t xml:space="preserve"> financial </w:t>
      </w:r>
      <w:r w:rsidR="00E91ABA">
        <w:rPr>
          <w:rFonts w:eastAsia="SimSun"/>
          <w:lang w:eastAsia="en-GB" w:bidi="en-US"/>
        </w:rPr>
        <w:t>position</w:t>
      </w:r>
      <w:r w:rsidR="00D51868" w:rsidRPr="00D51868">
        <w:rPr>
          <w:rFonts w:eastAsia="SimSun"/>
          <w:lang w:eastAsia="en-GB" w:bidi="en-US"/>
        </w:rPr>
        <w:t xml:space="preserve">; and includes </w:t>
      </w:r>
      <w:r w:rsidR="00D51868">
        <w:rPr>
          <w:rFonts w:eastAsia="SimSun"/>
          <w:lang w:eastAsia="en-GB" w:bidi="en-US"/>
        </w:rPr>
        <w:t>five (5)</w:t>
      </w:r>
      <w:r w:rsidR="00D51868" w:rsidRPr="00D51868">
        <w:rPr>
          <w:rFonts w:eastAsia="SimSun"/>
          <w:lang w:eastAsia="en-GB" w:bidi="en-US"/>
        </w:rPr>
        <w:t xml:space="preserve"> recommendations and </w:t>
      </w:r>
      <w:r w:rsidR="00D51868">
        <w:rPr>
          <w:rFonts w:eastAsia="SimSun"/>
          <w:lang w:eastAsia="en-GB" w:bidi="en-US"/>
        </w:rPr>
        <w:t xml:space="preserve">two (2) </w:t>
      </w:r>
      <w:r w:rsidR="00D51868" w:rsidRPr="00D51868">
        <w:rPr>
          <w:rFonts w:eastAsia="SimSun"/>
          <w:lang w:eastAsia="en-GB" w:bidi="en-US"/>
        </w:rPr>
        <w:t>suggestions for management action.</w:t>
      </w:r>
    </w:p>
    <w:p w14:paraId="1FE101D2" w14:textId="225C72EB" w:rsidR="00D576D5" w:rsidRPr="006201D8" w:rsidRDefault="00D576D5" w:rsidP="006B018A">
      <w:pPr>
        <w:pStyle w:val="NumberedHeading"/>
        <w:rPr>
          <w:rFonts w:eastAsia="SimSun"/>
          <w:lang w:eastAsia="en-GB" w:bidi="en-US"/>
        </w:rPr>
      </w:pPr>
      <w:r w:rsidRPr="006201D8">
        <w:rPr>
          <w:rFonts w:eastAsia="SimSun"/>
          <w:lang w:eastAsia="en-GB" w:bidi="en-US"/>
        </w:rPr>
        <w:t>The External Auditors</w:t>
      </w:r>
      <w:r w:rsidR="00AF5ECC">
        <w:rPr>
          <w:rFonts w:eastAsia="SimSun"/>
          <w:lang w:eastAsia="en-GB" w:bidi="en-US"/>
        </w:rPr>
        <w:t>’</w:t>
      </w:r>
      <w:r w:rsidRPr="006201D8">
        <w:rPr>
          <w:rFonts w:eastAsia="SimSun"/>
          <w:lang w:eastAsia="en-GB" w:bidi="en-US"/>
        </w:rPr>
        <w:t xml:space="preserve"> recommendations and suggestions</w:t>
      </w:r>
    </w:p>
    <w:p w14:paraId="6D12B7F8" w14:textId="6D8A7867" w:rsidR="00D576D5" w:rsidRPr="006201D8" w:rsidRDefault="00D576D5" w:rsidP="00B81077">
      <w:pPr>
        <w:pStyle w:val="Normalnumbered"/>
        <w:rPr>
          <w:rFonts w:eastAsia="SimSun"/>
          <w:lang w:eastAsia="en-GB" w:bidi="en-US"/>
        </w:rPr>
      </w:pPr>
      <w:r w:rsidRPr="006201D8">
        <w:rPr>
          <w:rFonts w:eastAsia="SimSun"/>
          <w:lang w:eastAsia="en-GB" w:bidi="en-US"/>
        </w:rPr>
        <w:t>The External Auditors recommend:</w:t>
      </w:r>
    </w:p>
    <w:p w14:paraId="226C1F7F" w14:textId="4FB15393" w:rsidR="00B81077" w:rsidRPr="00D83446" w:rsidRDefault="00B81077" w:rsidP="006B018A">
      <w:pPr>
        <w:numPr>
          <w:ilvl w:val="0"/>
          <w:numId w:val="29"/>
        </w:numPr>
        <w:tabs>
          <w:tab w:val="num" w:pos="1080"/>
        </w:tabs>
        <w:overflowPunct/>
        <w:adjustRightInd/>
        <w:ind w:left="1094" w:hanging="357"/>
        <w:jc w:val="both"/>
        <w:textAlignment w:val="auto"/>
        <w:rPr>
          <w:rFonts w:eastAsia="SimSun" w:cs="SimSun"/>
          <w:szCs w:val="24"/>
          <w:lang w:eastAsia="en-GB" w:bidi="en-US"/>
        </w:rPr>
      </w:pPr>
      <w:r w:rsidRPr="00D83446">
        <w:rPr>
          <w:rFonts w:eastAsia="SimSun" w:cs="SimSun"/>
          <w:szCs w:val="24"/>
          <w:lang w:eastAsia="en-GB" w:bidi="en-US"/>
        </w:rPr>
        <w:t xml:space="preserve">The improvement of procedures and processes </w:t>
      </w:r>
      <w:r w:rsidR="00BB18A7">
        <w:rPr>
          <w:rFonts w:eastAsia="SimSun" w:cs="SimSun"/>
          <w:szCs w:val="24"/>
          <w:lang w:eastAsia="en-GB" w:bidi="en-US"/>
        </w:rPr>
        <w:t>to achieve</w:t>
      </w:r>
      <w:r w:rsidR="00493688" w:rsidRPr="00D83446">
        <w:rPr>
          <w:rFonts w:eastAsia="SimSun" w:cs="SimSun"/>
          <w:szCs w:val="24"/>
          <w:lang w:eastAsia="en-GB" w:bidi="en-US"/>
        </w:rPr>
        <w:t xml:space="preserve"> a more accurate record of assets, in particular in recognizing, labelling and capitalizing the fixed assets located in ITU</w:t>
      </w:r>
      <w:r w:rsidR="00D83446">
        <w:rPr>
          <w:rFonts w:eastAsia="SimSun" w:cs="SimSun"/>
          <w:szCs w:val="24"/>
          <w:lang w:eastAsia="en-GB" w:bidi="en-US"/>
        </w:rPr>
        <w:t xml:space="preserve"> (Recommendation n. 1)</w:t>
      </w:r>
      <w:r w:rsidR="00493688" w:rsidRPr="00D83446">
        <w:rPr>
          <w:rFonts w:eastAsia="SimSun" w:cs="SimSun"/>
          <w:szCs w:val="24"/>
          <w:lang w:eastAsia="en-GB" w:bidi="en-US"/>
        </w:rPr>
        <w:t>;</w:t>
      </w:r>
    </w:p>
    <w:p w14:paraId="7E3DB3EA" w14:textId="0BEE581D" w:rsidR="00B81077" w:rsidRDefault="00493688" w:rsidP="006B018A">
      <w:pPr>
        <w:numPr>
          <w:ilvl w:val="0"/>
          <w:numId w:val="29"/>
        </w:numPr>
        <w:tabs>
          <w:tab w:val="num" w:pos="1080"/>
        </w:tabs>
        <w:overflowPunct/>
        <w:adjustRightInd/>
        <w:ind w:left="1094" w:hanging="357"/>
        <w:jc w:val="both"/>
        <w:textAlignment w:val="auto"/>
        <w:rPr>
          <w:rFonts w:eastAsia="SimSun" w:cs="SimSun"/>
          <w:szCs w:val="24"/>
          <w:lang w:eastAsia="en-GB" w:bidi="en-US"/>
        </w:rPr>
      </w:pPr>
      <w:r>
        <w:rPr>
          <w:rFonts w:eastAsia="SimSun" w:cs="SimSun"/>
          <w:szCs w:val="24"/>
          <w:lang w:eastAsia="en-GB" w:bidi="en-US"/>
        </w:rPr>
        <w:t>The revision of the lifetime</w:t>
      </w:r>
      <w:r w:rsidR="00BB18A7">
        <w:rPr>
          <w:rFonts w:eastAsia="SimSun" w:cs="SimSun"/>
          <w:szCs w:val="24"/>
          <w:lang w:eastAsia="en-GB" w:bidi="en-US"/>
        </w:rPr>
        <w:t>s</w:t>
      </w:r>
      <w:r>
        <w:rPr>
          <w:rFonts w:eastAsia="SimSun" w:cs="SimSun"/>
          <w:szCs w:val="24"/>
          <w:lang w:eastAsia="en-GB" w:bidi="en-US"/>
        </w:rPr>
        <w:t xml:space="preserve"> of asset </w:t>
      </w:r>
      <w:r w:rsidR="00BB18A7">
        <w:rPr>
          <w:rFonts w:eastAsia="SimSun" w:cs="SimSun"/>
          <w:szCs w:val="24"/>
          <w:lang w:eastAsia="en-GB" w:bidi="en-US"/>
        </w:rPr>
        <w:t xml:space="preserve">categories and depreciation </w:t>
      </w:r>
      <w:r>
        <w:rPr>
          <w:rFonts w:eastAsia="SimSun" w:cs="SimSun"/>
          <w:szCs w:val="24"/>
          <w:lang w:eastAsia="en-GB" w:bidi="en-US"/>
        </w:rPr>
        <w:t>according to UN practices</w:t>
      </w:r>
      <w:r w:rsidR="00D83446">
        <w:rPr>
          <w:rFonts w:eastAsia="SimSun" w:cs="SimSun"/>
          <w:szCs w:val="24"/>
          <w:lang w:eastAsia="en-GB" w:bidi="en-US"/>
        </w:rPr>
        <w:t xml:space="preserve"> (Recommendation n. 2)</w:t>
      </w:r>
      <w:r>
        <w:rPr>
          <w:rFonts w:eastAsia="SimSun" w:cs="SimSun"/>
          <w:szCs w:val="24"/>
          <w:lang w:eastAsia="en-GB" w:bidi="en-US"/>
        </w:rPr>
        <w:t>;</w:t>
      </w:r>
    </w:p>
    <w:p w14:paraId="4F00AC07" w14:textId="548A6C7D" w:rsidR="00493688" w:rsidRDefault="00493688" w:rsidP="006B018A">
      <w:pPr>
        <w:numPr>
          <w:ilvl w:val="0"/>
          <w:numId w:val="29"/>
        </w:numPr>
        <w:tabs>
          <w:tab w:val="num" w:pos="1080"/>
        </w:tabs>
        <w:overflowPunct/>
        <w:adjustRightInd/>
        <w:ind w:left="1094" w:hanging="357"/>
        <w:jc w:val="both"/>
        <w:textAlignment w:val="auto"/>
        <w:rPr>
          <w:rFonts w:eastAsia="SimSun" w:cs="SimSun"/>
          <w:szCs w:val="24"/>
          <w:lang w:eastAsia="en-GB" w:bidi="en-US"/>
        </w:rPr>
      </w:pPr>
      <w:r>
        <w:rPr>
          <w:rFonts w:eastAsia="SimSun" w:cs="SimSun"/>
          <w:szCs w:val="24"/>
          <w:lang w:eastAsia="en-GB" w:bidi="en-US"/>
        </w:rPr>
        <w:t>Further improvements to the asset management framework, by assessing the status and level of utilization of assets; regularly monitoring the obsolescence of items to ensure an accurate Asset Register; and extending these processes and procedures to all ITU Departments and Regional offices</w:t>
      </w:r>
      <w:r w:rsidR="00D83446">
        <w:rPr>
          <w:rFonts w:eastAsia="SimSun" w:cs="SimSun"/>
          <w:szCs w:val="24"/>
          <w:lang w:eastAsia="en-GB" w:bidi="en-US"/>
        </w:rPr>
        <w:t xml:space="preserve"> (Recommendation n. 3)</w:t>
      </w:r>
      <w:r>
        <w:rPr>
          <w:rFonts w:eastAsia="SimSun" w:cs="SimSun"/>
          <w:szCs w:val="24"/>
          <w:lang w:eastAsia="en-GB" w:bidi="en-US"/>
        </w:rPr>
        <w:t>;</w:t>
      </w:r>
    </w:p>
    <w:p w14:paraId="290117B7" w14:textId="4E237E62" w:rsidR="00B81077" w:rsidRPr="001D12A9" w:rsidRDefault="001D12A9" w:rsidP="006B018A">
      <w:pPr>
        <w:numPr>
          <w:ilvl w:val="0"/>
          <w:numId w:val="29"/>
        </w:numPr>
        <w:tabs>
          <w:tab w:val="num" w:pos="1080"/>
        </w:tabs>
        <w:overflowPunct/>
        <w:adjustRightInd/>
        <w:ind w:left="1094" w:hanging="357"/>
        <w:jc w:val="both"/>
        <w:textAlignment w:val="auto"/>
        <w:rPr>
          <w:rFonts w:eastAsia="SimSun" w:cs="SimSun"/>
          <w:szCs w:val="24"/>
          <w:lang w:eastAsia="en-GB" w:bidi="en-US"/>
        </w:rPr>
      </w:pPr>
      <w:r w:rsidRPr="001D12A9">
        <w:rPr>
          <w:rFonts w:eastAsia="SimSun" w:cs="SimSun"/>
          <w:szCs w:val="24"/>
          <w:lang w:eastAsia="en-GB" w:bidi="en-US"/>
        </w:rPr>
        <w:t>T</w:t>
      </w:r>
      <w:r>
        <w:rPr>
          <w:rFonts w:eastAsia="SimSun" w:cs="SimSun"/>
          <w:szCs w:val="24"/>
          <w:lang w:eastAsia="en-GB" w:bidi="en-US"/>
        </w:rPr>
        <w:t>hat ITU Management</w:t>
      </w:r>
      <w:r w:rsidRPr="001D12A9">
        <w:rPr>
          <w:rFonts w:eastAsia="SimSun" w:cs="SimSun"/>
          <w:szCs w:val="24"/>
          <w:lang w:eastAsia="en-GB" w:bidi="en-US"/>
        </w:rPr>
        <w:t xml:space="preserve"> request the actuary to use a discount rate equal to the yield on long-term Swiss government bonds, given the purpose of the valuation required by IPSAS 25 </w:t>
      </w:r>
      <w:r w:rsidR="00D83446" w:rsidRPr="001D12A9">
        <w:rPr>
          <w:rFonts w:eastAsia="SimSun" w:cs="SimSun"/>
          <w:szCs w:val="24"/>
          <w:lang w:eastAsia="en-GB" w:bidi="en-US"/>
        </w:rPr>
        <w:t>(Recommendation n. 4);</w:t>
      </w:r>
    </w:p>
    <w:p w14:paraId="3A42CFC5" w14:textId="1CDC56C2" w:rsidR="00D83446" w:rsidRDefault="001D12A9" w:rsidP="006B018A">
      <w:pPr>
        <w:numPr>
          <w:ilvl w:val="0"/>
          <w:numId w:val="29"/>
        </w:numPr>
        <w:tabs>
          <w:tab w:val="num" w:pos="1080"/>
        </w:tabs>
        <w:overflowPunct/>
        <w:adjustRightInd/>
        <w:ind w:left="1094" w:hanging="357"/>
        <w:jc w:val="both"/>
        <w:textAlignment w:val="auto"/>
        <w:rPr>
          <w:rFonts w:eastAsia="SimSun" w:cs="SimSun"/>
          <w:szCs w:val="24"/>
          <w:lang w:eastAsia="en-GB" w:bidi="en-US"/>
        </w:rPr>
      </w:pPr>
      <w:r>
        <w:rPr>
          <w:rFonts w:eastAsia="SimSun" w:cs="SimSun"/>
          <w:szCs w:val="24"/>
          <w:lang w:eastAsia="en-GB" w:bidi="en-US"/>
        </w:rPr>
        <w:t xml:space="preserve">The addition </w:t>
      </w:r>
      <w:r w:rsidR="00F63AF4">
        <w:rPr>
          <w:rFonts w:eastAsia="SimSun" w:cs="SimSun"/>
          <w:szCs w:val="24"/>
          <w:lang w:eastAsia="en-GB" w:bidi="en-US"/>
        </w:rPr>
        <w:t xml:space="preserve">to the Financial Operating Report </w:t>
      </w:r>
      <w:r>
        <w:rPr>
          <w:rFonts w:eastAsia="SimSun" w:cs="SimSun"/>
          <w:szCs w:val="24"/>
          <w:lang w:eastAsia="en-GB" w:bidi="en-US"/>
        </w:rPr>
        <w:t>of a segment disclosure on the Regional Presence to provide details on the appropriations and actual</w:t>
      </w:r>
      <w:r w:rsidR="00C935E3">
        <w:rPr>
          <w:rFonts w:eastAsia="SimSun" w:cs="SimSun"/>
          <w:szCs w:val="24"/>
          <w:lang w:eastAsia="en-GB" w:bidi="en-US"/>
        </w:rPr>
        <w:t xml:space="preserve"> expenditures</w:t>
      </w:r>
      <w:r>
        <w:rPr>
          <w:rFonts w:eastAsia="SimSun" w:cs="SimSun"/>
          <w:szCs w:val="24"/>
          <w:lang w:eastAsia="en-GB" w:bidi="en-US"/>
        </w:rPr>
        <w:t xml:space="preserve"> of the regional offices </w:t>
      </w:r>
      <w:r w:rsidR="00D83446">
        <w:rPr>
          <w:rFonts w:eastAsia="SimSun" w:cs="SimSun"/>
          <w:szCs w:val="24"/>
          <w:lang w:eastAsia="en-GB" w:bidi="en-US"/>
        </w:rPr>
        <w:t>(Recommendation n. 5)</w:t>
      </w:r>
      <w:r>
        <w:rPr>
          <w:rFonts w:eastAsia="SimSun" w:cs="SimSun"/>
          <w:szCs w:val="24"/>
          <w:lang w:eastAsia="en-GB" w:bidi="en-US"/>
        </w:rPr>
        <w:t>.</w:t>
      </w:r>
    </w:p>
    <w:p w14:paraId="114E5CC4" w14:textId="6C5FEFA2" w:rsidR="00D576D5" w:rsidRPr="006201D8" w:rsidRDefault="00D576D5" w:rsidP="00D83446">
      <w:pPr>
        <w:pStyle w:val="Normalnumbered"/>
        <w:rPr>
          <w:rFonts w:eastAsia="SimSun"/>
          <w:lang w:eastAsia="en-GB" w:bidi="en-US"/>
        </w:rPr>
      </w:pPr>
      <w:r w:rsidRPr="006201D8">
        <w:rPr>
          <w:rFonts w:eastAsia="SimSun"/>
          <w:lang w:eastAsia="en-GB" w:bidi="en-US"/>
        </w:rPr>
        <w:t>The External Auditors suggest:</w:t>
      </w:r>
    </w:p>
    <w:p w14:paraId="35DD5377" w14:textId="4BF9011B" w:rsidR="00D83446" w:rsidRDefault="00D576D5" w:rsidP="006B018A">
      <w:pPr>
        <w:numPr>
          <w:ilvl w:val="0"/>
          <w:numId w:val="32"/>
        </w:numPr>
        <w:tabs>
          <w:tab w:val="num" w:pos="1080"/>
        </w:tabs>
        <w:overflowPunct/>
        <w:adjustRightInd/>
        <w:ind w:left="1094" w:hanging="357"/>
        <w:jc w:val="both"/>
        <w:textAlignment w:val="auto"/>
        <w:rPr>
          <w:rFonts w:eastAsia="SimSun" w:cs="SimSun"/>
          <w:szCs w:val="24"/>
          <w:lang w:eastAsia="en-GB" w:bidi="en-US"/>
        </w:rPr>
      </w:pPr>
      <w:r w:rsidRPr="00D83446">
        <w:rPr>
          <w:rFonts w:eastAsia="SimSun" w:cs="SimSun"/>
          <w:szCs w:val="24"/>
          <w:lang w:eastAsia="en-GB" w:bidi="en-US"/>
        </w:rPr>
        <w:t xml:space="preserve">That </w:t>
      </w:r>
      <w:r w:rsidR="00D83446" w:rsidRPr="00D83446">
        <w:rPr>
          <w:rFonts w:eastAsia="SimSun" w:cs="SimSun"/>
          <w:szCs w:val="24"/>
          <w:lang w:eastAsia="en-GB" w:bidi="en-US"/>
        </w:rPr>
        <w:t xml:space="preserve">asset </w:t>
      </w:r>
      <w:r w:rsidRPr="00D83446">
        <w:rPr>
          <w:rFonts w:eastAsia="SimSun" w:cs="SimSun"/>
          <w:szCs w:val="24"/>
          <w:lang w:eastAsia="en-GB" w:bidi="en-US"/>
        </w:rPr>
        <w:t xml:space="preserve">management </w:t>
      </w:r>
      <w:r w:rsidR="00D83446" w:rsidRPr="00D83446">
        <w:rPr>
          <w:rFonts w:eastAsia="SimSun" w:cs="SimSun"/>
          <w:szCs w:val="24"/>
          <w:lang w:eastAsia="en-GB" w:bidi="en-US"/>
        </w:rPr>
        <w:t xml:space="preserve">related to disposal and donations </w:t>
      </w:r>
      <w:r w:rsidR="00D83446">
        <w:rPr>
          <w:rFonts w:eastAsia="SimSun" w:cs="SimSun"/>
          <w:szCs w:val="24"/>
          <w:lang w:eastAsia="en-GB" w:bidi="en-US"/>
        </w:rPr>
        <w:t xml:space="preserve">should </w:t>
      </w:r>
      <w:r w:rsidR="00D83446" w:rsidRPr="00D83446">
        <w:rPr>
          <w:rFonts w:eastAsia="SimSun" w:cs="SimSun"/>
          <w:szCs w:val="24"/>
          <w:lang w:eastAsia="en-GB" w:bidi="en-US"/>
        </w:rPr>
        <w:t>be further improved</w:t>
      </w:r>
      <w:r w:rsidR="001D12A9">
        <w:rPr>
          <w:rFonts w:eastAsia="SimSun" w:cs="SimSun"/>
          <w:szCs w:val="24"/>
          <w:lang w:eastAsia="en-GB" w:bidi="en-US"/>
        </w:rPr>
        <w:t xml:space="preserve">, by considering the optimization of procedures </w:t>
      </w:r>
      <w:r w:rsidR="00C935E3">
        <w:rPr>
          <w:rFonts w:eastAsia="SimSun" w:cs="SimSun"/>
          <w:szCs w:val="24"/>
          <w:lang w:eastAsia="en-GB" w:bidi="en-US"/>
        </w:rPr>
        <w:t xml:space="preserve">such as the creation of an ad-hoc committee; and </w:t>
      </w:r>
      <w:r w:rsidR="001D12A9">
        <w:rPr>
          <w:rFonts w:eastAsia="SimSun" w:cs="SimSun"/>
          <w:szCs w:val="24"/>
          <w:lang w:eastAsia="en-GB" w:bidi="en-US"/>
        </w:rPr>
        <w:t xml:space="preserve">by evaluating the cost/benefit of exchanging assets between Departments and Regional offices before deciding to buy a new item </w:t>
      </w:r>
      <w:r w:rsidR="00D83446">
        <w:rPr>
          <w:rFonts w:eastAsia="SimSun" w:cs="SimSun"/>
          <w:szCs w:val="24"/>
          <w:lang w:eastAsia="en-GB" w:bidi="en-US"/>
        </w:rPr>
        <w:t>(Suggestion n. 1);</w:t>
      </w:r>
    </w:p>
    <w:p w14:paraId="22E54CFF" w14:textId="11E907AA" w:rsidR="00D83446" w:rsidRDefault="001D12A9" w:rsidP="006B018A">
      <w:pPr>
        <w:numPr>
          <w:ilvl w:val="0"/>
          <w:numId w:val="32"/>
        </w:numPr>
        <w:tabs>
          <w:tab w:val="num" w:pos="1080"/>
        </w:tabs>
        <w:overflowPunct/>
        <w:adjustRightInd/>
        <w:ind w:left="1094" w:hanging="357"/>
        <w:jc w:val="both"/>
        <w:textAlignment w:val="auto"/>
        <w:rPr>
          <w:rFonts w:eastAsia="SimSun" w:cs="SimSun"/>
          <w:szCs w:val="24"/>
          <w:lang w:eastAsia="en-GB" w:bidi="en-US"/>
        </w:rPr>
      </w:pPr>
      <w:r>
        <w:rPr>
          <w:rFonts w:eastAsia="SimSun" w:cs="SimSun"/>
          <w:szCs w:val="24"/>
          <w:lang w:eastAsia="en-GB" w:bidi="en-US"/>
        </w:rPr>
        <w:t>That ITU management continue to review the current host country agreements (HCA)</w:t>
      </w:r>
      <w:r w:rsidR="00A67166">
        <w:rPr>
          <w:rFonts w:eastAsia="SimSun" w:cs="SimSun"/>
          <w:szCs w:val="24"/>
          <w:lang w:eastAsia="en-GB" w:bidi="en-US"/>
        </w:rPr>
        <w:t>, with a view to formali</w:t>
      </w:r>
      <w:r w:rsidR="00B4038C">
        <w:rPr>
          <w:rFonts w:eastAsia="SimSun" w:cs="SimSun"/>
          <w:szCs w:val="24"/>
          <w:lang w:eastAsia="en-GB" w:bidi="en-US"/>
        </w:rPr>
        <w:t>sing</w:t>
      </w:r>
      <w:r w:rsidR="00A67166">
        <w:rPr>
          <w:rFonts w:eastAsia="SimSun" w:cs="SimSun"/>
          <w:szCs w:val="24"/>
          <w:lang w:eastAsia="en-GB" w:bidi="en-US"/>
        </w:rPr>
        <w:t xml:space="preserve"> accepted practices</w:t>
      </w:r>
      <w:r w:rsidR="00B4038C">
        <w:rPr>
          <w:rFonts w:eastAsia="SimSun" w:cs="SimSun"/>
          <w:szCs w:val="24"/>
          <w:lang w:eastAsia="en-GB" w:bidi="en-US"/>
        </w:rPr>
        <w:t xml:space="preserve"> and </w:t>
      </w:r>
      <w:r w:rsidR="00A67166">
        <w:rPr>
          <w:rFonts w:eastAsia="SimSun" w:cs="SimSun"/>
          <w:szCs w:val="24"/>
          <w:lang w:eastAsia="en-GB" w:bidi="en-US"/>
        </w:rPr>
        <w:t>obtain</w:t>
      </w:r>
      <w:r w:rsidR="00B4038C">
        <w:rPr>
          <w:rFonts w:eastAsia="SimSun" w:cs="SimSun"/>
          <w:szCs w:val="24"/>
          <w:lang w:eastAsia="en-GB" w:bidi="en-US"/>
        </w:rPr>
        <w:t>ing</w:t>
      </w:r>
      <w:r w:rsidR="00A67166">
        <w:rPr>
          <w:rFonts w:eastAsia="SimSun" w:cs="SimSun"/>
          <w:szCs w:val="24"/>
          <w:lang w:eastAsia="en-GB" w:bidi="en-US"/>
        </w:rPr>
        <w:t xml:space="preserve"> the benefits, </w:t>
      </w:r>
      <w:r w:rsidR="00B4038C">
        <w:rPr>
          <w:rFonts w:eastAsia="SimSun" w:cs="SimSun"/>
          <w:szCs w:val="24"/>
          <w:lang w:eastAsia="en-GB" w:bidi="en-US"/>
        </w:rPr>
        <w:t xml:space="preserve">so as to </w:t>
      </w:r>
      <w:r w:rsidR="00A67166">
        <w:rPr>
          <w:rFonts w:eastAsia="SimSun" w:cs="SimSun"/>
          <w:szCs w:val="24"/>
          <w:lang w:eastAsia="en-GB" w:bidi="en-US"/>
        </w:rPr>
        <w:t xml:space="preserve">enhance ITU’s role and protect </w:t>
      </w:r>
      <w:r w:rsidR="00B4038C">
        <w:rPr>
          <w:rFonts w:eastAsia="SimSun" w:cs="SimSun"/>
          <w:szCs w:val="24"/>
          <w:lang w:eastAsia="en-GB" w:bidi="en-US"/>
        </w:rPr>
        <w:t xml:space="preserve">its </w:t>
      </w:r>
      <w:r w:rsidR="00A67166">
        <w:rPr>
          <w:rFonts w:eastAsia="SimSun" w:cs="SimSun"/>
          <w:szCs w:val="24"/>
          <w:lang w:eastAsia="en-GB" w:bidi="en-US"/>
        </w:rPr>
        <w:t>assets</w:t>
      </w:r>
      <w:r w:rsidR="00D83446">
        <w:rPr>
          <w:rFonts w:eastAsia="SimSun" w:cs="SimSun"/>
          <w:szCs w:val="24"/>
          <w:lang w:eastAsia="en-GB" w:bidi="en-US"/>
        </w:rPr>
        <w:t xml:space="preserve"> (Suggestion n. 2</w:t>
      </w:r>
      <w:r w:rsidR="00A67166">
        <w:rPr>
          <w:rFonts w:eastAsia="SimSun" w:cs="SimSun"/>
          <w:szCs w:val="24"/>
          <w:lang w:eastAsia="en-GB" w:bidi="en-US"/>
        </w:rPr>
        <w:t>).</w:t>
      </w:r>
    </w:p>
    <w:p w14:paraId="261C2483" w14:textId="57559EC6" w:rsidR="00D576D5" w:rsidRPr="006201D8" w:rsidRDefault="00D576D5" w:rsidP="00A67166">
      <w:pPr>
        <w:pStyle w:val="NumberedHeading"/>
        <w:rPr>
          <w:rFonts w:eastAsia="SimSun"/>
          <w:lang w:eastAsia="en-GB" w:bidi="en-US"/>
        </w:rPr>
      </w:pPr>
      <w:r w:rsidRPr="006201D8">
        <w:rPr>
          <w:rFonts w:eastAsia="SimSun"/>
          <w:lang w:eastAsia="en-GB" w:bidi="en-US"/>
        </w:rPr>
        <w:lastRenderedPageBreak/>
        <w:t>IMAC’s comments and advice</w:t>
      </w:r>
    </w:p>
    <w:p w14:paraId="20E4B72E" w14:textId="5742216B" w:rsidR="00A67166" w:rsidRPr="00DD26B1" w:rsidRDefault="00A4620F">
      <w:pPr>
        <w:pStyle w:val="Normalnumbered"/>
        <w:rPr>
          <w:rFonts w:ascii="Calibri" w:eastAsia="SimSun" w:hAnsi="Calibri" w:cs="SimSun"/>
          <w:lang w:eastAsia="en-GB" w:bidi="en-US"/>
        </w:rPr>
      </w:pPr>
      <w:r w:rsidRPr="00DD26B1">
        <w:rPr>
          <w:rFonts w:eastAsia="SimSun"/>
          <w:lang w:eastAsia="en-GB" w:bidi="en-US"/>
        </w:rPr>
        <w:t xml:space="preserve">Concerning the discount rates used in relation to ASHI and the Collective Medical Insurance Plan (External Auditors’ Recommendation n. 4), </w:t>
      </w:r>
      <w:r w:rsidR="00A04AAB" w:rsidRPr="00DD26B1">
        <w:rPr>
          <w:rFonts w:eastAsia="SimSun"/>
          <w:lang w:eastAsia="en-GB" w:bidi="en-US"/>
        </w:rPr>
        <w:t>IMAC has</w:t>
      </w:r>
      <w:r w:rsidRPr="00DD26B1">
        <w:rPr>
          <w:rFonts w:eastAsia="SimSun"/>
          <w:lang w:eastAsia="en-GB" w:bidi="en-US"/>
        </w:rPr>
        <w:t xml:space="preserve"> recommended at Recommendation 3/2016 of </w:t>
      </w:r>
      <w:r w:rsidR="00A04AAB" w:rsidRPr="00DD26B1">
        <w:rPr>
          <w:rFonts w:eastAsia="SimSun"/>
          <w:lang w:eastAsia="en-GB" w:bidi="en-US"/>
        </w:rPr>
        <w:t>its</w:t>
      </w:r>
      <w:r w:rsidRPr="00DD26B1">
        <w:rPr>
          <w:rFonts w:eastAsia="SimSun"/>
          <w:lang w:eastAsia="en-GB" w:bidi="en-US"/>
        </w:rPr>
        <w:t xml:space="preserve"> report that ITU should consult further with their actuaries on the issue of the appropriate rates to be applied.  In general, </w:t>
      </w:r>
      <w:r w:rsidR="00D576D5" w:rsidRPr="00DD26B1">
        <w:rPr>
          <w:rFonts w:eastAsia="SimSun"/>
          <w:lang w:eastAsia="en-GB" w:bidi="en-US"/>
        </w:rPr>
        <w:t xml:space="preserve">IMAC considers that implementation by management of the External Auditors’ recommendations and suggestions </w:t>
      </w:r>
      <w:r w:rsidR="000D63F0" w:rsidRPr="00DD26B1">
        <w:rPr>
          <w:rFonts w:eastAsia="SimSun"/>
          <w:lang w:eastAsia="en-GB" w:bidi="en-US"/>
        </w:rPr>
        <w:t>would be beneficial</w:t>
      </w:r>
      <w:r w:rsidR="00D576D5" w:rsidRPr="00DD26B1">
        <w:rPr>
          <w:rFonts w:eastAsia="SimSun"/>
          <w:lang w:eastAsia="en-GB" w:bidi="en-US"/>
        </w:rPr>
        <w:t xml:space="preserve"> to improved financial management and control in ITU</w:t>
      </w:r>
      <w:r w:rsidR="000D63F0" w:rsidRPr="00DD26B1">
        <w:rPr>
          <w:rFonts w:eastAsia="SimSun"/>
          <w:lang w:eastAsia="en-GB" w:bidi="en-US"/>
        </w:rPr>
        <w:t xml:space="preserve">; </w:t>
      </w:r>
      <w:r w:rsidR="00D576D5" w:rsidRPr="00DD26B1">
        <w:rPr>
          <w:rFonts w:eastAsia="SimSun"/>
          <w:lang w:eastAsia="en-GB" w:bidi="en-US"/>
        </w:rPr>
        <w:t>and the Committee</w:t>
      </w:r>
      <w:r w:rsidR="00E90CB3" w:rsidRPr="00DD26B1">
        <w:rPr>
          <w:rFonts w:eastAsia="SimSun"/>
          <w:lang w:eastAsia="en-GB" w:bidi="en-US"/>
        </w:rPr>
        <w:t xml:space="preserve"> </w:t>
      </w:r>
      <w:r w:rsidR="000D63F0" w:rsidRPr="00DD26B1">
        <w:rPr>
          <w:rFonts w:eastAsia="SimSun"/>
          <w:lang w:eastAsia="en-GB" w:bidi="en-US"/>
        </w:rPr>
        <w:t>will monitor management’s responses to the audit recommendations in its future meetings</w:t>
      </w:r>
      <w:r w:rsidR="00D576D5" w:rsidRPr="00DD26B1">
        <w:rPr>
          <w:rFonts w:eastAsia="SimSun"/>
          <w:lang w:eastAsia="en-GB" w:bidi="en-US"/>
        </w:rPr>
        <w:t>.</w:t>
      </w:r>
    </w:p>
    <w:p w14:paraId="1A6FE053" w14:textId="3E839339" w:rsidR="00D576D5" w:rsidRPr="005B469D" w:rsidRDefault="00D576D5" w:rsidP="00A41DFA">
      <w:pPr>
        <w:pStyle w:val="Normalnumbered"/>
        <w:rPr>
          <w:rFonts w:ascii="Calibri" w:eastAsia="SimSun" w:hAnsi="Calibri" w:cs="SimSun"/>
          <w:lang w:eastAsia="en-GB" w:bidi="en-US"/>
        </w:rPr>
      </w:pPr>
      <w:r w:rsidRPr="005B469D">
        <w:rPr>
          <w:rFonts w:ascii="Calibri" w:eastAsia="SimSun" w:hAnsi="Calibri" w:cs="SimSun"/>
          <w:lang w:eastAsia="en-GB" w:bidi="en-US"/>
        </w:rPr>
        <w:t xml:space="preserve">Annex 1 of the External Auditors’ Report provides information on the status of the implementation of audit recommendations from previous years. IMAC notes that a total of </w:t>
      </w:r>
      <w:r w:rsidR="000D63F0">
        <w:rPr>
          <w:rFonts w:ascii="Calibri" w:eastAsia="SimSun" w:hAnsi="Calibri" w:cs="SimSun"/>
          <w:lang w:eastAsia="en-GB" w:bidi="en-US"/>
        </w:rPr>
        <w:t>6</w:t>
      </w:r>
      <w:r w:rsidR="000D63F0" w:rsidRPr="005B469D">
        <w:rPr>
          <w:rFonts w:ascii="Calibri" w:eastAsia="SimSun" w:hAnsi="Calibri" w:cs="SimSun"/>
          <w:lang w:eastAsia="en-GB" w:bidi="en-US"/>
        </w:rPr>
        <w:t xml:space="preserve"> </w:t>
      </w:r>
      <w:r w:rsidRPr="005B469D">
        <w:rPr>
          <w:rFonts w:ascii="Calibri" w:eastAsia="SimSun" w:hAnsi="Calibri" w:cs="SimSun"/>
          <w:lang w:eastAsia="en-GB" w:bidi="en-US"/>
        </w:rPr>
        <w:t>recomm</w:t>
      </w:r>
      <w:r w:rsidR="003B24A8" w:rsidRPr="005B469D">
        <w:rPr>
          <w:rFonts w:ascii="Calibri" w:eastAsia="SimSun" w:hAnsi="Calibri" w:cs="SimSun"/>
          <w:lang w:eastAsia="en-GB" w:bidi="en-US"/>
        </w:rPr>
        <w:t>endations from 2012 and 2014</w:t>
      </w:r>
      <w:r w:rsidRPr="005B469D">
        <w:rPr>
          <w:rFonts w:ascii="Calibri" w:eastAsia="SimSun" w:hAnsi="Calibri" w:cs="SimSun"/>
          <w:lang w:eastAsia="en-GB" w:bidi="en-US"/>
        </w:rPr>
        <w:t xml:space="preserve"> remain on-going</w:t>
      </w:r>
      <w:r w:rsidR="003B24A8" w:rsidRPr="005B469D">
        <w:rPr>
          <w:rFonts w:ascii="Calibri" w:eastAsia="SimSun" w:hAnsi="Calibri" w:cs="SimSun"/>
          <w:lang w:eastAsia="en-GB" w:bidi="en-US"/>
        </w:rPr>
        <w:t xml:space="preserve"> </w:t>
      </w:r>
      <w:r w:rsidR="003B24A8" w:rsidRPr="00DD26B1">
        <w:rPr>
          <w:rFonts w:ascii="Calibri" w:eastAsia="SimSun" w:hAnsi="Calibri" w:cs="SimSun"/>
          <w:lang w:eastAsia="en-GB" w:bidi="en-US"/>
        </w:rPr>
        <w:t>or partially implemented</w:t>
      </w:r>
      <w:r w:rsidRPr="005B469D">
        <w:rPr>
          <w:rFonts w:ascii="Calibri" w:eastAsia="SimSun" w:hAnsi="Calibri" w:cs="SimSun"/>
          <w:lang w:eastAsia="en-GB" w:bidi="en-US"/>
        </w:rPr>
        <w:t xml:space="preserve"> and not yet closed.</w:t>
      </w:r>
      <w:r w:rsidR="000D63F0">
        <w:rPr>
          <w:rFonts w:ascii="Calibri" w:eastAsia="SimSun" w:hAnsi="Calibri" w:cs="SimSun"/>
          <w:lang w:eastAsia="en-GB" w:bidi="en-US"/>
        </w:rPr>
        <w:t xml:space="preserve"> Two recommendations, from 2008 and 2009, raised by the previous Swiss External Auditors</w:t>
      </w:r>
      <w:r w:rsidR="007043EB">
        <w:rPr>
          <w:rFonts w:ascii="Calibri" w:eastAsia="SimSun" w:hAnsi="Calibri" w:cs="SimSun"/>
          <w:lang w:eastAsia="en-GB" w:bidi="en-US"/>
        </w:rPr>
        <w:t xml:space="preserve"> remain open and affected by budgetary constraints.</w:t>
      </w:r>
    </w:p>
    <w:p w14:paraId="1ECEE233" w14:textId="01C874DB" w:rsidR="00DD77FB" w:rsidRPr="00DD77FB" w:rsidRDefault="00DD77FB" w:rsidP="00BD4BC1">
      <w:pPr>
        <w:spacing w:before="1680"/>
        <w:jc w:val="center"/>
        <w:rPr>
          <w:rFonts w:asciiTheme="minorHAnsi" w:hAnsiTheme="minorHAnsi"/>
          <w:bCs/>
          <w:color w:val="000000"/>
          <w:sz w:val="22"/>
          <w:szCs w:val="22"/>
          <w:u w:val="single"/>
        </w:rPr>
      </w:pPr>
      <w:r>
        <w:rPr>
          <w:rFonts w:asciiTheme="minorHAnsi" w:hAnsiTheme="minorHAnsi"/>
          <w:bCs/>
          <w:color w:val="000000"/>
          <w:sz w:val="22"/>
          <w:szCs w:val="22"/>
          <w:u w:val="single"/>
        </w:rPr>
        <w:t>                                        </w:t>
      </w:r>
    </w:p>
    <w:sectPr w:rsidR="00DD77FB" w:rsidRPr="00DD77FB" w:rsidSect="004D1851">
      <w:head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C61BA" w14:textId="77777777" w:rsidR="00D765A7" w:rsidRDefault="00D765A7">
      <w:r>
        <w:separator/>
      </w:r>
    </w:p>
  </w:endnote>
  <w:endnote w:type="continuationSeparator" w:id="0">
    <w:p w14:paraId="000B23DC" w14:textId="77777777" w:rsidR="00D765A7" w:rsidRDefault="00D7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C1280" w14:textId="77777777" w:rsidR="00EC5797" w:rsidRDefault="00EC5797">
    <w:pPr>
      <w:spacing w:after="120"/>
      <w:jc w:val="center"/>
    </w:pPr>
    <w:r>
      <w:t xml:space="preserve">• </w:t>
    </w:r>
    <w:hyperlink r:id="rId1" w:history="1">
      <w:r>
        <w:rPr>
          <w:rStyle w:val="Hyperlink"/>
        </w:rPr>
        <w:t>http://www.itu.int/council</w:t>
      </w:r>
    </w:hyperlink>
    <w:r>
      <w:t xml:space="preserve"> •</w:t>
    </w:r>
  </w:p>
  <w:p w14:paraId="1A0E848E" w14:textId="2D03AA7A" w:rsidR="00EC5797" w:rsidRDefault="00EC5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00EAC" w14:textId="77777777" w:rsidR="00D765A7" w:rsidRDefault="00D765A7">
      <w:r>
        <w:t>____________________</w:t>
      </w:r>
    </w:p>
  </w:footnote>
  <w:footnote w:type="continuationSeparator" w:id="0">
    <w:p w14:paraId="3B10F958" w14:textId="77777777" w:rsidR="00D765A7" w:rsidRDefault="00D76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75940" w14:textId="77777777" w:rsidR="00EC5797" w:rsidRDefault="00EC5797" w:rsidP="00CE433C">
    <w:pPr>
      <w:pStyle w:val="Header"/>
    </w:pPr>
    <w:r>
      <w:fldChar w:fldCharType="begin"/>
    </w:r>
    <w:r>
      <w:instrText>PAGE</w:instrText>
    </w:r>
    <w:r>
      <w:fldChar w:fldCharType="separate"/>
    </w:r>
    <w:r w:rsidR="004D361A">
      <w:rPr>
        <w:noProof/>
      </w:rPr>
      <w:t>2</w:t>
    </w:r>
    <w:r>
      <w:rPr>
        <w:noProof/>
      </w:rPr>
      <w:fldChar w:fldCharType="end"/>
    </w:r>
  </w:p>
  <w:p w14:paraId="4F67D8E5" w14:textId="59D32E2B" w:rsidR="00EC5797" w:rsidRDefault="00EC5797" w:rsidP="006D161D">
    <w:pPr>
      <w:pStyle w:val="Header"/>
    </w:pPr>
    <w:r w:rsidRPr="00AE57FF">
      <w:t>C16/22</w:t>
    </w:r>
    <w:r w:rsidR="00D576D5" w:rsidRPr="00AE57FF">
      <w:t>(Add.1)</w:t>
    </w:r>
    <w:r w:rsidRPr="00AE57FF">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E17C0"/>
    <w:multiLevelType w:val="hybridMultilevel"/>
    <w:tmpl w:val="6E205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03479"/>
    <w:multiLevelType w:val="hybridMultilevel"/>
    <w:tmpl w:val="E7DA1848"/>
    <w:lvl w:ilvl="0" w:tplc="D0DAE69E">
      <w:start w:val="1"/>
      <w:numFmt w:val="lowerRoman"/>
      <w:lvlText w:val="%1."/>
      <w:lvlJc w:val="left"/>
      <w:pPr>
        <w:tabs>
          <w:tab w:val="num" w:pos="1440"/>
        </w:tabs>
        <w:ind w:left="1440" w:hanging="360"/>
      </w:pPr>
      <w:rPr>
        <w:rFonts w:ascii="Calibri" w:eastAsia="SimSun" w:hAnsi="Calibri" w:cs="SimSun"/>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 w15:restartNumberingAfterBreak="0">
    <w:nsid w:val="1AFD1FDF"/>
    <w:multiLevelType w:val="hybridMultilevel"/>
    <w:tmpl w:val="831EA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1598D"/>
    <w:multiLevelType w:val="hybridMultilevel"/>
    <w:tmpl w:val="CF06BD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7C1935"/>
    <w:multiLevelType w:val="hybridMultilevel"/>
    <w:tmpl w:val="E7DA1848"/>
    <w:lvl w:ilvl="0" w:tplc="D0DAE69E">
      <w:start w:val="1"/>
      <w:numFmt w:val="lowerRoman"/>
      <w:lvlText w:val="%1."/>
      <w:lvlJc w:val="left"/>
      <w:pPr>
        <w:tabs>
          <w:tab w:val="num" w:pos="1440"/>
        </w:tabs>
        <w:ind w:left="1440" w:hanging="360"/>
      </w:pPr>
      <w:rPr>
        <w:rFonts w:ascii="Calibri" w:eastAsia="SimSun" w:hAnsi="Calibri" w:cs="SimSun"/>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6" w15:restartNumberingAfterBreak="0">
    <w:nsid w:val="2ADD29FB"/>
    <w:multiLevelType w:val="multilevel"/>
    <w:tmpl w:val="7B3E6A8E"/>
    <w:lvl w:ilvl="0">
      <w:start w:val="1"/>
      <w:numFmt w:val="decimal"/>
      <w:pStyle w:val="NumberedHeading"/>
      <w:lvlText w:val="%1"/>
      <w:lvlJc w:val="left"/>
      <w:pPr>
        <w:ind w:left="360" w:hanging="360"/>
      </w:pPr>
      <w:rPr>
        <w:rFonts w:hint="default"/>
      </w:rPr>
    </w:lvl>
    <w:lvl w:ilvl="1">
      <w:start w:val="1"/>
      <w:numFmt w:val="decimal"/>
      <w:pStyle w:val="Normalnumbered"/>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205E31"/>
    <w:multiLevelType w:val="hybridMultilevel"/>
    <w:tmpl w:val="9E92ED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B06443"/>
    <w:multiLevelType w:val="hybridMultilevel"/>
    <w:tmpl w:val="08501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F6563"/>
    <w:multiLevelType w:val="hybridMultilevel"/>
    <w:tmpl w:val="A2CE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B6C30"/>
    <w:multiLevelType w:val="hybridMultilevel"/>
    <w:tmpl w:val="98883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31523"/>
    <w:multiLevelType w:val="hybridMultilevel"/>
    <w:tmpl w:val="77F67C96"/>
    <w:lvl w:ilvl="0" w:tplc="760ADC5C">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671E5"/>
    <w:multiLevelType w:val="hybridMultilevel"/>
    <w:tmpl w:val="E7DA1848"/>
    <w:lvl w:ilvl="0" w:tplc="D0DAE69E">
      <w:start w:val="1"/>
      <w:numFmt w:val="lowerRoman"/>
      <w:lvlText w:val="%1."/>
      <w:lvlJc w:val="left"/>
      <w:pPr>
        <w:tabs>
          <w:tab w:val="num" w:pos="1440"/>
        </w:tabs>
        <w:ind w:left="1440" w:hanging="360"/>
      </w:pPr>
      <w:rPr>
        <w:rFonts w:ascii="Calibri" w:eastAsia="SimSun" w:hAnsi="Calibri" w:cs="SimSun"/>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13" w15:restartNumberingAfterBreak="0">
    <w:nsid w:val="51E4531B"/>
    <w:multiLevelType w:val="hybridMultilevel"/>
    <w:tmpl w:val="F704DEC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743F07"/>
    <w:multiLevelType w:val="hybridMultilevel"/>
    <w:tmpl w:val="26E4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87C14"/>
    <w:multiLevelType w:val="hybridMultilevel"/>
    <w:tmpl w:val="A54A8EF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6" w15:restartNumberingAfterBreak="0">
    <w:nsid w:val="5AA36681"/>
    <w:multiLevelType w:val="hybridMultilevel"/>
    <w:tmpl w:val="2A5C7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C041C"/>
    <w:multiLevelType w:val="hybridMultilevel"/>
    <w:tmpl w:val="DC22B0CC"/>
    <w:lvl w:ilvl="0" w:tplc="D21898A8">
      <w:start w:val="1"/>
      <w:numFmt w:val="lowerRoman"/>
      <w:lvlText w:val="(%1)"/>
      <w:lvlJc w:val="left"/>
      <w:pPr>
        <w:tabs>
          <w:tab w:val="num" w:pos="-345"/>
        </w:tabs>
        <w:ind w:left="1065" w:hanging="705"/>
      </w:pPr>
      <w:rPr>
        <w:rFonts w:hint="default"/>
      </w:rPr>
    </w:lvl>
    <w:lvl w:ilvl="1" w:tplc="005AE1D6">
      <w:start w:val="1"/>
      <w:numFmt w:val="lowerRoman"/>
      <w:lvlText w:val="%2."/>
      <w:lvlJc w:val="left"/>
      <w:pPr>
        <w:tabs>
          <w:tab w:val="num" w:pos="1440"/>
        </w:tabs>
        <w:ind w:left="1440" w:hanging="360"/>
      </w:pPr>
      <w:rPr>
        <w:rFonts w:ascii="Calibri" w:eastAsia="SimSun" w:hAnsi="Calibri" w:cs="SimSu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C3053"/>
    <w:multiLevelType w:val="hybridMultilevel"/>
    <w:tmpl w:val="4FBC58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153578"/>
    <w:multiLevelType w:val="hybridMultilevel"/>
    <w:tmpl w:val="85409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021E79"/>
    <w:multiLevelType w:val="multilevel"/>
    <w:tmpl w:val="F8B60C90"/>
    <w:lvl w:ilvl="0">
      <w:start w:val="1"/>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673C34B5"/>
    <w:multiLevelType w:val="multilevel"/>
    <w:tmpl w:val="2AE877DC"/>
    <w:lvl w:ilvl="0">
      <w:start w:val="1"/>
      <w:numFmt w:val="decimal"/>
      <w:lvlText w:val="%1."/>
      <w:lvlJc w:val="left"/>
      <w:pPr>
        <w:ind w:left="720" w:hanging="720"/>
      </w:pPr>
      <w:rPr>
        <w:rFonts w:ascii="Calibri" w:eastAsia="SimSun" w:hAnsi="Calibri" w:cs="Helvetica"/>
      </w:rPr>
    </w:lvl>
    <w:lvl w:ilvl="1">
      <w:start w:val="1"/>
      <w:numFmt w:val="decimal"/>
      <w:isLgl/>
      <w:lvlText w:val="%1.%2"/>
      <w:lvlJc w:val="left"/>
      <w:pPr>
        <w:ind w:left="510" w:hanging="510"/>
      </w:pPr>
      <w:rPr>
        <w:b w:val="0"/>
        <w:bCs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2" w15:restartNumberingAfterBreak="0">
    <w:nsid w:val="69775024"/>
    <w:multiLevelType w:val="hybridMultilevel"/>
    <w:tmpl w:val="69962570"/>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6D470B9F"/>
    <w:multiLevelType w:val="singleLevel"/>
    <w:tmpl w:val="6D470B9F"/>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0D1428C"/>
    <w:multiLevelType w:val="hybridMultilevel"/>
    <w:tmpl w:val="DA0A384A"/>
    <w:lvl w:ilvl="0" w:tplc="1220A3B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762CD"/>
    <w:multiLevelType w:val="hybridMultilevel"/>
    <w:tmpl w:val="E084B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B75050"/>
    <w:multiLevelType w:val="multilevel"/>
    <w:tmpl w:val="A2FC4E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1E55DA"/>
    <w:multiLevelType w:val="hybridMultilevel"/>
    <w:tmpl w:val="9B661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1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18"/>
  </w:num>
  <w:num w:numId="9">
    <w:abstractNumId w:val="1"/>
  </w:num>
  <w:num w:numId="10">
    <w:abstractNumId w:val="14"/>
  </w:num>
  <w:num w:numId="11">
    <w:abstractNumId w:val="4"/>
  </w:num>
  <w:num w:numId="12">
    <w:abstractNumId w:val="26"/>
  </w:num>
  <w:num w:numId="13">
    <w:abstractNumId w:val="19"/>
  </w:num>
  <w:num w:numId="14">
    <w:abstractNumId w:val="8"/>
  </w:num>
  <w:num w:numId="15">
    <w:abstractNumId w:val="27"/>
  </w:num>
  <w:num w:numId="16">
    <w:abstractNumId w:val="13"/>
  </w:num>
  <w:num w:numId="17">
    <w:abstractNumId w:val="6"/>
  </w:num>
  <w:num w:numId="18">
    <w:abstractNumId w:val="24"/>
  </w:num>
  <w:num w:numId="19">
    <w:abstractNumId w:val="11"/>
  </w:num>
  <w:num w:numId="20">
    <w:abstractNumId w:val="6"/>
    <w:lvlOverride w:ilvl="0">
      <w:startOverride w:val="2"/>
    </w:lvlOverride>
    <w:lvlOverride w:ilvl="1">
      <w:startOverride w:val="1"/>
    </w:lvlOverride>
  </w:num>
  <w:num w:numId="21">
    <w:abstractNumId w:val="6"/>
    <w:lvlOverride w:ilvl="0">
      <w:startOverride w:val="2"/>
    </w:lvlOverride>
    <w:lvlOverride w:ilvl="1">
      <w:startOverride w:val="1"/>
    </w:lvlOverride>
  </w:num>
  <w:num w:numId="22">
    <w:abstractNumId w:val="6"/>
  </w:num>
  <w:num w:numId="23">
    <w:abstractNumId w:val="3"/>
  </w:num>
  <w:num w:numId="24">
    <w:abstractNumId w:val="16"/>
  </w:num>
  <w:num w:numId="25">
    <w:abstractNumId w:val="25"/>
  </w:num>
  <w:num w:numId="26">
    <w:abstractNumId w:val="2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5"/>
  </w:num>
  <w:num w:numId="30">
    <w:abstractNumId w:val="10"/>
  </w:num>
  <w:num w:numId="31">
    <w:abstractNumId w:val="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12"/>
    <w:rsid w:val="00004CC2"/>
    <w:rsid w:val="00006CA0"/>
    <w:rsid w:val="00010134"/>
    <w:rsid w:val="000232D8"/>
    <w:rsid w:val="000236F9"/>
    <w:rsid w:val="00025C1C"/>
    <w:rsid w:val="00050542"/>
    <w:rsid w:val="00062401"/>
    <w:rsid w:val="00062490"/>
    <w:rsid w:val="00063016"/>
    <w:rsid w:val="00076AF6"/>
    <w:rsid w:val="00085CF2"/>
    <w:rsid w:val="00090820"/>
    <w:rsid w:val="000A5B24"/>
    <w:rsid w:val="000A6407"/>
    <w:rsid w:val="000B1705"/>
    <w:rsid w:val="000B2754"/>
    <w:rsid w:val="000B27DC"/>
    <w:rsid w:val="000B7D58"/>
    <w:rsid w:val="000D63F0"/>
    <w:rsid w:val="000D75B2"/>
    <w:rsid w:val="000E71C3"/>
    <w:rsid w:val="000F69AB"/>
    <w:rsid w:val="001121F5"/>
    <w:rsid w:val="00116806"/>
    <w:rsid w:val="00124E1E"/>
    <w:rsid w:val="00131A71"/>
    <w:rsid w:val="00140CE1"/>
    <w:rsid w:val="00144001"/>
    <w:rsid w:val="0014750D"/>
    <w:rsid w:val="0016076F"/>
    <w:rsid w:val="0017539C"/>
    <w:rsid w:val="00175AC2"/>
    <w:rsid w:val="0017609F"/>
    <w:rsid w:val="00182BB5"/>
    <w:rsid w:val="00182BF7"/>
    <w:rsid w:val="001839DB"/>
    <w:rsid w:val="00185CDA"/>
    <w:rsid w:val="00197BFA"/>
    <w:rsid w:val="001A03E9"/>
    <w:rsid w:val="001A1788"/>
    <w:rsid w:val="001A5809"/>
    <w:rsid w:val="001B57EF"/>
    <w:rsid w:val="001C628E"/>
    <w:rsid w:val="001C6BB0"/>
    <w:rsid w:val="001D12A9"/>
    <w:rsid w:val="001E0F7B"/>
    <w:rsid w:val="001F3104"/>
    <w:rsid w:val="00200BAA"/>
    <w:rsid w:val="002119FD"/>
    <w:rsid w:val="002130E0"/>
    <w:rsid w:val="00213108"/>
    <w:rsid w:val="00216578"/>
    <w:rsid w:val="00220812"/>
    <w:rsid w:val="0022780C"/>
    <w:rsid w:val="00231235"/>
    <w:rsid w:val="00233086"/>
    <w:rsid w:val="00237418"/>
    <w:rsid w:val="00245851"/>
    <w:rsid w:val="00265875"/>
    <w:rsid w:val="00266D44"/>
    <w:rsid w:val="00267C61"/>
    <w:rsid w:val="002707D5"/>
    <w:rsid w:val="0027303B"/>
    <w:rsid w:val="00276F03"/>
    <w:rsid w:val="00277D42"/>
    <w:rsid w:val="0028109B"/>
    <w:rsid w:val="0029519C"/>
    <w:rsid w:val="002A5795"/>
    <w:rsid w:val="002B1F58"/>
    <w:rsid w:val="002C1C7A"/>
    <w:rsid w:val="002C3254"/>
    <w:rsid w:val="002D1059"/>
    <w:rsid w:val="002D41F5"/>
    <w:rsid w:val="002D45CB"/>
    <w:rsid w:val="002D5280"/>
    <w:rsid w:val="002D5C9F"/>
    <w:rsid w:val="002D6EF9"/>
    <w:rsid w:val="002E0192"/>
    <w:rsid w:val="002E203B"/>
    <w:rsid w:val="002F3C1F"/>
    <w:rsid w:val="002F49C0"/>
    <w:rsid w:val="002F533C"/>
    <w:rsid w:val="0030160F"/>
    <w:rsid w:val="0030418F"/>
    <w:rsid w:val="00305D7E"/>
    <w:rsid w:val="003224DC"/>
    <w:rsid w:val="00322D0D"/>
    <w:rsid w:val="00322D46"/>
    <w:rsid w:val="00327B1B"/>
    <w:rsid w:val="003469CB"/>
    <w:rsid w:val="003472CE"/>
    <w:rsid w:val="003563AB"/>
    <w:rsid w:val="003563AF"/>
    <w:rsid w:val="00387668"/>
    <w:rsid w:val="00387DA0"/>
    <w:rsid w:val="003942D4"/>
    <w:rsid w:val="0039430B"/>
    <w:rsid w:val="003958A8"/>
    <w:rsid w:val="003A0FBB"/>
    <w:rsid w:val="003B24A8"/>
    <w:rsid w:val="003B66DC"/>
    <w:rsid w:val="003C2533"/>
    <w:rsid w:val="003C5D3E"/>
    <w:rsid w:val="003E00C6"/>
    <w:rsid w:val="003F2A45"/>
    <w:rsid w:val="0040435A"/>
    <w:rsid w:val="00410EE6"/>
    <w:rsid w:val="00415336"/>
    <w:rsid w:val="0041552F"/>
    <w:rsid w:val="00416A24"/>
    <w:rsid w:val="00425154"/>
    <w:rsid w:val="00425E35"/>
    <w:rsid w:val="00431D9E"/>
    <w:rsid w:val="00432294"/>
    <w:rsid w:val="00433CE8"/>
    <w:rsid w:val="00434A5C"/>
    <w:rsid w:val="00445079"/>
    <w:rsid w:val="0044676C"/>
    <w:rsid w:val="004544D9"/>
    <w:rsid w:val="00461EA8"/>
    <w:rsid w:val="004744E0"/>
    <w:rsid w:val="00477459"/>
    <w:rsid w:val="0048121D"/>
    <w:rsid w:val="00490E72"/>
    <w:rsid w:val="004921C8"/>
    <w:rsid w:val="00493688"/>
    <w:rsid w:val="004B71E4"/>
    <w:rsid w:val="004D1851"/>
    <w:rsid w:val="004D361A"/>
    <w:rsid w:val="004D51B7"/>
    <w:rsid w:val="004D599D"/>
    <w:rsid w:val="004D689E"/>
    <w:rsid w:val="004E2EA5"/>
    <w:rsid w:val="004E3AEB"/>
    <w:rsid w:val="004E6629"/>
    <w:rsid w:val="0050223C"/>
    <w:rsid w:val="00514CDB"/>
    <w:rsid w:val="005243FF"/>
    <w:rsid w:val="00531610"/>
    <w:rsid w:val="00546E8B"/>
    <w:rsid w:val="00550BC0"/>
    <w:rsid w:val="00551C71"/>
    <w:rsid w:val="00560883"/>
    <w:rsid w:val="00564FBC"/>
    <w:rsid w:val="005721F6"/>
    <w:rsid w:val="00582442"/>
    <w:rsid w:val="00583A1F"/>
    <w:rsid w:val="005865CA"/>
    <w:rsid w:val="005A02FF"/>
    <w:rsid w:val="005B469D"/>
    <w:rsid w:val="005B5280"/>
    <w:rsid w:val="005C64B6"/>
    <w:rsid w:val="005D3E92"/>
    <w:rsid w:val="005F62C6"/>
    <w:rsid w:val="00603E86"/>
    <w:rsid w:val="00611B4F"/>
    <w:rsid w:val="00631F75"/>
    <w:rsid w:val="0064192D"/>
    <w:rsid w:val="00646A53"/>
    <w:rsid w:val="0064731C"/>
    <w:rsid w:val="00652EEC"/>
    <w:rsid w:val="006535F1"/>
    <w:rsid w:val="0065557D"/>
    <w:rsid w:val="006626FB"/>
    <w:rsid w:val="00662984"/>
    <w:rsid w:val="006716BB"/>
    <w:rsid w:val="00674094"/>
    <w:rsid w:val="00676531"/>
    <w:rsid w:val="00676824"/>
    <w:rsid w:val="0068331A"/>
    <w:rsid w:val="006906DF"/>
    <w:rsid w:val="00693C59"/>
    <w:rsid w:val="006A0C0D"/>
    <w:rsid w:val="006B018A"/>
    <w:rsid w:val="006B1BF7"/>
    <w:rsid w:val="006B2FAF"/>
    <w:rsid w:val="006B6DCC"/>
    <w:rsid w:val="006C68B0"/>
    <w:rsid w:val="006D161D"/>
    <w:rsid w:val="006D44DF"/>
    <w:rsid w:val="006D450C"/>
    <w:rsid w:val="006F1708"/>
    <w:rsid w:val="007043EB"/>
    <w:rsid w:val="00705591"/>
    <w:rsid w:val="00705870"/>
    <w:rsid w:val="007130C1"/>
    <w:rsid w:val="00715A6E"/>
    <w:rsid w:val="0071644D"/>
    <w:rsid w:val="0071780B"/>
    <w:rsid w:val="00717DE6"/>
    <w:rsid w:val="0072490B"/>
    <w:rsid w:val="00725EEF"/>
    <w:rsid w:val="0072691E"/>
    <w:rsid w:val="00731B17"/>
    <w:rsid w:val="00747242"/>
    <w:rsid w:val="0075051B"/>
    <w:rsid w:val="00750912"/>
    <w:rsid w:val="007554EF"/>
    <w:rsid w:val="007575C7"/>
    <w:rsid w:val="0078370C"/>
    <w:rsid w:val="00785AE8"/>
    <w:rsid w:val="007867AC"/>
    <w:rsid w:val="00793EC2"/>
    <w:rsid w:val="00794D34"/>
    <w:rsid w:val="007A6435"/>
    <w:rsid w:val="007A6B92"/>
    <w:rsid w:val="007B0B8D"/>
    <w:rsid w:val="007D171E"/>
    <w:rsid w:val="007D51AB"/>
    <w:rsid w:val="007D51F3"/>
    <w:rsid w:val="007E2745"/>
    <w:rsid w:val="007E2B84"/>
    <w:rsid w:val="007E4BB5"/>
    <w:rsid w:val="007F10D9"/>
    <w:rsid w:val="007F2303"/>
    <w:rsid w:val="007F57E5"/>
    <w:rsid w:val="007F6981"/>
    <w:rsid w:val="008004C9"/>
    <w:rsid w:val="0080258E"/>
    <w:rsid w:val="00806713"/>
    <w:rsid w:val="00813E5E"/>
    <w:rsid w:val="008237AC"/>
    <w:rsid w:val="0083581B"/>
    <w:rsid w:val="0083756E"/>
    <w:rsid w:val="008548F9"/>
    <w:rsid w:val="008601F0"/>
    <w:rsid w:val="00864AFF"/>
    <w:rsid w:val="0087682F"/>
    <w:rsid w:val="0088241F"/>
    <w:rsid w:val="00885048"/>
    <w:rsid w:val="008855AB"/>
    <w:rsid w:val="00897BBB"/>
    <w:rsid w:val="008A1D65"/>
    <w:rsid w:val="008A260C"/>
    <w:rsid w:val="008A5115"/>
    <w:rsid w:val="008B114C"/>
    <w:rsid w:val="008B4A6A"/>
    <w:rsid w:val="008B4EE6"/>
    <w:rsid w:val="008B54B4"/>
    <w:rsid w:val="008B5D33"/>
    <w:rsid w:val="008C4156"/>
    <w:rsid w:val="008C7E27"/>
    <w:rsid w:val="008D1CE4"/>
    <w:rsid w:val="008D7490"/>
    <w:rsid w:val="008D7C93"/>
    <w:rsid w:val="008E5618"/>
    <w:rsid w:val="008F30D5"/>
    <w:rsid w:val="008F7372"/>
    <w:rsid w:val="00907DC7"/>
    <w:rsid w:val="009140B3"/>
    <w:rsid w:val="00914782"/>
    <w:rsid w:val="00915304"/>
    <w:rsid w:val="009173EF"/>
    <w:rsid w:val="00923530"/>
    <w:rsid w:val="00927C3F"/>
    <w:rsid w:val="00932906"/>
    <w:rsid w:val="009412D7"/>
    <w:rsid w:val="009417AB"/>
    <w:rsid w:val="0094320A"/>
    <w:rsid w:val="00954CB4"/>
    <w:rsid w:val="00960718"/>
    <w:rsid w:val="00961B0B"/>
    <w:rsid w:val="0096644E"/>
    <w:rsid w:val="009719A8"/>
    <w:rsid w:val="00975671"/>
    <w:rsid w:val="00980E86"/>
    <w:rsid w:val="009820C8"/>
    <w:rsid w:val="00982835"/>
    <w:rsid w:val="00990CC2"/>
    <w:rsid w:val="009B0A65"/>
    <w:rsid w:val="009B1B1E"/>
    <w:rsid w:val="009B38C3"/>
    <w:rsid w:val="009C5D8F"/>
    <w:rsid w:val="009C77BB"/>
    <w:rsid w:val="009D3F48"/>
    <w:rsid w:val="009E17BD"/>
    <w:rsid w:val="009E3D9C"/>
    <w:rsid w:val="00A01CBA"/>
    <w:rsid w:val="00A0424A"/>
    <w:rsid w:val="00A04AAB"/>
    <w:rsid w:val="00A04CEC"/>
    <w:rsid w:val="00A06F99"/>
    <w:rsid w:val="00A22CBE"/>
    <w:rsid w:val="00A2398C"/>
    <w:rsid w:val="00A27F92"/>
    <w:rsid w:val="00A32257"/>
    <w:rsid w:val="00A36D20"/>
    <w:rsid w:val="00A41DFA"/>
    <w:rsid w:val="00A4620F"/>
    <w:rsid w:val="00A504FE"/>
    <w:rsid w:val="00A55622"/>
    <w:rsid w:val="00A563A9"/>
    <w:rsid w:val="00A65E12"/>
    <w:rsid w:val="00A67166"/>
    <w:rsid w:val="00A736C3"/>
    <w:rsid w:val="00A80535"/>
    <w:rsid w:val="00A83502"/>
    <w:rsid w:val="00A916BA"/>
    <w:rsid w:val="00AB36AD"/>
    <w:rsid w:val="00AC6AE1"/>
    <w:rsid w:val="00AE23DF"/>
    <w:rsid w:val="00AE3D31"/>
    <w:rsid w:val="00AE57FF"/>
    <w:rsid w:val="00AF5ECC"/>
    <w:rsid w:val="00AF6E12"/>
    <w:rsid w:val="00AF6E49"/>
    <w:rsid w:val="00AF7D4A"/>
    <w:rsid w:val="00B02EC7"/>
    <w:rsid w:val="00B04A67"/>
    <w:rsid w:val="00B0583C"/>
    <w:rsid w:val="00B1158F"/>
    <w:rsid w:val="00B13FA7"/>
    <w:rsid w:val="00B30928"/>
    <w:rsid w:val="00B34520"/>
    <w:rsid w:val="00B4038C"/>
    <w:rsid w:val="00B40A81"/>
    <w:rsid w:val="00B44910"/>
    <w:rsid w:val="00B51B0F"/>
    <w:rsid w:val="00B558BA"/>
    <w:rsid w:val="00B55A4C"/>
    <w:rsid w:val="00B60D15"/>
    <w:rsid w:val="00B616B5"/>
    <w:rsid w:val="00B63795"/>
    <w:rsid w:val="00B64B30"/>
    <w:rsid w:val="00B64E39"/>
    <w:rsid w:val="00B71612"/>
    <w:rsid w:val="00B72267"/>
    <w:rsid w:val="00B758B0"/>
    <w:rsid w:val="00B76EB6"/>
    <w:rsid w:val="00B77FE4"/>
    <w:rsid w:val="00B81077"/>
    <w:rsid w:val="00B824C8"/>
    <w:rsid w:val="00B83C6A"/>
    <w:rsid w:val="00BA2003"/>
    <w:rsid w:val="00BB0C54"/>
    <w:rsid w:val="00BB18A7"/>
    <w:rsid w:val="00BB1BA5"/>
    <w:rsid w:val="00BC251A"/>
    <w:rsid w:val="00BC4187"/>
    <w:rsid w:val="00BD032B"/>
    <w:rsid w:val="00BD33B5"/>
    <w:rsid w:val="00BD4BC1"/>
    <w:rsid w:val="00BE2640"/>
    <w:rsid w:val="00BF4F4F"/>
    <w:rsid w:val="00BF67F7"/>
    <w:rsid w:val="00C01189"/>
    <w:rsid w:val="00C13269"/>
    <w:rsid w:val="00C142DE"/>
    <w:rsid w:val="00C14CF3"/>
    <w:rsid w:val="00C1602D"/>
    <w:rsid w:val="00C177FC"/>
    <w:rsid w:val="00C215C3"/>
    <w:rsid w:val="00C30F6A"/>
    <w:rsid w:val="00C374DE"/>
    <w:rsid w:val="00C47AD4"/>
    <w:rsid w:val="00C52D81"/>
    <w:rsid w:val="00C55198"/>
    <w:rsid w:val="00C60551"/>
    <w:rsid w:val="00C64176"/>
    <w:rsid w:val="00C66724"/>
    <w:rsid w:val="00C6745C"/>
    <w:rsid w:val="00C71121"/>
    <w:rsid w:val="00C712C9"/>
    <w:rsid w:val="00C85256"/>
    <w:rsid w:val="00C86925"/>
    <w:rsid w:val="00C86ED3"/>
    <w:rsid w:val="00C935E3"/>
    <w:rsid w:val="00C979AC"/>
    <w:rsid w:val="00C979ED"/>
    <w:rsid w:val="00CA6393"/>
    <w:rsid w:val="00CB18FF"/>
    <w:rsid w:val="00CC183C"/>
    <w:rsid w:val="00CC7461"/>
    <w:rsid w:val="00CD0C08"/>
    <w:rsid w:val="00CD7954"/>
    <w:rsid w:val="00CE0163"/>
    <w:rsid w:val="00CE03FB"/>
    <w:rsid w:val="00CE433C"/>
    <w:rsid w:val="00CF0098"/>
    <w:rsid w:val="00CF33F3"/>
    <w:rsid w:val="00CF5635"/>
    <w:rsid w:val="00D02E99"/>
    <w:rsid w:val="00D06183"/>
    <w:rsid w:val="00D21561"/>
    <w:rsid w:val="00D22C42"/>
    <w:rsid w:val="00D34ABC"/>
    <w:rsid w:val="00D45045"/>
    <w:rsid w:val="00D4607F"/>
    <w:rsid w:val="00D51868"/>
    <w:rsid w:val="00D576D5"/>
    <w:rsid w:val="00D57B30"/>
    <w:rsid w:val="00D60522"/>
    <w:rsid w:val="00D65041"/>
    <w:rsid w:val="00D67244"/>
    <w:rsid w:val="00D72E4D"/>
    <w:rsid w:val="00D73823"/>
    <w:rsid w:val="00D765A7"/>
    <w:rsid w:val="00D77871"/>
    <w:rsid w:val="00D83446"/>
    <w:rsid w:val="00D90976"/>
    <w:rsid w:val="00D95BB9"/>
    <w:rsid w:val="00DA3561"/>
    <w:rsid w:val="00DB492C"/>
    <w:rsid w:val="00DB5F27"/>
    <w:rsid w:val="00DC0EB1"/>
    <w:rsid w:val="00DD26B1"/>
    <w:rsid w:val="00DD52F2"/>
    <w:rsid w:val="00DD77FB"/>
    <w:rsid w:val="00DF280A"/>
    <w:rsid w:val="00E007D2"/>
    <w:rsid w:val="00E10E80"/>
    <w:rsid w:val="00E124F0"/>
    <w:rsid w:val="00E2672F"/>
    <w:rsid w:val="00E3248F"/>
    <w:rsid w:val="00E37C1F"/>
    <w:rsid w:val="00E47FD8"/>
    <w:rsid w:val="00E60F04"/>
    <w:rsid w:val="00E64342"/>
    <w:rsid w:val="00E67A3A"/>
    <w:rsid w:val="00E71C45"/>
    <w:rsid w:val="00E7516C"/>
    <w:rsid w:val="00E775B3"/>
    <w:rsid w:val="00E807C1"/>
    <w:rsid w:val="00E90CB3"/>
    <w:rsid w:val="00E91ABA"/>
    <w:rsid w:val="00EA79CF"/>
    <w:rsid w:val="00EB0D6F"/>
    <w:rsid w:val="00EB2232"/>
    <w:rsid w:val="00EC5337"/>
    <w:rsid w:val="00EC5797"/>
    <w:rsid w:val="00EE05E0"/>
    <w:rsid w:val="00EF5E56"/>
    <w:rsid w:val="00F07537"/>
    <w:rsid w:val="00F2150A"/>
    <w:rsid w:val="00F231D8"/>
    <w:rsid w:val="00F253F1"/>
    <w:rsid w:val="00F379D4"/>
    <w:rsid w:val="00F46C5F"/>
    <w:rsid w:val="00F63AF4"/>
    <w:rsid w:val="00F64F98"/>
    <w:rsid w:val="00F717F7"/>
    <w:rsid w:val="00F72942"/>
    <w:rsid w:val="00F75174"/>
    <w:rsid w:val="00F82879"/>
    <w:rsid w:val="00F855DE"/>
    <w:rsid w:val="00F8750A"/>
    <w:rsid w:val="00F94A63"/>
    <w:rsid w:val="00F94B35"/>
    <w:rsid w:val="00FA15C0"/>
    <w:rsid w:val="00FA1791"/>
    <w:rsid w:val="00FB21C9"/>
    <w:rsid w:val="00FB40DF"/>
    <w:rsid w:val="00FB7596"/>
    <w:rsid w:val="00FC01A4"/>
    <w:rsid w:val="00FC2232"/>
    <w:rsid w:val="00FC6F09"/>
    <w:rsid w:val="00FD396D"/>
    <w:rsid w:val="00FD51DC"/>
    <w:rsid w:val="00FD5F2B"/>
    <w:rsid w:val="00FE15EA"/>
    <w:rsid w:val="00FE4077"/>
    <w:rsid w:val="00FE776D"/>
    <w:rsid w:val="00FE77D2"/>
    <w:rsid w:val="00FF36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45EC64"/>
  <w15:docId w15:val="{4BBA4352-173A-4004-BBAF-B142FBEF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rsid w:val="00813E5E"/>
    <w:pPr>
      <w:outlineLvl w:val="4"/>
    </w:pPr>
  </w:style>
  <w:style w:type="paragraph" w:styleId="Heading6">
    <w:name w:val="heading 6"/>
    <w:basedOn w:val="Heading4"/>
    <w:next w:val="Normal"/>
    <w:rsid w:val="00813E5E"/>
    <w:pPr>
      <w:outlineLvl w:val="5"/>
    </w:pPr>
  </w:style>
  <w:style w:type="paragraph" w:styleId="Heading7">
    <w:name w:val="heading 7"/>
    <w:basedOn w:val="Heading4"/>
    <w:next w:val="Normal"/>
    <w:rsid w:val="00813E5E"/>
    <w:pPr>
      <w:ind w:left="1701" w:hanging="1701"/>
      <w:outlineLvl w:val="6"/>
    </w:pPr>
  </w:style>
  <w:style w:type="paragraph" w:styleId="Heading8">
    <w:name w:val="heading 8"/>
    <w:basedOn w:val="Heading4"/>
    <w:next w:val="Normal"/>
    <w:rsid w:val="00813E5E"/>
    <w:pPr>
      <w:ind w:left="1701" w:hanging="1701"/>
      <w:outlineLvl w:val="7"/>
    </w:pPr>
  </w:style>
  <w:style w:type="paragraph" w:styleId="Heading9">
    <w:name w:val="heading 9"/>
    <w:basedOn w:val="Heading4"/>
    <w:next w:val="Normal"/>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docnoted">
    <w:name w:val="docnoted"/>
    <w:basedOn w:val="Normal"/>
    <w:next w:val="Head"/>
    <w:rsid w:val="004D185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character" w:styleId="EndnoteReference">
    <w:name w:val="endnote reference"/>
    <w:basedOn w:val="DefaultParagraphFont"/>
    <w:rsid w:val="004D1851"/>
    <w:rPr>
      <w:vertAlign w:val="superscript"/>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firstfooter0">
    <w:name w:val="firstfooter"/>
    <w:basedOn w:val="Normal"/>
    <w:rsid w:val="00813E5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6535F1"/>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styleId="CommentReference">
    <w:name w:val="annotation reference"/>
    <w:basedOn w:val="DefaultParagraphFont"/>
    <w:uiPriority w:val="99"/>
    <w:semiHidden/>
    <w:unhideWhenUsed/>
    <w:rsid w:val="008A260C"/>
    <w:rPr>
      <w:sz w:val="16"/>
      <w:szCs w:val="16"/>
    </w:rPr>
  </w:style>
  <w:style w:type="paragraph" w:styleId="CommentText">
    <w:name w:val="annotation text"/>
    <w:basedOn w:val="Normal"/>
    <w:link w:val="CommentTextChar"/>
    <w:uiPriority w:val="99"/>
    <w:semiHidden/>
    <w:unhideWhenUsed/>
    <w:rsid w:val="008A260C"/>
    <w:pPr>
      <w:tabs>
        <w:tab w:val="clear" w:pos="567"/>
        <w:tab w:val="clear" w:pos="1134"/>
        <w:tab w:val="clear" w:pos="1701"/>
        <w:tab w:val="clear" w:pos="2268"/>
        <w:tab w:val="clear" w:pos="2835"/>
      </w:tabs>
      <w:overflowPunct/>
      <w:autoSpaceDE/>
      <w:autoSpaceDN/>
      <w:adjustRightInd/>
      <w:spacing w:before="0" w:after="200"/>
      <w:textAlignment w:val="auto"/>
    </w:pPr>
    <w:rPr>
      <w:rFonts w:ascii="Arial" w:eastAsiaTheme="minorHAnsi" w:hAnsi="Arial" w:cs="Arial"/>
      <w:sz w:val="20"/>
    </w:rPr>
  </w:style>
  <w:style w:type="character" w:customStyle="1" w:styleId="CommentTextChar">
    <w:name w:val="Comment Text Char"/>
    <w:basedOn w:val="DefaultParagraphFont"/>
    <w:link w:val="CommentText"/>
    <w:uiPriority w:val="99"/>
    <w:semiHidden/>
    <w:rsid w:val="008A260C"/>
    <w:rPr>
      <w:rFonts w:ascii="Arial" w:eastAsiaTheme="minorHAnsi" w:hAnsi="Arial" w:cs="Arial"/>
      <w:lang w:val="en-GB" w:eastAsia="en-US"/>
    </w:rPr>
  </w:style>
  <w:style w:type="paragraph" w:styleId="ListParagraph">
    <w:name w:val="List Paragraph"/>
    <w:basedOn w:val="Normal"/>
    <w:link w:val="ListParagraphChar"/>
    <w:uiPriority w:val="34"/>
    <w:qFormat/>
    <w:rsid w:val="00A80535"/>
    <w:pPr>
      <w:ind w:left="720"/>
      <w:contextualSpacing/>
    </w:pPr>
  </w:style>
  <w:style w:type="paragraph" w:styleId="CommentSubject">
    <w:name w:val="annotation subject"/>
    <w:basedOn w:val="CommentText"/>
    <w:next w:val="CommentText"/>
    <w:link w:val="CommentSubjectChar"/>
    <w:semiHidden/>
    <w:unhideWhenUsed/>
    <w:rsid w:val="00F75174"/>
    <w:pPr>
      <w:tabs>
        <w:tab w:val="left" w:pos="567"/>
        <w:tab w:val="left" w:pos="1134"/>
        <w:tab w:val="left" w:pos="1701"/>
        <w:tab w:val="left" w:pos="2268"/>
        <w:tab w:val="left" w:pos="2835"/>
      </w:tabs>
      <w:overflowPunct w:val="0"/>
      <w:autoSpaceDE w:val="0"/>
      <w:autoSpaceDN w:val="0"/>
      <w:adjustRightInd w:val="0"/>
      <w:spacing w:before="120" w:after="0"/>
      <w:textAlignment w:val="baseline"/>
    </w:pPr>
    <w:rPr>
      <w:rFonts w:ascii="Calibri" w:eastAsia="Times New Roman" w:hAnsi="Calibri" w:cs="Times New Roman"/>
      <w:b/>
      <w:bCs/>
    </w:rPr>
  </w:style>
  <w:style w:type="character" w:customStyle="1" w:styleId="CommentSubjectChar">
    <w:name w:val="Comment Subject Char"/>
    <w:basedOn w:val="CommentTextChar"/>
    <w:link w:val="CommentSubject"/>
    <w:semiHidden/>
    <w:rsid w:val="00F75174"/>
    <w:rPr>
      <w:rFonts w:ascii="Calibri" w:eastAsiaTheme="minorHAnsi" w:hAnsi="Calibri" w:cs="Arial"/>
      <w:b/>
      <w:bCs/>
      <w:lang w:val="en-GB" w:eastAsia="en-US"/>
    </w:rPr>
  </w:style>
  <w:style w:type="paragraph" w:styleId="BalloonText">
    <w:name w:val="Balloon Text"/>
    <w:basedOn w:val="Normal"/>
    <w:link w:val="BalloonTextChar"/>
    <w:semiHidden/>
    <w:unhideWhenUsed/>
    <w:rsid w:val="00F7517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75174"/>
    <w:rPr>
      <w:rFonts w:ascii="Segoe UI" w:hAnsi="Segoe UI" w:cs="Segoe UI"/>
      <w:sz w:val="18"/>
      <w:szCs w:val="18"/>
      <w:lang w:val="en-GB" w:eastAsia="en-US"/>
    </w:rPr>
  </w:style>
  <w:style w:type="paragraph" w:customStyle="1" w:styleId="NumberedParagraph">
    <w:name w:val="Numbered Paragraph"/>
    <w:basedOn w:val="Normal"/>
    <w:link w:val="NumberedParagraphChar"/>
    <w:rsid w:val="00676531"/>
    <w:pPr>
      <w:tabs>
        <w:tab w:val="clear" w:pos="567"/>
        <w:tab w:val="clear" w:pos="1134"/>
        <w:tab w:val="clear" w:pos="1701"/>
        <w:tab w:val="clear" w:pos="2268"/>
        <w:tab w:val="clear" w:pos="2835"/>
      </w:tabs>
      <w:spacing w:after="120"/>
      <w:ind w:firstLine="567"/>
      <w:jc w:val="both"/>
    </w:pPr>
    <w:rPr>
      <w:rFonts w:asciiTheme="minorHAnsi" w:hAnsiTheme="minorHAnsi"/>
      <w:szCs w:val="22"/>
    </w:rPr>
  </w:style>
  <w:style w:type="paragraph" w:customStyle="1" w:styleId="Normalnumbered">
    <w:name w:val="Normal (numbered)"/>
    <w:basedOn w:val="ListParagraph"/>
    <w:link w:val="NormalnumberedChar"/>
    <w:qFormat/>
    <w:rsid w:val="00F64F98"/>
    <w:pPr>
      <w:numPr>
        <w:ilvl w:val="1"/>
        <w:numId w:val="17"/>
      </w:numPr>
      <w:tabs>
        <w:tab w:val="clear" w:pos="567"/>
        <w:tab w:val="clear" w:pos="1134"/>
        <w:tab w:val="clear" w:pos="1701"/>
        <w:tab w:val="clear" w:pos="2268"/>
        <w:tab w:val="clear" w:pos="2835"/>
      </w:tabs>
      <w:spacing w:before="180" w:after="120"/>
      <w:ind w:left="0" w:firstLine="0"/>
      <w:contextualSpacing w:val="0"/>
      <w:jc w:val="both"/>
    </w:pPr>
    <w:rPr>
      <w:rFonts w:asciiTheme="minorHAnsi" w:hAnsiTheme="minorHAnsi"/>
      <w:szCs w:val="24"/>
    </w:rPr>
  </w:style>
  <w:style w:type="character" w:customStyle="1" w:styleId="NumberedParagraphChar">
    <w:name w:val="Numbered Paragraph Char"/>
    <w:basedOn w:val="DefaultParagraphFont"/>
    <w:link w:val="NumberedParagraph"/>
    <w:rsid w:val="00676531"/>
    <w:rPr>
      <w:rFonts w:asciiTheme="minorHAnsi" w:hAnsiTheme="minorHAnsi"/>
      <w:sz w:val="24"/>
      <w:szCs w:val="22"/>
      <w:lang w:val="en-GB" w:eastAsia="en-US"/>
    </w:rPr>
  </w:style>
  <w:style w:type="paragraph" w:customStyle="1" w:styleId="NumberedHeading">
    <w:name w:val="Numbered Heading"/>
    <w:basedOn w:val="Normalnumbered"/>
    <w:link w:val="NumberedHeadingChar"/>
    <w:qFormat/>
    <w:rsid w:val="003472CE"/>
    <w:pPr>
      <w:keepNext/>
      <w:numPr>
        <w:ilvl w:val="0"/>
      </w:numPr>
      <w:spacing w:before="480" w:after="0"/>
      <w:ind w:left="357" w:hanging="357"/>
    </w:pPr>
    <w:rPr>
      <w:b/>
    </w:rPr>
  </w:style>
  <w:style w:type="character" w:customStyle="1" w:styleId="ListParagraphChar">
    <w:name w:val="List Paragraph Char"/>
    <w:basedOn w:val="DefaultParagraphFont"/>
    <w:link w:val="ListParagraph"/>
    <w:uiPriority w:val="34"/>
    <w:rsid w:val="00717DE6"/>
    <w:rPr>
      <w:rFonts w:ascii="Calibri" w:hAnsi="Calibri"/>
      <w:sz w:val="24"/>
      <w:lang w:val="en-GB" w:eastAsia="en-US"/>
    </w:rPr>
  </w:style>
  <w:style w:type="character" w:customStyle="1" w:styleId="NormalnumberedChar">
    <w:name w:val="Normal (numbered) Char"/>
    <w:basedOn w:val="ListParagraphChar"/>
    <w:link w:val="Normalnumbered"/>
    <w:rsid w:val="00F64F98"/>
    <w:rPr>
      <w:rFonts w:asciiTheme="minorHAnsi" w:hAnsiTheme="minorHAnsi"/>
      <w:sz w:val="24"/>
      <w:szCs w:val="24"/>
      <w:lang w:val="en-GB" w:eastAsia="en-US"/>
    </w:rPr>
  </w:style>
  <w:style w:type="character" w:customStyle="1" w:styleId="NumberedHeadingChar">
    <w:name w:val="Numbered Heading Char"/>
    <w:basedOn w:val="NormalnumberedChar"/>
    <w:link w:val="NumberedHeading"/>
    <w:rsid w:val="003472CE"/>
    <w:rPr>
      <w:rFonts w:asciiTheme="minorHAnsi" w:hAnsiTheme="minorHAnsi"/>
      <w:b/>
      <w:sz w:val="24"/>
      <w:szCs w:val="24"/>
      <w:lang w:val="en-GB" w:eastAsia="en-US"/>
    </w:rPr>
  </w:style>
  <w:style w:type="table" w:styleId="TableGrid">
    <w:name w:val="Table Grid"/>
    <w:basedOn w:val="TableNormal"/>
    <w:rsid w:val="00CC1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EE05E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EE05E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F855DE"/>
    <w:rPr>
      <w:rFonts w:ascii="Calibri" w:hAnsi="Calibri"/>
      <w:sz w:val="24"/>
      <w:lang w:val="en-GB" w:eastAsia="en-US"/>
    </w:rPr>
  </w:style>
  <w:style w:type="character" w:customStyle="1" w:styleId="HeaderChar">
    <w:name w:val="Header Char"/>
    <w:link w:val="Header"/>
    <w:rsid w:val="00D576D5"/>
    <w:rPr>
      <w:rFonts w:ascii="Calibri" w:hAnsi="Calibri"/>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5728">
      <w:bodyDiv w:val="1"/>
      <w:marLeft w:val="0"/>
      <w:marRight w:val="0"/>
      <w:marTop w:val="0"/>
      <w:marBottom w:val="0"/>
      <w:divBdr>
        <w:top w:val="none" w:sz="0" w:space="0" w:color="auto"/>
        <w:left w:val="none" w:sz="0" w:space="0" w:color="auto"/>
        <w:bottom w:val="none" w:sz="0" w:space="0" w:color="auto"/>
        <w:right w:val="none" w:sz="0" w:space="0" w:color="auto"/>
      </w:divBdr>
    </w:div>
    <w:div w:id="174154064">
      <w:bodyDiv w:val="1"/>
      <w:marLeft w:val="0"/>
      <w:marRight w:val="0"/>
      <w:marTop w:val="0"/>
      <w:marBottom w:val="0"/>
      <w:divBdr>
        <w:top w:val="none" w:sz="0" w:space="0" w:color="auto"/>
        <w:left w:val="none" w:sz="0" w:space="0" w:color="auto"/>
        <w:bottom w:val="none" w:sz="0" w:space="0" w:color="auto"/>
        <w:right w:val="none" w:sz="0" w:space="0" w:color="auto"/>
      </w:divBdr>
    </w:div>
    <w:div w:id="189924129">
      <w:bodyDiv w:val="1"/>
      <w:marLeft w:val="0"/>
      <w:marRight w:val="0"/>
      <w:marTop w:val="0"/>
      <w:marBottom w:val="0"/>
      <w:divBdr>
        <w:top w:val="none" w:sz="0" w:space="0" w:color="auto"/>
        <w:left w:val="none" w:sz="0" w:space="0" w:color="auto"/>
        <w:bottom w:val="none" w:sz="0" w:space="0" w:color="auto"/>
        <w:right w:val="none" w:sz="0" w:space="0" w:color="auto"/>
      </w:divBdr>
    </w:div>
    <w:div w:id="254021810">
      <w:bodyDiv w:val="1"/>
      <w:marLeft w:val="0"/>
      <w:marRight w:val="0"/>
      <w:marTop w:val="0"/>
      <w:marBottom w:val="0"/>
      <w:divBdr>
        <w:top w:val="none" w:sz="0" w:space="0" w:color="auto"/>
        <w:left w:val="none" w:sz="0" w:space="0" w:color="auto"/>
        <w:bottom w:val="none" w:sz="0" w:space="0" w:color="auto"/>
        <w:right w:val="none" w:sz="0" w:space="0" w:color="auto"/>
      </w:divBdr>
    </w:div>
    <w:div w:id="357706503">
      <w:bodyDiv w:val="1"/>
      <w:marLeft w:val="0"/>
      <w:marRight w:val="0"/>
      <w:marTop w:val="0"/>
      <w:marBottom w:val="0"/>
      <w:divBdr>
        <w:top w:val="none" w:sz="0" w:space="0" w:color="auto"/>
        <w:left w:val="none" w:sz="0" w:space="0" w:color="auto"/>
        <w:bottom w:val="none" w:sz="0" w:space="0" w:color="auto"/>
        <w:right w:val="none" w:sz="0" w:space="0" w:color="auto"/>
      </w:divBdr>
    </w:div>
    <w:div w:id="614824265">
      <w:bodyDiv w:val="1"/>
      <w:marLeft w:val="0"/>
      <w:marRight w:val="0"/>
      <w:marTop w:val="0"/>
      <w:marBottom w:val="0"/>
      <w:divBdr>
        <w:top w:val="none" w:sz="0" w:space="0" w:color="auto"/>
        <w:left w:val="none" w:sz="0" w:space="0" w:color="auto"/>
        <w:bottom w:val="none" w:sz="0" w:space="0" w:color="auto"/>
        <w:right w:val="none" w:sz="0" w:space="0" w:color="auto"/>
      </w:divBdr>
    </w:div>
    <w:div w:id="624236938">
      <w:bodyDiv w:val="1"/>
      <w:marLeft w:val="0"/>
      <w:marRight w:val="0"/>
      <w:marTop w:val="0"/>
      <w:marBottom w:val="0"/>
      <w:divBdr>
        <w:top w:val="none" w:sz="0" w:space="0" w:color="auto"/>
        <w:left w:val="none" w:sz="0" w:space="0" w:color="auto"/>
        <w:bottom w:val="none" w:sz="0" w:space="0" w:color="auto"/>
        <w:right w:val="none" w:sz="0" w:space="0" w:color="auto"/>
      </w:divBdr>
    </w:div>
    <w:div w:id="1006829800">
      <w:bodyDiv w:val="1"/>
      <w:marLeft w:val="0"/>
      <w:marRight w:val="0"/>
      <w:marTop w:val="0"/>
      <w:marBottom w:val="0"/>
      <w:divBdr>
        <w:top w:val="none" w:sz="0" w:space="0" w:color="auto"/>
        <w:left w:val="none" w:sz="0" w:space="0" w:color="auto"/>
        <w:bottom w:val="none" w:sz="0" w:space="0" w:color="auto"/>
        <w:right w:val="none" w:sz="0" w:space="0" w:color="auto"/>
      </w:divBdr>
    </w:div>
    <w:div w:id="1103234052">
      <w:bodyDiv w:val="1"/>
      <w:marLeft w:val="0"/>
      <w:marRight w:val="0"/>
      <w:marTop w:val="0"/>
      <w:marBottom w:val="0"/>
      <w:divBdr>
        <w:top w:val="none" w:sz="0" w:space="0" w:color="auto"/>
        <w:left w:val="none" w:sz="0" w:space="0" w:color="auto"/>
        <w:bottom w:val="none" w:sz="0" w:space="0" w:color="auto"/>
        <w:right w:val="none" w:sz="0" w:space="0" w:color="auto"/>
      </w:divBdr>
    </w:div>
    <w:div w:id="1249266486">
      <w:bodyDiv w:val="1"/>
      <w:marLeft w:val="0"/>
      <w:marRight w:val="0"/>
      <w:marTop w:val="0"/>
      <w:marBottom w:val="0"/>
      <w:divBdr>
        <w:top w:val="none" w:sz="0" w:space="0" w:color="auto"/>
        <w:left w:val="none" w:sz="0" w:space="0" w:color="auto"/>
        <w:bottom w:val="none" w:sz="0" w:space="0" w:color="auto"/>
        <w:right w:val="none" w:sz="0" w:space="0" w:color="auto"/>
      </w:divBdr>
    </w:div>
    <w:div w:id="1252088292">
      <w:bodyDiv w:val="1"/>
      <w:marLeft w:val="0"/>
      <w:marRight w:val="0"/>
      <w:marTop w:val="0"/>
      <w:marBottom w:val="0"/>
      <w:divBdr>
        <w:top w:val="none" w:sz="0" w:space="0" w:color="auto"/>
        <w:left w:val="none" w:sz="0" w:space="0" w:color="auto"/>
        <w:bottom w:val="none" w:sz="0" w:space="0" w:color="auto"/>
        <w:right w:val="none" w:sz="0" w:space="0" w:color="auto"/>
      </w:divBdr>
    </w:div>
    <w:div w:id="1338191894">
      <w:bodyDiv w:val="1"/>
      <w:marLeft w:val="0"/>
      <w:marRight w:val="0"/>
      <w:marTop w:val="0"/>
      <w:marBottom w:val="0"/>
      <w:divBdr>
        <w:top w:val="none" w:sz="0" w:space="0" w:color="auto"/>
        <w:left w:val="none" w:sz="0" w:space="0" w:color="auto"/>
        <w:bottom w:val="none" w:sz="0" w:space="0" w:color="auto"/>
        <w:right w:val="none" w:sz="0" w:space="0" w:color="auto"/>
      </w:divBdr>
    </w:div>
    <w:div w:id="1599753693">
      <w:bodyDiv w:val="1"/>
      <w:marLeft w:val="0"/>
      <w:marRight w:val="0"/>
      <w:marTop w:val="0"/>
      <w:marBottom w:val="0"/>
      <w:divBdr>
        <w:top w:val="none" w:sz="0" w:space="0" w:color="auto"/>
        <w:left w:val="none" w:sz="0" w:space="0" w:color="auto"/>
        <w:bottom w:val="none" w:sz="0" w:space="0" w:color="auto"/>
        <w:right w:val="none" w:sz="0" w:space="0" w:color="auto"/>
      </w:divBdr>
    </w:div>
    <w:div w:id="1697658070">
      <w:bodyDiv w:val="1"/>
      <w:marLeft w:val="0"/>
      <w:marRight w:val="0"/>
      <w:marTop w:val="0"/>
      <w:marBottom w:val="0"/>
      <w:divBdr>
        <w:top w:val="none" w:sz="0" w:space="0" w:color="auto"/>
        <w:left w:val="none" w:sz="0" w:space="0" w:color="auto"/>
        <w:bottom w:val="none" w:sz="0" w:space="0" w:color="auto"/>
        <w:right w:val="none" w:sz="0" w:space="0" w:color="auto"/>
      </w:divBdr>
    </w:div>
    <w:div w:id="1891964030">
      <w:bodyDiv w:val="1"/>
      <w:marLeft w:val="0"/>
      <w:marRight w:val="0"/>
      <w:marTop w:val="0"/>
      <w:marBottom w:val="0"/>
      <w:divBdr>
        <w:top w:val="none" w:sz="0" w:space="0" w:color="auto"/>
        <w:left w:val="none" w:sz="0" w:space="0" w:color="auto"/>
        <w:bottom w:val="none" w:sz="0" w:space="0" w:color="auto"/>
        <w:right w:val="none" w:sz="0" w:space="0" w:color="auto"/>
      </w:divBdr>
    </w:div>
    <w:div w:id="2026710056">
      <w:bodyDiv w:val="1"/>
      <w:marLeft w:val="0"/>
      <w:marRight w:val="0"/>
      <w:marTop w:val="0"/>
      <w:marBottom w:val="0"/>
      <w:divBdr>
        <w:top w:val="none" w:sz="0" w:space="0" w:color="auto"/>
        <w:left w:val="none" w:sz="0" w:space="0" w:color="auto"/>
        <w:bottom w:val="none" w:sz="0" w:space="0" w:color="auto"/>
        <w:right w:val="none" w:sz="0" w:space="0" w:color="auto"/>
      </w:divBdr>
    </w:div>
    <w:div w:id="2139226235">
      <w:bodyDiv w:val="1"/>
      <w:marLeft w:val="0"/>
      <w:marRight w:val="0"/>
      <w:marTop w:val="0"/>
      <w:marBottom w:val="0"/>
      <w:divBdr>
        <w:top w:val="none" w:sz="0" w:space="0" w:color="auto"/>
        <w:left w:val="none" w:sz="0" w:space="0" w:color="auto"/>
        <w:bottom w:val="none" w:sz="0" w:space="0" w:color="auto"/>
        <w:right w:val="none" w:sz="0" w:space="0" w:color="auto"/>
      </w:divBdr>
    </w:div>
    <w:div w:id="214206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tu.int/md/S16-CL-C-0040/en" TargetMode="External"/><Relationship Id="rId4" Type="http://schemas.openxmlformats.org/officeDocument/2006/relationships/settings" Target="settings.xml"/><Relationship Id="rId9" Type="http://schemas.openxmlformats.org/officeDocument/2006/relationships/hyperlink" Target="http://www.itu.int/md/S16-CL-C-0022/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351EA-89C7-45C0-BA22-D32BC453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PE_C16.dotm</Template>
  <TotalTime>14</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Addendum 1 to the fifth annual report of the IMAC</vt:lpstr>
    </vt:vector>
  </TitlesOfParts>
  <Manager>General Secretariat - Pool</Manager>
  <Company>International Telecommunication Union (ITU)</Company>
  <LinksUpToDate>false</LinksUpToDate>
  <CharactersWithSpaces>5318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1 to the fifth annual report of the IMAC</dc:title>
  <dc:subject>Council 2016</dc:subject>
  <dc:creator/>
  <cp:keywords>C2016, C16</cp:keywords>
  <dc:description/>
  <cp:lastModifiedBy>Janin, Patricia</cp:lastModifiedBy>
  <cp:revision>4</cp:revision>
  <cp:lastPrinted>2016-05-23T23:10:00Z</cp:lastPrinted>
  <dcterms:created xsi:type="dcterms:W3CDTF">2016-05-26T10:38:00Z</dcterms:created>
  <dcterms:modified xsi:type="dcterms:W3CDTF">2016-05-28T16:15:00Z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