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226E40">
        <w:trPr>
          <w:cantSplit/>
        </w:trPr>
        <w:tc>
          <w:tcPr>
            <w:tcW w:w="6911" w:type="dxa"/>
          </w:tcPr>
          <w:p w:rsidR="00BC7BC0" w:rsidRPr="00226E40" w:rsidRDefault="000569B4" w:rsidP="00CD2009">
            <w:pPr>
              <w:spacing w:before="360" w:after="48"/>
              <w:rPr>
                <w:position w:val="6"/>
                <w:szCs w:val="22"/>
                <w:lang w:val="ru-RU"/>
              </w:rPr>
            </w:pPr>
            <w:r w:rsidRPr="00226E40">
              <w:rPr>
                <w:b/>
                <w:smallCaps/>
                <w:sz w:val="28"/>
                <w:szCs w:val="28"/>
                <w:lang w:val="ru-RU"/>
              </w:rPr>
              <w:t>СОВЕТ 20</w:t>
            </w:r>
            <w:r w:rsidR="003F099E" w:rsidRPr="00226E40">
              <w:rPr>
                <w:b/>
                <w:smallCaps/>
                <w:sz w:val="28"/>
                <w:szCs w:val="28"/>
                <w:lang w:val="ru-RU"/>
              </w:rPr>
              <w:t>1</w:t>
            </w:r>
            <w:r w:rsidR="00CD2009" w:rsidRPr="00226E40">
              <w:rPr>
                <w:b/>
                <w:smallCaps/>
                <w:sz w:val="28"/>
                <w:szCs w:val="28"/>
                <w:lang w:val="ru-RU"/>
              </w:rPr>
              <w:t>6</w:t>
            </w:r>
            <w:r w:rsidRPr="00226E40">
              <w:rPr>
                <w:b/>
                <w:smallCaps/>
                <w:sz w:val="24"/>
                <w:szCs w:val="24"/>
                <w:lang w:val="ru-RU"/>
              </w:rPr>
              <w:br/>
            </w:r>
            <w:r w:rsidR="00225368" w:rsidRPr="00226E40">
              <w:rPr>
                <w:rFonts w:cs="Arial"/>
                <w:b/>
                <w:bCs/>
                <w:szCs w:val="22"/>
                <w:lang w:val="ru-RU"/>
              </w:rPr>
              <w:t>Женева</w:t>
            </w:r>
            <w:r w:rsidR="00225368" w:rsidRPr="00226E40">
              <w:rPr>
                <w:b/>
                <w:bCs/>
                <w:szCs w:val="22"/>
                <w:lang w:val="ru-RU"/>
              </w:rPr>
              <w:t xml:space="preserve">, </w:t>
            </w:r>
            <w:r w:rsidR="00225368" w:rsidRPr="00226E40">
              <w:rPr>
                <w:b/>
                <w:bCs/>
                <w:lang w:val="ru-RU"/>
              </w:rPr>
              <w:t>2</w:t>
            </w:r>
            <w:r w:rsidR="00226E40" w:rsidRPr="00226E40">
              <w:rPr>
                <w:b/>
                <w:bCs/>
                <w:lang w:val="ru-RU"/>
              </w:rPr>
              <w:t>5</w:t>
            </w:r>
            <w:r w:rsidR="00CD2009" w:rsidRPr="00226E40">
              <w:rPr>
                <w:b/>
                <w:bCs/>
                <w:lang w:val="ru-RU"/>
              </w:rPr>
              <w:t xml:space="preserve"> мая </w:t>
            </w:r>
            <w:r w:rsidR="00225368" w:rsidRPr="00226E40">
              <w:rPr>
                <w:b/>
                <w:bCs/>
                <w:lang w:val="ru-RU"/>
              </w:rPr>
              <w:t>−</w:t>
            </w:r>
            <w:r w:rsidR="00CD2009" w:rsidRPr="00226E40">
              <w:rPr>
                <w:b/>
                <w:bCs/>
                <w:lang w:val="ru-RU"/>
              </w:rPr>
              <w:t xml:space="preserve"> </w:t>
            </w:r>
            <w:r w:rsidR="00225368" w:rsidRPr="00226E40">
              <w:rPr>
                <w:b/>
                <w:bCs/>
                <w:lang w:val="ru-RU"/>
              </w:rPr>
              <w:t xml:space="preserve">2 </w:t>
            </w:r>
            <w:r w:rsidR="00CD2009" w:rsidRPr="00226E40">
              <w:rPr>
                <w:b/>
                <w:bCs/>
                <w:szCs w:val="22"/>
                <w:lang w:val="ru-RU"/>
              </w:rPr>
              <w:t>июня</w:t>
            </w:r>
            <w:r w:rsidR="00CD2009" w:rsidRPr="00226E40">
              <w:rPr>
                <w:b/>
                <w:bCs/>
                <w:lang w:val="ru-RU"/>
              </w:rPr>
              <w:t xml:space="preserve"> </w:t>
            </w:r>
            <w:r w:rsidR="00225368" w:rsidRPr="00226E40">
              <w:rPr>
                <w:b/>
                <w:bCs/>
                <w:lang w:val="ru-RU"/>
              </w:rPr>
              <w:t>201</w:t>
            </w:r>
            <w:r w:rsidR="00CD2009" w:rsidRPr="00226E40">
              <w:rPr>
                <w:b/>
                <w:bCs/>
                <w:lang w:val="ru-RU"/>
              </w:rPr>
              <w:t>6</w:t>
            </w:r>
            <w:r w:rsidR="00225368" w:rsidRPr="00226E40">
              <w:rPr>
                <w:b/>
                <w:bCs/>
                <w:lang w:val="ru-RU"/>
              </w:rPr>
              <w:t xml:space="preserve"> года</w:t>
            </w:r>
          </w:p>
        </w:tc>
        <w:tc>
          <w:tcPr>
            <w:tcW w:w="3120" w:type="dxa"/>
          </w:tcPr>
          <w:p w:rsidR="00BC7BC0" w:rsidRPr="00226E40" w:rsidRDefault="009C1C89" w:rsidP="00D92EEA">
            <w:pPr>
              <w:spacing w:before="0" w:line="240" w:lineRule="atLeast"/>
              <w:jc w:val="right"/>
              <w:rPr>
                <w:szCs w:val="22"/>
                <w:lang w:val="ru-RU"/>
              </w:rPr>
            </w:pPr>
            <w:bookmarkStart w:id="0" w:name="ditulogo"/>
            <w:bookmarkEnd w:id="0"/>
            <w:r w:rsidRPr="00226E40">
              <w:rPr>
                <w:noProof/>
                <w:lang w:val="en-US" w:eastAsia="zh-CN"/>
              </w:rPr>
              <w:drawing>
                <wp:inline distT="0" distB="0" distL="0" distR="0" wp14:anchorId="4B0689C3" wp14:editId="54DFDF05">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BC7BC0" w:rsidRPr="00226E40">
        <w:trPr>
          <w:cantSplit/>
        </w:trPr>
        <w:tc>
          <w:tcPr>
            <w:tcW w:w="6911" w:type="dxa"/>
            <w:tcBorders>
              <w:bottom w:val="single" w:sz="12" w:space="0" w:color="auto"/>
            </w:tcBorders>
          </w:tcPr>
          <w:p w:rsidR="00BC7BC0" w:rsidRPr="00226E40" w:rsidRDefault="00BC7BC0" w:rsidP="00BC7BC0">
            <w:pPr>
              <w:spacing w:before="0" w:after="48" w:line="240" w:lineRule="atLeast"/>
              <w:rPr>
                <w:b/>
                <w:smallCaps/>
                <w:szCs w:val="22"/>
                <w:lang w:val="ru-RU"/>
              </w:rPr>
            </w:pPr>
          </w:p>
        </w:tc>
        <w:tc>
          <w:tcPr>
            <w:tcW w:w="3120" w:type="dxa"/>
            <w:tcBorders>
              <w:bottom w:val="single" w:sz="12" w:space="0" w:color="auto"/>
            </w:tcBorders>
          </w:tcPr>
          <w:p w:rsidR="00BC7BC0" w:rsidRPr="00226E40" w:rsidRDefault="00BC7BC0" w:rsidP="00BC7BC0">
            <w:pPr>
              <w:spacing w:before="0" w:line="240" w:lineRule="atLeast"/>
              <w:rPr>
                <w:szCs w:val="22"/>
                <w:lang w:val="ru-RU"/>
              </w:rPr>
            </w:pPr>
          </w:p>
        </w:tc>
      </w:tr>
      <w:tr w:rsidR="00BC7BC0" w:rsidRPr="00226E40">
        <w:trPr>
          <w:cantSplit/>
        </w:trPr>
        <w:tc>
          <w:tcPr>
            <w:tcW w:w="6911" w:type="dxa"/>
            <w:tcBorders>
              <w:top w:val="single" w:sz="12" w:space="0" w:color="auto"/>
            </w:tcBorders>
          </w:tcPr>
          <w:p w:rsidR="00BC7BC0" w:rsidRPr="00226E40" w:rsidRDefault="00BC7BC0" w:rsidP="004D0129">
            <w:pPr>
              <w:spacing w:before="0" w:line="240" w:lineRule="atLeast"/>
              <w:rPr>
                <w:b/>
                <w:smallCaps/>
                <w:szCs w:val="22"/>
                <w:lang w:val="ru-RU"/>
              </w:rPr>
            </w:pPr>
          </w:p>
        </w:tc>
        <w:tc>
          <w:tcPr>
            <w:tcW w:w="3120" w:type="dxa"/>
            <w:tcBorders>
              <w:top w:val="single" w:sz="12" w:space="0" w:color="auto"/>
            </w:tcBorders>
          </w:tcPr>
          <w:p w:rsidR="00BC7BC0" w:rsidRPr="00226E40" w:rsidRDefault="00BC7BC0" w:rsidP="004D0129">
            <w:pPr>
              <w:spacing w:before="0" w:line="240" w:lineRule="atLeast"/>
              <w:rPr>
                <w:szCs w:val="22"/>
                <w:lang w:val="ru-RU"/>
              </w:rPr>
            </w:pPr>
          </w:p>
        </w:tc>
      </w:tr>
      <w:tr w:rsidR="00BC7BC0" w:rsidRPr="00226E40">
        <w:trPr>
          <w:cantSplit/>
          <w:trHeight w:val="23"/>
        </w:trPr>
        <w:tc>
          <w:tcPr>
            <w:tcW w:w="6911" w:type="dxa"/>
            <w:vMerge w:val="restart"/>
          </w:tcPr>
          <w:p w:rsidR="00BC7BC0" w:rsidRPr="00226E40" w:rsidRDefault="00BC7BC0" w:rsidP="00C92246">
            <w:pPr>
              <w:tabs>
                <w:tab w:val="left" w:pos="851"/>
              </w:tabs>
              <w:spacing w:before="0" w:line="240" w:lineRule="atLeast"/>
              <w:rPr>
                <w:b/>
                <w:szCs w:val="22"/>
                <w:lang w:val="ru-RU"/>
              </w:rPr>
            </w:pPr>
            <w:r w:rsidRPr="00226E40">
              <w:rPr>
                <w:b/>
                <w:bCs/>
                <w:szCs w:val="22"/>
                <w:lang w:val="ru-RU"/>
              </w:rPr>
              <w:t>Пункт повестки дня:</w:t>
            </w:r>
            <w:r w:rsidRPr="00226E40">
              <w:rPr>
                <w:b/>
                <w:bCs/>
                <w:caps/>
                <w:szCs w:val="22"/>
                <w:lang w:val="ru-RU"/>
              </w:rPr>
              <w:t xml:space="preserve"> </w:t>
            </w:r>
            <w:r w:rsidR="00C92246">
              <w:rPr>
                <w:b/>
                <w:bCs/>
                <w:caps/>
                <w:szCs w:val="22"/>
                <w:lang w:val="en-US"/>
              </w:rPr>
              <w:t xml:space="preserve">ADM </w:t>
            </w:r>
            <w:r w:rsidRPr="00226E40">
              <w:rPr>
                <w:b/>
                <w:bCs/>
                <w:caps/>
                <w:szCs w:val="22"/>
                <w:lang w:val="ru-RU"/>
              </w:rPr>
              <w:t>7</w:t>
            </w:r>
          </w:p>
        </w:tc>
        <w:tc>
          <w:tcPr>
            <w:tcW w:w="3120" w:type="dxa"/>
          </w:tcPr>
          <w:p w:rsidR="00BC7BC0" w:rsidRPr="00226E40" w:rsidRDefault="00BC7BC0" w:rsidP="00C92246">
            <w:pPr>
              <w:tabs>
                <w:tab w:val="left" w:pos="851"/>
              </w:tabs>
              <w:spacing w:before="0" w:line="240" w:lineRule="atLeast"/>
              <w:rPr>
                <w:b/>
                <w:bCs/>
                <w:szCs w:val="22"/>
                <w:lang w:val="ru-RU"/>
              </w:rPr>
            </w:pPr>
            <w:r w:rsidRPr="00226E40">
              <w:rPr>
                <w:b/>
                <w:bCs/>
                <w:szCs w:val="22"/>
                <w:lang w:val="ru-RU"/>
              </w:rPr>
              <w:t>Документ C</w:t>
            </w:r>
            <w:r w:rsidR="003F099E" w:rsidRPr="00226E40">
              <w:rPr>
                <w:b/>
                <w:bCs/>
                <w:szCs w:val="22"/>
                <w:lang w:val="ru-RU"/>
              </w:rPr>
              <w:t>1</w:t>
            </w:r>
            <w:r w:rsidR="00CD2009" w:rsidRPr="00226E40">
              <w:rPr>
                <w:b/>
                <w:bCs/>
                <w:szCs w:val="22"/>
                <w:lang w:val="ru-RU"/>
              </w:rPr>
              <w:t>6</w:t>
            </w:r>
            <w:r w:rsidRPr="00226E40">
              <w:rPr>
                <w:b/>
                <w:bCs/>
                <w:szCs w:val="22"/>
                <w:lang w:val="ru-RU"/>
              </w:rPr>
              <w:t>/</w:t>
            </w:r>
            <w:r w:rsidR="00C92246">
              <w:rPr>
                <w:b/>
                <w:bCs/>
                <w:szCs w:val="22"/>
                <w:lang w:val="ru-RU"/>
              </w:rPr>
              <w:t>22</w:t>
            </w:r>
            <w:r w:rsidRPr="00226E40">
              <w:rPr>
                <w:b/>
                <w:bCs/>
                <w:szCs w:val="22"/>
                <w:lang w:val="ru-RU"/>
              </w:rPr>
              <w:t>-R</w:t>
            </w:r>
          </w:p>
        </w:tc>
      </w:tr>
      <w:tr w:rsidR="00BC7BC0" w:rsidRPr="00226E40">
        <w:trPr>
          <w:cantSplit/>
          <w:trHeight w:val="23"/>
        </w:trPr>
        <w:tc>
          <w:tcPr>
            <w:tcW w:w="6911" w:type="dxa"/>
            <w:vMerge/>
          </w:tcPr>
          <w:p w:rsidR="00BC7BC0" w:rsidRPr="00226E40" w:rsidRDefault="00BC7BC0" w:rsidP="00BC7BC0">
            <w:pPr>
              <w:tabs>
                <w:tab w:val="left" w:pos="851"/>
              </w:tabs>
              <w:spacing w:line="240" w:lineRule="atLeast"/>
              <w:rPr>
                <w:b/>
                <w:szCs w:val="22"/>
                <w:lang w:val="ru-RU"/>
              </w:rPr>
            </w:pPr>
          </w:p>
        </w:tc>
        <w:tc>
          <w:tcPr>
            <w:tcW w:w="3120" w:type="dxa"/>
          </w:tcPr>
          <w:p w:rsidR="00BC7BC0" w:rsidRPr="00226E40" w:rsidRDefault="00C92246" w:rsidP="00CD2009">
            <w:pPr>
              <w:tabs>
                <w:tab w:val="left" w:pos="993"/>
              </w:tabs>
              <w:spacing w:before="0"/>
              <w:rPr>
                <w:b/>
                <w:bCs/>
                <w:szCs w:val="22"/>
                <w:lang w:val="ru-RU"/>
              </w:rPr>
            </w:pPr>
            <w:r>
              <w:rPr>
                <w:b/>
                <w:bCs/>
                <w:szCs w:val="22"/>
                <w:lang w:val="ru-RU"/>
              </w:rPr>
              <w:t>25 мая</w:t>
            </w:r>
            <w:r w:rsidR="00BC7BC0" w:rsidRPr="00226E40">
              <w:rPr>
                <w:b/>
                <w:bCs/>
                <w:szCs w:val="22"/>
                <w:lang w:val="ru-RU"/>
              </w:rPr>
              <w:t xml:space="preserve"> 20</w:t>
            </w:r>
            <w:r w:rsidR="003F099E" w:rsidRPr="00226E40">
              <w:rPr>
                <w:b/>
                <w:bCs/>
                <w:szCs w:val="22"/>
                <w:lang w:val="ru-RU"/>
              </w:rPr>
              <w:t>1</w:t>
            </w:r>
            <w:r w:rsidR="00CD2009" w:rsidRPr="00226E40">
              <w:rPr>
                <w:b/>
                <w:bCs/>
                <w:szCs w:val="22"/>
                <w:lang w:val="ru-RU"/>
              </w:rPr>
              <w:t>6</w:t>
            </w:r>
            <w:r w:rsidR="00BC7BC0" w:rsidRPr="00226E40">
              <w:rPr>
                <w:b/>
                <w:bCs/>
                <w:szCs w:val="22"/>
                <w:lang w:val="ru-RU"/>
              </w:rPr>
              <w:t xml:space="preserve"> года</w:t>
            </w:r>
          </w:p>
        </w:tc>
      </w:tr>
      <w:tr w:rsidR="00BC7BC0" w:rsidRPr="00226E40">
        <w:trPr>
          <w:cantSplit/>
          <w:trHeight w:val="23"/>
        </w:trPr>
        <w:tc>
          <w:tcPr>
            <w:tcW w:w="6911" w:type="dxa"/>
            <w:vMerge/>
          </w:tcPr>
          <w:p w:rsidR="00BC7BC0" w:rsidRPr="00226E40" w:rsidRDefault="00BC7BC0" w:rsidP="00BC7BC0">
            <w:pPr>
              <w:tabs>
                <w:tab w:val="left" w:pos="851"/>
              </w:tabs>
              <w:spacing w:line="240" w:lineRule="atLeast"/>
              <w:rPr>
                <w:b/>
                <w:szCs w:val="22"/>
                <w:lang w:val="ru-RU"/>
              </w:rPr>
            </w:pPr>
          </w:p>
        </w:tc>
        <w:tc>
          <w:tcPr>
            <w:tcW w:w="3120" w:type="dxa"/>
          </w:tcPr>
          <w:p w:rsidR="00BC7BC0" w:rsidRPr="00226E40" w:rsidRDefault="00BC7BC0" w:rsidP="00BC7BC0">
            <w:pPr>
              <w:tabs>
                <w:tab w:val="left" w:pos="993"/>
              </w:tabs>
              <w:spacing w:before="0"/>
              <w:rPr>
                <w:b/>
                <w:bCs/>
                <w:szCs w:val="22"/>
                <w:lang w:val="ru-RU"/>
              </w:rPr>
            </w:pPr>
            <w:r w:rsidRPr="00226E40">
              <w:rPr>
                <w:b/>
                <w:bCs/>
                <w:szCs w:val="22"/>
                <w:lang w:val="ru-RU"/>
              </w:rPr>
              <w:t>Оригинал: английский</w:t>
            </w:r>
          </w:p>
        </w:tc>
      </w:tr>
      <w:tr w:rsidR="00BC7BC0" w:rsidRPr="00226E40">
        <w:trPr>
          <w:cantSplit/>
        </w:trPr>
        <w:tc>
          <w:tcPr>
            <w:tcW w:w="10031" w:type="dxa"/>
            <w:gridSpan w:val="2"/>
          </w:tcPr>
          <w:p w:rsidR="00BC7BC0" w:rsidRPr="00226E40" w:rsidRDefault="00BC7BC0" w:rsidP="00C92246">
            <w:pPr>
              <w:pStyle w:val="Source"/>
              <w:rPr>
                <w:szCs w:val="22"/>
                <w:lang w:val="ru-RU"/>
              </w:rPr>
            </w:pPr>
            <w:bookmarkStart w:id="1" w:name="dtitle2" w:colFirst="0" w:colLast="0"/>
            <w:r w:rsidRPr="00226E40">
              <w:rPr>
                <w:lang w:val="ru-RU"/>
              </w:rPr>
              <w:t>Отчет Генерального секретаря</w:t>
            </w:r>
          </w:p>
        </w:tc>
      </w:tr>
      <w:tr w:rsidR="00BC7BC0" w:rsidRPr="004B4843">
        <w:trPr>
          <w:cantSplit/>
        </w:trPr>
        <w:tc>
          <w:tcPr>
            <w:tcW w:w="10031" w:type="dxa"/>
            <w:gridSpan w:val="2"/>
          </w:tcPr>
          <w:p w:rsidR="00BC7BC0" w:rsidRPr="00C92246" w:rsidRDefault="00C92246" w:rsidP="00C92246">
            <w:pPr>
              <w:pStyle w:val="Title1"/>
              <w:rPr>
                <w:szCs w:val="22"/>
                <w:lang w:val="ru-RU"/>
              </w:rPr>
            </w:pPr>
            <w:bookmarkStart w:id="2" w:name="dtitle3" w:colFirst="0" w:colLast="0"/>
            <w:bookmarkEnd w:id="1"/>
            <w:r w:rsidRPr="00C92246">
              <w:rPr>
                <w:lang w:val="ru-RU"/>
              </w:rPr>
              <w:t xml:space="preserve">ПЯТЫЙ ЕЖЕГОДНЫЙ ОТЧЕТ </w:t>
            </w:r>
            <w:r w:rsidRPr="00C92246">
              <w:rPr>
                <w:lang w:val="ru-RU"/>
              </w:rPr>
              <w:br/>
              <w:t>НЕЗАВИСИМОГО КОНСУЛЬТАТИВНОГО КОМИТЕТА ПО УПРАВЛЕНИЮ (</w:t>
            </w:r>
            <w:r w:rsidRPr="00C92246">
              <w:t>IMAC</w:t>
            </w:r>
            <w:r w:rsidRPr="00C92246">
              <w:rPr>
                <w:lang w:val="ru-RU"/>
              </w:rPr>
              <w:t>)</w:t>
            </w:r>
          </w:p>
        </w:tc>
      </w:tr>
    </w:tbl>
    <w:bookmarkEnd w:id="2"/>
    <w:p w:rsidR="00C92246" w:rsidRPr="00C92246" w:rsidRDefault="00C92246" w:rsidP="00225179">
      <w:pPr>
        <w:pStyle w:val="Normalaftertitle"/>
        <w:rPr>
          <w:lang w:val="ru-RU"/>
        </w:rPr>
      </w:pPr>
      <w:r w:rsidRPr="00C92246">
        <w:rPr>
          <w:lang w:val="ru-RU"/>
        </w:rPr>
        <w:t xml:space="preserve">Имею честь направить Государствам – Членам Совета отчет Председателя Независимого консультативного комитета по управлению (IMAC). К настоящему отчету будет приложен дополнительный документ, касающийся внешнего аудита, после собрания IMAC, состоявшегося </w:t>
      </w:r>
      <w:r w:rsidR="00225179">
        <w:rPr>
          <w:lang w:val="ru-RU"/>
        </w:rPr>
        <w:t>9−11 </w:t>
      </w:r>
      <w:r w:rsidRPr="00C92246">
        <w:rPr>
          <w:lang w:val="ru-RU"/>
        </w:rPr>
        <w:t>мая 2016 года.</w:t>
      </w:r>
    </w:p>
    <w:p w:rsidR="002D2F57" w:rsidRDefault="00C92246" w:rsidP="00C92246">
      <w:pPr>
        <w:spacing w:before="1080"/>
        <w:ind w:left="4819"/>
        <w:jc w:val="center"/>
        <w:rPr>
          <w:lang w:val="ru-RU"/>
        </w:rPr>
      </w:pPr>
      <w:r w:rsidRPr="00C92246">
        <w:rPr>
          <w:lang w:val="ru-RU"/>
        </w:rPr>
        <w:t xml:space="preserve">Хоулинь ЧЖАО </w:t>
      </w:r>
      <w:r>
        <w:rPr>
          <w:lang w:val="ru-RU"/>
        </w:rPr>
        <w:br/>
      </w:r>
      <w:r w:rsidRPr="00C92246">
        <w:rPr>
          <w:lang w:val="ru-RU"/>
        </w:rPr>
        <w:t>Генеральный секретарь</w:t>
      </w:r>
    </w:p>
    <w:p w:rsidR="00C92246" w:rsidRPr="00C92246" w:rsidRDefault="00C92246">
      <w:pPr>
        <w:tabs>
          <w:tab w:val="clear" w:pos="794"/>
          <w:tab w:val="clear" w:pos="1191"/>
          <w:tab w:val="clear" w:pos="1588"/>
          <w:tab w:val="clear" w:pos="1985"/>
        </w:tabs>
        <w:overflowPunct/>
        <w:autoSpaceDE/>
        <w:autoSpaceDN/>
        <w:adjustRightInd/>
        <w:spacing w:before="0"/>
        <w:textAlignment w:val="auto"/>
        <w:rPr>
          <w:lang w:val="ru-RU"/>
        </w:rPr>
      </w:pPr>
      <w:r w:rsidRPr="00C92246">
        <w:rPr>
          <w:lang w:val="ru-RU"/>
        </w:rPr>
        <w:br w:type="page"/>
      </w:r>
      <w:bookmarkStart w:id="3" w:name="_GoBack"/>
      <w:bookmarkEnd w:id="3"/>
    </w:p>
    <w:p w:rsidR="00C92246" w:rsidRDefault="00C92246" w:rsidP="00C92246">
      <w:pPr>
        <w:pStyle w:val="Title1"/>
        <w:rPr>
          <w:lang w:val="ru-RU"/>
        </w:rPr>
      </w:pPr>
      <w:r w:rsidRPr="00C92246">
        <w:rPr>
          <w:lang w:val="ru-RU"/>
        </w:rPr>
        <w:t xml:space="preserve">ПЯТЫЙ ЕЖЕГОДНЫЙ ОТЧЕТ </w:t>
      </w:r>
      <w:r>
        <w:rPr>
          <w:lang w:val="ru-RU"/>
        </w:rPr>
        <w:br/>
      </w:r>
      <w:r w:rsidRPr="00C92246">
        <w:rPr>
          <w:lang w:val="ru-RU"/>
        </w:rPr>
        <w:t>НЕЗАВИСИМОГО КОНСУЛЬТАТИВНОГО КОМИТЕТА ПО УПРАВЛЕНИЮ (IMAC)</w:t>
      </w:r>
    </w:p>
    <w:p w:rsidR="00C92246" w:rsidRPr="00C92246" w:rsidRDefault="00C92246" w:rsidP="00C92246">
      <w:pPr>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D2F57" w:rsidRPr="004B4843">
        <w:trPr>
          <w:trHeight w:val="3372"/>
        </w:trPr>
        <w:tc>
          <w:tcPr>
            <w:tcW w:w="8080" w:type="dxa"/>
            <w:tcBorders>
              <w:top w:val="single" w:sz="12" w:space="0" w:color="auto"/>
              <w:left w:val="single" w:sz="12" w:space="0" w:color="auto"/>
              <w:bottom w:val="single" w:sz="12" w:space="0" w:color="auto"/>
              <w:right w:val="single" w:sz="12" w:space="0" w:color="auto"/>
            </w:tcBorders>
          </w:tcPr>
          <w:p w:rsidR="002D2F57" w:rsidRPr="00C92246" w:rsidRDefault="002D2F57" w:rsidP="00226E40">
            <w:pPr>
              <w:pStyle w:val="Headingb"/>
              <w:rPr>
                <w:lang w:val="ru-RU"/>
              </w:rPr>
            </w:pPr>
            <w:r w:rsidRPr="00226E40">
              <w:rPr>
                <w:lang w:val="ru-RU"/>
              </w:rPr>
              <w:t>Резюме</w:t>
            </w:r>
          </w:p>
          <w:p w:rsidR="00C92246" w:rsidRPr="00C92246" w:rsidRDefault="00C92246" w:rsidP="00C92246">
            <w:pPr>
              <w:rPr>
                <w:lang w:val="ru-RU"/>
              </w:rPr>
            </w:pPr>
            <w:r w:rsidRPr="00C92246">
              <w:rPr>
                <w:lang w:val="ru-RU"/>
              </w:rPr>
              <w:t>В настоящем документе представлен ежегодный отчет Независимого консультативного комитета по управлению (</w:t>
            </w:r>
            <w:r>
              <w:t>IMAC</w:t>
            </w:r>
            <w:r w:rsidRPr="00C92246">
              <w:rPr>
                <w:lang w:val="ru-RU"/>
              </w:rPr>
              <w:t>) Совету МСЭ. В нем содержатся выводы и рекомендации, представляемые на рассмотрение Совету в связи с</w:t>
            </w:r>
            <w:r>
              <w:rPr>
                <w:lang w:val="en-US"/>
              </w:rPr>
              <w:t> </w:t>
            </w:r>
            <w:r w:rsidRPr="00C92246">
              <w:rPr>
                <w:lang w:val="ru-RU"/>
              </w:rPr>
              <w:t>функцией внутреннего аудита, управлением рисками и внутренним контролем, финансовой отчетностью, бухгалтерским учетом и внешним аудитом в</w:t>
            </w:r>
            <w:r>
              <w:rPr>
                <w:lang w:val="en-US"/>
              </w:rPr>
              <w:t> </w:t>
            </w:r>
            <w:r w:rsidRPr="00C92246">
              <w:rPr>
                <w:lang w:val="ru-RU"/>
              </w:rPr>
              <w:t xml:space="preserve">соответствии с кругом ведения </w:t>
            </w:r>
            <w:r>
              <w:t>IMAC</w:t>
            </w:r>
            <w:r w:rsidRPr="00C92246">
              <w:rPr>
                <w:lang w:val="ru-RU"/>
              </w:rPr>
              <w:t>.</w:t>
            </w:r>
          </w:p>
          <w:p w:rsidR="00C92246" w:rsidRPr="00C92246" w:rsidRDefault="00C92246" w:rsidP="00C92246">
            <w:pPr>
              <w:rPr>
                <w:lang w:val="ru-RU"/>
              </w:rPr>
            </w:pPr>
            <w:r w:rsidRPr="00C92246">
              <w:rPr>
                <w:lang w:val="ru-RU"/>
              </w:rPr>
              <w:t xml:space="preserve">В пятом ежегодном отчете </w:t>
            </w:r>
            <w:r>
              <w:t>IMAC</w:t>
            </w:r>
            <w:r w:rsidRPr="00C92246">
              <w:rPr>
                <w:lang w:val="ru-RU"/>
              </w:rPr>
              <w:t xml:space="preserve"> Совету МСЭ представлены обновленные данные о сфере работы и о деятельности Комитета с мая 2015 года, а также приводятся конкретные рекомендации, предназначенные для совершенствования мер по</w:t>
            </w:r>
            <w:r>
              <w:rPr>
                <w:lang w:val="en-US"/>
              </w:rPr>
              <w:t> </w:t>
            </w:r>
            <w:r w:rsidRPr="00C92246">
              <w:rPr>
                <w:lang w:val="ru-RU"/>
              </w:rPr>
              <w:t xml:space="preserve">надзору, внутреннему контролю и управлению в интересах лучшего удовлетворения текущих потребностей организации. </w:t>
            </w:r>
          </w:p>
          <w:p w:rsidR="002D2F57" w:rsidRPr="00C92246" w:rsidRDefault="00C92246" w:rsidP="00C92246">
            <w:pPr>
              <w:rPr>
                <w:lang w:val="ru-RU"/>
              </w:rPr>
            </w:pPr>
            <w:r>
              <w:t>IMAC</w:t>
            </w:r>
            <w:r w:rsidRPr="00C92246">
              <w:rPr>
                <w:lang w:val="ru-RU"/>
              </w:rPr>
              <w:t xml:space="preserve"> предлагает Совету утвердить его рекомендации в целях дальнейшего содействия эффективному реагированию и своевременному принятию мер в</w:t>
            </w:r>
            <w:r>
              <w:rPr>
                <w:lang w:val="en-US"/>
              </w:rPr>
              <w:t> </w:t>
            </w:r>
            <w:r w:rsidRPr="00C92246">
              <w:rPr>
                <w:lang w:val="ru-RU"/>
              </w:rPr>
              <w:t>интересах усиления подотчетности.</w:t>
            </w:r>
          </w:p>
          <w:p w:rsidR="002D2F57" w:rsidRPr="00226E40" w:rsidRDefault="002D2F57" w:rsidP="00226E40">
            <w:pPr>
              <w:pStyle w:val="Headingb"/>
              <w:rPr>
                <w:lang w:val="ru-RU"/>
              </w:rPr>
            </w:pPr>
            <w:r w:rsidRPr="00226E40">
              <w:rPr>
                <w:lang w:val="ru-RU"/>
              </w:rPr>
              <w:t xml:space="preserve">Необходимые </w:t>
            </w:r>
            <w:r w:rsidR="00F5225B" w:rsidRPr="00226E40">
              <w:rPr>
                <w:lang w:val="ru-RU"/>
              </w:rPr>
              <w:t>действия</w:t>
            </w:r>
          </w:p>
          <w:p w:rsidR="002D2F57" w:rsidRPr="00226E40" w:rsidRDefault="00C92246" w:rsidP="00226E40">
            <w:pPr>
              <w:rPr>
                <w:lang w:val="ru-RU"/>
              </w:rPr>
            </w:pPr>
            <w:r w:rsidRPr="00C92246">
              <w:rPr>
                <w:lang w:val="ru-RU"/>
              </w:rPr>
              <w:t xml:space="preserve">Совету предлагается </w:t>
            </w:r>
            <w:r w:rsidRPr="00C92246">
              <w:rPr>
                <w:b/>
                <w:bCs/>
                <w:lang w:val="ru-RU"/>
              </w:rPr>
              <w:t>утвердить</w:t>
            </w:r>
            <w:r w:rsidRPr="00C92246">
              <w:rPr>
                <w:lang w:val="ru-RU"/>
              </w:rPr>
              <w:t xml:space="preserve"> отчет IMAC и содержащиеся в нем рекомендации.</w:t>
            </w:r>
          </w:p>
          <w:p w:rsidR="002D2F57" w:rsidRPr="00226E40" w:rsidRDefault="002D2F57" w:rsidP="00226E40">
            <w:pPr>
              <w:jc w:val="center"/>
              <w:rPr>
                <w:lang w:val="ru-RU"/>
              </w:rPr>
            </w:pPr>
            <w:r w:rsidRPr="00226E40">
              <w:rPr>
                <w:lang w:val="ru-RU"/>
              </w:rPr>
              <w:t>____________</w:t>
            </w:r>
          </w:p>
          <w:p w:rsidR="002D2F57" w:rsidRPr="00226E40" w:rsidRDefault="002D2F57" w:rsidP="00226E40">
            <w:pPr>
              <w:pStyle w:val="Headingb"/>
              <w:rPr>
                <w:lang w:val="ru-RU"/>
              </w:rPr>
            </w:pPr>
            <w:r w:rsidRPr="00226E40">
              <w:rPr>
                <w:lang w:val="ru-RU"/>
              </w:rPr>
              <w:t>Справочные материалы</w:t>
            </w:r>
          </w:p>
          <w:p w:rsidR="002D2F57" w:rsidRPr="00226E40" w:rsidRDefault="004B4843" w:rsidP="00F315C5">
            <w:pPr>
              <w:spacing w:after="120"/>
              <w:rPr>
                <w:i/>
                <w:iCs/>
                <w:lang w:val="ru-RU"/>
              </w:rPr>
            </w:pPr>
            <w:hyperlink r:id="rId8" w:history="1">
              <w:r w:rsidR="00C92246" w:rsidRPr="00C92246">
                <w:rPr>
                  <w:rStyle w:val="Hyperlink"/>
                  <w:i/>
                  <w:iCs/>
                  <w:lang w:val="ru-RU"/>
                </w:rPr>
                <w:t>Резолюция 162 (</w:t>
              </w:r>
              <w:proofErr w:type="spellStart"/>
              <w:r w:rsidR="00C92246" w:rsidRPr="00C92246">
                <w:rPr>
                  <w:rStyle w:val="Hyperlink"/>
                  <w:i/>
                  <w:iCs/>
                  <w:lang w:val="ru-RU"/>
                </w:rPr>
                <w:t>Пересм</w:t>
              </w:r>
              <w:proofErr w:type="spellEnd"/>
              <w:r w:rsidR="00C92246" w:rsidRPr="00C92246">
                <w:rPr>
                  <w:rStyle w:val="Hyperlink"/>
                  <w:i/>
                  <w:iCs/>
                  <w:lang w:val="ru-RU"/>
                </w:rPr>
                <w:t>. Пусан, 2014 г.)</w:t>
              </w:r>
            </w:hyperlink>
            <w:r w:rsidR="00C92246" w:rsidRPr="00C92246">
              <w:rPr>
                <w:i/>
                <w:iCs/>
                <w:lang w:val="ru-RU"/>
              </w:rPr>
              <w:t xml:space="preserve">; </w:t>
            </w:r>
            <w:hyperlink r:id="rId9" w:history="1">
              <w:r w:rsidR="00C92246" w:rsidRPr="00C92246">
                <w:rPr>
                  <w:rStyle w:val="Hyperlink"/>
                  <w:i/>
                  <w:iCs/>
                  <w:lang w:val="ru-RU"/>
                </w:rPr>
                <w:t>Решение 565</w:t>
              </w:r>
            </w:hyperlink>
            <w:r w:rsidR="00C92246" w:rsidRPr="00C92246">
              <w:rPr>
                <w:i/>
                <w:iCs/>
                <w:lang w:val="ru-RU"/>
              </w:rPr>
              <w:t xml:space="preserve"> Совета; </w:t>
            </w:r>
            <w:r w:rsidR="00C92246">
              <w:rPr>
                <w:i/>
                <w:iCs/>
                <w:lang w:val="ru-RU"/>
              </w:rPr>
              <w:br/>
            </w:r>
            <w:r w:rsidR="00C92246" w:rsidRPr="00C92246">
              <w:rPr>
                <w:i/>
                <w:iCs/>
                <w:lang w:val="ru-RU"/>
              </w:rPr>
              <w:t xml:space="preserve">Документы </w:t>
            </w:r>
            <w:hyperlink r:id="rId10" w:history="1">
              <w:r w:rsidR="00C92246" w:rsidRPr="00C92246">
                <w:rPr>
                  <w:rStyle w:val="Hyperlink"/>
                  <w:i/>
                  <w:iCs/>
                  <w:lang w:val="ru-RU"/>
                </w:rPr>
                <w:t>C12/44</w:t>
              </w:r>
            </w:hyperlink>
            <w:r w:rsidR="00C92246" w:rsidRPr="00C92246">
              <w:rPr>
                <w:i/>
                <w:iCs/>
                <w:lang w:val="ru-RU"/>
              </w:rPr>
              <w:t xml:space="preserve"> (первый ежегодный отчет IMAC Совету), </w:t>
            </w:r>
            <w:hyperlink r:id="rId11" w:history="1">
              <w:r w:rsidR="00C92246" w:rsidRPr="00C92246">
                <w:rPr>
                  <w:rStyle w:val="Hyperlink"/>
                  <w:i/>
                  <w:iCs/>
                  <w:lang w:val="ru-RU"/>
                </w:rPr>
                <w:t>C13/65 + Corr.1</w:t>
              </w:r>
            </w:hyperlink>
            <w:r w:rsidR="00C92246" w:rsidRPr="00C92246">
              <w:rPr>
                <w:i/>
                <w:iCs/>
                <w:lang w:val="ru-RU"/>
              </w:rPr>
              <w:t xml:space="preserve"> (второй ежегодный отчет IMAC Совету), </w:t>
            </w:r>
            <w:hyperlink r:id="rId12" w:history="1">
              <w:r w:rsidR="00C92246" w:rsidRPr="00C92246">
                <w:rPr>
                  <w:rStyle w:val="Hyperlink"/>
                  <w:i/>
                  <w:iCs/>
                  <w:lang w:val="ru-RU"/>
                </w:rPr>
                <w:t>C14/22 + Add.1</w:t>
              </w:r>
            </w:hyperlink>
            <w:r w:rsidR="00C92246" w:rsidRPr="00C92246">
              <w:rPr>
                <w:i/>
                <w:iCs/>
                <w:lang w:val="ru-RU"/>
              </w:rPr>
              <w:t xml:space="preserve"> (третий ежегодный отчет IMAC Совету) и </w:t>
            </w:r>
            <w:hyperlink r:id="rId13" w:history="1">
              <w:r w:rsidR="00C92246" w:rsidRPr="00C92246">
                <w:rPr>
                  <w:rStyle w:val="Hyperlink"/>
                  <w:i/>
                  <w:iCs/>
                  <w:lang w:val="ru-RU"/>
                </w:rPr>
                <w:t>C15/22 + Add.1</w:t>
              </w:r>
              <w:r w:rsidR="00F315C5">
                <w:rPr>
                  <w:rStyle w:val="Hyperlink"/>
                  <w:i/>
                  <w:iCs/>
                  <w:lang w:val="ru-RU"/>
                </w:rPr>
                <w:t>-</w:t>
              </w:r>
              <w:r w:rsidR="00C92246" w:rsidRPr="00C92246">
                <w:rPr>
                  <w:rStyle w:val="Hyperlink"/>
                  <w:i/>
                  <w:iCs/>
                  <w:lang w:val="ru-RU"/>
                </w:rPr>
                <w:t>2</w:t>
              </w:r>
            </w:hyperlink>
            <w:r w:rsidR="00C92246" w:rsidRPr="00C92246">
              <w:rPr>
                <w:i/>
                <w:iCs/>
                <w:lang w:val="ru-RU"/>
              </w:rPr>
              <w:t xml:space="preserve"> (четвертый ежегодный отчет IMAC Совету).</w:t>
            </w:r>
          </w:p>
        </w:tc>
      </w:tr>
    </w:tbl>
    <w:p w:rsidR="00C92246" w:rsidRPr="00C92246" w:rsidRDefault="00C92246" w:rsidP="004B4843">
      <w:pPr>
        <w:pStyle w:val="Heading1"/>
        <w:spacing w:before="840"/>
        <w:rPr>
          <w:lang w:val="ru-RU"/>
        </w:rPr>
      </w:pPr>
      <w:r w:rsidRPr="00C92246">
        <w:rPr>
          <w:lang w:val="ru-RU"/>
        </w:rPr>
        <w:t>1</w:t>
      </w:r>
      <w:r w:rsidRPr="00C92246">
        <w:rPr>
          <w:lang w:val="ru-RU"/>
        </w:rPr>
        <w:tab/>
        <w:t>Введение</w:t>
      </w:r>
    </w:p>
    <w:p w:rsidR="00C92246" w:rsidRPr="00C92246" w:rsidRDefault="00C92246" w:rsidP="00C92246">
      <w:pPr>
        <w:rPr>
          <w:lang w:val="ru-RU"/>
        </w:rPr>
      </w:pPr>
      <w:r w:rsidRPr="00C92246">
        <w:rPr>
          <w:lang w:val="ru-RU"/>
        </w:rPr>
        <w:t>1.1</w:t>
      </w:r>
      <w:r w:rsidRPr="00C92246">
        <w:rPr>
          <w:lang w:val="ru-RU"/>
        </w:rPr>
        <w:tab/>
        <w:t>IMAC выступает в экспертно-консультативном качестве и помогает Совету и Генеральному секретарю в выполнении ими функций руководства в отношении финансовой отчетности, механизмов внутреннего контроля, процедур управления рисками и процессов руководства, а также по другим связанным с аудитом вопросам, указанным в круге ведения IMAC. Тем самым IMAC содействует повышению прозрачности, укреплению функций подотчетности и поддержке надлежащего управления. IMAC не проводит аудиты и не дублирует какие-либо исполнительные или</w:t>
      </w:r>
      <w:r>
        <w:rPr>
          <w:lang w:val="en-US"/>
        </w:rPr>
        <w:t> </w:t>
      </w:r>
      <w:r w:rsidRPr="00C92246">
        <w:rPr>
          <w:lang w:val="ru-RU"/>
        </w:rPr>
        <w:t>аудиторские функции, внутренние или внешние, но содействует обеспечению наилучшего использования аудита и других ресурсов в общих рамках обеспечения МСЭ.</w:t>
      </w:r>
    </w:p>
    <w:p w:rsidR="00C92246" w:rsidRPr="00C92246" w:rsidRDefault="00C92246" w:rsidP="00C92246">
      <w:pPr>
        <w:rPr>
          <w:lang w:val="ru-RU"/>
        </w:rPr>
      </w:pPr>
      <w:r w:rsidRPr="00C92246">
        <w:rPr>
          <w:lang w:val="ru-RU"/>
        </w:rPr>
        <w:t>1.2</w:t>
      </w:r>
      <w:r w:rsidRPr="00C92246">
        <w:rPr>
          <w:lang w:val="ru-RU"/>
        </w:rPr>
        <w:tab/>
        <w:t>В 2016 году Комитет приветствовал двух новых членов, назначенных Советом: г-жу Алину Вьенно (Канада) и г-на Камлеша Викамсея (Индия) (которые заменили г-на Томаса Репаша и</w:t>
      </w:r>
      <w:r>
        <w:rPr>
          <w:lang w:val="en-US"/>
        </w:rPr>
        <w:t> </w:t>
      </w:r>
      <w:r w:rsidRPr="00C92246">
        <w:rPr>
          <w:lang w:val="ru-RU"/>
        </w:rPr>
        <w:t>г−на</w:t>
      </w:r>
      <w:r>
        <w:rPr>
          <w:lang w:val="en-US"/>
        </w:rPr>
        <w:t> </w:t>
      </w:r>
      <w:r w:rsidRPr="00C92246">
        <w:rPr>
          <w:lang w:val="ru-RU"/>
        </w:rPr>
        <w:t>Эрика Адда), для которых руководством МСЭ и Председателем IMAC была проведена однодневная ориентационная сессия.</w:t>
      </w:r>
    </w:p>
    <w:p w:rsidR="00C92246" w:rsidRPr="00C92246" w:rsidRDefault="00C92246" w:rsidP="00C92246">
      <w:pPr>
        <w:rPr>
          <w:lang w:val="ru-RU"/>
        </w:rPr>
      </w:pPr>
      <w:r w:rsidRPr="00C92246">
        <w:rPr>
          <w:lang w:val="ru-RU"/>
        </w:rPr>
        <w:lastRenderedPageBreak/>
        <w:t>1.3</w:t>
      </w:r>
      <w:r w:rsidRPr="00C92246">
        <w:rPr>
          <w:lang w:val="ru-RU"/>
        </w:rPr>
        <w:tab/>
        <w:t>В настоящее время в состав IMAC входят следующие члены:</w:t>
      </w:r>
    </w:p>
    <w:p w:rsidR="00C92246" w:rsidRPr="00C92246" w:rsidRDefault="00C92246" w:rsidP="00C92246">
      <w:pPr>
        <w:pStyle w:val="enumlev1"/>
        <w:rPr>
          <w:lang w:val="ru-RU"/>
        </w:rPr>
      </w:pPr>
      <w:r w:rsidRPr="00C92246">
        <w:rPr>
          <w:lang w:val="ru-RU"/>
        </w:rPr>
        <w:t>–</w:t>
      </w:r>
      <w:r w:rsidRPr="00C92246">
        <w:rPr>
          <w:lang w:val="ru-RU"/>
        </w:rPr>
        <w:tab/>
        <w:t>д-р Беате Деген (Председатель);</w:t>
      </w:r>
    </w:p>
    <w:p w:rsidR="00C92246" w:rsidRPr="00C92246" w:rsidRDefault="00C92246" w:rsidP="00C92246">
      <w:pPr>
        <w:pStyle w:val="enumlev1"/>
        <w:rPr>
          <w:lang w:val="ru-RU"/>
        </w:rPr>
      </w:pPr>
      <w:r w:rsidRPr="00C92246">
        <w:rPr>
          <w:lang w:val="ru-RU"/>
        </w:rPr>
        <w:t>–</w:t>
      </w:r>
      <w:r w:rsidRPr="00C92246">
        <w:rPr>
          <w:lang w:val="ru-RU"/>
        </w:rPr>
        <w:tab/>
        <w:t>г-н Абдессалам Эль-Харуши;</w:t>
      </w:r>
    </w:p>
    <w:p w:rsidR="00C92246" w:rsidRPr="00C92246" w:rsidRDefault="00C92246" w:rsidP="00C92246">
      <w:pPr>
        <w:pStyle w:val="enumlev1"/>
        <w:rPr>
          <w:lang w:val="ru-RU"/>
        </w:rPr>
      </w:pPr>
      <w:r w:rsidRPr="00C92246">
        <w:rPr>
          <w:lang w:val="ru-RU"/>
        </w:rPr>
        <w:t>–</w:t>
      </w:r>
      <w:r w:rsidRPr="00C92246">
        <w:rPr>
          <w:lang w:val="ru-RU"/>
        </w:rPr>
        <w:tab/>
        <w:t>г-н Грэм Миллер;</w:t>
      </w:r>
    </w:p>
    <w:p w:rsidR="00C92246" w:rsidRPr="00C92246" w:rsidRDefault="00C92246" w:rsidP="00C92246">
      <w:pPr>
        <w:pStyle w:val="enumlev1"/>
        <w:rPr>
          <w:lang w:val="ru-RU"/>
        </w:rPr>
      </w:pPr>
      <w:r w:rsidRPr="00C92246">
        <w:rPr>
          <w:lang w:val="ru-RU"/>
        </w:rPr>
        <w:t>–</w:t>
      </w:r>
      <w:r w:rsidRPr="00C92246">
        <w:rPr>
          <w:lang w:val="ru-RU"/>
        </w:rPr>
        <w:tab/>
        <w:t>г-жа Алина Вьенно;</w:t>
      </w:r>
    </w:p>
    <w:p w:rsidR="00C92246" w:rsidRPr="00C92246" w:rsidRDefault="00C92246" w:rsidP="00C92246">
      <w:pPr>
        <w:pStyle w:val="enumlev1"/>
        <w:rPr>
          <w:lang w:val="ru-RU"/>
        </w:rPr>
      </w:pPr>
      <w:r w:rsidRPr="00C92246">
        <w:rPr>
          <w:lang w:val="ru-RU"/>
        </w:rPr>
        <w:t>–</w:t>
      </w:r>
      <w:r w:rsidRPr="00C92246">
        <w:rPr>
          <w:lang w:val="ru-RU"/>
        </w:rPr>
        <w:tab/>
        <w:t>г-</w:t>
      </w:r>
      <w:r>
        <w:rPr>
          <w:lang w:val="ru-RU"/>
        </w:rPr>
        <w:t>н Камлеш Викамсей</w:t>
      </w:r>
      <w:r w:rsidRPr="00C92246">
        <w:rPr>
          <w:lang w:val="ru-RU"/>
        </w:rPr>
        <w:t>.</w:t>
      </w:r>
    </w:p>
    <w:p w:rsidR="00C92246" w:rsidRPr="00C92246" w:rsidRDefault="00C92246" w:rsidP="00F315C5">
      <w:pPr>
        <w:rPr>
          <w:lang w:val="ru-RU"/>
        </w:rPr>
      </w:pPr>
      <w:r w:rsidRPr="00C92246">
        <w:rPr>
          <w:lang w:val="ru-RU"/>
        </w:rPr>
        <w:t>1.4</w:t>
      </w:r>
      <w:r w:rsidRPr="00C92246">
        <w:rPr>
          <w:lang w:val="ru-RU"/>
        </w:rPr>
        <w:tab/>
        <w:t xml:space="preserve">После представления IMAC Совету в 2015 году четвертого ежегодного отчета (Документ </w:t>
      </w:r>
      <w:hyperlink r:id="rId14" w:history="1">
        <w:r w:rsidRPr="00C92246">
          <w:rPr>
            <w:rStyle w:val="Hyperlink"/>
            <w:lang w:val="ru-RU"/>
          </w:rPr>
          <w:t>C15/22 + Add.1</w:t>
        </w:r>
        <w:r w:rsidR="00F315C5">
          <w:rPr>
            <w:rStyle w:val="Hyperlink"/>
            <w:lang w:val="ru-RU"/>
          </w:rPr>
          <w:t>-</w:t>
        </w:r>
        <w:r w:rsidRPr="00C92246">
          <w:rPr>
            <w:rStyle w:val="Hyperlink"/>
            <w:lang w:val="ru-RU"/>
          </w:rPr>
          <w:t>2</w:t>
        </w:r>
      </w:hyperlink>
      <w:r w:rsidRPr="00C92246">
        <w:rPr>
          <w:lang w:val="ru-RU"/>
        </w:rPr>
        <w:t xml:space="preserve">) и последующих Дополнительных документов 1 и 2 IMAC провел собрания </w:t>
      </w:r>
      <w:r>
        <w:rPr>
          <w:lang w:val="ru-RU"/>
        </w:rPr>
        <w:br/>
      </w:r>
      <w:r w:rsidRPr="00C92246">
        <w:rPr>
          <w:lang w:val="ru-RU"/>
        </w:rPr>
        <w:t>20–21 октября 2015 года, 24–25 февраля 2016 года и 9–11 мая 2016 года. Выводы собраний в</w:t>
      </w:r>
      <w:r>
        <w:rPr>
          <w:lang w:val="en-US"/>
        </w:rPr>
        <w:t> </w:t>
      </w:r>
      <w:r w:rsidRPr="00C92246">
        <w:rPr>
          <w:lang w:val="ru-RU"/>
        </w:rPr>
        <w:t>октябре, феврале и мае сведены воедино в настоящем пятом ежегодном отчете Совету. Отчеты о</w:t>
      </w:r>
      <w:r>
        <w:rPr>
          <w:lang w:val="en-US"/>
        </w:rPr>
        <w:t> </w:t>
      </w:r>
      <w:r w:rsidRPr="00C92246">
        <w:rPr>
          <w:lang w:val="ru-RU"/>
        </w:rPr>
        <w:t xml:space="preserve">собраниях Комитета и его ежегодные отчеты, а также другие важные документы доступны членам МСЭ в </w:t>
      </w:r>
      <w:hyperlink r:id="rId15" w:history="1">
        <w:r w:rsidRPr="00C92246">
          <w:rPr>
            <w:rStyle w:val="Hyperlink"/>
            <w:lang w:val="ru-RU"/>
          </w:rPr>
          <w:t>зоне IMAC</w:t>
        </w:r>
      </w:hyperlink>
      <w:r w:rsidRPr="00C92246">
        <w:rPr>
          <w:lang w:val="ru-RU"/>
        </w:rPr>
        <w:t xml:space="preserve"> общедоступного веб-сайта МСЭ, и доступ к ней можно получить через </w:t>
      </w:r>
      <w:hyperlink r:id="rId16" w:history="1">
        <w:r w:rsidRPr="00C92246">
          <w:rPr>
            <w:rStyle w:val="Hyperlink"/>
            <w:lang w:val="ru-RU"/>
          </w:rPr>
          <w:t>Совет МСЭ</w:t>
        </w:r>
      </w:hyperlink>
      <w:r w:rsidRPr="00C92246">
        <w:rPr>
          <w:lang w:val="ru-RU"/>
        </w:rPr>
        <w:t>.</w:t>
      </w:r>
    </w:p>
    <w:p w:rsidR="00C92246" w:rsidRPr="00C92246" w:rsidRDefault="00C92246" w:rsidP="00C92246">
      <w:pPr>
        <w:rPr>
          <w:lang w:val="ru-RU"/>
        </w:rPr>
      </w:pPr>
      <w:r w:rsidRPr="00C92246">
        <w:rPr>
          <w:lang w:val="ru-RU"/>
        </w:rPr>
        <w:t>1.5</w:t>
      </w:r>
      <w:r w:rsidRPr="00C92246">
        <w:rPr>
          <w:lang w:val="ru-RU"/>
        </w:rPr>
        <w:tab/>
        <w:t>Присутствие на собраниях IMAC: д-р Деген, г-н Эль-Харуши и г-н Миллер присутствовали на</w:t>
      </w:r>
      <w:r>
        <w:rPr>
          <w:lang w:val="en-US"/>
        </w:rPr>
        <w:t> </w:t>
      </w:r>
      <w:r w:rsidRPr="00C92246">
        <w:rPr>
          <w:lang w:val="ru-RU"/>
        </w:rPr>
        <w:t>всех собраниях; г-жа Вьенно и г-н Викамсей после своего назначения присутствовали на обоих собраниях, состоявшихся в 2016 году, а г-н Репаш до выхода из состава Комитета присутствовал на</w:t>
      </w:r>
      <w:r>
        <w:rPr>
          <w:lang w:val="en-US"/>
        </w:rPr>
        <w:t> </w:t>
      </w:r>
      <w:r w:rsidRPr="00C92246">
        <w:rPr>
          <w:lang w:val="ru-RU"/>
        </w:rPr>
        <w:t>собрании в октябре 2015 года. Г-н Эрик Адда не смог присутствовать на собрании в октябре 2015</w:t>
      </w:r>
      <w:r>
        <w:rPr>
          <w:lang w:val="en-US"/>
        </w:rPr>
        <w:t> </w:t>
      </w:r>
      <w:r w:rsidRPr="00C92246">
        <w:rPr>
          <w:lang w:val="ru-RU"/>
        </w:rPr>
        <w:t>года.</w:t>
      </w:r>
    </w:p>
    <w:p w:rsidR="00C92246" w:rsidRPr="00C92246" w:rsidRDefault="00C92246" w:rsidP="00C92246">
      <w:pPr>
        <w:rPr>
          <w:lang w:val="ru-RU"/>
        </w:rPr>
      </w:pPr>
      <w:r w:rsidRPr="00C92246">
        <w:rPr>
          <w:lang w:val="ru-RU"/>
        </w:rPr>
        <w:t>1.6</w:t>
      </w:r>
      <w:r w:rsidRPr="00C92246">
        <w:rPr>
          <w:lang w:val="ru-RU"/>
        </w:rPr>
        <w:tab/>
        <w:t>Со времени представления своего последнего ежегодного отчета Совету в 2015 году IMAC работал во всех сферах своей ответственности, включая внутренний аудит; управление рисками; внутренний контроль; оценку; представление отчетов по проверенной финансовой отчетности организации и финансовых отчетов; и внешний аудит.</w:t>
      </w:r>
    </w:p>
    <w:p w:rsidR="00C92246" w:rsidRPr="00C92246" w:rsidRDefault="00C92246" w:rsidP="00A241A3">
      <w:pPr>
        <w:rPr>
          <w:lang w:val="ru-RU"/>
        </w:rPr>
      </w:pPr>
      <w:r w:rsidRPr="00C92246">
        <w:rPr>
          <w:lang w:val="ru-RU"/>
        </w:rPr>
        <w:t>1.7</w:t>
      </w:r>
      <w:r w:rsidRPr="00C92246">
        <w:rPr>
          <w:lang w:val="ru-RU"/>
        </w:rPr>
        <w:tab/>
      </w:r>
      <w:proofErr w:type="gramStart"/>
      <w:r w:rsidRPr="00C92246">
        <w:rPr>
          <w:lang w:val="ru-RU"/>
        </w:rPr>
        <w:t>В</w:t>
      </w:r>
      <w:proofErr w:type="gramEnd"/>
      <w:r w:rsidRPr="00C92246">
        <w:rPr>
          <w:lang w:val="ru-RU"/>
        </w:rPr>
        <w:t xml:space="preserve"> целях дальнейшего укрепления связей с заинтересованными сторонами IMAC встретился с</w:t>
      </w:r>
      <w:r w:rsidR="00F50FD8">
        <w:rPr>
          <w:lang w:val="en-US"/>
        </w:rPr>
        <w:t> </w:t>
      </w:r>
      <w:r w:rsidRPr="00C92246">
        <w:rPr>
          <w:lang w:val="ru-RU"/>
        </w:rPr>
        <w:t>Председателем Рабочей группы Совета по финансовым и людским ресурсам (РГС-ФЛР), Председателем Рабочей группы Совета по вариантам помещений штаб-квартиры Союза в</w:t>
      </w:r>
      <w:r w:rsidR="00F50FD8">
        <w:rPr>
          <w:lang w:val="en-US"/>
        </w:rPr>
        <w:t> </w:t>
      </w:r>
      <w:r w:rsidRPr="00C92246">
        <w:rPr>
          <w:lang w:val="ru-RU"/>
        </w:rPr>
        <w:t>долгосрочной перспективе (РГС-ПШК) и участвовал в собраниях РГС-ФЛР в октябре 2015 года и</w:t>
      </w:r>
      <w:r w:rsidR="00F50FD8">
        <w:rPr>
          <w:lang w:val="en-US"/>
        </w:rPr>
        <w:t> </w:t>
      </w:r>
      <w:r w:rsidRPr="00C92246">
        <w:rPr>
          <w:lang w:val="ru-RU"/>
        </w:rPr>
        <w:t>феврале 2016 года, которые были посвящены вопросам, касающимся сфер ответственности Комитета. В ходе собраний IMAC проводил предметные обсуждения с Генеральным секретарем и</w:t>
      </w:r>
      <w:r w:rsidR="00F50FD8">
        <w:rPr>
          <w:lang w:val="en-US"/>
        </w:rPr>
        <w:t> </w:t>
      </w:r>
      <w:r w:rsidRPr="00C92246">
        <w:rPr>
          <w:lang w:val="ru-RU"/>
        </w:rPr>
        <w:t>заместителем Генерального секретаря, Департаментом стратегического планирования и связей с</w:t>
      </w:r>
      <w:r w:rsidR="00F50FD8">
        <w:rPr>
          <w:lang w:val="en-US"/>
        </w:rPr>
        <w:t> </w:t>
      </w:r>
      <w:r w:rsidRPr="00C92246">
        <w:rPr>
          <w:lang w:val="ru-RU"/>
        </w:rPr>
        <w:t xml:space="preserve">членами, Департаментом управления финансовыми ресурсами, </w:t>
      </w:r>
      <w:r w:rsidR="00A241A3">
        <w:rPr>
          <w:lang w:val="ru-RU"/>
        </w:rPr>
        <w:t>В</w:t>
      </w:r>
      <w:r w:rsidRPr="00C92246">
        <w:rPr>
          <w:lang w:val="ru-RU"/>
        </w:rPr>
        <w:t xml:space="preserve">нутренним аудитором, </w:t>
      </w:r>
      <w:r w:rsidR="00A241A3">
        <w:rPr>
          <w:lang w:val="ru-RU"/>
        </w:rPr>
        <w:t>В</w:t>
      </w:r>
      <w:r w:rsidRPr="00C92246">
        <w:rPr>
          <w:lang w:val="ru-RU"/>
        </w:rPr>
        <w:t>нешним аудитором и, по мере необходимости, с другими представителями руководства.</w:t>
      </w:r>
    </w:p>
    <w:p w:rsidR="00C92246" w:rsidRPr="00C92246" w:rsidRDefault="00C92246" w:rsidP="00F50FD8">
      <w:pPr>
        <w:pStyle w:val="Heading1"/>
        <w:rPr>
          <w:lang w:val="ru-RU"/>
        </w:rPr>
      </w:pPr>
      <w:r w:rsidRPr="00C92246">
        <w:rPr>
          <w:lang w:val="ru-RU"/>
        </w:rPr>
        <w:t>2</w:t>
      </w:r>
      <w:r w:rsidRPr="00C92246">
        <w:rPr>
          <w:lang w:val="ru-RU"/>
        </w:rPr>
        <w:tab/>
        <w:t>Последующие меры в связи с четвертым отчетом IMAC Совету в 2015 году и состояние выполнения рекомендаций IMAC</w:t>
      </w:r>
    </w:p>
    <w:p w:rsidR="00C92246" w:rsidRPr="00C92246" w:rsidRDefault="00C92246" w:rsidP="00F50FD8">
      <w:pPr>
        <w:rPr>
          <w:lang w:val="ru-RU"/>
        </w:rPr>
      </w:pPr>
      <w:r w:rsidRPr="00C92246">
        <w:rPr>
          <w:lang w:val="ru-RU"/>
        </w:rPr>
        <w:t>2.1</w:t>
      </w:r>
      <w:r w:rsidRPr="00C92246">
        <w:rPr>
          <w:lang w:val="ru-RU"/>
        </w:rPr>
        <w:tab/>
      </w:r>
      <w:proofErr w:type="gramStart"/>
      <w:r w:rsidRPr="00C92246">
        <w:rPr>
          <w:lang w:val="ru-RU"/>
        </w:rPr>
        <w:t>В</w:t>
      </w:r>
      <w:proofErr w:type="gramEnd"/>
      <w:r w:rsidRPr="00C92246">
        <w:rPr>
          <w:lang w:val="ru-RU"/>
        </w:rPr>
        <w:t xml:space="preserve"> целях содействия Совету в отслеживании мер, принятых в ответ на рекомендации IMAC, Комитет рассмотрел состояние выполнения своих предыдущих рекомендаций: были выполнены четыре из шести рекомендаций IMAC 2015 года; шесть из девяти рекомендаций 2014 года; семь из</w:t>
      </w:r>
      <w:r w:rsidR="00F50FD8">
        <w:rPr>
          <w:lang w:val="en-US"/>
        </w:rPr>
        <w:t> </w:t>
      </w:r>
      <w:r w:rsidRPr="00C92246">
        <w:rPr>
          <w:lang w:val="ru-RU"/>
        </w:rPr>
        <w:t>восьми рекомендаций 2013 года; и пять из шести рекомендаций 2012 года.</w:t>
      </w:r>
    </w:p>
    <w:p w:rsidR="00C92246" w:rsidRPr="00C92246" w:rsidRDefault="00C92246" w:rsidP="00F50FD8">
      <w:pPr>
        <w:rPr>
          <w:lang w:val="ru-RU"/>
        </w:rPr>
      </w:pPr>
      <w:r w:rsidRPr="00C92246">
        <w:rPr>
          <w:lang w:val="ru-RU"/>
        </w:rPr>
        <w:t>2.2</w:t>
      </w:r>
      <w:r w:rsidRPr="00C92246">
        <w:rPr>
          <w:lang w:val="ru-RU"/>
        </w:rPr>
        <w:tab/>
        <w:t>Комитет отметил прогресс, достигнутый в выполнении его предыдущих рекомендаций. Подробные статистические данные по уровню выполнения рекомендаций IMAC представлены в</w:t>
      </w:r>
      <w:r w:rsidR="00F50FD8">
        <w:rPr>
          <w:lang w:val="en-US"/>
        </w:rPr>
        <w:t> </w:t>
      </w:r>
      <w:r w:rsidRPr="00C92246">
        <w:rPr>
          <w:lang w:val="ru-RU"/>
        </w:rPr>
        <w:t>Приложении 1.</w:t>
      </w:r>
    </w:p>
    <w:p w:rsidR="00C92246" w:rsidRPr="00C92246" w:rsidRDefault="00C92246" w:rsidP="00F50FD8">
      <w:pPr>
        <w:rPr>
          <w:lang w:val="ru-RU"/>
        </w:rPr>
      </w:pPr>
      <w:r w:rsidRPr="00C92246">
        <w:rPr>
          <w:lang w:val="ru-RU"/>
        </w:rPr>
        <w:t>2.3</w:t>
      </w:r>
      <w:r w:rsidRPr="00C92246">
        <w:rPr>
          <w:lang w:val="ru-RU"/>
        </w:rPr>
        <w:tab/>
        <w:t>Совету предлагается принять к сведению, что в четвертом ежегодном отчете IMAC в</w:t>
      </w:r>
      <w:r w:rsidR="00F50FD8">
        <w:rPr>
          <w:lang w:val="en-US"/>
        </w:rPr>
        <w:t> </w:t>
      </w:r>
      <w:r w:rsidRPr="00C92246">
        <w:rPr>
          <w:lang w:val="ru-RU"/>
        </w:rPr>
        <w:t>2015</w:t>
      </w:r>
      <w:r w:rsidR="00F50FD8">
        <w:rPr>
          <w:lang w:val="en-US"/>
        </w:rPr>
        <w:t> </w:t>
      </w:r>
      <w:r w:rsidRPr="00C92246">
        <w:rPr>
          <w:lang w:val="ru-RU"/>
        </w:rPr>
        <w:t>году Комитет обратил внимание на изменения в своем круге ведения, который был утвержден Полномочной конференцией в Пусане в 2014 году (ПК</w:t>
      </w:r>
      <w:r w:rsidR="00F50FD8" w:rsidRPr="00F50FD8">
        <w:rPr>
          <w:lang w:val="ru-RU"/>
        </w:rPr>
        <w:t>-</w:t>
      </w:r>
      <w:r w:rsidRPr="00C92246">
        <w:rPr>
          <w:lang w:val="ru-RU"/>
        </w:rPr>
        <w:t>14). Одно из этих изменений (пункт 2 круга ведения) неумышленно привело к лишению Комитета важного мандата: консультировать Совет относительно мер, принимаемых руководством МСЭ в связи с рекомендациями по аудиту. Тем</w:t>
      </w:r>
      <w:r w:rsidR="00F50FD8">
        <w:rPr>
          <w:lang w:val="en-US"/>
        </w:rPr>
        <w:t> </w:t>
      </w:r>
      <w:r w:rsidRPr="00C92246">
        <w:rPr>
          <w:lang w:val="ru-RU"/>
        </w:rPr>
        <w:t>не</w:t>
      </w:r>
      <w:r w:rsidR="00F50FD8">
        <w:rPr>
          <w:lang w:val="en-US"/>
        </w:rPr>
        <w:t> </w:t>
      </w:r>
      <w:r w:rsidRPr="00C92246">
        <w:rPr>
          <w:lang w:val="ru-RU"/>
        </w:rPr>
        <w:t>менее данная обязанность является традиционным и необходимым положением, обеспечивающим подотчетность. Ввиду этого IMAC рекомендовал восстановить данное положение на ПК</w:t>
      </w:r>
      <w:r w:rsidR="00F50FD8" w:rsidRPr="00F50FD8">
        <w:rPr>
          <w:lang w:val="ru-RU"/>
        </w:rPr>
        <w:t>-</w:t>
      </w:r>
      <w:r w:rsidRPr="00C92246">
        <w:rPr>
          <w:lang w:val="ru-RU"/>
        </w:rPr>
        <w:t>18. До тех пор, во избежание путаницы или недоразумений относительно роли IMAC Комитет выразил свое намерение продолжать выполнять функции по данному аспекту своей роли и</w:t>
      </w:r>
      <w:r w:rsidR="00F50FD8">
        <w:rPr>
          <w:lang w:val="en-US"/>
        </w:rPr>
        <w:t> </w:t>
      </w:r>
      <w:r w:rsidRPr="00C92246">
        <w:rPr>
          <w:lang w:val="ru-RU"/>
        </w:rPr>
        <w:t>предложил Совету поддержать такой порядок действий IMAC.</w:t>
      </w:r>
    </w:p>
    <w:p w:rsidR="00C92246" w:rsidRPr="00C92246" w:rsidRDefault="00C92246" w:rsidP="00F50FD8">
      <w:pPr>
        <w:pStyle w:val="Heading1"/>
        <w:rPr>
          <w:lang w:val="ru-RU"/>
        </w:rPr>
      </w:pPr>
      <w:r w:rsidRPr="00C92246">
        <w:rPr>
          <w:lang w:val="ru-RU"/>
        </w:rPr>
        <w:t>3</w:t>
      </w:r>
      <w:r w:rsidRPr="00C92246">
        <w:rPr>
          <w:lang w:val="ru-RU"/>
        </w:rPr>
        <w:tab/>
        <w:t>Основные обсуждаемые вопросы, выводы и рекомендации на 2016 год</w:t>
      </w:r>
    </w:p>
    <w:p w:rsidR="00C92246" w:rsidRPr="00C92246" w:rsidRDefault="00C92246" w:rsidP="00F50FD8">
      <w:pPr>
        <w:pStyle w:val="Headingb"/>
        <w:rPr>
          <w:lang w:val="ru-RU"/>
        </w:rPr>
      </w:pPr>
      <w:r w:rsidRPr="00C92246">
        <w:rPr>
          <w:lang w:val="ru-RU"/>
        </w:rPr>
        <w:t>Внутренний контроль</w:t>
      </w:r>
    </w:p>
    <w:p w:rsidR="00C92246" w:rsidRPr="00C92246" w:rsidRDefault="00C92246" w:rsidP="00C92246">
      <w:pPr>
        <w:rPr>
          <w:lang w:val="ru-RU"/>
        </w:rPr>
      </w:pPr>
      <w:r w:rsidRPr="00C92246">
        <w:rPr>
          <w:lang w:val="ru-RU"/>
        </w:rPr>
        <w:t>3.1</w:t>
      </w:r>
      <w:r w:rsidRPr="00C92246">
        <w:rPr>
          <w:lang w:val="ru-RU"/>
        </w:rPr>
        <w:tab/>
        <w:t>IMAC с удовлетворением отметил в своем четвертом ежегодном отчете, что публикация заявления о внутреннем контроле вместе с Отчетом о финансовой деятельности теперь является частью регулярной процедуры в МСЭ.</w:t>
      </w:r>
    </w:p>
    <w:p w:rsidR="00C92246" w:rsidRPr="00C92246" w:rsidRDefault="00C92246" w:rsidP="00C92246">
      <w:pPr>
        <w:rPr>
          <w:lang w:val="ru-RU"/>
        </w:rPr>
      </w:pPr>
      <w:r w:rsidRPr="00C92246">
        <w:rPr>
          <w:lang w:val="ru-RU"/>
        </w:rPr>
        <w:t>3.2</w:t>
      </w:r>
      <w:r w:rsidRPr="00C92246">
        <w:rPr>
          <w:lang w:val="ru-RU"/>
        </w:rPr>
        <w:tab/>
        <w:t>Комитет отметил, что с 2015 года заявление о внутреннем контроле поддерживается удостоверениями, которые высшее руководство дает Генеральному секретарю в том, что они выполнили свои обязательства в связи с системой внутреннего контроля.</w:t>
      </w:r>
    </w:p>
    <w:p w:rsidR="00C92246" w:rsidRPr="00C92246" w:rsidRDefault="00C92246" w:rsidP="00F50FD8">
      <w:pPr>
        <w:pStyle w:val="Headingb"/>
        <w:rPr>
          <w:lang w:val="ru-RU"/>
        </w:rPr>
      </w:pPr>
      <w:r w:rsidRPr="00C92246">
        <w:rPr>
          <w:lang w:val="ru-RU"/>
        </w:rPr>
        <w:t>Управление финансами</w:t>
      </w:r>
    </w:p>
    <w:p w:rsidR="00C92246" w:rsidRPr="00C92246" w:rsidRDefault="00C92246" w:rsidP="00C92246">
      <w:pPr>
        <w:rPr>
          <w:lang w:val="ru-RU"/>
        </w:rPr>
      </w:pPr>
      <w:r w:rsidRPr="00C92246">
        <w:rPr>
          <w:lang w:val="ru-RU"/>
        </w:rPr>
        <w:t>3.3</w:t>
      </w:r>
      <w:r w:rsidRPr="00C92246">
        <w:rPr>
          <w:lang w:val="ru-RU"/>
        </w:rPr>
        <w:tab/>
        <w:t>Комитет был проинформирован о политике негативной процентной ставки, которую швейцарские банки применяют к суммам более 10 млн. швейцарских франков, в связи с чем МСЭ следует постоянно осуществлять мониторинг.</w:t>
      </w:r>
    </w:p>
    <w:p w:rsidR="00C92246" w:rsidRPr="00C92246" w:rsidRDefault="00C92246" w:rsidP="00F50FD8">
      <w:pPr>
        <w:rPr>
          <w:lang w:val="ru-RU"/>
        </w:rPr>
      </w:pPr>
      <w:r w:rsidRPr="00C92246">
        <w:rPr>
          <w:lang w:val="ru-RU"/>
        </w:rPr>
        <w:t>3.4</w:t>
      </w:r>
      <w:r w:rsidRPr="00C92246">
        <w:rPr>
          <w:lang w:val="ru-RU"/>
        </w:rPr>
        <w:tab/>
        <w:t>Комитет рассмотрел проект Отчета о финансовой деятельности. IMAC обсудил с</w:t>
      </w:r>
      <w:r w:rsidR="00F50FD8">
        <w:rPr>
          <w:lang w:val="en-US"/>
        </w:rPr>
        <w:t> </w:t>
      </w:r>
      <w:r w:rsidRPr="00C92246">
        <w:rPr>
          <w:lang w:val="ru-RU"/>
        </w:rPr>
        <w:t>руководством ряд пунктов финансовой отчетности и примечаний и предложил ряд изменений в их представлении. Комитет обсудил актуарные допущения, связанные с обязательствами по</w:t>
      </w:r>
      <w:r w:rsidR="00F50FD8">
        <w:rPr>
          <w:lang w:val="en-US"/>
        </w:rPr>
        <w:t> </w:t>
      </w:r>
      <w:r w:rsidRPr="00C92246">
        <w:rPr>
          <w:lang w:val="ru-RU"/>
        </w:rPr>
        <w:t>медицинскому страхованию после выхода в отставку (АСХИ); представление информации по</w:t>
      </w:r>
      <w:r w:rsidR="00F50FD8">
        <w:rPr>
          <w:lang w:val="en-US"/>
        </w:rPr>
        <w:t> </w:t>
      </w:r>
      <w:r w:rsidRPr="00C92246">
        <w:rPr>
          <w:lang w:val="ru-RU"/>
        </w:rPr>
        <w:t>сегментам; общие финансовые результаты за 2015 год; а также необходимые изменения формата Отчета о финансовой деятельности.</w:t>
      </w:r>
    </w:p>
    <w:p w:rsidR="00C92246" w:rsidRPr="00C92246" w:rsidRDefault="00C92246" w:rsidP="00F50FD8">
      <w:pPr>
        <w:rPr>
          <w:lang w:val="ru-RU"/>
        </w:rPr>
      </w:pPr>
      <w:r w:rsidRPr="00C92246">
        <w:rPr>
          <w:lang w:val="ru-RU"/>
        </w:rPr>
        <w:t>3.5</w:t>
      </w:r>
      <w:r w:rsidRPr="00C92246">
        <w:rPr>
          <w:lang w:val="ru-RU"/>
        </w:rPr>
        <w:tab/>
        <w:t>Комитет обсудил воздействие обязательств по АСХИ на финансовое положение Союза и</w:t>
      </w:r>
      <w:r w:rsidR="00F50FD8">
        <w:rPr>
          <w:lang w:val="en-US"/>
        </w:rPr>
        <w:t> </w:t>
      </w:r>
      <w:r w:rsidRPr="00C92246">
        <w:rPr>
          <w:lang w:val="ru-RU"/>
        </w:rPr>
        <w:t>рекомендовал руководству разработать план финансирования этих обязательств на будущее. IMAC также рекомендовал руководству отслеживать меры, принимаемые другими организациями системы ООН по вопросу АСХИ. Рабочая группа по АСХИ, созданная на уровне ООН, в своем заключительном докладе в 2018 году представит рекомендации Координационному совету руководителей системы ООН (КСР).</w:t>
      </w:r>
    </w:p>
    <w:p w:rsidR="00C92246" w:rsidRPr="00C92246" w:rsidRDefault="00C92246" w:rsidP="00C92246">
      <w:pPr>
        <w:rPr>
          <w:lang w:val="ru-RU"/>
        </w:rPr>
      </w:pPr>
      <w:r w:rsidRPr="00C92246">
        <w:rPr>
          <w:lang w:val="ru-RU"/>
        </w:rPr>
        <w:t>3.6</w:t>
      </w:r>
      <w:r w:rsidRPr="00C92246">
        <w:rPr>
          <w:lang w:val="ru-RU"/>
        </w:rPr>
        <w:tab/>
        <w:t>Внешний аудитор поднял вопрос об использовании в качестве базы для ставки дисконтирования при расчете актуарной стоимости АСХИ процентной ставки швейцарских облигаций, а не процентных ставок корпоративных облигаций. IMAC рекомендовал руководству обсудить со своими актуариями вопрос о дисконтной ставке, подлежащей применению, и о ее потенциальном воздействии на обязательства по АСХИ, если таковое будет наблюдаться.</w:t>
      </w:r>
    </w:p>
    <w:p w:rsidR="00C92246" w:rsidRPr="00C92246" w:rsidRDefault="00C92246" w:rsidP="00C92246">
      <w:pPr>
        <w:rPr>
          <w:lang w:val="ru-RU"/>
        </w:rPr>
      </w:pPr>
      <w:r w:rsidRPr="00C92246">
        <w:rPr>
          <w:lang w:val="ru-RU"/>
        </w:rPr>
        <w:t>3.7</w:t>
      </w:r>
      <w:r w:rsidRPr="00C92246">
        <w:rPr>
          <w:lang w:val="ru-RU"/>
        </w:rPr>
        <w:tab/>
        <w:t>Комитет также обсудил вопрос о представлении основных финансовых показателей, которые были включены в Отчет о финансовой деятельности в соответствии с рекомендацией Рабочей группы Совета по финансовым и людским ресурсам. Комитет считает, что подобная информация не должна включаться в финансовую отчетность. Данная информация может представляться руководством в его отчете.</w:t>
      </w:r>
    </w:p>
    <w:p w:rsidR="00C92246" w:rsidRDefault="00C92246" w:rsidP="00F50FD8">
      <w:pPr>
        <w:spacing w:after="120"/>
        <w:rPr>
          <w:lang w:val="ru-RU"/>
        </w:rPr>
      </w:pPr>
      <w:r w:rsidRPr="00C92246">
        <w:rPr>
          <w:lang w:val="ru-RU"/>
        </w:rPr>
        <w:t>3.8</w:t>
      </w:r>
      <w:r w:rsidRPr="00C92246">
        <w:rPr>
          <w:lang w:val="ru-RU"/>
        </w:rPr>
        <w:tab/>
        <w:t>Комитет также обсудил с руководством проблему, являющуюся следствием предстоящих изменений в системе ООН относительно возраста прекращения службы, которые, если они будут применяться, будут иметь для организации финансовые последствия. Согласно Финансовому плану Союза на 2016–2019 годы, треть выходящих на пенсию сотрудников не будет заменена. В силу рекомендации ООН, которой предлагается с 2018 года установить обязательный возраст выхода на</w:t>
      </w:r>
      <w:r w:rsidR="00F50FD8">
        <w:rPr>
          <w:lang w:val="en-US"/>
        </w:rPr>
        <w:t> </w:t>
      </w:r>
      <w:r w:rsidRPr="00C92246">
        <w:rPr>
          <w:lang w:val="ru-RU"/>
        </w:rPr>
        <w:t>пенсию в 65 лет, перед МСЭ встанет финансовая проблема применительно к сотрудникам, у</w:t>
      </w:r>
      <w:r w:rsidR="00F50FD8">
        <w:rPr>
          <w:lang w:val="en-US"/>
        </w:rPr>
        <w:t> </w:t>
      </w:r>
      <w:r w:rsidRPr="00C92246">
        <w:rPr>
          <w:lang w:val="ru-RU"/>
        </w:rPr>
        <w:t>которых будет вариант выбора – остаться в организации с 62 до 65 лет. Вследствие этого была выявлена потенциальная нехватка 8,3 млн. швейцарских франков (18 должностей определены как не</w:t>
      </w:r>
      <w:r w:rsidR="00F50FD8">
        <w:rPr>
          <w:lang w:val="en-US"/>
        </w:rPr>
        <w:t> </w:t>
      </w:r>
      <w:r w:rsidRPr="00C92246">
        <w:rPr>
          <w:lang w:val="ru-RU"/>
        </w:rPr>
        <w:t>предусмотренные в бюджете, если сотрудники решат остаться до 65 лет). Был определен вариант досрочного прекращения службы, поддерживаемый снятием с Резервного счета 3 млн. швейцарских франков, который был утвержден внеочередной сессией Совета в 2015 году в Пусане в Решении 582. Вследствие этого Совету понадобится принять решение об утверждении обязательного возраста выхода на пенсию в 65 лет с 1 января 2018 года, чтобы это можно было учитывать при разработке двухгодичного бюджета на 2018–2019 годы.</w:t>
      </w:r>
    </w:p>
    <w:tbl>
      <w:tblPr>
        <w:tblStyle w:val="TableGrid"/>
        <w:tblW w:w="0" w:type="auto"/>
        <w:tblLook w:val="04A0" w:firstRow="1" w:lastRow="0" w:firstColumn="1" w:lastColumn="0" w:noHBand="0" w:noVBand="1"/>
      </w:tblPr>
      <w:tblGrid>
        <w:gridCol w:w="9629"/>
      </w:tblGrid>
      <w:tr w:rsidR="00F50FD8" w:rsidRPr="004B4843" w:rsidTr="00F50FD8">
        <w:tc>
          <w:tcPr>
            <w:tcW w:w="9629" w:type="dxa"/>
          </w:tcPr>
          <w:p w:rsidR="00F50FD8" w:rsidRPr="00C92246" w:rsidRDefault="00F50FD8" w:rsidP="00F50FD8">
            <w:pPr>
              <w:rPr>
                <w:lang w:val="ru-RU"/>
              </w:rPr>
            </w:pPr>
            <w:r w:rsidRPr="00F50FD8">
              <w:rPr>
                <w:b/>
                <w:bCs/>
                <w:lang w:val="ru-RU"/>
              </w:rPr>
              <w:t>Рекомендация 1 (2016 г.)</w:t>
            </w:r>
            <w:r>
              <w:rPr>
                <w:lang w:val="ru-RU"/>
              </w:rPr>
              <w:t xml:space="preserve">: </w:t>
            </w:r>
            <w:r w:rsidRPr="00C92246">
              <w:rPr>
                <w:lang w:val="ru-RU"/>
              </w:rPr>
              <w:t>IMAC рекомендует включать информацию, касающуюся ключевых показателей финансовой деятельности, в предисловие Генерального секретаря к Отчету о</w:t>
            </w:r>
            <w:r>
              <w:rPr>
                <w:lang w:val="en-US"/>
              </w:rPr>
              <w:t> </w:t>
            </w:r>
            <w:r w:rsidRPr="00C92246">
              <w:rPr>
                <w:lang w:val="ru-RU"/>
              </w:rPr>
              <w:t>финансовой деятельности, а не в финансовую отчетность.</w:t>
            </w:r>
          </w:p>
          <w:p w:rsidR="00F50FD8" w:rsidRPr="00C92246" w:rsidRDefault="00F50FD8" w:rsidP="00F50FD8">
            <w:pPr>
              <w:rPr>
                <w:lang w:val="ru-RU"/>
              </w:rPr>
            </w:pPr>
            <w:r w:rsidRPr="00F50FD8">
              <w:rPr>
                <w:b/>
                <w:bCs/>
                <w:lang w:val="ru-RU"/>
              </w:rPr>
              <w:t>Рекомендация 2 (2016 г.)</w:t>
            </w:r>
            <w:r>
              <w:rPr>
                <w:lang w:val="ru-RU"/>
              </w:rPr>
              <w:t>:</w:t>
            </w:r>
            <w:r w:rsidRPr="00C92246">
              <w:rPr>
                <w:lang w:val="ru-RU"/>
              </w:rPr>
              <w:t xml:space="preserve"> IMAC рекомендует включать в отчет руководства Отчета о финансовой деятельности удостоверение финансовой отчетности за год, закончившийся 31 декабря 2015 года.</w:t>
            </w:r>
          </w:p>
          <w:p w:rsidR="00F50FD8" w:rsidRPr="00C92246" w:rsidRDefault="00F50FD8" w:rsidP="00F50FD8">
            <w:pPr>
              <w:rPr>
                <w:lang w:val="ru-RU"/>
              </w:rPr>
            </w:pPr>
            <w:r w:rsidRPr="00F50FD8">
              <w:rPr>
                <w:b/>
                <w:bCs/>
                <w:lang w:val="ru-RU"/>
              </w:rPr>
              <w:t>Рекомендация 3 (2016 г.)</w:t>
            </w:r>
            <w:r>
              <w:rPr>
                <w:lang w:val="ru-RU"/>
              </w:rPr>
              <w:t xml:space="preserve">: </w:t>
            </w:r>
            <w:r w:rsidRPr="00C92246">
              <w:rPr>
                <w:lang w:val="ru-RU"/>
              </w:rPr>
              <w:t>IMAC рекомендует МСЭ далее изучить вместе со своими актуариями вопрос об использовании в качестве базы для ставки дисконтирования при расчете актуарной стоимости АСХИ процентной ставки швейцарских облигаций, а не процентных ставок корпоративных облигаций, а также о потенциальном воздействии этого, если таковое будет иметь место.</w:t>
            </w:r>
          </w:p>
          <w:p w:rsidR="00F50FD8" w:rsidRPr="00C92246" w:rsidRDefault="00F50FD8" w:rsidP="00F50FD8">
            <w:pPr>
              <w:rPr>
                <w:lang w:val="ru-RU"/>
              </w:rPr>
            </w:pPr>
            <w:r w:rsidRPr="00F50FD8">
              <w:rPr>
                <w:b/>
                <w:bCs/>
                <w:lang w:val="ru-RU"/>
              </w:rPr>
              <w:t>Рекомендация 4 (2016 г.)</w:t>
            </w:r>
            <w:r>
              <w:rPr>
                <w:lang w:val="ru-RU"/>
              </w:rPr>
              <w:t>:</w:t>
            </w:r>
            <w:r w:rsidRPr="00C92246">
              <w:rPr>
                <w:lang w:val="ru-RU"/>
              </w:rPr>
              <w:t xml:space="preserve"> IMAC рекомендует руководству МСЭ следить за обсуждениями, проходящими в рабочей группе ООН по вопросам АСХИ, и разработать план финансирования этих обязательств в будущем.</w:t>
            </w:r>
          </w:p>
          <w:p w:rsidR="00F50FD8" w:rsidRPr="00F50FD8" w:rsidRDefault="00F50FD8" w:rsidP="00F50FD8">
            <w:pPr>
              <w:spacing w:after="120"/>
              <w:rPr>
                <w:lang w:val="ru-RU"/>
              </w:rPr>
            </w:pPr>
            <w:r w:rsidRPr="00F50FD8">
              <w:rPr>
                <w:b/>
                <w:bCs/>
                <w:lang w:val="ru-RU"/>
              </w:rPr>
              <w:t>Рекомендация 5 (2016 г.)</w:t>
            </w:r>
            <w:r>
              <w:rPr>
                <w:lang w:val="ru-RU"/>
              </w:rPr>
              <w:t xml:space="preserve">: </w:t>
            </w:r>
            <w:r w:rsidRPr="00C92246">
              <w:rPr>
                <w:lang w:val="ru-RU"/>
              </w:rPr>
              <w:t>IMAC рекомендует улучшить представление и удобство для чтения финансовой отчетности, в частности снять ссылки на информацию о переходе на IPSAS, если они не</w:t>
            </w:r>
            <w:r>
              <w:rPr>
                <w:lang w:val="en-US"/>
              </w:rPr>
              <w:t> </w:t>
            </w:r>
            <w:r w:rsidRPr="00C92246">
              <w:rPr>
                <w:lang w:val="ru-RU"/>
              </w:rPr>
              <w:t>требуются стандартами, в связи с прошествием времени.</w:t>
            </w:r>
          </w:p>
        </w:tc>
      </w:tr>
    </w:tbl>
    <w:p w:rsidR="00C92246" w:rsidRPr="00C92246" w:rsidRDefault="00C92246" w:rsidP="00E329BA">
      <w:pPr>
        <w:pStyle w:val="Headingb"/>
        <w:spacing w:before="360"/>
        <w:rPr>
          <w:lang w:val="ru-RU"/>
        </w:rPr>
      </w:pPr>
      <w:r w:rsidRPr="00C92246">
        <w:rPr>
          <w:lang w:val="ru-RU"/>
        </w:rPr>
        <w:t xml:space="preserve">Управление рисками </w:t>
      </w:r>
    </w:p>
    <w:p w:rsidR="00C92246" w:rsidRPr="00C92246" w:rsidRDefault="00C92246" w:rsidP="00F50FD8">
      <w:pPr>
        <w:rPr>
          <w:lang w:val="ru-RU"/>
        </w:rPr>
      </w:pPr>
      <w:r w:rsidRPr="00C92246">
        <w:rPr>
          <w:lang w:val="ru-RU"/>
        </w:rPr>
        <w:t>3.9</w:t>
      </w:r>
      <w:r w:rsidRPr="00C92246">
        <w:rPr>
          <w:lang w:val="ru-RU"/>
        </w:rPr>
        <w:tab/>
        <w:t>IMAC рассмотрел прогресс, достигнутый в реализации системного подхода к управлению рисками в МСЭ, и дал ему высокую оценку. Принятый подход, предусматривающий разработку и</w:t>
      </w:r>
      <w:r w:rsidR="00F50FD8">
        <w:rPr>
          <w:lang w:val="en-US"/>
        </w:rPr>
        <w:t> </w:t>
      </w:r>
      <w:r w:rsidRPr="00C92246">
        <w:rPr>
          <w:lang w:val="ru-RU"/>
        </w:rPr>
        <w:t>поддержание списка основных рисков, определение ответственных по рискам для внедрения мер по их смягчению, а также периодическое рассмотрение на уровне высшего руководства в рамках процесса мониторинга реализации оперативных планов МСЭ, соответствует рекомендации 4 IMAC (2015 г</w:t>
      </w:r>
      <w:r w:rsidR="00F50FD8" w:rsidRPr="00F50FD8">
        <w:rPr>
          <w:lang w:val="ru-RU"/>
        </w:rPr>
        <w:t>.</w:t>
      </w:r>
      <w:r w:rsidRPr="00C92246">
        <w:rPr>
          <w:lang w:val="ru-RU"/>
        </w:rPr>
        <w:t>).</w:t>
      </w:r>
    </w:p>
    <w:p w:rsidR="00C92246" w:rsidRPr="00C92246" w:rsidRDefault="00C92246" w:rsidP="00F50FD8">
      <w:pPr>
        <w:rPr>
          <w:lang w:val="ru-RU"/>
        </w:rPr>
      </w:pPr>
      <w:r w:rsidRPr="00C92246">
        <w:rPr>
          <w:lang w:val="ru-RU"/>
        </w:rPr>
        <w:t>3.10</w:t>
      </w:r>
      <w:r w:rsidRPr="00C92246">
        <w:rPr>
          <w:lang w:val="ru-RU"/>
        </w:rPr>
        <w:tab/>
        <w:t>IMAC рассмотрел преимущества подхода к управлению рисками для реализации основных проектов и предложил руководству МСЭ рассмотреть вопрос о принятии надежного подхода к</w:t>
      </w:r>
      <w:r w:rsidR="00F50FD8">
        <w:rPr>
          <w:lang w:val="en-US"/>
        </w:rPr>
        <w:t> </w:t>
      </w:r>
      <w:r w:rsidRPr="00C92246">
        <w:rPr>
          <w:lang w:val="ru-RU"/>
        </w:rPr>
        <w:t>управлению рисками на уровне проектов.</w:t>
      </w:r>
    </w:p>
    <w:p w:rsidR="00C92246" w:rsidRPr="00C92246" w:rsidRDefault="00C92246" w:rsidP="00F50FD8">
      <w:pPr>
        <w:rPr>
          <w:lang w:val="ru-RU"/>
        </w:rPr>
      </w:pPr>
      <w:r w:rsidRPr="00C92246">
        <w:rPr>
          <w:lang w:val="ru-RU"/>
        </w:rPr>
        <w:t>3.11</w:t>
      </w:r>
      <w:r w:rsidRPr="00C92246">
        <w:rPr>
          <w:lang w:val="ru-RU"/>
        </w:rPr>
        <w:tab/>
        <w:t>Для дальнейшего развития общего управления рисками в МСЭ все еще требуется создать сводный регистр рисков на уровне организации, с тем чтобы обеспечить совокупный и целостный подход, который гарантировал бы определение соотношения рисков в различных областях и</w:t>
      </w:r>
      <w:r w:rsidR="00F50FD8">
        <w:rPr>
          <w:lang w:val="en-US"/>
        </w:rPr>
        <w:t> </w:t>
      </w:r>
      <w:r w:rsidRPr="00C92246">
        <w:rPr>
          <w:lang w:val="ru-RU"/>
        </w:rPr>
        <w:t>прозрачность общего уровня рисков. Этим сводным регистром рисков, где будут указаны старшие ответственные по рискам, следует управлять в рамках бизнес-процесса при периодическом рассмотрении на уровне высшего руководства. Со временем, как ранее рекомендовал IMAC, следует ввести мониторинг регистра рисков высокого уровня силами как высшего руководства, так</w:t>
      </w:r>
      <w:r w:rsidR="00F50FD8">
        <w:rPr>
          <w:lang w:val="en-US"/>
        </w:rPr>
        <w:t> </w:t>
      </w:r>
      <w:r w:rsidRPr="00C92246">
        <w:rPr>
          <w:lang w:val="ru-RU"/>
        </w:rPr>
        <w:t>и</w:t>
      </w:r>
      <w:r w:rsidR="00F50FD8">
        <w:rPr>
          <w:lang w:val="en-US"/>
        </w:rPr>
        <w:t> </w:t>
      </w:r>
      <w:r w:rsidRPr="00C92246">
        <w:rPr>
          <w:lang w:val="ru-RU"/>
        </w:rPr>
        <w:t>управляющего органа в качестве необходимого составного элемента надлежащего управления.</w:t>
      </w:r>
    </w:p>
    <w:p w:rsidR="00C92246" w:rsidRPr="00C92246" w:rsidRDefault="00C92246" w:rsidP="00F50FD8">
      <w:pPr>
        <w:rPr>
          <w:lang w:val="ru-RU"/>
        </w:rPr>
      </w:pPr>
      <w:r w:rsidRPr="00C92246">
        <w:rPr>
          <w:lang w:val="ru-RU"/>
        </w:rPr>
        <w:t>3.12</w:t>
      </w:r>
      <w:r w:rsidRPr="00C92246">
        <w:rPr>
          <w:lang w:val="ru-RU"/>
        </w:rPr>
        <w:tab/>
        <w:t>В настоящее время в регистрах рисков указываются ответственные по рискам, но обычно не</w:t>
      </w:r>
      <w:r w:rsidR="00F50FD8">
        <w:rPr>
          <w:lang w:val="en-US"/>
        </w:rPr>
        <w:t> </w:t>
      </w:r>
      <w:r w:rsidRPr="00C92246">
        <w:rPr>
          <w:lang w:val="ru-RU"/>
        </w:rPr>
        <w:t>конкретные лица, а организационные подразделения. Для обеспечения ответственности и</w:t>
      </w:r>
      <w:r w:rsidR="00F50FD8">
        <w:rPr>
          <w:lang w:val="en-US"/>
        </w:rPr>
        <w:t> </w:t>
      </w:r>
      <w:r w:rsidRPr="00C92246">
        <w:rPr>
          <w:lang w:val="ru-RU"/>
        </w:rPr>
        <w:t>в</w:t>
      </w:r>
      <w:r w:rsidR="00F50FD8">
        <w:rPr>
          <w:lang w:val="en-US"/>
        </w:rPr>
        <w:t> </w:t>
      </w:r>
      <w:r w:rsidRPr="00C92246">
        <w:rPr>
          <w:lang w:val="ru-RU"/>
        </w:rPr>
        <w:t>соответствии с передовым опытом IMAC обсудил с МСЭ возможность указания конкретных лиц в</w:t>
      </w:r>
      <w:r w:rsidR="00F50FD8">
        <w:rPr>
          <w:lang w:val="en-US"/>
        </w:rPr>
        <w:t> </w:t>
      </w:r>
      <w:r w:rsidRPr="00C92246">
        <w:rPr>
          <w:lang w:val="ru-RU"/>
        </w:rPr>
        <w:t>качестве ответственных по рискам.</w:t>
      </w:r>
    </w:p>
    <w:p w:rsidR="00C92246" w:rsidRPr="00C92246" w:rsidRDefault="00C92246" w:rsidP="00F50FD8">
      <w:pPr>
        <w:rPr>
          <w:lang w:val="ru-RU"/>
        </w:rPr>
      </w:pPr>
      <w:r w:rsidRPr="00C92246">
        <w:rPr>
          <w:lang w:val="ru-RU"/>
        </w:rPr>
        <w:t>3.13</w:t>
      </w:r>
      <w:r w:rsidRPr="00C92246">
        <w:rPr>
          <w:lang w:val="ru-RU"/>
        </w:rPr>
        <w:tab/>
        <w:t>После реализации управления рисками на уровне организации IMAC указал на значение перехода МСЭ к разработке и внедрению заявления о готовности к принятию рисков, которое становится все более значимым для установления в организации приемлемого уровня терпимости к</w:t>
      </w:r>
      <w:r w:rsidR="00F50FD8">
        <w:rPr>
          <w:lang w:val="en-US"/>
        </w:rPr>
        <w:t> </w:t>
      </w:r>
      <w:r w:rsidRPr="00C92246">
        <w:rPr>
          <w:lang w:val="ru-RU"/>
        </w:rPr>
        <w:t>рискам (например, нулевой уровень терпимости к мошенничеству и обеспечение соблюдения, а</w:t>
      </w:r>
      <w:r w:rsidR="00F50FD8">
        <w:rPr>
          <w:lang w:val="en-US"/>
        </w:rPr>
        <w:t> </w:t>
      </w:r>
      <w:r w:rsidRPr="00C92246">
        <w:rPr>
          <w:lang w:val="ru-RU"/>
        </w:rPr>
        <w:t>также бóльшая терпимость к рискам, связанным с инновациями) и налаживания соответствующего контроля. Комитет предоставил первоначальные консультации по этому вопросу и сможет и далее консультировать в будущем. Таким образом, IMAC предложил МСЭ подготовить проект политики управления рисками и заявления о готовности к принятию рисков для обсуждения.</w:t>
      </w:r>
    </w:p>
    <w:p w:rsidR="00C92246" w:rsidRDefault="00C92246" w:rsidP="00F50FD8">
      <w:pPr>
        <w:spacing w:after="120"/>
        <w:rPr>
          <w:lang w:val="ru-RU"/>
        </w:rPr>
      </w:pPr>
      <w:r w:rsidRPr="00C92246">
        <w:rPr>
          <w:lang w:val="ru-RU"/>
        </w:rPr>
        <w:t>3.14</w:t>
      </w:r>
      <w:r w:rsidRPr="00C92246">
        <w:rPr>
          <w:lang w:val="ru-RU"/>
        </w:rPr>
        <w:tab/>
        <w:t>Комитет также подчеркнул необходимость того, чтобы МСЭ внедрял меры внутреннего контроля в процесс управления рисками. Внедренные меры регулярного и автоматизированного контроля повысят устойчивость организации по отношению к рискам.</w:t>
      </w:r>
    </w:p>
    <w:tbl>
      <w:tblPr>
        <w:tblStyle w:val="TableGrid"/>
        <w:tblW w:w="0" w:type="auto"/>
        <w:tblLook w:val="04A0" w:firstRow="1" w:lastRow="0" w:firstColumn="1" w:lastColumn="0" w:noHBand="0" w:noVBand="1"/>
      </w:tblPr>
      <w:tblGrid>
        <w:gridCol w:w="9629"/>
      </w:tblGrid>
      <w:tr w:rsidR="00F50FD8" w:rsidRPr="004B4843" w:rsidTr="00F50FD8">
        <w:tc>
          <w:tcPr>
            <w:tcW w:w="9629" w:type="dxa"/>
          </w:tcPr>
          <w:p w:rsidR="00F50FD8" w:rsidRPr="00C92246" w:rsidRDefault="00F50FD8" w:rsidP="00F50FD8">
            <w:pPr>
              <w:rPr>
                <w:lang w:val="ru-RU"/>
              </w:rPr>
            </w:pPr>
            <w:r w:rsidRPr="00F50FD8">
              <w:rPr>
                <w:b/>
                <w:bCs/>
                <w:lang w:val="ru-RU"/>
              </w:rPr>
              <w:t>Рекомендация 6 (2016 г.)</w:t>
            </w:r>
            <w:r>
              <w:rPr>
                <w:lang w:val="ru-RU"/>
              </w:rPr>
              <w:t xml:space="preserve">: </w:t>
            </w:r>
            <w:r w:rsidRPr="00C92246">
              <w:rPr>
                <w:lang w:val="ru-RU"/>
              </w:rPr>
              <w:t>IMAC рекомендует МСЭ разработать совокупный и целостный подход к</w:t>
            </w:r>
            <w:r>
              <w:rPr>
                <w:lang w:val="en-US"/>
              </w:rPr>
              <w:t> </w:t>
            </w:r>
            <w:r w:rsidRPr="00C92246">
              <w:rPr>
                <w:lang w:val="ru-RU"/>
              </w:rPr>
              <w:t>основным рискам высокого уровня на уровне организации.</w:t>
            </w:r>
          </w:p>
          <w:p w:rsidR="00F50FD8" w:rsidRPr="00C92246" w:rsidRDefault="00F50FD8" w:rsidP="00F50FD8">
            <w:pPr>
              <w:rPr>
                <w:lang w:val="ru-RU"/>
              </w:rPr>
            </w:pPr>
            <w:r w:rsidRPr="00F50FD8">
              <w:rPr>
                <w:b/>
                <w:bCs/>
                <w:lang w:val="ru-RU"/>
              </w:rPr>
              <w:t>Рекомендация 7 (2016 г.)</w:t>
            </w:r>
            <w:r>
              <w:rPr>
                <w:lang w:val="ru-RU"/>
              </w:rPr>
              <w:t xml:space="preserve">: </w:t>
            </w:r>
            <w:r w:rsidRPr="00C92246">
              <w:rPr>
                <w:lang w:val="ru-RU"/>
              </w:rPr>
              <w:t>IMAC рекомендует МСЭ документально отражать внедренные меры контроля в процессе управления рисками, с тем чтобы смягчать риски и выявлять пробелы в мерах контроля.</w:t>
            </w:r>
          </w:p>
          <w:p w:rsidR="00F50FD8" w:rsidRPr="00C92246" w:rsidRDefault="00F50FD8" w:rsidP="00F50FD8">
            <w:pPr>
              <w:rPr>
                <w:lang w:val="ru-RU"/>
              </w:rPr>
            </w:pPr>
            <w:r w:rsidRPr="00F50FD8">
              <w:rPr>
                <w:b/>
                <w:bCs/>
                <w:lang w:val="ru-RU"/>
              </w:rPr>
              <w:t>Рекомендация 8 (2016 г.)</w:t>
            </w:r>
            <w:r>
              <w:rPr>
                <w:lang w:val="ru-RU"/>
              </w:rPr>
              <w:t>:</w:t>
            </w:r>
            <w:r w:rsidRPr="00C92246">
              <w:rPr>
                <w:lang w:val="ru-RU"/>
              </w:rPr>
              <w:t xml:space="preserve"> IMAC рекомендует определять в системе управления рисками конкретных лиц в качестве ответственных по рискам.</w:t>
            </w:r>
          </w:p>
          <w:p w:rsidR="00F50FD8" w:rsidRPr="00F315C5" w:rsidRDefault="00F50FD8" w:rsidP="00F50FD8">
            <w:pPr>
              <w:spacing w:after="120"/>
              <w:rPr>
                <w:lang w:val="ru-RU"/>
              </w:rPr>
            </w:pPr>
            <w:r w:rsidRPr="00F50FD8">
              <w:rPr>
                <w:b/>
                <w:bCs/>
                <w:lang w:val="ru-RU"/>
              </w:rPr>
              <w:t>Рекомендация 9 (2016 г.)</w:t>
            </w:r>
            <w:r>
              <w:rPr>
                <w:lang w:val="ru-RU"/>
              </w:rPr>
              <w:t xml:space="preserve">: </w:t>
            </w:r>
            <w:r w:rsidRPr="00C92246">
              <w:rPr>
                <w:lang w:val="ru-RU"/>
              </w:rPr>
              <w:t>IMAC рекомендует МСЭ начать рассмотрение вопроса о подготовке политики управления рисками и заявления о готовности к принятию рисков.</w:t>
            </w:r>
          </w:p>
        </w:tc>
      </w:tr>
    </w:tbl>
    <w:p w:rsidR="00C92246" w:rsidRPr="00C92246" w:rsidRDefault="00C92246" w:rsidP="00E329BA">
      <w:pPr>
        <w:pStyle w:val="Headingb"/>
        <w:spacing w:before="360"/>
        <w:rPr>
          <w:lang w:val="ru-RU"/>
        </w:rPr>
      </w:pPr>
      <w:r w:rsidRPr="00C92246">
        <w:rPr>
          <w:lang w:val="ru-RU"/>
        </w:rPr>
        <w:t>Внешний аудит</w:t>
      </w:r>
    </w:p>
    <w:p w:rsidR="00C92246" w:rsidRPr="00C92246" w:rsidRDefault="00C92246" w:rsidP="00A241A3">
      <w:pPr>
        <w:rPr>
          <w:lang w:val="ru-RU"/>
        </w:rPr>
      </w:pPr>
      <w:r w:rsidRPr="00C92246">
        <w:rPr>
          <w:lang w:val="ru-RU"/>
        </w:rPr>
        <w:t>3.15</w:t>
      </w:r>
      <w:r w:rsidRPr="00C92246">
        <w:rPr>
          <w:lang w:val="ru-RU"/>
        </w:rPr>
        <w:tab/>
        <w:t xml:space="preserve">Комитет продолжил периодически встречаться с </w:t>
      </w:r>
      <w:r w:rsidR="00A241A3">
        <w:rPr>
          <w:lang w:val="ru-RU"/>
        </w:rPr>
        <w:t>В</w:t>
      </w:r>
      <w:r w:rsidRPr="00C92246">
        <w:rPr>
          <w:lang w:val="ru-RU"/>
        </w:rPr>
        <w:t>нешними аудиторами и обсуждать процесс разработки отчета о внешнем аудите.</w:t>
      </w:r>
    </w:p>
    <w:p w:rsidR="00C92246" w:rsidRPr="00C92246" w:rsidRDefault="00C92246" w:rsidP="00A241A3">
      <w:pPr>
        <w:rPr>
          <w:lang w:val="ru-RU"/>
        </w:rPr>
      </w:pPr>
      <w:r w:rsidRPr="00C92246">
        <w:rPr>
          <w:lang w:val="ru-RU"/>
        </w:rPr>
        <w:t>3.16</w:t>
      </w:r>
      <w:r w:rsidRPr="00C92246">
        <w:rPr>
          <w:lang w:val="ru-RU"/>
        </w:rPr>
        <w:tab/>
        <w:t xml:space="preserve">Комитет задал об этом процессе вопросы </w:t>
      </w:r>
      <w:r w:rsidR="00A241A3">
        <w:rPr>
          <w:lang w:val="ru-RU"/>
        </w:rPr>
        <w:t>В</w:t>
      </w:r>
      <w:r w:rsidRPr="00C92246">
        <w:rPr>
          <w:lang w:val="ru-RU"/>
        </w:rPr>
        <w:t>нешнему аудитору по следующим пунктам: независимость аудиторов; встречались ли серьезные трудности при проведении аудита; были ли случаи мошенничества, или нарушений, или препятствования работе аудиторов; неисправленные ошибки; какие-либо ограничения сферы охвата; оставшаяся невыполненной работа; аудиторское заключение; какие-либо отсутствующие отчеты; заключения по региональным отделениям и</w:t>
      </w:r>
      <w:r w:rsidR="00CA0272">
        <w:rPr>
          <w:lang w:val="en-US"/>
        </w:rPr>
        <w:t> </w:t>
      </w:r>
      <w:r w:rsidRPr="00C92246">
        <w:rPr>
          <w:lang w:val="ru-RU"/>
        </w:rPr>
        <w:t xml:space="preserve">фактическим уровням запасов; было ли направлено письмо руководству и каково было его содержание; эффективность внутреннего аудита; и последующие меры в связи с предыдущими рекомендациями </w:t>
      </w:r>
      <w:r w:rsidR="00A241A3">
        <w:rPr>
          <w:lang w:val="ru-RU"/>
        </w:rPr>
        <w:t>В</w:t>
      </w:r>
      <w:r w:rsidRPr="00C92246">
        <w:rPr>
          <w:lang w:val="ru-RU"/>
        </w:rPr>
        <w:t>нешнего аудитора.</w:t>
      </w:r>
    </w:p>
    <w:p w:rsidR="00C92246" w:rsidRPr="00C92246" w:rsidRDefault="00C92246" w:rsidP="00A241A3">
      <w:pPr>
        <w:rPr>
          <w:lang w:val="ru-RU"/>
        </w:rPr>
      </w:pPr>
      <w:r w:rsidRPr="00C92246">
        <w:rPr>
          <w:lang w:val="ru-RU"/>
        </w:rPr>
        <w:t>3.17</w:t>
      </w:r>
      <w:r w:rsidRPr="00C92246">
        <w:rPr>
          <w:lang w:val="ru-RU"/>
        </w:rPr>
        <w:tab/>
        <w:t xml:space="preserve">IMAC задал вопросы относительно предстоящих изменений сферы охвата и формата отчета об аудите (отчетность по основным вопросам аудита), которые будут произведены в результате изменения международных стандартов аудита в 2017 году. Комитет рекомендовал </w:t>
      </w:r>
      <w:r w:rsidR="00A241A3">
        <w:rPr>
          <w:lang w:val="ru-RU"/>
        </w:rPr>
        <w:t>В</w:t>
      </w:r>
      <w:r w:rsidRPr="00C92246">
        <w:rPr>
          <w:lang w:val="ru-RU"/>
        </w:rPr>
        <w:t>нешним аудиторам возможно скорее далее обсудить этот вопрос с руководством МСЭ и IMAC.</w:t>
      </w:r>
    </w:p>
    <w:p w:rsidR="00226E40" w:rsidRPr="00C92246" w:rsidRDefault="00C92246" w:rsidP="00CA0272">
      <w:pPr>
        <w:rPr>
          <w:lang w:val="ru-RU"/>
        </w:rPr>
      </w:pPr>
      <w:r w:rsidRPr="00C92246">
        <w:rPr>
          <w:lang w:val="ru-RU"/>
        </w:rPr>
        <w:t>3.18</w:t>
      </w:r>
      <w:r w:rsidRPr="00C92246">
        <w:rPr>
          <w:lang w:val="ru-RU"/>
        </w:rPr>
        <w:tab/>
        <w:t>IMAC отмечает, что отчет о внешнем аудите был недоступен для рассмотрения во время проведения 14</w:t>
      </w:r>
      <w:r w:rsidR="00CA0272" w:rsidRPr="00CA0272">
        <w:rPr>
          <w:lang w:val="ru-RU"/>
        </w:rPr>
        <w:t>-</w:t>
      </w:r>
      <w:r w:rsidRPr="00C92246">
        <w:rPr>
          <w:lang w:val="ru-RU"/>
        </w:rPr>
        <w:t>го собрания IMAC (9–11 мая 2016 года) и теперь представляется в виде дополнительного документа к настоящему отчету.</w:t>
      </w:r>
    </w:p>
    <w:p w:rsidR="00CA0272" w:rsidRPr="00CA0272" w:rsidRDefault="00CA0272" w:rsidP="00CA0272">
      <w:pPr>
        <w:pStyle w:val="Headingb"/>
        <w:rPr>
          <w:lang w:val="ru-RU"/>
        </w:rPr>
      </w:pPr>
      <w:r>
        <w:rPr>
          <w:lang w:val="ru-RU"/>
        </w:rPr>
        <w:t>Внутренний аудит</w:t>
      </w:r>
    </w:p>
    <w:p w:rsidR="00CA0272" w:rsidRPr="00CA0272" w:rsidRDefault="00CA0272" w:rsidP="00CA0272">
      <w:pPr>
        <w:rPr>
          <w:lang w:val="ru-RU"/>
        </w:rPr>
      </w:pPr>
      <w:r w:rsidRPr="00CA0272">
        <w:rPr>
          <w:lang w:val="ru-RU"/>
        </w:rPr>
        <w:t>3.19</w:t>
      </w:r>
      <w:r w:rsidRPr="00CA0272">
        <w:rPr>
          <w:lang w:val="ru-RU"/>
        </w:rPr>
        <w:tab/>
      </w:r>
      <w:proofErr w:type="gramStart"/>
      <w:r w:rsidRPr="00CA0272">
        <w:rPr>
          <w:lang w:val="ru-RU"/>
        </w:rPr>
        <w:t>В</w:t>
      </w:r>
      <w:proofErr w:type="gramEnd"/>
      <w:r w:rsidRPr="00CA0272">
        <w:rPr>
          <w:lang w:val="ru-RU"/>
        </w:rPr>
        <w:t xml:space="preserve"> течение последнего года IMAC продолжал отслеживать деятельность Подразделения внутреннего аудита МСЭ.</w:t>
      </w:r>
    </w:p>
    <w:p w:rsidR="00CA0272" w:rsidRPr="00CA0272" w:rsidRDefault="00CA0272" w:rsidP="00CA0272">
      <w:pPr>
        <w:rPr>
          <w:lang w:val="ru-RU"/>
        </w:rPr>
      </w:pPr>
      <w:r w:rsidRPr="00CA0272">
        <w:rPr>
          <w:lang w:val="ru-RU"/>
        </w:rPr>
        <w:t>3.20</w:t>
      </w:r>
      <w:r w:rsidRPr="00CA0272">
        <w:rPr>
          <w:lang w:val="ru-RU"/>
        </w:rPr>
        <w:tab/>
        <w:t xml:space="preserve">IMAC принял к сведению прогресс, достигнутый в рамках деятельности по внутреннему аудиту. Комитет рассмотрел информацию о результатах, содержащуюся в </w:t>
      </w:r>
      <w:r>
        <w:rPr>
          <w:lang w:val="ru-RU"/>
        </w:rPr>
        <w:t>отчетах об</w:t>
      </w:r>
      <w:r w:rsidRPr="00CA0272">
        <w:rPr>
          <w:lang w:val="ru-RU"/>
        </w:rPr>
        <w:t xml:space="preserve"> аудит</w:t>
      </w:r>
      <w:r>
        <w:rPr>
          <w:lang w:val="ru-RU"/>
        </w:rPr>
        <w:t>е</w:t>
      </w:r>
      <w:r w:rsidRPr="00CA0272">
        <w:rPr>
          <w:lang w:val="ru-RU"/>
        </w:rPr>
        <w:t xml:space="preserve"> за</w:t>
      </w:r>
      <w:r>
        <w:rPr>
          <w:lang w:val="ru-RU"/>
        </w:rPr>
        <w:t> </w:t>
      </w:r>
      <w:r w:rsidRPr="00CA0272">
        <w:rPr>
          <w:lang w:val="ru-RU"/>
        </w:rPr>
        <w:t>2015/2016 гг.</w:t>
      </w:r>
    </w:p>
    <w:p w:rsidR="00CA0272" w:rsidRPr="00CA0272" w:rsidRDefault="00CA0272" w:rsidP="00CA0272">
      <w:pPr>
        <w:rPr>
          <w:lang w:val="ru-RU"/>
        </w:rPr>
      </w:pPr>
      <w:r>
        <w:rPr>
          <w:lang w:val="ru-RU"/>
        </w:rPr>
        <w:t>3</w:t>
      </w:r>
      <w:r w:rsidRPr="00CA0272">
        <w:rPr>
          <w:lang w:val="ru-RU"/>
        </w:rPr>
        <w:t>.</w:t>
      </w:r>
      <w:r>
        <w:rPr>
          <w:lang w:val="ru-RU"/>
        </w:rPr>
        <w:t>21</w:t>
      </w:r>
      <w:r w:rsidRPr="00CA0272">
        <w:rPr>
          <w:lang w:val="ru-RU"/>
        </w:rPr>
        <w:tab/>
        <w:t xml:space="preserve">Изучив отчет о деятельности, связанной с аудитом, Комитет заметил, что в 2015 году временные и другие ресурсы, выделенные на координацию работы с Внешним аудитором, не были </w:t>
      </w:r>
      <w:r>
        <w:rPr>
          <w:lang w:val="ru-RU"/>
        </w:rPr>
        <w:t>использованы</w:t>
      </w:r>
      <w:r w:rsidRPr="00CA0272">
        <w:rPr>
          <w:lang w:val="ru-RU"/>
        </w:rPr>
        <w:t xml:space="preserve">. Необходимо расширить масштаб и повысить эффективность взаимодействия Внутреннего и Внешнего аудиторов – в соответствии с принятой передовой практикой. </w:t>
      </w:r>
    </w:p>
    <w:p w:rsidR="00CA0272" w:rsidRPr="00CA0272" w:rsidRDefault="00CA0272" w:rsidP="00CA0272">
      <w:pPr>
        <w:rPr>
          <w:lang w:val="ru-RU"/>
        </w:rPr>
      </w:pPr>
      <w:r>
        <w:rPr>
          <w:lang w:val="ru-RU"/>
        </w:rPr>
        <w:t>3</w:t>
      </w:r>
      <w:r w:rsidRPr="00CA0272">
        <w:rPr>
          <w:lang w:val="ru-RU"/>
        </w:rPr>
        <w:t>.</w:t>
      </w:r>
      <w:r>
        <w:rPr>
          <w:lang w:val="ru-RU"/>
        </w:rPr>
        <w:t>22</w:t>
      </w:r>
      <w:r w:rsidRPr="00CA0272">
        <w:rPr>
          <w:lang w:val="ru-RU"/>
        </w:rPr>
        <w:tab/>
        <w:t>В будущем в целях содействия осуществляемому IMAC обзору было бы полезно включать в</w:t>
      </w:r>
      <w:r>
        <w:rPr>
          <w:lang w:val="ru-RU"/>
        </w:rPr>
        <w:t> </w:t>
      </w:r>
      <w:r w:rsidRPr="00CA0272">
        <w:rPr>
          <w:lang w:val="ru-RU"/>
        </w:rPr>
        <w:t xml:space="preserve">отчеты о ходе работы по внутреннему аудиту пояснения относительно расхождений между объемом времени, предусмотренным бюджетом для проведения аудита и осуществление другой деятельности, и объемом фактически затраченного времени. </w:t>
      </w:r>
    </w:p>
    <w:p w:rsidR="00CA0272" w:rsidRPr="00CA0272" w:rsidRDefault="00CA0272" w:rsidP="00CA0272">
      <w:pPr>
        <w:rPr>
          <w:lang w:val="ru-RU"/>
        </w:rPr>
      </w:pPr>
      <w:r>
        <w:rPr>
          <w:lang w:val="ru-RU"/>
        </w:rPr>
        <w:t>3</w:t>
      </w:r>
      <w:r w:rsidRPr="00CA0272">
        <w:rPr>
          <w:lang w:val="ru-RU"/>
        </w:rPr>
        <w:t>.</w:t>
      </w:r>
      <w:r>
        <w:rPr>
          <w:lang w:val="ru-RU"/>
        </w:rPr>
        <w:t>23</w:t>
      </w:r>
      <w:r w:rsidRPr="00CA0272">
        <w:rPr>
          <w:lang w:val="ru-RU"/>
        </w:rPr>
        <w:tab/>
        <w:t>IMAC провел обзор хода выполнения рекомендаций, представленных по итогам внутреннего аудита, и требующихся последующих мер, отметив, что, хотя эффективность выполнения рекомендаций продолжила повышаться, работа по ряду из них излишне затягивается и они еще не</w:t>
      </w:r>
      <w:r>
        <w:rPr>
          <w:lang w:val="ru-RU"/>
        </w:rPr>
        <w:t> </w:t>
      </w:r>
      <w:r w:rsidRPr="00CA0272">
        <w:rPr>
          <w:lang w:val="ru-RU"/>
        </w:rPr>
        <w:t>выполнены, в связи с чем требуется принять необходимые меры. Для тех направлений, где</w:t>
      </w:r>
      <w:r>
        <w:rPr>
          <w:lang w:val="ru-RU"/>
        </w:rPr>
        <w:t> </w:t>
      </w:r>
      <w:r w:rsidRPr="00CA0272">
        <w:rPr>
          <w:lang w:val="ru-RU"/>
        </w:rPr>
        <w:t xml:space="preserve">реагирование руководства по-прежнему остается недостаточно оперативным, по мнению IMAC, следует создать механизм подотчетности, с тем чтобы Генеральный секретарь мог содействовать выполнению соответствующих рекомендаций. Таким образом, Комитет настоятельно рекомендует руководству разработать более совершенную процедуру, которая обеспечивала бы более эффективное реагирование и способствовала бы более оперативному выполнению рекомендаций, представленных по итогам внутреннего аудита. </w:t>
      </w:r>
    </w:p>
    <w:p w:rsidR="00CA0272" w:rsidRPr="00CA0272" w:rsidRDefault="00CA0272" w:rsidP="00CA0272">
      <w:pPr>
        <w:rPr>
          <w:lang w:val="ru-RU"/>
        </w:rPr>
      </w:pPr>
      <w:r>
        <w:rPr>
          <w:lang w:val="ru-RU"/>
        </w:rPr>
        <w:t>3</w:t>
      </w:r>
      <w:r w:rsidRPr="00CA0272">
        <w:rPr>
          <w:lang w:val="ru-RU"/>
        </w:rPr>
        <w:t>.</w:t>
      </w:r>
      <w:r>
        <w:rPr>
          <w:lang w:val="ru-RU"/>
        </w:rPr>
        <w:t>24</w:t>
      </w:r>
      <w:r w:rsidRPr="00CA0272">
        <w:rPr>
          <w:lang w:val="ru-RU"/>
        </w:rPr>
        <w:tab/>
        <w:t>IMAC рассмотрел следующие отчеты о внутреннем аудите:</w:t>
      </w:r>
    </w:p>
    <w:p w:rsidR="00CA0272" w:rsidRPr="00CA0272" w:rsidRDefault="00CA0272" w:rsidP="00CA0272">
      <w:pPr>
        <w:pStyle w:val="enumlev1"/>
        <w:rPr>
          <w:lang w:val="ru-RU"/>
        </w:rPr>
      </w:pPr>
      <w:r>
        <w:rPr>
          <w:lang w:val="ru-RU"/>
        </w:rPr>
        <w:t>–</w:t>
      </w:r>
      <w:r w:rsidRPr="00CA0272">
        <w:rPr>
          <w:lang w:val="ru-RU"/>
        </w:rPr>
        <w:tab/>
        <w:t xml:space="preserve">Аудит поездок между штаб-квартирой МСЭ и региональными/зональными отделениями; </w:t>
      </w:r>
    </w:p>
    <w:p w:rsidR="00CA0272" w:rsidRPr="00CA0272" w:rsidRDefault="00CA0272" w:rsidP="00CA0272">
      <w:pPr>
        <w:pStyle w:val="enumlev1"/>
        <w:rPr>
          <w:lang w:val="ru-RU"/>
        </w:rPr>
      </w:pPr>
      <w:r>
        <w:rPr>
          <w:lang w:val="ru-RU"/>
        </w:rPr>
        <w:t>–</w:t>
      </w:r>
      <w:r w:rsidRPr="00CA0272">
        <w:rPr>
          <w:lang w:val="ru-RU"/>
        </w:rPr>
        <w:tab/>
        <w:t xml:space="preserve">Рассмотрение и возможное понижение классов вакантных должностей; </w:t>
      </w:r>
    </w:p>
    <w:p w:rsidR="00CA0272" w:rsidRPr="00CA0272" w:rsidRDefault="00CA0272" w:rsidP="00CA0272">
      <w:pPr>
        <w:pStyle w:val="enumlev1"/>
        <w:rPr>
          <w:lang w:val="ru-RU"/>
        </w:rPr>
      </w:pPr>
      <w:r>
        <w:rPr>
          <w:lang w:val="ru-RU"/>
        </w:rPr>
        <w:t>–</w:t>
      </w:r>
      <w:r w:rsidRPr="00CA0272">
        <w:rPr>
          <w:lang w:val="ru-RU"/>
        </w:rPr>
        <w:tab/>
        <w:t xml:space="preserve">Кассовые операции и инвестиционный процесс; </w:t>
      </w:r>
    </w:p>
    <w:p w:rsidR="00CA0272" w:rsidRPr="00CA0272" w:rsidRDefault="00CA0272" w:rsidP="00CA0272">
      <w:pPr>
        <w:pStyle w:val="enumlev1"/>
        <w:rPr>
          <w:lang w:val="ru-RU"/>
        </w:rPr>
      </w:pPr>
      <w:r>
        <w:rPr>
          <w:lang w:val="ru-RU"/>
        </w:rPr>
        <w:t>–</w:t>
      </w:r>
      <w:r w:rsidRPr="00CA0272">
        <w:rPr>
          <w:lang w:val="ru-RU"/>
        </w:rPr>
        <w:tab/>
        <w:t xml:space="preserve">Внутренняя нормативная база МСЭ (служебные приказы); </w:t>
      </w:r>
    </w:p>
    <w:p w:rsidR="00CA0272" w:rsidRPr="00CA0272" w:rsidRDefault="00CA0272" w:rsidP="00CA0272">
      <w:pPr>
        <w:pStyle w:val="enumlev1"/>
        <w:rPr>
          <w:lang w:val="ru-RU"/>
        </w:rPr>
      </w:pPr>
      <w:r>
        <w:rPr>
          <w:lang w:val="ru-RU"/>
        </w:rPr>
        <w:t>–</w:t>
      </w:r>
      <w:r w:rsidRPr="00CA0272">
        <w:rPr>
          <w:lang w:val="ru-RU"/>
        </w:rPr>
        <w:tab/>
        <w:t xml:space="preserve">Лицензии на программное обеспечение; </w:t>
      </w:r>
    </w:p>
    <w:p w:rsidR="00CA0272" w:rsidRPr="00CA0272" w:rsidRDefault="00CA0272" w:rsidP="00CA0272">
      <w:pPr>
        <w:pStyle w:val="enumlev1"/>
        <w:rPr>
          <w:lang w:val="ru-RU"/>
        </w:rPr>
      </w:pPr>
      <w:r>
        <w:rPr>
          <w:lang w:val="ru-RU"/>
        </w:rPr>
        <w:t>–</w:t>
      </w:r>
      <w:r w:rsidRPr="00CA0272">
        <w:rPr>
          <w:lang w:val="ru-RU"/>
        </w:rPr>
        <w:tab/>
        <w:t>Расходование бумаги в рамках организации;</w:t>
      </w:r>
    </w:p>
    <w:p w:rsidR="00CA0272" w:rsidRPr="00CA0272" w:rsidRDefault="00CA0272" w:rsidP="00CA0272">
      <w:pPr>
        <w:pStyle w:val="enumlev1"/>
        <w:rPr>
          <w:lang w:val="ru-RU"/>
        </w:rPr>
      </w:pPr>
      <w:r>
        <w:rPr>
          <w:lang w:val="ru-RU"/>
        </w:rPr>
        <w:t>–</w:t>
      </w:r>
      <w:r w:rsidRPr="00CA0272">
        <w:rPr>
          <w:lang w:val="ru-RU"/>
        </w:rPr>
        <w:tab/>
        <w:t xml:space="preserve">Региональные и зональные отделения для Африки. </w:t>
      </w:r>
    </w:p>
    <w:p w:rsidR="00CA0272" w:rsidRPr="00CA0272" w:rsidRDefault="00CA0272" w:rsidP="00CA0272">
      <w:pPr>
        <w:rPr>
          <w:lang w:val="ru-RU"/>
        </w:rPr>
      </w:pPr>
      <w:r>
        <w:rPr>
          <w:lang w:val="ru-RU"/>
        </w:rPr>
        <w:t>3</w:t>
      </w:r>
      <w:r w:rsidRPr="00CA0272">
        <w:rPr>
          <w:lang w:val="ru-RU"/>
        </w:rPr>
        <w:t>.</w:t>
      </w:r>
      <w:r>
        <w:rPr>
          <w:lang w:val="ru-RU"/>
        </w:rPr>
        <w:t>25</w:t>
      </w:r>
      <w:r w:rsidRPr="00CA0272">
        <w:rPr>
          <w:lang w:val="ru-RU"/>
        </w:rPr>
        <w:tab/>
        <w:t>IMAC отметил, что некоторые из областей, рассмотренных в рамках аудита, следовало бы изучить руководству, в частности речь идет об аудите расходования секретариатом бумаги. По</w:t>
      </w:r>
      <w:r>
        <w:rPr>
          <w:lang w:val="ru-RU"/>
        </w:rPr>
        <w:t> </w:t>
      </w:r>
      <w:r w:rsidRPr="00CA0272">
        <w:rPr>
          <w:lang w:val="ru-RU"/>
        </w:rPr>
        <w:t>мнению Комитета, материальность, аудиторский риск и экономия затрат на закупку бумаги не</w:t>
      </w:r>
      <w:r>
        <w:rPr>
          <w:lang w:val="ru-RU"/>
        </w:rPr>
        <w:t> </w:t>
      </w:r>
      <w:r w:rsidRPr="00CA0272">
        <w:rPr>
          <w:lang w:val="ru-RU"/>
        </w:rPr>
        <w:t>являются достаточным основанием для принятия решения о проведении аудита по этому вопросу. Комитет также отметил, что в отчет не был включен ответ руководства на рекомендации.</w:t>
      </w:r>
    </w:p>
    <w:p w:rsidR="00CA0272" w:rsidRPr="00CA0272" w:rsidRDefault="00CA0272" w:rsidP="00CA0272">
      <w:pPr>
        <w:rPr>
          <w:lang w:val="ru-RU"/>
        </w:rPr>
      </w:pPr>
      <w:r>
        <w:rPr>
          <w:lang w:val="ru-RU"/>
        </w:rPr>
        <w:t>3</w:t>
      </w:r>
      <w:r w:rsidRPr="00CA0272">
        <w:rPr>
          <w:lang w:val="ru-RU"/>
        </w:rPr>
        <w:t>.</w:t>
      </w:r>
      <w:r>
        <w:rPr>
          <w:lang w:val="ru-RU"/>
        </w:rPr>
        <w:t>26</w:t>
      </w:r>
      <w:r w:rsidRPr="00CA0272">
        <w:rPr>
          <w:lang w:val="ru-RU"/>
        </w:rPr>
        <w:tab/>
        <w:t>Комитет рассмотрел отчет об аудите лицензий на программное обеспечение и принял к</w:t>
      </w:r>
      <w:r>
        <w:rPr>
          <w:lang w:val="ru-RU"/>
        </w:rPr>
        <w:t> </w:t>
      </w:r>
      <w:r w:rsidRPr="00CA0272">
        <w:rPr>
          <w:lang w:val="ru-RU"/>
        </w:rPr>
        <w:t>сведению опасения, касающи</w:t>
      </w:r>
      <w:r>
        <w:rPr>
          <w:lang w:val="ru-RU"/>
        </w:rPr>
        <w:t>е</w:t>
      </w:r>
      <w:r w:rsidRPr="00CA0272">
        <w:rPr>
          <w:lang w:val="ru-RU"/>
        </w:rPr>
        <w:t>ся соответствия стандартам и обеспечения безопасности, согласно которым организация, возможно, подвергается риску кибермошенничества, вирусов и вызванных этим нецелесообразных расходов. Комитет настоятельно рекомендовал Генеральному секретарю и</w:t>
      </w:r>
      <w:r>
        <w:rPr>
          <w:lang w:val="ru-RU"/>
        </w:rPr>
        <w:t> </w:t>
      </w:r>
      <w:r w:rsidRPr="00CA0272">
        <w:rPr>
          <w:lang w:val="ru-RU"/>
        </w:rPr>
        <w:t>заместителю Генерального секретаря уделить дополнительное время вопросу ИТ-безопасности, особенно с учетом того, что МСЭ должен служить образцом в этой области для всей системы Организации Объединенных Наций. IMAC также обсудил необходимость создания в рамках МСЭ структуры управления ИТ: это должны быть эксперты высокого уровня, которые могли бы изучать конкретные проблемы и действующие нормы и принимать в связи с ними необходимые меры. По</w:t>
      </w:r>
      <w:r>
        <w:rPr>
          <w:lang w:val="ru-RU"/>
        </w:rPr>
        <w:t> </w:t>
      </w:r>
      <w:r w:rsidRPr="00CA0272">
        <w:rPr>
          <w:lang w:val="ru-RU"/>
        </w:rPr>
        <w:t>итогам рассмотрения отчета об аудите IMAC поставил под сомнение соответствие системы внутренней безопасности современным требованиям. Комитет отметил, что Подразделение внутреннего аудита должно уделять основное внимание аудиту именно в такого рода областях, заметив, однако, что в отчете не содержится рекомендации, касающейся потенциально значительного риска, и предложил формулировать рекомендации таким образом, чтобы они в</w:t>
      </w:r>
      <w:r>
        <w:rPr>
          <w:lang w:val="ru-RU"/>
        </w:rPr>
        <w:t> </w:t>
      </w:r>
      <w:r w:rsidRPr="00CA0272">
        <w:rPr>
          <w:lang w:val="ru-RU"/>
        </w:rPr>
        <w:t xml:space="preserve">большей степени касались существа вопроса. </w:t>
      </w:r>
    </w:p>
    <w:p w:rsidR="00CA0272" w:rsidRPr="00CA0272" w:rsidRDefault="00CA0272" w:rsidP="003B0D77">
      <w:pPr>
        <w:rPr>
          <w:lang w:val="ru-RU"/>
        </w:rPr>
      </w:pPr>
      <w:r>
        <w:rPr>
          <w:lang w:val="ru-RU"/>
        </w:rPr>
        <w:t>3</w:t>
      </w:r>
      <w:r w:rsidRPr="00CA0272">
        <w:rPr>
          <w:lang w:val="ru-RU"/>
        </w:rPr>
        <w:t>.</w:t>
      </w:r>
      <w:r>
        <w:rPr>
          <w:lang w:val="ru-RU"/>
        </w:rPr>
        <w:t>27</w:t>
      </w:r>
      <w:r w:rsidRPr="00CA0272">
        <w:rPr>
          <w:lang w:val="ru-RU"/>
        </w:rPr>
        <w:tab/>
        <w:t>IMAC рассмотрел итоги аудита региональных и зональных отделений для Африки (в</w:t>
      </w:r>
      <w:r>
        <w:rPr>
          <w:lang w:val="ru-RU"/>
        </w:rPr>
        <w:t> </w:t>
      </w:r>
      <w:r w:rsidR="003B0D77">
        <w:rPr>
          <w:lang w:val="ru-RU"/>
        </w:rPr>
        <w:t xml:space="preserve">Дакаре, </w:t>
      </w:r>
      <w:r w:rsidRPr="00CA0272">
        <w:rPr>
          <w:lang w:val="ru-RU"/>
        </w:rPr>
        <w:t>Сенегал</w:t>
      </w:r>
      <w:r w:rsidR="003B0D77">
        <w:rPr>
          <w:lang w:val="ru-RU"/>
        </w:rPr>
        <w:t xml:space="preserve">, и в </w:t>
      </w:r>
      <w:r w:rsidRPr="00CA0272">
        <w:rPr>
          <w:lang w:val="ru-RU"/>
        </w:rPr>
        <w:t>Яунде</w:t>
      </w:r>
      <w:r w:rsidR="003B0D77">
        <w:rPr>
          <w:lang w:val="ru-RU"/>
        </w:rPr>
        <w:t>, Камерун</w:t>
      </w:r>
      <w:r w:rsidRPr="00CA0272">
        <w:rPr>
          <w:lang w:val="ru-RU"/>
        </w:rPr>
        <w:t>) и высказал замечания относительно вопросов безопасности. IMAC отметил, что по итогам аудита было сделано весьма негативное заключение, при этом рекомендация отнесена к группе рекомендаций, имеющих высокий, а</w:t>
      </w:r>
      <w:r>
        <w:rPr>
          <w:lang w:val="ru-RU"/>
        </w:rPr>
        <w:t> </w:t>
      </w:r>
      <w:r w:rsidRPr="00CA0272">
        <w:rPr>
          <w:lang w:val="ru-RU"/>
        </w:rPr>
        <w:t>не</w:t>
      </w:r>
      <w:r>
        <w:rPr>
          <w:lang w:val="ru-RU"/>
        </w:rPr>
        <w:t> </w:t>
      </w:r>
      <w:r w:rsidRPr="00CA0272">
        <w:rPr>
          <w:lang w:val="ru-RU"/>
        </w:rPr>
        <w:t xml:space="preserve">важнейший приоритет. IMAC также отметил постоянный перерасход бюджета в региональных отделениях, указав на то, что информация, представляемая руководством по этому вопросу, недостаточна и что расходы на персонал должны были быть более предсказуемыми. В заключение Комитет отметил отсутствие отчетов о ходе работы и призвал к большей прозрачности в отношении процессов планирования и составления бюджета, а также раскрытия причин перерасхода бюджета. </w:t>
      </w:r>
    </w:p>
    <w:p w:rsidR="00CA0272" w:rsidRPr="00CA0272" w:rsidRDefault="00CA0272" w:rsidP="00CA0272">
      <w:pPr>
        <w:rPr>
          <w:lang w:val="ru-RU"/>
        </w:rPr>
      </w:pPr>
      <w:r>
        <w:rPr>
          <w:lang w:val="ru-RU"/>
        </w:rPr>
        <w:t>3</w:t>
      </w:r>
      <w:r w:rsidRPr="00CA0272">
        <w:rPr>
          <w:lang w:val="ru-RU"/>
        </w:rPr>
        <w:t>.</w:t>
      </w:r>
      <w:r>
        <w:rPr>
          <w:lang w:val="ru-RU"/>
        </w:rPr>
        <w:t>28</w:t>
      </w:r>
      <w:r w:rsidRPr="00CA0272">
        <w:rPr>
          <w:lang w:val="ru-RU"/>
        </w:rPr>
        <w:tab/>
        <w:t>IMAC отметил результаты работы по проведению внутреннего аудита в отношении кассовых операций и инвестиционного процесса, в ходе которой был принят во внимание риск, связанный с</w:t>
      </w:r>
      <w:r>
        <w:rPr>
          <w:lang w:val="ru-RU"/>
        </w:rPr>
        <w:t> </w:t>
      </w:r>
      <w:r w:rsidRPr="00CA0272">
        <w:rPr>
          <w:lang w:val="ru-RU"/>
        </w:rPr>
        <w:t>введением национальным банком Швейцарии отрицательной процентной ставки, что может сказаться на запасе денежных средств МСЭ в швейцарских франках. В рамках внутреннего аудита кассовых операций и инвестиционного процесса были выявлены области, требующие дополнительной работы, и потенциальные риски.</w:t>
      </w:r>
    </w:p>
    <w:p w:rsidR="00CA0272" w:rsidRPr="00CA0272" w:rsidRDefault="00CA0272" w:rsidP="00A241A3">
      <w:pPr>
        <w:rPr>
          <w:lang w:val="ru-RU"/>
        </w:rPr>
      </w:pPr>
      <w:r>
        <w:rPr>
          <w:lang w:val="ru-RU"/>
        </w:rPr>
        <w:t>3</w:t>
      </w:r>
      <w:r w:rsidRPr="00CA0272">
        <w:rPr>
          <w:lang w:val="ru-RU"/>
        </w:rPr>
        <w:t>.</w:t>
      </w:r>
      <w:r>
        <w:rPr>
          <w:lang w:val="ru-RU"/>
        </w:rPr>
        <w:t>29</w:t>
      </w:r>
      <w:r w:rsidRPr="00CA0272">
        <w:rPr>
          <w:lang w:val="ru-RU"/>
        </w:rPr>
        <w:tab/>
        <w:t>IMAC рассмотрел план аудиторской проверки на 2016 год и, в частности, обсудил то, в какой степени предлагаемый план соответствует i) потребностям организации с точки зрения оценки рисков, ii) рекомендациям, вынесенным по итогам внешней валидации результа</w:t>
      </w:r>
      <w:r>
        <w:rPr>
          <w:lang w:val="ru-RU"/>
        </w:rPr>
        <w:t xml:space="preserve">тов внутреннего аудита, и iii) </w:t>
      </w:r>
      <w:r w:rsidRPr="00CA0272">
        <w:rPr>
          <w:lang w:val="ru-RU"/>
        </w:rPr>
        <w:t xml:space="preserve">прошлым рекомендациям IMAC и </w:t>
      </w:r>
      <w:r w:rsidR="00A241A3">
        <w:rPr>
          <w:lang w:val="ru-RU"/>
        </w:rPr>
        <w:t>В</w:t>
      </w:r>
      <w:r w:rsidRPr="00CA0272">
        <w:rPr>
          <w:lang w:val="ru-RU"/>
        </w:rPr>
        <w:t xml:space="preserve">нешних аудиторов. </w:t>
      </w:r>
    </w:p>
    <w:p w:rsidR="00CA0272" w:rsidRPr="00CA0272" w:rsidRDefault="00CA0272" w:rsidP="00A241A3">
      <w:pPr>
        <w:rPr>
          <w:lang w:val="ru-RU"/>
        </w:rPr>
      </w:pPr>
      <w:r>
        <w:rPr>
          <w:lang w:val="ru-RU"/>
        </w:rPr>
        <w:t>3</w:t>
      </w:r>
      <w:r w:rsidRPr="00CA0272">
        <w:rPr>
          <w:lang w:val="ru-RU"/>
        </w:rPr>
        <w:t>.</w:t>
      </w:r>
      <w:r>
        <w:rPr>
          <w:lang w:val="ru-RU"/>
        </w:rPr>
        <w:t>30</w:t>
      </w:r>
      <w:r w:rsidRPr="00CA0272">
        <w:rPr>
          <w:lang w:val="ru-RU"/>
        </w:rPr>
        <w:tab/>
        <w:t xml:space="preserve">По мнению IMAC, план аудиторской проверки должен содержать результаты ежегодной аудиторской оценки рисков с пояснениями, а также более четкое и явное указание на взаимосвязь между результатами оценки рисков, проведенной Подразделением </w:t>
      </w:r>
      <w:r w:rsidR="00A241A3">
        <w:rPr>
          <w:lang w:val="ru-RU"/>
        </w:rPr>
        <w:t>В</w:t>
      </w:r>
      <w:r w:rsidRPr="00CA0272">
        <w:rPr>
          <w:lang w:val="ru-RU"/>
        </w:rPr>
        <w:t>нутреннего аудитора, и</w:t>
      </w:r>
      <w:r>
        <w:rPr>
          <w:lang w:val="ru-RU"/>
        </w:rPr>
        <w:t> </w:t>
      </w:r>
      <w:r w:rsidRPr="00CA0272">
        <w:rPr>
          <w:lang w:val="ru-RU"/>
        </w:rPr>
        <w:t xml:space="preserve">областями, подлежащими аудиту в течение предстоящего года, а также следует определить надлежащую регулярность проведения аудита, с тем чтобы в рамках приемлемого промежутка времени аудиторской проверке были подвергнуты все основные области, связанные с возможными рисками, например, за 3 года или 5 лет. </w:t>
      </w:r>
    </w:p>
    <w:p w:rsidR="00CA0272" w:rsidRPr="00CA0272" w:rsidRDefault="00CA0272" w:rsidP="00CA0272">
      <w:pPr>
        <w:rPr>
          <w:lang w:val="ru-RU"/>
        </w:rPr>
      </w:pPr>
      <w:r>
        <w:rPr>
          <w:lang w:val="ru-RU"/>
        </w:rPr>
        <w:t>3</w:t>
      </w:r>
      <w:r w:rsidRPr="00CA0272">
        <w:rPr>
          <w:lang w:val="ru-RU"/>
        </w:rPr>
        <w:t>.</w:t>
      </w:r>
      <w:r>
        <w:rPr>
          <w:lang w:val="ru-RU"/>
        </w:rPr>
        <w:t>3</w:t>
      </w:r>
      <w:r w:rsidRPr="00CA0272">
        <w:rPr>
          <w:lang w:val="ru-RU"/>
        </w:rPr>
        <w:t>1</w:t>
      </w:r>
      <w:r w:rsidRPr="00CA0272">
        <w:rPr>
          <w:lang w:val="ru-RU"/>
        </w:rPr>
        <w:tab/>
        <w:t>Комитет обсудил перечень областей деятельности, в отношении которых предлагается провести аудит в 2016 году, а также бюджетные средства на период аудита, выделяемые на</w:t>
      </w:r>
      <w:r>
        <w:rPr>
          <w:lang w:val="ru-RU"/>
        </w:rPr>
        <w:t> </w:t>
      </w:r>
      <w:r w:rsidRPr="00CA0272">
        <w:rPr>
          <w:lang w:val="ru-RU"/>
        </w:rPr>
        <w:t>соответствующую работу</w:t>
      </w:r>
      <w:r>
        <w:rPr>
          <w:lang w:val="ru-RU"/>
        </w:rPr>
        <w:t>,</w:t>
      </w:r>
      <w:r w:rsidRPr="00CA0272">
        <w:rPr>
          <w:lang w:val="ru-RU"/>
        </w:rPr>
        <w:t xml:space="preserve"> – как на непосредственн</w:t>
      </w:r>
      <w:r>
        <w:rPr>
          <w:lang w:val="ru-RU"/>
        </w:rPr>
        <w:t>о</w:t>
      </w:r>
      <w:r w:rsidRPr="00CA0272">
        <w:rPr>
          <w:lang w:val="ru-RU"/>
        </w:rPr>
        <w:t xml:space="preserve"> аудиторскую деятельность, так</w:t>
      </w:r>
      <w:r>
        <w:rPr>
          <w:lang w:val="ru-RU"/>
        </w:rPr>
        <w:t> </w:t>
      </w:r>
      <w:r w:rsidRPr="00CA0272">
        <w:rPr>
          <w:lang w:val="ru-RU"/>
        </w:rPr>
        <w:t>и</w:t>
      </w:r>
      <w:r>
        <w:rPr>
          <w:lang w:val="ru-RU"/>
        </w:rPr>
        <w:t> </w:t>
      </w:r>
      <w:r w:rsidRPr="00CA0272">
        <w:rPr>
          <w:lang w:val="ru-RU"/>
        </w:rPr>
        <w:t>на</w:t>
      </w:r>
      <w:r>
        <w:rPr>
          <w:lang w:val="ru-RU"/>
        </w:rPr>
        <w:t> </w:t>
      </w:r>
      <w:r w:rsidRPr="00CA0272">
        <w:rPr>
          <w:lang w:val="ru-RU"/>
        </w:rPr>
        <w:t xml:space="preserve">сопутствующие виды деятельности. </w:t>
      </w:r>
    </w:p>
    <w:p w:rsidR="00CA0272" w:rsidRPr="00CA0272" w:rsidRDefault="00E329BA" w:rsidP="00E329BA">
      <w:pPr>
        <w:rPr>
          <w:lang w:val="ru-RU"/>
        </w:rPr>
      </w:pPr>
      <w:r>
        <w:rPr>
          <w:lang w:val="ru-RU"/>
        </w:rPr>
        <w:t>3</w:t>
      </w:r>
      <w:r w:rsidR="00CA0272" w:rsidRPr="00CA0272">
        <w:rPr>
          <w:lang w:val="ru-RU"/>
        </w:rPr>
        <w:t>.</w:t>
      </w:r>
      <w:r>
        <w:rPr>
          <w:lang w:val="ru-RU"/>
        </w:rPr>
        <w:t>32</w:t>
      </w:r>
      <w:r w:rsidR="00CA0272" w:rsidRPr="00CA0272">
        <w:rPr>
          <w:lang w:val="ru-RU"/>
        </w:rPr>
        <w:tab/>
        <w:t>IMAC отметил, что на этапе планирования на направления, связанные с непосредственной аудиторской деятельностью, выделяются примерно одинаковые по продолжительности периоды времени. Кроме того, Комитету было неясно, на каком основании выбираются некоторые из</w:t>
      </w:r>
      <w:r>
        <w:rPr>
          <w:lang w:val="ru-RU"/>
        </w:rPr>
        <w:t> </w:t>
      </w:r>
      <w:r w:rsidR="00CA0272" w:rsidRPr="00CA0272">
        <w:rPr>
          <w:lang w:val="ru-RU"/>
        </w:rPr>
        <w:t>областей с точки зрения приоритетности и рисков. По мнению Комитета, более детальным изучением некоторых из областей могло бы заняться руководство, вместо того, чтобы расходовать на</w:t>
      </w:r>
      <w:r>
        <w:rPr>
          <w:lang w:val="ru-RU"/>
        </w:rPr>
        <w:t> </w:t>
      </w:r>
      <w:r w:rsidR="00CA0272" w:rsidRPr="00CA0272">
        <w:rPr>
          <w:lang w:val="ru-RU"/>
        </w:rPr>
        <w:t>это ограниченные ресурсы Подразделения внутреннего аудита.</w:t>
      </w:r>
    </w:p>
    <w:p w:rsidR="00CA0272" w:rsidRDefault="00E329BA" w:rsidP="00E329BA">
      <w:pPr>
        <w:spacing w:after="120"/>
        <w:rPr>
          <w:lang w:val="ru-RU"/>
        </w:rPr>
      </w:pPr>
      <w:r>
        <w:rPr>
          <w:lang w:val="ru-RU"/>
        </w:rPr>
        <w:t>3</w:t>
      </w:r>
      <w:r w:rsidR="00CA0272" w:rsidRPr="00CA0272">
        <w:rPr>
          <w:lang w:val="ru-RU"/>
        </w:rPr>
        <w:t>.</w:t>
      </w:r>
      <w:r>
        <w:rPr>
          <w:lang w:val="ru-RU"/>
        </w:rPr>
        <w:t>33</w:t>
      </w:r>
      <w:r w:rsidR="00CA0272" w:rsidRPr="00CA0272">
        <w:rPr>
          <w:lang w:val="ru-RU"/>
        </w:rPr>
        <w:tab/>
        <w:t>IMAC принял к сведению кадровые изменения, произошедшие за последний год в</w:t>
      </w:r>
      <w:r>
        <w:rPr>
          <w:lang w:val="ru-RU"/>
        </w:rPr>
        <w:t> </w:t>
      </w:r>
      <w:r w:rsidR="00CA0272" w:rsidRPr="00CA0272">
        <w:rPr>
          <w:lang w:val="ru-RU"/>
        </w:rPr>
        <w:t>Подразделении внутреннего аудита. IMAC удовлетворен тем, какой объем ресурсов выделяется Подразделению внутреннего аудита.</w:t>
      </w:r>
    </w:p>
    <w:tbl>
      <w:tblPr>
        <w:tblStyle w:val="TableGrid"/>
        <w:tblW w:w="0" w:type="auto"/>
        <w:tblLook w:val="04A0" w:firstRow="1" w:lastRow="0" w:firstColumn="1" w:lastColumn="0" w:noHBand="0" w:noVBand="1"/>
      </w:tblPr>
      <w:tblGrid>
        <w:gridCol w:w="9629"/>
      </w:tblGrid>
      <w:tr w:rsidR="00E329BA" w:rsidRPr="004B4843" w:rsidTr="00E329BA">
        <w:tc>
          <w:tcPr>
            <w:tcW w:w="9629" w:type="dxa"/>
          </w:tcPr>
          <w:p w:rsidR="00E329BA" w:rsidRPr="00CA0272" w:rsidRDefault="00E329BA" w:rsidP="00E329BA">
            <w:pPr>
              <w:rPr>
                <w:lang w:val="ru-RU"/>
              </w:rPr>
            </w:pPr>
            <w:r w:rsidRPr="00E329BA">
              <w:rPr>
                <w:b/>
                <w:bCs/>
                <w:lang w:val="ru-RU"/>
              </w:rPr>
              <w:t>Рекомендация 10 (2016</w:t>
            </w:r>
            <w:r>
              <w:rPr>
                <w:b/>
                <w:bCs/>
                <w:lang w:val="ru-RU"/>
              </w:rPr>
              <w:t xml:space="preserve"> г.</w:t>
            </w:r>
            <w:r w:rsidRPr="00E329BA">
              <w:rPr>
                <w:b/>
                <w:bCs/>
                <w:lang w:val="ru-RU"/>
              </w:rPr>
              <w:t>)</w:t>
            </w:r>
            <w:r>
              <w:rPr>
                <w:lang w:val="ru-RU"/>
              </w:rPr>
              <w:t>:</w:t>
            </w:r>
            <w:r w:rsidRPr="00CA0272">
              <w:rPr>
                <w:lang w:val="ru-RU"/>
              </w:rPr>
              <w:t xml:space="preserve"> IMAC рекомендует в последующем включать в план аудиторской проверки результаты ежегодной оценки рисков, а также более четко и явно отражать в нем взаимосвязь между оценкой рисков и выбором направлений аудиторской проверки в следующем году. </w:t>
            </w:r>
          </w:p>
          <w:p w:rsidR="00E329BA" w:rsidRPr="00CA0272" w:rsidRDefault="00E329BA" w:rsidP="00E329BA">
            <w:pPr>
              <w:rPr>
                <w:lang w:val="ru-RU"/>
              </w:rPr>
            </w:pPr>
            <w:r w:rsidRPr="00E329BA">
              <w:rPr>
                <w:b/>
                <w:bCs/>
                <w:lang w:val="ru-RU"/>
              </w:rPr>
              <w:t>Рекомендация 11 (2016</w:t>
            </w:r>
            <w:r>
              <w:rPr>
                <w:b/>
                <w:bCs/>
                <w:lang w:val="ru-RU"/>
              </w:rPr>
              <w:t xml:space="preserve"> г.</w:t>
            </w:r>
            <w:r w:rsidRPr="00E329BA">
              <w:rPr>
                <w:b/>
                <w:bCs/>
                <w:lang w:val="ru-RU"/>
              </w:rPr>
              <w:t>)</w:t>
            </w:r>
            <w:r>
              <w:rPr>
                <w:lang w:val="ru-RU"/>
              </w:rPr>
              <w:t>:</w:t>
            </w:r>
            <w:r w:rsidRPr="00CA0272">
              <w:rPr>
                <w:lang w:val="ru-RU"/>
              </w:rPr>
              <w:t xml:space="preserve"> IMAC рекомендует осуществлять надлежащее использование ресурсов Подразделения внутреннего аудита и тщательное управление ими, с тем чтобы максимальная доля ресурсов направлялась на непосредственн</w:t>
            </w:r>
            <w:r>
              <w:rPr>
                <w:lang w:val="ru-RU"/>
              </w:rPr>
              <w:t>о</w:t>
            </w:r>
            <w:r w:rsidRPr="00CA0272">
              <w:rPr>
                <w:lang w:val="ru-RU"/>
              </w:rPr>
              <w:t xml:space="preserve"> аудиторскую деятельность. </w:t>
            </w:r>
          </w:p>
          <w:p w:rsidR="00E329BA" w:rsidRDefault="00E329BA" w:rsidP="00E329BA">
            <w:pPr>
              <w:spacing w:after="120"/>
              <w:rPr>
                <w:lang w:val="ru-RU"/>
              </w:rPr>
            </w:pPr>
            <w:r w:rsidRPr="00E329BA">
              <w:rPr>
                <w:b/>
                <w:bCs/>
                <w:lang w:val="ru-RU"/>
              </w:rPr>
              <w:t>Рекомендация 12 (2016</w:t>
            </w:r>
            <w:r>
              <w:rPr>
                <w:b/>
                <w:bCs/>
                <w:lang w:val="ru-RU"/>
              </w:rPr>
              <w:t xml:space="preserve"> г.</w:t>
            </w:r>
            <w:r w:rsidRPr="00E329BA">
              <w:rPr>
                <w:b/>
                <w:bCs/>
                <w:lang w:val="ru-RU"/>
              </w:rPr>
              <w:t>)</w:t>
            </w:r>
            <w:r>
              <w:rPr>
                <w:lang w:val="ru-RU"/>
              </w:rPr>
              <w:t>:</w:t>
            </w:r>
            <w:r w:rsidRPr="00CA0272">
              <w:rPr>
                <w:lang w:val="ru-RU"/>
              </w:rPr>
              <w:t xml:space="preserve"> IMAC рекомендует формализовать отношения, порядок взаимодействия и обмена информацией между Подразделением внутреннего аудита и Внешним аудитором.</w:t>
            </w:r>
          </w:p>
        </w:tc>
      </w:tr>
    </w:tbl>
    <w:p w:rsidR="00CA0272" w:rsidRPr="00CA0272" w:rsidRDefault="00CA0272" w:rsidP="00E329BA">
      <w:pPr>
        <w:pStyle w:val="Headingb"/>
        <w:spacing w:before="360"/>
        <w:rPr>
          <w:lang w:val="ru-RU"/>
        </w:rPr>
      </w:pPr>
      <w:r w:rsidRPr="00CA0272">
        <w:rPr>
          <w:lang w:val="ru-RU"/>
        </w:rPr>
        <w:t xml:space="preserve">Варианты помещений штаб-квартиры Союза в долгосрочной перспективе </w:t>
      </w:r>
    </w:p>
    <w:p w:rsidR="00CA0272" w:rsidRPr="00CA0272" w:rsidRDefault="00E329BA" w:rsidP="00F315C5">
      <w:pPr>
        <w:rPr>
          <w:lang w:val="ru-RU"/>
        </w:rPr>
      </w:pPr>
      <w:r>
        <w:rPr>
          <w:lang w:val="ru-RU"/>
        </w:rPr>
        <w:t>3</w:t>
      </w:r>
      <w:r w:rsidR="00CA0272" w:rsidRPr="00CA0272">
        <w:rPr>
          <w:lang w:val="ru-RU"/>
        </w:rPr>
        <w:t>.</w:t>
      </w:r>
      <w:r>
        <w:rPr>
          <w:lang w:val="ru-RU"/>
        </w:rPr>
        <w:t>34</w:t>
      </w:r>
      <w:r w:rsidR="00CA0272" w:rsidRPr="00CA0272">
        <w:rPr>
          <w:lang w:val="ru-RU"/>
        </w:rPr>
        <w:tab/>
      </w:r>
      <w:proofErr w:type="gramStart"/>
      <w:r w:rsidR="00CA0272" w:rsidRPr="00CA0272">
        <w:rPr>
          <w:lang w:val="ru-RU"/>
        </w:rPr>
        <w:t>В</w:t>
      </w:r>
      <w:proofErr w:type="gramEnd"/>
      <w:r w:rsidR="00CA0272" w:rsidRPr="00CA0272">
        <w:rPr>
          <w:lang w:val="ru-RU"/>
        </w:rPr>
        <w:t xml:space="preserve"> своем четвертом ежегодно</w:t>
      </w:r>
      <w:r w:rsidR="00F315C5">
        <w:rPr>
          <w:lang w:val="ru-RU"/>
        </w:rPr>
        <w:t>м</w:t>
      </w:r>
      <w:r w:rsidR="00CA0272" w:rsidRPr="00CA0272">
        <w:rPr>
          <w:lang w:val="ru-RU"/>
        </w:rPr>
        <w:t xml:space="preserve"> отчете 2015 года IMAC настоятельно рекомендовал Рабочей группе Совета по вариантам помещений штаб-квартиры Союза в долгосрочной перспективе (РГС</w:t>
      </w:r>
      <w:r>
        <w:rPr>
          <w:lang w:val="ru-RU"/>
        </w:rPr>
        <w:noBreakHyphen/>
      </w:r>
      <w:r w:rsidR="00CA0272" w:rsidRPr="00CA0272">
        <w:rPr>
          <w:lang w:val="ru-RU"/>
        </w:rPr>
        <w:t>ПШК) проводить работу по рассмотрению всех реалистичных и последовательных вариантов помещений штаб-квартиры МСЭ.</w:t>
      </w:r>
    </w:p>
    <w:p w:rsidR="00CA0272" w:rsidRPr="00CA0272" w:rsidRDefault="00E329BA" w:rsidP="00E329BA">
      <w:pPr>
        <w:rPr>
          <w:lang w:val="ru-RU"/>
        </w:rPr>
      </w:pPr>
      <w:r>
        <w:rPr>
          <w:lang w:val="ru-RU"/>
        </w:rPr>
        <w:t>3</w:t>
      </w:r>
      <w:r w:rsidR="00CA0272" w:rsidRPr="00CA0272">
        <w:rPr>
          <w:lang w:val="ru-RU"/>
        </w:rPr>
        <w:t>.</w:t>
      </w:r>
      <w:r>
        <w:rPr>
          <w:lang w:val="ru-RU"/>
        </w:rPr>
        <w:t>35</w:t>
      </w:r>
      <w:r w:rsidR="00CA0272" w:rsidRPr="00CA0272">
        <w:rPr>
          <w:lang w:val="ru-RU"/>
        </w:rPr>
        <w:tab/>
        <w:t>IMAC взаимодействовал с председателем Рабочей группы Совета, который присутствовал на</w:t>
      </w:r>
      <w:r>
        <w:rPr>
          <w:lang w:val="ru-RU"/>
        </w:rPr>
        <w:t> </w:t>
      </w:r>
      <w:r w:rsidR="00CA0272" w:rsidRPr="00CA0272">
        <w:rPr>
          <w:lang w:val="ru-RU"/>
        </w:rPr>
        <w:t>двух его собраниях, где кратко рассказал о ходе и результатах соответствующих обсуждений.</w:t>
      </w:r>
    </w:p>
    <w:p w:rsidR="00CA0272" w:rsidRPr="00CA0272" w:rsidRDefault="00E329BA" w:rsidP="00E329BA">
      <w:pPr>
        <w:rPr>
          <w:lang w:val="ru-RU"/>
        </w:rPr>
      </w:pPr>
      <w:r>
        <w:rPr>
          <w:lang w:val="ru-RU"/>
        </w:rPr>
        <w:t>3</w:t>
      </w:r>
      <w:r w:rsidR="00CA0272" w:rsidRPr="00CA0272">
        <w:rPr>
          <w:lang w:val="ru-RU"/>
        </w:rPr>
        <w:t>.</w:t>
      </w:r>
      <w:r>
        <w:rPr>
          <w:lang w:val="ru-RU"/>
        </w:rPr>
        <w:t>36</w:t>
      </w:r>
      <w:r w:rsidR="00CA0272" w:rsidRPr="00CA0272">
        <w:rPr>
          <w:lang w:val="ru-RU"/>
        </w:rPr>
        <w:tab/>
        <w:t>Комитет рассмотрел отчет РГС-ПШК Совету. По мнению IMAC, в отчете представлены результаты детального, непредвзятого и профессионально проведенного сравнения всех предлагаемых вариантов. Комитет отметил, что процесс и работа группы осуществляются в срок, он</w:t>
      </w:r>
      <w:r>
        <w:rPr>
          <w:lang w:val="ru-RU"/>
        </w:rPr>
        <w:t> </w:t>
      </w:r>
      <w:r w:rsidR="00CA0272" w:rsidRPr="00CA0272">
        <w:rPr>
          <w:lang w:val="ru-RU"/>
        </w:rPr>
        <w:t xml:space="preserve">поддерживает результаты этой работы. Члены IMAC очень рады, что МСЭ выполняет рекомендацию IMAC 2014 года. </w:t>
      </w:r>
    </w:p>
    <w:p w:rsidR="00CA0272" w:rsidRDefault="00E329BA" w:rsidP="00E329BA">
      <w:pPr>
        <w:spacing w:after="120"/>
        <w:rPr>
          <w:lang w:val="ru-RU"/>
        </w:rPr>
      </w:pPr>
      <w:r>
        <w:rPr>
          <w:lang w:val="ru-RU"/>
        </w:rPr>
        <w:t>3</w:t>
      </w:r>
      <w:r w:rsidR="00CA0272" w:rsidRPr="00CA0272">
        <w:rPr>
          <w:lang w:val="ru-RU"/>
        </w:rPr>
        <w:t>.</w:t>
      </w:r>
      <w:r>
        <w:rPr>
          <w:lang w:val="ru-RU"/>
        </w:rPr>
        <w:t>37</w:t>
      </w:r>
      <w:r w:rsidR="00CA0272" w:rsidRPr="00CA0272">
        <w:rPr>
          <w:lang w:val="ru-RU"/>
        </w:rPr>
        <w:tab/>
        <w:t xml:space="preserve">Если Совет утвердит предложение РГС-ПШК, IMAC хотел бы настоятельно рекомендовать Совету создать консультативный комитет для надзора за проектом в соответствии с рекомендацией РГС-ПШК. IMAC убежден, что, если здание МСЭ </w:t>
      </w:r>
      <w:r>
        <w:rPr>
          <w:lang w:val="ru-RU"/>
        </w:rPr>
        <w:t>"</w:t>
      </w:r>
      <w:r w:rsidR="00CA0272" w:rsidRPr="00CA0272">
        <w:rPr>
          <w:lang w:val="ru-RU"/>
        </w:rPr>
        <w:t>Башня</w:t>
      </w:r>
      <w:r>
        <w:rPr>
          <w:lang w:val="ru-RU"/>
        </w:rPr>
        <w:t>"</w:t>
      </w:r>
      <w:r w:rsidR="00CA0272" w:rsidRPr="00CA0272">
        <w:rPr>
          <w:lang w:val="ru-RU"/>
        </w:rPr>
        <w:t xml:space="preserve"> будет выставлено на продажу, профессиональная поддержка при осуществлении соответствующего процесса принесет финансовые выгоды. IMAC также отметил, что также выгоду может принести привлечение для оказания поддержки МСЭ профессионального переговорщика, который не будет лично заинтересован в</w:t>
      </w:r>
      <w:r>
        <w:rPr>
          <w:lang w:val="ru-RU"/>
        </w:rPr>
        <w:t> </w:t>
      </w:r>
      <w:r w:rsidR="00CA0272" w:rsidRPr="00CA0272">
        <w:rPr>
          <w:lang w:val="ru-RU"/>
        </w:rPr>
        <w:t xml:space="preserve">исходе дела. Кроме того, ключевое значение будет иметь создание </w:t>
      </w:r>
      <w:r>
        <w:rPr>
          <w:lang w:val="ru-RU"/>
        </w:rPr>
        <w:t xml:space="preserve">целевой </w:t>
      </w:r>
      <w:r w:rsidR="00CA0272" w:rsidRPr="00CA0272">
        <w:rPr>
          <w:lang w:val="ru-RU"/>
        </w:rPr>
        <w:t xml:space="preserve">группы для управления данным проектом в составе экспертов в области управления проектами и рисками, которая включая бы экспертов по закупкам, что </w:t>
      </w:r>
      <w:r>
        <w:rPr>
          <w:lang w:val="ru-RU"/>
        </w:rPr>
        <w:t xml:space="preserve">будет </w:t>
      </w:r>
      <w:r w:rsidR="00CA0272" w:rsidRPr="00CA0272">
        <w:rPr>
          <w:lang w:val="ru-RU"/>
        </w:rPr>
        <w:t>гарантир</w:t>
      </w:r>
      <w:r>
        <w:rPr>
          <w:lang w:val="ru-RU"/>
        </w:rPr>
        <w:t>овать</w:t>
      </w:r>
      <w:r w:rsidR="00CA0272" w:rsidRPr="00CA0272">
        <w:rPr>
          <w:lang w:val="ru-RU"/>
        </w:rPr>
        <w:t xml:space="preserve"> завершение проекта в срок и в соответствии с</w:t>
      </w:r>
      <w:r>
        <w:rPr>
          <w:lang w:val="ru-RU"/>
        </w:rPr>
        <w:t> </w:t>
      </w:r>
      <w:r w:rsidR="00CA0272" w:rsidRPr="00CA0272">
        <w:rPr>
          <w:lang w:val="ru-RU"/>
        </w:rPr>
        <w:t>бюджетом и нормативными требованиями, а также позволит избежать мошенничества и</w:t>
      </w:r>
      <w:r>
        <w:rPr>
          <w:lang w:val="ru-RU"/>
        </w:rPr>
        <w:t> </w:t>
      </w:r>
      <w:r w:rsidR="00CA0272" w:rsidRPr="00CA0272">
        <w:rPr>
          <w:lang w:val="ru-RU"/>
        </w:rPr>
        <w:t>нарушения процедур.</w:t>
      </w:r>
    </w:p>
    <w:tbl>
      <w:tblPr>
        <w:tblStyle w:val="TableGrid"/>
        <w:tblW w:w="0" w:type="auto"/>
        <w:tblLook w:val="04A0" w:firstRow="1" w:lastRow="0" w:firstColumn="1" w:lastColumn="0" w:noHBand="0" w:noVBand="1"/>
      </w:tblPr>
      <w:tblGrid>
        <w:gridCol w:w="9629"/>
      </w:tblGrid>
      <w:tr w:rsidR="00E329BA" w:rsidRPr="004B4843" w:rsidTr="00E329BA">
        <w:tc>
          <w:tcPr>
            <w:tcW w:w="9629" w:type="dxa"/>
          </w:tcPr>
          <w:p w:rsidR="00E329BA" w:rsidRDefault="00E329BA" w:rsidP="00E329BA">
            <w:pPr>
              <w:spacing w:after="120"/>
              <w:rPr>
                <w:lang w:val="ru-RU"/>
              </w:rPr>
            </w:pPr>
            <w:r w:rsidRPr="00E329BA">
              <w:rPr>
                <w:b/>
                <w:bCs/>
                <w:lang w:val="ru-RU"/>
              </w:rPr>
              <w:t>Рекомендация 13 (2016</w:t>
            </w:r>
            <w:r>
              <w:rPr>
                <w:b/>
                <w:bCs/>
                <w:lang w:val="ru-RU"/>
              </w:rPr>
              <w:t xml:space="preserve"> г.</w:t>
            </w:r>
            <w:r w:rsidRPr="00E329BA">
              <w:rPr>
                <w:b/>
                <w:bCs/>
                <w:lang w:val="ru-RU"/>
              </w:rPr>
              <w:t>)</w:t>
            </w:r>
            <w:r w:rsidRPr="00CA0272">
              <w:rPr>
                <w:lang w:val="ru-RU"/>
              </w:rPr>
              <w:t xml:space="preserve">: IMAC рекомендует МСЭ изучить возможные выгоды от привлечения независимого эксперта к процессу оценки рыночной стоимости здания МСЭ </w:t>
            </w:r>
            <w:r>
              <w:rPr>
                <w:lang w:val="ru-RU"/>
              </w:rPr>
              <w:t>"</w:t>
            </w:r>
            <w:r w:rsidRPr="00CA0272">
              <w:rPr>
                <w:lang w:val="ru-RU"/>
              </w:rPr>
              <w:t>Башня</w:t>
            </w:r>
            <w:r>
              <w:rPr>
                <w:lang w:val="ru-RU"/>
              </w:rPr>
              <w:t>"</w:t>
            </w:r>
            <w:r w:rsidRPr="00CA0272">
              <w:rPr>
                <w:lang w:val="ru-RU"/>
              </w:rPr>
              <w:t xml:space="preserve"> и ведения переговоров о его продаже. Комитет рекомендует назначить для целей осуществления этого проекта внешних и внутренних экспертов в области </w:t>
            </w:r>
            <w:r>
              <w:rPr>
                <w:lang w:val="ru-RU"/>
              </w:rPr>
              <w:t>управления проектами и рисками.</w:t>
            </w:r>
          </w:p>
        </w:tc>
      </w:tr>
    </w:tbl>
    <w:p w:rsidR="00CA0272" w:rsidRPr="00CA0272" w:rsidRDefault="00CA0272" w:rsidP="00E329BA">
      <w:pPr>
        <w:pStyle w:val="Headingb"/>
        <w:spacing w:before="360"/>
        <w:rPr>
          <w:lang w:val="ru-RU"/>
        </w:rPr>
      </w:pPr>
      <w:r w:rsidRPr="00CA0272">
        <w:rPr>
          <w:lang w:val="ru-RU"/>
        </w:rPr>
        <w:t>Рассмотрение ОИГ управления и администрирования в МСЭ</w:t>
      </w:r>
    </w:p>
    <w:p w:rsidR="00CA0272" w:rsidRPr="00CA0272" w:rsidRDefault="00E329BA" w:rsidP="00E329BA">
      <w:pPr>
        <w:rPr>
          <w:lang w:val="ru-RU"/>
        </w:rPr>
      </w:pPr>
      <w:r>
        <w:rPr>
          <w:lang w:val="ru-RU"/>
        </w:rPr>
        <w:t>3</w:t>
      </w:r>
      <w:r w:rsidR="00CA0272" w:rsidRPr="00CA0272">
        <w:rPr>
          <w:lang w:val="ru-RU"/>
        </w:rPr>
        <w:t>.</w:t>
      </w:r>
      <w:r>
        <w:rPr>
          <w:lang w:val="ru-RU"/>
        </w:rPr>
        <w:t>38</w:t>
      </w:r>
      <w:r w:rsidR="00CA0272" w:rsidRPr="00CA0272">
        <w:rPr>
          <w:lang w:val="ru-RU"/>
        </w:rPr>
        <w:tab/>
        <w:t>На своем собрании в октябре 2015 года IMAC встретился с инспекторами ОИГ, проводившими обзор управления и администрирования в МСЭ. ОИГ отметила, что вовлеченность секретариата МСЭ и высокий показатель отклика на ее онлайновое обследование персонала обеспечили чрезвычайный уровень участия. IMAC отметил, что целью ОИГ было способствовать применению коллегиального подхода к решению существующих проблем и помочь Союзу внедрить структурные усовершенствования</w:t>
      </w:r>
      <w:r>
        <w:rPr>
          <w:lang w:val="ru-RU"/>
        </w:rPr>
        <w:t xml:space="preserve"> в масштабах всей организации.</w:t>
      </w:r>
    </w:p>
    <w:p w:rsidR="00CA0272" w:rsidRPr="00CA0272" w:rsidRDefault="00E329BA" w:rsidP="00E329BA">
      <w:pPr>
        <w:rPr>
          <w:lang w:val="ru-RU"/>
        </w:rPr>
      </w:pPr>
      <w:r>
        <w:rPr>
          <w:lang w:val="ru-RU"/>
        </w:rPr>
        <w:t>3</w:t>
      </w:r>
      <w:r w:rsidR="00CA0272" w:rsidRPr="00CA0272">
        <w:rPr>
          <w:lang w:val="ru-RU"/>
        </w:rPr>
        <w:t>.</w:t>
      </w:r>
      <w:r>
        <w:rPr>
          <w:lang w:val="ru-RU"/>
        </w:rPr>
        <w:t>39</w:t>
      </w:r>
      <w:r w:rsidR="00CA0272" w:rsidRPr="00CA0272">
        <w:rPr>
          <w:lang w:val="ru-RU"/>
        </w:rPr>
        <w:tab/>
        <w:t xml:space="preserve">По мнению Комитета, подготовленный ОИГ обзор представляет собой всеобъемлющий конструктивный отчет, охватывающий широкий спектр вопросов, требующих внимания со стороны МСЭ. </w:t>
      </w:r>
    </w:p>
    <w:p w:rsidR="00CA0272" w:rsidRPr="00CA0272" w:rsidRDefault="00E329BA" w:rsidP="00E329BA">
      <w:pPr>
        <w:rPr>
          <w:lang w:val="ru-RU"/>
        </w:rPr>
      </w:pPr>
      <w:r>
        <w:rPr>
          <w:lang w:val="ru-RU"/>
        </w:rPr>
        <w:t>3</w:t>
      </w:r>
      <w:r w:rsidR="00CA0272" w:rsidRPr="00CA0272">
        <w:rPr>
          <w:lang w:val="ru-RU"/>
        </w:rPr>
        <w:t>.</w:t>
      </w:r>
      <w:r>
        <w:rPr>
          <w:lang w:val="ru-RU"/>
        </w:rPr>
        <w:t>40</w:t>
      </w:r>
      <w:r w:rsidR="00CA0272" w:rsidRPr="00CA0272">
        <w:rPr>
          <w:lang w:val="ru-RU"/>
        </w:rPr>
        <w:tab/>
        <w:t>IMAC изучил рекомендации, содержащиеся в подготовленном ОИГ обзоре, и ответы, которые дал на них секретариат МСЭ. IMAC приветствует рекомендации ОИГ и полагает, что их выполнение приведет к повышению эффективности административных и управленческих процедур МСЭ. Реакция Генерального секретаря на рекомендации ОИГ была в целом положительной, он</w:t>
      </w:r>
      <w:r>
        <w:rPr>
          <w:lang w:val="ru-RU"/>
        </w:rPr>
        <w:t> </w:t>
      </w:r>
      <w:r w:rsidR="00CA0272" w:rsidRPr="00CA0272">
        <w:rPr>
          <w:lang w:val="ru-RU"/>
        </w:rPr>
        <w:t>зафиксировал одобрение как официальных, так и н</w:t>
      </w:r>
      <w:r>
        <w:rPr>
          <w:lang w:val="ru-RU"/>
        </w:rPr>
        <w:t>еофициальных рекомендаций ОИГ.</w:t>
      </w:r>
    </w:p>
    <w:p w:rsidR="00CA0272" w:rsidRPr="00CA0272" w:rsidRDefault="00E329BA" w:rsidP="00E329BA">
      <w:pPr>
        <w:rPr>
          <w:lang w:val="ru-RU"/>
        </w:rPr>
      </w:pPr>
      <w:r>
        <w:rPr>
          <w:lang w:val="ru-RU"/>
        </w:rPr>
        <w:t>3</w:t>
      </w:r>
      <w:r w:rsidR="00CA0272" w:rsidRPr="00CA0272">
        <w:rPr>
          <w:lang w:val="ru-RU"/>
        </w:rPr>
        <w:t>.</w:t>
      </w:r>
      <w:r>
        <w:rPr>
          <w:lang w:val="ru-RU"/>
        </w:rPr>
        <w:t>41</w:t>
      </w:r>
      <w:r w:rsidR="00CA0272" w:rsidRPr="00CA0272">
        <w:rPr>
          <w:lang w:val="ru-RU"/>
        </w:rPr>
        <w:tab/>
        <w:t>IMAC намерен поддержать Совет в одобрении рекомендаций ОИГ, а также предлагает Совету рассмотреть рекомендации, адресованные Государства</w:t>
      </w:r>
      <w:r>
        <w:rPr>
          <w:lang w:val="ru-RU"/>
        </w:rPr>
        <w:t>м</w:t>
      </w:r>
      <w:r w:rsidR="00CA0272" w:rsidRPr="00CA0272">
        <w:rPr>
          <w:lang w:val="ru-RU"/>
        </w:rPr>
        <w:t>-Членам, Полномочной к</w:t>
      </w:r>
      <w:r w:rsidR="00F315C5">
        <w:rPr>
          <w:lang w:val="ru-RU"/>
        </w:rPr>
        <w:t>онференции 2018 года и Совету (р</w:t>
      </w:r>
      <w:r w:rsidR="00CA0272" w:rsidRPr="00CA0272">
        <w:rPr>
          <w:lang w:val="ru-RU"/>
        </w:rPr>
        <w:t xml:space="preserve">екомендация 12 – </w:t>
      </w:r>
      <w:r>
        <w:rPr>
          <w:lang w:val="ru-RU"/>
        </w:rPr>
        <w:t>"</w:t>
      </w:r>
      <w:r w:rsidR="00CA0272" w:rsidRPr="00CA0272">
        <w:rPr>
          <w:lang w:val="ru-RU"/>
        </w:rPr>
        <w:t xml:space="preserve">обеспечить включение роли регионального присутствия в реализации концепции </w:t>
      </w:r>
      <w:r>
        <w:rPr>
          <w:lang w:val="ru-RU"/>
        </w:rPr>
        <w:t>«</w:t>
      </w:r>
      <w:r w:rsidR="00CA0272" w:rsidRPr="00CA0272">
        <w:rPr>
          <w:lang w:val="ru-RU"/>
        </w:rPr>
        <w:t>Единого МСЭ</w:t>
      </w:r>
      <w:r>
        <w:rPr>
          <w:lang w:val="ru-RU"/>
        </w:rPr>
        <w:t>»</w:t>
      </w:r>
      <w:r w:rsidR="00CA0272" w:rsidRPr="00CA0272">
        <w:rPr>
          <w:lang w:val="ru-RU"/>
        </w:rPr>
        <w:t xml:space="preserve"> в Стратегический план </w:t>
      </w:r>
      <w:proofErr w:type="gramStart"/>
      <w:r w:rsidR="00CA0272" w:rsidRPr="00CA0272">
        <w:rPr>
          <w:lang w:val="ru-RU"/>
        </w:rPr>
        <w:t>Союза</w:t>
      </w:r>
      <w:proofErr w:type="gramEnd"/>
      <w:r w:rsidR="00CA0272" w:rsidRPr="00CA0272">
        <w:rPr>
          <w:lang w:val="ru-RU"/>
        </w:rPr>
        <w:t xml:space="preserve"> и чтобы эта роль была соответствующим образом отражена в оперативном плане каждого Сектора</w:t>
      </w:r>
      <w:r>
        <w:rPr>
          <w:lang w:val="ru-RU"/>
        </w:rPr>
        <w:t>"</w:t>
      </w:r>
      <w:r w:rsidR="00CA0272" w:rsidRPr="00CA0272">
        <w:rPr>
          <w:lang w:val="ru-RU"/>
        </w:rPr>
        <w:t>).</w:t>
      </w:r>
    </w:p>
    <w:p w:rsidR="00CA0272" w:rsidRPr="00CA0272" w:rsidRDefault="00E329BA" w:rsidP="00E329BA">
      <w:pPr>
        <w:rPr>
          <w:lang w:val="ru-RU"/>
        </w:rPr>
      </w:pPr>
      <w:r>
        <w:rPr>
          <w:lang w:val="ru-RU"/>
        </w:rPr>
        <w:t>3</w:t>
      </w:r>
      <w:r w:rsidR="00CA0272" w:rsidRPr="00CA0272">
        <w:rPr>
          <w:lang w:val="ru-RU"/>
        </w:rPr>
        <w:t>.</w:t>
      </w:r>
      <w:r>
        <w:rPr>
          <w:lang w:val="ru-RU"/>
        </w:rPr>
        <w:t>42</w:t>
      </w:r>
      <w:r w:rsidR="00CA0272" w:rsidRPr="00CA0272">
        <w:rPr>
          <w:lang w:val="ru-RU"/>
        </w:rPr>
        <w:tab/>
        <w:t>Комитет хотел бы привлечь внимание Совета, в частности, к следующим рекомендациям:</w:t>
      </w:r>
    </w:p>
    <w:p w:rsidR="00CA0272" w:rsidRPr="00CA0272" w:rsidRDefault="00CA0272" w:rsidP="00E329BA">
      <w:pPr>
        <w:pStyle w:val="enumlev1"/>
        <w:rPr>
          <w:lang w:val="ru-RU"/>
        </w:rPr>
      </w:pPr>
      <w:r w:rsidRPr="00CA0272">
        <w:rPr>
          <w:lang w:val="ru-RU"/>
        </w:rPr>
        <w:t>i)</w:t>
      </w:r>
      <w:r w:rsidR="00E329BA">
        <w:rPr>
          <w:lang w:val="ru-RU"/>
        </w:rPr>
        <w:tab/>
      </w:r>
      <w:r w:rsidRPr="00CA0272">
        <w:rPr>
          <w:lang w:val="ru-RU"/>
        </w:rPr>
        <w:t>Генеральному секретарю – рассмотреть структуру комитетов по управлению для</w:t>
      </w:r>
      <w:r w:rsidR="00E329BA">
        <w:rPr>
          <w:lang w:val="ru-RU"/>
        </w:rPr>
        <w:t> </w:t>
      </w:r>
      <w:r w:rsidRPr="00CA0272">
        <w:rPr>
          <w:lang w:val="ru-RU"/>
        </w:rPr>
        <w:t xml:space="preserve">обеспечения эффекта синергии и взаимодополняемости (рекомендация 1); </w:t>
      </w:r>
    </w:p>
    <w:p w:rsidR="00CA0272" w:rsidRPr="00CA0272" w:rsidRDefault="00CA0272" w:rsidP="00E329BA">
      <w:pPr>
        <w:pStyle w:val="enumlev1"/>
        <w:rPr>
          <w:lang w:val="ru-RU"/>
        </w:rPr>
      </w:pPr>
      <w:r w:rsidRPr="00CA0272">
        <w:rPr>
          <w:lang w:val="ru-RU"/>
        </w:rPr>
        <w:t>ii)</w:t>
      </w:r>
      <w:r w:rsidR="00E329BA">
        <w:rPr>
          <w:lang w:val="ru-RU"/>
        </w:rPr>
        <w:tab/>
      </w:r>
      <w:r w:rsidRPr="00CA0272">
        <w:rPr>
          <w:lang w:val="ru-RU"/>
        </w:rPr>
        <w:t xml:space="preserve">далее разрабатывать и сводить основные элементы подотчетности в автономные принципы подотчетности, представить их Совету, а также представлять ему ежегодный отчет об их реализации (рекомендация 4); </w:t>
      </w:r>
    </w:p>
    <w:p w:rsidR="00CA0272" w:rsidRPr="00CA0272" w:rsidRDefault="00CA0272" w:rsidP="005729AA">
      <w:pPr>
        <w:pStyle w:val="enumlev1"/>
        <w:rPr>
          <w:lang w:val="ru-RU"/>
        </w:rPr>
      </w:pPr>
      <w:r w:rsidRPr="00CA0272">
        <w:rPr>
          <w:lang w:val="ru-RU"/>
        </w:rPr>
        <w:t>iii)</w:t>
      </w:r>
      <w:r w:rsidR="005729AA">
        <w:rPr>
          <w:lang w:val="ru-RU"/>
        </w:rPr>
        <w:tab/>
      </w:r>
      <w:r w:rsidRPr="00CA0272">
        <w:rPr>
          <w:lang w:val="ru-RU"/>
        </w:rPr>
        <w:t>разработать комплексный план укрепления стабильности и прогнозируемости финансовой базы Союза (рекомендация 5);</w:t>
      </w:r>
    </w:p>
    <w:p w:rsidR="00CA0272" w:rsidRPr="00CA0272" w:rsidRDefault="00CA0272" w:rsidP="005729AA">
      <w:pPr>
        <w:pStyle w:val="enumlev1"/>
        <w:rPr>
          <w:lang w:val="ru-RU"/>
        </w:rPr>
      </w:pPr>
      <w:r w:rsidRPr="00CA0272">
        <w:rPr>
          <w:lang w:val="ru-RU"/>
        </w:rPr>
        <w:t>iv)</w:t>
      </w:r>
      <w:r w:rsidR="005729AA">
        <w:rPr>
          <w:lang w:val="ru-RU"/>
        </w:rPr>
        <w:tab/>
      </w:r>
      <w:r w:rsidRPr="00CA0272">
        <w:rPr>
          <w:lang w:val="ru-RU"/>
        </w:rPr>
        <w:t xml:space="preserve">доработать и представить Совету политику управления рисками, которая содержала бы все элементы систематической и комплексной основы управления рисками (рекомендация 6); </w:t>
      </w:r>
    </w:p>
    <w:p w:rsidR="00CA0272" w:rsidRPr="00CA0272" w:rsidRDefault="00CA0272" w:rsidP="005729AA">
      <w:pPr>
        <w:pStyle w:val="enumlev1"/>
        <w:rPr>
          <w:lang w:val="ru-RU"/>
        </w:rPr>
      </w:pPr>
      <w:r w:rsidRPr="00CA0272">
        <w:rPr>
          <w:lang w:val="ru-RU"/>
        </w:rPr>
        <w:t>v)</w:t>
      </w:r>
      <w:r w:rsidR="005729AA">
        <w:rPr>
          <w:lang w:val="ru-RU"/>
        </w:rPr>
        <w:tab/>
      </w:r>
      <w:r w:rsidRPr="00CA0272">
        <w:rPr>
          <w:lang w:val="ru-RU"/>
        </w:rPr>
        <w:t>представить Совету для одобрения на его сессии 2017 года обновленную версию стратегии в</w:t>
      </w:r>
      <w:r w:rsidR="005729AA">
        <w:rPr>
          <w:lang w:val="ru-RU"/>
        </w:rPr>
        <w:t> </w:t>
      </w:r>
      <w:r w:rsidRPr="00CA0272">
        <w:rPr>
          <w:lang w:val="ru-RU"/>
        </w:rPr>
        <w:t xml:space="preserve">отношении информационных технологий и управления информацией, охватывающую все измерения процесса управления информацией, а также ежегодно отчитываться перед Советом по ее реализации (рекомендация 11); </w:t>
      </w:r>
    </w:p>
    <w:p w:rsidR="00CA0272" w:rsidRPr="00CA0272" w:rsidRDefault="00CA0272" w:rsidP="005729AA">
      <w:pPr>
        <w:pStyle w:val="enumlev1"/>
        <w:rPr>
          <w:lang w:val="ru-RU"/>
        </w:rPr>
      </w:pPr>
      <w:r w:rsidRPr="00CA0272">
        <w:rPr>
          <w:lang w:val="ru-RU"/>
        </w:rPr>
        <w:t>vi)</w:t>
      </w:r>
      <w:r w:rsidR="005729AA">
        <w:rPr>
          <w:lang w:val="ru-RU"/>
        </w:rPr>
        <w:tab/>
      </w:r>
      <w:r w:rsidRPr="00CA0272">
        <w:rPr>
          <w:lang w:val="ru-RU"/>
        </w:rPr>
        <w:t>роль регионального присутствия в реализации концепции "Единого МСЭ" (рекомендация</w:t>
      </w:r>
      <w:r w:rsidR="005729AA">
        <w:rPr>
          <w:lang w:val="ru-RU"/>
        </w:rPr>
        <w:t> </w:t>
      </w:r>
      <w:r w:rsidRPr="00CA0272">
        <w:rPr>
          <w:lang w:val="ru-RU"/>
        </w:rPr>
        <w:t xml:space="preserve">12). </w:t>
      </w:r>
    </w:p>
    <w:p w:rsidR="00CA0272" w:rsidRDefault="00E329BA" w:rsidP="005729AA">
      <w:pPr>
        <w:spacing w:after="120"/>
        <w:rPr>
          <w:lang w:val="ru-RU"/>
        </w:rPr>
      </w:pPr>
      <w:r>
        <w:rPr>
          <w:lang w:val="ru-RU"/>
        </w:rPr>
        <w:t>3</w:t>
      </w:r>
      <w:r w:rsidR="00CA0272" w:rsidRPr="00CA0272">
        <w:rPr>
          <w:lang w:val="ru-RU"/>
        </w:rPr>
        <w:t>.</w:t>
      </w:r>
      <w:r>
        <w:rPr>
          <w:lang w:val="ru-RU"/>
        </w:rPr>
        <w:t>43</w:t>
      </w:r>
      <w:r w:rsidR="00CA0272" w:rsidRPr="00CA0272">
        <w:rPr>
          <w:lang w:val="ru-RU"/>
        </w:rPr>
        <w:tab/>
        <w:t>IMAC одобряет внимание Совета к представленным в отчете ОИГ выводам и полагает, что</w:t>
      </w:r>
      <w:r w:rsidR="005729AA">
        <w:rPr>
          <w:lang w:val="ru-RU"/>
        </w:rPr>
        <w:t> </w:t>
      </w:r>
      <w:r w:rsidR="00CA0272" w:rsidRPr="00CA0272">
        <w:rPr>
          <w:lang w:val="ru-RU"/>
        </w:rPr>
        <w:t>руководству МСЭ следует разработать план действий, который включал бы в себя график выполнения рекомендаций ОИГ. Когда такой план появится, IMAC будет отслеживать ход работы по</w:t>
      </w:r>
      <w:r w:rsidR="005729AA">
        <w:rPr>
          <w:lang w:val="ru-RU"/>
        </w:rPr>
        <w:t> </w:t>
      </w:r>
      <w:r w:rsidR="00CA0272" w:rsidRPr="00CA0272">
        <w:rPr>
          <w:lang w:val="ru-RU"/>
        </w:rPr>
        <w:t>вып</w:t>
      </w:r>
      <w:r w:rsidR="005729AA">
        <w:rPr>
          <w:lang w:val="ru-RU"/>
        </w:rPr>
        <w:t>олнению указанных рекомендаций.</w:t>
      </w:r>
    </w:p>
    <w:tbl>
      <w:tblPr>
        <w:tblStyle w:val="TableGrid"/>
        <w:tblW w:w="0" w:type="auto"/>
        <w:tblLook w:val="04A0" w:firstRow="1" w:lastRow="0" w:firstColumn="1" w:lastColumn="0" w:noHBand="0" w:noVBand="1"/>
      </w:tblPr>
      <w:tblGrid>
        <w:gridCol w:w="9629"/>
      </w:tblGrid>
      <w:tr w:rsidR="005729AA" w:rsidRPr="004B4843" w:rsidTr="005729AA">
        <w:tc>
          <w:tcPr>
            <w:tcW w:w="9629" w:type="dxa"/>
          </w:tcPr>
          <w:p w:rsidR="005729AA" w:rsidRDefault="005729AA" w:rsidP="005729AA">
            <w:pPr>
              <w:spacing w:after="120"/>
              <w:rPr>
                <w:lang w:val="ru-RU"/>
              </w:rPr>
            </w:pPr>
            <w:r w:rsidRPr="005729AA">
              <w:rPr>
                <w:b/>
                <w:bCs/>
                <w:lang w:val="ru-RU"/>
              </w:rPr>
              <w:t>Рекомендация 14 (2016</w:t>
            </w:r>
            <w:r>
              <w:rPr>
                <w:b/>
                <w:bCs/>
                <w:lang w:val="ru-RU"/>
              </w:rPr>
              <w:t xml:space="preserve"> г.</w:t>
            </w:r>
            <w:r w:rsidRPr="005729AA">
              <w:rPr>
                <w:b/>
                <w:bCs/>
                <w:lang w:val="ru-RU"/>
              </w:rPr>
              <w:t>)</w:t>
            </w:r>
            <w:r>
              <w:rPr>
                <w:lang w:val="ru-RU"/>
              </w:rPr>
              <w:t xml:space="preserve">: </w:t>
            </w:r>
            <w:r w:rsidRPr="00CA0272">
              <w:rPr>
                <w:lang w:val="ru-RU"/>
              </w:rPr>
              <w:t>IMAC рекомендует секретариату МСЭ представить подлежащий рассмотрению Советом план действий по выполнению рекомендаций ОИГ, включающий в себя четкие предложения по срокам.</w:t>
            </w:r>
          </w:p>
        </w:tc>
      </w:tr>
    </w:tbl>
    <w:p w:rsidR="00CA0272" w:rsidRPr="00CA0272" w:rsidRDefault="00CA0272" w:rsidP="005729AA">
      <w:pPr>
        <w:pStyle w:val="Headingb"/>
        <w:spacing w:before="360"/>
        <w:rPr>
          <w:lang w:val="ru-RU"/>
        </w:rPr>
      </w:pPr>
      <w:r w:rsidRPr="00CA0272">
        <w:rPr>
          <w:lang w:val="ru-RU"/>
        </w:rPr>
        <w:t>Контроль и оценка</w:t>
      </w:r>
    </w:p>
    <w:p w:rsidR="00CA0272" w:rsidRPr="00CA0272" w:rsidRDefault="005729AA" w:rsidP="005729AA">
      <w:pPr>
        <w:rPr>
          <w:lang w:val="ru-RU"/>
        </w:rPr>
      </w:pPr>
      <w:r>
        <w:rPr>
          <w:lang w:val="ru-RU"/>
        </w:rPr>
        <w:t>3</w:t>
      </w:r>
      <w:r w:rsidR="00CA0272" w:rsidRPr="00CA0272">
        <w:rPr>
          <w:lang w:val="ru-RU"/>
        </w:rPr>
        <w:t>.</w:t>
      </w:r>
      <w:r>
        <w:rPr>
          <w:lang w:val="ru-RU"/>
        </w:rPr>
        <w:t>44</w:t>
      </w:r>
      <w:r w:rsidR="00CA0272" w:rsidRPr="00CA0272">
        <w:rPr>
          <w:lang w:val="ru-RU"/>
        </w:rPr>
        <w:tab/>
        <w:t xml:space="preserve">IMAC одобрил прогресс, достигнутый в реализации Стратегического плана МСЭ, и отметил дополнительные шаги, предпринятые с целью внедрить корпоративные процедуры и механизмы контроля. </w:t>
      </w:r>
    </w:p>
    <w:p w:rsidR="00CA0272" w:rsidRPr="00CA0272" w:rsidRDefault="005729AA" w:rsidP="005729AA">
      <w:pPr>
        <w:rPr>
          <w:lang w:val="ru-RU"/>
        </w:rPr>
      </w:pPr>
      <w:r>
        <w:rPr>
          <w:lang w:val="ru-RU"/>
        </w:rPr>
        <w:t>3</w:t>
      </w:r>
      <w:r w:rsidR="00CA0272" w:rsidRPr="00CA0272">
        <w:rPr>
          <w:lang w:val="ru-RU"/>
        </w:rPr>
        <w:t>.</w:t>
      </w:r>
      <w:r>
        <w:rPr>
          <w:lang w:val="ru-RU"/>
        </w:rPr>
        <w:t>45</w:t>
      </w:r>
      <w:r w:rsidR="00CA0272" w:rsidRPr="00CA0272">
        <w:rPr>
          <w:lang w:val="ru-RU"/>
        </w:rPr>
        <w:tab/>
        <w:t xml:space="preserve">Что касается оценки, IMAC приветствует заинтересованность МСЭ в выполнении функции оценки. Однако Комитет опасается того, </w:t>
      </w:r>
      <w:proofErr w:type="gramStart"/>
      <w:r w:rsidR="00CA0272" w:rsidRPr="00CA0272">
        <w:rPr>
          <w:lang w:val="ru-RU"/>
        </w:rPr>
        <w:t>что</w:t>
      </w:r>
      <w:proofErr w:type="gramEnd"/>
      <w:r w:rsidR="00CA0272" w:rsidRPr="00CA0272">
        <w:rPr>
          <w:lang w:val="ru-RU"/>
        </w:rPr>
        <w:t xml:space="preserve"> если эту функцию возьмет на себя Подразделение внутреннего аудита, его ресурсы более не будут направляться на деяте</w:t>
      </w:r>
      <w:r>
        <w:rPr>
          <w:lang w:val="ru-RU"/>
        </w:rPr>
        <w:t>льность по внутреннему аудиту.</w:t>
      </w:r>
    </w:p>
    <w:p w:rsidR="00CA0272" w:rsidRPr="00CA0272" w:rsidRDefault="005729AA" w:rsidP="005729AA">
      <w:pPr>
        <w:rPr>
          <w:lang w:val="ru-RU"/>
        </w:rPr>
      </w:pPr>
      <w:r>
        <w:rPr>
          <w:lang w:val="ru-RU"/>
        </w:rPr>
        <w:t>3</w:t>
      </w:r>
      <w:r w:rsidR="00CA0272" w:rsidRPr="00CA0272">
        <w:rPr>
          <w:lang w:val="ru-RU"/>
        </w:rPr>
        <w:t>.</w:t>
      </w:r>
      <w:r>
        <w:rPr>
          <w:lang w:val="ru-RU"/>
        </w:rPr>
        <w:t>46</w:t>
      </w:r>
      <w:r w:rsidR="00CA0272" w:rsidRPr="00CA0272">
        <w:rPr>
          <w:lang w:val="ru-RU"/>
        </w:rPr>
        <w:tab/>
        <w:t>Любое развитие функции оценки потребует жесткого контроля за управлением ресурсами с</w:t>
      </w:r>
      <w:r>
        <w:rPr>
          <w:lang w:val="ru-RU"/>
        </w:rPr>
        <w:t> </w:t>
      </w:r>
      <w:r w:rsidR="00CA0272" w:rsidRPr="00CA0272">
        <w:rPr>
          <w:lang w:val="ru-RU"/>
        </w:rPr>
        <w:t>соблюдением соответствующих графиков, а также структурированного проектного планирования и</w:t>
      </w:r>
      <w:r>
        <w:rPr>
          <w:lang w:val="ru-RU"/>
        </w:rPr>
        <w:t> </w:t>
      </w:r>
      <w:r w:rsidR="00CA0272" w:rsidRPr="00CA0272">
        <w:rPr>
          <w:lang w:val="ru-RU"/>
        </w:rPr>
        <w:t xml:space="preserve">привлечения экспертных ресурсов и опыта. </w:t>
      </w:r>
    </w:p>
    <w:p w:rsidR="00CA0272" w:rsidRPr="00CA0272" w:rsidRDefault="00557C9B" w:rsidP="005729AA">
      <w:pPr>
        <w:pStyle w:val="Heading1"/>
        <w:rPr>
          <w:lang w:val="ru-RU"/>
        </w:rPr>
      </w:pPr>
      <w:r>
        <w:rPr>
          <w:lang w:val="ru-RU"/>
        </w:rPr>
        <w:t>4</w:t>
      </w:r>
      <w:r w:rsidR="005729AA">
        <w:rPr>
          <w:lang w:val="ru-RU"/>
        </w:rPr>
        <w:tab/>
        <w:t>Другие вопросы</w:t>
      </w:r>
    </w:p>
    <w:p w:rsidR="00CA0272" w:rsidRPr="00CA0272" w:rsidRDefault="005729AA" w:rsidP="00CA0272">
      <w:pPr>
        <w:rPr>
          <w:lang w:val="ru-RU"/>
        </w:rPr>
      </w:pPr>
      <w:r>
        <w:rPr>
          <w:lang w:val="ru-RU"/>
        </w:rPr>
        <w:t>4</w:t>
      </w:r>
      <w:r w:rsidR="00CA0272" w:rsidRPr="00CA0272">
        <w:rPr>
          <w:lang w:val="ru-RU"/>
        </w:rPr>
        <w:t>.1</w:t>
      </w:r>
      <w:r w:rsidR="00CA0272" w:rsidRPr="00CA0272">
        <w:rPr>
          <w:lang w:val="ru-RU"/>
        </w:rPr>
        <w:tab/>
        <w:t>IMAC проведет следующее собрание осенью 2016 года, приурочив его к собранию Рабочей группы Совета по финансовым и людским ресурсам (РГС-ФЛР), которое намечено на 10–11 октября 2016 года.</w:t>
      </w:r>
    </w:p>
    <w:p w:rsidR="00CA0272" w:rsidRPr="00CA0272" w:rsidRDefault="005729AA" w:rsidP="005729AA">
      <w:pPr>
        <w:rPr>
          <w:lang w:val="ru-RU"/>
        </w:rPr>
      </w:pPr>
      <w:r>
        <w:rPr>
          <w:lang w:val="ru-RU"/>
        </w:rPr>
        <w:t>4</w:t>
      </w:r>
      <w:r w:rsidR="00CA0272" w:rsidRPr="00CA0272">
        <w:rPr>
          <w:lang w:val="ru-RU"/>
        </w:rPr>
        <w:t>.2</w:t>
      </w:r>
      <w:r w:rsidR="00CA0272" w:rsidRPr="00CA0272">
        <w:rPr>
          <w:lang w:val="ru-RU"/>
        </w:rPr>
        <w:tab/>
        <w:t>Члены IMAC хотели бы выразить свою глубокую признательность Государствам-Членам, РГС</w:t>
      </w:r>
      <w:r>
        <w:rPr>
          <w:lang w:val="ru-RU"/>
        </w:rPr>
        <w:noBreakHyphen/>
      </w:r>
      <w:r w:rsidR="00CA0272" w:rsidRPr="00CA0272">
        <w:rPr>
          <w:lang w:val="ru-RU"/>
        </w:rPr>
        <w:t xml:space="preserve">ФЛР, Генеральному секретарю и служащим МСЭ за их поддержку, сотрудничество и позитивное отношение к созданию, поддержанию существования и эффективному функционированию Комитета. </w:t>
      </w:r>
    </w:p>
    <w:p w:rsidR="002D2F57" w:rsidRDefault="005729AA" w:rsidP="005729AA">
      <w:pPr>
        <w:rPr>
          <w:lang w:val="ru-RU"/>
        </w:rPr>
      </w:pPr>
      <w:r>
        <w:rPr>
          <w:lang w:val="ru-RU"/>
        </w:rPr>
        <w:t>4</w:t>
      </w:r>
      <w:r w:rsidR="00CA0272" w:rsidRPr="00CA0272">
        <w:rPr>
          <w:lang w:val="ru-RU"/>
        </w:rPr>
        <w:t>.3</w:t>
      </w:r>
      <w:r w:rsidR="00CA0272" w:rsidRPr="00CA0272">
        <w:rPr>
          <w:lang w:val="ru-RU"/>
        </w:rPr>
        <w:tab/>
        <w:t>Список членского состава IMAC, его обязанности, круг ведения и отчеты размещены в</w:t>
      </w:r>
      <w:r>
        <w:rPr>
          <w:lang w:val="ru-RU"/>
        </w:rPr>
        <w:t> </w:t>
      </w:r>
      <w:r w:rsidR="00CA0272" w:rsidRPr="00CA0272">
        <w:rPr>
          <w:lang w:val="ru-RU"/>
        </w:rPr>
        <w:t xml:space="preserve">разделе IMAC общедоступного сайта МСЭ по адресу: </w:t>
      </w:r>
      <w:hyperlink r:id="rId17" w:history="1">
        <w:r w:rsidRPr="00321D3A">
          <w:rPr>
            <w:rStyle w:val="Hyperlink"/>
            <w:lang w:val="ru-RU"/>
          </w:rPr>
          <w:t>http://www.itu.int/en/council/Pages/imac.aspx</w:t>
        </w:r>
      </w:hyperlink>
      <w:r w:rsidR="00CA0272" w:rsidRPr="00CA0272">
        <w:rPr>
          <w:lang w:val="ru-RU"/>
        </w:rPr>
        <w:t>.</w:t>
      </w:r>
    </w:p>
    <w:p w:rsidR="00B26564" w:rsidRDefault="00B26564">
      <w:pPr>
        <w:tabs>
          <w:tab w:val="clear" w:pos="794"/>
          <w:tab w:val="clear" w:pos="1191"/>
          <w:tab w:val="clear" w:pos="1588"/>
          <w:tab w:val="clear" w:pos="1985"/>
        </w:tabs>
        <w:overflowPunct/>
        <w:autoSpaceDE/>
        <w:autoSpaceDN/>
        <w:adjustRightInd/>
        <w:spacing w:before="0"/>
        <w:textAlignment w:val="auto"/>
        <w:rPr>
          <w:lang w:val="ru-RU"/>
        </w:rPr>
      </w:pPr>
      <w:r>
        <w:rPr>
          <w:lang w:val="ru-RU"/>
        </w:rPr>
        <w:br w:type="page"/>
      </w:r>
    </w:p>
    <w:p w:rsidR="00B26564" w:rsidRDefault="00B26564" w:rsidP="00B26564">
      <w:pPr>
        <w:pStyle w:val="AnnexNo"/>
        <w:rPr>
          <w:lang w:val="ru-RU"/>
        </w:rPr>
      </w:pPr>
      <w:r>
        <w:rPr>
          <w:lang w:val="ru-RU"/>
        </w:rPr>
        <w:t>ПРИЛОЖЕНИЕ 1</w:t>
      </w:r>
    </w:p>
    <w:p w:rsidR="00B26564" w:rsidRDefault="00B26564" w:rsidP="00B26564">
      <w:pPr>
        <w:pStyle w:val="Annextitle"/>
        <w:rPr>
          <w:lang w:val="ru-RU"/>
        </w:rPr>
      </w:pPr>
      <w:r w:rsidRPr="00B26564">
        <w:rPr>
          <w:lang w:val="ru-RU"/>
        </w:rPr>
        <w:t>Статистика выполнения рекомендаций IMAC</w:t>
      </w:r>
    </w:p>
    <w:tbl>
      <w:tblPr>
        <w:tblStyle w:val="TableGrid"/>
        <w:tblW w:w="0" w:type="auto"/>
        <w:tblBorders>
          <w:top w:val="nil"/>
          <w:left w:val="nil"/>
          <w:bottom w:val="nil"/>
          <w:right w:val="nil"/>
          <w:insideH w:val="single" w:sz="4" w:space="0" w:color="4F81BD" w:themeColor="accent1"/>
          <w:insideV w:val="nil"/>
        </w:tblBorders>
        <w:tblLook w:val="04A0" w:firstRow="1" w:lastRow="0" w:firstColumn="1" w:lastColumn="0" w:noHBand="0" w:noVBand="1"/>
      </w:tblPr>
      <w:tblGrid>
        <w:gridCol w:w="4057"/>
        <w:gridCol w:w="5582"/>
      </w:tblGrid>
      <w:tr w:rsidR="00B26564" w:rsidTr="00B26564">
        <w:tc>
          <w:tcPr>
            <w:tcW w:w="3503" w:type="dxa"/>
            <w:vAlign w:val="center"/>
          </w:tcPr>
          <w:tbl>
            <w:tblPr>
              <w:tblStyle w:val="ListTable6Colorful-Accent11"/>
              <w:tblW w:w="3843" w:type="dxa"/>
              <w:tblCellMar>
                <w:left w:w="85" w:type="dxa"/>
                <w:right w:w="85" w:type="dxa"/>
              </w:tblCellMar>
              <w:tblLook w:val="04A0" w:firstRow="1" w:lastRow="0" w:firstColumn="1" w:lastColumn="0" w:noHBand="0" w:noVBand="1"/>
            </w:tblPr>
            <w:tblGrid>
              <w:gridCol w:w="2300"/>
              <w:gridCol w:w="843"/>
              <w:gridCol w:w="698"/>
            </w:tblGrid>
            <w:tr w:rsidR="00B26564" w:rsidRPr="00B26564" w:rsidTr="0065416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2" w:type="dxa"/>
                  <w:noWrap/>
                  <w:hideMark/>
                </w:tcPr>
                <w:p w:rsidR="00B26564" w:rsidRPr="00B26564" w:rsidRDefault="00B26564" w:rsidP="0065416C">
                  <w:pPr>
                    <w:spacing w:before="0"/>
                    <w:rPr>
                      <w:color w:val="auto"/>
                      <w:lang w:val="ru-RU"/>
                    </w:rPr>
                  </w:pPr>
                  <w:bookmarkStart w:id="4" w:name="lt_pId244"/>
                  <w:r w:rsidRPr="00B26564">
                    <w:rPr>
                      <w:color w:val="auto"/>
                      <w:lang w:val="ru-RU"/>
                    </w:rPr>
                    <w:t xml:space="preserve">Обзор выполнения рекомендаций </w:t>
                  </w:r>
                  <w:r w:rsidRPr="00B26564">
                    <w:rPr>
                      <w:color w:val="auto"/>
                      <w:lang w:val="fr-CA"/>
                    </w:rPr>
                    <w:t>IMAC</w:t>
                  </w:r>
                  <w:r w:rsidRPr="00B26564">
                    <w:rPr>
                      <w:color w:val="auto"/>
                      <w:lang w:val="ru-RU"/>
                    </w:rPr>
                    <w:t xml:space="preserve"> за 2012</w:t>
                  </w:r>
                  <w:r>
                    <w:rPr>
                      <w:color w:val="auto"/>
                      <w:lang w:val="ru-RU"/>
                    </w:rPr>
                    <w:t>−</w:t>
                  </w:r>
                  <w:r w:rsidRPr="00B26564">
                    <w:rPr>
                      <w:color w:val="auto"/>
                      <w:lang w:val="ru-RU"/>
                    </w:rPr>
                    <w:t xml:space="preserve">2015 гг. </w:t>
                  </w:r>
                  <w:bookmarkEnd w:id="4"/>
                </w:p>
              </w:tc>
              <w:tc>
                <w:tcPr>
                  <w:tcW w:w="843" w:type="dxa"/>
                  <w:noWrap/>
                  <w:vAlign w:val="center"/>
                  <w:hideMark/>
                </w:tcPr>
                <w:p w:rsidR="00B26564" w:rsidRPr="00B26564" w:rsidRDefault="00B26564" w:rsidP="00B26564">
                  <w:pPr>
                    <w:spacing w:before="0"/>
                    <w:jc w:val="center"/>
                    <w:cnfStyle w:val="100000000000" w:firstRow="1" w:lastRow="0" w:firstColumn="0" w:lastColumn="0" w:oddVBand="0" w:evenVBand="0" w:oddHBand="0" w:evenHBand="0" w:firstRowFirstColumn="0" w:firstRowLastColumn="0" w:lastRowFirstColumn="0" w:lastRowLastColumn="0"/>
                    <w:rPr>
                      <w:color w:val="auto"/>
                      <w:lang w:val="ru-RU"/>
                    </w:rPr>
                  </w:pPr>
                  <w:r w:rsidRPr="00B26564">
                    <w:rPr>
                      <w:color w:val="auto"/>
                      <w:lang w:val="ru-RU"/>
                    </w:rPr>
                    <w:t>Кол-во</w:t>
                  </w:r>
                </w:p>
              </w:tc>
              <w:tc>
                <w:tcPr>
                  <w:tcW w:w="698" w:type="dxa"/>
                  <w:noWrap/>
                  <w:vAlign w:val="center"/>
                  <w:hideMark/>
                </w:tcPr>
                <w:p w:rsidR="00B26564" w:rsidRPr="00B26564" w:rsidRDefault="00B26564" w:rsidP="00B26564">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sidRPr="00B26564">
                    <w:rPr>
                      <w:color w:val="auto"/>
                    </w:rPr>
                    <w:t>%</w:t>
                  </w:r>
                </w:p>
              </w:tc>
            </w:tr>
            <w:tr w:rsidR="00B26564" w:rsidRPr="00B26564" w:rsidTr="006541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2" w:type="dxa"/>
                  <w:noWrap/>
                  <w:hideMark/>
                </w:tcPr>
                <w:p w:rsidR="00B26564" w:rsidRPr="00B26564" w:rsidRDefault="00B26564" w:rsidP="00B26564">
                  <w:pPr>
                    <w:spacing w:before="0"/>
                    <w:rPr>
                      <w:color w:val="auto"/>
                      <w:lang w:val="ru-RU"/>
                    </w:rPr>
                  </w:pPr>
                  <w:r w:rsidRPr="00B26564">
                    <w:rPr>
                      <w:color w:val="auto"/>
                      <w:lang w:val="ru-RU"/>
                    </w:rPr>
                    <w:t>Всего</w:t>
                  </w:r>
                </w:p>
              </w:tc>
              <w:tc>
                <w:tcPr>
                  <w:tcW w:w="843" w:type="dxa"/>
                  <w:noWrap/>
                  <w:hideMark/>
                </w:tcPr>
                <w:p w:rsidR="00B26564" w:rsidRPr="009E0A31" w:rsidRDefault="00B26564" w:rsidP="00B26564">
                  <w:pPr>
                    <w:spacing w:before="0"/>
                    <w:ind w:right="113"/>
                    <w:jc w:val="right"/>
                    <w:cnfStyle w:val="000000100000" w:firstRow="0" w:lastRow="0" w:firstColumn="0" w:lastColumn="0" w:oddVBand="0" w:evenVBand="0" w:oddHBand="1" w:evenHBand="0" w:firstRowFirstColumn="0" w:firstRowLastColumn="0" w:lastRowFirstColumn="0" w:lastRowLastColumn="0"/>
                    <w:rPr>
                      <w:b/>
                      <w:bCs/>
                      <w:color w:val="auto"/>
                    </w:rPr>
                  </w:pPr>
                  <w:r w:rsidRPr="009E0A31">
                    <w:rPr>
                      <w:b/>
                      <w:bCs/>
                      <w:color w:val="auto"/>
                    </w:rPr>
                    <w:t>29</w:t>
                  </w:r>
                </w:p>
              </w:tc>
              <w:tc>
                <w:tcPr>
                  <w:tcW w:w="698" w:type="dxa"/>
                  <w:noWrap/>
                  <w:hideMark/>
                </w:tcPr>
                <w:p w:rsidR="00B26564" w:rsidRPr="009E0A31" w:rsidRDefault="00B26564" w:rsidP="00B26564">
                  <w:pPr>
                    <w:spacing w:before="0"/>
                    <w:ind w:right="113"/>
                    <w:jc w:val="right"/>
                    <w:cnfStyle w:val="000000100000" w:firstRow="0" w:lastRow="0" w:firstColumn="0" w:lastColumn="0" w:oddVBand="0" w:evenVBand="0" w:oddHBand="1" w:evenHBand="0" w:firstRowFirstColumn="0" w:firstRowLastColumn="0" w:lastRowFirstColumn="0" w:lastRowLastColumn="0"/>
                    <w:rPr>
                      <w:b/>
                      <w:bCs/>
                      <w:color w:val="auto"/>
                    </w:rPr>
                  </w:pPr>
                  <w:r w:rsidRPr="009E0A31">
                    <w:rPr>
                      <w:b/>
                      <w:bCs/>
                      <w:color w:val="auto"/>
                    </w:rPr>
                    <w:t>100</w:t>
                  </w:r>
                </w:p>
              </w:tc>
            </w:tr>
            <w:tr w:rsidR="00B26564" w:rsidRPr="00B26564" w:rsidTr="0065416C">
              <w:trPr>
                <w:trHeight w:val="300"/>
              </w:trPr>
              <w:tc>
                <w:tcPr>
                  <w:cnfStyle w:val="001000000000" w:firstRow="0" w:lastRow="0" w:firstColumn="1" w:lastColumn="0" w:oddVBand="0" w:evenVBand="0" w:oddHBand="0" w:evenHBand="0" w:firstRowFirstColumn="0" w:firstRowLastColumn="0" w:lastRowFirstColumn="0" w:lastRowLastColumn="0"/>
                  <w:tcW w:w="2302" w:type="dxa"/>
                  <w:noWrap/>
                  <w:hideMark/>
                </w:tcPr>
                <w:p w:rsidR="00B26564" w:rsidRPr="00B26564" w:rsidRDefault="00B26564" w:rsidP="00B26564">
                  <w:pPr>
                    <w:spacing w:before="0"/>
                    <w:rPr>
                      <w:color w:val="auto"/>
                      <w:lang w:val="ru-RU"/>
                    </w:rPr>
                  </w:pPr>
                  <w:r w:rsidRPr="00B26564">
                    <w:rPr>
                      <w:b w:val="0"/>
                      <w:bCs w:val="0"/>
                      <w:color w:val="auto"/>
                      <w:lang w:val="ru-RU"/>
                    </w:rPr>
                    <w:t>Выполнены</w:t>
                  </w:r>
                </w:p>
              </w:tc>
              <w:tc>
                <w:tcPr>
                  <w:tcW w:w="843" w:type="dxa"/>
                  <w:noWrap/>
                  <w:hideMark/>
                </w:tcPr>
                <w:p w:rsidR="00B26564" w:rsidRPr="00B26564" w:rsidRDefault="00B26564" w:rsidP="00B26564">
                  <w:pPr>
                    <w:spacing w:before="0"/>
                    <w:ind w:right="113"/>
                    <w:jc w:val="right"/>
                    <w:cnfStyle w:val="000000000000" w:firstRow="0" w:lastRow="0" w:firstColumn="0" w:lastColumn="0" w:oddVBand="0" w:evenVBand="0" w:oddHBand="0" w:evenHBand="0" w:firstRowFirstColumn="0" w:firstRowLastColumn="0" w:lastRowFirstColumn="0" w:lastRowLastColumn="0"/>
                    <w:rPr>
                      <w:color w:val="auto"/>
                    </w:rPr>
                  </w:pPr>
                  <w:r w:rsidRPr="00B26564">
                    <w:rPr>
                      <w:color w:val="auto"/>
                    </w:rPr>
                    <w:t>22</w:t>
                  </w:r>
                </w:p>
              </w:tc>
              <w:tc>
                <w:tcPr>
                  <w:tcW w:w="698" w:type="dxa"/>
                  <w:noWrap/>
                  <w:hideMark/>
                </w:tcPr>
                <w:p w:rsidR="00B26564" w:rsidRPr="00B26564" w:rsidRDefault="00B26564" w:rsidP="00B26564">
                  <w:pPr>
                    <w:spacing w:before="0"/>
                    <w:ind w:right="113"/>
                    <w:jc w:val="right"/>
                    <w:cnfStyle w:val="000000000000" w:firstRow="0" w:lastRow="0" w:firstColumn="0" w:lastColumn="0" w:oddVBand="0" w:evenVBand="0" w:oddHBand="0" w:evenHBand="0" w:firstRowFirstColumn="0" w:firstRowLastColumn="0" w:lastRowFirstColumn="0" w:lastRowLastColumn="0"/>
                    <w:rPr>
                      <w:color w:val="auto"/>
                    </w:rPr>
                  </w:pPr>
                  <w:r w:rsidRPr="00B26564">
                    <w:rPr>
                      <w:color w:val="auto"/>
                    </w:rPr>
                    <w:t>76</w:t>
                  </w:r>
                </w:p>
              </w:tc>
            </w:tr>
            <w:tr w:rsidR="00B26564" w:rsidRPr="00B26564" w:rsidTr="006541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2" w:type="dxa"/>
                  <w:noWrap/>
                  <w:hideMark/>
                </w:tcPr>
                <w:p w:rsidR="00B26564" w:rsidRPr="00B26564" w:rsidRDefault="00B26564" w:rsidP="00B26564">
                  <w:pPr>
                    <w:spacing w:before="0"/>
                    <w:rPr>
                      <w:color w:val="auto"/>
                      <w:lang w:val="ru-RU"/>
                    </w:rPr>
                  </w:pPr>
                  <w:r w:rsidRPr="00B26564">
                    <w:rPr>
                      <w:b w:val="0"/>
                      <w:bCs w:val="0"/>
                      <w:color w:val="auto"/>
                      <w:lang w:val="ru-RU"/>
                    </w:rPr>
                    <w:t>Выполняются</w:t>
                  </w:r>
                </w:p>
              </w:tc>
              <w:tc>
                <w:tcPr>
                  <w:tcW w:w="843" w:type="dxa"/>
                  <w:noWrap/>
                  <w:hideMark/>
                </w:tcPr>
                <w:p w:rsidR="00B26564" w:rsidRPr="00B26564" w:rsidRDefault="00B26564" w:rsidP="00B26564">
                  <w:pPr>
                    <w:spacing w:before="0"/>
                    <w:ind w:right="113"/>
                    <w:jc w:val="right"/>
                    <w:cnfStyle w:val="000000100000" w:firstRow="0" w:lastRow="0" w:firstColumn="0" w:lastColumn="0" w:oddVBand="0" w:evenVBand="0" w:oddHBand="1" w:evenHBand="0" w:firstRowFirstColumn="0" w:firstRowLastColumn="0" w:lastRowFirstColumn="0" w:lastRowLastColumn="0"/>
                    <w:rPr>
                      <w:color w:val="auto"/>
                    </w:rPr>
                  </w:pPr>
                  <w:r w:rsidRPr="00B26564">
                    <w:rPr>
                      <w:color w:val="auto"/>
                    </w:rPr>
                    <w:t>7</w:t>
                  </w:r>
                </w:p>
              </w:tc>
              <w:tc>
                <w:tcPr>
                  <w:tcW w:w="698" w:type="dxa"/>
                  <w:noWrap/>
                  <w:hideMark/>
                </w:tcPr>
                <w:p w:rsidR="00B26564" w:rsidRPr="00B26564" w:rsidRDefault="00B26564" w:rsidP="00B26564">
                  <w:pPr>
                    <w:spacing w:before="0"/>
                    <w:ind w:right="113"/>
                    <w:jc w:val="right"/>
                    <w:cnfStyle w:val="000000100000" w:firstRow="0" w:lastRow="0" w:firstColumn="0" w:lastColumn="0" w:oddVBand="0" w:evenVBand="0" w:oddHBand="1" w:evenHBand="0" w:firstRowFirstColumn="0" w:firstRowLastColumn="0" w:lastRowFirstColumn="0" w:lastRowLastColumn="0"/>
                    <w:rPr>
                      <w:color w:val="auto"/>
                    </w:rPr>
                  </w:pPr>
                  <w:r w:rsidRPr="00B26564">
                    <w:rPr>
                      <w:color w:val="auto"/>
                    </w:rPr>
                    <w:t>24</w:t>
                  </w:r>
                </w:p>
              </w:tc>
            </w:tr>
            <w:tr w:rsidR="00B26564" w:rsidRPr="00B26564" w:rsidTr="0065416C">
              <w:trPr>
                <w:trHeight w:val="300"/>
              </w:trPr>
              <w:tc>
                <w:tcPr>
                  <w:cnfStyle w:val="001000000000" w:firstRow="0" w:lastRow="0" w:firstColumn="1" w:lastColumn="0" w:oddVBand="0" w:evenVBand="0" w:oddHBand="0" w:evenHBand="0" w:firstRowFirstColumn="0" w:firstRowLastColumn="0" w:lastRowFirstColumn="0" w:lastRowLastColumn="0"/>
                  <w:tcW w:w="2302" w:type="dxa"/>
                  <w:noWrap/>
                  <w:hideMark/>
                </w:tcPr>
                <w:p w:rsidR="00B26564" w:rsidRPr="00B26564" w:rsidRDefault="00B26564" w:rsidP="00B26564">
                  <w:pPr>
                    <w:spacing w:before="0"/>
                    <w:rPr>
                      <w:color w:val="auto"/>
                      <w:lang w:val="ru-RU"/>
                    </w:rPr>
                  </w:pPr>
                  <w:r w:rsidRPr="00B26564">
                    <w:rPr>
                      <w:b w:val="0"/>
                      <w:bCs w:val="0"/>
                      <w:color w:val="auto"/>
                      <w:lang w:val="ru-RU"/>
                    </w:rPr>
                    <w:t>Не приняты</w:t>
                  </w:r>
                </w:p>
              </w:tc>
              <w:tc>
                <w:tcPr>
                  <w:tcW w:w="843" w:type="dxa"/>
                  <w:noWrap/>
                  <w:hideMark/>
                </w:tcPr>
                <w:p w:rsidR="00B26564" w:rsidRPr="00B26564" w:rsidRDefault="00B26564" w:rsidP="00B26564">
                  <w:pPr>
                    <w:spacing w:before="0"/>
                    <w:ind w:right="113"/>
                    <w:jc w:val="right"/>
                    <w:cnfStyle w:val="000000000000" w:firstRow="0" w:lastRow="0" w:firstColumn="0" w:lastColumn="0" w:oddVBand="0" w:evenVBand="0" w:oddHBand="0" w:evenHBand="0" w:firstRowFirstColumn="0" w:firstRowLastColumn="0" w:lastRowFirstColumn="0" w:lastRowLastColumn="0"/>
                    <w:rPr>
                      <w:color w:val="auto"/>
                    </w:rPr>
                  </w:pPr>
                  <w:r w:rsidRPr="00B26564">
                    <w:rPr>
                      <w:color w:val="auto"/>
                    </w:rPr>
                    <w:t>0</w:t>
                  </w:r>
                </w:p>
              </w:tc>
              <w:tc>
                <w:tcPr>
                  <w:tcW w:w="698" w:type="dxa"/>
                  <w:noWrap/>
                  <w:hideMark/>
                </w:tcPr>
                <w:p w:rsidR="00B26564" w:rsidRPr="00B26564" w:rsidRDefault="00B26564" w:rsidP="00B26564">
                  <w:pPr>
                    <w:spacing w:before="0"/>
                    <w:ind w:right="113"/>
                    <w:jc w:val="right"/>
                    <w:cnfStyle w:val="000000000000" w:firstRow="0" w:lastRow="0" w:firstColumn="0" w:lastColumn="0" w:oddVBand="0" w:evenVBand="0" w:oddHBand="0" w:evenHBand="0" w:firstRowFirstColumn="0" w:firstRowLastColumn="0" w:lastRowFirstColumn="0" w:lastRowLastColumn="0"/>
                    <w:rPr>
                      <w:color w:val="auto"/>
                    </w:rPr>
                  </w:pPr>
                  <w:r w:rsidRPr="00B26564">
                    <w:rPr>
                      <w:color w:val="auto"/>
                    </w:rPr>
                    <w:t>0</w:t>
                  </w:r>
                </w:p>
              </w:tc>
            </w:tr>
          </w:tbl>
          <w:p w:rsidR="00B26564" w:rsidRPr="00054161" w:rsidRDefault="00B26564" w:rsidP="00B26564">
            <w:pPr>
              <w:spacing w:after="120"/>
              <w:jc w:val="center"/>
              <w:rPr>
                <w:szCs w:val="24"/>
              </w:rPr>
            </w:pPr>
          </w:p>
        </w:tc>
        <w:tc>
          <w:tcPr>
            <w:tcW w:w="6126" w:type="dxa"/>
          </w:tcPr>
          <w:p w:rsidR="00B26564" w:rsidRDefault="00B26564" w:rsidP="00B26564">
            <w:pPr>
              <w:spacing w:after="120"/>
              <w:rPr>
                <w:szCs w:val="24"/>
              </w:rPr>
            </w:pPr>
            <w:r w:rsidRPr="00054161">
              <w:rPr>
                <w:noProof/>
                <w:lang w:val="en-US" w:eastAsia="zh-CN"/>
              </w:rPr>
              <w:drawing>
                <wp:inline distT="0" distB="0" distL="0" distR="0" wp14:anchorId="434D6F62" wp14:editId="0CB6E489">
                  <wp:extent cx="3409951" cy="2476499"/>
                  <wp:effectExtent l="0" t="0" r="0" b="63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B26564" w:rsidTr="00B26564">
        <w:tc>
          <w:tcPr>
            <w:tcW w:w="3503" w:type="dxa"/>
            <w:vAlign w:val="center"/>
          </w:tcPr>
          <w:tbl>
            <w:tblPr>
              <w:tblStyle w:val="ListTable6Colorful-Accent11"/>
              <w:tblW w:w="3843" w:type="dxa"/>
              <w:tblCellMar>
                <w:left w:w="85" w:type="dxa"/>
                <w:right w:w="85" w:type="dxa"/>
              </w:tblCellMar>
              <w:tblLook w:val="04A0" w:firstRow="1" w:lastRow="0" w:firstColumn="1" w:lastColumn="0" w:noHBand="0" w:noVBand="1"/>
            </w:tblPr>
            <w:tblGrid>
              <w:gridCol w:w="2300"/>
              <w:gridCol w:w="843"/>
              <w:gridCol w:w="698"/>
            </w:tblGrid>
            <w:tr w:rsidR="00B26564" w:rsidRPr="00B26564" w:rsidTr="0065416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2" w:type="dxa"/>
                  <w:noWrap/>
                  <w:hideMark/>
                </w:tcPr>
                <w:p w:rsidR="00B26564" w:rsidRPr="00B26564" w:rsidRDefault="00B26564" w:rsidP="0065416C">
                  <w:pPr>
                    <w:spacing w:before="0"/>
                    <w:rPr>
                      <w:color w:val="auto"/>
                      <w:lang w:val="ru-RU"/>
                    </w:rPr>
                  </w:pPr>
                  <w:bookmarkStart w:id="5" w:name="lt_pId259"/>
                  <w:r w:rsidRPr="00B26564">
                    <w:rPr>
                      <w:color w:val="auto"/>
                      <w:lang w:val="ru-RU"/>
                    </w:rPr>
                    <w:t xml:space="preserve">Выполнение рекомендаций </w:t>
                  </w:r>
                  <w:r w:rsidRPr="00B26564">
                    <w:rPr>
                      <w:color w:val="auto"/>
                      <w:lang w:val="fr-CA"/>
                    </w:rPr>
                    <w:t>IMAC</w:t>
                  </w:r>
                  <w:r w:rsidR="0065416C">
                    <w:rPr>
                      <w:color w:val="auto"/>
                      <w:lang w:val="ru-RU"/>
                    </w:rPr>
                    <w:t> </w:t>
                  </w:r>
                  <w:r w:rsidRPr="00B26564">
                    <w:rPr>
                      <w:color w:val="auto"/>
                      <w:lang w:val="ru-RU"/>
                    </w:rPr>
                    <w:t xml:space="preserve">2015 года </w:t>
                  </w:r>
                  <w:bookmarkEnd w:id="5"/>
                </w:p>
              </w:tc>
              <w:tc>
                <w:tcPr>
                  <w:tcW w:w="843" w:type="dxa"/>
                  <w:noWrap/>
                  <w:vAlign w:val="center"/>
                  <w:hideMark/>
                </w:tcPr>
                <w:p w:rsidR="00B26564" w:rsidRPr="00B26564" w:rsidRDefault="00B26564" w:rsidP="00B26564">
                  <w:pPr>
                    <w:spacing w:before="0"/>
                    <w:jc w:val="center"/>
                    <w:cnfStyle w:val="100000000000" w:firstRow="1" w:lastRow="0" w:firstColumn="0" w:lastColumn="0" w:oddVBand="0" w:evenVBand="0" w:oddHBand="0" w:evenHBand="0" w:firstRowFirstColumn="0" w:firstRowLastColumn="0" w:lastRowFirstColumn="0" w:lastRowLastColumn="0"/>
                    <w:rPr>
                      <w:color w:val="auto"/>
                    </w:rPr>
                  </w:pPr>
                  <w:bookmarkStart w:id="6" w:name="lt_pId260"/>
                  <w:r w:rsidRPr="00B26564">
                    <w:rPr>
                      <w:color w:val="auto"/>
                      <w:lang w:val="ru-RU"/>
                    </w:rPr>
                    <w:t>Кол-во</w:t>
                  </w:r>
                  <w:bookmarkEnd w:id="6"/>
                </w:p>
              </w:tc>
              <w:tc>
                <w:tcPr>
                  <w:tcW w:w="698" w:type="dxa"/>
                  <w:noWrap/>
                  <w:vAlign w:val="center"/>
                  <w:hideMark/>
                </w:tcPr>
                <w:p w:rsidR="00B26564" w:rsidRPr="00B26564" w:rsidRDefault="00B26564" w:rsidP="00B26564">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sidRPr="00B26564">
                    <w:rPr>
                      <w:color w:val="auto"/>
                    </w:rPr>
                    <w:t>%</w:t>
                  </w:r>
                </w:p>
              </w:tc>
            </w:tr>
            <w:tr w:rsidR="00B26564" w:rsidRPr="00B26564" w:rsidTr="006541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2" w:type="dxa"/>
                  <w:noWrap/>
                </w:tcPr>
                <w:p w:rsidR="00B26564" w:rsidRPr="00B26564" w:rsidRDefault="00B26564" w:rsidP="00B26564">
                  <w:pPr>
                    <w:spacing w:before="0"/>
                    <w:rPr>
                      <w:color w:val="auto"/>
                      <w:lang w:val="ru-RU"/>
                    </w:rPr>
                  </w:pPr>
                  <w:r w:rsidRPr="00B26564">
                    <w:rPr>
                      <w:color w:val="auto"/>
                      <w:lang w:val="ru-RU"/>
                    </w:rPr>
                    <w:t>Всего</w:t>
                  </w:r>
                </w:p>
              </w:tc>
              <w:tc>
                <w:tcPr>
                  <w:tcW w:w="843" w:type="dxa"/>
                  <w:noWrap/>
                </w:tcPr>
                <w:p w:rsidR="00B26564" w:rsidRPr="009E0A31" w:rsidRDefault="00B26564" w:rsidP="00B26564">
                  <w:pPr>
                    <w:spacing w:before="0"/>
                    <w:ind w:right="170"/>
                    <w:jc w:val="right"/>
                    <w:cnfStyle w:val="000000100000" w:firstRow="0" w:lastRow="0" w:firstColumn="0" w:lastColumn="0" w:oddVBand="0" w:evenVBand="0" w:oddHBand="1" w:evenHBand="0" w:firstRowFirstColumn="0" w:firstRowLastColumn="0" w:lastRowFirstColumn="0" w:lastRowLastColumn="0"/>
                    <w:rPr>
                      <w:b/>
                      <w:bCs/>
                      <w:color w:val="auto"/>
                    </w:rPr>
                  </w:pPr>
                  <w:r w:rsidRPr="009E0A31">
                    <w:rPr>
                      <w:b/>
                      <w:bCs/>
                      <w:color w:val="auto"/>
                    </w:rPr>
                    <w:t>6</w:t>
                  </w:r>
                </w:p>
              </w:tc>
              <w:tc>
                <w:tcPr>
                  <w:tcW w:w="698" w:type="dxa"/>
                  <w:noWrap/>
                </w:tcPr>
                <w:p w:rsidR="00B26564" w:rsidRPr="009E0A31" w:rsidRDefault="00B26564" w:rsidP="00B26564">
                  <w:pPr>
                    <w:spacing w:before="0"/>
                    <w:ind w:right="170"/>
                    <w:jc w:val="right"/>
                    <w:cnfStyle w:val="000000100000" w:firstRow="0" w:lastRow="0" w:firstColumn="0" w:lastColumn="0" w:oddVBand="0" w:evenVBand="0" w:oddHBand="1" w:evenHBand="0" w:firstRowFirstColumn="0" w:firstRowLastColumn="0" w:lastRowFirstColumn="0" w:lastRowLastColumn="0"/>
                    <w:rPr>
                      <w:b/>
                      <w:bCs/>
                      <w:color w:val="auto"/>
                    </w:rPr>
                  </w:pPr>
                  <w:r w:rsidRPr="009E0A31">
                    <w:rPr>
                      <w:b/>
                      <w:bCs/>
                      <w:color w:val="auto"/>
                    </w:rPr>
                    <w:t>100</w:t>
                  </w:r>
                </w:p>
              </w:tc>
            </w:tr>
            <w:tr w:rsidR="00B26564" w:rsidRPr="00B26564" w:rsidTr="0065416C">
              <w:trPr>
                <w:trHeight w:val="300"/>
              </w:trPr>
              <w:tc>
                <w:tcPr>
                  <w:cnfStyle w:val="001000000000" w:firstRow="0" w:lastRow="0" w:firstColumn="1" w:lastColumn="0" w:oddVBand="0" w:evenVBand="0" w:oddHBand="0" w:evenHBand="0" w:firstRowFirstColumn="0" w:firstRowLastColumn="0" w:lastRowFirstColumn="0" w:lastRowLastColumn="0"/>
                  <w:tcW w:w="2302" w:type="dxa"/>
                  <w:noWrap/>
                  <w:hideMark/>
                </w:tcPr>
                <w:p w:rsidR="00B26564" w:rsidRPr="00B26564" w:rsidRDefault="00B26564" w:rsidP="00B26564">
                  <w:pPr>
                    <w:spacing w:before="0"/>
                    <w:rPr>
                      <w:color w:val="auto"/>
                      <w:lang w:val="ru-RU"/>
                    </w:rPr>
                  </w:pPr>
                  <w:r w:rsidRPr="00B26564">
                    <w:rPr>
                      <w:b w:val="0"/>
                      <w:bCs w:val="0"/>
                      <w:color w:val="auto"/>
                      <w:lang w:val="ru-RU"/>
                    </w:rPr>
                    <w:t>Выполнены</w:t>
                  </w:r>
                </w:p>
              </w:tc>
              <w:tc>
                <w:tcPr>
                  <w:tcW w:w="843" w:type="dxa"/>
                  <w:noWrap/>
                  <w:hideMark/>
                </w:tcPr>
                <w:p w:rsidR="00B26564" w:rsidRPr="00B26564" w:rsidRDefault="00B26564" w:rsidP="00B26564">
                  <w:pPr>
                    <w:spacing w:before="0"/>
                    <w:ind w:right="170"/>
                    <w:jc w:val="right"/>
                    <w:cnfStyle w:val="000000000000" w:firstRow="0" w:lastRow="0" w:firstColumn="0" w:lastColumn="0" w:oddVBand="0" w:evenVBand="0" w:oddHBand="0" w:evenHBand="0" w:firstRowFirstColumn="0" w:firstRowLastColumn="0" w:lastRowFirstColumn="0" w:lastRowLastColumn="0"/>
                    <w:rPr>
                      <w:color w:val="auto"/>
                    </w:rPr>
                  </w:pPr>
                  <w:r w:rsidRPr="00B26564">
                    <w:rPr>
                      <w:color w:val="auto"/>
                    </w:rPr>
                    <w:t>4</w:t>
                  </w:r>
                </w:p>
              </w:tc>
              <w:tc>
                <w:tcPr>
                  <w:tcW w:w="698" w:type="dxa"/>
                  <w:noWrap/>
                  <w:hideMark/>
                </w:tcPr>
                <w:p w:rsidR="00B26564" w:rsidRPr="00B26564" w:rsidRDefault="00B26564" w:rsidP="00B26564">
                  <w:pPr>
                    <w:spacing w:before="0"/>
                    <w:ind w:right="170"/>
                    <w:jc w:val="right"/>
                    <w:cnfStyle w:val="000000000000" w:firstRow="0" w:lastRow="0" w:firstColumn="0" w:lastColumn="0" w:oddVBand="0" w:evenVBand="0" w:oddHBand="0" w:evenHBand="0" w:firstRowFirstColumn="0" w:firstRowLastColumn="0" w:lastRowFirstColumn="0" w:lastRowLastColumn="0"/>
                    <w:rPr>
                      <w:color w:val="auto"/>
                    </w:rPr>
                  </w:pPr>
                  <w:r w:rsidRPr="00B26564">
                    <w:rPr>
                      <w:color w:val="auto"/>
                    </w:rPr>
                    <w:t>67</w:t>
                  </w:r>
                </w:p>
              </w:tc>
            </w:tr>
            <w:tr w:rsidR="00B26564" w:rsidRPr="00B26564" w:rsidTr="006541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2" w:type="dxa"/>
                  <w:noWrap/>
                  <w:hideMark/>
                </w:tcPr>
                <w:p w:rsidR="00B26564" w:rsidRPr="00B26564" w:rsidRDefault="00B26564" w:rsidP="00B26564">
                  <w:pPr>
                    <w:spacing w:before="0"/>
                    <w:rPr>
                      <w:color w:val="auto"/>
                      <w:lang w:val="ru-RU"/>
                    </w:rPr>
                  </w:pPr>
                  <w:r w:rsidRPr="00B26564">
                    <w:rPr>
                      <w:b w:val="0"/>
                      <w:bCs w:val="0"/>
                      <w:color w:val="auto"/>
                      <w:lang w:val="ru-RU"/>
                    </w:rPr>
                    <w:t>Выполняются</w:t>
                  </w:r>
                </w:p>
              </w:tc>
              <w:tc>
                <w:tcPr>
                  <w:tcW w:w="843" w:type="dxa"/>
                  <w:noWrap/>
                  <w:hideMark/>
                </w:tcPr>
                <w:p w:rsidR="00B26564" w:rsidRPr="00B26564" w:rsidRDefault="00B26564" w:rsidP="00B26564">
                  <w:pPr>
                    <w:spacing w:before="0"/>
                    <w:ind w:right="170"/>
                    <w:jc w:val="right"/>
                    <w:cnfStyle w:val="000000100000" w:firstRow="0" w:lastRow="0" w:firstColumn="0" w:lastColumn="0" w:oddVBand="0" w:evenVBand="0" w:oddHBand="1" w:evenHBand="0" w:firstRowFirstColumn="0" w:firstRowLastColumn="0" w:lastRowFirstColumn="0" w:lastRowLastColumn="0"/>
                    <w:rPr>
                      <w:color w:val="auto"/>
                    </w:rPr>
                  </w:pPr>
                  <w:r w:rsidRPr="00B26564">
                    <w:rPr>
                      <w:color w:val="auto"/>
                    </w:rPr>
                    <w:t>2</w:t>
                  </w:r>
                </w:p>
              </w:tc>
              <w:tc>
                <w:tcPr>
                  <w:tcW w:w="698" w:type="dxa"/>
                  <w:noWrap/>
                  <w:hideMark/>
                </w:tcPr>
                <w:p w:rsidR="00B26564" w:rsidRPr="00B26564" w:rsidRDefault="00B26564" w:rsidP="00B26564">
                  <w:pPr>
                    <w:spacing w:before="0"/>
                    <w:ind w:right="170"/>
                    <w:jc w:val="right"/>
                    <w:cnfStyle w:val="000000100000" w:firstRow="0" w:lastRow="0" w:firstColumn="0" w:lastColumn="0" w:oddVBand="0" w:evenVBand="0" w:oddHBand="1" w:evenHBand="0" w:firstRowFirstColumn="0" w:firstRowLastColumn="0" w:lastRowFirstColumn="0" w:lastRowLastColumn="0"/>
                    <w:rPr>
                      <w:color w:val="auto"/>
                    </w:rPr>
                  </w:pPr>
                  <w:r w:rsidRPr="00B26564">
                    <w:rPr>
                      <w:color w:val="auto"/>
                    </w:rPr>
                    <w:t>23</w:t>
                  </w:r>
                </w:p>
              </w:tc>
            </w:tr>
            <w:tr w:rsidR="00B26564" w:rsidRPr="00B26564" w:rsidTr="0065416C">
              <w:trPr>
                <w:trHeight w:val="300"/>
              </w:trPr>
              <w:tc>
                <w:tcPr>
                  <w:cnfStyle w:val="001000000000" w:firstRow="0" w:lastRow="0" w:firstColumn="1" w:lastColumn="0" w:oddVBand="0" w:evenVBand="0" w:oddHBand="0" w:evenHBand="0" w:firstRowFirstColumn="0" w:firstRowLastColumn="0" w:lastRowFirstColumn="0" w:lastRowLastColumn="0"/>
                  <w:tcW w:w="2302" w:type="dxa"/>
                  <w:noWrap/>
                  <w:hideMark/>
                </w:tcPr>
                <w:p w:rsidR="00B26564" w:rsidRPr="00B26564" w:rsidRDefault="00B26564" w:rsidP="00B26564">
                  <w:pPr>
                    <w:spacing w:before="0"/>
                    <w:rPr>
                      <w:color w:val="auto"/>
                      <w:lang w:val="ru-RU"/>
                    </w:rPr>
                  </w:pPr>
                  <w:r w:rsidRPr="00B26564">
                    <w:rPr>
                      <w:b w:val="0"/>
                      <w:bCs w:val="0"/>
                      <w:color w:val="auto"/>
                      <w:lang w:val="ru-RU"/>
                    </w:rPr>
                    <w:t>Не приняты</w:t>
                  </w:r>
                </w:p>
              </w:tc>
              <w:tc>
                <w:tcPr>
                  <w:tcW w:w="843" w:type="dxa"/>
                  <w:noWrap/>
                  <w:hideMark/>
                </w:tcPr>
                <w:p w:rsidR="00B26564" w:rsidRPr="00B26564" w:rsidRDefault="00B26564" w:rsidP="00B26564">
                  <w:pPr>
                    <w:spacing w:before="0"/>
                    <w:ind w:right="170"/>
                    <w:jc w:val="right"/>
                    <w:cnfStyle w:val="000000000000" w:firstRow="0" w:lastRow="0" w:firstColumn="0" w:lastColumn="0" w:oddVBand="0" w:evenVBand="0" w:oddHBand="0" w:evenHBand="0" w:firstRowFirstColumn="0" w:firstRowLastColumn="0" w:lastRowFirstColumn="0" w:lastRowLastColumn="0"/>
                    <w:rPr>
                      <w:color w:val="auto"/>
                    </w:rPr>
                  </w:pPr>
                  <w:r w:rsidRPr="00B26564">
                    <w:rPr>
                      <w:color w:val="auto"/>
                    </w:rPr>
                    <w:t>0</w:t>
                  </w:r>
                </w:p>
              </w:tc>
              <w:tc>
                <w:tcPr>
                  <w:tcW w:w="698" w:type="dxa"/>
                  <w:noWrap/>
                  <w:hideMark/>
                </w:tcPr>
                <w:p w:rsidR="00B26564" w:rsidRPr="00B26564" w:rsidRDefault="00B26564" w:rsidP="00B26564">
                  <w:pPr>
                    <w:spacing w:before="0"/>
                    <w:ind w:right="170"/>
                    <w:jc w:val="right"/>
                    <w:cnfStyle w:val="000000000000" w:firstRow="0" w:lastRow="0" w:firstColumn="0" w:lastColumn="0" w:oddVBand="0" w:evenVBand="0" w:oddHBand="0" w:evenHBand="0" w:firstRowFirstColumn="0" w:firstRowLastColumn="0" w:lastRowFirstColumn="0" w:lastRowLastColumn="0"/>
                    <w:rPr>
                      <w:color w:val="auto"/>
                    </w:rPr>
                  </w:pPr>
                  <w:r w:rsidRPr="00B26564">
                    <w:rPr>
                      <w:color w:val="auto"/>
                    </w:rPr>
                    <w:t>0</w:t>
                  </w:r>
                </w:p>
              </w:tc>
            </w:tr>
          </w:tbl>
          <w:p w:rsidR="00B26564" w:rsidRPr="00054161" w:rsidRDefault="00B26564" w:rsidP="00B26564">
            <w:pPr>
              <w:spacing w:after="120"/>
              <w:jc w:val="center"/>
              <w:rPr>
                <w:szCs w:val="24"/>
              </w:rPr>
            </w:pPr>
          </w:p>
        </w:tc>
        <w:tc>
          <w:tcPr>
            <w:tcW w:w="6126" w:type="dxa"/>
          </w:tcPr>
          <w:p w:rsidR="00B26564" w:rsidRPr="00054161" w:rsidRDefault="00B26564" w:rsidP="00B26564">
            <w:pPr>
              <w:spacing w:after="120"/>
              <w:rPr>
                <w:szCs w:val="24"/>
              </w:rPr>
            </w:pPr>
            <w:r w:rsidRPr="00054161">
              <w:rPr>
                <w:noProof/>
                <w:lang w:val="en-US" w:eastAsia="zh-CN"/>
              </w:rPr>
              <w:drawing>
                <wp:inline distT="0" distB="0" distL="0" distR="0" wp14:anchorId="5F6A1EC1" wp14:editId="052ABACB">
                  <wp:extent cx="3333748" cy="2476500"/>
                  <wp:effectExtent l="0" t="0" r="63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B26564" w:rsidTr="00B26564">
        <w:tc>
          <w:tcPr>
            <w:tcW w:w="3503" w:type="dxa"/>
            <w:vAlign w:val="center"/>
          </w:tcPr>
          <w:tbl>
            <w:tblPr>
              <w:tblStyle w:val="ListTable6Colorful-Accent11"/>
              <w:tblW w:w="3843" w:type="dxa"/>
              <w:tblCellMar>
                <w:left w:w="85" w:type="dxa"/>
                <w:right w:w="85" w:type="dxa"/>
              </w:tblCellMar>
              <w:tblLook w:val="04A0" w:firstRow="1" w:lastRow="0" w:firstColumn="1" w:lastColumn="0" w:noHBand="0" w:noVBand="1"/>
            </w:tblPr>
            <w:tblGrid>
              <w:gridCol w:w="2300"/>
              <w:gridCol w:w="843"/>
              <w:gridCol w:w="698"/>
            </w:tblGrid>
            <w:tr w:rsidR="00B26564" w:rsidRPr="00B26564" w:rsidTr="0065416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2" w:type="dxa"/>
                  <w:noWrap/>
                  <w:hideMark/>
                </w:tcPr>
                <w:p w:rsidR="00B26564" w:rsidRPr="00B26564" w:rsidRDefault="00B26564" w:rsidP="0065416C">
                  <w:pPr>
                    <w:spacing w:before="0"/>
                    <w:rPr>
                      <w:color w:val="auto"/>
                      <w:lang w:val="ru-RU"/>
                    </w:rPr>
                  </w:pPr>
                  <w:bookmarkStart w:id="7" w:name="lt_pId274"/>
                  <w:r w:rsidRPr="00B26564">
                    <w:rPr>
                      <w:color w:val="auto"/>
                      <w:lang w:val="ru-RU"/>
                    </w:rPr>
                    <w:t xml:space="preserve">Выполнение рекомендаций </w:t>
                  </w:r>
                  <w:r w:rsidRPr="00B26564">
                    <w:rPr>
                      <w:color w:val="auto"/>
                      <w:lang w:val="fr-CA"/>
                    </w:rPr>
                    <w:t>IMAC</w:t>
                  </w:r>
                  <w:r w:rsidR="0065416C">
                    <w:rPr>
                      <w:color w:val="auto"/>
                      <w:lang w:val="ru-RU"/>
                    </w:rPr>
                    <w:t> </w:t>
                  </w:r>
                  <w:r w:rsidRPr="00B26564">
                    <w:rPr>
                      <w:color w:val="auto"/>
                      <w:lang w:val="ru-RU"/>
                    </w:rPr>
                    <w:t xml:space="preserve">2014 года </w:t>
                  </w:r>
                  <w:bookmarkEnd w:id="7"/>
                </w:p>
              </w:tc>
              <w:tc>
                <w:tcPr>
                  <w:tcW w:w="843" w:type="dxa"/>
                  <w:noWrap/>
                  <w:vAlign w:val="center"/>
                  <w:hideMark/>
                </w:tcPr>
                <w:p w:rsidR="00B26564" w:rsidRPr="00B26564" w:rsidRDefault="00B26564" w:rsidP="00B26564">
                  <w:pPr>
                    <w:spacing w:before="0"/>
                    <w:jc w:val="center"/>
                    <w:cnfStyle w:val="100000000000" w:firstRow="1" w:lastRow="0" w:firstColumn="0" w:lastColumn="0" w:oddVBand="0" w:evenVBand="0" w:oddHBand="0" w:evenHBand="0" w:firstRowFirstColumn="0" w:firstRowLastColumn="0" w:lastRowFirstColumn="0" w:lastRowLastColumn="0"/>
                    <w:rPr>
                      <w:color w:val="auto"/>
                    </w:rPr>
                  </w:pPr>
                  <w:bookmarkStart w:id="8" w:name="lt_pId275"/>
                  <w:r w:rsidRPr="00B26564">
                    <w:rPr>
                      <w:color w:val="auto"/>
                      <w:lang w:val="ru-RU"/>
                    </w:rPr>
                    <w:t>Кол-во</w:t>
                  </w:r>
                  <w:bookmarkEnd w:id="8"/>
                </w:p>
              </w:tc>
              <w:tc>
                <w:tcPr>
                  <w:tcW w:w="698" w:type="dxa"/>
                  <w:noWrap/>
                  <w:vAlign w:val="center"/>
                  <w:hideMark/>
                </w:tcPr>
                <w:p w:rsidR="00B26564" w:rsidRPr="00B26564" w:rsidRDefault="00B26564" w:rsidP="00B26564">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sidRPr="00B26564">
                    <w:rPr>
                      <w:color w:val="auto"/>
                    </w:rPr>
                    <w:t>%</w:t>
                  </w:r>
                </w:p>
              </w:tc>
            </w:tr>
            <w:tr w:rsidR="00B26564" w:rsidRPr="00B26564" w:rsidTr="006541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2" w:type="dxa"/>
                  <w:noWrap/>
                </w:tcPr>
                <w:p w:rsidR="00B26564" w:rsidRPr="00B26564" w:rsidRDefault="00B26564" w:rsidP="00B26564">
                  <w:pPr>
                    <w:spacing w:before="0"/>
                    <w:rPr>
                      <w:color w:val="auto"/>
                      <w:lang w:val="ru-RU"/>
                    </w:rPr>
                  </w:pPr>
                  <w:r w:rsidRPr="00B26564">
                    <w:rPr>
                      <w:color w:val="auto"/>
                      <w:lang w:val="ru-RU"/>
                    </w:rPr>
                    <w:t>Всего</w:t>
                  </w:r>
                </w:p>
              </w:tc>
              <w:tc>
                <w:tcPr>
                  <w:tcW w:w="843" w:type="dxa"/>
                  <w:noWrap/>
                </w:tcPr>
                <w:p w:rsidR="00B26564" w:rsidRPr="009E0A31" w:rsidRDefault="00B26564" w:rsidP="00B26564">
                  <w:pPr>
                    <w:spacing w:before="0"/>
                    <w:ind w:right="170"/>
                    <w:jc w:val="right"/>
                    <w:cnfStyle w:val="000000100000" w:firstRow="0" w:lastRow="0" w:firstColumn="0" w:lastColumn="0" w:oddVBand="0" w:evenVBand="0" w:oddHBand="1" w:evenHBand="0" w:firstRowFirstColumn="0" w:firstRowLastColumn="0" w:lastRowFirstColumn="0" w:lastRowLastColumn="0"/>
                    <w:rPr>
                      <w:b/>
                      <w:bCs/>
                      <w:color w:val="auto"/>
                    </w:rPr>
                  </w:pPr>
                  <w:r w:rsidRPr="009E0A31">
                    <w:rPr>
                      <w:b/>
                      <w:bCs/>
                      <w:color w:val="auto"/>
                    </w:rPr>
                    <w:t>9</w:t>
                  </w:r>
                </w:p>
              </w:tc>
              <w:tc>
                <w:tcPr>
                  <w:tcW w:w="698" w:type="dxa"/>
                  <w:noWrap/>
                </w:tcPr>
                <w:p w:rsidR="00B26564" w:rsidRPr="009E0A31" w:rsidRDefault="00B26564" w:rsidP="00B26564">
                  <w:pPr>
                    <w:spacing w:before="0"/>
                    <w:ind w:right="170"/>
                    <w:jc w:val="right"/>
                    <w:cnfStyle w:val="000000100000" w:firstRow="0" w:lastRow="0" w:firstColumn="0" w:lastColumn="0" w:oddVBand="0" w:evenVBand="0" w:oddHBand="1" w:evenHBand="0" w:firstRowFirstColumn="0" w:firstRowLastColumn="0" w:lastRowFirstColumn="0" w:lastRowLastColumn="0"/>
                    <w:rPr>
                      <w:b/>
                      <w:bCs/>
                      <w:color w:val="auto"/>
                    </w:rPr>
                  </w:pPr>
                  <w:r w:rsidRPr="009E0A31">
                    <w:rPr>
                      <w:b/>
                      <w:bCs/>
                      <w:color w:val="auto"/>
                    </w:rPr>
                    <w:t>100</w:t>
                  </w:r>
                </w:p>
              </w:tc>
            </w:tr>
            <w:tr w:rsidR="00B26564" w:rsidRPr="00B26564" w:rsidTr="0065416C">
              <w:trPr>
                <w:trHeight w:val="300"/>
              </w:trPr>
              <w:tc>
                <w:tcPr>
                  <w:cnfStyle w:val="001000000000" w:firstRow="0" w:lastRow="0" w:firstColumn="1" w:lastColumn="0" w:oddVBand="0" w:evenVBand="0" w:oddHBand="0" w:evenHBand="0" w:firstRowFirstColumn="0" w:firstRowLastColumn="0" w:lastRowFirstColumn="0" w:lastRowLastColumn="0"/>
                  <w:tcW w:w="2302" w:type="dxa"/>
                  <w:noWrap/>
                  <w:hideMark/>
                </w:tcPr>
                <w:p w:rsidR="00B26564" w:rsidRPr="00B26564" w:rsidRDefault="00B26564" w:rsidP="00B26564">
                  <w:pPr>
                    <w:spacing w:before="0"/>
                    <w:rPr>
                      <w:color w:val="auto"/>
                      <w:lang w:val="ru-RU"/>
                    </w:rPr>
                  </w:pPr>
                  <w:r w:rsidRPr="00B26564">
                    <w:rPr>
                      <w:b w:val="0"/>
                      <w:bCs w:val="0"/>
                      <w:color w:val="auto"/>
                      <w:lang w:val="ru-RU"/>
                    </w:rPr>
                    <w:t>Выполнены</w:t>
                  </w:r>
                </w:p>
              </w:tc>
              <w:tc>
                <w:tcPr>
                  <w:tcW w:w="843" w:type="dxa"/>
                  <w:noWrap/>
                  <w:hideMark/>
                </w:tcPr>
                <w:p w:rsidR="00B26564" w:rsidRPr="00B26564" w:rsidRDefault="00B26564" w:rsidP="00B26564">
                  <w:pPr>
                    <w:spacing w:before="0"/>
                    <w:ind w:right="170"/>
                    <w:jc w:val="right"/>
                    <w:cnfStyle w:val="000000000000" w:firstRow="0" w:lastRow="0" w:firstColumn="0" w:lastColumn="0" w:oddVBand="0" w:evenVBand="0" w:oddHBand="0" w:evenHBand="0" w:firstRowFirstColumn="0" w:firstRowLastColumn="0" w:lastRowFirstColumn="0" w:lastRowLastColumn="0"/>
                    <w:rPr>
                      <w:color w:val="auto"/>
                    </w:rPr>
                  </w:pPr>
                  <w:r w:rsidRPr="00B26564">
                    <w:rPr>
                      <w:color w:val="auto"/>
                    </w:rPr>
                    <w:t>6</w:t>
                  </w:r>
                </w:p>
              </w:tc>
              <w:tc>
                <w:tcPr>
                  <w:tcW w:w="698" w:type="dxa"/>
                  <w:noWrap/>
                  <w:hideMark/>
                </w:tcPr>
                <w:p w:rsidR="00B26564" w:rsidRPr="00B26564" w:rsidRDefault="00B26564" w:rsidP="00B26564">
                  <w:pPr>
                    <w:spacing w:before="0"/>
                    <w:ind w:right="170"/>
                    <w:jc w:val="right"/>
                    <w:cnfStyle w:val="000000000000" w:firstRow="0" w:lastRow="0" w:firstColumn="0" w:lastColumn="0" w:oddVBand="0" w:evenVBand="0" w:oddHBand="0" w:evenHBand="0" w:firstRowFirstColumn="0" w:firstRowLastColumn="0" w:lastRowFirstColumn="0" w:lastRowLastColumn="0"/>
                    <w:rPr>
                      <w:color w:val="auto"/>
                    </w:rPr>
                  </w:pPr>
                  <w:r w:rsidRPr="00B26564">
                    <w:rPr>
                      <w:color w:val="auto"/>
                    </w:rPr>
                    <w:t>67</w:t>
                  </w:r>
                </w:p>
              </w:tc>
            </w:tr>
            <w:tr w:rsidR="00B26564" w:rsidRPr="00B26564" w:rsidTr="006541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2" w:type="dxa"/>
                  <w:noWrap/>
                  <w:hideMark/>
                </w:tcPr>
                <w:p w:rsidR="00B26564" w:rsidRPr="00B26564" w:rsidRDefault="00B26564" w:rsidP="00B26564">
                  <w:pPr>
                    <w:spacing w:before="0"/>
                    <w:rPr>
                      <w:color w:val="auto"/>
                      <w:lang w:val="ru-RU"/>
                    </w:rPr>
                  </w:pPr>
                  <w:r w:rsidRPr="00B26564">
                    <w:rPr>
                      <w:b w:val="0"/>
                      <w:bCs w:val="0"/>
                      <w:color w:val="auto"/>
                      <w:lang w:val="ru-RU"/>
                    </w:rPr>
                    <w:t>Выполняются</w:t>
                  </w:r>
                </w:p>
              </w:tc>
              <w:tc>
                <w:tcPr>
                  <w:tcW w:w="843" w:type="dxa"/>
                  <w:noWrap/>
                  <w:hideMark/>
                </w:tcPr>
                <w:p w:rsidR="00B26564" w:rsidRPr="00B26564" w:rsidRDefault="00B26564" w:rsidP="00B26564">
                  <w:pPr>
                    <w:spacing w:before="0"/>
                    <w:ind w:right="170"/>
                    <w:jc w:val="right"/>
                    <w:cnfStyle w:val="000000100000" w:firstRow="0" w:lastRow="0" w:firstColumn="0" w:lastColumn="0" w:oddVBand="0" w:evenVBand="0" w:oddHBand="1" w:evenHBand="0" w:firstRowFirstColumn="0" w:firstRowLastColumn="0" w:lastRowFirstColumn="0" w:lastRowLastColumn="0"/>
                    <w:rPr>
                      <w:color w:val="auto"/>
                    </w:rPr>
                  </w:pPr>
                  <w:r w:rsidRPr="00B26564">
                    <w:rPr>
                      <w:color w:val="auto"/>
                    </w:rPr>
                    <w:t>3</w:t>
                  </w:r>
                </w:p>
              </w:tc>
              <w:tc>
                <w:tcPr>
                  <w:tcW w:w="698" w:type="dxa"/>
                  <w:noWrap/>
                  <w:hideMark/>
                </w:tcPr>
                <w:p w:rsidR="00B26564" w:rsidRPr="00B26564" w:rsidRDefault="00B26564" w:rsidP="00B26564">
                  <w:pPr>
                    <w:spacing w:before="0"/>
                    <w:ind w:right="170"/>
                    <w:jc w:val="right"/>
                    <w:cnfStyle w:val="000000100000" w:firstRow="0" w:lastRow="0" w:firstColumn="0" w:lastColumn="0" w:oddVBand="0" w:evenVBand="0" w:oddHBand="1" w:evenHBand="0" w:firstRowFirstColumn="0" w:firstRowLastColumn="0" w:lastRowFirstColumn="0" w:lastRowLastColumn="0"/>
                    <w:rPr>
                      <w:color w:val="auto"/>
                    </w:rPr>
                  </w:pPr>
                  <w:r w:rsidRPr="00B26564">
                    <w:rPr>
                      <w:color w:val="auto"/>
                    </w:rPr>
                    <w:t>33</w:t>
                  </w:r>
                </w:p>
              </w:tc>
            </w:tr>
            <w:tr w:rsidR="00B26564" w:rsidRPr="00B26564" w:rsidTr="0065416C">
              <w:trPr>
                <w:trHeight w:val="300"/>
              </w:trPr>
              <w:tc>
                <w:tcPr>
                  <w:cnfStyle w:val="001000000000" w:firstRow="0" w:lastRow="0" w:firstColumn="1" w:lastColumn="0" w:oddVBand="0" w:evenVBand="0" w:oddHBand="0" w:evenHBand="0" w:firstRowFirstColumn="0" w:firstRowLastColumn="0" w:lastRowFirstColumn="0" w:lastRowLastColumn="0"/>
                  <w:tcW w:w="2302" w:type="dxa"/>
                  <w:noWrap/>
                  <w:hideMark/>
                </w:tcPr>
                <w:p w:rsidR="00B26564" w:rsidRPr="00B26564" w:rsidRDefault="00B26564" w:rsidP="00B26564">
                  <w:pPr>
                    <w:spacing w:before="0"/>
                    <w:rPr>
                      <w:color w:val="auto"/>
                      <w:lang w:val="ru-RU"/>
                    </w:rPr>
                  </w:pPr>
                  <w:r w:rsidRPr="00B26564">
                    <w:rPr>
                      <w:b w:val="0"/>
                      <w:bCs w:val="0"/>
                      <w:color w:val="auto"/>
                      <w:lang w:val="ru-RU"/>
                    </w:rPr>
                    <w:t>Не приняты</w:t>
                  </w:r>
                </w:p>
              </w:tc>
              <w:tc>
                <w:tcPr>
                  <w:tcW w:w="843" w:type="dxa"/>
                  <w:noWrap/>
                  <w:hideMark/>
                </w:tcPr>
                <w:p w:rsidR="00B26564" w:rsidRPr="00B26564" w:rsidRDefault="00B26564" w:rsidP="00B26564">
                  <w:pPr>
                    <w:spacing w:before="0"/>
                    <w:ind w:right="170"/>
                    <w:jc w:val="right"/>
                    <w:cnfStyle w:val="000000000000" w:firstRow="0" w:lastRow="0" w:firstColumn="0" w:lastColumn="0" w:oddVBand="0" w:evenVBand="0" w:oddHBand="0" w:evenHBand="0" w:firstRowFirstColumn="0" w:firstRowLastColumn="0" w:lastRowFirstColumn="0" w:lastRowLastColumn="0"/>
                    <w:rPr>
                      <w:color w:val="auto"/>
                    </w:rPr>
                  </w:pPr>
                  <w:r w:rsidRPr="00B26564">
                    <w:rPr>
                      <w:color w:val="auto"/>
                    </w:rPr>
                    <w:t>0</w:t>
                  </w:r>
                </w:p>
              </w:tc>
              <w:tc>
                <w:tcPr>
                  <w:tcW w:w="698" w:type="dxa"/>
                  <w:noWrap/>
                  <w:hideMark/>
                </w:tcPr>
                <w:p w:rsidR="00B26564" w:rsidRPr="00B26564" w:rsidRDefault="00B26564" w:rsidP="00B26564">
                  <w:pPr>
                    <w:spacing w:before="0"/>
                    <w:ind w:right="170"/>
                    <w:jc w:val="right"/>
                    <w:cnfStyle w:val="000000000000" w:firstRow="0" w:lastRow="0" w:firstColumn="0" w:lastColumn="0" w:oddVBand="0" w:evenVBand="0" w:oddHBand="0" w:evenHBand="0" w:firstRowFirstColumn="0" w:firstRowLastColumn="0" w:lastRowFirstColumn="0" w:lastRowLastColumn="0"/>
                    <w:rPr>
                      <w:color w:val="auto"/>
                    </w:rPr>
                  </w:pPr>
                  <w:r w:rsidRPr="00B26564">
                    <w:rPr>
                      <w:color w:val="auto"/>
                    </w:rPr>
                    <w:t>0</w:t>
                  </w:r>
                </w:p>
              </w:tc>
            </w:tr>
          </w:tbl>
          <w:p w:rsidR="00B26564" w:rsidRPr="00054161" w:rsidRDefault="00B26564" w:rsidP="00B26564">
            <w:pPr>
              <w:spacing w:after="120"/>
              <w:jc w:val="center"/>
              <w:rPr>
                <w:szCs w:val="24"/>
              </w:rPr>
            </w:pPr>
          </w:p>
        </w:tc>
        <w:tc>
          <w:tcPr>
            <w:tcW w:w="6126" w:type="dxa"/>
          </w:tcPr>
          <w:p w:rsidR="00B26564" w:rsidRPr="00054161" w:rsidRDefault="00B26564" w:rsidP="00B26564">
            <w:pPr>
              <w:spacing w:after="120"/>
              <w:rPr>
                <w:szCs w:val="24"/>
              </w:rPr>
            </w:pPr>
            <w:r w:rsidRPr="00054161">
              <w:rPr>
                <w:noProof/>
                <w:lang w:val="en-US" w:eastAsia="zh-CN"/>
              </w:rPr>
              <w:drawing>
                <wp:inline distT="0" distB="0" distL="0" distR="0" wp14:anchorId="3CBA0AB3" wp14:editId="48394C78">
                  <wp:extent cx="3352800" cy="24765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B26564" w:rsidRPr="00054161" w:rsidTr="00B26564">
        <w:tc>
          <w:tcPr>
            <w:tcW w:w="3503" w:type="dxa"/>
            <w:vAlign w:val="center"/>
          </w:tcPr>
          <w:tbl>
            <w:tblPr>
              <w:tblStyle w:val="ListTable6Colorful-Accent11"/>
              <w:tblW w:w="3843" w:type="dxa"/>
              <w:tblCellMar>
                <w:left w:w="85" w:type="dxa"/>
                <w:right w:w="85" w:type="dxa"/>
              </w:tblCellMar>
              <w:tblLook w:val="04A0" w:firstRow="1" w:lastRow="0" w:firstColumn="1" w:lastColumn="0" w:noHBand="0" w:noVBand="1"/>
            </w:tblPr>
            <w:tblGrid>
              <w:gridCol w:w="2300"/>
              <w:gridCol w:w="843"/>
              <w:gridCol w:w="698"/>
            </w:tblGrid>
            <w:tr w:rsidR="007D17EC" w:rsidRPr="007D17EC" w:rsidTr="0065416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2" w:type="dxa"/>
                  <w:noWrap/>
                  <w:hideMark/>
                </w:tcPr>
                <w:p w:rsidR="00B26564" w:rsidRPr="007D17EC" w:rsidRDefault="00B26564" w:rsidP="0065416C">
                  <w:pPr>
                    <w:spacing w:before="0"/>
                    <w:rPr>
                      <w:color w:val="auto"/>
                      <w:lang w:val="ru-RU"/>
                    </w:rPr>
                  </w:pPr>
                  <w:r w:rsidRPr="007D17EC">
                    <w:rPr>
                      <w:color w:val="auto"/>
                      <w:lang w:val="ru-RU"/>
                    </w:rPr>
                    <w:t xml:space="preserve">Выполнение рекомендаций </w:t>
                  </w:r>
                  <w:r w:rsidRPr="007D17EC">
                    <w:rPr>
                      <w:color w:val="auto"/>
                      <w:lang w:val="fr-CA"/>
                    </w:rPr>
                    <w:t>IMAC</w:t>
                  </w:r>
                  <w:r w:rsidR="0065416C">
                    <w:rPr>
                      <w:color w:val="auto"/>
                      <w:lang w:val="ru-RU"/>
                    </w:rPr>
                    <w:t> </w:t>
                  </w:r>
                  <w:r w:rsidRPr="007D17EC">
                    <w:rPr>
                      <w:color w:val="auto"/>
                      <w:lang w:val="ru-RU"/>
                    </w:rPr>
                    <w:t>2013 года</w:t>
                  </w:r>
                </w:p>
              </w:tc>
              <w:tc>
                <w:tcPr>
                  <w:tcW w:w="843" w:type="dxa"/>
                  <w:noWrap/>
                  <w:vAlign w:val="center"/>
                  <w:hideMark/>
                </w:tcPr>
                <w:p w:rsidR="00B26564" w:rsidRPr="007D17EC" w:rsidRDefault="00B26564" w:rsidP="007D17EC">
                  <w:pPr>
                    <w:spacing w:before="0"/>
                    <w:jc w:val="center"/>
                    <w:cnfStyle w:val="100000000000" w:firstRow="1" w:lastRow="0" w:firstColumn="0" w:lastColumn="0" w:oddVBand="0" w:evenVBand="0" w:oddHBand="0" w:evenHBand="0" w:firstRowFirstColumn="0" w:firstRowLastColumn="0" w:lastRowFirstColumn="0" w:lastRowLastColumn="0"/>
                    <w:rPr>
                      <w:color w:val="auto"/>
                      <w:lang w:val="ru-RU"/>
                    </w:rPr>
                  </w:pPr>
                  <w:r w:rsidRPr="007D17EC">
                    <w:rPr>
                      <w:color w:val="auto"/>
                      <w:lang w:val="ru-RU"/>
                    </w:rPr>
                    <w:t>Кол-во</w:t>
                  </w:r>
                </w:p>
              </w:tc>
              <w:tc>
                <w:tcPr>
                  <w:tcW w:w="698" w:type="dxa"/>
                  <w:noWrap/>
                  <w:vAlign w:val="center"/>
                  <w:hideMark/>
                </w:tcPr>
                <w:p w:rsidR="00B26564" w:rsidRPr="007D17EC" w:rsidRDefault="00B26564" w:rsidP="007D17EC">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sidRPr="007D17EC">
                    <w:rPr>
                      <w:color w:val="auto"/>
                    </w:rPr>
                    <w:t>%</w:t>
                  </w:r>
                </w:p>
              </w:tc>
            </w:tr>
            <w:tr w:rsidR="007D17EC" w:rsidRPr="007D17EC" w:rsidTr="006541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2" w:type="dxa"/>
                  <w:noWrap/>
                </w:tcPr>
                <w:p w:rsidR="00B26564" w:rsidRPr="007D17EC" w:rsidRDefault="00B26564" w:rsidP="007D17EC">
                  <w:pPr>
                    <w:spacing w:before="0"/>
                    <w:rPr>
                      <w:color w:val="auto"/>
                      <w:lang w:val="ru-RU"/>
                    </w:rPr>
                  </w:pPr>
                  <w:r w:rsidRPr="007D17EC">
                    <w:rPr>
                      <w:color w:val="auto"/>
                      <w:lang w:val="ru-RU"/>
                    </w:rPr>
                    <w:t>Всего</w:t>
                  </w:r>
                </w:p>
              </w:tc>
              <w:tc>
                <w:tcPr>
                  <w:tcW w:w="843" w:type="dxa"/>
                  <w:noWrap/>
                </w:tcPr>
                <w:p w:rsidR="00B26564" w:rsidRPr="009E0A31" w:rsidRDefault="00B26564" w:rsidP="007D17EC">
                  <w:pPr>
                    <w:spacing w:before="0"/>
                    <w:ind w:right="170"/>
                    <w:jc w:val="right"/>
                    <w:cnfStyle w:val="000000100000" w:firstRow="0" w:lastRow="0" w:firstColumn="0" w:lastColumn="0" w:oddVBand="0" w:evenVBand="0" w:oddHBand="1" w:evenHBand="0" w:firstRowFirstColumn="0" w:firstRowLastColumn="0" w:lastRowFirstColumn="0" w:lastRowLastColumn="0"/>
                    <w:rPr>
                      <w:b/>
                      <w:bCs/>
                      <w:color w:val="auto"/>
                    </w:rPr>
                  </w:pPr>
                  <w:r w:rsidRPr="009E0A31">
                    <w:rPr>
                      <w:b/>
                      <w:bCs/>
                      <w:color w:val="auto"/>
                    </w:rPr>
                    <w:t>8</w:t>
                  </w:r>
                </w:p>
              </w:tc>
              <w:tc>
                <w:tcPr>
                  <w:tcW w:w="698" w:type="dxa"/>
                  <w:noWrap/>
                </w:tcPr>
                <w:p w:rsidR="00B26564" w:rsidRPr="009E0A31" w:rsidRDefault="00B26564" w:rsidP="007D17EC">
                  <w:pPr>
                    <w:spacing w:before="0"/>
                    <w:ind w:right="170"/>
                    <w:jc w:val="right"/>
                    <w:cnfStyle w:val="000000100000" w:firstRow="0" w:lastRow="0" w:firstColumn="0" w:lastColumn="0" w:oddVBand="0" w:evenVBand="0" w:oddHBand="1" w:evenHBand="0" w:firstRowFirstColumn="0" w:firstRowLastColumn="0" w:lastRowFirstColumn="0" w:lastRowLastColumn="0"/>
                    <w:rPr>
                      <w:b/>
                      <w:bCs/>
                      <w:color w:val="auto"/>
                    </w:rPr>
                  </w:pPr>
                  <w:r w:rsidRPr="009E0A31">
                    <w:rPr>
                      <w:b/>
                      <w:bCs/>
                      <w:color w:val="auto"/>
                    </w:rPr>
                    <w:t>100</w:t>
                  </w:r>
                </w:p>
              </w:tc>
            </w:tr>
            <w:tr w:rsidR="007D17EC" w:rsidRPr="007D17EC" w:rsidTr="0065416C">
              <w:trPr>
                <w:trHeight w:val="300"/>
              </w:trPr>
              <w:tc>
                <w:tcPr>
                  <w:cnfStyle w:val="001000000000" w:firstRow="0" w:lastRow="0" w:firstColumn="1" w:lastColumn="0" w:oddVBand="0" w:evenVBand="0" w:oddHBand="0" w:evenHBand="0" w:firstRowFirstColumn="0" w:firstRowLastColumn="0" w:lastRowFirstColumn="0" w:lastRowLastColumn="0"/>
                  <w:tcW w:w="2302" w:type="dxa"/>
                  <w:noWrap/>
                  <w:hideMark/>
                </w:tcPr>
                <w:p w:rsidR="00B26564" w:rsidRPr="007D17EC" w:rsidRDefault="00B26564" w:rsidP="007D17EC">
                  <w:pPr>
                    <w:spacing w:before="0"/>
                    <w:rPr>
                      <w:color w:val="auto"/>
                      <w:lang w:val="ru-RU"/>
                    </w:rPr>
                  </w:pPr>
                  <w:r w:rsidRPr="007D17EC">
                    <w:rPr>
                      <w:b w:val="0"/>
                      <w:bCs w:val="0"/>
                      <w:color w:val="auto"/>
                      <w:lang w:val="ru-RU"/>
                    </w:rPr>
                    <w:t>Выполнены</w:t>
                  </w:r>
                </w:p>
              </w:tc>
              <w:tc>
                <w:tcPr>
                  <w:tcW w:w="843" w:type="dxa"/>
                  <w:noWrap/>
                  <w:hideMark/>
                </w:tcPr>
                <w:p w:rsidR="00B26564" w:rsidRPr="007D17EC" w:rsidRDefault="00B26564" w:rsidP="007D17EC">
                  <w:pPr>
                    <w:spacing w:before="0"/>
                    <w:ind w:right="170"/>
                    <w:jc w:val="right"/>
                    <w:cnfStyle w:val="000000000000" w:firstRow="0" w:lastRow="0" w:firstColumn="0" w:lastColumn="0" w:oddVBand="0" w:evenVBand="0" w:oddHBand="0" w:evenHBand="0" w:firstRowFirstColumn="0" w:firstRowLastColumn="0" w:lastRowFirstColumn="0" w:lastRowLastColumn="0"/>
                    <w:rPr>
                      <w:color w:val="auto"/>
                    </w:rPr>
                  </w:pPr>
                  <w:r w:rsidRPr="007D17EC">
                    <w:rPr>
                      <w:color w:val="auto"/>
                    </w:rPr>
                    <w:t>7</w:t>
                  </w:r>
                </w:p>
              </w:tc>
              <w:tc>
                <w:tcPr>
                  <w:tcW w:w="698" w:type="dxa"/>
                  <w:noWrap/>
                  <w:hideMark/>
                </w:tcPr>
                <w:p w:rsidR="00B26564" w:rsidRPr="007D17EC" w:rsidRDefault="00B26564" w:rsidP="007D17EC">
                  <w:pPr>
                    <w:spacing w:before="0"/>
                    <w:ind w:right="170"/>
                    <w:jc w:val="right"/>
                    <w:cnfStyle w:val="000000000000" w:firstRow="0" w:lastRow="0" w:firstColumn="0" w:lastColumn="0" w:oddVBand="0" w:evenVBand="0" w:oddHBand="0" w:evenHBand="0" w:firstRowFirstColumn="0" w:firstRowLastColumn="0" w:lastRowFirstColumn="0" w:lastRowLastColumn="0"/>
                    <w:rPr>
                      <w:color w:val="auto"/>
                    </w:rPr>
                  </w:pPr>
                  <w:r w:rsidRPr="007D17EC">
                    <w:rPr>
                      <w:color w:val="auto"/>
                    </w:rPr>
                    <w:t>87</w:t>
                  </w:r>
                </w:p>
              </w:tc>
            </w:tr>
            <w:tr w:rsidR="007D17EC" w:rsidRPr="007D17EC" w:rsidTr="006541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2" w:type="dxa"/>
                  <w:noWrap/>
                  <w:hideMark/>
                </w:tcPr>
                <w:p w:rsidR="00B26564" w:rsidRPr="007D17EC" w:rsidRDefault="00B26564" w:rsidP="007D17EC">
                  <w:pPr>
                    <w:spacing w:before="0"/>
                    <w:rPr>
                      <w:color w:val="auto"/>
                      <w:lang w:val="ru-RU"/>
                    </w:rPr>
                  </w:pPr>
                  <w:r w:rsidRPr="007D17EC">
                    <w:rPr>
                      <w:b w:val="0"/>
                      <w:bCs w:val="0"/>
                      <w:color w:val="auto"/>
                      <w:lang w:val="ru-RU"/>
                    </w:rPr>
                    <w:t>Выполняются</w:t>
                  </w:r>
                </w:p>
              </w:tc>
              <w:tc>
                <w:tcPr>
                  <w:tcW w:w="843" w:type="dxa"/>
                  <w:noWrap/>
                  <w:hideMark/>
                </w:tcPr>
                <w:p w:rsidR="00B26564" w:rsidRPr="007D17EC" w:rsidRDefault="00B26564" w:rsidP="007D17EC">
                  <w:pPr>
                    <w:spacing w:before="0"/>
                    <w:ind w:right="170"/>
                    <w:jc w:val="right"/>
                    <w:cnfStyle w:val="000000100000" w:firstRow="0" w:lastRow="0" w:firstColumn="0" w:lastColumn="0" w:oddVBand="0" w:evenVBand="0" w:oddHBand="1" w:evenHBand="0" w:firstRowFirstColumn="0" w:firstRowLastColumn="0" w:lastRowFirstColumn="0" w:lastRowLastColumn="0"/>
                    <w:rPr>
                      <w:color w:val="auto"/>
                    </w:rPr>
                  </w:pPr>
                  <w:r w:rsidRPr="007D17EC">
                    <w:rPr>
                      <w:color w:val="auto"/>
                    </w:rPr>
                    <w:t>1</w:t>
                  </w:r>
                </w:p>
              </w:tc>
              <w:tc>
                <w:tcPr>
                  <w:tcW w:w="698" w:type="dxa"/>
                  <w:noWrap/>
                  <w:hideMark/>
                </w:tcPr>
                <w:p w:rsidR="00B26564" w:rsidRPr="007D17EC" w:rsidRDefault="00B26564" w:rsidP="007D17EC">
                  <w:pPr>
                    <w:spacing w:before="0"/>
                    <w:ind w:right="170"/>
                    <w:jc w:val="right"/>
                    <w:cnfStyle w:val="000000100000" w:firstRow="0" w:lastRow="0" w:firstColumn="0" w:lastColumn="0" w:oddVBand="0" w:evenVBand="0" w:oddHBand="1" w:evenHBand="0" w:firstRowFirstColumn="0" w:firstRowLastColumn="0" w:lastRowFirstColumn="0" w:lastRowLastColumn="0"/>
                    <w:rPr>
                      <w:color w:val="auto"/>
                    </w:rPr>
                  </w:pPr>
                  <w:r w:rsidRPr="007D17EC">
                    <w:rPr>
                      <w:color w:val="auto"/>
                    </w:rPr>
                    <w:t>13</w:t>
                  </w:r>
                </w:p>
              </w:tc>
            </w:tr>
            <w:tr w:rsidR="007D17EC" w:rsidRPr="007D17EC" w:rsidTr="0065416C">
              <w:trPr>
                <w:trHeight w:val="300"/>
              </w:trPr>
              <w:tc>
                <w:tcPr>
                  <w:cnfStyle w:val="001000000000" w:firstRow="0" w:lastRow="0" w:firstColumn="1" w:lastColumn="0" w:oddVBand="0" w:evenVBand="0" w:oddHBand="0" w:evenHBand="0" w:firstRowFirstColumn="0" w:firstRowLastColumn="0" w:lastRowFirstColumn="0" w:lastRowLastColumn="0"/>
                  <w:tcW w:w="2302" w:type="dxa"/>
                  <w:noWrap/>
                  <w:hideMark/>
                </w:tcPr>
                <w:p w:rsidR="00B26564" w:rsidRPr="007D17EC" w:rsidRDefault="00B26564" w:rsidP="007D17EC">
                  <w:pPr>
                    <w:spacing w:before="0"/>
                    <w:rPr>
                      <w:color w:val="auto"/>
                      <w:lang w:val="ru-RU"/>
                    </w:rPr>
                  </w:pPr>
                  <w:r w:rsidRPr="007D17EC">
                    <w:rPr>
                      <w:b w:val="0"/>
                      <w:bCs w:val="0"/>
                      <w:color w:val="auto"/>
                      <w:lang w:val="ru-RU"/>
                    </w:rPr>
                    <w:t>Не приняты</w:t>
                  </w:r>
                </w:p>
              </w:tc>
              <w:tc>
                <w:tcPr>
                  <w:tcW w:w="843" w:type="dxa"/>
                  <w:noWrap/>
                  <w:hideMark/>
                </w:tcPr>
                <w:p w:rsidR="00B26564" w:rsidRPr="007D17EC" w:rsidRDefault="00B26564" w:rsidP="007D17EC">
                  <w:pPr>
                    <w:spacing w:before="0"/>
                    <w:ind w:right="170"/>
                    <w:jc w:val="right"/>
                    <w:cnfStyle w:val="000000000000" w:firstRow="0" w:lastRow="0" w:firstColumn="0" w:lastColumn="0" w:oddVBand="0" w:evenVBand="0" w:oddHBand="0" w:evenHBand="0" w:firstRowFirstColumn="0" w:firstRowLastColumn="0" w:lastRowFirstColumn="0" w:lastRowLastColumn="0"/>
                    <w:rPr>
                      <w:color w:val="auto"/>
                    </w:rPr>
                  </w:pPr>
                  <w:r w:rsidRPr="007D17EC">
                    <w:rPr>
                      <w:color w:val="auto"/>
                    </w:rPr>
                    <w:t>0</w:t>
                  </w:r>
                </w:p>
              </w:tc>
              <w:tc>
                <w:tcPr>
                  <w:tcW w:w="698" w:type="dxa"/>
                  <w:noWrap/>
                  <w:hideMark/>
                </w:tcPr>
                <w:p w:rsidR="00B26564" w:rsidRPr="007D17EC" w:rsidRDefault="00B26564" w:rsidP="007D17EC">
                  <w:pPr>
                    <w:spacing w:before="0"/>
                    <w:ind w:right="170"/>
                    <w:jc w:val="right"/>
                    <w:cnfStyle w:val="000000000000" w:firstRow="0" w:lastRow="0" w:firstColumn="0" w:lastColumn="0" w:oddVBand="0" w:evenVBand="0" w:oddHBand="0" w:evenHBand="0" w:firstRowFirstColumn="0" w:firstRowLastColumn="0" w:lastRowFirstColumn="0" w:lastRowLastColumn="0"/>
                    <w:rPr>
                      <w:color w:val="auto"/>
                    </w:rPr>
                  </w:pPr>
                  <w:r w:rsidRPr="007D17EC">
                    <w:rPr>
                      <w:color w:val="auto"/>
                    </w:rPr>
                    <w:t>0</w:t>
                  </w:r>
                </w:p>
              </w:tc>
            </w:tr>
          </w:tbl>
          <w:p w:rsidR="00B26564" w:rsidRPr="00054161" w:rsidRDefault="00B26564" w:rsidP="00B26564">
            <w:pPr>
              <w:spacing w:after="120"/>
              <w:jc w:val="center"/>
              <w:rPr>
                <w:szCs w:val="24"/>
              </w:rPr>
            </w:pPr>
          </w:p>
        </w:tc>
        <w:tc>
          <w:tcPr>
            <w:tcW w:w="6126" w:type="dxa"/>
          </w:tcPr>
          <w:p w:rsidR="00B26564" w:rsidRPr="00054161" w:rsidRDefault="00B26564" w:rsidP="00B26564">
            <w:pPr>
              <w:spacing w:after="120"/>
              <w:rPr>
                <w:szCs w:val="24"/>
              </w:rPr>
            </w:pPr>
            <w:r w:rsidRPr="00054161">
              <w:rPr>
                <w:noProof/>
                <w:lang w:val="en-US" w:eastAsia="zh-CN"/>
              </w:rPr>
              <w:drawing>
                <wp:inline distT="0" distB="0" distL="0" distR="0" wp14:anchorId="04A7AECB" wp14:editId="2FE9438A">
                  <wp:extent cx="3324225" cy="2486025"/>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B26564" w:rsidTr="00B26564">
        <w:tc>
          <w:tcPr>
            <w:tcW w:w="3503" w:type="dxa"/>
            <w:vAlign w:val="center"/>
          </w:tcPr>
          <w:tbl>
            <w:tblPr>
              <w:tblStyle w:val="ListTable6Colorful-Accent11"/>
              <w:tblW w:w="3843" w:type="dxa"/>
              <w:tblCellMar>
                <w:left w:w="85" w:type="dxa"/>
                <w:right w:w="85" w:type="dxa"/>
              </w:tblCellMar>
              <w:tblLook w:val="04A0" w:firstRow="1" w:lastRow="0" w:firstColumn="1" w:lastColumn="0" w:noHBand="0" w:noVBand="1"/>
            </w:tblPr>
            <w:tblGrid>
              <w:gridCol w:w="2300"/>
              <w:gridCol w:w="843"/>
              <w:gridCol w:w="698"/>
            </w:tblGrid>
            <w:tr w:rsidR="0023127A" w:rsidRPr="0023127A" w:rsidTr="0065416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2" w:type="dxa"/>
                  <w:noWrap/>
                  <w:hideMark/>
                </w:tcPr>
                <w:p w:rsidR="00B26564" w:rsidRPr="0023127A" w:rsidRDefault="00B26564" w:rsidP="0065416C">
                  <w:pPr>
                    <w:spacing w:before="0"/>
                    <w:rPr>
                      <w:color w:val="auto"/>
                      <w:lang w:val="ru-RU"/>
                    </w:rPr>
                  </w:pPr>
                  <w:r w:rsidRPr="0023127A">
                    <w:rPr>
                      <w:color w:val="auto"/>
                      <w:lang w:val="ru-RU"/>
                    </w:rPr>
                    <w:t xml:space="preserve">Выполнение рекомендаций </w:t>
                  </w:r>
                  <w:r w:rsidRPr="0023127A">
                    <w:rPr>
                      <w:color w:val="auto"/>
                      <w:lang w:val="fr-CA"/>
                    </w:rPr>
                    <w:t>IMAC</w:t>
                  </w:r>
                  <w:r w:rsidR="0065416C">
                    <w:rPr>
                      <w:color w:val="auto"/>
                      <w:lang w:val="ru-RU"/>
                    </w:rPr>
                    <w:t> </w:t>
                  </w:r>
                  <w:r w:rsidRPr="0023127A">
                    <w:rPr>
                      <w:color w:val="auto"/>
                      <w:lang w:val="fr-CA"/>
                    </w:rPr>
                    <w:t>2012</w:t>
                  </w:r>
                  <w:r w:rsidRPr="0023127A">
                    <w:rPr>
                      <w:color w:val="auto"/>
                      <w:lang w:val="ru-RU"/>
                    </w:rPr>
                    <w:t xml:space="preserve"> года</w:t>
                  </w:r>
                </w:p>
              </w:tc>
              <w:tc>
                <w:tcPr>
                  <w:tcW w:w="843" w:type="dxa"/>
                  <w:noWrap/>
                  <w:vAlign w:val="center"/>
                  <w:hideMark/>
                </w:tcPr>
                <w:p w:rsidR="00B26564" w:rsidRPr="0023127A" w:rsidRDefault="00B26564" w:rsidP="0023127A">
                  <w:pPr>
                    <w:spacing w:before="0"/>
                    <w:jc w:val="center"/>
                    <w:cnfStyle w:val="100000000000" w:firstRow="1" w:lastRow="0" w:firstColumn="0" w:lastColumn="0" w:oddVBand="0" w:evenVBand="0" w:oddHBand="0" w:evenHBand="0" w:firstRowFirstColumn="0" w:firstRowLastColumn="0" w:lastRowFirstColumn="0" w:lastRowLastColumn="0"/>
                    <w:rPr>
                      <w:color w:val="auto"/>
                    </w:rPr>
                  </w:pPr>
                  <w:bookmarkStart w:id="9" w:name="lt_pId305"/>
                  <w:r w:rsidRPr="0023127A">
                    <w:rPr>
                      <w:color w:val="auto"/>
                      <w:lang w:val="ru-RU"/>
                    </w:rPr>
                    <w:t>Кол-во</w:t>
                  </w:r>
                  <w:bookmarkEnd w:id="9"/>
                </w:p>
              </w:tc>
              <w:tc>
                <w:tcPr>
                  <w:tcW w:w="698" w:type="dxa"/>
                  <w:noWrap/>
                  <w:vAlign w:val="center"/>
                  <w:hideMark/>
                </w:tcPr>
                <w:p w:rsidR="00B26564" w:rsidRPr="0023127A" w:rsidRDefault="00B26564" w:rsidP="0023127A">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sidRPr="0023127A">
                    <w:rPr>
                      <w:color w:val="auto"/>
                    </w:rPr>
                    <w:t>%</w:t>
                  </w:r>
                </w:p>
              </w:tc>
            </w:tr>
            <w:tr w:rsidR="0023127A" w:rsidRPr="0023127A" w:rsidTr="006541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2" w:type="dxa"/>
                  <w:noWrap/>
                </w:tcPr>
                <w:p w:rsidR="00B26564" w:rsidRPr="0023127A" w:rsidRDefault="00B26564" w:rsidP="0023127A">
                  <w:pPr>
                    <w:spacing w:before="0"/>
                    <w:rPr>
                      <w:color w:val="auto"/>
                      <w:lang w:val="ru-RU"/>
                    </w:rPr>
                  </w:pPr>
                  <w:r w:rsidRPr="0023127A">
                    <w:rPr>
                      <w:color w:val="auto"/>
                      <w:lang w:val="ru-RU"/>
                    </w:rPr>
                    <w:t>Всего</w:t>
                  </w:r>
                </w:p>
              </w:tc>
              <w:tc>
                <w:tcPr>
                  <w:tcW w:w="843" w:type="dxa"/>
                  <w:noWrap/>
                </w:tcPr>
                <w:p w:rsidR="00B26564" w:rsidRPr="009E0A31" w:rsidRDefault="00B26564" w:rsidP="0023127A">
                  <w:pPr>
                    <w:spacing w:before="0"/>
                    <w:ind w:right="170"/>
                    <w:jc w:val="right"/>
                    <w:cnfStyle w:val="000000100000" w:firstRow="0" w:lastRow="0" w:firstColumn="0" w:lastColumn="0" w:oddVBand="0" w:evenVBand="0" w:oddHBand="1" w:evenHBand="0" w:firstRowFirstColumn="0" w:firstRowLastColumn="0" w:lastRowFirstColumn="0" w:lastRowLastColumn="0"/>
                    <w:rPr>
                      <w:b/>
                      <w:bCs/>
                      <w:color w:val="auto"/>
                    </w:rPr>
                  </w:pPr>
                  <w:r w:rsidRPr="009E0A31">
                    <w:rPr>
                      <w:b/>
                      <w:bCs/>
                      <w:color w:val="auto"/>
                    </w:rPr>
                    <w:t>6</w:t>
                  </w:r>
                </w:p>
              </w:tc>
              <w:tc>
                <w:tcPr>
                  <w:tcW w:w="698" w:type="dxa"/>
                  <w:noWrap/>
                </w:tcPr>
                <w:p w:rsidR="00B26564" w:rsidRPr="009E0A31" w:rsidRDefault="00B26564" w:rsidP="0023127A">
                  <w:pPr>
                    <w:spacing w:before="0"/>
                    <w:ind w:right="170"/>
                    <w:jc w:val="right"/>
                    <w:cnfStyle w:val="000000100000" w:firstRow="0" w:lastRow="0" w:firstColumn="0" w:lastColumn="0" w:oddVBand="0" w:evenVBand="0" w:oddHBand="1" w:evenHBand="0" w:firstRowFirstColumn="0" w:firstRowLastColumn="0" w:lastRowFirstColumn="0" w:lastRowLastColumn="0"/>
                    <w:rPr>
                      <w:b/>
                      <w:bCs/>
                      <w:color w:val="auto"/>
                    </w:rPr>
                  </w:pPr>
                  <w:r w:rsidRPr="009E0A31">
                    <w:rPr>
                      <w:b/>
                      <w:bCs/>
                      <w:color w:val="auto"/>
                    </w:rPr>
                    <w:t>100</w:t>
                  </w:r>
                </w:p>
              </w:tc>
            </w:tr>
            <w:tr w:rsidR="0023127A" w:rsidRPr="0023127A" w:rsidTr="0065416C">
              <w:trPr>
                <w:trHeight w:val="300"/>
              </w:trPr>
              <w:tc>
                <w:tcPr>
                  <w:cnfStyle w:val="001000000000" w:firstRow="0" w:lastRow="0" w:firstColumn="1" w:lastColumn="0" w:oddVBand="0" w:evenVBand="0" w:oddHBand="0" w:evenHBand="0" w:firstRowFirstColumn="0" w:firstRowLastColumn="0" w:lastRowFirstColumn="0" w:lastRowLastColumn="0"/>
                  <w:tcW w:w="2302" w:type="dxa"/>
                  <w:noWrap/>
                  <w:hideMark/>
                </w:tcPr>
                <w:p w:rsidR="00B26564" w:rsidRPr="0023127A" w:rsidRDefault="00B26564" w:rsidP="0023127A">
                  <w:pPr>
                    <w:spacing w:before="0"/>
                    <w:rPr>
                      <w:color w:val="auto"/>
                      <w:lang w:val="ru-RU"/>
                    </w:rPr>
                  </w:pPr>
                  <w:r w:rsidRPr="0023127A">
                    <w:rPr>
                      <w:b w:val="0"/>
                      <w:bCs w:val="0"/>
                      <w:color w:val="auto"/>
                      <w:lang w:val="ru-RU"/>
                    </w:rPr>
                    <w:t>Выполнены</w:t>
                  </w:r>
                </w:p>
              </w:tc>
              <w:tc>
                <w:tcPr>
                  <w:tcW w:w="843" w:type="dxa"/>
                  <w:noWrap/>
                  <w:hideMark/>
                </w:tcPr>
                <w:p w:rsidR="00B26564" w:rsidRPr="0023127A" w:rsidRDefault="00B26564" w:rsidP="0023127A">
                  <w:pPr>
                    <w:spacing w:before="0"/>
                    <w:ind w:right="170"/>
                    <w:jc w:val="right"/>
                    <w:cnfStyle w:val="000000000000" w:firstRow="0" w:lastRow="0" w:firstColumn="0" w:lastColumn="0" w:oddVBand="0" w:evenVBand="0" w:oddHBand="0" w:evenHBand="0" w:firstRowFirstColumn="0" w:firstRowLastColumn="0" w:lastRowFirstColumn="0" w:lastRowLastColumn="0"/>
                    <w:rPr>
                      <w:color w:val="auto"/>
                    </w:rPr>
                  </w:pPr>
                  <w:r w:rsidRPr="0023127A">
                    <w:rPr>
                      <w:color w:val="auto"/>
                    </w:rPr>
                    <w:t>5</w:t>
                  </w:r>
                </w:p>
              </w:tc>
              <w:tc>
                <w:tcPr>
                  <w:tcW w:w="698" w:type="dxa"/>
                  <w:noWrap/>
                  <w:hideMark/>
                </w:tcPr>
                <w:p w:rsidR="00B26564" w:rsidRPr="0023127A" w:rsidRDefault="00B26564" w:rsidP="0023127A">
                  <w:pPr>
                    <w:spacing w:before="0"/>
                    <w:ind w:right="170"/>
                    <w:jc w:val="right"/>
                    <w:cnfStyle w:val="000000000000" w:firstRow="0" w:lastRow="0" w:firstColumn="0" w:lastColumn="0" w:oddVBand="0" w:evenVBand="0" w:oddHBand="0" w:evenHBand="0" w:firstRowFirstColumn="0" w:firstRowLastColumn="0" w:lastRowFirstColumn="0" w:lastRowLastColumn="0"/>
                    <w:rPr>
                      <w:color w:val="auto"/>
                    </w:rPr>
                  </w:pPr>
                  <w:r w:rsidRPr="0023127A">
                    <w:rPr>
                      <w:color w:val="auto"/>
                    </w:rPr>
                    <w:t>83</w:t>
                  </w:r>
                </w:p>
              </w:tc>
            </w:tr>
            <w:tr w:rsidR="0023127A" w:rsidRPr="0023127A" w:rsidTr="006541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2" w:type="dxa"/>
                  <w:noWrap/>
                  <w:hideMark/>
                </w:tcPr>
                <w:p w:rsidR="00B26564" w:rsidRPr="0023127A" w:rsidRDefault="00B26564" w:rsidP="0023127A">
                  <w:pPr>
                    <w:spacing w:before="0"/>
                    <w:rPr>
                      <w:color w:val="auto"/>
                      <w:lang w:val="ru-RU"/>
                    </w:rPr>
                  </w:pPr>
                  <w:r w:rsidRPr="0023127A">
                    <w:rPr>
                      <w:b w:val="0"/>
                      <w:bCs w:val="0"/>
                      <w:color w:val="auto"/>
                      <w:lang w:val="ru-RU"/>
                    </w:rPr>
                    <w:t>Выполняются</w:t>
                  </w:r>
                </w:p>
              </w:tc>
              <w:tc>
                <w:tcPr>
                  <w:tcW w:w="843" w:type="dxa"/>
                  <w:noWrap/>
                  <w:hideMark/>
                </w:tcPr>
                <w:p w:rsidR="00B26564" w:rsidRPr="0023127A" w:rsidRDefault="00B26564" w:rsidP="0023127A">
                  <w:pPr>
                    <w:spacing w:before="0"/>
                    <w:ind w:right="170"/>
                    <w:jc w:val="right"/>
                    <w:cnfStyle w:val="000000100000" w:firstRow="0" w:lastRow="0" w:firstColumn="0" w:lastColumn="0" w:oddVBand="0" w:evenVBand="0" w:oddHBand="1" w:evenHBand="0" w:firstRowFirstColumn="0" w:firstRowLastColumn="0" w:lastRowFirstColumn="0" w:lastRowLastColumn="0"/>
                    <w:rPr>
                      <w:color w:val="auto"/>
                    </w:rPr>
                  </w:pPr>
                  <w:r w:rsidRPr="0023127A">
                    <w:rPr>
                      <w:color w:val="auto"/>
                    </w:rPr>
                    <w:t>1</w:t>
                  </w:r>
                </w:p>
              </w:tc>
              <w:tc>
                <w:tcPr>
                  <w:tcW w:w="698" w:type="dxa"/>
                  <w:noWrap/>
                  <w:hideMark/>
                </w:tcPr>
                <w:p w:rsidR="00B26564" w:rsidRPr="0023127A" w:rsidRDefault="00B26564" w:rsidP="0023127A">
                  <w:pPr>
                    <w:spacing w:before="0"/>
                    <w:ind w:right="170"/>
                    <w:jc w:val="right"/>
                    <w:cnfStyle w:val="000000100000" w:firstRow="0" w:lastRow="0" w:firstColumn="0" w:lastColumn="0" w:oddVBand="0" w:evenVBand="0" w:oddHBand="1" w:evenHBand="0" w:firstRowFirstColumn="0" w:firstRowLastColumn="0" w:lastRowFirstColumn="0" w:lastRowLastColumn="0"/>
                    <w:rPr>
                      <w:color w:val="auto"/>
                    </w:rPr>
                  </w:pPr>
                  <w:r w:rsidRPr="0023127A">
                    <w:rPr>
                      <w:color w:val="auto"/>
                    </w:rPr>
                    <w:t>17</w:t>
                  </w:r>
                </w:p>
              </w:tc>
            </w:tr>
            <w:tr w:rsidR="0023127A" w:rsidRPr="0023127A" w:rsidTr="0065416C">
              <w:trPr>
                <w:trHeight w:val="300"/>
              </w:trPr>
              <w:tc>
                <w:tcPr>
                  <w:cnfStyle w:val="001000000000" w:firstRow="0" w:lastRow="0" w:firstColumn="1" w:lastColumn="0" w:oddVBand="0" w:evenVBand="0" w:oddHBand="0" w:evenHBand="0" w:firstRowFirstColumn="0" w:firstRowLastColumn="0" w:lastRowFirstColumn="0" w:lastRowLastColumn="0"/>
                  <w:tcW w:w="2302" w:type="dxa"/>
                  <w:noWrap/>
                  <w:hideMark/>
                </w:tcPr>
                <w:p w:rsidR="00B26564" w:rsidRPr="0023127A" w:rsidRDefault="00B26564" w:rsidP="0023127A">
                  <w:pPr>
                    <w:spacing w:before="0"/>
                    <w:rPr>
                      <w:color w:val="auto"/>
                      <w:lang w:val="ru-RU"/>
                    </w:rPr>
                  </w:pPr>
                  <w:r w:rsidRPr="0023127A">
                    <w:rPr>
                      <w:b w:val="0"/>
                      <w:bCs w:val="0"/>
                      <w:color w:val="auto"/>
                      <w:lang w:val="ru-RU"/>
                    </w:rPr>
                    <w:t>Не приняты</w:t>
                  </w:r>
                </w:p>
              </w:tc>
              <w:tc>
                <w:tcPr>
                  <w:tcW w:w="843" w:type="dxa"/>
                  <w:noWrap/>
                  <w:hideMark/>
                </w:tcPr>
                <w:p w:rsidR="00B26564" w:rsidRPr="0023127A" w:rsidRDefault="00B26564" w:rsidP="0023127A">
                  <w:pPr>
                    <w:spacing w:before="0"/>
                    <w:ind w:right="170"/>
                    <w:jc w:val="right"/>
                    <w:cnfStyle w:val="000000000000" w:firstRow="0" w:lastRow="0" w:firstColumn="0" w:lastColumn="0" w:oddVBand="0" w:evenVBand="0" w:oddHBand="0" w:evenHBand="0" w:firstRowFirstColumn="0" w:firstRowLastColumn="0" w:lastRowFirstColumn="0" w:lastRowLastColumn="0"/>
                    <w:rPr>
                      <w:color w:val="auto"/>
                    </w:rPr>
                  </w:pPr>
                  <w:r w:rsidRPr="0023127A">
                    <w:rPr>
                      <w:color w:val="auto"/>
                    </w:rPr>
                    <w:t>0</w:t>
                  </w:r>
                </w:p>
              </w:tc>
              <w:tc>
                <w:tcPr>
                  <w:tcW w:w="698" w:type="dxa"/>
                  <w:noWrap/>
                  <w:hideMark/>
                </w:tcPr>
                <w:p w:rsidR="00B26564" w:rsidRPr="0023127A" w:rsidRDefault="00B26564" w:rsidP="0023127A">
                  <w:pPr>
                    <w:spacing w:before="0"/>
                    <w:ind w:right="170"/>
                    <w:jc w:val="right"/>
                    <w:cnfStyle w:val="000000000000" w:firstRow="0" w:lastRow="0" w:firstColumn="0" w:lastColumn="0" w:oddVBand="0" w:evenVBand="0" w:oddHBand="0" w:evenHBand="0" w:firstRowFirstColumn="0" w:firstRowLastColumn="0" w:lastRowFirstColumn="0" w:lastRowLastColumn="0"/>
                    <w:rPr>
                      <w:color w:val="auto"/>
                    </w:rPr>
                  </w:pPr>
                  <w:r w:rsidRPr="0023127A">
                    <w:rPr>
                      <w:color w:val="auto"/>
                    </w:rPr>
                    <w:t>0</w:t>
                  </w:r>
                </w:p>
              </w:tc>
            </w:tr>
          </w:tbl>
          <w:p w:rsidR="00B26564" w:rsidRPr="00054161" w:rsidRDefault="00B26564" w:rsidP="00B26564">
            <w:pPr>
              <w:spacing w:after="120"/>
              <w:jc w:val="center"/>
              <w:rPr>
                <w:szCs w:val="24"/>
              </w:rPr>
            </w:pPr>
          </w:p>
        </w:tc>
        <w:tc>
          <w:tcPr>
            <w:tcW w:w="6126" w:type="dxa"/>
          </w:tcPr>
          <w:p w:rsidR="00B26564" w:rsidRDefault="00B26564" w:rsidP="00B26564">
            <w:pPr>
              <w:spacing w:after="120"/>
              <w:rPr>
                <w:szCs w:val="24"/>
              </w:rPr>
            </w:pPr>
            <w:r w:rsidRPr="00054161">
              <w:rPr>
                <w:noProof/>
                <w:lang w:val="en-US" w:eastAsia="zh-CN"/>
              </w:rPr>
              <w:drawing>
                <wp:inline distT="0" distB="0" distL="0" distR="0" wp14:anchorId="22D0DBE7" wp14:editId="4190ED6E">
                  <wp:extent cx="3324225" cy="24765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rsidR="007D17EC" w:rsidRDefault="007D17EC" w:rsidP="004B4843">
      <w:pPr>
        <w:spacing w:before="840"/>
        <w:jc w:val="center"/>
      </w:pPr>
      <w:r>
        <w:t>______________</w:t>
      </w:r>
    </w:p>
    <w:sectPr w:rsidR="007D17EC" w:rsidSect="00CF629C">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564" w:rsidRDefault="00B26564">
      <w:r>
        <w:separator/>
      </w:r>
    </w:p>
  </w:endnote>
  <w:endnote w:type="continuationSeparator" w:id="0">
    <w:p w:rsidR="00B26564" w:rsidRDefault="00B2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564" w:rsidRPr="004B4843" w:rsidRDefault="00B26564" w:rsidP="009B0BAE">
    <w:pPr>
      <w:pStyle w:val="Footer"/>
      <w:rPr>
        <w:color w:val="FFFFFF" w:themeColor="background1"/>
        <w:sz w:val="18"/>
        <w:szCs w:val="18"/>
        <w:lang w:val="fr-CH"/>
      </w:rPr>
    </w:pPr>
    <w:r w:rsidRPr="004B4843">
      <w:rPr>
        <w:color w:val="FFFFFF" w:themeColor="background1"/>
      </w:rPr>
      <w:fldChar w:fldCharType="begin"/>
    </w:r>
    <w:r w:rsidRPr="004B4843">
      <w:rPr>
        <w:color w:val="FFFFFF" w:themeColor="background1"/>
        <w:lang w:val="fr-CH"/>
      </w:rPr>
      <w:instrText xml:space="preserve"> FILENAME \p  \* MERGEFORMAT </w:instrText>
    </w:r>
    <w:r w:rsidRPr="004B4843">
      <w:rPr>
        <w:color w:val="FFFFFF" w:themeColor="background1"/>
      </w:rPr>
      <w:fldChar w:fldCharType="separate"/>
    </w:r>
    <w:r w:rsidRPr="004B4843">
      <w:rPr>
        <w:color w:val="FFFFFF" w:themeColor="background1"/>
        <w:lang w:val="fr-CH"/>
      </w:rPr>
      <w:t>P:\RUS\SG\CONSEIL\C16\000\022R.docx</w:t>
    </w:r>
    <w:r w:rsidRPr="004B4843">
      <w:rPr>
        <w:color w:val="FFFFFF" w:themeColor="background1"/>
        <w:lang w:val="en-US"/>
      </w:rPr>
      <w:fldChar w:fldCharType="end"/>
    </w:r>
    <w:r w:rsidRPr="004B4843">
      <w:rPr>
        <w:color w:val="FFFFFF" w:themeColor="background1"/>
        <w:lang w:val="fr-CH"/>
      </w:rPr>
      <w:t xml:space="preserve"> (386598)</w:t>
    </w:r>
    <w:r w:rsidRPr="004B4843">
      <w:rPr>
        <w:color w:val="FFFFFF" w:themeColor="background1"/>
        <w:lang w:val="fr-CH"/>
      </w:rPr>
      <w:tab/>
    </w:r>
    <w:r w:rsidRPr="004B4843">
      <w:rPr>
        <w:color w:val="FFFFFF" w:themeColor="background1"/>
      </w:rPr>
      <w:fldChar w:fldCharType="begin"/>
    </w:r>
    <w:r w:rsidRPr="004B4843">
      <w:rPr>
        <w:color w:val="FFFFFF" w:themeColor="background1"/>
      </w:rPr>
      <w:instrText xml:space="preserve"> SAVEDATE \@ DD.MM.YY </w:instrText>
    </w:r>
    <w:r w:rsidRPr="004B4843">
      <w:rPr>
        <w:color w:val="FFFFFF" w:themeColor="background1"/>
      </w:rPr>
      <w:fldChar w:fldCharType="separate"/>
    </w:r>
    <w:r w:rsidR="004B4843" w:rsidRPr="004B4843">
      <w:rPr>
        <w:color w:val="FFFFFF" w:themeColor="background1"/>
      </w:rPr>
      <w:t>27.05.16</w:t>
    </w:r>
    <w:r w:rsidRPr="004B4843">
      <w:rPr>
        <w:color w:val="FFFFFF" w:themeColor="background1"/>
      </w:rPr>
      <w:fldChar w:fldCharType="end"/>
    </w:r>
    <w:r w:rsidRPr="004B4843">
      <w:rPr>
        <w:color w:val="FFFFFF" w:themeColor="background1"/>
        <w:lang w:val="fr-CH"/>
      </w:rPr>
      <w:tab/>
    </w:r>
    <w:r w:rsidRPr="004B4843">
      <w:rPr>
        <w:color w:val="FFFFFF" w:themeColor="background1"/>
      </w:rPr>
      <w:fldChar w:fldCharType="begin"/>
    </w:r>
    <w:r w:rsidRPr="004B4843">
      <w:rPr>
        <w:color w:val="FFFFFF" w:themeColor="background1"/>
      </w:rPr>
      <w:instrText xml:space="preserve"> PRINTDATE \@ DD.MM.YY </w:instrText>
    </w:r>
    <w:r w:rsidRPr="004B4843">
      <w:rPr>
        <w:color w:val="FFFFFF" w:themeColor="background1"/>
      </w:rPr>
      <w:fldChar w:fldCharType="separate"/>
    </w:r>
    <w:r w:rsidRPr="004B4843">
      <w:rPr>
        <w:color w:val="FFFFFF" w:themeColor="background1"/>
      </w:rPr>
      <w:t>28.03.06</w:t>
    </w:r>
    <w:r w:rsidRPr="004B4843">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564" w:rsidRDefault="00B26564">
    <w:pPr>
      <w:spacing w:after="120"/>
      <w:jc w:val="center"/>
    </w:pPr>
    <w:r>
      <w:t xml:space="preserve">• </w:t>
    </w:r>
    <w:hyperlink r:id="rId1" w:history="1">
      <w:r>
        <w:rPr>
          <w:rStyle w:val="Hyperlink"/>
        </w:rPr>
        <w:t>http://www.itu.int/council</w:t>
      </w:r>
    </w:hyperlink>
    <w:r>
      <w:t xml:space="preserve"> •</w:t>
    </w:r>
  </w:p>
  <w:p w:rsidR="00B26564" w:rsidRPr="004B4843" w:rsidRDefault="00A241A3">
    <w:pPr>
      <w:pStyle w:val="Footer"/>
      <w:rPr>
        <w:color w:val="FFFFFF" w:themeColor="background1"/>
        <w:lang w:val="fr-CH"/>
      </w:rPr>
    </w:pPr>
    <w:r w:rsidRPr="004B4843">
      <w:rPr>
        <w:color w:val="FFFFFF" w:themeColor="background1"/>
      </w:rPr>
      <w:fldChar w:fldCharType="begin"/>
    </w:r>
    <w:r w:rsidRPr="004B4843">
      <w:rPr>
        <w:color w:val="FFFFFF" w:themeColor="background1"/>
      </w:rPr>
      <w:instrText xml:space="preserve"> FILENAME \p  \* MERGEFORMAT </w:instrText>
    </w:r>
    <w:r w:rsidRPr="004B4843">
      <w:rPr>
        <w:color w:val="FFFFFF" w:themeColor="background1"/>
      </w:rPr>
      <w:fldChar w:fldCharType="separate"/>
    </w:r>
    <w:r w:rsidR="00B26564" w:rsidRPr="004B4843">
      <w:rPr>
        <w:color w:val="FFFFFF" w:themeColor="background1"/>
        <w:lang w:val="fr-CH"/>
      </w:rPr>
      <w:t>P</w:t>
    </w:r>
    <w:r w:rsidR="00B26564" w:rsidRPr="004B4843">
      <w:rPr>
        <w:color w:val="FFFFFF" w:themeColor="background1"/>
      </w:rPr>
      <w:t>:\RUS\SG\CONSEIL\C16\000\022R.docx</w:t>
    </w:r>
    <w:r w:rsidRPr="004B4843">
      <w:rPr>
        <w:color w:val="FFFFFF" w:themeColor="background1"/>
      </w:rPr>
      <w:fldChar w:fldCharType="end"/>
    </w:r>
    <w:r w:rsidR="00B26564" w:rsidRPr="004B4843">
      <w:rPr>
        <w:color w:val="FFFFFF" w:themeColor="background1"/>
        <w:lang w:val="fr-CH"/>
      </w:rPr>
      <w:t xml:space="preserve"> (386598)</w:t>
    </w:r>
    <w:r w:rsidR="00B26564" w:rsidRPr="004B4843">
      <w:rPr>
        <w:color w:val="FFFFFF" w:themeColor="background1"/>
        <w:lang w:val="fr-CH"/>
      </w:rPr>
      <w:tab/>
    </w:r>
    <w:r w:rsidR="00B26564" w:rsidRPr="004B4843">
      <w:rPr>
        <w:color w:val="FFFFFF" w:themeColor="background1"/>
      </w:rPr>
      <w:fldChar w:fldCharType="begin"/>
    </w:r>
    <w:r w:rsidR="00B26564" w:rsidRPr="004B4843">
      <w:rPr>
        <w:color w:val="FFFFFF" w:themeColor="background1"/>
      </w:rPr>
      <w:instrText xml:space="preserve"> SAVEDATE \@ DD.MM.YY </w:instrText>
    </w:r>
    <w:r w:rsidR="00B26564" w:rsidRPr="004B4843">
      <w:rPr>
        <w:color w:val="FFFFFF" w:themeColor="background1"/>
      </w:rPr>
      <w:fldChar w:fldCharType="separate"/>
    </w:r>
    <w:r w:rsidR="004B4843" w:rsidRPr="004B4843">
      <w:rPr>
        <w:color w:val="FFFFFF" w:themeColor="background1"/>
      </w:rPr>
      <w:t>27.05.16</w:t>
    </w:r>
    <w:r w:rsidR="00B26564" w:rsidRPr="004B4843">
      <w:rPr>
        <w:color w:val="FFFFFF" w:themeColor="background1"/>
      </w:rPr>
      <w:fldChar w:fldCharType="end"/>
    </w:r>
    <w:r w:rsidR="00B26564" w:rsidRPr="004B4843">
      <w:rPr>
        <w:color w:val="FFFFFF" w:themeColor="background1"/>
        <w:lang w:val="fr-CH"/>
      </w:rPr>
      <w:tab/>
    </w:r>
    <w:r w:rsidR="00B26564" w:rsidRPr="004B4843">
      <w:rPr>
        <w:color w:val="FFFFFF" w:themeColor="background1"/>
      </w:rPr>
      <w:fldChar w:fldCharType="begin"/>
    </w:r>
    <w:r w:rsidR="00B26564" w:rsidRPr="004B4843">
      <w:rPr>
        <w:color w:val="FFFFFF" w:themeColor="background1"/>
      </w:rPr>
      <w:instrText xml:space="preserve"> PRINTDATE \@ DD.MM.YY </w:instrText>
    </w:r>
    <w:r w:rsidR="00B26564" w:rsidRPr="004B4843">
      <w:rPr>
        <w:color w:val="FFFFFF" w:themeColor="background1"/>
      </w:rPr>
      <w:fldChar w:fldCharType="separate"/>
    </w:r>
    <w:r w:rsidR="00B26564" w:rsidRPr="004B4843">
      <w:rPr>
        <w:color w:val="FFFFFF" w:themeColor="background1"/>
      </w:rPr>
      <w:t>28.03.06</w:t>
    </w:r>
    <w:r w:rsidR="00B26564" w:rsidRPr="004B4843">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564" w:rsidRDefault="00B26564">
      <w:r>
        <w:t>____________________</w:t>
      </w:r>
    </w:p>
  </w:footnote>
  <w:footnote w:type="continuationSeparator" w:id="0">
    <w:p w:rsidR="00B26564" w:rsidRDefault="00B26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564" w:rsidRDefault="00B26564" w:rsidP="00BD57B7">
    <w:pPr>
      <w:pStyle w:val="Header"/>
    </w:pPr>
    <w:r>
      <w:fldChar w:fldCharType="begin"/>
    </w:r>
    <w:r>
      <w:instrText>PAGE</w:instrText>
    </w:r>
    <w:r>
      <w:fldChar w:fldCharType="separate"/>
    </w:r>
    <w:r w:rsidR="004B4843">
      <w:rPr>
        <w:noProof/>
      </w:rPr>
      <w:t>2</w:t>
    </w:r>
    <w:r>
      <w:rPr>
        <w:noProof/>
      </w:rPr>
      <w:fldChar w:fldCharType="end"/>
    </w:r>
  </w:p>
  <w:p w:rsidR="00B26564" w:rsidRDefault="00B26564" w:rsidP="00C92246">
    <w:pPr>
      <w:pStyle w:val="Header"/>
      <w:spacing w:after="480"/>
    </w:pPr>
    <w:r>
      <w:t>C16/</w:t>
    </w:r>
    <w:r>
      <w:rPr>
        <w:lang w:val="ru-RU"/>
      </w:rPr>
      <w:t>22</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US"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827"/>
    <w:rsid w:val="0002183E"/>
    <w:rsid w:val="000569B4"/>
    <w:rsid w:val="00080E82"/>
    <w:rsid w:val="000E568E"/>
    <w:rsid w:val="0014734F"/>
    <w:rsid w:val="0015710D"/>
    <w:rsid w:val="00163A32"/>
    <w:rsid w:val="00192B41"/>
    <w:rsid w:val="001B7B09"/>
    <w:rsid w:val="001E6719"/>
    <w:rsid w:val="00225179"/>
    <w:rsid w:val="00225368"/>
    <w:rsid w:val="00226E40"/>
    <w:rsid w:val="00227FF0"/>
    <w:rsid w:val="0023127A"/>
    <w:rsid w:val="002760AA"/>
    <w:rsid w:val="00291EB6"/>
    <w:rsid w:val="002A7DB7"/>
    <w:rsid w:val="002D2F57"/>
    <w:rsid w:val="002D48C5"/>
    <w:rsid w:val="00353827"/>
    <w:rsid w:val="003B0D77"/>
    <w:rsid w:val="003F099E"/>
    <w:rsid w:val="003F235E"/>
    <w:rsid w:val="004023E0"/>
    <w:rsid w:val="00403DD8"/>
    <w:rsid w:val="0045686C"/>
    <w:rsid w:val="004918C4"/>
    <w:rsid w:val="004A45B5"/>
    <w:rsid w:val="004B4843"/>
    <w:rsid w:val="004D0129"/>
    <w:rsid w:val="00557C9B"/>
    <w:rsid w:val="005729AA"/>
    <w:rsid w:val="005A64D5"/>
    <w:rsid w:val="00601994"/>
    <w:rsid w:val="0065416C"/>
    <w:rsid w:val="00661014"/>
    <w:rsid w:val="006E2D42"/>
    <w:rsid w:val="00703676"/>
    <w:rsid w:val="00705FEF"/>
    <w:rsid w:val="00707304"/>
    <w:rsid w:val="00732269"/>
    <w:rsid w:val="00785ABD"/>
    <w:rsid w:val="007A2DD4"/>
    <w:rsid w:val="007D17EC"/>
    <w:rsid w:val="007D38B5"/>
    <w:rsid w:val="007E7EA0"/>
    <w:rsid w:val="00807255"/>
    <w:rsid w:val="0081023E"/>
    <w:rsid w:val="008173AA"/>
    <w:rsid w:val="00840A14"/>
    <w:rsid w:val="008D2D7B"/>
    <w:rsid w:val="008E0737"/>
    <w:rsid w:val="008F7C2C"/>
    <w:rsid w:val="00940E96"/>
    <w:rsid w:val="009B0BAE"/>
    <w:rsid w:val="009C1C89"/>
    <w:rsid w:val="009D71EA"/>
    <w:rsid w:val="009E0A31"/>
    <w:rsid w:val="00A241A3"/>
    <w:rsid w:val="00A24EC7"/>
    <w:rsid w:val="00A71773"/>
    <w:rsid w:val="00AE2C85"/>
    <w:rsid w:val="00B12A37"/>
    <w:rsid w:val="00B26564"/>
    <w:rsid w:val="00B63EF2"/>
    <w:rsid w:val="00BC0D39"/>
    <w:rsid w:val="00BC7BC0"/>
    <w:rsid w:val="00BD57B7"/>
    <w:rsid w:val="00BE63E2"/>
    <w:rsid w:val="00C847C6"/>
    <w:rsid w:val="00C92246"/>
    <w:rsid w:val="00CA0272"/>
    <w:rsid w:val="00CD2009"/>
    <w:rsid w:val="00CF629C"/>
    <w:rsid w:val="00D92EEA"/>
    <w:rsid w:val="00DA5D4E"/>
    <w:rsid w:val="00E176BA"/>
    <w:rsid w:val="00E2640D"/>
    <w:rsid w:val="00E329BA"/>
    <w:rsid w:val="00E423EC"/>
    <w:rsid w:val="00EC6BC5"/>
    <w:rsid w:val="00EF4B13"/>
    <w:rsid w:val="00F315C5"/>
    <w:rsid w:val="00F35898"/>
    <w:rsid w:val="00F50FD8"/>
    <w:rsid w:val="00F5225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81900C9-FA66-4FB1-9CD1-439B4310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E4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661014"/>
    <w:pPr>
      <w:spacing w:before="200"/>
      <w:ind w:left="0" w:firstLine="0"/>
      <w:outlineLvl w:val="2"/>
    </w:pPr>
    <w:rPr>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226E40"/>
    <w:pPr>
      <w:keepLines/>
      <w:tabs>
        <w:tab w:val="clear" w:pos="794"/>
        <w:tab w:val="clear" w:pos="1191"/>
        <w:tab w:val="clear" w:pos="1588"/>
        <w:tab w:val="clear" w:pos="1985"/>
        <w:tab w:val="left" w:pos="284"/>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661014"/>
    <w:rPr>
      <w:rFonts w:ascii="Calibri" w:hAnsi="Calibri"/>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661014"/>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661014"/>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61014"/>
    <w:pPr>
      <w:jc w:val="right"/>
    </w:pPr>
    <w:rPr>
      <w:rFonts w:ascii="Calibri" w:hAnsi="Calibri"/>
      <w:sz w:val="22"/>
    </w:rPr>
  </w:style>
  <w:style w:type="paragraph" w:customStyle="1" w:styleId="Questiondate">
    <w:name w:val="Question_date"/>
    <w:basedOn w:val="Recdate"/>
    <w:next w:val="Normalaftertitle"/>
    <w:rsid w:val="00661014"/>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661014"/>
    <w:rPr>
      <w:rFonts w:ascii="Calibri" w:hAnsi="Calibri"/>
      <w:sz w:val="22"/>
    </w:rPr>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661014"/>
    <w:rPr>
      <w:rFonts w:ascii="Calibri" w:hAnsi="Calibri"/>
      <w:sz w:val="22"/>
    </w:rPr>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661014"/>
    <w:pPr>
      <w:spacing w:before="480"/>
      <w:jc w:val="center"/>
    </w:pPr>
    <w:rPr>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paragraph" w:styleId="BalloonText">
    <w:name w:val="Balloon Text"/>
    <w:basedOn w:val="Normal"/>
    <w:rsid w:val="00227FF0"/>
    <w:rPr>
      <w:rFonts w:ascii="Tahoma" w:hAnsi="Tahoma" w:cs="Tahoma"/>
      <w:sz w:val="16"/>
      <w:szCs w:val="16"/>
    </w:rPr>
  </w:style>
  <w:style w:type="table" w:styleId="TableGrid">
    <w:name w:val="Table Grid"/>
    <w:basedOn w:val="TableNormal"/>
    <w:rsid w:val="00F50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11">
    <w:name w:val="List Table 6 Colorful - Accent 11"/>
    <w:basedOn w:val="TableNormal"/>
    <w:uiPriority w:val="51"/>
    <w:rsid w:val="00B2656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tu.int/publ/S-CONF-PLEN-2015/en" TargetMode="External"/><Relationship Id="rId13" Type="http://schemas.openxmlformats.org/officeDocument/2006/relationships/hyperlink" Target="http://www.itu.int/md/S15-CL-C-0022/en" TargetMode="Externa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4.xml"/><Relationship Id="rId7" Type="http://schemas.openxmlformats.org/officeDocument/2006/relationships/image" Target="media/image1.jpeg"/><Relationship Id="rId12" Type="http://schemas.openxmlformats.org/officeDocument/2006/relationships/hyperlink" Target="http://www.itu.int/md/S14-CL-C-0022/en" TargetMode="External"/><Relationship Id="rId17" Type="http://schemas.openxmlformats.org/officeDocument/2006/relationships/hyperlink" Target="http://www.itu.int/en/council/Pages/imac.asp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itu.int/en/council/Pages/default.aspx" TargetMode="External"/><Relationship Id="rId20"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S13-CL-C-0065/e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tu.int/en/council/Pages/imac.aspx" TargetMode="External"/><Relationship Id="rId23" Type="http://schemas.openxmlformats.org/officeDocument/2006/relationships/header" Target="header1.xml"/><Relationship Id="rId10" Type="http://schemas.openxmlformats.org/officeDocument/2006/relationships/hyperlink" Target="http://www.itu.int/md/S12-CL-C-0044/en" TargetMode="External"/><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hyperlink" Target="http://www.itu.int/md/S11-CL-C-0109/en" TargetMode="External"/><Relationship Id="rId14" Type="http://schemas.openxmlformats.org/officeDocument/2006/relationships/hyperlink" Target="http://www.itu.int/md/S15-CL-C-0022/en" TargetMode="External"/><Relationship Id="rId22" Type="http://schemas.openxmlformats.org/officeDocument/2006/relationships/chart" Target="charts/chart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zarenk\AppData\Roaming\Microsoft\Templates\POOL%20R%20-%20ITU\PR_C16.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83ddb6122f47c68a/ITU/10%20IMAC/FOLLOW-UP%20Recommendations/IMAC-Follow-up_of_IMAC_Recommendations-rev02-1605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83ddb6122f47c68a/ITU/10%20IMAC/FOLLOW-UP%20Recommendations/IMAC-Follow-up_of_IMAC_Recommendations-rev02-16051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d.docs.live.net/83ddb6122f47c68a/ITU/10%20IMAC/FOLLOW-UP%20Recommendations/IMAC-Follow-up_of_IMAC_Recommendations-rev02-16051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d.docs.live.net/83ddb6122f47c68a/ITU/10%20IMAC/FOLLOW-UP%20Recommendations/IMAC-Follow-up_of_IMAC_Recommendations-rev02-16051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d.docs.live.net/83ddb6122f47c68a/ITU/10%20IMAC/FOLLOW-UP%20Recommendations/IMAC-Follow-up_of_IMAC_Recommendations-rev02-1605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rPr>
              <a:t>Рекомендации</a:t>
            </a:r>
            <a:r>
              <a:rPr lang="ru-RU" sz="1200" b="1" baseline="0">
                <a:solidFill>
                  <a:sysClr val="windowText" lastClr="000000"/>
                </a:solidFill>
              </a:rPr>
              <a:t> </a:t>
            </a:r>
            <a:r>
              <a:rPr lang="en-US" sz="1200" b="1">
                <a:solidFill>
                  <a:sysClr val="windowText" lastClr="000000"/>
                </a:solidFill>
              </a:rPr>
              <a:t>IMAC</a:t>
            </a:r>
            <a:r>
              <a:rPr lang="ru-RU" sz="1200" b="1" baseline="0">
                <a:solidFill>
                  <a:sysClr val="windowText" lastClr="000000"/>
                </a:solidFill>
              </a:rPr>
              <a:t> за</a:t>
            </a:r>
            <a:r>
              <a:rPr lang="en-US" sz="1200" b="1">
                <a:solidFill>
                  <a:sysClr val="windowText" lastClr="000000"/>
                </a:solidFill>
              </a:rPr>
              <a:t> 2012-2015</a:t>
            </a:r>
            <a:r>
              <a:rPr lang="ru-RU" sz="1200" b="1">
                <a:solidFill>
                  <a:sysClr val="windowText" lastClr="000000"/>
                </a:solidFill>
              </a:rPr>
              <a:t> гг.</a:t>
            </a:r>
            <a:endParaRPr lang="en-US" sz="1200" b="1">
              <a:solidFill>
                <a:sysClr val="windowText" lastClr="000000"/>
              </a:solidFill>
            </a:endParaRPr>
          </a:p>
        </c:rich>
      </c:tx>
      <c:layout/>
      <c:overlay val="0"/>
      <c:spPr>
        <a:noFill/>
        <a:ln>
          <a:noFill/>
        </a:ln>
        <a:effectLst/>
      </c:spPr>
    </c:title>
    <c:autoTitleDeleted val="0"/>
    <c:plotArea>
      <c:layout>
        <c:manualLayout>
          <c:layoutTarget val="inner"/>
          <c:xMode val="edge"/>
          <c:yMode val="edge"/>
          <c:x val="0.22316391056645701"/>
          <c:y val="0.259397641590003"/>
          <c:w val="0.51132897251082599"/>
          <c:h val="0.67652763033621299"/>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688D-4FE0-9FF6-0ABF1D92EA63}"/>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688D-4FE0-9FF6-0ABF1D92EA63}"/>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688D-4FE0-9FF6-0ABF1D92EA63}"/>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688D-4FE0-9FF6-0ABF1D92EA63}"/>
              </c:ext>
            </c:extLst>
          </c:dPt>
          <c:dLbls>
            <c:dLbl>
              <c:idx val="0"/>
              <c:layout>
                <c:manualLayout>
                  <c:x val="0.17300881188085601"/>
                  <c:y val="4.6433291513543799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ru-RU" baseline="0"/>
                      <a:t>Выполнены </a:t>
                    </a:r>
                    <a:fld id="{2EF9A29D-3B32-4361-8401-A09DCF2EE748}" type="VALUE">
                      <a:rPr lang="en-US" baseline="0"/>
                      <a:pPr>
                        <a:defRPr sz="1100" b="1" i="0" u="none" strike="noStrike" kern="1200" baseline="0">
                          <a:solidFill>
                            <a:schemeClr val="tx1">
                              <a:lumMod val="75000"/>
                              <a:lumOff val="25000"/>
                            </a:schemeClr>
                          </a:solidFill>
                          <a:latin typeface="+mn-lt"/>
                          <a:ea typeface="+mn-ea"/>
                          <a:cs typeface="+mn-cs"/>
                        </a:defRPr>
                      </a:pPr>
                      <a:t>[VALUE]</a:t>
                    </a:fld>
                    <a:r>
                      <a:rPr lang="en-US" baseline="0"/>
                      <a:t>, </a:t>
                    </a:r>
                    <a:fld id="{C57732B3-6CFE-4EE5-A3E7-C442AF72C876}" type="PERCENTAGE">
                      <a:rPr lang="en-US" baseline="0"/>
                      <a:pPr>
                        <a:defRPr sz="1100" b="1" i="0" u="none" strike="noStrike" kern="1200" baseline="0">
                          <a:solidFill>
                            <a:schemeClr val="tx1">
                              <a:lumMod val="75000"/>
                              <a:lumOff val="25000"/>
                            </a:schemeClr>
                          </a:solidFill>
                          <a:latin typeface="+mn-lt"/>
                          <a:ea typeface="+mn-ea"/>
                          <a:cs typeface="+mn-cs"/>
                        </a:defRPr>
                      </a:pPr>
                      <a:t>[PERCENTAGE]</a:t>
                    </a:fld>
                    <a:endParaRPr lang="en-US" baseline="0"/>
                  </a:p>
                </c:rich>
              </c:tx>
              <c:spPr>
                <a:noFill/>
                <a:ln>
                  <a:noFill/>
                </a:ln>
                <a:effectLst/>
              </c:spPr>
              <c:showLegendKey val="1"/>
              <c:showVal val="1"/>
              <c:showCatName val="1"/>
              <c:showSerName val="0"/>
              <c:showPercent val="1"/>
              <c:showBubbleSize val="0"/>
              <c:separator>, </c:separator>
              <c:extLst>
                <c:ext xmlns:c15="http://schemas.microsoft.com/office/drawing/2012/chart" uri="{CE6537A1-D6FC-4f65-9D91-7224C49458BB}">
                  <c15:layout>
                    <c:manualLayout>
                      <c:w val="0.27367065667785401"/>
                      <c:h val="0.15533339605628799"/>
                    </c:manualLayout>
                  </c15:layout>
                  <c15:dlblFieldTable/>
                  <c15:showDataLabelsRange val="0"/>
                </c:ext>
              </c:extLst>
            </c:dLbl>
            <c:dLbl>
              <c:idx val="1"/>
              <c:layout>
                <c:manualLayout>
                  <c:x val="-0.15865658516238484"/>
                  <c:y val="-9.7823230982931206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ru-RU" baseline="0"/>
                      <a:t>Выполняются </a:t>
                    </a:r>
                    <a:fld id="{9B2AC726-0A42-41B1-9402-1E2789BDCB21}" type="VALUE">
                      <a:rPr lang="en-US" baseline="0"/>
                      <a:pPr>
                        <a:defRPr sz="1100" b="1" i="0" u="none" strike="noStrike" kern="1200" baseline="0">
                          <a:solidFill>
                            <a:schemeClr val="tx1">
                              <a:lumMod val="75000"/>
                              <a:lumOff val="25000"/>
                            </a:schemeClr>
                          </a:solidFill>
                          <a:latin typeface="+mn-lt"/>
                          <a:ea typeface="+mn-ea"/>
                          <a:cs typeface="+mn-cs"/>
                        </a:defRPr>
                      </a:pPr>
                      <a:t>[VALUE]</a:t>
                    </a:fld>
                    <a:r>
                      <a:rPr lang="en-US" baseline="0"/>
                      <a:t>, </a:t>
                    </a:r>
                    <a:fld id="{AF963422-4BF6-44E2-AAC7-E2525C63B679}" type="PERCENTAGE">
                      <a:rPr lang="en-US" baseline="0"/>
                      <a:pPr>
                        <a:defRPr sz="1100" b="1" i="0" u="none" strike="noStrike" kern="1200" baseline="0">
                          <a:solidFill>
                            <a:schemeClr val="tx1">
                              <a:lumMod val="75000"/>
                              <a:lumOff val="25000"/>
                            </a:schemeClr>
                          </a:solidFill>
                          <a:latin typeface="+mn-lt"/>
                          <a:ea typeface="+mn-ea"/>
                          <a:cs typeface="+mn-cs"/>
                        </a:defRPr>
                      </a:pPr>
                      <a:t>[PERCENTAGE]</a:t>
                    </a:fld>
                    <a:endParaRPr lang="en-US" baseline="0"/>
                  </a:p>
                </c:rich>
              </c:tx>
              <c:spPr>
                <a:noFill/>
                <a:ln>
                  <a:noFill/>
                </a:ln>
                <a:effectLst/>
              </c:sp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688D-4FE0-9FF6-0ABF1D92EA63}"/>
                </c:ext>
                <c:ext xmlns:c15="http://schemas.microsoft.com/office/drawing/2012/chart" uri="{CE6537A1-D6FC-4f65-9D91-7224C49458BB}">
                  <c15:layout>
                    <c:manualLayout>
                      <c:w val="0.26796961832284932"/>
                      <c:h val="0.16046149527538858"/>
                    </c:manualLayout>
                  </c15:layout>
                  <c15:dlblFieldTable/>
                  <c15:showDataLabelsRange val="0"/>
                </c:ext>
              </c:extLst>
            </c:dLbl>
            <c:dLbl>
              <c:idx val="2"/>
              <c:layout>
                <c:manualLayout>
                  <c:x val="0.29655353004746698"/>
                  <c:y val="-2.5918443738519599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ru-RU" baseline="0"/>
                      <a:t>Не приняты</a:t>
                    </a:r>
                  </a:p>
                  <a:p>
                    <a:pPr>
                      <a:defRPr sz="1100" b="1" i="0" u="none" strike="noStrike" kern="1200" baseline="0">
                        <a:solidFill>
                          <a:schemeClr val="tx1">
                            <a:lumMod val="75000"/>
                            <a:lumOff val="25000"/>
                          </a:schemeClr>
                        </a:solidFill>
                        <a:latin typeface="+mn-lt"/>
                        <a:ea typeface="+mn-ea"/>
                        <a:cs typeface="+mn-cs"/>
                      </a:defRPr>
                    </a:pPr>
                    <a:r>
                      <a:rPr lang="ru-RU" baseline="0"/>
                      <a:t> </a:t>
                    </a:r>
                    <a:fld id="{55DD9A4D-2324-492D-832E-97DFF69388CB}" type="VALUE">
                      <a:rPr lang="en-US" baseline="0"/>
                      <a:pPr>
                        <a:defRPr sz="1100" b="1" i="0" u="none" strike="noStrike" kern="1200" baseline="0">
                          <a:solidFill>
                            <a:schemeClr val="tx1">
                              <a:lumMod val="75000"/>
                              <a:lumOff val="25000"/>
                            </a:schemeClr>
                          </a:solidFill>
                          <a:latin typeface="+mn-lt"/>
                          <a:ea typeface="+mn-ea"/>
                          <a:cs typeface="+mn-cs"/>
                        </a:defRPr>
                      </a:pPr>
                      <a:t>[VALUE]</a:t>
                    </a:fld>
                    <a:r>
                      <a:rPr lang="en-US" baseline="0"/>
                      <a:t>, </a:t>
                    </a:r>
                    <a:fld id="{938BC3AA-EC54-4D47-9764-BC94DC5149F0}" type="PERCENTAGE">
                      <a:rPr lang="en-US" baseline="0"/>
                      <a:pPr>
                        <a:defRPr sz="1100" b="1" i="0" u="none" strike="noStrike" kern="1200" baseline="0">
                          <a:solidFill>
                            <a:schemeClr val="tx1">
                              <a:lumMod val="75000"/>
                              <a:lumOff val="25000"/>
                            </a:schemeClr>
                          </a:solidFill>
                          <a:latin typeface="+mn-lt"/>
                          <a:ea typeface="+mn-ea"/>
                          <a:cs typeface="+mn-cs"/>
                        </a:defRPr>
                      </a:pPr>
                      <a:t>[PERCENTAGE]</a:t>
                    </a:fld>
                    <a:endParaRPr lang="en-US" baseline="0"/>
                  </a:p>
                </c:rich>
              </c:tx>
              <c:spPr>
                <a:noFill/>
                <a:ln>
                  <a:noFill/>
                </a:ln>
                <a:effectLst/>
              </c:spPr>
              <c:showLegendKey val="1"/>
              <c:showVal val="1"/>
              <c:showCatName val="1"/>
              <c:showSerName val="0"/>
              <c:showPercent val="1"/>
              <c:showBubbleSize val="0"/>
              <c:separator>, </c:separator>
              <c:extLst>
                <c:ext xmlns:c15="http://schemas.microsoft.com/office/drawing/2012/chart" uri="{CE6537A1-D6FC-4f65-9D91-7224C49458BB}">
                  <c15:layout>
                    <c:manualLayout>
                      <c:w val="0.28523508674695902"/>
                      <c:h val="0.15529180508451601"/>
                    </c:manualLayout>
                  </c15:layout>
                  <c15:dlblFieldTable/>
                  <c15:showDataLabelsRange val="0"/>
                </c:ext>
              </c:extLst>
            </c:dLbl>
            <c:dLbl>
              <c:idx val="3"/>
              <c:layout>
                <c:manualLayout>
                  <c:x val="0.14890638670166201"/>
                  <c:y val="-0.147266416464297"/>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688D-4FE0-9FF6-0ABF1D92EA6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'[IMAC-Follow-up_of_IMAC_Recommendations-rev02-160514.xlsx]statistics'!$A$2:$A$4</c:f>
              <c:strCache>
                <c:ptCount val="3"/>
                <c:pt idx="0">
                  <c:v>Implemented</c:v>
                </c:pt>
                <c:pt idx="1">
                  <c:v>In progress</c:v>
                </c:pt>
                <c:pt idx="2">
                  <c:v>Not accepted</c:v>
                </c:pt>
              </c:strCache>
            </c:strRef>
          </c:cat>
          <c:val>
            <c:numRef>
              <c:f>'[IMAC-Follow-up_of_IMAC_Recommendations-rev02-160514.xlsx]statistics'!$B$2:$B$4</c:f>
              <c:numCache>
                <c:formatCode>General</c:formatCode>
                <c:ptCount val="3"/>
                <c:pt idx="0">
                  <c:v>22</c:v>
                </c:pt>
                <c:pt idx="1">
                  <c:v>7</c:v>
                </c:pt>
                <c:pt idx="2">
                  <c:v>0</c:v>
                </c:pt>
              </c:numCache>
            </c:numRef>
          </c:val>
          <c:extLst xmlns:c16r2="http://schemas.microsoft.com/office/drawing/2015/06/chart">
            <c:ext xmlns:c16="http://schemas.microsoft.com/office/drawing/2014/chart" uri="{C3380CC4-5D6E-409C-BE32-E72D297353CC}">
              <c16:uniqueId val="{00000008-688D-4FE0-9FF6-0ABF1D92EA63}"/>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rPr>
              <a:t>Рекомендации</a:t>
            </a:r>
            <a:r>
              <a:rPr lang="ru-RU" sz="1200" b="1" baseline="0">
                <a:solidFill>
                  <a:sysClr val="windowText" lastClr="000000"/>
                </a:solidFill>
              </a:rPr>
              <a:t> </a:t>
            </a:r>
            <a:r>
              <a:rPr lang="en-US" sz="1200" b="1">
                <a:solidFill>
                  <a:sysClr val="windowText" lastClr="000000"/>
                </a:solidFill>
              </a:rPr>
              <a:t>IMAC 2015</a:t>
            </a:r>
            <a:r>
              <a:rPr lang="ru-RU" sz="1200" b="1">
                <a:solidFill>
                  <a:sysClr val="windowText" lastClr="000000"/>
                </a:solidFill>
              </a:rPr>
              <a:t> года</a:t>
            </a:r>
            <a:endParaRPr lang="en-US" sz="1200" b="1">
              <a:solidFill>
                <a:sysClr val="windowText" lastClr="000000"/>
              </a:solidFill>
            </a:endParaRPr>
          </a:p>
        </c:rich>
      </c:tx>
      <c:layout/>
      <c:overlay val="0"/>
      <c:spPr>
        <a:noFill/>
        <a:ln>
          <a:noFill/>
        </a:ln>
        <a:effectLst/>
      </c:spPr>
    </c:title>
    <c:autoTitleDeleted val="0"/>
    <c:plotArea>
      <c:layout>
        <c:manualLayout>
          <c:layoutTarget val="inner"/>
          <c:xMode val="edge"/>
          <c:yMode val="edge"/>
          <c:x val="0.250378252945334"/>
          <c:y val="0.238884716333535"/>
          <c:w val="0.51384927714992301"/>
          <c:h val="0.69171976579850603"/>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FE98-4CCC-9911-46B4E0CDB3A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FE98-4CCC-9911-46B4E0CDB3A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FE98-4CCC-9911-46B4E0CDB3A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FE98-4CCC-9911-46B4E0CDB3AE}"/>
              </c:ext>
            </c:extLst>
          </c:dPt>
          <c:dLbls>
            <c:dLbl>
              <c:idx val="0"/>
              <c:layout>
                <c:manualLayout>
                  <c:x val="9.74049328263564E-2"/>
                  <c:y val="0.152136079143953"/>
                </c:manualLayout>
              </c:layout>
              <c:tx>
                <c:rich>
                  <a:bodyPr/>
                  <a:lstStyle/>
                  <a:p>
                    <a:r>
                      <a:rPr lang="ru-RU"/>
                      <a:t>Выполнены</a:t>
                    </a:r>
                    <a:r>
                      <a:rPr lang="ru-RU" baseline="0"/>
                      <a:t> </a:t>
                    </a:r>
                    <a:fld id="{006F0FDF-8DE6-4722-8518-56F4EAA36F80}" type="VALUE">
                      <a:rPr lang="en-US" baseline="0"/>
                      <a:pPr/>
                      <a:t>[VALUE]</a:t>
                    </a:fld>
                    <a:r>
                      <a:rPr lang="en-US" baseline="0"/>
                      <a:t>, </a:t>
                    </a:r>
                    <a:fld id="{7CEEDB20-8B42-46C0-88BA-F57B236B21D5}"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FE98-4CCC-9911-46B4E0CDB3AE}"/>
                </c:ext>
                <c:ext xmlns:c15="http://schemas.microsoft.com/office/drawing/2012/chart" uri="{CE6537A1-D6FC-4f65-9D91-7224C49458BB}">
                  <c15:layout>
                    <c:manualLayout>
                      <c:w val="0.273769643056404"/>
                      <c:h val="0.15312820512820499"/>
                    </c:manualLayout>
                  </c15:layout>
                  <c15:dlblFieldTable/>
                  <c15:showDataLabelsRange val="0"/>
                </c:ext>
              </c:extLst>
            </c:dLbl>
            <c:dLbl>
              <c:idx val="1"/>
              <c:layout>
                <c:manualLayout>
                  <c:x val="-0.14799865537434748"/>
                  <c:y val="-0.12602826569755721"/>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ru-RU" baseline="0"/>
                      <a:t>Выполняются </a:t>
                    </a:r>
                    <a:fld id="{B14C7288-13D6-402A-A9DB-D8DC90D2D393}" type="VALUE">
                      <a:rPr lang="en-US" baseline="0"/>
                      <a:pPr>
                        <a:defRPr sz="1100" b="1" i="0" u="none" strike="noStrike" kern="1200" baseline="0">
                          <a:solidFill>
                            <a:schemeClr val="tx1">
                              <a:lumMod val="75000"/>
                              <a:lumOff val="25000"/>
                            </a:schemeClr>
                          </a:solidFill>
                          <a:latin typeface="+mn-lt"/>
                          <a:ea typeface="+mn-ea"/>
                          <a:cs typeface="+mn-cs"/>
                        </a:defRPr>
                      </a:pPr>
                      <a:t>[VALUE]</a:t>
                    </a:fld>
                    <a:r>
                      <a:rPr lang="en-US" baseline="0"/>
                      <a:t>, </a:t>
                    </a:r>
                    <a:fld id="{8018B0D9-9EA4-4C27-810E-F0302F07F175}" type="PERCENTAGE">
                      <a:rPr lang="en-US" baseline="0"/>
                      <a:pPr>
                        <a:defRPr sz="1100" b="1" i="0" u="none" strike="noStrike" kern="1200" baseline="0">
                          <a:solidFill>
                            <a:schemeClr val="tx1">
                              <a:lumMod val="75000"/>
                              <a:lumOff val="25000"/>
                            </a:schemeClr>
                          </a:solidFill>
                          <a:latin typeface="+mn-lt"/>
                          <a:ea typeface="+mn-ea"/>
                          <a:cs typeface="+mn-cs"/>
                        </a:defRPr>
                      </a:pPr>
                      <a:t>[PERCENTAGE]</a:t>
                    </a:fld>
                    <a:endParaRPr lang="en-US" baseline="0"/>
                  </a:p>
                </c:rich>
              </c:tx>
              <c:spPr>
                <a:noFill/>
                <a:ln>
                  <a:noFill/>
                </a:ln>
                <a:effectLst/>
              </c:spPr>
              <c:showLegendKey val="1"/>
              <c:showVal val="1"/>
              <c:showCatName val="1"/>
              <c:showSerName val="0"/>
              <c:showPercent val="1"/>
              <c:showBubbleSize val="0"/>
              <c:separator>, </c:separator>
              <c:extLst>
                <c:ext xmlns:c15="http://schemas.microsoft.com/office/drawing/2012/chart" uri="{CE6537A1-D6FC-4f65-9D91-7224C49458BB}">
                  <c15:layout>
                    <c:manualLayout>
                      <c:w val="0.28285252684050805"/>
                      <c:h val="0.1655897435897436"/>
                    </c:manualLayout>
                  </c15:layout>
                  <c15:dlblFieldTable/>
                  <c15:showDataLabelsRange val="0"/>
                </c:ext>
              </c:extLst>
            </c:dLbl>
            <c:dLbl>
              <c:idx val="2"/>
              <c:layout>
                <c:manualLayout>
                  <c:x val="0.278022064055231"/>
                  <c:y val="-1.7645871189178499E-3"/>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ru-RU" baseline="0"/>
                      <a:t>Не приняты</a:t>
                    </a:r>
                  </a:p>
                  <a:p>
                    <a:pPr>
                      <a:defRPr sz="1100" b="1" i="0" u="none" strike="noStrike" kern="1200" baseline="0">
                        <a:solidFill>
                          <a:schemeClr val="tx1">
                            <a:lumMod val="75000"/>
                            <a:lumOff val="25000"/>
                          </a:schemeClr>
                        </a:solidFill>
                        <a:latin typeface="+mn-lt"/>
                        <a:ea typeface="+mn-ea"/>
                        <a:cs typeface="+mn-cs"/>
                      </a:defRPr>
                    </a:pPr>
                    <a:r>
                      <a:rPr lang="ru-RU" baseline="0"/>
                      <a:t> </a:t>
                    </a:r>
                    <a:fld id="{33EBF603-7D4D-4861-8DEC-DCD953651B25}" type="VALUE">
                      <a:rPr lang="en-US" baseline="0"/>
                      <a:pPr>
                        <a:defRPr sz="1100" b="1" i="0" u="none" strike="noStrike" kern="1200" baseline="0">
                          <a:solidFill>
                            <a:schemeClr val="tx1">
                              <a:lumMod val="75000"/>
                              <a:lumOff val="25000"/>
                            </a:schemeClr>
                          </a:solidFill>
                          <a:latin typeface="+mn-lt"/>
                          <a:ea typeface="+mn-ea"/>
                          <a:cs typeface="+mn-cs"/>
                        </a:defRPr>
                      </a:pPr>
                      <a:t>[VALUE]</a:t>
                    </a:fld>
                    <a:r>
                      <a:rPr lang="en-US" baseline="0"/>
                      <a:t>, </a:t>
                    </a:r>
                    <a:fld id="{FACD632A-ED98-4D80-95D4-4BDDF392C4AC}" type="PERCENTAGE">
                      <a:rPr lang="en-US" baseline="0"/>
                      <a:pPr>
                        <a:defRPr sz="1100" b="1" i="0" u="none" strike="noStrike" kern="1200" baseline="0">
                          <a:solidFill>
                            <a:schemeClr val="tx1">
                              <a:lumMod val="75000"/>
                              <a:lumOff val="25000"/>
                            </a:schemeClr>
                          </a:solidFill>
                          <a:latin typeface="+mn-lt"/>
                          <a:ea typeface="+mn-ea"/>
                          <a:cs typeface="+mn-cs"/>
                        </a:defRPr>
                      </a:pPr>
                      <a:t>[PERCENTAGE]</a:t>
                    </a:fld>
                    <a:endParaRPr lang="en-US" baseline="0"/>
                  </a:p>
                </c:rich>
              </c:tx>
              <c:spPr>
                <a:noFill/>
                <a:ln>
                  <a:noFill/>
                </a:ln>
                <a:effectLst/>
              </c:spPr>
              <c:showLegendKey val="1"/>
              <c:showVal val="1"/>
              <c:showCatName val="1"/>
              <c:showSerName val="0"/>
              <c:showPercent val="1"/>
              <c:showBubbleSize val="0"/>
              <c:separator>, </c:separator>
              <c:extLst>
                <c:ext xmlns:c15="http://schemas.microsoft.com/office/drawing/2012/chart" uri="{CE6537A1-D6FC-4f65-9D91-7224C49458BB}">
                  <c15:layout>
                    <c:manualLayout>
                      <c:w val="0.28393657828966101"/>
                      <c:h val="0.15651806985665301"/>
                    </c:manualLayout>
                  </c15:layout>
                  <c15:dlblFieldTable/>
                  <c15:showDataLabelsRange val="0"/>
                </c:ext>
              </c:extLst>
            </c:dLbl>
            <c:dLbl>
              <c:idx val="3"/>
              <c:layout>
                <c:manualLayout>
                  <c:x val="5.9547186231350697E-2"/>
                  <c:y val="-0.13792062207177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FE98-4CCC-9911-46B4E0CDB3A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'[IMAC-Follow-up_of_IMAC_Recommendations-rev02-160514.xlsx]statistics'!$A$10:$A$12</c:f>
              <c:strCache>
                <c:ptCount val="3"/>
                <c:pt idx="0">
                  <c:v>Implemented</c:v>
                </c:pt>
                <c:pt idx="1">
                  <c:v>In progress</c:v>
                </c:pt>
                <c:pt idx="2">
                  <c:v>Not accepted</c:v>
                </c:pt>
              </c:strCache>
            </c:strRef>
          </c:cat>
          <c:val>
            <c:numRef>
              <c:f>'[IMAC-Follow-up_of_IMAC_Recommendations-rev02-160514.xlsx]statistics'!$B$10:$B$12</c:f>
              <c:numCache>
                <c:formatCode>General</c:formatCode>
                <c:ptCount val="3"/>
                <c:pt idx="0">
                  <c:v>4</c:v>
                </c:pt>
                <c:pt idx="1">
                  <c:v>2</c:v>
                </c:pt>
                <c:pt idx="2">
                  <c:v>0</c:v>
                </c:pt>
              </c:numCache>
            </c:numRef>
          </c:val>
          <c:extLst xmlns:c16r2="http://schemas.microsoft.com/office/drawing/2015/06/chart">
            <c:ext xmlns:c16="http://schemas.microsoft.com/office/drawing/2014/chart" uri="{C3380CC4-5D6E-409C-BE32-E72D297353CC}">
              <c16:uniqueId val="{00000008-FE98-4CCC-9911-46B4E0CDB3A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rPr>
              <a:t>Рекомендации</a:t>
            </a:r>
            <a:r>
              <a:rPr lang="ru-RU" sz="1200" b="1" baseline="0">
                <a:solidFill>
                  <a:sysClr val="windowText" lastClr="000000"/>
                </a:solidFill>
              </a:rPr>
              <a:t> </a:t>
            </a:r>
            <a:r>
              <a:rPr lang="en-US" sz="1200" b="1">
                <a:solidFill>
                  <a:sysClr val="windowText" lastClr="000000"/>
                </a:solidFill>
              </a:rPr>
              <a:t>IMAC 2014</a:t>
            </a:r>
            <a:r>
              <a:rPr lang="ru-RU" sz="1200" b="1">
                <a:solidFill>
                  <a:sysClr val="windowText" lastClr="000000"/>
                </a:solidFill>
              </a:rPr>
              <a:t> года</a:t>
            </a:r>
            <a:endParaRPr lang="en-US" sz="1200" b="1">
              <a:solidFill>
                <a:sysClr val="windowText" lastClr="000000"/>
              </a:solidFill>
            </a:endParaRPr>
          </a:p>
        </c:rich>
      </c:tx>
      <c:layout/>
      <c:overlay val="0"/>
      <c:spPr>
        <a:noFill/>
        <a:ln>
          <a:noFill/>
        </a:ln>
        <a:effectLst/>
      </c:spPr>
    </c:title>
    <c:autoTitleDeleted val="0"/>
    <c:plotArea>
      <c:layout>
        <c:manualLayout>
          <c:layoutTarget val="inner"/>
          <c:xMode val="edge"/>
          <c:yMode val="edge"/>
          <c:x val="0.24351825340014299"/>
          <c:y val="0.271929335756107"/>
          <c:w val="0.52494472973487005"/>
          <c:h val="0.69656127599434703"/>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3ED1-46B2-8533-FDC9922DEBD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3ED1-46B2-8533-FDC9922DEBD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3ED1-46B2-8533-FDC9922DEBD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3ED1-46B2-8533-FDC9922DEBDE}"/>
              </c:ext>
            </c:extLst>
          </c:dPt>
          <c:dLbls>
            <c:dLbl>
              <c:idx val="0"/>
              <c:layout>
                <c:manualLayout>
                  <c:x val="0.13135273308227799"/>
                  <c:y val="0.12636462749848601"/>
                </c:manualLayout>
              </c:layout>
              <c:tx>
                <c:rich>
                  <a:bodyPr/>
                  <a:lstStyle/>
                  <a:p>
                    <a:r>
                      <a:rPr lang="ru-RU" baseline="0"/>
                      <a:t>Выполнены</a:t>
                    </a:r>
                  </a:p>
                  <a:p>
                    <a:r>
                      <a:rPr lang="ru-RU" baseline="0"/>
                      <a:t> </a:t>
                    </a:r>
                    <a:fld id="{9C870A4D-3D87-4250-9791-FABF7DE49152}" type="VALUE">
                      <a:rPr lang="en-US" baseline="0"/>
                      <a:pPr/>
                      <a:t>[VALUE]</a:t>
                    </a:fld>
                    <a:r>
                      <a:rPr lang="en-US" baseline="0"/>
                      <a:t>, </a:t>
                    </a:r>
                    <a:fld id="{2170257B-EC46-4338-8CED-6C3C29CABF2E}" type="PERCENTAGE">
                      <a:rPr lang="en-US" baseline="0"/>
                      <a:pPr/>
                      <a:t>[PERCENTAGE]</a:t>
                    </a:fld>
                    <a:endParaRPr lang="en-US" baseline="0"/>
                  </a:p>
                </c:rich>
              </c:tx>
              <c:showLegendKey val="1"/>
              <c:showVal val="1"/>
              <c:showCatName val="1"/>
              <c:showSerName val="0"/>
              <c:showPercent val="1"/>
              <c:showBubbleSize val="0"/>
              <c:separator>, </c:separator>
              <c:extLst>
                <c:ext xmlns:c15="http://schemas.microsoft.com/office/drawing/2012/chart" uri="{CE6537A1-D6FC-4f65-9D91-7224C49458BB}">
                  <c15:layout>
                    <c:manualLayout>
                      <c:w val="0.26673391912967398"/>
                      <c:h val="0.13892590349283301"/>
                    </c:manualLayout>
                  </c15:layout>
                  <c15:dlblFieldTable/>
                  <c15:showDataLabelsRange val="0"/>
                </c:ext>
              </c:extLst>
            </c:dLbl>
            <c:dLbl>
              <c:idx val="1"/>
              <c:layout>
                <c:manualLayout>
                  <c:x val="-0.11572783768876688"/>
                  <c:y val="-0.16448980415909598"/>
                </c:manualLayout>
              </c:layout>
              <c:tx>
                <c:rich>
                  <a:bodyPr/>
                  <a:lstStyle/>
                  <a:p>
                    <a:r>
                      <a:rPr lang="ru-RU"/>
                      <a:t>Выполняются</a:t>
                    </a:r>
                    <a:r>
                      <a:rPr lang="ru-RU" baseline="0"/>
                      <a:t> </a:t>
                    </a:r>
                    <a:fld id="{195018A5-63A6-4FE5-BFE8-4286B37C392B}" type="VALUE">
                      <a:rPr lang="en-US" baseline="0"/>
                      <a:pPr/>
                      <a:t>[VALUE]</a:t>
                    </a:fld>
                    <a:r>
                      <a:rPr lang="en-US" baseline="0"/>
                      <a:t>, </a:t>
                    </a:r>
                    <a:fld id="{F12C9084-3E60-4780-A97E-1167E607C969}"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3ED1-46B2-8533-FDC9922DEBDE}"/>
                </c:ext>
                <c:ext xmlns:c15="http://schemas.microsoft.com/office/drawing/2012/chart" uri="{CE6537A1-D6FC-4f65-9D91-7224C49458BB}">
                  <c15:layout>
                    <c:manualLayout>
                      <c:w val="0.26430118110236223"/>
                      <c:h val="0.14709469008681608"/>
                    </c:manualLayout>
                  </c15:layout>
                  <c15:dlblFieldTable/>
                  <c15:showDataLabelsRange val="0"/>
                </c:ext>
              </c:extLst>
            </c:dLbl>
            <c:dLbl>
              <c:idx val="2"/>
              <c:layout>
                <c:manualLayout>
                  <c:x val="0.29113484727452599"/>
                  <c:y val="-2.8199071269937401E-2"/>
                </c:manualLayout>
              </c:layout>
              <c:tx>
                <c:rich>
                  <a:bodyPr/>
                  <a:lstStyle/>
                  <a:p>
                    <a:r>
                      <a:rPr lang="ru-RU" baseline="0"/>
                      <a:t>Не приняты</a:t>
                    </a:r>
                  </a:p>
                  <a:p>
                    <a:r>
                      <a:rPr lang="ru-RU" baseline="0"/>
                      <a:t> </a:t>
                    </a:r>
                    <a:fld id="{2D705648-75C8-4466-9609-6FEDA27FE533}" type="VALUE">
                      <a:rPr lang="en-US" baseline="0"/>
                      <a:pPr/>
                      <a:t>[VALUE]</a:t>
                    </a:fld>
                    <a:r>
                      <a:rPr lang="en-US" baseline="0"/>
                      <a:t>, </a:t>
                    </a:r>
                    <a:fld id="{68112F76-9630-44C9-9DF6-AFD9E46B8D6F}"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3ED1-46B2-8533-FDC9922DEBDE}"/>
                </c:ext>
                <c:ext xmlns:c15="http://schemas.microsoft.com/office/drawing/2012/chart" uri="{CE6537A1-D6FC-4f65-9D91-7224C49458BB}">
                  <c15:layout>
                    <c:manualLayout>
                      <c:w val="0.27323062878009802"/>
                      <c:h val="0.157351100343226"/>
                    </c:manualLayout>
                  </c15:layout>
                  <c15:dlblFieldTable/>
                  <c15:showDataLabelsRange val="0"/>
                </c:ext>
              </c:extLst>
            </c:dLbl>
            <c:dLbl>
              <c:idx val="3"/>
              <c:layout>
                <c:manualLayout>
                  <c:x val="-3.3922192390707602E-2"/>
                  <c:y val="-0.13685562808922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3ED1-46B2-8533-FDC9922DEBDE}"/>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Lst>
          </c:dLbls>
          <c:cat>
            <c:strRef>
              <c:f>'[IMAC-Follow-up_of_IMAC_Recommendations-rev02-160514.xlsx]statistics'!$A$18:$A$20</c:f>
              <c:strCache>
                <c:ptCount val="3"/>
                <c:pt idx="0">
                  <c:v>Implemented</c:v>
                </c:pt>
                <c:pt idx="1">
                  <c:v>In progress</c:v>
                </c:pt>
                <c:pt idx="2">
                  <c:v>Not accepted</c:v>
                </c:pt>
              </c:strCache>
            </c:strRef>
          </c:cat>
          <c:val>
            <c:numRef>
              <c:f>'[IMAC-Follow-up_of_IMAC_Recommendations-rev02-160514.xlsx]statistics'!$B$18:$B$20</c:f>
              <c:numCache>
                <c:formatCode>General</c:formatCode>
                <c:ptCount val="3"/>
                <c:pt idx="0">
                  <c:v>6</c:v>
                </c:pt>
                <c:pt idx="1">
                  <c:v>3</c:v>
                </c:pt>
                <c:pt idx="2">
                  <c:v>0</c:v>
                </c:pt>
              </c:numCache>
            </c:numRef>
          </c:val>
          <c:extLst xmlns:c16r2="http://schemas.microsoft.com/office/drawing/2015/06/chart">
            <c:ext xmlns:c16="http://schemas.microsoft.com/office/drawing/2014/chart" uri="{C3380CC4-5D6E-409C-BE32-E72D297353CC}">
              <c16:uniqueId val="{00000008-3ED1-46B2-8533-FDC9922DEBD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rPr>
              <a:t>Рекомендации</a:t>
            </a:r>
            <a:r>
              <a:rPr lang="ru-RU" sz="1200" b="1" baseline="0">
                <a:solidFill>
                  <a:sysClr val="windowText" lastClr="000000"/>
                </a:solidFill>
              </a:rPr>
              <a:t> </a:t>
            </a:r>
            <a:r>
              <a:rPr lang="en-US" sz="1200" b="1">
                <a:solidFill>
                  <a:sysClr val="windowText" lastClr="000000"/>
                </a:solidFill>
              </a:rPr>
              <a:t>IMAC 2013</a:t>
            </a:r>
            <a:r>
              <a:rPr lang="ru-RU" sz="1200" b="1">
                <a:solidFill>
                  <a:sysClr val="windowText" lastClr="000000"/>
                </a:solidFill>
              </a:rPr>
              <a:t> года</a:t>
            </a:r>
            <a:endParaRPr lang="en-US" sz="1200" b="1">
              <a:solidFill>
                <a:sysClr val="windowText" lastClr="000000"/>
              </a:solidFill>
            </a:endParaRPr>
          </a:p>
        </c:rich>
      </c:tx>
      <c:layout/>
      <c:overlay val="0"/>
      <c:spPr>
        <a:noFill/>
        <a:ln>
          <a:noFill/>
        </a:ln>
        <a:effectLst/>
      </c:spPr>
    </c:title>
    <c:autoTitleDeleted val="0"/>
    <c:plotArea>
      <c:layout>
        <c:manualLayout>
          <c:layoutTarget val="inner"/>
          <c:xMode val="edge"/>
          <c:yMode val="edge"/>
          <c:x val="0.24315742767111101"/>
          <c:y val="0.27212598425196899"/>
          <c:w val="0.52045363957012503"/>
          <c:h val="0.69593226134089603"/>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74DC-4E51-B9D6-87D8C19602F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74DC-4E51-B9D6-87D8C19602F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74DC-4E51-B9D6-87D8C19602F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74DC-4E51-B9D6-87D8C19602FE}"/>
              </c:ext>
            </c:extLst>
          </c:dPt>
          <c:dLbls>
            <c:dLbl>
              <c:idx val="0"/>
              <c:layout>
                <c:manualLayout>
                  <c:x val="0.22655370800712901"/>
                  <c:y val="1.13405939200129E-2"/>
                </c:manualLayout>
              </c:layout>
              <c:tx>
                <c:rich>
                  <a:bodyPr/>
                  <a:lstStyle/>
                  <a:p>
                    <a:r>
                      <a:rPr lang="ru-RU" baseline="0"/>
                      <a:t>Выполнены</a:t>
                    </a:r>
                  </a:p>
                  <a:p>
                    <a:r>
                      <a:rPr lang="ru-RU" baseline="0"/>
                      <a:t> </a:t>
                    </a:r>
                    <a:fld id="{C94092B0-006F-498B-B777-57138FBDF9DD}" type="VALUE">
                      <a:rPr lang="en-US" baseline="0"/>
                      <a:pPr/>
                      <a:t>[VALUE]</a:t>
                    </a:fld>
                    <a:r>
                      <a:rPr lang="en-US" baseline="0"/>
                      <a:t>, </a:t>
                    </a:r>
                    <a:fld id="{FCBCC9E6-1B2E-4F84-BCE6-5A23BC351E97}" type="PERCENTAGE">
                      <a:rPr lang="en-US" baseline="0"/>
                      <a:pPr/>
                      <a:t>[PERCENTAGE]</a:t>
                    </a:fld>
                    <a:endParaRPr lang="en-US" baseline="0"/>
                  </a:p>
                </c:rich>
              </c:tx>
              <c:showLegendKey val="1"/>
              <c:showVal val="1"/>
              <c:showCatName val="1"/>
              <c:showSerName val="0"/>
              <c:showPercent val="1"/>
              <c:showBubbleSize val="0"/>
              <c:separator>, </c:separator>
              <c:extLst>
                <c:ext xmlns:c15="http://schemas.microsoft.com/office/drawing/2012/chart" uri="{CE6537A1-D6FC-4f65-9D91-7224C49458BB}">
                  <c15:layout>
                    <c:manualLayout>
                      <c:w val="0.26673405079379398"/>
                      <c:h val="0.143897185265635"/>
                    </c:manualLayout>
                  </c15:layout>
                  <c15:dlblFieldTable/>
                  <c15:showDataLabelsRange val="0"/>
                </c:ext>
              </c:extLst>
            </c:dLbl>
            <c:dLbl>
              <c:idx val="1"/>
              <c:layout>
                <c:manualLayout>
                  <c:x val="-0.22396513473065183"/>
                  <c:y val="-4.1314548325137722E-2"/>
                </c:manualLayout>
              </c:layout>
              <c:tx>
                <c:rich>
                  <a:bodyPr/>
                  <a:lstStyle/>
                  <a:p>
                    <a:r>
                      <a:rPr lang="ru-RU" baseline="0"/>
                      <a:t>Выполняются </a:t>
                    </a:r>
                    <a:fld id="{82F873DE-5D0E-4AAD-AA24-78F10D3D008B}" type="VALUE">
                      <a:rPr lang="en-US" baseline="0"/>
                      <a:pPr/>
                      <a:t>[VALUE]</a:t>
                    </a:fld>
                    <a:r>
                      <a:rPr lang="en-US" baseline="0"/>
                      <a:t>, </a:t>
                    </a:r>
                    <a:fld id="{20D33687-3D14-402E-ACDD-524F551999F2}"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74DC-4E51-B9D6-87D8C19602FE}"/>
                </c:ext>
                <c:ext xmlns:c15="http://schemas.microsoft.com/office/drawing/2012/chart" uri="{CE6537A1-D6FC-4f65-9D91-7224C49458BB}">
                  <c15:layout>
                    <c:manualLayout>
                      <c:w val="0.26172777113462536"/>
                      <c:h val="0.15163966573143875"/>
                    </c:manualLayout>
                  </c15:layout>
                  <c15:dlblFieldTable/>
                  <c15:showDataLabelsRange val="0"/>
                </c:ext>
              </c:extLst>
            </c:dLbl>
            <c:dLbl>
              <c:idx val="2"/>
              <c:layout>
                <c:manualLayout>
                  <c:x val="0.28186614925283299"/>
                  <c:y val="-2.3935398879737699E-2"/>
                </c:manualLayout>
              </c:layout>
              <c:tx>
                <c:rich>
                  <a:bodyPr/>
                  <a:lstStyle/>
                  <a:p>
                    <a:r>
                      <a:rPr lang="ru-RU" baseline="0"/>
                      <a:t>Не приняты</a:t>
                    </a:r>
                  </a:p>
                  <a:p>
                    <a:r>
                      <a:rPr lang="ru-RU" baseline="0"/>
                      <a:t> </a:t>
                    </a:r>
                    <a:fld id="{86E3192A-A4FC-4A66-AFB4-5F3C56E9B286}" type="VALUE">
                      <a:rPr lang="en-US" baseline="0"/>
                      <a:pPr/>
                      <a:t>[VALUE]</a:t>
                    </a:fld>
                    <a:r>
                      <a:rPr lang="en-US" baseline="0"/>
                      <a:t>, </a:t>
                    </a:r>
                    <a:fld id="{F2FC2955-98C7-4437-8417-49CAC6B14467}"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74DC-4E51-B9D6-87D8C19602FE}"/>
                </c:ext>
                <c:ext xmlns:c15="http://schemas.microsoft.com/office/drawing/2012/chart" uri="{CE6537A1-D6FC-4f65-9D91-7224C49458BB}">
                  <c15:layout>
                    <c:manualLayout>
                      <c:w val="0.277739924343268"/>
                      <c:h val="0.14142255206604901"/>
                    </c:manualLayout>
                  </c15:layout>
                  <c15:dlblFieldTable/>
                  <c15:showDataLabelsRange val="0"/>
                </c:ext>
              </c:extLst>
            </c:dLbl>
            <c:dLbl>
              <c:idx val="3"/>
              <c:layout>
                <c:manualLayout>
                  <c:x val="0.24496988019763999"/>
                  <c:y val="-0.174842332742595"/>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74DC-4E51-B9D6-87D8C19602FE}"/>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Lst>
          </c:dLbls>
          <c:cat>
            <c:strRef>
              <c:f>'[IMAC-Follow-up_of_IMAC_Recommendations-rev02-160514.xlsx]statistics'!$A$26:$A$28</c:f>
              <c:strCache>
                <c:ptCount val="3"/>
                <c:pt idx="0">
                  <c:v>Implemented</c:v>
                </c:pt>
                <c:pt idx="1">
                  <c:v>In progress</c:v>
                </c:pt>
                <c:pt idx="2">
                  <c:v>Not accepted</c:v>
                </c:pt>
              </c:strCache>
            </c:strRef>
          </c:cat>
          <c:val>
            <c:numRef>
              <c:f>'[IMAC-Follow-up_of_IMAC_Recommendations-rev02-160514.xlsx]statistics'!$B$26:$B$28</c:f>
              <c:numCache>
                <c:formatCode>General</c:formatCode>
                <c:ptCount val="3"/>
                <c:pt idx="0">
                  <c:v>7</c:v>
                </c:pt>
                <c:pt idx="1">
                  <c:v>1</c:v>
                </c:pt>
                <c:pt idx="2">
                  <c:v>0</c:v>
                </c:pt>
              </c:numCache>
            </c:numRef>
          </c:val>
          <c:extLst xmlns:c16r2="http://schemas.microsoft.com/office/drawing/2015/06/chart">
            <c:ext xmlns:c16="http://schemas.microsoft.com/office/drawing/2014/chart" uri="{C3380CC4-5D6E-409C-BE32-E72D297353CC}">
              <c16:uniqueId val="{00000008-74DC-4E51-B9D6-87D8C19602F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rPr>
              <a:t>Рекомендации</a:t>
            </a:r>
            <a:r>
              <a:rPr lang="ru-RU" sz="1200" b="1" baseline="0">
                <a:solidFill>
                  <a:sysClr val="windowText" lastClr="000000"/>
                </a:solidFill>
              </a:rPr>
              <a:t> </a:t>
            </a:r>
            <a:r>
              <a:rPr lang="en-US" sz="1200" b="1">
                <a:solidFill>
                  <a:sysClr val="windowText" lastClr="000000"/>
                </a:solidFill>
              </a:rPr>
              <a:t>IMAC 2012</a:t>
            </a:r>
            <a:r>
              <a:rPr lang="ru-RU" sz="1200" b="1">
                <a:solidFill>
                  <a:sysClr val="windowText" lastClr="000000"/>
                </a:solidFill>
              </a:rPr>
              <a:t> года</a:t>
            </a:r>
            <a:endParaRPr lang="en-US" sz="1200" b="1">
              <a:solidFill>
                <a:sysClr val="windowText" lastClr="000000"/>
              </a:solidFill>
            </a:endParaRPr>
          </a:p>
        </c:rich>
      </c:tx>
      <c:layout/>
      <c:overlay val="0"/>
      <c:spPr>
        <a:noFill/>
        <a:ln>
          <a:noFill/>
        </a:ln>
        <a:effectLst/>
      </c:spPr>
    </c:title>
    <c:autoTitleDeleted val="0"/>
    <c:plotArea>
      <c:layout>
        <c:manualLayout>
          <c:layoutTarget val="inner"/>
          <c:xMode val="edge"/>
          <c:yMode val="edge"/>
          <c:x val="0.23114500372267199"/>
          <c:y val="0.25654472037149201"/>
          <c:w val="0.53094089599831595"/>
          <c:h val="0.712686048859277"/>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8297-420A-A7E2-2A10A74D3E84}"/>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8297-420A-A7E2-2A10A74D3E84}"/>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8297-420A-A7E2-2A10A74D3E84}"/>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8297-420A-A7E2-2A10A74D3E84}"/>
              </c:ext>
            </c:extLst>
          </c:dPt>
          <c:dLbls>
            <c:dLbl>
              <c:idx val="0"/>
              <c:layout>
                <c:manualLayout>
                  <c:x val="0.19981063255345199"/>
                  <c:y val="4.7623460528972303E-2"/>
                </c:manualLayout>
              </c:layout>
              <c:tx>
                <c:rich>
                  <a:bodyPr/>
                  <a:lstStyle/>
                  <a:p>
                    <a:r>
                      <a:rPr lang="ru-RU" baseline="0"/>
                      <a:t>Выполнены</a:t>
                    </a:r>
                  </a:p>
                  <a:p>
                    <a:r>
                      <a:rPr lang="ru-RU" baseline="0"/>
                      <a:t> </a:t>
                    </a:r>
                    <a:fld id="{4ECEDC8B-47DB-4FE2-8491-722DCB3E72D6}" type="VALUE">
                      <a:rPr lang="en-US" baseline="0"/>
                      <a:pPr/>
                      <a:t>[VALUE]</a:t>
                    </a:fld>
                    <a:r>
                      <a:rPr lang="en-US" baseline="0"/>
                      <a:t>, </a:t>
                    </a:r>
                    <a:fld id="{0F227744-05D3-4B4F-B8BF-492ED7623944}"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8297-420A-A7E2-2A10A74D3E84}"/>
                </c:ext>
                <c:ext xmlns:c15="http://schemas.microsoft.com/office/drawing/2012/chart" uri="{CE6537A1-D6FC-4f65-9D91-7224C49458BB}">
                  <c15:layout>
                    <c:manualLayout>
                      <c:w val="0.26673405079379398"/>
                      <c:h val="0.13892590349283301"/>
                    </c:manualLayout>
                  </c15:layout>
                  <c15:dlblFieldTable/>
                  <c15:showDataLabelsRange val="0"/>
                </c:ext>
              </c:extLst>
            </c:dLbl>
            <c:dLbl>
              <c:idx val="1"/>
              <c:layout>
                <c:manualLayout>
                  <c:x val="-0.19340192074844501"/>
                  <c:y val="-4.4356955380577302E-2"/>
                </c:manualLayout>
              </c:layout>
              <c:tx>
                <c:rich>
                  <a:bodyPr/>
                  <a:lstStyle/>
                  <a:p>
                    <a:r>
                      <a:rPr lang="ru-RU" baseline="0"/>
                      <a:t>Выполняются </a:t>
                    </a:r>
                    <a:fld id="{387B3CEA-7991-4A8B-948D-0E36FB933657}" type="VALUE">
                      <a:rPr lang="en-US" baseline="0"/>
                      <a:pPr/>
                      <a:t>[VALUE]</a:t>
                    </a:fld>
                    <a:r>
                      <a:rPr lang="en-US" baseline="0"/>
                      <a:t>, </a:t>
                    </a:r>
                    <a:fld id="{A6FB562F-A015-49F3-B229-E2A86591C60F}" type="PERCENTAGE">
                      <a:rPr lang="en-US" baseline="0"/>
                      <a:pPr/>
                      <a:t>[PERCENTAGE]</a:t>
                    </a:fld>
                    <a:endParaRPr lang="en-US" baseline="0"/>
                  </a:p>
                </c:rich>
              </c:tx>
              <c:showLegendKey val="1"/>
              <c:showVal val="1"/>
              <c:showCatName val="1"/>
              <c:showSerName val="0"/>
              <c:showPercent val="1"/>
              <c:showBubbleSize val="0"/>
              <c:separator>, </c:separator>
              <c:extLst>
                <c:ext xmlns:c15="http://schemas.microsoft.com/office/drawing/2012/chart" uri="{CE6537A1-D6FC-4f65-9D91-7224C49458BB}">
                  <c15:layout>
                    <c:manualLayout>
                      <c:w val="0.26936864983567599"/>
                      <c:h val="0.15222289521502119"/>
                    </c:manualLayout>
                  </c15:layout>
                  <c15:dlblFieldTable/>
                  <c15:showDataLabelsRange val="0"/>
                </c:ext>
              </c:extLst>
            </c:dLbl>
            <c:dLbl>
              <c:idx val="2"/>
              <c:layout>
                <c:manualLayout>
                  <c:x val="0.30096834600546002"/>
                  <c:y val="4.8495861094286297E-3"/>
                </c:manualLayout>
              </c:layout>
              <c:tx>
                <c:rich>
                  <a:bodyPr/>
                  <a:lstStyle/>
                  <a:p>
                    <a:r>
                      <a:rPr lang="ru-RU" baseline="0"/>
                      <a:t>Не приняты</a:t>
                    </a:r>
                  </a:p>
                  <a:p>
                    <a:r>
                      <a:rPr lang="ru-RU" baseline="0"/>
                      <a:t> </a:t>
                    </a:r>
                    <a:fld id="{B4FDD154-5788-4385-BFB6-D3DBD5C0DDBD}" type="VALUE">
                      <a:rPr lang="en-US" baseline="0"/>
                      <a:pPr/>
                      <a:t>[VALUE]</a:t>
                    </a:fld>
                    <a:r>
                      <a:rPr lang="en-US" baseline="0"/>
                      <a:t>, </a:t>
                    </a:r>
                    <a:fld id="{DFD43C1D-3EAB-4273-AF0D-D0E65C03093C}" type="PERCENTAGE">
                      <a:rPr lang="en-US" baseline="0"/>
                      <a:pPr/>
                      <a:t>[PERCENTAGE]</a:t>
                    </a:fld>
                    <a:endParaRPr lang="en-US" baseline="0"/>
                  </a:p>
                </c:rich>
              </c:tx>
              <c:showLegendKey val="1"/>
              <c:showVal val="1"/>
              <c:showCatName val="1"/>
              <c:showSerName val="0"/>
              <c:showPercent val="1"/>
              <c:showBubbleSize val="0"/>
              <c:separator>, </c:separator>
              <c:extLst>
                <c:ext xmlns:c15="http://schemas.microsoft.com/office/drawing/2012/chart" uri="{CE6537A1-D6FC-4f65-9D91-7224C49458BB}">
                  <c15:layout>
                    <c:manualLayout>
                      <c:w val="0.27009904564221698"/>
                      <c:h val="0.147094690086816"/>
                    </c:manualLayout>
                  </c15:layout>
                  <c15:dlblFieldTable/>
                  <c15:showDataLabelsRange val="0"/>
                </c:ext>
              </c:extLst>
            </c:dLbl>
            <c:dLbl>
              <c:idx val="3"/>
              <c:layout>
                <c:manualLayout>
                  <c:x val="-4.5383510442283503E-2"/>
                  <c:y val="-0.13685562808922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8297-420A-A7E2-2A10A74D3E84}"/>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Lst>
          </c:dLbls>
          <c:cat>
            <c:strRef>
              <c:f>'[IMAC-Follow-up_of_IMAC_Recommendations-rev02-160514.xlsx]statistics'!$A$34:$A$36</c:f>
              <c:strCache>
                <c:ptCount val="3"/>
                <c:pt idx="0">
                  <c:v>Implemented</c:v>
                </c:pt>
                <c:pt idx="1">
                  <c:v>In progress</c:v>
                </c:pt>
                <c:pt idx="2">
                  <c:v>Not accepted</c:v>
                </c:pt>
              </c:strCache>
            </c:strRef>
          </c:cat>
          <c:val>
            <c:numRef>
              <c:f>'[IMAC-Follow-up_of_IMAC_Recommendations-rev02-160514.xlsx]statistics'!$B$34:$B$36</c:f>
              <c:numCache>
                <c:formatCode>General</c:formatCode>
                <c:ptCount val="3"/>
                <c:pt idx="0">
                  <c:v>5</c:v>
                </c:pt>
                <c:pt idx="1">
                  <c:v>1</c:v>
                </c:pt>
                <c:pt idx="2">
                  <c:v>0</c:v>
                </c:pt>
              </c:numCache>
            </c:numRef>
          </c:val>
          <c:extLst xmlns:c16r2="http://schemas.microsoft.com/office/drawing/2015/06/chart">
            <c:ext xmlns:c16="http://schemas.microsoft.com/office/drawing/2014/chart" uri="{C3380CC4-5D6E-409C-BE32-E72D297353CC}">
              <c16:uniqueId val="{00000008-8297-420A-A7E2-2A10A74D3E84}"/>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PR_C16.dotm</Template>
  <TotalTime>1</TotalTime>
  <Pages>13</Pages>
  <Words>4100</Words>
  <Characters>27885</Characters>
  <Application>Microsoft Office Word</Application>
  <DocSecurity>4</DocSecurity>
  <Lines>232</Lines>
  <Paragraphs>63</Paragraphs>
  <ScaleCrop>false</ScaleCrop>
  <HeadingPairs>
    <vt:vector size="2" baseType="variant">
      <vt:variant>
        <vt:lpstr>Title</vt:lpstr>
      </vt:variant>
      <vt:variant>
        <vt:i4>1</vt:i4>
      </vt:variant>
    </vt:vector>
  </HeadingPairs>
  <TitlesOfParts>
    <vt:vector size="1" baseType="lpstr">
      <vt:lpstr>НАЗВАНИЕ</vt:lpstr>
    </vt:vector>
  </TitlesOfParts>
  <Manager>General Secretariat - Pool</Manager>
  <Company>International Telecommunication Union (ITU)</Company>
  <LinksUpToDate>false</LinksUpToDate>
  <CharactersWithSpaces>31922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Management Advisory Committee (IMAC)</dc:title>
  <dc:subject>Council 2016</dc:subject>
  <dc:creator>Brouard, Ricarda</dc:creator>
  <cp:keywords>C2016, C16</cp:keywords>
  <dc:description/>
  <cp:lastModifiedBy>Brouard, Ricarda</cp:lastModifiedBy>
  <cp:revision>2</cp:revision>
  <cp:lastPrinted>2006-03-28T16:12:00Z</cp:lastPrinted>
  <dcterms:created xsi:type="dcterms:W3CDTF">2016-05-30T17:05:00Z</dcterms:created>
  <dcterms:modified xsi:type="dcterms:W3CDTF">2016-05-30T17:05:00Z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