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D86E44" w:rsidRPr="00622D62">
        <w:trPr>
          <w:cantSplit/>
        </w:trPr>
        <w:tc>
          <w:tcPr>
            <w:tcW w:w="6912" w:type="dxa"/>
          </w:tcPr>
          <w:p w:rsidR="00D86E44" w:rsidRPr="00622D62" w:rsidRDefault="00D86E44" w:rsidP="00D86E44">
            <w:pPr>
              <w:spacing w:before="360"/>
              <w:rPr>
                <w:szCs w:val="24"/>
              </w:rPr>
            </w:pPr>
            <w:bookmarkStart w:id="0" w:name="dc06"/>
            <w:bookmarkStart w:id="1" w:name="dbluepink" w:colFirst="0" w:colLast="0"/>
            <w:bookmarkEnd w:id="0"/>
            <w:r w:rsidRPr="00622D62">
              <w:rPr>
                <w:b/>
                <w:bCs/>
                <w:sz w:val="30"/>
                <w:szCs w:val="30"/>
              </w:rPr>
              <w:t>Consejo 2015</w:t>
            </w:r>
            <w:r w:rsidRPr="00622D62">
              <w:rPr>
                <w:b/>
                <w:bCs/>
                <w:sz w:val="26"/>
                <w:szCs w:val="26"/>
              </w:rPr>
              <w:br/>
            </w:r>
            <w:r w:rsidRPr="00622D62">
              <w:rPr>
                <w:b/>
                <w:bCs/>
                <w:szCs w:val="24"/>
              </w:rPr>
              <w:t>Ginebra, 12-22 de mayo de 2015</w:t>
            </w:r>
          </w:p>
        </w:tc>
        <w:tc>
          <w:tcPr>
            <w:tcW w:w="3261" w:type="dxa"/>
          </w:tcPr>
          <w:p w:rsidR="00D86E44" w:rsidRPr="00622D62" w:rsidRDefault="00D86E44" w:rsidP="00D86E44">
            <w:pPr>
              <w:spacing w:before="0"/>
              <w:jc w:val="right"/>
              <w:rPr>
                <w:szCs w:val="24"/>
              </w:rPr>
            </w:pPr>
            <w:bookmarkStart w:id="2" w:name="ditulogo"/>
            <w:bookmarkEnd w:id="2"/>
            <w:r w:rsidRPr="00622D62">
              <w:rPr>
                <w:noProof/>
                <w:szCs w:val="24"/>
                <w:lang w:val="en-US" w:eastAsia="zh-CN"/>
              </w:rPr>
              <w:drawing>
                <wp:inline distT="0" distB="0" distL="0" distR="0" wp14:anchorId="155AC907" wp14:editId="56DEDCFF">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86E44" w:rsidRPr="00622D62">
        <w:trPr>
          <w:cantSplit/>
          <w:trHeight w:val="20"/>
        </w:trPr>
        <w:tc>
          <w:tcPr>
            <w:tcW w:w="10173" w:type="dxa"/>
            <w:gridSpan w:val="2"/>
            <w:tcBorders>
              <w:bottom w:val="single" w:sz="12" w:space="0" w:color="auto"/>
            </w:tcBorders>
          </w:tcPr>
          <w:p w:rsidR="00D86E44" w:rsidRPr="00622D62" w:rsidRDefault="00D86E44">
            <w:pPr>
              <w:spacing w:before="0"/>
              <w:rPr>
                <w:b/>
                <w:bCs/>
                <w:szCs w:val="24"/>
              </w:rPr>
            </w:pPr>
            <w:r w:rsidRPr="00622D62">
              <w:rPr>
                <w:b/>
                <w:bCs/>
                <w:szCs w:val="24"/>
              </w:rPr>
              <w:t>UNIÓN INTERNACIONAL DE TELECOMUNICACIONES</w:t>
            </w:r>
          </w:p>
        </w:tc>
      </w:tr>
      <w:tr w:rsidR="00D86E44" w:rsidRPr="00622D62">
        <w:trPr>
          <w:cantSplit/>
          <w:trHeight w:val="20"/>
        </w:trPr>
        <w:tc>
          <w:tcPr>
            <w:tcW w:w="6912" w:type="dxa"/>
            <w:tcBorders>
              <w:top w:val="single" w:sz="12" w:space="0" w:color="auto"/>
            </w:tcBorders>
          </w:tcPr>
          <w:p w:rsidR="00D86E44" w:rsidRPr="00622D62" w:rsidRDefault="00D86E44">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D86E44" w:rsidRPr="00622D62" w:rsidRDefault="00D86E44">
            <w:pPr>
              <w:spacing w:before="0"/>
              <w:rPr>
                <w:b/>
                <w:bCs/>
                <w:szCs w:val="24"/>
              </w:rPr>
            </w:pPr>
          </w:p>
        </w:tc>
      </w:tr>
      <w:tr w:rsidR="00D86E44" w:rsidRPr="00622D62">
        <w:trPr>
          <w:cantSplit/>
          <w:trHeight w:val="20"/>
        </w:trPr>
        <w:tc>
          <w:tcPr>
            <w:tcW w:w="6912" w:type="dxa"/>
            <w:shd w:val="clear" w:color="auto" w:fill="auto"/>
          </w:tcPr>
          <w:p w:rsidR="00D86E44" w:rsidRPr="00622D62" w:rsidRDefault="008E19F3">
            <w:pPr>
              <w:tabs>
                <w:tab w:val="clear" w:pos="2268"/>
                <w:tab w:val="left" w:pos="1560"/>
                <w:tab w:val="left" w:pos="2269"/>
                <w:tab w:val="left" w:pos="3544"/>
                <w:tab w:val="left" w:pos="3969"/>
              </w:tabs>
              <w:spacing w:before="0" w:line="240" w:lineRule="atLeast"/>
              <w:rPr>
                <w:rFonts w:cs="Calibri"/>
                <w:b/>
                <w:szCs w:val="24"/>
              </w:rPr>
            </w:pPr>
            <w:bookmarkStart w:id="3" w:name="dnum" w:colFirst="1" w:colLast="1"/>
            <w:bookmarkStart w:id="4" w:name="dmeeting" w:colFirst="0" w:colLast="0"/>
            <w:r w:rsidRPr="00622D62">
              <w:rPr>
                <w:rFonts w:eastAsia="SimSun" w:cs="Calibri"/>
                <w:b/>
                <w:lang w:eastAsia="zh-CN"/>
              </w:rPr>
              <w:t xml:space="preserve">Punto del orden del día: </w:t>
            </w:r>
            <w:r w:rsidR="00D86E44" w:rsidRPr="00622D62">
              <w:rPr>
                <w:rFonts w:eastAsia="SimSun" w:cs="Calibri"/>
                <w:b/>
                <w:lang w:eastAsia="zh-CN"/>
              </w:rPr>
              <w:t>ADM 10</w:t>
            </w:r>
          </w:p>
        </w:tc>
        <w:tc>
          <w:tcPr>
            <w:tcW w:w="3261" w:type="dxa"/>
          </w:tcPr>
          <w:p w:rsidR="00D86E44" w:rsidRPr="00622D62" w:rsidRDefault="00D86E44" w:rsidP="00D86E44">
            <w:pPr>
              <w:spacing w:before="0"/>
              <w:rPr>
                <w:rFonts w:cs="Calibri"/>
                <w:b/>
                <w:bCs/>
                <w:szCs w:val="24"/>
              </w:rPr>
            </w:pPr>
            <w:r w:rsidRPr="00622D62">
              <w:rPr>
                <w:rFonts w:cs="Calibri"/>
                <w:b/>
                <w:bCs/>
                <w:szCs w:val="24"/>
              </w:rPr>
              <w:t>Documento C15/66-S</w:t>
            </w:r>
          </w:p>
        </w:tc>
      </w:tr>
      <w:tr w:rsidR="00D86E44" w:rsidRPr="00622D62">
        <w:trPr>
          <w:cantSplit/>
          <w:trHeight w:val="20"/>
        </w:trPr>
        <w:tc>
          <w:tcPr>
            <w:tcW w:w="6912" w:type="dxa"/>
            <w:shd w:val="clear" w:color="auto" w:fill="auto"/>
          </w:tcPr>
          <w:p w:rsidR="00D86E44" w:rsidRPr="00622D62" w:rsidRDefault="00D86E44">
            <w:pPr>
              <w:shd w:val="solid" w:color="FFFFFF" w:fill="FFFFFF"/>
              <w:spacing w:before="0"/>
              <w:rPr>
                <w:smallCaps/>
                <w:szCs w:val="24"/>
              </w:rPr>
            </w:pPr>
            <w:bookmarkStart w:id="5" w:name="ddate" w:colFirst="1" w:colLast="1"/>
            <w:bookmarkEnd w:id="3"/>
            <w:bookmarkEnd w:id="4"/>
          </w:p>
        </w:tc>
        <w:tc>
          <w:tcPr>
            <w:tcW w:w="3261" w:type="dxa"/>
          </w:tcPr>
          <w:p w:rsidR="00D86E44" w:rsidRPr="00622D62" w:rsidRDefault="00D86E44" w:rsidP="00D86E44">
            <w:pPr>
              <w:spacing w:before="0"/>
              <w:rPr>
                <w:rFonts w:cs="Calibri"/>
                <w:b/>
                <w:bCs/>
                <w:szCs w:val="24"/>
              </w:rPr>
            </w:pPr>
            <w:r w:rsidRPr="00622D62">
              <w:rPr>
                <w:rFonts w:cs="Calibri"/>
                <w:b/>
                <w:bCs/>
                <w:szCs w:val="24"/>
              </w:rPr>
              <w:t>8 de mayo de 2015</w:t>
            </w:r>
          </w:p>
        </w:tc>
      </w:tr>
      <w:tr w:rsidR="00D86E44" w:rsidRPr="00622D62">
        <w:trPr>
          <w:cantSplit/>
          <w:trHeight w:val="20"/>
        </w:trPr>
        <w:tc>
          <w:tcPr>
            <w:tcW w:w="6912" w:type="dxa"/>
            <w:shd w:val="clear" w:color="auto" w:fill="auto"/>
          </w:tcPr>
          <w:p w:rsidR="00D86E44" w:rsidRPr="00622D62" w:rsidRDefault="00D86E44">
            <w:pPr>
              <w:shd w:val="solid" w:color="FFFFFF" w:fill="FFFFFF"/>
              <w:spacing w:before="0"/>
              <w:rPr>
                <w:smallCaps/>
                <w:szCs w:val="24"/>
              </w:rPr>
            </w:pPr>
            <w:bookmarkStart w:id="6" w:name="dorlang" w:colFirst="1" w:colLast="1"/>
            <w:bookmarkEnd w:id="5"/>
          </w:p>
        </w:tc>
        <w:tc>
          <w:tcPr>
            <w:tcW w:w="3261" w:type="dxa"/>
          </w:tcPr>
          <w:p w:rsidR="00D86E44" w:rsidRPr="00622D62" w:rsidRDefault="00D86E44" w:rsidP="00D86E44">
            <w:pPr>
              <w:spacing w:before="0"/>
              <w:rPr>
                <w:rFonts w:cs="Calibri"/>
                <w:b/>
                <w:bCs/>
                <w:szCs w:val="24"/>
              </w:rPr>
            </w:pPr>
            <w:r w:rsidRPr="00622D62">
              <w:rPr>
                <w:rFonts w:cs="Calibri"/>
                <w:b/>
                <w:bCs/>
                <w:szCs w:val="24"/>
              </w:rPr>
              <w:t>Original: inglés</w:t>
            </w:r>
          </w:p>
        </w:tc>
      </w:tr>
      <w:tr w:rsidR="00D86E44" w:rsidRPr="00622D62">
        <w:trPr>
          <w:cantSplit/>
        </w:trPr>
        <w:tc>
          <w:tcPr>
            <w:tcW w:w="10173" w:type="dxa"/>
            <w:gridSpan w:val="2"/>
          </w:tcPr>
          <w:p w:rsidR="00D86E44" w:rsidRPr="00622D62" w:rsidRDefault="00D86E44" w:rsidP="000D0E8D">
            <w:pPr>
              <w:pStyle w:val="Source"/>
            </w:pPr>
            <w:bookmarkStart w:id="7" w:name="dsource" w:colFirst="0" w:colLast="0"/>
            <w:bookmarkEnd w:id="1"/>
            <w:bookmarkEnd w:id="6"/>
            <w:r w:rsidRPr="00622D62">
              <w:t>Informe del Secretario General</w:t>
            </w:r>
          </w:p>
        </w:tc>
      </w:tr>
      <w:tr w:rsidR="00D86E44" w:rsidRPr="00622D62">
        <w:trPr>
          <w:cantSplit/>
        </w:trPr>
        <w:tc>
          <w:tcPr>
            <w:tcW w:w="10173" w:type="dxa"/>
            <w:gridSpan w:val="2"/>
          </w:tcPr>
          <w:p w:rsidR="00D86E44" w:rsidRPr="00622D62" w:rsidRDefault="00D86E44" w:rsidP="00D86E44">
            <w:pPr>
              <w:pStyle w:val="Title1"/>
            </w:pPr>
            <w:bookmarkStart w:id="8" w:name="dtitle1" w:colFirst="0" w:colLast="0"/>
            <w:bookmarkEnd w:id="7"/>
            <w:r w:rsidRPr="00622D62">
              <w:t xml:space="preserve">AUDITORÍA EXTERNA DE LAS CUENTAS DE LA UNIÓN </w:t>
            </w:r>
            <w:r w:rsidRPr="00622D62">
              <w:br/>
              <w:t>en relación con ITU TELECOM WORLD 2014</w:t>
            </w:r>
          </w:p>
        </w:tc>
      </w:tr>
      <w:bookmarkEnd w:id="8"/>
    </w:tbl>
    <w:p w:rsidR="00D86E44" w:rsidRPr="00622D62" w:rsidRDefault="00D86E4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86E44" w:rsidRPr="00622D62">
        <w:trPr>
          <w:trHeight w:val="3372"/>
        </w:trPr>
        <w:tc>
          <w:tcPr>
            <w:tcW w:w="8080" w:type="dxa"/>
            <w:tcBorders>
              <w:top w:val="single" w:sz="12" w:space="0" w:color="auto"/>
              <w:left w:val="single" w:sz="12" w:space="0" w:color="auto"/>
              <w:bottom w:val="single" w:sz="12" w:space="0" w:color="auto"/>
              <w:right w:val="single" w:sz="12" w:space="0" w:color="auto"/>
            </w:tcBorders>
          </w:tcPr>
          <w:p w:rsidR="00D86E44" w:rsidRPr="00622D62" w:rsidRDefault="00D86E44" w:rsidP="00D86E44">
            <w:pPr>
              <w:pStyle w:val="Headingb"/>
            </w:pPr>
            <w:bookmarkStart w:id="9" w:name="_Toc400028310"/>
            <w:bookmarkStart w:id="10" w:name="_Toc400093932"/>
            <w:bookmarkStart w:id="11" w:name="_Toc419472983"/>
            <w:r w:rsidRPr="00622D62">
              <w:t>Resumen</w:t>
            </w:r>
            <w:bookmarkEnd w:id="9"/>
            <w:bookmarkEnd w:id="10"/>
            <w:bookmarkEnd w:id="11"/>
          </w:p>
          <w:p w:rsidR="00D86E44" w:rsidRPr="00622D62" w:rsidRDefault="00D86E44" w:rsidP="00D86E44">
            <w:r w:rsidRPr="00622D62">
              <w:t>El Informe del Auditor Externo versa sobre las cuentas de la exposición ITU TELECOM World 2014.</w:t>
            </w:r>
          </w:p>
          <w:p w:rsidR="00D86E44" w:rsidRPr="00622D62" w:rsidRDefault="00D86E44" w:rsidP="00D86E44">
            <w:pPr>
              <w:pStyle w:val="Headingb"/>
            </w:pPr>
            <w:bookmarkStart w:id="12" w:name="_Toc400028311"/>
            <w:bookmarkStart w:id="13" w:name="_Toc400093933"/>
            <w:bookmarkStart w:id="14" w:name="_Toc419472984"/>
            <w:r w:rsidRPr="00622D62">
              <w:t>Acción solicitada</w:t>
            </w:r>
            <w:bookmarkEnd w:id="12"/>
            <w:bookmarkEnd w:id="13"/>
            <w:bookmarkEnd w:id="14"/>
          </w:p>
          <w:p w:rsidR="00D86E44" w:rsidRPr="00622D62" w:rsidRDefault="00D86E44" w:rsidP="00D86E44">
            <w:r w:rsidRPr="00622D62">
              <w:t xml:space="preserve">Se invita al Consejo a examinar el Informe del Auditor Externo sobre las cuentas correspondientes a 2014 y a </w:t>
            </w:r>
            <w:r w:rsidRPr="00622D62">
              <w:rPr>
                <w:b/>
                <w:bCs/>
              </w:rPr>
              <w:t>aprobar</w:t>
            </w:r>
            <w:r w:rsidRPr="00622D62">
              <w:t xml:space="preserve"> las cuentas verificadas.</w:t>
            </w:r>
          </w:p>
          <w:p w:rsidR="00D86E44" w:rsidRPr="00622D62" w:rsidRDefault="00D86E44" w:rsidP="00D86E44">
            <w:pPr>
              <w:pStyle w:val="Table"/>
              <w:keepNext w:val="0"/>
              <w:spacing w:before="0" w:after="0"/>
              <w:rPr>
                <w:caps w:val="0"/>
                <w:sz w:val="22"/>
                <w:lang w:val="es-ES_tradnl"/>
              </w:rPr>
            </w:pPr>
            <w:r w:rsidRPr="00622D62">
              <w:rPr>
                <w:caps w:val="0"/>
                <w:sz w:val="22"/>
                <w:lang w:val="es-ES_tradnl"/>
              </w:rPr>
              <w:t>____________</w:t>
            </w:r>
          </w:p>
          <w:p w:rsidR="00D86E44" w:rsidRPr="00622D62" w:rsidRDefault="00D86E44" w:rsidP="00D86E44">
            <w:pPr>
              <w:pStyle w:val="Headingb"/>
            </w:pPr>
            <w:bookmarkStart w:id="15" w:name="_Toc400028312"/>
            <w:bookmarkStart w:id="16" w:name="_Toc400093934"/>
            <w:bookmarkStart w:id="17" w:name="_Toc419472985"/>
            <w:r w:rsidRPr="00622D62">
              <w:t>Referencia</w:t>
            </w:r>
            <w:bookmarkEnd w:id="15"/>
            <w:r w:rsidRPr="00622D62">
              <w:t>s</w:t>
            </w:r>
            <w:bookmarkEnd w:id="16"/>
            <w:bookmarkEnd w:id="17"/>
          </w:p>
          <w:p w:rsidR="00D86E44" w:rsidRPr="00622D62" w:rsidRDefault="00A16D01" w:rsidP="00D86E44">
            <w:pPr>
              <w:spacing w:after="120"/>
              <w:rPr>
                <w:i/>
                <w:iCs/>
              </w:rPr>
            </w:pPr>
            <w:hyperlink r:id="rId9" w:history="1">
              <w:r w:rsidR="00D86E44" w:rsidRPr="00622D62">
                <w:rPr>
                  <w:rStyle w:val="Hyperlink"/>
                  <w:i/>
                  <w:iCs/>
                </w:rPr>
                <w:t>Reglamento Financiero (Edición de 2010</w:t>
              </w:r>
            </w:hyperlink>
            <w:r w:rsidR="00D86E44" w:rsidRPr="00622D62">
              <w:rPr>
                <w:rStyle w:val="Hyperlink"/>
                <w:i/>
                <w:iCs/>
              </w:rPr>
              <w:t>)</w:t>
            </w:r>
            <w:r w:rsidR="00D86E44" w:rsidRPr="00622D62">
              <w:rPr>
                <w:i/>
                <w:iCs/>
              </w:rPr>
              <w:t>: Artículo 28 y mandato adicional</w:t>
            </w:r>
          </w:p>
        </w:tc>
      </w:tr>
    </w:tbl>
    <w:p w:rsidR="001E05EA" w:rsidRPr="00622D62" w:rsidRDefault="001E05EA" w:rsidP="00D86E44">
      <w:r w:rsidRPr="00622D62">
        <w:br w:type="page"/>
      </w:r>
    </w:p>
    <w:p w:rsidR="00153966" w:rsidRPr="00622D62" w:rsidRDefault="00153966" w:rsidP="00D86E44">
      <w:pPr>
        <w:tabs>
          <w:tab w:val="left" w:pos="3402"/>
        </w:tabs>
        <w:jc w:val="center"/>
        <w:rPr>
          <w:iCs/>
          <w:sz w:val="28"/>
          <w:szCs w:val="28"/>
        </w:rPr>
      </w:pPr>
    </w:p>
    <w:p w:rsidR="00153966" w:rsidRPr="00622D62" w:rsidRDefault="00153966" w:rsidP="00D86E44">
      <w:pPr>
        <w:tabs>
          <w:tab w:val="left" w:pos="3402"/>
        </w:tabs>
        <w:jc w:val="center"/>
        <w:rPr>
          <w:iCs/>
          <w:sz w:val="28"/>
          <w:szCs w:val="28"/>
        </w:rPr>
      </w:pPr>
    </w:p>
    <w:p w:rsidR="00D86E44" w:rsidRPr="00622D62" w:rsidRDefault="00D86E44" w:rsidP="00D86E44">
      <w:pPr>
        <w:tabs>
          <w:tab w:val="left" w:pos="3402"/>
        </w:tabs>
        <w:jc w:val="center"/>
        <w:rPr>
          <w:iCs/>
          <w:sz w:val="28"/>
          <w:szCs w:val="28"/>
        </w:rPr>
      </w:pPr>
      <w:r w:rsidRPr="00622D62">
        <w:rPr>
          <w:iCs/>
          <w:sz w:val="28"/>
          <w:szCs w:val="28"/>
        </w:rPr>
        <w:t>INFORME DEL AUDITOR EXTERNO</w:t>
      </w:r>
    </w:p>
    <w:p w:rsidR="00D86E44" w:rsidRPr="00622D62" w:rsidRDefault="00D86E44" w:rsidP="00D86E44">
      <w:pPr>
        <w:jc w:val="center"/>
        <w:rPr>
          <w:rFonts w:asciiTheme="majorBidi" w:hAnsiTheme="majorBidi" w:cstheme="majorBidi"/>
          <w:iCs/>
          <w:szCs w:val="24"/>
        </w:rPr>
      </w:pPr>
    </w:p>
    <w:p w:rsidR="00D86E44" w:rsidRPr="00622D62" w:rsidRDefault="00D86E44" w:rsidP="00D86E44">
      <w:pPr>
        <w:jc w:val="center"/>
        <w:rPr>
          <w:rFonts w:asciiTheme="majorBidi" w:hAnsiTheme="majorBidi" w:cstheme="majorBidi"/>
          <w:iCs/>
          <w:szCs w:val="24"/>
        </w:rPr>
      </w:pPr>
    </w:p>
    <w:p w:rsidR="00D86E44" w:rsidRPr="00622D62" w:rsidRDefault="00D86E44" w:rsidP="00D86E44">
      <w:pPr>
        <w:jc w:val="center"/>
        <w:rPr>
          <w:rFonts w:asciiTheme="majorBidi" w:hAnsiTheme="majorBidi" w:cstheme="majorBidi"/>
          <w:iCs/>
          <w:szCs w:val="24"/>
        </w:rPr>
      </w:pPr>
    </w:p>
    <w:p w:rsidR="00D86E44" w:rsidRPr="00622D62" w:rsidRDefault="00D86E44" w:rsidP="00D86E44">
      <w:pPr>
        <w:jc w:val="center"/>
        <w:rPr>
          <w:rFonts w:asciiTheme="majorBidi" w:hAnsiTheme="majorBidi" w:cstheme="majorBidi"/>
          <w:iCs/>
          <w:szCs w:val="24"/>
        </w:rPr>
      </w:pPr>
    </w:p>
    <w:p w:rsidR="00D86E44" w:rsidRPr="00622D62" w:rsidRDefault="00D86E44" w:rsidP="00D86E44">
      <w:pPr>
        <w:jc w:val="center"/>
        <w:rPr>
          <w:rFonts w:asciiTheme="majorBidi" w:hAnsiTheme="majorBidi" w:cstheme="majorBidi"/>
          <w:iCs/>
          <w:szCs w:val="24"/>
        </w:rPr>
      </w:pPr>
    </w:p>
    <w:p w:rsidR="00D86E44" w:rsidRPr="00622D62" w:rsidRDefault="00D86E44" w:rsidP="00D86E44">
      <w:pPr>
        <w:jc w:val="center"/>
        <w:rPr>
          <w:rFonts w:asciiTheme="majorBidi" w:hAnsiTheme="majorBidi" w:cstheme="majorBidi"/>
          <w:iCs/>
          <w:szCs w:val="24"/>
        </w:rPr>
      </w:pPr>
    </w:p>
    <w:p w:rsidR="00D86E44" w:rsidRPr="00622D62" w:rsidRDefault="00D86E44" w:rsidP="00D86E44">
      <w:pPr>
        <w:jc w:val="center"/>
        <w:rPr>
          <w:rFonts w:ascii="Kunstler Script" w:hAnsi="Kunstler Script" w:cstheme="majorBidi"/>
          <w:iCs/>
          <w:sz w:val="96"/>
          <w:szCs w:val="96"/>
        </w:rPr>
      </w:pPr>
      <w:r w:rsidRPr="00622D62">
        <w:rPr>
          <w:rFonts w:asciiTheme="majorBidi" w:hAnsiTheme="majorBidi" w:cstheme="majorBidi"/>
          <w:iCs/>
          <w:noProof/>
          <w:szCs w:val="24"/>
          <w:lang w:val="en-US" w:eastAsia="zh-CN"/>
        </w:rPr>
        <w:drawing>
          <wp:inline distT="0" distB="0" distL="0" distR="0" wp14:anchorId="6F44A35A" wp14:editId="373B9960">
            <wp:extent cx="598206" cy="672142"/>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982" cy="671890"/>
                    </a:xfrm>
                    <a:prstGeom prst="rect">
                      <a:avLst/>
                    </a:prstGeom>
                  </pic:spPr>
                </pic:pic>
              </a:graphicData>
            </a:graphic>
          </wp:inline>
        </w:drawing>
      </w:r>
    </w:p>
    <w:p w:rsidR="00D86E44" w:rsidRPr="00622D62" w:rsidRDefault="00D86E44" w:rsidP="00D86E44">
      <w:pPr>
        <w:jc w:val="center"/>
        <w:rPr>
          <w:rFonts w:ascii="Kunstler Script" w:hAnsi="Kunstler Script" w:cstheme="majorBidi"/>
          <w:sz w:val="96"/>
          <w:szCs w:val="96"/>
        </w:rPr>
      </w:pPr>
      <w:r w:rsidRPr="00622D62">
        <w:rPr>
          <w:rFonts w:ascii="Kunstler Script" w:hAnsi="Kunstler Script" w:cstheme="majorBidi"/>
          <w:iCs/>
          <w:sz w:val="96"/>
          <w:szCs w:val="96"/>
        </w:rPr>
        <w:t>Corte dei Conti</w:t>
      </w:r>
    </w:p>
    <w:p w:rsidR="00D86E44" w:rsidRPr="00622D62" w:rsidRDefault="00D86E44" w:rsidP="00D86E44">
      <w:pPr>
        <w:spacing w:before="240"/>
        <w:jc w:val="center"/>
        <w:rPr>
          <w:rFonts w:asciiTheme="majorBidi" w:hAnsiTheme="majorBidi" w:cstheme="majorBidi"/>
          <w:bCs/>
          <w:szCs w:val="24"/>
        </w:rPr>
      </w:pPr>
    </w:p>
    <w:p w:rsidR="00D86E44" w:rsidRPr="00622D62" w:rsidRDefault="00D86E44" w:rsidP="00D86E44">
      <w:pPr>
        <w:spacing w:before="240"/>
        <w:jc w:val="center"/>
        <w:rPr>
          <w:rFonts w:asciiTheme="majorBidi" w:hAnsiTheme="majorBidi" w:cstheme="majorBidi"/>
          <w:bCs/>
          <w:szCs w:val="24"/>
        </w:rPr>
      </w:pPr>
      <w:r w:rsidRPr="00622D62">
        <w:rPr>
          <w:rFonts w:asciiTheme="majorBidi" w:hAnsiTheme="majorBidi" w:cstheme="majorBidi"/>
          <w:bCs/>
          <w:szCs w:val="24"/>
        </w:rPr>
        <w:t>(Tribunal de Cuentas)</w:t>
      </w:r>
    </w:p>
    <w:p w:rsidR="00D86E44" w:rsidRPr="00622D62" w:rsidRDefault="00D86E44" w:rsidP="00D86E44">
      <w:pPr>
        <w:spacing w:before="240"/>
        <w:jc w:val="center"/>
        <w:rPr>
          <w:rFonts w:asciiTheme="majorBidi" w:hAnsiTheme="majorBidi" w:cstheme="majorBidi"/>
          <w:bCs/>
          <w:szCs w:val="24"/>
        </w:rPr>
      </w:pPr>
    </w:p>
    <w:p w:rsidR="00D86E44" w:rsidRPr="00622D62" w:rsidRDefault="00D86E44" w:rsidP="00153966">
      <w:pPr>
        <w:spacing w:before="4800"/>
        <w:jc w:val="center"/>
        <w:rPr>
          <w:rFonts w:eastAsia="Batang"/>
        </w:rPr>
      </w:pPr>
      <w:r w:rsidRPr="00622D62">
        <w:t>Auditoría del evento mundial</w:t>
      </w:r>
      <w:r w:rsidRPr="00622D62">
        <w:br/>
      </w:r>
      <w:r w:rsidRPr="00622D62">
        <w:rPr>
          <w:rFonts w:eastAsia="Batang"/>
        </w:rPr>
        <w:t>ITU TELECOM World 2014</w:t>
      </w:r>
      <w:r w:rsidR="00153966" w:rsidRPr="00622D62">
        <w:rPr>
          <w:rFonts w:eastAsia="Batang"/>
        </w:rPr>
        <w:br/>
      </w:r>
      <w:r w:rsidRPr="00622D62">
        <w:rPr>
          <w:rFonts w:eastAsia="Batang"/>
        </w:rPr>
        <w:t>27.04.2015</w:t>
      </w:r>
    </w:p>
    <w:p w:rsidR="00D86E44" w:rsidRPr="00622D62" w:rsidRDefault="00D86E44" w:rsidP="00D86E44">
      <w:pPr>
        <w:tabs>
          <w:tab w:val="clear" w:pos="567"/>
          <w:tab w:val="clear" w:pos="1134"/>
          <w:tab w:val="clear" w:pos="1701"/>
          <w:tab w:val="clear" w:pos="2268"/>
          <w:tab w:val="clear" w:pos="2835"/>
        </w:tabs>
        <w:overflowPunct/>
        <w:autoSpaceDE/>
        <w:autoSpaceDN/>
        <w:adjustRightInd/>
        <w:spacing w:before="0"/>
        <w:textAlignment w:val="auto"/>
        <w:rPr>
          <w:rFonts w:asciiTheme="majorBidi" w:hAnsiTheme="majorBidi" w:cstheme="majorBidi"/>
          <w:szCs w:val="24"/>
        </w:rPr>
      </w:pPr>
      <w:r w:rsidRPr="00622D62">
        <w:rPr>
          <w:rFonts w:asciiTheme="majorBidi" w:hAnsiTheme="majorBidi" w:cstheme="majorBidi"/>
          <w:szCs w:val="24"/>
        </w:rPr>
        <w:br w:type="page"/>
      </w:r>
    </w:p>
    <w:p w:rsidR="00D86E44" w:rsidRPr="00622D62" w:rsidRDefault="00D86E44" w:rsidP="00B97005">
      <w:pPr>
        <w:pStyle w:val="Title1"/>
        <w:rPr>
          <w:rFonts w:eastAsia="Batang"/>
        </w:rPr>
      </w:pPr>
      <w:r w:rsidRPr="00622D62">
        <w:rPr>
          <w:rFonts w:eastAsia="Batang"/>
        </w:rPr>
        <w:lastRenderedPageBreak/>
        <w:t>ÍNDICE</w:t>
      </w:r>
    </w:p>
    <w:p w:rsidR="00D86E44" w:rsidRPr="00622D62" w:rsidRDefault="00A7228A" w:rsidP="00A7228A">
      <w:pPr>
        <w:pStyle w:val="toc0"/>
      </w:pPr>
      <w:r w:rsidRPr="00622D62">
        <w:tab/>
      </w:r>
      <w:r w:rsidR="00D86E44" w:rsidRPr="00622D62">
        <w:t>Página</w:t>
      </w:r>
    </w:p>
    <w:p w:rsidR="00B97005" w:rsidRPr="00622D62" w:rsidRDefault="00B97005" w:rsidP="00B97005">
      <w:pPr>
        <w:pStyle w:val="TOC1"/>
        <w:rPr>
          <w:rFonts w:asciiTheme="minorHAnsi" w:eastAsiaTheme="minorEastAsia" w:hAnsiTheme="minorHAnsi" w:cstheme="minorBidi"/>
          <w:noProof/>
          <w:sz w:val="22"/>
          <w:szCs w:val="22"/>
          <w:lang w:eastAsia="zh-CN"/>
        </w:rPr>
      </w:pPr>
      <w:r w:rsidRPr="00622D62">
        <w:rPr>
          <w:rFonts w:eastAsia="SimSun" w:cs="Arial"/>
          <w:noProof/>
          <w:sz w:val="22"/>
          <w:szCs w:val="22"/>
          <w:lang w:eastAsia="zh-CN"/>
        </w:rPr>
        <w:fldChar w:fldCharType="begin"/>
      </w:r>
      <w:r w:rsidRPr="00622D62">
        <w:rPr>
          <w:rFonts w:eastAsia="SimSun" w:cs="Arial"/>
          <w:noProof/>
          <w:sz w:val="22"/>
          <w:szCs w:val="22"/>
          <w:lang w:eastAsia="zh-CN"/>
        </w:rPr>
        <w:instrText xml:space="preserve"> TOC \o "1-3" \h \z \u </w:instrText>
      </w:r>
      <w:r w:rsidRPr="00622D62">
        <w:rPr>
          <w:rFonts w:eastAsia="SimSun" w:cs="Arial"/>
          <w:noProof/>
          <w:sz w:val="22"/>
          <w:szCs w:val="22"/>
          <w:lang w:eastAsia="zh-CN"/>
        </w:rPr>
        <w:fldChar w:fldCharType="separate"/>
      </w:r>
      <w:hyperlink w:anchor="_Toc419472986" w:history="1">
        <w:r w:rsidRPr="00622D62">
          <w:rPr>
            <w:rStyle w:val="Hyperlink"/>
            <w:noProof/>
          </w:rPr>
          <w:t>RESUMEN DE LA AUDITORÍA</w:t>
        </w:r>
        <w:r w:rsidRPr="00622D62">
          <w:rPr>
            <w:noProof/>
            <w:webHidden/>
          </w:rPr>
          <w:tab/>
        </w:r>
        <w:r w:rsidR="00174101" w:rsidRPr="00622D62">
          <w:rPr>
            <w:noProof/>
            <w:webHidden/>
          </w:rPr>
          <w:tab/>
        </w:r>
        <w:r w:rsidRPr="00622D62">
          <w:rPr>
            <w:noProof/>
            <w:webHidden/>
          </w:rPr>
          <w:fldChar w:fldCharType="begin"/>
        </w:r>
        <w:r w:rsidRPr="00622D62">
          <w:rPr>
            <w:noProof/>
            <w:webHidden/>
          </w:rPr>
          <w:instrText xml:space="preserve"> PAGEREF _Toc419472986 \h </w:instrText>
        </w:r>
        <w:r w:rsidRPr="00622D62">
          <w:rPr>
            <w:noProof/>
            <w:webHidden/>
          </w:rPr>
        </w:r>
        <w:r w:rsidRPr="00622D62">
          <w:rPr>
            <w:noProof/>
            <w:webHidden/>
          </w:rPr>
          <w:fldChar w:fldCharType="separate"/>
        </w:r>
        <w:r w:rsidR="00C513BA" w:rsidRPr="00622D62">
          <w:rPr>
            <w:noProof/>
            <w:webHidden/>
          </w:rPr>
          <w:t>5</w:t>
        </w:r>
        <w:r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87" w:history="1">
        <w:r w:rsidR="00B97005" w:rsidRPr="00622D62">
          <w:rPr>
            <w:rStyle w:val="Hyperlink"/>
            <w:noProof/>
          </w:rPr>
          <w:t>Marco jurídico y alcance de la verificación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_Toc419472987 \h </w:instrText>
        </w:r>
        <w:r w:rsidR="00B97005" w:rsidRPr="00622D62">
          <w:rPr>
            <w:noProof/>
            <w:webHidden/>
          </w:rPr>
        </w:r>
        <w:r w:rsidR="00B97005" w:rsidRPr="00622D62">
          <w:rPr>
            <w:noProof/>
            <w:webHidden/>
          </w:rPr>
          <w:fldChar w:fldCharType="separate"/>
        </w:r>
        <w:r w:rsidR="00C513BA" w:rsidRPr="00622D62">
          <w:rPr>
            <w:noProof/>
            <w:webHidden/>
          </w:rPr>
          <w:t>5</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88" w:history="1">
        <w:r w:rsidR="00B97005" w:rsidRPr="00622D62">
          <w:rPr>
            <w:rStyle w:val="Hyperlink"/>
            <w:noProof/>
          </w:rPr>
          <w:t>Actividades de auditoría</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_Toc419472988 \h </w:instrText>
        </w:r>
        <w:r w:rsidR="00B97005" w:rsidRPr="00622D62">
          <w:rPr>
            <w:noProof/>
            <w:webHidden/>
          </w:rPr>
        </w:r>
        <w:r w:rsidR="00B97005" w:rsidRPr="00622D62">
          <w:rPr>
            <w:noProof/>
            <w:webHidden/>
          </w:rPr>
          <w:fldChar w:fldCharType="separate"/>
        </w:r>
        <w:r w:rsidR="00C513BA" w:rsidRPr="00622D62">
          <w:rPr>
            <w:noProof/>
            <w:webHidden/>
          </w:rPr>
          <w:t>6</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89" w:history="1">
        <w:r w:rsidR="00B97005" w:rsidRPr="00622D62">
          <w:rPr>
            <w:rStyle w:val="Hyperlink"/>
            <w:noProof/>
          </w:rPr>
          <w:t>Agradecimientos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_Toc419472989 \h </w:instrText>
        </w:r>
        <w:r w:rsidR="00B97005" w:rsidRPr="00622D62">
          <w:rPr>
            <w:noProof/>
            <w:webHidden/>
          </w:rPr>
        </w:r>
        <w:r w:rsidR="00B97005" w:rsidRPr="00622D62">
          <w:rPr>
            <w:noProof/>
            <w:webHidden/>
          </w:rPr>
          <w:fldChar w:fldCharType="separate"/>
        </w:r>
        <w:r w:rsidR="00C513BA" w:rsidRPr="00622D62">
          <w:rPr>
            <w:noProof/>
            <w:webHidden/>
          </w:rPr>
          <w:t>6</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0" w:history="1">
        <w:r w:rsidR="00B97005" w:rsidRPr="00622D62">
          <w:rPr>
            <w:rStyle w:val="Hyperlink"/>
            <w:noProof/>
          </w:rPr>
          <w:t>TRANSICIÓN HACIA LAS NICSP</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_Toc419472990 \h </w:instrText>
        </w:r>
        <w:r w:rsidR="00B97005" w:rsidRPr="00622D62">
          <w:rPr>
            <w:noProof/>
            <w:webHidden/>
          </w:rPr>
        </w:r>
        <w:r w:rsidR="00B97005" w:rsidRPr="00622D62">
          <w:rPr>
            <w:noProof/>
            <w:webHidden/>
          </w:rPr>
          <w:fldChar w:fldCharType="separate"/>
        </w:r>
        <w:r w:rsidR="00C513BA" w:rsidRPr="00622D62">
          <w:rPr>
            <w:noProof/>
            <w:webHidden/>
          </w:rPr>
          <w:t>6</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1" w:history="1">
        <w:r w:rsidR="00B97005" w:rsidRPr="00622D62">
          <w:rPr>
            <w:rStyle w:val="Hyperlink"/>
            <w:noProof/>
          </w:rPr>
          <w:t>CIFRAS CLAVE</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_Toc419472991 \h </w:instrText>
        </w:r>
        <w:r w:rsidR="00B97005" w:rsidRPr="00622D62">
          <w:rPr>
            <w:noProof/>
            <w:webHidden/>
          </w:rPr>
        </w:r>
        <w:r w:rsidR="00B97005" w:rsidRPr="00622D62">
          <w:rPr>
            <w:noProof/>
            <w:webHidden/>
          </w:rPr>
          <w:fldChar w:fldCharType="separate"/>
        </w:r>
        <w:r w:rsidR="00C513BA" w:rsidRPr="00622D62">
          <w:rPr>
            <w:noProof/>
            <w:webHidden/>
          </w:rPr>
          <w:t>7</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2" w:history="1">
        <w:r w:rsidR="00B97005" w:rsidRPr="00622D62">
          <w:rPr>
            <w:rStyle w:val="Hyperlink"/>
            <w:noProof/>
          </w:rPr>
          <w:t>Fondo de Operaciones de las Exposiciones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_Toc419472992 \h </w:instrText>
        </w:r>
        <w:r w:rsidR="00B97005" w:rsidRPr="00622D62">
          <w:rPr>
            <w:noProof/>
            <w:webHidden/>
          </w:rPr>
        </w:r>
        <w:r w:rsidR="00B97005" w:rsidRPr="00622D62">
          <w:rPr>
            <w:noProof/>
            <w:webHidden/>
          </w:rPr>
          <w:fldChar w:fldCharType="separate"/>
        </w:r>
        <w:r w:rsidR="00C513BA" w:rsidRPr="00622D62">
          <w:rPr>
            <w:noProof/>
            <w:webHidden/>
          </w:rPr>
          <w:t>7</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3" w:history="1">
        <w:r w:rsidR="00B97005" w:rsidRPr="00622D62">
          <w:rPr>
            <w:rStyle w:val="Hyperlink"/>
            <w:noProof/>
          </w:rPr>
          <w:t>Cambios pertinentes, revisión del presupuesto y resultados reales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_Toc419472993 \h </w:instrText>
        </w:r>
        <w:r w:rsidR="00B97005" w:rsidRPr="00622D62">
          <w:rPr>
            <w:noProof/>
            <w:webHidden/>
          </w:rPr>
        </w:r>
        <w:r w:rsidR="00B97005" w:rsidRPr="00622D62">
          <w:rPr>
            <w:noProof/>
            <w:webHidden/>
          </w:rPr>
          <w:fldChar w:fldCharType="separate"/>
        </w:r>
        <w:r w:rsidR="00C513BA" w:rsidRPr="00622D62">
          <w:rPr>
            <w:noProof/>
            <w:webHidden/>
          </w:rPr>
          <w:t>8</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4" w:history="1">
        <w:r w:rsidR="00B97005" w:rsidRPr="00622D62">
          <w:rPr>
            <w:rStyle w:val="Hyperlink"/>
            <w:rFonts w:eastAsia="Calibri"/>
            <w:noProof/>
          </w:rPr>
          <w:t>Cifras reales en el presupuesto revisado</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_Toc419472994 \h </w:instrText>
        </w:r>
        <w:r w:rsidR="00B97005" w:rsidRPr="00622D62">
          <w:rPr>
            <w:noProof/>
            <w:webHidden/>
          </w:rPr>
        </w:r>
        <w:r w:rsidR="00B97005" w:rsidRPr="00622D62">
          <w:rPr>
            <w:noProof/>
            <w:webHidden/>
          </w:rPr>
          <w:fldChar w:fldCharType="separate"/>
        </w:r>
        <w:r w:rsidR="00C513BA" w:rsidRPr="00622D62">
          <w:rPr>
            <w:noProof/>
            <w:webHidden/>
          </w:rPr>
          <w:t>8</w:t>
        </w:r>
        <w:r w:rsidR="00B97005" w:rsidRPr="00622D62">
          <w:rPr>
            <w:noProof/>
            <w:webHidden/>
          </w:rPr>
          <w:fldChar w:fldCharType="end"/>
        </w:r>
      </w:hyperlink>
    </w:p>
    <w:p w:rsidR="00B97005" w:rsidRPr="00622D62" w:rsidRDefault="00A16D01" w:rsidP="00174101">
      <w:pPr>
        <w:pStyle w:val="TOC1"/>
        <w:rPr>
          <w:rFonts w:asciiTheme="minorHAnsi" w:eastAsiaTheme="minorEastAsia" w:hAnsiTheme="minorHAnsi" w:cstheme="minorBidi"/>
          <w:noProof/>
          <w:sz w:val="22"/>
          <w:szCs w:val="22"/>
          <w:lang w:eastAsia="zh-CN"/>
        </w:rPr>
      </w:pPr>
      <w:hyperlink w:anchor="_Toc419472995" w:history="1">
        <w:r w:rsidR="00B97005" w:rsidRPr="00622D62">
          <w:rPr>
            <w:rStyle w:val="Hyperlink"/>
            <w:rFonts w:asciiTheme="minorHAnsi" w:eastAsia="Calibri" w:hAnsiTheme="minorHAnsi"/>
            <w:bCs/>
            <w:iCs/>
            <w:noProof/>
          </w:rPr>
          <w:t>Emisión de facturas antes de la firma de un acuerdo de patrocinio</w:t>
        </w:r>
        <w:r w:rsidR="00B97005" w:rsidRPr="00622D62">
          <w:rPr>
            <w:rFonts w:asciiTheme="minorHAnsi" w:hAnsiTheme="minorHAnsi"/>
            <w:noProof/>
            <w:webHidden/>
          </w:rPr>
          <w:tab/>
        </w:r>
        <w:r w:rsidR="00174101" w:rsidRPr="00622D62">
          <w:rPr>
            <w:rFonts w:asciiTheme="minorHAnsi" w:hAnsiTheme="minorHAnsi"/>
            <w:noProof/>
            <w:webHidden/>
          </w:rPr>
          <w:tab/>
        </w:r>
        <w:r w:rsidR="00B97005" w:rsidRPr="00622D62">
          <w:rPr>
            <w:rFonts w:asciiTheme="minorHAnsi" w:hAnsiTheme="minorHAnsi"/>
            <w:noProof/>
            <w:webHidden/>
          </w:rPr>
          <w:fldChar w:fldCharType="begin"/>
        </w:r>
        <w:r w:rsidR="00B97005" w:rsidRPr="00622D62">
          <w:rPr>
            <w:rFonts w:asciiTheme="minorHAnsi" w:hAnsiTheme="minorHAnsi"/>
            <w:noProof/>
            <w:webHidden/>
          </w:rPr>
          <w:instrText xml:space="preserve"> PAGEREF _Toc419472995 \h </w:instrText>
        </w:r>
        <w:r w:rsidR="00B97005" w:rsidRPr="00622D62">
          <w:rPr>
            <w:rFonts w:asciiTheme="minorHAnsi" w:hAnsiTheme="minorHAnsi"/>
            <w:noProof/>
            <w:webHidden/>
          </w:rPr>
        </w:r>
        <w:r w:rsidR="00B97005" w:rsidRPr="00622D62">
          <w:rPr>
            <w:rFonts w:asciiTheme="minorHAnsi" w:hAnsiTheme="minorHAnsi"/>
            <w:noProof/>
            <w:webHidden/>
          </w:rPr>
          <w:fldChar w:fldCharType="separate"/>
        </w:r>
        <w:r w:rsidR="00C513BA" w:rsidRPr="00622D62">
          <w:rPr>
            <w:rFonts w:asciiTheme="minorHAnsi" w:hAnsiTheme="minorHAnsi"/>
            <w:noProof/>
            <w:webHidden/>
          </w:rPr>
          <w:t>8</w:t>
        </w:r>
        <w:r w:rsidR="00B97005" w:rsidRPr="00622D62">
          <w:rPr>
            <w:rFonts w:asciiTheme="minorHAnsi" w:hAnsiTheme="minorHAnsi"/>
            <w:noProof/>
            <w:webHidden/>
          </w:rPr>
          <w:fldChar w:fldCharType="end"/>
        </w:r>
      </w:hyperlink>
    </w:p>
    <w:p w:rsidR="00B97005" w:rsidRPr="00622D62" w:rsidRDefault="00A16D01" w:rsidP="00174101">
      <w:pPr>
        <w:pStyle w:val="TOC1"/>
        <w:tabs>
          <w:tab w:val="clear" w:pos="964"/>
          <w:tab w:val="left" w:pos="709"/>
        </w:tabs>
        <w:ind w:left="0" w:firstLine="0"/>
        <w:rPr>
          <w:rFonts w:asciiTheme="minorHAnsi" w:eastAsiaTheme="minorEastAsia" w:hAnsiTheme="minorHAnsi" w:cstheme="minorBidi"/>
          <w:noProof/>
          <w:sz w:val="22"/>
          <w:szCs w:val="22"/>
          <w:lang w:eastAsia="zh-CN"/>
        </w:rPr>
      </w:pPr>
      <w:hyperlink w:anchor="_Toc419472996" w:history="1">
        <w:r w:rsidR="00B97005" w:rsidRPr="00622D62">
          <w:rPr>
            <w:rStyle w:val="Hyperlink"/>
            <w:noProof/>
          </w:rPr>
          <w:t xml:space="preserve">En los informes sobre el evento, hay que vincular los resultados y los objetivos generales </w:t>
        </w:r>
        <w:r w:rsidR="00174101" w:rsidRPr="00622D62">
          <w:rPr>
            <w:rStyle w:val="Hyperlink"/>
            <w:noProof/>
          </w:rPr>
          <w:br/>
        </w:r>
        <w:r w:rsidR="00B97005" w:rsidRPr="00622D62">
          <w:rPr>
            <w:rStyle w:val="Hyperlink"/>
            <w:noProof/>
          </w:rPr>
          <w:t>de la Resolución 11 con los IFR</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_Toc419472996 \h </w:instrText>
        </w:r>
        <w:r w:rsidR="00B97005" w:rsidRPr="00622D62">
          <w:rPr>
            <w:noProof/>
            <w:webHidden/>
          </w:rPr>
        </w:r>
        <w:r w:rsidR="00B97005" w:rsidRPr="00622D62">
          <w:rPr>
            <w:noProof/>
            <w:webHidden/>
          </w:rPr>
          <w:fldChar w:fldCharType="separate"/>
        </w:r>
        <w:r w:rsidR="00C513BA" w:rsidRPr="00622D62">
          <w:rPr>
            <w:noProof/>
            <w:webHidden/>
          </w:rPr>
          <w:t>9</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7" w:history="1">
        <w:r w:rsidR="00B97005" w:rsidRPr="00622D62">
          <w:rPr>
            <w:rStyle w:val="Hyperlink"/>
            <w:noProof/>
          </w:rPr>
          <w:t>Es necesario firmar a tiempo un Acuerdo con el país anfitrión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_Toc419472997 \h </w:instrText>
        </w:r>
        <w:r w:rsidR="00B97005" w:rsidRPr="00622D62">
          <w:rPr>
            <w:noProof/>
            <w:webHidden/>
          </w:rPr>
        </w:r>
        <w:r w:rsidR="00B97005" w:rsidRPr="00622D62">
          <w:rPr>
            <w:noProof/>
            <w:webHidden/>
          </w:rPr>
          <w:fldChar w:fldCharType="separate"/>
        </w:r>
        <w:r w:rsidR="00C513BA" w:rsidRPr="00622D62">
          <w:rPr>
            <w:noProof/>
            <w:webHidden/>
          </w:rPr>
          <w:t>9</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8" w:history="1">
        <w:r w:rsidR="00B97005" w:rsidRPr="00622D62">
          <w:rPr>
            <w:rStyle w:val="Hyperlink"/>
            <w:noProof/>
          </w:rPr>
          <w:t>Proceso de licitación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_Toc419472998 \h </w:instrText>
        </w:r>
        <w:r w:rsidR="00B97005" w:rsidRPr="00622D62">
          <w:rPr>
            <w:noProof/>
            <w:webHidden/>
          </w:rPr>
        </w:r>
        <w:r w:rsidR="00B97005" w:rsidRPr="00622D62">
          <w:rPr>
            <w:noProof/>
            <w:webHidden/>
          </w:rPr>
          <w:fldChar w:fldCharType="separate"/>
        </w:r>
        <w:r w:rsidR="00C513BA" w:rsidRPr="00622D62">
          <w:rPr>
            <w:noProof/>
            <w:webHidden/>
          </w:rPr>
          <w:t>10</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2999" w:history="1">
        <w:r w:rsidR="00B97005" w:rsidRPr="00622D62">
          <w:rPr>
            <w:rStyle w:val="Hyperlink"/>
            <w:noProof/>
          </w:rPr>
          <w:t>Partes en el Acuerdo con el país anfitrión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_Toc419472999 \h </w:instrText>
        </w:r>
        <w:r w:rsidR="00B97005" w:rsidRPr="00622D62">
          <w:rPr>
            <w:noProof/>
            <w:webHidden/>
          </w:rPr>
        </w:r>
        <w:r w:rsidR="00B97005" w:rsidRPr="00622D62">
          <w:rPr>
            <w:noProof/>
            <w:webHidden/>
          </w:rPr>
          <w:fldChar w:fldCharType="separate"/>
        </w:r>
        <w:r w:rsidR="00C513BA" w:rsidRPr="00622D62">
          <w:rPr>
            <w:noProof/>
            <w:webHidden/>
          </w:rPr>
          <w:t>10</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00" w:history="1">
        <w:r w:rsidR="00B97005" w:rsidRPr="00622D62">
          <w:rPr>
            <w:rStyle w:val="Hyperlink"/>
            <w:noProof/>
          </w:rPr>
          <w:t>INGRESOS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_Toc419473000 \h </w:instrText>
        </w:r>
        <w:r w:rsidR="00B97005" w:rsidRPr="00622D62">
          <w:rPr>
            <w:noProof/>
            <w:webHidden/>
          </w:rPr>
        </w:r>
        <w:r w:rsidR="00B97005" w:rsidRPr="00622D62">
          <w:rPr>
            <w:noProof/>
            <w:webHidden/>
          </w:rPr>
          <w:fldChar w:fldCharType="separate"/>
        </w:r>
        <w:r w:rsidR="00C513BA" w:rsidRPr="00622D62">
          <w:rPr>
            <w:noProof/>
            <w:webHidden/>
          </w:rPr>
          <w:t>11</w:t>
        </w:r>
        <w:r w:rsidR="00B97005" w:rsidRPr="00622D62">
          <w:rPr>
            <w:noProof/>
            <w:webHidden/>
          </w:rPr>
          <w:fldChar w:fldCharType="end"/>
        </w:r>
      </w:hyperlink>
    </w:p>
    <w:p w:rsidR="00B97005" w:rsidRPr="00622D62" w:rsidRDefault="00A16D01" w:rsidP="00174101">
      <w:pPr>
        <w:pStyle w:val="TOC1"/>
        <w:rPr>
          <w:rFonts w:asciiTheme="minorHAnsi" w:eastAsiaTheme="minorEastAsia" w:hAnsiTheme="minorHAnsi" w:cstheme="minorBidi"/>
          <w:noProof/>
          <w:sz w:val="22"/>
          <w:szCs w:val="22"/>
          <w:lang w:eastAsia="zh-CN"/>
        </w:rPr>
      </w:pPr>
      <w:hyperlink w:anchor="_Toc419473001" w:history="1">
        <w:r w:rsidR="00B97005" w:rsidRPr="00622D62">
          <w:rPr>
            <w:rStyle w:val="Hyperlink"/>
            <w:noProof/>
          </w:rPr>
          <w:t>Valor de los intercambios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_Toc419473001 \h </w:instrText>
        </w:r>
        <w:r w:rsidR="00B97005" w:rsidRPr="00622D62">
          <w:rPr>
            <w:noProof/>
            <w:webHidden/>
          </w:rPr>
        </w:r>
        <w:r w:rsidR="00B97005" w:rsidRPr="00622D62">
          <w:rPr>
            <w:noProof/>
            <w:webHidden/>
          </w:rPr>
          <w:fldChar w:fldCharType="separate"/>
        </w:r>
        <w:r w:rsidR="00C513BA" w:rsidRPr="00622D62">
          <w:rPr>
            <w:noProof/>
            <w:webHidden/>
          </w:rPr>
          <w:t>11</w:t>
        </w:r>
        <w:r w:rsidR="00B97005" w:rsidRPr="00622D62">
          <w:rPr>
            <w:noProof/>
            <w:webHidden/>
          </w:rPr>
          <w:fldChar w:fldCharType="end"/>
        </w:r>
      </w:hyperlink>
    </w:p>
    <w:p w:rsidR="00B97005" w:rsidRPr="00622D62" w:rsidRDefault="00A16D01" w:rsidP="00174101">
      <w:pPr>
        <w:pStyle w:val="TOC1"/>
        <w:tabs>
          <w:tab w:val="clear" w:pos="964"/>
          <w:tab w:val="left" w:pos="567"/>
        </w:tabs>
        <w:ind w:left="567" w:hanging="567"/>
        <w:rPr>
          <w:rFonts w:asciiTheme="minorHAnsi" w:eastAsiaTheme="minorEastAsia" w:hAnsiTheme="minorHAnsi" w:cstheme="minorBidi"/>
          <w:noProof/>
          <w:sz w:val="22"/>
          <w:szCs w:val="22"/>
          <w:lang w:eastAsia="zh-CN"/>
        </w:rPr>
      </w:pPr>
      <w:hyperlink w:anchor="_Toc419473002" w:history="1">
        <w:r w:rsidR="00B97005" w:rsidRPr="00622D62">
          <w:rPr>
            <w:rStyle w:val="Hyperlink"/>
            <w:noProof/>
          </w:rPr>
          <w:t>Pases</w:t>
        </w:r>
        <w:r w:rsidR="00174101" w:rsidRPr="00622D62">
          <w:rPr>
            <w:rStyle w:val="Hyperlink"/>
            <w:noProof/>
          </w:rPr>
          <w:tab/>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_Toc419473002 \h </w:instrText>
        </w:r>
        <w:r w:rsidR="00B97005" w:rsidRPr="00622D62">
          <w:rPr>
            <w:noProof/>
            <w:webHidden/>
          </w:rPr>
        </w:r>
        <w:r w:rsidR="00B97005" w:rsidRPr="00622D62">
          <w:rPr>
            <w:noProof/>
            <w:webHidden/>
          </w:rPr>
          <w:fldChar w:fldCharType="separate"/>
        </w:r>
        <w:r w:rsidR="00C513BA" w:rsidRPr="00622D62">
          <w:rPr>
            <w:noProof/>
            <w:webHidden/>
          </w:rPr>
          <w:t>12</w:t>
        </w:r>
        <w:r w:rsidR="00B97005" w:rsidRPr="00622D62">
          <w:rPr>
            <w:noProof/>
            <w:webHidden/>
          </w:rPr>
          <w:fldChar w:fldCharType="end"/>
        </w:r>
      </w:hyperlink>
    </w:p>
    <w:p w:rsidR="00B97005" w:rsidRPr="00622D62" w:rsidRDefault="00A16D01" w:rsidP="00174101">
      <w:pPr>
        <w:pStyle w:val="TOC1"/>
        <w:rPr>
          <w:rFonts w:asciiTheme="minorHAnsi" w:eastAsiaTheme="minorEastAsia" w:hAnsiTheme="minorHAnsi" w:cstheme="minorBidi"/>
          <w:noProof/>
          <w:sz w:val="22"/>
          <w:szCs w:val="22"/>
          <w:lang w:eastAsia="zh-CN"/>
        </w:rPr>
      </w:pPr>
      <w:hyperlink w:anchor="_Toc419473003" w:history="1">
        <w:r w:rsidR="00B97005" w:rsidRPr="00622D62">
          <w:rPr>
            <w:rStyle w:val="Hyperlink"/>
            <w:noProof/>
          </w:rPr>
          <w:t>Exposición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_Toc419473003 \h </w:instrText>
        </w:r>
        <w:r w:rsidR="00B97005" w:rsidRPr="00622D62">
          <w:rPr>
            <w:noProof/>
            <w:webHidden/>
          </w:rPr>
        </w:r>
        <w:r w:rsidR="00B97005" w:rsidRPr="00622D62">
          <w:rPr>
            <w:noProof/>
            <w:webHidden/>
          </w:rPr>
          <w:fldChar w:fldCharType="separate"/>
        </w:r>
        <w:r w:rsidR="00C513BA" w:rsidRPr="00622D62">
          <w:rPr>
            <w:noProof/>
            <w:webHidden/>
          </w:rPr>
          <w:t>12</w:t>
        </w:r>
        <w:r w:rsidR="00B97005" w:rsidRPr="00622D62">
          <w:rPr>
            <w:noProof/>
            <w:webHidden/>
          </w:rPr>
          <w:fldChar w:fldCharType="end"/>
        </w:r>
      </w:hyperlink>
    </w:p>
    <w:p w:rsidR="00B97005" w:rsidRPr="00622D62" w:rsidRDefault="00A16D01" w:rsidP="00174101">
      <w:pPr>
        <w:pStyle w:val="TOC1"/>
        <w:tabs>
          <w:tab w:val="clear" w:pos="964"/>
          <w:tab w:val="left" w:pos="851"/>
        </w:tabs>
        <w:ind w:left="567" w:hanging="567"/>
        <w:rPr>
          <w:rFonts w:asciiTheme="minorHAnsi" w:eastAsiaTheme="minorEastAsia" w:hAnsiTheme="minorHAnsi" w:cstheme="minorBidi"/>
          <w:noProof/>
          <w:sz w:val="22"/>
          <w:szCs w:val="22"/>
          <w:lang w:eastAsia="zh-CN"/>
        </w:rPr>
      </w:pPr>
      <w:hyperlink w:anchor="_Toc419473004" w:history="1">
        <w:r w:rsidR="00B97005" w:rsidRPr="00622D62">
          <w:rPr>
            <w:rStyle w:val="Hyperlink"/>
            <w:noProof/>
          </w:rPr>
          <w:t>GASTOS</w:t>
        </w:r>
        <w:r w:rsidR="00174101" w:rsidRPr="00622D62">
          <w:rPr>
            <w:rStyle w:val="Hyperlink"/>
            <w:noProof/>
          </w:rPr>
          <w:tab/>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_Toc419473004 \h </w:instrText>
        </w:r>
        <w:r w:rsidR="00B97005" w:rsidRPr="00622D62">
          <w:rPr>
            <w:noProof/>
            <w:webHidden/>
          </w:rPr>
        </w:r>
        <w:r w:rsidR="00B97005" w:rsidRPr="00622D62">
          <w:rPr>
            <w:noProof/>
            <w:webHidden/>
          </w:rPr>
          <w:fldChar w:fldCharType="separate"/>
        </w:r>
        <w:r w:rsidR="00C513BA" w:rsidRPr="00622D62">
          <w:rPr>
            <w:noProof/>
            <w:webHidden/>
          </w:rPr>
          <w:t>13</w:t>
        </w:r>
        <w:r w:rsidR="00B97005" w:rsidRPr="00622D62">
          <w:rPr>
            <w:noProof/>
            <w:webHidden/>
          </w:rPr>
          <w:fldChar w:fldCharType="end"/>
        </w:r>
      </w:hyperlink>
    </w:p>
    <w:p w:rsidR="00B97005" w:rsidRPr="00622D62" w:rsidRDefault="00A16D01" w:rsidP="00174101">
      <w:pPr>
        <w:pStyle w:val="TOC1"/>
        <w:rPr>
          <w:rFonts w:asciiTheme="minorHAnsi" w:eastAsiaTheme="minorEastAsia" w:hAnsiTheme="minorHAnsi" w:cstheme="minorBidi"/>
          <w:noProof/>
          <w:sz w:val="22"/>
          <w:szCs w:val="22"/>
          <w:lang w:eastAsia="zh-CN"/>
        </w:rPr>
      </w:pPr>
      <w:hyperlink w:anchor="_Toc419473005" w:history="1">
        <w:r w:rsidR="00B97005" w:rsidRPr="00622D62">
          <w:rPr>
            <w:rStyle w:val="Hyperlink"/>
            <w:noProof/>
          </w:rPr>
          <w:t>Recuperación de costes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_Toc419473005 \h </w:instrText>
        </w:r>
        <w:r w:rsidR="00B97005" w:rsidRPr="00622D62">
          <w:rPr>
            <w:noProof/>
            <w:webHidden/>
          </w:rPr>
        </w:r>
        <w:r w:rsidR="00B97005" w:rsidRPr="00622D62">
          <w:rPr>
            <w:noProof/>
            <w:webHidden/>
          </w:rPr>
          <w:fldChar w:fldCharType="separate"/>
        </w:r>
        <w:r w:rsidR="00C513BA" w:rsidRPr="00622D62">
          <w:rPr>
            <w:noProof/>
            <w:webHidden/>
          </w:rPr>
          <w:t>13</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06" w:history="1">
        <w:r w:rsidR="00B97005" w:rsidRPr="00622D62">
          <w:rPr>
            <w:rStyle w:val="Hyperlink"/>
            <w:noProof/>
          </w:rPr>
          <w:t>Correspondencia entre presupuesto y resultados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_Toc419473006 \h </w:instrText>
        </w:r>
        <w:r w:rsidR="00B97005" w:rsidRPr="00622D62">
          <w:rPr>
            <w:noProof/>
            <w:webHidden/>
          </w:rPr>
        </w:r>
        <w:r w:rsidR="00B97005" w:rsidRPr="00622D62">
          <w:rPr>
            <w:noProof/>
            <w:webHidden/>
          </w:rPr>
          <w:fldChar w:fldCharType="separate"/>
        </w:r>
        <w:r w:rsidR="00C513BA" w:rsidRPr="00622D62">
          <w:rPr>
            <w:noProof/>
            <w:webHidden/>
          </w:rPr>
          <w:t>14</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07" w:history="1">
        <w:r w:rsidR="00B97005" w:rsidRPr="00622D62">
          <w:rPr>
            <w:rStyle w:val="Hyperlink"/>
            <w:noProof/>
          </w:rPr>
          <w:t>Servicio de inscripción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_Toc419473007 \h </w:instrText>
        </w:r>
        <w:r w:rsidR="00B97005" w:rsidRPr="00622D62">
          <w:rPr>
            <w:noProof/>
            <w:webHidden/>
          </w:rPr>
        </w:r>
        <w:r w:rsidR="00B97005" w:rsidRPr="00622D62">
          <w:rPr>
            <w:noProof/>
            <w:webHidden/>
          </w:rPr>
          <w:fldChar w:fldCharType="separate"/>
        </w:r>
        <w:r w:rsidR="00C513BA" w:rsidRPr="00622D62">
          <w:rPr>
            <w:noProof/>
            <w:webHidden/>
          </w:rPr>
          <w:t>14</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08" w:history="1">
        <w:r w:rsidR="00B97005" w:rsidRPr="00622D62">
          <w:rPr>
            <w:rStyle w:val="Hyperlink"/>
            <w:noProof/>
          </w:rPr>
          <w:t>Política sobre los gastos estratégicos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_Toc419473008 \h </w:instrText>
        </w:r>
        <w:r w:rsidR="00B97005" w:rsidRPr="00622D62">
          <w:rPr>
            <w:noProof/>
            <w:webHidden/>
          </w:rPr>
        </w:r>
        <w:r w:rsidR="00B97005" w:rsidRPr="00622D62">
          <w:rPr>
            <w:noProof/>
            <w:webHidden/>
          </w:rPr>
          <w:fldChar w:fldCharType="separate"/>
        </w:r>
        <w:r w:rsidR="00C513BA" w:rsidRPr="00622D62">
          <w:rPr>
            <w:noProof/>
            <w:webHidden/>
          </w:rPr>
          <w:t>14</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09" w:history="1">
        <w:r w:rsidR="00B97005" w:rsidRPr="00622D62">
          <w:rPr>
            <w:rStyle w:val="Hyperlink"/>
            <w:noProof/>
          </w:rPr>
          <w:t>IFR y encuesta posterior al evento</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_Toc419473009 \h </w:instrText>
        </w:r>
        <w:r w:rsidR="00B97005" w:rsidRPr="00622D62">
          <w:rPr>
            <w:noProof/>
            <w:webHidden/>
          </w:rPr>
        </w:r>
        <w:r w:rsidR="00B97005" w:rsidRPr="00622D62">
          <w:rPr>
            <w:noProof/>
            <w:webHidden/>
          </w:rPr>
          <w:fldChar w:fldCharType="separate"/>
        </w:r>
        <w:r w:rsidR="00C513BA" w:rsidRPr="00622D62">
          <w:rPr>
            <w:noProof/>
            <w:webHidden/>
          </w:rPr>
          <w:t>15</w:t>
        </w:r>
        <w:r w:rsidR="00B97005" w:rsidRPr="00622D62">
          <w:rPr>
            <w:noProof/>
            <w:webHidden/>
          </w:rPr>
          <w:fldChar w:fldCharType="end"/>
        </w:r>
      </w:hyperlink>
    </w:p>
    <w:p w:rsidR="00666F82" w:rsidRPr="00622D62" w:rsidRDefault="00666F82" w:rsidP="00666F82">
      <w:pPr>
        <w:pStyle w:val="toc0"/>
        <w:rPr>
          <w:noProof/>
        </w:rPr>
      </w:pPr>
      <w:r w:rsidRPr="00622D62">
        <w:rPr>
          <w:noProof/>
        </w:rPr>
        <w:lastRenderedPageBreak/>
        <w:tab/>
        <w:t>Página</w:t>
      </w:r>
    </w:p>
    <w:p w:rsidR="00B97005" w:rsidRPr="00622D62" w:rsidRDefault="00A16D01" w:rsidP="00666F82">
      <w:pPr>
        <w:pStyle w:val="TOC1"/>
        <w:tabs>
          <w:tab w:val="clear" w:pos="964"/>
          <w:tab w:val="left" w:pos="709"/>
        </w:tabs>
        <w:ind w:left="426" w:hanging="426"/>
        <w:rPr>
          <w:rFonts w:asciiTheme="minorHAnsi" w:eastAsiaTheme="minorEastAsia" w:hAnsiTheme="minorHAnsi" w:cstheme="minorBidi"/>
          <w:noProof/>
          <w:sz w:val="22"/>
          <w:szCs w:val="22"/>
          <w:lang w:eastAsia="zh-CN"/>
        </w:rPr>
      </w:pPr>
      <w:hyperlink w:anchor="_Toc419473010" w:history="1">
        <w:r w:rsidR="00B97005" w:rsidRPr="00622D62">
          <w:rPr>
            <w:rStyle w:val="Hyperlink"/>
            <w:noProof/>
          </w:rPr>
          <w:t>Sorteo</w:t>
        </w:r>
        <w:r w:rsidR="00666F82" w:rsidRPr="00622D62">
          <w:rPr>
            <w:rStyle w:val="Hyperlink"/>
            <w:noProof/>
          </w:rPr>
          <w:tab/>
        </w:r>
        <w:r w:rsidR="00B97005" w:rsidRPr="00622D62">
          <w:rPr>
            <w:noProof/>
            <w:webHidden/>
          </w:rPr>
          <w:tab/>
        </w:r>
        <w:r w:rsidR="00666F82" w:rsidRPr="00622D62">
          <w:rPr>
            <w:noProof/>
            <w:webHidden/>
          </w:rPr>
          <w:tab/>
        </w:r>
        <w:r w:rsidR="00B97005" w:rsidRPr="00622D62">
          <w:rPr>
            <w:noProof/>
            <w:webHidden/>
          </w:rPr>
          <w:fldChar w:fldCharType="begin"/>
        </w:r>
        <w:r w:rsidR="00B97005" w:rsidRPr="00622D62">
          <w:rPr>
            <w:noProof/>
            <w:webHidden/>
          </w:rPr>
          <w:instrText xml:space="preserve"> PAGEREF _Toc419473010 \h </w:instrText>
        </w:r>
        <w:r w:rsidR="00B97005" w:rsidRPr="00622D62">
          <w:rPr>
            <w:noProof/>
            <w:webHidden/>
          </w:rPr>
        </w:r>
        <w:r w:rsidR="00B97005" w:rsidRPr="00622D62">
          <w:rPr>
            <w:noProof/>
            <w:webHidden/>
          </w:rPr>
          <w:fldChar w:fldCharType="separate"/>
        </w:r>
        <w:r w:rsidR="00C513BA" w:rsidRPr="00622D62">
          <w:rPr>
            <w:noProof/>
            <w:webHidden/>
          </w:rPr>
          <w:t>15</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11" w:history="1">
        <w:r w:rsidR="00B97005" w:rsidRPr="00622D62">
          <w:rPr>
            <w:rStyle w:val="Hyperlink"/>
            <w:iCs/>
            <w:noProof/>
          </w:rPr>
          <w:t>Paridad entre hombres y mujeres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_Toc419473011 \h </w:instrText>
        </w:r>
        <w:r w:rsidR="00B97005" w:rsidRPr="00622D62">
          <w:rPr>
            <w:noProof/>
            <w:webHidden/>
          </w:rPr>
        </w:r>
        <w:r w:rsidR="00B97005" w:rsidRPr="00622D62">
          <w:rPr>
            <w:noProof/>
            <w:webHidden/>
          </w:rPr>
          <w:fldChar w:fldCharType="separate"/>
        </w:r>
        <w:r w:rsidR="00C513BA" w:rsidRPr="00622D62">
          <w:rPr>
            <w:noProof/>
            <w:webHidden/>
          </w:rPr>
          <w:t>16</w:t>
        </w:r>
        <w:r w:rsidR="00B97005" w:rsidRPr="00622D62">
          <w:rPr>
            <w:noProof/>
            <w:webHidden/>
          </w:rPr>
          <w:fldChar w:fldCharType="end"/>
        </w:r>
      </w:hyperlink>
    </w:p>
    <w:p w:rsidR="00B97005" w:rsidRPr="00622D62" w:rsidRDefault="00A16D01" w:rsidP="00666F82">
      <w:pPr>
        <w:pStyle w:val="TOC1"/>
        <w:rPr>
          <w:rFonts w:asciiTheme="minorHAnsi" w:eastAsiaTheme="minorEastAsia" w:hAnsiTheme="minorHAnsi" w:cstheme="minorBidi"/>
          <w:noProof/>
          <w:sz w:val="22"/>
          <w:szCs w:val="22"/>
          <w:lang w:eastAsia="zh-CN"/>
        </w:rPr>
      </w:pPr>
      <w:hyperlink w:anchor="_Toc419473012" w:history="1">
        <w:r w:rsidR="00B97005" w:rsidRPr="00622D62">
          <w:rPr>
            <w:rStyle w:val="Hyperlink"/>
            <w:noProof/>
          </w:rPr>
          <w:t>Disminución del número de expositores y participantes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_Toc419473012 \h </w:instrText>
        </w:r>
        <w:r w:rsidR="00B97005" w:rsidRPr="00622D62">
          <w:rPr>
            <w:noProof/>
            <w:webHidden/>
          </w:rPr>
        </w:r>
        <w:r w:rsidR="00B97005" w:rsidRPr="00622D62">
          <w:rPr>
            <w:noProof/>
            <w:webHidden/>
          </w:rPr>
          <w:fldChar w:fldCharType="separate"/>
        </w:r>
        <w:r w:rsidR="00C513BA" w:rsidRPr="00622D62">
          <w:rPr>
            <w:noProof/>
            <w:webHidden/>
          </w:rPr>
          <w:t>16</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13" w:history="1">
        <w:r w:rsidR="00B97005" w:rsidRPr="00622D62">
          <w:rPr>
            <w:rStyle w:val="Hyperlink"/>
            <w:noProof/>
          </w:rPr>
          <w:t>Problemas con los visados</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_Toc419473013 \h </w:instrText>
        </w:r>
        <w:r w:rsidR="00B97005" w:rsidRPr="00622D62">
          <w:rPr>
            <w:noProof/>
            <w:webHidden/>
          </w:rPr>
        </w:r>
        <w:r w:rsidR="00B97005" w:rsidRPr="00622D62">
          <w:rPr>
            <w:noProof/>
            <w:webHidden/>
          </w:rPr>
          <w:fldChar w:fldCharType="separate"/>
        </w:r>
        <w:r w:rsidR="00C513BA" w:rsidRPr="00622D62">
          <w:rPr>
            <w:noProof/>
            <w:webHidden/>
          </w:rPr>
          <w:t>17</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14" w:history="1">
        <w:r w:rsidR="00B97005" w:rsidRPr="00622D62">
          <w:rPr>
            <w:rStyle w:val="Hyperlink"/>
            <w:noProof/>
          </w:rPr>
          <w:t>Sesiones del Foro y presencia de los medios de comunicación</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_Toc419473014 \h </w:instrText>
        </w:r>
        <w:r w:rsidR="00B97005" w:rsidRPr="00622D62">
          <w:rPr>
            <w:noProof/>
            <w:webHidden/>
          </w:rPr>
        </w:r>
        <w:r w:rsidR="00B97005" w:rsidRPr="00622D62">
          <w:rPr>
            <w:noProof/>
            <w:webHidden/>
          </w:rPr>
          <w:fldChar w:fldCharType="separate"/>
        </w:r>
        <w:r w:rsidR="00C513BA" w:rsidRPr="00622D62">
          <w:rPr>
            <w:noProof/>
            <w:webHidden/>
          </w:rPr>
          <w:t>17</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15" w:history="1">
        <w:r w:rsidR="00B97005" w:rsidRPr="00622D62">
          <w:rPr>
            <w:rStyle w:val="Hyperlink"/>
            <w:noProof/>
          </w:rPr>
          <w:t>Dimensión mundial</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_Toc419473015 \h </w:instrText>
        </w:r>
        <w:r w:rsidR="00B97005" w:rsidRPr="00622D62">
          <w:rPr>
            <w:noProof/>
            <w:webHidden/>
          </w:rPr>
        </w:r>
        <w:r w:rsidR="00B97005" w:rsidRPr="00622D62">
          <w:rPr>
            <w:noProof/>
            <w:webHidden/>
          </w:rPr>
          <w:fldChar w:fldCharType="separate"/>
        </w:r>
        <w:r w:rsidR="00C513BA" w:rsidRPr="00622D62">
          <w:rPr>
            <w:noProof/>
            <w:webHidden/>
          </w:rPr>
          <w:t>18</w:t>
        </w:r>
        <w:r w:rsidR="00B97005" w:rsidRPr="00622D62">
          <w:rPr>
            <w:noProof/>
            <w:webHidden/>
          </w:rPr>
          <w:fldChar w:fldCharType="end"/>
        </w:r>
      </w:hyperlink>
    </w:p>
    <w:p w:rsidR="00B97005" w:rsidRPr="00622D62" w:rsidRDefault="00A16D01">
      <w:pPr>
        <w:pStyle w:val="TOC1"/>
        <w:rPr>
          <w:rFonts w:asciiTheme="minorHAnsi" w:eastAsiaTheme="minorEastAsia" w:hAnsiTheme="minorHAnsi" w:cstheme="minorBidi"/>
          <w:noProof/>
          <w:sz w:val="22"/>
          <w:szCs w:val="22"/>
          <w:lang w:eastAsia="zh-CN"/>
        </w:rPr>
      </w:pPr>
      <w:hyperlink w:anchor="_Toc419473016" w:history="1">
        <w:r w:rsidR="00B97005" w:rsidRPr="00622D62">
          <w:rPr>
            <w:rStyle w:val="Hyperlink"/>
            <w:noProof/>
          </w:rPr>
          <w:t>SEGUIMIENTO</w:t>
        </w:r>
        <w:r w:rsidR="00B97005" w:rsidRPr="00622D62">
          <w:rPr>
            <w:noProof/>
            <w:webHidden/>
          </w:rPr>
          <w:tab/>
        </w:r>
        <w:r w:rsidR="00174101" w:rsidRPr="00622D62">
          <w:rPr>
            <w:noProof/>
            <w:webHidden/>
          </w:rPr>
          <w:tab/>
        </w:r>
        <w:r w:rsidR="00B97005" w:rsidRPr="00622D62">
          <w:rPr>
            <w:noProof/>
            <w:webHidden/>
          </w:rPr>
          <w:fldChar w:fldCharType="begin"/>
        </w:r>
        <w:r w:rsidR="00B97005" w:rsidRPr="00622D62">
          <w:rPr>
            <w:noProof/>
            <w:webHidden/>
          </w:rPr>
          <w:instrText xml:space="preserve"> PAGEREF _Toc419473016 \h </w:instrText>
        </w:r>
        <w:r w:rsidR="00B97005" w:rsidRPr="00622D62">
          <w:rPr>
            <w:noProof/>
            <w:webHidden/>
          </w:rPr>
        </w:r>
        <w:r w:rsidR="00B97005" w:rsidRPr="00622D62">
          <w:rPr>
            <w:noProof/>
            <w:webHidden/>
          </w:rPr>
          <w:fldChar w:fldCharType="separate"/>
        </w:r>
        <w:r w:rsidR="00C513BA" w:rsidRPr="00622D62">
          <w:rPr>
            <w:noProof/>
            <w:webHidden/>
          </w:rPr>
          <w:t>18</w:t>
        </w:r>
        <w:r w:rsidR="00B97005" w:rsidRPr="00622D62">
          <w:rPr>
            <w:noProof/>
            <w:webHidden/>
          </w:rPr>
          <w:fldChar w:fldCharType="end"/>
        </w:r>
      </w:hyperlink>
    </w:p>
    <w:p w:rsidR="009D7F09" w:rsidRPr="00622D62" w:rsidRDefault="00B97005" w:rsidP="009D7F09">
      <w:pPr>
        <w:pStyle w:val="TOC1"/>
        <w:tabs>
          <w:tab w:val="clear" w:pos="964"/>
          <w:tab w:val="left" w:pos="709"/>
        </w:tabs>
        <w:ind w:left="851" w:hanging="851"/>
        <w:rPr>
          <w:rFonts w:eastAsia="SimSun"/>
          <w:noProof/>
          <w:lang w:eastAsia="zh-CN"/>
        </w:rPr>
      </w:pPr>
      <w:r w:rsidRPr="00622D62">
        <w:rPr>
          <w:rFonts w:eastAsia="SimSun"/>
          <w:noProof/>
          <w:lang w:eastAsia="zh-CN"/>
        </w:rPr>
        <w:fldChar w:fldCharType="end"/>
      </w:r>
      <w:r w:rsidR="009D7F09" w:rsidRPr="00622D62">
        <w:rPr>
          <w:rFonts w:eastAsia="SimSun"/>
          <w:noProof/>
          <w:lang w:eastAsia="zh-CN"/>
        </w:rPr>
        <w:t>ANEXO I</w:t>
      </w:r>
      <w:r w:rsidR="009D7F09" w:rsidRPr="00622D62">
        <w:rPr>
          <w:rFonts w:eastAsia="SimSun"/>
          <w:noProof/>
          <w:lang w:eastAsia="zh-CN"/>
        </w:rPr>
        <w:tab/>
      </w:r>
      <w:r w:rsidR="000D6266" w:rsidRPr="00622D62">
        <w:t>Seguimiento de las observaciones presentadas en los informes precedentes</w:t>
      </w:r>
      <w:r w:rsidR="009D7F09" w:rsidRPr="00622D62">
        <w:rPr>
          <w:rFonts w:eastAsia="SimSun"/>
          <w:noProof/>
          <w:lang w:eastAsia="zh-CN"/>
        </w:rPr>
        <w:tab/>
      </w:r>
      <w:r w:rsidR="009D7F09" w:rsidRPr="00622D62">
        <w:rPr>
          <w:rFonts w:eastAsia="SimSun"/>
          <w:noProof/>
          <w:lang w:eastAsia="zh-CN"/>
        </w:rPr>
        <w:tab/>
      </w:r>
      <w:r w:rsidR="000D6266" w:rsidRPr="00622D62">
        <w:rPr>
          <w:rFonts w:eastAsia="SimSun"/>
          <w:noProof/>
          <w:lang w:eastAsia="zh-CN"/>
        </w:rPr>
        <w:t>19</w:t>
      </w:r>
    </w:p>
    <w:p w:rsidR="007A540E" w:rsidRPr="00622D62" w:rsidRDefault="007A540E" w:rsidP="009D7F09">
      <w:pPr>
        <w:pStyle w:val="TOC1"/>
        <w:rPr>
          <w:rFonts w:eastAsia="SimSun"/>
          <w:noProof/>
          <w:lang w:eastAsia="zh-CN"/>
        </w:rPr>
      </w:pPr>
      <w:r w:rsidRPr="00622D62">
        <w:rPr>
          <w:rFonts w:eastAsia="SimSun"/>
          <w:noProof/>
          <w:lang w:eastAsia="zh-CN"/>
        </w:rPr>
        <w:br w:type="page"/>
      </w:r>
    </w:p>
    <w:p w:rsidR="00D86E44" w:rsidRPr="00622D62" w:rsidRDefault="00D86E44" w:rsidP="0053586D">
      <w:pPr>
        <w:pStyle w:val="Heading1"/>
        <w:rPr>
          <w:rFonts w:eastAsia="Batang"/>
        </w:rPr>
      </w:pPr>
      <w:bookmarkStart w:id="18" w:name="_Toc357681306"/>
      <w:bookmarkStart w:id="19" w:name="_Toc400028313"/>
      <w:bookmarkStart w:id="20" w:name="_Toc400093935"/>
      <w:bookmarkStart w:id="21" w:name="_Toc419472986"/>
      <w:r w:rsidRPr="00622D62">
        <w:rPr>
          <w:rFonts w:eastAsia="Batang"/>
        </w:rPr>
        <w:lastRenderedPageBreak/>
        <w:t>RESUMEN DE LA AUDITORÍA</w:t>
      </w:r>
      <w:bookmarkEnd w:id="18"/>
      <w:bookmarkEnd w:id="19"/>
      <w:bookmarkEnd w:id="20"/>
      <w:bookmarkEnd w:id="21"/>
    </w:p>
    <w:p w:rsidR="00D86E44" w:rsidRPr="00622D62" w:rsidRDefault="00D86E44" w:rsidP="001528D5">
      <w:r w:rsidRPr="00622D62">
        <w:t>1</w:t>
      </w:r>
      <w:r w:rsidRPr="00622D62">
        <w:tab/>
        <w:t xml:space="preserve">De acuerdo con lo que se establece en el </w:t>
      </w:r>
      <w:r w:rsidRPr="00622D62">
        <w:rPr>
          <w:i/>
          <w:iCs/>
        </w:rPr>
        <w:t>resuelve</w:t>
      </w:r>
      <w:r w:rsidRPr="00622D62">
        <w:t xml:space="preserve"> 6 de la Resolución 11 (Rev. Busán, 2014), "que el Auditor </w:t>
      </w:r>
      <w:r w:rsidR="001528D5" w:rsidRPr="00622D62">
        <w:t>E</w:t>
      </w:r>
      <w:r w:rsidRPr="00622D62">
        <w:t>xterno de la Unión se encargue de la auditoría de cuentas de los eventos ITU Telecom".</w:t>
      </w:r>
    </w:p>
    <w:p w:rsidR="00D86E44" w:rsidRPr="00622D62" w:rsidRDefault="00D86E44" w:rsidP="00D86E44">
      <w:r w:rsidRPr="00622D62">
        <w:t>2</w:t>
      </w:r>
      <w:r w:rsidRPr="00622D62">
        <w:tab/>
        <w:t>El presente Informe contiene los resultados de nuestra auditoría de las cuentas de pérdidas y ganancias correspondientes al evento ITU Telecom World 2014. Este examen no debe considerarse una verificación de los estados financieros establecidos con arreglo a las NICSP, tras la cual presentamos una Opinión de auditoría. Su única finalidad es informar al Consejo de la UIT de que las operaciones relativas a este evento se han contabilizado correctamente.</w:t>
      </w:r>
    </w:p>
    <w:p w:rsidR="00D86E44" w:rsidRPr="00622D62" w:rsidRDefault="00D86E44" w:rsidP="001528D5">
      <w:r w:rsidRPr="00622D62">
        <w:t>3</w:t>
      </w:r>
      <w:r w:rsidRPr="00622D62">
        <w:tab/>
        <w:t>La auditoría de las cuentas de ITU Telecom World 2014 que nos fueron facilitadas (Anexo A al Doc</w:t>
      </w:r>
      <w:r w:rsidR="001528D5" w:rsidRPr="00622D62">
        <w:t>umento</w:t>
      </w:r>
      <w:r w:rsidRPr="00622D62">
        <w:t> C15/40) es exacta y las entradas relativas a este evento se han contabilizado correctamente.</w:t>
      </w:r>
    </w:p>
    <w:p w:rsidR="00D86E44" w:rsidRPr="00622D62" w:rsidRDefault="00D86E44" w:rsidP="00D86E44">
      <w:r w:rsidRPr="00622D62">
        <w:t>4</w:t>
      </w:r>
      <w:r w:rsidRPr="00622D62">
        <w:tab/>
        <w:t xml:space="preserve">El evento fue organizado y gestionado de conformidad con lo dispuesto en la Resolución 11 (Rev. Busán, 2014). La nueva revisión de dicha Resolución fue adoptada en la Conferencia de Plenipotenciarios celebrada en Busán (octubre de 2014) cuando el evento estaba ya casi definido. En cualquier caso, ambas versiones de la Resolución 11 estipulan en el </w:t>
      </w:r>
      <w:r w:rsidRPr="00622D62">
        <w:rPr>
          <w:i/>
          <w:iCs/>
        </w:rPr>
        <w:t>resuelve</w:t>
      </w:r>
      <w:r w:rsidRPr="00622D62">
        <w:t xml:space="preserve"> 4 que "</w:t>
      </w:r>
      <w:r w:rsidRPr="00622D62">
        <w:rPr>
          <w:i/>
          <w:iCs/>
        </w:rPr>
        <w:t>cada evento ITU TELECOM sea viable desde el punto de vista financiero y no tenga consecuencias negativas en el presupuesto de la UIT sobre la base del actual sistema de asignación de costos definido por el Consejo</w:t>
      </w:r>
      <w:r w:rsidRPr="00622D62">
        <w:t>".</w:t>
      </w:r>
    </w:p>
    <w:p w:rsidR="00D86E44" w:rsidRPr="00622D62" w:rsidRDefault="00D86E44" w:rsidP="00603325">
      <w:r w:rsidRPr="00622D62">
        <w:t>5</w:t>
      </w:r>
      <w:r w:rsidRPr="00622D62">
        <w:tab/>
        <w:t>En lo que respecta al evento ITU Telecom World organizado en Doha en diciembre de 2014, a fecha de 31 de diciembre de 2014 arrojaba un superávit de 784 505,76</w:t>
      </w:r>
      <w:r w:rsidRPr="00622D62">
        <w:rPr>
          <w:rFonts w:ascii="Times New Roman" w:hAnsi="Times New Roman"/>
        </w:rPr>
        <w:t xml:space="preserve"> </w:t>
      </w:r>
      <w:r w:rsidRPr="00622D62">
        <w:t>CHF, como se indica en el párrafo 19, mientras que el evento celebrado en Bangkok en 2013 registró un superávit de 1</w:t>
      </w:r>
      <w:r w:rsidR="00603325" w:rsidRPr="00622D62">
        <w:t> </w:t>
      </w:r>
      <w:r w:rsidRPr="00622D62">
        <w:t>854</w:t>
      </w:r>
      <w:r w:rsidR="00603325" w:rsidRPr="00622D62">
        <w:t> </w:t>
      </w:r>
      <w:r w:rsidRPr="00622D62">
        <w:t>884 CHF, y e</w:t>
      </w:r>
      <w:r w:rsidRPr="00622D62">
        <w:rPr>
          <w:rPrChange w:id="22" w:author="Janin, Patricia" w:date="2015-05-12T14:51:00Z">
            <w:rPr>
              <w:rFonts w:asciiTheme="majorBidi" w:hAnsiTheme="majorBidi"/>
              <w:lang w:val="en-US"/>
            </w:rPr>
          </w:rPrChange>
        </w:rPr>
        <w:t xml:space="preserve">n Dubái </w:t>
      </w:r>
      <w:r w:rsidRPr="00622D62">
        <w:t xml:space="preserve">en </w:t>
      </w:r>
      <w:r w:rsidRPr="00622D62">
        <w:rPr>
          <w:rPrChange w:id="23" w:author="Janin, Patricia" w:date="2015-05-12T14:51:00Z">
            <w:rPr>
              <w:rFonts w:asciiTheme="majorBidi" w:hAnsiTheme="majorBidi"/>
              <w:lang w:val="en-US"/>
            </w:rPr>
          </w:rPrChange>
        </w:rPr>
        <w:t>2012</w:t>
      </w:r>
      <w:r w:rsidRPr="00622D62">
        <w:t>, 637 946,26 CHF.</w:t>
      </w:r>
    </w:p>
    <w:p w:rsidR="00D86E44" w:rsidRPr="00622D62" w:rsidRDefault="00D86E44" w:rsidP="00D86E44">
      <w:pPr>
        <w:pStyle w:val="Headingb"/>
      </w:pPr>
      <w:bookmarkStart w:id="24" w:name="_Toc357681307"/>
      <w:bookmarkStart w:id="25" w:name="_Toc400028314"/>
      <w:bookmarkStart w:id="26" w:name="_Toc400093936"/>
      <w:bookmarkStart w:id="27" w:name="_Toc419472987"/>
      <w:r w:rsidRPr="00622D62">
        <w:t>Marco jurídico y alcance de la verificación</w:t>
      </w:r>
      <w:bookmarkEnd w:id="24"/>
      <w:bookmarkEnd w:id="25"/>
      <w:bookmarkEnd w:id="26"/>
      <w:bookmarkEnd w:id="27"/>
    </w:p>
    <w:p w:rsidR="00D86E44" w:rsidRPr="00622D62" w:rsidRDefault="00D86E44" w:rsidP="00D86E44">
      <w:r w:rsidRPr="00622D62">
        <w:t>6</w:t>
      </w:r>
      <w:r w:rsidRPr="00622D62">
        <w:tab/>
        <w:t xml:space="preserve">En el Artículo 19 del Reglamento Financiero y las Reglas Financieras de la UIT se establecen las normas aplicables a exposiciones y foros de telecomunicaciones mundiales y regionales y otros eventos similares organizados por la Unión. Sus características específicas también se enumeran en la Resolución 11 (Rev. Busán, 2014) (véase el párrafo 4 </w:t>
      </w:r>
      <w:r w:rsidRPr="00622D62">
        <w:rPr>
          <w:i/>
          <w:iCs/>
        </w:rPr>
        <w:t>supra</w:t>
      </w:r>
      <w:r w:rsidRPr="00622D62">
        <w:t xml:space="preserve">), así como en el Manual de Reglas y Procedimientos Financieros de TELECOM, que entró en vigor el 13 de marzo de 1998, y en su versión actualizada. </w:t>
      </w:r>
    </w:p>
    <w:p w:rsidR="00D86E44" w:rsidRPr="00622D62" w:rsidRDefault="00D86E44" w:rsidP="00D86E44">
      <w:r w:rsidRPr="00622D62">
        <w:t>7</w:t>
      </w:r>
      <w:r w:rsidRPr="00622D62">
        <w:tab/>
        <w:t>La Conferencia de Plenipotenciarios celebrada en Busán en 2014 confirmó casi por completo el texto de la Resolución 11 sobre Eventos ITU Telecom adoptado en Guadalajara en 2010. Si bien en la presente auditoría han estado presentes varios puntos de la versión de Guadalajara de dicha Resolución, en la que hemos expuesto nuestros análisis, comentarios y recomendaciones cuando lo hemos estimado oportuno, también hemos examinado algunos efectos consiguientes a la Resolución 11 adoptada en Busán en 2014.</w:t>
      </w:r>
    </w:p>
    <w:p w:rsidR="00D86E44" w:rsidRPr="00622D62" w:rsidRDefault="00D86E44" w:rsidP="00D86E44">
      <w:r w:rsidRPr="00622D62">
        <w:t>8</w:t>
      </w:r>
      <w:r w:rsidRPr="00622D62">
        <w:tab/>
        <w:t xml:space="preserve">La verificación contenida en el presente Informe se refiere a las cuentas del evento ITU Telecom World 2014 para el periodo comprendido entre el 1 de enero de 2014 y el 31 de diciembre de 2014. Estas cuentas recogen los gastos y los ingresos correspondientes a dicho evento e incluyen </w:t>
      </w:r>
      <w:r w:rsidRPr="00622D62">
        <w:rPr>
          <w:color w:val="000000"/>
        </w:rPr>
        <w:t xml:space="preserve">información adicional destinada al Consejo de la UIT. No obstante, estas cuentas no deben considerarse unos estados financieros establecidos conforme a las NICSP, pese a que la UIT empezó a aplicar estas normas el 1 de enero de 2010. Únicamente los estados financieros </w:t>
      </w:r>
      <w:r w:rsidRPr="00622D62">
        <w:rPr>
          <w:color w:val="000000"/>
        </w:rPr>
        <w:lastRenderedPageBreak/>
        <w:t>consolidados de la UIT, que no son objeto del presente Informe, se establecen de conformidad con las NICSP</w:t>
      </w:r>
      <w:r w:rsidRPr="00622D62">
        <w:t>.</w:t>
      </w:r>
    </w:p>
    <w:p w:rsidR="00D86E44" w:rsidRPr="00622D62" w:rsidRDefault="00D86E44" w:rsidP="00D86E44">
      <w:r w:rsidRPr="00622D62">
        <w:rPr>
          <w:color w:val="000000"/>
        </w:rPr>
        <w:t>9</w:t>
      </w:r>
      <w:r w:rsidRPr="00622D62">
        <w:rPr>
          <w:color w:val="000000"/>
        </w:rPr>
        <w:tab/>
        <w:t xml:space="preserve">Las cuentas verificadas se publican en los Anexo A al Documento </w:t>
      </w:r>
      <w:r w:rsidRPr="00622D62">
        <w:t xml:space="preserve">C15/40 del Consejo de 2015, en inglés. No hemos examinado el resto de anexos a dicho documento (Anexos B, C, D y E). Tal y como se menciona asimismo en el párrafo 2 </w:t>
      </w:r>
      <w:r w:rsidRPr="00622D62">
        <w:rPr>
          <w:i/>
          <w:iCs/>
        </w:rPr>
        <w:t>supra</w:t>
      </w:r>
      <w:r w:rsidRPr="00622D62">
        <w:t xml:space="preserve">, la verificación </w:t>
      </w:r>
      <w:r w:rsidRPr="00622D62">
        <w:rPr>
          <w:color w:val="000000"/>
        </w:rPr>
        <w:t>no va acompañada de una Opinión de auditoría, ya que dicha Opinión acompaña únicamente los estados financieros consolidados de la UIT</w:t>
      </w:r>
      <w:r w:rsidRPr="00622D62">
        <w:t>.</w:t>
      </w:r>
    </w:p>
    <w:p w:rsidR="00D86E44" w:rsidRPr="00622D62" w:rsidRDefault="00D86E44" w:rsidP="00D86E44">
      <w:pPr>
        <w:pStyle w:val="Headingb"/>
      </w:pPr>
      <w:bookmarkStart w:id="28" w:name="_Toc400028315"/>
      <w:bookmarkStart w:id="29" w:name="_Toc400093937"/>
      <w:bookmarkStart w:id="30" w:name="_Toc419472988"/>
      <w:r w:rsidRPr="00622D62">
        <w:t>Actividades de auditoría</w:t>
      </w:r>
      <w:bookmarkEnd w:id="28"/>
      <w:bookmarkEnd w:id="29"/>
      <w:bookmarkEnd w:id="30"/>
    </w:p>
    <w:p w:rsidR="00D86E44" w:rsidRPr="00622D62" w:rsidRDefault="00D86E44" w:rsidP="00D86E44">
      <w:r w:rsidRPr="00622D62">
        <w:t>10</w:t>
      </w:r>
      <w:r w:rsidRPr="00622D62">
        <w:tab/>
        <w:t xml:space="preserve">La auditoría se llevó a cabo de acuerdo con los Principios Fundamentales de Auditoría de las Normas Internacionales de las Entidades Fiscalizadoras Superiores (ISSAI) publicados por la Organización Internacional de Entidades Fiscalizadoras Superiores (INTOSAI), </w:t>
      </w:r>
      <w:r w:rsidRPr="00622D62">
        <w:rPr>
          <w:color w:val="000000"/>
        </w:rPr>
        <w:t>así como respetando el mandato adicional que es parte integrante del Reglamento Financiero de la Unión</w:t>
      </w:r>
      <w:r w:rsidRPr="00622D62">
        <w:t>.</w:t>
      </w:r>
    </w:p>
    <w:p w:rsidR="00D86E44" w:rsidRPr="00622D62" w:rsidRDefault="00D86E44" w:rsidP="00D86E44">
      <w:r w:rsidRPr="00622D62">
        <w:t>11</w:t>
      </w:r>
      <w:r w:rsidRPr="00622D62">
        <w:tab/>
        <w:t>A fin de obtener unas garantías razonables de que no había inexactitudes importantes, las actividades se llevaron a cabo de acuerdo con nuestra estrategia de auditoría.</w:t>
      </w:r>
    </w:p>
    <w:p w:rsidR="00D86E44" w:rsidRPr="00622D62" w:rsidRDefault="00D86E44" w:rsidP="00D86E44">
      <w:pPr>
        <w:rPr>
          <w:bCs/>
        </w:rPr>
      </w:pPr>
      <w:r w:rsidRPr="00622D62">
        <w:t>12</w:t>
      </w:r>
      <w:r w:rsidRPr="00622D62">
        <w:tab/>
        <w:t>Comprobamos que la cuenta de resultados de ITU Telecom World 2014 a fecha de 31 de diciembre de 2014 estaba en consonancia con las cuentas que nos habían sido presentadas; para ello, tomamos algunas entradas y verificamos que se habían imputado correctamente. La auditoría ha versado sobre la teneduría de las cuentas, ingresos y gastos y la imputación del resultado en la contabilidad.</w:t>
      </w:r>
    </w:p>
    <w:p w:rsidR="00D86E44" w:rsidRPr="00622D62" w:rsidRDefault="00D86E44" w:rsidP="00D86E44">
      <w:r w:rsidRPr="00622D62">
        <w:t>13</w:t>
      </w:r>
      <w:r w:rsidRPr="00622D62">
        <w:tab/>
        <w:t>Durante la auditoría, discutimos y aclaramos todas las cuestiones con los funcionarios responsables; las pruebas realizadas por muestreo sobre una serie de transacciones y documentos pertinentes han arrojado unos resultados suficientes y fiables en lo que respecta a las cuentas del evento ITU Telecom World 2014.</w:t>
      </w:r>
    </w:p>
    <w:p w:rsidR="00D86E44" w:rsidRPr="00622D62" w:rsidRDefault="00D86E44" w:rsidP="00D86E44">
      <w:r w:rsidRPr="00622D62">
        <w:t>14</w:t>
      </w:r>
      <w:r w:rsidRPr="00622D62">
        <w:tab/>
        <w:t>El 30 de marzo de 2015, presentamos nuestro proyecto de Informe de Auditoría al Departamento de Gestión de Recursos Financieros y a la Secretaría de ITU Telecom. El Informe incluye ámbitos que requieren mejorar, así como recomendaciones y sugerencias a fin de señalarlas a la atención del Consejo, de conformidad con lo establecido en el Artículo 19 del Reglamento Financiero y las Reglas Financieras de la UIT. Recibimos los comentarios del Secretario General el 28 de abril de 2015.</w:t>
      </w:r>
    </w:p>
    <w:p w:rsidR="00D86E44" w:rsidRPr="00622D62" w:rsidRDefault="00D86E44" w:rsidP="00D86E44">
      <w:r w:rsidRPr="00622D62">
        <w:t>15</w:t>
      </w:r>
      <w:r w:rsidRPr="00622D62">
        <w:tab/>
        <w:t>No se nos ha señalado ningún recurso ni juicio incoado oficialmente contra la Unión en el marco de ITU Telecom World 2014, ni ningún caso de fraude o presunto fraude.</w:t>
      </w:r>
    </w:p>
    <w:p w:rsidR="00D86E44" w:rsidRPr="00622D62" w:rsidRDefault="00D86E44" w:rsidP="00D86E44">
      <w:pPr>
        <w:pStyle w:val="Headingb"/>
      </w:pPr>
      <w:bookmarkStart w:id="31" w:name="_Toc357681308"/>
      <w:bookmarkStart w:id="32" w:name="_Toc400028316"/>
      <w:bookmarkStart w:id="33" w:name="_Toc400093938"/>
      <w:bookmarkStart w:id="34" w:name="_Toc419472989"/>
      <w:r w:rsidRPr="00622D62">
        <w:t>Agradecimientos</w:t>
      </w:r>
      <w:bookmarkEnd w:id="31"/>
      <w:bookmarkEnd w:id="32"/>
      <w:bookmarkEnd w:id="33"/>
      <w:bookmarkEnd w:id="34"/>
    </w:p>
    <w:p w:rsidR="00D86E44" w:rsidRPr="00622D62" w:rsidRDefault="00D86E44" w:rsidP="00D86E44">
      <w:r w:rsidRPr="00622D62">
        <w:t>16</w:t>
      </w:r>
      <w:r w:rsidRPr="00622D62">
        <w:tab/>
        <w:t>Deseamos expresar nuestra gratitud a todo el personal de la UIT al que hemos pedido que nos facilitara información y documentos, y que ha colaborado sinceramente con nosotros.</w:t>
      </w:r>
    </w:p>
    <w:p w:rsidR="00D86E44" w:rsidRPr="00622D62" w:rsidRDefault="00D86E44" w:rsidP="00E55612">
      <w:pPr>
        <w:pStyle w:val="Heading1"/>
        <w:rPr>
          <w:rFonts w:eastAsia="Batang"/>
        </w:rPr>
      </w:pPr>
      <w:bookmarkStart w:id="35" w:name="_Toc357681309"/>
      <w:bookmarkStart w:id="36" w:name="_Toc400028317"/>
      <w:bookmarkStart w:id="37" w:name="_Toc400093939"/>
      <w:bookmarkStart w:id="38" w:name="_Toc419472990"/>
      <w:r w:rsidRPr="00622D62">
        <w:rPr>
          <w:rFonts w:eastAsia="Batang"/>
        </w:rPr>
        <w:t>TRANSICIÓN HACIA LAS NICSP</w:t>
      </w:r>
      <w:bookmarkEnd w:id="35"/>
      <w:bookmarkEnd w:id="36"/>
      <w:bookmarkEnd w:id="37"/>
      <w:bookmarkEnd w:id="38"/>
    </w:p>
    <w:p w:rsidR="00D86E44" w:rsidRPr="00622D62" w:rsidRDefault="00D86E44" w:rsidP="00D86E44">
      <w:r w:rsidRPr="00622D62">
        <w:t>17</w:t>
      </w:r>
      <w:r w:rsidRPr="00622D62">
        <w:tab/>
        <w:t>A causa de la transición a las NICSP, las cuentas de ITU Telecom World se cierran, a lo sumo, al final del ejercicio contable durante el cual se celebra la exposición, a fin de respetar el principio de delimitación periódica. Ésta es la razón por la cual las cuentas de ITU Telecom World 2014 se cerraron el 31 de diciembr</w:t>
      </w:r>
      <w:r w:rsidR="00E55612" w:rsidRPr="00622D62">
        <w:t>e de 2014.</w:t>
      </w:r>
    </w:p>
    <w:p w:rsidR="00D86E44" w:rsidRPr="00622D62" w:rsidRDefault="00D86E44" w:rsidP="00870415">
      <w:pPr>
        <w:pStyle w:val="Heading1"/>
        <w:rPr>
          <w:rFonts w:eastAsia="Batang"/>
        </w:rPr>
      </w:pPr>
      <w:bookmarkStart w:id="39" w:name="_Toc357681310"/>
      <w:bookmarkStart w:id="40" w:name="_Toc400028318"/>
      <w:bookmarkStart w:id="41" w:name="_Toc400093940"/>
      <w:bookmarkStart w:id="42" w:name="_Toc419472991"/>
      <w:r w:rsidRPr="00622D62">
        <w:rPr>
          <w:rFonts w:eastAsia="Batang"/>
        </w:rPr>
        <w:lastRenderedPageBreak/>
        <w:t>CIFRAS CLAVE</w:t>
      </w:r>
      <w:bookmarkEnd w:id="39"/>
      <w:bookmarkEnd w:id="40"/>
      <w:bookmarkEnd w:id="41"/>
      <w:bookmarkEnd w:id="42"/>
    </w:p>
    <w:p w:rsidR="00D86E44" w:rsidRPr="00622D62" w:rsidRDefault="00D86E44" w:rsidP="00D86E44">
      <w:r w:rsidRPr="00622D62">
        <w:t>18</w:t>
      </w:r>
      <w:r w:rsidRPr="00622D62">
        <w:tab/>
        <w:t>A continuación presentamos un cuadro con los gastos y los ingresos totales presupuestados y reales:</w:t>
      </w:r>
    </w:p>
    <w:p w:rsidR="000A67E0" w:rsidRPr="00622D62" w:rsidRDefault="000A67E0" w:rsidP="000A67E0">
      <w:pPr>
        <w:tabs>
          <w:tab w:val="clear" w:pos="567"/>
          <w:tab w:val="clear" w:pos="1134"/>
          <w:tab w:val="clear" w:pos="1701"/>
          <w:tab w:val="clear" w:pos="2268"/>
          <w:tab w:val="clear" w:pos="2835"/>
        </w:tabs>
        <w:overflowPunct/>
        <w:autoSpaceDE/>
        <w:autoSpaceDN/>
        <w:textAlignment w:val="auto"/>
      </w:pPr>
    </w:p>
    <w:tbl>
      <w:tblPr>
        <w:tblW w:w="96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276"/>
        <w:gridCol w:w="1559"/>
        <w:gridCol w:w="1276"/>
        <w:gridCol w:w="1843"/>
        <w:gridCol w:w="1842"/>
      </w:tblGrid>
      <w:tr w:rsidR="000A67E0" w:rsidRPr="00622D62" w:rsidTr="007C6822">
        <w:trPr>
          <w:trHeight w:val="1119"/>
        </w:trPr>
        <w:tc>
          <w:tcPr>
            <w:tcW w:w="1873" w:type="dxa"/>
            <w:shd w:val="solid" w:color="C0C0C0" w:fill="auto"/>
            <w:vAlign w:val="center"/>
          </w:tcPr>
          <w:p w:rsidR="000A67E0" w:rsidRPr="00622D62" w:rsidRDefault="000A67E0" w:rsidP="007C6822">
            <w:pPr>
              <w:pStyle w:val="Tablehead"/>
              <w:rPr>
                <w:sz w:val="18"/>
                <w:szCs w:val="18"/>
                <w:lang w:eastAsia="zh-CN"/>
              </w:rPr>
            </w:pPr>
            <w:r w:rsidRPr="00622D62">
              <w:rPr>
                <w:sz w:val="18"/>
                <w:szCs w:val="18"/>
                <w:lang w:eastAsia="zh-CN"/>
              </w:rPr>
              <w:t xml:space="preserve">ITU Telecom </w:t>
            </w:r>
            <w:r w:rsidRPr="00622D62">
              <w:rPr>
                <w:sz w:val="18"/>
                <w:szCs w:val="18"/>
                <w:lang w:eastAsia="zh-CN"/>
              </w:rPr>
              <w:br/>
              <w:t>World 2014</w:t>
            </w:r>
          </w:p>
        </w:tc>
        <w:tc>
          <w:tcPr>
            <w:tcW w:w="1276" w:type="dxa"/>
            <w:shd w:val="solid" w:color="C0C0C0" w:fill="auto"/>
            <w:vAlign w:val="center"/>
          </w:tcPr>
          <w:p w:rsidR="000A67E0" w:rsidRPr="00622D62" w:rsidRDefault="000A67E0" w:rsidP="007C6822">
            <w:pPr>
              <w:pStyle w:val="Tablehead"/>
              <w:rPr>
                <w:sz w:val="18"/>
                <w:szCs w:val="18"/>
                <w:lang w:eastAsia="zh-CN"/>
              </w:rPr>
            </w:pPr>
            <w:r w:rsidRPr="00622D62">
              <w:rPr>
                <w:sz w:val="18"/>
                <w:szCs w:val="18"/>
                <w:lang w:eastAsia="zh-CN"/>
              </w:rPr>
              <w:t>Cantidad</w:t>
            </w:r>
            <w:r w:rsidRPr="00622D62">
              <w:rPr>
                <w:sz w:val="18"/>
                <w:szCs w:val="18"/>
                <w:lang w:eastAsia="zh-CN"/>
              </w:rPr>
              <w:br/>
              <w:t>presupuestada</w:t>
            </w:r>
            <w:r w:rsidRPr="00622D62">
              <w:rPr>
                <w:sz w:val="18"/>
                <w:szCs w:val="18"/>
                <w:lang w:eastAsia="zh-CN"/>
              </w:rPr>
              <w:br/>
              <w:t>(9/6/2014)</w:t>
            </w:r>
            <w:r w:rsidRPr="00622D62">
              <w:rPr>
                <w:sz w:val="18"/>
                <w:szCs w:val="18"/>
                <w:lang w:eastAsia="zh-CN"/>
              </w:rPr>
              <w:br/>
              <w:t>CHF</w:t>
            </w:r>
          </w:p>
        </w:tc>
        <w:tc>
          <w:tcPr>
            <w:tcW w:w="1559" w:type="dxa"/>
            <w:shd w:val="solid" w:color="C0C0C0" w:fill="auto"/>
            <w:vAlign w:val="center"/>
          </w:tcPr>
          <w:p w:rsidR="000A67E0" w:rsidRPr="00622D62" w:rsidRDefault="000A67E0" w:rsidP="007C6822">
            <w:pPr>
              <w:pStyle w:val="Tablehead"/>
              <w:rPr>
                <w:sz w:val="18"/>
                <w:szCs w:val="18"/>
                <w:lang w:eastAsia="zh-CN"/>
              </w:rPr>
            </w:pPr>
            <w:r w:rsidRPr="00622D62">
              <w:rPr>
                <w:sz w:val="18"/>
                <w:szCs w:val="18"/>
                <w:lang w:eastAsia="zh-CN"/>
              </w:rPr>
              <w:t>Cantidad</w:t>
            </w:r>
            <w:r w:rsidRPr="00622D62">
              <w:rPr>
                <w:sz w:val="18"/>
                <w:szCs w:val="18"/>
                <w:lang w:eastAsia="zh-CN"/>
              </w:rPr>
              <w:br/>
              <w:t>presupuestada</w:t>
            </w:r>
            <w:r w:rsidRPr="00622D62">
              <w:rPr>
                <w:sz w:val="18"/>
                <w:szCs w:val="18"/>
                <w:lang w:eastAsia="zh-CN"/>
              </w:rPr>
              <w:br/>
              <w:t>revisada</w:t>
            </w:r>
            <w:r w:rsidRPr="00622D62">
              <w:rPr>
                <w:sz w:val="18"/>
                <w:szCs w:val="18"/>
                <w:lang w:eastAsia="zh-CN"/>
              </w:rPr>
              <w:br/>
              <w:t>(31/10/2014)</w:t>
            </w:r>
            <w:r w:rsidRPr="00622D62">
              <w:rPr>
                <w:sz w:val="18"/>
                <w:szCs w:val="18"/>
                <w:lang w:eastAsia="zh-CN"/>
              </w:rPr>
              <w:br/>
              <w:t>CHF</w:t>
            </w:r>
          </w:p>
        </w:tc>
        <w:tc>
          <w:tcPr>
            <w:tcW w:w="1276" w:type="dxa"/>
            <w:shd w:val="solid" w:color="C0C0C0" w:fill="auto"/>
            <w:vAlign w:val="center"/>
          </w:tcPr>
          <w:p w:rsidR="000A67E0" w:rsidRPr="00622D62" w:rsidRDefault="000A67E0" w:rsidP="000A67E0">
            <w:pPr>
              <w:pStyle w:val="Tablehead"/>
              <w:rPr>
                <w:sz w:val="18"/>
                <w:szCs w:val="18"/>
                <w:lang w:eastAsia="zh-CN"/>
              </w:rPr>
            </w:pPr>
            <w:r w:rsidRPr="00622D62">
              <w:rPr>
                <w:sz w:val="18"/>
                <w:szCs w:val="18"/>
                <w:lang w:eastAsia="zh-CN"/>
              </w:rPr>
              <w:t>Cantidad</w:t>
            </w:r>
            <w:r w:rsidRPr="00622D62">
              <w:rPr>
                <w:sz w:val="18"/>
                <w:szCs w:val="18"/>
                <w:lang w:eastAsia="zh-CN"/>
              </w:rPr>
              <w:br/>
              <w:t>real</w:t>
            </w:r>
            <w:r w:rsidRPr="00622D62">
              <w:rPr>
                <w:sz w:val="18"/>
                <w:szCs w:val="18"/>
                <w:lang w:eastAsia="zh-CN"/>
              </w:rPr>
              <w:br/>
              <w:t>CHF</w:t>
            </w:r>
          </w:p>
        </w:tc>
        <w:tc>
          <w:tcPr>
            <w:tcW w:w="1843" w:type="dxa"/>
            <w:shd w:val="solid" w:color="C0C0C0" w:fill="auto"/>
            <w:vAlign w:val="center"/>
          </w:tcPr>
          <w:p w:rsidR="000A67E0" w:rsidRPr="00622D62" w:rsidRDefault="000A67E0" w:rsidP="000A67E0">
            <w:pPr>
              <w:pStyle w:val="Tablehead"/>
              <w:rPr>
                <w:sz w:val="18"/>
                <w:szCs w:val="18"/>
                <w:lang w:eastAsia="zh-CN"/>
              </w:rPr>
            </w:pPr>
            <w:r w:rsidRPr="00622D62">
              <w:rPr>
                <w:sz w:val="18"/>
                <w:szCs w:val="18"/>
                <w:lang w:eastAsia="zh-CN"/>
              </w:rPr>
              <w:t xml:space="preserve">Variación entre </w:t>
            </w:r>
            <w:r w:rsidRPr="00622D62">
              <w:rPr>
                <w:sz w:val="18"/>
                <w:szCs w:val="18"/>
                <w:lang w:eastAsia="zh-CN"/>
              </w:rPr>
              <w:br/>
              <w:t xml:space="preserve">cantidad real/cantidad presupuestada </w:t>
            </w:r>
            <w:r w:rsidR="00622D62" w:rsidRPr="00622D62">
              <w:rPr>
                <w:sz w:val="18"/>
                <w:szCs w:val="18"/>
                <w:lang w:eastAsia="zh-CN"/>
              </w:rPr>
              <w:t>inicialmente</w:t>
            </w:r>
            <w:r w:rsidRPr="00622D62">
              <w:rPr>
                <w:sz w:val="18"/>
                <w:szCs w:val="18"/>
                <w:lang w:eastAsia="zh-CN"/>
              </w:rPr>
              <w:br/>
              <w:t>%</w:t>
            </w:r>
          </w:p>
        </w:tc>
        <w:tc>
          <w:tcPr>
            <w:tcW w:w="1842" w:type="dxa"/>
            <w:shd w:val="solid" w:color="C0C0C0" w:fill="auto"/>
            <w:vAlign w:val="center"/>
          </w:tcPr>
          <w:p w:rsidR="000A67E0" w:rsidRPr="00622D62" w:rsidRDefault="000A67E0" w:rsidP="007C6822">
            <w:pPr>
              <w:pStyle w:val="Tablehead"/>
              <w:rPr>
                <w:sz w:val="18"/>
                <w:szCs w:val="18"/>
                <w:lang w:eastAsia="zh-CN"/>
              </w:rPr>
            </w:pPr>
            <w:r w:rsidRPr="00622D62">
              <w:rPr>
                <w:sz w:val="18"/>
                <w:szCs w:val="18"/>
                <w:lang w:eastAsia="zh-CN"/>
              </w:rPr>
              <w:t xml:space="preserve">Variación entre </w:t>
            </w:r>
            <w:r w:rsidRPr="00622D62">
              <w:rPr>
                <w:sz w:val="18"/>
                <w:szCs w:val="18"/>
                <w:lang w:eastAsia="zh-CN"/>
              </w:rPr>
              <w:br/>
              <w:t>cantidad real/cantidad presupuestada</w:t>
            </w:r>
            <w:r w:rsidRPr="00622D62">
              <w:rPr>
                <w:sz w:val="18"/>
                <w:szCs w:val="18"/>
                <w:lang w:eastAsia="zh-CN"/>
              </w:rPr>
              <w:br/>
              <w:t>revisada</w:t>
            </w:r>
            <w:r w:rsidRPr="00622D62">
              <w:rPr>
                <w:sz w:val="18"/>
                <w:szCs w:val="18"/>
                <w:lang w:eastAsia="zh-CN"/>
              </w:rPr>
              <w:br/>
              <w:t>%</w:t>
            </w:r>
          </w:p>
        </w:tc>
      </w:tr>
      <w:tr w:rsidR="000A67E0" w:rsidRPr="00622D62" w:rsidTr="007C6822">
        <w:trPr>
          <w:trHeight w:val="290"/>
        </w:trPr>
        <w:tc>
          <w:tcPr>
            <w:tcW w:w="1873" w:type="dxa"/>
          </w:tcPr>
          <w:p w:rsidR="000A67E0" w:rsidRPr="00622D62" w:rsidRDefault="000A67E0" w:rsidP="007C6822">
            <w:pPr>
              <w:pStyle w:val="Tabletext"/>
              <w:rPr>
                <w:sz w:val="18"/>
                <w:szCs w:val="18"/>
                <w:lang w:eastAsia="zh-CN"/>
              </w:rPr>
            </w:pPr>
            <w:r w:rsidRPr="00622D62">
              <w:rPr>
                <w:sz w:val="18"/>
                <w:szCs w:val="18"/>
                <w:lang w:eastAsia="zh-CN"/>
              </w:rPr>
              <w:t>Ingresos</w:t>
            </w:r>
          </w:p>
        </w:tc>
        <w:tc>
          <w:tcPr>
            <w:tcW w:w="1276" w:type="dxa"/>
          </w:tcPr>
          <w:p w:rsidR="000A67E0" w:rsidRPr="00622D62" w:rsidRDefault="000A67E0" w:rsidP="007C6822">
            <w:pPr>
              <w:pStyle w:val="Tabletext"/>
              <w:ind w:right="111"/>
              <w:jc w:val="right"/>
              <w:rPr>
                <w:sz w:val="18"/>
                <w:szCs w:val="18"/>
                <w:lang w:eastAsia="zh-CN"/>
              </w:rPr>
            </w:pPr>
            <w:r w:rsidRPr="00622D62">
              <w:rPr>
                <w:sz w:val="18"/>
                <w:szCs w:val="18"/>
                <w:lang w:eastAsia="zh-CN"/>
              </w:rPr>
              <w:t>12 000 000</w:t>
            </w:r>
          </w:p>
        </w:tc>
        <w:tc>
          <w:tcPr>
            <w:tcW w:w="1559" w:type="dxa"/>
          </w:tcPr>
          <w:p w:rsidR="000A67E0" w:rsidRPr="00622D62" w:rsidRDefault="000A67E0" w:rsidP="007C6822">
            <w:pPr>
              <w:pStyle w:val="Tabletext"/>
              <w:ind w:right="112"/>
              <w:jc w:val="right"/>
              <w:rPr>
                <w:sz w:val="18"/>
                <w:szCs w:val="18"/>
                <w:lang w:eastAsia="zh-CN"/>
              </w:rPr>
            </w:pPr>
            <w:r w:rsidRPr="00622D62">
              <w:rPr>
                <w:sz w:val="18"/>
                <w:szCs w:val="18"/>
                <w:lang w:eastAsia="zh-CN"/>
              </w:rPr>
              <w:t>9 462 000</w:t>
            </w:r>
          </w:p>
        </w:tc>
        <w:tc>
          <w:tcPr>
            <w:tcW w:w="1276" w:type="dxa"/>
          </w:tcPr>
          <w:p w:rsidR="000A67E0" w:rsidRPr="00622D62" w:rsidRDefault="000A67E0" w:rsidP="007C6822">
            <w:pPr>
              <w:pStyle w:val="Tabletext"/>
              <w:ind w:right="112"/>
              <w:jc w:val="right"/>
              <w:rPr>
                <w:sz w:val="18"/>
                <w:szCs w:val="18"/>
                <w:lang w:eastAsia="zh-CN"/>
              </w:rPr>
            </w:pPr>
            <w:r w:rsidRPr="00622D62">
              <w:rPr>
                <w:sz w:val="18"/>
                <w:szCs w:val="18"/>
                <w:lang w:eastAsia="zh-CN"/>
              </w:rPr>
              <w:t>9 525 070,28</w:t>
            </w:r>
          </w:p>
        </w:tc>
        <w:tc>
          <w:tcPr>
            <w:tcW w:w="1843" w:type="dxa"/>
          </w:tcPr>
          <w:p w:rsidR="000A67E0" w:rsidRPr="00622D62" w:rsidRDefault="000A67E0" w:rsidP="007C6822">
            <w:pPr>
              <w:pStyle w:val="Tabletext"/>
              <w:ind w:right="112"/>
              <w:jc w:val="right"/>
              <w:rPr>
                <w:sz w:val="18"/>
                <w:szCs w:val="18"/>
                <w:lang w:eastAsia="zh-CN"/>
              </w:rPr>
            </w:pPr>
            <w:r w:rsidRPr="00622D62">
              <w:rPr>
                <w:sz w:val="18"/>
                <w:szCs w:val="18"/>
                <w:lang w:eastAsia="zh-CN"/>
              </w:rPr>
              <w:t>−20,62</w:t>
            </w:r>
          </w:p>
        </w:tc>
        <w:tc>
          <w:tcPr>
            <w:tcW w:w="1842" w:type="dxa"/>
          </w:tcPr>
          <w:p w:rsidR="000A67E0" w:rsidRPr="00622D62" w:rsidRDefault="000A67E0" w:rsidP="007C6822">
            <w:pPr>
              <w:pStyle w:val="Tabletext"/>
              <w:ind w:right="112"/>
              <w:jc w:val="right"/>
              <w:rPr>
                <w:sz w:val="18"/>
                <w:szCs w:val="18"/>
                <w:lang w:eastAsia="zh-CN"/>
              </w:rPr>
            </w:pPr>
            <w:r w:rsidRPr="00622D62">
              <w:rPr>
                <w:sz w:val="18"/>
                <w:szCs w:val="18"/>
                <w:lang w:eastAsia="zh-CN"/>
              </w:rPr>
              <w:t>0,67</w:t>
            </w:r>
          </w:p>
        </w:tc>
      </w:tr>
      <w:tr w:rsidR="000A67E0" w:rsidRPr="00622D62" w:rsidTr="007C6822">
        <w:trPr>
          <w:trHeight w:val="290"/>
        </w:trPr>
        <w:tc>
          <w:tcPr>
            <w:tcW w:w="1873" w:type="dxa"/>
            <w:shd w:val="clear" w:color="auto" w:fill="DBE5F1" w:themeFill="accent1" w:themeFillTint="33"/>
          </w:tcPr>
          <w:p w:rsidR="000A67E0" w:rsidRPr="00622D62" w:rsidRDefault="000A67E0" w:rsidP="007C6822">
            <w:pPr>
              <w:pStyle w:val="Tabletext"/>
              <w:rPr>
                <w:sz w:val="18"/>
                <w:szCs w:val="18"/>
                <w:lang w:eastAsia="zh-CN"/>
              </w:rPr>
            </w:pPr>
            <w:r w:rsidRPr="00622D62">
              <w:rPr>
                <w:sz w:val="18"/>
                <w:szCs w:val="18"/>
                <w:lang w:eastAsia="zh-CN"/>
              </w:rPr>
              <w:t>Gastos</w:t>
            </w:r>
          </w:p>
        </w:tc>
        <w:tc>
          <w:tcPr>
            <w:tcW w:w="1276" w:type="dxa"/>
            <w:shd w:val="clear" w:color="auto" w:fill="DBE5F1" w:themeFill="accent1" w:themeFillTint="33"/>
          </w:tcPr>
          <w:p w:rsidR="000A67E0" w:rsidRPr="00622D62" w:rsidRDefault="000A67E0" w:rsidP="007C6822">
            <w:pPr>
              <w:pStyle w:val="Tabletext"/>
              <w:ind w:right="111"/>
              <w:jc w:val="right"/>
              <w:rPr>
                <w:sz w:val="18"/>
                <w:szCs w:val="18"/>
                <w:lang w:eastAsia="zh-CN"/>
              </w:rPr>
            </w:pPr>
            <w:r w:rsidRPr="00622D62">
              <w:rPr>
                <w:sz w:val="18"/>
                <w:szCs w:val="18"/>
                <w:lang w:eastAsia="zh-CN"/>
              </w:rPr>
              <w:t>11 483 500</w:t>
            </w:r>
          </w:p>
        </w:tc>
        <w:tc>
          <w:tcPr>
            <w:tcW w:w="1559" w:type="dxa"/>
            <w:shd w:val="clear" w:color="auto" w:fill="DBE5F1" w:themeFill="accent1" w:themeFillTint="33"/>
          </w:tcPr>
          <w:p w:rsidR="000A67E0" w:rsidRPr="00622D62" w:rsidRDefault="000A67E0" w:rsidP="007C6822">
            <w:pPr>
              <w:pStyle w:val="Tabletext"/>
              <w:ind w:right="112"/>
              <w:jc w:val="right"/>
              <w:rPr>
                <w:sz w:val="18"/>
                <w:szCs w:val="18"/>
                <w:lang w:eastAsia="zh-CN"/>
              </w:rPr>
            </w:pPr>
            <w:r w:rsidRPr="00622D62">
              <w:rPr>
                <w:sz w:val="18"/>
                <w:szCs w:val="18"/>
                <w:lang w:eastAsia="zh-CN"/>
              </w:rPr>
              <w:t>9 431 500</w:t>
            </w:r>
          </w:p>
        </w:tc>
        <w:tc>
          <w:tcPr>
            <w:tcW w:w="1276" w:type="dxa"/>
            <w:shd w:val="clear" w:color="auto" w:fill="DBE5F1" w:themeFill="accent1" w:themeFillTint="33"/>
          </w:tcPr>
          <w:p w:rsidR="000A67E0" w:rsidRPr="00622D62" w:rsidRDefault="000A67E0" w:rsidP="007C6822">
            <w:pPr>
              <w:pStyle w:val="Tabletext"/>
              <w:ind w:right="112"/>
              <w:jc w:val="right"/>
              <w:rPr>
                <w:sz w:val="18"/>
                <w:szCs w:val="18"/>
                <w:lang w:eastAsia="zh-CN"/>
              </w:rPr>
            </w:pPr>
            <w:r w:rsidRPr="00622D62">
              <w:rPr>
                <w:sz w:val="18"/>
                <w:szCs w:val="18"/>
                <w:lang w:eastAsia="zh-CN"/>
              </w:rPr>
              <w:t>8 740 564,52</w:t>
            </w:r>
          </w:p>
        </w:tc>
        <w:tc>
          <w:tcPr>
            <w:tcW w:w="1843" w:type="dxa"/>
            <w:shd w:val="clear" w:color="auto" w:fill="DBE5F1" w:themeFill="accent1" w:themeFillTint="33"/>
          </w:tcPr>
          <w:p w:rsidR="000A67E0" w:rsidRPr="00622D62" w:rsidRDefault="000A67E0" w:rsidP="007C6822">
            <w:pPr>
              <w:pStyle w:val="Tabletext"/>
              <w:ind w:right="112"/>
              <w:jc w:val="right"/>
              <w:rPr>
                <w:sz w:val="18"/>
                <w:szCs w:val="18"/>
                <w:lang w:eastAsia="zh-CN"/>
              </w:rPr>
            </w:pPr>
            <w:r w:rsidRPr="00622D62">
              <w:rPr>
                <w:sz w:val="18"/>
                <w:szCs w:val="18"/>
                <w:lang w:eastAsia="zh-CN"/>
              </w:rPr>
              <w:t>−23,89</w:t>
            </w:r>
          </w:p>
        </w:tc>
        <w:tc>
          <w:tcPr>
            <w:tcW w:w="1842" w:type="dxa"/>
            <w:shd w:val="clear" w:color="auto" w:fill="DBE5F1" w:themeFill="accent1" w:themeFillTint="33"/>
          </w:tcPr>
          <w:p w:rsidR="000A67E0" w:rsidRPr="00622D62" w:rsidRDefault="000A67E0" w:rsidP="007C6822">
            <w:pPr>
              <w:pStyle w:val="Tabletext"/>
              <w:ind w:right="112"/>
              <w:jc w:val="right"/>
              <w:rPr>
                <w:sz w:val="18"/>
                <w:szCs w:val="18"/>
                <w:lang w:eastAsia="zh-CN"/>
              </w:rPr>
            </w:pPr>
            <w:r w:rsidRPr="00622D62">
              <w:rPr>
                <w:sz w:val="18"/>
                <w:szCs w:val="18"/>
                <w:lang w:eastAsia="zh-CN"/>
              </w:rPr>
              <w:t>−7,33</w:t>
            </w:r>
          </w:p>
        </w:tc>
      </w:tr>
      <w:tr w:rsidR="000A67E0" w:rsidRPr="00622D62" w:rsidTr="007C6822">
        <w:trPr>
          <w:trHeight w:val="290"/>
        </w:trPr>
        <w:tc>
          <w:tcPr>
            <w:tcW w:w="1873" w:type="dxa"/>
            <w:shd w:val="clear" w:color="auto" w:fill="DBE5F1" w:themeFill="accent1" w:themeFillTint="33"/>
          </w:tcPr>
          <w:p w:rsidR="000A67E0" w:rsidRPr="00622D62" w:rsidRDefault="000A67E0" w:rsidP="007C6822">
            <w:pPr>
              <w:pStyle w:val="Tabletext"/>
              <w:rPr>
                <w:i/>
                <w:iCs/>
                <w:sz w:val="18"/>
                <w:szCs w:val="18"/>
                <w:lang w:eastAsia="zh-CN"/>
              </w:rPr>
            </w:pPr>
            <w:r w:rsidRPr="00622D62">
              <w:rPr>
                <w:i/>
                <w:iCs/>
                <w:sz w:val="18"/>
                <w:szCs w:val="18"/>
                <w:lang w:eastAsia="zh-CN"/>
              </w:rPr>
              <w:t>Gastos directos</w:t>
            </w:r>
          </w:p>
        </w:tc>
        <w:tc>
          <w:tcPr>
            <w:tcW w:w="1276" w:type="dxa"/>
            <w:shd w:val="clear" w:color="auto" w:fill="DBE5F1" w:themeFill="accent1" w:themeFillTint="33"/>
          </w:tcPr>
          <w:p w:rsidR="000A67E0" w:rsidRPr="00622D62" w:rsidRDefault="000A67E0" w:rsidP="007C6822">
            <w:pPr>
              <w:pStyle w:val="Tabletext"/>
              <w:ind w:right="111"/>
              <w:jc w:val="right"/>
              <w:rPr>
                <w:i/>
                <w:iCs/>
                <w:sz w:val="18"/>
                <w:szCs w:val="18"/>
                <w:lang w:eastAsia="zh-CN"/>
              </w:rPr>
            </w:pPr>
            <w:r w:rsidRPr="00622D62">
              <w:rPr>
                <w:i/>
                <w:iCs/>
                <w:sz w:val="18"/>
                <w:szCs w:val="18"/>
                <w:lang w:eastAsia="zh-CN"/>
              </w:rPr>
              <w:t>6 635 500</w:t>
            </w:r>
          </w:p>
        </w:tc>
        <w:tc>
          <w:tcPr>
            <w:tcW w:w="1559"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5 031 500</w:t>
            </w:r>
          </w:p>
        </w:tc>
        <w:tc>
          <w:tcPr>
            <w:tcW w:w="1276"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4 481 624,03</w:t>
            </w:r>
          </w:p>
        </w:tc>
        <w:tc>
          <w:tcPr>
            <w:tcW w:w="1843"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−32,46</w:t>
            </w:r>
          </w:p>
        </w:tc>
        <w:tc>
          <w:tcPr>
            <w:tcW w:w="1842"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−10,93</w:t>
            </w:r>
          </w:p>
        </w:tc>
      </w:tr>
      <w:tr w:rsidR="000A67E0" w:rsidRPr="00622D62" w:rsidTr="007C6822">
        <w:trPr>
          <w:trHeight w:val="290"/>
        </w:trPr>
        <w:tc>
          <w:tcPr>
            <w:tcW w:w="1873" w:type="dxa"/>
            <w:shd w:val="clear" w:color="auto" w:fill="DBE5F1" w:themeFill="accent1" w:themeFillTint="33"/>
          </w:tcPr>
          <w:p w:rsidR="000A67E0" w:rsidRPr="00622D62" w:rsidRDefault="000A67E0" w:rsidP="000A67E0">
            <w:pPr>
              <w:pStyle w:val="Tabletext"/>
              <w:rPr>
                <w:i/>
                <w:iCs/>
                <w:sz w:val="18"/>
                <w:szCs w:val="18"/>
                <w:lang w:eastAsia="zh-CN"/>
              </w:rPr>
            </w:pPr>
            <w:r w:rsidRPr="00622D62">
              <w:rPr>
                <w:i/>
                <w:iCs/>
                <w:sz w:val="18"/>
                <w:szCs w:val="18"/>
                <w:lang w:eastAsia="zh-CN"/>
              </w:rPr>
              <w:t>Gastos principales</w:t>
            </w:r>
          </w:p>
        </w:tc>
        <w:tc>
          <w:tcPr>
            <w:tcW w:w="1276" w:type="dxa"/>
            <w:shd w:val="clear" w:color="auto" w:fill="DBE5F1" w:themeFill="accent1" w:themeFillTint="33"/>
          </w:tcPr>
          <w:p w:rsidR="000A67E0" w:rsidRPr="00622D62" w:rsidRDefault="000A67E0" w:rsidP="007C6822">
            <w:pPr>
              <w:pStyle w:val="Tabletext"/>
              <w:ind w:right="111"/>
              <w:jc w:val="right"/>
              <w:rPr>
                <w:i/>
                <w:iCs/>
                <w:sz w:val="18"/>
                <w:szCs w:val="18"/>
                <w:lang w:eastAsia="zh-CN"/>
              </w:rPr>
            </w:pPr>
            <w:r w:rsidRPr="00622D62">
              <w:rPr>
                <w:i/>
                <w:iCs/>
                <w:sz w:val="18"/>
                <w:szCs w:val="18"/>
                <w:lang w:eastAsia="zh-CN"/>
              </w:rPr>
              <w:t>4 848 000</w:t>
            </w:r>
          </w:p>
        </w:tc>
        <w:tc>
          <w:tcPr>
            <w:tcW w:w="1559"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4 400 000</w:t>
            </w:r>
          </w:p>
        </w:tc>
        <w:tc>
          <w:tcPr>
            <w:tcW w:w="1276"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4 258 940,46</w:t>
            </w:r>
          </w:p>
        </w:tc>
        <w:tc>
          <w:tcPr>
            <w:tcW w:w="1843"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−12,15</w:t>
            </w:r>
          </w:p>
        </w:tc>
        <w:tc>
          <w:tcPr>
            <w:tcW w:w="1842" w:type="dxa"/>
            <w:shd w:val="clear" w:color="auto" w:fill="DBE5F1" w:themeFill="accent1" w:themeFillTint="33"/>
          </w:tcPr>
          <w:p w:rsidR="000A67E0" w:rsidRPr="00622D62" w:rsidRDefault="000A67E0" w:rsidP="007C6822">
            <w:pPr>
              <w:pStyle w:val="Tabletext"/>
              <w:ind w:right="112"/>
              <w:jc w:val="right"/>
              <w:rPr>
                <w:i/>
                <w:iCs/>
                <w:sz w:val="18"/>
                <w:szCs w:val="18"/>
                <w:lang w:eastAsia="zh-CN"/>
              </w:rPr>
            </w:pPr>
            <w:r w:rsidRPr="00622D62">
              <w:rPr>
                <w:i/>
                <w:iCs/>
                <w:sz w:val="18"/>
                <w:szCs w:val="18"/>
                <w:lang w:eastAsia="zh-CN"/>
              </w:rPr>
              <w:t>−3,21</w:t>
            </w:r>
          </w:p>
        </w:tc>
      </w:tr>
      <w:tr w:rsidR="000A67E0" w:rsidRPr="00622D62" w:rsidTr="007C6822">
        <w:trPr>
          <w:trHeight w:val="290"/>
        </w:trPr>
        <w:tc>
          <w:tcPr>
            <w:tcW w:w="1873" w:type="dxa"/>
          </w:tcPr>
          <w:p w:rsidR="000A67E0" w:rsidRPr="00622D62" w:rsidRDefault="000A67E0" w:rsidP="007C6822">
            <w:pPr>
              <w:pStyle w:val="Tabletext"/>
              <w:rPr>
                <w:b/>
                <w:bCs/>
                <w:sz w:val="18"/>
                <w:szCs w:val="18"/>
                <w:lang w:eastAsia="zh-CN"/>
              </w:rPr>
            </w:pPr>
            <w:r w:rsidRPr="00622D62">
              <w:rPr>
                <w:b/>
                <w:bCs/>
                <w:sz w:val="18"/>
                <w:szCs w:val="18"/>
                <w:lang w:eastAsia="zh-CN"/>
              </w:rPr>
              <w:t>Resultado neto</w:t>
            </w:r>
          </w:p>
        </w:tc>
        <w:tc>
          <w:tcPr>
            <w:tcW w:w="1276" w:type="dxa"/>
          </w:tcPr>
          <w:p w:rsidR="000A67E0" w:rsidRPr="00622D62" w:rsidRDefault="000A67E0" w:rsidP="007C6822">
            <w:pPr>
              <w:pStyle w:val="Tabletext"/>
              <w:ind w:right="111"/>
              <w:jc w:val="right"/>
              <w:rPr>
                <w:b/>
                <w:bCs/>
                <w:sz w:val="18"/>
                <w:szCs w:val="18"/>
                <w:lang w:eastAsia="zh-CN"/>
              </w:rPr>
            </w:pPr>
            <w:r w:rsidRPr="00622D62">
              <w:rPr>
                <w:b/>
                <w:bCs/>
                <w:sz w:val="18"/>
                <w:szCs w:val="18"/>
                <w:lang w:eastAsia="zh-CN"/>
              </w:rPr>
              <w:t>516 500</w:t>
            </w:r>
          </w:p>
        </w:tc>
        <w:tc>
          <w:tcPr>
            <w:tcW w:w="1559" w:type="dxa"/>
          </w:tcPr>
          <w:p w:rsidR="000A67E0" w:rsidRPr="00622D62" w:rsidRDefault="000A67E0" w:rsidP="007C6822">
            <w:pPr>
              <w:pStyle w:val="Tabletext"/>
              <w:ind w:right="112"/>
              <w:jc w:val="right"/>
              <w:rPr>
                <w:b/>
                <w:bCs/>
                <w:sz w:val="18"/>
                <w:szCs w:val="18"/>
                <w:lang w:eastAsia="zh-CN"/>
              </w:rPr>
            </w:pPr>
            <w:r w:rsidRPr="00622D62">
              <w:rPr>
                <w:b/>
                <w:bCs/>
                <w:sz w:val="18"/>
                <w:szCs w:val="18"/>
                <w:lang w:eastAsia="zh-CN"/>
              </w:rPr>
              <w:t>30 500</w:t>
            </w:r>
          </w:p>
        </w:tc>
        <w:tc>
          <w:tcPr>
            <w:tcW w:w="1276" w:type="dxa"/>
          </w:tcPr>
          <w:p w:rsidR="000A67E0" w:rsidRPr="00622D62" w:rsidRDefault="000A67E0" w:rsidP="007C6822">
            <w:pPr>
              <w:pStyle w:val="Tabletext"/>
              <w:ind w:right="112"/>
              <w:jc w:val="right"/>
              <w:rPr>
                <w:b/>
                <w:bCs/>
                <w:sz w:val="18"/>
                <w:szCs w:val="18"/>
                <w:lang w:eastAsia="zh-CN"/>
              </w:rPr>
            </w:pPr>
            <w:r w:rsidRPr="00622D62">
              <w:rPr>
                <w:b/>
                <w:bCs/>
                <w:sz w:val="18"/>
                <w:szCs w:val="18"/>
                <w:lang w:eastAsia="zh-CN"/>
              </w:rPr>
              <w:t>784 505,76</w:t>
            </w:r>
          </w:p>
        </w:tc>
        <w:tc>
          <w:tcPr>
            <w:tcW w:w="1843" w:type="dxa"/>
          </w:tcPr>
          <w:p w:rsidR="000A67E0" w:rsidRPr="00622D62" w:rsidRDefault="000A67E0" w:rsidP="007C6822">
            <w:pPr>
              <w:pStyle w:val="Tabletext"/>
              <w:ind w:right="112"/>
              <w:jc w:val="right"/>
              <w:rPr>
                <w:b/>
                <w:bCs/>
                <w:sz w:val="18"/>
                <w:szCs w:val="18"/>
                <w:lang w:eastAsia="zh-CN"/>
              </w:rPr>
            </w:pPr>
            <w:r w:rsidRPr="00622D62">
              <w:rPr>
                <w:b/>
                <w:bCs/>
                <w:sz w:val="18"/>
                <w:szCs w:val="18"/>
                <w:lang w:eastAsia="zh-CN"/>
              </w:rPr>
              <w:t>51,89</w:t>
            </w:r>
          </w:p>
        </w:tc>
        <w:tc>
          <w:tcPr>
            <w:tcW w:w="1842" w:type="dxa"/>
          </w:tcPr>
          <w:p w:rsidR="000A67E0" w:rsidRPr="00622D62" w:rsidRDefault="000A67E0" w:rsidP="007C6822">
            <w:pPr>
              <w:pStyle w:val="Tabletext"/>
              <w:ind w:right="112"/>
              <w:jc w:val="right"/>
              <w:rPr>
                <w:b/>
                <w:bCs/>
                <w:sz w:val="18"/>
                <w:szCs w:val="18"/>
                <w:lang w:eastAsia="zh-CN"/>
              </w:rPr>
            </w:pPr>
            <w:r w:rsidRPr="00622D62">
              <w:rPr>
                <w:b/>
                <w:bCs/>
                <w:sz w:val="18"/>
                <w:szCs w:val="18"/>
                <w:lang w:eastAsia="zh-CN"/>
              </w:rPr>
              <w:t>2 472,15</w:t>
            </w:r>
          </w:p>
        </w:tc>
      </w:tr>
    </w:tbl>
    <w:p w:rsidR="000A67E0" w:rsidRPr="00622D62" w:rsidRDefault="000A67E0" w:rsidP="000A67E0">
      <w:pPr>
        <w:tabs>
          <w:tab w:val="clear" w:pos="567"/>
          <w:tab w:val="clear" w:pos="1134"/>
          <w:tab w:val="clear" w:pos="1701"/>
          <w:tab w:val="clear" w:pos="2268"/>
          <w:tab w:val="clear" w:pos="2835"/>
        </w:tabs>
        <w:overflowPunct/>
        <w:autoSpaceDE/>
        <w:autoSpaceDN/>
        <w:textAlignment w:val="auto"/>
      </w:pPr>
    </w:p>
    <w:p w:rsidR="00D86E44" w:rsidRPr="00622D62" w:rsidRDefault="00D86E44" w:rsidP="00062B49">
      <w:r w:rsidRPr="00622D62">
        <w:t>19</w:t>
      </w:r>
      <w:r w:rsidRPr="00622D62">
        <w:tab/>
        <w:t>Si se comparan los resultados netos entre la cantidad real y la cantidad presupuestada revisada se observa una variación importante, principalmente debida a ciertos ahorros logrados en los gastos directos. Respecto de si consideramos necesario que el presupuesto se redacte con mayor precisión, sírvase remitirse al párrafo 29.</w:t>
      </w:r>
    </w:p>
    <w:p w:rsidR="00D86E44" w:rsidRPr="00622D62" w:rsidRDefault="00D86E44" w:rsidP="00D86E44">
      <w:pPr>
        <w:pStyle w:val="Headingb"/>
      </w:pPr>
      <w:bookmarkStart w:id="43" w:name="_Toc357681311"/>
      <w:bookmarkStart w:id="44" w:name="_Toc400028319"/>
      <w:bookmarkStart w:id="45" w:name="_Toc400093941"/>
      <w:bookmarkStart w:id="46" w:name="_Toc419472992"/>
      <w:r w:rsidRPr="00622D62">
        <w:t>Fondo de Operaciones de las Exposiciones</w:t>
      </w:r>
      <w:bookmarkEnd w:id="43"/>
      <w:bookmarkEnd w:id="44"/>
      <w:bookmarkEnd w:id="45"/>
      <w:bookmarkEnd w:id="46"/>
    </w:p>
    <w:p w:rsidR="00D86E44" w:rsidRPr="00622D62" w:rsidRDefault="00D86E44" w:rsidP="00D86E44">
      <w:r w:rsidRPr="00622D62">
        <w:t>20</w:t>
      </w:r>
      <w:r w:rsidRPr="00622D62">
        <w:tab/>
        <w:t>De conformidad con lo previsto en el párrafo 4 del Artículo 19 del Reglamento Financiero de la UIT, todo excedente de ingresos o de gastos resultante de exposiciones mundiales o regionales será transferido a un Fondo de Operaciones de las Exposiciones.</w:t>
      </w:r>
    </w:p>
    <w:p w:rsidR="00D86E44" w:rsidRPr="00622D62" w:rsidRDefault="00D86E44" w:rsidP="007D4BED">
      <w:r w:rsidRPr="00622D62">
        <w:t>21</w:t>
      </w:r>
      <w:r w:rsidRPr="00622D62">
        <w:tab/>
        <w:t>El resultado positivo de ITU Telecom World 2014 mejoró el balance del Fondo de Operaciones de las Exposiciones. Teniendo en cuenta también que se retiraron 2 millones USD (1</w:t>
      </w:r>
      <w:r w:rsidR="007041D4" w:rsidRPr="00622D62">
        <w:t> </w:t>
      </w:r>
      <w:r w:rsidRPr="00622D62">
        <w:t>820 018,2 CHF) en favor del Fondo para el Desarrollo de las TIC en agosto de 2014, el nivel del Fondo de Operaciones de las Exposiciones se mantenía ligeramente por debajo de 9 millones CHF al 31 de diciembre de 2014.</w:t>
      </w:r>
    </w:p>
    <w:p w:rsidR="00D86E44" w:rsidRPr="00622D62" w:rsidRDefault="00D86E44" w:rsidP="00D86E44">
      <w:r w:rsidRPr="00622D62">
        <w:t>22</w:t>
      </w:r>
      <w:r w:rsidRPr="00622D62">
        <w:tab/>
        <w:t>A continuación se indica la evolución del saldo del Fondo de Operaciones de las Exposiciones al 31 de diciembre de</w:t>
      </w:r>
      <w:r w:rsidR="00063AD3" w:rsidRPr="00622D62">
        <w:t xml:space="preserve"> los últimos seis años:</w:t>
      </w:r>
    </w:p>
    <w:p w:rsidR="00D86E44" w:rsidRPr="00622D62" w:rsidRDefault="00D86E44" w:rsidP="00A87251">
      <w:pPr>
        <w:keepNext/>
        <w:ind w:left="6946"/>
        <w:rPr>
          <w:rFonts w:eastAsia="Batang"/>
          <w:sz w:val="18"/>
          <w:szCs w:val="18"/>
        </w:rPr>
      </w:pPr>
      <w:r w:rsidRPr="00622D62">
        <w:rPr>
          <w:rFonts w:eastAsia="Batang"/>
          <w:sz w:val="18"/>
          <w:szCs w:val="18"/>
        </w:rPr>
        <w:t>(en millones CHF)</w:t>
      </w:r>
    </w:p>
    <w:p w:rsidR="00D86E44" w:rsidRPr="00622D62" w:rsidRDefault="00D86E44" w:rsidP="007041D4">
      <w:pPr>
        <w:spacing w:before="60"/>
        <w:jc w:val="center"/>
      </w:pPr>
      <w:r w:rsidRPr="00622D62">
        <w:rPr>
          <w:noProof/>
          <w:lang w:val="en-US" w:eastAsia="zh-CN"/>
        </w:rPr>
        <w:drawing>
          <wp:inline distT="0" distB="0" distL="0" distR="0" wp14:anchorId="7AFD9577" wp14:editId="6D5BF143">
            <wp:extent cx="4607560" cy="1801836"/>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2349" cy="1819351"/>
                    </a:xfrm>
                    <a:prstGeom prst="rect">
                      <a:avLst/>
                    </a:prstGeom>
                    <a:noFill/>
                  </pic:spPr>
                </pic:pic>
              </a:graphicData>
            </a:graphic>
          </wp:inline>
        </w:drawing>
      </w:r>
    </w:p>
    <w:p w:rsidR="00D86E44" w:rsidRPr="00622D62" w:rsidRDefault="00D86E44" w:rsidP="007041D4">
      <w:pPr>
        <w:jc w:val="center"/>
      </w:pPr>
      <w:r w:rsidRPr="00622D62">
        <w:rPr>
          <w:noProof/>
          <w:lang w:val="en-US" w:eastAsia="zh-CN"/>
        </w:rPr>
        <w:drawing>
          <wp:inline distT="0" distB="0" distL="0" distR="0" wp14:anchorId="3D64FC71" wp14:editId="66354680">
            <wp:extent cx="4559935"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231775"/>
                    </a:xfrm>
                    <a:prstGeom prst="rect">
                      <a:avLst/>
                    </a:prstGeom>
                    <a:noFill/>
                  </pic:spPr>
                </pic:pic>
              </a:graphicData>
            </a:graphic>
          </wp:inline>
        </w:drawing>
      </w:r>
    </w:p>
    <w:p w:rsidR="00D86E44" w:rsidRPr="00622D62" w:rsidRDefault="00D86E44" w:rsidP="00D86E44">
      <w:pPr>
        <w:pStyle w:val="Headingb"/>
      </w:pPr>
      <w:bookmarkStart w:id="47" w:name="_Toc400028320"/>
      <w:bookmarkStart w:id="48" w:name="_Toc400093942"/>
      <w:bookmarkStart w:id="49" w:name="_Toc419472993"/>
      <w:r w:rsidRPr="00622D62">
        <w:lastRenderedPageBreak/>
        <w:t>Cambios pertinentes, revisión del presupuesto y resultados reales</w:t>
      </w:r>
      <w:bookmarkEnd w:id="47"/>
      <w:bookmarkEnd w:id="48"/>
      <w:bookmarkEnd w:id="49"/>
    </w:p>
    <w:p w:rsidR="00D86E44" w:rsidRPr="00622D62" w:rsidRDefault="00D86E44" w:rsidP="00755DFE">
      <w:r w:rsidRPr="00622D62">
        <w:t>23</w:t>
      </w:r>
      <w:r w:rsidRPr="00622D62">
        <w:tab/>
        <w:t xml:space="preserve">El Artículo 1 del Capítulo X del </w:t>
      </w:r>
      <w:r w:rsidR="00755DFE" w:rsidRPr="00622D62">
        <w:t>Manual de Reglas y Procedimientos Financieros de TELECOM</w:t>
      </w:r>
      <w:r w:rsidR="00755DFE" w:rsidRPr="00622D62">
        <w:rPr>
          <w:i/>
          <w:iCs/>
        </w:rPr>
        <w:t xml:space="preserve"> </w:t>
      </w:r>
      <w:r w:rsidRPr="00622D62">
        <w:t>(</w:t>
      </w:r>
      <w:r w:rsidR="00755DFE" w:rsidRPr="00622D62">
        <w:rPr>
          <w:i/>
          <w:iCs/>
        </w:rPr>
        <w:t>TELECOM Handbook of Financial Rules and Procedures</w:t>
      </w:r>
      <w:r w:rsidRPr="00622D62">
        <w:t>) establece que "el Secretario General elaborará, aprobará y firmará el presupuesto de cada exposición, foro u otro evento Telecom a más tardar seis meses antes de su fecha de inauguración". El presupuesto para ITU Telecom World 2014 fue aprobado el 9 de junio de 2014.</w:t>
      </w:r>
    </w:p>
    <w:p w:rsidR="00D86E44" w:rsidRPr="00622D62" w:rsidRDefault="00D86E44" w:rsidP="00D86E44">
      <w:r w:rsidRPr="00622D62">
        <w:t>24</w:t>
      </w:r>
      <w:r w:rsidRPr="00622D62">
        <w:tab/>
        <w:t>Según el Artículo 4 del Capítulo X del Manual de Reglas y Procedimientos Financieros de TELECOM "el presupuesto se revisará si se prevén cambios significativos, a más tardar un mes antes de la inauguración del evento".</w:t>
      </w:r>
    </w:p>
    <w:p w:rsidR="00D86E44" w:rsidRPr="00622D62" w:rsidRDefault="00D86E44" w:rsidP="00D86E44">
      <w:r w:rsidRPr="00622D62">
        <w:t>25</w:t>
      </w:r>
      <w:r w:rsidRPr="00622D62">
        <w:tab/>
        <w:t>El 31 de octubre de 2014 se aprobó un presupuesto revisado debido a las importantes variaciones registradas en las estimaciones de los ingresos y los gastos en el presupuesto inicial. En esa fecha, todavía no se había firmado el Acuerdo con el país anfitrión.</w:t>
      </w:r>
    </w:p>
    <w:p w:rsidR="00D86E44" w:rsidRPr="00622D62" w:rsidRDefault="00D86E44" w:rsidP="00D86E44">
      <w:r w:rsidRPr="00622D62">
        <w:t>26</w:t>
      </w:r>
      <w:r w:rsidRPr="00622D62">
        <w:tab/>
        <w:t>Se han observado muchas variaciones como consecuencia de las modificaciones introducidas en el proyecto de acuerdo. La comparación del presupuesto con los costes reales es una herramienta fundamental para orientar las políticas y para una rendición de cuentas más clara, así como para ayudar al Secretario General a cumplir con su deber, tal y como recomendamos en nuestros informes anteriores.</w:t>
      </w:r>
    </w:p>
    <w:p w:rsidR="00D86E44" w:rsidRPr="00622D62" w:rsidRDefault="00D86E44" w:rsidP="00D86E44">
      <w:r w:rsidRPr="00622D62">
        <w:t>27</w:t>
      </w:r>
      <w:r w:rsidRPr="00622D62">
        <w:tab/>
        <w:t xml:space="preserve">Como se indica </w:t>
      </w:r>
      <w:r w:rsidRPr="00622D62">
        <w:rPr>
          <w:i/>
          <w:iCs/>
        </w:rPr>
        <w:t>supra</w:t>
      </w:r>
      <w:r w:rsidRPr="00622D62">
        <w:t xml:space="preserve">, mientras se registró una variación </w:t>
      </w:r>
      <w:r w:rsidR="00870103" w:rsidRPr="00622D62">
        <w:t>de –</w:t>
      </w:r>
      <w:r w:rsidRPr="00622D62">
        <w:t>20,6% entre los ingresos reales y los ingresos inicialmente presupuestados, la variación con respecto a la cantidad presupuesta</w:t>
      </w:r>
      <w:r w:rsidR="008E19F3" w:rsidRPr="00622D62">
        <w:t xml:space="preserve">da revisada era sólo del 0,7%. </w:t>
      </w:r>
      <w:r w:rsidRPr="00622D62">
        <w:t>En el evento anterior, la variación en relac</w:t>
      </w:r>
      <w:r w:rsidR="000C19F9" w:rsidRPr="00622D62">
        <w:t xml:space="preserve">ión con los ingresos fue del </w:t>
      </w:r>
      <w:r w:rsidR="000C19F9" w:rsidRPr="00622D62">
        <w:br/>
        <w:t>–</w:t>
      </w:r>
      <w:r w:rsidRPr="00622D62">
        <w:t>4% y del 9%, respectivamente. Reconocemos que la mejora registrada es importante y que esta mayor exactitud se ha logrado en parte gracias a la Recomendación 1 que formulamos en nuestro informe el año pasado (véase el Anexo 1 – Cuadro de seguimiento).</w:t>
      </w:r>
    </w:p>
    <w:p w:rsidR="00D86E44" w:rsidRPr="00622D62" w:rsidRDefault="00D86E44" w:rsidP="002A7BE4">
      <w:r w:rsidRPr="00622D62">
        <w:t>28</w:t>
      </w:r>
      <w:r w:rsidRPr="00622D62">
        <w:tab/>
        <w:t>Se registró una variación de</w:t>
      </w:r>
      <w:r w:rsidR="000E62B7" w:rsidRPr="00622D62">
        <w:t>l</w:t>
      </w:r>
      <w:r w:rsidRPr="00622D62">
        <w:t xml:space="preserve"> </w:t>
      </w:r>
      <w:r w:rsidR="002A7BE4" w:rsidRPr="00622D62">
        <w:t>–</w:t>
      </w:r>
      <w:r w:rsidRPr="00622D62">
        <w:t>23,9% entre los gastos reales y la cantidad inicialmente presupuestada, y de</w:t>
      </w:r>
      <w:r w:rsidR="004976D1" w:rsidRPr="00622D62">
        <w:t>l</w:t>
      </w:r>
      <w:r w:rsidRPr="00622D62">
        <w:t xml:space="preserve"> </w:t>
      </w:r>
      <w:r w:rsidR="002A7BE4" w:rsidRPr="00622D62">
        <w:t>–</w:t>
      </w:r>
      <w:r w:rsidRPr="00622D62">
        <w:t>7,3% entre los gastos reales y la cantidad presupuestada revisada. En el evento anterior, la variación entre los gastos reales y los presupuestados, y entre los gastos reales y la cantidad presupuestada revisada fue de</w:t>
      </w:r>
      <w:r w:rsidR="00166356" w:rsidRPr="00622D62">
        <w:t>l</w:t>
      </w:r>
      <w:r w:rsidRPr="00622D62">
        <w:t xml:space="preserve"> </w:t>
      </w:r>
      <w:r w:rsidR="007041D4" w:rsidRPr="00622D62">
        <w:t>–</w:t>
      </w:r>
      <w:r w:rsidRPr="00622D62">
        <w:t xml:space="preserve">16% y </w:t>
      </w:r>
      <w:r w:rsidR="002A7BE4" w:rsidRPr="00622D62">
        <w:t>–</w:t>
      </w:r>
      <w:r w:rsidRPr="00622D62">
        <w:t>2%, respectivamente. Estas diferencias se tendrán debidamente en cuenta en el seguimiento de la Recomendación antes mencionada.</w:t>
      </w:r>
    </w:p>
    <w:p w:rsidR="00D86E44" w:rsidRPr="00622D62" w:rsidRDefault="00D86E44" w:rsidP="00A92690">
      <w:pPr>
        <w:pStyle w:val="Headingb"/>
        <w:rPr>
          <w:rFonts w:eastAsia="Calibri"/>
        </w:rPr>
      </w:pPr>
      <w:bookmarkStart w:id="50" w:name="_Toc417373385"/>
      <w:bookmarkStart w:id="51" w:name="_Toc419472994"/>
      <w:r w:rsidRPr="00622D62">
        <w:rPr>
          <w:rFonts w:eastAsia="Calibri"/>
        </w:rPr>
        <w:t>Cifras reales en el presupuesto revisado</w:t>
      </w:r>
      <w:bookmarkEnd w:id="50"/>
      <w:bookmarkEnd w:id="51"/>
    </w:p>
    <w:p w:rsidR="00D86E44" w:rsidRPr="00622D62" w:rsidRDefault="00D86E44" w:rsidP="00D86E44">
      <w:r w:rsidRPr="00622D62">
        <w:t>29</w:t>
      </w:r>
      <w:r w:rsidRPr="00622D62">
        <w:tab/>
        <w:t>La copia del presupuesto revisado elaborado por la División de Presupuesto y Análisis Financiero contiene notas manuscritas respaldadas por documentos SAP en las que se indican las cifras reales disponibles en la fecha de elaboración del presupuesto revisado, junto con las cantidades presupuestadas. Esta buena práctica se ajusta a la que sugerimos en nuestro informe del año pasado (Sugerencia nº 1 de 2013, véase el Anexo 1), en el que mencionamos que cuando es necesario revisar un presupuesto, conviene indicar las cifras reales con la fecha de la revisión del presupuesto.</w:t>
      </w:r>
    </w:p>
    <w:p w:rsidR="00D86E44" w:rsidRPr="00622D62" w:rsidRDefault="00D86E44" w:rsidP="00D86E44">
      <w:r w:rsidRPr="00622D62">
        <w:t>30</w:t>
      </w:r>
      <w:r w:rsidRPr="00622D62">
        <w:tab/>
        <w:t xml:space="preserve">En lo que respecta a determinados ingresos, hemos observado que en el presupuesto revisado la cantidad indicada como </w:t>
      </w:r>
      <w:r w:rsidR="007041D4" w:rsidRPr="00622D62">
        <w:t>"</w:t>
      </w:r>
      <w:r w:rsidRPr="00622D62">
        <w:t>real</w:t>
      </w:r>
      <w:r w:rsidR="007041D4" w:rsidRPr="00622D62">
        <w:t>"</w:t>
      </w:r>
      <w:r w:rsidRPr="00622D62">
        <w:t xml:space="preserve"> con una fecha determinada era superior a la cantidad presupuestada. Esto se debe a que las cifras reales se habían obtenido directamente del SAP, sobre la base de una factura posteriormente anulada como se indica en el párrafo 32 </w:t>
      </w:r>
      <w:r w:rsidRPr="00622D62">
        <w:rPr>
          <w:i/>
          <w:iCs/>
        </w:rPr>
        <w:t>infra</w:t>
      </w:r>
      <w:r w:rsidRPr="00622D62">
        <w:t>.</w:t>
      </w:r>
    </w:p>
    <w:p w:rsidR="00D86E44" w:rsidRPr="00622D62" w:rsidRDefault="00D86E44" w:rsidP="00C04A66">
      <w:pPr>
        <w:pStyle w:val="Headingi"/>
        <w:rPr>
          <w:rFonts w:eastAsia="Batang"/>
          <w:b/>
          <w:bCs/>
        </w:rPr>
      </w:pPr>
      <w:bookmarkStart w:id="52" w:name="_Toc419472995"/>
      <w:bookmarkStart w:id="53" w:name="_Toc417373386"/>
      <w:r w:rsidRPr="00622D62">
        <w:rPr>
          <w:rFonts w:eastAsia="Batang"/>
          <w:b/>
          <w:bCs/>
        </w:rPr>
        <w:t>Emisión de facturas antes de la firma de un acuerdo de patrocinio</w:t>
      </w:r>
      <w:bookmarkEnd w:id="52"/>
      <w:bookmarkEnd w:id="53"/>
    </w:p>
    <w:p w:rsidR="00D86E44" w:rsidRPr="00622D62" w:rsidRDefault="00D86E44" w:rsidP="00D86E44">
      <w:r w:rsidRPr="00622D62">
        <w:t>31</w:t>
      </w:r>
      <w:r w:rsidRPr="00622D62">
        <w:tab/>
        <w:t xml:space="preserve">Hemos obtenido una factura de fecha 8 de octubre de 2014, nº 6100014670, emitida al recibo de 1 345 000 CHF del agente organizado en calidad de patrocinio, mientras que en el </w:t>
      </w:r>
      <w:r w:rsidRPr="00622D62">
        <w:lastRenderedPageBreak/>
        <w:t>presupuesto revisado y en las cifras reales aparece que, entre tanto, el país anfitrión había negociado otorgar una cantidad inferior, de 1 171 000 CHF, tal y como figura en la factura de 9 de diciembre de 2014 (factura nº 6100015479), que reemplazó la anterior.</w:t>
      </w:r>
    </w:p>
    <w:p w:rsidR="00D86E44" w:rsidRPr="00622D62" w:rsidRDefault="00D86E44" w:rsidP="009434C5">
      <w:pPr>
        <w:spacing w:after="120"/>
      </w:pPr>
      <w:r w:rsidRPr="00622D62">
        <w:t>32</w:t>
      </w:r>
      <w:r w:rsidRPr="00622D62">
        <w:tab/>
        <w:t>Observamos que la primera factura del agente organizador, por una cantidad superior, se emitió antes de la f</w:t>
      </w:r>
      <w:r w:rsidR="00A92690" w:rsidRPr="00622D62">
        <w:t>irma del acuerdo de patrocinio.</w:t>
      </w: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D86E44">
            <w:pPr>
              <w:rPr>
                <w:rFonts w:asciiTheme="minorHAnsi" w:eastAsia="Calibri" w:hAnsiTheme="minorHAnsi" w:cstheme="minorHAnsi"/>
                <w:b/>
                <w:bCs/>
                <w:szCs w:val="24"/>
              </w:rPr>
            </w:pPr>
            <w:r w:rsidRPr="00622D62">
              <w:rPr>
                <w:rFonts w:asciiTheme="minorHAnsi" w:eastAsia="Calibri" w:hAnsiTheme="minorHAnsi" w:cstheme="minorHAnsi"/>
                <w:b/>
                <w:bCs/>
                <w:szCs w:val="24"/>
              </w:rPr>
              <w:t>Sugerencia nº 1</w:t>
            </w:r>
          </w:p>
          <w:p w:rsidR="00A92690" w:rsidRPr="00622D62" w:rsidRDefault="00A92690" w:rsidP="009434C5">
            <w:pPr>
              <w:spacing w:after="120"/>
            </w:pPr>
            <w:r w:rsidRPr="00622D62">
              <w:rPr>
                <w:lang w:eastAsia="it-IT"/>
              </w:rPr>
              <w:t>33</w:t>
            </w:r>
            <w:r w:rsidRPr="00622D62">
              <w:rPr>
                <w:lang w:eastAsia="it-IT"/>
              </w:rPr>
              <w:tab/>
            </w:r>
            <w:r w:rsidRPr="00622D62">
              <w:rPr>
                <w:b/>
                <w:bCs/>
                <w:lang w:eastAsia="it-IT"/>
              </w:rPr>
              <w:t>Sugerimos</w:t>
            </w:r>
            <w:r w:rsidRPr="00622D62">
              <w:rPr>
                <w:lang w:eastAsia="it-IT"/>
              </w:rPr>
              <w:t xml:space="preserve"> a la Dirección que evite emitir facturas en el marco de patrocinios antes de firmar cualquier acuerdo</w:t>
            </w:r>
            <w:r w:rsidRPr="00622D62">
              <w:t xml:space="preserve"> de patrocinio.</w:t>
            </w:r>
          </w:p>
        </w:tc>
      </w:tr>
    </w:tbl>
    <w:p w:rsidR="00A92690" w:rsidRPr="00622D62" w:rsidRDefault="00A92690" w:rsidP="000A58B8">
      <w:pPr>
        <w:spacing w:before="0"/>
      </w:pP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D86E44">
            <w:pPr>
              <w:rPr>
                <w:rFonts w:asciiTheme="minorHAnsi" w:eastAsia="Calibri" w:hAnsiTheme="minorHAnsi" w:cstheme="minorHAnsi"/>
                <w:b/>
                <w:bCs/>
                <w:szCs w:val="24"/>
                <w:u w:val="single"/>
              </w:rPr>
            </w:pPr>
            <w:r w:rsidRPr="00622D62">
              <w:rPr>
                <w:rFonts w:asciiTheme="minorHAnsi" w:eastAsia="Calibri" w:hAnsiTheme="minorHAnsi" w:cstheme="minorHAnsi"/>
                <w:b/>
                <w:bCs/>
                <w:szCs w:val="24"/>
                <w:u w:val="single"/>
              </w:rPr>
              <w:t>Comentarios del Secretario General</w:t>
            </w:r>
          </w:p>
          <w:p w:rsidR="00A92690" w:rsidRPr="00622D62" w:rsidRDefault="00A92690" w:rsidP="00847D9B">
            <w:pPr>
              <w:spacing w:after="120"/>
            </w:pPr>
            <w:r w:rsidRPr="00622D62">
              <w:t>Las facturas en concepto de patrocinios suelen emitirse una vez firmad</w:t>
            </w:r>
            <w:r w:rsidR="00847D9B" w:rsidRPr="00622D62">
              <w:t xml:space="preserve">os los acuerdos de patrocinio. </w:t>
            </w:r>
            <w:r w:rsidRPr="00622D62">
              <w:t>En este caso en concreto, el patrocinador (agente organizador) solicitó específicamente la factura y posteriormente renegoció el importe del patrocinio. El importe revisado del patrocinio fue abonado por el patrocinador incluso sin haberse fir</w:t>
            </w:r>
            <w:r w:rsidR="00847D9B" w:rsidRPr="00622D62">
              <w:t xml:space="preserve">mado el acuerdo de patrocinio. </w:t>
            </w:r>
            <w:r w:rsidRPr="00622D62">
              <w:t>No obstante, se hará todo lo posible por garantizar que las facturas se envíen sólo una vez firmados los acuerdos de patrocinio.</w:t>
            </w:r>
          </w:p>
        </w:tc>
      </w:tr>
    </w:tbl>
    <w:p w:rsidR="00D86E44" w:rsidRPr="00622D62" w:rsidRDefault="00D86E44" w:rsidP="000A58B8">
      <w:pPr>
        <w:pStyle w:val="Headingb"/>
        <w:spacing w:before="360"/>
        <w:ind w:left="0" w:firstLine="0"/>
        <w:rPr>
          <w:i/>
          <w:iCs/>
        </w:rPr>
      </w:pPr>
      <w:bookmarkStart w:id="54" w:name="_Toc357681314"/>
      <w:bookmarkStart w:id="55" w:name="_Toc400028324"/>
      <w:bookmarkStart w:id="56" w:name="_Toc400093946"/>
      <w:bookmarkStart w:id="57" w:name="_Toc419472996"/>
      <w:r w:rsidRPr="00622D62">
        <w:rPr>
          <w:rFonts w:eastAsia="Batang"/>
          <w:bCs/>
          <w:i/>
        </w:rPr>
        <w:t>En los informes sobre el evento, hay que vincular los resultados y los objetivos generales de la</w:t>
      </w:r>
      <w:r w:rsidRPr="00622D62">
        <w:rPr>
          <w:i/>
          <w:iCs/>
        </w:rPr>
        <w:t xml:space="preserve"> Resolución 11 con los IFR</w:t>
      </w:r>
      <w:bookmarkEnd w:id="54"/>
      <w:bookmarkEnd w:id="55"/>
      <w:bookmarkEnd w:id="56"/>
      <w:bookmarkEnd w:id="57"/>
    </w:p>
    <w:p w:rsidR="00D86E44" w:rsidRPr="00622D62" w:rsidRDefault="00D86E44" w:rsidP="00D86E44">
      <w:r w:rsidRPr="00622D62">
        <w:t>34</w:t>
      </w:r>
      <w:r w:rsidRPr="00622D62">
        <w:tab/>
        <w:t xml:space="preserve">El </w:t>
      </w:r>
      <w:r w:rsidRPr="00622D62">
        <w:rPr>
          <w:i/>
          <w:iCs/>
        </w:rPr>
        <w:t>resuelve</w:t>
      </w:r>
      <w:r w:rsidRPr="00622D62">
        <w:t xml:space="preserve"> 2 de la Resolución 11 (Rev. Busán, 2014) establece "que el Secretario General asuma toda la responsabilidad respecto de las actividades de ITU Telecom World (incluida su planificación, organización y financiación)".</w:t>
      </w:r>
    </w:p>
    <w:p w:rsidR="00D86E44" w:rsidRPr="00622D62" w:rsidRDefault="00D86E44" w:rsidP="007041D4">
      <w:r w:rsidRPr="00622D62">
        <w:t>35</w:t>
      </w:r>
      <w:r w:rsidRPr="00622D62">
        <w:tab/>
        <w:t>Hemos analizado las distintas fases del proceso y, en la etapa de presentación de informes, hemos evaluado los informes pertinentes, en los que se proporciona información al Secretario General sobre los resultados, en el marco de los objetivos generales establecidos en la Resolución</w:t>
      </w:r>
      <w:r w:rsidR="007041D4" w:rsidRPr="00622D62">
        <w:t> </w:t>
      </w:r>
      <w:r w:rsidRPr="00622D62">
        <w:t>11, y la rentabilidad del evento.</w:t>
      </w:r>
    </w:p>
    <w:p w:rsidR="00D86E44" w:rsidRPr="00622D62" w:rsidRDefault="00D86E44" w:rsidP="00D86E44">
      <w:r w:rsidRPr="00622D62">
        <w:t>36</w:t>
      </w:r>
      <w:r w:rsidRPr="00622D62">
        <w:tab/>
        <w:t xml:space="preserve">Hemos obtenido el </w:t>
      </w:r>
      <w:r w:rsidR="007041D4" w:rsidRPr="00622D62">
        <w:t>"</w:t>
      </w:r>
      <w:r w:rsidRPr="00622D62">
        <w:t>Análisis del Evento</w:t>
      </w:r>
      <w:r w:rsidR="007041D4" w:rsidRPr="00622D62">
        <w:t>"</w:t>
      </w:r>
      <w:r w:rsidRPr="00622D62">
        <w:t xml:space="preserve"> realizado con recursos internos y que nos fue debidamente presentado y explicado el 10 de marzo de 2015.</w:t>
      </w:r>
    </w:p>
    <w:p w:rsidR="00D86E44" w:rsidRPr="00622D62" w:rsidRDefault="007041D4" w:rsidP="00D86E44">
      <w:r w:rsidRPr="00622D62">
        <w:t>37</w:t>
      </w:r>
      <w:r w:rsidR="00D86E44" w:rsidRPr="00622D62">
        <w:tab/>
        <w:t xml:space="preserve">Por otra parte, reconocemos que la dificultad que hemos tenido para obtener datos se debió a problemas relacionados con el desarrollo del sistema de inscripción, que se utilizó por primera </w:t>
      </w:r>
      <w:r w:rsidR="00275C42" w:rsidRPr="00622D62">
        <w:t xml:space="preserve">vez </w:t>
      </w:r>
      <w:r w:rsidR="00D86E44" w:rsidRPr="00622D62">
        <w:t>con el sistema SAP CRM, y que dicho sistema se está desarrollando para evitar este problema en el próximo evento.</w:t>
      </w:r>
    </w:p>
    <w:p w:rsidR="00D86E44" w:rsidRPr="00622D62" w:rsidRDefault="00D86E44" w:rsidP="007041D4">
      <w:pPr>
        <w:pStyle w:val="Headingb"/>
      </w:pPr>
      <w:bookmarkStart w:id="58" w:name="_Toc419472997"/>
      <w:r w:rsidRPr="00622D62">
        <w:t>Es necesario firmar a tiempo un Acuerdo con el país anfitrión</w:t>
      </w:r>
      <w:bookmarkEnd w:id="58"/>
    </w:p>
    <w:p w:rsidR="00D86E44" w:rsidRPr="00622D62" w:rsidRDefault="00D86E44" w:rsidP="00D86E44">
      <w:r w:rsidRPr="00622D62">
        <w:t>38</w:t>
      </w:r>
      <w:r w:rsidRPr="00622D62">
        <w:tab/>
        <w:t>El Acuerdo con el país anfitrión es uno de los principales documentos necesarios para elaborar un presupuesto riguroso y realista. Ya habíamos sugerido que la firma a tiempo del Acuerdo con el país anfitrión contribuía a reducir las discrepancias (</w:t>
      </w:r>
      <w:r w:rsidR="00E717F1" w:rsidRPr="00622D62">
        <w:t xml:space="preserve">Sugerencia </w:t>
      </w:r>
      <w:r w:rsidRPr="00622D62">
        <w:t>nº 1/2012). Nuestras observaciones respecto de la situación real en el evento de 2014 a este respecto figuran en el párrafo 43.</w:t>
      </w:r>
    </w:p>
    <w:p w:rsidR="00D86E44" w:rsidRPr="00622D62" w:rsidRDefault="00D86E44" w:rsidP="00D86E44">
      <w:pPr>
        <w:pStyle w:val="Headingb"/>
      </w:pPr>
      <w:bookmarkStart w:id="59" w:name="_Toc357681323"/>
      <w:bookmarkStart w:id="60" w:name="_Toc400028334"/>
      <w:bookmarkStart w:id="61" w:name="_Toc400093956"/>
      <w:bookmarkStart w:id="62" w:name="_Toc419472998"/>
      <w:r w:rsidRPr="00622D62">
        <w:lastRenderedPageBreak/>
        <w:t>Proceso de licitación</w:t>
      </w:r>
      <w:bookmarkEnd w:id="59"/>
      <w:bookmarkEnd w:id="60"/>
      <w:bookmarkEnd w:id="61"/>
      <w:bookmarkEnd w:id="62"/>
    </w:p>
    <w:p w:rsidR="00D86E44" w:rsidRPr="00622D62" w:rsidRDefault="00D86E44" w:rsidP="00D86E44">
      <w:r w:rsidRPr="00622D62">
        <w:rPr>
          <w:bCs/>
        </w:rPr>
        <w:t>39</w:t>
      </w:r>
      <w:r w:rsidRPr="00622D62">
        <w:rPr>
          <w:bCs/>
        </w:rPr>
        <w:tab/>
        <w:t xml:space="preserve">En su </w:t>
      </w:r>
      <w:r w:rsidRPr="00622D62">
        <w:rPr>
          <w:bCs/>
          <w:i/>
          <w:iCs/>
        </w:rPr>
        <w:t>resuelve</w:t>
      </w:r>
      <w:r w:rsidRPr="00622D62">
        <w:rPr>
          <w:bCs/>
        </w:rPr>
        <w:t xml:space="preserve"> 5, la Resolución </w:t>
      </w:r>
      <w:r w:rsidRPr="00622D62">
        <w:t>11</w:t>
      </w:r>
      <w:r w:rsidRPr="00622D62">
        <w:rPr>
          <w:bCs/>
        </w:rPr>
        <w:t xml:space="preserve"> (Rev. Busán, 2014) </w:t>
      </w:r>
      <w:r w:rsidRPr="00622D62">
        <w:t>declara "que la Unión, en su proceso de selección de los lugares de celebración de los eventos ITU Telecom, garantice: 5.1) un proceso de licitación abierto y transparente, basado en el modelo de Acuerdo con el país anfitrión (…)</w:t>
      </w:r>
      <w:r w:rsidR="007041D4" w:rsidRPr="00622D62">
        <w:t>"</w:t>
      </w:r>
      <w:r w:rsidRPr="00622D62">
        <w:t>.</w:t>
      </w:r>
    </w:p>
    <w:p w:rsidR="00D86E44" w:rsidRPr="00622D62" w:rsidRDefault="00D86E44" w:rsidP="00D86E44">
      <w:r w:rsidRPr="00622D62">
        <w:t>40</w:t>
      </w:r>
      <w:r w:rsidRPr="00622D62">
        <w:tab/>
        <w:t>Se enviaron cartas circulares para invitar a los Estados Miembros de la UIT a ser candidatos y presentar ofertas para solicitar acoger el evento anual, aunque en realidad pocos Estados Miembros estarían interesados en acoger el evento y serían capaces de asumir la carga financiera; por otra parte reconocemos que, pese a existir un proceso de licitación correcto, abierto y normalizado, el motivo por el que hay pocos candidatos puede ser porque aún no ha concluido la crisis financiera y por la fuerte competencia con otras organizaciones privadas de eventos similares.</w:t>
      </w:r>
    </w:p>
    <w:p w:rsidR="00D86E44" w:rsidRPr="00622D62" w:rsidRDefault="00D86E44" w:rsidP="007041D4">
      <w:r w:rsidRPr="00622D62">
        <w:t>41</w:t>
      </w:r>
      <w:r w:rsidRPr="00622D62">
        <w:tab/>
        <w:t>En nuestro informe del año pasado, para lograr que el evento fuera asequible para más países anfitriones aspirantes, sugerimos (</w:t>
      </w:r>
      <w:r w:rsidR="00734451" w:rsidRPr="00622D62">
        <w:t xml:space="preserve">Sugerencia </w:t>
      </w:r>
      <w:r w:rsidRPr="00622D62">
        <w:t>nº 7/2013, véase el Anexo 1) que se estudiaran estrategias para que los países anfitriones aspirantes sacaran pleno provecho de la inversión que habrían de hacer para acoger un evento ITU Telecom World, en aras de un mejor cumplimiento de la Resolución 11 (Rev. Busán, 2014).</w:t>
      </w:r>
    </w:p>
    <w:p w:rsidR="00D86E44" w:rsidRPr="00622D62" w:rsidRDefault="00D86E44" w:rsidP="002A341B">
      <w:r w:rsidRPr="00622D62">
        <w:t>42</w:t>
      </w:r>
      <w:r w:rsidRPr="00622D62">
        <w:tab/>
        <w:t xml:space="preserve">Consideramos que uno de los pocos factores que permitirían lo anterior sería reducir el monto fijo de los gastos principales correspondientes a la recuperación de costes. Sin embargo, esto sólo se puede lograr si se explica claramente cómo se calcula el monto correspondiente a la recuperación de costes, como señalamos en la </w:t>
      </w:r>
      <w:r w:rsidR="003016E3" w:rsidRPr="00622D62">
        <w:t xml:space="preserve">Recomendación </w:t>
      </w:r>
      <w:r w:rsidRPr="00622D62">
        <w:t xml:space="preserve">nº 3 de nuestro informe del año pasado (véanse también los párrafos </w:t>
      </w:r>
      <w:r w:rsidR="002A341B" w:rsidRPr="00622D62">
        <w:t>59</w:t>
      </w:r>
      <w:r w:rsidRPr="00622D62">
        <w:t xml:space="preserve"> y 60).</w:t>
      </w:r>
    </w:p>
    <w:p w:rsidR="00D86E44" w:rsidRPr="00622D62" w:rsidRDefault="00D86E44" w:rsidP="007041D4">
      <w:pPr>
        <w:pStyle w:val="Headingb"/>
      </w:pPr>
      <w:bookmarkStart w:id="63" w:name="_Toc417373390"/>
      <w:bookmarkStart w:id="64" w:name="_Toc419472999"/>
      <w:r w:rsidRPr="00622D62">
        <w:t>Partes en el Acuerdo con el país anfitrión</w:t>
      </w:r>
      <w:bookmarkEnd w:id="63"/>
      <w:bookmarkEnd w:id="64"/>
    </w:p>
    <w:p w:rsidR="00D86E44" w:rsidRPr="00622D62" w:rsidRDefault="00D86E44" w:rsidP="00D86E44">
      <w:r w:rsidRPr="00622D62">
        <w:t>43</w:t>
      </w:r>
      <w:r w:rsidRPr="00622D62">
        <w:tab/>
        <w:t xml:space="preserve">Tomamos nota de que en el </w:t>
      </w:r>
      <w:r w:rsidRPr="00622D62">
        <w:rPr>
          <w:i/>
          <w:iCs/>
        </w:rPr>
        <w:t xml:space="preserve">encarga al Secretario General </w:t>
      </w:r>
      <w:r w:rsidRPr="00622D62">
        <w:t>8 de la Resolución 11 (Rev. Busán, 2014), se le pide que revise el modelo de Acuerdo con el país anfitrión y utilice todos los medios a su alcance para lograr que el Consejo lo apruebe lo antes posible, debiendo incluir dicho modelo de Acuerdo con el país anfitrión cláusulas que permitan la introducción, por parte de la Unión y del país anfitrión, de los cambios que se consideren necesarios en caso de fuerza mayor o como resultado de otros criterios de rendimiento.</w:t>
      </w:r>
    </w:p>
    <w:p w:rsidR="00D86E44" w:rsidRPr="00622D62" w:rsidRDefault="00D86E44" w:rsidP="007041D4">
      <w:r w:rsidRPr="00622D62">
        <w:t>44</w:t>
      </w:r>
      <w:r w:rsidRPr="00622D62">
        <w:tab/>
        <w:t xml:space="preserve">Sobre esta base, observamos que dos importantes factores incidieron en la firma del Acuerdo con el país anfitrión en el caso de ITU Telecom World 2014, a saber: 1) la fecha sumamente tardía en que se firmó (1º de diciembre de 2014), lo cual generó incertidumbres acerca de determinadas condiciones hasta el inicio del evento; y 2) la función preponderante, antes ejercida por el </w:t>
      </w:r>
      <w:r w:rsidR="007041D4" w:rsidRPr="00622D62">
        <w:t>"</w:t>
      </w:r>
      <w:r w:rsidRPr="00622D62">
        <w:t>agente organizador</w:t>
      </w:r>
      <w:r w:rsidR="007041D4" w:rsidRPr="00622D62">
        <w:t>"</w:t>
      </w:r>
      <w:r w:rsidRPr="00622D62">
        <w:t xml:space="preserve">, que asumió uno de los patrocinadores en el proceso de definición del Acuerdo, de modo que el Acuerdo con el país anfitrión pasó a convertirse fundamentalmente en un documento acordado por tres partes. </w:t>
      </w:r>
    </w:p>
    <w:p w:rsidR="00D86E44" w:rsidRPr="00622D62" w:rsidRDefault="00D86E44" w:rsidP="00D86E44">
      <w:r w:rsidRPr="00622D62">
        <w:t>45</w:t>
      </w:r>
      <w:r w:rsidRPr="00622D62">
        <w:tab/>
        <w:t xml:space="preserve">Este predominio ejercido por un patrocinador pudo impedir la participación de otros competidores; por consiguiente, consideramos que en el proceso de negociación de acuerdos con países anfitriones, la presencia de un </w:t>
      </w:r>
      <w:r w:rsidR="007041D4" w:rsidRPr="00622D62">
        <w:t>"</w:t>
      </w:r>
      <w:r w:rsidRPr="00622D62">
        <w:t>agente organizador</w:t>
      </w:r>
      <w:r w:rsidR="007041D4" w:rsidRPr="00622D62">
        <w:t>"</w:t>
      </w:r>
      <w:r w:rsidRPr="00622D62">
        <w:t xml:space="preserve">, con un interés directo en la visibilidad que otorga un evento, que dé lugar </w:t>
      </w:r>
      <w:r w:rsidRPr="00622D62">
        <w:rPr>
          <w:i/>
          <w:iCs/>
        </w:rPr>
        <w:t>de facto</w:t>
      </w:r>
      <w:r w:rsidRPr="00622D62">
        <w:t xml:space="preserve"> a un </w:t>
      </w:r>
      <w:r w:rsidR="007041D4" w:rsidRPr="00622D62">
        <w:t>"</w:t>
      </w:r>
      <w:r w:rsidRPr="00622D62">
        <w:t>proyecto tripartito</w:t>
      </w:r>
      <w:r w:rsidR="007041D4" w:rsidRPr="00622D62">
        <w:t>"</w:t>
      </w:r>
      <w:r w:rsidRPr="00622D62">
        <w:t xml:space="preserve">, no debería adoptarse como modelo. </w:t>
      </w:r>
    </w:p>
    <w:p w:rsidR="00D86E44" w:rsidRPr="00622D62" w:rsidRDefault="00D86E44" w:rsidP="002127D4">
      <w:pPr>
        <w:spacing w:after="120"/>
      </w:pPr>
      <w:r w:rsidRPr="00622D62">
        <w:t>46</w:t>
      </w:r>
      <w:r w:rsidRPr="00622D62">
        <w:tab/>
        <w:t xml:space="preserve">Por otra parte, se nos informó de que una de las causas de la demora inusual en la firma del Acuerdo con el país anfitrión fue precisamente esta negociación tripartita. Además, consideramos que este modelo podría resultar sumamente agotador tanto para la UIT como para el país </w:t>
      </w:r>
      <w:r w:rsidRPr="00622D62">
        <w:lastRenderedPageBreak/>
        <w:t>anfitrión, e incluso alterar la función de cada parte, lo que podría incidir en la imagen neutra del evento.</w:t>
      </w:r>
    </w:p>
    <w:tbl>
      <w:tblPr>
        <w:tblStyle w:val="TableGrid"/>
        <w:tblW w:w="0" w:type="auto"/>
        <w:tblLook w:val="04A0" w:firstRow="1" w:lastRow="0" w:firstColumn="1" w:lastColumn="0" w:noHBand="0" w:noVBand="1"/>
      </w:tblPr>
      <w:tblGrid>
        <w:gridCol w:w="9629"/>
      </w:tblGrid>
      <w:tr w:rsidR="00552F3A" w:rsidRPr="00622D62" w:rsidTr="00552F3A">
        <w:tc>
          <w:tcPr>
            <w:tcW w:w="9629" w:type="dxa"/>
          </w:tcPr>
          <w:p w:rsidR="00552F3A" w:rsidRPr="00622D62" w:rsidRDefault="00552F3A" w:rsidP="00552F3A">
            <w:pPr>
              <w:rPr>
                <w:b/>
                <w:bCs/>
              </w:rPr>
            </w:pPr>
            <w:r w:rsidRPr="00622D62">
              <w:rPr>
                <w:b/>
                <w:bCs/>
              </w:rPr>
              <w:t>Sugerencia nº 2</w:t>
            </w:r>
          </w:p>
          <w:p w:rsidR="00552F3A" w:rsidRPr="00622D62" w:rsidRDefault="00552F3A" w:rsidP="002127D4">
            <w:pPr>
              <w:spacing w:after="120"/>
            </w:pPr>
            <w:r w:rsidRPr="00622D62">
              <w:t>47</w:t>
            </w:r>
            <w:r w:rsidRPr="00622D62">
              <w:tab/>
            </w:r>
            <w:r w:rsidRPr="00622D62">
              <w:rPr>
                <w:b/>
                <w:bCs/>
              </w:rPr>
              <w:t>Sugerimos</w:t>
            </w:r>
            <w:r w:rsidRPr="00622D62">
              <w:t xml:space="preserve"> a la Dirección que en los acuerdos con los países anfitriones participen únicamente dos partes, teniendo en cuenta, en cada caso, su viabilidad.</w:t>
            </w:r>
          </w:p>
        </w:tc>
      </w:tr>
    </w:tbl>
    <w:p w:rsidR="00552F3A" w:rsidRPr="00622D62" w:rsidRDefault="00552F3A" w:rsidP="007C0C18">
      <w:pPr>
        <w:spacing w:before="0"/>
      </w:pPr>
    </w:p>
    <w:tbl>
      <w:tblPr>
        <w:tblStyle w:val="TableGrid"/>
        <w:tblW w:w="0" w:type="auto"/>
        <w:tblLook w:val="04A0" w:firstRow="1" w:lastRow="0" w:firstColumn="1" w:lastColumn="0" w:noHBand="0" w:noVBand="1"/>
      </w:tblPr>
      <w:tblGrid>
        <w:gridCol w:w="9629"/>
      </w:tblGrid>
      <w:tr w:rsidR="00552F3A" w:rsidRPr="00622D62" w:rsidTr="00552F3A">
        <w:tc>
          <w:tcPr>
            <w:tcW w:w="9629" w:type="dxa"/>
          </w:tcPr>
          <w:p w:rsidR="00552F3A" w:rsidRPr="00622D62" w:rsidRDefault="00552F3A" w:rsidP="00A92690">
            <w:pPr>
              <w:rPr>
                <w:b/>
                <w:bCs/>
                <w:u w:val="single"/>
              </w:rPr>
            </w:pPr>
            <w:r w:rsidRPr="00622D62">
              <w:rPr>
                <w:b/>
                <w:bCs/>
                <w:u w:val="single"/>
              </w:rPr>
              <w:t xml:space="preserve">Comentarios del Secretario General </w:t>
            </w:r>
          </w:p>
          <w:p w:rsidR="00552F3A" w:rsidRPr="00622D62" w:rsidRDefault="00552F3A" w:rsidP="002127D4">
            <w:pPr>
              <w:spacing w:after="120"/>
            </w:pPr>
            <w:r w:rsidRPr="00622D62">
              <w:t>Nunca antes de 2014 un país anfitrión había nombrado a un agente organizador encargado de cumplir co</w:t>
            </w:r>
            <w:r w:rsidR="008E19F3" w:rsidRPr="00622D62">
              <w:t xml:space="preserve">n algunas de sus obligaciones. </w:t>
            </w:r>
            <w:r w:rsidRPr="00622D62">
              <w:t>Se deberá prestar especial atención a esta cuestión, sobre todo en los futuros acuerdos con países anfitriones, la cual se considerará en el marco del modelo revisado de acuerdo con el país anfitrión previsto con arreglo a la Res</w:t>
            </w:r>
            <w:r w:rsidR="008E19F3" w:rsidRPr="00622D62">
              <w:t xml:space="preserve">olución 11 (Rev. Busán, 2014). </w:t>
            </w:r>
            <w:r w:rsidRPr="00622D62">
              <w:t>En lo que respecta al evento de 2015, sólo dos partes han participado en el Acuerdo con el país anfitrión firmado recientemente.</w:t>
            </w:r>
          </w:p>
        </w:tc>
      </w:tr>
    </w:tbl>
    <w:p w:rsidR="00D86E44" w:rsidRPr="00622D62" w:rsidRDefault="00D86E44" w:rsidP="007C0C18">
      <w:pPr>
        <w:pStyle w:val="Heading1"/>
        <w:spacing w:before="360"/>
      </w:pPr>
      <w:bookmarkStart w:id="65" w:name="_Toc419473000"/>
      <w:r w:rsidRPr="00622D62">
        <w:t>INGRESOS</w:t>
      </w:r>
      <w:bookmarkEnd w:id="65"/>
    </w:p>
    <w:p w:rsidR="00D86E44" w:rsidRPr="00622D62" w:rsidRDefault="00D86E44" w:rsidP="00D86E44">
      <w:r w:rsidRPr="00622D62">
        <w:t>48</w:t>
      </w:r>
      <w:r w:rsidRPr="00622D62">
        <w:tab/>
        <w:t>La variación ligeramente positiva entre los ingresos reales y la cantidad presupuestada revisada (+0,7%) se debe, en cierta medida, al considerable aumento de los ingresos reales (en comparación con la cantidad presupuestada) registrados en relación con el valor de los servicios obtenidos en el marco de los intercambios, sobre todo en lo que respecta a las comunicaciones y el marketing (+14%).</w:t>
      </w:r>
    </w:p>
    <w:p w:rsidR="00D86E44" w:rsidRPr="00622D62" w:rsidRDefault="00D86E44" w:rsidP="00D86E44">
      <w:pPr>
        <w:pStyle w:val="Heading3"/>
      </w:pPr>
      <w:bookmarkStart w:id="66" w:name="_Toc417373392"/>
      <w:bookmarkStart w:id="67" w:name="_Toc419473001"/>
      <w:r w:rsidRPr="00622D62">
        <w:t>Valor de los intercambios</w:t>
      </w:r>
      <w:bookmarkEnd w:id="66"/>
      <w:bookmarkEnd w:id="67"/>
    </w:p>
    <w:p w:rsidR="00D86E44" w:rsidRPr="00622D62" w:rsidRDefault="00D86E44" w:rsidP="00D86E44">
      <w:r w:rsidRPr="00622D62">
        <w:t>49</w:t>
      </w:r>
      <w:r w:rsidRPr="00622D62">
        <w:tab/>
        <w:t>Los servicios que prestan los medios de comunicación se consignan como ingresos en función del valor de los espacios y la visibilidad en las instalaciones del evento. Tal y como indicamos en nuestros informes anteriores, la propia naturaleza de los intercambios no permiten determinar si los ingresos son superiores a los gastos ni viceversa, salvo que no se registre rendimiento alguno en términos de ingresos o gastos.</w:t>
      </w:r>
    </w:p>
    <w:p w:rsidR="00D86E44" w:rsidRPr="00622D62" w:rsidRDefault="00D86E44" w:rsidP="007C0C18">
      <w:pPr>
        <w:spacing w:after="120"/>
      </w:pPr>
      <w:r w:rsidRPr="00622D62">
        <w:t>50</w:t>
      </w:r>
      <w:r w:rsidRPr="00622D62">
        <w:tab/>
        <w:t xml:space="preserve">Si bien podría ser relativamente fácil comprobar la prestación de un servicio si consiste en una página impresa en un periódico, no siempre se puede comprobar la realidad de otros servicios, como la duración de un anuncio en un sitio web. </w:t>
      </w: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A92690">
            <w:pPr>
              <w:rPr>
                <w:rFonts w:asciiTheme="minorHAnsi" w:hAnsiTheme="minorHAnsi" w:cstheme="minorHAnsi"/>
                <w:b/>
                <w:bCs/>
              </w:rPr>
            </w:pPr>
            <w:r w:rsidRPr="00622D62">
              <w:rPr>
                <w:rFonts w:asciiTheme="minorHAnsi" w:hAnsiTheme="minorHAnsi" w:cstheme="minorHAnsi"/>
                <w:b/>
                <w:bCs/>
              </w:rPr>
              <w:t>Sugerencia nº 3</w:t>
            </w:r>
          </w:p>
          <w:p w:rsidR="00A92690" w:rsidRPr="00622D62" w:rsidRDefault="00A92690" w:rsidP="007C0C18">
            <w:pPr>
              <w:spacing w:after="120"/>
            </w:pPr>
            <w:r w:rsidRPr="00622D62">
              <w:t>51</w:t>
            </w:r>
            <w:r w:rsidRPr="00622D62">
              <w:tab/>
            </w:r>
            <w:r w:rsidRPr="00622D62">
              <w:rPr>
                <w:b/>
              </w:rPr>
              <w:t>Sugerimos</w:t>
            </w:r>
            <w:r w:rsidRPr="00622D62">
              <w:t xml:space="preserve"> a la Dirección que mejore la secuencia de verificación de modo que, en el proceso, pueda evaluar los costes y beneficios, así como la rentabilidad de todos los intercambios, por ejemplo, previendo una cláusula específica en los acuerdos de intercambio por la que sea obligatorio "dar prueba".</w:t>
            </w:r>
          </w:p>
        </w:tc>
      </w:tr>
    </w:tbl>
    <w:p w:rsidR="00D86E44" w:rsidRPr="00622D62" w:rsidRDefault="00D86E44" w:rsidP="007C0C18">
      <w:pPr>
        <w:spacing w:before="0"/>
      </w:pPr>
    </w:p>
    <w:tbl>
      <w:tblPr>
        <w:tblStyle w:val="TableGrid"/>
        <w:tblW w:w="0" w:type="auto"/>
        <w:tblLook w:val="04A0" w:firstRow="1" w:lastRow="0" w:firstColumn="1" w:lastColumn="0" w:noHBand="0" w:noVBand="1"/>
      </w:tblPr>
      <w:tblGrid>
        <w:gridCol w:w="9629"/>
      </w:tblGrid>
      <w:tr w:rsidR="00552F3A" w:rsidRPr="00622D62" w:rsidTr="00552F3A">
        <w:tc>
          <w:tcPr>
            <w:tcW w:w="9629" w:type="dxa"/>
          </w:tcPr>
          <w:p w:rsidR="00552F3A" w:rsidRPr="00622D62" w:rsidRDefault="00552F3A" w:rsidP="00552F3A">
            <w:pPr>
              <w:rPr>
                <w:b/>
                <w:bCs/>
                <w:u w:val="single"/>
              </w:rPr>
            </w:pPr>
            <w:r w:rsidRPr="00622D62">
              <w:rPr>
                <w:b/>
                <w:bCs/>
                <w:u w:val="single"/>
              </w:rPr>
              <w:t>Comentarios del Secretario General</w:t>
            </w:r>
          </w:p>
          <w:p w:rsidR="00552F3A" w:rsidRPr="00622D62" w:rsidRDefault="00552F3A" w:rsidP="007C0C18">
            <w:pPr>
              <w:spacing w:after="120"/>
            </w:pPr>
            <w:r w:rsidRPr="00622D62">
              <w:t>Se han tomado medidas con el fin de incluir una nueva cláusula en los acuerdos de intercambio a partir de mayo de 2015, por la que se exigirá que se presenten oportunamente a la UIT "pruebas" de los servicios que se prestan.</w:t>
            </w:r>
          </w:p>
        </w:tc>
      </w:tr>
    </w:tbl>
    <w:p w:rsidR="00D86E44" w:rsidRPr="00622D62" w:rsidRDefault="00D86E44" w:rsidP="000A58B8">
      <w:pPr>
        <w:pStyle w:val="Headingb"/>
        <w:spacing w:before="360"/>
      </w:pPr>
      <w:bookmarkStart w:id="68" w:name="_Toc419473002"/>
      <w:bookmarkStart w:id="69" w:name="_Toc396899732"/>
      <w:bookmarkStart w:id="70" w:name="_Toc400028335"/>
      <w:bookmarkStart w:id="71" w:name="_Toc400093957"/>
      <w:r w:rsidRPr="00622D62">
        <w:lastRenderedPageBreak/>
        <w:t>Pases</w:t>
      </w:r>
      <w:bookmarkEnd w:id="68"/>
    </w:p>
    <w:p w:rsidR="00D86E44" w:rsidRPr="00622D62" w:rsidRDefault="00D86E44" w:rsidP="00D86E44">
      <w:bookmarkStart w:id="72" w:name="_Toc357681325"/>
      <w:bookmarkEnd w:id="69"/>
      <w:bookmarkEnd w:id="70"/>
      <w:bookmarkEnd w:id="71"/>
      <w:r w:rsidRPr="00622D62">
        <w:t>52</w:t>
      </w:r>
      <w:r w:rsidRPr="00622D62">
        <w:tab/>
        <w:t>Los pases de pago representan alrededor del 9 % del total. El valor virtual de todos los pases (incluidos los que se entregan gratuitamente o como ventaja) asciende a casi 6 millones CHF, mientras que los ingresos en concepto de cuotas de inscripción (foros y acceso a exposiciones durante todo el evento) ascendieron a 377 300 CHF (872 000</w:t>
      </w:r>
      <w:r w:rsidR="00D97806" w:rsidRPr="00622D62">
        <w:t xml:space="preserve"> CHF</w:t>
      </w:r>
      <w:r w:rsidRPr="00622D62">
        <w:t xml:space="preserve"> </w:t>
      </w:r>
      <w:r w:rsidR="00B24CBB" w:rsidRPr="00622D62">
        <w:t>en el presupuesto inicial y 604 </w:t>
      </w:r>
      <w:r w:rsidRPr="00622D62">
        <w:t xml:space="preserve">000 </w:t>
      </w:r>
      <w:r w:rsidR="00B24CBB" w:rsidRPr="00622D62">
        <w:t xml:space="preserve">CHF </w:t>
      </w:r>
      <w:r w:rsidRPr="00622D62">
        <w:t>en el presupuesto revisado), ingresos considerablemente inferiores a los obtenidos en ITU Telecom World 2013 (673 780 CHF).</w:t>
      </w:r>
    </w:p>
    <w:p w:rsidR="00D86E44" w:rsidRPr="00622D62" w:rsidRDefault="00D86E44" w:rsidP="00D86E44">
      <w:r w:rsidRPr="00622D62">
        <w:t>53</w:t>
      </w:r>
      <w:r w:rsidRPr="00622D62">
        <w:tab/>
        <w:t xml:space="preserve">Los resultados del </w:t>
      </w:r>
      <w:r w:rsidR="007041D4" w:rsidRPr="00622D62">
        <w:t>"</w:t>
      </w:r>
      <w:r w:rsidRPr="00622D62">
        <w:t>análisis del evento</w:t>
      </w:r>
      <w:r w:rsidR="007041D4" w:rsidRPr="00622D62">
        <w:t>"</w:t>
      </w:r>
      <w:r w:rsidRPr="00622D62">
        <w:t>, que no se externalizó, muestran que la política de descuentos y de pases gratuitos ha sido en cierto modo ineficaz, ya que algunos compradores no han aprovechado las oportunidades que se les presentaron.</w:t>
      </w:r>
    </w:p>
    <w:p w:rsidR="00D86E44" w:rsidRPr="00622D62" w:rsidRDefault="00D86E44" w:rsidP="00D74674">
      <w:pPr>
        <w:spacing w:after="120"/>
      </w:pPr>
      <w:r w:rsidRPr="00622D62">
        <w:t>54</w:t>
      </w:r>
      <w:r w:rsidRPr="00622D62">
        <w:tab/>
        <w:t>Los análisis antes mencionados sobre los tipos de precios mostraron que no eran atractivos ni los Pases de Plata ni, teniendo en cuenta el momento de la compra, el precio preferencial por compra anticipada: de hecho, el análisis del evento muestra que la venta de pases aumentó sólo la semana que precedió el evento.</w:t>
      </w:r>
    </w:p>
    <w:tbl>
      <w:tblPr>
        <w:tblStyle w:val="TableGrid"/>
        <w:tblW w:w="0" w:type="auto"/>
        <w:tblLook w:val="04A0" w:firstRow="1" w:lastRow="0" w:firstColumn="1" w:lastColumn="0" w:noHBand="0" w:noVBand="1"/>
      </w:tblPr>
      <w:tblGrid>
        <w:gridCol w:w="9629"/>
      </w:tblGrid>
      <w:tr w:rsidR="008240D5" w:rsidRPr="00622D62" w:rsidTr="008240D5">
        <w:tc>
          <w:tcPr>
            <w:tcW w:w="9629" w:type="dxa"/>
          </w:tcPr>
          <w:p w:rsidR="008240D5" w:rsidRPr="00622D62" w:rsidRDefault="008240D5" w:rsidP="001F4C7E">
            <w:pPr>
              <w:rPr>
                <w:b/>
                <w:bCs/>
              </w:rPr>
            </w:pPr>
            <w:r w:rsidRPr="00622D62">
              <w:rPr>
                <w:b/>
                <w:bCs/>
              </w:rPr>
              <w:t>Sugerencia nº 4</w:t>
            </w:r>
          </w:p>
          <w:p w:rsidR="008240D5" w:rsidRPr="00622D62" w:rsidRDefault="008240D5" w:rsidP="00D74674">
            <w:pPr>
              <w:spacing w:after="120"/>
            </w:pPr>
            <w:r w:rsidRPr="00622D62">
              <w:t>55</w:t>
            </w:r>
            <w:r w:rsidRPr="00622D62">
              <w:tab/>
              <w:t xml:space="preserve">Teniendo en cuenta los resultados, </w:t>
            </w:r>
            <w:r w:rsidRPr="00622D62">
              <w:rPr>
                <w:b/>
                <w:bCs/>
              </w:rPr>
              <w:t>sugerimos</w:t>
            </w:r>
            <w:r w:rsidRPr="00622D62">
              <w:t xml:space="preserve"> a la Dirección que establezca una política razonable de fijación de precios a fin de obtener mayores ingresos gracias a los pases.</w:t>
            </w:r>
          </w:p>
        </w:tc>
      </w:tr>
    </w:tbl>
    <w:p w:rsidR="008240D5" w:rsidRPr="00622D62" w:rsidRDefault="008240D5">
      <w:pPr>
        <w:tabs>
          <w:tab w:val="clear" w:pos="567"/>
          <w:tab w:val="clear" w:pos="1134"/>
          <w:tab w:val="clear" w:pos="1701"/>
          <w:tab w:val="clear" w:pos="2268"/>
          <w:tab w:val="clear" w:pos="2835"/>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9629"/>
      </w:tblGrid>
      <w:tr w:rsidR="008240D5" w:rsidRPr="00622D62" w:rsidTr="008240D5">
        <w:tc>
          <w:tcPr>
            <w:tcW w:w="9629" w:type="dxa"/>
          </w:tcPr>
          <w:p w:rsidR="008240D5" w:rsidRPr="00622D62" w:rsidRDefault="008240D5" w:rsidP="00D86E44">
            <w:pPr>
              <w:rPr>
                <w:b/>
                <w:bCs/>
                <w:u w:val="single"/>
              </w:rPr>
            </w:pPr>
            <w:r w:rsidRPr="00622D62">
              <w:rPr>
                <w:b/>
                <w:bCs/>
                <w:u w:val="single"/>
              </w:rPr>
              <w:t>Comentarios del Secretario General</w:t>
            </w:r>
          </w:p>
          <w:p w:rsidR="008240D5" w:rsidRPr="00622D62" w:rsidRDefault="008240D5" w:rsidP="00D74674">
            <w:pPr>
              <w:spacing w:after="120"/>
            </w:pPr>
            <w:r w:rsidRPr="00622D62">
              <w:t>En la estrategia de ventas para 2015 se ha abordado el tema de los pases de diversas maneras y la UIT evaluará la eficacia a través de los medios siguientes: el precio unitario de todas las categorías de pases se ha reducido considerablemente para atraer a más personas; se ha reducido el número de pases que permiten acceder gratuitamente al foro y que se otorgan como ventaja a los clientes que alquilan espacio o a los patrocinadores, con la esperanza de que esta medida contribuya a aumentar las ventas; y se ha creado un pase de bajo coste para incrementar el número de visitantes a las exposiciones.</w:t>
            </w:r>
          </w:p>
        </w:tc>
      </w:tr>
    </w:tbl>
    <w:p w:rsidR="00D86E44" w:rsidRPr="00622D62" w:rsidRDefault="00D86E44" w:rsidP="000A58B8">
      <w:pPr>
        <w:pStyle w:val="Heading3"/>
        <w:spacing w:before="360"/>
      </w:pPr>
      <w:bookmarkStart w:id="73" w:name="_Toc419473003"/>
      <w:r w:rsidRPr="00622D62">
        <w:t>Exposición</w:t>
      </w:r>
      <w:bookmarkEnd w:id="73"/>
    </w:p>
    <w:p w:rsidR="00D86E44" w:rsidRPr="00622D62" w:rsidRDefault="00D86E44" w:rsidP="00D86E44">
      <w:r w:rsidRPr="00622D62">
        <w:t>56</w:t>
      </w:r>
      <w:r w:rsidRPr="00622D62">
        <w:tab/>
        <w:t xml:space="preserve">El alquiler de espacio en bruto fue significativamente inferior a lo presupuestado inicialmente. Además, esta tendencia, constante en los tres últimos eventos, muestra que otras soluciones son también buenas fuentes de ingresos, entre otras, la opción </w:t>
      </w:r>
      <w:r w:rsidR="007041D4" w:rsidRPr="00622D62">
        <w:t>"</w:t>
      </w:r>
      <w:r w:rsidRPr="00622D62">
        <w:t>llave en mano</w:t>
      </w:r>
      <w:r w:rsidR="007041D4" w:rsidRPr="00622D62">
        <w:t>"</w:t>
      </w:r>
      <w:r w:rsidRPr="00622D62">
        <w:t>, que respondió muy bien a la demanda de los expositores.</w:t>
      </w:r>
    </w:p>
    <w:p w:rsidR="00D86E44" w:rsidRPr="00622D62" w:rsidRDefault="00D86E44" w:rsidP="003B0959">
      <w:pPr>
        <w:spacing w:after="100"/>
      </w:pPr>
      <w:r w:rsidRPr="00622D62">
        <w:t>57</w:t>
      </w:r>
      <w:r w:rsidRPr="00622D62">
        <w:tab/>
        <w:t>Si bien en el presupuesto inicial no se había tenido plenamente en cuenta la dimensión de esa tendencia, las cifras reales contenidas en el presupuesto revisado en la fecha en que se revisó permitieron efectuar previsiones más precisas. Por otra parte, hemos observado que el coste correspondiente a la construcción y a la puesta en marcha de paquetes de soluciones llave en mano fue considerablemente inferior al previsto.</w:t>
      </w:r>
    </w:p>
    <w:p w:rsidR="008E534F" w:rsidRPr="00622D62" w:rsidRDefault="008E534F" w:rsidP="003B0959">
      <w:pPr>
        <w:spacing w:after="100"/>
      </w:pPr>
      <w:r w:rsidRPr="00622D62">
        <w:br w:type="page"/>
      </w:r>
    </w:p>
    <w:tbl>
      <w:tblPr>
        <w:tblStyle w:val="TableGrid"/>
        <w:tblW w:w="0" w:type="auto"/>
        <w:tblLook w:val="04A0" w:firstRow="1" w:lastRow="0" w:firstColumn="1" w:lastColumn="0" w:noHBand="0" w:noVBand="1"/>
      </w:tblPr>
      <w:tblGrid>
        <w:gridCol w:w="9629"/>
      </w:tblGrid>
      <w:tr w:rsidR="00B92DF6" w:rsidRPr="00622D62" w:rsidTr="00B92DF6">
        <w:tc>
          <w:tcPr>
            <w:tcW w:w="9629" w:type="dxa"/>
          </w:tcPr>
          <w:p w:rsidR="00B92DF6" w:rsidRPr="00622D62" w:rsidRDefault="00B92DF6" w:rsidP="003B0959">
            <w:pPr>
              <w:spacing w:before="60"/>
              <w:rPr>
                <w:b/>
                <w:bCs/>
              </w:rPr>
            </w:pPr>
            <w:r w:rsidRPr="00622D62">
              <w:rPr>
                <w:b/>
                <w:bCs/>
              </w:rPr>
              <w:lastRenderedPageBreak/>
              <w:t xml:space="preserve">Sugerencia nº 5 </w:t>
            </w:r>
          </w:p>
          <w:p w:rsidR="00B92DF6" w:rsidRPr="00622D62" w:rsidRDefault="00B92DF6" w:rsidP="00C81DC9">
            <w:pPr>
              <w:spacing w:before="60" w:after="60"/>
            </w:pPr>
            <w:r w:rsidRPr="00622D62">
              <w:t>58</w:t>
            </w:r>
            <w:r w:rsidRPr="00622D62">
              <w:tab/>
              <w:t xml:space="preserve">Teniendo en cuenta la importancia que tienen las soluciones llave en mano para la generación de ingresos, </w:t>
            </w:r>
            <w:r w:rsidRPr="00622D62">
              <w:rPr>
                <w:b/>
                <w:bCs/>
              </w:rPr>
              <w:t>sugerimos</w:t>
            </w:r>
            <w:r w:rsidRPr="00622D62">
              <w:t xml:space="preserve"> a la Dirección que estudie la posibilidad de contar con una variedad aún mayor de pabellones llave en mano para aprovechar mejor esta oportunidad económica.</w:t>
            </w:r>
          </w:p>
        </w:tc>
      </w:tr>
    </w:tbl>
    <w:p w:rsidR="00B92DF6" w:rsidRPr="00622D62" w:rsidRDefault="00B92DF6" w:rsidP="00B92DF6"/>
    <w:tbl>
      <w:tblPr>
        <w:tblStyle w:val="TableGrid"/>
        <w:tblW w:w="0" w:type="auto"/>
        <w:tblLook w:val="04A0" w:firstRow="1" w:lastRow="0" w:firstColumn="1" w:lastColumn="0" w:noHBand="0" w:noVBand="1"/>
      </w:tblPr>
      <w:tblGrid>
        <w:gridCol w:w="9629"/>
      </w:tblGrid>
      <w:tr w:rsidR="00B92DF6" w:rsidRPr="00622D62" w:rsidTr="00B92DF6">
        <w:tc>
          <w:tcPr>
            <w:tcW w:w="9629" w:type="dxa"/>
          </w:tcPr>
          <w:p w:rsidR="00B92DF6" w:rsidRPr="00622D62" w:rsidRDefault="00B92DF6" w:rsidP="00B92DF6">
            <w:pPr>
              <w:rPr>
                <w:b/>
                <w:bCs/>
                <w:u w:val="single"/>
              </w:rPr>
            </w:pPr>
            <w:r w:rsidRPr="00622D62">
              <w:rPr>
                <w:b/>
                <w:bCs/>
                <w:u w:val="single"/>
              </w:rPr>
              <w:t>Comentarios del Secretario General</w:t>
            </w:r>
          </w:p>
          <w:p w:rsidR="00B92DF6" w:rsidRPr="00622D62" w:rsidRDefault="00B92DF6" w:rsidP="009C6C96">
            <w:pPr>
              <w:spacing w:after="120"/>
            </w:pPr>
            <w:r w:rsidRPr="00622D62">
              <w:t>La tasa de 2015 correspondiente a la solución llave en mano ofrece mayores ventajas que el alquiler de espacio en bruto. También se ha creado un producto llave en mano de bajo coste para atraer a pequeñas y medianas empresas, así como a las empresas que están iniciando su actividad y que disponen de escaso presupues</w:t>
            </w:r>
            <w:r w:rsidR="00184EEE" w:rsidRPr="00622D62">
              <w:t xml:space="preserve">to para participar en eventos. </w:t>
            </w:r>
            <w:r w:rsidRPr="00622D62">
              <w:t>La UIT seguirá evaluando la aceptación, el coste y los beneficios de estos productos.</w:t>
            </w:r>
          </w:p>
        </w:tc>
      </w:tr>
    </w:tbl>
    <w:p w:rsidR="00D86E44" w:rsidRPr="00622D62" w:rsidRDefault="00D86E44" w:rsidP="00185E9E">
      <w:pPr>
        <w:pStyle w:val="Heading1"/>
      </w:pPr>
      <w:bookmarkStart w:id="74" w:name="_Toc417373395"/>
      <w:bookmarkStart w:id="75" w:name="_Toc419473004"/>
      <w:r w:rsidRPr="00622D62">
        <w:t>GASTOS</w:t>
      </w:r>
      <w:bookmarkEnd w:id="74"/>
      <w:bookmarkEnd w:id="75"/>
    </w:p>
    <w:p w:rsidR="00D86E44" w:rsidRPr="00622D62" w:rsidRDefault="00D86E44" w:rsidP="00D86E44">
      <w:pPr>
        <w:pStyle w:val="Heading3"/>
        <w:rPr>
          <w:i/>
          <w:iCs/>
        </w:rPr>
      </w:pPr>
      <w:bookmarkStart w:id="76" w:name="_Toc417373396"/>
      <w:bookmarkStart w:id="77" w:name="_Toc419473005"/>
      <w:r w:rsidRPr="00622D62">
        <w:rPr>
          <w:i/>
          <w:iCs/>
        </w:rPr>
        <w:t>Recuperación de costes</w:t>
      </w:r>
      <w:bookmarkEnd w:id="76"/>
      <w:bookmarkEnd w:id="77"/>
    </w:p>
    <w:p w:rsidR="00B92DF6" w:rsidRPr="00622D62" w:rsidRDefault="00F741B6" w:rsidP="002E5141">
      <w:pPr>
        <w:spacing w:after="120"/>
      </w:pPr>
      <w:bookmarkStart w:id="78" w:name="_Ref416442001"/>
      <w:r w:rsidRPr="00622D62">
        <w:t>59</w:t>
      </w:r>
      <w:r w:rsidRPr="00622D62">
        <w:tab/>
      </w:r>
      <w:r w:rsidR="00D86E44" w:rsidRPr="00622D62">
        <w:t xml:space="preserve">Si bien, tal y como respondió el Secretario General el año pasado a nuestra Recomendación nº 3, </w:t>
      </w:r>
      <w:r w:rsidR="007041D4" w:rsidRPr="00622D62">
        <w:t>"</w:t>
      </w:r>
      <w:r w:rsidR="00D86E44" w:rsidRPr="00622D62">
        <w:t>los montos correspondientes a la recuperación de costes para 2014 y 2015 ya han quedado definidos en el presupuesto bienal aprobado</w:t>
      </w:r>
      <w:r w:rsidR="007041D4" w:rsidRPr="00622D62">
        <w:t>"</w:t>
      </w:r>
      <w:r w:rsidR="00D86E44" w:rsidRPr="00622D62">
        <w:t>, el Departamento de Gestión de Recursos Financieros (FRMD) realizó un estudio sobre las tasas de recuperación de costes, cuyos resultados se enviaron en octubre de 2014 a la Secretaría de ITU Telecom para que formulase las observaciones pertinentes.</w:t>
      </w:r>
      <w:bookmarkEnd w:id="78"/>
    </w:p>
    <w:tbl>
      <w:tblPr>
        <w:tblStyle w:val="TableGrid"/>
        <w:tblW w:w="0" w:type="auto"/>
        <w:tblLook w:val="04A0" w:firstRow="1" w:lastRow="0" w:firstColumn="1" w:lastColumn="0" w:noHBand="0" w:noVBand="1"/>
      </w:tblPr>
      <w:tblGrid>
        <w:gridCol w:w="9629"/>
      </w:tblGrid>
      <w:tr w:rsidR="00B92DF6" w:rsidRPr="00622D62" w:rsidTr="00B92DF6">
        <w:tc>
          <w:tcPr>
            <w:tcW w:w="9629" w:type="dxa"/>
          </w:tcPr>
          <w:p w:rsidR="00B92DF6" w:rsidRPr="00622D62" w:rsidRDefault="00B92DF6" w:rsidP="00D86E44">
            <w:pPr>
              <w:rPr>
                <w:b/>
                <w:bCs/>
              </w:rPr>
            </w:pPr>
            <w:r w:rsidRPr="00622D62">
              <w:rPr>
                <w:b/>
                <w:bCs/>
              </w:rPr>
              <w:t>Recomendación nº 1</w:t>
            </w:r>
          </w:p>
          <w:p w:rsidR="00B92DF6" w:rsidRPr="00622D62" w:rsidRDefault="00B92DF6" w:rsidP="002E5141">
            <w:pPr>
              <w:spacing w:after="120"/>
            </w:pPr>
            <w:r w:rsidRPr="00622D62">
              <w:t>60</w:t>
            </w:r>
            <w:r w:rsidRPr="00622D62">
              <w:tab/>
              <w:t xml:space="preserve">Se nos ha informado de que se están analizando los resultados del estudio sobre la recuperación de costes. Una vez analizados, </w:t>
            </w:r>
            <w:r w:rsidRPr="00622D62">
              <w:rPr>
                <w:b/>
                <w:bCs/>
              </w:rPr>
              <w:t>recomendamos</w:t>
            </w:r>
            <w:r w:rsidRPr="00622D62">
              <w:t xml:space="preserve"> a la Dirección que se base en las conclusiones del estudio para establecer el importe de las tasas de recuperación de costes.</w:t>
            </w:r>
          </w:p>
        </w:tc>
      </w:tr>
    </w:tbl>
    <w:p w:rsidR="00B92DF6" w:rsidRPr="00622D62" w:rsidRDefault="00B92DF6" w:rsidP="002E5141">
      <w:pPr>
        <w:spacing w:before="0"/>
      </w:pPr>
    </w:p>
    <w:tbl>
      <w:tblPr>
        <w:tblStyle w:val="TableGrid"/>
        <w:tblW w:w="0" w:type="auto"/>
        <w:tblLook w:val="04A0" w:firstRow="1" w:lastRow="0" w:firstColumn="1" w:lastColumn="0" w:noHBand="0" w:noVBand="1"/>
      </w:tblPr>
      <w:tblGrid>
        <w:gridCol w:w="9629"/>
      </w:tblGrid>
      <w:tr w:rsidR="00B92DF6" w:rsidRPr="00622D62" w:rsidTr="00B92DF6">
        <w:tc>
          <w:tcPr>
            <w:tcW w:w="9629" w:type="dxa"/>
          </w:tcPr>
          <w:p w:rsidR="00B92DF6" w:rsidRPr="00622D62" w:rsidRDefault="00B92DF6" w:rsidP="00D86E44">
            <w:pPr>
              <w:rPr>
                <w:b/>
                <w:bCs/>
                <w:u w:val="single"/>
              </w:rPr>
            </w:pPr>
            <w:r w:rsidRPr="00622D62">
              <w:rPr>
                <w:b/>
                <w:bCs/>
                <w:u w:val="single"/>
              </w:rPr>
              <w:t>Comentarios del Secretario General</w:t>
            </w:r>
          </w:p>
          <w:p w:rsidR="00464D17" w:rsidRPr="00622D62" w:rsidRDefault="00B92DF6" w:rsidP="002E5141">
            <w:pPr>
              <w:spacing w:after="120"/>
              <w:rPr>
                <w:b/>
                <w:bCs/>
                <w:u w:val="single"/>
              </w:rPr>
            </w:pPr>
            <w:r w:rsidRPr="00622D62">
              <w:t>El FRMD realizó un estudio detallado sobre la recuperación de costes, cuyos resultados se enviaron a la Secretaría de ITU Telecom y se están analizando en la actualidad. Los resultados del estudio sobre recuperación de costes se utilizarán como base para determinar el importe que podrá percibirse en concepto de recuperación de costes.</w:t>
            </w:r>
          </w:p>
        </w:tc>
      </w:tr>
    </w:tbl>
    <w:p w:rsidR="00181550" w:rsidRPr="00622D62" w:rsidRDefault="00181550" w:rsidP="000A58B8">
      <w:pPr>
        <w:pStyle w:val="Headingb"/>
        <w:spacing w:before="360"/>
      </w:pPr>
      <w:r w:rsidRPr="00622D62">
        <w:t>Costes de personal</w:t>
      </w:r>
    </w:p>
    <w:p w:rsidR="00D86E44" w:rsidRPr="00622D62" w:rsidRDefault="00464D17" w:rsidP="00BB17AE">
      <w:pPr>
        <w:pStyle w:val="Normalaftertitle"/>
        <w:spacing w:before="120"/>
      </w:pPr>
      <w:r w:rsidRPr="00622D62">
        <w:t>61</w:t>
      </w:r>
      <w:r w:rsidRPr="00622D62">
        <w:tab/>
      </w:r>
      <w:r w:rsidR="00D86E44" w:rsidRPr="00622D62">
        <w:t>Hemos observado que, en relación con el personal temporer</w:t>
      </w:r>
      <w:r w:rsidR="00445701" w:rsidRPr="00622D62">
        <w:t>o, se ha abonado un total de 24 </w:t>
      </w:r>
      <w:r w:rsidR="00D86E44" w:rsidRPr="00622D62">
        <w:t>678,05 CHF en concepto de vacaciones acumuladas pagadas. En algunos casos, el número de días de vacaciones pagadas no utilizadas era elevado (hasta 19 días).</w:t>
      </w:r>
    </w:p>
    <w:p w:rsidR="00D86E44" w:rsidRPr="00622D62" w:rsidRDefault="00D86E44" w:rsidP="00464D17">
      <w:pPr>
        <w:pStyle w:val="Headingb"/>
      </w:pPr>
      <w:bookmarkStart w:id="79" w:name="_Toc417373398"/>
      <w:bookmarkStart w:id="80" w:name="_Toc419473006"/>
      <w:r w:rsidRPr="00622D62">
        <w:lastRenderedPageBreak/>
        <w:t>Correspondencia entre presupuesto y resultados</w:t>
      </w:r>
      <w:bookmarkEnd w:id="79"/>
      <w:bookmarkEnd w:id="80"/>
    </w:p>
    <w:p w:rsidR="00D86E44" w:rsidRPr="00622D62" w:rsidRDefault="00464D17" w:rsidP="008E534F">
      <w:pPr>
        <w:spacing w:after="120"/>
      </w:pPr>
      <w:r w:rsidRPr="00622D62">
        <w:t>62</w:t>
      </w:r>
      <w:r w:rsidRPr="00622D62">
        <w:tab/>
      </w:r>
      <w:r w:rsidR="00D86E44" w:rsidRPr="00622D62">
        <w:t xml:space="preserve">En algunos casos, los ingresos y los gastos reales divulgados no siguen exactamente el desglose del presupuesto (por ejemplo, patrocinio del servicio de inscripción en el marco de los ingresos, espacio de innovación y otros </w:t>
      </w:r>
      <w:r w:rsidR="007041D4" w:rsidRPr="00622D62">
        <w:t>"</w:t>
      </w:r>
      <w:r w:rsidR="00D86E44" w:rsidRPr="00622D62">
        <w:t>espacios</w:t>
      </w:r>
      <w:r w:rsidR="007041D4" w:rsidRPr="00622D62">
        <w:t>"</w:t>
      </w:r>
      <w:r w:rsidR="00D86E44" w:rsidRPr="00622D62">
        <w:t>), lo</w:t>
      </w:r>
      <w:r w:rsidR="00501D7A" w:rsidRPr="00622D62">
        <w:t xml:space="preserve"> que</w:t>
      </w:r>
      <w:r w:rsidR="00D86E44" w:rsidRPr="00622D62">
        <w:t xml:space="preserve"> impide comparar directamente las cifras y analizarlas.</w:t>
      </w:r>
    </w:p>
    <w:tbl>
      <w:tblPr>
        <w:tblStyle w:val="TableGrid"/>
        <w:tblW w:w="0" w:type="auto"/>
        <w:tblLook w:val="04A0" w:firstRow="1" w:lastRow="0" w:firstColumn="1" w:lastColumn="0" w:noHBand="0" w:noVBand="1"/>
      </w:tblPr>
      <w:tblGrid>
        <w:gridCol w:w="9629"/>
      </w:tblGrid>
      <w:tr w:rsidR="00464D17" w:rsidRPr="00622D62" w:rsidTr="00464D17">
        <w:tc>
          <w:tcPr>
            <w:tcW w:w="9629" w:type="dxa"/>
          </w:tcPr>
          <w:p w:rsidR="00464D17" w:rsidRPr="00622D62" w:rsidRDefault="00464D17" w:rsidP="00464D17">
            <w:pPr>
              <w:rPr>
                <w:b/>
                <w:bCs/>
              </w:rPr>
            </w:pPr>
            <w:r w:rsidRPr="00622D62">
              <w:rPr>
                <w:b/>
                <w:bCs/>
              </w:rPr>
              <w:t>Recomendación nº 2</w:t>
            </w:r>
          </w:p>
          <w:p w:rsidR="00464D17" w:rsidRPr="00622D62" w:rsidRDefault="00464D17" w:rsidP="00EE45E4">
            <w:pPr>
              <w:spacing w:after="120"/>
            </w:pPr>
            <w:r w:rsidRPr="00622D62">
              <w:t>63</w:t>
            </w:r>
            <w:r w:rsidRPr="00622D62">
              <w:rPr>
                <w:b/>
                <w:bCs/>
              </w:rPr>
              <w:tab/>
            </w:r>
            <w:r w:rsidRPr="00622D62">
              <w:t xml:space="preserve">Reconocemos los esfuerzos desplegados por la Dirección para elaborar un presupuesto fiable y </w:t>
            </w:r>
            <w:r w:rsidRPr="00622D62">
              <w:rPr>
                <w:b/>
                <w:bCs/>
              </w:rPr>
              <w:t>recomendamos</w:t>
            </w:r>
            <w:r w:rsidRPr="00622D62">
              <w:t xml:space="preserve"> a la Dirección que presente los resultados siguiendo estrictamente el mismo desglose del presupuesto.</w:t>
            </w:r>
          </w:p>
        </w:tc>
      </w:tr>
    </w:tbl>
    <w:p w:rsidR="00464D17" w:rsidRPr="00622D62" w:rsidRDefault="00464D17" w:rsidP="00EE45E4">
      <w:pPr>
        <w:spacing w:before="0"/>
      </w:pPr>
    </w:p>
    <w:tbl>
      <w:tblPr>
        <w:tblStyle w:val="TableGrid"/>
        <w:tblW w:w="0" w:type="auto"/>
        <w:tblLook w:val="04A0" w:firstRow="1" w:lastRow="0" w:firstColumn="1" w:lastColumn="0" w:noHBand="0" w:noVBand="1"/>
      </w:tblPr>
      <w:tblGrid>
        <w:gridCol w:w="9629"/>
      </w:tblGrid>
      <w:tr w:rsidR="00464D17" w:rsidRPr="00622D62" w:rsidTr="00464D17">
        <w:tc>
          <w:tcPr>
            <w:tcW w:w="9629" w:type="dxa"/>
          </w:tcPr>
          <w:p w:rsidR="00464D17" w:rsidRPr="00622D62" w:rsidRDefault="00464D17" w:rsidP="00464D17">
            <w:pPr>
              <w:rPr>
                <w:b/>
                <w:bCs/>
                <w:u w:val="single"/>
              </w:rPr>
            </w:pPr>
            <w:r w:rsidRPr="00622D62">
              <w:rPr>
                <w:b/>
                <w:bCs/>
                <w:u w:val="single"/>
              </w:rPr>
              <w:t>Comentarios del Secretario General</w:t>
            </w:r>
          </w:p>
          <w:p w:rsidR="00185E9E" w:rsidRPr="00622D62" w:rsidRDefault="00464D17" w:rsidP="00EE45E4">
            <w:pPr>
              <w:spacing w:after="120"/>
              <w:rPr>
                <w:b/>
                <w:bCs/>
                <w:u w:val="single"/>
              </w:rPr>
            </w:pPr>
            <w:r w:rsidRPr="00622D62">
              <w:t>Trabajaremos para estrechar la coordinación entre la Secretaría de ITU Telecom y el FRMD con el fin de solucionar este problema.</w:t>
            </w:r>
          </w:p>
        </w:tc>
      </w:tr>
    </w:tbl>
    <w:p w:rsidR="00D86E44" w:rsidRPr="00622D62" w:rsidRDefault="00D86E44" w:rsidP="000A58B8">
      <w:pPr>
        <w:pStyle w:val="Headingb"/>
        <w:spacing w:before="360"/>
      </w:pPr>
      <w:bookmarkStart w:id="81" w:name="_Toc417373399"/>
      <w:bookmarkStart w:id="82" w:name="_Toc419473007"/>
      <w:r w:rsidRPr="00622D62">
        <w:t>Servicio de inscripción</w:t>
      </w:r>
      <w:bookmarkEnd w:id="81"/>
      <w:bookmarkEnd w:id="82"/>
    </w:p>
    <w:p w:rsidR="00D86E44" w:rsidRPr="00622D62" w:rsidRDefault="00185E9E" w:rsidP="00185E9E">
      <w:r w:rsidRPr="00622D62">
        <w:t>64</w:t>
      </w:r>
      <w:r w:rsidRPr="00622D62">
        <w:tab/>
      </w:r>
      <w:r w:rsidR="00D86E44" w:rsidRPr="00622D62">
        <w:t>Hemos comprobado que se ha seguido debidamente la recomendación que presentamos (Recomendación nº 2 que figura en el informe de 2012) acerca de la no externalización de</w:t>
      </w:r>
      <w:r w:rsidR="008E19F3" w:rsidRPr="00622D62">
        <w:t xml:space="preserve"> los servicios de inscripción. </w:t>
      </w:r>
      <w:r w:rsidR="00D86E44" w:rsidRPr="00622D62">
        <w:t>Sin embargo, las entrevistas que hemos realizado revelan que se carece de cierta flexibilidad, pero reconocemos que la cooperación con los recursos internos permite realizar mejoras cada año, gracias al intercambi</w:t>
      </w:r>
      <w:r w:rsidR="00051050" w:rsidRPr="00622D62">
        <w:t>o de experiencias específicas.</w:t>
      </w:r>
    </w:p>
    <w:p w:rsidR="00D86E44" w:rsidRPr="00622D62" w:rsidRDefault="00185E9E" w:rsidP="00185E9E">
      <w:r w:rsidRPr="00622D62">
        <w:t>65</w:t>
      </w:r>
      <w:r w:rsidRPr="00622D62">
        <w:tab/>
      </w:r>
      <w:r w:rsidR="00D86E44" w:rsidRPr="00622D62">
        <w:t>Haremos un seguimiento de este asunto para comprobar que se introducen realmente mejoras.</w:t>
      </w:r>
    </w:p>
    <w:p w:rsidR="00D86E44" w:rsidRPr="00622D62" w:rsidRDefault="00D86E44" w:rsidP="00185E9E">
      <w:pPr>
        <w:pStyle w:val="Headingb"/>
        <w:rPr>
          <w:i/>
          <w:iCs/>
        </w:rPr>
      </w:pPr>
      <w:bookmarkStart w:id="83" w:name="_Toc417373400"/>
      <w:bookmarkStart w:id="84" w:name="_Toc419473008"/>
      <w:r w:rsidRPr="00622D62">
        <w:rPr>
          <w:i/>
          <w:iCs/>
        </w:rPr>
        <w:t>Política sobre los gastos estratégicos</w:t>
      </w:r>
      <w:bookmarkEnd w:id="83"/>
      <w:bookmarkEnd w:id="84"/>
    </w:p>
    <w:p w:rsidR="00D86E44" w:rsidRPr="00622D62" w:rsidRDefault="00D86E44" w:rsidP="004F245A">
      <w:r w:rsidRPr="00622D62">
        <w:t>66</w:t>
      </w:r>
      <w:r w:rsidRPr="00622D62">
        <w:tab/>
        <w:t xml:space="preserve">En distintas secciones de la Resolución 11 (Rev. Busán, 2014) se subraya la necesidad de potenciar la participación de países en desarrollo, en particular en el </w:t>
      </w:r>
      <w:r w:rsidRPr="00622D62">
        <w:rPr>
          <w:i/>
          <w:iCs/>
        </w:rPr>
        <w:t>considerando</w:t>
      </w:r>
      <w:r w:rsidRPr="00622D62">
        <w:t xml:space="preserve"> a) </w:t>
      </w:r>
      <w:r w:rsidR="00B2554B" w:rsidRPr="00622D62">
        <w:t>"</w:t>
      </w:r>
      <w:r w:rsidRPr="00622D62">
        <w:t xml:space="preserve">(...) promover la extensión de los beneficios de las nuevas tecnologías de telecomunicaciones a todos los habitantes del planeta (...)" y en el </w:t>
      </w:r>
      <w:r w:rsidRPr="00622D62">
        <w:rPr>
          <w:i/>
        </w:rPr>
        <w:t>considerando</w:t>
      </w:r>
      <w:r w:rsidRPr="00622D62">
        <w:t xml:space="preserve"> d) </w:t>
      </w:r>
      <w:r w:rsidR="004F245A" w:rsidRPr="00622D62">
        <w:t>"</w:t>
      </w:r>
      <w:r w:rsidRPr="00622D62">
        <w:t>(...) las posibilidades de aplicar dichos adelantos en beneficio de todos los Estados Miembros y Miembros de Sector de la Unión, en particular de los países en desarrollo".</w:t>
      </w:r>
    </w:p>
    <w:p w:rsidR="00D86E44" w:rsidRPr="00622D62" w:rsidRDefault="00D86E44" w:rsidP="00185E9E">
      <w:r w:rsidRPr="00622D62">
        <w:t>67</w:t>
      </w:r>
      <w:r w:rsidRPr="00622D62">
        <w:tab/>
        <w:t xml:space="preserve">Además, en el </w:t>
      </w:r>
      <w:r w:rsidRPr="00622D62">
        <w:rPr>
          <w:i/>
        </w:rPr>
        <w:t xml:space="preserve">se encarga al Secretario General </w:t>
      </w:r>
      <w:r w:rsidRPr="00622D62">
        <w:t>3) de la Resolución 11 (Rev. Busán, 2014) se</w:t>
      </w:r>
      <w:r w:rsidRPr="00622D62">
        <w:rPr>
          <w:i/>
        </w:rPr>
        <w:t xml:space="preserve"> </w:t>
      </w:r>
      <w:r w:rsidRPr="00622D62">
        <w:rPr>
          <w:iCs/>
        </w:rPr>
        <w:t>determina</w:t>
      </w:r>
      <w:r w:rsidRPr="00622D62">
        <w:rPr>
          <w:i/>
        </w:rPr>
        <w:t xml:space="preserve"> </w:t>
      </w:r>
      <w:r w:rsidRPr="00622D62">
        <w:rPr>
          <w:iCs/>
        </w:rPr>
        <w:t xml:space="preserve">que </w:t>
      </w:r>
      <w:r w:rsidRPr="00622D62">
        <w:t>"[el Secretario General] estudie medidas que permitan a los Estados Miembros que lo deseen y estén en condiciones de hacerlo, y en particular a los países en desarrollo, organizar eventos ITU TELECOM".</w:t>
      </w:r>
    </w:p>
    <w:p w:rsidR="00D86E44" w:rsidRPr="00622D62" w:rsidRDefault="00D86E44" w:rsidP="00185E9E">
      <w:r w:rsidRPr="00622D62">
        <w:t>68</w:t>
      </w:r>
      <w:r w:rsidRPr="00622D62">
        <w:tab/>
        <w:t>La Dirección claramente nos señaló que son varias las medidas para favorecer los objetivos enunciados en la Resolución 11 antes mencionada, como: a) un programa de becas; b) descuentos; c) ayudas para la construcción de pabellones nacionales; d) la convocatoria de reuniones a fin de establecer redes, etc.</w:t>
      </w:r>
    </w:p>
    <w:p w:rsidR="00D86E44" w:rsidRPr="00622D62" w:rsidRDefault="00D86E44" w:rsidP="00185E9E">
      <w:r w:rsidRPr="00622D62">
        <w:t>69.</w:t>
      </w:r>
      <w:r w:rsidRPr="00622D62">
        <w:tab/>
        <w:t xml:space="preserve">En relación con la </w:t>
      </w:r>
      <w:r w:rsidR="00ED6125" w:rsidRPr="00622D62">
        <w:t xml:space="preserve">Sugerencia </w:t>
      </w:r>
      <w:r w:rsidRPr="00622D62">
        <w:t xml:space="preserve">nº 8 que presentamos en nuestro informe anterior, hemos comprobado que se ha </w:t>
      </w:r>
      <w:r w:rsidR="008A493D" w:rsidRPr="00622D62">
        <w:t>presupuestado un importe de 100 </w:t>
      </w:r>
      <w:r w:rsidRPr="00622D62">
        <w:t xml:space="preserve">000 CHF en favor del Programa de becas para países menos adelantados y países con ingresos bajos, pero sólo se ha gastado el 76%. Si bien </w:t>
      </w:r>
      <w:r w:rsidRPr="00622D62">
        <w:lastRenderedPageBreak/>
        <w:t xml:space="preserve">acogemos con agrado los ahorros que se realizan, debemos reconocer que en algunos casos un gasto más completo puede reflejar el cumplimiento de los principios y normas antes mencionados. </w:t>
      </w:r>
    </w:p>
    <w:p w:rsidR="00D86E44" w:rsidRPr="00622D62" w:rsidRDefault="00D86E44" w:rsidP="00557EAD">
      <w:r w:rsidRPr="00622D62">
        <w:t>70.</w:t>
      </w:r>
      <w:r w:rsidRPr="00622D62">
        <w:tab/>
        <w:t>Hemos observado que en el evento de 2014 (y análogamente en eventos anteriores ITU Telecom World), el importe de los premios otorgados a los jóvenes innovadores equivalía a menos de la mitad d</w:t>
      </w:r>
      <w:r w:rsidR="0091159D" w:rsidRPr="00622D62">
        <w:t>e la cantidad presupuestada (80 </w:t>
      </w:r>
      <w:r w:rsidRPr="00622D62">
        <w:t>000 CHF presupuestad</w:t>
      </w:r>
      <w:r w:rsidR="004F4DC4" w:rsidRPr="00622D62">
        <w:t>os, frente a los 35 </w:t>
      </w:r>
      <w:r w:rsidRPr="00622D62">
        <w:t>397 CHF gastados realmente).</w:t>
      </w:r>
    </w:p>
    <w:tbl>
      <w:tblPr>
        <w:tblStyle w:val="TableGrid"/>
        <w:tblW w:w="0" w:type="auto"/>
        <w:tblLook w:val="04A0" w:firstRow="1" w:lastRow="0" w:firstColumn="1" w:lastColumn="0" w:noHBand="0" w:noVBand="1"/>
      </w:tblPr>
      <w:tblGrid>
        <w:gridCol w:w="9629"/>
      </w:tblGrid>
      <w:tr w:rsidR="00557EAD" w:rsidRPr="00622D62" w:rsidTr="00557EAD">
        <w:tc>
          <w:tcPr>
            <w:tcW w:w="9629" w:type="dxa"/>
          </w:tcPr>
          <w:p w:rsidR="00557EAD" w:rsidRPr="00622D62" w:rsidRDefault="00557EAD" w:rsidP="00557EAD">
            <w:pPr>
              <w:rPr>
                <w:b/>
                <w:bCs/>
              </w:rPr>
            </w:pPr>
            <w:r w:rsidRPr="00622D62">
              <w:rPr>
                <w:b/>
                <w:bCs/>
              </w:rPr>
              <w:t>Sugerencia nº 6</w:t>
            </w:r>
          </w:p>
          <w:p w:rsidR="00557EAD" w:rsidRPr="00622D62" w:rsidRDefault="00557EAD" w:rsidP="000D7DFA">
            <w:pPr>
              <w:spacing w:after="120"/>
            </w:pPr>
            <w:r w:rsidRPr="00622D62">
              <w:t>71</w:t>
            </w:r>
            <w:r w:rsidRPr="00622D62">
              <w:tab/>
            </w:r>
            <w:r w:rsidRPr="00622D62">
              <w:rPr>
                <w:b/>
                <w:bCs/>
              </w:rPr>
              <w:t>Sugerimos</w:t>
            </w:r>
            <w:r w:rsidRPr="00622D62">
              <w:t xml:space="preserve"> a la Dirección que analice qué partidas presupuestarias relacionadas con los gastos son estratégicas y evalúe en consecuencia la conveniencia de ahorrar en relación con esas estrategias.</w:t>
            </w:r>
          </w:p>
        </w:tc>
      </w:tr>
    </w:tbl>
    <w:p w:rsidR="00557EAD" w:rsidRPr="00622D62" w:rsidRDefault="00557EAD" w:rsidP="000D7DFA">
      <w:pPr>
        <w:spacing w:before="0"/>
      </w:pPr>
    </w:p>
    <w:tbl>
      <w:tblPr>
        <w:tblStyle w:val="TableGrid"/>
        <w:tblW w:w="0" w:type="auto"/>
        <w:tblLook w:val="04A0" w:firstRow="1" w:lastRow="0" w:firstColumn="1" w:lastColumn="0" w:noHBand="0" w:noVBand="1"/>
      </w:tblPr>
      <w:tblGrid>
        <w:gridCol w:w="9629"/>
      </w:tblGrid>
      <w:tr w:rsidR="00557EAD" w:rsidRPr="00622D62" w:rsidTr="00557EAD">
        <w:tc>
          <w:tcPr>
            <w:tcW w:w="9629" w:type="dxa"/>
          </w:tcPr>
          <w:p w:rsidR="00557EAD" w:rsidRPr="00622D62" w:rsidRDefault="00557EAD" w:rsidP="00557EAD">
            <w:pPr>
              <w:rPr>
                <w:b/>
                <w:bCs/>
                <w:u w:val="single"/>
              </w:rPr>
            </w:pPr>
            <w:r w:rsidRPr="00622D62">
              <w:rPr>
                <w:b/>
                <w:bCs/>
                <w:u w:val="single"/>
              </w:rPr>
              <w:t>Comentarios del Secretario General</w:t>
            </w:r>
          </w:p>
          <w:p w:rsidR="00557EAD" w:rsidRPr="00622D62" w:rsidRDefault="00557EAD" w:rsidP="000D7DFA">
            <w:pPr>
              <w:spacing w:after="120"/>
            </w:pPr>
            <w:r w:rsidRPr="00622D62">
              <w:t>Los gastos reales incurridos en relación con las becas, incluidos los premios para Jóvenes Innovadores, son directamente proporcionales al número de candidaturas admisibles. Pese a ello, la UIT analizará cualquier ahorro posible respecto de ésta y otras partidas presupuestarias que pudieran considerarse gastos estratégicos, y evaluará con cuidado la incidencia de dichos ahorros en el éxito del evento.</w:t>
            </w:r>
          </w:p>
        </w:tc>
      </w:tr>
    </w:tbl>
    <w:p w:rsidR="00D86E44" w:rsidRPr="00622D62" w:rsidRDefault="00D86E44" w:rsidP="000A58B8">
      <w:pPr>
        <w:pStyle w:val="Headingb"/>
        <w:spacing w:before="360"/>
      </w:pPr>
      <w:bookmarkStart w:id="85" w:name="_Toc396899734"/>
      <w:bookmarkStart w:id="86" w:name="_Toc400028337"/>
      <w:bookmarkStart w:id="87" w:name="_Toc400093959"/>
      <w:bookmarkStart w:id="88" w:name="_Toc419473009"/>
      <w:r w:rsidRPr="00622D62">
        <w:t>IFR y encuesta posterior al evento</w:t>
      </w:r>
      <w:bookmarkEnd w:id="85"/>
      <w:bookmarkEnd w:id="86"/>
      <w:bookmarkEnd w:id="87"/>
      <w:bookmarkEnd w:id="88"/>
    </w:p>
    <w:bookmarkEnd w:id="72"/>
    <w:p w:rsidR="00D86E44" w:rsidRPr="00622D62" w:rsidRDefault="00D86E44" w:rsidP="00D86E44">
      <w:r w:rsidRPr="00622D62">
        <w:t>72</w:t>
      </w:r>
      <w:r w:rsidRPr="00622D62">
        <w:tab/>
        <w:t>Los resultados de los análisis de los IFR tienen fundamentalmente por objeto ayudar a la Dirección en sus decisiones estratégicas, y en parte también pueden ser útiles para consolidar algunas pruebas que ya hemos obtenido.</w:t>
      </w:r>
    </w:p>
    <w:p w:rsidR="00D86E44" w:rsidRPr="00622D62" w:rsidRDefault="00D86E44" w:rsidP="00AD3FED">
      <w:r w:rsidRPr="00622D62">
        <w:t>73</w:t>
      </w:r>
      <w:r w:rsidRPr="00622D62">
        <w:tab/>
        <w:t xml:space="preserve">El importe presupuestado inicialmente para la realización de la encuesta ascendía a </w:t>
      </w:r>
      <w:r w:rsidR="00596288" w:rsidRPr="00622D62">
        <w:t>10 </w:t>
      </w:r>
      <w:r w:rsidRPr="00622D62">
        <w:t>000</w:t>
      </w:r>
      <w:r w:rsidR="00AD3FED" w:rsidRPr="00622D62">
        <w:t> </w:t>
      </w:r>
      <w:r w:rsidRPr="00622D62">
        <w:t>CHF pero, siguiendo nuestra indicación general respecto de la no externalización de las actividades en la medida de lo posible, no se recurrió a servicios externos.</w:t>
      </w:r>
    </w:p>
    <w:p w:rsidR="00D86E44" w:rsidRPr="00622D62" w:rsidRDefault="00D86E44" w:rsidP="00D86E44">
      <w:r w:rsidRPr="00622D62">
        <w:t>74</w:t>
      </w:r>
      <w:r w:rsidRPr="00622D62">
        <w:tab/>
        <w:t>El 17 de diciembre de 2014 también se inició una "encuesta en línea posterior al evento" acerca de algunos aspectos de ITU Telecom World 2014, utilizando un programa informático creado a tal efecto. Tras enviar tres recordatorios a las entidades que no habían respondido, la encuesta concluyó el 2 de enero de 2015.</w:t>
      </w:r>
    </w:p>
    <w:p w:rsidR="00D86E44" w:rsidRPr="00622D62" w:rsidRDefault="00AD3FED" w:rsidP="00AD3FED">
      <w:pPr>
        <w:pStyle w:val="Headingb"/>
      </w:pPr>
      <w:bookmarkStart w:id="89" w:name="_Toc419473010"/>
      <w:r w:rsidRPr="00622D62">
        <w:t>Sorte</w:t>
      </w:r>
      <w:r w:rsidR="00D86E44" w:rsidRPr="00622D62">
        <w:t>o</w:t>
      </w:r>
      <w:bookmarkEnd w:id="89"/>
    </w:p>
    <w:p w:rsidR="00D86E44" w:rsidRPr="00622D62" w:rsidRDefault="00D86E44" w:rsidP="00AD3FED">
      <w:r w:rsidRPr="00622D62">
        <w:t>75</w:t>
      </w:r>
      <w:r w:rsidRPr="00622D62">
        <w:tab/>
        <w:t xml:space="preserve">Sólo el 8% de las entidades encuestadas respondieron a la encuesta, pese a que se proponía a los encuestados participar en un </w:t>
      </w:r>
      <w:r w:rsidR="007041D4" w:rsidRPr="00622D62">
        <w:t>"</w:t>
      </w:r>
      <w:r w:rsidRPr="00622D62">
        <w:t>sorteo</w:t>
      </w:r>
      <w:r w:rsidR="007041D4" w:rsidRPr="00622D62">
        <w:t>"</w:t>
      </w:r>
      <w:r w:rsidRPr="00622D62">
        <w:t xml:space="preserve"> si respondía antes del 31 de diciembre de 2014. Comprobamos que se había celebrado un sorteo, y que se habían enviado a distintas partes del mundo 10 relojes a los ganadores.</w:t>
      </w:r>
    </w:p>
    <w:p w:rsidR="00D86E44" w:rsidRPr="00622D62" w:rsidRDefault="00D86E44" w:rsidP="00E21DA8">
      <w:pPr>
        <w:spacing w:after="120"/>
      </w:pPr>
      <w:r w:rsidRPr="00622D62">
        <w:t>76</w:t>
      </w:r>
      <w:r w:rsidRPr="00622D62">
        <w:tab/>
        <w:t>Los gastos de envío de los premios (relojes) se han inscrito en las cuentas de los estados financieros de ITU Telecom World 2014, en la partida presupuestaria correspondiente a los servicios de envío y transporte en el marco de las comunicaciones y el marketing. Sin embargo, en el envío efectuado en febrero de 2015 debería haberse consignado como devengo para el evento de 2014.</w:t>
      </w:r>
    </w:p>
    <w:p w:rsidR="002B2D8D" w:rsidRPr="00622D62" w:rsidRDefault="002B2D8D" w:rsidP="00E21DA8">
      <w:pPr>
        <w:spacing w:after="120"/>
      </w:pPr>
    </w:p>
    <w:tbl>
      <w:tblPr>
        <w:tblStyle w:val="TableGrid"/>
        <w:tblW w:w="0" w:type="auto"/>
        <w:tblLook w:val="04A0" w:firstRow="1" w:lastRow="0" w:firstColumn="1" w:lastColumn="0" w:noHBand="0" w:noVBand="1"/>
      </w:tblPr>
      <w:tblGrid>
        <w:gridCol w:w="9629"/>
      </w:tblGrid>
      <w:tr w:rsidR="00AD3FED" w:rsidRPr="00622D62" w:rsidTr="00AD3FED">
        <w:tc>
          <w:tcPr>
            <w:tcW w:w="9629" w:type="dxa"/>
          </w:tcPr>
          <w:p w:rsidR="00AD3FED" w:rsidRPr="00622D62" w:rsidRDefault="00AD3FED" w:rsidP="00AD3FED">
            <w:pPr>
              <w:rPr>
                <w:b/>
                <w:bCs/>
              </w:rPr>
            </w:pPr>
            <w:r w:rsidRPr="00622D62">
              <w:rPr>
                <w:b/>
                <w:bCs/>
              </w:rPr>
              <w:lastRenderedPageBreak/>
              <w:t>Sugerencia nº 7</w:t>
            </w:r>
          </w:p>
          <w:p w:rsidR="00AD3FED" w:rsidRPr="00622D62" w:rsidRDefault="00AD3FED" w:rsidP="00E21DA8">
            <w:pPr>
              <w:spacing w:after="120"/>
            </w:pPr>
            <w:r w:rsidRPr="00622D62">
              <w:t>77</w:t>
            </w:r>
            <w:r w:rsidRPr="00622D62">
              <w:tab/>
            </w:r>
            <w:r w:rsidRPr="00622D62">
              <w:rPr>
                <w:b/>
                <w:bCs/>
              </w:rPr>
              <w:t>Sugerimos</w:t>
            </w:r>
            <w:r w:rsidRPr="00622D62">
              <w:t xml:space="preserve"> a la Dirección que efectúe consignaciones presupuestarias en el futuro si se prevén gastos significativos relacionados con el sorteo.</w:t>
            </w:r>
          </w:p>
        </w:tc>
      </w:tr>
    </w:tbl>
    <w:p w:rsidR="00AD3FED" w:rsidRPr="00622D62" w:rsidRDefault="00AD3FED" w:rsidP="00E21DA8">
      <w:pPr>
        <w:spacing w:before="0"/>
      </w:pPr>
    </w:p>
    <w:tbl>
      <w:tblPr>
        <w:tblStyle w:val="TableGrid"/>
        <w:tblW w:w="0" w:type="auto"/>
        <w:tblLook w:val="04A0" w:firstRow="1" w:lastRow="0" w:firstColumn="1" w:lastColumn="0" w:noHBand="0" w:noVBand="1"/>
      </w:tblPr>
      <w:tblGrid>
        <w:gridCol w:w="9629"/>
      </w:tblGrid>
      <w:tr w:rsidR="007329BB" w:rsidRPr="00622D62" w:rsidTr="007329BB">
        <w:tc>
          <w:tcPr>
            <w:tcW w:w="9629" w:type="dxa"/>
          </w:tcPr>
          <w:p w:rsidR="007329BB" w:rsidRPr="00622D62" w:rsidRDefault="007329BB" w:rsidP="00AD3FED">
            <w:pPr>
              <w:rPr>
                <w:b/>
                <w:bCs/>
                <w:u w:val="single"/>
              </w:rPr>
            </w:pPr>
            <w:r w:rsidRPr="00622D62">
              <w:rPr>
                <w:b/>
                <w:bCs/>
                <w:u w:val="single"/>
              </w:rPr>
              <w:t>Comentarios del Secretario General</w:t>
            </w:r>
          </w:p>
          <w:p w:rsidR="007329BB" w:rsidRPr="00622D62" w:rsidRDefault="007329BB" w:rsidP="00D5054B">
            <w:pPr>
              <w:spacing w:after="120"/>
              <w:rPr>
                <w:b/>
                <w:bCs/>
                <w:u w:val="single"/>
              </w:rPr>
            </w:pPr>
            <w:r w:rsidRPr="00622D62">
              <w:t>Se efectuarán consignaciones presupuestarias para el sorteo en el caso de que se prevean gastos importantes</w:t>
            </w:r>
            <w:r w:rsidR="008E19F3" w:rsidRPr="00622D62">
              <w:t>.</w:t>
            </w:r>
            <w:r w:rsidRPr="00622D62">
              <w:t xml:space="preserve"> Si bien el presupuesto para el evento incluye gastos en concepto de servicios de envío y transporte, ITU Telecom deberá informar a su debido tiempo al FRMD si deberán anticiparse facturas adicionales tras el cierre de las cuentas para que se asignen las previsiones necesarias.</w:t>
            </w:r>
          </w:p>
        </w:tc>
      </w:tr>
    </w:tbl>
    <w:p w:rsidR="00D86E44" w:rsidRPr="00622D62" w:rsidRDefault="00D86E44" w:rsidP="00BC3117">
      <w:pPr>
        <w:pStyle w:val="Headingi"/>
        <w:spacing w:before="360"/>
        <w:rPr>
          <w:b/>
          <w:bCs/>
          <w:i w:val="0"/>
          <w:iCs/>
        </w:rPr>
      </w:pPr>
      <w:bookmarkStart w:id="90" w:name="_Toc396899735"/>
      <w:bookmarkStart w:id="91" w:name="_Toc400028338"/>
      <w:bookmarkStart w:id="92" w:name="_Toc400093960"/>
      <w:bookmarkStart w:id="93" w:name="_Toc419473011"/>
      <w:r w:rsidRPr="00622D62">
        <w:rPr>
          <w:b/>
          <w:bCs/>
          <w:i w:val="0"/>
          <w:iCs/>
        </w:rPr>
        <w:t>Paridad entre hombres y mujeres</w:t>
      </w:r>
      <w:bookmarkEnd w:id="90"/>
      <w:bookmarkEnd w:id="91"/>
      <w:bookmarkEnd w:id="92"/>
      <w:bookmarkEnd w:id="93"/>
    </w:p>
    <w:p w:rsidR="00D86E44" w:rsidRPr="00622D62" w:rsidRDefault="00D86E44" w:rsidP="007329BB">
      <w:r w:rsidRPr="00622D62">
        <w:t>78</w:t>
      </w:r>
      <w:r w:rsidRPr="00622D62">
        <w:tab/>
        <w:t xml:space="preserve">Reconocemos los esfuerzos realizados por la Dirección para examinar la cuestión de la paridad entre hombres y mujeres que abordamos en nuestro último informe, en la </w:t>
      </w:r>
      <w:r w:rsidR="00EF6C16" w:rsidRPr="00622D62">
        <w:t>Sugerencia nº </w:t>
      </w:r>
      <w:r w:rsidRPr="00622D62">
        <w:t>9. La participación en las reuniones del Foro celebrado en Bangkok en 2013 resultó desequilibrada en favor de los participantes masculinos (con un 82%), mientras que en Doha en 2014 el porcentaje disminuyó ligeramente (79%).</w:t>
      </w:r>
    </w:p>
    <w:p w:rsidR="00D86E44" w:rsidRPr="00622D62" w:rsidRDefault="00D86E44" w:rsidP="007329BB">
      <w:r w:rsidRPr="00622D62">
        <w:t>79</w:t>
      </w:r>
      <w:r w:rsidRPr="00622D62">
        <w:tab/>
        <w:t>Sin embargo, observamos que el número de oradoras invitadas va en aumento. Si bien se trata de un primer paso hacia el cumplimiento de los principios que enunciamos el año pasado, tenemos la intención de seguir analizando los resultados de los esfuerzos antes mencionados.</w:t>
      </w:r>
    </w:p>
    <w:p w:rsidR="00D86E44" w:rsidRPr="00622D62" w:rsidRDefault="00D86E44" w:rsidP="00541E77">
      <w:pPr>
        <w:pStyle w:val="Headingi"/>
        <w:rPr>
          <w:rFonts w:eastAsia="Batang"/>
          <w:b/>
          <w:bCs/>
        </w:rPr>
      </w:pPr>
      <w:bookmarkStart w:id="94" w:name="_Toc417373404"/>
      <w:bookmarkStart w:id="95" w:name="_Toc419473012"/>
      <w:r w:rsidRPr="00622D62">
        <w:rPr>
          <w:rFonts w:eastAsia="Batang"/>
          <w:b/>
          <w:bCs/>
        </w:rPr>
        <w:t>Disminución del número de expositores y participantes</w:t>
      </w:r>
      <w:bookmarkEnd w:id="94"/>
      <w:bookmarkEnd w:id="95"/>
    </w:p>
    <w:p w:rsidR="00D86E44" w:rsidRPr="00622D62" w:rsidRDefault="00D86E44" w:rsidP="00424A70">
      <w:r w:rsidRPr="00622D62">
        <w:t>80</w:t>
      </w:r>
      <w:r w:rsidRPr="00622D62">
        <w:tab/>
        <w:t>El análisis del evento no externalizado nos indica que pese a que aumentó el número de metr</w:t>
      </w:r>
      <w:r w:rsidR="00D84038" w:rsidRPr="00622D62">
        <w:t>os cuadrados de exposiciones (5 </w:t>
      </w:r>
      <w:r w:rsidRPr="00622D62">
        <w:t>812 m</w:t>
      </w:r>
      <w:r w:rsidRPr="00622D62">
        <w:rPr>
          <w:vertAlign w:val="superscript"/>
        </w:rPr>
        <w:t>2</w:t>
      </w:r>
      <w:r w:rsidRPr="00622D62">
        <w:t xml:space="preserve"> en lugar de los 4</w:t>
      </w:r>
      <w:r w:rsidR="00D84038" w:rsidRPr="00622D62">
        <w:t> </w:t>
      </w:r>
      <w:r w:rsidRPr="00622D62">
        <w:t>300 previstos), el número de expositores fue inferior (con 16 pabellones nacionales en lugar de los 18 previstos) y sólo 27 entidades que contribuyeron económicamente (frente a los 80 previstos) participaron en la exposición. El informe financiero indic</w:t>
      </w:r>
      <w:r w:rsidR="00D84038" w:rsidRPr="00622D62">
        <w:t>a que se pagó por un total de 3 </w:t>
      </w:r>
      <w:r w:rsidRPr="00622D62">
        <w:t>945 m</w:t>
      </w:r>
      <w:r w:rsidR="00424A70" w:rsidRPr="00622D62">
        <w:rPr>
          <w:vertAlign w:val="superscript"/>
        </w:rPr>
        <w:t>2</w:t>
      </w:r>
      <w:r w:rsidRPr="00622D62">
        <w:t xml:space="preserve"> de espacio de exposición (incluidas las soluciones llave en mano), l</w:t>
      </w:r>
      <w:r w:rsidR="00D84038" w:rsidRPr="00622D62">
        <w:t>o que generó unos ingresos de 2 510 </w:t>
      </w:r>
      <w:r w:rsidRPr="00622D62">
        <w:t>000 CHF, cifra que representa un descenso del 22% en relación con 2013.</w:t>
      </w:r>
    </w:p>
    <w:p w:rsidR="00D86E44" w:rsidRPr="00622D62" w:rsidRDefault="00D86E44" w:rsidP="00D86E44">
      <w:r w:rsidRPr="00622D62">
        <w:t>81</w:t>
      </w:r>
      <w:r w:rsidRPr="00622D62">
        <w:tab/>
        <w:t>Además de los efectos financieros, esta tendencia que se confirma podría debilitar la imagen y el alcance del evento.</w:t>
      </w:r>
    </w:p>
    <w:p w:rsidR="00D86E44" w:rsidRPr="00622D62" w:rsidRDefault="00D86E44" w:rsidP="00D86E44">
      <w:r w:rsidRPr="00622D62">
        <w:t>82</w:t>
      </w:r>
      <w:r w:rsidRPr="00622D62">
        <w:tab/>
        <w:t>La participación de los dirigentes fue mucho menor de lo esperado (205 en lugar de 350). Hubo menor presencia de funcionarios gubernamentales y mayor presencia de operadores y organismos reguladores de lo esperado. La proporción de participantes de los sectores privado y público fue de 35/65, mientras que la proporción esperada en el análisis del evento sobre el aná</w:t>
      </w:r>
      <w:r w:rsidR="008E19F3" w:rsidRPr="00622D62">
        <w:t>lisis de los IFR era de 50/50.</w:t>
      </w:r>
    </w:p>
    <w:p w:rsidR="00D86E44" w:rsidRPr="00622D62" w:rsidRDefault="00D86E44" w:rsidP="00E55706">
      <w:pPr>
        <w:spacing w:after="120"/>
      </w:pPr>
      <w:r w:rsidRPr="00622D62">
        <w:t>83</w:t>
      </w:r>
      <w:r w:rsidRPr="00622D62">
        <w:tab/>
        <w:t>En la reunión celebrada el 10 de marzo de 2015 con el personal de World Telecom, se dio por hecho que el problema de la escasa participación se debía en parte a la reciente Conferencia de Plenipotenciarios de la UIT celebrada en Busán, en la que tal vez se agotaron los recursos asignados a eventos similares para los Estados con un presupuesto limitado.</w:t>
      </w:r>
    </w:p>
    <w:p w:rsidR="00281A99" w:rsidRPr="00622D62" w:rsidRDefault="00281A99" w:rsidP="00E55706">
      <w:pPr>
        <w:spacing w:after="120"/>
      </w:pPr>
    </w:p>
    <w:tbl>
      <w:tblPr>
        <w:tblStyle w:val="TableGrid"/>
        <w:tblW w:w="0" w:type="auto"/>
        <w:tblLook w:val="04A0" w:firstRow="1" w:lastRow="0" w:firstColumn="1" w:lastColumn="0" w:noHBand="0" w:noVBand="1"/>
      </w:tblPr>
      <w:tblGrid>
        <w:gridCol w:w="9629"/>
      </w:tblGrid>
      <w:tr w:rsidR="007329BB" w:rsidRPr="00622D62" w:rsidTr="007329BB">
        <w:tc>
          <w:tcPr>
            <w:tcW w:w="9629" w:type="dxa"/>
          </w:tcPr>
          <w:p w:rsidR="007329BB" w:rsidRPr="00622D62" w:rsidRDefault="007329BB" w:rsidP="00D86E44">
            <w:pPr>
              <w:rPr>
                <w:b/>
                <w:bCs/>
                <w:u w:val="single"/>
              </w:rPr>
            </w:pPr>
            <w:r w:rsidRPr="00622D62">
              <w:rPr>
                <w:b/>
                <w:bCs/>
                <w:u w:val="single"/>
              </w:rPr>
              <w:lastRenderedPageBreak/>
              <w:t>Recomendación nº 3</w:t>
            </w:r>
          </w:p>
          <w:p w:rsidR="007329BB" w:rsidRPr="00622D62" w:rsidRDefault="003717BA" w:rsidP="00E55706">
            <w:pPr>
              <w:spacing w:after="120"/>
            </w:pPr>
            <w:r w:rsidRPr="00622D62">
              <w:t>84</w:t>
            </w:r>
            <w:r w:rsidR="007329BB" w:rsidRPr="00622D62">
              <w:tab/>
            </w:r>
            <w:r w:rsidR="007329BB" w:rsidRPr="00622D62">
              <w:rPr>
                <w:b/>
                <w:bCs/>
              </w:rPr>
              <w:t>Recomendamos</w:t>
            </w:r>
            <w:r w:rsidR="007329BB" w:rsidRPr="00622D62">
              <w:t xml:space="preserve"> a la Dirección que siga trabajando para consolidar la presencia de los expositores y el número de participantes.</w:t>
            </w:r>
          </w:p>
        </w:tc>
      </w:tr>
    </w:tbl>
    <w:p w:rsidR="007329BB" w:rsidRPr="00622D62" w:rsidRDefault="007329BB" w:rsidP="00E55706">
      <w:pPr>
        <w:spacing w:before="0"/>
      </w:pPr>
    </w:p>
    <w:tbl>
      <w:tblPr>
        <w:tblStyle w:val="TableGrid"/>
        <w:tblW w:w="0" w:type="auto"/>
        <w:tblLook w:val="04A0" w:firstRow="1" w:lastRow="0" w:firstColumn="1" w:lastColumn="0" w:noHBand="0" w:noVBand="1"/>
      </w:tblPr>
      <w:tblGrid>
        <w:gridCol w:w="9629"/>
      </w:tblGrid>
      <w:tr w:rsidR="007329BB" w:rsidRPr="00622D62" w:rsidTr="007329BB">
        <w:tc>
          <w:tcPr>
            <w:tcW w:w="9629" w:type="dxa"/>
          </w:tcPr>
          <w:p w:rsidR="007329BB" w:rsidRPr="00622D62" w:rsidRDefault="007329BB" w:rsidP="00D86E44">
            <w:pPr>
              <w:rPr>
                <w:b/>
                <w:bCs/>
                <w:u w:val="single"/>
              </w:rPr>
            </w:pPr>
            <w:r w:rsidRPr="00622D62">
              <w:rPr>
                <w:b/>
                <w:bCs/>
                <w:u w:val="single"/>
              </w:rPr>
              <w:t>Comentarios del Secretario General</w:t>
            </w:r>
          </w:p>
          <w:p w:rsidR="007329BB" w:rsidRPr="00622D62" w:rsidRDefault="007329BB" w:rsidP="00631EE2">
            <w:pPr>
              <w:spacing w:after="120"/>
            </w:pPr>
            <w:r w:rsidRPr="00622D62">
              <w:t>A partir de 2015</w:t>
            </w:r>
            <w:r w:rsidR="00281CE0" w:rsidRPr="00622D62">
              <w:t>, ITU Telecom entrará en un peri</w:t>
            </w:r>
            <w:r w:rsidRPr="00622D62">
              <w:t>odo de transición para actuar como plataforma internacional centrada en la capacidad empresarial en el sector de las TIC y las iniciativas de apoyo a las PYME. Este cambio de posición permitirá llegar a un público más amplio, sin dejar de responder a las necesidades de los Estados Miembros según el mandato que se le asigne</w:t>
            </w:r>
            <w:r w:rsidR="008E19F3" w:rsidRPr="00622D62">
              <w:t xml:space="preserve">. </w:t>
            </w:r>
            <w:r w:rsidRPr="00622D62">
              <w:t>Se está dando a la exposición una atención y una importancia adicionales con el fin de incrementar considerablemente el número de partic</w:t>
            </w:r>
            <w:r w:rsidR="008E19F3" w:rsidRPr="00622D62">
              <w:t>ipantes.</w:t>
            </w:r>
            <w:r w:rsidRPr="00622D62">
              <w:t xml:space="preserve"> Se están creando IFR para evaluar los avances logrados al respecto.</w:t>
            </w:r>
          </w:p>
        </w:tc>
      </w:tr>
    </w:tbl>
    <w:p w:rsidR="00D86E44" w:rsidRPr="00622D62" w:rsidRDefault="00D86E44" w:rsidP="00FF526C">
      <w:pPr>
        <w:pStyle w:val="Headingb"/>
        <w:spacing w:before="360"/>
        <w:rPr>
          <w:i/>
          <w:iCs/>
        </w:rPr>
      </w:pPr>
      <w:bookmarkStart w:id="96" w:name="_Toc417373405"/>
      <w:bookmarkStart w:id="97" w:name="_Toc419473013"/>
      <w:r w:rsidRPr="00622D62">
        <w:rPr>
          <w:i/>
          <w:iCs/>
        </w:rPr>
        <w:t>Problemas con los visados</w:t>
      </w:r>
      <w:bookmarkEnd w:id="96"/>
      <w:bookmarkEnd w:id="97"/>
    </w:p>
    <w:p w:rsidR="00D86E44" w:rsidRPr="00622D62" w:rsidRDefault="00D86E44" w:rsidP="000C7184">
      <w:pPr>
        <w:spacing w:after="120"/>
      </w:pPr>
      <w:r w:rsidRPr="00622D62">
        <w:t>85</w:t>
      </w:r>
      <w:r w:rsidRPr="00622D62">
        <w:tab/>
        <w:t>En la reunión antes mencionada con el personal de World Telecom, se nos ha informado de que ha habido problemas con los visados, lo cual provocó cancelaciones. Consideramos que este asunto no es fácil de abordar en el marco de las relaciones con el país anfitrión. No obstante, hay que tener en cuenta que una mayor participación en los eventos Telecom World beneficia a la UIT y a las partes interesadas.</w:t>
      </w:r>
    </w:p>
    <w:tbl>
      <w:tblPr>
        <w:tblStyle w:val="TableGrid"/>
        <w:tblW w:w="0" w:type="auto"/>
        <w:tblLook w:val="04A0" w:firstRow="1" w:lastRow="0" w:firstColumn="1" w:lastColumn="0" w:noHBand="0" w:noVBand="1"/>
      </w:tblPr>
      <w:tblGrid>
        <w:gridCol w:w="9629"/>
      </w:tblGrid>
      <w:tr w:rsidR="007329BB" w:rsidRPr="00622D62" w:rsidTr="007329BB">
        <w:tc>
          <w:tcPr>
            <w:tcW w:w="9629" w:type="dxa"/>
          </w:tcPr>
          <w:p w:rsidR="007329BB" w:rsidRPr="00622D62" w:rsidRDefault="007329BB" w:rsidP="007329BB">
            <w:pPr>
              <w:rPr>
                <w:b/>
                <w:bCs/>
              </w:rPr>
            </w:pPr>
            <w:r w:rsidRPr="00622D62">
              <w:rPr>
                <w:b/>
                <w:bCs/>
              </w:rPr>
              <w:t>Sugerencia nº 8</w:t>
            </w:r>
          </w:p>
          <w:p w:rsidR="007329BB" w:rsidRPr="00622D62" w:rsidRDefault="007329BB" w:rsidP="000C7184">
            <w:pPr>
              <w:spacing w:after="120"/>
            </w:pPr>
            <w:r w:rsidRPr="00622D62">
              <w:t>86</w:t>
            </w:r>
            <w:r w:rsidRPr="00622D62">
              <w:tab/>
            </w:r>
            <w:r w:rsidRPr="00622D62">
              <w:rPr>
                <w:b/>
                <w:bCs/>
              </w:rPr>
              <w:t>Sugerimos</w:t>
            </w:r>
            <w:r w:rsidRPr="00622D62">
              <w:t xml:space="preserve"> a la Dirección que pida a los Estados Miembros que faciliten la concesión de visados a los participantes en los eventos ITU Telecom World.</w:t>
            </w:r>
          </w:p>
        </w:tc>
      </w:tr>
    </w:tbl>
    <w:p w:rsidR="007329BB" w:rsidRPr="00622D62" w:rsidRDefault="007329BB" w:rsidP="000C7184">
      <w:pPr>
        <w:spacing w:before="0"/>
      </w:pP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D86E44">
            <w:pPr>
              <w:rPr>
                <w:b/>
                <w:bCs/>
                <w:u w:val="single"/>
              </w:rPr>
            </w:pPr>
            <w:r w:rsidRPr="00622D62">
              <w:rPr>
                <w:b/>
                <w:bCs/>
                <w:u w:val="single"/>
              </w:rPr>
              <w:t>Comentarios del Secretario General</w:t>
            </w:r>
          </w:p>
          <w:p w:rsidR="00A92690" w:rsidRPr="00622D62" w:rsidRDefault="00A92690" w:rsidP="000C7184">
            <w:pPr>
              <w:spacing w:after="120"/>
              <w:rPr>
                <w:b/>
                <w:bCs/>
                <w:u w:val="single"/>
              </w:rPr>
            </w:pPr>
            <w:r w:rsidRPr="00622D62">
              <w:t>La UIT seguirá prestando especial atención a este asunto en los debates futuros con los países anfitriones, y subrayando la importancia de poner en marcha procesos eficaces y oportunos para la tramitación de las solicitudes de visado de los participantes de todos los Estados Miembros.</w:t>
            </w:r>
          </w:p>
        </w:tc>
      </w:tr>
    </w:tbl>
    <w:p w:rsidR="00D86E44" w:rsidRPr="00622D62" w:rsidRDefault="00D86E44" w:rsidP="00653DF6">
      <w:pPr>
        <w:pStyle w:val="Headingb"/>
        <w:spacing w:before="360"/>
        <w:rPr>
          <w:i/>
          <w:iCs/>
        </w:rPr>
      </w:pPr>
      <w:bookmarkStart w:id="98" w:name="_Toc417373406"/>
      <w:bookmarkStart w:id="99" w:name="_Toc419473014"/>
      <w:r w:rsidRPr="00622D62">
        <w:rPr>
          <w:i/>
          <w:iCs/>
        </w:rPr>
        <w:t xml:space="preserve">Sesiones del Foro y presencia de los medios </w:t>
      </w:r>
      <w:bookmarkEnd w:id="98"/>
      <w:r w:rsidRPr="00622D62">
        <w:rPr>
          <w:i/>
          <w:iCs/>
        </w:rPr>
        <w:t>de comunicación</w:t>
      </w:r>
      <w:bookmarkEnd w:id="99"/>
    </w:p>
    <w:p w:rsidR="00D86E44" w:rsidRPr="00622D62" w:rsidRDefault="00D86E44" w:rsidP="00A92690">
      <w:r w:rsidRPr="00622D62">
        <w:t>87</w:t>
      </w:r>
      <w:r w:rsidRPr="00622D62">
        <w:tab/>
        <w:t xml:space="preserve">La participación en las sesiones del Foro en ocasiones fue muy escasa. Sin embargo, las sesiones con almuerzo fueron muy concurridas: la capacidad de la sala se superó en el caso de las sesiones MC1 y MC3 el segundo día, las sesiones TC1 y TC2 el tercer día, y la sesión </w:t>
      </w:r>
      <w:r w:rsidR="002962C6" w:rsidRPr="00622D62">
        <w:t>WC1 el cuarto día.</w:t>
      </w:r>
    </w:p>
    <w:p w:rsidR="00D86E44" w:rsidRPr="00622D62" w:rsidRDefault="00D86E44" w:rsidP="00A92690">
      <w:r w:rsidRPr="00622D62">
        <w:t>88</w:t>
      </w:r>
      <w:r w:rsidRPr="00622D62">
        <w:tab/>
        <w:t>Todos los indicadores de asistencia muestran un claro descenso del número de participantes en el Foro a medida que transcurre el evento (se registraron unos 2</w:t>
      </w:r>
      <w:r w:rsidR="00440F2D" w:rsidRPr="00622D62">
        <w:t> </w:t>
      </w:r>
      <w:r w:rsidRPr="00622D62">
        <w:t>000 participantes el primer día y menos de 1</w:t>
      </w:r>
      <w:r w:rsidR="00440F2D" w:rsidRPr="00622D62">
        <w:t> </w:t>
      </w:r>
      <w:r w:rsidRPr="00622D62">
        <w:t>200 el último).</w:t>
      </w:r>
    </w:p>
    <w:p w:rsidR="00D86E44" w:rsidRPr="00622D62" w:rsidRDefault="00D86E44" w:rsidP="008E534F">
      <w:pPr>
        <w:spacing w:after="120"/>
      </w:pPr>
      <w:r w:rsidRPr="00622D62">
        <w:t>89</w:t>
      </w:r>
      <w:r w:rsidRPr="00622D62">
        <w:tab/>
        <w:t>La encuesta reveló que los medios de comunicación mostraron poco interés en las sesiones del Foro una vez celebradas las primeras (87 participantes el primer día y, a continuación, 54, 37 y 20 los siguientes días).</w:t>
      </w: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A92690">
            <w:pPr>
              <w:rPr>
                <w:b/>
                <w:bCs/>
              </w:rPr>
            </w:pPr>
            <w:r w:rsidRPr="00622D62">
              <w:rPr>
                <w:b/>
                <w:bCs/>
              </w:rPr>
              <w:lastRenderedPageBreak/>
              <w:t>Sugerencia nº 9</w:t>
            </w:r>
          </w:p>
          <w:p w:rsidR="00A92690" w:rsidRPr="00622D62" w:rsidRDefault="00A92690" w:rsidP="00EF7009">
            <w:pPr>
              <w:spacing w:after="120"/>
            </w:pPr>
            <w:r w:rsidRPr="00622D62">
              <w:t>90</w:t>
            </w:r>
            <w:r w:rsidRPr="00622D62">
              <w:tab/>
            </w:r>
            <w:r w:rsidRPr="00622D62">
              <w:rPr>
                <w:b/>
                <w:bCs/>
              </w:rPr>
              <w:t>Sugerimos</w:t>
            </w:r>
            <w:r w:rsidRPr="00622D62">
              <w:t xml:space="preserve"> a la Dirección que realice un estudio de la duración del evento y la distribución de las principales reuniones y las conferencias pertinentes durante todo el evento, con el fin de retener la atención de los medios de comunicación durante más tiempo.</w:t>
            </w:r>
          </w:p>
        </w:tc>
      </w:tr>
    </w:tbl>
    <w:p w:rsidR="00A92690" w:rsidRPr="00622D62" w:rsidRDefault="00A92690" w:rsidP="00EF7009">
      <w:pPr>
        <w:spacing w:before="0"/>
      </w:pP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A92690">
            <w:pPr>
              <w:rPr>
                <w:b/>
                <w:bCs/>
                <w:u w:val="single"/>
              </w:rPr>
            </w:pPr>
            <w:r w:rsidRPr="00622D62">
              <w:rPr>
                <w:b/>
                <w:bCs/>
                <w:u w:val="single"/>
              </w:rPr>
              <w:t>Comentarios del Secretario General</w:t>
            </w:r>
          </w:p>
          <w:p w:rsidR="00A92690" w:rsidRPr="00622D62" w:rsidRDefault="00A92690" w:rsidP="00EF7009">
            <w:pPr>
              <w:spacing w:after="120"/>
              <w:rPr>
                <w:b/>
                <w:bCs/>
                <w:u w:val="single"/>
              </w:rPr>
            </w:pPr>
            <w:r w:rsidRPr="00622D62">
              <w:t>Se trabajará para evaluar la duración óptima del evento y programar las reuniones y las conferencias pertinentes con el fin de retener el interés de los medios de comunicación durante todo el evento. Además, se hará lo posible por programar conferencias y anuncios para la prensa durante todo el evento con el fin de estimular y mantener el interés de los medios de comunicación.</w:t>
            </w:r>
          </w:p>
        </w:tc>
      </w:tr>
    </w:tbl>
    <w:p w:rsidR="00D86E44" w:rsidRPr="00622D62" w:rsidRDefault="00D86E44" w:rsidP="005F1974">
      <w:pPr>
        <w:pStyle w:val="Headingb"/>
        <w:spacing w:before="360"/>
        <w:rPr>
          <w:i/>
          <w:iCs/>
        </w:rPr>
      </w:pPr>
      <w:bookmarkStart w:id="100" w:name="_Toc417373407"/>
      <w:bookmarkStart w:id="101" w:name="_Toc419473015"/>
      <w:r w:rsidRPr="00622D62">
        <w:rPr>
          <w:i/>
          <w:iCs/>
        </w:rPr>
        <w:t xml:space="preserve">Dimensión </w:t>
      </w:r>
      <w:bookmarkEnd w:id="100"/>
      <w:r w:rsidRPr="00622D62">
        <w:rPr>
          <w:i/>
          <w:iCs/>
        </w:rPr>
        <w:t>mundial</w:t>
      </w:r>
      <w:bookmarkEnd w:id="101"/>
    </w:p>
    <w:p w:rsidR="00D86E44" w:rsidRPr="00622D62" w:rsidRDefault="00D86E44" w:rsidP="00A92690">
      <w:r w:rsidRPr="00622D62">
        <w:t>91</w:t>
      </w:r>
      <w:r w:rsidRPr="00622D62">
        <w:tab/>
        <w:t>Año tras año, la dimensión mundial de los eventos ITU Telecom World se compromete cada vez más como consecuencia de la distribución regional de los participantes: en Doha, en 2014, el 48% de los participantes procedía de los Estados árabes y hubo muy pocos de Europa y las Américas. El aspecto positivo de esta situación es que los principales mercados emergentes estuvieron representados.</w:t>
      </w:r>
    </w:p>
    <w:p w:rsidR="00D86E44" w:rsidRPr="00622D62" w:rsidRDefault="00D86E44" w:rsidP="002E36A2">
      <w:pPr>
        <w:spacing w:after="120"/>
      </w:pPr>
      <w:r w:rsidRPr="00622D62">
        <w:t>92</w:t>
      </w:r>
      <w:r w:rsidRPr="00622D62">
        <w:tab/>
        <w:t xml:space="preserve">La rotación de los lugares de celebración es sólo una solución parcial al problema de preservar la dimensión mundial del evento. </w:t>
      </w: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8E19F3" w:rsidP="001F4C7E">
            <w:pPr>
              <w:rPr>
                <w:b/>
                <w:bCs/>
              </w:rPr>
            </w:pPr>
            <w:r w:rsidRPr="00622D62">
              <w:rPr>
                <w:b/>
                <w:bCs/>
              </w:rPr>
              <w:t>Sugerencia nº </w:t>
            </w:r>
            <w:r w:rsidR="00A92690" w:rsidRPr="00622D62">
              <w:rPr>
                <w:b/>
                <w:bCs/>
              </w:rPr>
              <w:t>10</w:t>
            </w:r>
          </w:p>
          <w:p w:rsidR="00A92690" w:rsidRPr="00622D62" w:rsidRDefault="00A92690" w:rsidP="002E36A2">
            <w:pPr>
              <w:spacing w:after="120"/>
            </w:pPr>
            <w:r w:rsidRPr="00622D62">
              <w:t>93</w:t>
            </w:r>
            <w:r w:rsidRPr="00622D62">
              <w:tab/>
            </w:r>
            <w:r w:rsidRPr="00622D62">
              <w:rPr>
                <w:b/>
                <w:bCs/>
              </w:rPr>
              <w:t xml:space="preserve">Sugerimos </w:t>
            </w:r>
            <w:r w:rsidRPr="00622D62">
              <w:t>a la Dirección que estudie la adopción de medidas de comunicación y publicidad que contribuyan a mejorar la imagen de la dimensión mundial de los eventos ITU Telecom World.</w:t>
            </w:r>
          </w:p>
        </w:tc>
      </w:tr>
    </w:tbl>
    <w:p w:rsidR="00A92690" w:rsidRPr="00622D62" w:rsidRDefault="00A92690" w:rsidP="002E36A2">
      <w:pPr>
        <w:spacing w:before="0"/>
      </w:pPr>
    </w:p>
    <w:tbl>
      <w:tblPr>
        <w:tblStyle w:val="TableGrid"/>
        <w:tblW w:w="0" w:type="auto"/>
        <w:tblLook w:val="04A0" w:firstRow="1" w:lastRow="0" w:firstColumn="1" w:lastColumn="0" w:noHBand="0" w:noVBand="1"/>
      </w:tblPr>
      <w:tblGrid>
        <w:gridCol w:w="9629"/>
      </w:tblGrid>
      <w:tr w:rsidR="00A92690" w:rsidRPr="00622D62" w:rsidTr="00A92690">
        <w:tc>
          <w:tcPr>
            <w:tcW w:w="9629" w:type="dxa"/>
          </w:tcPr>
          <w:p w:rsidR="00A92690" w:rsidRPr="00622D62" w:rsidRDefault="00A92690" w:rsidP="00D86E44">
            <w:pPr>
              <w:rPr>
                <w:b/>
                <w:bCs/>
                <w:u w:val="single"/>
              </w:rPr>
            </w:pPr>
            <w:r w:rsidRPr="00622D62">
              <w:rPr>
                <w:b/>
                <w:bCs/>
                <w:u w:val="single"/>
              </w:rPr>
              <w:t>Comentarios del Secretario General</w:t>
            </w:r>
          </w:p>
          <w:p w:rsidR="00A92690" w:rsidRPr="00622D62" w:rsidRDefault="00A92690" w:rsidP="002E36A2">
            <w:pPr>
              <w:spacing w:after="120"/>
            </w:pPr>
            <w:r w:rsidRPr="00622D62">
              <w:t>Seguiremos esforzándonos por establecer y contratar los mejores canales de comunicación y publicidad con el fin de reforzar la dimensión mundial de los eventos ITU Telecom World, en la medida en que las consignaciones presupuestarias establecidas lo permitan.</w:t>
            </w:r>
          </w:p>
        </w:tc>
      </w:tr>
    </w:tbl>
    <w:p w:rsidR="00D86E44" w:rsidRPr="00622D62" w:rsidRDefault="00A92690" w:rsidP="00D86E44">
      <w:pPr>
        <w:pStyle w:val="Heading1"/>
      </w:pPr>
      <w:bookmarkStart w:id="102" w:name="_Toc417373408"/>
      <w:bookmarkStart w:id="103" w:name="_Toc419473016"/>
      <w:r w:rsidRPr="00622D62">
        <w:t>S</w:t>
      </w:r>
      <w:r w:rsidR="00D86E44" w:rsidRPr="00622D62">
        <w:t>EGUIMIENTO</w:t>
      </w:r>
      <w:bookmarkEnd w:id="102"/>
      <w:bookmarkEnd w:id="103"/>
    </w:p>
    <w:p w:rsidR="00D86E44" w:rsidRPr="00622D62" w:rsidRDefault="00D86E44" w:rsidP="00D86E44">
      <w:r w:rsidRPr="00622D62">
        <w:t>A continuación figuran, en anexo, los cuadros de seguimiento de nuestras recomendaciones y sugerencias formuladas anteriormente.</w:t>
      </w:r>
    </w:p>
    <w:p w:rsidR="00806BBB" w:rsidRPr="00622D62" w:rsidRDefault="00806BBB" w:rsidP="00D86E44">
      <w:pPr>
        <w:pStyle w:val="Reasons"/>
      </w:pPr>
      <w:r w:rsidRPr="00622D62">
        <w:br w:type="page"/>
      </w:r>
    </w:p>
    <w:p w:rsidR="007C5C60" w:rsidRPr="00622D62" w:rsidRDefault="007C5C60" w:rsidP="00B204C1">
      <w:pPr>
        <w:pStyle w:val="AnnexNo"/>
        <w:keepNext/>
        <w:spacing w:before="0"/>
      </w:pPr>
      <w:bookmarkStart w:id="104" w:name="lt_pId322"/>
      <w:r w:rsidRPr="00622D62">
        <w:lastRenderedPageBreak/>
        <w:t>ANEXO I</w:t>
      </w:r>
    </w:p>
    <w:p w:rsidR="007C5C60" w:rsidRPr="00622D62" w:rsidRDefault="00322223" w:rsidP="00A45696">
      <w:pPr>
        <w:pStyle w:val="Annextitle"/>
        <w:keepNext/>
      </w:pPr>
      <w:r w:rsidRPr="00622D62">
        <w:t>Seguimiento de las observaciones presentadas</w:t>
      </w:r>
      <w:r w:rsidR="007C5C60" w:rsidRPr="00622D62">
        <w:t xml:space="preserve"> </w:t>
      </w:r>
      <w:bookmarkEnd w:id="104"/>
      <w:r w:rsidRPr="00622D62">
        <w:t>en los informes precedentes</w:t>
      </w:r>
    </w:p>
    <w:p w:rsidR="007C5C60" w:rsidRPr="00622D62" w:rsidRDefault="007C5C60" w:rsidP="00A45696">
      <w:pPr>
        <w:pStyle w:val="Title4"/>
        <w:keepNext/>
        <w:spacing w:before="120" w:after="120"/>
        <w:rPr>
          <w:sz w:val="24"/>
          <w:szCs w:val="24"/>
        </w:rPr>
      </w:pPr>
      <w:r w:rsidRPr="00622D62">
        <w:rPr>
          <w:sz w:val="24"/>
          <w:szCs w:val="24"/>
        </w:rPr>
        <w:t>Recomendaciones</w:t>
      </w:r>
    </w:p>
    <w:tbl>
      <w:tblPr>
        <w:tblW w:w="9918" w:type="dxa"/>
        <w:jc w:val="center"/>
        <w:tblLook w:val="0000" w:firstRow="0" w:lastRow="0" w:firstColumn="0" w:lastColumn="0" w:noHBand="0" w:noVBand="0"/>
      </w:tblPr>
      <w:tblGrid>
        <w:gridCol w:w="992"/>
        <w:gridCol w:w="1926"/>
        <w:gridCol w:w="2390"/>
        <w:gridCol w:w="2206"/>
        <w:gridCol w:w="2404"/>
      </w:tblGrid>
      <w:tr w:rsidR="00D86E44" w:rsidRPr="00622D62" w:rsidTr="008D1D57">
        <w:trPr>
          <w:cantSplit/>
          <w:tblHeader/>
          <w:jc w:val="center"/>
        </w:trPr>
        <w:tc>
          <w:tcPr>
            <w:tcW w:w="500"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1F4C7E">
            <w:pPr>
              <w:pStyle w:val="Tablehead"/>
              <w:spacing w:before="0"/>
            </w:pPr>
          </w:p>
        </w:tc>
        <w:tc>
          <w:tcPr>
            <w:tcW w:w="971"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9E666D">
            <w:pPr>
              <w:pStyle w:val="Tablehead"/>
              <w:rPr>
                <w:rFonts w:eastAsia="Batang"/>
                <w:sz w:val="21"/>
                <w:szCs w:val="21"/>
              </w:rPr>
            </w:pPr>
            <w:r w:rsidRPr="00622D62">
              <w:rPr>
                <w:rFonts w:eastAsia="Batang"/>
                <w:sz w:val="21"/>
                <w:szCs w:val="21"/>
              </w:rPr>
              <w:t xml:space="preserve">Recomendación formulada por la </w:t>
            </w:r>
            <w:r w:rsidRPr="00622D62">
              <w:rPr>
                <w:rFonts w:eastAsia="Batang"/>
                <w:i/>
                <w:iCs/>
                <w:sz w:val="21"/>
                <w:szCs w:val="21"/>
              </w:rPr>
              <w:t>Corte dei Conti</w:t>
            </w:r>
            <w:r w:rsidRPr="00622D62">
              <w:rPr>
                <w:rFonts w:eastAsia="Batang"/>
                <w:sz w:val="21"/>
                <w:szCs w:val="21"/>
              </w:rPr>
              <w:t xml:space="preserve"> italiana</w:t>
            </w:r>
          </w:p>
        </w:tc>
        <w:tc>
          <w:tcPr>
            <w:tcW w:w="1205"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9E666D">
            <w:pPr>
              <w:pStyle w:val="Tablehead"/>
              <w:rPr>
                <w:rFonts w:eastAsia="Batang"/>
                <w:sz w:val="21"/>
                <w:szCs w:val="21"/>
              </w:rPr>
            </w:pPr>
            <w:r w:rsidRPr="00622D62">
              <w:rPr>
                <w:rFonts w:eastAsia="Batang"/>
                <w:sz w:val="21"/>
                <w:szCs w:val="21"/>
              </w:rPr>
              <w:t>Comentarios recibidos del Secretario General en el momento de publicarse el informe</w:t>
            </w:r>
          </w:p>
        </w:tc>
        <w:tc>
          <w:tcPr>
            <w:tcW w:w="1112"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BE0B9C">
            <w:pPr>
              <w:pStyle w:val="Tablehead"/>
              <w:rPr>
                <w:rFonts w:eastAsia="Batang"/>
                <w:sz w:val="21"/>
                <w:szCs w:val="21"/>
              </w:rPr>
            </w:pPr>
            <w:r w:rsidRPr="00622D62">
              <w:rPr>
                <w:rFonts w:eastAsia="Batang"/>
                <w:sz w:val="21"/>
                <w:szCs w:val="21"/>
              </w:rPr>
              <w:t>Situación según la Dirección de la UIT</w:t>
            </w:r>
          </w:p>
        </w:tc>
        <w:tc>
          <w:tcPr>
            <w:tcW w:w="1212"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9E666D">
            <w:pPr>
              <w:pStyle w:val="Tablehead"/>
              <w:rPr>
                <w:rFonts w:eastAsia="Batang"/>
                <w:sz w:val="21"/>
                <w:szCs w:val="21"/>
              </w:rPr>
            </w:pPr>
            <w:r w:rsidRPr="00622D62">
              <w:rPr>
                <w:rFonts w:eastAsia="Batang"/>
                <w:sz w:val="21"/>
                <w:szCs w:val="21"/>
              </w:rPr>
              <w:t>Estado de las medidas adoptadas por la Dirección según las evaluaciones de</w:t>
            </w:r>
            <w:r w:rsidR="009E666D" w:rsidRPr="00622D62">
              <w:rPr>
                <w:rFonts w:eastAsia="Batang"/>
                <w:sz w:val="21"/>
                <w:szCs w:val="21"/>
              </w:rPr>
              <w:t xml:space="preserve"> </w:t>
            </w:r>
            <w:r w:rsidR="009E666D" w:rsidRPr="00622D62">
              <w:rPr>
                <w:rFonts w:eastAsia="Batang"/>
                <w:i/>
                <w:iCs/>
                <w:sz w:val="21"/>
                <w:szCs w:val="21"/>
              </w:rPr>
              <w:t>la Corte dei Conti</w:t>
            </w:r>
            <w:r w:rsidR="009E666D" w:rsidRPr="00622D62">
              <w:rPr>
                <w:rFonts w:eastAsia="Batang"/>
                <w:sz w:val="21"/>
                <w:szCs w:val="21"/>
              </w:rPr>
              <w:t xml:space="preserve"> italiana</w:t>
            </w:r>
          </w:p>
        </w:tc>
      </w:tr>
      <w:tr w:rsidR="00D86E44" w:rsidRPr="00622D62" w:rsidTr="008D1D57">
        <w:trPr>
          <w:cantSplit/>
          <w:trHeight w:val="6388"/>
          <w:jc w:val="center"/>
        </w:trPr>
        <w:tc>
          <w:tcPr>
            <w:tcW w:w="500" w:type="pct"/>
            <w:tcBorders>
              <w:top w:val="single" w:sz="4" w:space="0" w:color="auto"/>
              <w:left w:val="single" w:sz="4" w:space="0" w:color="auto"/>
              <w:bottom w:val="single" w:sz="4" w:space="0" w:color="auto"/>
              <w:right w:val="single" w:sz="4" w:space="0" w:color="auto"/>
            </w:tcBorders>
          </w:tcPr>
          <w:p w:rsidR="00BE0B9C" w:rsidRPr="00622D62" w:rsidRDefault="00BE0B9C" w:rsidP="00BE0B9C">
            <w:pPr>
              <w:pStyle w:val="Tabletext"/>
              <w:rPr>
                <w:b/>
                <w:sz w:val="21"/>
                <w:szCs w:val="21"/>
              </w:rPr>
            </w:pPr>
            <w:r w:rsidRPr="00622D62">
              <w:rPr>
                <w:b/>
                <w:sz w:val="21"/>
                <w:szCs w:val="21"/>
              </w:rPr>
              <w:t>Rec. n° 3</w:t>
            </w:r>
          </w:p>
          <w:p w:rsidR="00D86E44" w:rsidRPr="00622D62" w:rsidRDefault="00BE0B9C" w:rsidP="00BE0B9C">
            <w:pPr>
              <w:spacing w:before="0"/>
              <w:rPr>
                <w:b/>
                <w:bCs/>
              </w:rPr>
            </w:pPr>
            <w:r w:rsidRPr="00622D62">
              <w:rPr>
                <w:b/>
                <w:sz w:val="21"/>
                <w:szCs w:val="21"/>
              </w:rPr>
              <w:t>2012</w:t>
            </w:r>
          </w:p>
        </w:tc>
        <w:tc>
          <w:tcPr>
            <w:tcW w:w="971" w:type="pct"/>
            <w:tcBorders>
              <w:top w:val="single" w:sz="4" w:space="0" w:color="auto"/>
              <w:left w:val="single" w:sz="4" w:space="0" w:color="auto"/>
              <w:bottom w:val="single" w:sz="4" w:space="0" w:color="auto"/>
              <w:right w:val="single" w:sz="4" w:space="0" w:color="auto"/>
            </w:tcBorders>
          </w:tcPr>
          <w:p w:rsidR="00D86E44" w:rsidRPr="00622D62" w:rsidRDefault="00D86E44" w:rsidP="00BE0B9C">
            <w:pPr>
              <w:pStyle w:val="Tabletext"/>
              <w:rPr>
                <w:bCs/>
              </w:rPr>
            </w:pPr>
            <w:r w:rsidRPr="00622D62">
              <w:rPr>
                <w:rFonts w:eastAsia="Batang"/>
                <w:sz w:val="21"/>
                <w:szCs w:val="21"/>
              </w:rPr>
              <w:t xml:space="preserve">Pese a que somos plenamente conscientes de la necesidad de que la UIT aplique esta recuperación de costes en el caso de ITU Telecom World 2012, a causa del notable impacto que tiene la recuperación de costes en el resultado final del evento, no hemos encontrado pruebas suficientes al hacer el seguimiento de la contabilidad de los costes de que se haya determinado el valor correspondiente a la recuperación de costes. En consecuencia, </w:t>
            </w:r>
            <w:r w:rsidRPr="00622D62">
              <w:rPr>
                <w:rFonts w:eastAsia="Batang"/>
                <w:sz w:val="21"/>
                <w:szCs w:val="21"/>
                <w:u w:val="single"/>
              </w:rPr>
              <w:t>recomendamos</w:t>
            </w:r>
            <w:r w:rsidRPr="00622D62">
              <w:rPr>
                <w:rFonts w:eastAsia="Batang"/>
                <w:sz w:val="21"/>
                <w:szCs w:val="21"/>
              </w:rPr>
              <w:t xml:space="preserve"> a la Dirección que, cuando tome decisiones en los próximos años, divulgue mejor todos los elementos pertinentes, fundamentales para fijar correctamente este valor.</w:t>
            </w:r>
          </w:p>
        </w:tc>
        <w:tc>
          <w:tcPr>
            <w:tcW w:w="1205" w:type="pct"/>
            <w:tcBorders>
              <w:top w:val="single" w:sz="4" w:space="0" w:color="auto"/>
              <w:left w:val="single" w:sz="4" w:space="0" w:color="auto"/>
              <w:bottom w:val="single" w:sz="4" w:space="0" w:color="auto"/>
              <w:right w:val="single" w:sz="4" w:space="0" w:color="auto"/>
            </w:tcBorders>
          </w:tcPr>
          <w:p w:rsidR="00D86E44" w:rsidRPr="00622D62" w:rsidRDefault="00D86E44" w:rsidP="00BE0B9C">
            <w:pPr>
              <w:pStyle w:val="Tabletext"/>
            </w:pPr>
            <w:r w:rsidRPr="00622D62">
              <w:rPr>
                <w:rFonts w:eastAsia="Batang"/>
                <w:sz w:val="21"/>
                <w:szCs w:val="21"/>
              </w:rPr>
              <w:t>Se llevará a cabo un estudio para identificar, en 2016, de una manera lógica, la base para determinar el valor del parámetro recuperación de costes que podrá percibirse por un evento ITU Telecom. Las cantidades para 2014 y 2015 ya se han fijado en el Presupuesto de la UIT para ese periodo.</w:t>
            </w:r>
          </w:p>
        </w:tc>
        <w:tc>
          <w:tcPr>
            <w:tcW w:w="1112" w:type="pct"/>
            <w:tcBorders>
              <w:top w:val="single" w:sz="4" w:space="0" w:color="auto"/>
              <w:left w:val="single" w:sz="4" w:space="0" w:color="auto"/>
              <w:bottom w:val="single" w:sz="4" w:space="0" w:color="auto"/>
              <w:right w:val="single" w:sz="4" w:space="0" w:color="auto"/>
            </w:tcBorders>
          </w:tcPr>
          <w:p w:rsidR="00D86E44" w:rsidRPr="00622D62" w:rsidRDefault="00D86E44" w:rsidP="00BE0B9C">
            <w:pPr>
              <w:pStyle w:val="Tabletext"/>
            </w:pPr>
            <w:r w:rsidRPr="00622D62">
              <w:rPr>
                <w:rFonts w:eastAsia="Batang"/>
                <w:sz w:val="21"/>
                <w:szCs w:val="21"/>
              </w:rPr>
              <w:t>En relación con la Recomendación nº 3 de 2013, ha concluido el estudio detallado sobre las tasas correspondientes a la recuperaci</w:t>
            </w:r>
            <w:r w:rsidR="00BE0B9C" w:rsidRPr="00622D62">
              <w:rPr>
                <w:rFonts w:eastAsia="Batang"/>
                <w:sz w:val="21"/>
                <w:szCs w:val="21"/>
              </w:rPr>
              <w:t xml:space="preserve">ón de costes para ITU Telecom. </w:t>
            </w:r>
            <w:r w:rsidRPr="00622D62">
              <w:rPr>
                <w:rFonts w:eastAsia="Batang"/>
                <w:sz w:val="21"/>
                <w:szCs w:val="21"/>
              </w:rPr>
              <w:t>Medida terminada</w:t>
            </w:r>
            <w:r w:rsidR="00BE0B9C" w:rsidRPr="00622D62">
              <w:rPr>
                <w:rFonts w:eastAsia="Batang"/>
                <w:sz w:val="21"/>
                <w:szCs w:val="21"/>
              </w:rPr>
              <w:t xml:space="preserve">. </w:t>
            </w:r>
            <w:r w:rsidRPr="00622D62">
              <w:rPr>
                <w:rFonts w:eastAsia="Batang"/>
                <w:sz w:val="21"/>
                <w:szCs w:val="21"/>
              </w:rPr>
              <w:t>Concluida.</w:t>
            </w:r>
          </w:p>
        </w:tc>
        <w:tc>
          <w:tcPr>
            <w:tcW w:w="1212" w:type="pct"/>
            <w:tcBorders>
              <w:top w:val="single" w:sz="4" w:space="0" w:color="auto"/>
              <w:left w:val="single" w:sz="4" w:space="0" w:color="auto"/>
              <w:bottom w:val="single" w:sz="4" w:space="0" w:color="auto"/>
              <w:right w:val="single" w:sz="4" w:space="0" w:color="auto"/>
            </w:tcBorders>
          </w:tcPr>
          <w:p w:rsidR="00D86E44" w:rsidRPr="00622D62" w:rsidRDefault="00D86E44" w:rsidP="00A45696">
            <w:pPr>
              <w:pStyle w:val="Tabletext"/>
            </w:pPr>
            <w:r w:rsidRPr="00622D62">
              <w:rPr>
                <w:rFonts w:eastAsia="Batang"/>
                <w:sz w:val="21"/>
                <w:szCs w:val="21"/>
              </w:rPr>
              <w:t>Concluido</w:t>
            </w:r>
          </w:p>
        </w:tc>
      </w:tr>
      <w:tr w:rsidR="00D86E44" w:rsidRPr="00622D62" w:rsidTr="003A4F66">
        <w:trPr>
          <w:cantSplit/>
          <w:trHeight w:val="6910"/>
          <w:jc w:val="center"/>
        </w:trPr>
        <w:tc>
          <w:tcPr>
            <w:tcW w:w="500" w:type="pct"/>
            <w:tcBorders>
              <w:top w:val="single" w:sz="4" w:space="0" w:color="auto"/>
              <w:left w:val="single" w:sz="4" w:space="0" w:color="auto"/>
              <w:bottom w:val="single" w:sz="4" w:space="0" w:color="auto"/>
              <w:right w:val="single" w:sz="4" w:space="0" w:color="auto"/>
            </w:tcBorders>
          </w:tcPr>
          <w:p w:rsidR="00553F21" w:rsidRPr="00622D62" w:rsidRDefault="00553F21" w:rsidP="00553F21">
            <w:pPr>
              <w:pStyle w:val="Tabletext"/>
              <w:rPr>
                <w:b/>
                <w:sz w:val="21"/>
                <w:szCs w:val="21"/>
              </w:rPr>
            </w:pPr>
            <w:r w:rsidRPr="00622D62">
              <w:rPr>
                <w:b/>
                <w:sz w:val="21"/>
                <w:szCs w:val="21"/>
              </w:rPr>
              <w:lastRenderedPageBreak/>
              <w:t>Rec. n° 4</w:t>
            </w:r>
          </w:p>
          <w:p w:rsidR="00D86E44" w:rsidRPr="00622D62" w:rsidRDefault="00553F21" w:rsidP="00553F21">
            <w:pPr>
              <w:spacing w:before="0"/>
              <w:rPr>
                <w:b/>
                <w:bCs/>
              </w:rPr>
            </w:pPr>
            <w:r w:rsidRPr="00622D62">
              <w:rPr>
                <w:b/>
                <w:sz w:val="21"/>
                <w:szCs w:val="21"/>
              </w:rPr>
              <w:t>2012</w:t>
            </w:r>
          </w:p>
        </w:tc>
        <w:tc>
          <w:tcPr>
            <w:tcW w:w="971" w:type="pct"/>
            <w:tcBorders>
              <w:top w:val="single" w:sz="4" w:space="0" w:color="auto"/>
              <w:left w:val="single" w:sz="4" w:space="0" w:color="auto"/>
              <w:bottom w:val="single" w:sz="4" w:space="0" w:color="auto"/>
              <w:right w:val="single" w:sz="4" w:space="0" w:color="auto"/>
            </w:tcBorders>
          </w:tcPr>
          <w:p w:rsidR="00D86E44" w:rsidRPr="00622D62" w:rsidRDefault="00D86E44" w:rsidP="00770B4A">
            <w:pPr>
              <w:pStyle w:val="Tabletext"/>
              <w:rPr>
                <w:bCs/>
              </w:rPr>
            </w:pPr>
            <w:r w:rsidRPr="00622D62">
              <w:rPr>
                <w:rFonts w:eastAsia="Batang"/>
                <w:sz w:val="21"/>
                <w:szCs w:val="21"/>
              </w:rPr>
              <w:t xml:space="preserve">No obstante, en el resuelve 5.6 de la Resolución 11 (Rev. Guadalajara, 2010) se indicaba "que los lugares de celebración fijos se negocien para tres eventos consecutivos, al término de los cuales se procederá a un nuevo proceso de licitación para los tres eventos fijos siguientes". En consecuencia, y pese a que somos conscientes de las dificultades a las que se ha referido la Dirección y que este es el primer año en el que se aplica la Resolución 11, </w:t>
            </w:r>
            <w:r w:rsidRPr="00622D62">
              <w:rPr>
                <w:rFonts w:eastAsia="Batang"/>
                <w:sz w:val="21"/>
                <w:szCs w:val="21"/>
                <w:u w:val="single"/>
              </w:rPr>
              <w:t>recomendamos</w:t>
            </w:r>
            <w:r w:rsidRPr="00622D62">
              <w:rPr>
                <w:rFonts w:eastAsia="Batang"/>
                <w:sz w:val="21"/>
                <w:szCs w:val="21"/>
              </w:rPr>
              <w:t xml:space="preserve"> que, en los próximos años, empiecen a convocarse licitaciones, en cumplimiento de los requisitos establecidos en la Resolución.</w:t>
            </w:r>
          </w:p>
        </w:tc>
        <w:tc>
          <w:tcPr>
            <w:tcW w:w="1205" w:type="pct"/>
            <w:tcBorders>
              <w:top w:val="single" w:sz="4" w:space="0" w:color="auto"/>
              <w:left w:val="single" w:sz="4" w:space="0" w:color="auto"/>
              <w:bottom w:val="single" w:sz="4" w:space="0" w:color="auto"/>
              <w:right w:val="single" w:sz="4" w:space="0" w:color="auto"/>
            </w:tcBorders>
          </w:tcPr>
          <w:p w:rsidR="00D86E44" w:rsidRPr="00622D62" w:rsidRDefault="00D86E44" w:rsidP="00770B4A">
            <w:pPr>
              <w:pStyle w:val="Tabletext"/>
            </w:pPr>
            <w:r w:rsidRPr="00622D62">
              <w:rPr>
                <w:rFonts w:eastAsia="Batang"/>
                <w:sz w:val="21"/>
                <w:szCs w:val="21"/>
              </w:rPr>
              <w:t>Mediante una Carta Circular distribuida a todos los Estados Miembros, la UIT invita a los países interesados en acoger eventos ITU Telecom a que presenten sus ofertas. Hasta la fecha, la mayoría de propuestas se han limitado a la organización de un único evento.</w:t>
            </w:r>
          </w:p>
        </w:tc>
        <w:tc>
          <w:tcPr>
            <w:tcW w:w="1112" w:type="pct"/>
            <w:tcBorders>
              <w:top w:val="single" w:sz="4" w:space="0" w:color="auto"/>
              <w:left w:val="single" w:sz="4" w:space="0" w:color="auto"/>
              <w:bottom w:val="single" w:sz="4" w:space="0" w:color="auto"/>
              <w:right w:val="single" w:sz="4" w:space="0" w:color="auto"/>
            </w:tcBorders>
          </w:tcPr>
          <w:p w:rsidR="00D86E44" w:rsidRPr="00622D62" w:rsidRDefault="00D86E44" w:rsidP="00770B4A">
            <w:pPr>
              <w:pStyle w:val="Tabletext"/>
              <w:rPr>
                <w:rFonts w:eastAsia="Batang"/>
                <w:sz w:val="21"/>
                <w:szCs w:val="21"/>
              </w:rPr>
            </w:pPr>
            <w:r w:rsidRPr="00622D62">
              <w:rPr>
                <w:rFonts w:eastAsia="Batang"/>
                <w:sz w:val="21"/>
                <w:szCs w:val="21"/>
              </w:rPr>
              <w:t>La decisión relativa a la acogida de los eventos ITU Telecom seguirá basándose en el examen de las propuestas que presenten los posibles países anfitriones.</w:t>
            </w:r>
          </w:p>
        </w:tc>
        <w:tc>
          <w:tcPr>
            <w:tcW w:w="1212" w:type="pct"/>
            <w:tcBorders>
              <w:top w:val="single" w:sz="4" w:space="0" w:color="auto"/>
              <w:left w:val="single" w:sz="4" w:space="0" w:color="auto"/>
              <w:bottom w:val="single" w:sz="4" w:space="0" w:color="auto"/>
              <w:right w:val="single" w:sz="4" w:space="0" w:color="auto"/>
            </w:tcBorders>
          </w:tcPr>
          <w:p w:rsidR="00D86E44" w:rsidRPr="00622D62" w:rsidRDefault="00D86E44" w:rsidP="001F4C7E">
            <w:pPr>
              <w:spacing w:before="0"/>
              <w:rPr>
                <w:rFonts w:eastAsia="Batang"/>
                <w:sz w:val="21"/>
                <w:szCs w:val="21"/>
              </w:rPr>
            </w:pPr>
            <w:r w:rsidRPr="00622D62">
              <w:rPr>
                <w:rFonts w:eastAsia="Batang"/>
                <w:sz w:val="21"/>
                <w:szCs w:val="21"/>
              </w:rPr>
              <w:t>Concluido</w:t>
            </w:r>
          </w:p>
        </w:tc>
      </w:tr>
      <w:tr w:rsidR="00D86E44" w:rsidRPr="00622D62" w:rsidTr="00793EE1">
        <w:trPr>
          <w:cantSplit/>
          <w:trHeight w:val="3975"/>
          <w:jc w:val="center"/>
        </w:trPr>
        <w:tc>
          <w:tcPr>
            <w:tcW w:w="500" w:type="pct"/>
            <w:tcBorders>
              <w:top w:val="single" w:sz="4" w:space="0" w:color="auto"/>
              <w:left w:val="single" w:sz="4" w:space="0" w:color="auto"/>
              <w:bottom w:val="single" w:sz="4" w:space="0" w:color="auto"/>
              <w:right w:val="single" w:sz="4" w:space="0" w:color="auto"/>
            </w:tcBorders>
          </w:tcPr>
          <w:p w:rsidR="00D704E6" w:rsidRPr="00622D62" w:rsidRDefault="00D704E6" w:rsidP="00D704E6">
            <w:pPr>
              <w:pStyle w:val="Tabletext"/>
              <w:rPr>
                <w:b/>
                <w:sz w:val="21"/>
                <w:szCs w:val="21"/>
              </w:rPr>
            </w:pPr>
            <w:r w:rsidRPr="00622D62">
              <w:rPr>
                <w:b/>
                <w:sz w:val="21"/>
                <w:szCs w:val="21"/>
              </w:rPr>
              <w:lastRenderedPageBreak/>
              <w:t>Rec. n° 1</w:t>
            </w:r>
          </w:p>
          <w:p w:rsidR="00D86E44" w:rsidRPr="00622D62" w:rsidRDefault="00D704E6" w:rsidP="00D704E6">
            <w:pPr>
              <w:spacing w:before="0"/>
              <w:rPr>
                <w:b/>
                <w:bCs/>
              </w:rPr>
            </w:pPr>
            <w:r w:rsidRPr="00622D62">
              <w:rPr>
                <w:b/>
                <w:sz w:val="21"/>
                <w:szCs w:val="21"/>
              </w:rPr>
              <w:t>2013</w:t>
            </w:r>
          </w:p>
        </w:tc>
        <w:tc>
          <w:tcPr>
            <w:tcW w:w="971" w:type="pct"/>
            <w:tcBorders>
              <w:top w:val="single" w:sz="4" w:space="0" w:color="auto"/>
              <w:left w:val="single" w:sz="4" w:space="0" w:color="auto"/>
              <w:bottom w:val="single" w:sz="4" w:space="0" w:color="auto"/>
              <w:right w:val="single" w:sz="4" w:space="0" w:color="auto"/>
            </w:tcBorders>
          </w:tcPr>
          <w:p w:rsidR="00D86E44" w:rsidRPr="00622D62" w:rsidRDefault="00D86E44" w:rsidP="00DA5BCA">
            <w:pPr>
              <w:pStyle w:val="Tabletext"/>
              <w:rPr>
                <w:bCs/>
              </w:rPr>
            </w:pPr>
            <w:r w:rsidRPr="00622D62">
              <w:rPr>
                <w:rFonts w:eastAsia="Batang"/>
                <w:sz w:val="21"/>
                <w:szCs w:val="21"/>
              </w:rPr>
              <w:t xml:space="preserve">Consideramos que el presupuesto debería basarse en suposiciones presupuestarias más realistas y alcanzables para evitar la carga que supone revisarlo. Por consiguiente, </w:t>
            </w:r>
            <w:r w:rsidRPr="00622D62">
              <w:rPr>
                <w:rFonts w:eastAsia="Batang"/>
                <w:sz w:val="21"/>
                <w:szCs w:val="21"/>
                <w:u w:val="single"/>
              </w:rPr>
              <w:t>recomendamos</w:t>
            </w:r>
            <w:r w:rsidRPr="00622D62">
              <w:rPr>
                <w:rFonts w:eastAsia="Batang"/>
                <w:sz w:val="21"/>
                <w:szCs w:val="21"/>
              </w:rPr>
              <w:t xml:space="preserve"> que el presupuesto refleje suposiciones realistas y alcanzables.</w:t>
            </w:r>
          </w:p>
        </w:tc>
        <w:tc>
          <w:tcPr>
            <w:tcW w:w="1205" w:type="pct"/>
            <w:tcBorders>
              <w:top w:val="single" w:sz="4" w:space="0" w:color="auto"/>
              <w:left w:val="single" w:sz="4" w:space="0" w:color="auto"/>
              <w:bottom w:val="single" w:sz="4" w:space="0" w:color="auto"/>
              <w:right w:val="single" w:sz="4" w:space="0" w:color="auto"/>
            </w:tcBorders>
          </w:tcPr>
          <w:p w:rsidR="00D86E44" w:rsidRPr="00622D62" w:rsidRDefault="00D86E44" w:rsidP="00630B1B">
            <w:pPr>
              <w:pStyle w:val="Tabletext"/>
            </w:pPr>
            <w:r w:rsidRPr="00622D62">
              <w:rPr>
                <w:rFonts w:eastAsia="Batang"/>
                <w:sz w:val="21"/>
                <w:szCs w:val="21"/>
              </w:rPr>
              <w:t>Se seguirá trabajando para establecer suposiciones más precisas, teniendo en cuenta el apoyo de los países anfitriones, lo cual se traduce en la necesidad de que la UIT realice una planificación de contingencias adecuada.</w:t>
            </w:r>
          </w:p>
        </w:tc>
        <w:tc>
          <w:tcPr>
            <w:tcW w:w="1112" w:type="pct"/>
            <w:tcBorders>
              <w:top w:val="single" w:sz="4" w:space="0" w:color="auto"/>
              <w:left w:val="single" w:sz="4" w:space="0" w:color="auto"/>
              <w:bottom w:val="single" w:sz="4" w:space="0" w:color="auto"/>
              <w:right w:val="single" w:sz="4" w:space="0" w:color="auto"/>
            </w:tcBorders>
          </w:tcPr>
          <w:p w:rsidR="00D86E44" w:rsidRPr="00622D62" w:rsidRDefault="00D86E44" w:rsidP="00E32E56">
            <w:pPr>
              <w:pStyle w:val="Tabletext"/>
            </w:pPr>
            <w:r w:rsidRPr="00622D62">
              <w:rPr>
                <w:rFonts w:eastAsia="Batang"/>
                <w:sz w:val="21"/>
                <w:szCs w:val="21"/>
              </w:rPr>
              <w:t>El presupuesto de ITU Telecom World 2014 se ha revisado de conformidad con la Recomendación nº 1 de 2012 formulada por la Corte dei Conti, así como con la presen</w:t>
            </w:r>
            <w:r w:rsidR="007A54C0" w:rsidRPr="00622D62">
              <w:rPr>
                <w:rFonts w:eastAsia="Batang"/>
                <w:sz w:val="21"/>
                <w:szCs w:val="21"/>
              </w:rPr>
              <w:t xml:space="preserve">te Recomendación. </w:t>
            </w:r>
            <w:r w:rsidRPr="00622D62">
              <w:rPr>
                <w:rFonts w:eastAsia="Batang"/>
                <w:sz w:val="21"/>
                <w:szCs w:val="21"/>
              </w:rPr>
              <w:t>Medida terminada. Concluida.</w:t>
            </w:r>
          </w:p>
        </w:tc>
        <w:tc>
          <w:tcPr>
            <w:tcW w:w="1212" w:type="pct"/>
            <w:tcBorders>
              <w:top w:val="single" w:sz="4" w:space="0" w:color="auto"/>
              <w:left w:val="single" w:sz="4" w:space="0" w:color="auto"/>
              <w:bottom w:val="single" w:sz="4" w:space="0" w:color="auto"/>
              <w:right w:val="single" w:sz="4" w:space="0" w:color="auto"/>
            </w:tcBorders>
          </w:tcPr>
          <w:p w:rsidR="00D86E44" w:rsidRPr="00622D62" w:rsidRDefault="00D86E44" w:rsidP="00E32E56">
            <w:pPr>
              <w:pStyle w:val="Tabletext"/>
            </w:pPr>
            <w:r w:rsidRPr="00622D62">
              <w:rPr>
                <w:rFonts w:eastAsia="Batang"/>
                <w:sz w:val="21"/>
                <w:szCs w:val="21"/>
              </w:rPr>
              <w:t>Concluido</w:t>
            </w:r>
          </w:p>
        </w:tc>
      </w:tr>
      <w:tr w:rsidR="00D86E44" w:rsidRPr="00622D62" w:rsidTr="003A4F66">
        <w:trPr>
          <w:cantSplit/>
          <w:trHeight w:val="6910"/>
          <w:jc w:val="center"/>
        </w:trPr>
        <w:tc>
          <w:tcPr>
            <w:tcW w:w="500" w:type="pct"/>
            <w:tcBorders>
              <w:top w:val="single" w:sz="4" w:space="0" w:color="auto"/>
              <w:left w:val="single" w:sz="4" w:space="0" w:color="auto"/>
              <w:bottom w:val="single" w:sz="4" w:space="0" w:color="auto"/>
              <w:right w:val="single" w:sz="4" w:space="0" w:color="auto"/>
            </w:tcBorders>
          </w:tcPr>
          <w:p w:rsidR="00151005" w:rsidRPr="00622D62" w:rsidRDefault="00151005" w:rsidP="00151005">
            <w:pPr>
              <w:pStyle w:val="Tabletext"/>
              <w:rPr>
                <w:b/>
                <w:sz w:val="21"/>
                <w:szCs w:val="21"/>
              </w:rPr>
            </w:pPr>
            <w:r w:rsidRPr="00622D62">
              <w:rPr>
                <w:b/>
                <w:sz w:val="21"/>
                <w:szCs w:val="21"/>
              </w:rPr>
              <w:t>Rec. n° 2</w:t>
            </w:r>
          </w:p>
          <w:p w:rsidR="00D86E44" w:rsidRPr="00622D62" w:rsidRDefault="00151005" w:rsidP="00151005">
            <w:pPr>
              <w:spacing w:before="0"/>
              <w:rPr>
                <w:b/>
                <w:bCs/>
              </w:rPr>
            </w:pPr>
            <w:r w:rsidRPr="00622D62">
              <w:rPr>
                <w:b/>
                <w:sz w:val="21"/>
                <w:szCs w:val="21"/>
              </w:rPr>
              <w:t>2013</w:t>
            </w:r>
          </w:p>
        </w:tc>
        <w:tc>
          <w:tcPr>
            <w:tcW w:w="971" w:type="pct"/>
            <w:tcBorders>
              <w:top w:val="single" w:sz="4" w:space="0" w:color="auto"/>
              <w:left w:val="single" w:sz="4" w:space="0" w:color="auto"/>
              <w:bottom w:val="single" w:sz="4" w:space="0" w:color="auto"/>
              <w:right w:val="single" w:sz="4" w:space="0" w:color="auto"/>
            </w:tcBorders>
          </w:tcPr>
          <w:p w:rsidR="00D86E44" w:rsidRPr="00622D62" w:rsidRDefault="00D86E44" w:rsidP="00151005">
            <w:pPr>
              <w:pStyle w:val="Tabletext"/>
              <w:rPr>
                <w:bCs/>
              </w:rPr>
            </w:pPr>
            <w:r w:rsidRPr="00622D62">
              <w:rPr>
                <w:rFonts w:eastAsia="Batang"/>
                <w:sz w:val="21"/>
                <w:szCs w:val="21"/>
              </w:rPr>
              <w:t xml:space="preserve">Algunos ingresos procedentes de los pases de promoción, obtenidos directamente a través de operaciones en efectivo efectuadas en la inauguración del evento, no fueron registrados a tiempo en el sistema y han quedado regularizados solo recientemente. Si bien este hecho tiene una importancia relativa, </w:t>
            </w:r>
            <w:r w:rsidRPr="00622D62">
              <w:rPr>
                <w:rFonts w:eastAsia="Batang"/>
                <w:sz w:val="21"/>
                <w:szCs w:val="21"/>
                <w:u w:val="single"/>
              </w:rPr>
              <w:t>recomendamos</w:t>
            </w:r>
            <w:r w:rsidRPr="00622D62">
              <w:rPr>
                <w:rFonts w:eastAsia="Batang"/>
                <w:sz w:val="21"/>
                <w:szCs w:val="21"/>
              </w:rPr>
              <w:t xml:space="preserve"> que se adopte un procedimiento normalizado para esos casos.</w:t>
            </w:r>
          </w:p>
        </w:tc>
        <w:tc>
          <w:tcPr>
            <w:tcW w:w="1205" w:type="pct"/>
            <w:tcBorders>
              <w:top w:val="single" w:sz="4" w:space="0" w:color="auto"/>
              <w:left w:val="single" w:sz="4" w:space="0" w:color="auto"/>
              <w:bottom w:val="single" w:sz="4" w:space="0" w:color="auto"/>
              <w:right w:val="single" w:sz="4" w:space="0" w:color="auto"/>
            </w:tcBorders>
          </w:tcPr>
          <w:p w:rsidR="00D86E44" w:rsidRPr="00622D62" w:rsidRDefault="00D86E44" w:rsidP="00151005">
            <w:pPr>
              <w:pStyle w:val="Tabletext"/>
            </w:pPr>
            <w:r w:rsidRPr="00622D62">
              <w:rPr>
                <w:rFonts w:eastAsia="Batang"/>
                <w:sz w:val="21"/>
                <w:szCs w:val="21"/>
              </w:rPr>
              <w:t>Se establecerá un procedimiento normalizado por escrito para la reclasificación de los pases. Se está estudiando la posibilidad de que el equipo de inscripción refleje la reclasificación en el sistema en su gestión interna al final del día. Se está estudiando también la posibilidad de encontrar una solución técnica para las reclasificaciones en el sistema de inscripción.</w:t>
            </w:r>
          </w:p>
        </w:tc>
        <w:tc>
          <w:tcPr>
            <w:tcW w:w="1112" w:type="pct"/>
            <w:tcBorders>
              <w:top w:val="single" w:sz="4" w:space="0" w:color="auto"/>
              <w:left w:val="single" w:sz="4" w:space="0" w:color="auto"/>
              <w:bottom w:val="single" w:sz="4" w:space="0" w:color="auto"/>
              <w:right w:val="single" w:sz="4" w:space="0" w:color="auto"/>
            </w:tcBorders>
          </w:tcPr>
          <w:p w:rsidR="00D86E44" w:rsidRPr="00622D62" w:rsidRDefault="00D86E44" w:rsidP="00151005">
            <w:pPr>
              <w:pStyle w:val="Tabletext"/>
            </w:pPr>
            <w:r w:rsidRPr="00622D62">
              <w:rPr>
                <w:rFonts w:eastAsia="Batang"/>
                <w:sz w:val="21"/>
                <w:szCs w:val="21"/>
              </w:rPr>
              <w:t>El procedimiento para la reclasificación de los pases se estableció antes de ITU Telecom World 2014 y se ha facilitado al Auditor un ejemplar</w:t>
            </w:r>
            <w:r w:rsidR="00571836" w:rsidRPr="00622D62">
              <w:rPr>
                <w:rFonts w:eastAsia="Batang"/>
                <w:sz w:val="21"/>
                <w:szCs w:val="21"/>
              </w:rPr>
              <w:t xml:space="preserve"> del mismo. </w:t>
            </w:r>
            <w:r w:rsidRPr="00622D62">
              <w:rPr>
                <w:rFonts w:eastAsia="Batang"/>
                <w:sz w:val="21"/>
                <w:szCs w:val="21"/>
              </w:rPr>
              <w:t>Medida terminada. Concluida.</w:t>
            </w:r>
          </w:p>
        </w:tc>
        <w:tc>
          <w:tcPr>
            <w:tcW w:w="1212" w:type="pct"/>
            <w:tcBorders>
              <w:top w:val="single" w:sz="4" w:space="0" w:color="auto"/>
              <w:left w:val="single" w:sz="4" w:space="0" w:color="auto"/>
              <w:bottom w:val="single" w:sz="4" w:space="0" w:color="auto"/>
              <w:right w:val="single" w:sz="4" w:space="0" w:color="auto"/>
            </w:tcBorders>
          </w:tcPr>
          <w:p w:rsidR="00D86E44" w:rsidRPr="00622D62" w:rsidRDefault="00D86E44" w:rsidP="00151005">
            <w:pPr>
              <w:pStyle w:val="Tabletext"/>
            </w:pPr>
            <w:r w:rsidRPr="00622D62">
              <w:rPr>
                <w:rFonts w:eastAsia="Batang"/>
                <w:sz w:val="21"/>
                <w:szCs w:val="21"/>
              </w:rPr>
              <w:t>Concluido</w:t>
            </w:r>
          </w:p>
        </w:tc>
      </w:tr>
      <w:tr w:rsidR="00D86E44" w:rsidRPr="00622D62" w:rsidTr="00793EE1">
        <w:trPr>
          <w:cantSplit/>
          <w:trHeight w:val="3833"/>
          <w:jc w:val="center"/>
        </w:trPr>
        <w:tc>
          <w:tcPr>
            <w:tcW w:w="500" w:type="pct"/>
            <w:tcBorders>
              <w:top w:val="single" w:sz="4" w:space="0" w:color="auto"/>
              <w:left w:val="single" w:sz="4" w:space="0" w:color="auto"/>
              <w:bottom w:val="single" w:sz="4" w:space="0" w:color="auto"/>
              <w:right w:val="single" w:sz="4" w:space="0" w:color="auto"/>
            </w:tcBorders>
          </w:tcPr>
          <w:p w:rsidR="001E1B6A" w:rsidRPr="00622D62" w:rsidRDefault="001E1B6A" w:rsidP="001E1B6A">
            <w:pPr>
              <w:pStyle w:val="Tabletext"/>
              <w:rPr>
                <w:b/>
                <w:sz w:val="21"/>
                <w:szCs w:val="21"/>
              </w:rPr>
            </w:pPr>
            <w:r w:rsidRPr="00622D62">
              <w:rPr>
                <w:b/>
                <w:sz w:val="21"/>
                <w:szCs w:val="21"/>
              </w:rPr>
              <w:lastRenderedPageBreak/>
              <w:t>Rec. n° 3</w:t>
            </w:r>
          </w:p>
          <w:p w:rsidR="00D86E44" w:rsidRPr="00622D62" w:rsidRDefault="001E1B6A" w:rsidP="001E1B6A">
            <w:pPr>
              <w:spacing w:before="0"/>
              <w:rPr>
                <w:b/>
                <w:bCs/>
              </w:rPr>
            </w:pPr>
            <w:r w:rsidRPr="00622D62">
              <w:rPr>
                <w:b/>
                <w:sz w:val="21"/>
                <w:szCs w:val="21"/>
              </w:rPr>
              <w:t>2013</w:t>
            </w:r>
          </w:p>
        </w:tc>
        <w:tc>
          <w:tcPr>
            <w:tcW w:w="971" w:type="pct"/>
            <w:tcBorders>
              <w:top w:val="single" w:sz="4" w:space="0" w:color="auto"/>
              <w:left w:val="single" w:sz="4" w:space="0" w:color="auto"/>
              <w:bottom w:val="single" w:sz="4" w:space="0" w:color="auto"/>
              <w:right w:val="single" w:sz="4" w:space="0" w:color="auto"/>
            </w:tcBorders>
          </w:tcPr>
          <w:p w:rsidR="00D86E44" w:rsidRPr="00622D62" w:rsidRDefault="00D86E44" w:rsidP="00FF1C95">
            <w:pPr>
              <w:pStyle w:val="Tabletext"/>
              <w:rPr>
                <w:bCs/>
              </w:rPr>
            </w:pPr>
            <w:r w:rsidRPr="00622D62">
              <w:rPr>
                <w:rFonts w:eastAsia="Batang"/>
                <w:sz w:val="21"/>
                <w:szCs w:val="21"/>
              </w:rPr>
              <w:t xml:space="preserve">Teniendo en cuenta que no existen análisis recientes de la medida y la composición de esta suma global, </w:t>
            </w:r>
            <w:r w:rsidRPr="00622D62">
              <w:rPr>
                <w:rFonts w:eastAsia="Batang"/>
                <w:sz w:val="21"/>
                <w:szCs w:val="21"/>
                <w:u w:val="single"/>
              </w:rPr>
              <w:t>recomendamos</w:t>
            </w:r>
            <w:r w:rsidRPr="00622D62">
              <w:rPr>
                <w:rFonts w:eastAsia="Batang"/>
                <w:sz w:val="21"/>
                <w:szCs w:val="21"/>
              </w:rPr>
              <w:t xml:space="preserve"> a la Dirección que proporcione una base clara sobre cómo se llega al monto correspondiente a la recuperación de costes.</w:t>
            </w:r>
          </w:p>
        </w:tc>
        <w:tc>
          <w:tcPr>
            <w:tcW w:w="1205" w:type="pct"/>
            <w:tcBorders>
              <w:top w:val="single" w:sz="4" w:space="0" w:color="auto"/>
              <w:left w:val="single" w:sz="4" w:space="0" w:color="auto"/>
              <w:bottom w:val="single" w:sz="4" w:space="0" w:color="auto"/>
              <w:right w:val="single" w:sz="4" w:space="0" w:color="auto"/>
            </w:tcBorders>
          </w:tcPr>
          <w:p w:rsidR="00D86E44" w:rsidRPr="00622D62" w:rsidRDefault="00D86E44" w:rsidP="00FF1C95">
            <w:pPr>
              <w:pStyle w:val="Tabletext"/>
            </w:pPr>
            <w:r w:rsidRPr="00622D62">
              <w:rPr>
                <w:rFonts w:eastAsia="Batang"/>
                <w:sz w:val="21"/>
                <w:szCs w:val="21"/>
              </w:rPr>
              <w:t>Los montos correspondientes a la recuperación de costes para 2014 y 2015 ya han quedado definidos en el presupuesto bienal aprobado. En cuanto a la recuperación de costes para 2016, se realizará un estudio detallado que servirá de base para calcular los gastos.</w:t>
            </w:r>
          </w:p>
        </w:tc>
        <w:tc>
          <w:tcPr>
            <w:tcW w:w="1112" w:type="pct"/>
            <w:tcBorders>
              <w:top w:val="single" w:sz="4" w:space="0" w:color="auto"/>
              <w:left w:val="single" w:sz="4" w:space="0" w:color="auto"/>
              <w:bottom w:val="single" w:sz="4" w:space="0" w:color="auto"/>
              <w:right w:val="single" w:sz="4" w:space="0" w:color="auto"/>
            </w:tcBorders>
          </w:tcPr>
          <w:p w:rsidR="00D86E44" w:rsidRPr="00622D62" w:rsidRDefault="00D86E44" w:rsidP="00FF1C95">
            <w:pPr>
              <w:pStyle w:val="Tabletext"/>
              <w:rPr>
                <w:rFonts w:eastAsia="Batang"/>
                <w:sz w:val="21"/>
                <w:szCs w:val="21"/>
              </w:rPr>
            </w:pPr>
            <w:r w:rsidRPr="00622D62">
              <w:rPr>
                <w:rFonts w:eastAsia="Batang"/>
                <w:sz w:val="21"/>
                <w:szCs w:val="21"/>
              </w:rPr>
              <w:t>El estudio detallado sobre las tasas de recuperación de costes para ITU Telecom ha concluido</w:t>
            </w:r>
            <w:r w:rsidR="00FF1C95" w:rsidRPr="00622D62">
              <w:rPr>
                <w:rFonts w:eastAsia="Batang"/>
                <w:sz w:val="21"/>
                <w:szCs w:val="21"/>
              </w:rPr>
              <w:t xml:space="preserve">. </w:t>
            </w:r>
            <w:r w:rsidRPr="00622D62">
              <w:rPr>
                <w:rFonts w:eastAsia="Batang"/>
                <w:sz w:val="21"/>
                <w:szCs w:val="21"/>
              </w:rPr>
              <w:t>Esta medida se ha llevado a cabo también de conformidad con la Recomendación nº</w:t>
            </w:r>
            <w:r w:rsidR="00FF1C95" w:rsidRPr="00622D62">
              <w:rPr>
                <w:rFonts w:eastAsia="Batang"/>
                <w:sz w:val="21"/>
                <w:szCs w:val="21"/>
              </w:rPr>
              <w:t xml:space="preserve"> 3 de 2012. Medida terminada. </w:t>
            </w:r>
            <w:r w:rsidRPr="00622D62">
              <w:rPr>
                <w:rFonts w:eastAsia="Batang"/>
                <w:sz w:val="21"/>
                <w:szCs w:val="21"/>
              </w:rPr>
              <w:t>Concluida.</w:t>
            </w:r>
          </w:p>
        </w:tc>
        <w:tc>
          <w:tcPr>
            <w:tcW w:w="1212" w:type="pct"/>
            <w:tcBorders>
              <w:top w:val="single" w:sz="4" w:space="0" w:color="auto"/>
              <w:left w:val="single" w:sz="4" w:space="0" w:color="auto"/>
              <w:bottom w:val="single" w:sz="4" w:space="0" w:color="auto"/>
              <w:right w:val="single" w:sz="4" w:space="0" w:color="auto"/>
            </w:tcBorders>
          </w:tcPr>
          <w:p w:rsidR="00D86E44" w:rsidRPr="00622D62" w:rsidRDefault="00D86E44" w:rsidP="00FF1C95">
            <w:pPr>
              <w:pStyle w:val="Tabletext"/>
            </w:pPr>
            <w:r w:rsidRPr="00622D62">
              <w:rPr>
                <w:rFonts w:eastAsia="Batang"/>
                <w:sz w:val="21"/>
                <w:szCs w:val="21"/>
              </w:rPr>
              <w:t>Concluido</w:t>
            </w:r>
          </w:p>
        </w:tc>
      </w:tr>
      <w:tr w:rsidR="00D86E44" w:rsidRPr="00622D62" w:rsidTr="003A4F66">
        <w:trPr>
          <w:cantSplit/>
          <w:trHeight w:val="6910"/>
          <w:jc w:val="center"/>
        </w:trPr>
        <w:tc>
          <w:tcPr>
            <w:tcW w:w="500" w:type="pct"/>
            <w:tcBorders>
              <w:top w:val="single" w:sz="4" w:space="0" w:color="auto"/>
              <w:left w:val="single" w:sz="4" w:space="0" w:color="auto"/>
              <w:bottom w:val="single" w:sz="4" w:space="0" w:color="auto"/>
              <w:right w:val="single" w:sz="4" w:space="0" w:color="auto"/>
            </w:tcBorders>
          </w:tcPr>
          <w:p w:rsidR="00E10A2C" w:rsidRPr="00622D62" w:rsidRDefault="00E10A2C" w:rsidP="00E10A2C">
            <w:pPr>
              <w:pStyle w:val="Tabletext"/>
              <w:rPr>
                <w:b/>
                <w:sz w:val="21"/>
                <w:szCs w:val="21"/>
              </w:rPr>
            </w:pPr>
            <w:r w:rsidRPr="00622D62">
              <w:rPr>
                <w:b/>
                <w:sz w:val="21"/>
                <w:szCs w:val="21"/>
              </w:rPr>
              <w:t>Rec. n° 4</w:t>
            </w:r>
          </w:p>
          <w:p w:rsidR="00D86E44" w:rsidRPr="00622D62" w:rsidRDefault="00E10A2C" w:rsidP="00E10A2C">
            <w:pPr>
              <w:spacing w:before="0"/>
              <w:rPr>
                <w:b/>
                <w:bCs/>
              </w:rPr>
            </w:pPr>
            <w:r w:rsidRPr="00622D62">
              <w:rPr>
                <w:b/>
                <w:sz w:val="21"/>
                <w:szCs w:val="21"/>
              </w:rPr>
              <w:t>2013</w:t>
            </w:r>
          </w:p>
        </w:tc>
        <w:tc>
          <w:tcPr>
            <w:tcW w:w="971" w:type="pct"/>
            <w:tcBorders>
              <w:top w:val="single" w:sz="4" w:space="0" w:color="auto"/>
              <w:left w:val="single" w:sz="4" w:space="0" w:color="auto"/>
              <w:bottom w:val="single" w:sz="4" w:space="0" w:color="auto"/>
              <w:right w:val="single" w:sz="4" w:space="0" w:color="auto"/>
            </w:tcBorders>
          </w:tcPr>
          <w:p w:rsidR="00D86E44" w:rsidRPr="00622D62" w:rsidRDefault="00D86E44" w:rsidP="00E10A2C">
            <w:pPr>
              <w:pStyle w:val="Tabletext"/>
              <w:rPr>
                <w:bCs/>
              </w:rPr>
            </w:pPr>
            <w:r w:rsidRPr="00622D62">
              <w:rPr>
                <w:rFonts w:eastAsia="Batang"/>
                <w:sz w:val="21"/>
                <w:szCs w:val="21"/>
                <w:u w:val="single"/>
              </w:rPr>
              <w:t>Recomendamos</w:t>
            </w:r>
            <w:r w:rsidRPr="00622D62">
              <w:rPr>
                <w:rFonts w:eastAsia="Batang"/>
                <w:sz w:val="21"/>
                <w:szCs w:val="21"/>
              </w:rPr>
              <w:t xml:space="preserve"> que la organización de ITU Telecom se asegure de tener posibilidades de elegir también en el caso de los servicios gratuitos que brinda el país anfitrión.</w:t>
            </w:r>
          </w:p>
        </w:tc>
        <w:tc>
          <w:tcPr>
            <w:tcW w:w="1205" w:type="pct"/>
            <w:tcBorders>
              <w:top w:val="single" w:sz="4" w:space="0" w:color="auto"/>
              <w:left w:val="single" w:sz="4" w:space="0" w:color="auto"/>
              <w:bottom w:val="single" w:sz="4" w:space="0" w:color="auto"/>
              <w:right w:val="single" w:sz="4" w:space="0" w:color="auto"/>
            </w:tcBorders>
          </w:tcPr>
          <w:p w:rsidR="00D86E44" w:rsidRPr="00622D62" w:rsidRDefault="00D86E44" w:rsidP="00E10A2C">
            <w:pPr>
              <w:pStyle w:val="Tabletext"/>
            </w:pPr>
            <w:r w:rsidRPr="00622D62">
              <w:rPr>
                <w:rFonts w:eastAsia="Batang"/>
                <w:sz w:val="21"/>
                <w:szCs w:val="21"/>
              </w:rPr>
              <w:t>La UIT examinará con cuidado los servicios gratuitos que proponga el país anfitrión a fin de evaluar la adecuación del nivel de calidad esperado.</w:t>
            </w:r>
          </w:p>
        </w:tc>
        <w:tc>
          <w:tcPr>
            <w:tcW w:w="1112" w:type="pct"/>
            <w:tcBorders>
              <w:top w:val="single" w:sz="4" w:space="0" w:color="auto"/>
              <w:left w:val="single" w:sz="4" w:space="0" w:color="auto"/>
              <w:bottom w:val="single" w:sz="4" w:space="0" w:color="auto"/>
              <w:right w:val="single" w:sz="4" w:space="0" w:color="auto"/>
            </w:tcBorders>
          </w:tcPr>
          <w:p w:rsidR="00D86E44" w:rsidRPr="00622D62" w:rsidRDefault="00D86E44" w:rsidP="00E10A2C">
            <w:pPr>
              <w:pStyle w:val="Tabletext"/>
              <w:rPr>
                <w:rFonts w:eastAsia="Batang"/>
                <w:sz w:val="21"/>
                <w:szCs w:val="21"/>
              </w:rPr>
            </w:pPr>
            <w:r w:rsidRPr="00622D62">
              <w:rPr>
                <w:rFonts w:eastAsia="Batang"/>
                <w:sz w:val="21"/>
                <w:szCs w:val="21"/>
              </w:rPr>
              <w:t>En curso</w:t>
            </w:r>
          </w:p>
        </w:tc>
        <w:tc>
          <w:tcPr>
            <w:tcW w:w="1212" w:type="pct"/>
            <w:tcBorders>
              <w:top w:val="single" w:sz="4" w:space="0" w:color="auto"/>
              <w:left w:val="single" w:sz="4" w:space="0" w:color="auto"/>
              <w:bottom w:val="single" w:sz="4" w:space="0" w:color="auto"/>
              <w:right w:val="single" w:sz="4" w:space="0" w:color="auto"/>
            </w:tcBorders>
          </w:tcPr>
          <w:p w:rsidR="00D86E44" w:rsidRPr="00622D62" w:rsidRDefault="00D86E44" w:rsidP="00E10A2C">
            <w:pPr>
              <w:pStyle w:val="Tabletext"/>
              <w:rPr>
                <w:rFonts w:eastAsia="Batang"/>
                <w:sz w:val="21"/>
                <w:szCs w:val="21"/>
              </w:rPr>
            </w:pPr>
            <w:r w:rsidRPr="00622D62">
              <w:rPr>
                <w:rFonts w:eastAsia="Batang"/>
                <w:sz w:val="21"/>
                <w:szCs w:val="21"/>
              </w:rPr>
              <w:t>En curso</w:t>
            </w:r>
          </w:p>
        </w:tc>
      </w:tr>
    </w:tbl>
    <w:p w:rsidR="00D86E44" w:rsidRPr="00622D62" w:rsidRDefault="00D86E44" w:rsidP="00D86E44">
      <w:pPr>
        <w:adjustRightInd/>
        <w:spacing w:before="0" w:after="200" w:line="276" w:lineRule="auto"/>
      </w:pPr>
      <w:r w:rsidRPr="00622D62">
        <w:br w:type="page"/>
      </w:r>
    </w:p>
    <w:p w:rsidR="00D86E44" w:rsidRPr="00622D62" w:rsidRDefault="00D86E44" w:rsidP="00A32DA1">
      <w:pPr>
        <w:pStyle w:val="Title4"/>
        <w:spacing w:after="120"/>
        <w:rPr>
          <w:rFonts w:eastAsia="Batang"/>
          <w:sz w:val="24"/>
          <w:szCs w:val="24"/>
        </w:rPr>
      </w:pPr>
      <w:bookmarkStart w:id="105" w:name="_Toc417373410"/>
      <w:bookmarkStart w:id="106" w:name="_Toc419473017"/>
      <w:r w:rsidRPr="00622D62">
        <w:rPr>
          <w:rFonts w:eastAsia="Batang"/>
          <w:sz w:val="24"/>
          <w:szCs w:val="24"/>
        </w:rPr>
        <w:lastRenderedPageBreak/>
        <w:t>Sugerencias</w:t>
      </w:r>
      <w:bookmarkEnd w:id="105"/>
      <w:bookmarkEnd w:id="106"/>
    </w:p>
    <w:tbl>
      <w:tblPr>
        <w:tblW w:w="5000" w:type="pct"/>
        <w:tblCellMar>
          <w:top w:w="28" w:type="dxa"/>
          <w:left w:w="57" w:type="dxa"/>
          <w:bottom w:w="28" w:type="dxa"/>
          <w:right w:w="57" w:type="dxa"/>
        </w:tblCellMar>
        <w:tblLook w:val="0000" w:firstRow="0" w:lastRow="0" w:firstColumn="0" w:lastColumn="0" w:noHBand="0" w:noVBand="0"/>
      </w:tblPr>
      <w:tblGrid>
        <w:gridCol w:w="969"/>
        <w:gridCol w:w="1862"/>
        <w:gridCol w:w="2411"/>
        <w:gridCol w:w="2230"/>
        <w:gridCol w:w="2157"/>
      </w:tblGrid>
      <w:tr w:rsidR="00D86E44" w:rsidRPr="00622D62" w:rsidTr="00D917E0">
        <w:trPr>
          <w:cantSplit/>
          <w:tblHeader/>
        </w:trPr>
        <w:tc>
          <w:tcPr>
            <w:tcW w:w="503"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4D4025">
            <w:pPr>
              <w:pStyle w:val="Tablehead"/>
            </w:pPr>
          </w:p>
        </w:tc>
        <w:tc>
          <w:tcPr>
            <w:tcW w:w="967"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BD79EF">
            <w:pPr>
              <w:pStyle w:val="Tablehead"/>
              <w:rPr>
                <w:rFonts w:eastAsia="Batang"/>
                <w:sz w:val="21"/>
                <w:szCs w:val="21"/>
              </w:rPr>
            </w:pPr>
            <w:r w:rsidRPr="00622D62">
              <w:rPr>
                <w:rFonts w:eastAsia="Batang"/>
                <w:sz w:val="21"/>
                <w:szCs w:val="21"/>
              </w:rPr>
              <w:t xml:space="preserve">Sugerencia formulada por la </w:t>
            </w:r>
            <w:r w:rsidRPr="00622D62">
              <w:rPr>
                <w:rFonts w:eastAsia="Batang"/>
                <w:i/>
                <w:iCs/>
                <w:sz w:val="21"/>
                <w:szCs w:val="21"/>
              </w:rPr>
              <w:t>Corte dei Conti</w:t>
            </w:r>
            <w:r w:rsidRPr="00622D62">
              <w:rPr>
                <w:rFonts w:eastAsia="Batang"/>
                <w:sz w:val="21"/>
                <w:szCs w:val="21"/>
              </w:rPr>
              <w:t xml:space="preserve"> italiana</w:t>
            </w:r>
          </w:p>
        </w:tc>
        <w:tc>
          <w:tcPr>
            <w:tcW w:w="1252"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BD79EF">
            <w:pPr>
              <w:pStyle w:val="Tablehead"/>
              <w:rPr>
                <w:rFonts w:eastAsia="Batang"/>
                <w:sz w:val="21"/>
                <w:szCs w:val="21"/>
              </w:rPr>
            </w:pPr>
            <w:r w:rsidRPr="00622D62">
              <w:rPr>
                <w:rFonts w:eastAsia="Batang"/>
                <w:sz w:val="21"/>
                <w:szCs w:val="21"/>
              </w:rPr>
              <w:t>Comentarios recibidos del Secretario General en el momento de publicarse el informe</w:t>
            </w:r>
          </w:p>
        </w:tc>
        <w:tc>
          <w:tcPr>
            <w:tcW w:w="1158"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4D4025">
            <w:pPr>
              <w:pStyle w:val="Tablehead"/>
              <w:rPr>
                <w:rFonts w:eastAsia="Batang"/>
                <w:sz w:val="21"/>
                <w:szCs w:val="21"/>
              </w:rPr>
            </w:pPr>
            <w:r w:rsidRPr="00622D62">
              <w:rPr>
                <w:rFonts w:eastAsia="Batang"/>
                <w:sz w:val="21"/>
                <w:szCs w:val="21"/>
              </w:rPr>
              <w:t>Situación según la Dirección de la UIT</w:t>
            </w:r>
          </w:p>
        </w:tc>
        <w:tc>
          <w:tcPr>
            <w:tcW w:w="1120" w:type="pct"/>
            <w:tcBorders>
              <w:top w:val="single" w:sz="4" w:space="0" w:color="auto"/>
              <w:left w:val="single" w:sz="4" w:space="0" w:color="auto"/>
              <w:bottom w:val="single" w:sz="4" w:space="0" w:color="auto"/>
              <w:right w:val="single" w:sz="4" w:space="0" w:color="auto"/>
            </w:tcBorders>
            <w:vAlign w:val="center"/>
          </w:tcPr>
          <w:p w:rsidR="00D86E44" w:rsidRPr="00622D62" w:rsidRDefault="00D86E44" w:rsidP="00BD79EF">
            <w:pPr>
              <w:pStyle w:val="Tablehead"/>
              <w:rPr>
                <w:rFonts w:eastAsia="Batang"/>
                <w:sz w:val="21"/>
                <w:szCs w:val="21"/>
              </w:rPr>
            </w:pPr>
            <w:r w:rsidRPr="00622D62">
              <w:rPr>
                <w:rFonts w:eastAsia="Batang"/>
                <w:sz w:val="21"/>
                <w:szCs w:val="21"/>
              </w:rPr>
              <w:t xml:space="preserve">Estado de las medidas adoptadas por la Dirección según las evaluaciones de la </w:t>
            </w:r>
            <w:r w:rsidRPr="00622D62">
              <w:rPr>
                <w:rFonts w:eastAsia="Batang"/>
                <w:i/>
                <w:iCs/>
                <w:sz w:val="21"/>
                <w:szCs w:val="21"/>
              </w:rPr>
              <w:t>Corte dei Conti</w:t>
            </w:r>
            <w:r w:rsidRPr="00622D62">
              <w:rPr>
                <w:rFonts w:eastAsia="Batang"/>
                <w:sz w:val="21"/>
                <w:szCs w:val="21"/>
              </w:rPr>
              <w:t xml:space="preserve"> italiana</w:t>
            </w:r>
          </w:p>
        </w:tc>
      </w:tr>
      <w:tr w:rsidR="00D86E44" w:rsidRPr="00622D62" w:rsidTr="00D917E0">
        <w:trPr>
          <w:cantSplit/>
          <w:trHeight w:val="6440"/>
        </w:trPr>
        <w:tc>
          <w:tcPr>
            <w:tcW w:w="503" w:type="pct"/>
            <w:tcBorders>
              <w:top w:val="single" w:sz="4" w:space="0" w:color="auto"/>
              <w:left w:val="single" w:sz="4" w:space="0" w:color="auto"/>
              <w:bottom w:val="single" w:sz="4" w:space="0" w:color="auto"/>
              <w:right w:val="single" w:sz="4" w:space="0" w:color="auto"/>
            </w:tcBorders>
          </w:tcPr>
          <w:p w:rsidR="00D917E0" w:rsidRPr="00622D62" w:rsidRDefault="00D917E0" w:rsidP="00D917E0">
            <w:pPr>
              <w:pStyle w:val="Tabletext"/>
              <w:rPr>
                <w:b/>
                <w:sz w:val="21"/>
                <w:szCs w:val="21"/>
              </w:rPr>
            </w:pPr>
            <w:r w:rsidRPr="00622D62">
              <w:rPr>
                <w:b/>
                <w:sz w:val="21"/>
                <w:szCs w:val="21"/>
              </w:rPr>
              <w:t>Sug. n° 2</w:t>
            </w:r>
          </w:p>
          <w:p w:rsidR="00D86E44" w:rsidRPr="00622D62" w:rsidRDefault="00D917E0" w:rsidP="00D917E0">
            <w:pPr>
              <w:rPr>
                <w:b/>
                <w:bCs/>
              </w:rPr>
            </w:pPr>
            <w:r w:rsidRPr="00622D62">
              <w:rPr>
                <w:b/>
                <w:sz w:val="21"/>
                <w:szCs w:val="21"/>
              </w:rPr>
              <w:t>2012</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C60478">
            <w:pPr>
              <w:pStyle w:val="Tabletext"/>
              <w:rPr>
                <w:bCs/>
              </w:rPr>
            </w:pPr>
            <w:r w:rsidRPr="00622D62">
              <w:rPr>
                <w:rFonts w:eastAsia="Batang"/>
                <w:sz w:val="21"/>
                <w:szCs w:val="21"/>
              </w:rPr>
              <w:t xml:space="preserve">Aunque son varios los elementos informativos que figuran en dicho documento, hemos observado que no existe una relación directa entre los IFR y los objetivos generales enunciados en la Resolución 11. En consecuencia, </w:t>
            </w:r>
            <w:r w:rsidRPr="00622D62">
              <w:rPr>
                <w:rFonts w:eastAsia="Batang"/>
                <w:sz w:val="21"/>
                <w:szCs w:val="21"/>
                <w:u w:val="single"/>
              </w:rPr>
              <w:t>sugerimos</w:t>
            </w:r>
            <w:r w:rsidRPr="00622D62">
              <w:rPr>
                <w:rFonts w:eastAsia="Batang"/>
                <w:sz w:val="21"/>
                <w:szCs w:val="21"/>
              </w:rPr>
              <w:t xml:space="preserve"> que, para el próximo evento, en 2013, se adopten, antes de su inicio, unos IFR precisos y sólidos que estén vinculados a unos objetivos acordados, fiables y cuantificables y basados en la Resolución 11.</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D86E44" w:rsidP="00C60478">
            <w:pPr>
              <w:pStyle w:val="Tabletext"/>
            </w:pPr>
            <w:r w:rsidRPr="00622D62">
              <w:rPr>
                <w:rFonts w:eastAsia="Batang"/>
                <w:sz w:val="21"/>
                <w:szCs w:val="21"/>
              </w:rPr>
              <w:t>Para próximos eventos ITU Telecom se definirán unos IFR adicionales a fin de reflejar las disposiciones de la Resolución 11.</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D86E44" w:rsidP="008E19F3">
            <w:pPr>
              <w:pStyle w:val="Tabletext"/>
            </w:pPr>
            <w:r w:rsidRPr="00622D62">
              <w:rPr>
                <w:rFonts w:eastAsia="Batang"/>
                <w:sz w:val="21"/>
                <w:szCs w:val="21"/>
              </w:rPr>
              <w:t>Se han establecido, evaluado, analizado y facilitado al Auditor Externo IFR adicionales y pertinentes para los eventos de 2013 y 2014. Esta medida se ha convertido en un procedimiento habitual para cada event</w:t>
            </w:r>
            <w:r w:rsidR="00C60478" w:rsidRPr="00622D62">
              <w:rPr>
                <w:rFonts w:eastAsia="Batang"/>
                <w:sz w:val="21"/>
                <w:szCs w:val="21"/>
              </w:rPr>
              <w:t xml:space="preserve">o. </w:t>
            </w:r>
            <w:r w:rsidRPr="00622D62">
              <w:rPr>
                <w:rFonts w:eastAsia="Batang"/>
                <w:sz w:val="21"/>
                <w:szCs w:val="21"/>
              </w:rPr>
              <w:t>Concluida.</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D86E44" w:rsidP="00C60478">
            <w:pPr>
              <w:pStyle w:val="Tabletext"/>
            </w:pPr>
            <w:r w:rsidRPr="00622D62">
              <w:rPr>
                <w:rFonts w:eastAsia="Batang"/>
                <w:sz w:val="21"/>
                <w:szCs w:val="21"/>
              </w:rPr>
              <w:t>Concluido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C23D71" w:rsidRPr="00622D62" w:rsidRDefault="00C23D71" w:rsidP="00C23D71">
            <w:pPr>
              <w:pStyle w:val="Tabletext"/>
              <w:rPr>
                <w:b/>
                <w:sz w:val="21"/>
                <w:szCs w:val="21"/>
              </w:rPr>
            </w:pPr>
            <w:r w:rsidRPr="00622D62">
              <w:rPr>
                <w:b/>
                <w:sz w:val="21"/>
                <w:szCs w:val="21"/>
              </w:rPr>
              <w:lastRenderedPageBreak/>
              <w:t>Sug. n° 3</w:t>
            </w:r>
          </w:p>
          <w:p w:rsidR="00D86E44" w:rsidRPr="00622D62" w:rsidRDefault="00C23D71" w:rsidP="00C23D71">
            <w:pPr>
              <w:rPr>
                <w:b/>
                <w:bCs/>
              </w:rPr>
            </w:pPr>
            <w:r w:rsidRPr="00622D62">
              <w:rPr>
                <w:b/>
                <w:sz w:val="21"/>
                <w:szCs w:val="21"/>
              </w:rPr>
              <w:t>2012</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C23D71">
            <w:pPr>
              <w:pStyle w:val="Tabletext"/>
              <w:rPr>
                <w:bCs/>
              </w:rPr>
            </w:pPr>
            <w:r w:rsidRPr="00622D62">
              <w:rPr>
                <w:rFonts w:eastAsia="Batang"/>
                <w:sz w:val="21"/>
                <w:szCs w:val="21"/>
              </w:rPr>
              <w:t xml:space="preserve">Somos conscientes de que la Dirección ve en la flexibilidad un aliciente importante para atraer a participantes; no obstante, </w:t>
            </w:r>
            <w:r w:rsidRPr="00622D62">
              <w:rPr>
                <w:rFonts w:eastAsia="Batang"/>
                <w:sz w:val="21"/>
                <w:szCs w:val="21"/>
                <w:u w:val="single"/>
              </w:rPr>
              <w:t>sugerimos</w:t>
            </w:r>
            <w:r w:rsidRPr="00622D62">
              <w:rPr>
                <w:rFonts w:eastAsia="Batang"/>
                <w:sz w:val="21"/>
                <w:szCs w:val="21"/>
              </w:rPr>
              <w:t xml:space="preserve"> que se haga un seguimiento durante los próximos años de los resultados de esta política, se analice su conveniencia y se evalúe qué impacto ha tenido en los ingresos por ventas, no sólo para decidir si se mantiene o no, sino también para poder prever de una manera más certera los ingresos en el presupuesto.</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D86E44" w:rsidP="00724A92">
            <w:pPr>
              <w:pStyle w:val="Tabletext"/>
            </w:pPr>
            <w:r w:rsidRPr="00622D62">
              <w:rPr>
                <w:rFonts w:eastAsia="Batang"/>
                <w:sz w:val="21"/>
                <w:szCs w:val="21"/>
              </w:rPr>
              <w:t>Gracias a la flexibilidad que ofrecen las políticas de descuentos, ITU Telecom ha podido entrar en contacto con distintos actores clave del sector y asegurarse su participación. ITU Telecom realizará un seguimiento de esta política para velar por que cumpla de manera efectiva con su finalidad y se haga eco de los avances que se producen en un ecosistema como el nuestro, que cambia a gran velocidad. Los descuentos no son sino uno de los elementos que tienen en cuenta asociados/clientes antes de tomar la decisión de participar. No existe una relación directa entre ingresos y política de descuentos.</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D86E44" w:rsidP="00724A92">
            <w:pPr>
              <w:pStyle w:val="Tabletext"/>
            </w:pPr>
            <w:r w:rsidRPr="00622D62">
              <w:rPr>
                <w:rFonts w:eastAsia="Batang"/>
                <w:sz w:val="21"/>
                <w:szCs w:val="21"/>
              </w:rPr>
              <w:t>ITU Telecom sigue evaluando la política de descuentos para garantizar</w:t>
            </w:r>
            <w:r w:rsidR="008E19F3" w:rsidRPr="00622D62">
              <w:rPr>
                <w:rFonts w:eastAsia="Batang"/>
                <w:sz w:val="21"/>
                <w:szCs w:val="21"/>
              </w:rPr>
              <w:t xml:space="preserve"> su eficacia. </w:t>
            </w:r>
            <w:r w:rsidRPr="00622D62">
              <w:rPr>
                <w:rFonts w:eastAsia="Batang"/>
                <w:sz w:val="21"/>
                <w:szCs w:val="21"/>
              </w:rPr>
              <w:t>En curso.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D86E44" w:rsidP="00724A92">
            <w:pPr>
              <w:pStyle w:val="Tabletext"/>
            </w:pPr>
            <w:r w:rsidRPr="00622D62">
              <w:rPr>
                <w:rFonts w:eastAsia="Batang"/>
                <w:sz w:val="21"/>
                <w:szCs w:val="21"/>
              </w:rPr>
              <w:t>En curso</w:t>
            </w:r>
          </w:p>
        </w:tc>
      </w:tr>
      <w:tr w:rsidR="00D86E44" w:rsidRPr="00622D62" w:rsidTr="00D917E0">
        <w:trPr>
          <w:cantSplit/>
          <w:trHeight w:val="6400"/>
        </w:trPr>
        <w:tc>
          <w:tcPr>
            <w:tcW w:w="503" w:type="pct"/>
            <w:tcBorders>
              <w:top w:val="single" w:sz="4" w:space="0" w:color="auto"/>
              <w:left w:val="single" w:sz="4" w:space="0" w:color="auto"/>
              <w:bottom w:val="single" w:sz="4" w:space="0" w:color="auto"/>
              <w:right w:val="single" w:sz="4" w:space="0" w:color="auto"/>
            </w:tcBorders>
          </w:tcPr>
          <w:p w:rsidR="000D1196" w:rsidRPr="00622D62" w:rsidRDefault="000D1196" w:rsidP="000D1196">
            <w:pPr>
              <w:pStyle w:val="Tabletext"/>
              <w:rPr>
                <w:b/>
                <w:sz w:val="21"/>
                <w:szCs w:val="21"/>
              </w:rPr>
            </w:pPr>
            <w:r w:rsidRPr="00622D62">
              <w:rPr>
                <w:b/>
                <w:sz w:val="21"/>
                <w:szCs w:val="21"/>
              </w:rPr>
              <w:lastRenderedPageBreak/>
              <w:t>Sug. n° 5</w:t>
            </w:r>
          </w:p>
          <w:p w:rsidR="00D86E44" w:rsidRPr="00622D62" w:rsidRDefault="000D1196" w:rsidP="000D1196">
            <w:pPr>
              <w:rPr>
                <w:b/>
                <w:bCs/>
              </w:rPr>
            </w:pPr>
            <w:r w:rsidRPr="00622D62">
              <w:rPr>
                <w:b/>
                <w:sz w:val="21"/>
                <w:szCs w:val="21"/>
              </w:rPr>
              <w:t>2012</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E7239F">
            <w:pPr>
              <w:pStyle w:val="Tabletext"/>
              <w:rPr>
                <w:bCs/>
              </w:rPr>
            </w:pPr>
            <w:r w:rsidRPr="00622D62">
              <w:rPr>
                <w:rFonts w:eastAsia="Batang"/>
                <w:sz w:val="21"/>
                <w:szCs w:val="21"/>
              </w:rPr>
              <w:t xml:space="preserve">La Dirección ha manifestado que los acuerdos de intercambio son una herramienta importante para ITU Telecom World 2012, no sólo para atraer a compañías e inversores, sino también con vistas a la adquisición de productos y servicios de gran importancia. Hemos observado que la valoración que se hace de dichos servicios, en particular el cálculo de los beneficios para la UIT, se basa principalmente en el valor de mercado estimado de acuerdo con las tarifas vigentes. No obstante, en ocasiones se realizan estimaciones en ausencia de dicha información. En consecuencia, </w:t>
            </w:r>
            <w:r w:rsidRPr="00622D62">
              <w:rPr>
                <w:rFonts w:eastAsia="Batang"/>
                <w:sz w:val="21"/>
                <w:szCs w:val="21"/>
                <w:u w:val="single"/>
              </w:rPr>
              <w:t>sugerimos</w:t>
            </w:r>
            <w:r w:rsidRPr="00622D62">
              <w:rPr>
                <w:rFonts w:eastAsia="Batang"/>
                <w:sz w:val="21"/>
                <w:szCs w:val="21"/>
              </w:rPr>
              <w:t xml:space="preserve"> que la información sobre los beneficios para la UIT y los servicios prestados por la Unión se presente de una manera más clara y cuantificable, a fin de que sea más fácil saber si un intercambio es más o menos favorable para la UIT.</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D86E44" w:rsidP="00E7239F">
            <w:pPr>
              <w:pStyle w:val="Tabletext"/>
            </w:pPr>
            <w:r w:rsidRPr="00622D62">
              <w:rPr>
                <w:rFonts w:eastAsia="Batang"/>
                <w:sz w:val="21"/>
                <w:szCs w:val="21"/>
              </w:rPr>
              <w:t>Los acuerdos de intercambio son una herramienta importante para atraer a empresas/inversores y adquirir productos/servicios a precios competitivos. Todo posible acuerdo de intercambio es objeto de una evaluación rigurosa; asimismo, puede consultarse tanto la información relativa a los beneficios para la UIT como la relativa a los servicios que presta la Unión.</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D86E44" w:rsidP="00E7239F">
            <w:pPr>
              <w:pStyle w:val="Tabletext"/>
              <w:rPr>
                <w:rFonts w:eastAsia="Batang"/>
                <w:sz w:val="21"/>
                <w:szCs w:val="21"/>
              </w:rPr>
            </w:pPr>
            <w:r w:rsidRPr="00622D62">
              <w:rPr>
                <w:rFonts w:eastAsia="Batang"/>
                <w:sz w:val="21"/>
                <w:szCs w:val="21"/>
              </w:rPr>
              <w:t>Medida terminada. Concluida.</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D86E44" w:rsidP="00E7239F">
            <w:pPr>
              <w:pStyle w:val="Tabletext"/>
            </w:pPr>
            <w:r w:rsidRPr="00622D62">
              <w:rPr>
                <w:rFonts w:eastAsia="Batang"/>
                <w:sz w:val="21"/>
                <w:szCs w:val="21"/>
              </w:rPr>
              <w:t>Concluido</w:t>
            </w:r>
          </w:p>
        </w:tc>
      </w:tr>
      <w:tr w:rsidR="00D86E44" w:rsidRPr="00622D62" w:rsidTr="00DB04F9">
        <w:trPr>
          <w:cantSplit/>
          <w:trHeight w:val="4472"/>
        </w:trPr>
        <w:tc>
          <w:tcPr>
            <w:tcW w:w="503" w:type="pct"/>
            <w:tcBorders>
              <w:top w:val="single" w:sz="4" w:space="0" w:color="auto"/>
              <w:left w:val="single" w:sz="4" w:space="0" w:color="auto"/>
              <w:bottom w:val="single" w:sz="4" w:space="0" w:color="auto"/>
              <w:right w:val="single" w:sz="4" w:space="0" w:color="auto"/>
            </w:tcBorders>
          </w:tcPr>
          <w:p w:rsidR="006B5A61" w:rsidRPr="00622D62" w:rsidRDefault="006B5A61" w:rsidP="006B5A61">
            <w:pPr>
              <w:pStyle w:val="Tabletext"/>
              <w:rPr>
                <w:b/>
                <w:sz w:val="21"/>
                <w:szCs w:val="21"/>
              </w:rPr>
            </w:pPr>
            <w:r w:rsidRPr="00622D62">
              <w:rPr>
                <w:b/>
                <w:sz w:val="21"/>
                <w:szCs w:val="21"/>
              </w:rPr>
              <w:lastRenderedPageBreak/>
              <w:t>Sug. n° 1</w:t>
            </w:r>
          </w:p>
          <w:p w:rsidR="00D86E44" w:rsidRPr="00622D62" w:rsidRDefault="006B5A61" w:rsidP="006B5A61">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7C4262">
            <w:pPr>
              <w:spacing w:before="60" w:after="60"/>
              <w:rPr>
                <w:rFonts w:asciiTheme="minorHAnsi" w:eastAsia="Batang" w:hAnsiTheme="minorHAnsi"/>
                <w:b/>
                <w:bCs/>
                <w:sz w:val="21"/>
                <w:szCs w:val="21"/>
              </w:rPr>
            </w:pPr>
            <w:r w:rsidRPr="00622D62">
              <w:rPr>
                <w:rFonts w:asciiTheme="minorHAnsi" w:eastAsia="Batang" w:hAnsiTheme="minorHAnsi"/>
                <w:b/>
                <w:bCs/>
                <w:sz w:val="21"/>
                <w:szCs w:val="21"/>
              </w:rPr>
              <w:t>Presup</w:t>
            </w:r>
            <w:r w:rsidR="008D7B1C" w:rsidRPr="00622D62">
              <w:rPr>
                <w:rFonts w:asciiTheme="minorHAnsi" w:eastAsia="Batang" w:hAnsiTheme="minorHAnsi"/>
                <w:b/>
                <w:bCs/>
                <w:sz w:val="21"/>
                <w:szCs w:val="21"/>
              </w:rPr>
              <w:t>uesto revisado y situación real</w:t>
            </w:r>
          </w:p>
          <w:p w:rsidR="00D86E44" w:rsidRPr="00622D62" w:rsidRDefault="00D86E44" w:rsidP="000D3CB0">
            <w:pPr>
              <w:pStyle w:val="Tabletext"/>
              <w:rPr>
                <w:bCs/>
              </w:rPr>
            </w:pPr>
            <w:r w:rsidRPr="00622D62">
              <w:rPr>
                <w:rFonts w:eastAsia="Batang"/>
                <w:sz w:val="21"/>
                <w:szCs w:val="21"/>
              </w:rPr>
              <w:t xml:space="preserve">Habida cuenta de que consideramos estas informaciones herramientas para realizar mejores evaluaciones, </w:t>
            </w:r>
            <w:r w:rsidRPr="00622D62">
              <w:rPr>
                <w:rFonts w:eastAsia="Batang"/>
                <w:sz w:val="21"/>
                <w:szCs w:val="21"/>
                <w:u w:val="single"/>
              </w:rPr>
              <w:t>sugerimos</w:t>
            </w:r>
            <w:r w:rsidRPr="00622D62">
              <w:rPr>
                <w:rFonts w:eastAsia="Batang"/>
                <w:sz w:val="21"/>
                <w:szCs w:val="21"/>
              </w:rPr>
              <w:t xml:space="preserve"> añadir una referencia a la situación real en materia de ingresos y gastos a la hora de preparar el presupuesto revisado.</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2C5513" w:rsidP="00852B83">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los ejercicios de revisión del presupuesto siempre se tienen en cuenta los ingresos y gastos reales, cuyos montos varían constantemente. Las cifras pertinentes se darán a conocer en un documento aparte del presupuesto.</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2C5513" w:rsidP="00852B83">
            <w:pPr>
              <w:spacing w:after="60"/>
              <w:rPr>
                <w:rFonts w:eastAsia="Batang"/>
                <w:sz w:val="21"/>
                <w:szCs w:val="21"/>
              </w:rPr>
            </w:pPr>
            <w:r w:rsidRPr="00622D62">
              <w:rPr>
                <w:rFonts w:eastAsia="Batang"/>
                <w:sz w:val="21"/>
                <w:szCs w:val="21"/>
              </w:rPr>
              <w:br/>
            </w:r>
            <w:r w:rsidR="009456C3" w:rsidRPr="00622D62">
              <w:rPr>
                <w:rFonts w:eastAsia="Batang"/>
                <w:sz w:val="21"/>
                <w:szCs w:val="21"/>
              </w:rPr>
              <w:br/>
            </w:r>
            <w:r w:rsidRPr="00622D62">
              <w:rPr>
                <w:rFonts w:eastAsia="Batang"/>
                <w:sz w:val="21"/>
                <w:szCs w:val="21"/>
              </w:rPr>
              <w:br/>
              <w:t xml:space="preserve">Medida terminada. </w:t>
            </w:r>
            <w:r w:rsidR="00D86E44" w:rsidRPr="00622D62">
              <w:rPr>
                <w:rFonts w:eastAsia="Batang"/>
                <w:sz w:val="21"/>
                <w:szCs w:val="21"/>
              </w:rPr>
              <w:t>Concluida.</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2C5513" w:rsidP="00852B83">
            <w:pPr>
              <w:spacing w:after="60"/>
            </w:pPr>
            <w:r w:rsidRPr="00622D62">
              <w:rPr>
                <w:rFonts w:eastAsia="Batang"/>
                <w:sz w:val="21"/>
                <w:szCs w:val="21"/>
              </w:rPr>
              <w:br/>
            </w:r>
            <w:r w:rsidR="009456C3" w:rsidRPr="00622D62">
              <w:rPr>
                <w:rFonts w:eastAsia="Batang"/>
                <w:sz w:val="21"/>
                <w:szCs w:val="21"/>
              </w:rPr>
              <w:br/>
            </w:r>
            <w:r w:rsidR="009456C3" w:rsidRPr="00622D62">
              <w:rPr>
                <w:rFonts w:eastAsia="Batang"/>
                <w:sz w:val="21"/>
                <w:szCs w:val="21"/>
              </w:rPr>
              <w:br/>
            </w:r>
            <w:r w:rsidR="00D86E44" w:rsidRPr="00622D62">
              <w:rPr>
                <w:rFonts w:eastAsia="Batang"/>
                <w:sz w:val="21"/>
                <w:szCs w:val="21"/>
              </w:rPr>
              <w:t>Concluido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782F2F" w:rsidRPr="00622D62" w:rsidRDefault="00782F2F" w:rsidP="00782F2F">
            <w:pPr>
              <w:pStyle w:val="Tabletext"/>
              <w:rPr>
                <w:b/>
                <w:sz w:val="21"/>
                <w:szCs w:val="21"/>
              </w:rPr>
            </w:pPr>
            <w:r w:rsidRPr="00622D62">
              <w:rPr>
                <w:b/>
                <w:sz w:val="21"/>
                <w:szCs w:val="21"/>
              </w:rPr>
              <w:t>Sug. n° 2</w:t>
            </w:r>
          </w:p>
          <w:p w:rsidR="00D86E44" w:rsidRPr="00622D62" w:rsidRDefault="00782F2F" w:rsidP="00782F2F">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7C4262">
            <w:pPr>
              <w:spacing w:before="60" w:after="60"/>
              <w:rPr>
                <w:b/>
                <w:bCs/>
              </w:rPr>
            </w:pPr>
            <w:r w:rsidRPr="00622D62">
              <w:rPr>
                <w:rFonts w:asciiTheme="minorHAnsi" w:eastAsia="Batang" w:hAnsiTheme="minorHAnsi"/>
                <w:b/>
                <w:bCs/>
                <w:sz w:val="21"/>
                <w:szCs w:val="21"/>
              </w:rPr>
              <w:t>Categorías de IFR</w:t>
            </w:r>
            <w:r w:rsidRPr="00622D62">
              <w:rPr>
                <w:b/>
                <w:bCs/>
              </w:rPr>
              <w:t xml:space="preserve"> </w:t>
            </w:r>
          </w:p>
          <w:p w:rsidR="00D86E44" w:rsidRPr="00622D62" w:rsidRDefault="00D86E44" w:rsidP="009C3CBB">
            <w:pPr>
              <w:pStyle w:val="Tabletext"/>
              <w:rPr>
                <w:bCs/>
              </w:rPr>
            </w:pPr>
            <w:r w:rsidRPr="00622D62">
              <w:rPr>
                <w:rFonts w:eastAsia="Batang"/>
                <w:sz w:val="21"/>
                <w:szCs w:val="21"/>
              </w:rPr>
              <w:t xml:space="preserve">Consideramos y, por tanto, </w:t>
            </w:r>
            <w:r w:rsidRPr="00622D62">
              <w:rPr>
                <w:rFonts w:eastAsia="Batang"/>
                <w:sz w:val="21"/>
                <w:szCs w:val="21"/>
                <w:u w:val="single"/>
              </w:rPr>
              <w:t>sugerimos</w:t>
            </w:r>
            <w:r w:rsidRPr="00622D62">
              <w:rPr>
                <w:rFonts w:eastAsia="Batang"/>
                <w:sz w:val="21"/>
                <w:szCs w:val="21"/>
              </w:rPr>
              <w:t xml:space="preserve"> que sería útil mejorar el establecimiento de las categorías para presentar claramente los IFR y definirlos con más detalle.</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37771F" w:rsidP="00603325">
            <w:r w:rsidRPr="00622D62">
              <w:rPr>
                <w:rFonts w:eastAsia="Batang"/>
                <w:sz w:val="21"/>
                <w:szCs w:val="21"/>
              </w:rPr>
              <w:br/>
            </w:r>
            <w:r w:rsidR="00D86E44" w:rsidRPr="00622D62">
              <w:rPr>
                <w:rFonts w:eastAsia="Batang"/>
                <w:sz w:val="21"/>
                <w:szCs w:val="21"/>
              </w:rPr>
              <w:t>Se ha definido los IFR y se está haciendo un seguimiento de los mismos. Seguiremos procurando afinar los IFR y utilizarlos para orientar el diseño y la organización de los eventos ITU Telecom World.</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37771F" w:rsidP="00603325">
            <w:pPr>
              <w:rPr>
                <w:rFonts w:eastAsia="Batang"/>
                <w:sz w:val="21"/>
                <w:szCs w:val="21"/>
              </w:rPr>
            </w:pPr>
            <w:r w:rsidRPr="00622D62">
              <w:rPr>
                <w:rFonts w:eastAsia="Batang"/>
                <w:sz w:val="21"/>
                <w:szCs w:val="21"/>
              </w:rPr>
              <w:br/>
            </w:r>
            <w:r w:rsidR="00D86E44" w:rsidRPr="00622D62">
              <w:rPr>
                <w:rFonts w:eastAsia="Batang"/>
                <w:sz w:val="21"/>
                <w:szCs w:val="21"/>
              </w:rPr>
              <w:t>En curso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37771F" w:rsidP="00603325">
            <w:pPr>
              <w:rPr>
                <w:rFonts w:eastAsia="Batang"/>
                <w:sz w:val="21"/>
                <w:szCs w:val="21"/>
              </w:rPr>
            </w:pPr>
            <w:r w:rsidRPr="00622D62">
              <w:rPr>
                <w:rFonts w:eastAsia="Batang"/>
                <w:sz w:val="21"/>
                <w:szCs w:val="21"/>
              </w:rPr>
              <w:br/>
            </w:r>
            <w:r w:rsidR="00D86E44" w:rsidRPr="00622D62">
              <w:rPr>
                <w:rFonts w:eastAsia="Batang"/>
                <w:sz w:val="21"/>
                <w:szCs w:val="21"/>
              </w:rPr>
              <w:t>En curso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617612" w:rsidRPr="00622D62" w:rsidRDefault="00617612" w:rsidP="00617612">
            <w:pPr>
              <w:pStyle w:val="Tabletext"/>
              <w:rPr>
                <w:b/>
                <w:sz w:val="21"/>
                <w:szCs w:val="21"/>
              </w:rPr>
            </w:pPr>
            <w:r w:rsidRPr="00622D62">
              <w:rPr>
                <w:b/>
                <w:sz w:val="21"/>
                <w:szCs w:val="21"/>
              </w:rPr>
              <w:lastRenderedPageBreak/>
              <w:t>Sug. n° 3</w:t>
            </w:r>
          </w:p>
          <w:p w:rsidR="00D86E44" w:rsidRPr="00622D62" w:rsidRDefault="00617612" w:rsidP="00617612">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6D151E">
            <w:pPr>
              <w:spacing w:before="60" w:after="60"/>
              <w:rPr>
                <w:b/>
                <w:bCs/>
              </w:rPr>
            </w:pPr>
            <w:r w:rsidRPr="00622D62">
              <w:rPr>
                <w:rFonts w:asciiTheme="minorHAnsi" w:eastAsia="Batang" w:hAnsiTheme="minorHAnsi"/>
                <w:b/>
                <w:bCs/>
                <w:sz w:val="21"/>
                <w:szCs w:val="21"/>
              </w:rPr>
              <w:t>Descuentos</w:t>
            </w:r>
          </w:p>
          <w:p w:rsidR="00D86E44" w:rsidRPr="00622D62" w:rsidRDefault="00D86E44" w:rsidP="00617612">
            <w:pPr>
              <w:pStyle w:val="Tabletext"/>
              <w:rPr>
                <w:bCs/>
              </w:rPr>
            </w:pPr>
            <w:r w:rsidRPr="00622D62">
              <w:rPr>
                <w:rFonts w:eastAsia="Batang"/>
                <w:sz w:val="21"/>
                <w:szCs w:val="21"/>
                <w:u w:val="single"/>
              </w:rPr>
              <w:t>Sugerimos</w:t>
            </w:r>
            <w:r w:rsidRPr="00622D62">
              <w:rPr>
                <w:rFonts w:eastAsia="Batang"/>
                <w:sz w:val="21"/>
                <w:szCs w:val="21"/>
              </w:rPr>
              <w:t xml:space="preserve"> analizar con mayor detenimiento el comportamiento de los compradores y modificar las condiciones de esta tarifa de descuento eligiendo un periodo posterior o eliminándola.</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6D151E" w:rsidP="00852B83">
            <w:pPr>
              <w:pStyle w:val="Tabletext"/>
              <w:spacing w:before="120"/>
            </w:pPr>
            <w:r w:rsidRPr="00622D62">
              <w:rPr>
                <w:rFonts w:eastAsia="Batang"/>
                <w:sz w:val="21"/>
                <w:szCs w:val="21"/>
              </w:rPr>
              <w:br/>
            </w:r>
            <w:r w:rsidR="00D86E44" w:rsidRPr="00622D62">
              <w:rPr>
                <w:rFonts w:eastAsia="Batang"/>
                <w:sz w:val="21"/>
                <w:szCs w:val="21"/>
              </w:rPr>
              <w:t>Gracias a la flexibilidad que ofrecen las políticas de descuentos, ITU Telecom ha podido entrar en contacto con distintos actores clave del sector y asegurarse su participación. ITU Telecom realizará un seguimiento de esta política para velar por que cumpla de manera efectiva con su finalidad y se haga eco de los avances que se producen en un ecosistema como el nuestro, que cambia a gran velocidad. Los descuentos no son sino uno de los elementos que tienen en cuenta asociados/clientes antes de tomar la decisión de participar. No existe una relación directa entre ingresos y política de descuentos.</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6D151E" w:rsidP="00852B83">
            <w:pPr>
              <w:pStyle w:val="Tabletext"/>
              <w:spacing w:before="120"/>
            </w:pPr>
            <w:r w:rsidRPr="00622D62">
              <w:rPr>
                <w:rFonts w:eastAsia="Batang"/>
                <w:sz w:val="21"/>
                <w:szCs w:val="21"/>
              </w:rPr>
              <w:br/>
            </w:r>
            <w:r w:rsidR="00D86E44" w:rsidRPr="00622D62">
              <w:rPr>
                <w:rFonts w:eastAsia="Batang"/>
                <w:sz w:val="21"/>
                <w:szCs w:val="21"/>
              </w:rPr>
              <w:t>Se implantó para ITU Telecom World 2015 una nueva política y un procedimiento que incluyen los descuentos; se ha facilitado un ejemplar de la misma al Auditor Externo</w:t>
            </w:r>
            <w:r w:rsidR="00D97F3D" w:rsidRPr="00622D62">
              <w:rPr>
                <w:rFonts w:eastAsia="Batang"/>
                <w:sz w:val="21"/>
                <w:szCs w:val="21"/>
              </w:rPr>
              <w:t xml:space="preserve">. Medida terminada. </w:t>
            </w:r>
            <w:r w:rsidR="00D86E44" w:rsidRPr="00622D62">
              <w:rPr>
                <w:rFonts w:eastAsia="Batang"/>
                <w:sz w:val="21"/>
                <w:szCs w:val="21"/>
              </w:rPr>
              <w:t>Concluido.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6D151E" w:rsidP="00852B83">
            <w:pPr>
              <w:pStyle w:val="Tabletext"/>
              <w:spacing w:before="120"/>
            </w:pPr>
            <w:r w:rsidRPr="00622D62">
              <w:rPr>
                <w:rFonts w:eastAsia="Batang"/>
                <w:sz w:val="21"/>
                <w:szCs w:val="21"/>
              </w:rPr>
              <w:br/>
            </w:r>
            <w:r w:rsidR="00D86E44" w:rsidRPr="00622D62">
              <w:rPr>
                <w:rFonts w:eastAsia="Batang"/>
                <w:sz w:val="21"/>
                <w:szCs w:val="21"/>
              </w:rPr>
              <w:t>Concluido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8A53FF" w:rsidRPr="00622D62" w:rsidRDefault="008A53FF" w:rsidP="008A53FF">
            <w:pPr>
              <w:pStyle w:val="Tabletext"/>
              <w:rPr>
                <w:b/>
                <w:sz w:val="21"/>
                <w:szCs w:val="21"/>
              </w:rPr>
            </w:pPr>
            <w:r w:rsidRPr="00622D62">
              <w:rPr>
                <w:b/>
                <w:sz w:val="21"/>
                <w:szCs w:val="21"/>
              </w:rPr>
              <w:lastRenderedPageBreak/>
              <w:t>Sug. n° 4</w:t>
            </w:r>
          </w:p>
          <w:p w:rsidR="00D86E44" w:rsidRPr="00622D62" w:rsidRDefault="008A53FF" w:rsidP="008A53FF">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7E7CFE">
            <w:pPr>
              <w:spacing w:before="60" w:after="60"/>
              <w:rPr>
                <w:b/>
                <w:bCs/>
              </w:rPr>
            </w:pPr>
            <w:r w:rsidRPr="00622D62">
              <w:rPr>
                <w:rFonts w:asciiTheme="minorHAnsi" w:eastAsia="Batang" w:hAnsiTheme="minorHAnsi"/>
                <w:b/>
                <w:bCs/>
                <w:sz w:val="21"/>
                <w:szCs w:val="21"/>
              </w:rPr>
              <w:t>Espacios inutilizados</w:t>
            </w:r>
          </w:p>
          <w:p w:rsidR="00D86E44" w:rsidRPr="00622D62" w:rsidRDefault="00D86E44" w:rsidP="007E7CFE">
            <w:pPr>
              <w:pStyle w:val="Tabletext"/>
              <w:rPr>
                <w:bCs/>
              </w:rPr>
            </w:pPr>
            <w:r w:rsidRPr="00622D62">
              <w:rPr>
                <w:rFonts w:eastAsia="Batang"/>
                <w:sz w:val="21"/>
                <w:szCs w:val="21"/>
              </w:rPr>
              <w:t xml:space="preserve">Si bien se admite que las personas pueden elegir no utilizar los espacios puestos a su disposición, una zona no concurrida de la sala de exposiciones podría tener efectos negativos en la percepción del interés de los medios de comunicación por el evento. Por consiguiente, </w:t>
            </w:r>
            <w:r w:rsidRPr="00622D62">
              <w:rPr>
                <w:rFonts w:eastAsia="Batang"/>
                <w:sz w:val="21"/>
                <w:szCs w:val="21"/>
                <w:u w:val="single"/>
              </w:rPr>
              <w:t>sugerimos</w:t>
            </w:r>
            <w:r w:rsidRPr="00622D62">
              <w:rPr>
                <w:rFonts w:eastAsia="Batang"/>
                <w:sz w:val="21"/>
                <w:szCs w:val="21"/>
              </w:rPr>
              <w:t xml:space="preserve"> que se identifiquen lo antes posible esos espacios inutilizados y se transformen adecuadamente.</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214D16" w:rsidP="008C6CA6">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00D86E44" w:rsidRPr="00622D62">
              <w:rPr>
                <w:rFonts w:eastAsia="Batang"/>
                <w:sz w:val="21"/>
                <w:szCs w:val="21"/>
              </w:rPr>
              <w:t>Se seguirá trabajando para optimizar la utilización de la sala de exposiciones teniendo en cuenta las anulaciones de último minuto y el incremento de los gastos asociados a la readaptación de los espacios "inutilizados".</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214D16" w:rsidP="008C6CA6">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214D16" w:rsidP="008C6CA6">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4F6186" w:rsidRPr="00622D62" w:rsidRDefault="004F6186" w:rsidP="004F6186">
            <w:pPr>
              <w:pStyle w:val="Tabletext"/>
              <w:rPr>
                <w:b/>
                <w:sz w:val="21"/>
                <w:szCs w:val="21"/>
              </w:rPr>
            </w:pPr>
            <w:r w:rsidRPr="00622D62">
              <w:rPr>
                <w:b/>
                <w:sz w:val="21"/>
                <w:szCs w:val="21"/>
              </w:rPr>
              <w:lastRenderedPageBreak/>
              <w:t>Sug. n° 5</w:t>
            </w:r>
          </w:p>
          <w:p w:rsidR="00D86E44" w:rsidRPr="00622D62" w:rsidRDefault="004F6186" w:rsidP="004F6186">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7D20B8">
            <w:pPr>
              <w:spacing w:before="60" w:after="60"/>
              <w:rPr>
                <w:b/>
                <w:bCs/>
              </w:rPr>
            </w:pPr>
            <w:r w:rsidRPr="00622D62">
              <w:rPr>
                <w:rFonts w:asciiTheme="minorHAnsi" w:eastAsia="Batang" w:hAnsiTheme="minorHAnsi"/>
                <w:b/>
                <w:bCs/>
                <w:sz w:val="21"/>
                <w:szCs w:val="21"/>
              </w:rPr>
              <w:t>Presencia de los medios de comunicación</w:t>
            </w:r>
          </w:p>
          <w:p w:rsidR="00D86E44" w:rsidRPr="00622D62" w:rsidRDefault="00D86E44" w:rsidP="008548A1">
            <w:pPr>
              <w:pStyle w:val="Tabletext"/>
              <w:rPr>
                <w:bCs/>
              </w:rPr>
            </w:pPr>
            <w:r w:rsidRPr="00622D62">
              <w:rPr>
                <w:rFonts w:eastAsia="Batang"/>
                <w:sz w:val="21"/>
                <w:szCs w:val="21"/>
              </w:rPr>
              <w:t xml:space="preserve">Dado que los datos de presencia muestran que se ha reducido el porcentaje (5%) de visitantes procedentes del sector de los medios de comunicación (era del 8% en ITU Telecom World 2012), </w:t>
            </w:r>
            <w:r w:rsidRPr="00622D62">
              <w:rPr>
                <w:rFonts w:eastAsia="Batang"/>
                <w:sz w:val="21"/>
                <w:szCs w:val="21"/>
                <w:u w:val="single"/>
              </w:rPr>
              <w:t>sugerimos</w:t>
            </w:r>
            <w:r w:rsidRPr="00622D62">
              <w:rPr>
                <w:rFonts w:eastAsia="Batang"/>
                <w:sz w:val="21"/>
                <w:szCs w:val="21"/>
              </w:rPr>
              <w:t xml:space="preserve"> que se examine y analice este descenso para obtener una visión clara del grado de interés que levanta el evento en los distintos tipos de medios de comunicación.</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B74EB4" w:rsidP="00B74EB4">
            <w:pPr>
              <w:pStyle w:val="Tabletext"/>
              <w:spacing w:before="120"/>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Se mantendrán los esfuerzos en la intensificación de la participación de los grupos de medios de calidad, incluidos los nuevos medios de comunicación, a través de alianzas creativas y la participación a distancia.</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B74EB4" w:rsidP="00B74EB4">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B74EB4" w:rsidP="00B74EB4">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r>
      <w:tr w:rsidR="00D86E44" w:rsidRPr="00622D62" w:rsidTr="00F763DE">
        <w:trPr>
          <w:cantSplit/>
          <w:trHeight w:val="5606"/>
        </w:trPr>
        <w:tc>
          <w:tcPr>
            <w:tcW w:w="503" w:type="pct"/>
            <w:tcBorders>
              <w:top w:val="single" w:sz="4" w:space="0" w:color="auto"/>
              <w:left w:val="single" w:sz="4" w:space="0" w:color="auto"/>
              <w:bottom w:val="single" w:sz="4" w:space="0" w:color="auto"/>
              <w:right w:val="single" w:sz="4" w:space="0" w:color="auto"/>
            </w:tcBorders>
          </w:tcPr>
          <w:p w:rsidR="00CE4263" w:rsidRPr="00622D62" w:rsidRDefault="00CE4263" w:rsidP="00CE4263">
            <w:pPr>
              <w:pStyle w:val="Tabletext"/>
              <w:rPr>
                <w:b/>
                <w:sz w:val="21"/>
                <w:szCs w:val="21"/>
              </w:rPr>
            </w:pPr>
            <w:r w:rsidRPr="00622D62">
              <w:rPr>
                <w:b/>
                <w:sz w:val="21"/>
                <w:szCs w:val="21"/>
              </w:rPr>
              <w:lastRenderedPageBreak/>
              <w:t>Sug. n° 6</w:t>
            </w:r>
          </w:p>
          <w:p w:rsidR="00D86E44" w:rsidRPr="00622D62" w:rsidRDefault="00CE4263" w:rsidP="00CE4263">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A66C60">
            <w:pPr>
              <w:spacing w:before="60" w:after="60"/>
              <w:rPr>
                <w:b/>
                <w:bCs/>
              </w:rPr>
            </w:pPr>
            <w:r w:rsidRPr="00622D62">
              <w:rPr>
                <w:rFonts w:asciiTheme="minorHAnsi" w:eastAsia="Batang" w:hAnsiTheme="minorHAnsi"/>
                <w:b/>
                <w:bCs/>
                <w:sz w:val="21"/>
                <w:szCs w:val="21"/>
              </w:rPr>
              <w:t>Los intercambios deberían divulgarse mejor</w:t>
            </w:r>
          </w:p>
          <w:p w:rsidR="00D86E44" w:rsidRPr="00622D62" w:rsidRDefault="00D86E44" w:rsidP="00212876">
            <w:pPr>
              <w:pStyle w:val="Tabletext"/>
              <w:spacing w:before="120"/>
              <w:rPr>
                <w:bCs/>
              </w:rPr>
            </w:pPr>
            <w:r w:rsidRPr="00622D62">
              <w:rPr>
                <w:rFonts w:eastAsia="Batang"/>
                <w:sz w:val="21"/>
                <w:szCs w:val="21"/>
                <w:u w:val="single"/>
              </w:rPr>
              <w:t>Debemos sugerir</w:t>
            </w:r>
            <w:r w:rsidRPr="00622D62">
              <w:rPr>
                <w:rFonts w:eastAsia="Batang"/>
                <w:sz w:val="21"/>
                <w:szCs w:val="21"/>
              </w:rPr>
              <w:t xml:space="preserve"> de nuevo (al igual que el año pasado, Recomendación 5/2012) aumentar el grado de divulgación de esos servicios e instalaciones proporcionados por ITU Telecom y supervisar el valor de cada intercambio.</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212876" w:rsidP="00212876">
            <w:pPr>
              <w:spacing w:before="60" w:after="60"/>
            </w:pPr>
            <w:r w:rsidRPr="00622D62">
              <w:br/>
            </w:r>
            <w:r w:rsidRPr="00622D62">
              <w:br/>
            </w:r>
            <w:r w:rsidRPr="00622D62">
              <w:br/>
            </w:r>
            <w:r w:rsidR="00D86E44" w:rsidRPr="00622D62">
              <w:rPr>
                <w:rFonts w:eastAsia="Batang"/>
                <w:sz w:val="21"/>
                <w:szCs w:val="21"/>
              </w:rPr>
              <w:t>Los acuerdos de intercambio son importantes para atraer a empresas/inversores y adquirir servicios/productos fundamentales a precios competitivos. Todo posible acuerdo de intercambio es objeto de una evaluación rigurosa; asimismo, puede consultarse tanto la información relativa a los beneficios para la UIT como la relativa a los servicios que presta la Unión.</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7F5106" w:rsidP="00EE4EB9">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 xml:space="preserve">Medida tomada siguiendo la </w:t>
            </w:r>
            <w:r w:rsidRPr="00622D62">
              <w:rPr>
                <w:rFonts w:eastAsia="Batang"/>
                <w:sz w:val="21"/>
                <w:szCs w:val="21"/>
              </w:rPr>
              <w:t xml:space="preserve">Sugerencia </w:t>
            </w:r>
            <w:r w:rsidR="00D86E44" w:rsidRPr="00622D62">
              <w:rPr>
                <w:rFonts w:eastAsia="Batang"/>
                <w:sz w:val="21"/>
                <w:szCs w:val="21"/>
              </w:rPr>
              <w:t>nº 5 de 2012</w:t>
            </w:r>
            <w:r w:rsidR="008470D5" w:rsidRPr="00622D62">
              <w:rPr>
                <w:rFonts w:eastAsia="Batang"/>
                <w:sz w:val="21"/>
                <w:szCs w:val="21"/>
              </w:rPr>
              <w:t xml:space="preserve">. </w:t>
            </w:r>
            <w:r w:rsidR="00D86E44" w:rsidRPr="00622D62">
              <w:rPr>
                <w:rFonts w:eastAsia="Batang"/>
                <w:sz w:val="21"/>
                <w:szCs w:val="21"/>
              </w:rPr>
              <w:t>Concluida.</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7F5106" w:rsidP="00EE4EB9">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Concluido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B30232" w:rsidRPr="00622D62" w:rsidRDefault="00B30232" w:rsidP="00086111">
            <w:pPr>
              <w:pStyle w:val="Tabletext"/>
              <w:rPr>
                <w:b/>
                <w:sz w:val="21"/>
                <w:szCs w:val="21"/>
              </w:rPr>
            </w:pPr>
            <w:r w:rsidRPr="00622D62">
              <w:rPr>
                <w:b/>
                <w:sz w:val="21"/>
                <w:szCs w:val="21"/>
              </w:rPr>
              <w:t xml:space="preserve">Sug. n° </w:t>
            </w:r>
            <w:r w:rsidR="00086111" w:rsidRPr="00622D62">
              <w:rPr>
                <w:b/>
                <w:sz w:val="21"/>
                <w:szCs w:val="21"/>
              </w:rPr>
              <w:t>7</w:t>
            </w:r>
          </w:p>
          <w:p w:rsidR="00D86E44" w:rsidRPr="00622D62" w:rsidRDefault="00B30232" w:rsidP="00B30232">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9A0CCC">
            <w:pPr>
              <w:spacing w:before="60" w:after="60"/>
              <w:rPr>
                <w:rFonts w:asciiTheme="minorHAnsi" w:eastAsia="Batang" w:hAnsiTheme="minorHAnsi"/>
                <w:b/>
                <w:bCs/>
                <w:sz w:val="21"/>
                <w:szCs w:val="21"/>
              </w:rPr>
            </w:pPr>
            <w:r w:rsidRPr="00622D62">
              <w:rPr>
                <w:rFonts w:asciiTheme="minorHAnsi" w:eastAsia="Batang" w:hAnsiTheme="minorHAnsi"/>
                <w:b/>
                <w:bCs/>
                <w:sz w:val="21"/>
                <w:szCs w:val="21"/>
              </w:rPr>
              <w:t>Lograr que el evento sea asequible para más países anfitriones aspirantes</w:t>
            </w:r>
          </w:p>
          <w:p w:rsidR="00D86E44" w:rsidRPr="00622D62" w:rsidRDefault="00D86E44" w:rsidP="001213A8">
            <w:pPr>
              <w:pStyle w:val="Tabletext"/>
              <w:rPr>
                <w:bCs/>
              </w:rPr>
            </w:pPr>
            <w:r w:rsidRPr="00622D62">
              <w:rPr>
                <w:rFonts w:eastAsia="Batang"/>
                <w:sz w:val="21"/>
                <w:szCs w:val="21"/>
                <w:u w:val="single"/>
              </w:rPr>
              <w:t>Sugerimos</w:t>
            </w:r>
            <w:r w:rsidRPr="00622D62">
              <w:rPr>
                <w:rFonts w:eastAsia="Batang"/>
                <w:sz w:val="21"/>
                <w:szCs w:val="21"/>
              </w:rPr>
              <w:t xml:space="preserve"> estudiar estrategias para que los países anfitriones aspirantes saquen pleno provecho de la inversión que habrían de hacer para acoger un evento ITU Telecom World, en aras de un mejor cumplimiento de la Resolución 11 (Guadalajara, 2010).</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3345C8" w:rsidP="003345C8">
            <w:pPr>
              <w:pStyle w:val="Tabletext"/>
              <w:spacing w:before="120"/>
            </w:pP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Los países anfitriones han expresado sistemáticamente su satisfacción por acoger eventos ITU Telecom. Se seguirá trabajando para aumentar los efectos positivos que tiene acoger eventos ITU Telecom.</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70231E" w:rsidP="0070231E">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t>E</w:t>
            </w:r>
            <w:r w:rsidR="00D86E44" w:rsidRPr="00622D62">
              <w:rPr>
                <w:rFonts w:eastAsia="Batang"/>
                <w:sz w:val="21"/>
                <w:szCs w:val="21"/>
              </w:rPr>
              <w:t>n curso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70231E" w:rsidP="0070231E">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3A5399" w:rsidRPr="00622D62" w:rsidRDefault="003A5399" w:rsidP="003A5399">
            <w:pPr>
              <w:pStyle w:val="Tabletext"/>
              <w:rPr>
                <w:b/>
                <w:sz w:val="21"/>
                <w:szCs w:val="21"/>
              </w:rPr>
            </w:pPr>
            <w:r w:rsidRPr="00622D62">
              <w:rPr>
                <w:b/>
                <w:sz w:val="21"/>
                <w:szCs w:val="21"/>
              </w:rPr>
              <w:lastRenderedPageBreak/>
              <w:t>Sug. n° 8</w:t>
            </w:r>
          </w:p>
          <w:p w:rsidR="00D86E44" w:rsidRPr="00622D62" w:rsidRDefault="003A5399" w:rsidP="003A5399">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A64AA4">
            <w:pPr>
              <w:spacing w:before="60" w:after="60"/>
              <w:rPr>
                <w:rFonts w:asciiTheme="minorHAnsi" w:eastAsia="Batang" w:hAnsiTheme="minorHAnsi"/>
                <w:b/>
                <w:bCs/>
                <w:sz w:val="21"/>
                <w:szCs w:val="21"/>
              </w:rPr>
            </w:pPr>
            <w:r w:rsidRPr="00622D62">
              <w:rPr>
                <w:rFonts w:asciiTheme="minorHAnsi" w:eastAsia="Batang" w:hAnsiTheme="minorHAnsi"/>
                <w:b/>
                <w:bCs/>
                <w:sz w:val="21"/>
                <w:szCs w:val="21"/>
              </w:rPr>
              <w:t>Participación de países en desarrollo en los eventos</w:t>
            </w:r>
          </w:p>
          <w:p w:rsidR="00D86E44" w:rsidRPr="00622D62" w:rsidRDefault="00D86E44" w:rsidP="00A64AA4">
            <w:pPr>
              <w:pStyle w:val="Tabletext"/>
              <w:rPr>
                <w:bCs/>
              </w:rPr>
            </w:pPr>
            <w:r w:rsidRPr="00622D62">
              <w:rPr>
                <w:rFonts w:eastAsia="Batang"/>
                <w:sz w:val="21"/>
                <w:szCs w:val="21"/>
              </w:rPr>
              <w:t xml:space="preserve">Reconocemos el esfuerzo de la Dirección para promover la participación de países en desarrollo, también como seguimiento de nuestras recomendaciones y sugerencias contenidas en el informe del año pasado (véase la </w:t>
            </w:r>
            <w:r w:rsidR="00105A4B" w:rsidRPr="00622D62">
              <w:rPr>
                <w:rFonts w:eastAsia="Batang"/>
                <w:sz w:val="21"/>
                <w:szCs w:val="21"/>
              </w:rPr>
              <w:t xml:space="preserve">Sugerencia </w:t>
            </w:r>
            <w:r w:rsidRPr="00622D62">
              <w:rPr>
                <w:rFonts w:eastAsia="Batang"/>
                <w:sz w:val="21"/>
                <w:szCs w:val="21"/>
              </w:rPr>
              <w:t xml:space="preserve">7/2012), y </w:t>
            </w:r>
            <w:r w:rsidRPr="00622D62">
              <w:rPr>
                <w:rFonts w:eastAsia="Batang"/>
                <w:sz w:val="21"/>
                <w:szCs w:val="21"/>
                <w:u w:val="single"/>
              </w:rPr>
              <w:t>sugerimos</w:t>
            </w:r>
            <w:r w:rsidRPr="00622D62">
              <w:rPr>
                <w:rFonts w:eastAsia="Batang"/>
                <w:sz w:val="21"/>
                <w:szCs w:val="21"/>
              </w:rPr>
              <w:t xml:space="preserve"> seguir trabajando para aplicar medidas encaminadas a ayudar a los países en desarrollo, posiblemente aumentando el número de iniciativas que se destinan a ellos.</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A64AA4" w:rsidP="00A64AA4">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Se seguirá trabajando para facilitar la participación de los países en desarrollo, así como en la aplicación de medidas para ayudar a estos países, al tiempo que se examinará la posibilidad de aumentar el número de iniciativas y los recursos económicos que se destinan a ese fin, en la medida en que lo permitan las limitaciones financieras de la Unión.</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A64AA4" w:rsidP="00A64AA4">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A64AA4" w:rsidP="00A64AA4">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r>
      <w:tr w:rsidR="00D86E44" w:rsidRPr="00622D62" w:rsidTr="00F763DE">
        <w:trPr>
          <w:cantSplit/>
          <w:trHeight w:val="3319"/>
        </w:trPr>
        <w:tc>
          <w:tcPr>
            <w:tcW w:w="503" w:type="pct"/>
            <w:tcBorders>
              <w:top w:val="single" w:sz="4" w:space="0" w:color="auto"/>
              <w:left w:val="single" w:sz="4" w:space="0" w:color="auto"/>
              <w:bottom w:val="single" w:sz="4" w:space="0" w:color="auto"/>
              <w:right w:val="single" w:sz="4" w:space="0" w:color="auto"/>
            </w:tcBorders>
          </w:tcPr>
          <w:p w:rsidR="003A5399" w:rsidRPr="00622D62" w:rsidRDefault="003A5399" w:rsidP="003A5399">
            <w:pPr>
              <w:pStyle w:val="Tabletext"/>
              <w:rPr>
                <w:b/>
                <w:sz w:val="21"/>
                <w:szCs w:val="21"/>
              </w:rPr>
            </w:pPr>
            <w:r w:rsidRPr="00622D62">
              <w:rPr>
                <w:b/>
                <w:sz w:val="21"/>
                <w:szCs w:val="21"/>
              </w:rPr>
              <w:t>Sug. n° 9</w:t>
            </w:r>
          </w:p>
          <w:p w:rsidR="00D86E44" w:rsidRPr="00622D62" w:rsidRDefault="003A5399" w:rsidP="003A5399">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992672">
            <w:pPr>
              <w:spacing w:before="60" w:after="60"/>
              <w:rPr>
                <w:rFonts w:asciiTheme="minorHAnsi" w:eastAsia="Batang" w:hAnsiTheme="minorHAnsi"/>
                <w:b/>
                <w:bCs/>
                <w:sz w:val="21"/>
                <w:szCs w:val="21"/>
              </w:rPr>
            </w:pPr>
            <w:r w:rsidRPr="00622D62">
              <w:rPr>
                <w:rFonts w:asciiTheme="minorHAnsi" w:eastAsia="Batang" w:hAnsiTheme="minorHAnsi"/>
                <w:b/>
                <w:bCs/>
                <w:sz w:val="21"/>
                <w:szCs w:val="21"/>
              </w:rPr>
              <w:t>Paridad entre hombres y mujeres</w:t>
            </w:r>
          </w:p>
          <w:p w:rsidR="00D86E44" w:rsidRPr="00622D62" w:rsidRDefault="00D86E44" w:rsidP="00992672">
            <w:pPr>
              <w:pStyle w:val="Tabletext"/>
              <w:rPr>
                <w:bCs/>
              </w:rPr>
            </w:pPr>
            <w:r w:rsidRPr="00622D62">
              <w:rPr>
                <w:rFonts w:eastAsia="Batang"/>
                <w:sz w:val="21"/>
                <w:szCs w:val="21"/>
              </w:rPr>
              <w:t xml:space="preserve">Si bien la participación en el Foro no puede estar condicionada por criterios de género, </w:t>
            </w:r>
            <w:r w:rsidRPr="00622D62">
              <w:rPr>
                <w:rFonts w:eastAsia="Batang"/>
                <w:sz w:val="21"/>
                <w:szCs w:val="21"/>
                <w:u w:val="single"/>
              </w:rPr>
              <w:t>sugerimos</w:t>
            </w:r>
            <w:r w:rsidRPr="00622D62">
              <w:rPr>
                <w:rFonts w:eastAsia="Batang"/>
                <w:sz w:val="21"/>
                <w:szCs w:val="21"/>
              </w:rPr>
              <w:t xml:space="preserve"> abordar este asunto y encontrar una manera de corregir este desequilibrio.</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992672" w:rsidP="00992672">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00D86E44" w:rsidRPr="00622D62">
              <w:rPr>
                <w:rFonts w:eastAsia="Batang"/>
                <w:sz w:val="21"/>
                <w:szCs w:val="21"/>
              </w:rPr>
              <w:t>Se seguirá trabajando para mejorar el equilibrio entre hombres y mujeres entre los participantes.</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992672" w:rsidP="00992672">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00D86E44" w:rsidRPr="00622D62">
              <w:rPr>
                <w:rFonts w:eastAsia="Batang"/>
                <w:sz w:val="21"/>
                <w:szCs w:val="21"/>
              </w:rPr>
              <w:t>Si bien se ha avanzado al respecto, la UIT seguirá trabajando para mejorar el equilibrio entre hombres y mujeres entre los participantes.</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992672" w:rsidP="00992672">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r>
    </w:tbl>
    <w:p w:rsidR="00F763DE" w:rsidRPr="00622D62" w:rsidRDefault="00F763DE"/>
    <w:tbl>
      <w:tblPr>
        <w:tblW w:w="5000" w:type="pct"/>
        <w:tblCellMar>
          <w:top w:w="28" w:type="dxa"/>
          <w:left w:w="57" w:type="dxa"/>
          <w:bottom w:w="28" w:type="dxa"/>
          <w:right w:w="57" w:type="dxa"/>
        </w:tblCellMar>
        <w:tblLook w:val="0000" w:firstRow="0" w:lastRow="0" w:firstColumn="0" w:lastColumn="0" w:noHBand="0" w:noVBand="0"/>
      </w:tblPr>
      <w:tblGrid>
        <w:gridCol w:w="969"/>
        <w:gridCol w:w="1862"/>
        <w:gridCol w:w="2411"/>
        <w:gridCol w:w="2230"/>
        <w:gridCol w:w="2157"/>
      </w:tblGrid>
      <w:tr w:rsidR="005555D6" w:rsidRPr="00622D62" w:rsidTr="007C6822">
        <w:trPr>
          <w:cantSplit/>
          <w:tblHeader/>
        </w:trPr>
        <w:tc>
          <w:tcPr>
            <w:tcW w:w="503" w:type="pct"/>
            <w:tcBorders>
              <w:top w:val="single" w:sz="4" w:space="0" w:color="auto"/>
              <w:left w:val="single" w:sz="4" w:space="0" w:color="auto"/>
              <w:bottom w:val="single" w:sz="4" w:space="0" w:color="auto"/>
              <w:right w:val="single" w:sz="4" w:space="0" w:color="auto"/>
            </w:tcBorders>
            <w:vAlign w:val="center"/>
          </w:tcPr>
          <w:p w:rsidR="005555D6" w:rsidRPr="00622D62" w:rsidRDefault="005555D6" w:rsidP="007C6822">
            <w:pPr>
              <w:pStyle w:val="Tablehead"/>
            </w:pPr>
          </w:p>
        </w:tc>
        <w:tc>
          <w:tcPr>
            <w:tcW w:w="967" w:type="pct"/>
            <w:tcBorders>
              <w:top w:val="single" w:sz="4" w:space="0" w:color="auto"/>
              <w:left w:val="single" w:sz="4" w:space="0" w:color="auto"/>
              <w:bottom w:val="single" w:sz="4" w:space="0" w:color="auto"/>
              <w:right w:val="single" w:sz="4" w:space="0" w:color="auto"/>
            </w:tcBorders>
            <w:vAlign w:val="center"/>
          </w:tcPr>
          <w:p w:rsidR="005555D6" w:rsidRPr="00622D62" w:rsidRDefault="005555D6" w:rsidP="007C6822">
            <w:pPr>
              <w:pStyle w:val="Tablehead"/>
              <w:rPr>
                <w:rFonts w:eastAsia="Batang"/>
                <w:sz w:val="21"/>
                <w:szCs w:val="21"/>
              </w:rPr>
            </w:pPr>
            <w:r w:rsidRPr="00622D62">
              <w:rPr>
                <w:rFonts w:eastAsia="Batang"/>
                <w:sz w:val="21"/>
                <w:szCs w:val="21"/>
              </w:rPr>
              <w:t xml:space="preserve">Sugerencia formulada por la </w:t>
            </w:r>
            <w:r w:rsidRPr="00622D62">
              <w:rPr>
                <w:rFonts w:eastAsia="Batang"/>
                <w:i/>
                <w:iCs/>
                <w:sz w:val="21"/>
                <w:szCs w:val="21"/>
              </w:rPr>
              <w:t>Corte dei Conti</w:t>
            </w:r>
            <w:r w:rsidRPr="00622D62">
              <w:rPr>
                <w:rFonts w:eastAsia="Batang"/>
                <w:sz w:val="21"/>
                <w:szCs w:val="21"/>
              </w:rPr>
              <w:t xml:space="preserve"> italiana</w:t>
            </w:r>
          </w:p>
        </w:tc>
        <w:tc>
          <w:tcPr>
            <w:tcW w:w="1252" w:type="pct"/>
            <w:tcBorders>
              <w:top w:val="single" w:sz="4" w:space="0" w:color="auto"/>
              <w:left w:val="single" w:sz="4" w:space="0" w:color="auto"/>
              <w:bottom w:val="single" w:sz="4" w:space="0" w:color="auto"/>
              <w:right w:val="single" w:sz="4" w:space="0" w:color="auto"/>
            </w:tcBorders>
            <w:vAlign w:val="center"/>
          </w:tcPr>
          <w:p w:rsidR="005555D6" w:rsidRPr="00622D62" w:rsidRDefault="005555D6" w:rsidP="007C6822">
            <w:pPr>
              <w:pStyle w:val="Tablehead"/>
              <w:rPr>
                <w:rFonts w:eastAsia="Batang"/>
                <w:sz w:val="21"/>
                <w:szCs w:val="21"/>
              </w:rPr>
            </w:pPr>
            <w:r w:rsidRPr="00622D62">
              <w:rPr>
                <w:rFonts w:eastAsia="Batang"/>
                <w:sz w:val="21"/>
                <w:szCs w:val="21"/>
              </w:rPr>
              <w:t>Comentarios recibidos del Secretario General en el momento de publicarse el informe</w:t>
            </w:r>
          </w:p>
        </w:tc>
        <w:tc>
          <w:tcPr>
            <w:tcW w:w="1158" w:type="pct"/>
            <w:tcBorders>
              <w:top w:val="single" w:sz="4" w:space="0" w:color="auto"/>
              <w:left w:val="single" w:sz="4" w:space="0" w:color="auto"/>
              <w:bottom w:val="single" w:sz="4" w:space="0" w:color="auto"/>
              <w:right w:val="single" w:sz="4" w:space="0" w:color="auto"/>
            </w:tcBorders>
            <w:vAlign w:val="center"/>
          </w:tcPr>
          <w:p w:rsidR="005555D6" w:rsidRPr="00622D62" w:rsidRDefault="005555D6" w:rsidP="007C6822">
            <w:pPr>
              <w:pStyle w:val="Tablehead"/>
              <w:rPr>
                <w:rFonts w:eastAsia="Batang"/>
                <w:sz w:val="21"/>
                <w:szCs w:val="21"/>
              </w:rPr>
            </w:pPr>
            <w:r w:rsidRPr="00622D62">
              <w:rPr>
                <w:rFonts w:eastAsia="Batang"/>
                <w:sz w:val="21"/>
                <w:szCs w:val="21"/>
              </w:rPr>
              <w:t>Situación según la Dirección de la UIT</w:t>
            </w:r>
          </w:p>
        </w:tc>
        <w:tc>
          <w:tcPr>
            <w:tcW w:w="1120" w:type="pct"/>
            <w:tcBorders>
              <w:top w:val="single" w:sz="4" w:space="0" w:color="auto"/>
              <w:left w:val="single" w:sz="4" w:space="0" w:color="auto"/>
              <w:bottom w:val="single" w:sz="4" w:space="0" w:color="auto"/>
              <w:right w:val="single" w:sz="4" w:space="0" w:color="auto"/>
            </w:tcBorders>
            <w:vAlign w:val="center"/>
          </w:tcPr>
          <w:p w:rsidR="005555D6" w:rsidRPr="00622D62" w:rsidRDefault="005555D6" w:rsidP="007C6822">
            <w:pPr>
              <w:pStyle w:val="Tablehead"/>
              <w:rPr>
                <w:rFonts w:eastAsia="Batang"/>
                <w:sz w:val="21"/>
                <w:szCs w:val="21"/>
              </w:rPr>
            </w:pPr>
            <w:r w:rsidRPr="00622D62">
              <w:rPr>
                <w:rFonts w:eastAsia="Batang"/>
                <w:sz w:val="21"/>
                <w:szCs w:val="21"/>
              </w:rPr>
              <w:t xml:space="preserve">Estado de las medidas adoptadas por la Dirección según las evaluaciones de la </w:t>
            </w:r>
            <w:r w:rsidRPr="00622D62">
              <w:rPr>
                <w:rFonts w:eastAsia="Batang"/>
                <w:i/>
                <w:iCs/>
                <w:sz w:val="21"/>
                <w:szCs w:val="21"/>
              </w:rPr>
              <w:t>Corte dei Conti</w:t>
            </w:r>
            <w:r w:rsidRPr="00622D62">
              <w:rPr>
                <w:rFonts w:eastAsia="Batang"/>
                <w:sz w:val="21"/>
                <w:szCs w:val="21"/>
              </w:rPr>
              <w:t xml:space="preserve"> italiana</w:t>
            </w:r>
          </w:p>
        </w:tc>
      </w:tr>
      <w:tr w:rsidR="00D86E44" w:rsidRPr="00622D62" w:rsidTr="00D917E0">
        <w:trPr>
          <w:cantSplit/>
          <w:trHeight w:val="6258"/>
        </w:trPr>
        <w:tc>
          <w:tcPr>
            <w:tcW w:w="503" w:type="pct"/>
            <w:tcBorders>
              <w:top w:val="single" w:sz="4" w:space="0" w:color="auto"/>
              <w:left w:val="single" w:sz="4" w:space="0" w:color="auto"/>
              <w:bottom w:val="single" w:sz="4" w:space="0" w:color="auto"/>
              <w:right w:val="single" w:sz="4" w:space="0" w:color="auto"/>
            </w:tcBorders>
          </w:tcPr>
          <w:p w:rsidR="004C19F1" w:rsidRPr="00622D62" w:rsidRDefault="004C19F1" w:rsidP="004C19F1">
            <w:pPr>
              <w:pStyle w:val="Tabletext"/>
              <w:rPr>
                <w:b/>
                <w:sz w:val="21"/>
                <w:szCs w:val="21"/>
              </w:rPr>
            </w:pPr>
            <w:r w:rsidRPr="00622D62">
              <w:rPr>
                <w:b/>
                <w:sz w:val="21"/>
                <w:szCs w:val="21"/>
              </w:rPr>
              <w:t>Sug. n°</w:t>
            </w:r>
            <w:r w:rsidR="00A12A3F" w:rsidRPr="00622D62">
              <w:rPr>
                <w:b/>
                <w:sz w:val="21"/>
                <w:szCs w:val="21"/>
              </w:rPr>
              <w:t> </w:t>
            </w:r>
            <w:r w:rsidRPr="00622D62">
              <w:rPr>
                <w:b/>
                <w:sz w:val="21"/>
                <w:szCs w:val="21"/>
              </w:rPr>
              <w:t>10</w:t>
            </w:r>
          </w:p>
          <w:p w:rsidR="00D86E44" w:rsidRPr="00622D62" w:rsidRDefault="004C19F1" w:rsidP="004C19F1">
            <w:pPr>
              <w:rPr>
                <w:b/>
                <w:bCs/>
              </w:rPr>
            </w:pPr>
            <w:r w:rsidRPr="00622D62">
              <w:rPr>
                <w:b/>
                <w:sz w:val="21"/>
                <w:szCs w:val="21"/>
              </w:rPr>
              <w:t>2013</w:t>
            </w:r>
          </w:p>
        </w:tc>
        <w:tc>
          <w:tcPr>
            <w:tcW w:w="967" w:type="pct"/>
            <w:tcBorders>
              <w:top w:val="single" w:sz="4" w:space="0" w:color="auto"/>
              <w:left w:val="single" w:sz="4" w:space="0" w:color="auto"/>
              <w:bottom w:val="single" w:sz="4" w:space="0" w:color="auto"/>
              <w:right w:val="single" w:sz="4" w:space="0" w:color="auto"/>
            </w:tcBorders>
          </w:tcPr>
          <w:p w:rsidR="00D86E44" w:rsidRPr="00622D62" w:rsidRDefault="00D86E44" w:rsidP="00386A1E">
            <w:pPr>
              <w:spacing w:before="60" w:after="60"/>
              <w:rPr>
                <w:rFonts w:asciiTheme="minorHAnsi" w:eastAsia="Batang" w:hAnsiTheme="minorHAnsi"/>
                <w:b/>
                <w:bCs/>
                <w:sz w:val="21"/>
                <w:szCs w:val="21"/>
              </w:rPr>
            </w:pPr>
            <w:r w:rsidRPr="00622D62">
              <w:rPr>
                <w:rFonts w:asciiTheme="minorHAnsi" w:eastAsia="Batang" w:hAnsiTheme="minorHAnsi"/>
                <w:b/>
                <w:bCs/>
                <w:sz w:val="21"/>
                <w:szCs w:val="21"/>
              </w:rPr>
              <w:t>Posible debilitamiento de la identidad de los eventos ITU Telecom World</w:t>
            </w:r>
          </w:p>
          <w:p w:rsidR="00D86E44" w:rsidRPr="00622D62" w:rsidRDefault="00D86E44" w:rsidP="00386A1E">
            <w:pPr>
              <w:pStyle w:val="Tabletext"/>
              <w:rPr>
                <w:rFonts w:eastAsia="Batang"/>
                <w:sz w:val="21"/>
                <w:szCs w:val="21"/>
              </w:rPr>
            </w:pPr>
            <w:r w:rsidRPr="00622D62">
              <w:rPr>
                <w:rFonts w:eastAsia="Batang"/>
                <w:sz w:val="21"/>
                <w:szCs w:val="21"/>
              </w:rPr>
              <w:t>Opinamos que la Dirección debe estar preparada para replantearse de manera decisiva el evento y la proporción de los elementos que lo integran, para preservar o cambiar la propia identidad del evento.</w:t>
            </w:r>
          </w:p>
          <w:p w:rsidR="00D86E44" w:rsidRPr="00622D62" w:rsidRDefault="00D86E44" w:rsidP="00386A1E">
            <w:pPr>
              <w:pStyle w:val="Tabletext"/>
              <w:rPr>
                <w:bCs/>
              </w:rPr>
            </w:pPr>
            <w:r w:rsidRPr="00622D62">
              <w:rPr>
                <w:rFonts w:eastAsia="Batang"/>
                <w:sz w:val="21"/>
                <w:szCs w:val="21"/>
              </w:rPr>
              <w:t xml:space="preserve">Dado que estas decisiones se engloban en el ámbito de actividades y se señalan a la atención de la Conferencia de Plenipotenciarios, </w:t>
            </w:r>
            <w:r w:rsidRPr="00622D62">
              <w:rPr>
                <w:rFonts w:eastAsia="Batang"/>
                <w:sz w:val="21"/>
                <w:szCs w:val="21"/>
                <w:u w:val="single"/>
              </w:rPr>
              <w:t>sugerimos</w:t>
            </w:r>
            <w:r w:rsidRPr="00622D62">
              <w:rPr>
                <w:rFonts w:eastAsia="Batang"/>
                <w:sz w:val="21"/>
                <w:szCs w:val="21"/>
              </w:rPr>
              <w:t xml:space="preserve"> que la Dirección presente un estudio sobre este asunto para ayudar a la Conferencia de Plenipotenciarios a tomar las decisiones correctas.</w:t>
            </w:r>
          </w:p>
        </w:tc>
        <w:tc>
          <w:tcPr>
            <w:tcW w:w="1252" w:type="pct"/>
            <w:tcBorders>
              <w:top w:val="single" w:sz="4" w:space="0" w:color="auto"/>
              <w:left w:val="single" w:sz="4" w:space="0" w:color="auto"/>
              <w:bottom w:val="single" w:sz="4" w:space="0" w:color="auto"/>
              <w:right w:val="single" w:sz="4" w:space="0" w:color="auto"/>
            </w:tcBorders>
          </w:tcPr>
          <w:p w:rsidR="00D86E44" w:rsidRPr="00622D62" w:rsidRDefault="00386A1E" w:rsidP="00386A1E">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La transformación de ITU Telecom iniciada tras la PP-10 ha resultado un éxito, como queda confirmado en los resultados financieros y varias encuestas. Se seguirá trabajando para perfeccionar la propuesta de valor y recobrar preeminencia.</w:t>
            </w:r>
          </w:p>
        </w:tc>
        <w:tc>
          <w:tcPr>
            <w:tcW w:w="1158" w:type="pct"/>
            <w:tcBorders>
              <w:top w:val="single" w:sz="4" w:space="0" w:color="auto"/>
              <w:left w:val="single" w:sz="4" w:space="0" w:color="auto"/>
              <w:bottom w:val="single" w:sz="4" w:space="0" w:color="auto"/>
              <w:right w:val="single" w:sz="4" w:space="0" w:color="auto"/>
            </w:tcBorders>
          </w:tcPr>
          <w:p w:rsidR="00D86E44" w:rsidRPr="00622D62" w:rsidRDefault="00386A1E" w:rsidP="00386A1E">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 xml:space="preserve">A partir de 2015, ITU Telecom </w:t>
            </w:r>
            <w:r w:rsidR="008B183C" w:rsidRPr="00622D62">
              <w:rPr>
                <w:rFonts w:eastAsia="Batang"/>
                <w:sz w:val="21"/>
                <w:szCs w:val="21"/>
              </w:rPr>
              <w:t>entrará en un peri</w:t>
            </w:r>
            <w:r w:rsidR="00D86E44" w:rsidRPr="00622D62">
              <w:rPr>
                <w:rFonts w:eastAsia="Batang"/>
                <w:sz w:val="21"/>
                <w:szCs w:val="21"/>
              </w:rPr>
              <w:t>odo de transición tras el cual se presentará como una plataforma internacional centrada en la capacidad empresarial en el sector de las TIC y en las iniciativas de apoyo a las PYME. Este cambio de posición permitirá renovar la imagen del evento y dar una nueva pertinencia al mismo.</w:t>
            </w:r>
          </w:p>
        </w:tc>
        <w:tc>
          <w:tcPr>
            <w:tcW w:w="1120" w:type="pct"/>
            <w:tcBorders>
              <w:top w:val="single" w:sz="4" w:space="0" w:color="auto"/>
              <w:left w:val="single" w:sz="4" w:space="0" w:color="auto"/>
              <w:bottom w:val="single" w:sz="4" w:space="0" w:color="auto"/>
              <w:right w:val="single" w:sz="4" w:space="0" w:color="auto"/>
            </w:tcBorders>
          </w:tcPr>
          <w:p w:rsidR="00D86E44" w:rsidRPr="00622D62" w:rsidRDefault="00386A1E" w:rsidP="00386A1E">
            <w:pPr>
              <w:pStyle w:val="Tabletext"/>
              <w:spacing w:before="120"/>
              <w:rPr>
                <w:rFonts w:eastAsia="Batang"/>
                <w:sz w:val="21"/>
                <w:szCs w:val="21"/>
              </w:rPr>
            </w:pP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Pr="00622D62">
              <w:rPr>
                <w:rFonts w:eastAsia="Batang"/>
                <w:sz w:val="21"/>
                <w:szCs w:val="21"/>
              </w:rPr>
              <w:br/>
            </w:r>
            <w:r w:rsidR="00D86E44" w:rsidRPr="00622D62">
              <w:rPr>
                <w:rFonts w:eastAsia="Batang"/>
                <w:sz w:val="21"/>
                <w:szCs w:val="21"/>
              </w:rPr>
              <w:t>En curso</w:t>
            </w:r>
          </w:p>
        </w:tc>
      </w:tr>
    </w:tbl>
    <w:p w:rsidR="00D86E44" w:rsidRPr="00622D62" w:rsidRDefault="00D86E44" w:rsidP="00D86E44">
      <w:pPr>
        <w:jc w:val="center"/>
      </w:pPr>
      <w:r w:rsidRPr="00622D62">
        <w:t>______________</w:t>
      </w:r>
      <w:bookmarkStart w:id="107" w:name="_GoBack"/>
      <w:bookmarkEnd w:id="107"/>
    </w:p>
    <w:sectPr w:rsidR="00D86E44" w:rsidRPr="00622D62"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25" w:rsidRDefault="00603325">
      <w:r>
        <w:separator/>
      </w:r>
    </w:p>
  </w:endnote>
  <w:endnote w:type="continuationSeparator" w:id="0">
    <w:p w:rsidR="00603325" w:rsidRDefault="0060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25" w:rsidRPr="0095760D" w:rsidRDefault="00603325" w:rsidP="0095760D">
    <w:pPr>
      <w:pStyle w:val="Footer"/>
      <w:rPr>
        <w:lang w:val="fr-CH"/>
      </w:rPr>
    </w:pPr>
    <w:r>
      <w:fldChar w:fldCharType="begin"/>
    </w:r>
    <w:r w:rsidRPr="0095760D">
      <w:rPr>
        <w:lang w:val="fr-CH"/>
      </w:rPr>
      <w:instrText xml:space="preserve"> FILENAME \p  \* MERGEFORMAT </w:instrText>
    </w:r>
    <w:r>
      <w:fldChar w:fldCharType="separate"/>
    </w:r>
    <w:r w:rsidR="001C3075">
      <w:rPr>
        <w:lang w:val="fr-CH"/>
      </w:rPr>
      <w:t>P:\ESP\SG\CONSEIL\C15\000\066S.docx</w:t>
    </w:r>
    <w:r>
      <w:fldChar w:fldCharType="end"/>
    </w:r>
    <w:r w:rsidRPr="0095760D">
      <w:rPr>
        <w:lang w:val="fr-CH"/>
      </w:rPr>
      <w:t xml:space="preserve"> (379597)</w:t>
    </w:r>
    <w:r w:rsidRPr="0095760D">
      <w:rPr>
        <w:lang w:val="fr-CH"/>
      </w:rPr>
      <w:tab/>
    </w:r>
    <w:r>
      <w:fldChar w:fldCharType="begin"/>
    </w:r>
    <w:r>
      <w:instrText xml:space="preserve"> SAVEDATE \@ DD.MM.YY </w:instrText>
    </w:r>
    <w:r>
      <w:fldChar w:fldCharType="separate"/>
    </w:r>
    <w:r w:rsidR="00A16D01">
      <w:t>15.05.15</w:t>
    </w:r>
    <w:r>
      <w:fldChar w:fldCharType="end"/>
    </w:r>
    <w:r w:rsidRPr="0095760D">
      <w:rPr>
        <w:lang w:val="fr-CH"/>
      </w:rPr>
      <w:tab/>
    </w:r>
    <w:r>
      <w:fldChar w:fldCharType="begin"/>
    </w:r>
    <w:r>
      <w:instrText xml:space="preserve"> PRINTDATE \@ DD.MM.YY </w:instrText>
    </w:r>
    <w:r>
      <w:fldChar w:fldCharType="separate"/>
    </w:r>
    <w:r w:rsidR="001C3075">
      <w:t>15.05.15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00" w:rsidRDefault="00A54A00" w:rsidP="00A54A00">
    <w:pPr>
      <w:spacing w:after="120"/>
      <w:jc w:val="center"/>
    </w:pPr>
    <w:r>
      <w:t xml:space="preserve">• </w:t>
    </w:r>
    <w:hyperlink r:id="rId1" w:history="1">
      <w:r>
        <w:rPr>
          <w:rStyle w:val="Hyperlink"/>
        </w:rPr>
        <w:t>http://www.itu.int/council</w:t>
      </w:r>
    </w:hyperlink>
    <w:r>
      <w:t xml:space="preserve"> •</w:t>
    </w:r>
  </w:p>
  <w:p w:rsidR="00603325" w:rsidRPr="0095760D" w:rsidRDefault="00603325" w:rsidP="0095760D">
    <w:pPr>
      <w:pStyle w:val="Footer"/>
      <w:rPr>
        <w:lang w:val="fr-CH"/>
      </w:rPr>
    </w:pPr>
    <w:r>
      <w:fldChar w:fldCharType="begin"/>
    </w:r>
    <w:r w:rsidRPr="0095760D">
      <w:rPr>
        <w:lang w:val="fr-CH"/>
      </w:rPr>
      <w:instrText xml:space="preserve"> FILENAME \p  \* MERGEFORMAT </w:instrText>
    </w:r>
    <w:r>
      <w:fldChar w:fldCharType="separate"/>
    </w:r>
    <w:r w:rsidR="001C3075">
      <w:rPr>
        <w:lang w:val="fr-CH"/>
      </w:rPr>
      <w:t>P:\ESP\SG\CONSEIL\C15\000\066S.docx</w:t>
    </w:r>
    <w:r>
      <w:fldChar w:fldCharType="end"/>
    </w:r>
    <w:r w:rsidRPr="0095760D">
      <w:rPr>
        <w:lang w:val="fr-CH"/>
      </w:rPr>
      <w:t xml:space="preserve"> (379597)</w:t>
    </w:r>
    <w:r w:rsidRPr="0095760D">
      <w:rPr>
        <w:lang w:val="fr-CH"/>
      </w:rPr>
      <w:tab/>
    </w:r>
    <w:r>
      <w:fldChar w:fldCharType="begin"/>
    </w:r>
    <w:r>
      <w:instrText xml:space="preserve"> SAVEDATE \@ DD.MM.YY </w:instrText>
    </w:r>
    <w:r>
      <w:fldChar w:fldCharType="separate"/>
    </w:r>
    <w:r w:rsidR="00A16D01">
      <w:t>15.05.15</w:t>
    </w:r>
    <w:r>
      <w:fldChar w:fldCharType="end"/>
    </w:r>
    <w:r w:rsidRPr="0095760D">
      <w:rPr>
        <w:lang w:val="fr-CH"/>
      </w:rPr>
      <w:tab/>
    </w:r>
    <w:r>
      <w:fldChar w:fldCharType="begin"/>
    </w:r>
    <w:r>
      <w:instrText xml:space="preserve"> PRINTDATE \@ DD.MM.YY </w:instrText>
    </w:r>
    <w:r>
      <w:fldChar w:fldCharType="separate"/>
    </w:r>
    <w:r w:rsidR="001C3075">
      <w:t>15.05.15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25" w:rsidRDefault="00603325">
      <w:r>
        <w:t>____________________</w:t>
      </w:r>
    </w:p>
  </w:footnote>
  <w:footnote w:type="continuationSeparator" w:id="0">
    <w:p w:rsidR="00603325" w:rsidRDefault="0060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25" w:rsidRDefault="00603325" w:rsidP="007657F0">
    <w:pPr>
      <w:pStyle w:val="Header"/>
    </w:pPr>
    <w:r>
      <w:fldChar w:fldCharType="begin"/>
    </w:r>
    <w:r>
      <w:instrText>PAGE</w:instrText>
    </w:r>
    <w:r>
      <w:fldChar w:fldCharType="separate"/>
    </w:r>
    <w:r w:rsidR="00A16D01">
      <w:rPr>
        <w:noProof/>
      </w:rPr>
      <w:t>32</w:t>
    </w:r>
    <w:r>
      <w:rPr>
        <w:noProof/>
      </w:rPr>
      <w:fldChar w:fldCharType="end"/>
    </w:r>
  </w:p>
  <w:p w:rsidR="00603325" w:rsidRDefault="00603325" w:rsidP="00A7228A">
    <w:pPr>
      <w:pStyle w:val="Header"/>
    </w:pPr>
    <w:r>
      <w:t>C15/66-S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09356D53"/>
    <w:multiLevelType w:val="hybridMultilevel"/>
    <w:tmpl w:val="6DA85DAC"/>
    <w:lvl w:ilvl="0" w:tplc="C3CAB326">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13D64"/>
    <w:multiLevelType w:val="hybridMultilevel"/>
    <w:tmpl w:val="67709B7A"/>
    <w:lvl w:ilvl="0" w:tplc="7F58E6F8">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142FA"/>
    <w:multiLevelType w:val="hybridMultilevel"/>
    <w:tmpl w:val="3A4E3B78"/>
    <w:lvl w:ilvl="0" w:tplc="48125146">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F58FC"/>
    <w:multiLevelType w:val="hybridMultilevel"/>
    <w:tmpl w:val="EE04B3E6"/>
    <w:lvl w:ilvl="0" w:tplc="9EF6EAA8">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D7B03"/>
    <w:multiLevelType w:val="hybridMultilevel"/>
    <w:tmpl w:val="A4BAE7CA"/>
    <w:lvl w:ilvl="0" w:tplc="E7E8645C">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B0959"/>
    <w:multiLevelType w:val="hybridMultilevel"/>
    <w:tmpl w:val="E8524E2E"/>
    <w:lvl w:ilvl="0" w:tplc="A1AE196E">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70B54"/>
    <w:multiLevelType w:val="hybridMultilevel"/>
    <w:tmpl w:val="00D68EFE"/>
    <w:lvl w:ilvl="0" w:tplc="55C0F7E0">
      <w:start w:val="58"/>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3072442F"/>
    <w:multiLevelType w:val="hybridMultilevel"/>
    <w:tmpl w:val="0DEC806C"/>
    <w:lvl w:ilvl="0" w:tplc="4C72275A">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C012C"/>
    <w:multiLevelType w:val="hybridMultilevel"/>
    <w:tmpl w:val="16F407D2"/>
    <w:lvl w:ilvl="0" w:tplc="5FC21CA4">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E0B06"/>
    <w:multiLevelType w:val="hybridMultilevel"/>
    <w:tmpl w:val="1E727366"/>
    <w:lvl w:ilvl="0" w:tplc="D0840AC2">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E6C34"/>
    <w:multiLevelType w:val="hybridMultilevel"/>
    <w:tmpl w:val="F4F88D02"/>
    <w:lvl w:ilvl="0" w:tplc="A87C4A26">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C70E43"/>
    <w:multiLevelType w:val="hybridMultilevel"/>
    <w:tmpl w:val="AE2440D4"/>
    <w:lvl w:ilvl="0" w:tplc="1BFCED42">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251C7"/>
    <w:multiLevelType w:val="hybridMultilevel"/>
    <w:tmpl w:val="C8061046"/>
    <w:lvl w:ilvl="0" w:tplc="B4582864">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8355B"/>
    <w:multiLevelType w:val="hybridMultilevel"/>
    <w:tmpl w:val="37949A9C"/>
    <w:lvl w:ilvl="0" w:tplc="5C2ECA30">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E58F2"/>
    <w:multiLevelType w:val="hybridMultilevel"/>
    <w:tmpl w:val="8530EB22"/>
    <w:lvl w:ilvl="0" w:tplc="7AF0CEF8">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5"/>
  </w:num>
  <w:num w:numId="5">
    <w:abstractNumId w:val="14"/>
  </w:num>
  <w:num w:numId="6">
    <w:abstractNumId w:val="15"/>
  </w:num>
  <w:num w:numId="7">
    <w:abstractNumId w:val="3"/>
  </w:num>
  <w:num w:numId="8">
    <w:abstractNumId w:val="2"/>
  </w:num>
  <w:num w:numId="9">
    <w:abstractNumId w:val="1"/>
  </w:num>
  <w:num w:numId="10">
    <w:abstractNumId w:val="7"/>
  </w:num>
  <w:num w:numId="11">
    <w:abstractNumId w:val="4"/>
  </w:num>
  <w:num w:numId="12">
    <w:abstractNumId w:val="12"/>
  </w:num>
  <w:num w:numId="13">
    <w:abstractNumId w:val="6"/>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44"/>
    <w:rsid w:val="00051050"/>
    <w:rsid w:val="000561E1"/>
    <w:rsid w:val="00062B49"/>
    <w:rsid w:val="00063AD3"/>
    <w:rsid w:val="0008255D"/>
    <w:rsid w:val="00086111"/>
    <w:rsid w:val="000A58B8"/>
    <w:rsid w:val="000A67E0"/>
    <w:rsid w:val="000B0D00"/>
    <w:rsid w:val="000B7C15"/>
    <w:rsid w:val="000C19F9"/>
    <w:rsid w:val="000C7184"/>
    <w:rsid w:val="000D0E8D"/>
    <w:rsid w:val="000D1196"/>
    <w:rsid w:val="000D1D0F"/>
    <w:rsid w:val="000D3CB0"/>
    <w:rsid w:val="000D6266"/>
    <w:rsid w:val="000D7DFA"/>
    <w:rsid w:val="000E62B7"/>
    <w:rsid w:val="0010165C"/>
    <w:rsid w:val="00105A4B"/>
    <w:rsid w:val="001213A8"/>
    <w:rsid w:val="00146BFB"/>
    <w:rsid w:val="00151005"/>
    <w:rsid w:val="001528D5"/>
    <w:rsid w:val="00153966"/>
    <w:rsid w:val="00166356"/>
    <w:rsid w:val="00174101"/>
    <w:rsid w:val="00181550"/>
    <w:rsid w:val="00184EEE"/>
    <w:rsid w:val="00185E9E"/>
    <w:rsid w:val="00196995"/>
    <w:rsid w:val="001C3075"/>
    <w:rsid w:val="001E05EA"/>
    <w:rsid w:val="001E1B6A"/>
    <w:rsid w:val="001F14A2"/>
    <w:rsid w:val="001F4C7E"/>
    <w:rsid w:val="00203F41"/>
    <w:rsid w:val="002127D4"/>
    <w:rsid w:val="00212876"/>
    <w:rsid w:val="00213933"/>
    <w:rsid w:val="00214D16"/>
    <w:rsid w:val="002229BB"/>
    <w:rsid w:val="00275C42"/>
    <w:rsid w:val="002801AA"/>
    <w:rsid w:val="00281A99"/>
    <w:rsid w:val="00281CE0"/>
    <w:rsid w:val="002962C6"/>
    <w:rsid w:val="002A341B"/>
    <w:rsid w:val="002A7BE4"/>
    <w:rsid w:val="002B2D8D"/>
    <w:rsid w:val="002C1625"/>
    <w:rsid w:val="002C5513"/>
    <w:rsid w:val="002C70B0"/>
    <w:rsid w:val="002E2B7B"/>
    <w:rsid w:val="002E36A2"/>
    <w:rsid w:val="002E5141"/>
    <w:rsid w:val="003016E3"/>
    <w:rsid w:val="0031167B"/>
    <w:rsid w:val="0031174D"/>
    <w:rsid w:val="00316446"/>
    <w:rsid w:val="00322223"/>
    <w:rsid w:val="003345C8"/>
    <w:rsid w:val="003717BA"/>
    <w:rsid w:val="0037771F"/>
    <w:rsid w:val="00386A1E"/>
    <w:rsid w:val="003A4F66"/>
    <w:rsid w:val="003A5399"/>
    <w:rsid w:val="003B0959"/>
    <w:rsid w:val="003B1004"/>
    <w:rsid w:val="00410CC5"/>
    <w:rsid w:val="00421705"/>
    <w:rsid w:val="00424A70"/>
    <w:rsid w:val="00440F2D"/>
    <w:rsid w:val="00445701"/>
    <w:rsid w:val="00464D17"/>
    <w:rsid w:val="00470CD9"/>
    <w:rsid w:val="004731D2"/>
    <w:rsid w:val="004976D1"/>
    <w:rsid w:val="004B5FCA"/>
    <w:rsid w:val="004C19F1"/>
    <w:rsid w:val="004C4487"/>
    <w:rsid w:val="004D4025"/>
    <w:rsid w:val="004E7A2F"/>
    <w:rsid w:val="004F245A"/>
    <w:rsid w:val="004F4DC4"/>
    <w:rsid w:val="004F6186"/>
    <w:rsid w:val="00501D7A"/>
    <w:rsid w:val="00513630"/>
    <w:rsid w:val="0053586D"/>
    <w:rsid w:val="00541E77"/>
    <w:rsid w:val="00552F3A"/>
    <w:rsid w:val="00553F21"/>
    <w:rsid w:val="005555D6"/>
    <w:rsid w:val="00557EAD"/>
    <w:rsid w:val="00560125"/>
    <w:rsid w:val="00571836"/>
    <w:rsid w:val="00585553"/>
    <w:rsid w:val="00596288"/>
    <w:rsid w:val="005B34D9"/>
    <w:rsid w:val="005D0CCF"/>
    <w:rsid w:val="005D40F8"/>
    <w:rsid w:val="005F1974"/>
    <w:rsid w:val="005F410F"/>
    <w:rsid w:val="00601924"/>
    <w:rsid w:val="00603325"/>
    <w:rsid w:val="00617612"/>
    <w:rsid w:val="00622D62"/>
    <w:rsid w:val="00630B1B"/>
    <w:rsid w:val="00631EE2"/>
    <w:rsid w:val="00646649"/>
    <w:rsid w:val="0064731F"/>
    <w:rsid w:val="00653DF6"/>
    <w:rsid w:val="0065512F"/>
    <w:rsid w:val="00666F82"/>
    <w:rsid w:val="006710F6"/>
    <w:rsid w:val="006B5A61"/>
    <w:rsid w:val="006C1B56"/>
    <w:rsid w:val="006D151E"/>
    <w:rsid w:val="006D4761"/>
    <w:rsid w:val="006E37A9"/>
    <w:rsid w:val="006E4F31"/>
    <w:rsid w:val="006E5D58"/>
    <w:rsid w:val="007021CC"/>
    <w:rsid w:val="0070231E"/>
    <w:rsid w:val="007041D4"/>
    <w:rsid w:val="00724A92"/>
    <w:rsid w:val="007251BF"/>
    <w:rsid w:val="00730A58"/>
    <w:rsid w:val="00731918"/>
    <w:rsid w:val="007329BB"/>
    <w:rsid w:val="00734451"/>
    <w:rsid w:val="00742DF8"/>
    <w:rsid w:val="0075350A"/>
    <w:rsid w:val="00755DFE"/>
    <w:rsid w:val="00760F1C"/>
    <w:rsid w:val="007657F0"/>
    <w:rsid w:val="00770B4A"/>
    <w:rsid w:val="00782F2F"/>
    <w:rsid w:val="00793EE1"/>
    <w:rsid w:val="007A540E"/>
    <w:rsid w:val="007A54C0"/>
    <w:rsid w:val="007B1377"/>
    <w:rsid w:val="007C0C18"/>
    <w:rsid w:val="007C4262"/>
    <w:rsid w:val="007C5C60"/>
    <w:rsid w:val="007D20B8"/>
    <w:rsid w:val="007D3408"/>
    <w:rsid w:val="007D4BED"/>
    <w:rsid w:val="007E5DD3"/>
    <w:rsid w:val="007E6B8C"/>
    <w:rsid w:val="007E7CFE"/>
    <w:rsid w:val="007F350B"/>
    <w:rsid w:val="007F5106"/>
    <w:rsid w:val="00806BBB"/>
    <w:rsid w:val="00820BE4"/>
    <w:rsid w:val="008240D5"/>
    <w:rsid w:val="008451E8"/>
    <w:rsid w:val="008470D5"/>
    <w:rsid w:val="00847D9B"/>
    <w:rsid w:val="00852B83"/>
    <w:rsid w:val="008548A1"/>
    <w:rsid w:val="00866940"/>
    <w:rsid w:val="00870103"/>
    <w:rsid w:val="00870415"/>
    <w:rsid w:val="008A493D"/>
    <w:rsid w:val="008A53FF"/>
    <w:rsid w:val="008B183C"/>
    <w:rsid w:val="008C2792"/>
    <w:rsid w:val="008C6CA6"/>
    <w:rsid w:val="008D1D57"/>
    <w:rsid w:val="008D7B1C"/>
    <w:rsid w:val="008E19F3"/>
    <w:rsid w:val="008E534F"/>
    <w:rsid w:val="0091159D"/>
    <w:rsid w:val="00913B9C"/>
    <w:rsid w:val="009241F9"/>
    <w:rsid w:val="009434C5"/>
    <w:rsid w:val="009456C3"/>
    <w:rsid w:val="00956E77"/>
    <w:rsid w:val="0095760D"/>
    <w:rsid w:val="00957BF6"/>
    <w:rsid w:val="0096447F"/>
    <w:rsid w:val="00992672"/>
    <w:rsid w:val="009A0CCC"/>
    <w:rsid w:val="009C3CBB"/>
    <w:rsid w:val="009C6C96"/>
    <w:rsid w:val="009D7F09"/>
    <w:rsid w:val="009E666D"/>
    <w:rsid w:val="00A12A3F"/>
    <w:rsid w:val="00A16D01"/>
    <w:rsid w:val="00A245A8"/>
    <w:rsid w:val="00A32DA1"/>
    <w:rsid w:val="00A45696"/>
    <w:rsid w:val="00A4592B"/>
    <w:rsid w:val="00A54A00"/>
    <w:rsid w:val="00A6251C"/>
    <w:rsid w:val="00A64AA4"/>
    <w:rsid w:val="00A66C60"/>
    <w:rsid w:val="00A7228A"/>
    <w:rsid w:val="00A87251"/>
    <w:rsid w:val="00A92690"/>
    <w:rsid w:val="00AA390C"/>
    <w:rsid w:val="00AC0953"/>
    <w:rsid w:val="00AC7D50"/>
    <w:rsid w:val="00AD3FED"/>
    <w:rsid w:val="00AE1834"/>
    <w:rsid w:val="00AF6052"/>
    <w:rsid w:val="00B204C1"/>
    <w:rsid w:val="00B24CBB"/>
    <w:rsid w:val="00B2554B"/>
    <w:rsid w:val="00B30232"/>
    <w:rsid w:val="00B574DB"/>
    <w:rsid w:val="00B7102A"/>
    <w:rsid w:val="00B7473C"/>
    <w:rsid w:val="00B74EB4"/>
    <w:rsid w:val="00B8054A"/>
    <w:rsid w:val="00B826C2"/>
    <w:rsid w:val="00B87EF2"/>
    <w:rsid w:val="00B92DF6"/>
    <w:rsid w:val="00B97005"/>
    <w:rsid w:val="00BB17AE"/>
    <w:rsid w:val="00BB5A93"/>
    <w:rsid w:val="00BC3117"/>
    <w:rsid w:val="00BD0723"/>
    <w:rsid w:val="00BD79EF"/>
    <w:rsid w:val="00BE0B9C"/>
    <w:rsid w:val="00C04A66"/>
    <w:rsid w:val="00C20C59"/>
    <w:rsid w:val="00C23D71"/>
    <w:rsid w:val="00C513BA"/>
    <w:rsid w:val="00C55B1F"/>
    <w:rsid w:val="00C56A50"/>
    <w:rsid w:val="00C60478"/>
    <w:rsid w:val="00C81DC9"/>
    <w:rsid w:val="00C9545A"/>
    <w:rsid w:val="00CA3E31"/>
    <w:rsid w:val="00CE4263"/>
    <w:rsid w:val="00CF1A67"/>
    <w:rsid w:val="00D5054B"/>
    <w:rsid w:val="00D505B7"/>
    <w:rsid w:val="00D62446"/>
    <w:rsid w:val="00D704E6"/>
    <w:rsid w:val="00D74674"/>
    <w:rsid w:val="00D84038"/>
    <w:rsid w:val="00D86E44"/>
    <w:rsid w:val="00D917E0"/>
    <w:rsid w:val="00D94160"/>
    <w:rsid w:val="00D97806"/>
    <w:rsid w:val="00D97F3D"/>
    <w:rsid w:val="00DA4EA2"/>
    <w:rsid w:val="00DA5BCA"/>
    <w:rsid w:val="00DB04F9"/>
    <w:rsid w:val="00DC5616"/>
    <w:rsid w:val="00DC7BFB"/>
    <w:rsid w:val="00DE26CD"/>
    <w:rsid w:val="00DE2C90"/>
    <w:rsid w:val="00DE3B24"/>
    <w:rsid w:val="00E10A2C"/>
    <w:rsid w:val="00E21DA8"/>
    <w:rsid w:val="00E27765"/>
    <w:rsid w:val="00E32E56"/>
    <w:rsid w:val="00E3592D"/>
    <w:rsid w:val="00E35AF8"/>
    <w:rsid w:val="00E35EE0"/>
    <w:rsid w:val="00E55612"/>
    <w:rsid w:val="00E55706"/>
    <w:rsid w:val="00E717F1"/>
    <w:rsid w:val="00E7239F"/>
    <w:rsid w:val="00E92DE8"/>
    <w:rsid w:val="00E9492A"/>
    <w:rsid w:val="00EA47D2"/>
    <w:rsid w:val="00EB1212"/>
    <w:rsid w:val="00EB2533"/>
    <w:rsid w:val="00ED6125"/>
    <w:rsid w:val="00ED65AB"/>
    <w:rsid w:val="00EE45E4"/>
    <w:rsid w:val="00EE4EB9"/>
    <w:rsid w:val="00EF6C16"/>
    <w:rsid w:val="00EF7009"/>
    <w:rsid w:val="00F12850"/>
    <w:rsid w:val="00F33BF4"/>
    <w:rsid w:val="00F7105E"/>
    <w:rsid w:val="00F741B6"/>
    <w:rsid w:val="00F75F57"/>
    <w:rsid w:val="00F763DE"/>
    <w:rsid w:val="00F82FEE"/>
    <w:rsid w:val="00FB4B04"/>
    <w:rsid w:val="00FD69A7"/>
    <w:rsid w:val="00FF11BD"/>
    <w:rsid w:val="00FF1C95"/>
    <w:rsid w:val="00FF5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F16880-DA4E-4B22-9EF7-16FBB515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aliases w:val="Retrait std"/>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uiPriority w:val="99"/>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table" w:styleId="TableGrid">
    <w:name w:val="Table Grid"/>
    <w:basedOn w:val="TableNormal"/>
    <w:uiPriority w:val="59"/>
    <w:rsid w:val="00D86E4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
    <w:name w:val="Sujet"/>
    <w:basedOn w:val="Normal"/>
    <w:uiPriority w:val="99"/>
    <w:rsid w:val="00D86E44"/>
    <w:pPr>
      <w:framePr w:w="8616" w:h="4258" w:hRule="exact" w:hSpace="181" w:wrap="around" w:vAnchor="page" w:hAnchor="page" w:x="1883" w:y="8943"/>
      <w:tabs>
        <w:tab w:val="clear" w:pos="567"/>
        <w:tab w:val="clear" w:pos="1134"/>
        <w:tab w:val="clear" w:pos="1701"/>
        <w:tab w:val="clear" w:pos="2268"/>
        <w:tab w:val="clear" w:pos="2835"/>
      </w:tabs>
      <w:overflowPunct/>
      <w:autoSpaceDE/>
      <w:autoSpaceDN/>
      <w:adjustRightInd/>
      <w:spacing w:before="0"/>
      <w:textAlignment w:val="auto"/>
    </w:pPr>
    <w:rPr>
      <w:rFonts w:ascii="Arial" w:hAnsi="Arial" w:cs="Arial"/>
      <w:kern w:val="40"/>
      <w:sz w:val="52"/>
      <w:szCs w:val="52"/>
      <w:lang w:val="fr-CH"/>
    </w:rPr>
  </w:style>
  <w:style w:type="character" w:customStyle="1" w:styleId="Heading3Char">
    <w:name w:val="Heading 3 Char"/>
    <w:basedOn w:val="DefaultParagraphFont"/>
    <w:link w:val="Heading3"/>
    <w:uiPriority w:val="9"/>
    <w:rsid w:val="00D86E44"/>
    <w:rPr>
      <w:rFonts w:ascii="Calibri" w:hAnsi="Calibri"/>
      <w:b/>
      <w:sz w:val="24"/>
      <w:lang w:val="es-ES_tradnl" w:eastAsia="en-US"/>
    </w:rPr>
  </w:style>
  <w:style w:type="paragraph" w:styleId="NormalWeb">
    <w:name w:val="Normal (Web)"/>
    <w:basedOn w:val="Normal"/>
    <w:uiPriority w:val="99"/>
    <w:unhideWhenUsed/>
    <w:rsid w:val="00D86E4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en-GB"/>
    </w:rPr>
  </w:style>
  <w:style w:type="character" w:customStyle="1" w:styleId="Heading2Char">
    <w:name w:val="Heading 2 Char"/>
    <w:basedOn w:val="DefaultParagraphFont"/>
    <w:link w:val="Heading2"/>
    <w:uiPriority w:val="9"/>
    <w:rsid w:val="00D86E44"/>
    <w:rPr>
      <w:rFonts w:ascii="Calibri" w:hAnsi="Calibri"/>
      <w:b/>
      <w:sz w:val="24"/>
      <w:lang w:val="es-ES_tradnl" w:eastAsia="en-US"/>
    </w:rPr>
  </w:style>
  <w:style w:type="character" w:customStyle="1" w:styleId="HeaderChar">
    <w:name w:val="Header Char"/>
    <w:basedOn w:val="DefaultParagraphFont"/>
    <w:link w:val="Header"/>
    <w:uiPriority w:val="99"/>
    <w:rsid w:val="00D86E44"/>
    <w:rPr>
      <w:rFonts w:ascii="Calibri" w:hAnsi="Calibri"/>
      <w:sz w:val="18"/>
      <w:lang w:val="es-ES_tradnl" w:eastAsia="en-US"/>
    </w:rPr>
  </w:style>
  <w:style w:type="character" w:customStyle="1" w:styleId="FooterChar">
    <w:name w:val="Footer Char"/>
    <w:basedOn w:val="DefaultParagraphFont"/>
    <w:link w:val="Footer"/>
    <w:rsid w:val="00D86E44"/>
    <w:rPr>
      <w:rFonts w:ascii="Calibri" w:hAnsi="Calibri"/>
      <w:caps/>
      <w:noProof/>
      <w:sz w:val="16"/>
      <w:lang w:val="es-ES_tradnl" w:eastAsia="en-US"/>
    </w:rPr>
  </w:style>
  <w:style w:type="paragraph" w:styleId="ListParagraph">
    <w:name w:val="List Paragraph"/>
    <w:basedOn w:val="Normal"/>
    <w:uiPriority w:val="34"/>
    <w:qFormat/>
    <w:rsid w:val="00D86E4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it-IT" w:eastAsia="zh-CN"/>
    </w:rPr>
  </w:style>
  <w:style w:type="paragraph" w:customStyle="1" w:styleId="Style16">
    <w:name w:val="Style 16"/>
    <w:basedOn w:val="Normal"/>
    <w:uiPriority w:val="99"/>
    <w:rsid w:val="00D86E44"/>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val="it-IT" w:eastAsia="it-IT"/>
    </w:rPr>
  </w:style>
  <w:style w:type="character" w:customStyle="1" w:styleId="CharacterStyle17">
    <w:name w:val="Character Style 17"/>
    <w:uiPriority w:val="99"/>
    <w:rsid w:val="00D86E44"/>
    <w:rPr>
      <w:sz w:val="20"/>
    </w:rPr>
  </w:style>
  <w:style w:type="paragraph" w:styleId="BalloonText">
    <w:name w:val="Balloon Text"/>
    <w:basedOn w:val="Normal"/>
    <w:link w:val="BalloonTextChar"/>
    <w:semiHidden/>
    <w:unhideWhenUsed/>
    <w:rsid w:val="00D86E4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6E44"/>
    <w:rPr>
      <w:rFonts w:ascii="Segoe UI" w:hAnsi="Segoe UI" w:cs="Segoe UI"/>
      <w:sz w:val="18"/>
      <w:szCs w:val="18"/>
      <w:lang w:val="es-ES_tradnl" w:eastAsia="en-US"/>
    </w:rPr>
  </w:style>
  <w:style w:type="paragraph" w:customStyle="1" w:styleId="testobase">
    <w:name w:val="testo base"/>
    <w:basedOn w:val="ListParagraph"/>
    <w:link w:val="testobaseCarattere"/>
    <w:qFormat/>
    <w:rsid w:val="00D86E44"/>
    <w:pPr>
      <w:numPr>
        <w:numId w:val="1"/>
      </w:numPr>
      <w:adjustRightInd w:val="0"/>
      <w:spacing w:before="120" w:after="0" w:line="319" w:lineRule="auto"/>
      <w:contextualSpacing w:val="0"/>
      <w:jc w:val="both"/>
    </w:pPr>
    <w:rPr>
      <w:rFonts w:ascii="Times New Roman" w:eastAsiaTheme="minorHAnsi" w:hAnsi="Times New Roman" w:cs="Times New Roman"/>
      <w:sz w:val="24"/>
      <w:szCs w:val="24"/>
      <w:lang w:val="en-GB" w:eastAsia="it-IT"/>
    </w:rPr>
  </w:style>
  <w:style w:type="character" w:customStyle="1" w:styleId="testobaseCarattere">
    <w:name w:val="testo base Carattere"/>
    <w:basedOn w:val="DefaultParagraphFont"/>
    <w:link w:val="testobase"/>
    <w:rsid w:val="00D86E44"/>
    <w:rPr>
      <w:rFonts w:ascii="Times New Roman" w:eastAsiaTheme="minorHAnsi" w:hAnsi="Times New Roman"/>
      <w:sz w:val="24"/>
      <w:szCs w:val="24"/>
      <w:lang w:val="en-GB" w:eastAsia="it-IT"/>
    </w:rPr>
  </w:style>
  <w:style w:type="paragraph" w:customStyle="1" w:styleId="recesugg">
    <w:name w:val="rec e sugg"/>
    <w:basedOn w:val="testobase"/>
    <w:qFormat/>
    <w:rsid w:val="00D86E44"/>
    <w:pPr>
      <w:pBdr>
        <w:top w:val="single" w:sz="4" w:space="1" w:color="auto"/>
        <w:left w:val="single" w:sz="4" w:space="4" w:color="auto"/>
        <w:bottom w:val="single" w:sz="4" w:space="1" w:color="auto"/>
        <w:right w:val="single" w:sz="4" w:space="4" w:color="auto"/>
      </w:pBdr>
    </w:pPr>
  </w:style>
  <w:style w:type="paragraph" w:customStyle="1" w:styleId="titolorecesug">
    <w:name w:val="titolo rec e sug"/>
    <w:basedOn w:val="Normal"/>
    <w:qFormat/>
    <w:rsid w:val="00D86E44"/>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customStyle="1" w:styleId="titcomments">
    <w:name w:val="tit comments"/>
    <w:basedOn w:val="titolorecesug"/>
    <w:qFormat/>
    <w:rsid w:val="00D86E44"/>
    <w:rPr>
      <w:u w:val="single"/>
    </w:rPr>
  </w:style>
  <w:style w:type="paragraph" w:customStyle="1" w:styleId="comments">
    <w:name w:val="comments"/>
    <w:basedOn w:val="Normal"/>
    <w:next w:val="Normal"/>
    <w:qFormat/>
    <w:rsid w:val="00D86E44"/>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character" w:customStyle="1" w:styleId="Heading1Char">
    <w:name w:val="Heading 1 Char"/>
    <w:basedOn w:val="DefaultParagraphFont"/>
    <w:link w:val="Heading1"/>
    <w:uiPriority w:val="9"/>
    <w:rsid w:val="00D86E44"/>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tu.int/council/finregs/Regl_Fin_10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S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E5D48-52F3-41D3-8513-B5F1BE25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PS_C15.dotm</Template>
  <TotalTime>223</TotalTime>
  <Pages>32</Pages>
  <Words>9095</Words>
  <Characters>47152</Characters>
  <Application>Microsoft Office Word</Application>
  <DocSecurity>0</DocSecurity>
  <Lines>1652</Lines>
  <Paragraphs>398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AUDITORÍA EXTERNA DE LAS CUENTAS DE LA UNIÓN EN RELACIÓN CON ITU TELECOM WORLD 2014</vt:lpstr>
    </vt:vector>
  </TitlesOfParts>
  <Manager>Secretaría General - Pool</Manager>
  <Company>Unión Internacional de Telecomunicaciones (UIT)</Company>
  <LinksUpToDate>false</LinksUpToDate>
  <CharactersWithSpaces>55986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EXTERNA DE LAS CUENTAS DE LA UNIÓN EN RELACIÓN CON ITU TELECOM WORLD 2014</dc:title>
  <dc:subject>Consejo 2010</dc:subject>
  <dc:creator>Informe del Secretario General</dc:creator>
  <cp:keywords>C2010, C10</cp:keywords>
  <dc:description>Documento C15/66-S  Para: Punto del orden del día: ADM 10_x000d_Fecha del documento: 8 de mayo de 2015_x000d_Registrado por ITU51007830 a 19:40:12 el 15/05/2015</dc:description>
  <cp:lastModifiedBy>Saez Grau, Ricardo</cp:lastModifiedBy>
  <cp:revision>237</cp:revision>
  <cp:lastPrinted>2015-05-15T13:54:00Z</cp:lastPrinted>
  <dcterms:created xsi:type="dcterms:W3CDTF">2015-05-15T12:37:00Z</dcterms:created>
  <dcterms:modified xsi:type="dcterms:W3CDTF">2015-05-15T17:40:00Z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C15/66-S</vt:lpwstr>
  </property>
  <property fmtid="{D5CDD505-2E9C-101B-9397-08002B2CF9AE}" pid="3" name="Docdate">
    <vt:lpwstr>8 de mayo de 2015</vt:lpwstr>
  </property>
  <property fmtid="{D5CDD505-2E9C-101B-9397-08002B2CF9AE}" pid="4" name="Docorlang">
    <vt:lpwstr>Original: inglés</vt:lpwstr>
  </property>
  <property fmtid="{D5CDD505-2E9C-101B-9397-08002B2CF9AE}" pid="5" name="Docbluepink">
    <vt:lpwstr>Consejo 2015 Ginebra, 12-22 de mayo de 2015</vt:lpwstr>
  </property>
  <property fmtid="{D5CDD505-2E9C-101B-9397-08002B2CF9AE}" pid="6" name="Docdest">
    <vt:lpwstr>Punto del orden del día: ADM 10</vt:lpwstr>
  </property>
  <property fmtid="{D5CDD505-2E9C-101B-9397-08002B2CF9AE}" pid="7" name="Docauthor">
    <vt:lpwstr>Informe del Secretario General</vt:lpwstr>
  </property>
</Properties>
</file>