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404082" w:rsidRPr="00A62EF7">
        <w:trPr>
          <w:cantSplit/>
        </w:trPr>
        <w:tc>
          <w:tcPr>
            <w:tcW w:w="6912" w:type="dxa"/>
          </w:tcPr>
          <w:p w:rsidR="00404082" w:rsidRPr="00A62EF7" w:rsidRDefault="00404082" w:rsidP="004E45FF">
            <w:pPr>
              <w:tabs>
                <w:tab w:val="clear" w:pos="2268"/>
                <w:tab w:val="clear" w:pos="2835"/>
                <w:tab w:val="left" w:pos="4660"/>
              </w:tabs>
              <w:spacing w:before="360"/>
            </w:pPr>
            <w:bookmarkStart w:id="0" w:name="dc06"/>
            <w:bookmarkEnd w:id="0"/>
            <w:r w:rsidRPr="00A62EF7">
              <w:rPr>
                <w:b/>
                <w:bCs/>
                <w:sz w:val="30"/>
                <w:szCs w:val="30"/>
              </w:rPr>
              <w:t>Conseil 2015</w:t>
            </w:r>
            <w:r w:rsidRPr="00A62EF7">
              <w:rPr>
                <w:rFonts w:ascii="Verdana" w:hAnsi="Verdana"/>
                <w:b/>
                <w:bCs/>
                <w:sz w:val="26"/>
                <w:szCs w:val="26"/>
              </w:rPr>
              <w:br/>
            </w:r>
            <w:r w:rsidRPr="00A62EF7">
              <w:rPr>
                <w:b/>
                <w:bCs/>
                <w:szCs w:val="24"/>
              </w:rPr>
              <w:t>Genève, 12-22 mai 2015</w:t>
            </w:r>
          </w:p>
        </w:tc>
        <w:tc>
          <w:tcPr>
            <w:tcW w:w="3261" w:type="dxa"/>
          </w:tcPr>
          <w:p w:rsidR="00404082" w:rsidRPr="00A62EF7" w:rsidRDefault="00404082" w:rsidP="00404082">
            <w:pPr>
              <w:spacing w:before="0"/>
              <w:jc w:val="right"/>
            </w:pPr>
            <w:bookmarkStart w:id="1" w:name="ditulogo"/>
            <w:bookmarkEnd w:id="1"/>
            <w:r w:rsidRPr="00A62EF7">
              <w:rPr>
                <w:noProof/>
                <w:lang w:val="en-US" w:eastAsia="zh-CN"/>
              </w:rPr>
              <w:drawing>
                <wp:inline distT="0" distB="0" distL="0" distR="0" wp14:anchorId="7DBCAD44" wp14:editId="4A5010A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04082" w:rsidRPr="00A62EF7" w:rsidTr="003C6DD3">
        <w:trPr>
          <w:cantSplit/>
          <w:trHeight w:val="20"/>
        </w:trPr>
        <w:tc>
          <w:tcPr>
            <w:tcW w:w="6912" w:type="dxa"/>
            <w:tcBorders>
              <w:bottom w:val="single" w:sz="12" w:space="0" w:color="auto"/>
            </w:tcBorders>
            <w:vAlign w:val="center"/>
          </w:tcPr>
          <w:p w:rsidR="00404082" w:rsidRPr="00A62EF7" w:rsidRDefault="00404082" w:rsidP="004C37A9">
            <w:pPr>
              <w:spacing w:before="0"/>
              <w:rPr>
                <w:b/>
                <w:bCs/>
                <w:sz w:val="26"/>
                <w:szCs w:val="26"/>
              </w:rPr>
            </w:pPr>
            <w:r w:rsidRPr="00A62EF7">
              <w:rPr>
                <w:b/>
                <w:bCs/>
              </w:rPr>
              <w:t>UNION INTERNATIONALE DES TÉLÉCOMMUNICATIONS</w:t>
            </w:r>
          </w:p>
        </w:tc>
        <w:tc>
          <w:tcPr>
            <w:tcW w:w="3261" w:type="dxa"/>
            <w:tcBorders>
              <w:bottom w:val="single" w:sz="12" w:space="0" w:color="auto"/>
            </w:tcBorders>
          </w:tcPr>
          <w:p w:rsidR="00404082" w:rsidRPr="00A62EF7" w:rsidRDefault="00404082" w:rsidP="00DF74DD">
            <w:pPr>
              <w:spacing w:before="0"/>
              <w:rPr>
                <w:b/>
                <w:bCs/>
              </w:rPr>
            </w:pPr>
          </w:p>
        </w:tc>
      </w:tr>
      <w:tr w:rsidR="00404082" w:rsidRPr="00A62EF7">
        <w:trPr>
          <w:cantSplit/>
          <w:trHeight w:val="20"/>
        </w:trPr>
        <w:tc>
          <w:tcPr>
            <w:tcW w:w="6912" w:type="dxa"/>
            <w:tcBorders>
              <w:top w:val="single" w:sz="12" w:space="0" w:color="auto"/>
            </w:tcBorders>
          </w:tcPr>
          <w:p w:rsidR="00404082" w:rsidRPr="00A62EF7" w:rsidRDefault="00404082" w:rsidP="00DF74DD">
            <w:pPr>
              <w:spacing w:before="0"/>
              <w:rPr>
                <w:smallCaps/>
                <w:sz w:val="22"/>
              </w:rPr>
            </w:pPr>
          </w:p>
        </w:tc>
        <w:tc>
          <w:tcPr>
            <w:tcW w:w="3261" w:type="dxa"/>
            <w:tcBorders>
              <w:top w:val="single" w:sz="12" w:space="0" w:color="auto"/>
            </w:tcBorders>
          </w:tcPr>
          <w:p w:rsidR="00404082" w:rsidRPr="00A62EF7" w:rsidRDefault="00404082" w:rsidP="00DF74DD">
            <w:pPr>
              <w:spacing w:before="0"/>
              <w:rPr>
                <w:b/>
                <w:bCs/>
              </w:rPr>
            </w:pPr>
          </w:p>
        </w:tc>
      </w:tr>
      <w:tr w:rsidR="00404082" w:rsidRPr="00A62EF7">
        <w:trPr>
          <w:cantSplit/>
          <w:trHeight w:val="20"/>
        </w:trPr>
        <w:tc>
          <w:tcPr>
            <w:tcW w:w="6912" w:type="dxa"/>
            <w:vMerge w:val="restart"/>
          </w:tcPr>
          <w:p w:rsidR="00404082" w:rsidRPr="00A62EF7" w:rsidRDefault="00E80BA0" w:rsidP="00DF74DD">
            <w:pPr>
              <w:spacing w:before="0"/>
              <w:rPr>
                <w:rFonts w:cs="Times"/>
                <w:b/>
                <w:bCs/>
                <w:szCs w:val="24"/>
              </w:rPr>
            </w:pPr>
            <w:bookmarkStart w:id="2" w:name="dnum" w:colFirst="1" w:colLast="1"/>
            <w:bookmarkStart w:id="3" w:name="dmeeting" w:colFirst="0" w:colLast="0"/>
            <w:r w:rsidRPr="00A62EF7">
              <w:rPr>
                <w:rFonts w:cs="Times"/>
                <w:b/>
                <w:bCs/>
                <w:szCs w:val="24"/>
              </w:rPr>
              <w:t>Point de l'ordre du jour: ADM 10</w:t>
            </w:r>
          </w:p>
        </w:tc>
        <w:tc>
          <w:tcPr>
            <w:tcW w:w="3261" w:type="dxa"/>
          </w:tcPr>
          <w:p w:rsidR="00404082" w:rsidRPr="00A62EF7" w:rsidRDefault="00404082" w:rsidP="00404082">
            <w:pPr>
              <w:spacing w:before="0"/>
              <w:rPr>
                <w:b/>
                <w:bCs/>
              </w:rPr>
            </w:pPr>
            <w:r w:rsidRPr="00A62EF7">
              <w:rPr>
                <w:b/>
                <w:bCs/>
              </w:rPr>
              <w:t>Document C15/66-F</w:t>
            </w:r>
          </w:p>
        </w:tc>
      </w:tr>
      <w:tr w:rsidR="00404082" w:rsidRPr="00A62EF7">
        <w:trPr>
          <w:cantSplit/>
          <w:trHeight w:val="20"/>
        </w:trPr>
        <w:tc>
          <w:tcPr>
            <w:tcW w:w="6912" w:type="dxa"/>
            <w:vMerge/>
          </w:tcPr>
          <w:p w:rsidR="00404082" w:rsidRPr="00A62EF7" w:rsidRDefault="00404082" w:rsidP="00DF74DD">
            <w:pPr>
              <w:shd w:val="solid" w:color="FFFFFF" w:fill="FFFFFF"/>
              <w:spacing w:before="180"/>
              <w:rPr>
                <w:smallCaps/>
              </w:rPr>
            </w:pPr>
            <w:bookmarkStart w:id="4" w:name="ddate" w:colFirst="1" w:colLast="1"/>
            <w:bookmarkEnd w:id="2"/>
            <w:bookmarkEnd w:id="3"/>
          </w:p>
        </w:tc>
        <w:tc>
          <w:tcPr>
            <w:tcW w:w="3261" w:type="dxa"/>
          </w:tcPr>
          <w:p w:rsidR="00404082" w:rsidRPr="00A62EF7" w:rsidRDefault="00404082" w:rsidP="00404082">
            <w:pPr>
              <w:spacing w:before="0"/>
              <w:rPr>
                <w:b/>
                <w:bCs/>
              </w:rPr>
            </w:pPr>
            <w:r w:rsidRPr="00A62EF7">
              <w:rPr>
                <w:b/>
                <w:bCs/>
              </w:rPr>
              <w:t>8 mai 2015</w:t>
            </w:r>
          </w:p>
        </w:tc>
      </w:tr>
      <w:tr w:rsidR="00404082" w:rsidRPr="00A62EF7">
        <w:trPr>
          <w:cantSplit/>
          <w:trHeight w:val="20"/>
        </w:trPr>
        <w:tc>
          <w:tcPr>
            <w:tcW w:w="6912" w:type="dxa"/>
            <w:vMerge/>
          </w:tcPr>
          <w:p w:rsidR="00404082" w:rsidRPr="00A62EF7" w:rsidRDefault="00404082" w:rsidP="00DF74DD">
            <w:pPr>
              <w:shd w:val="solid" w:color="FFFFFF" w:fill="FFFFFF"/>
              <w:spacing w:before="180"/>
              <w:rPr>
                <w:smallCaps/>
              </w:rPr>
            </w:pPr>
            <w:bookmarkStart w:id="5" w:name="dorlang" w:colFirst="1" w:colLast="1"/>
            <w:bookmarkEnd w:id="4"/>
          </w:p>
        </w:tc>
        <w:tc>
          <w:tcPr>
            <w:tcW w:w="3261" w:type="dxa"/>
          </w:tcPr>
          <w:p w:rsidR="00404082" w:rsidRPr="00A62EF7" w:rsidRDefault="00404082" w:rsidP="00404082">
            <w:pPr>
              <w:spacing w:before="0"/>
              <w:rPr>
                <w:b/>
                <w:bCs/>
              </w:rPr>
            </w:pPr>
            <w:r w:rsidRPr="00A62EF7">
              <w:rPr>
                <w:b/>
                <w:bCs/>
              </w:rPr>
              <w:t>Original: anglais</w:t>
            </w:r>
          </w:p>
        </w:tc>
      </w:tr>
      <w:tr w:rsidR="00404082" w:rsidRPr="00A62EF7">
        <w:trPr>
          <w:cantSplit/>
        </w:trPr>
        <w:tc>
          <w:tcPr>
            <w:tcW w:w="10173" w:type="dxa"/>
            <w:gridSpan w:val="2"/>
          </w:tcPr>
          <w:p w:rsidR="00404082" w:rsidRPr="00A62EF7" w:rsidRDefault="00404082" w:rsidP="00DF74DD">
            <w:pPr>
              <w:pStyle w:val="Source"/>
            </w:pPr>
            <w:bookmarkStart w:id="6" w:name="dsource" w:colFirst="0" w:colLast="0"/>
            <w:bookmarkEnd w:id="5"/>
            <w:r w:rsidRPr="00A62EF7">
              <w:t>Rapport du Secrétaire général</w:t>
            </w:r>
          </w:p>
        </w:tc>
      </w:tr>
      <w:tr w:rsidR="00404082" w:rsidRPr="00A62EF7">
        <w:trPr>
          <w:cantSplit/>
        </w:trPr>
        <w:tc>
          <w:tcPr>
            <w:tcW w:w="10173" w:type="dxa"/>
            <w:gridSpan w:val="2"/>
          </w:tcPr>
          <w:p w:rsidR="00404082" w:rsidRPr="00A62EF7" w:rsidRDefault="00E80BA0" w:rsidP="00DF74DD">
            <w:pPr>
              <w:pStyle w:val="Title1"/>
            </w:pPr>
            <w:bookmarkStart w:id="7" w:name="dtitle1" w:colFirst="0" w:colLast="0"/>
            <w:bookmarkEnd w:id="6"/>
            <w:r w:rsidRPr="00A62EF7">
              <w:t>vérification extérieure des comptes de l'union – itu telecom world 2014</w:t>
            </w:r>
          </w:p>
        </w:tc>
      </w:tr>
      <w:bookmarkEnd w:id="7"/>
    </w:tbl>
    <w:p w:rsidR="00404082" w:rsidRPr="00A62EF7" w:rsidRDefault="0040408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404082" w:rsidRPr="00A62EF7">
        <w:trPr>
          <w:trHeight w:val="3372"/>
        </w:trPr>
        <w:tc>
          <w:tcPr>
            <w:tcW w:w="8080" w:type="dxa"/>
            <w:tcBorders>
              <w:top w:val="single" w:sz="12" w:space="0" w:color="auto"/>
              <w:left w:val="single" w:sz="12" w:space="0" w:color="auto"/>
              <w:bottom w:val="single" w:sz="12" w:space="0" w:color="auto"/>
              <w:right w:val="single" w:sz="12" w:space="0" w:color="auto"/>
            </w:tcBorders>
          </w:tcPr>
          <w:p w:rsidR="00404082" w:rsidRPr="00A62EF7" w:rsidRDefault="00404082">
            <w:pPr>
              <w:pStyle w:val="Headingb"/>
            </w:pPr>
            <w:bookmarkStart w:id="8" w:name="_Toc419372730"/>
            <w:r w:rsidRPr="00A62EF7">
              <w:t>Résumé</w:t>
            </w:r>
            <w:bookmarkEnd w:id="8"/>
          </w:p>
          <w:p w:rsidR="00404082" w:rsidRPr="00A62EF7" w:rsidRDefault="00E80BA0">
            <w:r w:rsidRPr="00A62EF7">
              <w:rPr>
                <w:rFonts w:eastAsia="Times New Roman"/>
              </w:rPr>
              <w:t>Le rapport du Vérificateur extérieur des comptes porte sur les comptes de l'exposition ITU Telecom World 2014.</w:t>
            </w:r>
          </w:p>
          <w:p w:rsidR="00404082" w:rsidRPr="00A62EF7" w:rsidRDefault="00404082">
            <w:pPr>
              <w:pStyle w:val="Headingb"/>
            </w:pPr>
            <w:bookmarkStart w:id="9" w:name="_Toc419372731"/>
            <w:r w:rsidRPr="00A62EF7">
              <w:t>Suite à donner</w:t>
            </w:r>
            <w:bookmarkEnd w:id="9"/>
          </w:p>
          <w:p w:rsidR="00404082" w:rsidRPr="00A62EF7" w:rsidRDefault="00E80BA0">
            <w:r w:rsidRPr="00A62EF7">
              <w:rPr>
                <w:rFonts w:eastAsia="Times New Roman"/>
              </w:rPr>
              <w:t xml:space="preserve">Le Conseil est invité à examiner le rapport du Vérificateur extérieur des comptes pour l'exercice 2014 et à </w:t>
            </w:r>
            <w:r w:rsidRPr="00A62EF7">
              <w:rPr>
                <w:rFonts w:eastAsia="Times New Roman"/>
                <w:b/>
                <w:bCs/>
              </w:rPr>
              <w:t>approuver</w:t>
            </w:r>
            <w:r w:rsidRPr="00A62EF7">
              <w:rPr>
                <w:rFonts w:eastAsia="Times New Roman"/>
              </w:rPr>
              <w:t xml:space="preserve"> les comptes tels qu'ils ont été vérifiés.</w:t>
            </w:r>
          </w:p>
          <w:p w:rsidR="00404082" w:rsidRPr="00A62EF7" w:rsidRDefault="00404082">
            <w:pPr>
              <w:pStyle w:val="Table"/>
              <w:keepNext w:val="0"/>
              <w:spacing w:before="0" w:after="0"/>
              <w:rPr>
                <w:rFonts w:ascii="Calibri" w:hAnsi="Calibri"/>
                <w:caps w:val="0"/>
                <w:sz w:val="22"/>
                <w:lang w:val="fr-FR"/>
              </w:rPr>
            </w:pPr>
            <w:r w:rsidRPr="00A62EF7">
              <w:rPr>
                <w:rFonts w:ascii="Calibri" w:hAnsi="Calibri"/>
                <w:caps w:val="0"/>
                <w:sz w:val="22"/>
                <w:lang w:val="fr-FR"/>
              </w:rPr>
              <w:t>____________</w:t>
            </w:r>
          </w:p>
          <w:p w:rsidR="00404082" w:rsidRPr="00A62EF7" w:rsidRDefault="00404082">
            <w:pPr>
              <w:pStyle w:val="Headingb"/>
            </w:pPr>
            <w:bookmarkStart w:id="10" w:name="_Toc419372732"/>
            <w:r w:rsidRPr="00A62EF7">
              <w:t>Références</w:t>
            </w:r>
            <w:bookmarkEnd w:id="10"/>
          </w:p>
          <w:p w:rsidR="00404082" w:rsidRPr="00A62EF7" w:rsidRDefault="00E80BA0">
            <w:pPr>
              <w:spacing w:after="120"/>
              <w:rPr>
                <w:i/>
                <w:iCs/>
              </w:rPr>
            </w:pPr>
            <w:r w:rsidRPr="00A62EF7">
              <w:rPr>
                <w:rFonts w:eastAsia="Times New Roman"/>
                <w:i/>
                <w:iCs/>
              </w:rPr>
              <w:t xml:space="preserve">Article 28 et mandat additionnel du </w:t>
            </w:r>
            <w:hyperlink r:id="rId9" w:history="1">
              <w:r w:rsidRPr="00A62EF7">
                <w:rPr>
                  <w:rFonts w:eastAsia="Times New Roman"/>
                  <w:i/>
                  <w:iCs/>
                  <w:color w:val="0000FF"/>
                  <w:u w:val="single"/>
                </w:rPr>
                <w:t>Règlement financier (Edition de 2010)</w:t>
              </w:r>
            </w:hyperlink>
          </w:p>
          <w:p w:rsidR="00404082" w:rsidRPr="00A62EF7" w:rsidRDefault="00404082">
            <w:pPr>
              <w:spacing w:after="120"/>
              <w:rPr>
                <w:i/>
                <w:iCs/>
              </w:rPr>
            </w:pPr>
          </w:p>
        </w:tc>
      </w:tr>
    </w:tbl>
    <w:p w:rsidR="00404082" w:rsidRPr="00A62EF7" w:rsidRDefault="00404082" w:rsidP="00CA08ED"/>
    <w:p w:rsidR="00E80BA0" w:rsidRPr="00A62EF7" w:rsidRDefault="00E80BA0">
      <w:pPr>
        <w:tabs>
          <w:tab w:val="clear" w:pos="567"/>
          <w:tab w:val="clear" w:pos="1134"/>
          <w:tab w:val="clear" w:pos="1701"/>
          <w:tab w:val="clear" w:pos="2268"/>
          <w:tab w:val="clear" w:pos="2835"/>
        </w:tabs>
        <w:overflowPunct/>
        <w:autoSpaceDE/>
        <w:autoSpaceDN/>
        <w:adjustRightInd/>
        <w:spacing w:before="0"/>
        <w:textAlignment w:val="auto"/>
      </w:pPr>
      <w:r w:rsidRPr="00A62EF7">
        <w:br w:type="page"/>
      </w:r>
    </w:p>
    <w:p w:rsidR="00BD4FA8" w:rsidRDefault="00BD4FA8" w:rsidP="00BD4FA8">
      <w:pPr>
        <w:jc w:val="center"/>
      </w:pPr>
    </w:p>
    <w:p w:rsidR="00BD4FA8" w:rsidRDefault="00BD4FA8" w:rsidP="00BD4FA8">
      <w:pPr>
        <w:jc w:val="center"/>
      </w:pPr>
    </w:p>
    <w:p w:rsidR="00E80BA0" w:rsidRPr="00BD4FA8" w:rsidRDefault="00E80BA0" w:rsidP="00BD4FA8">
      <w:pPr>
        <w:jc w:val="center"/>
        <w:rPr>
          <w:sz w:val="28"/>
          <w:szCs w:val="28"/>
        </w:rPr>
      </w:pPr>
      <w:r w:rsidRPr="00BD4FA8">
        <w:rPr>
          <w:sz w:val="28"/>
          <w:szCs w:val="28"/>
        </w:rPr>
        <w:t>RAPPORT DU VÉRIFICATEUR EXTÉRIEUR</w:t>
      </w:r>
    </w:p>
    <w:p w:rsidR="00AD132A" w:rsidRDefault="00E80BA0" w:rsidP="00AD132A">
      <w:pPr>
        <w:spacing w:before="4000"/>
        <w:jc w:val="center"/>
        <w:rPr>
          <w:rFonts w:ascii="Kunstler Script" w:hAnsi="Kunstler Script"/>
          <w:sz w:val="72"/>
          <w:szCs w:val="72"/>
          <w:lang w:val="fr-CH"/>
        </w:rPr>
      </w:pPr>
      <w:r w:rsidRPr="00A62EF7">
        <w:rPr>
          <w:noProof/>
          <w:lang w:val="en-US" w:eastAsia="zh-CN"/>
        </w:rPr>
        <w:drawing>
          <wp:inline distT="0" distB="0" distL="0" distR="0" wp14:anchorId="7BFFC0E5" wp14:editId="1D981E35">
            <wp:extent cx="874395" cy="9779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4395" cy="977900"/>
                    </a:xfrm>
                    <a:prstGeom prst="rect">
                      <a:avLst/>
                    </a:prstGeom>
                    <a:noFill/>
                    <a:ln>
                      <a:noFill/>
                    </a:ln>
                  </pic:spPr>
                </pic:pic>
              </a:graphicData>
            </a:graphic>
          </wp:inline>
        </w:drawing>
      </w:r>
      <w:r w:rsidRPr="00A62EF7">
        <w:br/>
      </w:r>
      <w:bookmarkStart w:id="11" w:name="lt_pId001"/>
      <w:r w:rsidR="00AD132A" w:rsidRPr="00AD132A">
        <w:rPr>
          <w:rFonts w:ascii="Kunstler Script" w:hAnsi="Kunstler Script"/>
          <w:sz w:val="72"/>
          <w:szCs w:val="72"/>
          <w:lang w:val="fr-CH"/>
        </w:rPr>
        <w:t>Corte dei conti</w:t>
      </w:r>
    </w:p>
    <w:p w:rsidR="00AD132A" w:rsidRPr="00AD132A" w:rsidRDefault="00AD132A" w:rsidP="00AD132A">
      <w:pPr>
        <w:spacing w:before="0"/>
        <w:jc w:val="center"/>
        <w:rPr>
          <w:lang w:val="fr-CH"/>
        </w:rPr>
      </w:pPr>
      <w:r>
        <w:rPr>
          <w:lang w:val="fr-CH"/>
        </w:rPr>
        <w:t>(Cour des compte</w:t>
      </w:r>
    </w:p>
    <w:p w:rsidR="00E80BA0" w:rsidRPr="00A62EF7" w:rsidRDefault="00E80BA0" w:rsidP="00AD132A">
      <w:pPr>
        <w:spacing w:before="4800"/>
        <w:jc w:val="center"/>
      </w:pPr>
      <w:bookmarkStart w:id="12" w:name="lt_pId002"/>
      <w:bookmarkEnd w:id="11"/>
      <w:r w:rsidRPr="00A62EF7">
        <w:t>Vérification des comptes de l'exposition mondiale</w:t>
      </w:r>
      <w:bookmarkEnd w:id="12"/>
      <w:r w:rsidRPr="00A62EF7">
        <w:br/>
      </w:r>
      <w:bookmarkStart w:id="13" w:name="lt_pId003"/>
      <w:r w:rsidRPr="00A62EF7">
        <w:t>ITU TELECOM WORLD 2014</w:t>
      </w:r>
      <w:bookmarkEnd w:id="13"/>
      <w:r w:rsidRPr="00A62EF7">
        <w:br/>
        <w:t>27.04.2015</w:t>
      </w:r>
    </w:p>
    <w:p w:rsidR="00E80BA0" w:rsidRPr="00A62EF7" w:rsidRDefault="00E80BA0">
      <w:pPr>
        <w:tabs>
          <w:tab w:val="clear" w:pos="567"/>
          <w:tab w:val="clear" w:pos="1134"/>
          <w:tab w:val="clear" w:pos="1701"/>
          <w:tab w:val="clear" w:pos="2268"/>
          <w:tab w:val="clear" w:pos="2835"/>
        </w:tabs>
        <w:overflowPunct/>
        <w:autoSpaceDE/>
        <w:autoSpaceDN/>
        <w:adjustRightInd/>
        <w:spacing w:before="0"/>
        <w:textAlignment w:val="auto"/>
      </w:pPr>
      <w:r w:rsidRPr="00A62EF7">
        <w:br w:type="page"/>
      </w:r>
    </w:p>
    <w:p w:rsidR="00A2113E" w:rsidRPr="00A62EF7" w:rsidRDefault="00E80BA0" w:rsidP="00E80BA0">
      <w:pPr>
        <w:pStyle w:val="Title1"/>
      </w:pPr>
      <w:r w:rsidRPr="00A62EF7">
        <w:lastRenderedPageBreak/>
        <w:t>table des matières</w:t>
      </w:r>
    </w:p>
    <w:p w:rsidR="00E80BA0" w:rsidRPr="00A62EF7" w:rsidRDefault="00E80BA0" w:rsidP="00E80BA0">
      <w:pPr>
        <w:pStyle w:val="toc0"/>
      </w:pPr>
      <w:r w:rsidRPr="00A62EF7">
        <w:tab/>
        <w:t>Page</w:t>
      </w:r>
    </w:p>
    <w:p w:rsidR="00C22589" w:rsidRPr="00C22589" w:rsidRDefault="00C22589" w:rsidP="00C22589">
      <w:pPr>
        <w:pStyle w:val="TOC1"/>
        <w:rPr>
          <w:rStyle w:val="Hyperlink"/>
          <w:noProof/>
        </w:rPr>
      </w:pPr>
      <w:r>
        <w:fldChar w:fldCharType="begin"/>
      </w:r>
      <w:r>
        <w:instrText xml:space="preserve"> TOC \o "1-1" \h \z \u </w:instrText>
      </w:r>
      <w:r>
        <w:fldChar w:fldCharType="separate"/>
      </w:r>
      <w:hyperlink w:anchor="_Toc419372733" w:history="1">
        <w:r w:rsidRPr="009103A1">
          <w:rPr>
            <w:rStyle w:val="Hyperlink"/>
            <w:noProof/>
          </w:rPr>
          <w:t>RÉSUMÉ DE LA VÉRIFICATION DES COMPTES</w:t>
        </w:r>
        <w:r w:rsidRPr="00C22589">
          <w:rPr>
            <w:rStyle w:val="Hyperlink"/>
            <w:noProof/>
            <w:webHidden/>
          </w:rPr>
          <w:tab/>
        </w:r>
        <w:r>
          <w:rPr>
            <w:rStyle w:val="Hyperlink"/>
            <w:noProof/>
            <w:webHidden/>
          </w:rPr>
          <w:tab/>
        </w:r>
        <w:r w:rsidRPr="00C22589">
          <w:rPr>
            <w:rStyle w:val="Hyperlink"/>
            <w:noProof/>
            <w:webHidden/>
          </w:rPr>
          <w:fldChar w:fldCharType="begin"/>
        </w:r>
        <w:r w:rsidRPr="00C22589">
          <w:rPr>
            <w:rStyle w:val="Hyperlink"/>
            <w:noProof/>
            <w:webHidden/>
          </w:rPr>
          <w:instrText xml:space="preserve"> PAGEREF _Toc419372733 \h </w:instrText>
        </w:r>
        <w:r w:rsidRPr="00C22589">
          <w:rPr>
            <w:rStyle w:val="Hyperlink"/>
            <w:noProof/>
            <w:webHidden/>
          </w:rPr>
        </w:r>
        <w:r w:rsidRPr="00C22589">
          <w:rPr>
            <w:rStyle w:val="Hyperlink"/>
            <w:noProof/>
            <w:webHidden/>
          </w:rPr>
          <w:fldChar w:fldCharType="separate"/>
        </w:r>
        <w:r w:rsidR="00491A1F">
          <w:rPr>
            <w:rStyle w:val="Hyperlink"/>
            <w:noProof/>
            <w:webHidden/>
          </w:rPr>
          <w:t>5</w:t>
        </w:r>
        <w:r w:rsidRPr="00C22589">
          <w:rPr>
            <w:rStyle w:val="Hyperlink"/>
            <w:noProof/>
            <w:webHidden/>
          </w:rPr>
          <w:fldChar w:fldCharType="end"/>
        </w:r>
      </w:hyperlink>
    </w:p>
    <w:p w:rsidR="00C22589" w:rsidRPr="00C22589" w:rsidRDefault="00BD4FA8">
      <w:pPr>
        <w:pStyle w:val="TOC1"/>
        <w:rPr>
          <w:rStyle w:val="Hyperlink"/>
          <w:noProof/>
        </w:rPr>
      </w:pPr>
      <w:hyperlink w:anchor="_Toc419372734" w:history="1">
        <w:r w:rsidR="00C22589" w:rsidRPr="009103A1">
          <w:rPr>
            <w:rStyle w:val="Hyperlink"/>
            <w:noProof/>
          </w:rPr>
          <w:t>Cadre juridique et objet de la vérification</w:t>
        </w:r>
        <w:r w:rsidR="00C22589" w:rsidRPr="00C22589">
          <w:rPr>
            <w:rStyle w:val="Hyperlink"/>
            <w:noProof/>
            <w:webHidden/>
          </w:rPr>
          <w:tab/>
        </w:r>
        <w:r w:rsidR="00C22589">
          <w:rPr>
            <w:rStyle w:val="Hyperlink"/>
            <w:noProof/>
            <w:webHidden/>
          </w:rPr>
          <w:tab/>
        </w:r>
        <w:r w:rsidR="00C22589" w:rsidRPr="00C22589">
          <w:rPr>
            <w:rStyle w:val="Hyperlink"/>
            <w:noProof/>
            <w:webHidden/>
          </w:rPr>
          <w:fldChar w:fldCharType="begin"/>
        </w:r>
        <w:r w:rsidR="00C22589" w:rsidRPr="00C22589">
          <w:rPr>
            <w:rStyle w:val="Hyperlink"/>
            <w:noProof/>
            <w:webHidden/>
          </w:rPr>
          <w:instrText xml:space="preserve"> PAGEREF _Toc419372734 \h </w:instrText>
        </w:r>
        <w:r w:rsidR="00C22589" w:rsidRPr="00C22589">
          <w:rPr>
            <w:rStyle w:val="Hyperlink"/>
            <w:noProof/>
            <w:webHidden/>
          </w:rPr>
        </w:r>
        <w:r w:rsidR="00C22589" w:rsidRPr="00C22589">
          <w:rPr>
            <w:rStyle w:val="Hyperlink"/>
            <w:noProof/>
            <w:webHidden/>
          </w:rPr>
          <w:fldChar w:fldCharType="separate"/>
        </w:r>
        <w:r w:rsidR="00491A1F">
          <w:rPr>
            <w:rStyle w:val="Hyperlink"/>
            <w:noProof/>
            <w:webHidden/>
          </w:rPr>
          <w:t>5</w:t>
        </w:r>
        <w:r w:rsidR="00C22589" w:rsidRPr="00C22589">
          <w:rPr>
            <w:rStyle w:val="Hyperlink"/>
            <w:noProof/>
            <w:webHidden/>
          </w:rPr>
          <w:fldChar w:fldCharType="end"/>
        </w:r>
      </w:hyperlink>
    </w:p>
    <w:p w:rsidR="00C22589" w:rsidRPr="00C22589" w:rsidRDefault="00BD4FA8">
      <w:pPr>
        <w:pStyle w:val="TOC1"/>
        <w:rPr>
          <w:rStyle w:val="Hyperlink"/>
          <w:noProof/>
        </w:rPr>
      </w:pPr>
      <w:hyperlink w:anchor="_Toc419372735" w:history="1">
        <w:r w:rsidR="00C22589" w:rsidRPr="009103A1">
          <w:rPr>
            <w:rStyle w:val="Hyperlink"/>
            <w:noProof/>
          </w:rPr>
          <w:t>Travaux de vérification des comptes</w:t>
        </w:r>
        <w:r w:rsidR="00C22589" w:rsidRPr="00C22589">
          <w:rPr>
            <w:rStyle w:val="Hyperlink"/>
            <w:noProof/>
            <w:webHidden/>
          </w:rPr>
          <w:tab/>
        </w:r>
        <w:r w:rsidR="00C22589">
          <w:rPr>
            <w:rStyle w:val="Hyperlink"/>
            <w:noProof/>
            <w:webHidden/>
          </w:rPr>
          <w:tab/>
        </w:r>
        <w:r w:rsidR="00C22589" w:rsidRPr="00C22589">
          <w:rPr>
            <w:rStyle w:val="Hyperlink"/>
            <w:noProof/>
            <w:webHidden/>
          </w:rPr>
          <w:fldChar w:fldCharType="begin"/>
        </w:r>
        <w:r w:rsidR="00C22589" w:rsidRPr="00C22589">
          <w:rPr>
            <w:rStyle w:val="Hyperlink"/>
            <w:noProof/>
            <w:webHidden/>
          </w:rPr>
          <w:instrText xml:space="preserve"> PAGEREF _Toc419372735 \h </w:instrText>
        </w:r>
        <w:r w:rsidR="00C22589" w:rsidRPr="00C22589">
          <w:rPr>
            <w:rStyle w:val="Hyperlink"/>
            <w:noProof/>
            <w:webHidden/>
          </w:rPr>
        </w:r>
        <w:r w:rsidR="00C22589" w:rsidRPr="00C22589">
          <w:rPr>
            <w:rStyle w:val="Hyperlink"/>
            <w:noProof/>
            <w:webHidden/>
          </w:rPr>
          <w:fldChar w:fldCharType="separate"/>
        </w:r>
        <w:r w:rsidR="00491A1F">
          <w:rPr>
            <w:rStyle w:val="Hyperlink"/>
            <w:noProof/>
            <w:webHidden/>
          </w:rPr>
          <w:t>6</w:t>
        </w:r>
        <w:r w:rsidR="00C22589" w:rsidRPr="00C22589">
          <w:rPr>
            <w:rStyle w:val="Hyperlink"/>
            <w:noProof/>
            <w:webHidden/>
          </w:rPr>
          <w:fldChar w:fldCharType="end"/>
        </w:r>
      </w:hyperlink>
    </w:p>
    <w:p w:rsidR="00C22589" w:rsidRPr="00C22589" w:rsidRDefault="00BD4FA8" w:rsidP="00491A1F">
      <w:pPr>
        <w:pStyle w:val="TOC2"/>
        <w:rPr>
          <w:rStyle w:val="Hyperlink"/>
          <w:noProof/>
        </w:rPr>
      </w:pPr>
      <w:hyperlink w:anchor="_Toc419372736" w:history="1">
        <w:r w:rsidR="00C22589" w:rsidRPr="009103A1">
          <w:rPr>
            <w:rStyle w:val="Hyperlink"/>
            <w:noProof/>
          </w:rPr>
          <w:t>Remerciements</w:t>
        </w:r>
        <w:r w:rsidR="00C22589" w:rsidRPr="00C22589">
          <w:rPr>
            <w:rStyle w:val="Hyperlink"/>
            <w:noProof/>
            <w:webHidden/>
          </w:rPr>
          <w:tab/>
        </w:r>
        <w:r w:rsidR="00C22589">
          <w:rPr>
            <w:rStyle w:val="Hyperlink"/>
            <w:noProof/>
            <w:webHidden/>
          </w:rPr>
          <w:tab/>
        </w:r>
        <w:r w:rsidR="00C22589" w:rsidRPr="00C22589">
          <w:rPr>
            <w:rStyle w:val="Hyperlink"/>
            <w:noProof/>
            <w:webHidden/>
          </w:rPr>
          <w:fldChar w:fldCharType="begin"/>
        </w:r>
        <w:r w:rsidR="00C22589" w:rsidRPr="00C22589">
          <w:rPr>
            <w:rStyle w:val="Hyperlink"/>
            <w:noProof/>
            <w:webHidden/>
          </w:rPr>
          <w:instrText xml:space="preserve"> PAGEREF _Toc419372736 \h </w:instrText>
        </w:r>
        <w:r w:rsidR="00C22589" w:rsidRPr="00C22589">
          <w:rPr>
            <w:rStyle w:val="Hyperlink"/>
            <w:noProof/>
            <w:webHidden/>
          </w:rPr>
        </w:r>
        <w:r w:rsidR="00C22589" w:rsidRPr="00C22589">
          <w:rPr>
            <w:rStyle w:val="Hyperlink"/>
            <w:noProof/>
            <w:webHidden/>
          </w:rPr>
          <w:fldChar w:fldCharType="separate"/>
        </w:r>
        <w:r w:rsidR="00491A1F">
          <w:rPr>
            <w:rStyle w:val="Hyperlink"/>
            <w:noProof/>
            <w:webHidden/>
          </w:rPr>
          <w:t>6</w:t>
        </w:r>
        <w:r w:rsidR="00C22589" w:rsidRPr="00C22589">
          <w:rPr>
            <w:rStyle w:val="Hyperlink"/>
            <w:noProof/>
            <w:webHidden/>
          </w:rPr>
          <w:fldChar w:fldCharType="end"/>
        </w:r>
      </w:hyperlink>
    </w:p>
    <w:p w:rsidR="00C22589" w:rsidRPr="00C22589" w:rsidRDefault="00BD4FA8">
      <w:pPr>
        <w:pStyle w:val="TOC1"/>
        <w:rPr>
          <w:rStyle w:val="Hyperlink"/>
          <w:noProof/>
        </w:rPr>
      </w:pPr>
      <w:hyperlink w:anchor="_Toc419372737" w:history="1">
        <w:r w:rsidR="00C22589" w:rsidRPr="009103A1">
          <w:rPr>
            <w:rStyle w:val="Hyperlink"/>
            <w:noProof/>
          </w:rPr>
          <w:t>PASSAGE AUX NORMES IPSAS</w:t>
        </w:r>
        <w:r w:rsidR="00C22589" w:rsidRPr="00C22589">
          <w:rPr>
            <w:rStyle w:val="Hyperlink"/>
            <w:noProof/>
            <w:webHidden/>
          </w:rPr>
          <w:tab/>
        </w:r>
        <w:r w:rsidR="00C22589">
          <w:rPr>
            <w:rStyle w:val="Hyperlink"/>
            <w:noProof/>
            <w:webHidden/>
          </w:rPr>
          <w:tab/>
        </w:r>
        <w:r w:rsidR="00C22589" w:rsidRPr="00C22589">
          <w:rPr>
            <w:rStyle w:val="Hyperlink"/>
            <w:noProof/>
            <w:webHidden/>
          </w:rPr>
          <w:fldChar w:fldCharType="begin"/>
        </w:r>
        <w:r w:rsidR="00C22589" w:rsidRPr="00C22589">
          <w:rPr>
            <w:rStyle w:val="Hyperlink"/>
            <w:noProof/>
            <w:webHidden/>
          </w:rPr>
          <w:instrText xml:space="preserve"> PAGEREF _Toc419372737 \h </w:instrText>
        </w:r>
        <w:r w:rsidR="00C22589" w:rsidRPr="00C22589">
          <w:rPr>
            <w:rStyle w:val="Hyperlink"/>
            <w:noProof/>
            <w:webHidden/>
          </w:rPr>
        </w:r>
        <w:r w:rsidR="00C22589" w:rsidRPr="00C22589">
          <w:rPr>
            <w:rStyle w:val="Hyperlink"/>
            <w:noProof/>
            <w:webHidden/>
          </w:rPr>
          <w:fldChar w:fldCharType="separate"/>
        </w:r>
        <w:r w:rsidR="00491A1F">
          <w:rPr>
            <w:rStyle w:val="Hyperlink"/>
            <w:noProof/>
            <w:webHidden/>
          </w:rPr>
          <w:t>7</w:t>
        </w:r>
        <w:r w:rsidR="00C22589" w:rsidRPr="00C22589">
          <w:rPr>
            <w:rStyle w:val="Hyperlink"/>
            <w:noProof/>
            <w:webHidden/>
          </w:rPr>
          <w:fldChar w:fldCharType="end"/>
        </w:r>
      </w:hyperlink>
    </w:p>
    <w:p w:rsidR="00C22589" w:rsidRPr="00C22589" w:rsidRDefault="00BD4FA8">
      <w:pPr>
        <w:pStyle w:val="TOC1"/>
        <w:rPr>
          <w:rStyle w:val="Hyperlink"/>
          <w:noProof/>
        </w:rPr>
      </w:pPr>
      <w:hyperlink w:anchor="_Toc419372738" w:history="1">
        <w:r w:rsidR="00C22589" w:rsidRPr="009103A1">
          <w:rPr>
            <w:rStyle w:val="Hyperlink"/>
            <w:noProof/>
          </w:rPr>
          <w:t>CHIFFRES CLÉS</w:t>
        </w:r>
        <w:r w:rsidR="00C22589" w:rsidRPr="00C22589">
          <w:rPr>
            <w:rStyle w:val="Hyperlink"/>
            <w:noProof/>
            <w:webHidden/>
          </w:rPr>
          <w:tab/>
        </w:r>
        <w:r w:rsidR="00C22589">
          <w:rPr>
            <w:rStyle w:val="Hyperlink"/>
            <w:noProof/>
            <w:webHidden/>
          </w:rPr>
          <w:tab/>
        </w:r>
        <w:r w:rsidR="00C22589" w:rsidRPr="00C22589">
          <w:rPr>
            <w:rStyle w:val="Hyperlink"/>
            <w:noProof/>
            <w:webHidden/>
          </w:rPr>
          <w:fldChar w:fldCharType="begin"/>
        </w:r>
        <w:r w:rsidR="00C22589" w:rsidRPr="00C22589">
          <w:rPr>
            <w:rStyle w:val="Hyperlink"/>
            <w:noProof/>
            <w:webHidden/>
          </w:rPr>
          <w:instrText xml:space="preserve"> PAGEREF _Toc419372738 \h </w:instrText>
        </w:r>
        <w:r w:rsidR="00C22589" w:rsidRPr="00C22589">
          <w:rPr>
            <w:rStyle w:val="Hyperlink"/>
            <w:noProof/>
            <w:webHidden/>
          </w:rPr>
        </w:r>
        <w:r w:rsidR="00C22589" w:rsidRPr="00C22589">
          <w:rPr>
            <w:rStyle w:val="Hyperlink"/>
            <w:noProof/>
            <w:webHidden/>
          </w:rPr>
          <w:fldChar w:fldCharType="separate"/>
        </w:r>
        <w:r w:rsidR="00491A1F">
          <w:rPr>
            <w:rStyle w:val="Hyperlink"/>
            <w:noProof/>
            <w:webHidden/>
          </w:rPr>
          <w:t>7</w:t>
        </w:r>
        <w:r w:rsidR="00C22589" w:rsidRPr="00C22589">
          <w:rPr>
            <w:rStyle w:val="Hyperlink"/>
            <w:noProof/>
            <w:webHidden/>
          </w:rPr>
          <w:fldChar w:fldCharType="end"/>
        </w:r>
      </w:hyperlink>
    </w:p>
    <w:p w:rsidR="00C22589" w:rsidRPr="00C22589" w:rsidRDefault="00BD4FA8">
      <w:pPr>
        <w:pStyle w:val="TOC1"/>
        <w:rPr>
          <w:rStyle w:val="Hyperlink"/>
          <w:noProof/>
        </w:rPr>
      </w:pPr>
      <w:hyperlink w:anchor="_Toc419372739" w:history="1">
        <w:r w:rsidR="00C22589" w:rsidRPr="009103A1">
          <w:rPr>
            <w:rStyle w:val="Hyperlink"/>
            <w:noProof/>
          </w:rPr>
          <w:t>Fonds de roulement des expositions</w:t>
        </w:r>
        <w:r w:rsidR="00C22589" w:rsidRPr="00C22589">
          <w:rPr>
            <w:rStyle w:val="Hyperlink"/>
            <w:noProof/>
            <w:webHidden/>
          </w:rPr>
          <w:tab/>
        </w:r>
        <w:r w:rsidR="00C22589">
          <w:rPr>
            <w:rStyle w:val="Hyperlink"/>
            <w:noProof/>
            <w:webHidden/>
          </w:rPr>
          <w:tab/>
        </w:r>
        <w:r w:rsidR="00C22589" w:rsidRPr="00C22589">
          <w:rPr>
            <w:rStyle w:val="Hyperlink"/>
            <w:noProof/>
            <w:webHidden/>
          </w:rPr>
          <w:fldChar w:fldCharType="begin"/>
        </w:r>
        <w:r w:rsidR="00C22589" w:rsidRPr="00C22589">
          <w:rPr>
            <w:rStyle w:val="Hyperlink"/>
            <w:noProof/>
            <w:webHidden/>
          </w:rPr>
          <w:instrText xml:space="preserve"> PAGEREF _Toc419372739 \h </w:instrText>
        </w:r>
        <w:r w:rsidR="00C22589" w:rsidRPr="00C22589">
          <w:rPr>
            <w:rStyle w:val="Hyperlink"/>
            <w:noProof/>
            <w:webHidden/>
          </w:rPr>
        </w:r>
        <w:r w:rsidR="00C22589" w:rsidRPr="00C22589">
          <w:rPr>
            <w:rStyle w:val="Hyperlink"/>
            <w:noProof/>
            <w:webHidden/>
          </w:rPr>
          <w:fldChar w:fldCharType="separate"/>
        </w:r>
        <w:r w:rsidR="00491A1F">
          <w:rPr>
            <w:rStyle w:val="Hyperlink"/>
            <w:noProof/>
            <w:webHidden/>
          </w:rPr>
          <w:t>7</w:t>
        </w:r>
        <w:r w:rsidR="00C22589" w:rsidRPr="00C22589">
          <w:rPr>
            <w:rStyle w:val="Hyperlink"/>
            <w:noProof/>
            <w:webHidden/>
          </w:rPr>
          <w:fldChar w:fldCharType="end"/>
        </w:r>
      </w:hyperlink>
    </w:p>
    <w:p w:rsidR="00C22589" w:rsidRPr="00C22589" w:rsidRDefault="00BD4FA8">
      <w:pPr>
        <w:pStyle w:val="TOC1"/>
        <w:rPr>
          <w:rStyle w:val="Hyperlink"/>
          <w:noProof/>
        </w:rPr>
      </w:pPr>
      <w:hyperlink w:anchor="_Toc419372740" w:history="1">
        <w:r w:rsidR="00C22589" w:rsidRPr="009103A1">
          <w:rPr>
            <w:rStyle w:val="Hyperlink"/>
            <w:noProof/>
          </w:rPr>
          <w:t>Modifications pertinentes, révision du budget et résultats concrets</w:t>
        </w:r>
        <w:r w:rsidR="00C22589" w:rsidRPr="00C22589">
          <w:rPr>
            <w:rStyle w:val="Hyperlink"/>
            <w:noProof/>
            <w:webHidden/>
          </w:rPr>
          <w:tab/>
        </w:r>
        <w:r w:rsidR="00C22589">
          <w:rPr>
            <w:rStyle w:val="Hyperlink"/>
            <w:noProof/>
            <w:webHidden/>
          </w:rPr>
          <w:tab/>
        </w:r>
        <w:r w:rsidR="00C22589" w:rsidRPr="00C22589">
          <w:rPr>
            <w:rStyle w:val="Hyperlink"/>
            <w:noProof/>
            <w:webHidden/>
          </w:rPr>
          <w:fldChar w:fldCharType="begin"/>
        </w:r>
        <w:r w:rsidR="00C22589" w:rsidRPr="00C22589">
          <w:rPr>
            <w:rStyle w:val="Hyperlink"/>
            <w:noProof/>
            <w:webHidden/>
          </w:rPr>
          <w:instrText xml:space="preserve"> PAGEREF _Toc419372740 \h </w:instrText>
        </w:r>
        <w:r w:rsidR="00C22589" w:rsidRPr="00C22589">
          <w:rPr>
            <w:rStyle w:val="Hyperlink"/>
            <w:noProof/>
            <w:webHidden/>
          </w:rPr>
        </w:r>
        <w:r w:rsidR="00C22589" w:rsidRPr="00C22589">
          <w:rPr>
            <w:rStyle w:val="Hyperlink"/>
            <w:noProof/>
            <w:webHidden/>
          </w:rPr>
          <w:fldChar w:fldCharType="separate"/>
        </w:r>
        <w:r w:rsidR="00491A1F">
          <w:rPr>
            <w:rStyle w:val="Hyperlink"/>
            <w:noProof/>
            <w:webHidden/>
          </w:rPr>
          <w:t>8</w:t>
        </w:r>
        <w:r w:rsidR="00C22589" w:rsidRPr="00C22589">
          <w:rPr>
            <w:rStyle w:val="Hyperlink"/>
            <w:noProof/>
            <w:webHidden/>
          </w:rPr>
          <w:fldChar w:fldCharType="end"/>
        </w:r>
      </w:hyperlink>
    </w:p>
    <w:p w:rsidR="00C22589" w:rsidRPr="00C22589" w:rsidRDefault="00BD4FA8">
      <w:pPr>
        <w:pStyle w:val="TOC1"/>
        <w:rPr>
          <w:rStyle w:val="Hyperlink"/>
          <w:noProof/>
        </w:rPr>
      </w:pPr>
      <w:hyperlink w:anchor="_Toc419372741" w:history="1">
        <w:r w:rsidR="00C22589" w:rsidRPr="009103A1">
          <w:rPr>
            <w:rStyle w:val="Hyperlink"/>
            <w:noProof/>
          </w:rPr>
          <w:t>Chiffres effectifs inscrits au budget révisé</w:t>
        </w:r>
        <w:r w:rsidR="00C22589" w:rsidRPr="00C22589">
          <w:rPr>
            <w:rStyle w:val="Hyperlink"/>
            <w:noProof/>
            <w:webHidden/>
          </w:rPr>
          <w:tab/>
        </w:r>
        <w:r w:rsidR="00C22589">
          <w:rPr>
            <w:rStyle w:val="Hyperlink"/>
            <w:noProof/>
            <w:webHidden/>
          </w:rPr>
          <w:tab/>
        </w:r>
        <w:r w:rsidR="00C22589" w:rsidRPr="00C22589">
          <w:rPr>
            <w:rStyle w:val="Hyperlink"/>
            <w:noProof/>
            <w:webHidden/>
          </w:rPr>
          <w:fldChar w:fldCharType="begin"/>
        </w:r>
        <w:r w:rsidR="00C22589" w:rsidRPr="00C22589">
          <w:rPr>
            <w:rStyle w:val="Hyperlink"/>
            <w:noProof/>
            <w:webHidden/>
          </w:rPr>
          <w:instrText xml:space="preserve"> PAGEREF _Toc419372741 \h </w:instrText>
        </w:r>
        <w:r w:rsidR="00C22589" w:rsidRPr="00C22589">
          <w:rPr>
            <w:rStyle w:val="Hyperlink"/>
            <w:noProof/>
            <w:webHidden/>
          </w:rPr>
        </w:r>
        <w:r w:rsidR="00C22589" w:rsidRPr="00C22589">
          <w:rPr>
            <w:rStyle w:val="Hyperlink"/>
            <w:noProof/>
            <w:webHidden/>
          </w:rPr>
          <w:fldChar w:fldCharType="separate"/>
        </w:r>
        <w:r w:rsidR="00491A1F">
          <w:rPr>
            <w:rStyle w:val="Hyperlink"/>
            <w:noProof/>
            <w:webHidden/>
          </w:rPr>
          <w:t>9</w:t>
        </w:r>
        <w:r w:rsidR="00C22589" w:rsidRPr="00C22589">
          <w:rPr>
            <w:rStyle w:val="Hyperlink"/>
            <w:noProof/>
            <w:webHidden/>
          </w:rPr>
          <w:fldChar w:fldCharType="end"/>
        </w:r>
      </w:hyperlink>
    </w:p>
    <w:p w:rsidR="00C22589" w:rsidRPr="00C22589" w:rsidRDefault="00BD4FA8">
      <w:pPr>
        <w:pStyle w:val="TOC1"/>
        <w:rPr>
          <w:rStyle w:val="Hyperlink"/>
          <w:noProof/>
        </w:rPr>
      </w:pPr>
      <w:hyperlink w:anchor="_Toc419372742" w:history="1">
        <w:r w:rsidR="00C22589" w:rsidRPr="00C22589">
          <w:rPr>
            <w:rStyle w:val="Hyperlink"/>
            <w:noProof/>
          </w:rPr>
          <w:t>Etablissement de factures avant la conclusion d'un accord de parrainage</w:t>
        </w:r>
        <w:r w:rsidR="00C22589" w:rsidRPr="00C22589">
          <w:rPr>
            <w:rStyle w:val="Hyperlink"/>
            <w:noProof/>
            <w:webHidden/>
          </w:rPr>
          <w:tab/>
        </w:r>
        <w:r w:rsidR="00C22589">
          <w:rPr>
            <w:rStyle w:val="Hyperlink"/>
            <w:noProof/>
            <w:webHidden/>
          </w:rPr>
          <w:tab/>
        </w:r>
        <w:r w:rsidR="00C22589" w:rsidRPr="00C22589">
          <w:rPr>
            <w:rStyle w:val="Hyperlink"/>
            <w:noProof/>
            <w:webHidden/>
          </w:rPr>
          <w:fldChar w:fldCharType="begin"/>
        </w:r>
        <w:r w:rsidR="00C22589" w:rsidRPr="00C22589">
          <w:rPr>
            <w:rStyle w:val="Hyperlink"/>
            <w:noProof/>
            <w:webHidden/>
          </w:rPr>
          <w:instrText xml:space="preserve"> PAGEREF _Toc419372742 \h </w:instrText>
        </w:r>
        <w:r w:rsidR="00C22589" w:rsidRPr="00C22589">
          <w:rPr>
            <w:rStyle w:val="Hyperlink"/>
            <w:noProof/>
            <w:webHidden/>
          </w:rPr>
        </w:r>
        <w:r w:rsidR="00C22589" w:rsidRPr="00C22589">
          <w:rPr>
            <w:rStyle w:val="Hyperlink"/>
            <w:noProof/>
            <w:webHidden/>
          </w:rPr>
          <w:fldChar w:fldCharType="separate"/>
        </w:r>
        <w:r w:rsidR="00491A1F">
          <w:rPr>
            <w:rStyle w:val="Hyperlink"/>
            <w:noProof/>
            <w:webHidden/>
          </w:rPr>
          <w:t>9</w:t>
        </w:r>
        <w:r w:rsidR="00C22589" w:rsidRPr="00C22589">
          <w:rPr>
            <w:rStyle w:val="Hyperlink"/>
            <w:noProof/>
            <w:webHidden/>
          </w:rPr>
          <w:fldChar w:fldCharType="end"/>
        </w:r>
      </w:hyperlink>
    </w:p>
    <w:p w:rsidR="00C22589" w:rsidRPr="00C22589" w:rsidRDefault="00BD4FA8" w:rsidP="00491A1F">
      <w:pPr>
        <w:pStyle w:val="TOC1"/>
        <w:ind w:left="0" w:firstLine="0"/>
        <w:rPr>
          <w:rStyle w:val="Hyperlink"/>
          <w:noProof/>
        </w:rPr>
      </w:pPr>
      <w:hyperlink w:anchor="_Toc419372743" w:history="1">
        <w:r w:rsidR="00C22589" w:rsidRPr="00C22589">
          <w:rPr>
            <w:rStyle w:val="Hyperlink"/>
            <w:noProof/>
          </w:rPr>
          <w:t>Rapport sur la manifestation établissant un lien entre les résultats, les objectifs généraux énoncés dans la Résolution 11 et les indicateurs fondamentaux de performance</w:t>
        </w:r>
        <w:r w:rsidR="00C22589" w:rsidRPr="00C22589">
          <w:rPr>
            <w:rStyle w:val="Hyperlink"/>
            <w:noProof/>
            <w:webHidden/>
          </w:rPr>
          <w:tab/>
        </w:r>
        <w:r w:rsidR="00C22589">
          <w:rPr>
            <w:rStyle w:val="Hyperlink"/>
            <w:noProof/>
            <w:webHidden/>
          </w:rPr>
          <w:tab/>
        </w:r>
        <w:r w:rsidR="00C22589" w:rsidRPr="00C22589">
          <w:rPr>
            <w:rStyle w:val="Hyperlink"/>
            <w:noProof/>
            <w:webHidden/>
          </w:rPr>
          <w:fldChar w:fldCharType="begin"/>
        </w:r>
        <w:r w:rsidR="00C22589" w:rsidRPr="00C22589">
          <w:rPr>
            <w:rStyle w:val="Hyperlink"/>
            <w:noProof/>
            <w:webHidden/>
          </w:rPr>
          <w:instrText xml:space="preserve"> PAGEREF _Toc419372743 \h </w:instrText>
        </w:r>
        <w:r w:rsidR="00C22589" w:rsidRPr="00C22589">
          <w:rPr>
            <w:rStyle w:val="Hyperlink"/>
            <w:noProof/>
            <w:webHidden/>
          </w:rPr>
        </w:r>
        <w:r w:rsidR="00C22589" w:rsidRPr="00C22589">
          <w:rPr>
            <w:rStyle w:val="Hyperlink"/>
            <w:noProof/>
            <w:webHidden/>
          </w:rPr>
          <w:fldChar w:fldCharType="separate"/>
        </w:r>
        <w:r w:rsidR="00491A1F">
          <w:rPr>
            <w:rStyle w:val="Hyperlink"/>
            <w:noProof/>
            <w:webHidden/>
          </w:rPr>
          <w:t>9</w:t>
        </w:r>
        <w:r w:rsidR="00C22589" w:rsidRPr="00C22589">
          <w:rPr>
            <w:rStyle w:val="Hyperlink"/>
            <w:noProof/>
            <w:webHidden/>
          </w:rPr>
          <w:fldChar w:fldCharType="end"/>
        </w:r>
      </w:hyperlink>
    </w:p>
    <w:p w:rsidR="00C22589" w:rsidRPr="00C22589" w:rsidRDefault="00BD4FA8">
      <w:pPr>
        <w:pStyle w:val="TOC1"/>
        <w:rPr>
          <w:rStyle w:val="Hyperlink"/>
          <w:noProof/>
        </w:rPr>
      </w:pPr>
      <w:hyperlink w:anchor="_Toc419372744" w:history="1">
        <w:r w:rsidR="00C22589" w:rsidRPr="009103A1">
          <w:rPr>
            <w:rStyle w:val="Hyperlink"/>
            <w:noProof/>
          </w:rPr>
          <w:t>La signature de l'accord de pays hôte en temps utile est nécessaire.</w:t>
        </w:r>
        <w:r w:rsidR="00C22589" w:rsidRPr="00C22589">
          <w:rPr>
            <w:rStyle w:val="Hyperlink"/>
            <w:noProof/>
            <w:webHidden/>
          </w:rPr>
          <w:tab/>
        </w:r>
        <w:r w:rsidR="00C22589">
          <w:rPr>
            <w:rStyle w:val="Hyperlink"/>
            <w:noProof/>
            <w:webHidden/>
          </w:rPr>
          <w:tab/>
        </w:r>
        <w:r w:rsidR="00C22589" w:rsidRPr="00C22589">
          <w:rPr>
            <w:rStyle w:val="Hyperlink"/>
            <w:noProof/>
            <w:webHidden/>
          </w:rPr>
          <w:fldChar w:fldCharType="begin"/>
        </w:r>
        <w:r w:rsidR="00C22589" w:rsidRPr="00C22589">
          <w:rPr>
            <w:rStyle w:val="Hyperlink"/>
            <w:noProof/>
            <w:webHidden/>
          </w:rPr>
          <w:instrText xml:space="preserve"> PAGEREF _Toc419372744 \h </w:instrText>
        </w:r>
        <w:r w:rsidR="00C22589" w:rsidRPr="00C22589">
          <w:rPr>
            <w:rStyle w:val="Hyperlink"/>
            <w:noProof/>
            <w:webHidden/>
          </w:rPr>
        </w:r>
        <w:r w:rsidR="00C22589" w:rsidRPr="00C22589">
          <w:rPr>
            <w:rStyle w:val="Hyperlink"/>
            <w:noProof/>
            <w:webHidden/>
          </w:rPr>
          <w:fldChar w:fldCharType="separate"/>
        </w:r>
        <w:r w:rsidR="00491A1F">
          <w:rPr>
            <w:rStyle w:val="Hyperlink"/>
            <w:noProof/>
            <w:webHidden/>
          </w:rPr>
          <w:t>10</w:t>
        </w:r>
        <w:r w:rsidR="00C22589" w:rsidRPr="00C22589">
          <w:rPr>
            <w:rStyle w:val="Hyperlink"/>
            <w:noProof/>
            <w:webHidden/>
          </w:rPr>
          <w:fldChar w:fldCharType="end"/>
        </w:r>
      </w:hyperlink>
    </w:p>
    <w:p w:rsidR="00C22589" w:rsidRPr="00C22589" w:rsidRDefault="00BD4FA8">
      <w:pPr>
        <w:pStyle w:val="TOC1"/>
        <w:rPr>
          <w:rStyle w:val="Hyperlink"/>
          <w:noProof/>
        </w:rPr>
      </w:pPr>
      <w:hyperlink w:anchor="_Toc419372745" w:history="1">
        <w:r w:rsidR="00C22589" w:rsidRPr="009103A1">
          <w:rPr>
            <w:rStyle w:val="Hyperlink"/>
            <w:noProof/>
          </w:rPr>
          <w:t>Procédure d'appel d'offres</w:t>
        </w:r>
        <w:r w:rsidR="00C22589" w:rsidRPr="00C22589">
          <w:rPr>
            <w:rStyle w:val="Hyperlink"/>
            <w:noProof/>
            <w:webHidden/>
          </w:rPr>
          <w:tab/>
        </w:r>
        <w:r w:rsidR="00C22589">
          <w:rPr>
            <w:rStyle w:val="Hyperlink"/>
            <w:noProof/>
            <w:webHidden/>
          </w:rPr>
          <w:tab/>
        </w:r>
        <w:r w:rsidR="00C22589" w:rsidRPr="00C22589">
          <w:rPr>
            <w:rStyle w:val="Hyperlink"/>
            <w:noProof/>
            <w:webHidden/>
          </w:rPr>
          <w:fldChar w:fldCharType="begin"/>
        </w:r>
        <w:r w:rsidR="00C22589" w:rsidRPr="00C22589">
          <w:rPr>
            <w:rStyle w:val="Hyperlink"/>
            <w:noProof/>
            <w:webHidden/>
          </w:rPr>
          <w:instrText xml:space="preserve"> PAGEREF _Toc419372745 \h </w:instrText>
        </w:r>
        <w:r w:rsidR="00C22589" w:rsidRPr="00C22589">
          <w:rPr>
            <w:rStyle w:val="Hyperlink"/>
            <w:noProof/>
            <w:webHidden/>
          </w:rPr>
        </w:r>
        <w:r w:rsidR="00C22589" w:rsidRPr="00C22589">
          <w:rPr>
            <w:rStyle w:val="Hyperlink"/>
            <w:noProof/>
            <w:webHidden/>
          </w:rPr>
          <w:fldChar w:fldCharType="separate"/>
        </w:r>
        <w:r w:rsidR="00491A1F">
          <w:rPr>
            <w:rStyle w:val="Hyperlink"/>
            <w:noProof/>
            <w:webHidden/>
          </w:rPr>
          <w:t>10</w:t>
        </w:r>
        <w:r w:rsidR="00C22589" w:rsidRPr="00C22589">
          <w:rPr>
            <w:rStyle w:val="Hyperlink"/>
            <w:noProof/>
            <w:webHidden/>
          </w:rPr>
          <w:fldChar w:fldCharType="end"/>
        </w:r>
      </w:hyperlink>
    </w:p>
    <w:p w:rsidR="00C22589" w:rsidRPr="00C22589" w:rsidRDefault="00BD4FA8">
      <w:pPr>
        <w:pStyle w:val="TOC1"/>
        <w:rPr>
          <w:rStyle w:val="Hyperlink"/>
          <w:noProof/>
        </w:rPr>
      </w:pPr>
      <w:hyperlink w:anchor="_Toc419372746" w:history="1">
        <w:r w:rsidR="00C22589" w:rsidRPr="00C22589">
          <w:rPr>
            <w:rStyle w:val="Hyperlink"/>
            <w:noProof/>
          </w:rPr>
          <w:t>Parties à l'accord de pays hôte</w:t>
        </w:r>
        <w:r w:rsidR="00C22589" w:rsidRPr="00C22589">
          <w:rPr>
            <w:rStyle w:val="Hyperlink"/>
            <w:noProof/>
            <w:webHidden/>
          </w:rPr>
          <w:tab/>
        </w:r>
        <w:r w:rsidR="00C22589">
          <w:rPr>
            <w:rStyle w:val="Hyperlink"/>
            <w:noProof/>
            <w:webHidden/>
          </w:rPr>
          <w:tab/>
        </w:r>
        <w:r w:rsidR="00C22589" w:rsidRPr="00C22589">
          <w:rPr>
            <w:rStyle w:val="Hyperlink"/>
            <w:noProof/>
            <w:webHidden/>
          </w:rPr>
          <w:fldChar w:fldCharType="begin"/>
        </w:r>
        <w:r w:rsidR="00C22589" w:rsidRPr="00C22589">
          <w:rPr>
            <w:rStyle w:val="Hyperlink"/>
            <w:noProof/>
            <w:webHidden/>
          </w:rPr>
          <w:instrText xml:space="preserve"> PAGEREF _Toc419372746 \h </w:instrText>
        </w:r>
        <w:r w:rsidR="00C22589" w:rsidRPr="00C22589">
          <w:rPr>
            <w:rStyle w:val="Hyperlink"/>
            <w:noProof/>
            <w:webHidden/>
          </w:rPr>
        </w:r>
        <w:r w:rsidR="00C22589" w:rsidRPr="00C22589">
          <w:rPr>
            <w:rStyle w:val="Hyperlink"/>
            <w:noProof/>
            <w:webHidden/>
          </w:rPr>
          <w:fldChar w:fldCharType="separate"/>
        </w:r>
        <w:r w:rsidR="00491A1F">
          <w:rPr>
            <w:rStyle w:val="Hyperlink"/>
            <w:noProof/>
            <w:webHidden/>
          </w:rPr>
          <w:t>11</w:t>
        </w:r>
        <w:r w:rsidR="00C22589" w:rsidRPr="00C22589">
          <w:rPr>
            <w:rStyle w:val="Hyperlink"/>
            <w:noProof/>
            <w:webHidden/>
          </w:rPr>
          <w:fldChar w:fldCharType="end"/>
        </w:r>
      </w:hyperlink>
    </w:p>
    <w:p w:rsidR="00C22589" w:rsidRPr="00C22589" w:rsidRDefault="00BD4FA8">
      <w:pPr>
        <w:pStyle w:val="TOC1"/>
        <w:rPr>
          <w:rStyle w:val="Hyperlink"/>
          <w:noProof/>
        </w:rPr>
      </w:pPr>
      <w:hyperlink w:anchor="_Toc419372747" w:history="1">
        <w:r w:rsidR="00C22589" w:rsidRPr="009103A1">
          <w:rPr>
            <w:rStyle w:val="Hyperlink"/>
            <w:noProof/>
          </w:rPr>
          <w:t>PRODUITS</w:t>
        </w:r>
        <w:r w:rsidR="00C22589" w:rsidRPr="00C22589">
          <w:rPr>
            <w:rStyle w:val="Hyperlink"/>
            <w:noProof/>
            <w:webHidden/>
          </w:rPr>
          <w:tab/>
        </w:r>
        <w:r w:rsidR="00C22589">
          <w:rPr>
            <w:rStyle w:val="Hyperlink"/>
            <w:noProof/>
            <w:webHidden/>
          </w:rPr>
          <w:tab/>
        </w:r>
        <w:r w:rsidR="00C22589" w:rsidRPr="00C22589">
          <w:rPr>
            <w:rStyle w:val="Hyperlink"/>
            <w:noProof/>
            <w:webHidden/>
          </w:rPr>
          <w:fldChar w:fldCharType="begin"/>
        </w:r>
        <w:r w:rsidR="00C22589" w:rsidRPr="00C22589">
          <w:rPr>
            <w:rStyle w:val="Hyperlink"/>
            <w:noProof/>
            <w:webHidden/>
          </w:rPr>
          <w:instrText xml:space="preserve"> PAGEREF _Toc419372747 \h </w:instrText>
        </w:r>
        <w:r w:rsidR="00C22589" w:rsidRPr="00C22589">
          <w:rPr>
            <w:rStyle w:val="Hyperlink"/>
            <w:noProof/>
            <w:webHidden/>
          </w:rPr>
        </w:r>
        <w:r w:rsidR="00C22589" w:rsidRPr="00C22589">
          <w:rPr>
            <w:rStyle w:val="Hyperlink"/>
            <w:noProof/>
            <w:webHidden/>
          </w:rPr>
          <w:fldChar w:fldCharType="separate"/>
        </w:r>
        <w:r w:rsidR="00491A1F">
          <w:rPr>
            <w:rStyle w:val="Hyperlink"/>
            <w:noProof/>
            <w:webHidden/>
          </w:rPr>
          <w:t>12</w:t>
        </w:r>
        <w:r w:rsidR="00C22589" w:rsidRPr="00C22589">
          <w:rPr>
            <w:rStyle w:val="Hyperlink"/>
            <w:noProof/>
            <w:webHidden/>
          </w:rPr>
          <w:fldChar w:fldCharType="end"/>
        </w:r>
      </w:hyperlink>
    </w:p>
    <w:p w:rsidR="00C22589" w:rsidRPr="00C22589" w:rsidRDefault="00BD4FA8">
      <w:pPr>
        <w:pStyle w:val="TOC1"/>
        <w:rPr>
          <w:rStyle w:val="Hyperlink"/>
          <w:noProof/>
        </w:rPr>
      </w:pPr>
      <w:hyperlink w:anchor="_Toc419372748" w:history="1">
        <w:r w:rsidR="00C22589" w:rsidRPr="00C22589">
          <w:rPr>
            <w:rStyle w:val="Hyperlink"/>
            <w:noProof/>
          </w:rPr>
          <w:t>Valeur des transactions échangées</w:t>
        </w:r>
        <w:r w:rsidR="00C22589" w:rsidRPr="00C22589">
          <w:rPr>
            <w:rStyle w:val="Hyperlink"/>
            <w:noProof/>
            <w:webHidden/>
          </w:rPr>
          <w:tab/>
        </w:r>
        <w:r w:rsidR="00C22589">
          <w:rPr>
            <w:rStyle w:val="Hyperlink"/>
            <w:noProof/>
            <w:webHidden/>
          </w:rPr>
          <w:tab/>
        </w:r>
        <w:r w:rsidR="00C22589" w:rsidRPr="00C22589">
          <w:rPr>
            <w:rStyle w:val="Hyperlink"/>
            <w:noProof/>
            <w:webHidden/>
          </w:rPr>
          <w:fldChar w:fldCharType="begin"/>
        </w:r>
        <w:r w:rsidR="00C22589" w:rsidRPr="00C22589">
          <w:rPr>
            <w:rStyle w:val="Hyperlink"/>
            <w:noProof/>
            <w:webHidden/>
          </w:rPr>
          <w:instrText xml:space="preserve"> PAGEREF _Toc419372748 \h </w:instrText>
        </w:r>
        <w:r w:rsidR="00C22589" w:rsidRPr="00C22589">
          <w:rPr>
            <w:rStyle w:val="Hyperlink"/>
            <w:noProof/>
            <w:webHidden/>
          </w:rPr>
        </w:r>
        <w:r w:rsidR="00C22589" w:rsidRPr="00C22589">
          <w:rPr>
            <w:rStyle w:val="Hyperlink"/>
            <w:noProof/>
            <w:webHidden/>
          </w:rPr>
          <w:fldChar w:fldCharType="separate"/>
        </w:r>
        <w:r w:rsidR="00491A1F">
          <w:rPr>
            <w:rStyle w:val="Hyperlink"/>
            <w:noProof/>
            <w:webHidden/>
          </w:rPr>
          <w:t>12</w:t>
        </w:r>
        <w:r w:rsidR="00C22589" w:rsidRPr="00C22589">
          <w:rPr>
            <w:rStyle w:val="Hyperlink"/>
            <w:noProof/>
            <w:webHidden/>
          </w:rPr>
          <w:fldChar w:fldCharType="end"/>
        </w:r>
      </w:hyperlink>
    </w:p>
    <w:p w:rsidR="00C22589" w:rsidRPr="00C22589" w:rsidRDefault="00BD4FA8">
      <w:pPr>
        <w:pStyle w:val="TOC1"/>
        <w:rPr>
          <w:rStyle w:val="Hyperlink"/>
          <w:noProof/>
        </w:rPr>
      </w:pPr>
      <w:hyperlink w:anchor="_Toc419372749" w:history="1">
        <w:r w:rsidR="00C22589" w:rsidRPr="00C22589">
          <w:rPr>
            <w:rStyle w:val="Hyperlink"/>
            <w:noProof/>
          </w:rPr>
          <w:t>Billets d'entrée</w:t>
        </w:r>
        <w:r w:rsidR="00C22589" w:rsidRPr="00C22589">
          <w:rPr>
            <w:rStyle w:val="Hyperlink"/>
            <w:noProof/>
            <w:webHidden/>
          </w:rPr>
          <w:tab/>
        </w:r>
        <w:r w:rsidR="00C22589">
          <w:rPr>
            <w:rStyle w:val="Hyperlink"/>
            <w:noProof/>
            <w:webHidden/>
          </w:rPr>
          <w:tab/>
        </w:r>
        <w:r w:rsidR="00C22589" w:rsidRPr="00C22589">
          <w:rPr>
            <w:rStyle w:val="Hyperlink"/>
            <w:noProof/>
            <w:webHidden/>
          </w:rPr>
          <w:fldChar w:fldCharType="begin"/>
        </w:r>
        <w:r w:rsidR="00C22589" w:rsidRPr="00C22589">
          <w:rPr>
            <w:rStyle w:val="Hyperlink"/>
            <w:noProof/>
            <w:webHidden/>
          </w:rPr>
          <w:instrText xml:space="preserve"> PAGEREF _Toc419372749 \h </w:instrText>
        </w:r>
        <w:r w:rsidR="00C22589" w:rsidRPr="00C22589">
          <w:rPr>
            <w:rStyle w:val="Hyperlink"/>
            <w:noProof/>
            <w:webHidden/>
          </w:rPr>
        </w:r>
        <w:r w:rsidR="00C22589" w:rsidRPr="00C22589">
          <w:rPr>
            <w:rStyle w:val="Hyperlink"/>
            <w:noProof/>
            <w:webHidden/>
          </w:rPr>
          <w:fldChar w:fldCharType="separate"/>
        </w:r>
        <w:r w:rsidR="00491A1F">
          <w:rPr>
            <w:rStyle w:val="Hyperlink"/>
            <w:noProof/>
            <w:webHidden/>
          </w:rPr>
          <w:t>12</w:t>
        </w:r>
        <w:r w:rsidR="00C22589" w:rsidRPr="00C22589">
          <w:rPr>
            <w:rStyle w:val="Hyperlink"/>
            <w:noProof/>
            <w:webHidden/>
          </w:rPr>
          <w:fldChar w:fldCharType="end"/>
        </w:r>
      </w:hyperlink>
    </w:p>
    <w:p w:rsidR="00C22589" w:rsidRPr="00C22589" w:rsidRDefault="00BD4FA8">
      <w:pPr>
        <w:pStyle w:val="TOC1"/>
        <w:rPr>
          <w:rStyle w:val="Hyperlink"/>
          <w:noProof/>
        </w:rPr>
      </w:pPr>
      <w:hyperlink w:anchor="_Toc419372750" w:history="1">
        <w:r w:rsidR="00C22589" w:rsidRPr="00C22589">
          <w:rPr>
            <w:rStyle w:val="Hyperlink"/>
            <w:noProof/>
          </w:rPr>
          <w:t>Exposition</w:t>
        </w:r>
        <w:r w:rsidR="00C22589" w:rsidRPr="00C22589">
          <w:rPr>
            <w:rStyle w:val="Hyperlink"/>
            <w:noProof/>
            <w:webHidden/>
          </w:rPr>
          <w:tab/>
        </w:r>
        <w:r w:rsidR="00C22589">
          <w:rPr>
            <w:rStyle w:val="Hyperlink"/>
            <w:noProof/>
            <w:webHidden/>
          </w:rPr>
          <w:tab/>
        </w:r>
        <w:r w:rsidR="00C22589" w:rsidRPr="00C22589">
          <w:rPr>
            <w:rStyle w:val="Hyperlink"/>
            <w:noProof/>
            <w:webHidden/>
          </w:rPr>
          <w:fldChar w:fldCharType="begin"/>
        </w:r>
        <w:r w:rsidR="00C22589" w:rsidRPr="00C22589">
          <w:rPr>
            <w:rStyle w:val="Hyperlink"/>
            <w:noProof/>
            <w:webHidden/>
          </w:rPr>
          <w:instrText xml:space="preserve"> PAGEREF _Toc419372750 \h </w:instrText>
        </w:r>
        <w:r w:rsidR="00C22589" w:rsidRPr="00C22589">
          <w:rPr>
            <w:rStyle w:val="Hyperlink"/>
            <w:noProof/>
            <w:webHidden/>
          </w:rPr>
        </w:r>
        <w:r w:rsidR="00C22589" w:rsidRPr="00C22589">
          <w:rPr>
            <w:rStyle w:val="Hyperlink"/>
            <w:noProof/>
            <w:webHidden/>
          </w:rPr>
          <w:fldChar w:fldCharType="separate"/>
        </w:r>
        <w:r w:rsidR="00491A1F">
          <w:rPr>
            <w:rStyle w:val="Hyperlink"/>
            <w:noProof/>
            <w:webHidden/>
          </w:rPr>
          <w:t>13</w:t>
        </w:r>
        <w:r w:rsidR="00C22589" w:rsidRPr="00C22589">
          <w:rPr>
            <w:rStyle w:val="Hyperlink"/>
            <w:noProof/>
            <w:webHidden/>
          </w:rPr>
          <w:fldChar w:fldCharType="end"/>
        </w:r>
      </w:hyperlink>
    </w:p>
    <w:p w:rsidR="00C22589" w:rsidRPr="00C22589" w:rsidRDefault="00BD4FA8">
      <w:pPr>
        <w:pStyle w:val="TOC1"/>
        <w:rPr>
          <w:rStyle w:val="Hyperlink"/>
          <w:noProof/>
        </w:rPr>
      </w:pPr>
      <w:hyperlink w:anchor="_Toc419372751" w:history="1">
        <w:r w:rsidR="00C22589" w:rsidRPr="009103A1">
          <w:rPr>
            <w:rStyle w:val="Hyperlink"/>
            <w:noProof/>
          </w:rPr>
          <w:t>CHARGES</w:t>
        </w:r>
        <w:r w:rsidR="00C22589" w:rsidRPr="00C22589">
          <w:rPr>
            <w:rStyle w:val="Hyperlink"/>
            <w:noProof/>
            <w:webHidden/>
          </w:rPr>
          <w:tab/>
        </w:r>
        <w:r w:rsidR="00C22589">
          <w:rPr>
            <w:rStyle w:val="Hyperlink"/>
            <w:noProof/>
            <w:webHidden/>
          </w:rPr>
          <w:tab/>
        </w:r>
        <w:r w:rsidR="00C22589">
          <w:rPr>
            <w:rStyle w:val="Hyperlink"/>
            <w:noProof/>
            <w:webHidden/>
          </w:rPr>
          <w:tab/>
        </w:r>
        <w:r w:rsidR="00C22589" w:rsidRPr="00C22589">
          <w:rPr>
            <w:rStyle w:val="Hyperlink"/>
            <w:noProof/>
            <w:webHidden/>
          </w:rPr>
          <w:fldChar w:fldCharType="begin"/>
        </w:r>
        <w:r w:rsidR="00C22589" w:rsidRPr="00C22589">
          <w:rPr>
            <w:rStyle w:val="Hyperlink"/>
            <w:noProof/>
            <w:webHidden/>
          </w:rPr>
          <w:instrText xml:space="preserve"> PAGEREF _Toc419372751 \h </w:instrText>
        </w:r>
        <w:r w:rsidR="00C22589" w:rsidRPr="00C22589">
          <w:rPr>
            <w:rStyle w:val="Hyperlink"/>
            <w:noProof/>
            <w:webHidden/>
          </w:rPr>
        </w:r>
        <w:r w:rsidR="00C22589" w:rsidRPr="00C22589">
          <w:rPr>
            <w:rStyle w:val="Hyperlink"/>
            <w:noProof/>
            <w:webHidden/>
          </w:rPr>
          <w:fldChar w:fldCharType="separate"/>
        </w:r>
        <w:r w:rsidR="00491A1F">
          <w:rPr>
            <w:rStyle w:val="Hyperlink"/>
            <w:noProof/>
            <w:webHidden/>
          </w:rPr>
          <w:t>14</w:t>
        </w:r>
        <w:r w:rsidR="00C22589" w:rsidRPr="00C22589">
          <w:rPr>
            <w:rStyle w:val="Hyperlink"/>
            <w:noProof/>
            <w:webHidden/>
          </w:rPr>
          <w:fldChar w:fldCharType="end"/>
        </w:r>
      </w:hyperlink>
    </w:p>
    <w:p w:rsidR="00C22589" w:rsidRPr="00C22589" w:rsidRDefault="00BD4FA8">
      <w:pPr>
        <w:pStyle w:val="TOC1"/>
        <w:rPr>
          <w:rStyle w:val="Hyperlink"/>
          <w:noProof/>
        </w:rPr>
      </w:pPr>
      <w:hyperlink w:anchor="_Toc419372752" w:history="1">
        <w:r w:rsidR="00C22589" w:rsidRPr="00C22589">
          <w:rPr>
            <w:rStyle w:val="Hyperlink"/>
            <w:noProof/>
          </w:rPr>
          <w:t>Recouvrement des coûts</w:t>
        </w:r>
        <w:r w:rsidR="00C22589" w:rsidRPr="00C22589">
          <w:rPr>
            <w:rStyle w:val="Hyperlink"/>
            <w:noProof/>
            <w:webHidden/>
          </w:rPr>
          <w:tab/>
        </w:r>
        <w:r w:rsidR="00C22589">
          <w:rPr>
            <w:rStyle w:val="Hyperlink"/>
            <w:noProof/>
            <w:webHidden/>
          </w:rPr>
          <w:tab/>
        </w:r>
        <w:r w:rsidR="00C22589" w:rsidRPr="00C22589">
          <w:rPr>
            <w:rStyle w:val="Hyperlink"/>
            <w:noProof/>
            <w:webHidden/>
          </w:rPr>
          <w:fldChar w:fldCharType="begin"/>
        </w:r>
        <w:r w:rsidR="00C22589" w:rsidRPr="00C22589">
          <w:rPr>
            <w:rStyle w:val="Hyperlink"/>
            <w:noProof/>
            <w:webHidden/>
          </w:rPr>
          <w:instrText xml:space="preserve"> PAGEREF _Toc419372752 \h </w:instrText>
        </w:r>
        <w:r w:rsidR="00C22589" w:rsidRPr="00C22589">
          <w:rPr>
            <w:rStyle w:val="Hyperlink"/>
            <w:noProof/>
            <w:webHidden/>
          </w:rPr>
        </w:r>
        <w:r w:rsidR="00C22589" w:rsidRPr="00C22589">
          <w:rPr>
            <w:rStyle w:val="Hyperlink"/>
            <w:noProof/>
            <w:webHidden/>
          </w:rPr>
          <w:fldChar w:fldCharType="separate"/>
        </w:r>
        <w:r w:rsidR="00491A1F">
          <w:rPr>
            <w:rStyle w:val="Hyperlink"/>
            <w:noProof/>
            <w:webHidden/>
          </w:rPr>
          <w:t>14</w:t>
        </w:r>
        <w:r w:rsidR="00C22589" w:rsidRPr="00C22589">
          <w:rPr>
            <w:rStyle w:val="Hyperlink"/>
            <w:noProof/>
            <w:webHidden/>
          </w:rPr>
          <w:fldChar w:fldCharType="end"/>
        </w:r>
      </w:hyperlink>
    </w:p>
    <w:p w:rsidR="00C22589" w:rsidRDefault="00BD4FA8">
      <w:pPr>
        <w:pStyle w:val="TOC1"/>
        <w:rPr>
          <w:rFonts w:asciiTheme="minorHAnsi" w:eastAsiaTheme="minorEastAsia" w:hAnsiTheme="minorHAnsi" w:cstheme="minorBidi"/>
          <w:noProof/>
          <w:sz w:val="22"/>
          <w:szCs w:val="22"/>
          <w:lang w:val="en-US" w:eastAsia="zh-CN"/>
        </w:rPr>
      </w:pPr>
      <w:hyperlink w:anchor="_Toc419372753" w:history="1">
        <w:r w:rsidR="00C22589" w:rsidRPr="009103A1">
          <w:rPr>
            <w:rStyle w:val="Hyperlink"/>
            <w:noProof/>
          </w:rPr>
          <w:t>Dépenses de personnel</w:t>
        </w:r>
        <w:r w:rsidR="00C22589" w:rsidRPr="00C22589">
          <w:rPr>
            <w:rStyle w:val="Hyperlink"/>
            <w:noProof/>
            <w:webHidden/>
          </w:rPr>
          <w:tab/>
        </w:r>
        <w:r w:rsidR="00C22589">
          <w:rPr>
            <w:rStyle w:val="Hyperlink"/>
            <w:noProof/>
            <w:webHidden/>
          </w:rPr>
          <w:tab/>
        </w:r>
        <w:r w:rsidR="00C22589" w:rsidRPr="00C22589">
          <w:rPr>
            <w:rStyle w:val="Hyperlink"/>
            <w:noProof/>
            <w:webHidden/>
          </w:rPr>
          <w:fldChar w:fldCharType="begin"/>
        </w:r>
        <w:r w:rsidR="00C22589" w:rsidRPr="00C22589">
          <w:rPr>
            <w:rStyle w:val="Hyperlink"/>
            <w:noProof/>
            <w:webHidden/>
          </w:rPr>
          <w:instrText xml:space="preserve"> PAGEREF _Toc419372753 \h </w:instrText>
        </w:r>
        <w:r w:rsidR="00C22589" w:rsidRPr="00C22589">
          <w:rPr>
            <w:rStyle w:val="Hyperlink"/>
            <w:noProof/>
            <w:webHidden/>
          </w:rPr>
        </w:r>
        <w:r w:rsidR="00C22589" w:rsidRPr="00C22589">
          <w:rPr>
            <w:rStyle w:val="Hyperlink"/>
            <w:noProof/>
            <w:webHidden/>
          </w:rPr>
          <w:fldChar w:fldCharType="separate"/>
        </w:r>
        <w:r w:rsidR="00491A1F">
          <w:rPr>
            <w:rStyle w:val="Hyperlink"/>
            <w:noProof/>
            <w:webHidden/>
          </w:rPr>
          <w:t>14</w:t>
        </w:r>
        <w:r w:rsidR="00C22589" w:rsidRPr="00C22589">
          <w:rPr>
            <w:rStyle w:val="Hyperlink"/>
            <w:noProof/>
            <w:webHidden/>
          </w:rPr>
          <w:fldChar w:fldCharType="end"/>
        </w:r>
      </w:hyperlink>
    </w:p>
    <w:p w:rsidR="00C22589" w:rsidRDefault="00BD4FA8">
      <w:pPr>
        <w:pStyle w:val="TOC1"/>
        <w:rPr>
          <w:rFonts w:asciiTheme="minorHAnsi" w:eastAsiaTheme="minorEastAsia" w:hAnsiTheme="minorHAnsi" w:cstheme="minorBidi"/>
          <w:noProof/>
          <w:sz w:val="22"/>
          <w:szCs w:val="22"/>
          <w:lang w:val="en-US" w:eastAsia="zh-CN"/>
        </w:rPr>
      </w:pPr>
      <w:hyperlink w:anchor="_Toc419372754" w:history="1">
        <w:r w:rsidR="00C22589" w:rsidRPr="009103A1">
          <w:rPr>
            <w:rStyle w:val="Hyperlink"/>
            <w:noProof/>
          </w:rPr>
          <w:t>Concordance entre le budget et les résultats</w:t>
        </w:r>
        <w:r w:rsidR="00C22589">
          <w:rPr>
            <w:noProof/>
            <w:webHidden/>
          </w:rPr>
          <w:tab/>
        </w:r>
        <w:r w:rsidR="00C22589">
          <w:rPr>
            <w:noProof/>
            <w:webHidden/>
          </w:rPr>
          <w:tab/>
        </w:r>
        <w:r w:rsidR="00C22589">
          <w:rPr>
            <w:noProof/>
            <w:webHidden/>
          </w:rPr>
          <w:fldChar w:fldCharType="begin"/>
        </w:r>
        <w:r w:rsidR="00C22589">
          <w:rPr>
            <w:noProof/>
            <w:webHidden/>
          </w:rPr>
          <w:instrText xml:space="preserve"> PAGEREF _Toc419372754 \h </w:instrText>
        </w:r>
        <w:r w:rsidR="00C22589">
          <w:rPr>
            <w:noProof/>
            <w:webHidden/>
          </w:rPr>
        </w:r>
        <w:r w:rsidR="00C22589">
          <w:rPr>
            <w:noProof/>
            <w:webHidden/>
          </w:rPr>
          <w:fldChar w:fldCharType="separate"/>
        </w:r>
        <w:r w:rsidR="00491A1F">
          <w:rPr>
            <w:noProof/>
            <w:webHidden/>
          </w:rPr>
          <w:t>14</w:t>
        </w:r>
        <w:r w:rsidR="00C22589">
          <w:rPr>
            <w:noProof/>
            <w:webHidden/>
          </w:rPr>
          <w:fldChar w:fldCharType="end"/>
        </w:r>
      </w:hyperlink>
    </w:p>
    <w:p w:rsidR="00C22589" w:rsidRDefault="00BD4FA8">
      <w:pPr>
        <w:pStyle w:val="TOC1"/>
        <w:rPr>
          <w:rFonts w:asciiTheme="minorHAnsi" w:eastAsiaTheme="minorEastAsia" w:hAnsiTheme="minorHAnsi" w:cstheme="minorBidi"/>
          <w:noProof/>
          <w:sz w:val="22"/>
          <w:szCs w:val="22"/>
          <w:lang w:val="en-US" w:eastAsia="zh-CN"/>
        </w:rPr>
      </w:pPr>
      <w:hyperlink w:anchor="_Toc419372755" w:history="1">
        <w:r w:rsidR="00C22589" w:rsidRPr="009103A1">
          <w:rPr>
            <w:rStyle w:val="Hyperlink"/>
            <w:noProof/>
          </w:rPr>
          <w:t>Service d'inscription</w:t>
        </w:r>
        <w:r w:rsidR="00C22589">
          <w:rPr>
            <w:noProof/>
            <w:webHidden/>
          </w:rPr>
          <w:tab/>
        </w:r>
        <w:r w:rsidR="00C22589">
          <w:rPr>
            <w:noProof/>
            <w:webHidden/>
          </w:rPr>
          <w:tab/>
        </w:r>
        <w:r w:rsidR="00C22589">
          <w:rPr>
            <w:noProof/>
            <w:webHidden/>
          </w:rPr>
          <w:fldChar w:fldCharType="begin"/>
        </w:r>
        <w:r w:rsidR="00C22589">
          <w:rPr>
            <w:noProof/>
            <w:webHidden/>
          </w:rPr>
          <w:instrText xml:space="preserve"> PAGEREF _Toc419372755 \h </w:instrText>
        </w:r>
        <w:r w:rsidR="00C22589">
          <w:rPr>
            <w:noProof/>
            <w:webHidden/>
          </w:rPr>
        </w:r>
        <w:r w:rsidR="00C22589">
          <w:rPr>
            <w:noProof/>
            <w:webHidden/>
          </w:rPr>
          <w:fldChar w:fldCharType="separate"/>
        </w:r>
        <w:r w:rsidR="00491A1F">
          <w:rPr>
            <w:noProof/>
            <w:webHidden/>
          </w:rPr>
          <w:t>15</w:t>
        </w:r>
        <w:r w:rsidR="00C22589">
          <w:rPr>
            <w:noProof/>
            <w:webHidden/>
          </w:rPr>
          <w:fldChar w:fldCharType="end"/>
        </w:r>
      </w:hyperlink>
    </w:p>
    <w:p w:rsidR="00C22589" w:rsidRPr="00C22589" w:rsidRDefault="00BD4FA8">
      <w:pPr>
        <w:pStyle w:val="TOC1"/>
        <w:rPr>
          <w:rStyle w:val="Hyperlink"/>
          <w:noProof/>
        </w:rPr>
      </w:pPr>
      <w:hyperlink w:anchor="_Toc419372756" w:history="1">
        <w:r w:rsidR="00C22589" w:rsidRPr="00C22589">
          <w:rPr>
            <w:rStyle w:val="Hyperlink"/>
            <w:noProof/>
          </w:rPr>
          <w:t>Politiques concernant les charges stratégiques</w:t>
        </w:r>
        <w:r w:rsidR="00C22589" w:rsidRPr="00C22589">
          <w:rPr>
            <w:rStyle w:val="Hyperlink"/>
            <w:noProof/>
            <w:webHidden/>
          </w:rPr>
          <w:tab/>
        </w:r>
        <w:r w:rsidR="00C22589">
          <w:rPr>
            <w:rStyle w:val="Hyperlink"/>
            <w:noProof/>
            <w:webHidden/>
          </w:rPr>
          <w:tab/>
        </w:r>
        <w:r w:rsidR="00C22589" w:rsidRPr="00C22589">
          <w:rPr>
            <w:rStyle w:val="Hyperlink"/>
            <w:noProof/>
            <w:webHidden/>
          </w:rPr>
          <w:fldChar w:fldCharType="begin"/>
        </w:r>
        <w:r w:rsidR="00C22589" w:rsidRPr="00C22589">
          <w:rPr>
            <w:rStyle w:val="Hyperlink"/>
            <w:noProof/>
            <w:webHidden/>
          </w:rPr>
          <w:instrText xml:space="preserve"> PAGEREF _Toc419372756 \h </w:instrText>
        </w:r>
        <w:r w:rsidR="00C22589" w:rsidRPr="00C22589">
          <w:rPr>
            <w:rStyle w:val="Hyperlink"/>
            <w:noProof/>
            <w:webHidden/>
          </w:rPr>
        </w:r>
        <w:r w:rsidR="00C22589" w:rsidRPr="00C22589">
          <w:rPr>
            <w:rStyle w:val="Hyperlink"/>
            <w:noProof/>
            <w:webHidden/>
          </w:rPr>
          <w:fldChar w:fldCharType="separate"/>
        </w:r>
        <w:r w:rsidR="00491A1F">
          <w:rPr>
            <w:rStyle w:val="Hyperlink"/>
            <w:noProof/>
            <w:webHidden/>
          </w:rPr>
          <w:t>15</w:t>
        </w:r>
        <w:r w:rsidR="00C22589" w:rsidRPr="00C22589">
          <w:rPr>
            <w:rStyle w:val="Hyperlink"/>
            <w:noProof/>
            <w:webHidden/>
          </w:rPr>
          <w:fldChar w:fldCharType="end"/>
        </w:r>
      </w:hyperlink>
    </w:p>
    <w:p w:rsidR="00491A1F" w:rsidRPr="00A62EF7" w:rsidRDefault="00491A1F" w:rsidP="00491A1F">
      <w:pPr>
        <w:pStyle w:val="toc0"/>
      </w:pPr>
      <w:r w:rsidRPr="00A62EF7">
        <w:tab/>
        <w:t>Page</w:t>
      </w:r>
    </w:p>
    <w:p w:rsidR="00C22589" w:rsidRPr="00C22589" w:rsidRDefault="00BD4FA8">
      <w:pPr>
        <w:pStyle w:val="TOC1"/>
        <w:rPr>
          <w:rStyle w:val="Hyperlink"/>
          <w:noProof/>
        </w:rPr>
      </w:pPr>
      <w:hyperlink w:anchor="_Toc419372757" w:history="1">
        <w:r w:rsidR="00C22589" w:rsidRPr="009103A1">
          <w:rPr>
            <w:rStyle w:val="Hyperlink"/>
            <w:noProof/>
          </w:rPr>
          <w:t>Indicateurs IFP et enquête post-manifestation</w:t>
        </w:r>
        <w:r w:rsidR="00C22589" w:rsidRPr="00C22589">
          <w:rPr>
            <w:rStyle w:val="Hyperlink"/>
            <w:noProof/>
            <w:webHidden/>
          </w:rPr>
          <w:tab/>
        </w:r>
        <w:r w:rsidR="00C22589">
          <w:rPr>
            <w:rStyle w:val="Hyperlink"/>
            <w:noProof/>
            <w:webHidden/>
          </w:rPr>
          <w:tab/>
        </w:r>
        <w:r w:rsidR="00C22589" w:rsidRPr="00C22589">
          <w:rPr>
            <w:rStyle w:val="Hyperlink"/>
            <w:noProof/>
            <w:webHidden/>
          </w:rPr>
          <w:fldChar w:fldCharType="begin"/>
        </w:r>
        <w:r w:rsidR="00C22589" w:rsidRPr="00C22589">
          <w:rPr>
            <w:rStyle w:val="Hyperlink"/>
            <w:noProof/>
            <w:webHidden/>
          </w:rPr>
          <w:instrText xml:space="preserve"> PAGEREF _Toc419372757 \h </w:instrText>
        </w:r>
        <w:r w:rsidR="00C22589" w:rsidRPr="00C22589">
          <w:rPr>
            <w:rStyle w:val="Hyperlink"/>
            <w:noProof/>
            <w:webHidden/>
          </w:rPr>
        </w:r>
        <w:r w:rsidR="00C22589" w:rsidRPr="00C22589">
          <w:rPr>
            <w:rStyle w:val="Hyperlink"/>
            <w:noProof/>
            <w:webHidden/>
          </w:rPr>
          <w:fldChar w:fldCharType="separate"/>
        </w:r>
        <w:r w:rsidR="00491A1F">
          <w:rPr>
            <w:rStyle w:val="Hyperlink"/>
            <w:noProof/>
            <w:webHidden/>
          </w:rPr>
          <w:t>16</w:t>
        </w:r>
        <w:r w:rsidR="00C22589" w:rsidRPr="00C22589">
          <w:rPr>
            <w:rStyle w:val="Hyperlink"/>
            <w:noProof/>
            <w:webHidden/>
          </w:rPr>
          <w:fldChar w:fldCharType="end"/>
        </w:r>
      </w:hyperlink>
    </w:p>
    <w:p w:rsidR="00C22589" w:rsidRPr="00C22589" w:rsidRDefault="00BD4FA8">
      <w:pPr>
        <w:pStyle w:val="TOC1"/>
        <w:rPr>
          <w:rStyle w:val="Hyperlink"/>
          <w:noProof/>
        </w:rPr>
      </w:pPr>
      <w:hyperlink w:anchor="_Toc419372758" w:history="1">
        <w:r w:rsidR="00C22589" w:rsidRPr="00C22589">
          <w:rPr>
            <w:rStyle w:val="Hyperlink"/>
            <w:noProof/>
          </w:rPr>
          <w:t>Tirage au sort</w:t>
        </w:r>
        <w:r w:rsidR="00C22589" w:rsidRPr="00C22589">
          <w:rPr>
            <w:rStyle w:val="Hyperlink"/>
            <w:noProof/>
            <w:webHidden/>
          </w:rPr>
          <w:tab/>
        </w:r>
        <w:r w:rsidR="00C22589">
          <w:rPr>
            <w:rStyle w:val="Hyperlink"/>
            <w:noProof/>
            <w:webHidden/>
          </w:rPr>
          <w:tab/>
        </w:r>
        <w:r w:rsidR="00C22589" w:rsidRPr="00C22589">
          <w:rPr>
            <w:rStyle w:val="Hyperlink"/>
            <w:noProof/>
            <w:webHidden/>
          </w:rPr>
          <w:fldChar w:fldCharType="begin"/>
        </w:r>
        <w:r w:rsidR="00C22589" w:rsidRPr="00C22589">
          <w:rPr>
            <w:rStyle w:val="Hyperlink"/>
            <w:noProof/>
            <w:webHidden/>
          </w:rPr>
          <w:instrText xml:space="preserve"> PAGEREF _Toc419372758 \h </w:instrText>
        </w:r>
        <w:r w:rsidR="00C22589" w:rsidRPr="00C22589">
          <w:rPr>
            <w:rStyle w:val="Hyperlink"/>
            <w:noProof/>
            <w:webHidden/>
          </w:rPr>
        </w:r>
        <w:r w:rsidR="00C22589" w:rsidRPr="00C22589">
          <w:rPr>
            <w:rStyle w:val="Hyperlink"/>
            <w:noProof/>
            <w:webHidden/>
          </w:rPr>
          <w:fldChar w:fldCharType="separate"/>
        </w:r>
        <w:r w:rsidR="00491A1F">
          <w:rPr>
            <w:rStyle w:val="Hyperlink"/>
            <w:noProof/>
            <w:webHidden/>
          </w:rPr>
          <w:t>16</w:t>
        </w:r>
        <w:r w:rsidR="00C22589" w:rsidRPr="00C22589">
          <w:rPr>
            <w:rStyle w:val="Hyperlink"/>
            <w:noProof/>
            <w:webHidden/>
          </w:rPr>
          <w:fldChar w:fldCharType="end"/>
        </w:r>
      </w:hyperlink>
    </w:p>
    <w:p w:rsidR="00C22589" w:rsidRPr="00C22589" w:rsidRDefault="00BD4FA8">
      <w:pPr>
        <w:pStyle w:val="TOC1"/>
        <w:rPr>
          <w:rStyle w:val="Hyperlink"/>
          <w:noProof/>
        </w:rPr>
      </w:pPr>
      <w:hyperlink w:anchor="_Toc419372759" w:history="1">
        <w:r w:rsidR="00C22589" w:rsidRPr="009103A1">
          <w:rPr>
            <w:rStyle w:val="Hyperlink"/>
            <w:noProof/>
          </w:rPr>
          <w:t>Répartition hommes/femmes</w:t>
        </w:r>
        <w:r w:rsidR="00C22589" w:rsidRPr="00C22589">
          <w:rPr>
            <w:rStyle w:val="Hyperlink"/>
            <w:noProof/>
            <w:webHidden/>
          </w:rPr>
          <w:tab/>
        </w:r>
        <w:r w:rsidR="00C22589">
          <w:rPr>
            <w:rStyle w:val="Hyperlink"/>
            <w:noProof/>
            <w:webHidden/>
          </w:rPr>
          <w:tab/>
        </w:r>
        <w:r w:rsidR="00C22589" w:rsidRPr="00C22589">
          <w:rPr>
            <w:rStyle w:val="Hyperlink"/>
            <w:noProof/>
            <w:webHidden/>
          </w:rPr>
          <w:fldChar w:fldCharType="begin"/>
        </w:r>
        <w:r w:rsidR="00C22589" w:rsidRPr="00C22589">
          <w:rPr>
            <w:rStyle w:val="Hyperlink"/>
            <w:noProof/>
            <w:webHidden/>
          </w:rPr>
          <w:instrText xml:space="preserve"> PAGEREF _Toc419372759 \h </w:instrText>
        </w:r>
        <w:r w:rsidR="00C22589" w:rsidRPr="00C22589">
          <w:rPr>
            <w:rStyle w:val="Hyperlink"/>
            <w:noProof/>
            <w:webHidden/>
          </w:rPr>
        </w:r>
        <w:r w:rsidR="00C22589" w:rsidRPr="00C22589">
          <w:rPr>
            <w:rStyle w:val="Hyperlink"/>
            <w:noProof/>
            <w:webHidden/>
          </w:rPr>
          <w:fldChar w:fldCharType="separate"/>
        </w:r>
        <w:r w:rsidR="00491A1F">
          <w:rPr>
            <w:rStyle w:val="Hyperlink"/>
            <w:noProof/>
            <w:webHidden/>
          </w:rPr>
          <w:t>17</w:t>
        </w:r>
        <w:r w:rsidR="00C22589" w:rsidRPr="00C22589">
          <w:rPr>
            <w:rStyle w:val="Hyperlink"/>
            <w:noProof/>
            <w:webHidden/>
          </w:rPr>
          <w:fldChar w:fldCharType="end"/>
        </w:r>
      </w:hyperlink>
    </w:p>
    <w:p w:rsidR="00C22589" w:rsidRPr="00C22589" w:rsidRDefault="00BD4FA8">
      <w:pPr>
        <w:pStyle w:val="TOC1"/>
        <w:rPr>
          <w:rStyle w:val="Hyperlink"/>
          <w:noProof/>
        </w:rPr>
      </w:pPr>
      <w:hyperlink w:anchor="_Toc419372760" w:history="1">
        <w:r w:rsidR="00C22589" w:rsidRPr="00C22589">
          <w:rPr>
            <w:rStyle w:val="Hyperlink"/>
            <w:noProof/>
          </w:rPr>
          <w:t>Baisse du nombre d'exposants et de participants</w:t>
        </w:r>
        <w:r w:rsidR="00C22589" w:rsidRPr="00C22589">
          <w:rPr>
            <w:rStyle w:val="Hyperlink"/>
            <w:noProof/>
            <w:webHidden/>
          </w:rPr>
          <w:tab/>
        </w:r>
        <w:r w:rsidR="00C22589">
          <w:rPr>
            <w:rStyle w:val="Hyperlink"/>
            <w:noProof/>
            <w:webHidden/>
          </w:rPr>
          <w:tab/>
        </w:r>
        <w:r w:rsidR="00C22589" w:rsidRPr="00C22589">
          <w:rPr>
            <w:rStyle w:val="Hyperlink"/>
            <w:noProof/>
            <w:webHidden/>
          </w:rPr>
          <w:fldChar w:fldCharType="begin"/>
        </w:r>
        <w:r w:rsidR="00C22589" w:rsidRPr="00C22589">
          <w:rPr>
            <w:rStyle w:val="Hyperlink"/>
            <w:noProof/>
            <w:webHidden/>
          </w:rPr>
          <w:instrText xml:space="preserve"> PAGEREF _Toc419372760 \h </w:instrText>
        </w:r>
        <w:r w:rsidR="00C22589" w:rsidRPr="00C22589">
          <w:rPr>
            <w:rStyle w:val="Hyperlink"/>
            <w:noProof/>
            <w:webHidden/>
          </w:rPr>
        </w:r>
        <w:r w:rsidR="00C22589" w:rsidRPr="00C22589">
          <w:rPr>
            <w:rStyle w:val="Hyperlink"/>
            <w:noProof/>
            <w:webHidden/>
          </w:rPr>
          <w:fldChar w:fldCharType="separate"/>
        </w:r>
        <w:r w:rsidR="00491A1F">
          <w:rPr>
            <w:rStyle w:val="Hyperlink"/>
            <w:noProof/>
            <w:webHidden/>
          </w:rPr>
          <w:t>17</w:t>
        </w:r>
        <w:r w:rsidR="00C22589" w:rsidRPr="00C22589">
          <w:rPr>
            <w:rStyle w:val="Hyperlink"/>
            <w:noProof/>
            <w:webHidden/>
          </w:rPr>
          <w:fldChar w:fldCharType="end"/>
        </w:r>
      </w:hyperlink>
    </w:p>
    <w:p w:rsidR="00C22589" w:rsidRPr="00C22589" w:rsidRDefault="00BD4FA8">
      <w:pPr>
        <w:pStyle w:val="TOC1"/>
        <w:rPr>
          <w:rStyle w:val="Hyperlink"/>
          <w:noProof/>
        </w:rPr>
      </w:pPr>
      <w:hyperlink w:anchor="_Toc419372761" w:history="1">
        <w:r w:rsidR="00C22589" w:rsidRPr="00C22589">
          <w:rPr>
            <w:rStyle w:val="Hyperlink"/>
            <w:noProof/>
          </w:rPr>
          <w:t>Problèmes concernant les visas</w:t>
        </w:r>
        <w:r w:rsidR="00C22589" w:rsidRPr="00C22589">
          <w:rPr>
            <w:rStyle w:val="Hyperlink"/>
            <w:noProof/>
            <w:webHidden/>
          </w:rPr>
          <w:tab/>
        </w:r>
        <w:r w:rsidR="00C22589">
          <w:rPr>
            <w:rStyle w:val="Hyperlink"/>
            <w:noProof/>
            <w:webHidden/>
          </w:rPr>
          <w:tab/>
        </w:r>
        <w:r w:rsidR="00C22589" w:rsidRPr="00C22589">
          <w:rPr>
            <w:rStyle w:val="Hyperlink"/>
            <w:noProof/>
            <w:webHidden/>
          </w:rPr>
          <w:fldChar w:fldCharType="begin"/>
        </w:r>
        <w:r w:rsidR="00C22589" w:rsidRPr="00C22589">
          <w:rPr>
            <w:rStyle w:val="Hyperlink"/>
            <w:noProof/>
            <w:webHidden/>
          </w:rPr>
          <w:instrText xml:space="preserve"> PAGEREF _Toc419372761 \h </w:instrText>
        </w:r>
        <w:r w:rsidR="00C22589" w:rsidRPr="00C22589">
          <w:rPr>
            <w:rStyle w:val="Hyperlink"/>
            <w:noProof/>
            <w:webHidden/>
          </w:rPr>
        </w:r>
        <w:r w:rsidR="00C22589" w:rsidRPr="00C22589">
          <w:rPr>
            <w:rStyle w:val="Hyperlink"/>
            <w:noProof/>
            <w:webHidden/>
          </w:rPr>
          <w:fldChar w:fldCharType="separate"/>
        </w:r>
        <w:r w:rsidR="00491A1F">
          <w:rPr>
            <w:rStyle w:val="Hyperlink"/>
            <w:noProof/>
            <w:webHidden/>
          </w:rPr>
          <w:t>18</w:t>
        </w:r>
        <w:r w:rsidR="00C22589" w:rsidRPr="00C22589">
          <w:rPr>
            <w:rStyle w:val="Hyperlink"/>
            <w:noProof/>
            <w:webHidden/>
          </w:rPr>
          <w:fldChar w:fldCharType="end"/>
        </w:r>
      </w:hyperlink>
    </w:p>
    <w:p w:rsidR="00C22589" w:rsidRPr="00C22589" w:rsidRDefault="00BD4FA8">
      <w:pPr>
        <w:pStyle w:val="TOC1"/>
        <w:rPr>
          <w:rStyle w:val="Hyperlink"/>
          <w:noProof/>
        </w:rPr>
      </w:pPr>
      <w:hyperlink w:anchor="_Toc419372762" w:history="1">
        <w:r w:rsidR="00C22589" w:rsidRPr="00C22589">
          <w:rPr>
            <w:rStyle w:val="Hyperlink"/>
            <w:noProof/>
          </w:rPr>
          <w:t>Sessions du Forum et présence des médias</w:t>
        </w:r>
        <w:r w:rsidR="00C22589" w:rsidRPr="00C22589">
          <w:rPr>
            <w:rStyle w:val="Hyperlink"/>
            <w:noProof/>
            <w:webHidden/>
          </w:rPr>
          <w:tab/>
        </w:r>
        <w:r w:rsidR="00C22589">
          <w:rPr>
            <w:rStyle w:val="Hyperlink"/>
            <w:noProof/>
            <w:webHidden/>
          </w:rPr>
          <w:tab/>
        </w:r>
        <w:r w:rsidR="00C22589" w:rsidRPr="00C22589">
          <w:rPr>
            <w:rStyle w:val="Hyperlink"/>
            <w:noProof/>
            <w:webHidden/>
          </w:rPr>
          <w:fldChar w:fldCharType="begin"/>
        </w:r>
        <w:r w:rsidR="00C22589" w:rsidRPr="00C22589">
          <w:rPr>
            <w:rStyle w:val="Hyperlink"/>
            <w:noProof/>
            <w:webHidden/>
          </w:rPr>
          <w:instrText xml:space="preserve"> PAGEREF _Toc419372762 \h </w:instrText>
        </w:r>
        <w:r w:rsidR="00C22589" w:rsidRPr="00C22589">
          <w:rPr>
            <w:rStyle w:val="Hyperlink"/>
            <w:noProof/>
            <w:webHidden/>
          </w:rPr>
        </w:r>
        <w:r w:rsidR="00C22589" w:rsidRPr="00C22589">
          <w:rPr>
            <w:rStyle w:val="Hyperlink"/>
            <w:noProof/>
            <w:webHidden/>
          </w:rPr>
          <w:fldChar w:fldCharType="separate"/>
        </w:r>
        <w:r w:rsidR="00491A1F">
          <w:rPr>
            <w:rStyle w:val="Hyperlink"/>
            <w:noProof/>
            <w:webHidden/>
          </w:rPr>
          <w:t>18</w:t>
        </w:r>
        <w:r w:rsidR="00C22589" w:rsidRPr="00C22589">
          <w:rPr>
            <w:rStyle w:val="Hyperlink"/>
            <w:noProof/>
            <w:webHidden/>
          </w:rPr>
          <w:fldChar w:fldCharType="end"/>
        </w:r>
      </w:hyperlink>
    </w:p>
    <w:p w:rsidR="00C22589" w:rsidRPr="00C22589" w:rsidRDefault="00BD4FA8">
      <w:pPr>
        <w:pStyle w:val="TOC1"/>
        <w:rPr>
          <w:rStyle w:val="Hyperlink"/>
          <w:noProof/>
        </w:rPr>
      </w:pPr>
      <w:hyperlink w:anchor="_Toc419372763" w:history="1">
        <w:r w:rsidR="00C22589" w:rsidRPr="00C22589">
          <w:rPr>
            <w:rStyle w:val="Hyperlink"/>
            <w:noProof/>
          </w:rPr>
          <w:t>Dimension mondiale</w:t>
        </w:r>
        <w:r w:rsidR="00C22589" w:rsidRPr="00C22589">
          <w:rPr>
            <w:rStyle w:val="Hyperlink"/>
            <w:noProof/>
            <w:webHidden/>
          </w:rPr>
          <w:tab/>
        </w:r>
        <w:r w:rsidR="00C22589">
          <w:rPr>
            <w:rStyle w:val="Hyperlink"/>
            <w:noProof/>
            <w:webHidden/>
          </w:rPr>
          <w:tab/>
        </w:r>
        <w:r w:rsidR="00C22589" w:rsidRPr="00C22589">
          <w:rPr>
            <w:rStyle w:val="Hyperlink"/>
            <w:noProof/>
            <w:webHidden/>
          </w:rPr>
          <w:fldChar w:fldCharType="begin"/>
        </w:r>
        <w:r w:rsidR="00C22589" w:rsidRPr="00C22589">
          <w:rPr>
            <w:rStyle w:val="Hyperlink"/>
            <w:noProof/>
            <w:webHidden/>
          </w:rPr>
          <w:instrText xml:space="preserve"> PAGEREF _Toc419372763 \h </w:instrText>
        </w:r>
        <w:r w:rsidR="00C22589" w:rsidRPr="00C22589">
          <w:rPr>
            <w:rStyle w:val="Hyperlink"/>
            <w:noProof/>
            <w:webHidden/>
          </w:rPr>
        </w:r>
        <w:r w:rsidR="00C22589" w:rsidRPr="00C22589">
          <w:rPr>
            <w:rStyle w:val="Hyperlink"/>
            <w:noProof/>
            <w:webHidden/>
          </w:rPr>
          <w:fldChar w:fldCharType="separate"/>
        </w:r>
        <w:r w:rsidR="00491A1F">
          <w:rPr>
            <w:rStyle w:val="Hyperlink"/>
            <w:noProof/>
            <w:webHidden/>
          </w:rPr>
          <w:t>19</w:t>
        </w:r>
        <w:r w:rsidR="00C22589" w:rsidRPr="00C22589">
          <w:rPr>
            <w:rStyle w:val="Hyperlink"/>
            <w:noProof/>
            <w:webHidden/>
          </w:rPr>
          <w:fldChar w:fldCharType="end"/>
        </w:r>
      </w:hyperlink>
    </w:p>
    <w:p w:rsidR="00C22589" w:rsidRDefault="00BD4FA8">
      <w:pPr>
        <w:pStyle w:val="TOC1"/>
        <w:rPr>
          <w:rStyle w:val="Hyperlink"/>
          <w:noProof/>
        </w:rPr>
      </w:pPr>
      <w:hyperlink w:anchor="_Toc419372764" w:history="1">
        <w:r w:rsidR="00C22589" w:rsidRPr="009103A1">
          <w:rPr>
            <w:rStyle w:val="Hyperlink"/>
            <w:noProof/>
          </w:rPr>
          <w:t>SUIVI</w:t>
        </w:r>
        <w:r w:rsidR="00C22589">
          <w:rPr>
            <w:noProof/>
            <w:webHidden/>
          </w:rPr>
          <w:tab/>
        </w:r>
        <w:r w:rsidR="00C22589">
          <w:rPr>
            <w:noProof/>
            <w:webHidden/>
          </w:rPr>
          <w:tab/>
        </w:r>
        <w:r w:rsidR="00C22589">
          <w:rPr>
            <w:noProof/>
            <w:webHidden/>
          </w:rPr>
          <w:tab/>
        </w:r>
        <w:r w:rsidR="00C22589">
          <w:rPr>
            <w:noProof/>
            <w:webHidden/>
          </w:rPr>
          <w:fldChar w:fldCharType="begin"/>
        </w:r>
        <w:r w:rsidR="00C22589">
          <w:rPr>
            <w:noProof/>
            <w:webHidden/>
          </w:rPr>
          <w:instrText xml:space="preserve"> PAGEREF _Toc419372764 \h </w:instrText>
        </w:r>
        <w:r w:rsidR="00C22589">
          <w:rPr>
            <w:noProof/>
            <w:webHidden/>
          </w:rPr>
        </w:r>
        <w:r w:rsidR="00C22589">
          <w:rPr>
            <w:noProof/>
            <w:webHidden/>
          </w:rPr>
          <w:fldChar w:fldCharType="separate"/>
        </w:r>
        <w:r w:rsidR="00491A1F">
          <w:rPr>
            <w:noProof/>
            <w:webHidden/>
          </w:rPr>
          <w:t>19</w:t>
        </w:r>
        <w:r w:rsidR="00C22589">
          <w:rPr>
            <w:noProof/>
            <w:webHidden/>
          </w:rPr>
          <w:fldChar w:fldCharType="end"/>
        </w:r>
      </w:hyperlink>
    </w:p>
    <w:p w:rsidR="00491A1F" w:rsidRPr="00491A1F" w:rsidRDefault="00491A1F" w:rsidP="00BD4FA8">
      <w:pPr>
        <w:pStyle w:val="TOC1"/>
        <w:rPr>
          <w:rStyle w:val="Hyperlink"/>
          <w:noProof/>
          <w:color w:val="auto"/>
          <w:u w:val="none"/>
        </w:rPr>
      </w:pPr>
      <w:r w:rsidRPr="00491A1F">
        <w:rPr>
          <w:rStyle w:val="Hyperlink"/>
          <w:noProof/>
          <w:color w:val="auto"/>
          <w:u w:val="none"/>
        </w:rPr>
        <w:t>ANNEXE I – Suivi des observations présentées dans les rapports précédents</w:t>
      </w:r>
      <w:r w:rsidRPr="00491A1F">
        <w:rPr>
          <w:rStyle w:val="Hyperlink"/>
          <w:noProof/>
          <w:color w:val="auto"/>
          <w:u w:val="none"/>
        </w:rPr>
        <w:tab/>
      </w:r>
      <w:r w:rsidRPr="00491A1F">
        <w:rPr>
          <w:rStyle w:val="Hyperlink"/>
          <w:noProof/>
          <w:color w:val="auto"/>
          <w:u w:val="none"/>
        </w:rPr>
        <w:tab/>
        <w:t>20</w:t>
      </w:r>
    </w:p>
    <w:p w:rsidR="00E80BA0" w:rsidRPr="00A62EF7" w:rsidRDefault="00C22589" w:rsidP="00E80BA0">
      <w:pPr>
        <w:pStyle w:val="TOC1"/>
      </w:pPr>
      <w:r>
        <w:fldChar w:fldCharType="end"/>
      </w:r>
    </w:p>
    <w:p w:rsidR="00E80BA0" w:rsidRPr="00A62EF7" w:rsidRDefault="00E80BA0" w:rsidP="00E80BA0">
      <w:pPr>
        <w:pStyle w:val="TOC1"/>
      </w:pPr>
    </w:p>
    <w:p w:rsidR="00916DE2" w:rsidRDefault="00E80BA0" w:rsidP="00E80BA0">
      <w:pPr>
        <w:tabs>
          <w:tab w:val="clear" w:pos="567"/>
          <w:tab w:val="clear" w:pos="1134"/>
          <w:tab w:val="clear" w:pos="1701"/>
          <w:tab w:val="clear" w:pos="2268"/>
          <w:tab w:val="clear" w:pos="2835"/>
        </w:tabs>
        <w:overflowPunct/>
        <w:autoSpaceDE/>
        <w:autoSpaceDN/>
        <w:textAlignment w:val="auto"/>
      </w:pPr>
      <w:r w:rsidRPr="00A62EF7">
        <w:br w:type="page"/>
      </w:r>
      <w:bookmarkStart w:id="14" w:name="lt_pId073"/>
    </w:p>
    <w:p w:rsidR="00916DE2" w:rsidRPr="00A62EF7" w:rsidRDefault="00916DE2" w:rsidP="00916DE2">
      <w:pPr>
        <w:pStyle w:val="Heading1"/>
      </w:pPr>
      <w:bookmarkStart w:id="15" w:name="_Toc419372733"/>
      <w:r w:rsidRPr="00A62EF7">
        <w:t>RÉSUMÉ DE LA VÉRIFICATION DES COMPTES</w:t>
      </w:r>
      <w:bookmarkEnd w:id="15"/>
    </w:p>
    <w:p w:rsidR="00E80BA0" w:rsidRPr="00A62EF7" w:rsidRDefault="00916DE2" w:rsidP="00E80BA0">
      <w:pPr>
        <w:tabs>
          <w:tab w:val="clear" w:pos="567"/>
          <w:tab w:val="clear" w:pos="1134"/>
          <w:tab w:val="clear" w:pos="1701"/>
          <w:tab w:val="clear" w:pos="2268"/>
          <w:tab w:val="clear" w:pos="2835"/>
        </w:tabs>
        <w:overflowPunct/>
        <w:autoSpaceDE/>
        <w:autoSpaceDN/>
        <w:textAlignment w:val="auto"/>
      </w:pPr>
      <w:r w:rsidRPr="00A62EF7">
        <w:t>1</w:t>
      </w:r>
      <w:r w:rsidRPr="00A62EF7">
        <w:tab/>
      </w:r>
      <w:r w:rsidR="00E80BA0" w:rsidRPr="00A62EF7">
        <w:t xml:space="preserve">Aux termes du point 6 du </w:t>
      </w:r>
      <w:r w:rsidR="00E80BA0" w:rsidRPr="00A62EF7">
        <w:rPr>
          <w:i/>
          <w:iCs/>
        </w:rPr>
        <w:t>décide</w:t>
      </w:r>
      <w:r w:rsidR="00E80BA0" w:rsidRPr="00A62EF7">
        <w:t xml:space="preserve"> de la Résolution 11 (Rév. Busan, 2014) de la Conférence de plénipotentiaires, "la vérification des comptes des activités d'ITU TELECOM doit être assurée par le vérificateur extérieur des comptes de l'Union".</w:t>
      </w:r>
      <w:bookmarkEnd w:id="14"/>
      <w:r w:rsidR="00E80BA0" w:rsidRPr="00A62EF7">
        <w:t xml:space="preserve"> </w:t>
      </w:r>
    </w:p>
    <w:p w:rsidR="00E80BA0" w:rsidRPr="00A62EF7" w:rsidRDefault="00916DE2" w:rsidP="00E80BA0">
      <w:pPr>
        <w:tabs>
          <w:tab w:val="clear" w:pos="567"/>
          <w:tab w:val="clear" w:pos="1134"/>
          <w:tab w:val="clear" w:pos="1701"/>
          <w:tab w:val="clear" w:pos="2268"/>
          <w:tab w:val="clear" w:pos="2835"/>
        </w:tabs>
        <w:overflowPunct/>
        <w:autoSpaceDE/>
        <w:autoSpaceDN/>
        <w:textAlignment w:val="auto"/>
      </w:pPr>
      <w:bookmarkStart w:id="16" w:name="lt_pId074"/>
      <w:r w:rsidRPr="00A62EF7">
        <w:t>2</w:t>
      </w:r>
      <w:r w:rsidRPr="00A62EF7">
        <w:tab/>
      </w:r>
      <w:r w:rsidR="00E80BA0" w:rsidRPr="00A62EF7">
        <w:t>Le présent rapport porte sur le résultat de nos vérifications du compte de pertes et profits de la manifestation ITU Telecom World 2014.</w:t>
      </w:r>
      <w:bookmarkEnd w:id="16"/>
      <w:r w:rsidR="00E80BA0" w:rsidRPr="00A62EF7">
        <w:t xml:space="preserve"> </w:t>
      </w:r>
      <w:bookmarkStart w:id="17" w:name="lt_pId075"/>
      <w:r w:rsidR="00E80BA0" w:rsidRPr="00A62EF7">
        <w:t>Cet examen ne doit pas être considéré comme un audit des états financiers établis selon les normes IPSAS à l'issue duquel nous délivrons une opinion d'audit.</w:t>
      </w:r>
      <w:bookmarkEnd w:id="17"/>
      <w:r w:rsidR="00E80BA0" w:rsidRPr="00A62EF7">
        <w:t xml:space="preserve"> </w:t>
      </w:r>
      <w:bookmarkStart w:id="18" w:name="lt_pId076"/>
      <w:r w:rsidR="00E80BA0" w:rsidRPr="00A62EF7">
        <w:t>Il vise uniquement à informer le Conseil de l'UIT que les opérations relatives à cette manifestation ont été correctement comptabilisées.</w:t>
      </w:r>
      <w:bookmarkEnd w:id="18"/>
    </w:p>
    <w:p w:rsidR="00E80BA0" w:rsidRPr="00A62EF7" w:rsidRDefault="00916DE2" w:rsidP="00E80BA0">
      <w:pPr>
        <w:tabs>
          <w:tab w:val="clear" w:pos="567"/>
          <w:tab w:val="clear" w:pos="1134"/>
          <w:tab w:val="clear" w:pos="1701"/>
          <w:tab w:val="clear" w:pos="2268"/>
          <w:tab w:val="clear" w:pos="2835"/>
        </w:tabs>
        <w:overflowPunct/>
        <w:autoSpaceDE/>
        <w:autoSpaceDN/>
        <w:textAlignment w:val="auto"/>
      </w:pPr>
      <w:bookmarkStart w:id="19" w:name="lt_pId077"/>
      <w:r w:rsidRPr="00A62EF7">
        <w:t>3</w:t>
      </w:r>
      <w:r w:rsidRPr="00A62EF7">
        <w:tab/>
      </w:r>
      <w:r w:rsidR="00E80BA0" w:rsidRPr="00A62EF7">
        <w:t>La vérification des comptes d'ITU Telecom World 2014 a révélé que les comptes présentés (Annexe A du Document</w:t>
      </w:r>
      <w:bookmarkEnd w:id="19"/>
      <w:r w:rsidR="00470597" w:rsidRPr="00A62EF7">
        <w:t xml:space="preserve"> </w:t>
      </w:r>
      <w:bookmarkStart w:id="20" w:name="lt_pId078"/>
      <w:r w:rsidR="00E80BA0" w:rsidRPr="00A62EF7">
        <w:t>C15/40</w:t>
      </w:r>
      <w:bookmarkStart w:id="21" w:name="lt_pId079"/>
      <w:bookmarkEnd w:id="20"/>
      <w:r w:rsidR="00E80BA0" w:rsidRPr="00A62EF7">
        <w:t>) sont exacts et que les écritures liées à cette manifestation ont été correctement imputées.</w:t>
      </w:r>
      <w:bookmarkEnd w:id="21"/>
    </w:p>
    <w:p w:rsidR="00E80BA0" w:rsidRPr="00A62EF7" w:rsidRDefault="00916DE2" w:rsidP="00E80BA0">
      <w:pPr>
        <w:tabs>
          <w:tab w:val="clear" w:pos="567"/>
          <w:tab w:val="clear" w:pos="1134"/>
          <w:tab w:val="clear" w:pos="1701"/>
          <w:tab w:val="clear" w:pos="2268"/>
          <w:tab w:val="clear" w:pos="2835"/>
        </w:tabs>
        <w:overflowPunct/>
        <w:autoSpaceDE/>
        <w:autoSpaceDN/>
        <w:textAlignment w:val="auto"/>
      </w:pPr>
      <w:bookmarkStart w:id="22" w:name="lt_pId080"/>
      <w:r w:rsidRPr="00A62EF7">
        <w:t>4</w:t>
      </w:r>
      <w:r w:rsidRPr="00A62EF7">
        <w:tab/>
      </w:r>
      <w:r w:rsidR="00E80BA0" w:rsidRPr="00A62EF7">
        <w:t>Cette manifestation a été organisée et gérée en vertu des dispositions de la Résolution 11 (Rév. Busan, 2014) de la Conférence de plénipotentiaires.</w:t>
      </w:r>
      <w:bookmarkEnd w:id="22"/>
      <w:r w:rsidR="00E80BA0" w:rsidRPr="00A62EF7">
        <w:t xml:space="preserve"> </w:t>
      </w:r>
      <w:bookmarkStart w:id="23" w:name="lt_pId081"/>
      <w:r w:rsidR="00E80BA0" w:rsidRPr="00A62EF7">
        <w:t>Une révision de cette résolution a été adoptée par la Conférence de plénipotentiaires tenue en octobre 2014 à Busan, alors que la définition de la manifestation était presque achevée.</w:t>
      </w:r>
      <w:bookmarkEnd w:id="23"/>
      <w:r w:rsidR="00470597" w:rsidRPr="00A62EF7">
        <w:t xml:space="preserve"> </w:t>
      </w:r>
      <w:bookmarkStart w:id="24" w:name="lt_pId082"/>
      <w:r w:rsidR="00E80BA0" w:rsidRPr="00A62EF7">
        <w:t xml:space="preserve">Aux termes du point 4 du </w:t>
      </w:r>
      <w:r w:rsidR="00E80BA0" w:rsidRPr="00A62EF7">
        <w:rPr>
          <w:i/>
        </w:rPr>
        <w:t xml:space="preserve">décide </w:t>
      </w:r>
      <w:r w:rsidR="00E80BA0" w:rsidRPr="00A62EF7">
        <w:t>des deux versions de la Résolution 11: "</w:t>
      </w:r>
      <w:r w:rsidR="00E80BA0" w:rsidRPr="00A62EF7">
        <w:rPr>
          <w:i/>
        </w:rPr>
        <w:t>chaque manifestation ITU TELECOM devra être financièrement viable et ne pas avoir d'incidence négative sur le budget de l'UIT sur la base du système d'imputation des coûts existant, comme l'a établi le Conseil</w:t>
      </w:r>
      <w:r w:rsidR="00E80BA0" w:rsidRPr="00A62EF7">
        <w:t>".</w:t>
      </w:r>
      <w:bookmarkEnd w:id="24"/>
    </w:p>
    <w:p w:rsidR="00E80BA0" w:rsidRPr="00A62EF7" w:rsidRDefault="00916DE2" w:rsidP="00BD4FA8">
      <w:pPr>
        <w:tabs>
          <w:tab w:val="clear" w:pos="567"/>
          <w:tab w:val="clear" w:pos="1134"/>
          <w:tab w:val="clear" w:pos="1701"/>
          <w:tab w:val="clear" w:pos="2268"/>
          <w:tab w:val="clear" w:pos="2835"/>
        </w:tabs>
        <w:overflowPunct/>
        <w:autoSpaceDE/>
        <w:autoSpaceDN/>
        <w:textAlignment w:val="auto"/>
      </w:pPr>
      <w:bookmarkStart w:id="25" w:name="lt_pId083"/>
      <w:r w:rsidRPr="00A62EF7">
        <w:t>5</w:t>
      </w:r>
      <w:r w:rsidRPr="00A62EF7">
        <w:tab/>
      </w:r>
      <w:r w:rsidR="00E80BA0" w:rsidRPr="00A62EF7">
        <w:t>Au 31 décembre 2014, le résultat de la manifestation ITU Telecom World organisée en décembre 2014 à Doha était positif et s'élevait à 784 505,76 CHF, comme indiqué au paragraphe</w:t>
      </w:r>
      <w:r w:rsidR="00BD4FA8">
        <w:t> </w:t>
      </w:r>
      <w:r w:rsidR="00E80BA0" w:rsidRPr="00A62EF7">
        <w:t>19, alors que le résultat enregistré lors de la précédente manifestation tenue en 2013 à Bangkok s'établissait à 1 854 884 CHF, contre 637 946,26 CHF lors de la manifestation tenue en 2012 à Dubaï.</w:t>
      </w:r>
      <w:bookmarkEnd w:id="25"/>
      <w:r w:rsidRPr="00A62EF7">
        <w:t xml:space="preserve"> </w:t>
      </w:r>
    </w:p>
    <w:p w:rsidR="00E80BA0" w:rsidRPr="00A62EF7" w:rsidRDefault="00E80BA0" w:rsidP="00BD4FA8">
      <w:pPr>
        <w:pStyle w:val="Headingb"/>
      </w:pPr>
      <w:bookmarkStart w:id="26" w:name="lt_pId084"/>
      <w:bookmarkStart w:id="27" w:name="_Toc419372734"/>
      <w:r w:rsidRPr="00A62EF7">
        <w:t>Cadre juridique et objet de la vérification</w:t>
      </w:r>
      <w:bookmarkEnd w:id="26"/>
      <w:bookmarkEnd w:id="27"/>
    </w:p>
    <w:p w:rsidR="00E80BA0" w:rsidRPr="00A62EF7" w:rsidRDefault="00916DE2" w:rsidP="00E80BA0">
      <w:pPr>
        <w:tabs>
          <w:tab w:val="clear" w:pos="567"/>
          <w:tab w:val="clear" w:pos="1134"/>
          <w:tab w:val="clear" w:pos="1701"/>
          <w:tab w:val="clear" w:pos="2268"/>
          <w:tab w:val="clear" w:pos="2835"/>
        </w:tabs>
        <w:overflowPunct/>
        <w:autoSpaceDE/>
        <w:autoSpaceDN/>
        <w:textAlignment w:val="auto"/>
      </w:pPr>
      <w:bookmarkStart w:id="28" w:name="lt_pId085"/>
      <w:r w:rsidRPr="00A62EF7">
        <w:t>6</w:t>
      </w:r>
      <w:r w:rsidRPr="00A62EF7">
        <w:tab/>
      </w:r>
      <w:r w:rsidR="00E80BA0" w:rsidRPr="00A62EF7">
        <w:t xml:space="preserve">L'Article 19 du Règlement financier et </w:t>
      </w:r>
      <w:r w:rsidR="00BD4FA8" w:rsidRPr="00A62EF7">
        <w:t>R</w:t>
      </w:r>
      <w:r w:rsidR="00E80BA0" w:rsidRPr="00A62EF7">
        <w:t>ègles financières de l'UIT précise les règles applicables aux expositions et Forums mondiaux et régionaux des télécommunications et manifestations similaires organisés par l'Union.</w:t>
      </w:r>
      <w:bookmarkEnd w:id="28"/>
      <w:r w:rsidR="00E80BA0" w:rsidRPr="00A62EF7">
        <w:t xml:space="preserve"> </w:t>
      </w:r>
      <w:bookmarkStart w:id="29" w:name="lt_pId086"/>
      <w:r w:rsidR="00E80BA0" w:rsidRPr="00A62EF7">
        <w:t>Des caractéristiques particulières sont également mises en évidence dans la Résolution 11 (Rév. Busan, 2014) de la Conférence de plénipotentiaires (voir le paragraphe 4 ci-dessus) et dans la version mise à jour des Procédures et règles financières de Telecom entrée en vigueur le 13 mars 1998.</w:t>
      </w:r>
      <w:bookmarkEnd w:id="29"/>
      <w:r w:rsidR="00E80BA0" w:rsidRPr="00A62EF7">
        <w:t xml:space="preserve"> </w:t>
      </w:r>
    </w:p>
    <w:p w:rsidR="00E80BA0" w:rsidRPr="00A62EF7" w:rsidRDefault="00916DE2" w:rsidP="00BD4FA8">
      <w:pPr>
        <w:tabs>
          <w:tab w:val="clear" w:pos="567"/>
          <w:tab w:val="clear" w:pos="1134"/>
          <w:tab w:val="clear" w:pos="1701"/>
          <w:tab w:val="clear" w:pos="2268"/>
          <w:tab w:val="clear" w:pos="2835"/>
        </w:tabs>
        <w:overflowPunct/>
        <w:autoSpaceDE/>
        <w:autoSpaceDN/>
        <w:textAlignment w:val="auto"/>
      </w:pPr>
      <w:bookmarkStart w:id="30" w:name="lt_pId087"/>
      <w:r w:rsidRPr="00A62EF7">
        <w:t>7</w:t>
      </w:r>
      <w:r w:rsidRPr="00A62EF7">
        <w:tab/>
      </w:r>
      <w:r w:rsidR="00E80BA0" w:rsidRPr="00A62EF7">
        <w:t>La Conférence de plénipotentiaires tenue à Busan en 2014 a confirmé dans sa quasi</w:t>
      </w:r>
      <w:r w:rsidR="00BD4FA8">
        <w:noBreakHyphen/>
      </w:r>
      <w:r w:rsidR="00E80BA0" w:rsidRPr="00A62EF7">
        <w:t>totalité le texte de la Résolution 11 relative aux manifestations ITU Telecom adoptée par la Conférence de plénipotentiaires tenue à Guadalajara en 2010.</w:t>
      </w:r>
      <w:bookmarkEnd w:id="30"/>
      <w:r w:rsidR="00470597" w:rsidRPr="00A62EF7">
        <w:t xml:space="preserve"> </w:t>
      </w:r>
      <w:bookmarkStart w:id="31" w:name="lt_pId088"/>
      <w:r w:rsidR="00E80BA0" w:rsidRPr="00A62EF7">
        <w:t>Plusieurs points énoncés dans la version de cette Résolution adoptée à Guadalajara ont été dûment étudiés dans le cadre de la présente vérification et, lorsque cela était nécessaire, nous avons inclus des analyses, des observations et des recommandations</w:t>
      </w:r>
      <w:r w:rsidR="003C6DD3" w:rsidRPr="00A62EF7">
        <w:t>;</w:t>
      </w:r>
      <w:r w:rsidR="00E80BA0" w:rsidRPr="00A62EF7">
        <w:t xml:space="preserve"> nous avons également pris en considération certains effets qui ont découlé de la révision de la Résolution adoptée à Busan en 2014.</w:t>
      </w:r>
      <w:bookmarkEnd w:id="31"/>
      <w:r w:rsidR="00470597" w:rsidRPr="00A62EF7">
        <w:t xml:space="preserve"> </w:t>
      </w:r>
    </w:p>
    <w:p w:rsidR="00E80BA0" w:rsidRPr="00A62EF7" w:rsidRDefault="00916DE2" w:rsidP="00BD4FA8">
      <w:pPr>
        <w:tabs>
          <w:tab w:val="clear" w:pos="567"/>
          <w:tab w:val="clear" w:pos="1134"/>
          <w:tab w:val="clear" w:pos="1701"/>
          <w:tab w:val="clear" w:pos="2268"/>
          <w:tab w:val="clear" w:pos="2835"/>
        </w:tabs>
        <w:overflowPunct/>
        <w:autoSpaceDE/>
        <w:autoSpaceDN/>
        <w:textAlignment w:val="auto"/>
      </w:pPr>
      <w:bookmarkStart w:id="32" w:name="lt_pId089"/>
      <w:r w:rsidRPr="00A62EF7">
        <w:t>8</w:t>
      </w:r>
      <w:r w:rsidRPr="00A62EF7">
        <w:tab/>
      </w:r>
      <w:r w:rsidR="00E80BA0" w:rsidRPr="00A62EF7">
        <w:t>Les vérifications qui font l'objet du présent rapport portent sur les comptes d'ITU Telecom World 2014 pour la période allant du 1er janvier 2014 au 31 décembre 2014.</w:t>
      </w:r>
      <w:bookmarkEnd w:id="32"/>
      <w:r w:rsidR="00E80BA0" w:rsidRPr="00A62EF7">
        <w:t xml:space="preserve"> </w:t>
      </w:r>
      <w:bookmarkStart w:id="33" w:name="lt_pId090"/>
      <w:r w:rsidR="00E80BA0" w:rsidRPr="00A62EF7">
        <w:t>Ces comptes présentent les charges et les produits relatifs à cette manifestation et fournissent d'autres</w:t>
      </w:r>
      <w:r w:rsidR="00BD4FA8">
        <w:t xml:space="preserve"> </w:t>
      </w:r>
      <w:r w:rsidR="00E80BA0" w:rsidRPr="00A62EF7">
        <w:t>informations complémentaires destinées au Conseil de l'UIT.</w:t>
      </w:r>
      <w:bookmarkEnd w:id="33"/>
      <w:r w:rsidR="00E80BA0" w:rsidRPr="00A62EF7">
        <w:t xml:space="preserve"> </w:t>
      </w:r>
      <w:bookmarkStart w:id="34" w:name="lt_pId091"/>
      <w:r w:rsidR="00E80BA0" w:rsidRPr="00A62EF7">
        <w:t>Ils ne doivent cependant pas être considérés comme des états financiers établis selon les normes IPSAS, même si l'UIT applique ces normes depuis le 1er janvier 2010.</w:t>
      </w:r>
      <w:bookmarkEnd w:id="34"/>
      <w:r w:rsidR="00E80BA0" w:rsidRPr="00A62EF7">
        <w:t xml:space="preserve"> </w:t>
      </w:r>
      <w:bookmarkStart w:id="35" w:name="lt_pId092"/>
      <w:r w:rsidR="00E80BA0" w:rsidRPr="00A62EF7">
        <w:t>Seuls les états financiers consolidés de l'Union sont établis selon les normes IPSAS. Ces derniers ne font pas l'objet de la présente vérification.</w:t>
      </w:r>
      <w:bookmarkEnd w:id="35"/>
    </w:p>
    <w:p w:rsidR="00E80BA0" w:rsidRPr="00A62EF7" w:rsidRDefault="00916DE2" w:rsidP="00E80BA0">
      <w:pPr>
        <w:tabs>
          <w:tab w:val="clear" w:pos="567"/>
          <w:tab w:val="clear" w:pos="1134"/>
          <w:tab w:val="clear" w:pos="1701"/>
          <w:tab w:val="clear" w:pos="2268"/>
          <w:tab w:val="clear" w:pos="2835"/>
        </w:tabs>
        <w:overflowPunct/>
        <w:autoSpaceDE/>
        <w:autoSpaceDN/>
        <w:textAlignment w:val="auto"/>
      </w:pPr>
      <w:bookmarkStart w:id="36" w:name="lt_pId093"/>
      <w:r w:rsidRPr="00A62EF7">
        <w:t>9</w:t>
      </w:r>
      <w:r w:rsidRPr="00A62EF7">
        <w:tab/>
      </w:r>
      <w:r w:rsidR="00E80BA0" w:rsidRPr="00A62EF7">
        <w:t>Les comptes vérifiés sont publiés dans l'Annexe</w:t>
      </w:r>
      <w:bookmarkEnd w:id="36"/>
      <w:r w:rsidR="00E80BA0" w:rsidRPr="00A62EF7">
        <w:t xml:space="preserve"> A </w:t>
      </w:r>
      <w:bookmarkStart w:id="37" w:name="lt_pId094"/>
      <w:r w:rsidR="00E80BA0" w:rsidRPr="00A62EF7">
        <w:t>du Document C15/40 établi par le Conseil à sa session de 2015, en version anglaise;</w:t>
      </w:r>
      <w:bookmarkEnd w:id="37"/>
      <w:r w:rsidR="00470597" w:rsidRPr="00A62EF7">
        <w:t xml:space="preserve"> </w:t>
      </w:r>
      <w:bookmarkStart w:id="38" w:name="lt_pId095"/>
      <w:r w:rsidR="00E80BA0" w:rsidRPr="00A62EF7">
        <w:t>nous n'avons pas examiné les autres Annexes de ce document (Annexes B, C, D et E).</w:t>
      </w:r>
      <w:bookmarkEnd w:id="38"/>
      <w:r w:rsidR="00E80BA0" w:rsidRPr="00A62EF7">
        <w:t xml:space="preserve"> </w:t>
      </w:r>
      <w:bookmarkStart w:id="39" w:name="lt_pId096"/>
      <w:r w:rsidR="00E80BA0" w:rsidRPr="00A62EF7">
        <w:t>Comme indiqué au paragraphe 2 ci-dessus, le présent rapport de vérification des comptes n'est pas assorti d'une opinion d'audit</w:t>
      </w:r>
      <w:bookmarkEnd w:id="39"/>
      <w:r w:rsidR="00E80BA0" w:rsidRPr="00A62EF7">
        <w:t xml:space="preserve"> </w:t>
      </w:r>
      <w:bookmarkStart w:id="40" w:name="lt_pId097"/>
      <w:r w:rsidR="00E80BA0" w:rsidRPr="00A62EF7">
        <w:t>car seuls les états financiers consolidés de l'Union font l'objet d'une telle opinion.</w:t>
      </w:r>
      <w:bookmarkEnd w:id="40"/>
    </w:p>
    <w:p w:rsidR="00E80BA0" w:rsidRPr="00A62EF7" w:rsidRDefault="00E80BA0" w:rsidP="00BD4FA8">
      <w:pPr>
        <w:pStyle w:val="Headingb"/>
      </w:pPr>
      <w:bookmarkStart w:id="41" w:name="_Toc419372735"/>
      <w:r w:rsidRPr="00A62EF7">
        <w:t>Travaux de vérification des comptes</w:t>
      </w:r>
      <w:bookmarkEnd w:id="41"/>
    </w:p>
    <w:p w:rsidR="00E80BA0" w:rsidRPr="00A62EF7" w:rsidRDefault="00916DE2" w:rsidP="00E80BA0">
      <w:pPr>
        <w:tabs>
          <w:tab w:val="clear" w:pos="567"/>
          <w:tab w:val="clear" w:pos="1134"/>
          <w:tab w:val="clear" w:pos="1701"/>
          <w:tab w:val="clear" w:pos="2268"/>
          <w:tab w:val="clear" w:pos="2835"/>
        </w:tabs>
        <w:overflowPunct/>
        <w:autoSpaceDE/>
        <w:autoSpaceDN/>
        <w:textAlignment w:val="auto"/>
      </w:pPr>
      <w:bookmarkStart w:id="42" w:name="lt_pId099"/>
      <w:r w:rsidRPr="00A62EF7">
        <w:t>10</w:t>
      </w:r>
      <w:r w:rsidRPr="00A62EF7">
        <w:tab/>
      </w:r>
      <w:r w:rsidR="00E80BA0" w:rsidRPr="00A62EF7">
        <w:t>Nos vérifications ont été effectuées selon les principes fondamentaux énoncés dans les Normes internationales des institutions supérieures de contrôle (ISSAI) publiées par l'Organisation internationale des institutions supérieures de contrôle des finances publiques (INTOSAI), et en conformité avec le mandat additionnel faisant partie intégrante du Règlement financier de l'Union.</w:t>
      </w:r>
      <w:bookmarkEnd w:id="42"/>
    </w:p>
    <w:p w:rsidR="00E80BA0" w:rsidRPr="00A62EF7" w:rsidRDefault="00916DE2" w:rsidP="00E80BA0">
      <w:pPr>
        <w:tabs>
          <w:tab w:val="clear" w:pos="567"/>
          <w:tab w:val="clear" w:pos="1134"/>
          <w:tab w:val="clear" w:pos="1701"/>
          <w:tab w:val="clear" w:pos="2268"/>
          <w:tab w:val="clear" w:pos="2835"/>
        </w:tabs>
        <w:overflowPunct/>
        <w:autoSpaceDE/>
        <w:autoSpaceDN/>
        <w:textAlignment w:val="auto"/>
      </w:pPr>
      <w:bookmarkStart w:id="43" w:name="lt_pId100"/>
      <w:r w:rsidRPr="00A62EF7">
        <w:t>11</w:t>
      </w:r>
      <w:r w:rsidRPr="00A62EF7">
        <w:tab/>
      </w:r>
      <w:r w:rsidR="00E80BA0" w:rsidRPr="00A62EF7">
        <w:t>Nous avons organisé nos travaux en fonction de notre stratégie de vérification, de manière à obtenir une assurance raisonnable que les états financiers sont exempts d'erreurs graves.</w:t>
      </w:r>
      <w:bookmarkEnd w:id="43"/>
    </w:p>
    <w:p w:rsidR="00E80BA0" w:rsidRPr="00A62EF7" w:rsidRDefault="00916DE2" w:rsidP="00E80BA0">
      <w:pPr>
        <w:tabs>
          <w:tab w:val="clear" w:pos="567"/>
          <w:tab w:val="clear" w:pos="1134"/>
          <w:tab w:val="clear" w:pos="1701"/>
          <w:tab w:val="clear" w:pos="2268"/>
          <w:tab w:val="clear" w:pos="2835"/>
        </w:tabs>
        <w:overflowPunct/>
        <w:autoSpaceDE/>
        <w:autoSpaceDN/>
        <w:textAlignment w:val="auto"/>
      </w:pPr>
      <w:bookmarkStart w:id="44" w:name="lt_pId101"/>
      <w:r w:rsidRPr="00A62EF7">
        <w:t>12</w:t>
      </w:r>
      <w:r w:rsidRPr="00A62EF7">
        <w:tab/>
      </w:r>
      <w:r w:rsidR="00E80BA0" w:rsidRPr="00A62EF7">
        <w:t>Nous avons contrôlé que le compte de pertes et profits relatif à la manifestation ITU Telecom World 2014, arrêté au 31 décembre 2014, concordait avec les comptes qui nous ont été présentés, en vérifiant par sondage que l'imputation des écritures concernant la manifestation était correcte.</w:t>
      </w:r>
      <w:bookmarkEnd w:id="44"/>
      <w:r w:rsidR="00E80BA0" w:rsidRPr="00A62EF7">
        <w:t xml:space="preserve"> </w:t>
      </w:r>
      <w:bookmarkStart w:id="45" w:name="lt_pId102"/>
      <w:r w:rsidR="00E80BA0" w:rsidRPr="00A62EF7">
        <w:t>Les vérifications ont porté sur la tenue de la comptabilité, les produits et les charges ainsi que la comptabilisation du résultat.</w:t>
      </w:r>
      <w:bookmarkEnd w:id="45"/>
    </w:p>
    <w:p w:rsidR="00E80BA0" w:rsidRPr="00A62EF7" w:rsidRDefault="00916DE2" w:rsidP="00E80BA0">
      <w:pPr>
        <w:tabs>
          <w:tab w:val="clear" w:pos="567"/>
          <w:tab w:val="clear" w:pos="1134"/>
          <w:tab w:val="clear" w:pos="1701"/>
          <w:tab w:val="clear" w:pos="2268"/>
          <w:tab w:val="clear" w:pos="2835"/>
        </w:tabs>
        <w:overflowPunct/>
        <w:autoSpaceDE/>
        <w:autoSpaceDN/>
        <w:textAlignment w:val="auto"/>
      </w:pPr>
      <w:bookmarkStart w:id="46" w:name="lt_pId103"/>
      <w:r w:rsidRPr="00A62EF7">
        <w:t>13</w:t>
      </w:r>
      <w:r w:rsidRPr="00A62EF7">
        <w:tab/>
      </w:r>
      <w:r w:rsidR="00E80BA0" w:rsidRPr="00A62EF7">
        <w:t>Au cours de la vérification, nous avons consulté les fonctionnaires responsables pour examiner et résoudre tous les problèmes qui se sont posés; nous avons contrôlé par sondage un certain nombre d'opérations et de documents pertinents et nous avons obtenu des éléments de preuve fiables et suffisants concernant les comptes d'ITU Telecom World 2014.</w:t>
      </w:r>
      <w:bookmarkEnd w:id="46"/>
      <w:r w:rsidR="00E80BA0" w:rsidRPr="00A62EF7">
        <w:t xml:space="preserve"> </w:t>
      </w:r>
    </w:p>
    <w:p w:rsidR="00E80BA0" w:rsidRPr="00A62EF7" w:rsidRDefault="00916DE2" w:rsidP="00E80BA0">
      <w:pPr>
        <w:tabs>
          <w:tab w:val="clear" w:pos="567"/>
          <w:tab w:val="clear" w:pos="1134"/>
          <w:tab w:val="clear" w:pos="1701"/>
          <w:tab w:val="clear" w:pos="2268"/>
          <w:tab w:val="clear" w:pos="2835"/>
        </w:tabs>
        <w:overflowPunct/>
        <w:autoSpaceDE/>
        <w:autoSpaceDN/>
        <w:textAlignment w:val="auto"/>
      </w:pPr>
      <w:bookmarkStart w:id="47" w:name="lt_pId104"/>
      <w:r w:rsidRPr="00A62EF7">
        <w:t>14</w:t>
      </w:r>
      <w:r w:rsidRPr="00A62EF7">
        <w:tab/>
      </w:r>
      <w:r w:rsidR="00E80BA0" w:rsidRPr="00A62EF7">
        <w:t>Le 30 mars 2015, nous avons présenté notre projet de rapport de vérification des comptes au Département de la gestion des ressources financières et au Secrétariat d'ITU Telecom.</w:t>
      </w:r>
      <w:bookmarkEnd w:id="47"/>
      <w:r w:rsidR="00E80BA0" w:rsidRPr="00A62EF7">
        <w:t xml:space="preserve"> </w:t>
      </w:r>
      <w:bookmarkStart w:id="48" w:name="lt_pId105"/>
      <w:r w:rsidR="00E80BA0" w:rsidRPr="00A62EF7">
        <w:t xml:space="preserve">Dans ce rapport, nous indiquons les domaines devant faire l'objet d'améliorations, et formulons des recommandations et propositions à l'attention du Conseil, conformément à l'Article 19 du Règlement financier et </w:t>
      </w:r>
      <w:r w:rsidR="00BD4FA8" w:rsidRPr="00A62EF7">
        <w:t>R</w:t>
      </w:r>
      <w:r w:rsidR="00E80BA0" w:rsidRPr="00A62EF7">
        <w:t>ègles financières de l'UIT.</w:t>
      </w:r>
      <w:bookmarkEnd w:id="48"/>
      <w:r w:rsidR="00E80BA0" w:rsidRPr="00A62EF7">
        <w:t xml:space="preserve"> Nous avons reçu les observations du Secrétaire général le 28 avril 2015.</w:t>
      </w:r>
    </w:p>
    <w:p w:rsidR="00E80BA0" w:rsidRPr="00A62EF7" w:rsidRDefault="00916DE2" w:rsidP="00E80BA0">
      <w:pPr>
        <w:tabs>
          <w:tab w:val="clear" w:pos="567"/>
          <w:tab w:val="clear" w:pos="1134"/>
          <w:tab w:val="clear" w:pos="1701"/>
          <w:tab w:val="clear" w:pos="2268"/>
          <w:tab w:val="clear" w:pos="2835"/>
        </w:tabs>
        <w:overflowPunct/>
        <w:autoSpaceDE/>
        <w:autoSpaceDN/>
        <w:textAlignment w:val="auto"/>
      </w:pPr>
      <w:bookmarkStart w:id="49" w:name="lt_pId106"/>
      <w:r w:rsidRPr="00A62EF7">
        <w:t>15</w:t>
      </w:r>
      <w:r w:rsidRPr="00A62EF7">
        <w:tab/>
      </w:r>
      <w:r w:rsidR="00E80BA0" w:rsidRPr="00A62EF7">
        <w:t>Nous avons été informés du fait qu'aucun recours ou procès n'a été formellement intenté contre l'Union dans le cadre d'ITU Telecom World 2014, et aucun cas de fraude ou de présomption de fraude ne nous a été signalé.</w:t>
      </w:r>
      <w:bookmarkEnd w:id="49"/>
    </w:p>
    <w:p w:rsidR="00E80BA0" w:rsidRPr="00A62EF7" w:rsidRDefault="00E80BA0" w:rsidP="00BD4FA8">
      <w:pPr>
        <w:pStyle w:val="Headingb"/>
      </w:pPr>
      <w:bookmarkStart w:id="50" w:name="lt_pId107"/>
      <w:bookmarkStart w:id="51" w:name="_Toc419372736"/>
      <w:r w:rsidRPr="00A62EF7">
        <w:t>Remerciements</w:t>
      </w:r>
      <w:bookmarkEnd w:id="50"/>
      <w:bookmarkEnd w:id="51"/>
    </w:p>
    <w:p w:rsidR="00E80BA0" w:rsidRPr="00A62EF7" w:rsidRDefault="00916DE2" w:rsidP="00E80BA0">
      <w:pPr>
        <w:tabs>
          <w:tab w:val="clear" w:pos="567"/>
          <w:tab w:val="clear" w:pos="1134"/>
          <w:tab w:val="clear" w:pos="1701"/>
          <w:tab w:val="clear" w:pos="2268"/>
          <w:tab w:val="clear" w:pos="2835"/>
        </w:tabs>
        <w:overflowPunct/>
        <w:autoSpaceDE/>
        <w:autoSpaceDN/>
        <w:textAlignment w:val="auto"/>
      </w:pPr>
      <w:bookmarkStart w:id="52" w:name="lt_pId108"/>
      <w:r w:rsidRPr="00A62EF7">
        <w:t>16</w:t>
      </w:r>
      <w:r w:rsidR="00AE5674" w:rsidRPr="00A62EF7">
        <w:tab/>
      </w:r>
      <w:r w:rsidR="00E80BA0" w:rsidRPr="00A62EF7">
        <w:t>Nous tenons à exprimer notre gratitude à tous les fonctionnaires de l'UIT que nous avons sollicités pour obtenir des renseignements et des documents et qui ont collaboré avec nous en toute transparence.</w:t>
      </w:r>
      <w:bookmarkEnd w:id="52"/>
    </w:p>
    <w:p w:rsidR="00BD4FA8" w:rsidRDefault="00BD4FA8">
      <w:pPr>
        <w:tabs>
          <w:tab w:val="clear" w:pos="567"/>
          <w:tab w:val="clear" w:pos="1134"/>
          <w:tab w:val="clear" w:pos="1701"/>
          <w:tab w:val="clear" w:pos="2268"/>
          <w:tab w:val="clear" w:pos="2835"/>
        </w:tabs>
        <w:overflowPunct/>
        <w:autoSpaceDE/>
        <w:autoSpaceDN/>
        <w:adjustRightInd/>
        <w:spacing w:before="0"/>
        <w:textAlignment w:val="auto"/>
        <w:rPr>
          <w:b/>
          <w:sz w:val="28"/>
        </w:rPr>
      </w:pPr>
      <w:bookmarkStart w:id="53" w:name="lt_pId109"/>
      <w:bookmarkStart w:id="54" w:name="_Toc419372737"/>
      <w:r>
        <w:br w:type="page"/>
      </w:r>
    </w:p>
    <w:p w:rsidR="00E80BA0" w:rsidRPr="00A62EF7" w:rsidRDefault="00E80BA0" w:rsidP="00916DE2">
      <w:pPr>
        <w:pStyle w:val="Heading1"/>
      </w:pPr>
      <w:r w:rsidRPr="00A62EF7">
        <w:t>PASSAGE AUX NORMES IPSAS</w:t>
      </w:r>
      <w:bookmarkEnd w:id="53"/>
      <w:bookmarkEnd w:id="54"/>
    </w:p>
    <w:p w:rsidR="00E80BA0" w:rsidRPr="00A62EF7" w:rsidRDefault="00916DE2" w:rsidP="00E80BA0">
      <w:pPr>
        <w:tabs>
          <w:tab w:val="clear" w:pos="567"/>
          <w:tab w:val="clear" w:pos="1134"/>
          <w:tab w:val="clear" w:pos="1701"/>
          <w:tab w:val="clear" w:pos="2268"/>
          <w:tab w:val="clear" w:pos="2835"/>
        </w:tabs>
        <w:overflowPunct/>
        <w:autoSpaceDE/>
        <w:autoSpaceDN/>
        <w:textAlignment w:val="auto"/>
      </w:pPr>
      <w:bookmarkStart w:id="55" w:name="lt_pId110"/>
      <w:r w:rsidRPr="00A62EF7">
        <w:t>17</w:t>
      </w:r>
      <w:r w:rsidRPr="00A62EF7">
        <w:tab/>
      </w:r>
      <w:r w:rsidR="00E80BA0" w:rsidRPr="00A62EF7">
        <w:t>Depuis le passage aux normes IPSAS, les comptes des manifestations ITU Telecom World sont bouclés au plus tard à la fin de l'exercice comptable durant lequel l'exposition a lieu, afin de respecter le principe du fait générateur.</w:t>
      </w:r>
      <w:bookmarkEnd w:id="55"/>
      <w:r w:rsidR="00E80BA0" w:rsidRPr="00A62EF7">
        <w:t xml:space="preserve"> </w:t>
      </w:r>
      <w:bookmarkStart w:id="56" w:name="lt_pId111"/>
      <w:r w:rsidR="00E80BA0" w:rsidRPr="00A62EF7">
        <w:t>C'est pourquoi les comptes d'ITU Telecom World 2014 ont été bouclés au 31 décembre 2014.</w:t>
      </w:r>
      <w:bookmarkEnd w:id="56"/>
    </w:p>
    <w:p w:rsidR="00E80BA0" w:rsidRPr="00A62EF7" w:rsidRDefault="00E80BA0" w:rsidP="007561DF">
      <w:pPr>
        <w:pStyle w:val="Heading1"/>
      </w:pPr>
      <w:bookmarkStart w:id="57" w:name="lt_pId112"/>
      <w:bookmarkStart w:id="58" w:name="_Toc419372738"/>
      <w:r w:rsidRPr="00A62EF7">
        <w:t>CHIFFRES CLÉ</w:t>
      </w:r>
      <w:bookmarkEnd w:id="57"/>
      <w:r w:rsidR="007561DF" w:rsidRPr="00A62EF7">
        <w:t>S</w:t>
      </w:r>
      <w:bookmarkEnd w:id="58"/>
    </w:p>
    <w:p w:rsidR="00E80BA0" w:rsidRDefault="007561DF" w:rsidP="00022E3C">
      <w:pPr>
        <w:tabs>
          <w:tab w:val="clear" w:pos="567"/>
          <w:tab w:val="clear" w:pos="1134"/>
          <w:tab w:val="clear" w:pos="1701"/>
          <w:tab w:val="clear" w:pos="2268"/>
          <w:tab w:val="clear" w:pos="2835"/>
        </w:tabs>
        <w:overflowPunct/>
        <w:autoSpaceDE/>
        <w:autoSpaceDN/>
        <w:textAlignment w:val="auto"/>
      </w:pPr>
      <w:bookmarkStart w:id="59" w:name="lt_pId113"/>
      <w:r w:rsidRPr="00A62EF7">
        <w:t>18</w:t>
      </w:r>
      <w:r w:rsidRPr="00A62EF7">
        <w:tab/>
      </w:r>
      <w:r w:rsidR="00E80BA0" w:rsidRPr="00A62EF7">
        <w:t>Le montant total des charges et des produits inscrits au budget et le montant des charges et des produits effectifs sont résumés dans le tableau ci-après:</w:t>
      </w:r>
      <w:bookmarkEnd w:id="59"/>
    </w:p>
    <w:p w:rsidR="00AD132A" w:rsidRDefault="00AD132A" w:rsidP="00022E3C">
      <w:pPr>
        <w:tabs>
          <w:tab w:val="clear" w:pos="567"/>
          <w:tab w:val="clear" w:pos="1134"/>
          <w:tab w:val="clear" w:pos="1701"/>
          <w:tab w:val="clear" w:pos="2268"/>
          <w:tab w:val="clear" w:pos="2835"/>
        </w:tabs>
        <w:overflowPunct/>
        <w:autoSpaceDE/>
        <w:autoSpaceDN/>
        <w:textAlignment w:val="auto"/>
      </w:pPr>
    </w:p>
    <w:tbl>
      <w:tblPr>
        <w:tblW w:w="966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73"/>
        <w:gridCol w:w="1276"/>
        <w:gridCol w:w="1559"/>
        <w:gridCol w:w="1276"/>
        <w:gridCol w:w="1843"/>
        <w:gridCol w:w="1842"/>
      </w:tblGrid>
      <w:tr w:rsidR="00AD132A" w:rsidRPr="00AD132A" w:rsidTr="009C6F43">
        <w:trPr>
          <w:trHeight w:val="1119"/>
        </w:trPr>
        <w:tc>
          <w:tcPr>
            <w:tcW w:w="1873" w:type="dxa"/>
            <w:shd w:val="solid" w:color="C0C0C0" w:fill="auto"/>
            <w:vAlign w:val="center"/>
          </w:tcPr>
          <w:p w:rsidR="00AD132A" w:rsidRPr="0087022F" w:rsidRDefault="00AD132A" w:rsidP="009C6F43">
            <w:pPr>
              <w:pStyle w:val="Tablehead"/>
              <w:rPr>
                <w:sz w:val="18"/>
                <w:szCs w:val="18"/>
                <w:lang w:val="ru-RU" w:eastAsia="zh-CN"/>
              </w:rPr>
            </w:pPr>
            <w:r w:rsidRPr="0087022F">
              <w:rPr>
                <w:sz w:val="18"/>
                <w:szCs w:val="18"/>
                <w:lang w:val="ru-RU" w:eastAsia="zh-CN"/>
              </w:rPr>
              <w:t xml:space="preserve">ITU Telecom </w:t>
            </w:r>
            <w:r>
              <w:rPr>
                <w:sz w:val="18"/>
                <w:szCs w:val="18"/>
                <w:lang w:val="ru-RU" w:eastAsia="zh-CN"/>
              </w:rPr>
              <w:br/>
            </w:r>
            <w:r>
              <w:rPr>
                <w:sz w:val="18"/>
                <w:szCs w:val="18"/>
                <w:lang w:val="fr-CH" w:eastAsia="zh-CN"/>
              </w:rPr>
              <w:t>World</w:t>
            </w:r>
            <w:r w:rsidRPr="00AD132A">
              <w:rPr>
                <w:sz w:val="18"/>
                <w:szCs w:val="18"/>
                <w:lang w:val="ru-RU" w:eastAsia="zh-CN"/>
              </w:rPr>
              <w:t xml:space="preserve"> </w:t>
            </w:r>
            <w:r w:rsidRPr="0087022F">
              <w:rPr>
                <w:sz w:val="18"/>
                <w:szCs w:val="18"/>
                <w:lang w:val="ru-RU" w:eastAsia="zh-CN"/>
              </w:rPr>
              <w:t>2014</w:t>
            </w:r>
          </w:p>
        </w:tc>
        <w:tc>
          <w:tcPr>
            <w:tcW w:w="1276" w:type="dxa"/>
            <w:shd w:val="solid" w:color="C0C0C0" w:fill="auto"/>
            <w:vAlign w:val="center"/>
          </w:tcPr>
          <w:p w:rsidR="00AD132A" w:rsidRPr="00AD132A" w:rsidRDefault="00AD132A" w:rsidP="008232AB">
            <w:pPr>
              <w:pStyle w:val="Tablehead"/>
              <w:rPr>
                <w:sz w:val="18"/>
                <w:szCs w:val="18"/>
                <w:lang w:val="fr-CH" w:eastAsia="zh-CN"/>
              </w:rPr>
            </w:pPr>
            <w:r>
              <w:rPr>
                <w:sz w:val="18"/>
                <w:szCs w:val="18"/>
                <w:lang w:val="fr-CH" w:eastAsia="zh-CN"/>
              </w:rPr>
              <w:t>Inscrits au budget</w:t>
            </w:r>
            <w:r w:rsidRPr="00AD132A">
              <w:rPr>
                <w:sz w:val="18"/>
                <w:szCs w:val="18"/>
                <w:lang w:val="fr-CH" w:eastAsia="zh-CN"/>
              </w:rPr>
              <w:br/>
            </w:r>
            <w:r w:rsidR="008232AB">
              <w:rPr>
                <w:sz w:val="18"/>
                <w:szCs w:val="18"/>
                <w:lang w:val="fr-CH" w:eastAsia="zh-CN"/>
              </w:rPr>
              <w:t>(9/</w:t>
            </w:r>
            <w:r w:rsidRPr="00AD132A">
              <w:rPr>
                <w:sz w:val="18"/>
                <w:szCs w:val="18"/>
                <w:lang w:val="fr-CH" w:eastAsia="zh-CN"/>
              </w:rPr>
              <w:t>6</w:t>
            </w:r>
            <w:r w:rsidR="008232AB">
              <w:rPr>
                <w:sz w:val="18"/>
                <w:szCs w:val="18"/>
                <w:lang w:val="fr-CH" w:eastAsia="zh-CN"/>
              </w:rPr>
              <w:t>/</w:t>
            </w:r>
            <w:r w:rsidRPr="00AD132A">
              <w:rPr>
                <w:sz w:val="18"/>
                <w:szCs w:val="18"/>
                <w:lang w:val="fr-CH" w:eastAsia="zh-CN"/>
              </w:rPr>
              <w:t>2014)</w:t>
            </w:r>
            <w:r w:rsidRPr="00AD132A">
              <w:rPr>
                <w:sz w:val="18"/>
                <w:szCs w:val="18"/>
                <w:lang w:val="fr-CH" w:eastAsia="zh-CN"/>
              </w:rPr>
              <w:br/>
            </w:r>
            <w:r>
              <w:rPr>
                <w:sz w:val="18"/>
                <w:szCs w:val="18"/>
                <w:lang w:val="fr-CH" w:eastAsia="zh-CN"/>
              </w:rPr>
              <w:t>CHF</w:t>
            </w:r>
          </w:p>
        </w:tc>
        <w:tc>
          <w:tcPr>
            <w:tcW w:w="1559" w:type="dxa"/>
            <w:shd w:val="solid" w:color="C0C0C0" w:fill="auto"/>
            <w:vAlign w:val="center"/>
          </w:tcPr>
          <w:p w:rsidR="00AD132A" w:rsidRPr="00AD132A" w:rsidRDefault="00AD132A" w:rsidP="008232AB">
            <w:pPr>
              <w:pStyle w:val="Tablehead"/>
              <w:rPr>
                <w:sz w:val="18"/>
                <w:szCs w:val="18"/>
                <w:lang w:val="fr-CH" w:eastAsia="zh-CN"/>
              </w:rPr>
            </w:pPr>
            <w:r>
              <w:rPr>
                <w:sz w:val="18"/>
                <w:szCs w:val="18"/>
                <w:lang w:val="fr-CH" w:eastAsia="zh-CN"/>
              </w:rPr>
              <w:t>Inscrits</w:t>
            </w:r>
            <w:r w:rsidRPr="00AD132A">
              <w:rPr>
                <w:sz w:val="18"/>
                <w:szCs w:val="18"/>
                <w:lang w:val="fr-CH" w:eastAsia="zh-CN"/>
              </w:rPr>
              <w:t xml:space="preserve"> </w:t>
            </w:r>
            <w:r>
              <w:rPr>
                <w:sz w:val="18"/>
                <w:szCs w:val="18"/>
                <w:lang w:val="fr-CH" w:eastAsia="zh-CN"/>
              </w:rPr>
              <w:t>au</w:t>
            </w:r>
            <w:r w:rsidRPr="00AD132A">
              <w:rPr>
                <w:sz w:val="18"/>
                <w:szCs w:val="18"/>
                <w:lang w:val="fr-CH" w:eastAsia="zh-CN"/>
              </w:rPr>
              <w:t xml:space="preserve"> </w:t>
            </w:r>
            <w:r w:rsidRPr="00AD132A">
              <w:rPr>
                <w:sz w:val="18"/>
                <w:szCs w:val="18"/>
                <w:lang w:val="fr-CH" w:eastAsia="zh-CN"/>
              </w:rPr>
              <w:br/>
            </w:r>
            <w:r>
              <w:rPr>
                <w:sz w:val="18"/>
                <w:szCs w:val="18"/>
                <w:lang w:val="fr-CH" w:eastAsia="zh-CN"/>
              </w:rPr>
              <w:t>budget</w:t>
            </w:r>
            <w:r w:rsidRPr="00AD132A">
              <w:rPr>
                <w:sz w:val="18"/>
                <w:szCs w:val="18"/>
                <w:lang w:val="fr-CH" w:eastAsia="zh-CN"/>
              </w:rPr>
              <w:t xml:space="preserve"> </w:t>
            </w:r>
            <w:r>
              <w:rPr>
                <w:sz w:val="18"/>
                <w:szCs w:val="18"/>
                <w:lang w:val="fr-CH" w:eastAsia="zh-CN"/>
              </w:rPr>
              <w:t>r</w:t>
            </w:r>
            <w:r w:rsidRPr="00AD132A">
              <w:rPr>
                <w:sz w:val="18"/>
                <w:szCs w:val="18"/>
                <w:lang w:val="fr-CH" w:eastAsia="zh-CN"/>
              </w:rPr>
              <w:t>é</w:t>
            </w:r>
            <w:r>
              <w:rPr>
                <w:sz w:val="18"/>
                <w:szCs w:val="18"/>
                <w:lang w:val="fr-CH" w:eastAsia="zh-CN"/>
              </w:rPr>
              <w:t>vis</w:t>
            </w:r>
            <w:r w:rsidRPr="00AD132A">
              <w:rPr>
                <w:sz w:val="18"/>
                <w:szCs w:val="18"/>
                <w:lang w:val="fr-CH" w:eastAsia="zh-CN"/>
              </w:rPr>
              <w:t>é</w:t>
            </w:r>
            <w:r w:rsidRPr="00AD132A">
              <w:rPr>
                <w:sz w:val="18"/>
                <w:szCs w:val="18"/>
                <w:lang w:val="fr-CH" w:eastAsia="zh-CN"/>
              </w:rPr>
              <w:br/>
              <w:t>(31</w:t>
            </w:r>
            <w:r w:rsidR="008232AB">
              <w:rPr>
                <w:sz w:val="18"/>
                <w:szCs w:val="18"/>
                <w:lang w:val="fr-CH" w:eastAsia="zh-CN"/>
              </w:rPr>
              <w:t>/</w:t>
            </w:r>
            <w:r w:rsidRPr="00AD132A">
              <w:rPr>
                <w:sz w:val="18"/>
                <w:szCs w:val="18"/>
                <w:lang w:val="fr-CH" w:eastAsia="zh-CN"/>
              </w:rPr>
              <w:t>10</w:t>
            </w:r>
            <w:r w:rsidR="008232AB">
              <w:rPr>
                <w:sz w:val="18"/>
                <w:szCs w:val="18"/>
                <w:lang w:val="fr-CH" w:eastAsia="zh-CN"/>
              </w:rPr>
              <w:t>/</w:t>
            </w:r>
            <w:r w:rsidRPr="00AD132A">
              <w:rPr>
                <w:sz w:val="18"/>
                <w:szCs w:val="18"/>
                <w:lang w:val="fr-CH" w:eastAsia="zh-CN"/>
              </w:rPr>
              <w:t>2014</w:t>
            </w:r>
            <w:r>
              <w:rPr>
                <w:sz w:val="18"/>
                <w:szCs w:val="18"/>
                <w:lang w:val="fr-CH" w:eastAsia="zh-CN"/>
              </w:rPr>
              <w:t>)</w:t>
            </w:r>
            <w:r w:rsidRPr="00AD132A">
              <w:rPr>
                <w:sz w:val="18"/>
                <w:szCs w:val="18"/>
                <w:lang w:val="fr-CH" w:eastAsia="zh-CN"/>
              </w:rPr>
              <w:br/>
            </w:r>
            <w:r>
              <w:rPr>
                <w:sz w:val="18"/>
                <w:szCs w:val="18"/>
                <w:lang w:val="fr-CH" w:eastAsia="zh-CN"/>
              </w:rPr>
              <w:t>CHF</w:t>
            </w:r>
          </w:p>
        </w:tc>
        <w:tc>
          <w:tcPr>
            <w:tcW w:w="1276" w:type="dxa"/>
            <w:shd w:val="solid" w:color="C0C0C0" w:fill="auto"/>
            <w:vAlign w:val="center"/>
          </w:tcPr>
          <w:p w:rsidR="00AD132A" w:rsidRPr="00AD132A" w:rsidRDefault="00AD132A" w:rsidP="009C6F43">
            <w:pPr>
              <w:pStyle w:val="Tablehead"/>
              <w:rPr>
                <w:sz w:val="18"/>
                <w:szCs w:val="18"/>
                <w:lang w:val="fr-CH" w:eastAsia="zh-CN"/>
              </w:rPr>
            </w:pPr>
            <w:r>
              <w:rPr>
                <w:sz w:val="18"/>
                <w:szCs w:val="18"/>
                <w:lang w:val="fr-CH" w:eastAsia="zh-CN"/>
              </w:rPr>
              <w:t>Montants</w:t>
            </w:r>
            <w:r>
              <w:rPr>
                <w:sz w:val="18"/>
                <w:szCs w:val="18"/>
                <w:lang w:val="fr-CH" w:eastAsia="zh-CN"/>
              </w:rPr>
              <w:br/>
              <w:t>effectifs</w:t>
            </w:r>
            <w:r>
              <w:rPr>
                <w:sz w:val="18"/>
                <w:szCs w:val="18"/>
                <w:lang w:val="fr-CH" w:eastAsia="zh-CN"/>
              </w:rPr>
              <w:br/>
              <w:t>CHF</w:t>
            </w:r>
          </w:p>
        </w:tc>
        <w:tc>
          <w:tcPr>
            <w:tcW w:w="1843" w:type="dxa"/>
            <w:shd w:val="solid" w:color="C0C0C0" w:fill="auto"/>
            <w:vAlign w:val="center"/>
          </w:tcPr>
          <w:p w:rsidR="00AD132A" w:rsidRPr="00AD132A" w:rsidRDefault="00AD132A" w:rsidP="009C6F43">
            <w:pPr>
              <w:pStyle w:val="Tablehead"/>
              <w:rPr>
                <w:sz w:val="18"/>
                <w:szCs w:val="18"/>
                <w:lang w:val="fr-CH" w:eastAsia="zh-CN"/>
              </w:rPr>
            </w:pPr>
            <w:r>
              <w:rPr>
                <w:sz w:val="18"/>
                <w:szCs w:val="18"/>
                <w:lang w:val="fr-CH" w:eastAsia="zh-CN"/>
              </w:rPr>
              <w:t xml:space="preserve">Ecart entre les montants effectifs </w:t>
            </w:r>
            <w:r>
              <w:rPr>
                <w:sz w:val="18"/>
                <w:szCs w:val="18"/>
                <w:lang w:val="fr-CH" w:eastAsia="zh-CN"/>
              </w:rPr>
              <w:br/>
              <w:t>et le budget initial</w:t>
            </w:r>
            <w:r w:rsidRPr="00AD132A">
              <w:rPr>
                <w:sz w:val="18"/>
                <w:szCs w:val="18"/>
                <w:lang w:val="fr-CH" w:eastAsia="zh-CN"/>
              </w:rPr>
              <w:br/>
              <w:t>%</w:t>
            </w:r>
          </w:p>
        </w:tc>
        <w:tc>
          <w:tcPr>
            <w:tcW w:w="1842" w:type="dxa"/>
            <w:shd w:val="solid" w:color="C0C0C0" w:fill="auto"/>
            <w:vAlign w:val="center"/>
          </w:tcPr>
          <w:p w:rsidR="00AD132A" w:rsidRPr="00AD132A" w:rsidRDefault="00AD132A" w:rsidP="00AD132A">
            <w:pPr>
              <w:pStyle w:val="Tablehead"/>
              <w:rPr>
                <w:sz w:val="18"/>
                <w:szCs w:val="18"/>
                <w:lang w:val="fr-CH" w:eastAsia="zh-CN"/>
              </w:rPr>
            </w:pPr>
            <w:r>
              <w:rPr>
                <w:sz w:val="18"/>
                <w:szCs w:val="18"/>
                <w:lang w:val="fr-CH" w:eastAsia="zh-CN"/>
              </w:rPr>
              <w:t xml:space="preserve">Ecart entre les montants effectifs </w:t>
            </w:r>
            <w:r>
              <w:rPr>
                <w:sz w:val="18"/>
                <w:szCs w:val="18"/>
                <w:lang w:val="fr-CH" w:eastAsia="zh-CN"/>
              </w:rPr>
              <w:br/>
              <w:t xml:space="preserve">et le budget </w:t>
            </w:r>
            <w:r>
              <w:rPr>
                <w:sz w:val="18"/>
                <w:szCs w:val="18"/>
                <w:lang w:val="fr-CH" w:eastAsia="zh-CN"/>
              </w:rPr>
              <w:t>révisé</w:t>
            </w:r>
            <w:r w:rsidRPr="00AD132A">
              <w:rPr>
                <w:sz w:val="18"/>
                <w:szCs w:val="18"/>
                <w:lang w:val="fr-CH" w:eastAsia="zh-CN"/>
              </w:rPr>
              <w:br/>
              <w:t>%</w:t>
            </w:r>
          </w:p>
        </w:tc>
      </w:tr>
      <w:tr w:rsidR="00AD132A" w:rsidRPr="0087022F" w:rsidTr="009C6F43">
        <w:trPr>
          <w:trHeight w:val="290"/>
        </w:trPr>
        <w:tc>
          <w:tcPr>
            <w:tcW w:w="1873" w:type="dxa"/>
          </w:tcPr>
          <w:p w:rsidR="00AD132A" w:rsidRPr="00AD132A" w:rsidRDefault="00AD132A" w:rsidP="009C6F43">
            <w:pPr>
              <w:pStyle w:val="Tabletext"/>
              <w:rPr>
                <w:sz w:val="18"/>
                <w:szCs w:val="18"/>
                <w:lang w:val="fr-CH" w:eastAsia="zh-CN"/>
              </w:rPr>
            </w:pPr>
            <w:r>
              <w:rPr>
                <w:sz w:val="18"/>
                <w:szCs w:val="18"/>
                <w:lang w:val="fr-CH" w:eastAsia="zh-CN"/>
              </w:rPr>
              <w:t>Produits</w:t>
            </w:r>
          </w:p>
        </w:tc>
        <w:tc>
          <w:tcPr>
            <w:tcW w:w="1276" w:type="dxa"/>
          </w:tcPr>
          <w:p w:rsidR="00AD132A" w:rsidRPr="00AD132A" w:rsidRDefault="00AD132A" w:rsidP="009C6F43">
            <w:pPr>
              <w:pStyle w:val="Tabletext"/>
              <w:ind w:right="111"/>
              <w:jc w:val="right"/>
              <w:rPr>
                <w:sz w:val="18"/>
                <w:szCs w:val="18"/>
                <w:lang w:val="fr-CH" w:eastAsia="zh-CN"/>
              </w:rPr>
            </w:pPr>
            <w:r w:rsidRPr="00AD132A">
              <w:rPr>
                <w:sz w:val="18"/>
                <w:szCs w:val="18"/>
                <w:lang w:val="fr-CH" w:eastAsia="zh-CN"/>
              </w:rPr>
              <w:t>12 000 000</w:t>
            </w:r>
          </w:p>
        </w:tc>
        <w:tc>
          <w:tcPr>
            <w:tcW w:w="1559" w:type="dxa"/>
          </w:tcPr>
          <w:p w:rsidR="00AD132A" w:rsidRPr="00AD132A" w:rsidRDefault="00AD132A" w:rsidP="009C6F43">
            <w:pPr>
              <w:pStyle w:val="Tabletext"/>
              <w:ind w:right="112"/>
              <w:jc w:val="right"/>
              <w:rPr>
                <w:sz w:val="18"/>
                <w:szCs w:val="18"/>
                <w:lang w:val="fr-CH" w:eastAsia="zh-CN"/>
              </w:rPr>
            </w:pPr>
            <w:r w:rsidRPr="00AD132A">
              <w:rPr>
                <w:sz w:val="18"/>
                <w:szCs w:val="18"/>
                <w:lang w:val="fr-CH" w:eastAsia="zh-CN"/>
              </w:rPr>
              <w:t>9 462 000</w:t>
            </w:r>
          </w:p>
        </w:tc>
        <w:tc>
          <w:tcPr>
            <w:tcW w:w="1276" w:type="dxa"/>
          </w:tcPr>
          <w:p w:rsidR="00AD132A" w:rsidRPr="00AD132A" w:rsidRDefault="00AD132A" w:rsidP="009C6F43">
            <w:pPr>
              <w:pStyle w:val="Tabletext"/>
              <w:ind w:right="112"/>
              <w:jc w:val="right"/>
              <w:rPr>
                <w:sz w:val="18"/>
                <w:szCs w:val="18"/>
                <w:lang w:val="fr-CH" w:eastAsia="zh-CN"/>
              </w:rPr>
            </w:pPr>
            <w:r w:rsidRPr="00AD132A">
              <w:rPr>
                <w:sz w:val="18"/>
                <w:szCs w:val="18"/>
                <w:lang w:val="fr-CH" w:eastAsia="zh-CN"/>
              </w:rPr>
              <w:t>9 525 070,28</w:t>
            </w:r>
          </w:p>
        </w:tc>
        <w:tc>
          <w:tcPr>
            <w:tcW w:w="1843" w:type="dxa"/>
          </w:tcPr>
          <w:p w:rsidR="00AD132A" w:rsidRPr="00AD132A" w:rsidRDefault="00AD132A" w:rsidP="009C6F43">
            <w:pPr>
              <w:pStyle w:val="Tabletext"/>
              <w:ind w:right="112"/>
              <w:jc w:val="right"/>
              <w:rPr>
                <w:sz w:val="18"/>
                <w:szCs w:val="18"/>
                <w:lang w:val="fr-CH" w:eastAsia="zh-CN"/>
              </w:rPr>
            </w:pPr>
            <w:r w:rsidRPr="00AD132A">
              <w:rPr>
                <w:sz w:val="18"/>
                <w:szCs w:val="18"/>
                <w:lang w:val="fr-CH" w:eastAsia="zh-CN"/>
              </w:rPr>
              <w:t>−20,62</w:t>
            </w:r>
          </w:p>
        </w:tc>
        <w:tc>
          <w:tcPr>
            <w:tcW w:w="1842" w:type="dxa"/>
          </w:tcPr>
          <w:p w:rsidR="00AD132A" w:rsidRPr="00AD132A" w:rsidRDefault="00AD132A" w:rsidP="009C6F43">
            <w:pPr>
              <w:pStyle w:val="Tabletext"/>
              <w:ind w:right="112"/>
              <w:jc w:val="right"/>
              <w:rPr>
                <w:sz w:val="18"/>
                <w:szCs w:val="18"/>
                <w:lang w:val="fr-CH" w:eastAsia="zh-CN"/>
              </w:rPr>
            </w:pPr>
            <w:r w:rsidRPr="00AD132A">
              <w:rPr>
                <w:sz w:val="18"/>
                <w:szCs w:val="18"/>
                <w:lang w:val="fr-CH" w:eastAsia="zh-CN"/>
              </w:rPr>
              <w:t>0,67</w:t>
            </w:r>
          </w:p>
        </w:tc>
      </w:tr>
      <w:tr w:rsidR="00AD132A" w:rsidRPr="0087022F" w:rsidTr="009C6F43">
        <w:trPr>
          <w:trHeight w:val="290"/>
        </w:trPr>
        <w:tc>
          <w:tcPr>
            <w:tcW w:w="1873" w:type="dxa"/>
            <w:shd w:val="clear" w:color="auto" w:fill="DBE5F1" w:themeFill="accent1" w:themeFillTint="33"/>
          </w:tcPr>
          <w:p w:rsidR="00AD132A" w:rsidRPr="00AD132A" w:rsidRDefault="00AD132A" w:rsidP="009C6F43">
            <w:pPr>
              <w:pStyle w:val="Tabletext"/>
              <w:rPr>
                <w:sz w:val="18"/>
                <w:szCs w:val="18"/>
                <w:lang w:val="fr-CH" w:eastAsia="zh-CN"/>
              </w:rPr>
            </w:pPr>
            <w:r>
              <w:rPr>
                <w:sz w:val="18"/>
                <w:szCs w:val="18"/>
                <w:lang w:val="fr-CH" w:eastAsia="zh-CN"/>
              </w:rPr>
              <w:t>Charges</w:t>
            </w:r>
          </w:p>
        </w:tc>
        <w:tc>
          <w:tcPr>
            <w:tcW w:w="1276" w:type="dxa"/>
            <w:shd w:val="clear" w:color="auto" w:fill="DBE5F1" w:themeFill="accent1" w:themeFillTint="33"/>
          </w:tcPr>
          <w:p w:rsidR="00AD132A" w:rsidRPr="0087022F" w:rsidRDefault="00AD132A" w:rsidP="009C6F43">
            <w:pPr>
              <w:pStyle w:val="Tabletext"/>
              <w:ind w:right="111"/>
              <w:jc w:val="right"/>
              <w:rPr>
                <w:sz w:val="18"/>
                <w:szCs w:val="18"/>
                <w:lang w:val="ru-RU" w:eastAsia="zh-CN"/>
              </w:rPr>
            </w:pPr>
            <w:r w:rsidRPr="00AD132A">
              <w:rPr>
                <w:sz w:val="18"/>
                <w:szCs w:val="18"/>
                <w:lang w:val="fr-CH" w:eastAsia="zh-CN"/>
              </w:rPr>
              <w:t xml:space="preserve">11 483 </w:t>
            </w:r>
            <w:r w:rsidRPr="0087022F">
              <w:rPr>
                <w:sz w:val="18"/>
                <w:szCs w:val="18"/>
                <w:lang w:val="ru-RU" w:eastAsia="zh-CN"/>
              </w:rPr>
              <w:t>500</w:t>
            </w:r>
          </w:p>
        </w:tc>
        <w:tc>
          <w:tcPr>
            <w:tcW w:w="1559" w:type="dxa"/>
            <w:shd w:val="clear" w:color="auto" w:fill="DBE5F1" w:themeFill="accent1" w:themeFillTint="33"/>
          </w:tcPr>
          <w:p w:rsidR="00AD132A" w:rsidRPr="0087022F" w:rsidRDefault="00AD132A" w:rsidP="009C6F43">
            <w:pPr>
              <w:pStyle w:val="Tabletext"/>
              <w:ind w:right="112"/>
              <w:jc w:val="right"/>
              <w:rPr>
                <w:sz w:val="18"/>
                <w:szCs w:val="18"/>
                <w:lang w:val="ru-RU" w:eastAsia="zh-CN"/>
              </w:rPr>
            </w:pPr>
            <w:r w:rsidRPr="0087022F">
              <w:rPr>
                <w:sz w:val="18"/>
                <w:szCs w:val="18"/>
                <w:lang w:val="ru-RU" w:eastAsia="zh-CN"/>
              </w:rPr>
              <w:t>9 431 500</w:t>
            </w:r>
          </w:p>
        </w:tc>
        <w:tc>
          <w:tcPr>
            <w:tcW w:w="1276" w:type="dxa"/>
            <w:shd w:val="clear" w:color="auto" w:fill="DBE5F1" w:themeFill="accent1" w:themeFillTint="33"/>
          </w:tcPr>
          <w:p w:rsidR="00AD132A" w:rsidRPr="0087022F" w:rsidRDefault="00AD132A" w:rsidP="009C6F43">
            <w:pPr>
              <w:pStyle w:val="Tabletext"/>
              <w:ind w:right="112"/>
              <w:jc w:val="right"/>
              <w:rPr>
                <w:sz w:val="18"/>
                <w:szCs w:val="18"/>
                <w:lang w:val="ru-RU" w:eastAsia="zh-CN"/>
              </w:rPr>
            </w:pPr>
            <w:r w:rsidRPr="0087022F">
              <w:rPr>
                <w:sz w:val="18"/>
                <w:szCs w:val="18"/>
                <w:lang w:val="ru-RU" w:eastAsia="zh-CN"/>
              </w:rPr>
              <w:t>8 740 564,52</w:t>
            </w:r>
          </w:p>
        </w:tc>
        <w:tc>
          <w:tcPr>
            <w:tcW w:w="1843" w:type="dxa"/>
            <w:shd w:val="clear" w:color="auto" w:fill="DBE5F1" w:themeFill="accent1" w:themeFillTint="33"/>
          </w:tcPr>
          <w:p w:rsidR="00AD132A" w:rsidRPr="0087022F" w:rsidRDefault="00AD132A" w:rsidP="009C6F43">
            <w:pPr>
              <w:pStyle w:val="Tabletext"/>
              <w:ind w:right="112"/>
              <w:jc w:val="right"/>
              <w:rPr>
                <w:sz w:val="18"/>
                <w:szCs w:val="18"/>
                <w:lang w:val="ru-RU" w:eastAsia="zh-CN"/>
              </w:rPr>
            </w:pPr>
            <w:r w:rsidRPr="0087022F">
              <w:rPr>
                <w:sz w:val="18"/>
                <w:szCs w:val="18"/>
                <w:lang w:val="ru-RU" w:eastAsia="zh-CN"/>
              </w:rPr>
              <w:t>−23,89</w:t>
            </w:r>
          </w:p>
        </w:tc>
        <w:tc>
          <w:tcPr>
            <w:tcW w:w="1842" w:type="dxa"/>
            <w:shd w:val="clear" w:color="auto" w:fill="DBE5F1" w:themeFill="accent1" w:themeFillTint="33"/>
          </w:tcPr>
          <w:p w:rsidR="00AD132A" w:rsidRPr="0087022F" w:rsidRDefault="00AD132A" w:rsidP="009C6F43">
            <w:pPr>
              <w:pStyle w:val="Tabletext"/>
              <w:ind w:right="112"/>
              <w:jc w:val="right"/>
              <w:rPr>
                <w:sz w:val="18"/>
                <w:szCs w:val="18"/>
                <w:lang w:val="ru-RU" w:eastAsia="zh-CN"/>
              </w:rPr>
            </w:pPr>
            <w:r w:rsidRPr="0087022F">
              <w:rPr>
                <w:sz w:val="18"/>
                <w:szCs w:val="18"/>
                <w:lang w:val="ru-RU" w:eastAsia="zh-CN"/>
              </w:rPr>
              <w:t>−7,33</w:t>
            </w:r>
          </w:p>
        </w:tc>
      </w:tr>
      <w:tr w:rsidR="00AD132A" w:rsidRPr="0087022F" w:rsidTr="009C6F43">
        <w:trPr>
          <w:trHeight w:val="290"/>
        </w:trPr>
        <w:tc>
          <w:tcPr>
            <w:tcW w:w="1873" w:type="dxa"/>
            <w:shd w:val="clear" w:color="auto" w:fill="DBE5F1" w:themeFill="accent1" w:themeFillTint="33"/>
          </w:tcPr>
          <w:p w:rsidR="00AD132A" w:rsidRPr="00AD132A" w:rsidRDefault="00AD132A" w:rsidP="00AD132A">
            <w:pPr>
              <w:pStyle w:val="Tabletext"/>
              <w:rPr>
                <w:i/>
                <w:iCs/>
                <w:sz w:val="18"/>
                <w:szCs w:val="18"/>
                <w:lang w:val="fr-CH" w:eastAsia="zh-CN"/>
              </w:rPr>
            </w:pPr>
            <w:r w:rsidRPr="00AD132A">
              <w:rPr>
                <w:i/>
                <w:iCs/>
                <w:sz w:val="18"/>
                <w:szCs w:val="18"/>
                <w:lang w:val="fr-CH" w:eastAsia="zh-CN"/>
              </w:rPr>
              <w:t>Charges</w:t>
            </w:r>
            <w:r w:rsidRPr="00AD132A">
              <w:rPr>
                <w:i/>
                <w:iCs/>
                <w:sz w:val="18"/>
                <w:szCs w:val="18"/>
                <w:lang w:val="ru-RU" w:eastAsia="zh-CN"/>
              </w:rPr>
              <w:t xml:space="preserve"> </w:t>
            </w:r>
            <w:r w:rsidRPr="00AD132A">
              <w:rPr>
                <w:i/>
                <w:iCs/>
                <w:sz w:val="18"/>
                <w:szCs w:val="18"/>
                <w:lang w:val="fr-CH" w:eastAsia="zh-CN"/>
              </w:rPr>
              <w:t>directes</w:t>
            </w:r>
          </w:p>
        </w:tc>
        <w:tc>
          <w:tcPr>
            <w:tcW w:w="1276" w:type="dxa"/>
            <w:shd w:val="clear" w:color="auto" w:fill="DBE5F1" w:themeFill="accent1" w:themeFillTint="33"/>
          </w:tcPr>
          <w:p w:rsidR="00AD132A" w:rsidRPr="0087022F" w:rsidRDefault="00AD132A" w:rsidP="009C6F43">
            <w:pPr>
              <w:pStyle w:val="Tabletext"/>
              <w:ind w:right="111"/>
              <w:jc w:val="right"/>
              <w:rPr>
                <w:i/>
                <w:iCs/>
                <w:sz w:val="18"/>
                <w:szCs w:val="18"/>
                <w:lang w:val="ru-RU" w:eastAsia="zh-CN"/>
              </w:rPr>
            </w:pPr>
            <w:r w:rsidRPr="0087022F">
              <w:rPr>
                <w:i/>
                <w:iCs/>
                <w:sz w:val="18"/>
                <w:szCs w:val="18"/>
                <w:lang w:val="ru-RU" w:eastAsia="zh-CN"/>
              </w:rPr>
              <w:t>6 635 500</w:t>
            </w:r>
          </w:p>
        </w:tc>
        <w:tc>
          <w:tcPr>
            <w:tcW w:w="1559" w:type="dxa"/>
            <w:shd w:val="clear" w:color="auto" w:fill="DBE5F1" w:themeFill="accent1" w:themeFillTint="33"/>
          </w:tcPr>
          <w:p w:rsidR="00AD132A" w:rsidRPr="0087022F" w:rsidRDefault="00AD132A" w:rsidP="009C6F43">
            <w:pPr>
              <w:pStyle w:val="Tabletext"/>
              <w:ind w:right="112"/>
              <w:jc w:val="right"/>
              <w:rPr>
                <w:i/>
                <w:iCs/>
                <w:sz w:val="18"/>
                <w:szCs w:val="18"/>
                <w:lang w:val="ru-RU" w:eastAsia="zh-CN"/>
              </w:rPr>
            </w:pPr>
            <w:r w:rsidRPr="0087022F">
              <w:rPr>
                <w:i/>
                <w:iCs/>
                <w:sz w:val="18"/>
                <w:szCs w:val="18"/>
                <w:lang w:val="ru-RU" w:eastAsia="zh-CN"/>
              </w:rPr>
              <w:t>5 031 500</w:t>
            </w:r>
          </w:p>
        </w:tc>
        <w:tc>
          <w:tcPr>
            <w:tcW w:w="1276" w:type="dxa"/>
            <w:shd w:val="clear" w:color="auto" w:fill="DBE5F1" w:themeFill="accent1" w:themeFillTint="33"/>
          </w:tcPr>
          <w:p w:rsidR="00AD132A" w:rsidRPr="0087022F" w:rsidRDefault="00AD132A" w:rsidP="009C6F43">
            <w:pPr>
              <w:pStyle w:val="Tabletext"/>
              <w:ind w:right="112"/>
              <w:jc w:val="right"/>
              <w:rPr>
                <w:i/>
                <w:iCs/>
                <w:sz w:val="18"/>
                <w:szCs w:val="18"/>
                <w:lang w:val="ru-RU" w:eastAsia="zh-CN"/>
              </w:rPr>
            </w:pPr>
            <w:r w:rsidRPr="0087022F">
              <w:rPr>
                <w:i/>
                <w:iCs/>
                <w:sz w:val="18"/>
                <w:szCs w:val="18"/>
                <w:lang w:val="ru-RU" w:eastAsia="zh-CN"/>
              </w:rPr>
              <w:t>4 481 624,03</w:t>
            </w:r>
          </w:p>
        </w:tc>
        <w:tc>
          <w:tcPr>
            <w:tcW w:w="1843" w:type="dxa"/>
            <w:shd w:val="clear" w:color="auto" w:fill="DBE5F1" w:themeFill="accent1" w:themeFillTint="33"/>
          </w:tcPr>
          <w:p w:rsidR="00AD132A" w:rsidRPr="0087022F" w:rsidRDefault="00AD132A" w:rsidP="009C6F43">
            <w:pPr>
              <w:pStyle w:val="Tabletext"/>
              <w:ind w:right="112"/>
              <w:jc w:val="right"/>
              <w:rPr>
                <w:i/>
                <w:iCs/>
                <w:sz w:val="18"/>
                <w:szCs w:val="18"/>
                <w:lang w:val="ru-RU" w:eastAsia="zh-CN"/>
              </w:rPr>
            </w:pPr>
            <w:r w:rsidRPr="0087022F">
              <w:rPr>
                <w:i/>
                <w:iCs/>
                <w:sz w:val="18"/>
                <w:szCs w:val="18"/>
                <w:lang w:val="ru-RU" w:eastAsia="zh-CN"/>
              </w:rPr>
              <w:t>−32,46</w:t>
            </w:r>
          </w:p>
        </w:tc>
        <w:tc>
          <w:tcPr>
            <w:tcW w:w="1842" w:type="dxa"/>
            <w:shd w:val="clear" w:color="auto" w:fill="DBE5F1" w:themeFill="accent1" w:themeFillTint="33"/>
          </w:tcPr>
          <w:p w:rsidR="00AD132A" w:rsidRPr="0087022F" w:rsidRDefault="00AD132A" w:rsidP="009C6F43">
            <w:pPr>
              <w:pStyle w:val="Tabletext"/>
              <w:ind w:right="112"/>
              <w:jc w:val="right"/>
              <w:rPr>
                <w:i/>
                <w:iCs/>
                <w:sz w:val="18"/>
                <w:szCs w:val="18"/>
                <w:lang w:val="ru-RU" w:eastAsia="zh-CN"/>
              </w:rPr>
            </w:pPr>
            <w:r w:rsidRPr="0087022F">
              <w:rPr>
                <w:i/>
                <w:iCs/>
                <w:sz w:val="18"/>
                <w:szCs w:val="18"/>
                <w:lang w:val="ru-RU" w:eastAsia="zh-CN"/>
              </w:rPr>
              <w:t>−10,93</w:t>
            </w:r>
          </w:p>
        </w:tc>
      </w:tr>
      <w:tr w:rsidR="00AD132A" w:rsidRPr="0087022F" w:rsidTr="009C6F43">
        <w:trPr>
          <w:trHeight w:val="290"/>
        </w:trPr>
        <w:tc>
          <w:tcPr>
            <w:tcW w:w="1873" w:type="dxa"/>
            <w:shd w:val="clear" w:color="auto" w:fill="DBE5F1" w:themeFill="accent1" w:themeFillTint="33"/>
          </w:tcPr>
          <w:p w:rsidR="00AD132A" w:rsidRPr="0087022F" w:rsidRDefault="00AD132A" w:rsidP="00AD132A">
            <w:pPr>
              <w:pStyle w:val="Tabletext"/>
              <w:rPr>
                <w:i/>
                <w:iCs/>
                <w:sz w:val="18"/>
                <w:szCs w:val="18"/>
                <w:lang w:val="ru-RU" w:eastAsia="zh-CN"/>
              </w:rPr>
            </w:pPr>
            <w:r w:rsidRPr="00AD132A">
              <w:rPr>
                <w:i/>
                <w:iCs/>
                <w:sz w:val="18"/>
                <w:szCs w:val="18"/>
                <w:lang w:val="fr-CH" w:eastAsia="zh-CN"/>
              </w:rPr>
              <w:t>Charges</w:t>
            </w:r>
            <w:r w:rsidRPr="00AD132A">
              <w:rPr>
                <w:i/>
                <w:iCs/>
                <w:sz w:val="18"/>
                <w:szCs w:val="18"/>
                <w:lang w:val="ru-RU" w:eastAsia="zh-CN"/>
              </w:rPr>
              <w:t xml:space="preserve"> </w:t>
            </w:r>
            <w:r>
              <w:rPr>
                <w:i/>
                <w:iCs/>
                <w:sz w:val="18"/>
                <w:szCs w:val="18"/>
                <w:lang w:val="fr-CH" w:eastAsia="zh-CN"/>
              </w:rPr>
              <w:t>de base</w:t>
            </w:r>
          </w:p>
        </w:tc>
        <w:tc>
          <w:tcPr>
            <w:tcW w:w="1276" w:type="dxa"/>
            <w:shd w:val="clear" w:color="auto" w:fill="DBE5F1" w:themeFill="accent1" w:themeFillTint="33"/>
          </w:tcPr>
          <w:p w:rsidR="00AD132A" w:rsidRPr="0087022F" w:rsidRDefault="00AD132A" w:rsidP="009C6F43">
            <w:pPr>
              <w:pStyle w:val="Tabletext"/>
              <w:ind w:right="111"/>
              <w:jc w:val="right"/>
              <w:rPr>
                <w:i/>
                <w:iCs/>
                <w:sz w:val="18"/>
                <w:szCs w:val="18"/>
                <w:lang w:val="ru-RU" w:eastAsia="zh-CN"/>
              </w:rPr>
            </w:pPr>
            <w:r w:rsidRPr="0087022F">
              <w:rPr>
                <w:i/>
                <w:iCs/>
                <w:sz w:val="18"/>
                <w:szCs w:val="18"/>
                <w:lang w:val="ru-RU" w:eastAsia="zh-CN"/>
              </w:rPr>
              <w:t>4 848 000</w:t>
            </w:r>
          </w:p>
        </w:tc>
        <w:tc>
          <w:tcPr>
            <w:tcW w:w="1559" w:type="dxa"/>
            <w:shd w:val="clear" w:color="auto" w:fill="DBE5F1" w:themeFill="accent1" w:themeFillTint="33"/>
          </w:tcPr>
          <w:p w:rsidR="00AD132A" w:rsidRPr="0087022F" w:rsidRDefault="00AD132A" w:rsidP="009C6F43">
            <w:pPr>
              <w:pStyle w:val="Tabletext"/>
              <w:ind w:right="112"/>
              <w:jc w:val="right"/>
              <w:rPr>
                <w:i/>
                <w:iCs/>
                <w:sz w:val="18"/>
                <w:szCs w:val="18"/>
                <w:lang w:val="ru-RU" w:eastAsia="zh-CN"/>
              </w:rPr>
            </w:pPr>
            <w:r w:rsidRPr="0087022F">
              <w:rPr>
                <w:i/>
                <w:iCs/>
                <w:sz w:val="18"/>
                <w:szCs w:val="18"/>
                <w:lang w:val="ru-RU" w:eastAsia="zh-CN"/>
              </w:rPr>
              <w:t>4 400 000</w:t>
            </w:r>
          </w:p>
        </w:tc>
        <w:tc>
          <w:tcPr>
            <w:tcW w:w="1276" w:type="dxa"/>
            <w:shd w:val="clear" w:color="auto" w:fill="DBE5F1" w:themeFill="accent1" w:themeFillTint="33"/>
          </w:tcPr>
          <w:p w:rsidR="00AD132A" w:rsidRPr="0087022F" w:rsidRDefault="00AD132A" w:rsidP="009C6F43">
            <w:pPr>
              <w:pStyle w:val="Tabletext"/>
              <w:ind w:right="112"/>
              <w:jc w:val="right"/>
              <w:rPr>
                <w:i/>
                <w:iCs/>
                <w:sz w:val="18"/>
                <w:szCs w:val="18"/>
                <w:lang w:val="ru-RU" w:eastAsia="zh-CN"/>
              </w:rPr>
            </w:pPr>
            <w:r w:rsidRPr="0087022F">
              <w:rPr>
                <w:i/>
                <w:iCs/>
                <w:sz w:val="18"/>
                <w:szCs w:val="18"/>
                <w:lang w:val="ru-RU" w:eastAsia="zh-CN"/>
              </w:rPr>
              <w:t>4 258 940,46</w:t>
            </w:r>
          </w:p>
        </w:tc>
        <w:tc>
          <w:tcPr>
            <w:tcW w:w="1843" w:type="dxa"/>
            <w:shd w:val="clear" w:color="auto" w:fill="DBE5F1" w:themeFill="accent1" w:themeFillTint="33"/>
          </w:tcPr>
          <w:p w:rsidR="00AD132A" w:rsidRPr="0087022F" w:rsidRDefault="00AD132A" w:rsidP="009C6F43">
            <w:pPr>
              <w:pStyle w:val="Tabletext"/>
              <w:ind w:right="112"/>
              <w:jc w:val="right"/>
              <w:rPr>
                <w:i/>
                <w:iCs/>
                <w:sz w:val="18"/>
                <w:szCs w:val="18"/>
                <w:lang w:val="ru-RU" w:eastAsia="zh-CN"/>
              </w:rPr>
            </w:pPr>
            <w:r w:rsidRPr="0087022F">
              <w:rPr>
                <w:i/>
                <w:iCs/>
                <w:sz w:val="18"/>
                <w:szCs w:val="18"/>
                <w:lang w:val="ru-RU" w:eastAsia="zh-CN"/>
              </w:rPr>
              <w:t>−12,15</w:t>
            </w:r>
          </w:p>
        </w:tc>
        <w:tc>
          <w:tcPr>
            <w:tcW w:w="1842" w:type="dxa"/>
            <w:shd w:val="clear" w:color="auto" w:fill="DBE5F1" w:themeFill="accent1" w:themeFillTint="33"/>
          </w:tcPr>
          <w:p w:rsidR="00AD132A" w:rsidRPr="0087022F" w:rsidRDefault="00AD132A" w:rsidP="009C6F43">
            <w:pPr>
              <w:pStyle w:val="Tabletext"/>
              <w:ind w:right="112"/>
              <w:jc w:val="right"/>
              <w:rPr>
                <w:i/>
                <w:iCs/>
                <w:sz w:val="18"/>
                <w:szCs w:val="18"/>
                <w:lang w:val="ru-RU" w:eastAsia="zh-CN"/>
              </w:rPr>
            </w:pPr>
            <w:r w:rsidRPr="0087022F">
              <w:rPr>
                <w:i/>
                <w:iCs/>
                <w:sz w:val="18"/>
                <w:szCs w:val="18"/>
                <w:lang w:val="ru-RU" w:eastAsia="zh-CN"/>
              </w:rPr>
              <w:t>−3,21</w:t>
            </w:r>
          </w:p>
        </w:tc>
      </w:tr>
      <w:tr w:rsidR="00AD132A" w:rsidRPr="0087022F" w:rsidTr="009C6F43">
        <w:trPr>
          <w:trHeight w:val="290"/>
        </w:trPr>
        <w:tc>
          <w:tcPr>
            <w:tcW w:w="1873" w:type="dxa"/>
          </w:tcPr>
          <w:p w:rsidR="00AD132A" w:rsidRPr="00AD132A" w:rsidRDefault="00AD132A" w:rsidP="009C6F43">
            <w:pPr>
              <w:pStyle w:val="Tabletext"/>
              <w:rPr>
                <w:b/>
                <w:bCs/>
                <w:sz w:val="18"/>
                <w:szCs w:val="18"/>
                <w:lang w:val="fr-CH" w:eastAsia="zh-CN"/>
              </w:rPr>
            </w:pPr>
            <w:r>
              <w:rPr>
                <w:b/>
                <w:bCs/>
                <w:sz w:val="18"/>
                <w:szCs w:val="18"/>
                <w:lang w:val="fr-CH" w:eastAsia="zh-CN"/>
              </w:rPr>
              <w:t>Résultat net</w:t>
            </w:r>
          </w:p>
        </w:tc>
        <w:tc>
          <w:tcPr>
            <w:tcW w:w="1276" w:type="dxa"/>
          </w:tcPr>
          <w:p w:rsidR="00AD132A" w:rsidRPr="0087022F" w:rsidRDefault="00AD132A" w:rsidP="009C6F43">
            <w:pPr>
              <w:pStyle w:val="Tabletext"/>
              <w:ind w:right="111"/>
              <w:jc w:val="right"/>
              <w:rPr>
                <w:b/>
                <w:bCs/>
                <w:sz w:val="18"/>
                <w:szCs w:val="18"/>
                <w:lang w:val="ru-RU" w:eastAsia="zh-CN"/>
              </w:rPr>
            </w:pPr>
            <w:r w:rsidRPr="0087022F">
              <w:rPr>
                <w:b/>
                <w:bCs/>
                <w:sz w:val="18"/>
                <w:szCs w:val="18"/>
                <w:lang w:val="ru-RU" w:eastAsia="zh-CN"/>
              </w:rPr>
              <w:t>516 500</w:t>
            </w:r>
          </w:p>
        </w:tc>
        <w:tc>
          <w:tcPr>
            <w:tcW w:w="1559" w:type="dxa"/>
          </w:tcPr>
          <w:p w:rsidR="00AD132A" w:rsidRPr="0087022F" w:rsidRDefault="00AD132A" w:rsidP="009C6F43">
            <w:pPr>
              <w:pStyle w:val="Tabletext"/>
              <w:ind w:right="112"/>
              <w:jc w:val="right"/>
              <w:rPr>
                <w:b/>
                <w:bCs/>
                <w:sz w:val="18"/>
                <w:szCs w:val="18"/>
                <w:lang w:val="ru-RU" w:eastAsia="zh-CN"/>
              </w:rPr>
            </w:pPr>
            <w:r w:rsidRPr="0087022F">
              <w:rPr>
                <w:b/>
                <w:bCs/>
                <w:sz w:val="18"/>
                <w:szCs w:val="18"/>
                <w:lang w:val="ru-RU" w:eastAsia="zh-CN"/>
              </w:rPr>
              <w:t>30 500</w:t>
            </w:r>
          </w:p>
        </w:tc>
        <w:tc>
          <w:tcPr>
            <w:tcW w:w="1276" w:type="dxa"/>
          </w:tcPr>
          <w:p w:rsidR="00AD132A" w:rsidRPr="0087022F" w:rsidRDefault="00AD132A" w:rsidP="009C6F43">
            <w:pPr>
              <w:pStyle w:val="Tabletext"/>
              <w:ind w:right="112"/>
              <w:jc w:val="right"/>
              <w:rPr>
                <w:b/>
                <w:bCs/>
                <w:sz w:val="18"/>
                <w:szCs w:val="18"/>
                <w:lang w:val="ru-RU" w:eastAsia="zh-CN"/>
              </w:rPr>
            </w:pPr>
            <w:r w:rsidRPr="0087022F">
              <w:rPr>
                <w:b/>
                <w:bCs/>
                <w:sz w:val="18"/>
                <w:szCs w:val="18"/>
                <w:lang w:val="ru-RU" w:eastAsia="zh-CN"/>
              </w:rPr>
              <w:t>784 505,76</w:t>
            </w:r>
          </w:p>
        </w:tc>
        <w:tc>
          <w:tcPr>
            <w:tcW w:w="1843" w:type="dxa"/>
          </w:tcPr>
          <w:p w:rsidR="00AD132A" w:rsidRPr="0087022F" w:rsidRDefault="00AD132A" w:rsidP="009C6F43">
            <w:pPr>
              <w:pStyle w:val="Tabletext"/>
              <w:ind w:right="112"/>
              <w:jc w:val="right"/>
              <w:rPr>
                <w:b/>
                <w:bCs/>
                <w:sz w:val="18"/>
                <w:szCs w:val="18"/>
                <w:lang w:val="ru-RU" w:eastAsia="zh-CN"/>
              </w:rPr>
            </w:pPr>
            <w:r w:rsidRPr="0087022F">
              <w:rPr>
                <w:b/>
                <w:bCs/>
                <w:sz w:val="18"/>
                <w:szCs w:val="18"/>
                <w:lang w:val="ru-RU" w:eastAsia="zh-CN"/>
              </w:rPr>
              <w:t>51,89</w:t>
            </w:r>
          </w:p>
        </w:tc>
        <w:tc>
          <w:tcPr>
            <w:tcW w:w="1842" w:type="dxa"/>
          </w:tcPr>
          <w:p w:rsidR="00AD132A" w:rsidRPr="0087022F" w:rsidRDefault="00AD132A" w:rsidP="009C6F43">
            <w:pPr>
              <w:pStyle w:val="Tabletext"/>
              <w:ind w:right="112"/>
              <w:jc w:val="right"/>
              <w:rPr>
                <w:b/>
                <w:bCs/>
                <w:sz w:val="18"/>
                <w:szCs w:val="18"/>
                <w:lang w:val="ru-RU" w:eastAsia="zh-CN"/>
              </w:rPr>
            </w:pPr>
            <w:r w:rsidRPr="0087022F">
              <w:rPr>
                <w:b/>
                <w:bCs/>
                <w:sz w:val="18"/>
                <w:szCs w:val="18"/>
                <w:lang w:val="ru-RU" w:eastAsia="zh-CN"/>
              </w:rPr>
              <w:t>2 472,15</w:t>
            </w:r>
          </w:p>
        </w:tc>
      </w:tr>
    </w:tbl>
    <w:p w:rsidR="00AD132A" w:rsidRDefault="00AD132A" w:rsidP="00022E3C">
      <w:pPr>
        <w:tabs>
          <w:tab w:val="clear" w:pos="567"/>
          <w:tab w:val="clear" w:pos="1134"/>
          <w:tab w:val="clear" w:pos="1701"/>
          <w:tab w:val="clear" w:pos="2268"/>
          <w:tab w:val="clear" w:pos="2835"/>
        </w:tabs>
        <w:overflowPunct/>
        <w:autoSpaceDE/>
        <w:autoSpaceDN/>
        <w:textAlignment w:val="auto"/>
      </w:pPr>
    </w:p>
    <w:p w:rsidR="00E80BA0" w:rsidRPr="00A62EF7" w:rsidRDefault="00022E3C" w:rsidP="00022E3C">
      <w:pPr>
        <w:tabs>
          <w:tab w:val="clear" w:pos="567"/>
          <w:tab w:val="clear" w:pos="1134"/>
          <w:tab w:val="clear" w:pos="1701"/>
          <w:tab w:val="clear" w:pos="2268"/>
          <w:tab w:val="clear" w:pos="2835"/>
        </w:tabs>
        <w:overflowPunct/>
        <w:autoSpaceDE/>
        <w:autoSpaceDN/>
        <w:spacing w:before="240"/>
        <w:textAlignment w:val="auto"/>
      </w:pPr>
      <w:bookmarkStart w:id="60" w:name="lt_pId114"/>
      <w:r w:rsidRPr="00A62EF7">
        <w:t>19</w:t>
      </w:r>
      <w:r w:rsidRPr="00A62EF7">
        <w:tab/>
      </w:r>
      <w:r w:rsidR="00E80BA0" w:rsidRPr="00A62EF7">
        <w:t>La comparaison du montant effectif et du montant inscrit au budget révisé pour ce qui est du résultat net révèle un écart important, qui tient en grande partie à certaines économies réalisées en ce qui concerne les charges directes. Veuillez vous reporter au paragraphe 29 concernant nos avis sur la</w:t>
      </w:r>
      <w:r w:rsidR="00470597" w:rsidRPr="00A62EF7">
        <w:t xml:space="preserve"> </w:t>
      </w:r>
      <w:r w:rsidR="00E80BA0" w:rsidRPr="00A62EF7">
        <w:t>nécessité d</w:t>
      </w:r>
      <w:r w:rsidR="003C6DD3" w:rsidRPr="00A62EF7">
        <w:t>'</w:t>
      </w:r>
      <w:r w:rsidR="00E80BA0" w:rsidRPr="00A62EF7">
        <w:t>une plus grande précision dans l</w:t>
      </w:r>
      <w:r w:rsidR="003C6DD3" w:rsidRPr="00A62EF7">
        <w:t>'</w:t>
      </w:r>
      <w:r w:rsidR="00E80BA0" w:rsidRPr="00A62EF7">
        <w:t>élaboration du budget.</w:t>
      </w:r>
    </w:p>
    <w:p w:rsidR="00E80BA0" w:rsidRPr="00A62EF7" w:rsidRDefault="00E80BA0" w:rsidP="00BD4FA8">
      <w:pPr>
        <w:pStyle w:val="Headingb"/>
      </w:pPr>
      <w:bookmarkStart w:id="61" w:name="lt_pId115"/>
      <w:bookmarkStart w:id="62" w:name="lt_pId116"/>
      <w:bookmarkStart w:id="63" w:name="_Toc419372739"/>
      <w:bookmarkEnd w:id="60"/>
      <w:bookmarkEnd w:id="61"/>
      <w:r w:rsidRPr="00A62EF7">
        <w:t>Fonds de roulement des expositions</w:t>
      </w:r>
      <w:bookmarkEnd w:id="62"/>
      <w:bookmarkEnd w:id="63"/>
    </w:p>
    <w:p w:rsidR="00E80BA0" w:rsidRPr="00A62EF7" w:rsidRDefault="00022E3C" w:rsidP="00E80BA0">
      <w:pPr>
        <w:tabs>
          <w:tab w:val="clear" w:pos="567"/>
          <w:tab w:val="clear" w:pos="1134"/>
          <w:tab w:val="clear" w:pos="1701"/>
          <w:tab w:val="clear" w:pos="2268"/>
          <w:tab w:val="clear" w:pos="2835"/>
        </w:tabs>
        <w:overflowPunct/>
        <w:autoSpaceDE/>
        <w:autoSpaceDN/>
        <w:textAlignment w:val="auto"/>
      </w:pPr>
      <w:bookmarkStart w:id="64" w:name="lt_pId117"/>
      <w:r w:rsidRPr="00A62EF7">
        <w:t>20</w:t>
      </w:r>
      <w:r w:rsidRPr="00A62EF7">
        <w:tab/>
      </w:r>
      <w:r w:rsidR="00E80BA0" w:rsidRPr="00A62EF7">
        <w:t>Comme énoncé au paragraphe 4 de l'Article 19</w:t>
      </w:r>
      <w:bookmarkEnd w:id="64"/>
      <w:r w:rsidR="00E80BA0" w:rsidRPr="00A62EF7">
        <w:t xml:space="preserve"> </w:t>
      </w:r>
      <w:bookmarkStart w:id="65" w:name="lt_pId118"/>
      <w:r w:rsidR="00E80BA0" w:rsidRPr="00A62EF7">
        <w:t>du Règlement financier de l'UIT, tout excédent de produits ou de charges résultant d'expositions mondiales ou régionales est transféré dans un Fonds de roulement des expositions.</w:t>
      </w:r>
      <w:bookmarkEnd w:id="65"/>
      <w:r w:rsidR="00E80BA0" w:rsidRPr="00A62EF7">
        <w:t xml:space="preserve"> </w:t>
      </w:r>
    </w:p>
    <w:p w:rsidR="00E80BA0" w:rsidRPr="00A62EF7" w:rsidRDefault="00022E3C" w:rsidP="00BD4FA8">
      <w:pPr>
        <w:tabs>
          <w:tab w:val="clear" w:pos="567"/>
          <w:tab w:val="clear" w:pos="1134"/>
          <w:tab w:val="clear" w:pos="1701"/>
          <w:tab w:val="clear" w:pos="2268"/>
          <w:tab w:val="clear" w:pos="2835"/>
        </w:tabs>
        <w:overflowPunct/>
        <w:autoSpaceDE/>
        <w:autoSpaceDN/>
        <w:textAlignment w:val="auto"/>
      </w:pPr>
      <w:bookmarkStart w:id="66" w:name="lt_pId119"/>
      <w:r w:rsidRPr="00A62EF7">
        <w:t>21</w:t>
      </w:r>
      <w:r w:rsidRPr="00A62EF7">
        <w:tab/>
      </w:r>
      <w:r w:rsidR="00E80BA0" w:rsidRPr="00A62EF7">
        <w:t>L'excédent dégagé par ITU Telecom World 2014 a permis d'améliorer le solde du Fonds de roulement des expositions.</w:t>
      </w:r>
      <w:bookmarkEnd w:id="66"/>
      <w:r w:rsidR="00E80BA0" w:rsidRPr="00A62EF7">
        <w:t xml:space="preserve"> </w:t>
      </w:r>
      <w:bookmarkStart w:id="67" w:name="lt_pId120"/>
      <w:r w:rsidR="00E80BA0" w:rsidRPr="00A62EF7">
        <w:t>Compte tenu du prélèvement de 2 millions USD (1 820 018,2 CHF) effectué au mois d'août 2014 pour alimenter le Fond pour le développement des télécommunications (FDTIC), le solde du Fonds de roulement des expositions au 31</w:t>
      </w:r>
      <w:r w:rsidR="00BD4FA8">
        <w:t> </w:t>
      </w:r>
      <w:r w:rsidR="00E80BA0" w:rsidRPr="00A62EF7">
        <w:t>décembre</w:t>
      </w:r>
      <w:r w:rsidR="00BD4FA8">
        <w:t> </w:t>
      </w:r>
      <w:r w:rsidR="00E80BA0" w:rsidRPr="00A62EF7">
        <w:t>2014 était légèrement inférieur à 9 millions CHF.</w:t>
      </w:r>
      <w:bookmarkEnd w:id="67"/>
    </w:p>
    <w:p w:rsidR="003C6DD3" w:rsidRPr="00A62EF7" w:rsidRDefault="003C6DD3" w:rsidP="00E80BA0">
      <w:pPr>
        <w:tabs>
          <w:tab w:val="clear" w:pos="567"/>
          <w:tab w:val="clear" w:pos="1134"/>
          <w:tab w:val="clear" w:pos="1701"/>
          <w:tab w:val="clear" w:pos="2268"/>
          <w:tab w:val="clear" w:pos="2835"/>
        </w:tabs>
        <w:overflowPunct/>
        <w:autoSpaceDE/>
        <w:autoSpaceDN/>
        <w:textAlignment w:val="auto"/>
      </w:pPr>
      <w:bookmarkStart w:id="68" w:name="lt_pId121"/>
      <w:r w:rsidRPr="00A62EF7">
        <w:br w:type="page"/>
      </w:r>
    </w:p>
    <w:p w:rsidR="00E80BA0" w:rsidRPr="00A62EF7" w:rsidRDefault="00022E3C" w:rsidP="00E80BA0">
      <w:pPr>
        <w:tabs>
          <w:tab w:val="clear" w:pos="567"/>
          <w:tab w:val="clear" w:pos="1134"/>
          <w:tab w:val="clear" w:pos="1701"/>
          <w:tab w:val="clear" w:pos="2268"/>
          <w:tab w:val="clear" w:pos="2835"/>
        </w:tabs>
        <w:overflowPunct/>
        <w:autoSpaceDE/>
        <w:autoSpaceDN/>
        <w:textAlignment w:val="auto"/>
      </w:pPr>
      <w:r w:rsidRPr="00A62EF7">
        <w:t>22</w:t>
      </w:r>
      <w:r w:rsidRPr="00A62EF7">
        <w:tab/>
      </w:r>
      <w:r w:rsidR="00E80BA0" w:rsidRPr="00A62EF7">
        <w:t>L'évolution du solde du Fonds de roulement des expositions au 31 décembre des six dernières années est présentée ci-dessous:</w:t>
      </w:r>
      <w:bookmarkEnd w:id="68"/>
    </w:p>
    <w:p w:rsidR="00470597" w:rsidRPr="00A62EF7" w:rsidRDefault="003C6DD3" w:rsidP="003C6DD3">
      <w:pPr>
        <w:keepNext/>
        <w:ind w:left="6946"/>
        <w:rPr>
          <w:sz w:val="18"/>
          <w:szCs w:val="18"/>
        </w:rPr>
      </w:pPr>
      <w:r w:rsidRPr="00A62EF7">
        <w:rPr>
          <w:sz w:val="18"/>
          <w:szCs w:val="18"/>
        </w:rPr>
        <w:t xml:space="preserve"> (en millions </w:t>
      </w:r>
      <w:r w:rsidR="00470597" w:rsidRPr="00A62EF7">
        <w:rPr>
          <w:sz w:val="18"/>
          <w:szCs w:val="18"/>
        </w:rPr>
        <w:t>CHF)</w:t>
      </w:r>
    </w:p>
    <w:p w:rsidR="00470597" w:rsidRPr="00A62EF7" w:rsidRDefault="00470597" w:rsidP="00470597">
      <w:pPr>
        <w:ind w:left="567"/>
      </w:pPr>
      <w:r w:rsidRPr="00A62EF7">
        <w:rPr>
          <w:noProof/>
          <w:lang w:val="en-US" w:eastAsia="zh-CN"/>
        </w:rPr>
        <w:drawing>
          <wp:inline distT="0" distB="0" distL="0" distR="0" wp14:anchorId="13E5788D" wp14:editId="654E86D9">
            <wp:extent cx="4631871" cy="1807029"/>
            <wp:effectExtent l="0" t="0" r="16510" b="3175"/>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70597" w:rsidRPr="00A62EF7" w:rsidRDefault="00470597" w:rsidP="00470597">
      <w:pPr>
        <w:ind w:left="568"/>
      </w:pPr>
      <w:r w:rsidRPr="00A62EF7">
        <w:rPr>
          <w:noProof/>
          <w:lang w:val="en-US" w:eastAsia="zh-CN"/>
        </w:rPr>
        <w:drawing>
          <wp:inline distT="0" distB="0" distL="0" distR="0" wp14:anchorId="10981391" wp14:editId="35336842">
            <wp:extent cx="4561114" cy="228702"/>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514" cy="229875"/>
                    </a:xfrm>
                    <a:prstGeom prst="rect">
                      <a:avLst/>
                    </a:prstGeom>
                    <a:noFill/>
                  </pic:spPr>
                </pic:pic>
              </a:graphicData>
            </a:graphic>
          </wp:inline>
        </w:drawing>
      </w:r>
    </w:p>
    <w:p w:rsidR="00E80BA0" w:rsidRPr="00A62EF7" w:rsidRDefault="00E80BA0" w:rsidP="003C6DD3">
      <w:pPr>
        <w:pStyle w:val="Headingb"/>
        <w:spacing w:before="360"/>
      </w:pPr>
      <w:bookmarkStart w:id="69" w:name="lt_pId123"/>
      <w:bookmarkStart w:id="70" w:name="_Toc419372740"/>
      <w:r w:rsidRPr="00A62EF7">
        <w:t>Modifications pertinentes, révision du budget et résultats concrets</w:t>
      </w:r>
      <w:bookmarkEnd w:id="69"/>
      <w:bookmarkEnd w:id="70"/>
    </w:p>
    <w:p w:rsidR="00E80BA0" w:rsidRPr="00A62EF7" w:rsidRDefault="00470597" w:rsidP="00BD4FA8">
      <w:pPr>
        <w:tabs>
          <w:tab w:val="clear" w:pos="567"/>
          <w:tab w:val="clear" w:pos="1134"/>
          <w:tab w:val="clear" w:pos="1701"/>
          <w:tab w:val="clear" w:pos="2268"/>
          <w:tab w:val="clear" w:pos="2835"/>
        </w:tabs>
        <w:overflowPunct/>
        <w:autoSpaceDE/>
        <w:autoSpaceDN/>
        <w:textAlignment w:val="auto"/>
      </w:pPr>
      <w:bookmarkStart w:id="71" w:name="lt_pId124"/>
      <w:r w:rsidRPr="00A62EF7">
        <w:t>23</w:t>
      </w:r>
      <w:r w:rsidRPr="00A62EF7">
        <w:tab/>
      </w:r>
      <w:r w:rsidR="00E80BA0" w:rsidRPr="00A62EF7">
        <w:t>Aux termes de l'Article 1, section X du Manuel des règles et procédures financières de Telecom, "les budgets de chaque manifestation, forum ou autre manifestation TELECOM doivent être établis, approuvés et signés par le Secrétaire général au plus tard six mois avant la date d'ouverture dudit événement".</w:t>
      </w:r>
      <w:bookmarkEnd w:id="71"/>
      <w:r w:rsidRPr="00A62EF7">
        <w:t xml:space="preserve"> </w:t>
      </w:r>
      <w:bookmarkStart w:id="72" w:name="lt_pId125"/>
      <w:r w:rsidR="00E80BA0" w:rsidRPr="00A62EF7">
        <w:t>Le budget d'ITU Telecom World 2014 a été approuvé le 9</w:t>
      </w:r>
      <w:r w:rsidR="00BD4FA8">
        <w:t> </w:t>
      </w:r>
      <w:r w:rsidR="00E80BA0" w:rsidRPr="00A62EF7">
        <w:t>juin</w:t>
      </w:r>
      <w:r w:rsidR="00BD4FA8">
        <w:t> </w:t>
      </w:r>
      <w:r w:rsidR="00E80BA0" w:rsidRPr="00A62EF7">
        <w:t>2014.</w:t>
      </w:r>
      <w:bookmarkEnd w:id="72"/>
    </w:p>
    <w:p w:rsidR="00E80BA0" w:rsidRPr="00A62EF7" w:rsidRDefault="00470597" w:rsidP="00E80BA0">
      <w:pPr>
        <w:tabs>
          <w:tab w:val="clear" w:pos="567"/>
          <w:tab w:val="clear" w:pos="1134"/>
          <w:tab w:val="clear" w:pos="1701"/>
          <w:tab w:val="clear" w:pos="2268"/>
          <w:tab w:val="clear" w:pos="2835"/>
        </w:tabs>
        <w:overflowPunct/>
        <w:autoSpaceDE/>
        <w:autoSpaceDN/>
        <w:textAlignment w:val="auto"/>
      </w:pPr>
      <w:bookmarkStart w:id="73" w:name="lt_pId126"/>
      <w:r w:rsidRPr="00A62EF7">
        <w:t>24</w:t>
      </w:r>
      <w:r w:rsidRPr="00A62EF7">
        <w:tab/>
      </w:r>
      <w:r w:rsidR="00E80BA0" w:rsidRPr="00A62EF7">
        <w:t>D'après l'Article 4, section X du Manuel des règles et procédures financières de TELECOM, "les budgets doivent être révisés si et lorsque des modifications importantes sont prévues au plus tard un mois avant l'ouverture de l'événement".</w:t>
      </w:r>
      <w:bookmarkEnd w:id="73"/>
    </w:p>
    <w:p w:rsidR="00E80BA0" w:rsidRPr="00A62EF7" w:rsidRDefault="00470597" w:rsidP="00E80BA0">
      <w:pPr>
        <w:tabs>
          <w:tab w:val="clear" w:pos="567"/>
          <w:tab w:val="clear" w:pos="1134"/>
          <w:tab w:val="clear" w:pos="1701"/>
          <w:tab w:val="clear" w:pos="2268"/>
          <w:tab w:val="clear" w:pos="2835"/>
        </w:tabs>
        <w:overflowPunct/>
        <w:autoSpaceDE/>
        <w:autoSpaceDN/>
        <w:textAlignment w:val="auto"/>
      </w:pPr>
      <w:bookmarkStart w:id="74" w:name="lt_pId127"/>
      <w:r w:rsidRPr="00A62EF7">
        <w:t>25</w:t>
      </w:r>
      <w:r w:rsidRPr="00A62EF7">
        <w:tab/>
      </w:r>
      <w:r w:rsidR="00E80BA0" w:rsidRPr="00A62EF7">
        <w:t>Un budget révisé a été approuvé le 31 octobre 2014, car on avait constaté d'importants écarts par rapport aux estimations des produits et des charges figurant dans le budget initial.</w:t>
      </w:r>
      <w:bookmarkEnd w:id="74"/>
      <w:r w:rsidR="00E80BA0" w:rsidRPr="00A62EF7">
        <w:t xml:space="preserve"> </w:t>
      </w:r>
      <w:bookmarkStart w:id="75" w:name="lt_pId128"/>
      <w:r w:rsidR="00E80BA0" w:rsidRPr="00A62EF7">
        <w:t>A cette date, l'accord avec le pays hôte n'avait pas encore été signé.</w:t>
      </w:r>
      <w:bookmarkEnd w:id="75"/>
    </w:p>
    <w:p w:rsidR="00E80BA0" w:rsidRPr="00A62EF7" w:rsidRDefault="00470597" w:rsidP="00E80BA0">
      <w:pPr>
        <w:tabs>
          <w:tab w:val="clear" w:pos="567"/>
          <w:tab w:val="clear" w:pos="1134"/>
          <w:tab w:val="clear" w:pos="1701"/>
          <w:tab w:val="clear" w:pos="2268"/>
          <w:tab w:val="clear" w:pos="2835"/>
        </w:tabs>
        <w:overflowPunct/>
        <w:autoSpaceDE/>
        <w:autoSpaceDN/>
        <w:textAlignment w:val="auto"/>
      </w:pPr>
      <w:bookmarkStart w:id="76" w:name="lt_pId129"/>
      <w:r w:rsidRPr="00A62EF7">
        <w:t>26</w:t>
      </w:r>
      <w:r w:rsidRPr="00A62EF7">
        <w:tab/>
      </w:r>
      <w:r w:rsidR="00E80BA0" w:rsidRPr="00A62EF7">
        <w:t>De nombreux écarts ont été constatés suite à des modifications apportées au projet d'accord.</w:t>
      </w:r>
      <w:bookmarkEnd w:id="76"/>
      <w:r w:rsidR="00E80BA0" w:rsidRPr="00A62EF7">
        <w:t xml:space="preserve"> </w:t>
      </w:r>
      <w:bookmarkStart w:id="77" w:name="lt_pId130"/>
      <w:r w:rsidR="00E80BA0" w:rsidRPr="00A62EF7">
        <w:t>La comparaison des montants inscrits au budget et des coûts effectifs est un élément fondamental pour orienter la politique générale et pour assurer la clarté de la comptabilité, ainsi que pour aider le Secrétaire général à mener à bien les tâches qui lui incombent, comme nous l'avions recommandé dans nos précédents rapports.</w:t>
      </w:r>
      <w:bookmarkEnd w:id="77"/>
    </w:p>
    <w:p w:rsidR="00E80BA0" w:rsidRPr="00A62EF7" w:rsidRDefault="00470597" w:rsidP="00470597">
      <w:pPr>
        <w:tabs>
          <w:tab w:val="clear" w:pos="567"/>
          <w:tab w:val="clear" w:pos="1134"/>
          <w:tab w:val="clear" w:pos="1701"/>
          <w:tab w:val="clear" w:pos="2268"/>
          <w:tab w:val="clear" w:pos="2835"/>
        </w:tabs>
        <w:overflowPunct/>
        <w:autoSpaceDE/>
        <w:autoSpaceDN/>
        <w:textAlignment w:val="auto"/>
      </w:pPr>
      <w:bookmarkStart w:id="78" w:name="lt_pId131"/>
      <w:bookmarkStart w:id="79" w:name="_Ref415674516"/>
      <w:r w:rsidRPr="00A62EF7">
        <w:t>27</w:t>
      </w:r>
      <w:r w:rsidRPr="00A62EF7">
        <w:tab/>
      </w:r>
      <w:r w:rsidR="00E80BA0" w:rsidRPr="00A62EF7">
        <w:t xml:space="preserve">Comme indiqué ci-dessus, bien qu'un écart de </w:t>
      </w:r>
      <w:r w:rsidRPr="00A62EF7">
        <w:t>–</w:t>
      </w:r>
      <w:r w:rsidR="00E80BA0" w:rsidRPr="00A62EF7">
        <w:t>20,6% entre les produits effectifs et les produits inscrits au budget initial ait été enregistré, l'écart par rapport aux produits inscrits au budget révisé n'était que de 0,7%.</w:t>
      </w:r>
      <w:bookmarkEnd w:id="78"/>
      <w:r w:rsidR="00E80BA0" w:rsidRPr="00A62EF7">
        <w:t xml:space="preserve"> </w:t>
      </w:r>
      <w:bookmarkStart w:id="80" w:name="lt_pId132"/>
      <w:r w:rsidR="00E80BA0" w:rsidRPr="00A62EF7">
        <w:t xml:space="preserve">Lors de la manifestation précédente, ces écarts s'élevaient respectivement à </w:t>
      </w:r>
      <w:r w:rsidRPr="00A62EF7">
        <w:t>–</w:t>
      </w:r>
      <w:r w:rsidR="00E80BA0" w:rsidRPr="00A62EF7">
        <w:t>4% et 9%.</w:t>
      </w:r>
      <w:bookmarkEnd w:id="80"/>
      <w:r w:rsidR="00E80BA0" w:rsidRPr="00A62EF7">
        <w:t xml:space="preserve"> </w:t>
      </w:r>
      <w:bookmarkStart w:id="81" w:name="lt_pId133"/>
      <w:bookmarkEnd w:id="79"/>
      <w:r w:rsidR="00E80BA0" w:rsidRPr="00A62EF7">
        <w:t xml:space="preserve">Ce résultat constitue une amélioration importante, que nous saluons, et cette plus grande précision répond en partie à la Recommandation 1 que nous avions formulée dans le rapport de l'année passée (voir l'Annexe 1 </w:t>
      </w:r>
      <w:r w:rsidR="00BD4FA8">
        <w:t>–</w:t>
      </w:r>
      <w:r w:rsidR="00E80BA0" w:rsidRPr="00A62EF7">
        <w:t xml:space="preserve"> </w:t>
      </w:r>
      <w:r w:rsidR="00BD4FA8" w:rsidRPr="00A62EF7">
        <w:t>T</w:t>
      </w:r>
      <w:r w:rsidR="00E80BA0" w:rsidRPr="00A62EF7">
        <w:t>ableau de suivi).</w:t>
      </w:r>
      <w:bookmarkEnd w:id="81"/>
    </w:p>
    <w:p w:rsidR="00E80BA0" w:rsidRPr="00A62EF7" w:rsidRDefault="00470597" w:rsidP="00470597">
      <w:pPr>
        <w:tabs>
          <w:tab w:val="clear" w:pos="567"/>
          <w:tab w:val="clear" w:pos="1134"/>
          <w:tab w:val="clear" w:pos="1701"/>
          <w:tab w:val="clear" w:pos="2268"/>
          <w:tab w:val="clear" w:pos="2835"/>
        </w:tabs>
        <w:overflowPunct/>
        <w:autoSpaceDE/>
        <w:autoSpaceDN/>
        <w:textAlignment w:val="auto"/>
      </w:pPr>
      <w:bookmarkStart w:id="82" w:name="lt_pId134"/>
      <w:r w:rsidRPr="00A62EF7">
        <w:t>28</w:t>
      </w:r>
      <w:r w:rsidRPr="00A62EF7">
        <w:tab/>
      </w:r>
      <w:r w:rsidR="00E80BA0" w:rsidRPr="00A62EF7">
        <w:t xml:space="preserve">Des écarts de </w:t>
      </w:r>
      <w:r w:rsidRPr="00A62EF7">
        <w:t>–</w:t>
      </w:r>
      <w:r w:rsidR="00E80BA0" w:rsidRPr="00A62EF7">
        <w:t xml:space="preserve">23,9% entre les charges effectives et les charges inscrites au budget initial et de </w:t>
      </w:r>
      <w:r w:rsidR="00BD4FA8">
        <w:t>–</w:t>
      </w:r>
      <w:r w:rsidR="00E80BA0" w:rsidRPr="00A62EF7">
        <w:t>7,3% entre les charges effectives et les charges inscrites au budget révisé ont été enregistrés.</w:t>
      </w:r>
      <w:bookmarkEnd w:id="82"/>
      <w:r w:rsidR="00E80BA0" w:rsidRPr="00A62EF7">
        <w:t xml:space="preserve"> </w:t>
      </w:r>
      <w:bookmarkStart w:id="83" w:name="lt_pId135"/>
      <w:r w:rsidR="00E80BA0" w:rsidRPr="00A62EF7">
        <w:t xml:space="preserve">Lors de la manifestation précédente, ces écarts s'élevaient respectivement à </w:t>
      </w:r>
      <w:r w:rsidRPr="00A62EF7">
        <w:t>–</w:t>
      </w:r>
      <w:r w:rsidR="00E80BA0" w:rsidRPr="00A62EF7">
        <w:t xml:space="preserve">16% et </w:t>
      </w:r>
      <w:r w:rsidRPr="00A62EF7">
        <w:t>–</w:t>
      </w:r>
      <w:r w:rsidR="00E80BA0" w:rsidRPr="00A62EF7">
        <w:t>2%.</w:t>
      </w:r>
      <w:bookmarkEnd w:id="83"/>
      <w:r w:rsidR="00E80BA0" w:rsidRPr="00A62EF7">
        <w:t xml:space="preserve"> </w:t>
      </w:r>
      <w:bookmarkStart w:id="84" w:name="lt_pId136"/>
      <w:r w:rsidR="00E80BA0" w:rsidRPr="00A62EF7">
        <w:t xml:space="preserve">Il sera tenu compte de ces différences dans le suivi de la </w:t>
      </w:r>
      <w:r w:rsidR="00BD4FA8" w:rsidRPr="00A62EF7">
        <w:t>R</w:t>
      </w:r>
      <w:r w:rsidR="00E80BA0" w:rsidRPr="00A62EF7">
        <w:t>ecommandation susmentionnée.</w:t>
      </w:r>
      <w:bookmarkEnd w:id="84"/>
    </w:p>
    <w:p w:rsidR="00E80BA0" w:rsidRPr="00A62EF7" w:rsidRDefault="00E80BA0" w:rsidP="00470597">
      <w:pPr>
        <w:pStyle w:val="Headingb"/>
      </w:pPr>
      <w:bookmarkStart w:id="85" w:name="lt_pId137"/>
      <w:bookmarkStart w:id="86" w:name="_Toc419372741"/>
      <w:r w:rsidRPr="00A62EF7">
        <w:t>Chiffres effectifs inscrits au budget révisé</w:t>
      </w:r>
      <w:bookmarkEnd w:id="85"/>
      <w:bookmarkEnd w:id="86"/>
    </w:p>
    <w:p w:rsidR="00E80BA0" w:rsidRPr="00A62EF7" w:rsidRDefault="00470597" w:rsidP="00E80BA0">
      <w:pPr>
        <w:tabs>
          <w:tab w:val="clear" w:pos="567"/>
          <w:tab w:val="clear" w:pos="1134"/>
          <w:tab w:val="clear" w:pos="1701"/>
          <w:tab w:val="clear" w:pos="2268"/>
          <w:tab w:val="clear" w:pos="2835"/>
        </w:tabs>
        <w:overflowPunct/>
        <w:autoSpaceDE/>
        <w:autoSpaceDN/>
        <w:textAlignment w:val="auto"/>
      </w:pPr>
      <w:bookmarkStart w:id="87" w:name="lt_pId138"/>
      <w:r w:rsidRPr="00A62EF7">
        <w:t>29</w:t>
      </w:r>
      <w:r w:rsidRPr="00A62EF7">
        <w:tab/>
      </w:r>
      <w:r w:rsidR="00E80BA0" w:rsidRPr="00A62EF7">
        <w:t>La copie du budget révisé établie par la Division du budget et de l'analyse financière contient des notes manuscrites appuyées par des documents SAP dans lesquelles sont indiqués les chiffres effectifs disponibles à la date de l</w:t>
      </w:r>
      <w:r w:rsidR="003C6DD3" w:rsidRPr="00A62EF7">
        <w:t>'</w:t>
      </w:r>
      <w:r w:rsidR="00E80BA0" w:rsidRPr="00A62EF7">
        <w:t>élaboration du budget révisé, conjointement avec les chiffres inscrits au budget. Cette bonne pratique est conforme à la proposition que nous avions formulée dans le rapport de l</w:t>
      </w:r>
      <w:r w:rsidR="003C6DD3" w:rsidRPr="00A62EF7">
        <w:t>'</w:t>
      </w:r>
      <w:r w:rsidR="00E80BA0" w:rsidRPr="00A62EF7">
        <w:t>année dernière (proposition n° 1 de 2013, voir l</w:t>
      </w:r>
      <w:r w:rsidR="003C6DD3" w:rsidRPr="00A62EF7">
        <w:t>'</w:t>
      </w:r>
      <w:r w:rsidR="00E80BA0" w:rsidRPr="00A62EF7">
        <w:t>Annexe 1), dans laquelle nous avions indiqué que lorsqu</w:t>
      </w:r>
      <w:r w:rsidR="003C6DD3" w:rsidRPr="00A62EF7">
        <w:t>'</w:t>
      </w:r>
      <w:r w:rsidR="00E80BA0" w:rsidRPr="00A62EF7">
        <w:t>il est nécessaire de réviser le budget, il est préférable d</w:t>
      </w:r>
      <w:r w:rsidR="003C6DD3" w:rsidRPr="00A62EF7">
        <w:t>'</w:t>
      </w:r>
      <w:r w:rsidR="00E80BA0" w:rsidRPr="00A62EF7">
        <w:t>indiquer les chiffres effectifs à la date de la révision du budget.</w:t>
      </w:r>
    </w:p>
    <w:p w:rsidR="00E80BA0" w:rsidRPr="00A62EF7" w:rsidRDefault="00470597" w:rsidP="00E80BA0">
      <w:pPr>
        <w:tabs>
          <w:tab w:val="clear" w:pos="567"/>
          <w:tab w:val="clear" w:pos="1134"/>
          <w:tab w:val="clear" w:pos="1701"/>
          <w:tab w:val="clear" w:pos="2268"/>
          <w:tab w:val="clear" w:pos="2835"/>
        </w:tabs>
        <w:overflowPunct/>
        <w:autoSpaceDE/>
        <w:autoSpaceDN/>
        <w:textAlignment w:val="auto"/>
      </w:pPr>
      <w:r w:rsidRPr="00A62EF7">
        <w:t>30</w:t>
      </w:r>
      <w:r w:rsidRPr="00A62EF7">
        <w:tab/>
      </w:r>
      <w:r w:rsidR="00E80BA0" w:rsidRPr="00A62EF7">
        <w:t xml:space="preserve">Pour certains produits, nous avons constaté que, dans le budget révisé, le montant indiqué comme </w:t>
      </w:r>
      <w:r w:rsidR="003C6DD3" w:rsidRPr="00A62EF7">
        <w:t>"</w:t>
      </w:r>
      <w:r w:rsidR="00E80BA0" w:rsidRPr="00A62EF7">
        <w:t>effectif</w:t>
      </w:r>
      <w:r w:rsidR="003C6DD3" w:rsidRPr="00A62EF7">
        <w:t>"</w:t>
      </w:r>
      <w:r w:rsidR="00E80BA0" w:rsidRPr="00A62EF7">
        <w:t xml:space="preserve"> à une date donnée était supérieur au montant qui avait été inscrit au budget. Cela tient au fait que les chiffres effectifs avaient été obtenus directement par SAP, sur la base d</w:t>
      </w:r>
      <w:r w:rsidR="003C6DD3" w:rsidRPr="00A62EF7">
        <w:t>'</w:t>
      </w:r>
      <w:r w:rsidR="00E80BA0" w:rsidRPr="00A62EF7">
        <w:t>une facture qui a par la suite été annulée comme cela est indiqué au paragraphe 32 ci-dessous.</w:t>
      </w:r>
    </w:p>
    <w:p w:rsidR="00E80BA0" w:rsidRPr="00A62EF7" w:rsidRDefault="00E80BA0" w:rsidP="00470597">
      <w:pPr>
        <w:pStyle w:val="Headingi"/>
        <w:rPr>
          <w:b/>
          <w:bCs/>
        </w:rPr>
      </w:pPr>
      <w:bookmarkStart w:id="88" w:name="_Toc419372742"/>
      <w:bookmarkStart w:id="89" w:name="_Toc417373386"/>
      <w:bookmarkStart w:id="90" w:name="lt_pId143"/>
      <w:bookmarkEnd w:id="87"/>
      <w:r w:rsidRPr="00A62EF7">
        <w:rPr>
          <w:b/>
          <w:bCs/>
        </w:rPr>
        <w:t>Etablissement de factures avant la conclusion d</w:t>
      </w:r>
      <w:r w:rsidR="003C6DD3" w:rsidRPr="00A62EF7">
        <w:rPr>
          <w:b/>
          <w:bCs/>
        </w:rPr>
        <w:t>'</w:t>
      </w:r>
      <w:r w:rsidRPr="00A62EF7">
        <w:rPr>
          <w:b/>
          <w:bCs/>
        </w:rPr>
        <w:t>un accord de parrainage</w:t>
      </w:r>
      <w:bookmarkEnd w:id="88"/>
    </w:p>
    <w:p w:rsidR="00E80BA0" w:rsidRPr="00A62EF7" w:rsidRDefault="00470597" w:rsidP="00E80BA0">
      <w:pPr>
        <w:tabs>
          <w:tab w:val="clear" w:pos="567"/>
          <w:tab w:val="clear" w:pos="1134"/>
          <w:tab w:val="clear" w:pos="1701"/>
          <w:tab w:val="clear" w:pos="2268"/>
          <w:tab w:val="clear" w:pos="2835"/>
        </w:tabs>
        <w:overflowPunct/>
        <w:autoSpaceDE/>
        <w:autoSpaceDN/>
        <w:textAlignment w:val="auto"/>
      </w:pPr>
      <w:r w:rsidRPr="00A62EF7">
        <w:t>31</w:t>
      </w:r>
      <w:r w:rsidRPr="00A62EF7">
        <w:tab/>
      </w:r>
      <w:r w:rsidR="00E80BA0" w:rsidRPr="00A62EF7">
        <w:t>Nous avons obtenu une facture datée du 8 octobre 2014 (</w:t>
      </w:r>
      <w:r w:rsidR="00BD4FA8" w:rsidRPr="00A62EF7">
        <w:t>N</w:t>
      </w:r>
      <w:r w:rsidR="00E80BA0" w:rsidRPr="00A62EF7">
        <w:t>° 6100014670) établie à la réception d</w:t>
      </w:r>
      <w:r w:rsidR="003C6DD3" w:rsidRPr="00A62EF7">
        <w:t>'</w:t>
      </w:r>
      <w:r w:rsidR="00E80BA0" w:rsidRPr="00A62EF7">
        <w:t>un montant de 1 345 000 CHF versé par l</w:t>
      </w:r>
      <w:r w:rsidR="003C6DD3" w:rsidRPr="00A62EF7">
        <w:t>'</w:t>
      </w:r>
      <w:r w:rsidR="00E80BA0" w:rsidRPr="00A62EF7">
        <w:t>entité organisatrice au titre de parrainage, tandis qu</w:t>
      </w:r>
      <w:r w:rsidR="003C6DD3" w:rsidRPr="00A62EF7">
        <w:t>'</w:t>
      </w:r>
      <w:r w:rsidR="00E80BA0" w:rsidRPr="00A62EF7">
        <w:t>il apparaît dans les chiffres effectifs inscrits au budget révisé que le pays hôte a mené des négociations pour verser un montant inférieur, de 1 171 000 CHF, comme indiqué dans la facture finale du 9 décembre 2014 (</w:t>
      </w:r>
      <w:r w:rsidR="00BD4FA8" w:rsidRPr="00A62EF7">
        <w:t>N</w:t>
      </w:r>
      <w:r w:rsidR="00E80BA0" w:rsidRPr="00A62EF7">
        <w:t>° 6100015479) remplaçant la facture précédente.</w:t>
      </w:r>
    </w:p>
    <w:p w:rsidR="00E80BA0" w:rsidRPr="00A62EF7" w:rsidRDefault="00BB576D" w:rsidP="00BB576D">
      <w:pPr>
        <w:tabs>
          <w:tab w:val="clear" w:pos="567"/>
          <w:tab w:val="clear" w:pos="1134"/>
          <w:tab w:val="clear" w:pos="1701"/>
          <w:tab w:val="clear" w:pos="2268"/>
          <w:tab w:val="clear" w:pos="2835"/>
        </w:tabs>
        <w:overflowPunct/>
        <w:autoSpaceDE/>
        <w:autoSpaceDN/>
        <w:spacing w:after="120"/>
        <w:textAlignment w:val="auto"/>
      </w:pPr>
      <w:r w:rsidRPr="00A62EF7">
        <w:t>32</w:t>
      </w:r>
      <w:r w:rsidRPr="00A62EF7">
        <w:tab/>
      </w:r>
      <w:r w:rsidR="00E80BA0" w:rsidRPr="00A62EF7">
        <w:t>Nous observons que la première facture adressée à l</w:t>
      </w:r>
      <w:r w:rsidR="003C6DD3" w:rsidRPr="00A62EF7">
        <w:t>'</w:t>
      </w:r>
      <w:r w:rsidR="00E80BA0" w:rsidRPr="00A62EF7">
        <w:t>entité organisatrice, sur laquelle figure un montant plus important, a été établie avant la conclusion de l</w:t>
      </w:r>
      <w:r w:rsidR="003C6DD3" w:rsidRPr="00A62EF7">
        <w:t>'</w:t>
      </w:r>
      <w:r w:rsidR="00E80BA0" w:rsidRPr="00A62EF7">
        <w:t>accord de parrainage.</w:t>
      </w:r>
    </w:p>
    <w:tbl>
      <w:tblPr>
        <w:tblStyle w:val="TableGrid"/>
        <w:tblW w:w="0" w:type="auto"/>
        <w:tblLook w:val="04A0" w:firstRow="1" w:lastRow="0" w:firstColumn="1" w:lastColumn="0" w:noHBand="0" w:noVBand="1"/>
      </w:tblPr>
      <w:tblGrid>
        <w:gridCol w:w="9061"/>
      </w:tblGrid>
      <w:tr w:rsidR="00BB576D" w:rsidRPr="00A62EF7" w:rsidTr="00BB576D">
        <w:tc>
          <w:tcPr>
            <w:tcW w:w="9061" w:type="dxa"/>
          </w:tcPr>
          <w:p w:rsidR="00BB576D" w:rsidRPr="00A62EF7" w:rsidRDefault="00BB576D" w:rsidP="00E80BA0">
            <w:pPr>
              <w:tabs>
                <w:tab w:val="clear" w:pos="567"/>
                <w:tab w:val="clear" w:pos="1134"/>
                <w:tab w:val="clear" w:pos="1701"/>
                <w:tab w:val="clear" w:pos="2268"/>
                <w:tab w:val="clear" w:pos="2835"/>
              </w:tabs>
              <w:overflowPunct/>
              <w:autoSpaceDE/>
              <w:autoSpaceDN/>
              <w:textAlignment w:val="auto"/>
              <w:rPr>
                <w:b/>
                <w:bCs/>
              </w:rPr>
            </w:pPr>
            <w:r w:rsidRPr="00A62EF7">
              <w:rPr>
                <w:b/>
                <w:bCs/>
              </w:rPr>
              <w:t>Proposition n° 1</w:t>
            </w:r>
          </w:p>
          <w:p w:rsidR="00BB576D" w:rsidRPr="00A62EF7" w:rsidRDefault="00BD4FA8" w:rsidP="00BB576D">
            <w:pPr>
              <w:tabs>
                <w:tab w:val="clear" w:pos="567"/>
                <w:tab w:val="clear" w:pos="1134"/>
                <w:tab w:val="clear" w:pos="1701"/>
                <w:tab w:val="clear" w:pos="2268"/>
                <w:tab w:val="clear" w:pos="2835"/>
              </w:tabs>
              <w:overflowPunct/>
              <w:autoSpaceDE/>
              <w:autoSpaceDN/>
              <w:spacing w:after="120"/>
              <w:textAlignment w:val="auto"/>
              <w:rPr>
                <w:sz w:val="22"/>
                <w:szCs w:val="22"/>
              </w:rPr>
            </w:pPr>
            <w:r>
              <w:t>33</w:t>
            </w:r>
            <w:r w:rsidR="00BB576D" w:rsidRPr="00A62EF7">
              <w:tab/>
              <w:t xml:space="preserve">Nous </w:t>
            </w:r>
            <w:r w:rsidR="00BB576D" w:rsidRPr="00A62EF7">
              <w:rPr>
                <w:b/>
                <w:bCs/>
              </w:rPr>
              <w:t>proposons</w:t>
            </w:r>
            <w:r w:rsidR="00BB576D" w:rsidRPr="00A62EF7">
              <w:t xml:space="preserve"> que la direction évite d</w:t>
            </w:r>
            <w:r w:rsidR="003C6DD3" w:rsidRPr="00A62EF7">
              <w:t>'</w:t>
            </w:r>
            <w:r w:rsidR="00BB576D" w:rsidRPr="00A62EF7">
              <w:t>établir des factures dans le cadre de parrainages avant la conclusion de l</w:t>
            </w:r>
            <w:r w:rsidR="003C6DD3" w:rsidRPr="00A62EF7">
              <w:t>'</w:t>
            </w:r>
            <w:r w:rsidR="00BB576D" w:rsidRPr="00A62EF7">
              <w:t>accord de parrainage.</w:t>
            </w:r>
          </w:p>
        </w:tc>
      </w:tr>
    </w:tbl>
    <w:p w:rsidR="003C6DD3" w:rsidRPr="00A62EF7" w:rsidRDefault="003C6DD3" w:rsidP="00BB576D">
      <w:pPr>
        <w:tabs>
          <w:tab w:val="clear" w:pos="567"/>
          <w:tab w:val="clear" w:pos="1134"/>
          <w:tab w:val="clear" w:pos="1701"/>
          <w:tab w:val="clear" w:pos="2268"/>
          <w:tab w:val="clear" w:pos="2835"/>
        </w:tabs>
        <w:overflowPunct/>
        <w:autoSpaceDE/>
        <w:autoSpaceDN/>
        <w:spacing w:after="120"/>
        <w:textAlignment w:val="auto"/>
      </w:pPr>
      <w:bookmarkStart w:id="91" w:name="lt_pId149"/>
      <w:bookmarkEnd w:id="89"/>
      <w:bookmarkEnd w:id="90"/>
    </w:p>
    <w:tbl>
      <w:tblPr>
        <w:tblStyle w:val="TableGrid"/>
        <w:tblW w:w="0" w:type="auto"/>
        <w:tblLook w:val="04A0" w:firstRow="1" w:lastRow="0" w:firstColumn="1" w:lastColumn="0" w:noHBand="0" w:noVBand="1"/>
      </w:tblPr>
      <w:tblGrid>
        <w:gridCol w:w="9061"/>
      </w:tblGrid>
      <w:tr w:rsidR="00782619" w:rsidRPr="00A62EF7" w:rsidTr="00BB576D">
        <w:tc>
          <w:tcPr>
            <w:tcW w:w="9061" w:type="dxa"/>
          </w:tcPr>
          <w:p w:rsidR="00782619" w:rsidRPr="008232AB" w:rsidRDefault="00782619" w:rsidP="003C6DD3">
            <w:pPr>
              <w:rPr>
                <w:b/>
                <w:bCs/>
                <w:u w:val="single"/>
              </w:rPr>
            </w:pPr>
            <w:r w:rsidRPr="008232AB">
              <w:rPr>
                <w:b/>
                <w:bCs/>
                <w:u w:val="single"/>
              </w:rPr>
              <w:t>Observations du Secrétaire général</w:t>
            </w:r>
          </w:p>
          <w:p w:rsidR="00782619" w:rsidRPr="00A62EF7" w:rsidRDefault="00782619" w:rsidP="00782619">
            <w:pPr>
              <w:tabs>
                <w:tab w:val="clear" w:pos="567"/>
                <w:tab w:val="clear" w:pos="1134"/>
                <w:tab w:val="clear" w:pos="1701"/>
                <w:tab w:val="clear" w:pos="2268"/>
                <w:tab w:val="clear" w:pos="2835"/>
              </w:tabs>
              <w:overflowPunct/>
              <w:autoSpaceDE/>
              <w:autoSpaceDN/>
              <w:spacing w:after="120"/>
              <w:textAlignment w:val="auto"/>
              <w:rPr>
                <w:sz w:val="22"/>
                <w:szCs w:val="22"/>
              </w:rPr>
            </w:pPr>
            <w:r w:rsidRPr="00A62EF7">
              <w:t>Les factures relatives à des parrainages sont normalement établies uniquement après la conclusion de l</w:t>
            </w:r>
            <w:r w:rsidR="003C6DD3" w:rsidRPr="00A62EF7">
              <w:t>'</w:t>
            </w:r>
            <w:r w:rsidRPr="00A62EF7">
              <w:t>accord de parrainage. Dans ce cas particulier, la facture a été demandée expressément par le sponsor (l</w:t>
            </w:r>
            <w:r w:rsidR="003C6DD3" w:rsidRPr="00A62EF7">
              <w:t>'</w:t>
            </w:r>
            <w:r w:rsidRPr="00A62EF7">
              <w:t>entité organisatrice), qui a ensuite renégocié le montant du parrainage. Le montant révisé du parrainage a été versé par le sponsor sans qu</w:t>
            </w:r>
            <w:r w:rsidR="003C6DD3" w:rsidRPr="00A62EF7">
              <w:t>'</w:t>
            </w:r>
            <w:r w:rsidRPr="00A62EF7">
              <w:t>il ait signé l</w:t>
            </w:r>
            <w:r w:rsidR="003C6DD3" w:rsidRPr="00A62EF7">
              <w:t>'</w:t>
            </w:r>
            <w:r w:rsidRPr="00A62EF7">
              <w:t>accord de parrainage. Néanmoins, tout sera mis en œuvre pour veiller à ce que les factures soient envoyées uniquement après la conclusion de l</w:t>
            </w:r>
            <w:r w:rsidR="003C6DD3" w:rsidRPr="00A62EF7">
              <w:t>'</w:t>
            </w:r>
            <w:r w:rsidRPr="00A62EF7">
              <w:t>accord de parrainage.</w:t>
            </w:r>
          </w:p>
        </w:tc>
      </w:tr>
    </w:tbl>
    <w:p w:rsidR="00E80BA0" w:rsidRPr="00A62EF7" w:rsidRDefault="00E80BA0" w:rsidP="00AE5674">
      <w:pPr>
        <w:pStyle w:val="Headingi"/>
        <w:spacing w:before="360"/>
        <w:ind w:left="0" w:firstLine="0"/>
        <w:rPr>
          <w:b/>
          <w:bCs/>
        </w:rPr>
      </w:pPr>
      <w:bookmarkStart w:id="92" w:name="lt_pId154"/>
      <w:bookmarkStart w:id="93" w:name="_Toc419372743"/>
      <w:bookmarkEnd w:id="91"/>
      <w:r w:rsidRPr="00A62EF7">
        <w:rPr>
          <w:b/>
          <w:bCs/>
        </w:rPr>
        <w:t>Rapport sur la manifestation établissant un lien entre les résultats, les objectifs généraux énoncés dans la Résolution 11 et les indicateurs fondamentaux de performance</w:t>
      </w:r>
      <w:bookmarkEnd w:id="92"/>
      <w:bookmarkEnd w:id="93"/>
    </w:p>
    <w:p w:rsidR="00E80BA0" w:rsidRPr="00A62EF7" w:rsidRDefault="002D5AA3" w:rsidP="00E80BA0">
      <w:pPr>
        <w:tabs>
          <w:tab w:val="clear" w:pos="567"/>
          <w:tab w:val="clear" w:pos="1134"/>
          <w:tab w:val="clear" w:pos="1701"/>
          <w:tab w:val="clear" w:pos="2268"/>
          <w:tab w:val="clear" w:pos="2835"/>
        </w:tabs>
        <w:overflowPunct/>
        <w:autoSpaceDE/>
        <w:autoSpaceDN/>
        <w:textAlignment w:val="auto"/>
      </w:pPr>
      <w:bookmarkStart w:id="94" w:name="lt_pId155"/>
      <w:r w:rsidRPr="00A62EF7">
        <w:t>34</w:t>
      </w:r>
      <w:r w:rsidRPr="00A62EF7">
        <w:tab/>
      </w:r>
      <w:r w:rsidR="00E80BA0" w:rsidRPr="00A62EF7">
        <w:t xml:space="preserve">Aux termes du point 2 du </w:t>
      </w:r>
      <w:r w:rsidR="00E80BA0" w:rsidRPr="00A62EF7">
        <w:rPr>
          <w:i/>
          <w:iCs/>
        </w:rPr>
        <w:t>décide</w:t>
      </w:r>
      <w:r w:rsidR="00E80BA0" w:rsidRPr="00A62EF7">
        <w:t xml:space="preserve"> de la Résolution 11 (Rév. Busan, 2014) de la Conférence de plénipotentiaires, "le Secrétaire général est pleinement responsable des activités d'ITU TELECOM (y compris de leur planification, de leur organisation et de leur financement)".</w:t>
      </w:r>
      <w:bookmarkEnd w:id="94"/>
    </w:p>
    <w:p w:rsidR="00E80BA0" w:rsidRPr="00A62EF7" w:rsidRDefault="002D5AA3" w:rsidP="00AE5674">
      <w:pPr>
        <w:keepLines/>
        <w:tabs>
          <w:tab w:val="clear" w:pos="567"/>
          <w:tab w:val="clear" w:pos="1134"/>
          <w:tab w:val="clear" w:pos="1701"/>
          <w:tab w:val="clear" w:pos="2268"/>
          <w:tab w:val="clear" w:pos="2835"/>
        </w:tabs>
        <w:overflowPunct/>
        <w:autoSpaceDE/>
        <w:autoSpaceDN/>
        <w:textAlignment w:val="auto"/>
      </w:pPr>
      <w:bookmarkStart w:id="95" w:name="lt_pId156"/>
      <w:r w:rsidRPr="00A62EF7">
        <w:t>35</w:t>
      </w:r>
      <w:r w:rsidRPr="00A62EF7">
        <w:tab/>
      </w:r>
      <w:r w:rsidR="00E80BA0" w:rsidRPr="00A62EF7">
        <w:t xml:space="preserve">Nous avons étudié les différentes phases du processus et, en ce qui concerne l'établissement de rapports, nous avons examiné des documents pertinents qui fournissent au Secrétaire général une analyse des résultats </w:t>
      </w:r>
      <w:r w:rsidR="00BD4FA8">
        <w:t>–</w:t>
      </w:r>
      <w:r w:rsidR="00E80BA0" w:rsidRPr="00A62EF7">
        <w:t xml:space="preserve"> avec des liens et des comparaisons entre les indicateurs fondamentaux de performance et les résultats, dans le cadre des objectifs généraux énoncés dans la Résolution 11 </w:t>
      </w:r>
      <w:r w:rsidR="00BD4FA8">
        <w:t>–</w:t>
      </w:r>
      <w:r w:rsidR="00E80BA0" w:rsidRPr="00A62EF7">
        <w:t xml:space="preserve"> et de la rentabilité de la manifestation.</w:t>
      </w:r>
      <w:bookmarkEnd w:id="95"/>
    </w:p>
    <w:p w:rsidR="00E80BA0" w:rsidRPr="00A62EF7" w:rsidRDefault="002D5AA3" w:rsidP="00E80BA0">
      <w:pPr>
        <w:tabs>
          <w:tab w:val="clear" w:pos="567"/>
          <w:tab w:val="clear" w:pos="1134"/>
          <w:tab w:val="clear" w:pos="1701"/>
          <w:tab w:val="clear" w:pos="2268"/>
          <w:tab w:val="clear" w:pos="2835"/>
        </w:tabs>
        <w:overflowPunct/>
        <w:autoSpaceDE/>
        <w:autoSpaceDN/>
        <w:textAlignment w:val="auto"/>
      </w:pPr>
      <w:bookmarkStart w:id="96" w:name="lt_pId157"/>
      <w:r w:rsidRPr="00A62EF7">
        <w:t>36</w:t>
      </w:r>
      <w:r w:rsidRPr="00A62EF7">
        <w:tab/>
      </w:r>
      <w:r w:rsidR="00E80BA0" w:rsidRPr="00A62EF7">
        <w:t>Nous avons obtenu l'"analyse de l'événement", qui a été internalisée, et ce document nous a été dûment présenté et expliqué le 10 mars 2015.</w:t>
      </w:r>
      <w:bookmarkEnd w:id="96"/>
    </w:p>
    <w:p w:rsidR="00E80BA0" w:rsidRPr="00A62EF7" w:rsidRDefault="002D5AA3" w:rsidP="00E80BA0">
      <w:pPr>
        <w:tabs>
          <w:tab w:val="clear" w:pos="567"/>
          <w:tab w:val="clear" w:pos="1134"/>
          <w:tab w:val="clear" w:pos="1701"/>
          <w:tab w:val="clear" w:pos="2268"/>
          <w:tab w:val="clear" w:pos="2835"/>
        </w:tabs>
        <w:overflowPunct/>
        <w:autoSpaceDE/>
        <w:autoSpaceDN/>
        <w:textAlignment w:val="auto"/>
      </w:pPr>
      <w:bookmarkStart w:id="97" w:name="lt_pId158"/>
      <w:r w:rsidRPr="00A62EF7">
        <w:t>37</w:t>
      </w:r>
      <w:r w:rsidRPr="00A62EF7">
        <w:tab/>
      </w:r>
      <w:r w:rsidR="00E80BA0" w:rsidRPr="00A62EF7">
        <w:t>En outre, nous prenons bonne note du fait que les difficultés rencontrées pour obtenir des données étaient dues à des problèmes liés au développement du système d'enregistrement pour la première fois au moyen du système SAP CRM, et que le développement du système se poursuit pour résoudre ce problème en vue de la prochaine manifestation.</w:t>
      </w:r>
      <w:bookmarkEnd w:id="97"/>
    </w:p>
    <w:p w:rsidR="00E80BA0" w:rsidRPr="00A62EF7" w:rsidRDefault="00E80BA0" w:rsidP="002D5AA3">
      <w:pPr>
        <w:pStyle w:val="Headingb"/>
      </w:pPr>
      <w:bookmarkStart w:id="98" w:name="lt_pId159"/>
      <w:bookmarkStart w:id="99" w:name="_Toc419372744"/>
      <w:r w:rsidRPr="00A62EF7">
        <w:t>La signature de l'accord de pays hôte en temps utile est nécessaire.</w:t>
      </w:r>
      <w:bookmarkEnd w:id="98"/>
      <w:bookmarkEnd w:id="99"/>
    </w:p>
    <w:p w:rsidR="00E80BA0" w:rsidRPr="00A62EF7" w:rsidRDefault="002D5AA3" w:rsidP="00E80BA0">
      <w:pPr>
        <w:tabs>
          <w:tab w:val="clear" w:pos="567"/>
          <w:tab w:val="clear" w:pos="1134"/>
          <w:tab w:val="clear" w:pos="1701"/>
          <w:tab w:val="clear" w:pos="2268"/>
          <w:tab w:val="clear" w:pos="2835"/>
        </w:tabs>
        <w:overflowPunct/>
        <w:autoSpaceDE/>
        <w:autoSpaceDN/>
        <w:textAlignment w:val="auto"/>
      </w:pPr>
      <w:bookmarkStart w:id="100" w:name="lt_pId160"/>
      <w:r w:rsidRPr="00A62EF7">
        <w:t>38</w:t>
      </w:r>
      <w:r w:rsidRPr="00A62EF7">
        <w:tab/>
      </w:r>
      <w:r w:rsidR="00E80BA0" w:rsidRPr="00A62EF7">
        <w:t>L'accord de pays hôte est l'un des documents essentiels pour établir un budget exact et réaliste.</w:t>
      </w:r>
      <w:bookmarkEnd w:id="100"/>
      <w:r w:rsidR="00E80BA0" w:rsidRPr="00A62EF7">
        <w:t xml:space="preserve"> </w:t>
      </w:r>
      <w:bookmarkStart w:id="101" w:name="lt_pId161"/>
      <w:r w:rsidR="00E80BA0" w:rsidRPr="00A62EF7">
        <w:t>Par le passé, nous avons déjà suggéré que la signature en temps utile de l'accord de pays hôte contribuerait à réduire les écarts (proposition n°</w:t>
      </w:r>
      <w:r w:rsidR="00BD4FA8">
        <w:t> </w:t>
      </w:r>
      <w:r w:rsidR="00E80BA0" w:rsidRPr="00A62EF7">
        <w:t>1/2012).</w:t>
      </w:r>
      <w:bookmarkEnd w:id="101"/>
      <w:r w:rsidR="00E80BA0" w:rsidRPr="00A62EF7">
        <w:t xml:space="preserve"> </w:t>
      </w:r>
      <w:bookmarkStart w:id="102" w:name="lt_pId162"/>
      <w:r w:rsidR="00E80BA0" w:rsidRPr="00A62EF7">
        <w:t>Nos observations concernant la situation pour ce qui est de la manifestation de 2014 s'agissant de ce point précis figurent au paragraphe 43.</w:t>
      </w:r>
      <w:bookmarkEnd w:id="102"/>
    </w:p>
    <w:p w:rsidR="00E80BA0" w:rsidRPr="00A62EF7" w:rsidRDefault="00E80BA0" w:rsidP="002D5AA3">
      <w:pPr>
        <w:pStyle w:val="Headingb"/>
      </w:pPr>
      <w:bookmarkStart w:id="103" w:name="lt_pId163"/>
      <w:bookmarkStart w:id="104" w:name="_Toc419372745"/>
      <w:r w:rsidRPr="00A62EF7">
        <w:t>Procédure d'appel d'offres</w:t>
      </w:r>
      <w:bookmarkEnd w:id="103"/>
      <w:bookmarkEnd w:id="104"/>
    </w:p>
    <w:p w:rsidR="00E80BA0" w:rsidRPr="00A62EF7" w:rsidRDefault="002D5AA3" w:rsidP="00BD4FA8">
      <w:pPr>
        <w:tabs>
          <w:tab w:val="clear" w:pos="567"/>
          <w:tab w:val="clear" w:pos="1134"/>
          <w:tab w:val="clear" w:pos="1701"/>
          <w:tab w:val="clear" w:pos="2268"/>
          <w:tab w:val="clear" w:pos="2835"/>
        </w:tabs>
        <w:overflowPunct/>
        <w:autoSpaceDE/>
        <w:autoSpaceDN/>
        <w:textAlignment w:val="auto"/>
      </w:pPr>
      <w:bookmarkStart w:id="105" w:name="lt_pId164"/>
      <w:r w:rsidRPr="00A62EF7">
        <w:t>39</w:t>
      </w:r>
      <w:r w:rsidRPr="00A62EF7">
        <w:tab/>
      </w:r>
      <w:r w:rsidR="00E80BA0" w:rsidRPr="00A62EF7">
        <w:t xml:space="preserve">Aux termes du point 5 du </w:t>
      </w:r>
      <w:r w:rsidR="00E80BA0" w:rsidRPr="00A62EF7">
        <w:rPr>
          <w:i/>
          <w:iCs/>
        </w:rPr>
        <w:t>décide</w:t>
      </w:r>
      <w:r w:rsidR="00E80BA0" w:rsidRPr="00A62EF7">
        <w:t xml:space="preserve"> de la Résolution 11 (Rév. Busan, 2014) de la Conférence de plénipotentiaires: "l'Union, dans sa procédure de sélection du lieu des manifestions ITU TELECOM, doit: [point 5.1] assurer une procédure d'appel d'offres ouverte et transparente, fondée sur le modèle d'accord de pays hôte (...)".</w:t>
      </w:r>
      <w:bookmarkEnd w:id="105"/>
    </w:p>
    <w:p w:rsidR="00E80BA0" w:rsidRPr="00A62EF7" w:rsidRDefault="002D5AA3" w:rsidP="00E80BA0">
      <w:pPr>
        <w:tabs>
          <w:tab w:val="clear" w:pos="567"/>
          <w:tab w:val="clear" w:pos="1134"/>
          <w:tab w:val="clear" w:pos="1701"/>
          <w:tab w:val="clear" w:pos="2268"/>
          <w:tab w:val="clear" w:pos="2835"/>
        </w:tabs>
        <w:overflowPunct/>
        <w:autoSpaceDE/>
        <w:autoSpaceDN/>
        <w:textAlignment w:val="auto"/>
      </w:pPr>
      <w:bookmarkStart w:id="106" w:name="lt_pId165"/>
      <w:r w:rsidRPr="00A62EF7">
        <w:t>40</w:t>
      </w:r>
      <w:r w:rsidRPr="00A62EF7">
        <w:tab/>
      </w:r>
      <w:r w:rsidR="00E80BA0" w:rsidRPr="00A62EF7">
        <w:t>Des lettres circulaires ont été envoyées à tous les Etats Membres de l'UIT pour les inviter à se porter candidat et à soumettre une offre pour accueillir la manifestation annuelle, mais peu d'Etats Membres souhaitent accueillir la manifestation et sont en mesure de supporter la charge financière qu'elle représente. Aussi, nous reconnaissons que la procédure d'appel d'offres en place est adaptée, ouverte et normalisée et que le nombre limité de candidats tient peut-être à la crise financière qui n'est pas encore terminée et à la forte concurrence entre cette manifestation et d'autres manifestations analogues organisées par le secteur privé.</w:t>
      </w:r>
      <w:bookmarkEnd w:id="106"/>
    </w:p>
    <w:p w:rsidR="00E80BA0" w:rsidRPr="00A62EF7" w:rsidRDefault="002D5AA3" w:rsidP="00BD4FA8">
      <w:pPr>
        <w:tabs>
          <w:tab w:val="clear" w:pos="567"/>
          <w:tab w:val="clear" w:pos="1134"/>
          <w:tab w:val="clear" w:pos="1701"/>
          <w:tab w:val="clear" w:pos="2268"/>
          <w:tab w:val="clear" w:pos="2835"/>
        </w:tabs>
        <w:overflowPunct/>
        <w:autoSpaceDE/>
        <w:autoSpaceDN/>
        <w:textAlignment w:val="auto"/>
      </w:pPr>
      <w:bookmarkStart w:id="107" w:name="lt_pId166"/>
      <w:r w:rsidRPr="00A62EF7">
        <w:t>41</w:t>
      </w:r>
      <w:r w:rsidRPr="00A62EF7">
        <w:tab/>
      </w:r>
      <w:r w:rsidR="00E80BA0" w:rsidRPr="00A62EF7">
        <w:t>Afin de rendre l'accueil des manifestations plus accessible financièrement pour les pays candidats, nous avions proposé dans notre rapport de l'année dernière (proposition n°</w:t>
      </w:r>
      <w:r w:rsidR="00BD4FA8">
        <w:t> </w:t>
      </w:r>
      <w:r w:rsidR="00E80BA0" w:rsidRPr="00A62EF7">
        <w:t>7/2013, voir l'Annexe 1) de réfléchir à des scénarios permettant aux pays souhaitant accueillir la manifestation d'optimiser au maximum les investissements qu'ils pourraient réaliser en vue d'accueillir la manifestation ITU Telecom World, afin de mieux respecter les dispositions de la Résolution 11 (Rév. Busan, 2014) de la Conférence de plénipotentiaires.</w:t>
      </w:r>
      <w:bookmarkEnd w:id="107"/>
      <w:r w:rsidR="00E80BA0" w:rsidRPr="00A62EF7">
        <w:t xml:space="preserve"> </w:t>
      </w:r>
    </w:p>
    <w:p w:rsidR="00E80BA0" w:rsidRPr="00A62EF7" w:rsidRDefault="002D5AA3" w:rsidP="00E80BA0">
      <w:pPr>
        <w:tabs>
          <w:tab w:val="clear" w:pos="567"/>
          <w:tab w:val="clear" w:pos="1134"/>
          <w:tab w:val="clear" w:pos="1701"/>
          <w:tab w:val="clear" w:pos="2268"/>
          <w:tab w:val="clear" w:pos="2835"/>
        </w:tabs>
        <w:overflowPunct/>
        <w:autoSpaceDE/>
        <w:autoSpaceDN/>
        <w:textAlignment w:val="auto"/>
      </w:pPr>
      <w:bookmarkStart w:id="108" w:name="lt_pId167"/>
      <w:r w:rsidRPr="00A62EF7">
        <w:t>42</w:t>
      </w:r>
      <w:r w:rsidRPr="00A62EF7">
        <w:tab/>
      </w:r>
      <w:r w:rsidR="00E80BA0" w:rsidRPr="00A62EF7">
        <w:t>Nous sommes d</w:t>
      </w:r>
      <w:r w:rsidR="003C6DD3" w:rsidRPr="00A62EF7">
        <w:t>'</w:t>
      </w:r>
      <w:r w:rsidR="00E80BA0" w:rsidRPr="00A62EF7">
        <w:t>avis que la réduction du montant fixe des charges de base au titre du recouvrement des coûts est l</w:t>
      </w:r>
      <w:r w:rsidR="003C6DD3" w:rsidRPr="00A62EF7">
        <w:t>'</w:t>
      </w:r>
      <w:r w:rsidR="00E80BA0" w:rsidRPr="00A62EF7">
        <w:t>un des rares facteurs qui peut permettre de parvenir à ce résultat. Toutefois, cela sera possible si une explication claire concernant le calcul du montant du recouvrement des coûts est fournie, comme cela est indiqué dans la recommandation n° 3 de notre rapport de l</w:t>
      </w:r>
      <w:r w:rsidR="003C6DD3" w:rsidRPr="00A62EF7">
        <w:t>'</w:t>
      </w:r>
      <w:r w:rsidR="00E80BA0" w:rsidRPr="00A62EF7">
        <w:t>année dernière (voir également les paragraphes 59 et 60).</w:t>
      </w:r>
    </w:p>
    <w:p w:rsidR="00E80BA0" w:rsidRPr="00A62EF7" w:rsidRDefault="00E80BA0" w:rsidP="002D5AA3">
      <w:pPr>
        <w:pStyle w:val="Headingi"/>
        <w:rPr>
          <w:b/>
          <w:bCs/>
        </w:rPr>
      </w:pPr>
      <w:bookmarkStart w:id="109" w:name="lt_pId169"/>
      <w:bookmarkStart w:id="110" w:name="_Toc419372746"/>
      <w:bookmarkEnd w:id="108"/>
      <w:r w:rsidRPr="00A62EF7">
        <w:rPr>
          <w:b/>
          <w:bCs/>
        </w:rPr>
        <w:t>Parties à l'accord de pays hôte</w:t>
      </w:r>
      <w:bookmarkEnd w:id="109"/>
      <w:bookmarkEnd w:id="110"/>
    </w:p>
    <w:p w:rsidR="00E80BA0" w:rsidRPr="00A62EF7" w:rsidRDefault="003C6DD3" w:rsidP="00E80BA0">
      <w:pPr>
        <w:tabs>
          <w:tab w:val="clear" w:pos="567"/>
          <w:tab w:val="clear" w:pos="1134"/>
          <w:tab w:val="clear" w:pos="1701"/>
          <w:tab w:val="clear" w:pos="2268"/>
          <w:tab w:val="clear" w:pos="2835"/>
        </w:tabs>
        <w:overflowPunct/>
        <w:autoSpaceDE/>
        <w:autoSpaceDN/>
        <w:textAlignment w:val="auto"/>
      </w:pPr>
      <w:bookmarkStart w:id="111" w:name="lt_pId170"/>
      <w:r w:rsidRPr="00A62EF7">
        <w:t>43</w:t>
      </w:r>
      <w:r w:rsidRPr="00A62EF7">
        <w:tab/>
      </w:r>
      <w:r w:rsidR="00E80BA0" w:rsidRPr="00A62EF7">
        <w:t xml:space="preserve">Nous prenons bonne note du fait que, en vertu du point 8 du </w:t>
      </w:r>
      <w:r w:rsidR="00E80BA0" w:rsidRPr="00A62EF7">
        <w:rPr>
          <w:i/>
        </w:rPr>
        <w:t>charge le Secrétaire général</w:t>
      </w:r>
      <w:r w:rsidR="00E80BA0" w:rsidRPr="00A62EF7">
        <w:t xml:space="preserve"> de la Résolution 11 (Rév. Busan, 2014) de la Conférence de plénipotentiaires, le Secrétaire général</w:t>
      </w:r>
      <w:r w:rsidR="00E80BA0" w:rsidRPr="00A62EF7">
        <w:rPr>
          <w:i/>
        </w:rPr>
        <w:t xml:space="preserve"> </w:t>
      </w:r>
      <w:r w:rsidR="00E80BA0" w:rsidRPr="00A62EF7">
        <w:t>est chargé de revoir le modèle d'accord de pays hôte et d'employer tous les moyens possibles pour que le Conseil l'approuve dans les meilleurs délais; ledit modèle d'accord devant contenir des dispositions qui permettront à l'Union et au pays hôte d'apporter les modifications qu'ils jugeront nécessaires en cas de force majeure ou en fonction d'autres critères de réalisation.</w:t>
      </w:r>
      <w:bookmarkEnd w:id="111"/>
    </w:p>
    <w:p w:rsidR="00E80BA0" w:rsidRPr="00A62EF7" w:rsidRDefault="003C6DD3" w:rsidP="00BD4FA8">
      <w:pPr>
        <w:tabs>
          <w:tab w:val="clear" w:pos="567"/>
          <w:tab w:val="clear" w:pos="1134"/>
          <w:tab w:val="clear" w:pos="1701"/>
          <w:tab w:val="clear" w:pos="2268"/>
          <w:tab w:val="clear" w:pos="2835"/>
        </w:tabs>
        <w:overflowPunct/>
        <w:autoSpaceDE/>
        <w:autoSpaceDN/>
        <w:textAlignment w:val="auto"/>
      </w:pPr>
      <w:bookmarkStart w:id="112" w:name="lt_pId171"/>
      <w:r w:rsidRPr="00A62EF7">
        <w:t>44</w:t>
      </w:r>
      <w:r w:rsidRPr="00A62EF7">
        <w:tab/>
      </w:r>
      <w:r w:rsidR="00E80BA0" w:rsidRPr="00A62EF7">
        <w:t>Nous avons constaté que deux principaux facteurs ont influé sur la conclusion de l</w:t>
      </w:r>
      <w:r w:rsidRPr="00A62EF7">
        <w:t>'</w:t>
      </w:r>
      <w:r w:rsidR="00E80BA0" w:rsidRPr="00A62EF7">
        <w:t>Accord de pays hôte pour ITU Telecom World 2014</w:t>
      </w:r>
      <w:r w:rsidRPr="00A62EF7">
        <w:t>:</w:t>
      </w:r>
      <w:r w:rsidR="00E80BA0" w:rsidRPr="00A62EF7">
        <w:t xml:space="preserve"> 1) la signature à une date très tardive (1er</w:t>
      </w:r>
      <w:r w:rsidR="00BD4FA8">
        <w:t> </w:t>
      </w:r>
      <w:r w:rsidR="00E80BA0" w:rsidRPr="00A62EF7">
        <w:t>décembre</w:t>
      </w:r>
      <w:r w:rsidR="00BD4FA8">
        <w:t> </w:t>
      </w:r>
      <w:r w:rsidR="00E80BA0" w:rsidRPr="00A62EF7">
        <w:t>2014), qui a fait naître des incertitudes concernant certaines conditions qui ont perduré jusqu</w:t>
      </w:r>
      <w:r w:rsidRPr="00A62EF7">
        <w:t>'</w:t>
      </w:r>
      <w:r w:rsidR="00E80BA0" w:rsidRPr="00A62EF7">
        <w:t>au début de la manifestation</w:t>
      </w:r>
      <w:r w:rsidRPr="00A62EF7">
        <w:t>;</w:t>
      </w:r>
      <w:r w:rsidR="00E80BA0" w:rsidRPr="00A62EF7">
        <w:t xml:space="preserve"> 2) le rôle prépondérant joué par l</w:t>
      </w:r>
      <w:r w:rsidRPr="00A62EF7">
        <w:t>'</w:t>
      </w:r>
      <w:r w:rsidR="00E80BA0" w:rsidRPr="00A62EF7">
        <w:t>un des sponsors, en tant qu</w:t>
      </w:r>
      <w:r w:rsidRPr="00A62EF7">
        <w:t>'</w:t>
      </w:r>
      <w:r w:rsidR="00213834" w:rsidRPr="00A62EF7">
        <w:t>"</w:t>
      </w:r>
      <w:r w:rsidR="00E80BA0" w:rsidRPr="00A62EF7">
        <w:t>entité organisatrice</w:t>
      </w:r>
      <w:r w:rsidRPr="00A62EF7">
        <w:t>"</w:t>
      </w:r>
      <w:r w:rsidR="00E80BA0" w:rsidRPr="00A62EF7">
        <w:t xml:space="preserve"> dans l</w:t>
      </w:r>
      <w:r w:rsidRPr="00A62EF7">
        <w:t>'</w:t>
      </w:r>
      <w:r w:rsidR="00E80BA0" w:rsidRPr="00A62EF7">
        <w:t>élaboration de l</w:t>
      </w:r>
      <w:r w:rsidRPr="00A62EF7">
        <w:t>'</w:t>
      </w:r>
      <w:r w:rsidR="00E80BA0" w:rsidRPr="00A62EF7">
        <w:t>accord, de sorte que l</w:t>
      </w:r>
      <w:r w:rsidRPr="00A62EF7">
        <w:t>'</w:t>
      </w:r>
      <w:r w:rsidR="00E80BA0" w:rsidRPr="00A62EF7">
        <w:t>Accord de pays hôte est devenu dans les faits un document tripartite.</w:t>
      </w:r>
    </w:p>
    <w:p w:rsidR="00E80BA0" w:rsidRPr="00A62EF7" w:rsidRDefault="003C6DD3" w:rsidP="00E80BA0">
      <w:pPr>
        <w:tabs>
          <w:tab w:val="clear" w:pos="567"/>
          <w:tab w:val="clear" w:pos="1134"/>
          <w:tab w:val="clear" w:pos="1701"/>
          <w:tab w:val="clear" w:pos="2268"/>
          <w:tab w:val="clear" w:pos="2835"/>
        </w:tabs>
        <w:overflowPunct/>
        <w:autoSpaceDE/>
        <w:autoSpaceDN/>
        <w:textAlignment w:val="auto"/>
      </w:pPr>
      <w:r w:rsidRPr="00A62EF7">
        <w:t>45</w:t>
      </w:r>
      <w:r w:rsidRPr="00A62EF7">
        <w:tab/>
      </w:r>
      <w:r w:rsidR="00E80BA0" w:rsidRPr="00A62EF7">
        <w:t>Le fait que l</w:t>
      </w:r>
      <w:r w:rsidRPr="00A62EF7">
        <w:t>'</w:t>
      </w:r>
      <w:r w:rsidR="00E80BA0" w:rsidRPr="00A62EF7">
        <w:t>un des sponsors ait joué un rôle aussi prépondérant a pu empêcher d</w:t>
      </w:r>
      <w:r w:rsidRPr="00A62EF7">
        <w:t>'</w:t>
      </w:r>
      <w:r w:rsidR="00E80BA0" w:rsidRPr="00A62EF7">
        <w:t>autres candidats de participer</w:t>
      </w:r>
      <w:r w:rsidRPr="00A62EF7">
        <w:t>;</w:t>
      </w:r>
      <w:r w:rsidR="00E80BA0" w:rsidRPr="00A62EF7">
        <w:t xml:space="preserve"> aussi, nous sommes d</w:t>
      </w:r>
      <w:r w:rsidRPr="00A62EF7">
        <w:t>'</w:t>
      </w:r>
      <w:r w:rsidR="00E80BA0" w:rsidRPr="00A62EF7">
        <w:t>avis que, dans le cadre de la négociation de l</w:t>
      </w:r>
      <w:r w:rsidRPr="00A62EF7">
        <w:t>'</w:t>
      </w:r>
      <w:r w:rsidR="00E80BA0" w:rsidRPr="00A62EF7">
        <w:t>Accord de pays hôte, la présence d</w:t>
      </w:r>
      <w:r w:rsidRPr="00A62EF7">
        <w:t>'</w:t>
      </w:r>
      <w:r w:rsidR="00E80BA0" w:rsidRPr="00A62EF7">
        <w:t xml:space="preserve">une </w:t>
      </w:r>
      <w:r w:rsidRPr="00A62EF7">
        <w:t>"</w:t>
      </w:r>
      <w:r w:rsidR="00E80BA0" w:rsidRPr="00A62EF7">
        <w:t>entité organisatrice</w:t>
      </w:r>
      <w:r w:rsidRPr="00A62EF7">
        <w:t>"</w:t>
      </w:r>
      <w:r w:rsidR="00E80BA0" w:rsidRPr="00A62EF7">
        <w:t xml:space="preserve"> – ayant un intérêt direct à se mettre en valeur – qui se traduit </w:t>
      </w:r>
      <w:r w:rsidR="00E80BA0" w:rsidRPr="00A62EF7">
        <w:rPr>
          <w:i/>
          <w:iCs/>
        </w:rPr>
        <w:t>de facto</w:t>
      </w:r>
      <w:r w:rsidR="00E80BA0" w:rsidRPr="00A62EF7">
        <w:t xml:space="preserve"> par un </w:t>
      </w:r>
      <w:r w:rsidRPr="00A62EF7">
        <w:t>"</w:t>
      </w:r>
      <w:r w:rsidR="00E80BA0" w:rsidRPr="00A62EF7">
        <w:t>cadre tripartite</w:t>
      </w:r>
      <w:r w:rsidRPr="00A62EF7">
        <w:t>"</w:t>
      </w:r>
      <w:r w:rsidR="00E80BA0" w:rsidRPr="00A62EF7">
        <w:t xml:space="preserve"> ne devrait pas être adoptée comme modèle.</w:t>
      </w:r>
    </w:p>
    <w:p w:rsidR="003C6DD3" w:rsidRPr="00A62EF7" w:rsidRDefault="003C6DD3" w:rsidP="003C6DD3">
      <w:pPr>
        <w:tabs>
          <w:tab w:val="clear" w:pos="567"/>
          <w:tab w:val="clear" w:pos="1134"/>
          <w:tab w:val="clear" w:pos="1701"/>
          <w:tab w:val="clear" w:pos="2268"/>
          <w:tab w:val="clear" w:pos="2835"/>
        </w:tabs>
        <w:overflowPunct/>
        <w:autoSpaceDE/>
        <w:autoSpaceDN/>
        <w:spacing w:after="120"/>
        <w:textAlignment w:val="auto"/>
      </w:pPr>
      <w:r w:rsidRPr="00A62EF7">
        <w:t>46</w:t>
      </w:r>
      <w:r w:rsidRPr="00A62EF7">
        <w:tab/>
      </w:r>
      <w:r w:rsidR="00E80BA0" w:rsidRPr="00A62EF7">
        <w:t>En outre, il nous a été indiqué que l</w:t>
      </w:r>
      <w:r w:rsidRPr="00A62EF7">
        <w:t>'</w:t>
      </w:r>
      <w:r w:rsidR="00E80BA0" w:rsidRPr="00A62EF7">
        <w:t>une des causes à l</w:t>
      </w:r>
      <w:r w:rsidRPr="00A62EF7">
        <w:t>'</w:t>
      </w:r>
      <w:r w:rsidR="00E80BA0" w:rsidRPr="00A62EF7">
        <w:t>origine du retard inhabituel dans la signature de l</w:t>
      </w:r>
      <w:r w:rsidRPr="00A62EF7">
        <w:t>'</w:t>
      </w:r>
      <w:r w:rsidR="00E80BA0" w:rsidRPr="00A62EF7">
        <w:t>Accord de pays hôte était cette négociation tripartite. Nous considérons également que ce modèle pourrait être trop lourd à la fois pour l</w:t>
      </w:r>
      <w:r w:rsidRPr="00A62EF7">
        <w:t>'</w:t>
      </w:r>
      <w:r w:rsidR="00E80BA0" w:rsidRPr="00A62EF7">
        <w:t>UIT et le pays hôte, et pourrait affecter le rôle de chaque partie et donc de l</w:t>
      </w:r>
      <w:r w:rsidRPr="00A62EF7">
        <w:t>'</w:t>
      </w:r>
      <w:r w:rsidR="00E80BA0" w:rsidRPr="00A62EF7">
        <w:t>image de neutralité de la manifestation.</w:t>
      </w:r>
    </w:p>
    <w:tbl>
      <w:tblPr>
        <w:tblStyle w:val="TableGrid"/>
        <w:tblW w:w="0" w:type="auto"/>
        <w:tblLook w:val="04A0" w:firstRow="1" w:lastRow="0" w:firstColumn="1" w:lastColumn="0" w:noHBand="0" w:noVBand="1"/>
      </w:tblPr>
      <w:tblGrid>
        <w:gridCol w:w="9061"/>
      </w:tblGrid>
      <w:tr w:rsidR="003C6DD3" w:rsidRPr="00A62EF7" w:rsidTr="00BB576D">
        <w:tc>
          <w:tcPr>
            <w:tcW w:w="9061" w:type="dxa"/>
          </w:tcPr>
          <w:p w:rsidR="003C6DD3" w:rsidRPr="00A62EF7" w:rsidRDefault="003C6DD3" w:rsidP="003C6DD3">
            <w:pPr>
              <w:rPr>
                <w:b/>
                <w:bCs/>
              </w:rPr>
            </w:pPr>
            <w:r w:rsidRPr="00A62EF7">
              <w:rPr>
                <w:b/>
                <w:bCs/>
              </w:rPr>
              <w:t>Proposition n° 2</w:t>
            </w:r>
          </w:p>
          <w:p w:rsidR="003C6DD3" w:rsidRPr="00A62EF7" w:rsidRDefault="003C6DD3" w:rsidP="003C6DD3">
            <w:pPr>
              <w:tabs>
                <w:tab w:val="clear" w:pos="567"/>
                <w:tab w:val="clear" w:pos="1134"/>
                <w:tab w:val="clear" w:pos="1701"/>
                <w:tab w:val="clear" w:pos="2268"/>
                <w:tab w:val="clear" w:pos="2835"/>
              </w:tabs>
              <w:overflowPunct/>
              <w:autoSpaceDE/>
              <w:autoSpaceDN/>
              <w:spacing w:after="120"/>
              <w:textAlignment w:val="auto"/>
              <w:rPr>
                <w:sz w:val="22"/>
                <w:szCs w:val="22"/>
              </w:rPr>
            </w:pPr>
            <w:r w:rsidRPr="00A62EF7">
              <w:t>47</w:t>
            </w:r>
            <w:r w:rsidRPr="00A62EF7">
              <w:tab/>
              <w:t xml:space="preserve">Nous </w:t>
            </w:r>
            <w:r w:rsidRPr="00A62EF7">
              <w:rPr>
                <w:b/>
                <w:bCs/>
              </w:rPr>
              <w:t>proposons</w:t>
            </w:r>
            <w:r w:rsidRPr="00A62EF7">
              <w:t xml:space="preserve"> à la direction de faire en sorte que les accords de pays hôte ne réunissent que deux parties, tout en prenant en considération la possibilité de mettre en œuvre cette mesure au cas par cas.</w:t>
            </w:r>
          </w:p>
        </w:tc>
      </w:tr>
      <w:bookmarkEnd w:id="112"/>
    </w:tbl>
    <w:p w:rsidR="003C6DD3" w:rsidRPr="00A62EF7" w:rsidRDefault="003C6DD3" w:rsidP="00BB576D">
      <w:pPr>
        <w:tabs>
          <w:tab w:val="clear" w:pos="567"/>
          <w:tab w:val="clear" w:pos="1134"/>
          <w:tab w:val="clear" w:pos="1701"/>
          <w:tab w:val="clear" w:pos="2268"/>
          <w:tab w:val="clear" w:pos="2835"/>
        </w:tabs>
        <w:overflowPunct/>
        <w:autoSpaceDE/>
        <w:autoSpaceDN/>
        <w:spacing w:after="120"/>
        <w:textAlignment w:val="auto"/>
      </w:pPr>
    </w:p>
    <w:tbl>
      <w:tblPr>
        <w:tblStyle w:val="TableGrid"/>
        <w:tblW w:w="0" w:type="auto"/>
        <w:tblLook w:val="04A0" w:firstRow="1" w:lastRow="0" w:firstColumn="1" w:lastColumn="0" w:noHBand="0" w:noVBand="1"/>
      </w:tblPr>
      <w:tblGrid>
        <w:gridCol w:w="9061"/>
      </w:tblGrid>
      <w:tr w:rsidR="003C6DD3" w:rsidRPr="00A62EF7" w:rsidTr="00476F90">
        <w:trPr>
          <w:cantSplit/>
        </w:trPr>
        <w:tc>
          <w:tcPr>
            <w:tcW w:w="9061" w:type="dxa"/>
          </w:tcPr>
          <w:p w:rsidR="003C6DD3" w:rsidRPr="008232AB" w:rsidRDefault="003C6DD3" w:rsidP="003C6DD3">
            <w:pPr>
              <w:rPr>
                <w:b/>
                <w:bCs/>
                <w:u w:val="single"/>
              </w:rPr>
            </w:pPr>
            <w:bookmarkStart w:id="113" w:name="lt_pId178"/>
            <w:r w:rsidRPr="008232AB">
              <w:rPr>
                <w:b/>
                <w:bCs/>
                <w:u w:val="single"/>
              </w:rPr>
              <w:t>Observations du Secrétaire général</w:t>
            </w:r>
            <w:bookmarkEnd w:id="113"/>
          </w:p>
          <w:p w:rsidR="003C6DD3" w:rsidRPr="00A62EF7" w:rsidRDefault="003C6DD3" w:rsidP="00476F90">
            <w:pPr>
              <w:tabs>
                <w:tab w:val="clear" w:pos="567"/>
                <w:tab w:val="clear" w:pos="1134"/>
                <w:tab w:val="clear" w:pos="1701"/>
                <w:tab w:val="clear" w:pos="2268"/>
                <w:tab w:val="clear" w:pos="2835"/>
              </w:tabs>
              <w:overflowPunct/>
              <w:autoSpaceDE/>
              <w:autoSpaceDN/>
              <w:spacing w:after="120"/>
              <w:textAlignment w:val="auto"/>
              <w:rPr>
                <w:sz w:val="22"/>
                <w:szCs w:val="22"/>
              </w:rPr>
            </w:pPr>
            <w:r w:rsidRPr="00A62EF7">
              <w:t>La désignation d'une entité organisatrice par le pays hôte en 2014 afin de remplir directement un certain nombre de ses obligations est un cas de figure qui n'avait jamais été rencontré jusqu'alors. Il sera dûment tenu compte de cette question en particulier pour les futurs accords avec des pays hôtes, et elle sera examinée dans le cadre du modèle d'accord de pays hôte révisé demandé dans la Résolution 11 (Rév. Busan, 2014) de la Conférence de plénipotentiaires. S'agissant de la manifestation de 2015, l'Accord de pays hôte qui a été signé récemment ne réunit que deux parties.</w:t>
            </w:r>
          </w:p>
        </w:tc>
      </w:tr>
    </w:tbl>
    <w:p w:rsidR="00AE5674" w:rsidRPr="00A62EF7" w:rsidRDefault="00AE5674" w:rsidP="00476F90">
      <w:pPr>
        <w:pStyle w:val="Heading1"/>
      </w:pPr>
      <w:bookmarkStart w:id="114" w:name="lt_pId182"/>
      <w:r w:rsidRPr="00A62EF7">
        <w:br w:type="page"/>
      </w:r>
    </w:p>
    <w:p w:rsidR="00E80BA0" w:rsidRPr="00A62EF7" w:rsidRDefault="00E80BA0" w:rsidP="00476F90">
      <w:pPr>
        <w:pStyle w:val="Heading1"/>
      </w:pPr>
      <w:bookmarkStart w:id="115" w:name="_Toc419372747"/>
      <w:r w:rsidRPr="00A62EF7">
        <w:t>PRODUITS</w:t>
      </w:r>
      <w:bookmarkEnd w:id="114"/>
      <w:bookmarkEnd w:id="115"/>
    </w:p>
    <w:p w:rsidR="00E80BA0" w:rsidRPr="00A62EF7" w:rsidRDefault="00476F90" w:rsidP="00BD4FA8">
      <w:pPr>
        <w:tabs>
          <w:tab w:val="clear" w:pos="567"/>
          <w:tab w:val="clear" w:pos="1134"/>
          <w:tab w:val="clear" w:pos="1701"/>
          <w:tab w:val="clear" w:pos="2268"/>
          <w:tab w:val="clear" w:pos="2835"/>
        </w:tabs>
        <w:overflowPunct/>
        <w:autoSpaceDE/>
        <w:autoSpaceDN/>
        <w:textAlignment w:val="auto"/>
      </w:pPr>
      <w:bookmarkStart w:id="116" w:name="lt_pId183"/>
      <w:r w:rsidRPr="00A62EF7">
        <w:t>48</w:t>
      </w:r>
      <w:r w:rsidRPr="00A62EF7">
        <w:tab/>
      </w:r>
      <w:r w:rsidR="00E80BA0" w:rsidRPr="00A62EF7">
        <w:t>L'écart légèrement positif entre les produits effectifs et les produits inscrits au budget révisé (+0</w:t>
      </w:r>
      <w:r w:rsidR="00BD4FA8">
        <w:t>,</w:t>
      </w:r>
      <w:r w:rsidR="00E80BA0" w:rsidRPr="00A62EF7">
        <w:t>7%) tient dans une grande mesure au fait que le montant des produits effectifs inscrits pour la valeur des services obtenus dans le cadre d</w:t>
      </w:r>
      <w:r w:rsidR="003C6DD3" w:rsidRPr="00A62EF7">
        <w:t>'</w:t>
      </w:r>
      <w:r w:rsidR="00E80BA0" w:rsidRPr="00A62EF7">
        <w:t>un échange était nettement supérieur au montant inscrit au budget, en particulier en ce qui concerne les services relevant de la catégorie "Communication et marketing" (+14%).</w:t>
      </w:r>
    </w:p>
    <w:p w:rsidR="00E80BA0" w:rsidRPr="00A62EF7" w:rsidRDefault="00E80BA0" w:rsidP="00476F90">
      <w:pPr>
        <w:pStyle w:val="Headingi"/>
        <w:rPr>
          <w:b/>
          <w:bCs/>
        </w:rPr>
      </w:pPr>
      <w:bookmarkStart w:id="117" w:name="_Toc419372748"/>
      <w:bookmarkStart w:id="118" w:name="lt_pId184"/>
      <w:bookmarkEnd w:id="116"/>
      <w:r w:rsidRPr="00A62EF7">
        <w:rPr>
          <w:b/>
          <w:bCs/>
        </w:rPr>
        <w:t>Valeur des transactions échangées</w:t>
      </w:r>
      <w:bookmarkEnd w:id="117"/>
      <w:r w:rsidRPr="00A62EF7">
        <w:rPr>
          <w:b/>
          <w:bCs/>
        </w:rPr>
        <w:t xml:space="preserve"> </w:t>
      </w:r>
      <w:bookmarkEnd w:id="118"/>
    </w:p>
    <w:p w:rsidR="00E80BA0" w:rsidRPr="00A62EF7" w:rsidRDefault="00476F90" w:rsidP="00E80BA0">
      <w:pPr>
        <w:tabs>
          <w:tab w:val="clear" w:pos="567"/>
          <w:tab w:val="clear" w:pos="1134"/>
          <w:tab w:val="clear" w:pos="1701"/>
          <w:tab w:val="clear" w:pos="2268"/>
          <w:tab w:val="clear" w:pos="2835"/>
        </w:tabs>
        <w:overflowPunct/>
        <w:autoSpaceDE/>
        <w:autoSpaceDN/>
        <w:textAlignment w:val="auto"/>
      </w:pPr>
      <w:bookmarkStart w:id="119" w:name="lt_pId185"/>
      <w:r w:rsidRPr="00A62EF7">
        <w:t>49</w:t>
      </w:r>
      <w:r w:rsidRPr="00A62EF7">
        <w:tab/>
      </w:r>
      <w:r w:rsidR="00E80BA0" w:rsidRPr="00A62EF7">
        <w:t>Les services fournis par les entreprises de médias sont comptabilisés dans les produits en fonction de la valeur des espaces et de la visibilité sur le lieu de la manifestation. Comme nous l</w:t>
      </w:r>
      <w:r w:rsidR="003C6DD3" w:rsidRPr="00A62EF7">
        <w:t>'</w:t>
      </w:r>
      <w:r w:rsidR="00E80BA0" w:rsidRPr="00A62EF7">
        <w:t>avons indiqué dans nos précédents rapports, la nature même des échanges de services ne permet pas de déterminer si les produits d</w:t>
      </w:r>
      <w:r w:rsidR="003C6DD3" w:rsidRPr="00A62EF7">
        <w:t>'</w:t>
      </w:r>
      <w:r w:rsidR="00E80BA0" w:rsidRPr="00A62EF7">
        <w:t>un service donné sont supérieurs aux charges ou inversement, à moins qu</w:t>
      </w:r>
      <w:r w:rsidR="003C6DD3" w:rsidRPr="00A62EF7">
        <w:t>'</w:t>
      </w:r>
      <w:r w:rsidR="00E80BA0" w:rsidRPr="00A62EF7">
        <w:t>un mauvais résultat ne soit observé en termes de produits ou de charges.</w:t>
      </w:r>
    </w:p>
    <w:p w:rsidR="00476F90" w:rsidRPr="00A62EF7" w:rsidRDefault="00476F90" w:rsidP="00213834">
      <w:pPr>
        <w:tabs>
          <w:tab w:val="clear" w:pos="567"/>
          <w:tab w:val="clear" w:pos="1134"/>
          <w:tab w:val="clear" w:pos="1701"/>
          <w:tab w:val="clear" w:pos="2268"/>
          <w:tab w:val="clear" w:pos="2835"/>
        </w:tabs>
        <w:overflowPunct/>
        <w:autoSpaceDE/>
        <w:autoSpaceDN/>
        <w:spacing w:after="120"/>
        <w:textAlignment w:val="auto"/>
      </w:pPr>
      <w:r w:rsidRPr="00A62EF7">
        <w:t>50</w:t>
      </w:r>
      <w:r w:rsidRPr="00A62EF7">
        <w:tab/>
      </w:r>
      <w:r w:rsidR="00E80BA0" w:rsidRPr="00A62EF7">
        <w:t>S</w:t>
      </w:r>
      <w:r w:rsidR="003C6DD3" w:rsidRPr="00A62EF7">
        <w:t>'</w:t>
      </w:r>
      <w:r w:rsidR="00E80BA0" w:rsidRPr="00A62EF7">
        <w:t>il peut être relativement simple de vérifier l</w:t>
      </w:r>
      <w:r w:rsidR="003C6DD3" w:rsidRPr="00A62EF7">
        <w:t>'</w:t>
      </w:r>
      <w:r w:rsidR="00E80BA0" w:rsidRPr="00A62EF7">
        <w:t>efficacité d</w:t>
      </w:r>
      <w:r w:rsidR="003C6DD3" w:rsidRPr="00A62EF7">
        <w:t>'</w:t>
      </w:r>
      <w:r w:rsidR="00E80BA0" w:rsidRPr="00A62EF7">
        <w:t>un service qui consisterait en la publication d</w:t>
      </w:r>
      <w:r w:rsidR="003C6DD3" w:rsidRPr="00A62EF7">
        <w:t>'</w:t>
      </w:r>
      <w:r w:rsidR="00E80BA0" w:rsidRPr="00A62EF7">
        <w:t>une page dans un journal, il n</w:t>
      </w:r>
      <w:r w:rsidR="003C6DD3" w:rsidRPr="00A62EF7">
        <w:t>'</w:t>
      </w:r>
      <w:r w:rsidR="00E80BA0" w:rsidRPr="00A62EF7">
        <w:t>est pas toujours possible de vérifier la mise en œuvre concrète d</w:t>
      </w:r>
      <w:r w:rsidR="003C6DD3" w:rsidRPr="00A62EF7">
        <w:t>'</w:t>
      </w:r>
      <w:r w:rsidR="00E80BA0" w:rsidRPr="00A62EF7">
        <w:t>autres services, par exemple la durée d</w:t>
      </w:r>
      <w:r w:rsidR="003C6DD3" w:rsidRPr="00A62EF7">
        <w:t>'</w:t>
      </w:r>
      <w:r w:rsidR="00E80BA0" w:rsidRPr="00A62EF7">
        <w:t>exposition d</w:t>
      </w:r>
      <w:r w:rsidR="003C6DD3" w:rsidRPr="00A62EF7">
        <w:t>'</w:t>
      </w:r>
      <w:r w:rsidR="00E80BA0" w:rsidRPr="00A62EF7">
        <w:t>une bannière sur un site web.</w:t>
      </w:r>
    </w:p>
    <w:tbl>
      <w:tblPr>
        <w:tblStyle w:val="TableGrid"/>
        <w:tblW w:w="0" w:type="auto"/>
        <w:tblLook w:val="04A0" w:firstRow="1" w:lastRow="0" w:firstColumn="1" w:lastColumn="0" w:noHBand="0" w:noVBand="1"/>
      </w:tblPr>
      <w:tblGrid>
        <w:gridCol w:w="9061"/>
      </w:tblGrid>
      <w:tr w:rsidR="00476F90" w:rsidRPr="00A62EF7" w:rsidTr="00C22589">
        <w:tc>
          <w:tcPr>
            <w:tcW w:w="9061" w:type="dxa"/>
          </w:tcPr>
          <w:p w:rsidR="00476F90" w:rsidRPr="00A62EF7" w:rsidRDefault="00476F90" w:rsidP="00C22589">
            <w:pPr>
              <w:tabs>
                <w:tab w:val="clear" w:pos="567"/>
                <w:tab w:val="clear" w:pos="1134"/>
                <w:tab w:val="clear" w:pos="1701"/>
                <w:tab w:val="clear" w:pos="2268"/>
                <w:tab w:val="clear" w:pos="2835"/>
              </w:tabs>
              <w:overflowPunct/>
              <w:autoSpaceDE/>
              <w:autoSpaceDN/>
              <w:textAlignment w:val="auto"/>
              <w:rPr>
                <w:b/>
                <w:bCs/>
              </w:rPr>
            </w:pPr>
            <w:r w:rsidRPr="00A62EF7">
              <w:rPr>
                <w:b/>
                <w:bCs/>
              </w:rPr>
              <w:t>Proposition n° 3</w:t>
            </w:r>
          </w:p>
          <w:p w:rsidR="00476F90" w:rsidRPr="00A62EF7" w:rsidRDefault="00476F90" w:rsidP="00BD4FA8">
            <w:pPr>
              <w:tabs>
                <w:tab w:val="clear" w:pos="567"/>
                <w:tab w:val="clear" w:pos="1134"/>
                <w:tab w:val="clear" w:pos="1701"/>
                <w:tab w:val="clear" w:pos="2268"/>
                <w:tab w:val="clear" w:pos="2835"/>
              </w:tabs>
              <w:overflowPunct/>
              <w:autoSpaceDE/>
              <w:autoSpaceDN/>
              <w:spacing w:after="120"/>
              <w:textAlignment w:val="auto"/>
              <w:rPr>
                <w:sz w:val="22"/>
                <w:szCs w:val="22"/>
              </w:rPr>
            </w:pPr>
            <w:r w:rsidRPr="00A62EF7">
              <w:t>51</w:t>
            </w:r>
            <w:r w:rsidRPr="00A62EF7">
              <w:tab/>
              <w:t xml:space="preserve">Nous </w:t>
            </w:r>
            <w:r w:rsidRPr="00A62EF7">
              <w:rPr>
                <w:b/>
                <w:bCs/>
              </w:rPr>
              <w:t>suggérons</w:t>
            </w:r>
            <w:r w:rsidRPr="00A62EF7">
              <w:t xml:space="preserve"> à la direction d'améliorer les pistes de vérification de sorte que, lors de la vérification, la direction puisse analyser les rapports coûts-avantages et coûts</w:t>
            </w:r>
            <w:r w:rsidR="00BD4FA8">
              <w:noBreakHyphen/>
            </w:r>
            <w:r w:rsidRPr="00A62EF7">
              <w:t>résultats de l'ensemble des échanges de services, par exemple en introduisant une clause spéciale concernant les "éléments d'information à fournir" dans les accords portant sur des échanges de services.</w:t>
            </w:r>
          </w:p>
        </w:tc>
      </w:tr>
    </w:tbl>
    <w:p w:rsidR="00476F90" w:rsidRPr="00A62EF7" w:rsidRDefault="00476F90" w:rsidP="003C6DD3">
      <w:pPr>
        <w:tabs>
          <w:tab w:val="clear" w:pos="567"/>
          <w:tab w:val="clear" w:pos="1134"/>
          <w:tab w:val="clear" w:pos="1701"/>
          <w:tab w:val="clear" w:pos="2268"/>
          <w:tab w:val="clear" w:pos="2835"/>
        </w:tabs>
        <w:overflowPunct/>
        <w:autoSpaceDE/>
        <w:autoSpaceDN/>
        <w:spacing w:after="120"/>
        <w:textAlignment w:val="auto"/>
      </w:pPr>
    </w:p>
    <w:tbl>
      <w:tblPr>
        <w:tblStyle w:val="TableGrid"/>
        <w:tblW w:w="0" w:type="auto"/>
        <w:tblLook w:val="04A0" w:firstRow="1" w:lastRow="0" w:firstColumn="1" w:lastColumn="0" w:noHBand="0" w:noVBand="1"/>
      </w:tblPr>
      <w:tblGrid>
        <w:gridCol w:w="9061"/>
      </w:tblGrid>
      <w:tr w:rsidR="00476F90" w:rsidRPr="00A62EF7" w:rsidTr="003C6DD3">
        <w:tc>
          <w:tcPr>
            <w:tcW w:w="9061" w:type="dxa"/>
          </w:tcPr>
          <w:p w:rsidR="00476F90" w:rsidRPr="008232AB" w:rsidRDefault="00476F90" w:rsidP="003C6DD3">
            <w:pPr>
              <w:tabs>
                <w:tab w:val="clear" w:pos="567"/>
                <w:tab w:val="clear" w:pos="1134"/>
                <w:tab w:val="clear" w:pos="1701"/>
                <w:tab w:val="clear" w:pos="2268"/>
                <w:tab w:val="clear" w:pos="2835"/>
              </w:tabs>
              <w:overflowPunct/>
              <w:autoSpaceDE/>
              <w:autoSpaceDN/>
              <w:textAlignment w:val="auto"/>
              <w:rPr>
                <w:b/>
                <w:bCs/>
                <w:u w:val="single"/>
              </w:rPr>
            </w:pPr>
            <w:r w:rsidRPr="008232AB">
              <w:rPr>
                <w:b/>
                <w:bCs/>
                <w:u w:val="single"/>
              </w:rPr>
              <w:t>Observations du Secrétaire général</w:t>
            </w:r>
          </w:p>
          <w:p w:rsidR="00476F90" w:rsidRPr="00A62EF7" w:rsidRDefault="00476F90" w:rsidP="003C6DD3">
            <w:pPr>
              <w:tabs>
                <w:tab w:val="clear" w:pos="567"/>
                <w:tab w:val="clear" w:pos="1134"/>
                <w:tab w:val="clear" w:pos="1701"/>
                <w:tab w:val="clear" w:pos="2268"/>
                <w:tab w:val="clear" w:pos="2835"/>
              </w:tabs>
              <w:overflowPunct/>
              <w:autoSpaceDE/>
              <w:autoSpaceDN/>
              <w:spacing w:after="120"/>
              <w:textAlignment w:val="auto"/>
              <w:rPr>
                <w:sz w:val="22"/>
                <w:szCs w:val="22"/>
              </w:rPr>
            </w:pPr>
            <w:r w:rsidRPr="00A62EF7">
              <w:t>Nous avons pris des mesures pour inclure une nouvelle clause dans les accords portant sur des échanges de services à compter de mai 2015 afin que des "éléments d'information" soient communiqués en temps voulu à l'UIT en ce qui concerne les services fournis.</w:t>
            </w:r>
          </w:p>
        </w:tc>
      </w:tr>
    </w:tbl>
    <w:p w:rsidR="00E80BA0" w:rsidRPr="00A62EF7" w:rsidRDefault="00E80BA0" w:rsidP="00476F90">
      <w:pPr>
        <w:pStyle w:val="Headingi"/>
        <w:rPr>
          <w:b/>
          <w:bCs/>
        </w:rPr>
      </w:pPr>
      <w:bookmarkStart w:id="120" w:name="lt_pId193"/>
      <w:bookmarkStart w:id="121" w:name="_Toc419372749"/>
      <w:bookmarkEnd w:id="119"/>
      <w:r w:rsidRPr="00A62EF7">
        <w:rPr>
          <w:b/>
          <w:bCs/>
        </w:rPr>
        <w:t>Billets d'entrée</w:t>
      </w:r>
      <w:bookmarkEnd w:id="120"/>
      <w:bookmarkEnd w:id="121"/>
    </w:p>
    <w:p w:rsidR="00E80BA0" w:rsidRPr="00A62EF7" w:rsidRDefault="00213834" w:rsidP="00BD4FA8">
      <w:pPr>
        <w:tabs>
          <w:tab w:val="clear" w:pos="567"/>
          <w:tab w:val="clear" w:pos="1134"/>
          <w:tab w:val="clear" w:pos="1701"/>
          <w:tab w:val="clear" w:pos="2268"/>
          <w:tab w:val="clear" w:pos="2835"/>
        </w:tabs>
        <w:overflowPunct/>
        <w:autoSpaceDE/>
        <w:autoSpaceDN/>
        <w:textAlignment w:val="auto"/>
      </w:pPr>
      <w:bookmarkStart w:id="122" w:name="lt_pId194"/>
      <w:r w:rsidRPr="00A62EF7">
        <w:t>52</w:t>
      </w:r>
      <w:r w:rsidRPr="00A62EF7">
        <w:tab/>
      </w:r>
      <w:r w:rsidR="00E80BA0" w:rsidRPr="00A62EF7">
        <w:t>Les billets d</w:t>
      </w:r>
      <w:r w:rsidR="003C6DD3" w:rsidRPr="00A62EF7">
        <w:t>'</w:t>
      </w:r>
      <w:r w:rsidR="00E80BA0" w:rsidRPr="00A62EF7">
        <w:t>entrée payants constituent environ 9% du total. La valeur virtuelle du total des billets d</w:t>
      </w:r>
      <w:r w:rsidR="003C6DD3" w:rsidRPr="00A62EF7">
        <w:t>'</w:t>
      </w:r>
      <w:r w:rsidR="00E80BA0" w:rsidRPr="00A62EF7">
        <w:t>entrée (y compris ceux offerts à titre gratuit ou à titre d</w:t>
      </w:r>
      <w:r w:rsidR="003C6DD3" w:rsidRPr="00A62EF7">
        <w:t>'</w:t>
      </w:r>
      <w:r w:rsidR="00E80BA0" w:rsidRPr="00A62EF7">
        <w:t>avantages) s</w:t>
      </w:r>
      <w:r w:rsidR="003C6DD3" w:rsidRPr="00A62EF7">
        <w:t>'</w:t>
      </w:r>
      <w:r w:rsidR="00E80BA0" w:rsidRPr="00A62EF7">
        <w:t>établit à près de 6</w:t>
      </w:r>
      <w:r w:rsidR="00BD4FA8">
        <w:t> </w:t>
      </w:r>
      <w:r w:rsidR="00E80BA0" w:rsidRPr="00A62EF7">
        <w:t>millions de CHF, tandis que les recettes tirées des billets d</w:t>
      </w:r>
      <w:r w:rsidR="003C6DD3" w:rsidRPr="00A62EF7">
        <w:t>'</w:t>
      </w:r>
      <w:r w:rsidR="00E80BA0" w:rsidRPr="00A62EF7">
        <w:t>entrée (accès au forum et à l</w:t>
      </w:r>
      <w:r w:rsidR="003C6DD3" w:rsidRPr="00A62EF7">
        <w:t>'</w:t>
      </w:r>
      <w:r w:rsidR="00E80BA0" w:rsidRPr="00A62EF7">
        <w:t>exposition pendant toute la durée de la manifestation) s</w:t>
      </w:r>
      <w:r w:rsidR="003C6DD3" w:rsidRPr="00A62EF7">
        <w:t>'</w:t>
      </w:r>
      <w:r w:rsidR="00E80BA0" w:rsidRPr="00A62EF7">
        <w:t>élèvent à 377 300 CHF (872 000 CHF inscrit au budget initial contre 604 000 CHF inscrit au budget révisé), nettement moins que pour l</w:t>
      </w:r>
      <w:r w:rsidR="003C6DD3" w:rsidRPr="00A62EF7">
        <w:t>'</w:t>
      </w:r>
      <w:r w:rsidR="00E80BA0" w:rsidRPr="00A62EF7">
        <w:t>édition de 2013 (673 780 CHF).</w:t>
      </w:r>
    </w:p>
    <w:p w:rsidR="00E80BA0" w:rsidRPr="00A62EF7" w:rsidRDefault="00213834" w:rsidP="00E80BA0">
      <w:pPr>
        <w:tabs>
          <w:tab w:val="clear" w:pos="567"/>
          <w:tab w:val="clear" w:pos="1134"/>
          <w:tab w:val="clear" w:pos="1701"/>
          <w:tab w:val="clear" w:pos="2268"/>
          <w:tab w:val="clear" w:pos="2835"/>
        </w:tabs>
        <w:overflowPunct/>
        <w:autoSpaceDE/>
        <w:autoSpaceDN/>
        <w:textAlignment w:val="auto"/>
      </w:pPr>
      <w:r w:rsidRPr="00A62EF7">
        <w:t>53</w:t>
      </w:r>
      <w:r w:rsidRPr="00A62EF7">
        <w:tab/>
      </w:r>
      <w:r w:rsidR="00E80BA0" w:rsidRPr="00A62EF7">
        <w:t>Les résultats de l</w:t>
      </w:r>
      <w:r w:rsidR="003C6DD3" w:rsidRPr="00A62EF7">
        <w:t>'</w:t>
      </w:r>
      <w:r w:rsidRPr="00A62EF7">
        <w:t>"</w:t>
      </w:r>
      <w:r w:rsidR="00E80BA0" w:rsidRPr="00A62EF7">
        <w:t>analyse de l'événement</w:t>
      </w:r>
      <w:r w:rsidR="003C6DD3" w:rsidRPr="00A62EF7">
        <w:t>"</w:t>
      </w:r>
      <w:r w:rsidR="00E80BA0" w:rsidRPr="00A62EF7">
        <w:t>, qui a été internalisée, montrent que la politique de réduction des prix et d</w:t>
      </w:r>
      <w:r w:rsidR="003C6DD3" w:rsidRPr="00A62EF7">
        <w:t>'</w:t>
      </w:r>
      <w:r w:rsidR="00E80BA0" w:rsidRPr="00A62EF7">
        <w:t>offre de billets d</w:t>
      </w:r>
      <w:r w:rsidR="003C6DD3" w:rsidRPr="00A62EF7">
        <w:t>'</w:t>
      </w:r>
      <w:r w:rsidR="00E80BA0" w:rsidRPr="00A62EF7">
        <w:t>entrée n</w:t>
      </w:r>
      <w:r w:rsidR="003C6DD3" w:rsidRPr="00A62EF7">
        <w:t>'</w:t>
      </w:r>
      <w:r w:rsidR="00E80BA0" w:rsidRPr="00A62EF7">
        <w:t>a pas été suffisamment efficace, puisque certaines possibilités n</w:t>
      </w:r>
      <w:r w:rsidR="003C6DD3" w:rsidRPr="00A62EF7">
        <w:t>'</w:t>
      </w:r>
      <w:r w:rsidR="00E80BA0" w:rsidRPr="00A62EF7">
        <w:t>ont pas été saisies par les acheteurs.</w:t>
      </w:r>
    </w:p>
    <w:p w:rsidR="00213834" w:rsidRPr="00A62EF7" w:rsidRDefault="00213834" w:rsidP="00AE5674">
      <w:pPr>
        <w:keepLines/>
        <w:tabs>
          <w:tab w:val="clear" w:pos="567"/>
          <w:tab w:val="clear" w:pos="1134"/>
          <w:tab w:val="clear" w:pos="1701"/>
          <w:tab w:val="clear" w:pos="2268"/>
          <w:tab w:val="clear" w:pos="2835"/>
        </w:tabs>
        <w:overflowPunct/>
        <w:autoSpaceDE/>
        <w:autoSpaceDN/>
        <w:spacing w:after="120"/>
        <w:textAlignment w:val="auto"/>
      </w:pPr>
      <w:r w:rsidRPr="00A62EF7">
        <w:t>54</w:t>
      </w:r>
      <w:r w:rsidRPr="00A62EF7">
        <w:tab/>
      </w:r>
      <w:r w:rsidR="00E80BA0" w:rsidRPr="00A62EF7">
        <w:t>Les analyses susmentionnées, qui portaient sur les catégories de tarifs, ont révélé un manque d</w:t>
      </w:r>
      <w:r w:rsidR="003C6DD3" w:rsidRPr="00A62EF7">
        <w:t>'</w:t>
      </w:r>
      <w:r w:rsidR="00E80BA0" w:rsidRPr="00A62EF7">
        <w:t>attrait des billets catégorie argent et, compte tenu de la date des achats, du tarif préférentiel en cas d'inscription préalable</w:t>
      </w:r>
      <w:r w:rsidR="003C6DD3" w:rsidRPr="00A62EF7">
        <w:t>;</w:t>
      </w:r>
      <w:r w:rsidR="00E80BA0" w:rsidRPr="00A62EF7">
        <w:t xml:space="preserve"> dans les faits, comme l</w:t>
      </w:r>
      <w:r w:rsidR="003C6DD3" w:rsidRPr="00A62EF7">
        <w:t>'</w:t>
      </w:r>
      <w:r w:rsidR="00E80BA0" w:rsidRPr="00A62EF7">
        <w:t>indique l</w:t>
      </w:r>
      <w:r w:rsidR="003C6DD3" w:rsidRPr="00A62EF7">
        <w:t>'</w:t>
      </w:r>
      <w:r w:rsidR="00E80BA0" w:rsidRPr="00A62EF7">
        <w:t>analyse de l</w:t>
      </w:r>
      <w:r w:rsidR="003C6DD3" w:rsidRPr="00A62EF7">
        <w:t>'</w:t>
      </w:r>
      <w:r w:rsidR="00E80BA0" w:rsidRPr="00A62EF7">
        <w:t>événement, une augmentation des ventes de billets d'entrée a été enregistrée uniquement la semaine précédant la manifestation.</w:t>
      </w:r>
    </w:p>
    <w:tbl>
      <w:tblPr>
        <w:tblStyle w:val="TableGrid"/>
        <w:tblW w:w="0" w:type="auto"/>
        <w:tblLook w:val="04A0" w:firstRow="1" w:lastRow="0" w:firstColumn="1" w:lastColumn="0" w:noHBand="0" w:noVBand="1"/>
      </w:tblPr>
      <w:tblGrid>
        <w:gridCol w:w="9061"/>
      </w:tblGrid>
      <w:tr w:rsidR="00213834" w:rsidRPr="00A62EF7" w:rsidTr="00C22589">
        <w:tc>
          <w:tcPr>
            <w:tcW w:w="9061" w:type="dxa"/>
          </w:tcPr>
          <w:p w:rsidR="00213834" w:rsidRPr="00A62EF7" w:rsidRDefault="00213834" w:rsidP="00C22589">
            <w:pPr>
              <w:tabs>
                <w:tab w:val="clear" w:pos="567"/>
                <w:tab w:val="clear" w:pos="1134"/>
                <w:tab w:val="clear" w:pos="1701"/>
                <w:tab w:val="clear" w:pos="2268"/>
                <w:tab w:val="clear" w:pos="2835"/>
              </w:tabs>
              <w:overflowPunct/>
              <w:autoSpaceDE/>
              <w:autoSpaceDN/>
              <w:textAlignment w:val="auto"/>
              <w:rPr>
                <w:b/>
                <w:bCs/>
              </w:rPr>
            </w:pPr>
            <w:r w:rsidRPr="00A62EF7">
              <w:rPr>
                <w:b/>
                <w:bCs/>
              </w:rPr>
              <w:t>Proposition n° 4</w:t>
            </w:r>
          </w:p>
          <w:p w:rsidR="00213834" w:rsidRPr="00A62EF7" w:rsidRDefault="00213834" w:rsidP="003C6DD3">
            <w:pPr>
              <w:tabs>
                <w:tab w:val="clear" w:pos="567"/>
                <w:tab w:val="clear" w:pos="1134"/>
                <w:tab w:val="clear" w:pos="1701"/>
                <w:tab w:val="clear" w:pos="2268"/>
                <w:tab w:val="clear" w:pos="2835"/>
              </w:tabs>
              <w:overflowPunct/>
              <w:autoSpaceDE/>
              <w:autoSpaceDN/>
              <w:spacing w:after="120"/>
              <w:textAlignment w:val="auto"/>
              <w:rPr>
                <w:sz w:val="22"/>
                <w:szCs w:val="22"/>
              </w:rPr>
            </w:pPr>
            <w:r w:rsidRPr="00A62EF7">
              <w:t>55</w:t>
            </w:r>
            <w:r w:rsidRPr="00A62EF7">
              <w:tab/>
              <w:t xml:space="preserve">Compte tenu des résultats, nous </w:t>
            </w:r>
            <w:r w:rsidRPr="00A62EF7">
              <w:rPr>
                <w:b/>
                <w:bCs/>
              </w:rPr>
              <w:t>proposons</w:t>
            </w:r>
            <w:r w:rsidRPr="00A62EF7">
              <w:t xml:space="preserve"> à la direction d'établir une politique raisonnable en matière de tarification afin de dégager davantage de recettes grâce aux billets d'entrée.</w:t>
            </w:r>
          </w:p>
        </w:tc>
      </w:tr>
    </w:tbl>
    <w:p w:rsidR="00213834" w:rsidRPr="00A62EF7" w:rsidRDefault="00213834" w:rsidP="003C6DD3">
      <w:pPr>
        <w:tabs>
          <w:tab w:val="clear" w:pos="567"/>
          <w:tab w:val="clear" w:pos="1134"/>
          <w:tab w:val="clear" w:pos="1701"/>
          <w:tab w:val="clear" w:pos="2268"/>
          <w:tab w:val="clear" w:pos="2835"/>
        </w:tabs>
        <w:overflowPunct/>
        <w:autoSpaceDE/>
        <w:autoSpaceDN/>
        <w:spacing w:after="120"/>
        <w:textAlignment w:val="auto"/>
      </w:pPr>
    </w:p>
    <w:tbl>
      <w:tblPr>
        <w:tblStyle w:val="TableGrid"/>
        <w:tblW w:w="0" w:type="auto"/>
        <w:tblLook w:val="04A0" w:firstRow="1" w:lastRow="0" w:firstColumn="1" w:lastColumn="0" w:noHBand="0" w:noVBand="1"/>
      </w:tblPr>
      <w:tblGrid>
        <w:gridCol w:w="9061"/>
      </w:tblGrid>
      <w:tr w:rsidR="00213834" w:rsidRPr="00A62EF7" w:rsidTr="003C6DD3">
        <w:tc>
          <w:tcPr>
            <w:tcW w:w="9061" w:type="dxa"/>
          </w:tcPr>
          <w:p w:rsidR="00213834" w:rsidRPr="008232AB" w:rsidRDefault="00213834" w:rsidP="003C6DD3">
            <w:pPr>
              <w:tabs>
                <w:tab w:val="clear" w:pos="567"/>
                <w:tab w:val="clear" w:pos="1134"/>
                <w:tab w:val="clear" w:pos="1701"/>
                <w:tab w:val="clear" w:pos="2268"/>
                <w:tab w:val="clear" w:pos="2835"/>
              </w:tabs>
              <w:overflowPunct/>
              <w:autoSpaceDE/>
              <w:autoSpaceDN/>
              <w:textAlignment w:val="auto"/>
              <w:rPr>
                <w:b/>
                <w:bCs/>
                <w:u w:val="single"/>
              </w:rPr>
            </w:pPr>
            <w:r w:rsidRPr="008232AB">
              <w:rPr>
                <w:b/>
                <w:bCs/>
                <w:u w:val="single"/>
              </w:rPr>
              <w:t>Observations du Secrétaire général</w:t>
            </w:r>
          </w:p>
          <w:p w:rsidR="00213834" w:rsidRPr="00A62EF7" w:rsidRDefault="00213834" w:rsidP="003C6DD3">
            <w:pPr>
              <w:tabs>
                <w:tab w:val="clear" w:pos="567"/>
                <w:tab w:val="clear" w:pos="1134"/>
                <w:tab w:val="clear" w:pos="1701"/>
                <w:tab w:val="clear" w:pos="2268"/>
                <w:tab w:val="clear" w:pos="2835"/>
              </w:tabs>
              <w:overflowPunct/>
              <w:autoSpaceDE/>
              <w:autoSpaceDN/>
              <w:spacing w:after="120"/>
              <w:textAlignment w:val="auto"/>
              <w:rPr>
                <w:sz w:val="22"/>
                <w:szCs w:val="22"/>
              </w:rPr>
            </w:pPr>
            <w:r w:rsidRPr="00A62EF7">
              <w:t>Dans la stratégie relative aux ventes pour 2015, la question des billets d'entrée a été traitée de diverses façons et l'UIT évaluera l'efficacité en appliquant les mesures ci-après: le tarif unitaire des billets de toutes les catégories a été fortement réduit pour accroître leur intérêt; le nombre de billets d'entrée donnant un accès gratuit au forum fournis à titre d'avantages aux clients ayant loué une surface d'exposition ou dans le cadre de parrainages a été réduit, avec l'espoir que cette mesure entraîne une augmentation des ventes; et une catégorie de billets à prix réduit a été créée pour augmenter le nombre de visiteurs de l'exposition.</w:t>
            </w:r>
          </w:p>
        </w:tc>
      </w:tr>
    </w:tbl>
    <w:p w:rsidR="00E80BA0" w:rsidRPr="00A62EF7" w:rsidRDefault="00E80BA0" w:rsidP="00213834">
      <w:pPr>
        <w:pStyle w:val="Headingi"/>
        <w:rPr>
          <w:b/>
          <w:bCs/>
        </w:rPr>
      </w:pPr>
      <w:bookmarkStart w:id="123" w:name="lt_pId203"/>
      <w:bookmarkStart w:id="124" w:name="_Toc419372750"/>
      <w:bookmarkEnd w:id="122"/>
      <w:r w:rsidRPr="00A62EF7">
        <w:rPr>
          <w:b/>
          <w:bCs/>
        </w:rPr>
        <w:t>Exposition</w:t>
      </w:r>
      <w:bookmarkEnd w:id="123"/>
      <w:bookmarkEnd w:id="124"/>
    </w:p>
    <w:p w:rsidR="00E80BA0" w:rsidRPr="00A62EF7" w:rsidRDefault="00213834" w:rsidP="00E80BA0">
      <w:pPr>
        <w:tabs>
          <w:tab w:val="clear" w:pos="567"/>
          <w:tab w:val="clear" w:pos="1134"/>
          <w:tab w:val="clear" w:pos="1701"/>
          <w:tab w:val="clear" w:pos="2268"/>
          <w:tab w:val="clear" w:pos="2835"/>
        </w:tabs>
        <w:overflowPunct/>
        <w:autoSpaceDE/>
        <w:autoSpaceDN/>
        <w:textAlignment w:val="auto"/>
      </w:pPr>
      <w:bookmarkStart w:id="125" w:name="lt_pId204"/>
      <w:r w:rsidRPr="00A62EF7">
        <w:t>56</w:t>
      </w:r>
      <w:r w:rsidRPr="00A62EF7">
        <w:tab/>
      </w:r>
      <w:r w:rsidR="00E80BA0" w:rsidRPr="00A62EF7">
        <w:t>Le nombre de mètres carrés de surface d</w:t>
      </w:r>
      <w:r w:rsidR="003C6DD3" w:rsidRPr="00A62EF7">
        <w:t>'</w:t>
      </w:r>
      <w:r w:rsidR="00E80BA0" w:rsidRPr="00A62EF7">
        <w:t>espace brut loués est nettement inférieur aux prévisions initiales. En outre, cette tendance, constante ces trois dernières années, montre que d</w:t>
      </w:r>
      <w:r w:rsidR="003C6DD3" w:rsidRPr="00A62EF7">
        <w:t>'</w:t>
      </w:r>
      <w:r w:rsidR="00E80BA0" w:rsidRPr="00A62EF7">
        <w:t xml:space="preserve">autres solutions constituent des sources positives de recettes, notamment la solution </w:t>
      </w:r>
      <w:r w:rsidR="003C6DD3" w:rsidRPr="00A62EF7">
        <w:t>"</w:t>
      </w:r>
      <w:r w:rsidR="00E80BA0" w:rsidRPr="00A62EF7">
        <w:t>clés en main</w:t>
      </w:r>
      <w:r w:rsidR="003C6DD3" w:rsidRPr="00A62EF7">
        <w:t>"</w:t>
      </w:r>
      <w:r w:rsidR="00E80BA0" w:rsidRPr="00A62EF7">
        <w:t xml:space="preserve"> qui répondait très bien aux attentes des exposants.</w:t>
      </w:r>
    </w:p>
    <w:p w:rsidR="00467B76" w:rsidRPr="00A62EF7" w:rsidRDefault="00213834" w:rsidP="005A3133">
      <w:pPr>
        <w:tabs>
          <w:tab w:val="clear" w:pos="567"/>
          <w:tab w:val="clear" w:pos="1134"/>
          <w:tab w:val="clear" w:pos="1701"/>
          <w:tab w:val="clear" w:pos="2268"/>
          <w:tab w:val="clear" w:pos="2835"/>
        </w:tabs>
        <w:overflowPunct/>
        <w:autoSpaceDE/>
        <w:autoSpaceDN/>
        <w:spacing w:after="120"/>
        <w:textAlignment w:val="auto"/>
      </w:pPr>
      <w:r w:rsidRPr="00A62EF7">
        <w:t>57</w:t>
      </w:r>
      <w:r w:rsidRPr="00A62EF7">
        <w:tab/>
      </w:r>
      <w:r w:rsidR="00E80BA0" w:rsidRPr="00A62EF7">
        <w:t>Bien que le budget initial ne tenait pas tout à fait compte de la pleine mesure de cette tendance, les chiffres effectifs inscrits au budget révisés à la date de la révision ont permis d</w:t>
      </w:r>
      <w:r w:rsidR="003C6DD3" w:rsidRPr="00A62EF7">
        <w:t>'</w:t>
      </w:r>
      <w:r w:rsidR="00E80BA0" w:rsidRPr="00A62EF7">
        <w:t>établir des prévisions plus précises. Par ailleurs, nous avons noté que le coût des offres de construction et de montage de solution clés en main était nettement inférieur aux prévisions.</w:t>
      </w:r>
    </w:p>
    <w:tbl>
      <w:tblPr>
        <w:tblStyle w:val="TableGrid"/>
        <w:tblW w:w="0" w:type="auto"/>
        <w:tblLook w:val="04A0" w:firstRow="1" w:lastRow="0" w:firstColumn="1" w:lastColumn="0" w:noHBand="0" w:noVBand="1"/>
      </w:tblPr>
      <w:tblGrid>
        <w:gridCol w:w="9061"/>
      </w:tblGrid>
      <w:tr w:rsidR="00467B76" w:rsidRPr="00A62EF7" w:rsidTr="005A3133">
        <w:trPr>
          <w:cantSplit/>
        </w:trPr>
        <w:tc>
          <w:tcPr>
            <w:tcW w:w="9061" w:type="dxa"/>
          </w:tcPr>
          <w:p w:rsidR="00467B76" w:rsidRPr="00A62EF7" w:rsidRDefault="00467B76" w:rsidP="00C22589">
            <w:pPr>
              <w:tabs>
                <w:tab w:val="clear" w:pos="567"/>
                <w:tab w:val="clear" w:pos="1134"/>
                <w:tab w:val="clear" w:pos="1701"/>
                <w:tab w:val="clear" w:pos="2268"/>
                <w:tab w:val="clear" w:pos="2835"/>
              </w:tabs>
              <w:overflowPunct/>
              <w:autoSpaceDE/>
              <w:autoSpaceDN/>
              <w:textAlignment w:val="auto"/>
              <w:rPr>
                <w:b/>
                <w:bCs/>
              </w:rPr>
            </w:pPr>
            <w:r w:rsidRPr="00A62EF7">
              <w:rPr>
                <w:b/>
                <w:bCs/>
              </w:rPr>
              <w:t>Proposition n° 5</w:t>
            </w:r>
          </w:p>
          <w:p w:rsidR="00467B76" w:rsidRPr="00A62EF7" w:rsidRDefault="00467B76" w:rsidP="003C6DD3">
            <w:pPr>
              <w:tabs>
                <w:tab w:val="clear" w:pos="567"/>
                <w:tab w:val="clear" w:pos="1134"/>
                <w:tab w:val="clear" w:pos="1701"/>
                <w:tab w:val="clear" w:pos="2268"/>
                <w:tab w:val="clear" w:pos="2835"/>
              </w:tabs>
              <w:overflowPunct/>
              <w:autoSpaceDE/>
              <w:autoSpaceDN/>
              <w:spacing w:after="120"/>
              <w:textAlignment w:val="auto"/>
              <w:rPr>
                <w:sz w:val="22"/>
                <w:szCs w:val="22"/>
              </w:rPr>
            </w:pPr>
            <w:r w:rsidRPr="00A62EF7">
              <w:t>58</w:t>
            </w:r>
            <w:r w:rsidRPr="00A62EF7">
              <w:tab/>
              <w:t xml:space="preserve">Compte tenu de l'intérêt des solutions clés en main pour générer des recettes, nous </w:t>
            </w:r>
            <w:r w:rsidRPr="00A62EF7">
              <w:rPr>
                <w:b/>
                <w:bCs/>
              </w:rPr>
              <w:t>proposons</w:t>
            </w:r>
            <w:r w:rsidRPr="00A62EF7">
              <w:t xml:space="preserve"> à la direction d'étudier la possibilité de proposer une gamme plus large encore de pavillons clés en main afin de mieux exploiter cette option.</w:t>
            </w:r>
          </w:p>
        </w:tc>
      </w:tr>
    </w:tbl>
    <w:p w:rsidR="00467B76" w:rsidRPr="008232AB" w:rsidRDefault="00467B76" w:rsidP="003C6DD3">
      <w:pPr>
        <w:tabs>
          <w:tab w:val="clear" w:pos="567"/>
          <w:tab w:val="clear" w:pos="1134"/>
          <w:tab w:val="clear" w:pos="1701"/>
          <w:tab w:val="clear" w:pos="2268"/>
          <w:tab w:val="clear" w:pos="2835"/>
        </w:tabs>
        <w:overflowPunct/>
        <w:autoSpaceDE/>
        <w:autoSpaceDN/>
        <w:spacing w:after="120"/>
        <w:textAlignment w:val="auto"/>
        <w:rPr>
          <w:sz w:val="16"/>
          <w:szCs w:val="16"/>
        </w:rPr>
      </w:pPr>
    </w:p>
    <w:tbl>
      <w:tblPr>
        <w:tblStyle w:val="TableGrid"/>
        <w:tblW w:w="0" w:type="auto"/>
        <w:tblLook w:val="04A0" w:firstRow="1" w:lastRow="0" w:firstColumn="1" w:lastColumn="0" w:noHBand="0" w:noVBand="1"/>
      </w:tblPr>
      <w:tblGrid>
        <w:gridCol w:w="9061"/>
      </w:tblGrid>
      <w:tr w:rsidR="00467B76" w:rsidRPr="00A62EF7" w:rsidTr="00AE5674">
        <w:trPr>
          <w:cantSplit/>
        </w:trPr>
        <w:tc>
          <w:tcPr>
            <w:tcW w:w="9061" w:type="dxa"/>
          </w:tcPr>
          <w:p w:rsidR="00467B76" w:rsidRPr="008232AB" w:rsidRDefault="00467B76" w:rsidP="003C6DD3">
            <w:pPr>
              <w:tabs>
                <w:tab w:val="clear" w:pos="567"/>
                <w:tab w:val="clear" w:pos="1134"/>
                <w:tab w:val="clear" w:pos="1701"/>
                <w:tab w:val="clear" w:pos="2268"/>
                <w:tab w:val="clear" w:pos="2835"/>
              </w:tabs>
              <w:overflowPunct/>
              <w:autoSpaceDE/>
              <w:autoSpaceDN/>
              <w:textAlignment w:val="auto"/>
              <w:rPr>
                <w:b/>
                <w:bCs/>
                <w:u w:val="single"/>
              </w:rPr>
            </w:pPr>
            <w:r w:rsidRPr="008232AB">
              <w:rPr>
                <w:b/>
                <w:bCs/>
                <w:u w:val="single"/>
              </w:rPr>
              <w:t>Observations du Secrétaire général</w:t>
            </w:r>
          </w:p>
          <w:p w:rsidR="00467B76" w:rsidRPr="00A62EF7" w:rsidRDefault="00467B76" w:rsidP="003C6DD3">
            <w:pPr>
              <w:tabs>
                <w:tab w:val="clear" w:pos="567"/>
                <w:tab w:val="clear" w:pos="1134"/>
                <w:tab w:val="clear" w:pos="1701"/>
                <w:tab w:val="clear" w:pos="2268"/>
                <w:tab w:val="clear" w:pos="2835"/>
              </w:tabs>
              <w:overflowPunct/>
              <w:autoSpaceDE/>
              <w:autoSpaceDN/>
              <w:spacing w:after="120"/>
              <w:textAlignment w:val="auto"/>
              <w:rPr>
                <w:sz w:val="22"/>
                <w:szCs w:val="22"/>
              </w:rPr>
            </w:pPr>
            <w:r w:rsidRPr="00A62EF7">
              <w:t>Le tarif appliqué en 2015 pour les solutions clés en main offre des avantages supérieurs à la location d'espace brut. Un nouveau produit clés en main à prix réduit a également été mis en place pour attirer les petites et moyennes entreprises (PME) et les jeunes entreprises disposant d'un faible budget pour la participation à des manifestations. L'UIT continuera d'évaluer l'intérêt et le rapport coût-avantages de ces produits.</w:t>
            </w:r>
          </w:p>
        </w:tc>
      </w:tr>
    </w:tbl>
    <w:p w:rsidR="00E80BA0" w:rsidRPr="00A62EF7" w:rsidRDefault="00E80BA0" w:rsidP="00896367">
      <w:pPr>
        <w:pStyle w:val="Heading1"/>
      </w:pPr>
      <w:bookmarkStart w:id="126" w:name="lt_pId216"/>
      <w:bookmarkStart w:id="127" w:name="_Toc419372751"/>
      <w:bookmarkEnd w:id="125"/>
      <w:r w:rsidRPr="00A62EF7">
        <w:t>CHARGES</w:t>
      </w:r>
      <w:bookmarkEnd w:id="126"/>
      <w:bookmarkEnd w:id="127"/>
    </w:p>
    <w:p w:rsidR="00E80BA0" w:rsidRPr="00A62EF7" w:rsidRDefault="00E80BA0" w:rsidP="00896367">
      <w:pPr>
        <w:pStyle w:val="Headingi"/>
        <w:rPr>
          <w:b/>
          <w:bCs/>
        </w:rPr>
      </w:pPr>
      <w:bookmarkStart w:id="128" w:name="lt_pId217"/>
      <w:bookmarkStart w:id="129" w:name="_Toc419372752"/>
      <w:r w:rsidRPr="00A62EF7">
        <w:rPr>
          <w:b/>
          <w:bCs/>
        </w:rPr>
        <w:t>Recouvrement des coûts</w:t>
      </w:r>
      <w:bookmarkEnd w:id="128"/>
      <w:bookmarkEnd w:id="129"/>
    </w:p>
    <w:p w:rsidR="00896367" w:rsidRPr="00A62EF7" w:rsidRDefault="00896367" w:rsidP="005A3133">
      <w:pPr>
        <w:tabs>
          <w:tab w:val="clear" w:pos="567"/>
          <w:tab w:val="clear" w:pos="1134"/>
          <w:tab w:val="clear" w:pos="1701"/>
          <w:tab w:val="clear" w:pos="2268"/>
          <w:tab w:val="clear" w:pos="2835"/>
        </w:tabs>
        <w:overflowPunct/>
        <w:autoSpaceDE/>
        <w:autoSpaceDN/>
        <w:spacing w:after="120"/>
        <w:textAlignment w:val="auto"/>
      </w:pPr>
      <w:bookmarkStart w:id="130" w:name="_Ref416442001"/>
      <w:bookmarkStart w:id="131" w:name="lt_pId218"/>
      <w:r w:rsidRPr="00A62EF7">
        <w:t>59</w:t>
      </w:r>
      <w:r w:rsidRPr="00A62EF7">
        <w:tab/>
      </w:r>
      <w:r w:rsidR="00E80BA0" w:rsidRPr="00A62EF7">
        <w:t>Bien que, comme indiqué dans les observations du Secrétaire général relatives à la recommandation n°</w:t>
      </w:r>
      <w:r w:rsidR="00BD4FA8">
        <w:t> </w:t>
      </w:r>
      <w:r w:rsidR="00E80BA0" w:rsidRPr="00A62EF7">
        <w:t>3 figurant dans notre rapport pour 2013</w:t>
      </w:r>
      <w:r w:rsidR="003C6DD3" w:rsidRPr="00A62EF7">
        <w:t>:</w:t>
      </w:r>
      <w:r w:rsidR="00E80BA0" w:rsidRPr="00A62EF7">
        <w:t> </w:t>
      </w:r>
      <w:r w:rsidR="003C6DD3" w:rsidRPr="00A62EF7">
        <w:t>"</w:t>
      </w:r>
      <w:r w:rsidR="00E80BA0" w:rsidRPr="00A62EF7">
        <w:t>Les montants du recouvrement des coûts pour les années 2014 et 2015 ont déjà été déterminés dans le budget approuvé pour cette période</w:t>
      </w:r>
      <w:r w:rsidR="003C6DD3" w:rsidRPr="00A62EF7">
        <w:t>"</w:t>
      </w:r>
      <w:r w:rsidR="00E80BA0" w:rsidRPr="00A62EF7">
        <w:t>, une étude sur les droits au titre du recouvrement des coûts a été menée à bien par le Département de la gestion des ressources financières; le résultat de cette étude a été communiqué au secrétariat d</w:t>
      </w:r>
      <w:r w:rsidR="003C6DD3" w:rsidRPr="00A62EF7">
        <w:t>'</w:t>
      </w:r>
      <w:r w:rsidR="00E80BA0" w:rsidRPr="00A62EF7">
        <w:t>ITU Telecom pour observations en octobre 2014.</w:t>
      </w:r>
    </w:p>
    <w:tbl>
      <w:tblPr>
        <w:tblStyle w:val="TableGrid"/>
        <w:tblW w:w="0" w:type="auto"/>
        <w:tblLook w:val="04A0" w:firstRow="1" w:lastRow="0" w:firstColumn="1" w:lastColumn="0" w:noHBand="0" w:noVBand="1"/>
      </w:tblPr>
      <w:tblGrid>
        <w:gridCol w:w="9061"/>
      </w:tblGrid>
      <w:tr w:rsidR="00896367" w:rsidRPr="00A62EF7" w:rsidTr="00C22589">
        <w:tc>
          <w:tcPr>
            <w:tcW w:w="9061" w:type="dxa"/>
          </w:tcPr>
          <w:p w:rsidR="00896367" w:rsidRPr="00A62EF7" w:rsidRDefault="00896367" w:rsidP="00896367">
            <w:pPr>
              <w:tabs>
                <w:tab w:val="clear" w:pos="567"/>
                <w:tab w:val="clear" w:pos="1134"/>
                <w:tab w:val="clear" w:pos="1701"/>
                <w:tab w:val="clear" w:pos="2268"/>
                <w:tab w:val="clear" w:pos="2835"/>
              </w:tabs>
              <w:overflowPunct/>
              <w:autoSpaceDE/>
              <w:autoSpaceDN/>
              <w:textAlignment w:val="auto"/>
              <w:rPr>
                <w:b/>
                <w:bCs/>
              </w:rPr>
            </w:pPr>
            <w:r w:rsidRPr="00A62EF7">
              <w:rPr>
                <w:b/>
                <w:bCs/>
              </w:rPr>
              <w:t xml:space="preserve">Recommandation n° </w:t>
            </w:r>
            <w:r w:rsidR="00BD4FA8">
              <w:rPr>
                <w:b/>
                <w:bCs/>
              </w:rPr>
              <w:t>1</w:t>
            </w:r>
          </w:p>
          <w:p w:rsidR="00896367" w:rsidRPr="00A62EF7" w:rsidRDefault="00BD4FA8" w:rsidP="003C6DD3">
            <w:pPr>
              <w:tabs>
                <w:tab w:val="clear" w:pos="567"/>
                <w:tab w:val="clear" w:pos="1134"/>
                <w:tab w:val="clear" w:pos="1701"/>
                <w:tab w:val="clear" w:pos="2268"/>
                <w:tab w:val="clear" w:pos="2835"/>
              </w:tabs>
              <w:overflowPunct/>
              <w:autoSpaceDE/>
              <w:autoSpaceDN/>
              <w:spacing w:after="120"/>
              <w:textAlignment w:val="auto"/>
              <w:rPr>
                <w:sz w:val="22"/>
                <w:szCs w:val="22"/>
              </w:rPr>
            </w:pPr>
            <w:r>
              <w:t>60</w:t>
            </w:r>
            <w:r w:rsidR="00896367" w:rsidRPr="00A62EF7">
              <w:tab/>
              <w:t xml:space="preserve">Nous avons été informés du fait que le résultat de l'étude sur le recouvrement des coûts est en cours d'examen. A l'issue de ce processus, nous </w:t>
            </w:r>
            <w:r w:rsidR="00896367" w:rsidRPr="00A62EF7">
              <w:rPr>
                <w:b/>
                <w:bCs/>
              </w:rPr>
              <w:t xml:space="preserve">recommandons </w:t>
            </w:r>
            <w:r w:rsidR="00896367" w:rsidRPr="00A62EF7">
              <w:t>à la direction de se fonder sur le résultat de cette étude pour calculer le montant des droits au titre du recouvrement des coûts.</w:t>
            </w:r>
          </w:p>
        </w:tc>
      </w:tr>
    </w:tbl>
    <w:p w:rsidR="00896367" w:rsidRPr="00A62EF7" w:rsidRDefault="00896367" w:rsidP="003C6DD3">
      <w:pPr>
        <w:tabs>
          <w:tab w:val="clear" w:pos="567"/>
          <w:tab w:val="clear" w:pos="1134"/>
          <w:tab w:val="clear" w:pos="1701"/>
          <w:tab w:val="clear" w:pos="2268"/>
          <w:tab w:val="clear" w:pos="2835"/>
        </w:tabs>
        <w:overflowPunct/>
        <w:autoSpaceDE/>
        <w:autoSpaceDN/>
        <w:spacing w:after="120"/>
        <w:textAlignment w:val="auto"/>
      </w:pPr>
    </w:p>
    <w:tbl>
      <w:tblPr>
        <w:tblStyle w:val="TableGrid"/>
        <w:tblW w:w="0" w:type="auto"/>
        <w:tblLook w:val="04A0" w:firstRow="1" w:lastRow="0" w:firstColumn="1" w:lastColumn="0" w:noHBand="0" w:noVBand="1"/>
      </w:tblPr>
      <w:tblGrid>
        <w:gridCol w:w="9061"/>
      </w:tblGrid>
      <w:tr w:rsidR="00896367" w:rsidRPr="00A62EF7" w:rsidTr="003C6DD3">
        <w:tc>
          <w:tcPr>
            <w:tcW w:w="9061" w:type="dxa"/>
          </w:tcPr>
          <w:p w:rsidR="00896367" w:rsidRPr="008232AB" w:rsidRDefault="00896367" w:rsidP="003C6DD3">
            <w:pPr>
              <w:tabs>
                <w:tab w:val="clear" w:pos="567"/>
                <w:tab w:val="clear" w:pos="1134"/>
                <w:tab w:val="clear" w:pos="1701"/>
                <w:tab w:val="clear" w:pos="2268"/>
                <w:tab w:val="clear" w:pos="2835"/>
              </w:tabs>
              <w:overflowPunct/>
              <w:autoSpaceDE/>
              <w:autoSpaceDN/>
              <w:textAlignment w:val="auto"/>
              <w:rPr>
                <w:b/>
                <w:bCs/>
                <w:u w:val="single"/>
              </w:rPr>
            </w:pPr>
            <w:r w:rsidRPr="008232AB">
              <w:rPr>
                <w:b/>
                <w:bCs/>
                <w:u w:val="single"/>
              </w:rPr>
              <w:t>Observations du Secrétaire général</w:t>
            </w:r>
          </w:p>
          <w:p w:rsidR="00896367" w:rsidRPr="00A62EF7" w:rsidRDefault="00896367" w:rsidP="003C6DD3">
            <w:pPr>
              <w:tabs>
                <w:tab w:val="clear" w:pos="567"/>
                <w:tab w:val="clear" w:pos="1134"/>
                <w:tab w:val="clear" w:pos="1701"/>
                <w:tab w:val="clear" w:pos="2268"/>
                <w:tab w:val="clear" w:pos="2835"/>
              </w:tabs>
              <w:overflowPunct/>
              <w:autoSpaceDE/>
              <w:autoSpaceDN/>
              <w:spacing w:after="120"/>
              <w:textAlignment w:val="auto"/>
              <w:rPr>
                <w:sz w:val="22"/>
                <w:szCs w:val="22"/>
              </w:rPr>
            </w:pPr>
            <w:r w:rsidRPr="00A62EF7">
              <w:t>Une étude détaillée sur le recouvrement des coûts a été menée à bien par le Département de la gestion des ressources financières; le résultat de cette étude a été communiqué au secrétariat d'ITU Telecom et est en cours d'examen. Le résultat de l'étude sur le recouvrement des coûts servira de base pour déterminer le montant des droits imputables au titre du recouvrement des coûts.</w:t>
            </w:r>
          </w:p>
        </w:tc>
      </w:tr>
    </w:tbl>
    <w:p w:rsidR="00E80BA0" w:rsidRPr="00A62EF7" w:rsidRDefault="00E80BA0" w:rsidP="008232AB">
      <w:pPr>
        <w:pStyle w:val="Headingb"/>
        <w:spacing w:before="240"/>
      </w:pPr>
      <w:bookmarkStart w:id="132" w:name="lt_pId226"/>
      <w:bookmarkStart w:id="133" w:name="_Toc419372753"/>
      <w:bookmarkEnd w:id="130"/>
      <w:bookmarkEnd w:id="131"/>
      <w:r w:rsidRPr="00A62EF7">
        <w:t>Dépenses de personnel</w:t>
      </w:r>
      <w:bookmarkEnd w:id="132"/>
      <w:bookmarkEnd w:id="133"/>
    </w:p>
    <w:p w:rsidR="00E80BA0" w:rsidRPr="00A62EF7" w:rsidRDefault="00896367" w:rsidP="00BD4FA8">
      <w:pPr>
        <w:tabs>
          <w:tab w:val="clear" w:pos="567"/>
          <w:tab w:val="clear" w:pos="1134"/>
          <w:tab w:val="clear" w:pos="1701"/>
          <w:tab w:val="clear" w:pos="2268"/>
          <w:tab w:val="clear" w:pos="2835"/>
        </w:tabs>
        <w:overflowPunct/>
        <w:autoSpaceDE/>
        <w:autoSpaceDN/>
        <w:textAlignment w:val="auto"/>
      </w:pPr>
      <w:bookmarkStart w:id="134" w:name="lt_pId227"/>
      <w:r w:rsidRPr="00A62EF7">
        <w:t>61</w:t>
      </w:r>
      <w:r w:rsidRPr="00A62EF7">
        <w:tab/>
      </w:r>
      <w:r w:rsidR="00E80BA0" w:rsidRPr="00A62EF7">
        <w:t>Nous avons constaté que, en ce qui concerne le personnel temporaire, un montant de 24</w:t>
      </w:r>
      <w:r w:rsidR="00BD4FA8">
        <w:t> </w:t>
      </w:r>
      <w:r w:rsidR="00E80BA0" w:rsidRPr="00A62EF7">
        <w:t>678,05 CHF est inscrit au titre de congés accumulés. Dans certains cas, le nombre de jours de congés non pris qui a été inscrit était plus élevé (19 jours).</w:t>
      </w:r>
    </w:p>
    <w:p w:rsidR="00E80BA0" w:rsidRPr="00A62EF7" w:rsidRDefault="00E80BA0" w:rsidP="00896367">
      <w:pPr>
        <w:pStyle w:val="Headingb"/>
      </w:pPr>
      <w:bookmarkStart w:id="135" w:name="_Toc419372754"/>
      <w:bookmarkStart w:id="136" w:name="lt_pId229"/>
      <w:bookmarkEnd w:id="134"/>
      <w:r w:rsidRPr="00A62EF7">
        <w:t>Concordance entre le budget et les résultats</w:t>
      </w:r>
      <w:bookmarkEnd w:id="135"/>
      <w:r w:rsidRPr="00A62EF7">
        <w:t xml:space="preserve"> </w:t>
      </w:r>
      <w:bookmarkEnd w:id="136"/>
    </w:p>
    <w:p w:rsidR="00896367" w:rsidRPr="00A62EF7" w:rsidRDefault="00896367" w:rsidP="005A3133">
      <w:pPr>
        <w:tabs>
          <w:tab w:val="clear" w:pos="567"/>
          <w:tab w:val="clear" w:pos="1134"/>
          <w:tab w:val="clear" w:pos="1701"/>
          <w:tab w:val="clear" w:pos="2268"/>
          <w:tab w:val="clear" w:pos="2835"/>
        </w:tabs>
        <w:overflowPunct/>
        <w:autoSpaceDE/>
        <w:autoSpaceDN/>
        <w:spacing w:after="120"/>
        <w:textAlignment w:val="auto"/>
      </w:pPr>
      <w:bookmarkStart w:id="137" w:name="lt_pId230"/>
      <w:r w:rsidRPr="00A62EF7">
        <w:t>62</w:t>
      </w:r>
      <w:r w:rsidRPr="00A62EF7">
        <w:tab/>
      </w:r>
      <w:r w:rsidR="00E80BA0" w:rsidRPr="00A62EF7">
        <w:t>Dans certains cas, la présentation des produits et charges effectifs dont il est rendu compte ne suit pas correctement la ventilation du budget (par exemple, parrainage du service d</w:t>
      </w:r>
      <w:r w:rsidR="003C6DD3" w:rsidRPr="00A62EF7">
        <w:t>'</w:t>
      </w:r>
      <w:r w:rsidR="00E80BA0" w:rsidRPr="00A62EF7">
        <w:t xml:space="preserve">inscription dans la catégorie des produits, </w:t>
      </w:r>
      <w:r w:rsidR="003C6DD3" w:rsidRPr="00A62EF7">
        <w:t>"</w:t>
      </w:r>
      <w:r w:rsidR="00E80BA0" w:rsidRPr="00A62EF7">
        <w:t>Innovation Space</w:t>
      </w:r>
      <w:r w:rsidR="003C6DD3" w:rsidRPr="00A62EF7">
        <w:t>"</w:t>
      </w:r>
      <w:r w:rsidR="00E80BA0" w:rsidRPr="00A62EF7">
        <w:t xml:space="preserve"> et d</w:t>
      </w:r>
      <w:r w:rsidR="003C6DD3" w:rsidRPr="00A62EF7">
        <w:t>'</w:t>
      </w:r>
      <w:r w:rsidR="00E80BA0" w:rsidRPr="00A62EF7">
        <w:t xml:space="preserve">autres </w:t>
      </w:r>
      <w:r w:rsidR="003C6DD3" w:rsidRPr="00A62EF7">
        <w:t>"</w:t>
      </w:r>
      <w:r w:rsidR="00E80BA0" w:rsidRPr="00A62EF7">
        <w:t>espaces</w:t>
      </w:r>
      <w:r w:rsidR="003C6DD3" w:rsidRPr="00A62EF7">
        <w:t>"</w:t>
      </w:r>
      <w:r w:rsidR="00E80BA0" w:rsidRPr="00A62EF7">
        <w:t>)</w:t>
      </w:r>
      <w:r w:rsidR="003C6DD3" w:rsidRPr="00A62EF7">
        <w:t>;</w:t>
      </w:r>
      <w:r w:rsidR="00E80BA0" w:rsidRPr="00A62EF7">
        <w:t xml:space="preserve"> de ce fait, il n</w:t>
      </w:r>
      <w:r w:rsidR="003C6DD3" w:rsidRPr="00A62EF7">
        <w:t>'</w:t>
      </w:r>
      <w:r w:rsidR="00E80BA0" w:rsidRPr="00A62EF7">
        <w:t>est pas possible d</w:t>
      </w:r>
      <w:r w:rsidR="003C6DD3" w:rsidRPr="00A62EF7">
        <w:t>'</w:t>
      </w:r>
      <w:r w:rsidR="00E80BA0" w:rsidRPr="00A62EF7">
        <w:t>établir une comparaison directe entre les chiffres, ni de les analyser.</w:t>
      </w:r>
    </w:p>
    <w:tbl>
      <w:tblPr>
        <w:tblStyle w:val="TableGrid"/>
        <w:tblW w:w="0" w:type="auto"/>
        <w:tblLook w:val="04A0" w:firstRow="1" w:lastRow="0" w:firstColumn="1" w:lastColumn="0" w:noHBand="0" w:noVBand="1"/>
      </w:tblPr>
      <w:tblGrid>
        <w:gridCol w:w="9061"/>
      </w:tblGrid>
      <w:tr w:rsidR="00896367" w:rsidRPr="00A62EF7" w:rsidTr="00AE5674">
        <w:trPr>
          <w:cantSplit/>
        </w:trPr>
        <w:tc>
          <w:tcPr>
            <w:tcW w:w="9061" w:type="dxa"/>
          </w:tcPr>
          <w:p w:rsidR="00896367" w:rsidRPr="00A62EF7" w:rsidRDefault="00896367" w:rsidP="00896367">
            <w:pPr>
              <w:tabs>
                <w:tab w:val="clear" w:pos="567"/>
                <w:tab w:val="clear" w:pos="1134"/>
                <w:tab w:val="clear" w:pos="1701"/>
                <w:tab w:val="clear" w:pos="2268"/>
                <w:tab w:val="clear" w:pos="2835"/>
              </w:tabs>
              <w:overflowPunct/>
              <w:autoSpaceDE/>
              <w:autoSpaceDN/>
              <w:textAlignment w:val="auto"/>
              <w:rPr>
                <w:b/>
                <w:bCs/>
              </w:rPr>
            </w:pPr>
            <w:r w:rsidRPr="00A62EF7">
              <w:rPr>
                <w:b/>
                <w:bCs/>
              </w:rPr>
              <w:t>Recommandation n° 2</w:t>
            </w:r>
          </w:p>
          <w:p w:rsidR="00896367" w:rsidRPr="00A62EF7" w:rsidRDefault="00896367" w:rsidP="003C6DD3">
            <w:pPr>
              <w:tabs>
                <w:tab w:val="clear" w:pos="567"/>
                <w:tab w:val="clear" w:pos="1134"/>
                <w:tab w:val="clear" w:pos="1701"/>
                <w:tab w:val="clear" w:pos="2268"/>
                <w:tab w:val="clear" w:pos="2835"/>
              </w:tabs>
              <w:overflowPunct/>
              <w:autoSpaceDE/>
              <w:autoSpaceDN/>
              <w:spacing w:after="120"/>
              <w:textAlignment w:val="auto"/>
              <w:rPr>
                <w:sz w:val="22"/>
                <w:szCs w:val="22"/>
              </w:rPr>
            </w:pPr>
            <w:r w:rsidRPr="00A62EF7">
              <w:t>63</w:t>
            </w:r>
            <w:r w:rsidRPr="00A62EF7">
              <w:tab/>
              <w:t xml:space="preserve">Nous donnons acte des efforts déployés par la direction pour mettre au point un budget fiable et lui </w:t>
            </w:r>
            <w:r w:rsidRPr="00A62EF7">
              <w:rPr>
                <w:b/>
                <w:bCs/>
              </w:rPr>
              <w:t xml:space="preserve">recommandons </w:t>
            </w:r>
            <w:r w:rsidRPr="00A62EF7">
              <w:t>de suivre strictement la même ventilation du budget que celle utilisée pour la présentation des résultats.</w:t>
            </w:r>
          </w:p>
        </w:tc>
      </w:tr>
    </w:tbl>
    <w:p w:rsidR="008232AB" w:rsidRDefault="008232AB" w:rsidP="003C6DD3">
      <w:pPr>
        <w:tabs>
          <w:tab w:val="clear" w:pos="567"/>
          <w:tab w:val="clear" w:pos="1134"/>
          <w:tab w:val="clear" w:pos="1701"/>
          <w:tab w:val="clear" w:pos="2268"/>
          <w:tab w:val="clear" w:pos="2835"/>
        </w:tabs>
        <w:overflowPunct/>
        <w:autoSpaceDE/>
        <w:autoSpaceDN/>
        <w:spacing w:after="120"/>
        <w:textAlignment w:val="auto"/>
        <w:rPr>
          <w:sz w:val="16"/>
          <w:szCs w:val="16"/>
        </w:rPr>
      </w:pPr>
    </w:p>
    <w:p w:rsidR="008232AB" w:rsidRDefault="008232AB">
      <w:pPr>
        <w:tabs>
          <w:tab w:val="clear" w:pos="567"/>
          <w:tab w:val="clear" w:pos="1134"/>
          <w:tab w:val="clear" w:pos="1701"/>
          <w:tab w:val="clear" w:pos="2268"/>
          <w:tab w:val="clear" w:pos="2835"/>
        </w:tabs>
        <w:overflowPunct/>
        <w:autoSpaceDE/>
        <w:autoSpaceDN/>
        <w:adjustRightInd/>
        <w:spacing w:before="0"/>
        <w:textAlignment w:val="auto"/>
        <w:rPr>
          <w:sz w:val="16"/>
          <w:szCs w:val="16"/>
        </w:rPr>
      </w:pPr>
      <w:r>
        <w:rPr>
          <w:sz w:val="16"/>
          <w:szCs w:val="16"/>
        </w:rPr>
        <w:br w:type="page"/>
      </w:r>
    </w:p>
    <w:tbl>
      <w:tblPr>
        <w:tblStyle w:val="TableGrid"/>
        <w:tblW w:w="0" w:type="auto"/>
        <w:tblLook w:val="04A0" w:firstRow="1" w:lastRow="0" w:firstColumn="1" w:lastColumn="0" w:noHBand="0" w:noVBand="1"/>
      </w:tblPr>
      <w:tblGrid>
        <w:gridCol w:w="9061"/>
      </w:tblGrid>
      <w:tr w:rsidR="00896367" w:rsidRPr="00A62EF7" w:rsidTr="003C6DD3">
        <w:tc>
          <w:tcPr>
            <w:tcW w:w="9061" w:type="dxa"/>
          </w:tcPr>
          <w:p w:rsidR="00896367" w:rsidRPr="008232AB" w:rsidRDefault="00896367" w:rsidP="003C6DD3">
            <w:pPr>
              <w:tabs>
                <w:tab w:val="clear" w:pos="567"/>
                <w:tab w:val="clear" w:pos="1134"/>
                <w:tab w:val="clear" w:pos="1701"/>
                <w:tab w:val="clear" w:pos="2268"/>
                <w:tab w:val="clear" w:pos="2835"/>
              </w:tabs>
              <w:overflowPunct/>
              <w:autoSpaceDE/>
              <w:autoSpaceDN/>
              <w:textAlignment w:val="auto"/>
              <w:rPr>
                <w:b/>
                <w:bCs/>
                <w:u w:val="single"/>
              </w:rPr>
            </w:pPr>
            <w:r w:rsidRPr="008232AB">
              <w:rPr>
                <w:b/>
                <w:bCs/>
                <w:u w:val="single"/>
              </w:rPr>
              <w:t>Observations du Secrétaire général</w:t>
            </w:r>
          </w:p>
          <w:p w:rsidR="00896367" w:rsidRPr="00A62EF7" w:rsidRDefault="00896367" w:rsidP="003C6DD3">
            <w:pPr>
              <w:tabs>
                <w:tab w:val="clear" w:pos="567"/>
                <w:tab w:val="clear" w:pos="1134"/>
                <w:tab w:val="clear" w:pos="1701"/>
                <w:tab w:val="clear" w:pos="2268"/>
                <w:tab w:val="clear" w:pos="2835"/>
              </w:tabs>
              <w:overflowPunct/>
              <w:autoSpaceDE/>
              <w:autoSpaceDN/>
              <w:spacing w:after="120"/>
              <w:textAlignment w:val="auto"/>
              <w:rPr>
                <w:sz w:val="22"/>
                <w:szCs w:val="22"/>
              </w:rPr>
            </w:pPr>
            <w:r w:rsidRPr="00A62EF7">
              <w:t>Des mesures seront prises pour assurer une coordination plus étroite entre le secrétariat d'ITU Telecom et le Département de la gestion des ressources financières pour résoudre ce problème.</w:t>
            </w:r>
          </w:p>
        </w:tc>
      </w:tr>
    </w:tbl>
    <w:p w:rsidR="00E80BA0" w:rsidRPr="00A62EF7" w:rsidRDefault="00E80BA0" w:rsidP="00896367">
      <w:pPr>
        <w:pStyle w:val="Headingb"/>
        <w:spacing w:before="360"/>
      </w:pPr>
      <w:bookmarkStart w:id="138" w:name="_Toc419372755"/>
      <w:bookmarkStart w:id="139" w:name="lt_pId236"/>
      <w:bookmarkEnd w:id="137"/>
      <w:r w:rsidRPr="00A62EF7">
        <w:t>Service d'inscription</w:t>
      </w:r>
      <w:bookmarkEnd w:id="138"/>
      <w:r w:rsidRPr="00A62EF7">
        <w:t xml:space="preserve"> </w:t>
      </w:r>
      <w:bookmarkEnd w:id="139"/>
    </w:p>
    <w:p w:rsidR="00E80BA0" w:rsidRPr="00A62EF7" w:rsidRDefault="0060643B" w:rsidP="00E80BA0">
      <w:pPr>
        <w:tabs>
          <w:tab w:val="clear" w:pos="567"/>
          <w:tab w:val="clear" w:pos="1134"/>
          <w:tab w:val="clear" w:pos="1701"/>
          <w:tab w:val="clear" w:pos="2268"/>
          <w:tab w:val="clear" w:pos="2835"/>
        </w:tabs>
        <w:overflowPunct/>
        <w:autoSpaceDE/>
        <w:autoSpaceDN/>
        <w:textAlignment w:val="auto"/>
      </w:pPr>
      <w:bookmarkStart w:id="140" w:name="lt_pId237"/>
      <w:r w:rsidRPr="00A62EF7">
        <w:t>64</w:t>
      </w:r>
      <w:r w:rsidRPr="00A62EF7">
        <w:tab/>
      </w:r>
      <w:r w:rsidR="00E80BA0" w:rsidRPr="00A62EF7">
        <w:t>Nous avons vérifié que notre précédente recommandation (recommandation n° 2 figurant dans le rapport pour 2012) concernant l'internalisation des services d'inscription avait été dûment observée. Toutefois, les entretiens que nous avons menés ont fait apparaître un certain manque de souplesse, mais nous reconnaissons que la coopération avec des ressources internes permet de réaliser des améliorations continues d</w:t>
      </w:r>
      <w:r w:rsidR="003C6DD3" w:rsidRPr="00A62EF7">
        <w:t>'</w:t>
      </w:r>
      <w:r w:rsidR="00E80BA0" w:rsidRPr="00A62EF7">
        <w:t>année en année, grâce au partage d</w:t>
      </w:r>
      <w:r w:rsidR="003C6DD3" w:rsidRPr="00A62EF7">
        <w:t>'</w:t>
      </w:r>
      <w:r w:rsidR="00E80BA0" w:rsidRPr="00A62EF7">
        <w:t>expériences spécifiques.</w:t>
      </w:r>
    </w:p>
    <w:p w:rsidR="00E80BA0" w:rsidRPr="00A62EF7" w:rsidRDefault="0060643B" w:rsidP="00E80BA0">
      <w:pPr>
        <w:tabs>
          <w:tab w:val="clear" w:pos="567"/>
          <w:tab w:val="clear" w:pos="1134"/>
          <w:tab w:val="clear" w:pos="1701"/>
          <w:tab w:val="clear" w:pos="2268"/>
          <w:tab w:val="clear" w:pos="2835"/>
        </w:tabs>
        <w:overflowPunct/>
        <w:autoSpaceDE/>
        <w:autoSpaceDN/>
        <w:textAlignment w:val="auto"/>
      </w:pPr>
      <w:bookmarkStart w:id="141" w:name="lt_pId239"/>
      <w:bookmarkEnd w:id="140"/>
      <w:r w:rsidRPr="00A62EF7">
        <w:t>65</w:t>
      </w:r>
      <w:r w:rsidRPr="00A62EF7">
        <w:tab/>
      </w:r>
      <w:r w:rsidR="00E80BA0" w:rsidRPr="00A62EF7">
        <w:t>Nous suivrons cette question afin de vérifier que des améliorations concrètes sont apportées.</w:t>
      </w:r>
    </w:p>
    <w:p w:rsidR="00E80BA0" w:rsidRPr="00A62EF7" w:rsidRDefault="00E80BA0" w:rsidP="0060643B">
      <w:pPr>
        <w:pStyle w:val="Headingi"/>
        <w:rPr>
          <w:b/>
          <w:bCs/>
        </w:rPr>
      </w:pPr>
      <w:bookmarkStart w:id="142" w:name="lt_pId240"/>
      <w:bookmarkStart w:id="143" w:name="_Toc419372756"/>
      <w:bookmarkEnd w:id="141"/>
      <w:r w:rsidRPr="00A62EF7">
        <w:rPr>
          <w:b/>
          <w:bCs/>
        </w:rPr>
        <w:t>Politiques concernant les charges stratégiques</w:t>
      </w:r>
      <w:bookmarkEnd w:id="142"/>
      <w:bookmarkEnd w:id="143"/>
      <w:r w:rsidRPr="00A62EF7">
        <w:rPr>
          <w:b/>
          <w:bCs/>
        </w:rPr>
        <w:t xml:space="preserve"> </w:t>
      </w:r>
    </w:p>
    <w:p w:rsidR="00E80BA0" w:rsidRPr="00A62EF7" w:rsidRDefault="0060643B" w:rsidP="00E80BA0">
      <w:pPr>
        <w:tabs>
          <w:tab w:val="clear" w:pos="567"/>
          <w:tab w:val="clear" w:pos="1134"/>
          <w:tab w:val="clear" w:pos="1701"/>
          <w:tab w:val="clear" w:pos="2268"/>
          <w:tab w:val="clear" w:pos="2835"/>
        </w:tabs>
        <w:overflowPunct/>
        <w:autoSpaceDE/>
        <w:autoSpaceDN/>
        <w:textAlignment w:val="auto"/>
      </w:pPr>
      <w:bookmarkStart w:id="144" w:name="lt_pId241"/>
      <w:r w:rsidRPr="00A62EF7">
        <w:t>66</w:t>
      </w:r>
      <w:r w:rsidRPr="00A62EF7">
        <w:tab/>
      </w:r>
      <w:r w:rsidR="00E80BA0" w:rsidRPr="00A62EF7">
        <w:t xml:space="preserve">Dans sa Résolution 11 (Rév. Busan, 2014), la Conférence de plénipotentiaires souligne à plusieurs reprises la nécessité de renforcer la participation des pays en développement, en particulier au point a) du </w:t>
      </w:r>
      <w:r w:rsidR="00E80BA0" w:rsidRPr="00A62EF7">
        <w:rPr>
          <w:i/>
          <w:iCs/>
        </w:rPr>
        <w:t>considérant</w:t>
      </w:r>
      <w:r w:rsidR="00E80BA0" w:rsidRPr="00A62EF7">
        <w:t xml:space="preserve">: "(…) s'efforcer d'étendre les avantages des nouvelles technologies de télécommunication à tous les habitants de la planète (…)" et au point d) du </w:t>
      </w:r>
      <w:r w:rsidR="00E80BA0" w:rsidRPr="00A62EF7">
        <w:rPr>
          <w:i/>
          <w:iCs/>
        </w:rPr>
        <w:t>considérant</w:t>
      </w:r>
      <w:r w:rsidR="00E80BA0" w:rsidRPr="00A62EF7">
        <w:t>: "(…) des possibilités de mettre ces réalisations au service de tous les Etats Membres et Membres des Secteurs, notamment des pays en développement".</w:t>
      </w:r>
      <w:bookmarkEnd w:id="144"/>
    </w:p>
    <w:p w:rsidR="00E80BA0" w:rsidRPr="00A62EF7" w:rsidRDefault="0060643B" w:rsidP="0060643B">
      <w:pPr>
        <w:keepLines/>
        <w:tabs>
          <w:tab w:val="clear" w:pos="567"/>
          <w:tab w:val="clear" w:pos="1134"/>
          <w:tab w:val="clear" w:pos="1701"/>
          <w:tab w:val="clear" w:pos="2268"/>
          <w:tab w:val="clear" w:pos="2835"/>
        </w:tabs>
        <w:overflowPunct/>
        <w:autoSpaceDE/>
        <w:autoSpaceDN/>
        <w:textAlignment w:val="auto"/>
      </w:pPr>
      <w:bookmarkStart w:id="145" w:name="lt_pId242"/>
      <w:r w:rsidRPr="00A62EF7">
        <w:t>67</w:t>
      </w:r>
      <w:r w:rsidRPr="00A62EF7">
        <w:tab/>
      </w:r>
      <w:r w:rsidR="00E80BA0" w:rsidRPr="00A62EF7">
        <w:t>En outre, par sa Résolution 11 (Rév. Busan, 2014), la Conférence de plénipotentiaires charge le Secrétaire général (point 3) "d'examiner les mesures propres à permettre aux Etats Membres qui en ont la capacité et la volonté, en particulier aux pays en développement, d'accueillir et d'organiser des manifestations ITU TELECOM".</w:t>
      </w:r>
      <w:bookmarkStart w:id="146" w:name="lt_pId243"/>
      <w:bookmarkEnd w:id="145"/>
      <w:bookmarkEnd w:id="146"/>
      <w:r w:rsidR="00470597" w:rsidRPr="00A62EF7">
        <w:t xml:space="preserve"> </w:t>
      </w:r>
    </w:p>
    <w:p w:rsidR="00E80BA0" w:rsidRPr="00A62EF7" w:rsidRDefault="0060643B" w:rsidP="00E80BA0">
      <w:pPr>
        <w:tabs>
          <w:tab w:val="clear" w:pos="567"/>
          <w:tab w:val="clear" w:pos="1134"/>
          <w:tab w:val="clear" w:pos="1701"/>
          <w:tab w:val="clear" w:pos="2268"/>
          <w:tab w:val="clear" w:pos="2835"/>
        </w:tabs>
        <w:overflowPunct/>
        <w:autoSpaceDE/>
        <w:autoSpaceDN/>
        <w:textAlignment w:val="auto"/>
      </w:pPr>
      <w:r w:rsidRPr="00A62EF7">
        <w:t>68</w:t>
      </w:r>
      <w:r w:rsidRPr="00A62EF7">
        <w:tab/>
      </w:r>
      <w:r w:rsidR="00E80BA0" w:rsidRPr="00A62EF7">
        <w:t>La direction a clairement indiqué que plusieurs mesures ont été prises pour atteindre les objectifs énoncés dans la Résolution 11 précitée, notamment: a) un programme de bourses; b) des offres de réductions; c) des aides à la construction de pavillons nationaux; d) des réunions en vue de la constitution de réseaux, etc.</w:t>
      </w:r>
    </w:p>
    <w:p w:rsidR="00E80BA0" w:rsidRPr="00A62EF7" w:rsidRDefault="0060643B" w:rsidP="00E80BA0">
      <w:pPr>
        <w:tabs>
          <w:tab w:val="clear" w:pos="567"/>
          <w:tab w:val="clear" w:pos="1134"/>
          <w:tab w:val="clear" w:pos="1701"/>
          <w:tab w:val="clear" w:pos="2268"/>
          <w:tab w:val="clear" w:pos="2835"/>
        </w:tabs>
        <w:overflowPunct/>
        <w:autoSpaceDE/>
        <w:autoSpaceDN/>
        <w:textAlignment w:val="auto"/>
      </w:pPr>
      <w:bookmarkStart w:id="147" w:name="lt_pId244"/>
      <w:r w:rsidRPr="00A62EF7">
        <w:t>69</w:t>
      </w:r>
      <w:r w:rsidRPr="00A62EF7">
        <w:tab/>
      </w:r>
      <w:r w:rsidR="00E80BA0" w:rsidRPr="00A62EF7">
        <w:t>Eu égard à la proposition n°</w:t>
      </w:r>
      <w:r w:rsidR="00BD4FA8">
        <w:t> </w:t>
      </w:r>
      <w:r w:rsidR="00E80BA0" w:rsidRPr="00A62EF7">
        <w:t>8 que nous avions formulée dans le précédent rapport, nous avons constaté que, concernant le programme de bourses en faveur des pays les moins avancés et des pays à faible revenu, un montant de 100 000 CHF avait été inscrit au budget et que seulement 76% de cette somme a été dépensé. Bien que nous trouvions bon que des économies soient réalisées, nous devons souligner que dans certains cas, le fait de dépenser une part plus importante de cette somme traduirait plus vraisemblablement le respect des principes et règles susmentionnés.</w:t>
      </w:r>
    </w:p>
    <w:p w:rsidR="00AE4CC4" w:rsidRDefault="0060643B" w:rsidP="00BD4FA8">
      <w:pPr>
        <w:tabs>
          <w:tab w:val="clear" w:pos="567"/>
          <w:tab w:val="clear" w:pos="1134"/>
          <w:tab w:val="clear" w:pos="1701"/>
          <w:tab w:val="clear" w:pos="2268"/>
          <w:tab w:val="clear" w:pos="2835"/>
        </w:tabs>
        <w:overflowPunct/>
        <w:autoSpaceDE/>
        <w:autoSpaceDN/>
        <w:spacing w:after="120"/>
        <w:textAlignment w:val="auto"/>
      </w:pPr>
      <w:bookmarkStart w:id="148" w:name="lt_pId246"/>
      <w:bookmarkEnd w:id="147"/>
      <w:r w:rsidRPr="00A62EF7">
        <w:t>70</w:t>
      </w:r>
      <w:r w:rsidRPr="00A62EF7">
        <w:tab/>
      </w:r>
      <w:r w:rsidR="00E80BA0" w:rsidRPr="00A62EF7">
        <w:t>Nous avons observé que, lors de la manifestation de 2014 (et de manifestations précédentes), le montant des prix remis dans le cadre du Concours pour jeunes innovateurs était inférieur à la moitié du montant inscrit au budget (le montant inscrit au budget était de 80</w:t>
      </w:r>
      <w:r w:rsidR="00BD4FA8">
        <w:t> </w:t>
      </w:r>
      <w:r w:rsidR="00E80BA0" w:rsidRPr="00A62EF7">
        <w:t>000</w:t>
      </w:r>
      <w:r w:rsidR="00BD4FA8">
        <w:t> </w:t>
      </w:r>
      <w:r w:rsidR="00E80BA0" w:rsidRPr="00A62EF7">
        <w:t>CHF et le montant effectif s</w:t>
      </w:r>
      <w:r w:rsidR="003C6DD3" w:rsidRPr="00A62EF7">
        <w:t>'</w:t>
      </w:r>
      <w:r w:rsidR="00E80BA0" w:rsidRPr="00A62EF7">
        <w:t>élève à 35 397 CHF).</w:t>
      </w:r>
    </w:p>
    <w:p w:rsidR="008232AB" w:rsidRPr="00A62EF7" w:rsidRDefault="008232AB" w:rsidP="00BD4FA8">
      <w:pPr>
        <w:tabs>
          <w:tab w:val="clear" w:pos="567"/>
          <w:tab w:val="clear" w:pos="1134"/>
          <w:tab w:val="clear" w:pos="1701"/>
          <w:tab w:val="clear" w:pos="2268"/>
          <w:tab w:val="clear" w:pos="2835"/>
        </w:tabs>
        <w:overflowPunct/>
        <w:autoSpaceDE/>
        <w:autoSpaceDN/>
        <w:spacing w:after="120"/>
        <w:textAlignment w:val="auto"/>
      </w:pPr>
    </w:p>
    <w:tbl>
      <w:tblPr>
        <w:tblStyle w:val="TableGrid"/>
        <w:tblW w:w="0" w:type="auto"/>
        <w:tblLook w:val="04A0" w:firstRow="1" w:lastRow="0" w:firstColumn="1" w:lastColumn="0" w:noHBand="0" w:noVBand="1"/>
      </w:tblPr>
      <w:tblGrid>
        <w:gridCol w:w="9061"/>
      </w:tblGrid>
      <w:tr w:rsidR="00AE4CC4" w:rsidRPr="00A62EF7" w:rsidTr="00C22589">
        <w:tc>
          <w:tcPr>
            <w:tcW w:w="9061" w:type="dxa"/>
          </w:tcPr>
          <w:p w:rsidR="00AE4CC4" w:rsidRPr="00A62EF7" w:rsidRDefault="00AE4CC4" w:rsidP="00C22589">
            <w:pPr>
              <w:tabs>
                <w:tab w:val="clear" w:pos="567"/>
                <w:tab w:val="clear" w:pos="1134"/>
                <w:tab w:val="clear" w:pos="1701"/>
                <w:tab w:val="clear" w:pos="2268"/>
                <w:tab w:val="clear" w:pos="2835"/>
              </w:tabs>
              <w:overflowPunct/>
              <w:autoSpaceDE/>
              <w:autoSpaceDN/>
              <w:textAlignment w:val="auto"/>
              <w:rPr>
                <w:b/>
                <w:bCs/>
              </w:rPr>
            </w:pPr>
            <w:r w:rsidRPr="00A62EF7">
              <w:rPr>
                <w:b/>
                <w:bCs/>
              </w:rPr>
              <w:t>Proposition n° 6</w:t>
            </w:r>
          </w:p>
          <w:p w:rsidR="00AE4CC4" w:rsidRPr="00A62EF7" w:rsidRDefault="00AE4CC4" w:rsidP="00BD4FA8">
            <w:pPr>
              <w:tabs>
                <w:tab w:val="clear" w:pos="567"/>
                <w:tab w:val="clear" w:pos="1134"/>
                <w:tab w:val="clear" w:pos="1701"/>
                <w:tab w:val="clear" w:pos="2268"/>
                <w:tab w:val="clear" w:pos="2835"/>
              </w:tabs>
              <w:overflowPunct/>
              <w:autoSpaceDE/>
              <w:autoSpaceDN/>
              <w:spacing w:after="120"/>
              <w:textAlignment w:val="auto"/>
              <w:rPr>
                <w:sz w:val="22"/>
                <w:szCs w:val="22"/>
              </w:rPr>
            </w:pPr>
            <w:r w:rsidRPr="00A62EF7">
              <w:t>71</w:t>
            </w:r>
            <w:r w:rsidRPr="00A62EF7">
              <w:tab/>
              <w:t xml:space="preserve">Nous </w:t>
            </w:r>
            <w:r w:rsidRPr="00A62EF7">
              <w:rPr>
                <w:b/>
                <w:bCs/>
              </w:rPr>
              <w:t>proposons</w:t>
            </w:r>
            <w:r w:rsidRPr="00A62EF7">
              <w:t xml:space="preserve"> à </w:t>
            </w:r>
            <w:r w:rsidR="00BD4FA8">
              <w:t>la direction de déterminer quel</w:t>
            </w:r>
            <w:r w:rsidRPr="00A62EF7">
              <w:t xml:space="preserve"> poste budgétaire lié aux charges est stratégique et, en conséquence, d'évaluer s'il serait approprié de réaliser des économies sur ces postes stratégiques.</w:t>
            </w:r>
          </w:p>
        </w:tc>
      </w:tr>
    </w:tbl>
    <w:p w:rsidR="00AE4CC4" w:rsidRPr="00A62EF7" w:rsidRDefault="00AE4CC4" w:rsidP="003C6DD3">
      <w:pPr>
        <w:tabs>
          <w:tab w:val="clear" w:pos="567"/>
          <w:tab w:val="clear" w:pos="1134"/>
          <w:tab w:val="clear" w:pos="1701"/>
          <w:tab w:val="clear" w:pos="2268"/>
          <w:tab w:val="clear" w:pos="2835"/>
        </w:tabs>
        <w:overflowPunct/>
        <w:autoSpaceDE/>
        <w:autoSpaceDN/>
        <w:spacing w:after="120"/>
        <w:textAlignment w:val="auto"/>
      </w:pPr>
    </w:p>
    <w:tbl>
      <w:tblPr>
        <w:tblStyle w:val="TableGrid"/>
        <w:tblW w:w="0" w:type="auto"/>
        <w:tblLook w:val="04A0" w:firstRow="1" w:lastRow="0" w:firstColumn="1" w:lastColumn="0" w:noHBand="0" w:noVBand="1"/>
      </w:tblPr>
      <w:tblGrid>
        <w:gridCol w:w="9061"/>
      </w:tblGrid>
      <w:tr w:rsidR="00AE4CC4" w:rsidRPr="00A62EF7" w:rsidTr="003C6DD3">
        <w:tc>
          <w:tcPr>
            <w:tcW w:w="9061" w:type="dxa"/>
          </w:tcPr>
          <w:p w:rsidR="00AE4CC4" w:rsidRPr="008232AB" w:rsidRDefault="00AE4CC4" w:rsidP="003C6DD3">
            <w:pPr>
              <w:tabs>
                <w:tab w:val="clear" w:pos="567"/>
                <w:tab w:val="clear" w:pos="1134"/>
                <w:tab w:val="clear" w:pos="1701"/>
                <w:tab w:val="clear" w:pos="2268"/>
                <w:tab w:val="clear" w:pos="2835"/>
              </w:tabs>
              <w:overflowPunct/>
              <w:autoSpaceDE/>
              <w:autoSpaceDN/>
              <w:textAlignment w:val="auto"/>
              <w:rPr>
                <w:b/>
                <w:bCs/>
                <w:u w:val="single"/>
              </w:rPr>
            </w:pPr>
            <w:r w:rsidRPr="008232AB">
              <w:rPr>
                <w:b/>
                <w:bCs/>
                <w:u w:val="single"/>
              </w:rPr>
              <w:t>Observations du Secrétaire général</w:t>
            </w:r>
          </w:p>
          <w:p w:rsidR="00AE4CC4" w:rsidRPr="00A62EF7" w:rsidRDefault="00AE4CC4" w:rsidP="003C6DD3">
            <w:pPr>
              <w:tabs>
                <w:tab w:val="clear" w:pos="567"/>
                <w:tab w:val="clear" w:pos="1134"/>
                <w:tab w:val="clear" w:pos="1701"/>
                <w:tab w:val="clear" w:pos="2268"/>
                <w:tab w:val="clear" w:pos="2835"/>
              </w:tabs>
              <w:overflowPunct/>
              <w:autoSpaceDE/>
              <w:autoSpaceDN/>
              <w:spacing w:after="120"/>
              <w:textAlignment w:val="auto"/>
              <w:rPr>
                <w:sz w:val="22"/>
                <w:szCs w:val="22"/>
              </w:rPr>
            </w:pPr>
            <w:r w:rsidRPr="00A62EF7">
              <w:t>Le montant effectif des charges encourues pour les bourses, y compris les prix remis dans le cadre du Concours pour jeunes innovateurs, est directement lié au nombre de candidatures remplissant les conditions requises. Néanmoins, l'UIT analysera toute possibilité d'économie sur ces postes et sur d'autres postes inscrits au budget qui pourraient être qualifiés de charges stratégiques, et évaluera attentivement l'incidence de ces économies sur les résultats de la manifestation.</w:t>
            </w:r>
          </w:p>
        </w:tc>
      </w:tr>
    </w:tbl>
    <w:p w:rsidR="00E80BA0" w:rsidRPr="00A62EF7" w:rsidRDefault="00E80BA0" w:rsidP="00BD4FA8">
      <w:pPr>
        <w:pStyle w:val="Headingb"/>
        <w:spacing w:before="240"/>
      </w:pPr>
      <w:bookmarkStart w:id="149" w:name="lt_pId253"/>
      <w:bookmarkStart w:id="150" w:name="_Toc419372757"/>
      <w:bookmarkEnd w:id="148"/>
      <w:r w:rsidRPr="00A62EF7">
        <w:t>Indicateurs IFP et enquête postmanifestation</w:t>
      </w:r>
      <w:bookmarkEnd w:id="149"/>
      <w:bookmarkEnd w:id="150"/>
    </w:p>
    <w:p w:rsidR="00E80BA0" w:rsidRPr="00A62EF7" w:rsidRDefault="00AE4CC4" w:rsidP="00E80BA0">
      <w:pPr>
        <w:tabs>
          <w:tab w:val="clear" w:pos="567"/>
          <w:tab w:val="clear" w:pos="1134"/>
          <w:tab w:val="clear" w:pos="1701"/>
          <w:tab w:val="clear" w:pos="2268"/>
          <w:tab w:val="clear" w:pos="2835"/>
        </w:tabs>
        <w:overflowPunct/>
        <w:autoSpaceDE/>
        <w:autoSpaceDN/>
        <w:textAlignment w:val="auto"/>
      </w:pPr>
      <w:bookmarkStart w:id="151" w:name="lt_pId254"/>
      <w:r w:rsidRPr="00A62EF7">
        <w:t>72</w:t>
      </w:r>
      <w:r w:rsidRPr="00A62EF7">
        <w:tab/>
      </w:r>
      <w:r w:rsidR="00E80BA0" w:rsidRPr="00A62EF7">
        <w:t>L'analyse des indicateurs fondamentaux de performance vise principalement à aider la direction dans la prise de décisions stratégiques, et ses résultats peuvent également servir à compléter certaines informations déjà obtenues.</w:t>
      </w:r>
      <w:bookmarkEnd w:id="151"/>
    </w:p>
    <w:p w:rsidR="00E80BA0" w:rsidRPr="00A62EF7" w:rsidRDefault="00AE4CC4" w:rsidP="00E80BA0">
      <w:pPr>
        <w:tabs>
          <w:tab w:val="clear" w:pos="567"/>
          <w:tab w:val="clear" w:pos="1134"/>
          <w:tab w:val="clear" w:pos="1701"/>
          <w:tab w:val="clear" w:pos="2268"/>
          <w:tab w:val="clear" w:pos="2835"/>
        </w:tabs>
        <w:overflowPunct/>
        <w:autoSpaceDE/>
        <w:autoSpaceDN/>
        <w:textAlignment w:val="auto"/>
      </w:pPr>
      <w:bookmarkStart w:id="152" w:name="lt_pId255"/>
      <w:r w:rsidRPr="00A62EF7">
        <w:t>73</w:t>
      </w:r>
      <w:r w:rsidRPr="00A62EF7">
        <w:tab/>
      </w:r>
      <w:r w:rsidR="00E80BA0" w:rsidRPr="00A62EF7">
        <w:t>Le montant inscrit au budget initial pour l</w:t>
      </w:r>
      <w:r w:rsidR="003C6DD3" w:rsidRPr="00A62EF7">
        <w:t>'</w:t>
      </w:r>
      <w:r w:rsidR="00E80BA0" w:rsidRPr="00A62EF7">
        <w:t>enquête s</w:t>
      </w:r>
      <w:r w:rsidR="003C6DD3" w:rsidRPr="00A62EF7">
        <w:t>'</w:t>
      </w:r>
      <w:r w:rsidR="00E80BA0" w:rsidRPr="00A62EF7">
        <w:t>élevait à 10 000 CHF, mais, conformément aux indications générales que nous avions formulées en vue d</w:t>
      </w:r>
      <w:r w:rsidR="003C6DD3" w:rsidRPr="00A62EF7">
        <w:t>'</w:t>
      </w:r>
      <w:r w:rsidR="00E80BA0" w:rsidRPr="00A62EF7">
        <w:t>internaliser les travaux dans la mesure du possible, aucun service externe n</w:t>
      </w:r>
      <w:r w:rsidR="003C6DD3" w:rsidRPr="00A62EF7">
        <w:t>'</w:t>
      </w:r>
      <w:r w:rsidR="00E80BA0" w:rsidRPr="00A62EF7">
        <w:t>a été acheté.</w:t>
      </w:r>
    </w:p>
    <w:p w:rsidR="00E80BA0" w:rsidRPr="00A62EF7" w:rsidRDefault="00AE4CC4" w:rsidP="00BD4FA8">
      <w:pPr>
        <w:tabs>
          <w:tab w:val="clear" w:pos="567"/>
          <w:tab w:val="clear" w:pos="1134"/>
          <w:tab w:val="clear" w:pos="1701"/>
          <w:tab w:val="clear" w:pos="2268"/>
          <w:tab w:val="clear" w:pos="2835"/>
        </w:tabs>
        <w:overflowPunct/>
        <w:autoSpaceDE/>
        <w:autoSpaceDN/>
        <w:textAlignment w:val="auto"/>
      </w:pPr>
      <w:bookmarkStart w:id="153" w:name="lt_pId256"/>
      <w:bookmarkEnd w:id="152"/>
      <w:r w:rsidRPr="00A62EF7">
        <w:t>74</w:t>
      </w:r>
      <w:r w:rsidRPr="00A62EF7">
        <w:tab/>
      </w:r>
      <w:r w:rsidR="00E80BA0" w:rsidRPr="00A62EF7">
        <w:t>Le 17 décembre 2014, une "enquête postmanifestation en ligne" portant sur certains aspects d'ITU Telecom World 2014 a été lancée; elle a été menée à l'aide d'un logiciel spécialisé.</w:t>
      </w:r>
      <w:bookmarkEnd w:id="153"/>
      <w:r w:rsidR="00E80BA0" w:rsidRPr="00A62EF7">
        <w:t xml:space="preserve"> </w:t>
      </w:r>
      <w:bookmarkStart w:id="154" w:name="lt_pId257"/>
      <w:r w:rsidR="00E80BA0" w:rsidRPr="00A62EF7">
        <w:t>L</w:t>
      </w:r>
      <w:r w:rsidR="003C6DD3" w:rsidRPr="00A62EF7">
        <w:t>'</w:t>
      </w:r>
      <w:r w:rsidR="00E80BA0" w:rsidRPr="00A62EF7">
        <w:t>enquête a été close le 2 janvier 2015, après que trois rappels ont été envoyés aux entités qui n</w:t>
      </w:r>
      <w:r w:rsidR="003C6DD3" w:rsidRPr="00A62EF7">
        <w:t>'</w:t>
      </w:r>
      <w:r w:rsidR="00E80BA0" w:rsidRPr="00A62EF7">
        <w:t>avaient pas encore répondu.</w:t>
      </w:r>
    </w:p>
    <w:p w:rsidR="00E80BA0" w:rsidRPr="00A62EF7" w:rsidRDefault="00E80BA0" w:rsidP="00AE4CC4">
      <w:pPr>
        <w:pStyle w:val="Headingi"/>
        <w:rPr>
          <w:b/>
          <w:bCs/>
        </w:rPr>
      </w:pPr>
      <w:bookmarkStart w:id="155" w:name="lt_pId258"/>
      <w:bookmarkStart w:id="156" w:name="_Toc419372758"/>
      <w:bookmarkEnd w:id="154"/>
      <w:r w:rsidRPr="00A62EF7">
        <w:rPr>
          <w:b/>
          <w:bCs/>
        </w:rPr>
        <w:t>Tirage au sort</w:t>
      </w:r>
      <w:bookmarkEnd w:id="155"/>
      <w:bookmarkEnd w:id="156"/>
    </w:p>
    <w:p w:rsidR="00E80BA0" w:rsidRPr="00A62EF7" w:rsidRDefault="00AE4CC4" w:rsidP="00E80BA0">
      <w:pPr>
        <w:tabs>
          <w:tab w:val="clear" w:pos="567"/>
          <w:tab w:val="clear" w:pos="1134"/>
          <w:tab w:val="clear" w:pos="1701"/>
          <w:tab w:val="clear" w:pos="2268"/>
          <w:tab w:val="clear" w:pos="2835"/>
        </w:tabs>
        <w:overflowPunct/>
        <w:autoSpaceDE/>
        <w:autoSpaceDN/>
        <w:textAlignment w:val="auto"/>
      </w:pPr>
      <w:bookmarkStart w:id="157" w:name="lt_pId259"/>
      <w:r w:rsidRPr="00A62EF7">
        <w:t>75</w:t>
      </w:r>
      <w:r w:rsidRPr="00A62EF7">
        <w:tab/>
      </w:r>
      <w:r w:rsidR="00E80BA0" w:rsidRPr="00A62EF7">
        <w:t>Seuls 8% des entités interrogées ont répondu à l</w:t>
      </w:r>
      <w:r w:rsidR="003C6DD3" w:rsidRPr="00A62EF7">
        <w:t>'</w:t>
      </w:r>
      <w:r w:rsidR="00E80BA0" w:rsidRPr="00A62EF7">
        <w:t>enquête, et ce malgré le tirage au sort proposé afin de les encourager à répondre avant le 31 décembre 2014. Nous avons obtenu des informations selon lesquelles un tirage au sort a eu lieu et dix montres ont été envoyées aux vainqueurs, dans différentes régions du monde.</w:t>
      </w:r>
    </w:p>
    <w:p w:rsidR="00AE4CC4" w:rsidRPr="00A62EF7" w:rsidRDefault="00AE4CC4" w:rsidP="005A3133">
      <w:pPr>
        <w:tabs>
          <w:tab w:val="clear" w:pos="567"/>
          <w:tab w:val="clear" w:pos="1134"/>
          <w:tab w:val="clear" w:pos="1701"/>
          <w:tab w:val="clear" w:pos="2268"/>
          <w:tab w:val="clear" w:pos="2835"/>
        </w:tabs>
        <w:overflowPunct/>
        <w:autoSpaceDE/>
        <w:autoSpaceDN/>
        <w:spacing w:after="120"/>
        <w:textAlignment w:val="auto"/>
      </w:pPr>
      <w:bookmarkStart w:id="158" w:name="lt_pId261"/>
      <w:bookmarkEnd w:id="157"/>
      <w:r w:rsidRPr="00A62EF7">
        <w:t>76</w:t>
      </w:r>
      <w:r w:rsidRPr="00A62EF7">
        <w:tab/>
      </w:r>
      <w:r w:rsidR="00E80BA0" w:rsidRPr="00A62EF7">
        <w:t>Le coût de l</w:t>
      </w:r>
      <w:r w:rsidR="003C6DD3" w:rsidRPr="00A62EF7">
        <w:t>'</w:t>
      </w:r>
      <w:r w:rsidR="00E80BA0" w:rsidRPr="00A62EF7">
        <w:t xml:space="preserve">envoi des prix (montres) a été imputé au titre de </w:t>
      </w:r>
      <w:r w:rsidR="003C6DD3" w:rsidRPr="00A62EF7">
        <w:t>"</w:t>
      </w:r>
      <w:r w:rsidR="00E80BA0" w:rsidRPr="00A62EF7">
        <w:t>frais de port et d'expédition relatifs aux services de communication et marketing</w:t>
      </w:r>
      <w:r w:rsidR="003C6DD3" w:rsidRPr="00A62EF7">
        <w:t>"</w:t>
      </w:r>
      <w:r w:rsidR="00E80BA0" w:rsidRPr="00A62EF7">
        <w:t xml:space="preserve"> dans les comptes d'ITU Telecom World 2014. Toutefois, l</w:t>
      </w:r>
      <w:r w:rsidR="003C6DD3" w:rsidRPr="00A62EF7">
        <w:t>'</w:t>
      </w:r>
      <w:r w:rsidR="00E80BA0" w:rsidRPr="00A62EF7">
        <w:t>envoi livré en février 2015 aurait dû être inscrit en tant qu</w:t>
      </w:r>
      <w:r w:rsidR="003C6DD3" w:rsidRPr="00A62EF7">
        <w:t>'</w:t>
      </w:r>
      <w:r w:rsidR="00E80BA0" w:rsidRPr="00A62EF7">
        <w:t>élément comptabilisé d'avance pour la manifestation de 2014.</w:t>
      </w:r>
      <w:bookmarkEnd w:id="158"/>
    </w:p>
    <w:tbl>
      <w:tblPr>
        <w:tblStyle w:val="TableGrid"/>
        <w:tblW w:w="0" w:type="auto"/>
        <w:tblLook w:val="04A0" w:firstRow="1" w:lastRow="0" w:firstColumn="1" w:lastColumn="0" w:noHBand="0" w:noVBand="1"/>
      </w:tblPr>
      <w:tblGrid>
        <w:gridCol w:w="9061"/>
      </w:tblGrid>
      <w:tr w:rsidR="00AE4CC4" w:rsidRPr="00A62EF7" w:rsidTr="00AE5674">
        <w:trPr>
          <w:cantSplit/>
        </w:trPr>
        <w:tc>
          <w:tcPr>
            <w:tcW w:w="9061" w:type="dxa"/>
          </w:tcPr>
          <w:p w:rsidR="00AE4CC4" w:rsidRPr="00A62EF7" w:rsidRDefault="00AE4CC4" w:rsidP="00C22589">
            <w:pPr>
              <w:tabs>
                <w:tab w:val="clear" w:pos="567"/>
                <w:tab w:val="clear" w:pos="1134"/>
                <w:tab w:val="clear" w:pos="1701"/>
                <w:tab w:val="clear" w:pos="2268"/>
                <w:tab w:val="clear" w:pos="2835"/>
              </w:tabs>
              <w:overflowPunct/>
              <w:autoSpaceDE/>
              <w:autoSpaceDN/>
              <w:textAlignment w:val="auto"/>
              <w:rPr>
                <w:b/>
                <w:bCs/>
              </w:rPr>
            </w:pPr>
            <w:r w:rsidRPr="00A62EF7">
              <w:rPr>
                <w:b/>
                <w:bCs/>
              </w:rPr>
              <w:t>Proposition n° 7</w:t>
            </w:r>
          </w:p>
          <w:p w:rsidR="00AE4CC4" w:rsidRPr="00A62EF7" w:rsidRDefault="00AE4CC4" w:rsidP="003C6DD3">
            <w:pPr>
              <w:tabs>
                <w:tab w:val="clear" w:pos="567"/>
                <w:tab w:val="clear" w:pos="1134"/>
                <w:tab w:val="clear" w:pos="1701"/>
                <w:tab w:val="clear" w:pos="2268"/>
                <w:tab w:val="clear" w:pos="2835"/>
              </w:tabs>
              <w:overflowPunct/>
              <w:autoSpaceDE/>
              <w:autoSpaceDN/>
              <w:spacing w:after="120"/>
              <w:textAlignment w:val="auto"/>
              <w:rPr>
                <w:sz w:val="22"/>
                <w:szCs w:val="22"/>
              </w:rPr>
            </w:pPr>
            <w:r w:rsidRPr="00A62EF7">
              <w:t>77</w:t>
            </w:r>
            <w:r w:rsidRPr="00A62EF7">
              <w:tab/>
              <w:t xml:space="preserve">Nous </w:t>
            </w:r>
            <w:r w:rsidRPr="00A62EF7">
              <w:rPr>
                <w:b/>
                <w:bCs/>
              </w:rPr>
              <w:t>proposons</w:t>
            </w:r>
            <w:r w:rsidRPr="00A62EF7">
              <w:t xml:space="preserve"> à la direction d'allouer des crédits budgétaires à l'avenir au cas où des charges importantes liées au tirage au sort devaient être prévues.</w:t>
            </w:r>
          </w:p>
        </w:tc>
      </w:tr>
    </w:tbl>
    <w:p w:rsidR="00AE4CC4" w:rsidRDefault="00AE4CC4" w:rsidP="003C6DD3">
      <w:pPr>
        <w:tabs>
          <w:tab w:val="clear" w:pos="567"/>
          <w:tab w:val="clear" w:pos="1134"/>
          <w:tab w:val="clear" w:pos="1701"/>
          <w:tab w:val="clear" w:pos="2268"/>
          <w:tab w:val="clear" w:pos="2835"/>
        </w:tabs>
        <w:overflowPunct/>
        <w:autoSpaceDE/>
        <w:autoSpaceDN/>
        <w:spacing w:after="120"/>
        <w:textAlignment w:val="auto"/>
      </w:pPr>
    </w:p>
    <w:p w:rsidR="008232AB" w:rsidRPr="00A62EF7" w:rsidRDefault="008232AB" w:rsidP="003C6DD3">
      <w:pPr>
        <w:tabs>
          <w:tab w:val="clear" w:pos="567"/>
          <w:tab w:val="clear" w:pos="1134"/>
          <w:tab w:val="clear" w:pos="1701"/>
          <w:tab w:val="clear" w:pos="2268"/>
          <w:tab w:val="clear" w:pos="2835"/>
        </w:tabs>
        <w:overflowPunct/>
        <w:autoSpaceDE/>
        <w:autoSpaceDN/>
        <w:spacing w:after="120"/>
        <w:textAlignment w:val="auto"/>
      </w:pPr>
    </w:p>
    <w:tbl>
      <w:tblPr>
        <w:tblStyle w:val="TableGrid"/>
        <w:tblW w:w="0" w:type="auto"/>
        <w:tblLook w:val="04A0" w:firstRow="1" w:lastRow="0" w:firstColumn="1" w:lastColumn="0" w:noHBand="0" w:noVBand="1"/>
      </w:tblPr>
      <w:tblGrid>
        <w:gridCol w:w="9061"/>
      </w:tblGrid>
      <w:tr w:rsidR="00AE4CC4" w:rsidRPr="00A62EF7" w:rsidTr="003C6DD3">
        <w:tc>
          <w:tcPr>
            <w:tcW w:w="9061" w:type="dxa"/>
          </w:tcPr>
          <w:p w:rsidR="00AE4CC4" w:rsidRPr="008232AB" w:rsidRDefault="00AE4CC4" w:rsidP="003C6DD3">
            <w:pPr>
              <w:tabs>
                <w:tab w:val="clear" w:pos="567"/>
                <w:tab w:val="clear" w:pos="1134"/>
                <w:tab w:val="clear" w:pos="1701"/>
                <w:tab w:val="clear" w:pos="2268"/>
                <w:tab w:val="clear" w:pos="2835"/>
              </w:tabs>
              <w:overflowPunct/>
              <w:autoSpaceDE/>
              <w:autoSpaceDN/>
              <w:textAlignment w:val="auto"/>
              <w:rPr>
                <w:b/>
                <w:bCs/>
                <w:u w:val="single"/>
              </w:rPr>
            </w:pPr>
            <w:r w:rsidRPr="008232AB">
              <w:rPr>
                <w:b/>
                <w:bCs/>
                <w:u w:val="single"/>
              </w:rPr>
              <w:t>Observations du Secrétaire général</w:t>
            </w:r>
          </w:p>
          <w:p w:rsidR="00AE4CC4" w:rsidRPr="00A62EF7" w:rsidRDefault="00AE4CC4" w:rsidP="003C6DD3">
            <w:pPr>
              <w:tabs>
                <w:tab w:val="clear" w:pos="567"/>
                <w:tab w:val="clear" w:pos="1134"/>
                <w:tab w:val="clear" w:pos="1701"/>
                <w:tab w:val="clear" w:pos="2268"/>
                <w:tab w:val="clear" w:pos="2835"/>
              </w:tabs>
              <w:overflowPunct/>
              <w:autoSpaceDE/>
              <w:autoSpaceDN/>
              <w:spacing w:after="120"/>
              <w:textAlignment w:val="auto"/>
              <w:rPr>
                <w:sz w:val="22"/>
                <w:szCs w:val="22"/>
              </w:rPr>
            </w:pPr>
            <w:r w:rsidRPr="00A62EF7">
              <w:t>Des crédits budgétaires seront alloués pour le tirage au sort au cas où des charges importantes devaient être envisagées. Bien que le budget de la manifestation inclue les frais de port et d'expédition, le Département de la gestion des ressources financières devra être informé par ITU Telecom en temps voulu si des factures supplémentaires devaient être attendues après la clôture des comptes, afin que les crédits nécessaires puissent être alloués.</w:t>
            </w:r>
          </w:p>
        </w:tc>
      </w:tr>
    </w:tbl>
    <w:p w:rsidR="00E80BA0" w:rsidRPr="00A62EF7" w:rsidRDefault="00E80BA0" w:rsidP="00AE4CC4">
      <w:pPr>
        <w:pStyle w:val="Headingb"/>
        <w:spacing w:before="360"/>
      </w:pPr>
      <w:bookmarkStart w:id="159" w:name="_Toc419372759"/>
      <w:r w:rsidRPr="00A62EF7">
        <w:t>Répartition hommes/femmes</w:t>
      </w:r>
      <w:bookmarkEnd w:id="159"/>
    </w:p>
    <w:p w:rsidR="00E80BA0" w:rsidRPr="00A62EF7" w:rsidRDefault="00DC6576" w:rsidP="00E80BA0">
      <w:pPr>
        <w:tabs>
          <w:tab w:val="clear" w:pos="567"/>
          <w:tab w:val="clear" w:pos="1134"/>
          <w:tab w:val="clear" w:pos="1701"/>
          <w:tab w:val="clear" w:pos="2268"/>
          <w:tab w:val="clear" w:pos="2835"/>
        </w:tabs>
        <w:overflowPunct/>
        <w:autoSpaceDE/>
        <w:autoSpaceDN/>
        <w:textAlignment w:val="auto"/>
      </w:pPr>
      <w:bookmarkStart w:id="160" w:name="lt_pId270"/>
      <w:r w:rsidRPr="00A62EF7">
        <w:t>78</w:t>
      </w:r>
      <w:r w:rsidRPr="00A62EF7">
        <w:tab/>
      </w:r>
      <w:r w:rsidR="00E80BA0" w:rsidRPr="00A62EF7">
        <w:t>Nous donnons acte des efforts déployés par la direction pour examiner la question de la répartition hommes/femmes traitée dans la proposition n° 9 de notre précédent rapport. Si, en 2013 à Bangkok, beaucoup plus d'hommes (82%) que de femmes avaient participé aux sessions du Forum, ce pourcentage a légèrement diminué en 2014 à Doha pour s</w:t>
      </w:r>
      <w:r w:rsidR="003C6DD3" w:rsidRPr="00A62EF7">
        <w:t>'</w:t>
      </w:r>
      <w:r w:rsidR="00E80BA0" w:rsidRPr="00A62EF7">
        <w:t>établir à 79%.</w:t>
      </w:r>
    </w:p>
    <w:p w:rsidR="00E80BA0" w:rsidRPr="00A62EF7" w:rsidRDefault="00DC6576" w:rsidP="00E80BA0">
      <w:pPr>
        <w:tabs>
          <w:tab w:val="clear" w:pos="567"/>
          <w:tab w:val="clear" w:pos="1134"/>
          <w:tab w:val="clear" w:pos="1701"/>
          <w:tab w:val="clear" w:pos="2268"/>
          <w:tab w:val="clear" w:pos="2835"/>
        </w:tabs>
        <w:overflowPunct/>
        <w:autoSpaceDE/>
        <w:autoSpaceDN/>
        <w:textAlignment w:val="auto"/>
      </w:pPr>
      <w:bookmarkStart w:id="161" w:name="lt_pId272"/>
      <w:bookmarkEnd w:id="160"/>
      <w:r w:rsidRPr="00A62EF7">
        <w:t>79</w:t>
      </w:r>
      <w:r w:rsidRPr="00A62EF7">
        <w:tab/>
      </w:r>
      <w:r w:rsidR="00E80BA0" w:rsidRPr="00A62EF7">
        <w:t>Nous constatons par ailleurs que le nombre d</w:t>
      </w:r>
      <w:r w:rsidR="003C6DD3" w:rsidRPr="00A62EF7">
        <w:t>'</w:t>
      </w:r>
      <w:r w:rsidR="00E80BA0" w:rsidRPr="00A62EF7">
        <w:t>intervenantes invitées est en augmentation. Si cela représente un premier pas satisfaisant pour le respect des principes énoncés l</w:t>
      </w:r>
      <w:r w:rsidR="003C6DD3" w:rsidRPr="00A62EF7">
        <w:t>'</w:t>
      </w:r>
      <w:r w:rsidR="00E80BA0" w:rsidRPr="00A62EF7">
        <w:t>année dernière, nous continuerons d</w:t>
      </w:r>
      <w:r w:rsidR="003C6DD3" w:rsidRPr="00A62EF7">
        <w:t>'</w:t>
      </w:r>
      <w:r w:rsidR="00E80BA0" w:rsidRPr="00A62EF7">
        <w:t>examiner les résultats des mesures susmentionnées.</w:t>
      </w:r>
    </w:p>
    <w:p w:rsidR="00E80BA0" w:rsidRPr="00A62EF7" w:rsidRDefault="00E80BA0" w:rsidP="00AE4CC4">
      <w:pPr>
        <w:pStyle w:val="Headingi"/>
        <w:rPr>
          <w:b/>
          <w:bCs/>
        </w:rPr>
      </w:pPr>
      <w:bookmarkStart w:id="162" w:name="lt_pId274"/>
      <w:bookmarkStart w:id="163" w:name="_Toc419372760"/>
      <w:bookmarkEnd w:id="161"/>
      <w:r w:rsidRPr="00A62EF7">
        <w:rPr>
          <w:b/>
          <w:bCs/>
        </w:rPr>
        <w:t>Baisse du nombre d'exposants et de participants</w:t>
      </w:r>
      <w:bookmarkEnd w:id="162"/>
      <w:bookmarkEnd w:id="163"/>
    </w:p>
    <w:p w:rsidR="00E80BA0" w:rsidRPr="00A62EF7" w:rsidRDefault="00AE4CC4" w:rsidP="00E80BA0">
      <w:pPr>
        <w:tabs>
          <w:tab w:val="clear" w:pos="567"/>
          <w:tab w:val="clear" w:pos="1134"/>
          <w:tab w:val="clear" w:pos="1701"/>
          <w:tab w:val="clear" w:pos="2268"/>
          <w:tab w:val="clear" w:pos="2835"/>
        </w:tabs>
        <w:overflowPunct/>
        <w:autoSpaceDE/>
        <w:autoSpaceDN/>
        <w:textAlignment w:val="auto"/>
      </w:pPr>
      <w:bookmarkStart w:id="164" w:name="lt_pId275"/>
      <w:r w:rsidRPr="00A62EF7">
        <w:t>80</w:t>
      </w:r>
      <w:r w:rsidRPr="00A62EF7">
        <w:tab/>
      </w:r>
      <w:r w:rsidR="00E80BA0" w:rsidRPr="00A62EF7">
        <w:t>Nous constatons, comme il ressort de l</w:t>
      </w:r>
      <w:r w:rsidR="003C6DD3" w:rsidRPr="00A62EF7">
        <w:t>'</w:t>
      </w:r>
      <w:r w:rsidR="00213834" w:rsidRPr="00A62EF7">
        <w:t>"</w:t>
      </w:r>
      <w:r w:rsidR="00E80BA0" w:rsidRPr="00A62EF7">
        <w:t>analyse de l'événement</w:t>
      </w:r>
      <w:r w:rsidR="003C6DD3" w:rsidRPr="00A62EF7">
        <w:t>"</w:t>
      </w:r>
      <w:r w:rsidR="00E80BA0" w:rsidRPr="00A62EF7">
        <w:t>, qui a été internalisée, que bien que le nombre de mètres carrés loués ait dépassé les prévisions (5 812 mètres carrés contre 4 300 prévus initialement), le nombre d</w:t>
      </w:r>
      <w:r w:rsidR="003C6DD3" w:rsidRPr="00A62EF7">
        <w:t>'</w:t>
      </w:r>
      <w:r w:rsidR="00E80BA0" w:rsidRPr="00A62EF7">
        <w:t>exposants présents a diminué (16 pavillons nationaux contre un objectif de 18) et seuls 27 entités ayant contribué financièrement</w:t>
      </w:r>
      <w:r w:rsidR="00470597" w:rsidRPr="00A62EF7">
        <w:t xml:space="preserve"> </w:t>
      </w:r>
      <w:r w:rsidR="00E80BA0" w:rsidRPr="00A62EF7">
        <w:t>(contre un objectif de 80) étaient présentes dans l'espace d'exposition. Le rapport financier fait état d</w:t>
      </w:r>
      <w:r w:rsidR="003C6DD3" w:rsidRPr="00A62EF7">
        <w:t>'</w:t>
      </w:r>
      <w:r w:rsidR="00E80BA0" w:rsidRPr="00A62EF7">
        <w:t>un total de 3 945 mètres carrés de superficie d</w:t>
      </w:r>
      <w:r w:rsidR="003C6DD3" w:rsidRPr="00A62EF7">
        <w:t>'</w:t>
      </w:r>
      <w:r w:rsidR="00E80BA0" w:rsidRPr="00A62EF7">
        <w:t>exposition loués (y compris les solutions clés en main) et de 2 510 000 CHF de recettes, soit une baisse de 22% par rapport à 2013.</w:t>
      </w:r>
    </w:p>
    <w:p w:rsidR="00E80BA0" w:rsidRPr="00A62EF7" w:rsidRDefault="00AE4CC4" w:rsidP="00E80BA0">
      <w:pPr>
        <w:tabs>
          <w:tab w:val="clear" w:pos="567"/>
          <w:tab w:val="clear" w:pos="1134"/>
          <w:tab w:val="clear" w:pos="1701"/>
          <w:tab w:val="clear" w:pos="2268"/>
          <w:tab w:val="clear" w:pos="2835"/>
        </w:tabs>
        <w:overflowPunct/>
        <w:autoSpaceDE/>
        <w:autoSpaceDN/>
        <w:textAlignment w:val="auto"/>
      </w:pPr>
      <w:bookmarkStart w:id="165" w:name="lt_pId277"/>
      <w:bookmarkEnd w:id="164"/>
      <w:r w:rsidRPr="00A62EF7">
        <w:t>81</w:t>
      </w:r>
      <w:r w:rsidRPr="00A62EF7">
        <w:tab/>
      </w:r>
      <w:r w:rsidR="00E80BA0" w:rsidRPr="00A62EF7">
        <w:t>Outre les effets financiers, cette tendance qui se confirme pourrait fragiliser l</w:t>
      </w:r>
      <w:r w:rsidR="003C6DD3" w:rsidRPr="00A62EF7">
        <w:t>'</w:t>
      </w:r>
      <w:r w:rsidR="00E80BA0" w:rsidRPr="00A62EF7">
        <w:t>image et la portée de la manifestation.</w:t>
      </w:r>
    </w:p>
    <w:p w:rsidR="00E80BA0" w:rsidRPr="00A62EF7" w:rsidRDefault="00AE4CC4" w:rsidP="005A3133">
      <w:pPr>
        <w:keepLines/>
        <w:tabs>
          <w:tab w:val="clear" w:pos="567"/>
          <w:tab w:val="clear" w:pos="1134"/>
          <w:tab w:val="clear" w:pos="1701"/>
          <w:tab w:val="clear" w:pos="2268"/>
          <w:tab w:val="clear" w:pos="2835"/>
        </w:tabs>
        <w:overflowPunct/>
        <w:autoSpaceDE/>
        <w:autoSpaceDN/>
        <w:textAlignment w:val="auto"/>
      </w:pPr>
      <w:bookmarkStart w:id="166" w:name="lt_pId278"/>
      <w:bookmarkEnd w:id="165"/>
      <w:r w:rsidRPr="00A62EF7">
        <w:t>82</w:t>
      </w:r>
      <w:r w:rsidRPr="00A62EF7">
        <w:tab/>
      </w:r>
      <w:r w:rsidR="00E80BA0" w:rsidRPr="00A62EF7">
        <w:t>Le nombre de dirigeants ayant participé à la manifestation est beaucoup moins élevé que prévu (205 contre 350). Le nombre de représentants gouvernementaux était inférieur aux prévisions et le nombre d</w:t>
      </w:r>
      <w:r w:rsidR="003C6DD3" w:rsidRPr="00A62EF7">
        <w:t>'</w:t>
      </w:r>
      <w:r w:rsidR="00E80BA0" w:rsidRPr="00A62EF7">
        <w:t>opérateurs et de régulateurs était supérieur aux prévisions. Le ratio relatif à la participation des dirigeants du secteur privé par rapport aux dirigeants du secteur public était de 35/65, tandis que le rapport prévu indiqué dans l</w:t>
      </w:r>
      <w:r w:rsidR="003C6DD3" w:rsidRPr="00A62EF7">
        <w:t>'</w:t>
      </w:r>
      <w:r w:rsidR="00E80BA0" w:rsidRPr="00A62EF7">
        <w:t>analyse de l</w:t>
      </w:r>
      <w:r w:rsidR="003C6DD3" w:rsidRPr="00A62EF7">
        <w:t>'</w:t>
      </w:r>
      <w:r w:rsidR="00E80BA0" w:rsidRPr="00A62EF7">
        <w:t>événement fondée sur des indicateurs fondamentaux de performance contenus s</w:t>
      </w:r>
      <w:r w:rsidR="003C6DD3" w:rsidRPr="00A62EF7">
        <w:t>'</w:t>
      </w:r>
      <w:r w:rsidR="00E80BA0" w:rsidRPr="00A62EF7">
        <w:t>élevait à 50/50.</w:t>
      </w:r>
    </w:p>
    <w:p w:rsidR="00AE4CC4" w:rsidRDefault="00AE4CC4" w:rsidP="005A3133">
      <w:pPr>
        <w:tabs>
          <w:tab w:val="clear" w:pos="567"/>
          <w:tab w:val="clear" w:pos="1134"/>
          <w:tab w:val="clear" w:pos="1701"/>
          <w:tab w:val="clear" w:pos="2268"/>
          <w:tab w:val="clear" w:pos="2835"/>
        </w:tabs>
        <w:overflowPunct/>
        <w:autoSpaceDE/>
        <w:autoSpaceDN/>
        <w:spacing w:after="120"/>
        <w:textAlignment w:val="auto"/>
      </w:pPr>
      <w:bookmarkStart w:id="167" w:name="lt_pId281"/>
      <w:bookmarkEnd w:id="166"/>
      <w:r w:rsidRPr="00A62EF7">
        <w:t>83</w:t>
      </w:r>
      <w:r w:rsidRPr="00A62EF7">
        <w:tab/>
      </w:r>
      <w:r w:rsidR="00E80BA0" w:rsidRPr="00A62EF7">
        <w:t>Au cours de la réunion du 10 mars 2015 menée avec le personnel de World Telecom, il a été supposé que le problème de la faible participation était dû en partie à la récente Conférence de plénipotentiaires de l</w:t>
      </w:r>
      <w:r w:rsidR="003C6DD3" w:rsidRPr="00A62EF7">
        <w:t>'</w:t>
      </w:r>
      <w:r w:rsidR="00E80BA0" w:rsidRPr="00A62EF7">
        <w:t>UIT tenue à Busan, qui aurait pu tarir les ressources allouées à des manifestations analogues, pour les Etats disposant d</w:t>
      </w:r>
      <w:r w:rsidR="003C6DD3" w:rsidRPr="00A62EF7">
        <w:t>'</w:t>
      </w:r>
      <w:r w:rsidR="00E80BA0" w:rsidRPr="00A62EF7">
        <w:t>un budget limité.</w:t>
      </w:r>
    </w:p>
    <w:p w:rsidR="008232AB" w:rsidRDefault="008232AB">
      <w:pPr>
        <w:tabs>
          <w:tab w:val="clear" w:pos="567"/>
          <w:tab w:val="clear" w:pos="1134"/>
          <w:tab w:val="clear" w:pos="1701"/>
          <w:tab w:val="clear" w:pos="2268"/>
          <w:tab w:val="clear" w:pos="2835"/>
        </w:tabs>
        <w:overflowPunct/>
        <w:autoSpaceDE/>
        <w:autoSpaceDN/>
        <w:adjustRightInd/>
        <w:spacing w:before="0"/>
        <w:textAlignment w:val="auto"/>
      </w:pPr>
      <w:r>
        <w:br w:type="page"/>
      </w:r>
    </w:p>
    <w:tbl>
      <w:tblPr>
        <w:tblStyle w:val="TableGrid"/>
        <w:tblW w:w="0" w:type="auto"/>
        <w:tblLook w:val="04A0" w:firstRow="1" w:lastRow="0" w:firstColumn="1" w:lastColumn="0" w:noHBand="0" w:noVBand="1"/>
      </w:tblPr>
      <w:tblGrid>
        <w:gridCol w:w="9061"/>
      </w:tblGrid>
      <w:tr w:rsidR="00AE4CC4" w:rsidRPr="00A62EF7" w:rsidTr="00C22589">
        <w:tc>
          <w:tcPr>
            <w:tcW w:w="9061" w:type="dxa"/>
          </w:tcPr>
          <w:p w:rsidR="00AE4CC4" w:rsidRPr="00A62EF7" w:rsidRDefault="00AE4CC4" w:rsidP="00896367">
            <w:pPr>
              <w:tabs>
                <w:tab w:val="clear" w:pos="567"/>
                <w:tab w:val="clear" w:pos="1134"/>
                <w:tab w:val="clear" w:pos="1701"/>
                <w:tab w:val="clear" w:pos="2268"/>
                <w:tab w:val="clear" w:pos="2835"/>
              </w:tabs>
              <w:overflowPunct/>
              <w:autoSpaceDE/>
              <w:autoSpaceDN/>
              <w:textAlignment w:val="auto"/>
              <w:rPr>
                <w:b/>
                <w:bCs/>
              </w:rPr>
            </w:pPr>
            <w:r w:rsidRPr="00A62EF7">
              <w:rPr>
                <w:b/>
                <w:bCs/>
              </w:rPr>
              <w:t>Recommandation n° 3</w:t>
            </w:r>
          </w:p>
          <w:p w:rsidR="00AE4CC4" w:rsidRPr="00A62EF7" w:rsidRDefault="00AE4CC4" w:rsidP="003C6DD3">
            <w:pPr>
              <w:tabs>
                <w:tab w:val="clear" w:pos="567"/>
                <w:tab w:val="clear" w:pos="1134"/>
                <w:tab w:val="clear" w:pos="1701"/>
                <w:tab w:val="clear" w:pos="2268"/>
                <w:tab w:val="clear" w:pos="2835"/>
              </w:tabs>
              <w:overflowPunct/>
              <w:autoSpaceDE/>
              <w:autoSpaceDN/>
              <w:spacing w:after="120"/>
              <w:textAlignment w:val="auto"/>
              <w:rPr>
                <w:sz w:val="22"/>
                <w:szCs w:val="22"/>
              </w:rPr>
            </w:pPr>
            <w:r w:rsidRPr="00A62EF7">
              <w:t>84</w:t>
            </w:r>
            <w:r w:rsidRPr="00A62EF7">
              <w:tab/>
              <w:t xml:space="preserve">Nous </w:t>
            </w:r>
            <w:r w:rsidRPr="00A62EF7">
              <w:rPr>
                <w:b/>
                <w:bCs/>
              </w:rPr>
              <w:t>recommandons</w:t>
            </w:r>
            <w:r w:rsidRPr="00A62EF7">
              <w:t xml:space="preserve"> à la direction de poursuivre les efforts déployés pour renforcer la présence des exposants ainsi que le nombre de participants.</w:t>
            </w:r>
          </w:p>
        </w:tc>
      </w:tr>
    </w:tbl>
    <w:p w:rsidR="00AE4CC4" w:rsidRPr="00A62EF7" w:rsidRDefault="00AE4CC4" w:rsidP="003C6DD3">
      <w:pPr>
        <w:tabs>
          <w:tab w:val="clear" w:pos="567"/>
          <w:tab w:val="clear" w:pos="1134"/>
          <w:tab w:val="clear" w:pos="1701"/>
          <w:tab w:val="clear" w:pos="2268"/>
          <w:tab w:val="clear" w:pos="2835"/>
        </w:tabs>
        <w:overflowPunct/>
        <w:autoSpaceDE/>
        <w:autoSpaceDN/>
        <w:spacing w:after="120"/>
        <w:textAlignment w:val="auto"/>
      </w:pPr>
    </w:p>
    <w:tbl>
      <w:tblPr>
        <w:tblStyle w:val="TableGrid"/>
        <w:tblW w:w="0" w:type="auto"/>
        <w:tblLook w:val="04A0" w:firstRow="1" w:lastRow="0" w:firstColumn="1" w:lastColumn="0" w:noHBand="0" w:noVBand="1"/>
      </w:tblPr>
      <w:tblGrid>
        <w:gridCol w:w="9061"/>
      </w:tblGrid>
      <w:tr w:rsidR="00AE4CC4" w:rsidRPr="00A62EF7" w:rsidTr="003C6DD3">
        <w:tc>
          <w:tcPr>
            <w:tcW w:w="9061" w:type="dxa"/>
          </w:tcPr>
          <w:p w:rsidR="00AE4CC4" w:rsidRPr="008232AB" w:rsidRDefault="00AE4CC4" w:rsidP="003C6DD3">
            <w:pPr>
              <w:tabs>
                <w:tab w:val="clear" w:pos="567"/>
                <w:tab w:val="clear" w:pos="1134"/>
                <w:tab w:val="clear" w:pos="1701"/>
                <w:tab w:val="clear" w:pos="2268"/>
                <w:tab w:val="clear" w:pos="2835"/>
              </w:tabs>
              <w:overflowPunct/>
              <w:autoSpaceDE/>
              <w:autoSpaceDN/>
              <w:textAlignment w:val="auto"/>
              <w:rPr>
                <w:b/>
                <w:bCs/>
                <w:u w:val="single"/>
              </w:rPr>
            </w:pPr>
            <w:r w:rsidRPr="008232AB">
              <w:rPr>
                <w:b/>
                <w:bCs/>
                <w:u w:val="single"/>
              </w:rPr>
              <w:t>Observations du Secrétaire général</w:t>
            </w:r>
          </w:p>
          <w:p w:rsidR="00AE4CC4" w:rsidRPr="00A62EF7" w:rsidRDefault="00AE4CC4" w:rsidP="003C6DD3">
            <w:pPr>
              <w:tabs>
                <w:tab w:val="clear" w:pos="567"/>
                <w:tab w:val="clear" w:pos="1134"/>
                <w:tab w:val="clear" w:pos="1701"/>
                <w:tab w:val="clear" w:pos="2268"/>
                <w:tab w:val="clear" w:pos="2835"/>
              </w:tabs>
              <w:overflowPunct/>
              <w:autoSpaceDE/>
              <w:autoSpaceDN/>
              <w:spacing w:after="120"/>
              <w:textAlignment w:val="auto"/>
              <w:rPr>
                <w:sz w:val="22"/>
                <w:szCs w:val="22"/>
              </w:rPr>
            </w:pPr>
            <w:r w:rsidRPr="00A62EF7">
              <w:t>A partir de 2015, ITU Telecom entrera dans une période de transition au cours de laquelle la manifestation se présentera comme une plate-forme internationale axée sur l'entreprenariat dans le secteur des TIC et les initiatives à l'appui des PME. Ce repositionnement permettra de toucher un nouveau public plus large, tout en continuant de répondre aux besoins des Etats Membres selon le mandat qui lui est confié. L'accent est mis davantage sur l'exposition et sur son intérêt afin d'accroître le nombre de participants de manière significative. Des indicateurs fondamentaux de performance sont en cours d'élaboration afin de suivre les progrès accomplis à cet égard.</w:t>
            </w:r>
          </w:p>
        </w:tc>
      </w:tr>
    </w:tbl>
    <w:p w:rsidR="00E80BA0" w:rsidRPr="00A62EF7" w:rsidRDefault="00E80BA0" w:rsidP="005A3133">
      <w:pPr>
        <w:pStyle w:val="Headingi"/>
        <w:spacing w:before="360"/>
        <w:rPr>
          <w:b/>
          <w:bCs/>
        </w:rPr>
      </w:pPr>
      <w:bookmarkStart w:id="168" w:name="lt_pId290"/>
      <w:bookmarkStart w:id="169" w:name="_Toc419372761"/>
      <w:bookmarkEnd w:id="167"/>
      <w:r w:rsidRPr="00A62EF7">
        <w:rPr>
          <w:b/>
          <w:bCs/>
        </w:rPr>
        <w:t>Problèmes concernant les visas</w:t>
      </w:r>
      <w:bookmarkEnd w:id="168"/>
      <w:bookmarkEnd w:id="169"/>
    </w:p>
    <w:p w:rsidR="00AE4CC4" w:rsidRPr="00A62EF7" w:rsidRDefault="00AE4CC4" w:rsidP="00AE4CC4">
      <w:pPr>
        <w:tabs>
          <w:tab w:val="clear" w:pos="567"/>
          <w:tab w:val="clear" w:pos="1134"/>
          <w:tab w:val="clear" w:pos="1701"/>
          <w:tab w:val="clear" w:pos="2268"/>
          <w:tab w:val="clear" w:pos="2835"/>
        </w:tabs>
        <w:overflowPunct/>
        <w:autoSpaceDE/>
        <w:autoSpaceDN/>
        <w:spacing w:after="120"/>
        <w:textAlignment w:val="auto"/>
      </w:pPr>
      <w:bookmarkStart w:id="170" w:name="lt_pId291"/>
      <w:r w:rsidRPr="00A62EF7">
        <w:t>85</w:t>
      </w:r>
      <w:r w:rsidRPr="00A62EF7">
        <w:tab/>
      </w:r>
      <w:r w:rsidR="00E80BA0" w:rsidRPr="00A62EF7">
        <w:t>Au cours de la réunion susmentionnée menée avec le personnel de World Telecom, des problèmes concernant les visas ayant entraîné des annulations nous ont été signalés. Nous sommes d</w:t>
      </w:r>
      <w:r w:rsidR="003C6DD3" w:rsidRPr="00A62EF7">
        <w:t>'</w:t>
      </w:r>
      <w:r w:rsidR="00E80BA0" w:rsidRPr="00A62EF7">
        <w:t>avis qu</w:t>
      </w:r>
      <w:r w:rsidR="003C6DD3" w:rsidRPr="00A62EF7">
        <w:t>'</w:t>
      </w:r>
      <w:r w:rsidR="00E80BA0" w:rsidRPr="00A62EF7">
        <w:t>il n</w:t>
      </w:r>
      <w:r w:rsidR="003C6DD3" w:rsidRPr="00A62EF7">
        <w:t>'</w:t>
      </w:r>
      <w:r w:rsidR="00E80BA0" w:rsidRPr="00A62EF7">
        <w:t>est pas simple de soulever ce problème dans le cadre des relations avec le pays hôte. Toutefois, il est nécessaire de tenir compte du fait qu</w:t>
      </w:r>
      <w:r w:rsidR="003C6DD3" w:rsidRPr="00A62EF7">
        <w:t>'</w:t>
      </w:r>
      <w:r w:rsidR="00E80BA0" w:rsidRPr="00A62EF7">
        <w:t>une participation plus large aux manifestations ITU Telecom World est dans l</w:t>
      </w:r>
      <w:r w:rsidR="003C6DD3" w:rsidRPr="00A62EF7">
        <w:t>'</w:t>
      </w:r>
      <w:r w:rsidR="00E80BA0" w:rsidRPr="00A62EF7">
        <w:t>intérêt de l</w:t>
      </w:r>
      <w:r w:rsidR="003C6DD3" w:rsidRPr="00A62EF7">
        <w:t>'</w:t>
      </w:r>
      <w:r w:rsidR="00E80BA0" w:rsidRPr="00A62EF7">
        <w:t>UIT et des parties prenantes.</w:t>
      </w:r>
    </w:p>
    <w:tbl>
      <w:tblPr>
        <w:tblStyle w:val="TableGrid"/>
        <w:tblW w:w="0" w:type="auto"/>
        <w:tblLook w:val="04A0" w:firstRow="1" w:lastRow="0" w:firstColumn="1" w:lastColumn="0" w:noHBand="0" w:noVBand="1"/>
      </w:tblPr>
      <w:tblGrid>
        <w:gridCol w:w="9061"/>
      </w:tblGrid>
      <w:tr w:rsidR="00AE4CC4" w:rsidRPr="00A62EF7" w:rsidTr="00C22589">
        <w:tc>
          <w:tcPr>
            <w:tcW w:w="9061" w:type="dxa"/>
          </w:tcPr>
          <w:p w:rsidR="00AE4CC4" w:rsidRPr="00A62EF7" w:rsidRDefault="00AE4CC4" w:rsidP="00C22589">
            <w:pPr>
              <w:tabs>
                <w:tab w:val="clear" w:pos="567"/>
                <w:tab w:val="clear" w:pos="1134"/>
                <w:tab w:val="clear" w:pos="1701"/>
                <w:tab w:val="clear" w:pos="2268"/>
                <w:tab w:val="clear" w:pos="2835"/>
              </w:tabs>
              <w:overflowPunct/>
              <w:autoSpaceDE/>
              <w:autoSpaceDN/>
              <w:textAlignment w:val="auto"/>
              <w:rPr>
                <w:b/>
                <w:bCs/>
              </w:rPr>
            </w:pPr>
            <w:r w:rsidRPr="00A62EF7">
              <w:rPr>
                <w:b/>
                <w:bCs/>
              </w:rPr>
              <w:t>Proposition n° 8</w:t>
            </w:r>
          </w:p>
          <w:p w:rsidR="00AE4CC4" w:rsidRPr="00A62EF7" w:rsidRDefault="00AE4CC4" w:rsidP="003C6DD3">
            <w:pPr>
              <w:tabs>
                <w:tab w:val="clear" w:pos="567"/>
                <w:tab w:val="clear" w:pos="1134"/>
                <w:tab w:val="clear" w:pos="1701"/>
                <w:tab w:val="clear" w:pos="2268"/>
                <w:tab w:val="clear" w:pos="2835"/>
              </w:tabs>
              <w:overflowPunct/>
              <w:autoSpaceDE/>
              <w:autoSpaceDN/>
              <w:spacing w:after="120"/>
              <w:textAlignment w:val="auto"/>
              <w:rPr>
                <w:sz w:val="22"/>
                <w:szCs w:val="22"/>
              </w:rPr>
            </w:pPr>
            <w:r w:rsidRPr="00A62EF7">
              <w:t>86</w:t>
            </w:r>
            <w:r w:rsidRPr="00A62EF7">
              <w:tab/>
              <w:t xml:space="preserve">Nous </w:t>
            </w:r>
            <w:r w:rsidRPr="00A62EF7">
              <w:rPr>
                <w:b/>
                <w:bCs/>
              </w:rPr>
              <w:t>proposons</w:t>
            </w:r>
            <w:r w:rsidRPr="00A62EF7">
              <w:t xml:space="preserve"> à la direction de demander aux Etats membres de faciliter la délivrance de visas à l'intention des participants aux manifestations ITU Telecom World.</w:t>
            </w:r>
          </w:p>
        </w:tc>
      </w:tr>
    </w:tbl>
    <w:p w:rsidR="00AE4CC4" w:rsidRPr="00A62EF7" w:rsidRDefault="00AE4CC4" w:rsidP="003C6DD3">
      <w:pPr>
        <w:tabs>
          <w:tab w:val="clear" w:pos="567"/>
          <w:tab w:val="clear" w:pos="1134"/>
          <w:tab w:val="clear" w:pos="1701"/>
          <w:tab w:val="clear" w:pos="2268"/>
          <w:tab w:val="clear" w:pos="2835"/>
        </w:tabs>
        <w:overflowPunct/>
        <w:autoSpaceDE/>
        <w:autoSpaceDN/>
        <w:spacing w:after="120"/>
        <w:textAlignment w:val="auto"/>
      </w:pPr>
    </w:p>
    <w:tbl>
      <w:tblPr>
        <w:tblStyle w:val="TableGrid"/>
        <w:tblW w:w="0" w:type="auto"/>
        <w:tblLook w:val="04A0" w:firstRow="1" w:lastRow="0" w:firstColumn="1" w:lastColumn="0" w:noHBand="0" w:noVBand="1"/>
      </w:tblPr>
      <w:tblGrid>
        <w:gridCol w:w="9061"/>
      </w:tblGrid>
      <w:tr w:rsidR="00AE4CC4" w:rsidRPr="00A62EF7" w:rsidTr="005A3133">
        <w:trPr>
          <w:cantSplit/>
        </w:trPr>
        <w:tc>
          <w:tcPr>
            <w:tcW w:w="9061" w:type="dxa"/>
          </w:tcPr>
          <w:p w:rsidR="00AE4CC4" w:rsidRPr="008232AB" w:rsidRDefault="00AE4CC4" w:rsidP="003C6DD3">
            <w:pPr>
              <w:tabs>
                <w:tab w:val="clear" w:pos="567"/>
                <w:tab w:val="clear" w:pos="1134"/>
                <w:tab w:val="clear" w:pos="1701"/>
                <w:tab w:val="clear" w:pos="2268"/>
                <w:tab w:val="clear" w:pos="2835"/>
              </w:tabs>
              <w:overflowPunct/>
              <w:autoSpaceDE/>
              <w:autoSpaceDN/>
              <w:textAlignment w:val="auto"/>
              <w:rPr>
                <w:b/>
                <w:bCs/>
                <w:u w:val="single"/>
              </w:rPr>
            </w:pPr>
            <w:r w:rsidRPr="008232AB">
              <w:rPr>
                <w:b/>
                <w:bCs/>
                <w:u w:val="single"/>
              </w:rPr>
              <w:t>Observations du Secrétaire général</w:t>
            </w:r>
          </w:p>
          <w:p w:rsidR="00AE4CC4" w:rsidRPr="00A62EF7" w:rsidRDefault="00AE4CC4" w:rsidP="003C6DD3">
            <w:pPr>
              <w:tabs>
                <w:tab w:val="clear" w:pos="567"/>
                <w:tab w:val="clear" w:pos="1134"/>
                <w:tab w:val="clear" w:pos="1701"/>
                <w:tab w:val="clear" w:pos="2268"/>
                <w:tab w:val="clear" w:pos="2835"/>
              </w:tabs>
              <w:overflowPunct/>
              <w:autoSpaceDE/>
              <w:autoSpaceDN/>
              <w:spacing w:after="120"/>
              <w:textAlignment w:val="auto"/>
              <w:rPr>
                <w:sz w:val="22"/>
                <w:szCs w:val="22"/>
              </w:rPr>
            </w:pPr>
            <w:r w:rsidRPr="00A62EF7">
              <w:t>L'UIT continuera d'attirer l'attention des pays hôtes sur ce point lors des futures discussions et de souligner avec force l'importance que revêt la mise en œuvre de procédures efficientes et rapides pour traiter les demandes de visas des participants de tous les Etats Membres.</w:t>
            </w:r>
          </w:p>
        </w:tc>
      </w:tr>
    </w:tbl>
    <w:p w:rsidR="00E80BA0" w:rsidRPr="00A62EF7" w:rsidRDefault="00E80BA0" w:rsidP="00AE4CC4">
      <w:pPr>
        <w:pStyle w:val="Headingi"/>
        <w:spacing w:before="360"/>
        <w:rPr>
          <w:b/>
          <w:bCs/>
        </w:rPr>
      </w:pPr>
      <w:bookmarkStart w:id="171" w:name="_Toc417373406"/>
      <w:bookmarkStart w:id="172" w:name="lt_pId300"/>
      <w:bookmarkStart w:id="173" w:name="_Toc419372762"/>
      <w:bookmarkEnd w:id="170"/>
      <w:r w:rsidRPr="00A62EF7">
        <w:rPr>
          <w:b/>
          <w:bCs/>
        </w:rPr>
        <w:t>Sessions du Forum et présence des médias</w:t>
      </w:r>
      <w:bookmarkEnd w:id="171"/>
      <w:bookmarkEnd w:id="172"/>
      <w:bookmarkEnd w:id="173"/>
    </w:p>
    <w:p w:rsidR="00E80BA0" w:rsidRPr="00A62EF7" w:rsidRDefault="00AE4CC4" w:rsidP="00E80BA0">
      <w:pPr>
        <w:tabs>
          <w:tab w:val="clear" w:pos="567"/>
          <w:tab w:val="clear" w:pos="1134"/>
          <w:tab w:val="clear" w:pos="1701"/>
          <w:tab w:val="clear" w:pos="2268"/>
          <w:tab w:val="clear" w:pos="2835"/>
        </w:tabs>
        <w:overflowPunct/>
        <w:autoSpaceDE/>
        <w:autoSpaceDN/>
        <w:textAlignment w:val="auto"/>
      </w:pPr>
      <w:bookmarkStart w:id="174" w:name="lt_pId301"/>
      <w:r w:rsidRPr="00A62EF7">
        <w:t>87</w:t>
      </w:r>
      <w:r w:rsidRPr="00A62EF7">
        <w:tab/>
      </w:r>
      <w:r w:rsidR="00E80BA0" w:rsidRPr="00A62EF7">
        <w:t>Le nombre de participants à certaines sessions du Forum était très faible. Le nombre de participants aux sessions durant desquelles un déjeuner était organisé était quant à lui beaucoup trop élevé</w:t>
      </w:r>
      <w:r w:rsidR="003C6DD3" w:rsidRPr="00A62EF7">
        <w:t>:</w:t>
      </w:r>
      <w:r w:rsidR="00E80BA0" w:rsidRPr="00A62EF7">
        <w:t xml:space="preserve"> le nombre de participants a dépassé la capacité de la salle lors des sessions MC1 et MC3 le deuxième jour, TC1 et TC2 le troisième jour, et WC1 le quatrième jour.</w:t>
      </w:r>
    </w:p>
    <w:p w:rsidR="00E80BA0" w:rsidRPr="00A62EF7" w:rsidRDefault="00AE4CC4" w:rsidP="00E80BA0">
      <w:pPr>
        <w:tabs>
          <w:tab w:val="clear" w:pos="567"/>
          <w:tab w:val="clear" w:pos="1134"/>
          <w:tab w:val="clear" w:pos="1701"/>
          <w:tab w:val="clear" w:pos="2268"/>
          <w:tab w:val="clear" w:pos="2835"/>
        </w:tabs>
        <w:overflowPunct/>
        <w:autoSpaceDE/>
        <w:autoSpaceDN/>
        <w:textAlignment w:val="auto"/>
      </w:pPr>
      <w:bookmarkStart w:id="175" w:name="lt_pId303"/>
      <w:bookmarkEnd w:id="174"/>
      <w:r w:rsidRPr="00A62EF7">
        <w:t>88</w:t>
      </w:r>
      <w:r w:rsidRPr="00A62EF7">
        <w:tab/>
      </w:r>
      <w:r w:rsidR="00E80BA0" w:rsidRPr="00A62EF7">
        <w:t>Tous les indicateurs relatifs à la participation indiquent une forte baisse du nombre de participants au Forum au cours de la manifestation (ce nombre est passé d</w:t>
      </w:r>
      <w:r w:rsidR="003C6DD3" w:rsidRPr="00A62EF7">
        <w:t>'</w:t>
      </w:r>
      <w:r w:rsidR="00E80BA0" w:rsidRPr="00A62EF7">
        <w:t>environ 2 000 le premier jour à moins de 1 200 le dernier jour).</w:t>
      </w:r>
    </w:p>
    <w:p w:rsidR="009C1776" w:rsidRPr="00A62EF7" w:rsidRDefault="00AE4CC4" w:rsidP="00BD4FA8">
      <w:pPr>
        <w:tabs>
          <w:tab w:val="clear" w:pos="567"/>
          <w:tab w:val="clear" w:pos="1134"/>
          <w:tab w:val="clear" w:pos="1701"/>
          <w:tab w:val="clear" w:pos="2268"/>
          <w:tab w:val="clear" w:pos="2835"/>
        </w:tabs>
        <w:overflowPunct/>
        <w:autoSpaceDE/>
        <w:autoSpaceDN/>
        <w:spacing w:after="120"/>
        <w:textAlignment w:val="auto"/>
      </w:pPr>
      <w:r w:rsidRPr="00A62EF7">
        <w:t>89</w:t>
      </w:r>
      <w:r w:rsidRPr="00A62EF7">
        <w:tab/>
      </w:r>
      <w:r w:rsidR="00E80BA0" w:rsidRPr="00A62EF7">
        <w:t>L</w:t>
      </w:r>
      <w:r w:rsidR="003C6DD3" w:rsidRPr="00A62EF7">
        <w:t>'</w:t>
      </w:r>
      <w:r w:rsidR="00E80BA0" w:rsidRPr="00A62EF7">
        <w:t>enquête a montré que les sessions du Forum n</w:t>
      </w:r>
      <w:r w:rsidR="003C6DD3" w:rsidRPr="00A62EF7">
        <w:t>'</w:t>
      </w:r>
      <w:r w:rsidR="00E80BA0" w:rsidRPr="00A62EF7">
        <w:t>avaient attiré que très peu l</w:t>
      </w:r>
      <w:r w:rsidR="003C6DD3" w:rsidRPr="00A62EF7">
        <w:t>'</w:t>
      </w:r>
      <w:r w:rsidR="00E80BA0" w:rsidRPr="00A62EF7">
        <w:t>attention des médias après le premier jour (87 représentants des médias le premier jour, puis 54, 37 et 20</w:t>
      </w:r>
      <w:r w:rsidR="00BD4FA8">
        <w:t> </w:t>
      </w:r>
      <w:r w:rsidR="00E80BA0" w:rsidRPr="00A62EF7">
        <w:t>représentants les jours suivants).</w:t>
      </w:r>
    </w:p>
    <w:tbl>
      <w:tblPr>
        <w:tblStyle w:val="TableGrid"/>
        <w:tblW w:w="0" w:type="auto"/>
        <w:tblLook w:val="04A0" w:firstRow="1" w:lastRow="0" w:firstColumn="1" w:lastColumn="0" w:noHBand="0" w:noVBand="1"/>
      </w:tblPr>
      <w:tblGrid>
        <w:gridCol w:w="9061"/>
      </w:tblGrid>
      <w:tr w:rsidR="009C1776" w:rsidRPr="00A62EF7" w:rsidTr="00C22589">
        <w:tc>
          <w:tcPr>
            <w:tcW w:w="9061" w:type="dxa"/>
          </w:tcPr>
          <w:p w:rsidR="009C1776" w:rsidRPr="00A62EF7" w:rsidRDefault="009C1776" w:rsidP="00C22589">
            <w:pPr>
              <w:tabs>
                <w:tab w:val="clear" w:pos="567"/>
                <w:tab w:val="clear" w:pos="1134"/>
                <w:tab w:val="clear" w:pos="1701"/>
                <w:tab w:val="clear" w:pos="2268"/>
                <w:tab w:val="clear" w:pos="2835"/>
              </w:tabs>
              <w:overflowPunct/>
              <w:autoSpaceDE/>
              <w:autoSpaceDN/>
              <w:textAlignment w:val="auto"/>
              <w:rPr>
                <w:b/>
                <w:bCs/>
              </w:rPr>
            </w:pPr>
            <w:r w:rsidRPr="00A62EF7">
              <w:rPr>
                <w:b/>
                <w:bCs/>
              </w:rPr>
              <w:t>Proposition n° 9</w:t>
            </w:r>
          </w:p>
          <w:p w:rsidR="009C1776" w:rsidRPr="00A62EF7" w:rsidRDefault="009C1776" w:rsidP="003C6DD3">
            <w:pPr>
              <w:tabs>
                <w:tab w:val="clear" w:pos="567"/>
                <w:tab w:val="clear" w:pos="1134"/>
                <w:tab w:val="clear" w:pos="1701"/>
                <w:tab w:val="clear" w:pos="2268"/>
                <w:tab w:val="clear" w:pos="2835"/>
              </w:tabs>
              <w:overflowPunct/>
              <w:autoSpaceDE/>
              <w:autoSpaceDN/>
              <w:spacing w:after="120"/>
              <w:textAlignment w:val="auto"/>
              <w:rPr>
                <w:sz w:val="22"/>
                <w:szCs w:val="22"/>
              </w:rPr>
            </w:pPr>
            <w:r w:rsidRPr="00A62EF7">
              <w:t>90</w:t>
            </w:r>
            <w:r w:rsidRPr="00A62EF7">
              <w:tab/>
              <w:t xml:space="preserve">Nous </w:t>
            </w:r>
            <w:r w:rsidRPr="00A62EF7">
              <w:rPr>
                <w:b/>
                <w:bCs/>
              </w:rPr>
              <w:t>proposons</w:t>
            </w:r>
            <w:r w:rsidRPr="00A62EF7">
              <w:t xml:space="preserve"> à la direction de mener une étude sur la durée de la manifestation et sur la répartition des réunions et conférences principales tout au long de la manifestation, de sorte à entretenir l'attention des médias pendant une plus longue durée.</w:t>
            </w:r>
          </w:p>
        </w:tc>
      </w:tr>
    </w:tbl>
    <w:p w:rsidR="009C1776" w:rsidRPr="008232AB" w:rsidRDefault="009C1776" w:rsidP="003C6DD3">
      <w:pPr>
        <w:tabs>
          <w:tab w:val="clear" w:pos="567"/>
          <w:tab w:val="clear" w:pos="1134"/>
          <w:tab w:val="clear" w:pos="1701"/>
          <w:tab w:val="clear" w:pos="2268"/>
          <w:tab w:val="clear" w:pos="2835"/>
        </w:tabs>
        <w:overflowPunct/>
        <w:autoSpaceDE/>
        <w:autoSpaceDN/>
        <w:spacing w:after="120"/>
        <w:textAlignment w:val="auto"/>
        <w:rPr>
          <w:sz w:val="16"/>
          <w:szCs w:val="16"/>
        </w:rPr>
      </w:pPr>
    </w:p>
    <w:tbl>
      <w:tblPr>
        <w:tblStyle w:val="TableGrid"/>
        <w:tblW w:w="0" w:type="auto"/>
        <w:tblLook w:val="04A0" w:firstRow="1" w:lastRow="0" w:firstColumn="1" w:lastColumn="0" w:noHBand="0" w:noVBand="1"/>
      </w:tblPr>
      <w:tblGrid>
        <w:gridCol w:w="9061"/>
      </w:tblGrid>
      <w:tr w:rsidR="009C1776" w:rsidRPr="00A62EF7" w:rsidTr="003C6DD3">
        <w:tc>
          <w:tcPr>
            <w:tcW w:w="9061" w:type="dxa"/>
          </w:tcPr>
          <w:p w:rsidR="009C1776" w:rsidRPr="008232AB" w:rsidRDefault="009C1776" w:rsidP="003C6DD3">
            <w:pPr>
              <w:tabs>
                <w:tab w:val="clear" w:pos="567"/>
                <w:tab w:val="clear" w:pos="1134"/>
                <w:tab w:val="clear" w:pos="1701"/>
                <w:tab w:val="clear" w:pos="2268"/>
                <w:tab w:val="clear" w:pos="2835"/>
              </w:tabs>
              <w:overflowPunct/>
              <w:autoSpaceDE/>
              <w:autoSpaceDN/>
              <w:textAlignment w:val="auto"/>
              <w:rPr>
                <w:b/>
                <w:bCs/>
                <w:u w:val="single"/>
              </w:rPr>
            </w:pPr>
            <w:r w:rsidRPr="008232AB">
              <w:rPr>
                <w:b/>
                <w:bCs/>
                <w:u w:val="single"/>
              </w:rPr>
              <w:t>Observations du Secrétaire général</w:t>
            </w:r>
          </w:p>
          <w:p w:rsidR="009C1776" w:rsidRPr="00A62EF7" w:rsidRDefault="009C1776" w:rsidP="003C6DD3">
            <w:pPr>
              <w:tabs>
                <w:tab w:val="clear" w:pos="567"/>
                <w:tab w:val="clear" w:pos="1134"/>
                <w:tab w:val="clear" w:pos="1701"/>
                <w:tab w:val="clear" w:pos="2268"/>
                <w:tab w:val="clear" w:pos="2835"/>
              </w:tabs>
              <w:overflowPunct/>
              <w:autoSpaceDE/>
              <w:autoSpaceDN/>
              <w:spacing w:after="120"/>
              <w:textAlignment w:val="auto"/>
              <w:rPr>
                <w:sz w:val="22"/>
                <w:szCs w:val="22"/>
              </w:rPr>
            </w:pPr>
            <w:r w:rsidRPr="00A62EF7">
              <w:t>Des dispositions seront prises pour évaluer la durée optimale de la manifestation et la programmation des réunions et conférences principales afin d'entretenir l'intérêt des médias tout au long de la manifestation. En outre, des mesures supplémentaires seront prises pour planifier des conférences de presse et des annonces tout au long de la manifestation pour stimuler et entretenir l'intérêt des médias.</w:t>
            </w:r>
          </w:p>
        </w:tc>
      </w:tr>
    </w:tbl>
    <w:p w:rsidR="00E80BA0" w:rsidRPr="00A62EF7" w:rsidRDefault="00E80BA0" w:rsidP="009C1776">
      <w:pPr>
        <w:pStyle w:val="Headingi"/>
        <w:spacing w:before="360"/>
        <w:rPr>
          <w:b/>
          <w:bCs/>
        </w:rPr>
      </w:pPr>
      <w:bookmarkStart w:id="176" w:name="lt_pId311"/>
      <w:bookmarkStart w:id="177" w:name="_Toc419372763"/>
      <w:bookmarkEnd w:id="175"/>
      <w:r w:rsidRPr="00A62EF7">
        <w:rPr>
          <w:b/>
          <w:bCs/>
        </w:rPr>
        <w:t>Dimension mondiale</w:t>
      </w:r>
      <w:bookmarkEnd w:id="176"/>
      <w:bookmarkEnd w:id="177"/>
    </w:p>
    <w:p w:rsidR="00E80BA0" w:rsidRPr="00A62EF7" w:rsidRDefault="00840456" w:rsidP="00E80BA0">
      <w:pPr>
        <w:tabs>
          <w:tab w:val="clear" w:pos="567"/>
          <w:tab w:val="clear" w:pos="1134"/>
          <w:tab w:val="clear" w:pos="1701"/>
          <w:tab w:val="clear" w:pos="2268"/>
          <w:tab w:val="clear" w:pos="2835"/>
        </w:tabs>
        <w:overflowPunct/>
        <w:autoSpaceDE/>
        <w:autoSpaceDN/>
        <w:textAlignment w:val="auto"/>
      </w:pPr>
      <w:bookmarkStart w:id="178" w:name="lt_pId312"/>
      <w:r w:rsidRPr="00A62EF7">
        <w:t>91</w:t>
      </w:r>
      <w:r w:rsidRPr="00A62EF7">
        <w:tab/>
      </w:r>
      <w:r w:rsidR="00E80BA0" w:rsidRPr="00A62EF7">
        <w:t>Année après année, la dimension mondiale de la manifestation ITU Telecom World est toujours plus mise à mal par la répartition des participants par région: en 2014 à Doha, 48% des participants venaient des pays arabes et très peu des régions Europe et Amériques. Toutefois, le fait que les principaux marchés émergents étaient représentés constitue un point positif.</w:t>
      </w:r>
    </w:p>
    <w:p w:rsidR="00840456" w:rsidRPr="00A62EF7" w:rsidRDefault="00840456" w:rsidP="00AE5674">
      <w:pPr>
        <w:tabs>
          <w:tab w:val="clear" w:pos="567"/>
          <w:tab w:val="clear" w:pos="1134"/>
          <w:tab w:val="clear" w:pos="1701"/>
          <w:tab w:val="clear" w:pos="2268"/>
          <w:tab w:val="clear" w:pos="2835"/>
        </w:tabs>
        <w:overflowPunct/>
        <w:autoSpaceDE/>
        <w:autoSpaceDN/>
        <w:spacing w:after="120"/>
        <w:textAlignment w:val="auto"/>
      </w:pPr>
      <w:bookmarkStart w:id="179" w:name="lt_pId314"/>
      <w:bookmarkEnd w:id="178"/>
      <w:r w:rsidRPr="00A62EF7">
        <w:t>92</w:t>
      </w:r>
      <w:r w:rsidRPr="00A62EF7">
        <w:tab/>
      </w:r>
      <w:r w:rsidR="00E80BA0" w:rsidRPr="00A62EF7">
        <w:t>L</w:t>
      </w:r>
      <w:r w:rsidR="003C6DD3" w:rsidRPr="00A62EF7">
        <w:t>'</w:t>
      </w:r>
      <w:r w:rsidR="00E80BA0" w:rsidRPr="00A62EF7">
        <w:t>organisation de la manifestation par roulement entre différents lieux ne répond qu</w:t>
      </w:r>
      <w:r w:rsidR="003C6DD3" w:rsidRPr="00A62EF7">
        <w:t>'</w:t>
      </w:r>
      <w:r w:rsidR="00E80BA0" w:rsidRPr="00A62EF7">
        <w:t>en partie à la nécessité de préserver la dimension mondiale de l</w:t>
      </w:r>
      <w:r w:rsidR="003C6DD3" w:rsidRPr="00A62EF7">
        <w:t>'</w:t>
      </w:r>
      <w:r w:rsidR="00E80BA0" w:rsidRPr="00A62EF7">
        <w:t>événement.</w:t>
      </w:r>
    </w:p>
    <w:tbl>
      <w:tblPr>
        <w:tblStyle w:val="TableGrid"/>
        <w:tblW w:w="0" w:type="auto"/>
        <w:tblLook w:val="04A0" w:firstRow="1" w:lastRow="0" w:firstColumn="1" w:lastColumn="0" w:noHBand="0" w:noVBand="1"/>
      </w:tblPr>
      <w:tblGrid>
        <w:gridCol w:w="9061"/>
      </w:tblGrid>
      <w:tr w:rsidR="00840456" w:rsidRPr="00A62EF7" w:rsidTr="00C22589">
        <w:tc>
          <w:tcPr>
            <w:tcW w:w="9061" w:type="dxa"/>
          </w:tcPr>
          <w:p w:rsidR="00840456" w:rsidRPr="00A62EF7" w:rsidRDefault="00840456" w:rsidP="00C22589">
            <w:pPr>
              <w:tabs>
                <w:tab w:val="clear" w:pos="567"/>
                <w:tab w:val="clear" w:pos="1134"/>
                <w:tab w:val="clear" w:pos="1701"/>
                <w:tab w:val="clear" w:pos="2268"/>
                <w:tab w:val="clear" w:pos="2835"/>
              </w:tabs>
              <w:overflowPunct/>
              <w:autoSpaceDE/>
              <w:autoSpaceDN/>
              <w:textAlignment w:val="auto"/>
              <w:rPr>
                <w:b/>
                <w:bCs/>
              </w:rPr>
            </w:pPr>
            <w:r w:rsidRPr="00A62EF7">
              <w:rPr>
                <w:b/>
                <w:bCs/>
              </w:rPr>
              <w:t>Proposition n° 10</w:t>
            </w:r>
          </w:p>
          <w:p w:rsidR="00840456" w:rsidRPr="00A62EF7" w:rsidRDefault="00840456" w:rsidP="003C6DD3">
            <w:pPr>
              <w:tabs>
                <w:tab w:val="clear" w:pos="567"/>
                <w:tab w:val="clear" w:pos="1134"/>
                <w:tab w:val="clear" w:pos="1701"/>
                <w:tab w:val="clear" w:pos="2268"/>
                <w:tab w:val="clear" w:pos="2835"/>
              </w:tabs>
              <w:overflowPunct/>
              <w:autoSpaceDE/>
              <w:autoSpaceDN/>
              <w:spacing w:after="120"/>
              <w:textAlignment w:val="auto"/>
              <w:rPr>
                <w:sz w:val="22"/>
                <w:szCs w:val="22"/>
              </w:rPr>
            </w:pPr>
            <w:r w:rsidRPr="00A62EF7">
              <w:t>93</w:t>
            </w:r>
            <w:r w:rsidRPr="00A62EF7">
              <w:tab/>
              <w:t xml:space="preserve">Nous </w:t>
            </w:r>
            <w:r w:rsidRPr="00A62EF7">
              <w:rPr>
                <w:b/>
                <w:bCs/>
              </w:rPr>
              <w:t>proposons</w:t>
            </w:r>
            <w:r w:rsidRPr="00A62EF7">
              <w:t xml:space="preserve"> à la direction d'étudier toute mesure qui pourrait être prise dans le domaine de la communication et de la publicité pour renforcer la perception de la dimension mondiale de la manifestation ITU Telecom World.</w:t>
            </w:r>
          </w:p>
        </w:tc>
      </w:tr>
    </w:tbl>
    <w:p w:rsidR="00840456" w:rsidRPr="008232AB" w:rsidRDefault="00840456" w:rsidP="003C6DD3">
      <w:pPr>
        <w:tabs>
          <w:tab w:val="clear" w:pos="567"/>
          <w:tab w:val="clear" w:pos="1134"/>
          <w:tab w:val="clear" w:pos="1701"/>
          <w:tab w:val="clear" w:pos="2268"/>
          <w:tab w:val="clear" w:pos="2835"/>
        </w:tabs>
        <w:overflowPunct/>
        <w:autoSpaceDE/>
        <w:autoSpaceDN/>
        <w:spacing w:after="120"/>
        <w:textAlignment w:val="auto"/>
        <w:rPr>
          <w:sz w:val="16"/>
          <w:szCs w:val="16"/>
        </w:rPr>
      </w:pPr>
    </w:p>
    <w:tbl>
      <w:tblPr>
        <w:tblStyle w:val="TableGrid"/>
        <w:tblW w:w="0" w:type="auto"/>
        <w:tblLook w:val="04A0" w:firstRow="1" w:lastRow="0" w:firstColumn="1" w:lastColumn="0" w:noHBand="0" w:noVBand="1"/>
      </w:tblPr>
      <w:tblGrid>
        <w:gridCol w:w="9061"/>
      </w:tblGrid>
      <w:tr w:rsidR="00840456" w:rsidRPr="00A62EF7" w:rsidTr="003C6DD3">
        <w:tc>
          <w:tcPr>
            <w:tcW w:w="9061" w:type="dxa"/>
          </w:tcPr>
          <w:p w:rsidR="00840456" w:rsidRPr="008232AB" w:rsidRDefault="00840456" w:rsidP="003C6DD3">
            <w:pPr>
              <w:tabs>
                <w:tab w:val="clear" w:pos="567"/>
                <w:tab w:val="clear" w:pos="1134"/>
                <w:tab w:val="clear" w:pos="1701"/>
                <w:tab w:val="clear" w:pos="2268"/>
                <w:tab w:val="clear" w:pos="2835"/>
              </w:tabs>
              <w:overflowPunct/>
              <w:autoSpaceDE/>
              <w:autoSpaceDN/>
              <w:textAlignment w:val="auto"/>
              <w:rPr>
                <w:b/>
                <w:bCs/>
                <w:u w:val="single"/>
              </w:rPr>
            </w:pPr>
            <w:r w:rsidRPr="008232AB">
              <w:rPr>
                <w:b/>
                <w:bCs/>
                <w:u w:val="single"/>
              </w:rPr>
              <w:t>Observations du Secrétaire général</w:t>
            </w:r>
          </w:p>
          <w:p w:rsidR="00840456" w:rsidRPr="00A62EF7" w:rsidRDefault="00840456" w:rsidP="003C6DD3">
            <w:pPr>
              <w:tabs>
                <w:tab w:val="clear" w:pos="567"/>
                <w:tab w:val="clear" w:pos="1134"/>
                <w:tab w:val="clear" w:pos="1701"/>
                <w:tab w:val="clear" w:pos="2268"/>
                <w:tab w:val="clear" w:pos="2835"/>
              </w:tabs>
              <w:overflowPunct/>
              <w:autoSpaceDE/>
              <w:autoSpaceDN/>
              <w:spacing w:after="120"/>
              <w:textAlignment w:val="auto"/>
              <w:rPr>
                <w:sz w:val="22"/>
                <w:szCs w:val="22"/>
              </w:rPr>
            </w:pPr>
            <w:r w:rsidRPr="00A62EF7">
              <w:t>Nous poursuivrons nos efforts en vue de définir et de mobiliser les meilleurs moyens de communication et supports publicitaires afin de renforcer la dimension mondiale des manifestations ITU Telecom World, dans les limites des crédits budgétaires établis.</w:t>
            </w:r>
          </w:p>
        </w:tc>
      </w:tr>
    </w:tbl>
    <w:p w:rsidR="00E80BA0" w:rsidRPr="00A62EF7" w:rsidRDefault="00E80BA0" w:rsidP="00840456">
      <w:pPr>
        <w:pStyle w:val="Heading1"/>
      </w:pPr>
      <w:bookmarkStart w:id="180" w:name="lt_pId320"/>
      <w:bookmarkStart w:id="181" w:name="_Toc419372764"/>
      <w:bookmarkEnd w:id="179"/>
      <w:r w:rsidRPr="00A62EF7">
        <w:t>SUIVI</w:t>
      </w:r>
      <w:bookmarkEnd w:id="180"/>
      <w:bookmarkEnd w:id="181"/>
    </w:p>
    <w:p w:rsidR="00E80BA0" w:rsidRPr="00A62EF7" w:rsidRDefault="00E80BA0" w:rsidP="00840456">
      <w:bookmarkStart w:id="182" w:name="lt_pId321"/>
      <w:r w:rsidRPr="00A62EF7">
        <w:t>Veuillez trouver ci-dessous les tableaux de suivi des recommandations et propositions formulées dans nos précédents rapports.</w:t>
      </w:r>
    </w:p>
    <w:bookmarkEnd w:id="182"/>
    <w:p w:rsidR="00E80BA0" w:rsidRPr="00A62EF7" w:rsidRDefault="00E80BA0" w:rsidP="00E80BA0"/>
    <w:p w:rsidR="00E80BA0" w:rsidRPr="00A62EF7" w:rsidRDefault="00E80BA0" w:rsidP="00E80BA0">
      <w:pPr>
        <w:sectPr w:rsidR="00E80BA0" w:rsidRPr="00A62EF7" w:rsidSect="004E45FF">
          <w:headerReference w:type="default" r:id="rId13"/>
          <w:footerReference w:type="default" r:id="rId14"/>
          <w:footerReference w:type="first" r:id="rId15"/>
          <w:pgSz w:w="11907" w:h="16840" w:code="9"/>
          <w:pgMar w:top="1418" w:right="1134" w:bottom="1418" w:left="1134" w:header="720" w:footer="720" w:gutter="0"/>
          <w:cols w:space="720"/>
          <w:titlePg/>
          <w:docGrid w:linePitch="360"/>
        </w:sectPr>
      </w:pPr>
    </w:p>
    <w:p w:rsidR="00840456" w:rsidRPr="00A62EF7" w:rsidRDefault="00BD4FA8" w:rsidP="00840456">
      <w:pPr>
        <w:pStyle w:val="AnnexNo"/>
      </w:pPr>
      <w:bookmarkStart w:id="183" w:name="lt_pId322"/>
      <w:r>
        <w:t>ANNEXE I</w:t>
      </w:r>
    </w:p>
    <w:p w:rsidR="00E80BA0" w:rsidRPr="00A62EF7" w:rsidRDefault="00E80BA0" w:rsidP="00840456">
      <w:pPr>
        <w:pStyle w:val="Annextitle"/>
      </w:pPr>
      <w:r w:rsidRPr="00A62EF7">
        <w:t>Suivi des observations présentées dans les rapports précédents</w:t>
      </w:r>
      <w:bookmarkEnd w:id="183"/>
    </w:p>
    <w:p w:rsidR="00840456" w:rsidRPr="008232AB" w:rsidRDefault="00E80BA0" w:rsidP="008232AB">
      <w:pPr>
        <w:pStyle w:val="Title4"/>
        <w:spacing w:after="120"/>
        <w:rPr>
          <w:sz w:val="24"/>
          <w:szCs w:val="24"/>
        </w:rPr>
      </w:pPr>
      <w:bookmarkStart w:id="184" w:name="lt_pId323"/>
      <w:r w:rsidRPr="008232AB">
        <w:rPr>
          <w:sz w:val="24"/>
          <w:szCs w:val="24"/>
        </w:rPr>
        <w:t>Reco</w:t>
      </w:r>
      <w:bookmarkStart w:id="185" w:name="_GoBack"/>
      <w:bookmarkEnd w:id="185"/>
      <w:r w:rsidRPr="008232AB">
        <w:rPr>
          <w:sz w:val="24"/>
          <w:szCs w:val="24"/>
        </w:rPr>
        <w:t>mmandations</w:t>
      </w:r>
      <w:bookmarkEnd w:id="184"/>
    </w:p>
    <w:tbl>
      <w:tblPr>
        <w:tblW w:w="0" w:type="auto"/>
        <w:tblInd w:w="62" w:type="dxa"/>
        <w:tblCellMar>
          <w:top w:w="28" w:type="dxa"/>
          <w:left w:w="57" w:type="dxa"/>
          <w:bottom w:w="28" w:type="dxa"/>
          <w:right w:w="57" w:type="dxa"/>
        </w:tblCellMar>
        <w:tblLook w:val="0000" w:firstRow="0" w:lastRow="0" w:firstColumn="0" w:lastColumn="0" w:noHBand="0" w:noVBand="0"/>
      </w:tblPr>
      <w:tblGrid>
        <w:gridCol w:w="926"/>
        <w:gridCol w:w="2268"/>
        <w:gridCol w:w="2572"/>
        <w:gridCol w:w="1964"/>
        <w:gridCol w:w="1837"/>
      </w:tblGrid>
      <w:tr w:rsidR="00E80BA0" w:rsidRPr="00A62EF7" w:rsidTr="008232AB">
        <w:trPr>
          <w:cantSplit/>
          <w:tblHeader/>
        </w:trPr>
        <w:tc>
          <w:tcPr>
            <w:tcW w:w="926" w:type="dxa"/>
            <w:tcBorders>
              <w:top w:val="single" w:sz="4" w:space="0" w:color="auto"/>
              <w:left w:val="single" w:sz="4" w:space="0" w:color="auto"/>
              <w:bottom w:val="single" w:sz="4" w:space="0" w:color="auto"/>
              <w:right w:val="single" w:sz="4" w:space="0" w:color="auto"/>
            </w:tcBorders>
            <w:tcMar>
              <w:left w:w="79" w:type="dxa"/>
              <w:right w:w="79" w:type="dxa"/>
            </w:tcMar>
            <w:vAlign w:val="center"/>
          </w:tcPr>
          <w:p w:rsidR="00E80BA0" w:rsidRPr="00A62EF7" w:rsidRDefault="00E80BA0" w:rsidP="00840456">
            <w:pPr>
              <w:pStyle w:val="Tablehead"/>
              <w:rPr>
                <w:sz w:val="21"/>
                <w:szCs w:val="21"/>
              </w:rPr>
            </w:pPr>
          </w:p>
        </w:tc>
        <w:tc>
          <w:tcPr>
            <w:tcW w:w="2268" w:type="dxa"/>
            <w:tcBorders>
              <w:top w:val="single" w:sz="4" w:space="0" w:color="auto"/>
              <w:left w:val="single" w:sz="4" w:space="0" w:color="auto"/>
              <w:bottom w:val="single" w:sz="4" w:space="0" w:color="auto"/>
              <w:right w:val="single" w:sz="4" w:space="0" w:color="auto"/>
            </w:tcBorders>
            <w:tcMar>
              <w:left w:w="79" w:type="dxa"/>
              <w:right w:w="79" w:type="dxa"/>
            </w:tcMar>
            <w:vAlign w:val="center"/>
          </w:tcPr>
          <w:p w:rsidR="00E80BA0" w:rsidRPr="00A62EF7" w:rsidRDefault="00E80BA0" w:rsidP="00840456">
            <w:pPr>
              <w:pStyle w:val="Tablehead"/>
              <w:rPr>
                <w:sz w:val="21"/>
                <w:szCs w:val="21"/>
              </w:rPr>
            </w:pPr>
            <w:bookmarkStart w:id="186" w:name="lt_pId324"/>
            <w:r w:rsidRPr="00A62EF7">
              <w:rPr>
                <w:sz w:val="21"/>
                <w:szCs w:val="21"/>
              </w:rPr>
              <w:t xml:space="preserve">Recommandation </w:t>
            </w:r>
            <w:bookmarkEnd w:id="186"/>
            <w:r w:rsidRPr="00A62EF7">
              <w:rPr>
                <w:sz w:val="21"/>
                <w:szCs w:val="21"/>
              </w:rPr>
              <w:t>formulée</w:t>
            </w:r>
            <w:bookmarkStart w:id="187" w:name="lt_pId325"/>
            <w:r w:rsidR="00840456" w:rsidRPr="00A62EF7">
              <w:rPr>
                <w:sz w:val="21"/>
                <w:szCs w:val="21"/>
              </w:rPr>
              <w:t xml:space="preserve"> </w:t>
            </w:r>
            <w:r w:rsidRPr="00A62EF7">
              <w:rPr>
                <w:sz w:val="21"/>
                <w:szCs w:val="21"/>
              </w:rPr>
              <w:t>par la Cour des comptes italienne</w:t>
            </w:r>
            <w:bookmarkEnd w:id="187"/>
          </w:p>
        </w:tc>
        <w:tc>
          <w:tcPr>
            <w:tcW w:w="2572" w:type="dxa"/>
            <w:tcBorders>
              <w:top w:val="single" w:sz="4" w:space="0" w:color="auto"/>
              <w:left w:val="single" w:sz="4" w:space="0" w:color="auto"/>
              <w:bottom w:val="single" w:sz="4" w:space="0" w:color="auto"/>
              <w:right w:val="single" w:sz="4" w:space="0" w:color="auto"/>
            </w:tcBorders>
            <w:tcMar>
              <w:left w:w="79" w:type="dxa"/>
              <w:right w:w="79" w:type="dxa"/>
            </w:tcMar>
            <w:vAlign w:val="center"/>
          </w:tcPr>
          <w:p w:rsidR="00E80BA0" w:rsidRPr="00A62EF7" w:rsidRDefault="00E80BA0" w:rsidP="00840456">
            <w:pPr>
              <w:pStyle w:val="Tablehead"/>
              <w:rPr>
                <w:sz w:val="21"/>
                <w:szCs w:val="21"/>
              </w:rPr>
            </w:pPr>
            <w:bookmarkStart w:id="188" w:name="lt_pId326"/>
            <w:r w:rsidRPr="00A62EF7">
              <w:rPr>
                <w:sz w:val="21"/>
                <w:szCs w:val="21"/>
              </w:rPr>
              <w:t>Commentaires fournis par</w:t>
            </w:r>
            <w:bookmarkEnd w:id="188"/>
            <w:r w:rsidR="00840456" w:rsidRPr="00A62EF7">
              <w:rPr>
                <w:sz w:val="21"/>
                <w:szCs w:val="21"/>
              </w:rPr>
              <w:t> </w:t>
            </w:r>
            <w:bookmarkStart w:id="189" w:name="lt_pId327"/>
            <w:r w:rsidRPr="00A62EF7">
              <w:rPr>
                <w:sz w:val="21"/>
                <w:szCs w:val="21"/>
              </w:rPr>
              <w:t>le Secrétaire général au moment de la publication du rapport</w:t>
            </w:r>
            <w:bookmarkEnd w:id="189"/>
          </w:p>
        </w:tc>
        <w:tc>
          <w:tcPr>
            <w:tcW w:w="1964" w:type="dxa"/>
            <w:tcBorders>
              <w:top w:val="single" w:sz="4" w:space="0" w:color="auto"/>
              <w:left w:val="single" w:sz="4" w:space="0" w:color="auto"/>
              <w:bottom w:val="single" w:sz="4" w:space="0" w:color="auto"/>
              <w:right w:val="single" w:sz="4" w:space="0" w:color="auto"/>
            </w:tcBorders>
            <w:tcMar>
              <w:left w:w="79" w:type="dxa"/>
              <w:right w:w="79" w:type="dxa"/>
            </w:tcMar>
            <w:vAlign w:val="center"/>
          </w:tcPr>
          <w:p w:rsidR="00E80BA0" w:rsidRPr="00A62EF7" w:rsidRDefault="00E80BA0" w:rsidP="00172098">
            <w:pPr>
              <w:pStyle w:val="Tablehead"/>
              <w:rPr>
                <w:sz w:val="21"/>
                <w:szCs w:val="21"/>
              </w:rPr>
            </w:pPr>
            <w:bookmarkStart w:id="190" w:name="lt_pId328"/>
            <w:r w:rsidRPr="00A62EF7">
              <w:rPr>
                <w:sz w:val="21"/>
                <w:szCs w:val="21"/>
              </w:rPr>
              <w:t>Etat de la situation indiqué</w:t>
            </w:r>
            <w:bookmarkStart w:id="191" w:name="lt_pId329"/>
            <w:bookmarkEnd w:id="190"/>
            <w:r w:rsidR="00172098" w:rsidRPr="00A62EF7">
              <w:rPr>
                <w:sz w:val="21"/>
                <w:szCs w:val="21"/>
              </w:rPr>
              <w:t xml:space="preserve"> </w:t>
            </w:r>
            <w:r w:rsidRPr="00A62EF7">
              <w:rPr>
                <w:sz w:val="21"/>
                <w:szCs w:val="21"/>
              </w:rPr>
              <w:t>par la direction de l'UIT</w:t>
            </w:r>
            <w:bookmarkEnd w:id="191"/>
          </w:p>
        </w:tc>
        <w:tc>
          <w:tcPr>
            <w:tcW w:w="1837" w:type="dxa"/>
            <w:tcBorders>
              <w:top w:val="single" w:sz="4" w:space="0" w:color="auto"/>
              <w:left w:val="single" w:sz="4" w:space="0" w:color="auto"/>
              <w:bottom w:val="single" w:sz="4" w:space="0" w:color="auto"/>
              <w:right w:val="single" w:sz="4" w:space="0" w:color="auto"/>
            </w:tcBorders>
            <w:tcMar>
              <w:left w:w="79" w:type="dxa"/>
              <w:right w:w="79" w:type="dxa"/>
            </w:tcMar>
            <w:vAlign w:val="center"/>
          </w:tcPr>
          <w:p w:rsidR="00E80BA0" w:rsidRPr="00A62EF7" w:rsidRDefault="00E80BA0" w:rsidP="00840456">
            <w:pPr>
              <w:pStyle w:val="Tablehead"/>
              <w:rPr>
                <w:sz w:val="21"/>
                <w:szCs w:val="21"/>
              </w:rPr>
            </w:pPr>
            <w:bookmarkStart w:id="192" w:name="lt_pId330"/>
            <w:r w:rsidRPr="00A62EF7">
              <w:rPr>
                <w:sz w:val="21"/>
                <w:szCs w:val="21"/>
              </w:rPr>
              <w:t>Etat des mesures prises par la direction selon l'évaluation de la Cour des comptes italienne</w:t>
            </w:r>
            <w:bookmarkStart w:id="193" w:name="lt_pId331"/>
            <w:bookmarkEnd w:id="192"/>
            <w:bookmarkEnd w:id="193"/>
          </w:p>
        </w:tc>
      </w:tr>
      <w:tr w:rsidR="00E80BA0" w:rsidRPr="00A62EF7" w:rsidTr="008232AB">
        <w:trPr>
          <w:cantSplit/>
        </w:trPr>
        <w:tc>
          <w:tcPr>
            <w:tcW w:w="926" w:type="dxa"/>
            <w:tcBorders>
              <w:top w:val="single" w:sz="4" w:space="0" w:color="auto"/>
              <w:left w:val="single" w:sz="4" w:space="0" w:color="auto"/>
              <w:bottom w:val="single" w:sz="4" w:space="0" w:color="auto"/>
              <w:right w:val="single" w:sz="4" w:space="0" w:color="auto"/>
            </w:tcBorders>
            <w:tcMar>
              <w:left w:w="79" w:type="dxa"/>
              <w:right w:w="79" w:type="dxa"/>
            </w:tcMar>
          </w:tcPr>
          <w:p w:rsidR="00E80BA0" w:rsidRPr="00A62EF7" w:rsidRDefault="00E80BA0" w:rsidP="00840456">
            <w:pPr>
              <w:pStyle w:val="Tabletext"/>
              <w:rPr>
                <w:b/>
                <w:sz w:val="21"/>
                <w:szCs w:val="21"/>
              </w:rPr>
            </w:pPr>
            <w:r w:rsidRPr="00A62EF7">
              <w:rPr>
                <w:b/>
                <w:sz w:val="21"/>
                <w:szCs w:val="21"/>
              </w:rPr>
              <w:t>Rec. n°</w:t>
            </w:r>
            <w:r w:rsidR="00470597" w:rsidRPr="00A62EF7">
              <w:rPr>
                <w:b/>
                <w:sz w:val="21"/>
                <w:szCs w:val="21"/>
              </w:rPr>
              <w:t xml:space="preserve"> </w:t>
            </w:r>
            <w:r w:rsidRPr="00A62EF7">
              <w:rPr>
                <w:b/>
                <w:sz w:val="21"/>
                <w:szCs w:val="21"/>
              </w:rPr>
              <w:t>3</w:t>
            </w:r>
          </w:p>
          <w:p w:rsidR="00E80BA0" w:rsidRPr="00A62EF7" w:rsidRDefault="00E80BA0" w:rsidP="00840456">
            <w:pPr>
              <w:pStyle w:val="Tabletext"/>
              <w:rPr>
                <w:b/>
                <w:sz w:val="21"/>
                <w:szCs w:val="21"/>
              </w:rPr>
            </w:pPr>
            <w:r w:rsidRPr="00A62EF7">
              <w:rPr>
                <w:b/>
                <w:sz w:val="21"/>
                <w:szCs w:val="21"/>
              </w:rPr>
              <w:t>2012</w:t>
            </w:r>
          </w:p>
        </w:tc>
        <w:tc>
          <w:tcPr>
            <w:tcW w:w="2268" w:type="dxa"/>
            <w:tcBorders>
              <w:top w:val="single" w:sz="4" w:space="0" w:color="auto"/>
              <w:left w:val="single" w:sz="4" w:space="0" w:color="auto"/>
              <w:bottom w:val="single" w:sz="4" w:space="0" w:color="auto"/>
              <w:right w:val="single" w:sz="4" w:space="0" w:color="auto"/>
            </w:tcBorders>
            <w:tcMar>
              <w:left w:w="79" w:type="dxa"/>
              <w:right w:w="79" w:type="dxa"/>
            </w:tcMar>
          </w:tcPr>
          <w:p w:rsidR="00E80BA0" w:rsidRPr="00A62EF7" w:rsidRDefault="00E80BA0" w:rsidP="00840456">
            <w:pPr>
              <w:pStyle w:val="Tabletext"/>
              <w:rPr>
                <w:sz w:val="21"/>
                <w:szCs w:val="21"/>
              </w:rPr>
            </w:pPr>
            <w:bookmarkStart w:id="194" w:name="lt_pId334"/>
            <w:r w:rsidRPr="00A62EF7">
              <w:rPr>
                <w:sz w:val="21"/>
                <w:szCs w:val="21"/>
              </w:rPr>
              <w:t>Bien que nous comprenions tout à fait qu'il soit nécessaire pour l'UIT d'appliquer le recouvrement des coûts dans le cadre d'ITU Telecom World 2012, étant donné l'incidence significative de ce mécanisme sur le résultat final de la manifestation, nous n'avons pas trouvé de justifications suffisantes concernant la comptabilité analytique établie en vue de déterminer le montant du recouvrement des coûts.</w:t>
            </w:r>
            <w:bookmarkEnd w:id="194"/>
            <w:r w:rsidRPr="00A62EF7">
              <w:rPr>
                <w:sz w:val="21"/>
                <w:szCs w:val="21"/>
              </w:rPr>
              <w:t xml:space="preserve"> </w:t>
            </w:r>
            <w:bookmarkStart w:id="195" w:name="lt_pId335"/>
            <w:r w:rsidRPr="00A62EF7">
              <w:rPr>
                <w:sz w:val="21"/>
                <w:szCs w:val="21"/>
              </w:rPr>
              <w:t xml:space="preserve">Aussi, </w:t>
            </w:r>
            <w:r w:rsidRPr="00A62EF7">
              <w:rPr>
                <w:sz w:val="21"/>
                <w:szCs w:val="21"/>
                <w:u w:val="single"/>
              </w:rPr>
              <w:t>nous recommandons</w:t>
            </w:r>
            <w:r w:rsidRPr="00A62EF7">
              <w:rPr>
                <w:sz w:val="21"/>
                <w:szCs w:val="21"/>
              </w:rPr>
              <w:t xml:space="preserve"> à la direction de mieux rendre compte, au cours du processus décisionnel des prochaines années, de tous les éléments pertinents qui sont essentiels pour fixer correctement ce montant.</w:t>
            </w:r>
            <w:bookmarkEnd w:id="195"/>
            <w:r w:rsidR="00470597" w:rsidRPr="00A62EF7">
              <w:rPr>
                <w:sz w:val="21"/>
                <w:szCs w:val="21"/>
              </w:rPr>
              <w:t xml:space="preserve"> </w:t>
            </w:r>
          </w:p>
        </w:tc>
        <w:tc>
          <w:tcPr>
            <w:tcW w:w="2572" w:type="dxa"/>
            <w:tcBorders>
              <w:top w:val="single" w:sz="4" w:space="0" w:color="auto"/>
              <w:left w:val="single" w:sz="4" w:space="0" w:color="auto"/>
              <w:bottom w:val="single" w:sz="4" w:space="0" w:color="auto"/>
              <w:right w:val="single" w:sz="4" w:space="0" w:color="auto"/>
            </w:tcBorders>
            <w:tcMar>
              <w:left w:w="79" w:type="dxa"/>
              <w:right w:w="79" w:type="dxa"/>
            </w:tcMar>
          </w:tcPr>
          <w:p w:rsidR="00E80BA0" w:rsidRPr="00A62EF7" w:rsidRDefault="00E80BA0" w:rsidP="00840456">
            <w:pPr>
              <w:pStyle w:val="Tabletext"/>
              <w:rPr>
                <w:sz w:val="21"/>
                <w:szCs w:val="21"/>
              </w:rPr>
            </w:pPr>
            <w:bookmarkStart w:id="196" w:name="lt_pId336"/>
            <w:r w:rsidRPr="00A62EF7">
              <w:rPr>
                <w:sz w:val="21"/>
                <w:szCs w:val="21"/>
              </w:rPr>
              <w:t>Une étude sera réalisée pour identifier de manière cohérente, à compter de 2016, la base sur laquelle on détermine le montant du recouvrement des coûts qui sera imputable aux manifestations ITU Telecom.</w:t>
            </w:r>
            <w:bookmarkEnd w:id="196"/>
            <w:r w:rsidRPr="00A62EF7">
              <w:rPr>
                <w:sz w:val="21"/>
                <w:szCs w:val="21"/>
              </w:rPr>
              <w:t xml:space="preserve"> </w:t>
            </w:r>
            <w:bookmarkStart w:id="197" w:name="lt_pId337"/>
            <w:r w:rsidRPr="00A62EF7">
              <w:rPr>
                <w:sz w:val="21"/>
                <w:szCs w:val="21"/>
              </w:rPr>
              <w:t>Les montants pour 2014 et 2015 ont déjà été fixés dans le budget de l'UIT pour cette période.</w:t>
            </w:r>
            <w:bookmarkEnd w:id="197"/>
          </w:p>
        </w:tc>
        <w:tc>
          <w:tcPr>
            <w:tcW w:w="1964" w:type="dxa"/>
            <w:tcBorders>
              <w:top w:val="single" w:sz="4" w:space="0" w:color="auto"/>
              <w:left w:val="single" w:sz="4" w:space="0" w:color="auto"/>
              <w:bottom w:val="single" w:sz="4" w:space="0" w:color="auto"/>
              <w:right w:val="single" w:sz="4" w:space="0" w:color="auto"/>
            </w:tcBorders>
            <w:tcMar>
              <w:left w:w="79" w:type="dxa"/>
              <w:right w:w="79" w:type="dxa"/>
            </w:tcMar>
          </w:tcPr>
          <w:p w:rsidR="00E80BA0" w:rsidRPr="00A62EF7" w:rsidRDefault="00E80BA0" w:rsidP="00840456">
            <w:pPr>
              <w:pStyle w:val="Tabletext"/>
              <w:rPr>
                <w:sz w:val="21"/>
                <w:szCs w:val="21"/>
              </w:rPr>
            </w:pPr>
            <w:bookmarkStart w:id="198" w:name="lt_pId338"/>
            <w:r w:rsidRPr="00A62EF7">
              <w:rPr>
                <w:sz w:val="21"/>
                <w:szCs w:val="21"/>
              </w:rPr>
              <w:t>L'étude détaillée sur les droits au titre du recouvrement des coûts pour ITU Telecom a été menée à bien, en corrélation avec la recommandation n° 3 de 2013.</w:t>
            </w:r>
            <w:r w:rsidR="00470597" w:rsidRPr="00A62EF7">
              <w:rPr>
                <w:sz w:val="21"/>
                <w:szCs w:val="21"/>
              </w:rPr>
              <w:t xml:space="preserve"> </w:t>
            </w:r>
            <w:bookmarkStart w:id="199" w:name="lt_pId339"/>
            <w:bookmarkEnd w:id="198"/>
            <w:r w:rsidRPr="00A62EF7">
              <w:rPr>
                <w:sz w:val="21"/>
                <w:szCs w:val="21"/>
              </w:rPr>
              <w:t>Mesures prises.</w:t>
            </w:r>
            <w:bookmarkEnd w:id="199"/>
            <w:r w:rsidR="00470597" w:rsidRPr="00A62EF7">
              <w:rPr>
                <w:sz w:val="21"/>
                <w:szCs w:val="21"/>
              </w:rPr>
              <w:t xml:space="preserve"> </w:t>
            </w:r>
            <w:bookmarkStart w:id="200" w:name="lt_pId340"/>
            <w:r w:rsidRPr="00A62EF7">
              <w:rPr>
                <w:sz w:val="21"/>
                <w:szCs w:val="21"/>
              </w:rPr>
              <w:t>Clos.</w:t>
            </w:r>
            <w:bookmarkEnd w:id="200"/>
          </w:p>
        </w:tc>
        <w:tc>
          <w:tcPr>
            <w:tcW w:w="1837" w:type="dxa"/>
            <w:tcBorders>
              <w:top w:val="single" w:sz="4" w:space="0" w:color="auto"/>
              <w:left w:val="single" w:sz="4" w:space="0" w:color="auto"/>
              <w:bottom w:val="single" w:sz="4" w:space="0" w:color="auto"/>
              <w:right w:val="single" w:sz="4" w:space="0" w:color="auto"/>
            </w:tcBorders>
            <w:tcMar>
              <w:left w:w="79" w:type="dxa"/>
              <w:right w:w="79" w:type="dxa"/>
            </w:tcMar>
          </w:tcPr>
          <w:p w:rsidR="00E80BA0" w:rsidRPr="00A62EF7" w:rsidRDefault="00E80BA0" w:rsidP="00840456">
            <w:pPr>
              <w:pStyle w:val="Tabletext"/>
              <w:rPr>
                <w:sz w:val="21"/>
                <w:szCs w:val="21"/>
              </w:rPr>
            </w:pPr>
            <w:bookmarkStart w:id="201" w:name="lt_pId341"/>
            <w:r w:rsidRPr="00A62EF7">
              <w:rPr>
                <w:sz w:val="21"/>
                <w:szCs w:val="21"/>
              </w:rPr>
              <w:t>Clos</w:t>
            </w:r>
            <w:bookmarkStart w:id="202" w:name="lt_pId342"/>
            <w:bookmarkEnd w:id="201"/>
            <w:bookmarkEnd w:id="202"/>
          </w:p>
        </w:tc>
      </w:tr>
      <w:tr w:rsidR="00E80BA0" w:rsidRPr="00A62EF7" w:rsidTr="008232AB">
        <w:trPr>
          <w:cantSplit/>
        </w:trPr>
        <w:tc>
          <w:tcPr>
            <w:tcW w:w="926" w:type="dxa"/>
            <w:tcBorders>
              <w:top w:val="single" w:sz="4" w:space="0" w:color="auto"/>
              <w:left w:val="single" w:sz="4" w:space="0" w:color="auto"/>
              <w:bottom w:val="single" w:sz="4" w:space="0" w:color="auto"/>
              <w:right w:val="single" w:sz="4" w:space="0" w:color="auto"/>
            </w:tcBorders>
            <w:tcMar>
              <w:left w:w="79" w:type="dxa"/>
              <w:right w:w="79" w:type="dxa"/>
            </w:tcMar>
          </w:tcPr>
          <w:p w:rsidR="00E80BA0" w:rsidRPr="00A62EF7" w:rsidRDefault="00E80BA0" w:rsidP="00840456">
            <w:pPr>
              <w:pStyle w:val="Tabletext"/>
              <w:rPr>
                <w:b/>
                <w:sz w:val="21"/>
                <w:szCs w:val="21"/>
              </w:rPr>
            </w:pPr>
            <w:r w:rsidRPr="00A62EF7">
              <w:rPr>
                <w:b/>
                <w:sz w:val="21"/>
                <w:szCs w:val="21"/>
              </w:rPr>
              <w:t>Rec. n°</w:t>
            </w:r>
            <w:r w:rsidR="00470597" w:rsidRPr="00A62EF7">
              <w:rPr>
                <w:b/>
                <w:sz w:val="21"/>
                <w:szCs w:val="21"/>
              </w:rPr>
              <w:t xml:space="preserve"> </w:t>
            </w:r>
            <w:r w:rsidRPr="00A62EF7">
              <w:rPr>
                <w:b/>
                <w:sz w:val="21"/>
                <w:szCs w:val="21"/>
              </w:rPr>
              <w:t>4</w:t>
            </w:r>
          </w:p>
          <w:p w:rsidR="00E80BA0" w:rsidRPr="00A62EF7" w:rsidRDefault="00E80BA0" w:rsidP="00840456">
            <w:pPr>
              <w:pStyle w:val="Tabletext"/>
              <w:rPr>
                <w:b/>
                <w:sz w:val="21"/>
                <w:szCs w:val="21"/>
              </w:rPr>
            </w:pPr>
            <w:r w:rsidRPr="00A62EF7">
              <w:rPr>
                <w:b/>
                <w:sz w:val="21"/>
                <w:szCs w:val="21"/>
              </w:rPr>
              <w:t>2012</w:t>
            </w:r>
          </w:p>
        </w:tc>
        <w:tc>
          <w:tcPr>
            <w:tcW w:w="2268" w:type="dxa"/>
            <w:tcBorders>
              <w:top w:val="single" w:sz="4" w:space="0" w:color="auto"/>
              <w:left w:val="single" w:sz="4" w:space="0" w:color="auto"/>
              <w:bottom w:val="single" w:sz="4" w:space="0" w:color="auto"/>
              <w:right w:val="single" w:sz="4" w:space="0" w:color="auto"/>
            </w:tcBorders>
            <w:tcMar>
              <w:left w:w="79" w:type="dxa"/>
              <w:right w:w="79" w:type="dxa"/>
            </w:tcMar>
          </w:tcPr>
          <w:p w:rsidR="00E80BA0" w:rsidRPr="00A62EF7" w:rsidRDefault="00E80BA0" w:rsidP="00840456">
            <w:pPr>
              <w:pStyle w:val="Tabletext"/>
              <w:rPr>
                <w:sz w:val="21"/>
                <w:szCs w:val="21"/>
              </w:rPr>
            </w:pPr>
            <w:bookmarkStart w:id="203" w:name="lt_pId345"/>
            <w:r w:rsidRPr="00A62EF7">
              <w:rPr>
                <w:sz w:val="21"/>
                <w:szCs w:val="21"/>
              </w:rPr>
              <w:t xml:space="preserve">Toutefois, aux termes du point 5.6 du </w:t>
            </w:r>
            <w:r w:rsidRPr="00A62EF7">
              <w:rPr>
                <w:i/>
                <w:iCs/>
                <w:sz w:val="21"/>
                <w:szCs w:val="21"/>
              </w:rPr>
              <w:t>décide</w:t>
            </w:r>
            <w:r w:rsidRPr="00A62EF7">
              <w:rPr>
                <w:sz w:val="21"/>
                <w:szCs w:val="21"/>
              </w:rPr>
              <w:t xml:space="preserve"> de la Résolution 11 (Rév. Guadalajara, 2010) de la Conférence de plénipotentiaires, l'Union doit "faire en sorte que les lieux fixes de la manifestation fassent l'objet de négociations pour trois manifestations consécutives, après quoi un nouvel appel d'offres sera lancé pour les trois prochaines manifestations prévues dans le lieu fixe".</w:t>
            </w:r>
            <w:bookmarkEnd w:id="203"/>
            <w:r w:rsidRPr="00A62EF7">
              <w:rPr>
                <w:sz w:val="21"/>
                <w:szCs w:val="21"/>
              </w:rPr>
              <w:t xml:space="preserve"> </w:t>
            </w:r>
            <w:bookmarkStart w:id="204" w:name="lt_pId346"/>
            <w:r w:rsidRPr="00A62EF7">
              <w:rPr>
                <w:sz w:val="21"/>
                <w:szCs w:val="21"/>
              </w:rPr>
              <w:t xml:space="preserve">Ainsi, même si nous comprenons les difficultés évoquées par la direction et si nous avons conscience du fait qu'il s'agit de la première année de mise en œuvre de la Résolution 11, </w:t>
            </w:r>
            <w:r w:rsidRPr="00A62EF7">
              <w:rPr>
                <w:sz w:val="21"/>
                <w:szCs w:val="21"/>
                <w:u w:val="single"/>
              </w:rPr>
              <w:t>nous recommandons</w:t>
            </w:r>
            <w:r w:rsidRPr="00A62EF7">
              <w:rPr>
                <w:sz w:val="21"/>
                <w:szCs w:val="21"/>
              </w:rPr>
              <w:t xml:space="preserve"> à l'Union d'entreprendre de lancer des appels d'offres au cours des années à venir afin de satisfaire aux prescriptions énoncées dans la Résolution.</w:t>
            </w:r>
            <w:bookmarkEnd w:id="204"/>
          </w:p>
        </w:tc>
        <w:tc>
          <w:tcPr>
            <w:tcW w:w="2572" w:type="dxa"/>
            <w:tcBorders>
              <w:top w:val="single" w:sz="4" w:space="0" w:color="auto"/>
              <w:left w:val="single" w:sz="4" w:space="0" w:color="auto"/>
              <w:bottom w:val="single" w:sz="4" w:space="0" w:color="auto"/>
              <w:right w:val="single" w:sz="4" w:space="0" w:color="auto"/>
            </w:tcBorders>
            <w:tcMar>
              <w:left w:w="79" w:type="dxa"/>
              <w:right w:w="79" w:type="dxa"/>
            </w:tcMar>
          </w:tcPr>
          <w:p w:rsidR="00E80BA0" w:rsidRPr="00A62EF7" w:rsidRDefault="00E80BA0" w:rsidP="00840456">
            <w:pPr>
              <w:pStyle w:val="Tabletext"/>
              <w:rPr>
                <w:sz w:val="21"/>
                <w:szCs w:val="21"/>
              </w:rPr>
            </w:pPr>
            <w:bookmarkStart w:id="205" w:name="lt_pId347"/>
            <w:r w:rsidRPr="00A62EF7">
              <w:rPr>
                <w:sz w:val="21"/>
                <w:szCs w:val="21"/>
              </w:rPr>
              <w:t>Dans une Lettre circulaire adressée à tous les Etats Membres, l'UIT invite les pays qui souhaitent accueillir des manifestations ITU Telecom à soumettre une offre.</w:t>
            </w:r>
            <w:bookmarkEnd w:id="205"/>
            <w:r w:rsidRPr="00A62EF7">
              <w:rPr>
                <w:sz w:val="21"/>
                <w:szCs w:val="21"/>
              </w:rPr>
              <w:t xml:space="preserve"> </w:t>
            </w:r>
            <w:bookmarkStart w:id="206" w:name="lt_pId348"/>
            <w:r w:rsidRPr="00A62EF7">
              <w:rPr>
                <w:sz w:val="21"/>
                <w:szCs w:val="21"/>
              </w:rPr>
              <w:t>A ce jour, la plupart des propositions portaient uniquement sur l'organisation d'une seule manifestation.</w:t>
            </w:r>
            <w:bookmarkEnd w:id="206"/>
          </w:p>
        </w:tc>
        <w:tc>
          <w:tcPr>
            <w:tcW w:w="1964" w:type="dxa"/>
            <w:tcBorders>
              <w:top w:val="single" w:sz="4" w:space="0" w:color="auto"/>
              <w:left w:val="single" w:sz="4" w:space="0" w:color="auto"/>
              <w:bottom w:val="single" w:sz="4" w:space="0" w:color="auto"/>
              <w:right w:val="single" w:sz="4" w:space="0" w:color="auto"/>
            </w:tcBorders>
            <w:tcMar>
              <w:left w:w="79" w:type="dxa"/>
              <w:right w:w="79" w:type="dxa"/>
            </w:tcMar>
          </w:tcPr>
          <w:p w:rsidR="00E80BA0" w:rsidRPr="00A62EF7" w:rsidRDefault="00E80BA0" w:rsidP="00840456">
            <w:pPr>
              <w:pStyle w:val="Tabletext"/>
              <w:rPr>
                <w:sz w:val="21"/>
                <w:szCs w:val="21"/>
              </w:rPr>
            </w:pPr>
            <w:bookmarkStart w:id="207" w:name="lt_pId349"/>
            <w:r w:rsidRPr="00A62EF7">
              <w:rPr>
                <w:sz w:val="21"/>
                <w:szCs w:val="21"/>
              </w:rPr>
              <w:t>La décision relative à l'accueil des manifestations ITU Telecom continuera d</w:t>
            </w:r>
            <w:r w:rsidR="003C6DD3" w:rsidRPr="00A62EF7">
              <w:rPr>
                <w:sz w:val="21"/>
                <w:szCs w:val="21"/>
              </w:rPr>
              <w:t>'</w:t>
            </w:r>
            <w:r w:rsidRPr="00A62EF7">
              <w:rPr>
                <w:sz w:val="21"/>
                <w:szCs w:val="21"/>
              </w:rPr>
              <w:t>être prise à la lumière de l</w:t>
            </w:r>
            <w:r w:rsidR="003C6DD3" w:rsidRPr="00A62EF7">
              <w:rPr>
                <w:sz w:val="21"/>
                <w:szCs w:val="21"/>
              </w:rPr>
              <w:t>'</w:t>
            </w:r>
            <w:r w:rsidRPr="00A62EF7">
              <w:rPr>
                <w:sz w:val="21"/>
                <w:szCs w:val="21"/>
              </w:rPr>
              <w:t xml:space="preserve">examen des propositions soumises par les pays hôtes candidats. </w:t>
            </w:r>
            <w:bookmarkEnd w:id="207"/>
          </w:p>
        </w:tc>
        <w:tc>
          <w:tcPr>
            <w:tcW w:w="1837" w:type="dxa"/>
            <w:tcBorders>
              <w:top w:val="single" w:sz="4" w:space="0" w:color="auto"/>
              <w:left w:val="single" w:sz="4" w:space="0" w:color="auto"/>
              <w:bottom w:val="single" w:sz="4" w:space="0" w:color="auto"/>
              <w:right w:val="single" w:sz="4" w:space="0" w:color="auto"/>
            </w:tcBorders>
            <w:tcMar>
              <w:left w:w="79" w:type="dxa"/>
              <w:right w:w="79" w:type="dxa"/>
            </w:tcMar>
          </w:tcPr>
          <w:p w:rsidR="00E80BA0" w:rsidRPr="00A62EF7" w:rsidRDefault="00E80BA0" w:rsidP="00840456">
            <w:pPr>
              <w:pStyle w:val="Tabletext"/>
              <w:rPr>
                <w:sz w:val="21"/>
                <w:szCs w:val="21"/>
              </w:rPr>
            </w:pPr>
            <w:bookmarkStart w:id="208" w:name="lt_pId350"/>
            <w:r w:rsidRPr="00A62EF7">
              <w:rPr>
                <w:sz w:val="21"/>
                <w:szCs w:val="21"/>
              </w:rPr>
              <w:t>Clos</w:t>
            </w:r>
            <w:bookmarkStart w:id="209" w:name="lt_pId351"/>
            <w:bookmarkEnd w:id="208"/>
            <w:bookmarkEnd w:id="209"/>
          </w:p>
        </w:tc>
      </w:tr>
      <w:tr w:rsidR="00E80BA0" w:rsidRPr="00A62EF7" w:rsidTr="008232AB">
        <w:trPr>
          <w:cantSplit/>
        </w:trPr>
        <w:tc>
          <w:tcPr>
            <w:tcW w:w="926" w:type="dxa"/>
            <w:tcBorders>
              <w:top w:val="single" w:sz="4" w:space="0" w:color="auto"/>
              <w:left w:val="single" w:sz="4" w:space="0" w:color="auto"/>
              <w:bottom w:val="single" w:sz="4" w:space="0" w:color="auto"/>
              <w:right w:val="single" w:sz="4" w:space="0" w:color="auto"/>
            </w:tcBorders>
            <w:tcMar>
              <w:left w:w="79" w:type="dxa"/>
              <w:right w:w="79" w:type="dxa"/>
            </w:tcMar>
          </w:tcPr>
          <w:p w:rsidR="00E80BA0" w:rsidRPr="00A62EF7" w:rsidRDefault="00E80BA0" w:rsidP="00840456">
            <w:pPr>
              <w:pStyle w:val="Tabletext"/>
              <w:rPr>
                <w:b/>
                <w:sz w:val="21"/>
                <w:szCs w:val="21"/>
              </w:rPr>
            </w:pPr>
            <w:r w:rsidRPr="00A62EF7">
              <w:rPr>
                <w:b/>
                <w:sz w:val="21"/>
                <w:szCs w:val="21"/>
              </w:rPr>
              <w:t>Rec. n°</w:t>
            </w:r>
            <w:r w:rsidR="00470597" w:rsidRPr="00A62EF7">
              <w:rPr>
                <w:b/>
                <w:sz w:val="21"/>
                <w:szCs w:val="21"/>
              </w:rPr>
              <w:t xml:space="preserve"> </w:t>
            </w:r>
            <w:r w:rsidRPr="00A62EF7">
              <w:rPr>
                <w:b/>
                <w:sz w:val="21"/>
                <w:szCs w:val="21"/>
              </w:rPr>
              <w:t>1</w:t>
            </w:r>
          </w:p>
          <w:p w:rsidR="00E80BA0" w:rsidRPr="00A62EF7" w:rsidRDefault="00E80BA0" w:rsidP="00840456">
            <w:pPr>
              <w:pStyle w:val="Tabletext"/>
              <w:rPr>
                <w:b/>
                <w:sz w:val="21"/>
                <w:szCs w:val="21"/>
              </w:rPr>
            </w:pPr>
            <w:r w:rsidRPr="00A62EF7">
              <w:rPr>
                <w:b/>
                <w:sz w:val="21"/>
                <w:szCs w:val="21"/>
              </w:rPr>
              <w:t>2013</w:t>
            </w:r>
          </w:p>
        </w:tc>
        <w:tc>
          <w:tcPr>
            <w:tcW w:w="2268" w:type="dxa"/>
            <w:tcBorders>
              <w:top w:val="single" w:sz="4" w:space="0" w:color="auto"/>
              <w:left w:val="single" w:sz="4" w:space="0" w:color="auto"/>
              <w:bottom w:val="single" w:sz="4" w:space="0" w:color="auto"/>
              <w:right w:val="single" w:sz="4" w:space="0" w:color="auto"/>
            </w:tcBorders>
            <w:tcMar>
              <w:left w:w="79" w:type="dxa"/>
              <w:right w:w="79" w:type="dxa"/>
            </w:tcMar>
          </w:tcPr>
          <w:p w:rsidR="00E80BA0" w:rsidRPr="00A62EF7" w:rsidRDefault="00E80BA0" w:rsidP="00840456">
            <w:pPr>
              <w:pStyle w:val="Tabletext"/>
              <w:rPr>
                <w:sz w:val="21"/>
                <w:szCs w:val="21"/>
              </w:rPr>
            </w:pPr>
            <w:bookmarkStart w:id="210" w:name="lt_pId354"/>
            <w:r w:rsidRPr="00A62EF7">
              <w:rPr>
                <w:sz w:val="21"/>
                <w:szCs w:val="21"/>
              </w:rPr>
              <w:t>Nous sommes d'avis que le budget devrait être établi à partir d'hypothèses budgétaires plus réalistes et réalisables, afin de ne pas faire l'objet d'une révision complexe.</w:t>
            </w:r>
            <w:bookmarkEnd w:id="210"/>
            <w:r w:rsidRPr="00A62EF7">
              <w:rPr>
                <w:sz w:val="21"/>
                <w:szCs w:val="21"/>
              </w:rPr>
              <w:t xml:space="preserve"> </w:t>
            </w:r>
            <w:bookmarkStart w:id="211" w:name="lt_pId355"/>
            <w:r w:rsidRPr="00A62EF7">
              <w:rPr>
                <w:sz w:val="21"/>
                <w:szCs w:val="21"/>
              </w:rPr>
              <w:t>En conséquence, nous recommandons que le budget soit établi à partir d'hypothèses budgétaires réalistes et réalisables.</w:t>
            </w:r>
            <w:bookmarkEnd w:id="211"/>
            <w:r w:rsidR="00470597" w:rsidRPr="00A62EF7">
              <w:rPr>
                <w:sz w:val="21"/>
                <w:szCs w:val="21"/>
              </w:rPr>
              <w:t xml:space="preserve"> </w:t>
            </w:r>
          </w:p>
        </w:tc>
        <w:tc>
          <w:tcPr>
            <w:tcW w:w="2572" w:type="dxa"/>
            <w:tcBorders>
              <w:top w:val="single" w:sz="4" w:space="0" w:color="auto"/>
              <w:left w:val="single" w:sz="4" w:space="0" w:color="auto"/>
              <w:bottom w:val="single" w:sz="4" w:space="0" w:color="auto"/>
              <w:right w:val="single" w:sz="4" w:space="0" w:color="auto"/>
            </w:tcBorders>
            <w:tcMar>
              <w:left w:w="79" w:type="dxa"/>
              <w:right w:w="79" w:type="dxa"/>
            </w:tcMar>
          </w:tcPr>
          <w:p w:rsidR="00E80BA0" w:rsidRPr="00A62EF7" w:rsidRDefault="00E80BA0" w:rsidP="00840456">
            <w:pPr>
              <w:pStyle w:val="Tabletext"/>
              <w:rPr>
                <w:sz w:val="21"/>
                <w:szCs w:val="21"/>
              </w:rPr>
            </w:pPr>
            <w:bookmarkStart w:id="212" w:name="lt_pId356"/>
            <w:r w:rsidRPr="00A62EF7">
              <w:rPr>
                <w:sz w:val="21"/>
                <w:szCs w:val="21"/>
              </w:rPr>
              <w:t>Nous poursuivrons nos efforts en vue d'affiner les hypothèses budgétaires, tout en tenant compte de l'appui apporté par les pays hôtes, qui rend nécessaire, pour l'UIT, d'élaborer des plans en cas d'imprévu.</w:t>
            </w:r>
            <w:bookmarkEnd w:id="212"/>
          </w:p>
        </w:tc>
        <w:tc>
          <w:tcPr>
            <w:tcW w:w="1964" w:type="dxa"/>
            <w:tcBorders>
              <w:top w:val="single" w:sz="4" w:space="0" w:color="auto"/>
              <w:left w:val="single" w:sz="4" w:space="0" w:color="auto"/>
              <w:bottom w:val="single" w:sz="4" w:space="0" w:color="auto"/>
              <w:right w:val="single" w:sz="4" w:space="0" w:color="auto"/>
            </w:tcBorders>
            <w:tcMar>
              <w:left w:w="79" w:type="dxa"/>
              <w:right w:w="79" w:type="dxa"/>
            </w:tcMar>
          </w:tcPr>
          <w:p w:rsidR="00E80BA0" w:rsidRPr="00A62EF7" w:rsidRDefault="00E80BA0" w:rsidP="00840456">
            <w:pPr>
              <w:pStyle w:val="Tabletext"/>
              <w:rPr>
                <w:sz w:val="21"/>
                <w:szCs w:val="21"/>
              </w:rPr>
            </w:pPr>
            <w:r w:rsidRPr="00A62EF7">
              <w:rPr>
                <w:sz w:val="21"/>
                <w:szCs w:val="21"/>
              </w:rPr>
              <w:t>Conformément à la recommandation n° 1 figurant dans le rapport de la Cour des comptes italienne pour 2012 et à la recommandation n° 1 figurant dans son rapport pour 2013,</w:t>
            </w:r>
            <w:r w:rsidR="00470597" w:rsidRPr="00A62EF7">
              <w:rPr>
                <w:sz w:val="21"/>
                <w:szCs w:val="21"/>
              </w:rPr>
              <w:t xml:space="preserve"> </w:t>
            </w:r>
            <w:r w:rsidRPr="00A62EF7">
              <w:rPr>
                <w:sz w:val="21"/>
                <w:szCs w:val="21"/>
              </w:rPr>
              <w:t>le budget de 2014 d</w:t>
            </w:r>
            <w:r w:rsidR="003C6DD3" w:rsidRPr="00A62EF7">
              <w:rPr>
                <w:sz w:val="21"/>
                <w:szCs w:val="21"/>
              </w:rPr>
              <w:t>'</w:t>
            </w:r>
            <w:r w:rsidRPr="00A62EF7">
              <w:rPr>
                <w:sz w:val="21"/>
                <w:szCs w:val="21"/>
              </w:rPr>
              <w:t>ITU Telecom World a été révisé.</w:t>
            </w:r>
            <w:r w:rsidR="00470597" w:rsidRPr="00A62EF7">
              <w:rPr>
                <w:sz w:val="21"/>
                <w:szCs w:val="21"/>
              </w:rPr>
              <w:t xml:space="preserve"> </w:t>
            </w:r>
            <w:bookmarkStart w:id="213" w:name="lt_pId358"/>
            <w:r w:rsidRPr="00A62EF7">
              <w:rPr>
                <w:sz w:val="21"/>
                <w:szCs w:val="21"/>
              </w:rPr>
              <w:t>Mesures prises.</w:t>
            </w:r>
            <w:bookmarkEnd w:id="213"/>
            <w:r w:rsidRPr="00A62EF7">
              <w:rPr>
                <w:sz w:val="21"/>
                <w:szCs w:val="21"/>
              </w:rPr>
              <w:t xml:space="preserve"> </w:t>
            </w:r>
            <w:bookmarkStart w:id="214" w:name="lt_pId359"/>
            <w:r w:rsidRPr="00A62EF7">
              <w:rPr>
                <w:sz w:val="21"/>
                <w:szCs w:val="21"/>
              </w:rPr>
              <w:t>Clos.</w:t>
            </w:r>
            <w:bookmarkEnd w:id="214"/>
            <w:r w:rsidR="00470597" w:rsidRPr="00A62EF7">
              <w:rPr>
                <w:sz w:val="21"/>
                <w:szCs w:val="21"/>
              </w:rPr>
              <w:t xml:space="preserve"> </w:t>
            </w:r>
          </w:p>
        </w:tc>
        <w:tc>
          <w:tcPr>
            <w:tcW w:w="1837" w:type="dxa"/>
            <w:tcBorders>
              <w:top w:val="single" w:sz="4" w:space="0" w:color="auto"/>
              <w:left w:val="single" w:sz="4" w:space="0" w:color="auto"/>
              <w:bottom w:val="single" w:sz="4" w:space="0" w:color="auto"/>
              <w:right w:val="single" w:sz="4" w:space="0" w:color="auto"/>
            </w:tcBorders>
            <w:tcMar>
              <w:left w:w="79" w:type="dxa"/>
              <w:right w:w="79" w:type="dxa"/>
            </w:tcMar>
          </w:tcPr>
          <w:p w:rsidR="00E80BA0" w:rsidRPr="00A62EF7" w:rsidRDefault="00E80BA0" w:rsidP="00840456">
            <w:pPr>
              <w:pStyle w:val="Tabletext"/>
              <w:rPr>
                <w:sz w:val="21"/>
                <w:szCs w:val="21"/>
              </w:rPr>
            </w:pPr>
            <w:bookmarkStart w:id="215" w:name="lt_pId360"/>
            <w:r w:rsidRPr="00A62EF7">
              <w:rPr>
                <w:sz w:val="21"/>
                <w:szCs w:val="21"/>
              </w:rPr>
              <w:t>Clos</w:t>
            </w:r>
            <w:bookmarkStart w:id="216" w:name="lt_pId361"/>
            <w:bookmarkEnd w:id="215"/>
            <w:bookmarkEnd w:id="216"/>
          </w:p>
        </w:tc>
      </w:tr>
      <w:tr w:rsidR="00E80BA0" w:rsidRPr="00A62EF7" w:rsidTr="008232AB">
        <w:trPr>
          <w:cantSplit/>
        </w:trPr>
        <w:tc>
          <w:tcPr>
            <w:tcW w:w="926" w:type="dxa"/>
            <w:tcBorders>
              <w:top w:val="single" w:sz="4" w:space="0" w:color="auto"/>
              <w:left w:val="single" w:sz="4" w:space="0" w:color="auto"/>
              <w:bottom w:val="single" w:sz="4" w:space="0" w:color="auto"/>
              <w:right w:val="single" w:sz="4" w:space="0" w:color="auto"/>
            </w:tcBorders>
            <w:tcMar>
              <w:left w:w="79" w:type="dxa"/>
              <w:right w:w="79" w:type="dxa"/>
            </w:tcMar>
          </w:tcPr>
          <w:p w:rsidR="00E80BA0" w:rsidRPr="00A62EF7" w:rsidRDefault="00E80BA0" w:rsidP="00840456">
            <w:pPr>
              <w:pStyle w:val="Tabletext"/>
              <w:rPr>
                <w:b/>
                <w:sz w:val="21"/>
                <w:szCs w:val="21"/>
              </w:rPr>
            </w:pPr>
            <w:r w:rsidRPr="00A62EF7">
              <w:rPr>
                <w:b/>
                <w:sz w:val="21"/>
                <w:szCs w:val="21"/>
              </w:rPr>
              <w:t>Rec. n°</w:t>
            </w:r>
            <w:r w:rsidR="00470597" w:rsidRPr="00A62EF7">
              <w:rPr>
                <w:b/>
                <w:sz w:val="21"/>
                <w:szCs w:val="21"/>
              </w:rPr>
              <w:t xml:space="preserve"> </w:t>
            </w:r>
            <w:r w:rsidRPr="00A62EF7">
              <w:rPr>
                <w:b/>
                <w:sz w:val="21"/>
                <w:szCs w:val="21"/>
              </w:rPr>
              <w:t>2</w:t>
            </w:r>
          </w:p>
          <w:p w:rsidR="00E80BA0" w:rsidRPr="00A62EF7" w:rsidRDefault="00E80BA0" w:rsidP="00840456">
            <w:pPr>
              <w:pStyle w:val="Tabletext"/>
              <w:rPr>
                <w:b/>
                <w:sz w:val="21"/>
                <w:szCs w:val="21"/>
              </w:rPr>
            </w:pPr>
            <w:r w:rsidRPr="00A62EF7">
              <w:rPr>
                <w:b/>
                <w:sz w:val="21"/>
                <w:szCs w:val="21"/>
              </w:rPr>
              <w:t>2013</w:t>
            </w:r>
          </w:p>
        </w:tc>
        <w:tc>
          <w:tcPr>
            <w:tcW w:w="2268" w:type="dxa"/>
            <w:tcBorders>
              <w:top w:val="single" w:sz="4" w:space="0" w:color="auto"/>
              <w:left w:val="single" w:sz="4" w:space="0" w:color="auto"/>
              <w:bottom w:val="single" w:sz="4" w:space="0" w:color="auto"/>
              <w:right w:val="single" w:sz="4" w:space="0" w:color="auto"/>
            </w:tcBorders>
            <w:tcMar>
              <w:left w:w="79" w:type="dxa"/>
              <w:right w:w="79" w:type="dxa"/>
            </w:tcMar>
          </w:tcPr>
          <w:p w:rsidR="00E80BA0" w:rsidRPr="00A62EF7" w:rsidRDefault="00E80BA0" w:rsidP="00840456">
            <w:pPr>
              <w:pStyle w:val="Tabletext"/>
              <w:rPr>
                <w:sz w:val="21"/>
                <w:szCs w:val="21"/>
              </w:rPr>
            </w:pPr>
            <w:bookmarkStart w:id="217" w:name="lt_pId364"/>
            <w:r w:rsidRPr="00A62EF7">
              <w:rPr>
                <w:sz w:val="21"/>
                <w:szCs w:val="21"/>
              </w:rPr>
              <w:t>Certains produits tirés du reclassement des droits d'accès, moyennant un paiement en espèces effectué directement à l'ouverture de la manifestation, n'ont pas été enregistrés à temps dans le système et n'ont été régularisés que tardivement.</w:t>
            </w:r>
            <w:bookmarkEnd w:id="217"/>
            <w:r w:rsidRPr="00A62EF7">
              <w:rPr>
                <w:sz w:val="21"/>
                <w:szCs w:val="21"/>
              </w:rPr>
              <w:t xml:space="preserve"> </w:t>
            </w:r>
            <w:bookmarkStart w:id="218" w:name="lt_pId365"/>
            <w:r w:rsidRPr="00A62EF7">
              <w:rPr>
                <w:sz w:val="21"/>
                <w:szCs w:val="21"/>
              </w:rPr>
              <w:t>Même si ce fait n'a pas réellement d'importance, nous recommandons qu'une procédure standard soit adoptée pour ce type de cas.</w:t>
            </w:r>
            <w:bookmarkEnd w:id="218"/>
          </w:p>
        </w:tc>
        <w:tc>
          <w:tcPr>
            <w:tcW w:w="2572" w:type="dxa"/>
            <w:tcBorders>
              <w:top w:val="single" w:sz="4" w:space="0" w:color="auto"/>
              <w:left w:val="single" w:sz="4" w:space="0" w:color="auto"/>
              <w:bottom w:val="single" w:sz="4" w:space="0" w:color="auto"/>
              <w:right w:val="single" w:sz="4" w:space="0" w:color="auto"/>
            </w:tcBorders>
            <w:tcMar>
              <w:left w:w="79" w:type="dxa"/>
              <w:right w:w="79" w:type="dxa"/>
            </w:tcMar>
          </w:tcPr>
          <w:p w:rsidR="00E80BA0" w:rsidRPr="00A62EF7" w:rsidRDefault="00E80BA0" w:rsidP="00840456">
            <w:pPr>
              <w:pStyle w:val="Tabletext"/>
              <w:rPr>
                <w:sz w:val="21"/>
                <w:szCs w:val="21"/>
              </w:rPr>
            </w:pPr>
            <w:bookmarkStart w:id="219" w:name="lt_pId366"/>
            <w:r w:rsidRPr="00A62EF7">
              <w:rPr>
                <w:sz w:val="21"/>
                <w:szCs w:val="21"/>
              </w:rPr>
              <w:t>Une procédure standard écrite sera élaborée concernant le reclassement des droits d'accès.</w:t>
            </w:r>
            <w:bookmarkEnd w:id="219"/>
            <w:r w:rsidRPr="00A62EF7">
              <w:rPr>
                <w:sz w:val="21"/>
                <w:szCs w:val="21"/>
              </w:rPr>
              <w:t xml:space="preserve"> </w:t>
            </w:r>
            <w:bookmarkStart w:id="220" w:name="lt_pId367"/>
            <w:r w:rsidRPr="00A62EF7">
              <w:rPr>
                <w:sz w:val="21"/>
                <w:szCs w:val="21"/>
              </w:rPr>
              <w:t>On examine actuellement la possibilité de faire enregistrer cette modification dans le système par l'équipe administrative à la fin de la journée.</w:t>
            </w:r>
            <w:bookmarkEnd w:id="220"/>
            <w:r w:rsidRPr="00A62EF7">
              <w:rPr>
                <w:sz w:val="21"/>
                <w:szCs w:val="21"/>
              </w:rPr>
              <w:t xml:space="preserve"> </w:t>
            </w:r>
            <w:bookmarkStart w:id="221" w:name="lt_pId368"/>
            <w:r w:rsidRPr="00A62EF7">
              <w:rPr>
                <w:sz w:val="21"/>
                <w:szCs w:val="21"/>
              </w:rPr>
              <w:t>On examine actuellement la mise au point d'une éventuelle solution technique permettant d'effectuer cette modification dans le système.</w:t>
            </w:r>
            <w:bookmarkEnd w:id="221"/>
          </w:p>
        </w:tc>
        <w:tc>
          <w:tcPr>
            <w:tcW w:w="1964" w:type="dxa"/>
            <w:tcBorders>
              <w:top w:val="single" w:sz="4" w:space="0" w:color="auto"/>
              <w:left w:val="single" w:sz="4" w:space="0" w:color="auto"/>
              <w:bottom w:val="single" w:sz="4" w:space="0" w:color="auto"/>
              <w:right w:val="single" w:sz="4" w:space="0" w:color="auto"/>
            </w:tcBorders>
            <w:tcMar>
              <w:left w:w="79" w:type="dxa"/>
              <w:right w:w="79" w:type="dxa"/>
            </w:tcMar>
          </w:tcPr>
          <w:p w:rsidR="00E80BA0" w:rsidRPr="00A62EF7" w:rsidRDefault="00E80BA0" w:rsidP="00840456">
            <w:pPr>
              <w:pStyle w:val="Tabletext"/>
              <w:rPr>
                <w:sz w:val="21"/>
                <w:szCs w:val="21"/>
              </w:rPr>
            </w:pPr>
            <w:bookmarkStart w:id="222" w:name="lt_pId369"/>
            <w:r w:rsidRPr="00A62EF7">
              <w:rPr>
                <w:sz w:val="21"/>
                <w:szCs w:val="21"/>
              </w:rPr>
              <w:t>La procédure concernant le reclassement des droits d'accès a été établie avant ITU Telecom World 2014 et un exemplaire du document a été fourni au vérificateur.</w:t>
            </w:r>
          </w:p>
          <w:p w:rsidR="00E80BA0" w:rsidRPr="00A62EF7" w:rsidRDefault="00E80BA0" w:rsidP="00840456">
            <w:pPr>
              <w:pStyle w:val="Tabletext"/>
              <w:rPr>
                <w:sz w:val="21"/>
                <w:szCs w:val="21"/>
              </w:rPr>
            </w:pPr>
            <w:bookmarkStart w:id="223" w:name="lt_pId370"/>
            <w:bookmarkEnd w:id="222"/>
            <w:r w:rsidRPr="00A62EF7">
              <w:rPr>
                <w:sz w:val="21"/>
                <w:szCs w:val="21"/>
              </w:rPr>
              <w:t>Mesures prises.</w:t>
            </w:r>
            <w:bookmarkEnd w:id="223"/>
            <w:r w:rsidR="00470597" w:rsidRPr="00A62EF7">
              <w:rPr>
                <w:sz w:val="21"/>
                <w:szCs w:val="21"/>
              </w:rPr>
              <w:t xml:space="preserve"> </w:t>
            </w:r>
            <w:bookmarkStart w:id="224" w:name="lt_pId371"/>
            <w:r w:rsidRPr="00A62EF7">
              <w:rPr>
                <w:sz w:val="21"/>
                <w:szCs w:val="21"/>
              </w:rPr>
              <w:t>Clos.</w:t>
            </w:r>
            <w:bookmarkEnd w:id="224"/>
            <w:r w:rsidR="00470597" w:rsidRPr="00A62EF7">
              <w:rPr>
                <w:sz w:val="21"/>
                <w:szCs w:val="21"/>
              </w:rPr>
              <w:t xml:space="preserve"> </w:t>
            </w:r>
          </w:p>
        </w:tc>
        <w:tc>
          <w:tcPr>
            <w:tcW w:w="1837" w:type="dxa"/>
            <w:tcBorders>
              <w:top w:val="single" w:sz="4" w:space="0" w:color="auto"/>
              <w:left w:val="single" w:sz="4" w:space="0" w:color="auto"/>
              <w:bottom w:val="single" w:sz="4" w:space="0" w:color="auto"/>
              <w:right w:val="single" w:sz="4" w:space="0" w:color="auto"/>
            </w:tcBorders>
            <w:tcMar>
              <w:left w:w="79" w:type="dxa"/>
              <w:right w:w="79" w:type="dxa"/>
            </w:tcMar>
          </w:tcPr>
          <w:p w:rsidR="00E80BA0" w:rsidRPr="00A62EF7" w:rsidRDefault="00E80BA0" w:rsidP="00840456">
            <w:pPr>
              <w:pStyle w:val="Tabletext"/>
              <w:rPr>
                <w:sz w:val="21"/>
                <w:szCs w:val="21"/>
              </w:rPr>
            </w:pPr>
            <w:bookmarkStart w:id="225" w:name="lt_pId372"/>
            <w:r w:rsidRPr="00A62EF7">
              <w:rPr>
                <w:sz w:val="21"/>
                <w:szCs w:val="21"/>
              </w:rPr>
              <w:t>Clos</w:t>
            </w:r>
            <w:bookmarkStart w:id="226" w:name="lt_pId373"/>
            <w:bookmarkEnd w:id="225"/>
            <w:bookmarkEnd w:id="226"/>
          </w:p>
        </w:tc>
      </w:tr>
      <w:tr w:rsidR="00E80BA0" w:rsidRPr="00A62EF7" w:rsidTr="008232AB">
        <w:trPr>
          <w:cantSplit/>
        </w:trPr>
        <w:tc>
          <w:tcPr>
            <w:tcW w:w="926" w:type="dxa"/>
            <w:tcBorders>
              <w:top w:val="single" w:sz="4" w:space="0" w:color="auto"/>
              <w:left w:val="single" w:sz="4" w:space="0" w:color="auto"/>
              <w:bottom w:val="single" w:sz="4" w:space="0" w:color="auto"/>
              <w:right w:val="single" w:sz="4" w:space="0" w:color="auto"/>
            </w:tcBorders>
            <w:tcMar>
              <w:left w:w="79" w:type="dxa"/>
              <w:right w:w="79" w:type="dxa"/>
            </w:tcMar>
          </w:tcPr>
          <w:p w:rsidR="00E80BA0" w:rsidRPr="00A62EF7" w:rsidRDefault="00E80BA0" w:rsidP="00840456">
            <w:pPr>
              <w:pStyle w:val="Tabletext"/>
              <w:rPr>
                <w:b/>
                <w:sz w:val="21"/>
                <w:szCs w:val="21"/>
              </w:rPr>
            </w:pPr>
            <w:r w:rsidRPr="00A62EF7">
              <w:rPr>
                <w:b/>
                <w:sz w:val="21"/>
                <w:szCs w:val="21"/>
              </w:rPr>
              <w:t>Rec. n°</w:t>
            </w:r>
            <w:r w:rsidR="00470597" w:rsidRPr="00A62EF7">
              <w:rPr>
                <w:b/>
                <w:sz w:val="21"/>
                <w:szCs w:val="21"/>
              </w:rPr>
              <w:t xml:space="preserve"> </w:t>
            </w:r>
            <w:r w:rsidRPr="00A62EF7">
              <w:rPr>
                <w:b/>
                <w:sz w:val="21"/>
                <w:szCs w:val="21"/>
              </w:rPr>
              <w:t>3</w:t>
            </w:r>
          </w:p>
          <w:p w:rsidR="00E80BA0" w:rsidRPr="00A62EF7" w:rsidRDefault="00E80BA0" w:rsidP="00840456">
            <w:pPr>
              <w:pStyle w:val="Tabletext"/>
              <w:rPr>
                <w:b/>
                <w:sz w:val="21"/>
                <w:szCs w:val="21"/>
              </w:rPr>
            </w:pPr>
            <w:r w:rsidRPr="00A62EF7">
              <w:rPr>
                <w:b/>
                <w:sz w:val="21"/>
                <w:szCs w:val="21"/>
              </w:rPr>
              <w:t>2013</w:t>
            </w:r>
          </w:p>
        </w:tc>
        <w:tc>
          <w:tcPr>
            <w:tcW w:w="2268" w:type="dxa"/>
            <w:tcBorders>
              <w:top w:val="single" w:sz="4" w:space="0" w:color="auto"/>
              <w:left w:val="single" w:sz="4" w:space="0" w:color="auto"/>
              <w:bottom w:val="single" w:sz="4" w:space="0" w:color="auto"/>
              <w:right w:val="single" w:sz="4" w:space="0" w:color="auto"/>
            </w:tcBorders>
            <w:tcMar>
              <w:left w:w="79" w:type="dxa"/>
              <w:right w:w="79" w:type="dxa"/>
            </w:tcMar>
          </w:tcPr>
          <w:p w:rsidR="00E80BA0" w:rsidRPr="00A62EF7" w:rsidRDefault="00E80BA0" w:rsidP="00840456">
            <w:pPr>
              <w:pStyle w:val="Tabletext"/>
              <w:rPr>
                <w:sz w:val="21"/>
                <w:szCs w:val="21"/>
              </w:rPr>
            </w:pPr>
            <w:bookmarkStart w:id="227" w:name="lt_pId376"/>
            <w:r w:rsidRPr="00A62EF7">
              <w:rPr>
                <w:sz w:val="21"/>
                <w:szCs w:val="21"/>
              </w:rPr>
              <w:t>Etant donné qu'il n'existe pas d'analyse récente du calcul et de la composition du montant forfaitaire du recouvrement des coûts, nous recommandons à la direction d'expliquer clairement comment elle a calculé le montant du recouvrement des coûts.</w:t>
            </w:r>
            <w:bookmarkEnd w:id="227"/>
          </w:p>
        </w:tc>
        <w:tc>
          <w:tcPr>
            <w:tcW w:w="2572" w:type="dxa"/>
            <w:tcBorders>
              <w:top w:val="single" w:sz="4" w:space="0" w:color="auto"/>
              <w:left w:val="single" w:sz="4" w:space="0" w:color="auto"/>
              <w:bottom w:val="single" w:sz="4" w:space="0" w:color="auto"/>
              <w:right w:val="single" w:sz="4" w:space="0" w:color="auto"/>
            </w:tcBorders>
            <w:tcMar>
              <w:left w:w="79" w:type="dxa"/>
              <w:right w:w="79" w:type="dxa"/>
            </w:tcMar>
          </w:tcPr>
          <w:p w:rsidR="00E80BA0" w:rsidRPr="00A62EF7" w:rsidRDefault="00E80BA0" w:rsidP="00840456">
            <w:pPr>
              <w:pStyle w:val="Tabletext"/>
              <w:rPr>
                <w:sz w:val="21"/>
                <w:szCs w:val="21"/>
              </w:rPr>
            </w:pPr>
            <w:bookmarkStart w:id="228" w:name="lt_pId377"/>
            <w:r w:rsidRPr="00A62EF7">
              <w:rPr>
                <w:sz w:val="21"/>
                <w:szCs w:val="21"/>
              </w:rPr>
              <w:t>Les montants du recouvrement des coûts pour les années 2014 et 2015 ont déjà été déterminés dans le budget approuvé pour cette période.</w:t>
            </w:r>
            <w:bookmarkEnd w:id="228"/>
            <w:r w:rsidRPr="00A62EF7">
              <w:rPr>
                <w:sz w:val="21"/>
                <w:szCs w:val="21"/>
              </w:rPr>
              <w:t xml:space="preserve"> </w:t>
            </w:r>
            <w:bookmarkStart w:id="229" w:name="lt_pId378"/>
            <w:r w:rsidRPr="00A62EF7">
              <w:rPr>
                <w:sz w:val="21"/>
                <w:szCs w:val="21"/>
              </w:rPr>
              <w:t>Pour le recouvrement des coûts à compter de 2016, une étude détaillée sera menée à bien et servira de base au calcul des droits.</w:t>
            </w:r>
            <w:bookmarkEnd w:id="229"/>
          </w:p>
        </w:tc>
        <w:tc>
          <w:tcPr>
            <w:tcW w:w="1964" w:type="dxa"/>
            <w:tcBorders>
              <w:top w:val="single" w:sz="4" w:space="0" w:color="auto"/>
              <w:left w:val="single" w:sz="4" w:space="0" w:color="auto"/>
              <w:bottom w:val="single" w:sz="4" w:space="0" w:color="auto"/>
              <w:right w:val="single" w:sz="4" w:space="0" w:color="auto"/>
            </w:tcBorders>
            <w:tcMar>
              <w:left w:w="79" w:type="dxa"/>
              <w:right w:w="79" w:type="dxa"/>
            </w:tcMar>
          </w:tcPr>
          <w:p w:rsidR="00E80BA0" w:rsidRPr="00A62EF7" w:rsidRDefault="00E80BA0" w:rsidP="00172098">
            <w:pPr>
              <w:pStyle w:val="Tabletext"/>
              <w:rPr>
                <w:sz w:val="21"/>
                <w:szCs w:val="21"/>
              </w:rPr>
            </w:pPr>
            <w:bookmarkStart w:id="230" w:name="lt_pId379"/>
            <w:r w:rsidRPr="00A62EF7">
              <w:rPr>
                <w:sz w:val="21"/>
                <w:szCs w:val="21"/>
              </w:rPr>
              <w:t>L'étude détaillée sur les droits au titre du recouvrement des coûts pour ITU Telecom a été menée à bien.</w:t>
            </w:r>
            <w:bookmarkEnd w:id="230"/>
            <w:r w:rsidR="00470597" w:rsidRPr="00A62EF7">
              <w:rPr>
                <w:sz w:val="21"/>
                <w:szCs w:val="21"/>
              </w:rPr>
              <w:t xml:space="preserve"> </w:t>
            </w:r>
            <w:bookmarkStart w:id="231" w:name="lt_pId380"/>
            <w:r w:rsidRPr="00A62EF7">
              <w:rPr>
                <w:sz w:val="21"/>
                <w:szCs w:val="21"/>
              </w:rPr>
              <w:t xml:space="preserve">Cette mesure est également conforme à la recommandation n° 3 figurant dans le rapport pour 2012. </w:t>
            </w:r>
            <w:bookmarkStart w:id="232" w:name="lt_pId381"/>
            <w:bookmarkEnd w:id="231"/>
            <w:r w:rsidR="00AD132A">
              <w:rPr>
                <w:sz w:val="21"/>
                <w:szCs w:val="21"/>
              </w:rPr>
              <w:br/>
            </w:r>
            <w:r w:rsidRPr="00A62EF7">
              <w:rPr>
                <w:sz w:val="21"/>
                <w:szCs w:val="21"/>
              </w:rPr>
              <w:t>Mesures prises.</w:t>
            </w:r>
            <w:bookmarkEnd w:id="232"/>
            <w:r w:rsidR="00470597" w:rsidRPr="00A62EF7">
              <w:rPr>
                <w:sz w:val="21"/>
                <w:szCs w:val="21"/>
              </w:rPr>
              <w:t xml:space="preserve"> </w:t>
            </w:r>
            <w:bookmarkStart w:id="233" w:name="lt_pId382"/>
            <w:r w:rsidRPr="00A62EF7">
              <w:rPr>
                <w:sz w:val="21"/>
                <w:szCs w:val="21"/>
              </w:rPr>
              <w:t>Clos.</w:t>
            </w:r>
            <w:bookmarkEnd w:id="233"/>
          </w:p>
        </w:tc>
        <w:tc>
          <w:tcPr>
            <w:tcW w:w="1837" w:type="dxa"/>
            <w:tcBorders>
              <w:top w:val="single" w:sz="4" w:space="0" w:color="auto"/>
              <w:left w:val="single" w:sz="4" w:space="0" w:color="auto"/>
              <w:bottom w:val="single" w:sz="4" w:space="0" w:color="auto"/>
              <w:right w:val="single" w:sz="4" w:space="0" w:color="auto"/>
            </w:tcBorders>
            <w:tcMar>
              <w:left w:w="79" w:type="dxa"/>
              <w:right w:w="79" w:type="dxa"/>
            </w:tcMar>
          </w:tcPr>
          <w:p w:rsidR="00E80BA0" w:rsidRPr="00A62EF7" w:rsidRDefault="00E80BA0" w:rsidP="00840456">
            <w:pPr>
              <w:pStyle w:val="Tabletext"/>
              <w:rPr>
                <w:sz w:val="21"/>
                <w:szCs w:val="21"/>
              </w:rPr>
            </w:pPr>
            <w:bookmarkStart w:id="234" w:name="lt_pId384"/>
            <w:r w:rsidRPr="00A62EF7">
              <w:rPr>
                <w:sz w:val="21"/>
                <w:szCs w:val="21"/>
              </w:rPr>
              <w:t>Clos</w:t>
            </w:r>
            <w:bookmarkStart w:id="235" w:name="lt_pId385"/>
            <w:bookmarkEnd w:id="234"/>
            <w:bookmarkEnd w:id="235"/>
          </w:p>
        </w:tc>
      </w:tr>
      <w:tr w:rsidR="00E80BA0" w:rsidRPr="00A62EF7" w:rsidTr="008232AB">
        <w:trPr>
          <w:cantSplit/>
        </w:trPr>
        <w:tc>
          <w:tcPr>
            <w:tcW w:w="926" w:type="dxa"/>
            <w:tcBorders>
              <w:top w:val="single" w:sz="4" w:space="0" w:color="auto"/>
              <w:left w:val="single" w:sz="4" w:space="0" w:color="auto"/>
              <w:bottom w:val="single" w:sz="4" w:space="0" w:color="auto"/>
              <w:right w:val="single" w:sz="4" w:space="0" w:color="auto"/>
            </w:tcBorders>
            <w:tcMar>
              <w:left w:w="79" w:type="dxa"/>
              <w:right w:w="79" w:type="dxa"/>
            </w:tcMar>
          </w:tcPr>
          <w:p w:rsidR="00E80BA0" w:rsidRPr="00A62EF7" w:rsidRDefault="00E80BA0" w:rsidP="00840456">
            <w:pPr>
              <w:pStyle w:val="Tabletext"/>
              <w:rPr>
                <w:b/>
                <w:sz w:val="21"/>
                <w:szCs w:val="21"/>
              </w:rPr>
            </w:pPr>
            <w:r w:rsidRPr="00A62EF7">
              <w:rPr>
                <w:b/>
                <w:sz w:val="21"/>
                <w:szCs w:val="21"/>
              </w:rPr>
              <w:t>Rec. n°</w:t>
            </w:r>
            <w:r w:rsidR="00470597" w:rsidRPr="00A62EF7">
              <w:rPr>
                <w:b/>
                <w:sz w:val="21"/>
                <w:szCs w:val="21"/>
              </w:rPr>
              <w:t xml:space="preserve"> </w:t>
            </w:r>
            <w:r w:rsidRPr="00A62EF7">
              <w:rPr>
                <w:b/>
                <w:sz w:val="21"/>
                <w:szCs w:val="21"/>
              </w:rPr>
              <w:t>4</w:t>
            </w:r>
          </w:p>
          <w:p w:rsidR="00E80BA0" w:rsidRPr="00A62EF7" w:rsidRDefault="00E80BA0" w:rsidP="00840456">
            <w:pPr>
              <w:pStyle w:val="Tabletext"/>
              <w:rPr>
                <w:b/>
                <w:sz w:val="21"/>
                <w:szCs w:val="21"/>
              </w:rPr>
            </w:pPr>
            <w:r w:rsidRPr="00A62EF7">
              <w:rPr>
                <w:b/>
                <w:sz w:val="21"/>
                <w:szCs w:val="21"/>
              </w:rPr>
              <w:t>2013</w:t>
            </w:r>
          </w:p>
        </w:tc>
        <w:tc>
          <w:tcPr>
            <w:tcW w:w="2268" w:type="dxa"/>
            <w:tcBorders>
              <w:top w:val="single" w:sz="4" w:space="0" w:color="auto"/>
              <w:left w:val="single" w:sz="4" w:space="0" w:color="auto"/>
              <w:bottom w:val="single" w:sz="4" w:space="0" w:color="auto"/>
              <w:right w:val="single" w:sz="4" w:space="0" w:color="auto"/>
            </w:tcBorders>
            <w:tcMar>
              <w:left w:w="79" w:type="dxa"/>
              <w:right w:w="79" w:type="dxa"/>
            </w:tcMar>
          </w:tcPr>
          <w:p w:rsidR="00E80BA0" w:rsidRPr="00A62EF7" w:rsidRDefault="00E80BA0" w:rsidP="00840456">
            <w:pPr>
              <w:pStyle w:val="Tabletext"/>
              <w:rPr>
                <w:sz w:val="21"/>
                <w:szCs w:val="21"/>
              </w:rPr>
            </w:pPr>
            <w:bookmarkStart w:id="236" w:name="lt_pId388"/>
            <w:r w:rsidRPr="00A62EF7">
              <w:rPr>
                <w:sz w:val="21"/>
                <w:szCs w:val="21"/>
              </w:rPr>
              <w:t>Nous recommandons qu'ITU Telecom veille à se garder une possibilité de choix également dans le cas de services gratuits, offerts par le pays hôte.</w:t>
            </w:r>
            <w:bookmarkEnd w:id="236"/>
          </w:p>
        </w:tc>
        <w:tc>
          <w:tcPr>
            <w:tcW w:w="2572" w:type="dxa"/>
            <w:tcBorders>
              <w:top w:val="single" w:sz="4" w:space="0" w:color="auto"/>
              <w:left w:val="single" w:sz="4" w:space="0" w:color="auto"/>
              <w:bottom w:val="single" w:sz="4" w:space="0" w:color="auto"/>
              <w:right w:val="single" w:sz="4" w:space="0" w:color="auto"/>
            </w:tcBorders>
            <w:tcMar>
              <w:left w:w="79" w:type="dxa"/>
              <w:right w:w="79" w:type="dxa"/>
            </w:tcMar>
          </w:tcPr>
          <w:p w:rsidR="00E80BA0" w:rsidRPr="00A62EF7" w:rsidRDefault="00E80BA0" w:rsidP="00840456">
            <w:pPr>
              <w:pStyle w:val="Tabletext"/>
              <w:rPr>
                <w:sz w:val="21"/>
                <w:szCs w:val="21"/>
              </w:rPr>
            </w:pPr>
            <w:bookmarkStart w:id="237" w:name="lt_pId389"/>
            <w:r w:rsidRPr="00A62EF7">
              <w:rPr>
                <w:sz w:val="21"/>
                <w:szCs w:val="21"/>
              </w:rPr>
              <w:t>L'UIT examinera soigneusement les services gratuits proposés par le pays hôte, afin d'évaluer si le niveau de qualité de ces services correspond aux attentes.</w:t>
            </w:r>
            <w:bookmarkEnd w:id="237"/>
          </w:p>
        </w:tc>
        <w:tc>
          <w:tcPr>
            <w:tcW w:w="1964" w:type="dxa"/>
            <w:tcBorders>
              <w:top w:val="single" w:sz="4" w:space="0" w:color="auto"/>
              <w:left w:val="single" w:sz="4" w:space="0" w:color="auto"/>
              <w:bottom w:val="single" w:sz="4" w:space="0" w:color="auto"/>
              <w:right w:val="single" w:sz="4" w:space="0" w:color="auto"/>
            </w:tcBorders>
            <w:tcMar>
              <w:left w:w="79" w:type="dxa"/>
              <w:right w:w="79" w:type="dxa"/>
            </w:tcMar>
          </w:tcPr>
          <w:p w:rsidR="00E80BA0" w:rsidRPr="00A62EF7" w:rsidRDefault="00E80BA0" w:rsidP="00840456">
            <w:pPr>
              <w:pStyle w:val="Tabletext"/>
              <w:rPr>
                <w:sz w:val="21"/>
                <w:szCs w:val="21"/>
              </w:rPr>
            </w:pPr>
            <w:bookmarkStart w:id="238" w:name="lt_pId390"/>
            <w:r w:rsidRPr="00A62EF7">
              <w:rPr>
                <w:sz w:val="21"/>
                <w:szCs w:val="21"/>
              </w:rPr>
              <w:t>En cours</w:t>
            </w:r>
            <w:bookmarkEnd w:id="238"/>
          </w:p>
        </w:tc>
        <w:tc>
          <w:tcPr>
            <w:tcW w:w="1837" w:type="dxa"/>
            <w:tcBorders>
              <w:top w:val="single" w:sz="4" w:space="0" w:color="auto"/>
              <w:left w:val="single" w:sz="4" w:space="0" w:color="auto"/>
              <w:bottom w:val="single" w:sz="4" w:space="0" w:color="auto"/>
              <w:right w:val="single" w:sz="4" w:space="0" w:color="auto"/>
            </w:tcBorders>
            <w:tcMar>
              <w:left w:w="79" w:type="dxa"/>
              <w:right w:w="79" w:type="dxa"/>
            </w:tcMar>
          </w:tcPr>
          <w:p w:rsidR="00E80BA0" w:rsidRPr="00A62EF7" w:rsidRDefault="00E80BA0" w:rsidP="00840456">
            <w:pPr>
              <w:pStyle w:val="Tabletext"/>
              <w:rPr>
                <w:sz w:val="21"/>
                <w:szCs w:val="21"/>
              </w:rPr>
            </w:pPr>
            <w:bookmarkStart w:id="239" w:name="lt_pId391"/>
            <w:r w:rsidRPr="00A62EF7">
              <w:rPr>
                <w:sz w:val="21"/>
                <w:szCs w:val="21"/>
              </w:rPr>
              <w:t>En cours</w:t>
            </w:r>
            <w:bookmarkEnd w:id="239"/>
          </w:p>
        </w:tc>
      </w:tr>
    </w:tbl>
    <w:p w:rsidR="00E80BA0" w:rsidRPr="00A62EF7" w:rsidRDefault="00E80BA0" w:rsidP="00E80BA0"/>
    <w:p w:rsidR="00E80BA0" w:rsidRPr="00A62EF7" w:rsidRDefault="00E80BA0" w:rsidP="00E80BA0">
      <w:r w:rsidRPr="00A62EF7">
        <w:br w:type="page"/>
      </w:r>
    </w:p>
    <w:p w:rsidR="00E80BA0" w:rsidRPr="008232AB" w:rsidRDefault="00E80BA0" w:rsidP="008232AB">
      <w:pPr>
        <w:pStyle w:val="Title4"/>
        <w:spacing w:after="120"/>
        <w:rPr>
          <w:sz w:val="24"/>
          <w:szCs w:val="24"/>
        </w:rPr>
      </w:pPr>
      <w:bookmarkStart w:id="240" w:name="lt_pId393"/>
      <w:r w:rsidRPr="008232AB">
        <w:rPr>
          <w:sz w:val="24"/>
          <w:szCs w:val="24"/>
        </w:rPr>
        <w:t>Propositions</w:t>
      </w:r>
      <w:bookmarkStart w:id="241" w:name="lt_pId394"/>
      <w:bookmarkStart w:id="242" w:name="lt_pId395"/>
      <w:bookmarkStart w:id="243" w:name="lt_pId396"/>
      <w:bookmarkStart w:id="244" w:name="lt_pId397"/>
      <w:bookmarkStart w:id="245" w:name="lt_pId398"/>
      <w:bookmarkStart w:id="246" w:name="lt_pId399"/>
      <w:bookmarkStart w:id="247" w:name="lt_pId400"/>
      <w:bookmarkStart w:id="248" w:name="lt_pId401"/>
      <w:bookmarkEnd w:id="240"/>
      <w:bookmarkEnd w:id="241"/>
      <w:bookmarkEnd w:id="242"/>
      <w:bookmarkEnd w:id="243"/>
      <w:bookmarkEnd w:id="244"/>
      <w:bookmarkEnd w:id="245"/>
      <w:bookmarkEnd w:id="246"/>
      <w:bookmarkEnd w:id="247"/>
      <w:bookmarkEnd w:id="248"/>
    </w:p>
    <w:tbl>
      <w:tblPr>
        <w:tblW w:w="0" w:type="auto"/>
        <w:jc w:val="center"/>
        <w:tblCellMar>
          <w:top w:w="28" w:type="dxa"/>
          <w:left w:w="57" w:type="dxa"/>
          <w:bottom w:w="28" w:type="dxa"/>
          <w:right w:w="57" w:type="dxa"/>
        </w:tblCellMar>
        <w:tblLook w:val="0000" w:firstRow="0" w:lastRow="0" w:firstColumn="0" w:lastColumn="0" w:noHBand="0" w:noVBand="0"/>
      </w:tblPr>
      <w:tblGrid>
        <w:gridCol w:w="809"/>
        <w:gridCol w:w="2410"/>
        <w:gridCol w:w="2551"/>
        <w:gridCol w:w="1862"/>
        <w:gridCol w:w="1960"/>
      </w:tblGrid>
      <w:tr w:rsidR="001F0386" w:rsidRPr="00A62EF7" w:rsidTr="00405FC5">
        <w:trPr>
          <w:cantSplit/>
          <w:tblHeader/>
          <w:jc w:val="center"/>
        </w:trPr>
        <w:tc>
          <w:tcPr>
            <w:tcW w:w="809" w:type="dxa"/>
            <w:tcBorders>
              <w:top w:val="single" w:sz="4" w:space="0" w:color="auto"/>
              <w:left w:val="single" w:sz="4" w:space="0" w:color="auto"/>
              <w:bottom w:val="single" w:sz="4" w:space="0" w:color="auto"/>
              <w:right w:val="single" w:sz="4" w:space="0" w:color="auto"/>
            </w:tcBorders>
            <w:tcMar>
              <w:left w:w="85" w:type="dxa"/>
              <w:right w:w="85" w:type="dxa"/>
            </w:tcMar>
          </w:tcPr>
          <w:p w:rsidR="001F0386" w:rsidRPr="00A62EF7" w:rsidRDefault="001F0386" w:rsidP="001F0386">
            <w:pPr>
              <w:pStyle w:val="Tablehead"/>
              <w:spacing w:before="40" w:after="40"/>
              <w:rPr>
                <w:rFonts w:asciiTheme="minorHAnsi" w:hAnsiTheme="minorHAnsi"/>
                <w:sz w:val="21"/>
                <w:szCs w:val="21"/>
              </w:rPr>
            </w:pPr>
          </w:p>
        </w:tc>
        <w:tc>
          <w:tcPr>
            <w:tcW w:w="2410"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1F0386" w:rsidRPr="00A62EF7" w:rsidRDefault="00AD132A" w:rsidP="001F0386">
            <w:pPr>
              <w:pStyle w:val="Tablehead"/>
              <w:spacing w:before="0" w:after="0"/>
              <w:rPr>
                <w:rFonts w:asciiTheme="minorHAnsi" w:hAnsiTheme="minorHAnsi"/>
                <w:sz w:val="21"/>
                <w:szCs w:val="21"/>
              </w:rPr>
            </w:pPr>
            <w:r>
              <w:rPr>
                <w:rFonts w:asciiTheme="minorHAnsi" w:hAnsiTheme="minorHAnsi"/>
                <w:sz w:val="21"/>
                <w:szCs w:val="21"/>
              </w:rPr>
              <w:t>Proposi</w:t>
            </w:r>
            <w:r w:rsidR="001F0386" w:rsidRPr="00A62EF7">
              <w:rPr>
                <w:rFonts w:asciiTheme="minorHAnsi" w:hAnsiTheme="minorHAnsi"/>
                <w:sz w:val="21"/>
                <w:szCs w:val="21"/>
              </w:rPr>
              <w:t>tion formulée par la Cour des comptes italienne</w:t>
            </w:r>
          </w:p>
        </w:tc>
        <w:tc>
          <w:tcPr>
            <w:tcW w:w="2551"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1F0386" w:rsidRPr="00A62EF7" w:rsidRDefault="001F0386" w:rsidP="001F0386">
            <w:pPr>
              <w:pStyle w:val="Tablehead"/>
              <w:spacing w:before="0" w:after="0"/>
              <w:rPr>
                <w:rFonts w:asciiTheme="minorHAnsi" w:hAnsiTheme="minorHAnsi"/>
                <w:sz w:val="21"/>
                <w:szCs w:val="21"/>
              </w:rPr>
            </w:pPr>
            <w:r w:rsidRPr="00A62EF7">
              <w:rPr>
                <w:rFonts w:asciiTheme="minorHAnsi" w:hAnsiTheme="minorHAnsi"/>
                <w:sz w:val="21"/>
                <w:szCs w:val="21"/>
              </w:rPr>
              <w:t>Commentaires fournis par le Secrétaire général au moment de la publication du rapport</w:t>
            </w:r>
          </w:p>
        </w:tc>
        <w:tc>
          <w:tcPr>
            <w:tcW w:w="1862"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1F0386" w:rsidRPr="00A62EF7" w:rsidRDefault="001F0386" w:rsidP="001F0386">
            <w:pPr>
              <w:pStyle w:val="Tablehead"/>
              <w:spacing w:before="0" w:after="0"/>
              <w:rPr>
                <w:rFonts w:asciiTheme="minorHAnsi" w:hAnsiTheme="minorHAnsi"/>
                <w:sz w:val="21"/>
                <w:szCs w:val="21"/>
              </w:rPr>
            </w:pPr>
            <w:r w:rsidRPr="00A62EF7">
              <w:rPr>
                <w:rFonts w:asciiTheme="minorHAnsi" w:hAnsiTheme="minorHAnsi"/>
                <w:sz w:val="21"/>
                <w:szCs w:val="21"/>
              </w:rPr>
              <w:t>Etat de la situation indiqué</w:t>
            </w:r>
            <w:r w:rsidRPr="00A62EF7">
              <w:rPr>
                <w:rFonts w:asciiTheme="minorHAnsi" w:hAnsiTheme="minorHAnsi"/>
                <w:sz w:val="21"/>
                <w:szCs w:val="21"/>
              </w:rPr>
              <w:br/>
              <w:t>par la direction de l'UIT</w:t>
            </w:r>
          </w:p>
        </w:tc>
        <w:tc>
          <w:tcPr>
            <w:tcW w:w="1960"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rsidR="001F0386" w:rsidRPr="00A62EF7" w:rsidRDefault="001F0386" w:rsidP="001F0386">
            <w:pPr>
              <w:pStyle w:val="Tablehead"/>
              <w:spacing w:before="0" w:after="0"/>
              <w:rPr>
                <w:rFonts w:asciiTheme="minorHAnsi" w:hAnsiTheme="minorHAnsi"/>
                <w:sz w:val="21"/>
                <w:szCs w:val="21"/>
              </w:rPr>
            </w:pPr>
            <w:r w:rsidRPr="00A62EF7">
              <w:rPr>
                <w:rFonts w:asciiTheme="minorHAnsi" w:hAnsiTheme="minorHAnsi"/>
                <w:sz w:val="21"/>
                <w:szCs w:val="21"/>
              </w:rPr>
              <w:t>Etat des mesures prises par la direction selon l'évaluation de la Cour des comptes italienne</w:t>
            </w:r>
          </w:p>
        </w:tc>
      </w:tr>
      <w:tr w:rsidR="001F0386" w:rsidRPr="00A62EF7" w:rsidTr="00405FC5">
        <w:trPr>
          <w:jc w:val="center"/>
        </w:trPr>
        <w:tc>
          <w:tcPr>
            <w:tcW w:w="809" w:type="dxa"/>
            <w:tcBorders>
              <w:top w:val="single" w:sz="4" w:space="0" w:color="auto"/>
              <w:left w:val="single" w:sz="4" w:space="0" w:color="auto"/>
              <w:bottom w:val="single" w:sz="4" w:space="0" w:color="auto"/>
              <w:right w:val="single" w:sz="4" w:space="0" w:color="auto"/>
            </w:tcBorders>
            <w:tcMar>
              <w:left w:w="85" w:type="dxa"/>
              <w:right w:w="85" w:type="dxa"/>
            </w:tcMar>
          </w:tcPr>
          <w:p w:rsidR="001F0386" w:rsidRPr="00A62EF7" w:rsidRDefault="001F0386" w:rsidP="001F0386">
            <w:pPr>
              <w:pStyle w:val="Tablehead"/>
              <w:spacing w:before="40" w:after="40"/>
              <w:rPr>
                <w:rFonts w:asciiTheme="minorHAnsi" w:hAnsiTheme="minorHAnsi"/>
                <w:sz w:val="21"/>
                <w:szCs w:val="21"/>
              </w:rPr>
            </w:pPr>
            <w:r w:rsidRPr="00A62EF7">
              <w:rPr>
                <w:rFonts w:asciiTheme="minorHAnsi" w:hAnsiTheme="minorHAnsi"/>
                <w:sz w:val="21"/>
                <w:szCs w:val="21"/>
              </w:rPr>
              <w:t>Prop.</w:t>
            </w:r>
          </w:p>
          <w:p w:rsidR="001F0386" w:rsidRDefault="001F0386" w:rsidP="001F0386">
            <w:pPr>
              <w:pStyle w:val="Tablehead"/>
              <w:spacing w:before="40" w:after="40"/>
              <w:rPr>
                <w:rFonts w:asciiTheme="minorHAnsi" w:hAnsiTheme="minorHAnsi"/>
                <w:sz w:val="21"/>
                <w:szCs w:val="21"/>
              </w:rPr>
            </w:pPr>
            <w:r w:rsidRPr="00A62EF7">
              <w:rPr>
                <w:rFonts w:asciiTheme="minorHAnsi" w:hAnsiTheme="minorHAnsi"/>
                <w:sz w:val="21"/>
                <w:szCs w:val="21"/>
              </w:rPr>
              <w:t>n° 2</w:t>
            </w:r>
          </w:p>
          <w:p w:rsidR="00AD132A" w:rsidRPr="00A62EF7" w:rsidRDefault="00AD132A" w:rsidP="001F0386">
            <w:pPr>
              <w:pStyle w:val="Tablehead"/>
              <w:spacing w:before="40" w:after="40"/>
              <w:rPr>
                <w:rFonts w:asciiTheme="minorHAnsi" w:hAnsiTheme="minorHAnsi"/>
                <w:sz w:val="21"/>
                <w:szCs w:val="21"/>
              </w:rPr>
            </w:pPr>
            <w:r>
              <w:rPr>
                <w:rFonts w:asciiTheme="minorHAnsi" w:hAnsiTheme="minorHAnsi"/>
                <w:sz w:val="21"/>
                <w:szCs w:val="21"/>
              </w:rPr>
              <w:t>2012</w:t>
            </w:r>
          </w:p>
        </w:tc>
        <w:tc>
          <w:tcPr>
            <w:tcW w:w="2410" w:type="dxa"/>
            <w:tcBorders>
              <w:top w:val="single" w:sz="4" w:space="0" w:color="auto"/>
              <w:left w:val="single" w:sz="4" w:space="0" w:color="auto"/>
              <w:bottom w:val="single" w:sz="4" w:space="0" w:color="auto"/>
              <w:right w:val="single" w:sz="4" w:space="0" w:color="auto"/>
            </w:tcBorders>
            <w:tcMar>
              <w:left w:w="85" w:type="dxa"/>
              <w:right w:w="85" w:type="dxa"/>
            </w:tcMar>
          </w:tcPr>
          <w:p w:rsidR="001F0386" w:rsidRPr="00A62EF7" w:rsidRDefault="001F0386" w:rsidP="001F0386">
            <w:pPr>
              <w:pStyle w:val="Tablehead"/>
              <w:spacing w:before="40" w:after="40"/>
              <w:jc w:val="left"/>
              <w:rPr>
                <w:rFonts w:asciiTheme="minorHAnsi" w:hAnsiTheme="minorHAnsi"/>
                <w:b w:val="0"/>
                <w:bCs/>
                <w:sz w:val="21"/>
                <w:szCs w:val="21"/>
              </w:rPr>
            </w:pPr>
            <w:r w:rsidRPr="00A62EF7">
              <w:rPr>
                <w:rFonts w:asciiTheme="minorHAnsi" w:hAnsiTheme="minorHAnsi"/>
                <w:b w:val="0"/>
                <w:bCs/>
                <w:sz w:val="21"/>
                <w:szCs w:val="21"/>
              </w:rPr>
              <w:t xml:space="preserve">Bien que ces documents apportent plusieurs éléments d'information, nous avons relevé qu'il n'existe pas de lien direct entre les IFP et les objectifs généraux énoncés dans la Résolution 11 (Rév. Guadalajara, 2010) de la Conférence de plénipotentiaires. Ainsi, en vue de la prochaine manifestation de 2013, </w:t>
            </w:r>
            <w:r w:rsidRPr="00A62EF7">
              <w:rPr>
                <w:rFonts w:asciiTheme="minorHAnsi" w:hAnsiTheme="minorHAnsi"/>
                <w:b w:val="0"/>
                <w:bCs/>
                <w:sz w:val="21"/>
                <w:szCs w:val="21"/>
                <w:u w:val="single"/>
              </w:rPr>
              <w:t>nous proposons</w:t>
            </w:r>
            <w:r w:rsidRPr="00A62EF7">
              <w:rPr>
                <w:rFonts w:asciiTheme="minorHAnsi" w:hAnsiTheme="minorHAnsi"/>
                <w:b w:val="0"/>
                <w:bCs/>
                <w:sz w:val="21"/>
                <w:szCs w:val="21"/>
              </w:rPr>
              <w:t xml:space="preserve"> à l'Union d'adopter, dès le début de l'événement, des IFP précis et solides, associés à des objectifs fiables, mesurables et convenus d'un commun accord, en prenant pour référence la Résolution 11 (Rév. Guadalajara, 2010) de la Conférence de plénipotentiaires.</w:t>
            </w:r>
          </w:p>
        </w:tc>
        <w:tc>
          <w:tcPr>
            <w:tcW w:w="2551" w:type="dxa"/>
            <w:tcBorders>
              <w:top w:val="single" w:sz="4" w:space="0" w:color="auto"/>
              <w:left w:val="single" w:sz="4" w:space="0" w:color="auto"/>
              <w:bottom w:val="single" w:sz="4" w:space="0" w:color="auto"/>
              <w:right w:val="single" w:sz="4" w:space="0" w:color="auto"/>
            </w:tcBorders>
            <w:tcMar>
              <w:left w:w="85" w:type="dxa"/>
              <w:right w:w="85" w:type="dxa"/>
            </w:tcMar>
          </w:tcPr>
          <w:p w:rsidR="001F0386" w:rsidRPr="00A62EF7" w:rsidRDefault="001F0386" w:rsidP="001F0386">
            <w:pPr>
              <w:spacing w:before="40" w:after="40"/>
              <w:rPr>
                <w:rFonts w:asciiTheme="minorHAnsi" w:hAnsiTheme="minorHAnsi"/>
                <w:sz w:val="21"/>
                <w:szCs w:val="21"/>
              </w:rPr>
            </w:pPr>
            <w:r w:rsidRPr="00A62EF7">
              <w:rPr>
                <w:rFonts w:asciiTheme="minorHAnsi" w:hAnsiTheme="minorHAnsi"/>
                <w:sz w:val="21"/>
                <w:szCs w:val="21"/>
              </w:rPr>
              <w:t>En vue des futures manifestations ITU Telecom, des IFP supplémentaires seront établis afin de tenir compte des dispositions de la Résolution 11 (Rév. Guadalajara, 2010) de la Conférence de plénipotentiaires.</w:t>
            </w:r>
          </w:p>
        </w:tc>
        <w:tc>
          <w:tcPr>
            <w:tcW w:w="1862" w:type="dxa"/>
            <w:tcBorders>
              <w:top w:val="single" w:sz="4" w:space="0" w:color="auto"/>
              <w:left w:val="single" w:sz="4" w:space="0" w:color="auto"/>
              <w:bottom w:val="single" w:sz="4" w:space="0" w:color="auto"/>
              <w:right w:val="single" w:sz="4" w:space="0" w:color="auto"/>
            </w:tcBorders>
            <w:tcMar>
              <w:left w:w="85" w:type="dxa"/>
              <w:right w:w="85" w:type="dxa"/>
            </w:tcMar>
          </w:tcPr>
          <w:p w:rsidR="001F0386" w:rsidRPr="00A62EF7" w:rsidRDefault="001F0386" w:rsidP="001F0386">
            <w:pPr>
              <w:spacing w:before="40" w:after="40"/>
              <w:rPr>
                <w:rFonts w:asciiTheme="minorHAnsi" w:hAnsiTheme="minorHAnsi"/>
                <w:sz w:val="21"/>
                <w:szCs w:val="21"/>
              </w:rPr>
            </w:pPr>
            <w:r w:rsidRPr="00A62EF7">
              <w:rPr>
                <w:rFonts w:asciiTheme="minorHAnsi" w:hAnsiTheme="minorHAnsi"/>
                <w:sz w:val="21"/>
                <w:szCs w:val="21"/>
              </w:rPr>
              <w:t xml:space="preserve">Des indicateurs IFP supplémentaires pertinents ont été établis, évalués, analysés et fournis au Vérificateur extérieur des comptes dans le cadre des manifestations de 2013 et de 2014. Cette procédure sera désormais appliquée pour chaque manifestation. Clos. </w:t>
            </w:r>
          </w:p>
        </w:tc>
        <w:tc>
          <w:tcPr>
            <w:tcW w:w="1960" w:type="dxa"/>
            <w:tcBorders>
              <w:top w:val="single" w:sz="4" w:space="0" w:color="auto"/>
              <w:left w:val="single" w:sz="4" w:space="0" w:color="auto"/>
              <w:bottom w:val="single" w:sz="4" w:space="0" w:color="auto"/>
              <w:right w:val="single" w:sz="4" w:space="0" w:color="auto"/>
            </w:tcBorders>
            <w:tcMar>
              <w:left w:w="85" w:type="dxa"/>
              <w:right w:w="85" w:type="dxa"/>
            </w:tcMar>
          </w:tcPr>
          <w:p w:rsidR="001F0386" w:rsidRPr="00A62EF7" w:rsidRDefault="001F0386" w:rsidP="001F0386">
            <w:pPr>
              <w:spacing w:before="40" w:after="40"/>
              <w:rPr>
                <w:rFonts w:asciiTheme="minorHAnsi" w:hAnsiTheme="minorHAnsi"/>
                <w:sz w:val="21"/>
                <w:szCs w:val="21"/>
              </w:rPr>
            </w:pPr>
            <w:r w:rsidRPr="00A62EF7">
              <w:rPr>
                <w:rFonts w:asciiTheme="minorHAnsi" w:hAnsiTheme="minorHAnsi"/>
                <w:sz w:val="21"/>
                <w:szCs w:val="21"/>
              </w:rPr>
              <w:t>Clos</w:t>
            </w:r>
          </w:p>
        </w:tc>
      </w:tr>
      <w:tr w:rsidR="001F0386" w:rsidRPr="00A62EF7" w:rsidTr="004077CB">
        <w:trPr>
          <w:cantSplit/>
          <w:tblHeader/>
          <w:jc w:val="center"/>
        </w:trPr>
        <w:tc>
          <w:tcPr>
            <w:tcW w:w="809" w:type="dxa"/>
            <w:tcBorders>
              <w:top w:val="single" w:sz="4" w:space="0" w:color="auto"/>
              <w:left w:val="single" w:sz="4" w:space="0" w:color="auto"/>
              <w:bottom w:val="single" w:sz="4" w:space="0" w:color="auto"/>
              <w:right w:val="single" w:sz="4" w:space="0" w:color="auto"/>
            </w:tcBorders>
            <w:tcMar>
              <w:left w:w="85" w:type="dxa"/>
              <w:right w:w="85" w:type="dxa"/>
            </w:tcMar>
          </w:tcPr>
          <w:p w:rsidR="001F0386" w:rsidRPr="00A62EF7" w:rsidRDefault="00172098" w:rsidP="00172098">
            <w:pPr>
              <w:spacing w:before="40" w:after="40"/>
              <w:rPr>
                <w:rFonts w:asciiTheme="minorHAnsi" w:hAnsiTheme="minorHAnsi"/>
                <w:b/>
                <w:sz w:val="21"/>
                <w:szCs w:val="21"/>
              </w:rPr>
            </w:pPr>
            <w:r w:rsidRPr="00A62EF7">
              <w:rPr>
                <w:rFonts w:asciiTheme="minorHAnsi" w:hAnsiTheme="minorHAnsi"/>
                <w:b/>
                <w:sz w:val="21"/>
                <w:szCs w:val="21"/>
              </w:rPr>
              <w:t>Prop.</w:t>
            </w:r>
          </w:p>
          <w:p w:rsidR="00172098" w:rsidRPr="00A62EF7" w:rsidRDefault="00172098" w:rsidP="00172098">
            <w:pPr>
              <w:spacing w:before="40" w:after="40"/>
              <w:rPr>
                <w:rFonts w:asciiTheme="minorHAnsi" w:hAnsiTheme="minorHAnsi"/>
                <w:b/>
                <w:sz w:val="21"/>
                <w:szCs w:val="21"/>
              </w:rPr>
            </w:pPr>
            <w:r w:rsidRPr="00A62EF7">
              <w:rPr>
                <w:rFonts w:asciiTheme="minorHAnsi" w:hAnsiTheme="minorHAnsi"/>
                <w:b/>
                <w:sz w:val="21"/>
                <w:szCs w:val="21"/>
              </w:rPr>
              <w:t>n° 3</w:t>
            </w:r>
          </w:p>
          <w:p w:rsidR="00172098" w:rsidRPr="00A62EF7" w:rsidRDefault="00172098" w:rsidP="00172098">
            <w:pPr>
              <w:spacing w:before="40" w:after="40"/>
              <w:rPr>
                <w:rFonts w:asciiTheme="minorHAnsi" w:hAnsiTheme="minorHAnsi"/>
                <w:b/>
                <w:sz w:val="21"/>
                <w:szCs w:val="21"/>
              </w:rPr>
            </w:pPr>
            <w:r w:rsidRPr="00A62EF7">
              <w:rPr>
                <w:rFonts w:asciiTheme="minorHAnsi" w:hAnsiTheme="minorHAnsi"/>
                <w:b/>
                <w:sz w:val="21"/>
                <w:szCs w:val="21"/>
              </w:rPr>
              <w:t>2012</w:t>
            </w:r>
          </w:p>
        </w:tc>
        <w:tc>
          <w:tcPr>
            <w:tcW w:w="2410"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 xml:space="preserve">Nous savons que la direction considère la flexibilité comme un facteur déterminant pour attirer des participants, mais </w:t>
            </w:r>
            <w:r w:rsidRPr="00A62EF7">
              <w:rPr>
                <w:rFonts w:asciiTheme="minorHAnsi" w:hAnsiTheme="minorHAnsi"/>
                <w:sz w:val="21"/>
                <w:szCs w:val="21"/>
                <w:u w:val="single"/>
              </w:rPr>
              <w:t>nous proposons</w:t>
            </w:r>
            <w:r w:rsidRPr="00A62EF7">
              <w:rPr>
                <w:rFonts w:asciiTheme="minorHAnsi" w:hAnsiTheme="minorHAnsi"/>
                <w:sz w:val="21"/>
                <w:szCs w:val="21"/>
              </w:rPr>
              <w:t xml:space="preserve"> de suivre le résultat de cette politique au cours de ces prochaines années, en évaluant son opportunité et son impact sur les recettes provenant des ventes, non seulement pour décider s'il convient ou non de poursuivre dans cette voie, mais aussi pour établir des prévisions budgétaires plus exactes concernant les recettes.</w:t>
            </w:r>
          </w:p>
        </w:tc>
        <w:tc>
          <w:tcPr>
            <w:tcW w:w="2551"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La flexibilité qu'offre la politique de réduction des prix a permis à ITU Telecom de nouer le dialogue avec des acteurs clés du secteur et de garantir leur participation. ITU Telecom continuera d'évaluer cette politique pour en garantir l'utilité et veiller à ce qu'elle rende compte de l'évolution rapide de notre environnement. Les réductions ne sont qu'un élément parmi d'autres que nos partenaires/clients prennent en compte avant de décider de participer. Il n'existe aucune corrélation directe entre les recettes et les mesures de réduction.</w:t>
            </w:r>
          </w:p>
        </w:tc>
        <w:tc>
          <w:tcPr>
            <w:tcW w:w="1862"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ITU Telecom continue d'évaluer la politique de réduction des prix pour en garantir l'utilité. En cours.</w:t>
            </w:r>
          </w:p>
        </w:tc>
        <w:tc>
          <w:tcPr>
            <w:tcW w:w="1960"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En cours</w:t>
            </w:r>
          </w:p>
        </w:tc>
      </w:tr>
      <w:tr w:rsidR="001F0386" w:rsidRPr="00A62EF7" w:rsidTr="004077CB">
        <w:trPr>
          <w:cantSplit/>
          <w:tblHeader/>
          <w:jc w:val="center"/>
        </w:trPr>
        <w:tc>
          <w:tcPr>
            <w:tcW w:w="809"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172098" w:rsidP="00172098">
            <w:pPr>
              <w:spacing w:before="40" w:after="40"/>
              <w:rPr>
                <w:rFonts w:asciiTheme="minorHAnsi" w:hAnsiTheme="minorHAnsi"/>
                <w:b/>
                <w:sz w:val="21"/>
                <w:szCs w:val="21"/>
              </w:rPr>
            </w:pPr>
            <w:r w:rsidRPr="00A62EF7">
              <w:rPr>
                <w:rFonts w:asciiTheme="minorHAnsi" w:hAnsiTheme="minorHAnsi"/>
                <w:b/>
                <w:sz w:val="21"/>
                <w:szCs w:val="21"/>
              </w:rPr>
              <w:t>Prop. n° 5</w:t>
            </w:r>
          </w:p>
          <w:p w:rsidR="00172098" w:rsidRPr="00A62EF7" w:rsidRDefault="00172098" w:rsidP="00172098">
            <w:pPr>
              <w:spacing w:before="40" w:after="40"/>
              <w:rPr>
                <w:rFonts w:asciiTheme="minorHAnsi" w:hAnsiTheme="minorHAnsi"/>
                <w:b/>
                <w:sz w:val="21"/>
                <w:szCs w:val="21"/>
              </w:rPr>
            </w:pPr>
            <w:r w:rsidRPr="00A62EF7">
              <w:rPr>
                <w:rFonts w:asciiTheme="minorHAnsi" w:hAnsiTheme="minorHAnsi"/>
                <w:b/>
                <w:sz w:val="21"/>
                <w:szCs w:val="21"/>
              </w:rPr>
              <w:t>2012</w:t>
            </w:r>
          </w:p>
        </w:tc>
        <w:tc>
          <w:tcPr>
            <w:tcW w:w="2410"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 xml:space="preserve">Nous avons compris, d'après les renseignements communiqués par la direction, l'importance de l'échange de prestations de services dans le cadre d'ITU Telecom World 2012, non seulement pour attirer des entreprises et des investisseurs mais également pour obtenir des services et des produits essentiels. Nous avons relevé que l'estimation de la valeur de ces services, et en particulier le calcul des bénéfices pour l'UIT, reposent essentiellement sur la valeur du marché telle qu'elle est mentionnée dans les grilles tarifaires. Toutefois, en l'absence de telles informations, des estimations sont parfois effectuées. </w:t>
            </w:r>
            <w:r w:rsidRPr="00A62EF7">
              <w:rPr>
                <w:rFonts w:asciiTheme="minorHAnsi" w:hAnsiTheme="minorHAnsi"/>
                <w:sz w:val="21"/>
                <w:szCs w:val="21"/>
                <w:u w:val="single"/>
              </w:rPr>
              <w:t>Nous proposons</w:t>
            </w:r>
            <w:r w:rsidRPr="00A62EF7">
              <w:rPr>
                <w:rFonts w:asciiTheme="minorHAnsi" w:hAnsiTheme="minorHAnsi"/>
                <w:sz w:val="21"/>
                <w:szCs w:val="21"/>
              </w:rPr>
              <w:t xml:space="preserve"> donc que les informations concernant les bénéfices pour l'UIT, ainsi que les services fournis par celle-ci, soient présentées plus clairement de sorte qu'ils puissent être mesurés, ce qui permet de déterminer plus facilement si l'échange de prestations de services est avantageux pour l'UIT.</w:t>
            </w:r>
          </w:p>
        </w:tc>
        <w:tc>
          <w:tcPr>
            <w:tcW w:w="2551"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Les accords portant sur des échanges sont importants pour attirer des entreprises ou investisseurs et pour acquérir des services/produits essentiels au meilleur coût. Toutes les possibilités d'échanges sont rigoureusement évaluées et l'on peut facilement se procurer des informations concernant les bénéfices pour l'UIT ainsi que les services fournis par celle-ci.</w:t>
            </w:r>
          </w:p>
        </w:tc>
        <w:tc>
          <w:tcPr>
            <w:tcW w:w="1862"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Mesures prises. Clos.</w:t>
            </w:r>
          </w:p>
        </w:tc>
        <w:tc>
          <w:tcPr>
            <w:tcW w:w="1960"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Clos</w:t>
            </w:r>
          </w:p>
        </w:tc>
      </w:tr>
      <w:tr w:rsidR="001F0386" w:rsidRPr="00A62EF7" w:rsidTr="004077CB">
        <w:trPr>
          <w:cantSplit/>
          <w:tblHeader/>
          <w:jc w:val="center"/>
        </w:trPr>
        <w:tc>
          <w:tcPr>
            <w:tcW w:w="809"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172098" w:rsidP="00172098">
            <w:pPr>
              <w:spacing w:before="40" w:after="40"/>
              <w:rPr>
                <w:rFonts w:asciiTheme="minorHAnsi" w:hAnsiTheme="minorHAnsi"/>
                <w:b/>
                <w:sz w:val="21"/>
                <w:szCs w:val="21"/>
              </w:rPr>
            </w:pPr>
            <w:r w:rsidRPr="00A62EF7">
              <w:rPr>
                <w:rFonts w:asciiTheme="minorHAnsi" w:hAnsiTheme="minorHAnsi"/>
                <w:b/>
                <w:sz w:val="21"/>
                <w:szCs w:val="21"/>
              </w:rPr>
              <w:t>Prop. n° 1</w:t>
            </w:r>
          </w:p>
          <w:p w:rsidR="00172098" w:rsidRPr="00A62EF7" w:rsidRDefault="00172098" w:rsidP="00172098">
            <w:pPr>
              <w:spacing w:before="40" w:after="40"/>
              <w:rPr>
                <w:rFonts w:asciiTheme="minorHAnsi" w:hAnsiTheme="minorHAnsi"/>
                <w:b/>
                <w:sz w:val="21"/>
                <w:szCs w:val="21"/>
              </w:rPr>
            </w:pPr>
            <w:r w:rsidRPr="00A62EF7">
              <w:rPr>
                <w:rFonts w:asciiTheme="minorHAnsi" w:hAnsiTheme="minorHAnsi"/>
                <w:b/>
                <w:sz w:val="21"/>
                <w:szCs w:val="21"/>
              </w:rPr>
              <w:t>2013</w:t>
            </w:r>
          </w:p>
        </w:tc>
        <w:tc>
          <w:tcPr>
            <w:tcW w:w="2410"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D132A" w:rsidRDefault="00172098" w:rsidP="00AD132A">
            <w:pPr>
              <w:spacing w:before="40" w:after="40"/>
              <w:rPr>
                <w:rFonts w:asciiTheme="minorHAnsi" w:hAnsiTheme="minorHAnsi"/>
                <w:b/>
                <w:bCs/>
                <w:sz w:val="21"/>
                <w:szCs w:val="21"/>
              </w:rPr>
            </w:pPr>
            <w:r w:rsidRPr="00AD132A">
              <w:rPr>
                <w:rFonts w:asciiTheme="minorHAnsi" w:hAnsiTheme="minorHAnsi"/>
                <w:b/>
                <w:bCs/>
                <w:sz w:val="21"/>
                <w:szCs w:val="21"/>
              </w:rPr>
              <w:t>Budget révisé et situation réelle</w:t>
            </w: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Nous considérons que ces informations peuvent être utilisées pour améliorer les évaluations, et proposons en conséquence qu'une référence au montant réel des produits et des charges soit ajoutée lors de l'établissement d'un budget révisé.</w:t>
            </w:r>
          </w:p>
        </w:tc>
        <w:tc>
          <w:tcPr>
            <w:tcW w:w="2551"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1F0386" w:rsidP="00172098">
            <w:pPr>
              <w:spacing w:before="40" w:after="40"/>
              <w:rPr>
                <w:rFonts w:asciiTheme="minorHAnsi" w:hAnsiTheme="minorHAnsi"/>
                <w:sz w:val="21"/>
                <w:szCs w:val="21"/>
              </w:rPr>
            </w:pPr>
            <w:r w:rsidRPr="00A62EF7">
              <w:rPr>
                <w:rFonts w:asciiTheme="minorHAnsi" w:hAnsiTheme="minorHAnsi"/>
                <w:sz w:val="21"/>
                <w:szCs w:val="21"/>
              </w:rPr>
              <w:br/>
            </w: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A chaque révision d'un budget, le montant réel des produits et des charges, qui change en permanence, est toujours pris en compte. Les chiffres correspondants seront fournis dans un document distinct du budget.</w:t>
            </w:r>
          </w:p>
        </w:tc>
        <w:tc>
          <w:tcPr>
            <w:tcW w:w="1862"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1F0386" w:rsidP="00172098">
            <w:pPr>
              <w:spacing w:before="40" w:after="40"/>
              <w:rPr>
                <w:rFonts w:asciiTheme="minorHAnsi" w:hAnsiTheme="minorHAnsi"/>
                <w:sz w:val="21"/>
                <w:szCs w:val="21"/>
              </w:rPr>
            </w:pPr>
            <w:r w:rsidRPr="00A62EF7">
              <w:rPr>
                <w:rFonts w:asciiTheme="minorHAnsi" w:hAnsiTheme="minorHAnsi"/>
                <w:sz w:val="21"/>
                <w:szCs w:val="21"/>
              </w:rPr>
              <w:br/>
            </w: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Mesures prises. Clos.</w:t>
            </w:r>
          </w:p>
        </w:tc>
        <w:tc>
          <w:tcPr>
            <w:tcW w:w="1960"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1F0386" w:rsidP="00172098">
            <w:pPr>
              <w:spacing w:before="40" w:after="40"/>
              <w:rPr>
                <w:rFonts w:asciiTheme="minorHAnsi" w:hAnsiTheme="minorHAnsi"/>
                <w:sz w:val="21"/>
                <w:szCs w:val="21"/>
              </w:rPr>
            </w:pPr>
            <w:r w:rsidRPr="00A62EF7">
              <w:rPr>
                <w:rFonts w:asciiTheme="minorHAnsi" w:hAnsiTheme="minorHAnsi"/>
                <w:sz w:val="21"/>
                <w:szCs w:val="21"/>
              </w:rPr>
              <w:br/>
            </w: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Clos</w:t>
            </w:r>
          </w:p>
        </w:tc>
      </w:tr>
      <w:tr w:rsidR="001F0386" w:rsidRPr="00A62EF7" w:rsidTr="004077CB">
        <w:trPr>
          <w:cantSplit/>
          <w:tblHeader/>
          <w:jc w:val="center"/>
        </w:trPr>
        <w:tc>
          <w:tcPr>
            <w:tcW w:w="809"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172098" w:rsidP="00172098">
            <w:pPr>
              <w:spacing w:before="40" w:after="40"/>
              <w:rPr>
                <w:rFonts w:asciiTheme="minorHAnsi" w:hAnsiTheme="minorHAnsi"/>
                <w:b/>
                <w:sz w:val="21"/>
                <w:szCs w:val="21"/>
              </w:rPr>
            </w:pPr>
            <w:r w:rsidRPr="00A62EF7">
              <w:rPr>
                <w:rFonts w:asciiTheme="minorHAnsi" w:hAnsiTheme="minorHAnsi"/>
                <w:b/>
                <w:sz w:val="21"/>
                <w:szCs w:val="21"/>
              </w:rPr>
              <w:t>Prop. n° 2</w:t>
            </w:r>
          </w:p>
          <w:p w:rsidR="00172098" w:rsidRPr="00A62EF7" w:rsidRDefault="00172098" w:rsidP="00172098">
            <w:pPr>
              <w:spacing w:before="40" w:after="40"/>
              <w:rPr>
                <w:rFonts w:asciiTheme="minorHAnsi" w:hAnsiTheme="minorHAnsi"/>
                <w:b/>
                <w:sz w:val="21"/>
                <w:szCs w:val="21"/>
              </w:rPr>
            </w:pPr>
            <w:r w:rsidRPr="00A62EF7">
              <w:rPr>
                <w:rFonts w:asciiTheme="minorHAnsi" w:hAnsiTheme="minorHAnsi"/>
                <w:b/>
                <w:sz w:val="21"/>
                <w:szCs w:val="21"/>
              </w:rPr>
              <w:t>2013</w:t>
            </w:r>
          </w:p>
        </w:tc>
        <w:tc>
          <w:tcPr>
            <w:tcW w:w="2410"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D132A" w:rsidRDefault="00AD132A" w:rsidP="00172098">
            <w:pPr>
              <w:spacing w:before="40" w:after="40"/>
              <w:rPr>
                <w:rFonts w:asciiTheme="minorHAnsi" w:hAnsiTheme="minorHAnsi"/>
                <w:b/>
                <w:bCs/>
                <w:sz w:val="21"/>
                <w:szCs w:val="21"/>
              </w:rPr>
            </w:pPr>
            <w:r w:rsidRPr="00AD132A">
              <w:rPr>
                <w:rFonts w:asciiTheme="minorHAnsi" w:hAnsiTheme="minorHAnsi"/>
                <w:b/>
                <w:bCs/>
                <w:sz w:val="21"/>
                <w:szCs w:val="21"/>
              </w:rPr>
              <w:t>Catégories d'indicateurs IFP</w:t>
            </w: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 xml:space="preserve">Nous estimons qu'il pourrait être utile d'améliorer la définition des catégories, afin de présenter clairement et plus en détail les indicateurs IFP et proposons, en conséquence, que cette amélioration soit apportée. </w:t>
            </w:r>
          </w:p>
        </w:tc>
        <w:tc>
          <w:tcPr>
            <w:tcW w:w="2551"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AD132A" w:rsidP="00172098">
            <w:pPr>
              <w:spacing w:before="40" w:after="40"/>
              <w:rPr>
                <w:rFonts w:asciiTheme="minorHAnsi" w:hAnsiTheme="minorHAnsi"/>
                <w:sz w:val="21"/>
                <w:szCs w:val="21"/>
              </w:rPr>
            </w:pPr>
            <w:r>
              <w:rPr>
                <w:rFonts w:asciiTheme="minorHAnsi" w:hAnsiTheme="minorHAnsi"/>
                <w:sz w:val="21"/>
                <w:szCs w:val="21"/>
              </w:rPr>
              <w:br/>
            </w: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Les indicateurs IFP ont été définis et font l'objet d'un suivi. Nous poursuivrons nos efforts pour améliorer leur définition, afin de les utiliser pour guider la conception et le déroulement des manifestations ITU Telecom World.</w:t>
            </w:r>
          </w:p>
        </w:tc>
        <w:tc>
          <w:tcPr>
            <w:tcW w:w="1862"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AD132A" w:rsidP="00172098">
            <w:pPr>
              <w:spacing w:before="40" w:after="40"/>
              <w:rPr>
                <w:rFonts w:asciiTheme="minorHAnsi" w:hAnsiTheme="minorHAnsi"/>
                <w:sz w:val="21"/>
                <w:szCs w:val="21"/>
              </w:rPr>
            </w:pPr>
            <w:r>
              <w:rPr>
                <w:rFonts w:asciiTheme="minorHAnsi" w:hAnsiTheme="minorHAnsi"/>
                <w:sz w:val="21"/>
                <w:szCs w:val="21"/>
              </w:rPr>
              <w:br/>
            </w: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En cours</w:t>
            </w:r>
          </w:p>
        </w:tc>
        <w:tc>
          <w:tcPr>
            <w:tcW w:w="1960"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AD132A" w:rsidP="00172098">
            <w:pPr>
              <w:spacing w:before="40" w:after="40"/>
              <w:rPr>
                <w:rFonts w:asciiTheme="minorHAnsi" w:hAnsiTheme="minorHAnsi"/>
                <w:sz w:val="21"/>
                <w:szCs w:val="21"/>
              </w:rPr>
            </w:pPr>
            <w:r>
              <w:rPr>
                <w:rFonts w:asciiTheme="minorHAnsi" w:hAnsiTheme="minorHAnsi"/>
                <w:sz w:val="21"/>
                <w:szCs w:val="21"/>
              </w:rPr>
              <w:br/>
            </w: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En cours</w:t>
            </w:r>
          </w:p>
        </w:tc>
      </w:tr>
      <w:tr w:rsidR="00A62EF7" w:rsidRPr="00A62EF7" w:rsidTr="004077CB">
        <w:trPr>
          <w:cantSplit/>
          <w:tblHeader/>
          <w:jc w:val="center"/>
        </w:trPr>
        <w:tc>
          <w:tcPr>
            <w:tcW w:w="809"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172098" w:rsidP="00172098">
            <w:pPr>
              <w:spacing w:before="40" w:after="40"/>
              <w:rPr>
                <w:rFonts w:asciiTheme="minorHAnsi" w:hAnsiTheme="minorHAnsi"/>
                <w:b/>
                <w:sz w:val="21"/>
                <w:szCs w:val="21"/>
              </w:rPr>
            </w:pPr>
            <w:r w:rsidRPr="00A62EF7">
              <w:rPr>
                <w:rFonts w:asciiTheme="minorHAnsi" w:hAnsiTheme="minorHAnsi"/>
                <w:b/>
                <w:sz w:val="21"/>
                <w:szCs w:val="21"/>
              </w:rPr>
              <w:t>Prop. n° 3</w:t>
            </w:r>
          </w:p>
          <w:p w:rsidR="00172098" w:rsidRPr="00A62EF7" w:rsidRDefault="00172098" w:rsidP="00172098">
            <w:pPr>
              <w:spacing w:before="40" w:after="40"/>
              <w:rPr>
                <w:rFonts w:asciiTheme="minorHAnsi" w:hAnsiTheme="minorHAnsi"/>
                <w:b/>
                <w:sz w:val="21"/>
                <w:szCs w:val="21"/>
              </w:rPr>
            </w:pPr>
            <w:r w:rsidRPr="00A62EF7">
              <w:rPr>
                <w:rFonts w:asciiTheme="minorHAnsi" w:hAnsiTheme="minorHAnsi"/>
                <w:b/>
                <w:sz w:val="21"/>
                <w:szCs w:val="21"/>
              </w:rPr>
              <w:t>2013</w:t>
            </w:r>
          </w:p>
        </w:tc>
        <w:tc>
          <w:tcPr>
            <w:tcW w:w="2410"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D132A" w:rsidRDefault="00172098" w:rsidP="00172098">
            <w:pPr>
              <w:spacing w:before="40" w:after="40"/>
              <w:rPr>
                <w:rFonts w:asciiTheme="minorHAnsi" w:hAnsiTheme="minorHAnsi"/>
                <w:b/>
                <w:bCs/>
                <w:sz w:val="21"/>
                <w:szCs w:val="21"/>
              </w:rPr>
            </w:pPr>
            <w:r w:rsidRPr="00AD132A">
              <w:rPr>
                <w:rFonts w:asciiTheme="minorHAnsi" w:hAnsiTheme="minorHAnsi"/>
                <w:b/>
                <w:bCs/>
                <w:sz w:val="21"/>
                <w:szCs w:val="21"/>
              </w:rPr>
              <w:t>Réductions</w:t>
            </w: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Nous proposons que le comportement des acheteurs soit analysé plus finement et que les critères applicables aux tarifs réduits soient modifiés, soit en raccourcissant la période de validité de ces tarifs, soit en supprimant cette possibilité.</w:t>
            </w:r>
          </w:p>
        </w:tc>
        <w:tc>
          <w:tcPr>
            <w:tcW w:w="2551"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172098" w:rsidP="00172098">
            <w:pPr>
              <w:spacing w:before="40" w:after="40"/>
              <w:rPr>
                <w:rFonts w:asciiTheme="minorHAnsi" w:hAnsiTheme="minorHAnsi"/>
                <w:sz w:val="21"/>
                <w:szCs w:val="21"/>
              </w:rPr>
            </w:pP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La flexibilité qu'offre la politique de réduction des prix a permis à ITU Telecom de nouer le dialogue avec des acteurs clés du secteur et de garantir leur participation. ITU Telecom continuera d'évaluer cette politique pour en garantir l'utilité et veiller à ce qu'elle rende compte de l'évolution rapide de notre environnement. Les réductions ne sont qu'un élément parmi d'autres que nos partenaires/clients prennent en compte avant de décider de participer. Il n'existe aucune corrélation directe entre les recettes et les mesures de réduction.</w:t>
            </w:r>
          </w:p>
        </w:tc>
        <w:tc>
          <w:tcPr>
            <w:tcW w:w="1862" w:type="dxa"/>
            <w:tcBorders>
              <w:top w:val="single" w:sz="4" w:space="0" w:color="auto"/>
              <w:left w:val="single" w:sz="4" w:space="0" w:color="auto"/>
              <w:bottom w:val="single" w:sz="4" w:space="0" w:color="auto"/>
              <w:right w:val="single" w:sz="4" w:space="0" w:color="auto"/>
            </w:tcBorders>
            <w:tcMar>
              <w:left w:w="85" w:type="dxa"/>
              <w:right w:w="85" w:type="dxa"/>
            </w:tcMar>
          </w:tcPr>
          <w:p w:rsidR="001F0386" w:rsidRPr="00A62EF7" w:rsidRDefault="001F0386" w:rsidP="00172098">
            <w:pPr>
              <w:spacing w:before="40" w:after="40"/>
              <w:rPr>
                <w:rFonts w:asciiTheme="minorHAnsi" w:hAnsiTheme="minorHAnsi"/>
                <w:sz w:val="21"/>
                <w:szCs w:val="21"/>
              </w:rPr>
            </w:pP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Une nouvelle politique et de nouvelles procédures couvrant les réductions ont été établies pour ITU Telecom World 2015, et une copie du document en question a été fournie au Vérificateur extérieur</w:t>
            </w:r>
            <w:r w:rsidRPr="00A62EF7">
              <w:rPr>
                <w:rFonts w:asciiTheme="minorHAnsi" w:eastAsia="Times New Roman" w:hAnsiTheme="minorHAnsi"/>
                <w:sz w:val="21"/>
                <w:szCs w:val="21"/>
              </w:rPr>
              <w:t xml:space="preserve"> </w:t>
            </w:r>
            <w:r w:rsidRPr="00A62EF7">
              <w:rPr>
                <w:rFonts w:asciiTheme="minorHAnsi" w:hAnsiTheme="minorHAnsi"/>
                <w:sz w:val="21"/>
                <w:szCs w:val="21"/>
              </w:rPr>
              <w:t xml:space="preserve">des comptes. </w:t>
            </w:r>
            <w:r w:rsidR="00AD132A">
              <w:rPr>
                <w:rFonts w:asciiTheme="minorHAnsi" w:hAnsiTheme="minorHAnsi"/>
                <w:sz w:val="21"/>
                <w:szCs w:val="21"/>
              </w:rPr>
              <w:br/>
            </w:r>
            <w:r w:rsidRPr="00A62EF7">
              <w:rPr>
                <w:rFonts w:asciiTheme="minorHAnsi" w:hAnsiTheme="minorHAnsi"/>
                <w:sz w:val="21"/>
                <w:szCs w:val="21"/>
              </w:rPr>
              <w:t>Mesures prises. Clos.</w:t>
            </w:r>
          </w:p>
        </w:tc>
        <w:tc>
          <w:tcPr>
            <w:tcW w:w="1960"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172098" w:rsidP="00172098">
            <w:pPr>
              <w:spacing w:before="40" w:after="40"/>
              <w:rPr>
                <w:rFonts w:asciiTheme="minorHAnsi" w:hAnsiTheme="minorHAnsi"/>
                <w:sz w:val="21"/>
                <w:szCs w:val="21"/>
              </w:rPr>
            </w:pP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Clos</w:t>
            </w:r>
          </w:p>
        </w:tc>
      </w:tr>
      <w:tr w:rsidR="00A62EF7" w:rsidRPr="00A62EF7" w:rsidTr="004077CB">
        <w:trPr>
          <w:cantSplit/>
          <w:tblHeader/>
          <w:jc w:val="center"/>
        </w:trPr>
        <w:tc>
          <w:tcPr>
            <w:tcW w:w="809"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172098" w:rsidP="00172098">
            <w:pPr>
              <w:spacing w:before="40" w:after="40"/>
              <w:rPr>
                <w:rFonts w:asciiTheme="minorHAnsi" w:hAnsiTheme="minorHAnsi"/>
                <w:b/>
                <w:sz w:val="21"/>
                <w:szCs w:val="21"/>
              </w:rPr>
            </w:pPr>
            <w:r w:rsidRPr="00A62EF7">
              <w:rPr>
                <w:rFonts w:asciiTheme="minorHAnsi" w:hAnsiTheme="minorHAnsi"/>
                <w:b/>
                <w:sz w:val="21"/>
                <w:szCs w:val="21"/>
              </w:rPr>
              <w:t>Prop. n° 4</w:t>
            </w:r>
          </w:p>
          <w:p w:rsidR="00172098" w:rsidRPr="00A62EF7" w:rsidRDefault="00172098" w:rsidP="00172098">
            <w:pPr>
              <w:spacing w:before="40" w:after="40"/>
              <w:rPr>
                <w:rFonts w:asciiTheme="minorHAnsi" w:hAnsiTheme="minorHAnsi"/>
                <w:b/>
                <w:sz w:val="21"/>
                <w:szCs w:val="21"/>
              </w:rPr>
            </w:pPr>
            <w:r w:rsidRPr="00A62EF7">
              <w:rPr>
                <w:rFonts w:asciiTheme="minorHAnsi" w:hAnsiTheme="minorHAnsi"/>
                <w:b/>
                <w:sz w:val="21"/>
                <w:szCs w:val="21"/>
              </w:rPr>
              <w:t>2013</w:t>
            </w:r>
          </w:p>
        </w:tc>
        <w:tc>
          <w:tcPr>
            <w:tcW w:w="2410"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D132A" w:rsidRDefault="00AD132A" w:rsidP="00172098">
            <w:pPr>
              <w:spacing w:before="40" w:after="40"/>
              <w:rPr>
                <w:rFonts w:asciiTheme="minorHAnsi" w:hAnsiTheme="minorHAnsi"/>
                <w:b/>
                <w:bCs/>
                <w:sz w:val="21"/>
                <w:szCs w:val="21"/>
              </w:rPr>
            </w:pPr>
            <w:r w:rsidRPr="00AD132A">
              <w:rPr>
                <w:rFonts w:asciiTheme="minorHAnsi" w:hAnsiTheme="minorHAnsi"/>
                <w:b/>
                <w:bCs/>
                <w:sz w:val="21"/>
                <w:szCs w:val="21"/>
              </w:rPr>
              <w:t>Espaces inutilisés</w:t>
            </w:r>
          </w:p>
          <w:p w:rsidR="00172098" w:rsidRPr="00A62EF7" w:rsidRDefault="00172098" w:rsidP="00AD132A">
            <w:pPr>
              <w:spacing w:before="40" w:after="40"/>
              <w:rPr>
                <w:rFonts w:asciiTheme="minorHAnsi" w:hAnsiTheme="minorHAnsi"/>
                <w:sz w:val="21"/>
                <w:szCs w:val="21"/>
              </w:rPr>
            </w:pPr>
            <w:r w:rsidRPr="00A62EF7">
              <w:rPr>
                <w:rFonts w:asciiTheme="minorHAnsi" w:hAnsiTheme="minorHAnsi"/>
                <w:sz w:val="21"/>
                <w:szCs w:val="21"/>
              </w:rPr>
              <w:t>Etant admis qu'il est laissé aux tierces parties le choix de ne pas utiliser les espaces mis à leur disposition, la non</w:t>
            </w:r>
            <w:r w:rsidR="00AD132A">
              <w:rPr>
                <w:rFonts w:asciiTheme="minorHAnsi" w:hAnsiTheme="minorHAnsi"/>
                <w:sz w:val="21"/>
                <w:szCs w:val="21"/>
              </w:rPr>
              <w:t>-</w:t>
            </w:r>
            <w:r w:rsidRPr="00A62EF7">
              <w:rPr>
                <w:rFonts w:asciiTheme="minorHAnsi" w:hAnsiTheme="minorHAnsi"/>
                <w:sz w:val="21"/>
                <w:szCs w:val="21"/>
              </w:rPr>
              <w:t xml:space="preserve">utilisation d'espaces de l'exposition pourrait avoir une incidence négative sur la perception de l'intérêt que les médias portent à la manifestation. Nous proposons en conséquence de recenser dès que possible ces espaces inutilisés et de les transformer comme il conviendra. </w:t>
            </w:r>
          </w:p>
        </w:tc>
        <w:tc>
          <w:tcPr>
            <w:tcW w:w="2551"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172098" w:rsidP="00172098">
            <w:pPr>
              <w:spacing w:before="40" w:after="40"/>
              <w:rPr>
                <w:rFonts w:asciiTheme="minorHAnsi" w:hAnsiTheme="minorHAnsi"/>
                <w:sz w:val="21"/>
                <w:szCs w:val="21"/>
              </w:rPr>
            </w:pP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 xml:space="preserve">Nous poursuivrons les efforts visant à optimiser l'utilisation de l'espace d'exposition en tenant compte des annulations de dernière minute et de l'augmentation des charges liées à la réaffectation des espaces inutilisés. </w:t>
            </w:r>
          </w:p>
        </w:tc>
        <w:tc>
          <w:tcPr>
            <w:tcW w:w="1862"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172098" w:rsidP="00172098">
            <w:pPr>
              <w:spacing w:before="40" w:after="40"/>
              <w:rPr>
                <w:rFonts w:asciiTheme="minorHAnsi" w:hAnsiTheme="minorHAnsi"/>
                <w:sz w:val="21"/>
                <w:szCs w:val="21"/>
              </w:rPr>
            </w:pP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En cours</w:t>
            </w:r>
          </w:p>
        </w:tc>
        <w:tc>
          <w:tcPr>
            <w:tcW w:w="1960"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172098" w:rsidP="00172098">
            <w:pPr>
              <w:spacing w:before="40" w:after="40"/>
              <w:rPr>
                <w:rFonts w:asciiTheme="minorHAnsi" w:hAnsiTheme="minorHAnsi"/>
                <w:sz w:val="21"/>
                <w:szCs w:val="21"/>
              </w:rPr>
            </w:pP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En cours</w:t>
            </w:r>
          </w:p>
        </w:tc>
      </w:tr>
      <w:tr w:rsidR="00A62EF7" w:rsidRPr="00A62EF7" w:rsidTr="004077CB">
        <w:trPr>
          <w:cantSplit/>
          <w:tblHeader/>
          <w:jc w:val="center"/>
        </w:trPr>
        <w:tc>
          <w:tcPr>
            <w:tcW w:w="809"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172098" w:rsidP="00172098">
            <w:pPr>
              <w:spacing w:before="40" w:after="40"/>
              <w:rPr>
                <w:rFonts w:asciiTheme="minorHAnsi" w:hAnsiTheme="minorHAnsi"/>
                <w:b/>
                <w:sz w:val="21"/>
                <w:szCs w:val="21"/>
              </w:rPr>
            </w:pPr>
            <w:r w:rsidRPr="00A62EF7">
              <w:rPr>
                <w:rFonts w:asciiTheme="minorHAnsi" w:hAnsiTheme="minorHAnsi"/>
                <w:b/>
                <w:sz w:val="21"/>
                <w:szCs w:val="21"/>
              </w:rPr>
              <w:t>Prop. n° 5</w:t>
            </w:r>
          </w:p>
          <w:p w:rsidR="00172098" w:rsidRPr="00A62EF7" w:rsidRDefault="00172098" w:rsidP="00172098">
            <w:pPr>
              <w:spacing w:before="40" w:after="40"/>
              <w:rPr>
                <w:rFonts w:asciiTheme="minorHAnsi" w:hAnsiTheme="minorHAnsi"/>
                <w:b/>
                <w:sz w:val="21"/>
                <w:szCs w:val="21"/>
              </w:rPr>
            </w:pPr>
            <w:r w:rsidRPr="00A62EF7">
              <w:rPr>
                <w:rFonts w:asciiTheme="minorHAnsi" w:hAnsiTheme="minorHAnsi"/>
                <w:b/>
                <w:sz w:val="21"/>
                <w:szCs w:val="21"/>
              </w:rPr>
              <w:t>2013</w:t>
            </w:r>
          </w:p>
        </w:tc>
        <w:tc>
          <w:tcPr>
            <w:tcW w:w="2410"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D132A" w:rsidRDefault="00172098" w:rsidP="00172098">
            <w:pPr>
              <w:spacing w:before="40" w:after="40"/>
              <w:rPr>
                <w:rFonts w:asciiTheme="minorHAnsi" w:hAnsiTheme="minorHAnsi"/>
                <w:b/>
                <w:bCs/>
                <w:sz w:val="21"/>
                <w:szCs w:val="21"/>
              </w:rPr>
            </w:pPr>
            <w:r w:rsidRPr="00AD132A">
              <w:rPr>
                <w:rFonts w:asciiTheme="minorHAnsi" w:hAnsiTheme="minorHAnsi"/>
                <w:b/>
                <w:bCs/>
                <w:sz w:val="21"/>
                <w:szCs w:val="21"/>
              </w:rPr>
              <w:t>Présence des médias</w:t>
            </w: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Puisque les données relatives à la participation montrent une diminution du nombre de représentants du secteur des médias (5% en 2013 contre 8% en 2012), nous proposons d'examiner et d'analyser cette diminution afin d'avoir une idée plus précise du niveau d'intérêt que les différents médias portent à la manifestation.</w:t>
            </w:r>
          </w:p>
        </w:tc>
        <w:tc>
          <w:tcPr>
            <w:tcW w:w="2551"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172098" w:rsidP="00172098">
            <w:pPr>
              <w:spacing w:before="40" w:after="40"/>
              <w:rPr>
                <w:rFonts w:asciiTheme="minorHAnsi" w:hAnsiTheme="minorHAnsi"/>
                <w:sz w:val="21"/>
                <w:szCs w:val="21"/>
              </w:rPr>
            </w:pP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Nous poursuivrons les efforts visant à encourager la participation de médias de qualité, y compris les nouveaux médias, moyennant l'établissement de partenariats créatifs et la participation à distance.</w:t>
            </w:r>
          </w:p>
        </w:tc>
        <w:tc>
          <w:tcPr>
            <w:tcW w:w="1862"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172098" w:rsidP="00172098">
            <w:pPr>
              <w:spacing w:before="40" w:after="40"/>
              <w:rPr>
                <w:rFonts w:asciiTheme="minorHAnsi" w:hAnsiTheme="minorHAnsi"/>
                <w:sz w:val="21"/>
                <w:szCs w:val="21"/>
              </w:rPr>
            </w:pP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En cours</w:t>
            </w:r>
          </w:p>
        </w:tc>
        <w:tc>
          <w:tcPr>
            <w:tcW w:w="1960"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172098" w:rsidP="00172098">
            <w:pPr>
              <w:spacing w:before="40" w:after="40"/>
              <w:rPr>
                <w:rFonts w:asciiTheme="minorHAnsi" w:hAnsiTheme="minorHAnsi"/>
                <w:sz w:val="21"/>
                <w:szCs w:val="21"/>
              </w:rPr>
            </w:pP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En cours</w:t>
            </w:r>
          </w:p>
        </w:tc>
      </w:tr>
      <w:tr w:rsidR="001F0386" w:rsidRPr="00A62EF7" w:rsidTr="004077CB">
        <w:trPr>
          <w:cantSplit/>
          <w:tblHeader/>
          <w:jc w:val="center"/>
        </w:trPr>
        <w:tc>
          <w:tcPr>
            <w:tcW w:w="809"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172098" w:rsidP="00172098">
            <w:pPr>
              <w:spacing w:before="40" w:after="40"/>
              <w:rPr>
                <w:rFonts w:asciiTheme="minorHAnsi" w:hAnsiTheme="minorHAnsi"/>
                <w:b/>
                <w:sz w:val="21"/>
                <w:szCs w:val="21"/>
              </w:rPr>
            </w:pPr>
            <w:r w:rsidRPr="00A62EF7">
              <w:rPr>
                <w:rFonts w:asciiTheme="minorHAnsi" w:hAnsiTheme="minorHAnsi"/>
                <w:b/>
                <w:sz w:val="21"/>
                <w:szCs w:val="21"/>
              </w:rPr>
              <w:t>Prop. n° 6</w:t>
            </w:r>
          </w:p>
          <w:p w:rsidR="00172098" w:rsidRPr="00A62EF7" w:rsidRDefault="00172098" w:rsidP="00172098">
            <w:pPr>
              <w:spacing w:before="40" w:after="40"/>
              <w:rPr>
                <w:rFonts w:asciiTheme="minorHAnsi" w:hAnsiTheme="minorHAnsi"/>
                <w:b/>
                <w:sz w:val="21"/>
                <w:szCs w:val="21"/>
              </w:rPr>
            </w:pPr>
            <w:r w:rsidRPr="00A62EF7">
              <w:rPr>
                <w:rFonts w:asciiTheme="minorHAnsi" w:hAnsiTheme="minorHAnsi"/>
                <w:b/>
                <w:sz w:val="21"/>
                <w:szCs w:val="21"/>
              </w:rPr>
              <w:t>2013</w:t>
            </w:r>
          </w:p>
        </w:tc>
        <w:tc>
          <w:tcPr>
            <w:tcW w:w="2410"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D132A" w:rsidRDefault="00172098" w:rsidP="00172098">
            <w:pPr>
              <w:spacing w:before="40" w:after="40"/>
              <w:rPr>
                <w:rFonts w:asciiTheme="minorHAnsi" w:hAnsiTheme="minorHAnsi"/>
                <w:b/>
                <w:bCs/>
                <w:sz w:val="21"/>
                <w:szCs w:val="21"/>
              </w:rPr>
            </w:pPr>
            <w:r w:rsidRPr="00AD132A">
              <w:rPr>
                <w:rFonts w:asciiTheme="minorHAnsi" w:hAnsiTheme="minorHAnsi"/>
                <w:b/>
                <w:bCs/>
                <w:sz w:val="21"/>
                <w:szCs w:val="21"/>
              </w:rPr>
              <w:t>Les échanges de prestations de services devraient être présentés plus clairement</w:t>
            </w:r>
            <w:r w:rsidR="00AD132A" w:rsidRPr="00AD132A">
              <w:rPr>
                <w:rFonts w:asciiTheme="minorHAnsi" w:hAnsiTheme="minorHAnsi"/>
                <w:b/>
                <w:bCs/>
                <w:sz w:val="21"/>
                <w:szCs w:val="21"/>
              </w:rPr>
              <w:t>.</w:t>
            </w: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 xml:space="preserve">Nous réitérons notre proposition (Rec. n° 5/2012 de l'année dernière) à savoir que les informations concernant les services fournis par ITU Telecom et les installations mises à sa disposition soient mieux présentées et que la valeur de chaque échange de service soit évaluée. </w:t>
            </w:r>
          </w:p>
        </w:tc>
        <w:tc>
          <w:tcPr>
            <w:tcW w:w="2551" w:type="dxa"/>
            <w:tcBorders>
              <w:top w:val="single" w:sz="4" w:space="0" w:color="auto"/>
              <w:left w:val="single" w:sz="4" w:space="0" w:color="auto"/>
              <w:bottom w:val="single" w:sz="4" w:space="0" w:color="auto"/>
              <w:right w:val="single" w:sz="4" w:space="0" w:color="auto"/>
            </w:tcBorders>
            <w:tcMar>
              <w:left w:w="85" w:type="dxa"/>
              <w:right w:w="85" w:type="dxa"/>
            </w:tcMar>
          </w:tcPr>
          <w:p w:rsidR="00AD132A" w:rsidRDefault="00AD132A" w:rsidP="00AD132A">
            <w:pPr>
              <w:spacing w:before="40" w:after="40"/>
              <w:rPr>
                <w:rFonts w:asciiTheme="minorHAnsi" w:hAnsiTheme="minorHAnsi"/>
                <w:sz w:val="21"/>
                <w:szCs w:val="21"/>
              </w:rPr>
            </w:pPr>
            <w:r>
              <w:rPr>
                <w:rFonts w:asciiTheme="minorHAnsi" w:hAnsiTheme="minorHAnsi"/>
                <w:sz w:val="21"/>
                <w:szCs w:val="21"/>
              </w:rPr>
              <w:br/>
            </w:r>
            <w:r>
              <w:rPr>
                <w:rFonts w:asciiTheme="minorHAnsi" w:hAnsiTheme="minorHAnsi"/>
                <w:sz w:val="21"/>
                <w:szCs w:val="21"/>
              </w:rPr>
              <w:br/>
            </w:r>
            <w:r>
              <w:rPr>
                <w:rFonts w:asciiTheme="minorHAnsi" w:hAnsiTheme="minorHAnsi"/>
                <w:sz w:val="21"/>
                <w:szCs w:val="21"/>
              </w:rPr>
              <w:br/>
            </w:r>
          </w:p>
          <w:p w:rsidR="00172098" w:rsidRPr="00A62EF7" w:rsidRDefault="00172098" w:rsidP="00AD132A">
            <w:pPr>
              <w:spacing w:before="40" w:after="40"/>
              <w:rPr>
                <w:rFonts w:asciiTheme="minorHAnsi" w:hAnsiTheme="minorHAnsi"/>
                <w:sz w:val="21"/>
                <w:szCs w:val="21"/>
              </w:rPr>
            </w:pPr>
            <w:r w:rsidRPr="00A62EF7">
              <w:rPr>
                <w:rFonts w:asciiTheme="minorHAnsi" w:hAnsiTheme="minorHAnsi"/>
                <w:sz w:val="21"/>
                <w:szCs w:val="21"/>
              </w:rPr>
              <w:t>Les accords portant sur des échanges sont importants pour attirer des entreprises ou investisseurs et pour acquérir des services/produits essentiels au meilleur coût. Toutes les possibilités d'échanges sont rigoureusement évaluées et l'on peut facilement se procurer des informations concernant les bénéfices pour l'UIT ainsi que les services fournis par celle-ci.</w:t>
            </w:r>
          </w:p>
        </w:tc>
        <w:tc>
          <w:tcPr>
            <w:tcW w:w="1862" w:type="dxa"/>
            <w:tcBorders>
              <w:top w:val="single" w:sz="4" w:space="0" w:color="auto"/>
              <w:left w:val="single" w:sz="4" w:space="0" w:color="auto"/>
              <w:bottom w:val="single" w:sz="4" w:space="0" w:color="auto"/>
              <w:right w:val="single" w:sz="4" w:space="0" w:color="auto"/>
            </w:tcBorders>
            <w:tcMar>
              <w:left w:w="85" w:type="dxa"/>
              <w:right w:w="85" w:type="dxa"/>
            </w:tcMar>
          </w:tcPr>
          <w:p w:rsidR="00AD132A" w:rsidRDefault="00AD132A" w:rsidP="00AD132A">
            <w:pPr>
              <w:spacing w:before="40" w:after="40"/>
              <w:rPr>
                <w:rFonts w:asciiTheme="minorHAnsi" w:hAnsiTheme="minorHAnsi"/>
                <w:sz w:val="21"/>
                <w:szCs w:val="21"/>
              </w:rPr>
            </w:pPr>
            <w:r>
              <w:rPr>
                <w:rFonts w:asciiTheme="minorHAnsi" w:hAnsiTheme="minorHAnsi"/>
                <w:sz w:val="21"/>
                <w:szCs w:val="21"/>
              </w:rPr>
              <w:br/>
            </w:r>
            <w:r>
              <w:rPr>
                <w:rFonts w:asciiTheme="minorHAnsi" w:hAnsiTheme="minorHAnsi"/>
                <w:sz w:val="21"/>
                <w:szCs w:val="21"/>
              </w:rPr>
              <w:br/>
            </w:r>
            <w:r>
              <w:rPr>
                <w:rFonts w:asciiTheme="minorHAnsi" w:hAnsiTheme="minorHAnsi"/>
                <w:sz w:val="21"/>
                <w:szCs w:val="21"/>
              </w:rPr>
              <w:br/>
            </w: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Mesures prises conformément à la proposition n°</w:t>
            </w:r>
            <w:r w:rsidR="00AD132A">
              <w:rPr>
                <w:rFonts w:asciiTheme="minorHAnsi" w:hAnsiTheme="minorHAnsi"/>
                <w:sz w:val="21"/>
                <w:szCs w:val="21"/>
              </w:rPr>
              <w:t> </w:t>
            </w:r>
            <w:r w:rsidRPr="00A62EF7">
              <w:rPr>
                <w:rFonts w:asciiTheme="minorHAnsi" w:hAnsiTheme="minorHAnsi"/>
                <w:sz w:val="21"/>
                <w:szCs w:val="21"/>
              </w:rPr>
              <w:t xml:space="preserve">5 de 2012. </w:t>
            </w:r>
            <w:r w:rsidR="00AD132A">
              <w:rPr>
                <w:rFonts w:asciiTheme="minorHAnsi" w:hAnsiTheme="minorHAnsi"/>
                <w:sz w:val="21"/>
                <w:szCs w:val="21"/>
              </w:rPr>
              <w:br/>
            </w:r>
            <w:r w:rsidRPr="00A62EF7">
              <w:rPr>
                <w:rFonts w:asciiTheme="minorHAnsi" w:hAnsiTheme="minorHAnsi"/>
                <w:sz w:val="21"/>
                <w:szCs w:val="21"/>
              </w:rPr>
              <w:t>Clos.</w:t>
            </w:r>
          </w:p>
        </w:tc>
        <w:tc>
          <w:tcPr>
            <w:tcW w:w="1960" w:type="dxa"/>
            <w:tcBorders>
              <w:top w:val="single" w:sz="4" w:space="0" w:color="auto"/>
              <w:left w:val="single" w:sz="4" w:space="0" w:color="auto"/>
              <w:bottom w:val="single" w:sz="4" w:space="0" w:color="auto"/>
              <w:right w:val="single" w:sz="4" w:space="0" w:color="auto"/>
            </w:tcBorders>
            <w:tcMar>
              <w:left w:w="85" w:type="dxa"/>
              <w:right w:w="85" w:type="dxa"/>
            </w:tcMar>
          </w:tcPr>
          <w:p w:rsidR="00AD132A" w:rsidRDefault="00AD132A" w:rsidP="00AD132A">
            <w:pPr>
              <w:spacing w:before="40" w:after="40"/>
              <w:rPr>
                <w:rFonts w:asciiTheme="minorHAnsi" w:hAnsiTheme="minorHAnsi"/>
                <w:sz w:val="21"/>
                <w:szCs w:val="21"/>
              </w:rPr>
            </w:pPr>
            <w:r>
              <w:rPr>
                <w:rFonts w:asciiTheme="minorHAnsi" w:hAnsiTheme="minorHAnsi"/>
                <w:sz w:val="21"/>
                <w:szCs w:val="21"/>
              </w:rPr>
              <w:br/>
            </w:r>
            <w:r>
              <w:rPr>
                <w:rFonts w:asciiTheme="minorHAnsi" w:hAnsiTheme="minorHAnsi"/>
                <w:sz w:val="21"/>
                <w:szCs w:val="21"/>
              </w:rPr>
              <w:br/>
            </w:r>
            <w:r>
              <w:rPr>
                <w:rFonts w:asciiTheme="minorHAnsi" w:hAnsiTheme="minorHAnsi"/>
                <w:sz w:val="21"/>
                <w:szCs w:val="21"/>
              </w:rPr>
              <w:br/>
            </w: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Clos</w:t>
            </w:r>
          </w:p>
        </w:tc>
      </w:tr>
      <w:tr w:rsidR="001F0386" w:rsidRPr="00A62EF7" w:rsidTr="004077CB">
        <w:trPr>
          <w:cantSplit/>
          <w:tblHeader/>
          <w:jc w:val="center"/>
        </w:trPr>
        <w:tc>
          <w:tcPr>
            <w:tcW w:w="809"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172098" w:rsidP="00172098">
            <w:pPr>
              <w:spacing w:before="40" w:after="40"/>
              <w:rPr>
                <w:rFonts w:asciiTheme="minorHAnsi" w:hAnsiTheme="minorHAnsi"/>
                <w:b/>
                <w:sz w:val="21"/>
                <w:szCs w:val="21"/>
              </w:rPr>
            </w:pPr>
            <w:r w:rsidRPr="00A62EF7">
              <w:rPr>
                <w:rFonts w:asciiTheme="minorHAnsi" w:hAnsiTheme="minorHAnsi"/>
                <w:b/>
                <w:sz w:val="21"/>
                <w:szCs w:val="21"/>
              </w:rPr>
              <w:t>Prop. n° 7</w:t>
            </w:r>
          </w:p>
          <w:p w:rsidR="00172098" w:rsidRPr="00A62EF7" w:rsidRDefault="00172098" w:rsidP="00172098">
            <w:pPr>
              <w:spacing w:before="40" w:after="40"/>
              <w:rPr>
                <w:rFonts w:asciiTheme="minorHAnsi" w:hAnsiTheme="minorHAnsi"/>
                <w:b/>
                <w:sz w:val="21"/>
                <w:szCs w:val="21"/>
              </w:rPr>
            </w:pPr>
            <w:r w:rsidRPr="00A62EF7">
              <w:rPr>
                <w:rFonts w:asciiTheme="minorHAnsi" w:hAnsiTheme="minorHAnsi"/>
                <w:b/>
                <w:sz w:val="21"/>
                <w:szCs w:val="21"/>
              </w:rPr>
              <w:t>2013</w:t>
            </w:r>
          </w:p>
        </w:tc>
        <w:tc>
          <w:tcPr>
            <w:tcW w:w="2410"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D132A" w:rsidRDefault="00172098" w:rsidP="00172098">
            <w:pPr>
              <w:spacing w:before="40" w:after="40"/>
              <w:rPr>
                <w:rFonts w:asciiTheme="minorHAnsi" w:hAnsiTheme="minorHAnsi"/>
                <w:b/>
                <w:bCs/>
                <w:sz w:val="21"/>
                <w:szCs w:val="21"/>
              </w:rPr>
            </w:pPr>
            <w:r w:rsidRPr="00AD132A">
              <w:rPr>
                <w:rFonts w:asciiTheme="minorHAnsi" w:hAnsiTheme="minorHAnsi"/>
                <w:b/>
                <w:bCs/>
                <w:sz w:val="21"/>
                <w:szCs w:val="21"/>
              </w:rPr>
              <w:t>Rendre l'accueil des manifestations plus accessible financièrement pour les pays candidats</w:t>
            </w: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Nous proposons de réfléchir à des scénarios permettant aux pays souhaitant accueillir la manifestation d'optimiser au maximum les investissements qu'ils pourraient réaliser en vue d'accueillir la manifestation ITU Telecom World, afin de mieux respecter les dispositions de la Résolution 11 (Rév. Guadalajara, 2010) de la Conférence de plénipotentiaires.</w:t>
            </w:r>
          </w:p>
        </w:tc>
        <w:tc>
          <w:tcPr>
            <w:tcW w:w="2551"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AD132A" w:rsidP="00AD132A">
            <w:pPr>
              <w:spacing w:before="40" w:after="40"/>
              <w:rPr>
                <w:rFonts w:asciiTheme="minorHAnsi" w:hAnsiTheme="minorHAnsi"/>
                <w:sz w:val="21"/>
                <w:szCs w:val="21"/>
              </w:rPr>
            </w:pPr>
            <w:r>
              <w:rPr>
                <w:rFonts w:asciiTheme="minorHAnsi" w:hAnsiTheme="minorHAnsi"/>
                <w:sz w:val="21"/>
                <w:szCs w:val="21"/>
              </w:rPr>
              <w:br/>
            </w:r>
            <w:r>
              <w:rPr>
                <w:rFonts w:asciiTheme="minorHAnsi" w:hAnsiTheme="minorHAnsi"/>
                <w:sz w:val="21"/>
                <w:szCs w:val="21"/>
              </w:rPr>
              <w:br/>
            </w:r>
            <w:r>
              <w:rPr>
                <w:rFonts w:asciiTheme="minorHAnsi" w:hAnsiTheme="minorHAnsi"/>
                <w:sz w:val="21"/>
                <w:szCs w:val="21"/>
              </w:rPr>
              <w:br/>
            </w:r>
            <w:r>
              <w:rPr>
                <w:rFonts w:asciiTheme="minorHAnsi" w:hAnsiTheme="minorHAnsi"/>
                <w:sz w:val="21"/>
                <w:szCs w:val="21"/>
              </w:rPr>
              <w:br/>
            </w: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 xml:space="preserve">Les pays hôtes se sont toujours félicités d'avoir accueilli la manifestation ITU Telecom. Nous poursuivrons nos efforts pour que l'accueil des manifestations ITU Telecom ait toujours plus de retombées positives pour les pays hôtes. </w:t>
            </w:r>
          </w:p>
        </w:tc>
        <w:tc>
          <w:tcPr>
            <w:tcW w:w="1862" w:type="dxa"/>
            <w:tcBorders>
              <w:top w:val="single" w:sz="4" w:space="0" w:color="auto"/>
              <w:left w:val="single" w:sz="4" w:space="0" w:color="auto"/>
              <w:bottom w:val="single" w:sz="4" w:space="0" w:color="auto"/>
              <w:right w:val="single" w:sz="4" w:space="0" w:color="auto"/>
            </w:tcBorders>
            <w:tcMar>
              <w:left w:w="85" w:type="dxa"/>
              <w:right w:w="85" w:type="dxa"/>
            </w:tcMar>
          </w:tcPr>
          <w:p w:rsidR="00AD132A" w:rsidRPr="00A62EF7" w:rsidRDefault="00AD132A" w:rsidP="00AD132A">
            <w:pPr>
              <w:spacing w:before="40" w:after="40"/>
              <w:rPr>
                <w:rFonts w:asciiTheme="minorHAnsi" w:hAnsiTheme="minorHAnsi"/>
                <w:sz w:val="21"/>
                <w:szCs w:val="21"/>
              </w:rPr>
            </w:pPr>
            <w:r>
              <w:rPr>
                <w:rFonts w:asciiTheme="minorHAnsi" w:hAnsiTheme="minorHAnsi"/>
                <w:sz w:val="21"/>
                <w:szCs w:val="21"/>
              </w:rPr>
              <w:br/>
            </w:r>
            <w:r>
              <w:rPr>
                <w:rFonts w:asciiTheme="minorHAnsi" w:hAnsiTheme="minorHAnsi"/>
                <w:sz w:val="21"/>
                <w:szCs w:val="21"/>
              </w:rPr>
              <w:br/>
            </w:r>
            <w:r>
              <w:rPr>
                <w:rFonts w:asciiTheme="minorHAnsi" w:hAnsiTheme="minorHAnsi"/>
                <w:sz w:val="21"/>
                <w:szCs w:val="21"/>
              </w:rPr>
              <w:br/>
            </w:r>
            <w:r>
              <w:rPr>
                <w:rFonts w:asciiTheme="minorHAnsi" w:hAnsiTheme="minorHAnsi"/>
                <w:sz w:val="21"/>
                <w:szCs w:val="21"/>
              </w:rPr>
              <w:br/>
            </w: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En cours</w:t>
            </w:r>
          </w:p>
        </w:tc>
        <w:tc>
          <w:tcPr>
            <w:tcW w:w="1960" w:type="dxa"/>
            <w:tcBorders>
              <w:top w:val="single" w:sz="4" w:space="0" w:color="auto"/>
              <w:left w:val="single" w:sz="4" w:space="0" w:color="auto"/>
              <w:bottom w:val="single" w:sz="4" w:space="0" w:color="auto"/>
              <w:right w:val="single" w:sz="4" w:space="0" w:color="auto"/>
            </w:tcBorders>
            <w:tcMar>
              <w:left w:w="85" w:type="dxa"/>
              <w:right w:w="85" w:type="dxa"/>
            </w:tcMar>
          </w:tcPr>
          <w:p w:rsidR="00AD132A" w:rsidRPr="00A62EF7" w:rsidRDefault="00AD132A" w:rsidP="00AD132A">
            <w:pPr>
              <w:spacing w:before="40" w:after="40"/>
              <w:rPr>
                <w:rFonts w:asciiTheme="minorHAnsi" w:hAnsiTheme="minorHAnsi"/>
                <w:sz w:val="21"/>
                <w:szCs w:val="21"/>
              </w:rPr>
            </w:pPr>
            <w:r>
              <w:rPr>
                <w:rFonts w:asciiTheme="minorHAnsi" w:hAnsiTheme="minorHAnsi"/>
                <w:sz w:val="21"/>
                <w:szCs w:val="21"/>
              </w:rPr>
              <w:br/>
            </w:r>
            <w:r>
              <w:rPr>
                <w:rFonts w:asciiTheme="minorHAnsi" w:hAnsiTheme="minorHAnsi"/>
                <w:sz w:val="21"/>
                <w:szCs w:val="21"/>
              </w:rPr>
              <w:br/>
            </w:r>
            <w:r>
              <w:rPr>
                <w:rFonts w:asciiTheme="minorHAnsi" w:hAnsiTheme="minorHAnsi"/>
                <w:sz w:val="21"/>
                <w:szCs w:val="21"/>
              </w:rPr>
              <w:br/>
            </w:r>
            <w:r>
              <w:rPr>
                <w:rFonts w:asciiTheme="minorHAnsi" w:hAnsiTheme="minorHAnsi"/>
                <w:sz w:val="21"/>
                <w:szCs w:val="21"/>
              </w:rPr>
              <w:br/>
            </w: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En cours</w:t>
            </w:r>
          </w:p>
        </w:tc>
      </w:tr>
      <w:tr w:rsidR="001F0386" w:rsidRPr="00A62EF7" w:rsidTr="004077CB">
        <w:trPr>
          <w:cantSplit/>
          <w:tblHeader/>
          <w:jc w:val="center"/>
        </w:trPr>
        <w:tc>
          <w:tcPr>
            <w:tcW w:w="809"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172098" w:rsidP="00172098">
            <w:pPr>
              <w:spacing w:before="40" w:after="40"/>
              <w:rPr>
                <w:rFonts w:asciiTheme="minorHAnsi" w:hAnsiTheme="minorHAnsi"/>
                <w:b/>
                <w:sz w:val="21"/>
                <w:szCs w:val="21"/>
              </w:rPr>
            </w:pPr>
            <w:r w:rsidRPr="00A62EF7">
              <w:rPr>
                <w:rFonts w:asciiTheme="minorHAnsi" w:hAnsiTheme="minorHAnsi"/>
                <w:b/>
                <w:sz w:val="21"/>
                <w:szCs w:val="21"/>
              </w:rPr>
              <w:t>Prop. n° 8</w:t>
            </w:r>
          </w:p>
          <w:p w:rsidR="00172098" w:rsidRPr="00A62EF7" w:rsidRDefault="00172098" w:rsidP="00172098">
            <w:pPr>
              <w:spacing w:before="40" w:after="40"/>
              <w:rPr>
                <w:rFonts w:asciiTheme="minorHAnsi" w:hAnsiTheme="minorHAnsi"/>
                <w:b/>
                <w:sz w:val="21"/>
                <w:szCs w:val="21"/>
              </w:rPr>
            </w:pPr>
            <w:r w:rsidRPr="00A62EF7">
              <w:rPr>
                <w:rFonts w:asciiTheme="minorHAnsi" w:hAnsiTheme="minorHAnsi"/>
                <w:b/>
                <w:sz w:val="21"/>
                <w:szCs w:val="21"/>
              </w:rPr>
              <w:t>2013</w:t>
            </w:r>
          </w:p>
        </w:tc>
        <w:tc>
          <w:tcPr>
            <w:tcW w:w="2410"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D132A" w:rsidRDefault="00172098" w:rsidP="00172098">
            <w:pPr>
              <w:spacing w:before="40" w:after="40"/>
              <w:rPr>
                <w:rFonts w:asciiTheme="minorHAnsi" w:hAnsiTheme="minorHAnsi"/>
                <w:b/>
                <w:bCs/>
                <w:sz w:val="21"/>
                <w:szCs w:val="21"/>
              </w:rPr>
            </w:pPr>
            <w:r w:rsidRPr="00AD132A">
              <w:rPr>
                <w:rFonts w:asciiTheme="minorHAnsi" w:hAnsiTheme="minorHAnsi"/>
                <w:b/>
                <w:bCs/>
                <w:sz w:val="21"/>
                <w:szCs w:val="21"/>
              </w:rPr>
              <w:t>Participation des pays en développement aux manifestations</w:t>
            </w: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Nous reconnaissons les efforts déployés par la direction pour faciliter la participation des pays en développement, notamment dans le cadre du suivi des recommandations et des propositions formulées dans le rapport de l'an dernier (voir la proposition N° 7/2012), et lui proposons de poursuivre ses efforts pour mettre en œuvre des mesures destinées à aider ces pays, en augmentant par exemple le nombre d'initiatives qui leur sont consacrées.</w:t>
            </w:r>
          </w:p>
        </w:tc>
        <w:tc>
          <w:tcPr>
            <w:tcW w:w="2551"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AD132A" w:rsidP="00172098">
            <w:pPr>
              <w:spacing w:before="40" w:after="40"/>
              <w:rPr>
                <w:rFonts w:asciiTheme="minorHAnsi" w:hAnsiTheme="minorHAnsi"/>
                <w:sz w:val="21"/>
                <w:szCs w:val="21"/>
              </w:rPr>
            </w:pPr>
            <w:r>
              <w:rPr>
                <w:rFonts w:asciiTheme="minorHAnsi" w:hAnsiTheme="minorHAnsi"/>
                <w:sz w:val="21"/>
                <w:szCs w:val="21"/>
              </w:rPr>
              <w:br/>
            </w:r>
            <w:r>
              <w:rPr>
                <w:rFonts w:asciiTheme="minorHAnsi" w:hAnsiTheme="minorHAnsi"/>
                <w:sz w:val="21"/>
                <w:szCs w:val="21"/>
              </w:rPr>
              <w:br/>
            </w: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Nous poursuivrons nos efforts pour faciliter la participation des pays en développement ainsi que pour mettre en œuvre des mesures destinées à aider ces pays, et nous étudierons la possibilité d'augmenter le nombre d'initiatives et les ressources financières qui leur sont affectées, en fonction des contraintes financières de l'Union.</w:t>
            </w:r>
          </w:p>
        </w:tc>
        <w:tc>
          <w:tcPr>
            <w:tcW w:w="1862"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AD132A" w:rsidP="00172098">
            <w:pPr>
              <w:spacing w:before="40" w:after="40"/>
              <w:rPr>
                <w:rFonts w:asciiTheme="minorHAnsi" w:hAnsiTheme="minorHAnsi"/>
                <w:sz w:val="21"/>
                <w:szCs w:val="21"/>
              </w:rPr>
            </w:pPr>
            <w:r>
              <w:rPr>
                <w:rFonts w:asciiTheme="minorHAnsi" w:hAnsiTheme="minorHAnsi"/>
                <w:sz w:val="21"/>
                <w:szCs w:val="21"/>
              </w:rPr>
              <w:br/>
            </w:r>
            <w:r>
              <w:rPr>
                <w:rFonts w:asciiTheme="minorHAnsi" w:hAnsiTheme="minorHAnsi"/>
                <w:sz w:val="21"/>
                <w:szCs w:val="21"/>
              </w:rPr>
              <w:br/>
            </w: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En cours</w:t>
            </w:r>
          </w:p>
        </w:tc>
        <w:tc>
          <w:tcPr>
            <w:tcW w:w="1960"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AD132A" w:rsidP="00172098">
            <w:pPr>
              <w:spacing w:before="40" w:after="40"/>
              <w:rPr>
                <w:rFonts w:asciiTheme="minorHAnsi" w:hAnsiTheme="minorHAnsi"/>
                <w:sz w:val="21"/>
                <w:szCs w:val="21"/>
              </w:rPr>
            </w:pPr>
            <w:r>
              <w:rPr>
                <w:rFonts w:asciiTheme="minorHAnsi" w:hAnsiTheme="minorHAnsi"/>
                <w:sz w:val="21"/>
                <w:szCs w:val="21"/>
              </w:rPr>
              <w:br/>
            </w:r>
            <w:r>
              <w:rPr>
                <w:rFonts w:asciiTheme="minorHAnsi" w:hAnsiTheme="minorHAnsi"/>
                <w:sz w:val="21"/>
                <w:szCs w:val="21"/>
              </w:rPr>
              <w:br/>
            </w: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En cours</w:t>
            </w:r>
          </w:p>
        </w:tc>
      </w:tr>
      <w:tr w:rsidR="001F0386" w:rsidRPr="00A62EF7" w:rsidTr="004077CB">
        <w:trPr>
          <w:cantSplit/>
          <w:tblHeader/>
          <w:jc w:val="center"/>
        </w:trPr>
        <w:tc>
          <w:tcPr>
            <w:tcW w:w="809"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172098" w:rsidP="00172098">
            <w:pPr>
              <w:spacing w:before="40" w:after="40"/>
              <w:rPr>
                <w:rFonts w:asciiTheme="minorHAnsi" w:hAnsiTheme="minorHAnsi"/>
                <w:b/>
                <w:sz w:val="21"/>
                <w:szCs w:val="21"/>
              </w:rPr>
            </w:pPr>
            <w:r w:rsidRPr="00A62EF7">
              <w:rPr>
                <w:rFonts w:asciiTheme="minorHAnsi" w:hAnsiTheme="minorHAnsi"/>
                <w:b/>
                <w:sz w:val="21"/>
                <w:szCs w:val="21"/>
              </w:rPr>
              <w:t>Prop. n° 9</w:t>
            </w:r>
          </w:p>
          <w:p w:rsidR="00172098" w:rsidRPr="00A62EF7" w:rsidRDefault="00172098" w:rsidP="00172098">
            <w:pPr>
              <w:spacing w:before="40" w:after="40"/>
              <w:rPr>
                <w:rFonts w:asciiTheme="minorHAnsi" w:hAnsiTheme="minorHAnsi"/>
                <w:b/>
                <w:sz w:val="21"/>
                <w:szCs w:val="21"/>
              </w:rPr>
            </w:pPr>
            <w:r w:rsidRPr="00A62EF7">
              <w:rPr>
                <w:rFonts w:asciiTheme="minorHAnsi" w:hAnsiTheme="minorHAnsi"/>
                <w:b/>
                <w:sz w:val="21"/>
                <w:szCs w:val="21"/>
              </w:rPr>
              <w:t>2013</w:t>
            </w:r>
          </w:p>
        </w:tc>
        <w:tc>
          <w:tcPr>
            <w:tcW w:w="2410"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D132A" w:rsidRDefault="00172098" w:rsidP="00AD132A">
            <w:pPr>
              <w:spacing w:before="40" w:after="40"/>
              <w:rPr>
                <w:rFonts w:asciiTheme="minorHAnsi" w:hAnsiTheme="minorHAnsi"/>
                <w:b/>
                <w:bCs/>
                <w:sz w:val="21"/>
                <w:szCs w:val="21"/>
              </w:rPr>
            </w:pPr>
            <w:r w:rsidRPr="00AD132A">
              <w:rPr>
                <w:rFonts w:asciiTheme="minorHAnsi" w:hAnsiTheme="minorHAnsi"/>
                <w:b/>
                <w:bCs/>
                <w:sz w:val="21"/>
                <w:szCs w:val="21"/>
              </w:rPr>
              <w:t>Répartition hommes/femmes</w:t>
            </w: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Même si la parité hommes/femmes ne peut être un critère de participation au Forum, nous proposons à l'Union d'examiner cette question et de réfléchir à un moyen de corriger ce déséquilibre.</w:t>
            </w:r>
          </w:p>
        </w:tc>
        <w:tc>
          <w:tcPr>
            <w:tcW w:w="2551" w:type="dxa"/>
            <w:tcBorders>
              <w:top w:val="single" w:sz="4" w:space="0" w:color="auto"/>
              <w:left w:val="single" w:sz="4" w:space="0" w:color="auto"/>
              <w:bottom w:val="single" w:sz="4" w:space="0" w:color="auto"/>
              <w:right w:val="single" w:sz="4" w:space="0" w:color="auto"/>
            </w:tcBorders>
            <w:tcMar>
              <w:left w:w="85" w:type="dxa"/>
              <w:right w:w="85" w:type="dxa"/>
            </w:tcMar>
          </w:tcPr>
          <w:p w:rsidR="00AD132A" w:rsidRDefault="00AD132A" w:rsidP="00172098">
            <w:pPr>
              <w:spacing w:before="40" w:after="40"/>
              <w:rPr>
                <w:rFonts w:asciiTheme="minorHAnsi" w:hAnsiTheme="minorHAnsi"/>
                <w:sz w:val="21"/>
                <w:szCs w:val="21"/>
              </w:rPr>
            </w:pPr>
            <w:r>
              <w:rPr>
                <w:rFonts w:asciiTheme="minorHAnsi" w:hAnsiTheme="minorHAnsi"/>
                <w:sz w:val="21"/>
                <w:szCs w:val="21"/>
              </w:rPr>
              <w:br/>
            </w: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Nous poursuivrons nos efforts pour améliorer la parité hommes/femmes pour ce qui est de la participation.</w:t>
            </w:r>
          </w:p>
        </w:tc>
        <w:tc>
          <w:tcPr>
            <w:tcW w:w="1862" w:type="dxa"/>
            <w:tcBorders>
              <w:top w:val="single" w:sz="4" w:space="0" w:color="auto"/>
              <w:left w:val="single" w:sz="4" w:space="0" w:color="auto"/>
              <w:bottom w:val="single" w:sz="4" w:space="0" w:color="auto"/>
              <w:right w:val="single" w:sz="4" w:space="0" w:color="auto"/>
            </w:tcBorders>
            <w:tcMar>
              <w:left w:w="85" w:type="dxa"/>
              <w:right w:w="85" w:type="dxa"/>
            </w:tcMar>
          </w:tcPr>
          <w:p w:rsidR="00AD132A" w:rsidRDefault="00AD132A" w:rsidP="00172098">
            <w:pPr>
              <w:spacing w:before="40" w:after="40"/>
              <w:rPr>
                <w:rFonts w:asciiTheme="minorHAnsi" w:hAnsiTheme="minorHAnsi"/>
                <w:sz w:val="21"/>
                <w:szCs w:val="21"/>
              </w:rPr>
            </w:pPr>
          </w:p>
          <w:p w:rsidR="00172098" w:rsidRPr="00A62EF7" w:rsidRDefault="00AD132A" w:rsidP="00172098">
            <w:pPr>
              <w:spacing w:before="40" w:after="40"/>
              <w:rPr>
                <w:rFonts w:asciiTheme="minorHAnsi" w:hAnsiTheme="minorHAnsi"/>
                <w:sz w:val="21"/>
                <w:szCs w:val="21"/>
              </w:rPr>
            </w:pPr>
            <w:r>
              <w:rPr>
                <w:rFonts w:asciiTheme="minorHAnsi" w:hAnsiTheme="minorHAnsi"/>
                <w:sz w:val="21"/>
                <w:szCs w:val="21"/>
              </w:rPr>
              <w:br/>
            </w:r>
            <w:r w:rsidR="00172098" w:rsidRPr="00A62EF7">
              <w:rPr>
                <w:rFonts w:asciiTheme="minorHAnsi" w:hAnsiTheme="minorHAnsi"/>
                <w:sz w:val="21"/>
                <w:szCs w:val="21"/>
              </w:rPr>
              <w:t xml:space="preserve">Des améliorations ont été apportées mais l'UIT devra poursuivre ses efforts pour améliorer encore la parité hommes/femmes pour ce qui est de la participation. </w:t>
            </w:r>
          </w:p>
        </w:tc>
        <w:tc>
          <w:tcPr>
            <w:tcW w:w="1960" w:type="dxa"/>
            <w:tcBorders>
              <w:top w:val="single" w:sz="4" w:space="0" w:color="auto"/>
              <w:left w:val="single" w:sz="4" w:space="0" w:color="auto"/>
              <w:bottom w:val="single" w:sz="4" w:space="0" w:color="auto"/>
              <w:right w:val="single" w:sz="4" w:space="0" w:color="auto"/>
            </w:tcBorders>
            <w:tcMar>
              <w:left w:w="85" w:type="dxa"/>
              <w:right w:w="85" w:type="dxa"/>
            </w:tcMar>
          </w:tcPr>
          <w:p w:rsidR="00AD132A" w:rsidRDefault="00AD132A" w:rsidP="00172098">
            <w:pPr>
              <w:spacing w:before="40" w:after="40"/>
              <w:rPr>
                <w:rFonts w:asciiTheme="minorHAnsi" w:hAnsiTheme="minorHAnsi"/>
                <w:sz w:val="21"/>
                <w:szCs w:val="21"/>
              </w:rPr>
            </w:pPr>
          </w:p>
          <w:p w:rsidR="00172098" w:rsidRPr="00A62EF7" w:rsidRDefault="00AD132A" w:rsidP="00172098">
            <w:pPr>
              <w:spacing w:before="40" w:after="40"/>
              <w:rPr>
                <w:rFonts w:asciiTheme="minorHAnsi" w:hAnsiTheme="minorHAnsi"/>
                <w:sz w:val="21"/>
                <w:szCs w:val="21"/>
              </w:rPr>
            </w:pPr>
            <w:r>
              <w:rPr>
                <w:rFonts w:asciiTheme="minorHAnsi" w:hAnsiTheme="minorHAnsi"/>
                <w:sz w:val="21"/>
                <w:szCs w:val="21"/>
              </w:rPr>
              <w:br/>
            </w:r>
            <w:r w:rsidR="00172098" w:rsidRPr="00A62EF7">
              <w:rPr>
                <w:rFonts w:asciiTheme="minorHAnsi" w:hAnsiTheme="minorHAnsi"/>
                <w:sz w:val="21"/>
                <w:szCs w:val="21"/>
              </w:rPr>
              <w:t>En cours</w:t>
            </w:r>
          </w:p>
        </w:tc>
      </w:tr>
      <w:tr w:rsidR="001F0386" w:rsidRPr="00A62EF7" w:rsidTr="004077CB">
        <w:trPr>
          <w:cantSplit/>
          <w:tblHeader/>
          <w:jc w:val="center"/>
        </w:trPr>
        <w:tc>
          <w:tcPr>
            <w:tcW w:w="809"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172098" w:rsidP="00172098">
            <w:pPr>
              <w:spacing w:before="40" w:after="40"/>
              <w:rPr>
                <w:rFonts w:asciiTheme="minorHAnsi" w:hAnsiTheme="minorHAnsi"/>
                <w:b/>
                <w:sz w:val="21"/>
                <w:szCs w:val="21"/>
              </w:rPr>
            </w:pPr>
            <w:r w:rsidRPr="00A62EF7">
              <w:rPr>
                <w:rFonts w:asciiTheme="minorHAnsi" w:hAnsiTheme="minorHAnsi"/>
                <w:b/>
                <w:sz w:val="21"/>
                <w:szCs w:val="21"/>
              </w:rPr>
              <w:t>Prop. n° 10</w:t>
            </w:r>
          </w:p>
          <w:p w:rsidR="00172098" w:rsidRPr="00A62EF7" w:rsidRDefault="00172098" w:rsidP="00172098">
            <w:pPr>
              <w:spacing w:before="40" w:after="40"/>
              <w:rPr>
                <w:rFonts w:asciiTheme="minorHAnsi" w:hAnsiTheme="minorHAnsi"/>
                <w:b/>
                <w:sz w:val="21"/>
                <w:szCs w:val="21"/>
              </w:rPr>
            </w:pPr>
            <w:r w:rsidRPr="00A62EF7">
              <w:rPr>
                <w:rFonts w:asciiTheme="minorHAnsi" w:hAnsiTheme="minorHAnsi"/>
                <w:b/>
                <w:sz w:val="21"/>
                <w:szCs w:val="21"/>
              </w:rPr>
              <w:t>2013</w:t>
            </w:r>
          </w:p>
        </w:tc>
        <w:tc>
          <w:tcPr>
            <w:tcW w:w="2410" w:type="dxa"/>
            <w:tcBorders>
              <w:top w:val="single" w:sz="4" w:space="0" w:color="auto"/>
              <w:left w:val="single" w:sz="4" w:space="0" w:color="auto"/>
              <w:bottom w:val="single" w:sz="4" w:space="0" w:color="auto"/>
              <w:right w:val="single" w:sz="4" w:space="0" w:color="auto"/>
            </w:tcBorders>
            <w:tcMar>
              <w:left w:w="85" w:type="dxa"/>
              <w:right w:w="85" w:type="dxa"/>
            </w:tcMar>
          </w:tcPr>
          <w:p w:rsidR="00172098" w:rsidRPr="00A62EF7" w:rsidRDefault="00172098" w:rsidP="00AD132A">
            <w:pPr>
              <w:spacing w:before="40" w:after="40"/>
              <w:rPr>
                <w:rFonts w:asciiTheme="minorHAnsi" w:hAnsiTheme="minorHAnsi"/>
                <w:sz w:val="21"/>
                <w:szCs w:val="21"/>
              </w:rPr>
            </w:pPr>
            <w:r w:rsidRPr="00AD132A">
              <w:rPr>
                <w:rFonts w:asciiTheme="minorHAnsi" w:hAnsiTheme="minorHAnsi"/>
                <w:b/>
                <w:bCs/>
                <w:sz w:val="21"/>
                <w:szCs w:val="21"/>
              </w:rPr>
              <w:t>Affaiblissement éventuel de l'image de la manifestation ITU Telecom World</w:t>
            </w: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Nous sommes d'avis que la direction doit envisager de repenser la manifestation dans son ensemble et de réexaminer sa structure, afin de préserver ou de modifier l'image même de la manifestation.</w:t>
            </w: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Etant donné que ces décisions relèvent de la Conférence de plénipotentiaires et sont portées à son attention, nous proposons à la direction de présenter une étude sur la question pour aider la Conférence de plénipotentiaires à prendre des décisions opportunes.</w:t>
            </w:r>
          </w:p>
        </w:tc>
        <w:tc>
          <w:tcPr>
            <w:tcW w:w="2551" w:type="dxa"/>
            <w:tcBorders>
              <w:top w:val="single" w:sz="4" w:space="0" w:color="auto"/>
              <w:left w:val="single" w:sz="4" w:space="0" w:color="auto"/>
              <w:bottom w:val="single" w:sz="4" w:space="0" w:color="auto"/>
              <w:right w:val="single" w:sz="4" w:space="0" w:color="auto"/>
            </w:tcBorders>
            <w:tcMar>
              <w:left w:w="85" w:type="dxa"/>
              <w:right w:w="85" w:type="dxa"/>
            </w:tcMar>
          </w:tcPr>
          <w:p w:rsidR="00AD132A" w:rsidRDefault="00AD132A" w:rsidP="00172098">
            <w:pPr>
              <w:spacing w:before="40" w:after="40"/>
              <w:rPr>
                <w:rFonts w:asciiTheme="minorHAnsi" w:hAnsiTheme="minorHAnsi"/>
                <w:sz w:val="21"/>
                <w:szCs w:val="21"/>
              </w:rPr>
            </w:pPr>
            <w:r>
              <w:rPr>
                <w:rFonts w:asciiTheme="minorHAnsi" w:hAnsiTheme="minorHAnsi"/>
                <w:sz w:val="21"/>
                <w:szCs w:val="21"/>
              </w:rPr>
              <w:br/>
            </w:r>
            <w:r>
              <w:rPr>
                <w:rFonts w:asciiTheme="minorHAnsi" w:hAnsiTheme="minorHAnsi"/>
                <w:sz w:val="21"/>
                <w:szCs w:val="21"/>
              </w:rPr>
              <w:br/>
            </w:r>
            <w:r>
              <w:rPr>
                <w:rFonts w:asciiTheme="minorHAnsi" w:hAnsiTheme="minorHAnsi"/>
                <w:sz w:val="21"/>
                <w:szCs w:val="21"/>
              </w:rPr>
              <w:br/>
            </w: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La restructuration d'ITU Telecom qui a débuté après la PP-10 s'est révélée être efficace, comme le confirment les résultats financiers et les différentes enquêtes menées. Nous poursuivrons nos efforts afin de mettre en avant les points forts d'ITU Telecom et de redonner à cette manifestation toute son importance.</w:t>
            </w:r>
          </w:p>
        </w:tc>
        <w:tc>
          <w:tcPr>
            <w:tcW w:w="1862" w:type="dxa"/>
            <w:tcBorders>
              <w:top w:val="single" w:sz="4" w:space="0" w:color="auto"/>
              <w:left w:val="single" w:sz="4" w:space="0" w:color="auto"/>
              <w:bottom w:val="single" w:sz="4" w:space="0" w:color="auto"/>
              <w:right w:val="single" w:sz="4" w:space="0" w:color="auto"/>
            </w:tcBorders>
            <w:tcMar>
              <w:left w:w="85" w:type="dxa"/>
              <w:right w:w="85" w:type="dxa"/>
            </w:tcMar>
          </w:tcPr>
          <w:p w:rsidR="00AD132A" w:rsidRDefault="00AD132A" w:rsidP="00AD132A">
            <w:pPr>
              <w:spacing w:before="40" w:after="40"/>
              <w:rPr>
                <w:rFonts w:asciiTheme="minorHAnsi" w:hAnsiTheme="minorHAnsi"/>
                <w:sz w:val="21"/>
                <w:szCs w:val="21"/>
              </w:rPr>
            </w:pPr>
            <w:r>
              <w:rPr>
                <w:rFonts w:asciiTheme="minorHAnsi" w:hAnsiTheme="minorHAnsi"/>
                <w:sz w:val="21"/>
                <w:szCs w:val="21"/>
              </w:rPr>
              <w:br/>
            </w:r>
            <w:r>
              <w:rPr>
                <w:rFonts w:asciiTheme="minorHAnsi" w:hAnsiTheme="minorHAnsi"/>
                <w:sz w:val="21"/>
                <w:szCs w:val="21"/>
              </w:rPr>
              <w:br/>
            </w:r>
            <w:r>
              <w:rPr>
                <w:rFonts w:asciiTheme="minorHAnsi" w:hAnsiTheme="minorHAnsi"/>
                <w:sz w:val="21"/>
                <w:szCs w:val="21"/>
              </w:rPr>
              <w:br/>
            </w: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A partir de 2015, ITU Telecom entrera dans une période de transition au cours de laquelle la manifestation se présentera comme une plate-forme internationale axée sur l'entreprenariat dans le secteur des TIC et les initiatives à l'appui des PME.</w:t>
            </w: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 xml:space="preserve">Ce repositionnement permettra de redéfinir l'image et la pertinence de la manifestation. </w:t>
            </w:r>
          </w:p>
        </w:tc>
        <w:tc>
          <w:tcPr>
            <w:tcW w:w="1960" w:type="dxa"/>
            <w:tcBorders>
              <w:top w:val="single" w:sz="4" w:space="0" w:color="auto"/>
              <w:left w:val="single" w:sz="4" w:space="0" w:color="auto"/>
              <w:bottom w:val="single" w:sz="4" w:space="0" w:color="auto"/>
              <w:right w:val="single" w:sz="4" w:space="0" w:color="auto"/>
            </w:tcBorders>
            <w:tcMar>
              <w:left w:w="85" w:type="dxa"/>
              <w:right w:w="85" w:type="dxa"/>
            </w:tcMar>
          </w:tcPr>
          <w:p w:rsidR="00AD132A" w:rsidRDefault="00AD132A" w:rsidP="00AD132A">
            <w:pPr>
              <w:spacing w:before="40" w:after="40"/>
              <w:rPr>
                <w:rFonts w:asciiTheme="minorHAnsi" w:hAnsiTheme="minorHAnsi"/>
                <w:sz w:val="21"/>
                <w:szCs w:val="21"/>
              </w:rPr>
            </w:pPr>
            <w:r>
              <w:rPr>
                <w:rFonts w:asciiTheme="minorHAnsi" w:hAnsiTheme="minorHAnsi"/>
                <w:sz w:val="21"/>
                <w:szCs w:val="21"/>
              </w:rPr>
              <w:br/>
            </w:r>
            <w:r>
              <w:rPr>
                <w:rFonts w:asciiTheme="minorHAnsi" w:hAnsiTheme="minorHAnsi"/>
                <w:sz w:val="21"/>
                <w:szCs w:val="21"/>
              </w:rPr>
              <w:br/>
            </w:r>
            <w:r>
              <w:rPr>
                <w:rFonts w:asciiTheme="minorHAnsi" w:hAnsiTheme="minorHAnsi"/>
                <w:sz w:val="21"/>
                <w:szCs w:val="21"/>
              </w:rPr>
              <w:br/>
            </w:r>
          </w:p>
          <w:p w:rsidR="00172098" w:rsidRPr="00A62EF7" w:rsidRDefault="00172098" w:rsidP="00172098">
            <w:pPr>
              <w:spacing w:before="40" w:after="40"/>
              <w:rPr>
                <w:rFonts w:asciiTheme="minorHAnsi" w:hAnsiTheme="minorHAnsi"/>
                <w:sz w:val="21"/>
                <w:szCs w:val="21"/>
              </w:rPr>
            </w:pPr>
            <w:r w:rsidRPr="00A62EF7">
              <w:rPr>
                <w:rFonts w:asciiTheme="minorHAnsi" w:hAnsiTheme="minorHAnsi"/>
                <w:sz w:val="21"/>
                <w:szCs w:val="21"/>
              </w:rPr>
              <w:t>En cours</w:t>
            </w:r>
          </w:p>
        </w:tc>
      </w:tr>
    </w:tbl>
    <w:p w:rsidR="00172098" w:rsidRPr="00A62EF7" w:rsidRDefault="00172098" w:rsidP="00172098"/>
    <w:p w:rsidR="00172098" w:rsidRPr="00A62EF7" w:rsidRDefault="00172098" w:rsidP="00C22589">
      <w:pPr>
        <w:pStyle w:val="Reasons"/>
      </w:pPr>
    </w:p>
    <w:p w:rsidR="00172098" w:rsidRPr="00A62EF7" w:rsidRDefault="00172098">
      <w:pPr>
        <w:jc w:val="center"/>
      </w:pPr>
      <w:r w:rsidRPr="00A62EF7">
        <w:t>______________</w:t>
      </w:r>
    </w:p>
    <w:p w:rsidR="00172098" w:rsidRPr="00A62EF7" w:rsidRDefault="00172098" w:rsidP="00172098"/>
    <w:sectPr w:rsidR="00172098" w:rsidRPr="00A62EF7" w:rsidSect="00782619">
      <w:headerReference w:type="even" r:id="rId16"/>
      <w:headerReference w:type="default" r:id="rId17"/>
      <w:footerReference w:type="even" r:id="rId18"/>
      <w:footerReference w:type="default" r:id="rId19"/>
      <w:headerReference w:type="first" r:id="rId20"/>
      <w:footerReference w:type="first" r:id="rId2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FA8" w:rsidRDefault="00BD4FA8">
      <w:r>
        <w:separator/>
      </w:r>
    </w:p>
  </w:endnote>
  <w:endnote w:type="continuationSeparator" w:id="0">
    <w:p w:rsidR="00BD4FA8" w:rsidRDefault="00BD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FA8" w:rsidRPr="00456DE3" w:rsidRDefault="00BD4FA8" w:rsidP="00456DE3">
    <w:pPr>
      <w:pStyle w:val="Footer"/>
    </w:pPr>
    <w:fldSimple w:instr=" FILENAME \p  \* MERGEFORMAT ">
      <w:r>
        <w:t>P:\FRA\SG\CONSEIL\C15\000\066F.docx</w:t>
      </w:r>
    </w:fldSimple>
    <w:r>
      <w:t xml:space="preserve"> (379597)</w:t>
    </w:r>
    <w:r>
      <w:tab/>
    </w:r>
    <w:r>
      <w:fldChar w:fldCharType="begin"/>
    </w:r>
    <w:r>
      <w:instrText xml:space="preserve"> SAVEDATE \@ DD.MM.YY </w:instrText>
    </w:r>
    <w:r>
      <w:fldChar w:fldCharType="separate"/>
    </w:r>
    <w:r>
      <w:t>14.05.15</w:t>
    </w:r>
    <w:r>
      <w:fldChar w:fldCharType="end"/>
    </w:r>
    <w:r>
      <w:tab/>
    </w:r>
    <w:r>
      <w:fldChar w:fldCharType="begin"/>
    </w:r>
    <w:r>
      <w:instrText xml:space="preserve"> PRINTDATE \@ DD.MM.YY </w:instrText>
    </w:r>
    <w:r>
      <w:fldChar w:fldCharType="separate"/>
    </w:r>
    <w:r>
      <w:t>14.05.15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FA8" w:rsidRDefault="00BD4FA8" w:rsidP="00456DE3">
    <w:pPr>
      <w:spacing w:after="120"/>
      <w:jc w:val="center"/>
    </w:pPr>
    <w:r>
      <w:t xml:space="preserve">• </w:t>
    </w:r>
    <w:hyperlink r:id="rId1" w:history="1">
      <w:r>
        <w:rPr>
          <w:rStyle w:val="Hyperlink"/>
        </w:rPr>
        <w:t>http://www.itu.int/council</w:t>
      </w:r>
    </w:hyperlink>
    <w:r>
      <w:t xml:space="preserve"> •</w:t>
    </w:r>
  </w:p>
  <w:p w:rsidR="00BD4FA8" w:rsidRPr="00456DE3" w:rsidRDefault="00BD4FA8" w:rsidP="00456DE3">
    <w:pPr>
      <w:pStyle w:val="Footer"/>
    </w:pPr>
    <w:fldSimple w:instr=" FILENAME \p \* MERGEFORMAT ">
      <w:r>
        <w:t>P:\FRA\SG\CONSEIL\C15\000\066F.docx</w:t>
      </w:r>
    </w:fldSimple>
    <w:r>
      <w:t xml:space="preserve"> (379597)</w:t>
    </w:r>
    <w:r>
      <w:tab/>
    </w:r>
    <w:r>
      <w:fldChar w:fldCharType="begin"/>
    </w:r>
    <w:r>
      <w:instrText xml:space="preserve"> savedate \@ dd.MM.yy </w:instrText>
    </w:r>
    <w:r>
      <w:fldChar w:fldCharType="separate"/>
    </w:r>
    <w:r>
      <w:t>14.05.15</w:t>
    </w:r>
    <w:r>
      <w:fldChar w:fldCharType="end"/>
    </w:r>
    <w:r>
      <w:tab/>
    </w:r>
    <w:r>
      <w:fldChar w:fldCharType="begin"/>
    </w:r>
    <w:r>
      <w:instrText xml:space="preserve"> printdate \@ dd.MM.yy </w:instrText>
    </w:r>
    <w:r>
      <w:fldChar w:fldCharType="separate"/>
    </w:r>
    <w:r>
      <w:t>14.05.15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FA8" w:rsidRDefault="00BD4FA8">
    <w:pPr>
      <w:pStyle w:val="Footer"/>
    </w:pPr>
    <w:fldSimple w:instr=" FILENAME \p \* MERGEFORMAT ">
      <w:r>
        <w:t>P:\FRA\SG\CONSEIL\C15\000\066F.docx</w:t>
      </w:r>
    </w:fldSimple>
    <w:r>
      <w:tab/>
    </w:r>
    <w:r>
      <w:fldChar w:fldCharType="begin"/>
    </w:r>
    <w:r>
      <w:instrText xml:space="preserve"> savedate \@ dd.MM.yy </w:instrText>
    </w:r>
    <w:r>
      <w:fldChar w:fldCharType="separate"/>
    </w:r>
    <w:r>
      <w:t>14.05.15</w:t>
    </w:r>
    <w:r>
      <w:fldChar w:fldCharType="end"/>
    </w:r>
    <w:r>
      <w:tab/>
    </w:r>
    <w:r>
      <w:fldChar w:fldCharType="begin"/>
    </w:r>
    <w:r>
      <w:instrText xml:space="preserve"> printdate \@ dd.MM.yy </w:instrText>
    </w:r>
    <w:r>
      <w:fldChar w:fldCharType="separate"/>
    </w:r>
    <w:r>
      <w:t>14.05.15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FA8" w:rsidRPr="004E45FF" w:rsidRDefault="00BD4FA8" w:rsidP="004E45FF">
    <w:pPr>
      <w:pStyle w:val="Footer"/>
    </w:pPr>
    <w:fldSimple w:instr=" FILENAME \p  \* MERGEFORMAT ">
      <w:r>
        <w:t>P:\FRA\SG\CONSEIL\C15\000\066F.docx</w:t>
      </w:r>
    </w:fldSimple>
    <w:r>
      <w:t xml:space="preserve"> (379597)</w:t>
    </w:r>
    <w:r>
      <w:tab/>
    </w:r>
    <w:r>
      <w:fldChar w:fldCharType="begin"/>
    </w:r>
    <w:r>
      <w:instrText xml:space="preserve"> SAVEDATE \@ DD.MM.YY </w:instrText>
    </w:r>
    <w:r>
      <w:fldChar w:fldCharType="separate"/>
    </w:r>
    <w:r>
      <w:t>14.05.15</w:t>
    </w:r>
    <w:r>
      <w:fldChar w:fldCharType="end"/>
    </w:r>
    <w:r>
      <w:tab/>
    </w:r>
    <w:r>
      <w:fldChar w:fldCharType="begin"/>
    </w:r>
    <w:r>
      <w:instrText xml:space="preserve"> PRINTDATE \@ DD.MM.YY </w:instrText>
    </w:r>
    <w:r>
      <w:fldChar w:fldCharType="separate"/>
    </w:r>
    <w:r>
      <w:t>14.05.15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FA8" w:rsidRPr="004E45FF" w:rsidRDefault="00BD4FA8" w:rsidP="004E45FF">
    <w:pPr>
      <w:pStyle w:val="Footer"/>
    </w:pPr>
    <w:fldSimple w:instr=" FILENAME \p  \* MERGEFORMAT ">
      <w:r>
        <w:t>P:\FRA\SG\CONSEIL\C15\000\066F.docx</w:t>
      </w:r>
    </w:fldSimple>
    <w:r>
      <w:t xml:space="preserve"> (379597)</w:t>
    </w:r>
    <w:r>
      <w:tab/>
    </w:r>
    <w:r>
      <w:fldChar w:fldCharType="begin"/>
    </w:r>
    <w:r>
      <w:instrText xml:space="preserve"> SAVEDATE \@ DD.MM.YY </w:instrText>
    </w:r>
    <w:r>
      <w:fldChar w:fldCharType="separate"/>
    </w:r>
    <w:r>
      <w:t>14.05.15</w:t>
    </w:r>
    <w:r>
      <w:fldChar w:fldCharType="end"/>
    </w:r>
    <w:r>
      <w:tab/>
    </w:r>
    <w:r>
      <w:fldChar w:fldCharType="begin"/>
    </w:r>
    <w:r>
      <w:instrText xml:space="preserve"> PRINTDATE \@ DD.MM.YY </w:instrText>
    </w:r>
    <w:r>
      <w:fldChar w:fldCharType="separate"/>
    </w:r>
    <w:r>
      <w:t>14.05.15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FA8" w:rsidRDefault="00BD4FA8">
      <w:r>
        <w:t>____________________</w:t>
      </w:r>
    </w:p>
  </w:footnote>
  <w:footnote w:type="continuationSeparator" w:id="0">
    <w:p w:rsidR="00BD4FA8" w:rsidRDefault="00BD4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FA8" w:rsidRDefault="00BD4FA8" w:rsidP="00456DE3">
    <w:pPr>
      <w:pStyle w:val="Header"/>
    </w:pPr>
    <w:r>
      <w:fldChar w:fldCharType="begin"/>
    </w:r>
    <w:r>
      <w:instrText>PAGE</w:instrText>
    </w:r>
    <w:r>
      <w:fldChar w:fldCharType="separate"/>
    </w:r>
    <w:r w:rsidR="008232AB">
      <w:rPr>
        <w:noProof/>
      </w:rPr>
      <w:t>19</w:t>
    </w:r>
    <w:r>
      <w:rPr>
        <w:noProof/>
      </w:rPr>
      <w:fldChar w:fldCharType="end"/>
    </w:r>
  </w:p>
  <w:p w:rsidR="00BD4FA8" w:rsidRDefault="00BD4FA8" w:rsidP="00456DE3">
    <w:pPr>
      <w:pStyle w:val="Header"/>
    </w:pPr>
    <w:r>
      <w:t>C15/66-F</w:t>
    </w:r>
  </w:p>
  <w:p w:rsidR="00BD4FA8" w:rsidRDefault="00BD4F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FA8" w:rsidRDefault="00BD4FA8">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BD4FA8" w:rsidRDefault="00BD4FA8">
    <w:pPr>
      <w:pStyle w:val="Header"/>
    </w:pPr>
    <w:r>
      <w:t>C2001/#-F</w:t>
    </w:r>
  </w:p>
  <w:p w:rsidR="00BD4FA8" w:rsidRDefault="00BD4FA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FA8" w:rsidRDefault="00BD4FA8" w:rsidP="00475FB3">
    <w:pPr>
      <w:pStyle w:val="Header"/>
    </w:pPr>
    <w:r>
      <w:fldChar w:fldCharType="begin"/>
    </w:r>
    <w:r>
      <w:instrText>PAGE</w:instrText>
    </w:r>
    <w:r>
      <w:fldChar w:fldCharType="separate"/>
    </w:r>
    <w:r w:rsidR="008232AB">
      <w:rPr>
        <w:noProof/>
      </w:rPr>
      <w:t>31</w:t>
    </w:r>
    <w:r>
      <w:rPr>
        <w:noProof/>
      </w:rPr>
      <w:fldChar w:fldCharType="end"/>
    </w:r>
  </w:p>
  <w:p w:rsidR="00BD4FA8" w:rsidRDefault="00BD4FA8" w:rsidP="004E45FF">
    <w:pPr>
      <w:pStyle w:val="Header"/>
    </w:pPr>
    <w:r>
      <w:t>C15/66-F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FA8" w:rsidRDefault="00BD4FA8" w:rsidP="004E45FF">
    <w:pPr>
      <w:pStyle w:val="Header"/>
    </w:pPr>
    <w:r>
      <w:fldChar w:fldCharType="begin"/>
    </w:r>
    <w:r>
      <w:instrText>PAGE</w:instrText>
    </w:r>
    <w:r>
      <w:fldChar w:fldCharType="separate"/>
    </w:r>
    <w:r w:rsidR="008232AB">
      <w:rPr>
        <w:noProof/>
      </w:rPr>
      <w:t>20</w:t>
    </w:r>
    <w:r>
      <w:rPr>
        <w:noProof/>
      </w:rPr>
      <w:fldChar w:fldCharType="end"/>
    </w:r>
  </w:p>
  <w:p w:rsidR="00BD4FA8" w:rsidRDefault="00BD4FA8" w:rsidP="004E45FF">
    <w:pPr>
      <w:pStyle w:val="Header"/>
    </w:pPr>
    <w:r>
      <w:t>C15/66-F</w:t>
    </w:r>
  </w:p>
  <w:p w:rsidR="00BD4FA8" w:rsidRDefault="00BD4F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57CD"/>
    <w:multiLevelType w:val="hybridMultilevel"/>
    <w:tmpl w:val="CC68386E"/>
    <w:lvl w:ilvl="0" w:tplc="FFFFFFFF">
      <w:start w:val="1"/>
      <w:numFmt w:val="decimal"/>
      <w:pStyle w:val="testobase"/>
      <w:lvlText w:val="%1."/>
      <w:lvlJc w:val="left"/>
      <w:pPr>
        <w:ind w:left="420" w:hanging="420"/>
      </w:pPr>
      <w:rPr>
        <w:rFonts w:hint="default"/>
        <w:lang w:val="en-U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nsid w:val="048B7612"/>
    <w:multiLevelType w:val="hybridMultilevel"/>
    <w:tmpl w:val="9A820C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90378DB"/>
    <w:multiLevelType w:val="hybridMultilevel"/>
    <w:tmpl w:val="7786ECE6"/>
    <w:lvl w:ilvl="0" w:tplc="FFFFFFFF">
      <w:start w:val="1"/>
      <w:numFmt w:val="decimal"/>
      <w:lvlText w:val="%1."/>
      <w:lvlJc w:val="left"/>
      <w:pPr>
        <w:ind w:left="928"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D0534F9"/>
    <w:multiLevelType w:val="hybridMultilevel"/>
    <w:tmpl w:val="54222656"/>
    <w:lvl w:ilvl="0" w:tplc="FFFFFFFF">
      <w:start w:val="1"/>
      <w:numFmt w:val="decimal"/>
      <w:lvlText w:val="%1."/>
      <w:lvlJc w:val="left"/>
      <w:pPr>
        <w:ind w:left="928"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11B7F2F"/>
    <w:multiLevelType w:val="hybridMultilevel"/>
    <w:tmpl w:val="4894B788"/>
    <w:lvl w:ilvl="0" w:tplc="FFFFFFFF">
      <w:start w:val="1"/>
      <w:numFmt w:val="decimal"/>
      <w:lvlText w:val="%1."/>
      <w:lvlJc w:val="left"/>
      <w:pPr>
        <w:ind w:left="928"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A390E84"/>
    <w:multiLevelType w:val="hybridMultilevel"/>
    <w:tmpl w:val="3C7263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BA169B8"/>
    <w:multiLevelType w:val="hybridMultilevel"/>
    <w:tmpl w:val="4894B788"/>
    <w:lvl w:ilvl="0" w:tplc="FFFFFFFF">
      <w:start w:val="1"/>
      <w:numFmt w:val="decimal"/>
      <w:lvlText w:val="%1."/>
      <w:lvlJc w:val="left"/>
      <w:pPr>
        <w:ind w:left="928"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D546105"/>
    <w:multiLevelType w:val="hybridMultilevel"/>
    <w:tmpl w:val="7786ECE6"/>
    <w:lvl w:ilvl="0" w:tplc="FFFFFFFF">
      <w:start w:val="1"/>
      <w:numFmt w:val="decimal"/>
      <w:lvlText w:val="%1."/>
      <w:lvlJc w:val="left"/>
      <w:pPr>
        <w:ind w:left="928"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502B5A02"/>
    <w:multiLevelType w:val="hybridMultilevel"/>
    <w:tmpl w:val="FA94A094"/>
    <w:lvl w:ilvl="0" w:tplc="076285B6">
      <w:start w:val="1"/>
      <w:numFmt w:val="decimal"/>
      <w:lvlText w:val="%1."/>
      <w:lvlJc w:val="left"/>
      <w:pPr>
        <w:ind w:left="6031" w:hanging="360"/>
      </w:pPr>
    </w:lvl>
    <w:lvl w:ilvl="1" w:tplc="04090019" w:tentative="1">
      <w:start w:val="1"/>
      <w:numFmt w:val="lowerLetter"/>
      <w:lvlText w:val="%2."/>
      <w:lvlJc w:val="left"/>
      <w:pPr>
        <w:ind w:left="6751" w:hanging="360"/>
      </w:pPr>
    </w:lvl>
    <w:lvl w:ilvl="2" w:tplc="0409001B" w:tentative="1">
      <w:start w:val="1"/>
      <w:numFmt w:val="lowerRoman"/>
      <w:lvlText w:val="%3."/>
      <w:lvlJc w:val="right"/>
      <w:pPr>
        <w:ind w:left="7471" w:hanging="180"/>
      </w:pPr>
    </w:lvl>
    <w:lvl w:ilvl="3" w:tplc="0409000F" w:tentative="1">
      <w:start w:val="1"/>
      <w:numFmt w:val="decimal"/>
      <w:lvlText w:val="%4."/>
      <w:lvlJc w:val="left"/>
      <w:pPr>
        <w:ind w:left="8191" w:hanging="360"/>
      </w:pPr>
    </w:lvl>
    <w:lvl w:ilvl="4" w:tplc="04090019" w:tentative="1">
      <w:start w:val="1"/>
      <w:numFmt w:val="lowerLetter"/>
      <w:lvlText w:val="%5."/>
      <w:lvlJc w:val="left"/>
      <w:pPr>
        <w:ind w:left="8911" w:hanging="360"/>
      </w:pPr>
    </w:lvl>
    <w:lvl w:ilvl="5" w:tplc="0409001B" w:tentative="1">
      <w:start w:val="1"/>
      <w:numFmt w:val="lowerRoman"/>
      <w:lvlText w:val="%6."/>
      <w:lvlJc w:val="right"/>
      <w:pPr>
        <w:ind w:left="9631" w:hanging="180"/>
      </w:pPr>
    </w:lvl>
    <w:lvl w:ilvl="6" w:tplc="0409000F" w:tentative="1">
      <w:start w:val="1"/>
      <w:numFmt w:val="decimal"/>
      <w:lvlText w:val="%7."/>
      <w:lvlJc w:val="left"/>
      <w:pPr>
        <w:ind w:left="10351" w:hanging="360"/>
      </w:pPr>
    </w:lvl>
    <w:lvl w:ilvl="7" w:tplc="04090019" w:tentative="1">
      <w:start w:val="1"/>
      <w:numFmt w:val="lowerLetter"/>
      <w:lvlText w:val="%8."/>
      <w:lvlJc w:val="left"/>
      <w:pPr>
        <w:ind w:left="11071" w:hanging="360"/>
      </w:pPr>
    </w:lvl>
    <w:lvl w:ilvl="8" w:tplc="0409001B" w:tentative="1">
      <w:start w:val="1"/>
      <w:numFmt w:val="lowerRoman"/>
      <w:lvlText w:val="%9."/>
      <w:lvlJc w:val="right"/>
      <w:pPr>
        <w:ind w:left="11791" w:hanging="180"/>
      </w:pPr>
    </w:lvl>
  </w:abstractNum>
  <w:abstractNum w:abstractNumId="9">
    <w:nsid w:val="51D525EB"/>
    <w:multiLevelType w:val="hybridMultilevel"/>
    <w:tmpl w:val="9718EEDC"/>
    <w:lvl w:ilvl="0" w:tplc="FFFFFFFF">
      <w:start w:val="1"/>
      <w:numFmt w:val="lowerLetter"/>
      <w:lvlText w:val="%1)"/>
      <w:lvlJc w:val="left"/>
      <w:pPr>
        <w:ind w:left="785" w:hanging="360"/>
      </w:pPr>
      <w:rPr>
        <w:rFonts w:hint="default"/>
      </w:rPr>
    </w:lvl>
    <w:lvl w:ilvl="1" w:tplc="FFFFFFFF">
      <w:start w:val="1"/>
      <w:numFmt w:val="lowerLetter"/>
      <w:pStyle w:val="elencoconlettere1"/>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0">
    <w:nsid w:val="58AB4F97"/>
    <w:multiLevelType w:val="hybridMultilevel"/>
    <w:tmpl w:val="43C8C3D4"/>
    <w:lvl w:ilvl="0" w:tplc="FFFFFFFF">
      <w:numFmt w:val="bullet"/>
      <w:lvlText w:val="-"/>
      <w:lvlJc w:val="left"/>
      <w:pPr>
        <w:ind w:left="502" w:hanging="360"/>
      </w:pPr>
      <w:rPr>
        <w:rFonts w:ascii="Times New Roman" w:eastAsia="SimSun" w:hAnsi="Times New Roman" w:cs="Times New Roman"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1">
    <w:nsid w:val="674634EA"/>
    <w:multiLevelType w:val="hybridMultilevel"/>
    <w:tmpl w:val="6136F190"/>
    <w:lvl w:ilvl="0" w:tplc="FFFFFFFF">
      <w:start w:val="1"/>
      <w:numFmt w:val="bullet"/>
      <w:pStyle w:val="elencopuntato1"/>
      <w:lvlText w:val=""/>
      <w:lvlJc w:val="left"/>
      <w:pPr>
        <w:ind w:left="1352"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nsid w:val="734E45E1"/>
    <w:multiLevelType w:val="hybridMultilevel"/>
    <w:tmpl w:val="D1A2D6AC"/>
    <w:lvl w:ilvl="0" w:tplc="FFFFFFFF">
      <w:numFmt w:val="bullet"/>
      <w:lvlText w:val="-"/>
      <w:lvlJc w:val="left"/>
      <w:pPr>
        <w:ind w:left="720" w:hanging="360"/>
      </w:pPr>
      <w:rPr>
        <w:rFonts w:ascii="Times New Roman" w:eastAsia="SimSu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74552CF7"/>
    <w:multiLevelType w:val="hybridMultilevel"/>
    <w:tmpl w:val="91922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454D81"/>
    <w:multiLevelType w:val="hybridMultilevel"/>
    <w:tmpl w:val="00702114"/>
    <w:lvl w:ilvl="0" w:tplc="FFFFFFFF">
      <w:start w:val="1"/>
      <w:numFmt w:val="decimal"/>
      <w:lvlText w:val="%1."/>
      <w:lvlJc w:val="left"/>
      <w:pPr>
        <w:ind w:left="1288" w:hanging="360"/>
      </w:p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num w:numId="1">
    <w:abstractNumId w:val="2"/>
  </w:num>
  <w:num w:numId="2">
    <w:abstractNumId w:val="10"/>
  </w:num>
  <w:num w:numId="3">
    <w:abstractNumId w:val="12"/>
  </w:num>
  <w:num w:numId="4">
    <w:abstractNumId w:val="14"/>
  </w:num>
  <w:num w:numId="5">
    <w:abstractNumId w:val="4"/>
  </w:num>
  <w:num w:numId="6">
    <w:abstractNumId w:val="6"/>
  </w:num>
  <w:num w:numId="7">
    <w:abstractNumId w:val="3"/>
  </w:num>
  <w:num w:numId="8">
    <w:abstractNumId w:val="7"/>
  </w:num>
  <w:num w:numId="9">
    <w:abstractNumId w:val="9"/>
  </w:num>
  <w:num w:numId="10">
    <w:abstractNumId w:val="11"/>
  </w:num>
  <w:num w:numId="11">
    <w:abstractNumId w:val="0"/>
  </w:num>
  <w:num w:numId="12">
    <w:abstractNumId w:val="5"/>
  </w:num>
  <w:num w:numId="13">
    <w:abstractNumId w:val="1"/>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082"/>
    <w:rsid w:val="00022E3C"/>
    <w:rsid w:val="0008647E"/>
    <w:rsid w:val="000D0D0A"/>
    <w:rsid w:val="00103163"/>
    <w:rsid w:val="00115D93"/>
    <w:rsid w:val="001247A8"/>
    <w:rsid w:val="001378C0"/>
    <w:rsid w:val="00172098"/>
    <w:rsid w:val="001A3287"/>
    <w:rsid w:val="001D4C31"/>
    <w:rsid w:val="001E4D21"/>
    <w:rsid w:val="001F0386"/>
    <w:rsid w:val="00207CD1"/>
    <w:rsid w:val="00213834"/>
    <w:rsid w:val="002477A2"/>
    <w:rsid w:val="002523F2"/>
    <w:rsid w:val="00263A51"/>
    <w:rsid w:val="002A5D44"/>
    <w:rsid w:val="002D5AA3"/>
    <w:rsid w:val="002F1B76"/>
    <w:rsid w:val="00355FF5"/>
    <w:rsid w:val="00361350"/>
    <w:rsid w:val="003C1C30"/>
    <w:rsid w:val="003C6DD3"/>
    <w:rsid w:val="004038CB"/>
    <w:rsid w:val="00404082"/>
    <w:rsid w:val="0040546F"/>
    <w:rsid w:val="00405FC5"/>
    <w:rsid w:val="004077CB"/>
    <w:rsid w:val="0042404A"/>
    <w:rsid w:val="0044618F"/>
    <w:rsid w:val="00456DE3"/>
    <w:rsid w:val="0046769A"/>
    <w:rsid w:val="00467B76"/>
    <w:rsid w:val="00470597"/>
    <w:rsid w:val="00475FB3"/>
    <w:rsid w:val="00476F90"/>
    <w:rsid w:val="00491A1F"/>
    <w:rsid w:val="004C37A9"/>
    <w:rsid w:val="004E45FF"/>
    <w:rsid w:val="004F259E"/>
    <w:rsid w:val="00540615"/>
    <w:rsid w:val="00540A6D"/>
    <w:rsid w:val="00575417"/>
    <w:rsid w:val="005768E1"/>
    <w:rsid w:val="005A3133"/>
    <w:rsid w:val="005C3890"/>
    <w:rsid w:val="005F7BFE"/>
    <w:rsid w:val="00600017"/>
    <w:rsid w:val="0060643B"/>
    <w:rsid w:val="006643AB"/>
    <w:rsid w:val="007210CD"/>
    <w:rsid w:val="00732045"/>
    <w:rsid w:val="007369DB"/>
    <w:rsid w:val="007561DF"/>
    <w:rsid w:val="0076680D"/>
    <w:rsid w:val="00782619"/>
    <w:rsid w:val="007956C2"/>
    <w:rsid w:val="007A187E"/>
    <w:rsid w:val="007C72C2"/>
    <w:rsid w:val="007D4436"/>
    <w:rsid w:val="007F257A"/>
    <w:rsid w:val="007F3665"/>
    <w:rsid w:val="00800037"/>
    <w:rsid w:val="008232AB"/>
    <w:rsid w:val="00840456"/>
    <w:rsid w:val="00861D73"/>
    <w:rsid w:val="00896367"/>
    <w:rsid w:val="008A4E87"/>
    <w:rsid w:val="008D76E6"/>
    <w:rsid w:val="00916DE2"/>
    <w:rsid w:val="0092392D"/>
    <w:rsid w:val="009278F5"/>
    <w:rsid w:val="009C1776"/>
    <w:rsid w:val="009C307F"/>
    <w:rsid w:val="00A2113E"/>
    <w:rsid w:val="00A23A51"/>
    <w:rsid w:val="00A24607"/>
    <w:rsid w:val="00A25CD3"/>
    <w:rsid w:val="00A62EF7"/>
    <w:rsid w:val="00A82767"/>
    <w:rsid w:val="00AA332F"/>
    <w:rsid w:val="00AA7BBB"/>
    <w:rsid w:val="00AB64A8"/>
    <w:rsid w:val="00AC0266"/>
    <w:rsid w:val="00AD132A"/>
    <w:rsid w:val="00AD24EC"/>
    <w:rsid w:val="00AE4CC4"/>
    <w:rsid w:val="00AE5674"/>
    <w:rsid w:val="00B309F9"/>
    <w:rsid w:val="00B32B60"/>
    <w:rsid w:val="00B61619"/>
    <w:rsid w:val="00BB4545"/>
    <w:rsid w:val="00BB576D"/>
    <w:rsid w:val="00BD4FA8"/>
    <w:rsid w:val="00BD5873"/>
    <w:rsid w:val="00C04BE3"/>
    <w:rsid w:val="00C22589"/>
    <w:rsid w:val="00C25D29"/>
    <w:rsid w:val="00C27A7C"/>
    <w:rsid w:val="00CA08ED"/>
    <w:rsid w:val="00CF183B"/>
    <w:rsid w:val="00D375CD"/>
    <w:rsid w:val="00D774D3"/>
    <w:rsid w:val="00D904E8"/>
    <w:rsid w:val="00DA08C3"/>
    <w:rsid w:val="00DC22AA"/>
    <w:rsid w:val="00DC6576"/>
    <w:rsid w:val="00DF74DD"/>
    <w:rsid w:val="00E25AD0"/>
    <w:rsid w:val="00E80BA0"/>
    <w:rsid w:val="00EB6350"/>
    <w:rsid w:val="00F15B57"/>
    <w:rsid w:val="00F427DB"/>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EA42680-9AB8-4034-84E1-E0C77F06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uiPriority w:val="9"/>
    <w:qFormat/>
    <w:rsid w:val="00732045"/>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732045"/>
    <w:pPr>
      <w:spacing w:before="320"/>
      <w:outlineLvl w:val="1"/>
    </w:pPr>
    <w:rPr>
      <w:sz w:val="24"/>
    </w:rPr>
  </w:style>
  <w:style w:type="paragraph" w:styleId="Heading3">
    <w:name w:val="heading 3"/>
    <w:basedOn w:val="Heading1"/>
    <w:next w:val="Normal"/>
    <w:link w:val="Heading3Char"/>
    <w:uiPriority w:val="9"/>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uiPriority w:val="39"/>
    <w:qFormat/>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qFormat/>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qFormat/>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docnoted">
    <w:name w:val="docnoted"/>
    <w:basedOn w:val="Normal"/>
    <w:rsid w:val="005C3890"/>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uiPriority w:val="99"/>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character" w:styleId="EndnoteReference">
    <w:name w:val="endnote reference"/>
    <w:basedOn w:val="DefaultParagraphFont"/>
    <w:rsid w:val="005C3890"/>
    <w:rPr>
      <w:vertAlign w:val="superscript"/>
    </w:rPr>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uiPriority w:val="99"/>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B454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ing1Char">
    <w:name w:val="Heading 1 Char"/>
    <w:link w:val="Heading1"/>
    <w:uiPriority w:val="9"/>
    <w:rsid w:val="00E80BA0"/>
    <w:rPr>
      <w:rFonts w:ascii="Calibri" w:hAnsi="Calibri"/>
      <w:b/>
      <w:sz w:val="28"/>
      <w:lang w:val="fr-FR" w:eastAsia="en-US"/>
    </w:rPr>
  </w:style>
  <w:style w:type="character" w:customStyle="1" w:styleId="Heading2Char">
    <w:name w:val="Heading 2 Char"/>
    <w:link w:val="Heading2"/>
    <w:uiPriority w:val="9"/>
    <w:rsid w:val="00E80BA0"/>
    <w:rPr>
      <w:rFonts w:ascii="Calibri" w:hAnsi="Calibri"/>
      <w:b/>
      <w:sz w:val="24"/>
      <w:lang w:val="fr-FR" w:eastAsia="en-US"/>
    </w:rPr>
  </w:style>
  <w:style w:type="character" w:customStyle="1" w:styleId="Heading3Char">
    <w:name w:val="Heading 3 Char"/>
    <w:link w:val="Heading3"/>
    <w:uiPriority w:val="9"/>
    <w:rsid w:val="00E80BA0"/>
    <w:rPr>
      <w:rFonts w:ascii="Calibri" w:hAnsi="Calibri"/>
      <w:b/>
      <w:sz w:val="24"/>
      <w:lang w:val="fr-FR" w:eastAsia="en-US"/>
    </w:rPr>
  </w:style>
  <w:style w:type="character" w:customStyle="1" w:styleId="apple-converted-space">
    <w:name w:val="apple-converted-space"/>
    <w:rsid w:val="00E80BA0"/>
  </w:style>
  <w:style w:type="paragraph" w:styleId="BalloonText">
    <w:name w:val="Balloon Text"/>
    <w:basedOn w:val="Normal"/>
    <w:link w:val="BalloonTextChar"/>
    <w:uiPriority w:val="99"/>
    <w:semiHidden/>
    <w:unhideWhenUsed/>
    <w:rsid w:val="00E80BA0"/>
    <w:pPr>
      <w:tabs>
        <w:tab w:val="clear" w:pos="567"/>
        <w:tab w:val="clear" w:pos="1134"/>
        <w:tab w:val="clear" w:pos="1701"/>
        <w:tab w:val="clear" w:pos="2268"/>
        <w:tab w:val="clear" w:pos="2835"/>
      </w:tabs>
      <w:overflowPunct/>
      <w:autoSpaceDE/>
      <w:autoSpaceDN/>
      <w:jc w:val="both"/>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E80BA0"/>
    <w:rPr>
      <w:rFonts w:ascii="Tahoma" w:eastAsia="Calibri" w:hAnsi="Tahoma" w:cs="Tahoma"/>
      <w:sz w:val="16"/>
      <w:szCs w:val="16"/>
      <w:lang w:eastAsia="en-US"/>
    </w:rPr>
  </w:style>
  <w:style w:type="character" w:customStyle="1" w:styleId="CharacterStyle17">
    <w:name w:val="Character Style 17"/>
    <w:uiPriority w:val="99"/>
    <w:rsid w:val="00E80BA0"/>
    <w:rPr>
      <w:sz w:val="20"/>
    </w:rPr>
  </w:style>
  <w:style w:type="paragraph" w:customStyle="1" w:styleId="comments">
    <w:name w:val="comments"/>
    <w:basedOn w:val="Normal"/>
    <w:next w:val="Normal"/>
    <w:qFormat/>
    <w:rsid w:val="00E80BA0"/>
    <w:pPr>
      <w:keepLines/>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Times New Roman" w:eastAsia="Calibri" w:hAnsi="Times New Roman"/>
      <w:szCs w:val="24"/>
      <w:lang w:val="en-GB"/>
    </w:rPr>
  </w:style>
  <w:style w:type="paragraph" w:customStyle="1" w:styleId="Default">
    <w:name w:val="Default"/>
    <w:rsid w:val="00E80BA0"/>
    <w:pPr>
      <w:autoSpaceDE w:val="0"/>
      <w:autoSpaceDN w:val="0"/>
      <w:adjustRightInd w:val="0"/>
    </w:pPr>
    <w:rPr>
      <w:rFonts w:ascii="Times New Roman" w:eastAsia="Calibri" w:hAnsi="Times New Roman"/>
      <w:color w:val="000000"/>
      <w:sz w:val="24"/>
      <w:szCs w:val="24"/>
      <w:lang w:val="en-GB" w:eastAsia="en-US"/>
    </w:rPr>
  </w:style>
  <w:style w:type="paragraph" w:customStyle="1" w:styleId="elencoconlettere1">
    <w:name w:val="elenco con lettere 1"/>
    <w:basedOn w:val="Normal"/>
    <w:qFormat/>
    <w:rsid w:val="00E80BA0"/>
    <w:pPr>
      <w:numPr>
        <w:ilvl w:val="1"/>
        <w:numId w:val="9"/>
      </w:numPr>
      <w:tabs>
        <w:tab w:val="clear" w:pos="567"/>
        <w:tab w:val="clear" w:pos="1134"/>
        <w:tab w:val="clear" w:pos="1701"/>
        <w:tab w:val="clear" w:pos="2268"/>
        <w:tab w:val="clear" w:pos="2835"/>
      </w:tabs>
      <w:overflowPunct/>
      <w:autoSpaceDE/>
      <w:autoSpaceDN/>
      <w:spacing w:line="319" w:lineRule="auto"/>
      <w:jc w:val="both"/>
      <w:textAlignment w:val="auto"/>
    </w:pPr>
    <w:rPr>
      <w:rFonts w:ascii="Times New Roman" w:eastAsia="Calibri" w:hAnsi="Times New Roman"/>
      <w:szCs w:val="24"/>
      <w:lang w:val="en-GB"/>
    </w:rPr>
  </w:style>
  <w:style w:type="paragraph" w:styleId="ListParagraph">
    <w:name w:val="List Paragraph"/>
    <w:basedOn w:val="Normal"/>
    <w:link w:val="ListParagraphChar"/>
    <w:uiPriority w:val="34"/>
    <w:qFormat/>
    <w:rsid w:val="00E80BA0"/>
    <w:pPr>
      <w:tabs>
        <w:tab w:val="clear" w:pos="567"/>
        <w:tab w:val="clear" w:pos="1134"/>
        <w:tab w:val="clear" w:pos="1701"/>
        <w:tab w:val="clear" w:pos="2268"/>
        <w:tab w:val="clear" w:pos="2835"/>
      </w:tabs>
      <w:overflowPunct/>
      <w:autoSpaceDE/>
      <w:autoSpaceDN/>
      <w:jc w:val="both"/>
      <w:textAlignment w:val="auto"/>
    </w:pPr>
    <w:rPr>
      <w:rFonts w:ascii="Times New Roman" w:eastAsia="Calibri" w:hAnsi="Times New Roman"/>
      <w:szCs w:val="24"/>
      <w:lang w:val="en-US" w:eastAsia="it-IT"/>
    </w:rPr>
  </w:style>
  <w:style w:type="character" w:customStyle="1" w:styleId="ListParagraphChar">
    <w:name w:val="List Paragraph Char"/>
    <w:link w:val="ListParagraph"/>
    <w:uiPriority w:val="34"/>
    <w:rsid w:val="00E80BA0"/>
    <w:rPr>
      <w:rFonts w:ascii="Times New Roman" w:eastAsia="Calibri" w:hAnsi="Times New Roman"/>
      <w:sz w:val="24"/>
      <w:szCs w:val="24"/>
      <w:lang w:eastAsia="it-IT"/>
    </w:rPr>
  </w:style>
  <w:style w:type="paragraph" w:customStyle="1" w:styleId="elencopuntato1">
    <w:name w:val="elenco puntato 1"/>
    <w:basedOn w:val="ListParagraph"/>
    <w:link w:val="elencopuntato1Carattere"/>
    <w:qFormat/>
    <w:rsid w:val="00E80BA0"/>
    <w:pPr>
      <w:numPr>
        <w:numId w:val="10"/>
      </w:numPr>
      <w:ind w:left="0" w:firstLine="0"/>
    </w:pPr>
  </w:style>
  <w:style w:type="character" w:customStyle="1" w:styleId="elencopuntato1Carattere">
    <w:name w:val="elenco puntato 1 Carattere"/>
    <w:link w:val="elencopuntato1"/>
    <w:rsid w:val="00E80BA0"/>
    <w:rPr>
      <w:rFonts w:ascii="Times New Roman" w:eastAsia="Calibri" w:hAnsi="Times New Roman"/>
      <w:sz w:val="24"/>
      <w:szCs w:val="24"/>
      <w:lang w:eastAsia="it-IT"/>
    </w:rPr>
  </w:style>
  <w:style w:type="character" w:customStyle="1" w:styleId="FooterChar">
    <w:name w:val="Footer Char"/>
    <w:link w:val="Footer"/>
    <w:uiPriority w:val="99"/>
    <w:rsid w:val="00E80BA0"/>
    <w:rPr>
      <w:rFonts w:ascii="Calibri" w:hAnsi="Calibri"/>
      <w:caps/>
      <w:noProof/>
      <w:sz w:val="16"/>
      <w:lang w:val="fr-FR" w:eastAsia="en-US"/>
    </w:rPr>
  </w:style>
  <w:style w:type="character" w:customStyle="1" w:styleId="HeaderChar">
    <w:name w:val="Header Char"/>
    <w:link w:val="Header"/>
    <w:uiPriority w:val="99"/>
    <w:rsid w:val="00E80BA0"/>
    <w:rPr>
      <w:rFonts w:ascii="Calibri" w:hAnsi="Calibri"/>
      <w:sz w:val="18"/>
      <w:lang w:val="fr-FR" w:eastAsia="en-US"/>
    </w:rPr>
  </w:style>
  <w:style w:type="paragraph" w:customStyle="1" w:styleId="Style1">
    <w:name w:val="Style1"/>
    <w:basedOn w:val="Normal"/>
    <w:link w:val="Style1Char"/>
    <w:qFormat/>
    <w:rsid w:val="00E80BA0"/>
    <w:pPr>
      <w:tabs>
        <w:tab w:val="clear" w:pos="567"/>
        <w:tab w:val="clear" w:pos="1134"/>
        <w:tab w:val="clear" w:pos="1701"/>
        <w:tab w:val="clear" w:pos="2268"/>
        <w:tab w:val="clear" w:pos="2835"/>
      </w:tabs>
      <w:overflowPunct/>
      <w:autoSpaceDE/>
      <w:autoSpaceDN/>
      <w:spacing w:line="319" w:lineRule="auto"/>
      <w:contextualSpacing/>
      <w:jc w:val="both"/>
      <w:textAlignment w:val="auto"/>
    </w:pPr>
    <w:rPr>
      <w:rFonts w:ascii="Times New Roman" w:eastAsia="Calibri" w:hAnsi="Times New Roman"/>
      <w:b/>
      <w:bCs/>
      <w:szCs w:val="24"/>
      <w:lang w:val="en-US"/>
    </w:rPr>
  </w:style>
  <w:style w:type="character" w:customStyle="1" w:styleId="Style1Char">
    <w:name w:val="Style1 Char"/>
    <w:link w:val="Style1"/>
    <w:rsid w:val="00E80BA0"/>
    <w:rPr>
      <w:rFonts w:ascii="Times New Roman" w:eastAsia="Calibri" w:hAnsi="Times New Roman"/>
      <w:b/>
      <w:bCs/>
      <w:sz w:val="24"/>
      <w:szCs w:val="24"/>
      <w:lang w:eastAsia="en-US"/>
    </w:rPr>
  </w:style>
  <w:style w:type="character" w:customStyle="1" w:styleId="hps">
    <w:name w:val="hps"/>
    <w:rsid w:val="00E80BA0"/>
  </w:style>
  <w:style w:type="paragraph" w:styleId="NormalWeb">
    <w:name w:val="Normal (Web)"/>
    <w:basedOn w:val="Normal"/>
    <w:uiPriority w:val="99"/>
    <w:unhideWhenUsed/>
    <w:rsid w:val="00E80BA0"/>
    <w:pPr>
      <w:tabs>
        <w:tab w:val="clear" w:pos="567"/>
        <w:tab w:val="clear" w:pos="1134"/>
        <w:tab w:val="clear" w:pos="1701"/>
        <w:tab w:val="clear" w:pos="2268"/>
        <w:tab w:val="clear" w:pos="2835"/>
      </w:tabs>
      <w:overflowPunct/>
      <w:autoSpaceDE/>
      <w:autoSpaceDN/>
      <w:spacing w:before="100" w:beforeAutospacing="1" w:after="100" w:afterAutospacing="1"/>
      <w:jc w:val="both"/>
      <w:textAlignment w:val="auto"/>
    </w:pPr>
    <w:rPr>
      <w:rFonts w:ascii="Times New Roman" w:eastAsia="SimSun" w:hAnsi="Times New Roman"/>
      <w:szCs w:val="24"/>
      <w:lang w:val="en-GB" w:eastAsia="en-GB"/>
    </w:rPr>
  </w:style>
  <w:style w:type="paragraph" w:customStyle="1" w:styleId="testobase">
    <w:name w:val="testo base"/>
    <w:basedOn w:val="ListParagraph"/>
    <w:link w:val="testobaseCarattere"/>
    <w:qFormat/>
    <w:rsid w:val="00E80BA0"/>
    <w:pPr>
      <w:numPr>
        <w:numId w:val="11"/>
      </w:numPr>
      <w:ind w:left="0" w:firstLine="0"/>
    </w:pPr>
  </w:style>
  <w:style w:type="character" w:customStyle="1" w:styleId="testobaseCarattere">
    <w:name w:val="testo base Carattere"/>
    <w:link w:val="testobase"/>
    <w:rsid w:val="00E80BA0"/>
    <w:rPr>
      <w:rFonts w:ascii="Times New Roman" w:eastAsia="Calibri" w:hAnsi="Times New Roman"/>
      <w:sz w:val="24"/>
      <w:szCs w:val="24"/>
      <w:lang w:eastAsia="it-IT"/>
    </w:rPr>
  </w:style>
  <w:style w:type="paragraph" w:customStyle="1" w:styleId="recesugg">
    <w:name w:val="rec e sugg"/>
    <w:basedOn w:val="testobase"/>
    <w:qFormat/>
    <w:rsid w:val="00E80BA0"/>
  </w:style>
  <w:style w:type="character" w:customStyle="1" w:styleId="shorttext">
    <w:name w:val="short_text"/>
    <w:rsid w:val="00E80BA0"/>
  </w:style>
  <w:style w:type="character" w:styleId="Strong">
    <w:name w:val="Strong"/>
    <w:uiPriority w:val="22"/>
    <w:qFormat/>
    <w:rsid w:val="00E80BA0"/>
    <w:rPr>
      <w:b/>
      <w:bCs/>
    </w:rPr>
  </w:style>
  <w:style w:type="paragraph" w:customStyle="1" w:styleId="Style16">
    <w:name w:val="Style 16"/>
    <w:basedOn w:val="Normal"/>
    <w:uiPriority w:val="99"/>
    <w:rsid w:val="00E80BA0"/>
    <w:pPr>
      <w:widowControl w:val="0"/>
      <w:tabs>
        <w:tab w:val="clear" w:pos="567"/>
        <w:tab w:val="clear" w:pos="1134"/>
        <w:tab w:val="clear" w:pos="1701"/>
        <w:tab w:val="clear" w:pos="2268"/>
        <w:tab w:val="clear" w:pos="2835"/>
      </w:tabs>
      <w:overflowPunct/>
      <w:jc w:val="both"/>
      <w:textAlignment w:val="auto"/>
    </w:pPr>
    <w:rPr>
      <w:rFonts w:ascii="Times New Roman" w:hAnsi="Times New Roman"/>
      <w:sz w:val="20"/>
      <w:lang w:val="en-US" w:eastAsia="it-IT"/>
    </w:rPr>
  </w:style>
  <w:style w:type="paragraph" w:customStyle="1" w:styleId="Sujet">
    <w:name w:val="Sujet"/>
    <w:basedOn w:val="Normal"/>
    <w:uiPriority w:val="99"/>
    <w:rsid w:val="00E80BA0"/>
    <w:pPr>
      <w:framePr w:w="8616" w:h="4258" w:hRule="exact" w:hSpace="181" w:wrap="around" w:vAnchor="page" w:hAnchor="page" w:x="1883" w:y="8943"/>
      <w:tabs>
        <w:tab w:val="clear" w:pos="567"/>
        <w:tab w:val="clear" w:pos="1134"/>
        <w:tab w:val="clear" w:pos="1701"/>
        <w:tab w:val="clear" w:pos="2268"/>
        <w:tab w:val="clear" w:pos="2835"/>
      </w:tabs>
      <w:overflowPunct/>
      <w:autoSpaceDE/>
      <w:autoSpaceDN/>
      <w:jc w:val="both"/>
      <w:textAlignment w:val="auto"/>
    </w:pPr>
    <w:rPr>
      <w:rFonts w:ascii="Arial" w:hAnsi="Arial" w:cs="Arial"/>
      <w:kern w:val="40"/>
      <w:sz w:val="52"/>
      <w:szCs w:val="52"/>
      <w:lang w:val="fr-CH"/>
    </w:rPr>
  </w:style>
  <w:style w:type="table" w:styleId="TableGrid">
    <w:name w:val="Table Grid"/>
    <w:basedOn w:val="TableNormal"/>
    <w:uiPriority w:val="59"/>
    <w:rsid w:val="00E80BA0"/>
    <w:rPr>
      <w:rFonts w:ascii="Calibri" w:eastAsia="Calibri" w:hAnsi="Calibri" w:cs="Arial"/>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0BA0"/>
    <w:rPr>
      <w:rFonts w:ascii="Arial" w:eastAsia="SimSun"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bordato">
    <w:name w:val="testo bordato"/>
    <w:basedOn w:val="Normal"/>
    <w:qFormat/>
    <w:rsid w:val="00E80BA0"/>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Times New Roman" w:eastAsia="Calibri" w:hAnsi="Times New Roman"/>
      <w:szCs w:val="24"/>
      <w:lang w:val="en-GB"/>
    </w:rPr>
  </w:style>
  <w:style w:type="paragraph" w:customStyle="1" w:styleId="testorientrato">
    <w:name w:val="testo rientrato"/>
    <w:basedOn w:val="testobase"/>
    <w:qFormat/>
    <w:rsid w:val="00E80BA0"/>
    <w:pPr>
      <w:spacing w:line="319" w:lineRule="auto"/>
      <w:ind w:left="425"/>
    </w:pPr>
    <w:rPr>
      <w:iCs/>
      <w:lang w:val="en-GB"/>
    </w:rPr>
  </w:style>
  <w:style w:type="paragraph" w:customStyle="1" w:styleId="titolorecesug">
    <w:name w:val="titolo rec e sug"/>
    <w:basedOn w:val="Normal"/>
    <w:qFormat/>
    <w:rsid w:val="00E80BA0"/>
    <w:pPr>
      <w:keepNext/>
      <w:keepLines/>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jc w:val="both"/>
      <w:textAlignment w:val="auto"/>
    </w:pPr>
    <w:rPr>
      <w:rFonts w:ascii="Times New Roman" w:eastAsia="Calibri" w:hAnsi="Times New Roman"/>
      <w:b/>
      <w:bCs/>
      <w:szCs w:val="24"/>
      <w:lang w:val="en-GB"/>
    </w:rPr>
  </w:style>
  <w:style w:type="paragraph" w:customStyle="1" w:styleId="titcomments">
    <w:name w:val="tit comments"/>
    <w:basedOn w:val="titolorecesug"/>
    <w:qFormat/>
    <w:rsid w:val="00E80BA0"/>
    <w:rPr>
      <w:u w:val="single"/>
    </w:rPr>
  </w:style>
  <w:style w:type="paragraph" w:styleId="TOCHeading">
    <w:name w:val="TOC Heading"/>
    <w:basedOn w:val="Heading1"/>
    <w:next w:val="Normal"/>
    <w:uiPriority w:val="39"/>
    <w:qFormat/>
    <w:rsid w:val="00E80BA0"/>
    <w:pPr>
      <w:keepLines w:val="0"/>
      <w:tabs>
        <w:tab w:val="clear" w:pos="567"/>
        <w:tab w:val="clear" w:pos="1134"/>
        <w:tab w:val="clear" w:pos="1701"/>
        <w:tab w:val="clear" w:pos="2268"/>
        <w:tab w:val="clear" w:pos="2835"/>
      </w:tabs>
      <w:overflowPunct/>
      <w:autoSpaceDE/>
      <w:autoSpaceDN/>
      <w:spacing w:before="240" w:after="120" w:line="319" w:lineRule="auto"/>
      <w:ind w:left="0" w:firstLine="0"/>
      <w:contextualSpacing/>
      <w:jc w:val="both"/>
      <w:textAlignment w:val="auto"/>
      <w:outlineLvl w:val="9"/>
    </w:pPr>
    <w:rPr>
      <w:rFonts w:ascii="Times New Roman" w:eastAsia="Calibri" w:hAnsi="Times New Roman"/>
      <w:bCs/>
      <w:sz w:val="24"/>
      <w:szCs w:val="24"/>
      <w:lang w:val="en-US" w:eastAsia="ja-JP"/>
    </w:rPr>
  </w:style>
  <w:style w:type="character" w:styleId="CommentReference">
    <w:name w:val="annotation reference"/>
    <w:uiPriority w:val="99"/>
    <w:semiHidden/>
    <w:unhideWhenUsed/>
    <w:rsid w:val="00E80BA0"/>
    <w:rPr>
      <w:sz w:val="16"/>
      <w:szCs w:val="16"/>
    </w:rPr>
  </w:style>
  <w:style w:type="paragraph" w:styleId="CommentText">
    <w:name w:val="annotation text"/>
    <w:basedOn w:val="Normal"/>
    <w:link w:val="CommentTextChar"/>
    <w:uiPriority w:val="99"/>
    <w:semiHidden/>
    <w:unhideWhenUsed/>
    <w:rsid w:val="00E80BA0"/>
    <w:pPr>
      <w:tabs>
        <w:tab w:val="clear" w:pos="567"/>
        <w:tab w:val="clear" w:pos="1134"/>
        <w:tab w:val="clear" w:pos="1701"/>
        <w:tab w:val="clear" w:pos="2268"/>
        <w:tab w:val="clear" w:pos="2835"/>
      </w:tabs>
      <w:overflowPunct/>
      <w:autoSpaceDE/>
      <w:autoSpaceDN/>
      <w:jc w:val="both"/>
      <w:textAlignment w:val="auto"/>
    </w:pPr>
    <w:rPr>
      <w:rFonts w:ascii="Times New Roman" w:eastAsia="Calibri" w:hAnsi="Times New Roman"/>
      <w:sz w:val="20"/>
      <w:lang w:val="en-US"/>
    </w:rPr>
  </w:style>
  <w:style w:type="character" w:customStyle="1" w:styleId="CommentTextChar">
    <w:name w:val="Comment Text Char"/>
    <w:basedOn w:val="DefaultParagraphFont"/>
    <w:link w:val="CommentText"/>
    <w:uiPriority w:val="99"/>
    <w:semiHidden/>
    <w:rsid w:val="00E80BA0"/>
    <w:rPr>
      <w:rFonts w:ascii="Times New Roman" w:eastAsia="Calibri" w:hAnsi="Times New Roman"/>
      <w:lang w:eastAsia="en-US"/>
    </w:rPr>
  </w:style>
  <w:style w:type="paragraph" w:styleId="CommentSubject">
    <w:name w:val="annotation subject"/>
    <w:basedOn w:val="CommentText"/>
    <w:next w:val="CommentText"/>
    <w:link w:val="CommentSubjectChar"/>
    <w:uiPriority w:val="99"/>
    <w:semiHidden/>
    <w:unhideWhenUsed/>
    <w:rsid w:val="00E80BA0"/>
    <w:rPr>
      <w:b/>
      <w:bCs/>
    </w:rPr>
  </w:style>
  <w:style w:type="character" w:customStyle="1" w:styleId="CommentSubjectChar">
    <w:name w:val="Comment Subject Char"/>
    <w:basedOn w:val="CommentTextChar"/>
    <w:link w:val="CommentSubject"/>
    <w:uiPriority w:val="99"/>
    <w:semiHidden/>
    <w:rsid w:val="00E80BA0"/>
    <w:rPr>
      <w:rFonts w:ascii="Times New Roman" w:eastAsia="Calibri"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itu.int/council/finregs/Regl_Fin_10f.pdf" TargetMode="Externa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C15.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1060671158907435E-2"/>
          <c:y val="7.8049347522245127E-2"/>
          <c:w val="0.92893735598422322"/>
          <c:h val="0.84390130495550975"/>
        </c:manualLayout>
      </c:layout>
      <c:lineChart>
        <c:grouping val="standard"/>
        <c:varyColors val="0"/>
        <c:ser>
          <c:idx val="0"/>
          <c:order val="0"/>
          <c:marker>
            <c:symbol val="none"/>
          </c:marker>
          <c:dLbls>
            <c:dLbl>
              <c:idx val="0"/>
              <c:layout>
                <c:manualLayout>
                  <c:x val="-5.2095578654932313E-2"/>
                  <c:y val="-9.8393605411758997E-2"/>
                </c:manualLayout>
              </c:layout>
              <c:tx>
                <c:rich>
                  <a:bodyPr/>
                  <a:lstStyle/>
                  <a:p>
                    <a:r>
                      <a:rPr lang="en-US"/>
                      <a:t>14</a:t>
                    </a:r>
                    <a:r>
                      <a:rPr lang="en-US" baseline="0"/>
                      <a:t> </a:t>
                    </a:r>
                    <a:r>
                      <a:rPr lang="en-US"/>
                      <a:t>906</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8386215851002756E-2"/>
                  <c:y val="-9.1365490739490476E-2"/>
                </c:manualLayout>
              </c:layout>
              <c:tx>
                <c:rich>
                  <a:bodyPr/>
                  <a:lstStyle/>
                  <a:p>
                    <a:r>
                      <a:rPr lang="en-US"/>
                      <a:t>10</a:t>
                    </a:r>
                    <a:r>
                      <a:rPr lang="en-US" baseline="0"/>
                      <a:t> </a:t>
                    </a:r>
                    <a:r>
                      <a:rPr lang="en-US"/>
                      <a:t>556</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4676853047073202E-2"/>
                  <c:y val="-8.1269310011073431E-2"/>
                </c:manualLayout>
              </c:layout>
              <c:tx>
                <c:rich>
                  <a:bodyPr/>
                  <a:lstStyle/>
                  <a:p>
                    <a:r>
                      <a:rPr lang="en-US"/>
                      <a:t>7</a:t>
                    </a:r>
                    <a:r>
                      <a:rPr lang="en-US" baseline="0"/>
                      <a:t> </a:t>
                    </a:r>
                    <a:r>
                      <a:rPr lang="en-US"/>
                      <a:t>507</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449722801002014E-2"/>
                  <c:y val="8.4002525692725469E-2"/>
                </c:manualLayout>
              </c:layout>
              <c:tx>
                <c:rich>
                  <a:bodyPr/>
                  <a:lstStyle/>
                  <a:p>
                    <a:r>
                      <a:rPr lang="en-US"/>
                      <a:t>8</a:t>
                    </a:r>
                    <a:r>
                      <a:rPr lang="en-US" baseline="0"/>
                      <a:t> </a:t>
                    </a:r>
                    <a:r>
                      <a:rPr lang="en-US"/>
                      <a:t>034</a:t>
                    </a:r>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9193107925501277E-2"/>
                  <c:y val="-6.9444375270125716E-2"/>
                </c:manualLayout>
              </c:layout>
              <c:tx>
                <c:rich>
                  <a:bodyPr/>
                  <a:lstStyle/>
                  <a:p>
                    <a:r>
                      <a:rPr lang="en-US"/>
                      <a:t>9 923</a:t>
                    </a:r>
                  </a:p>
                </c:rich>
              </c:tx>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4.0045767792986194E-2"/>
                  <c:y val="9.8393550961274001E-2"/>
                </c:manualLayout>
              </c:layout>
              <c:tx>
                <c:rich>
                  <a:bodyPr/>
                  <a:lstStyle/>
                  <a:p>
                    <a:r>
                      <a:rPr lang="en-US"/>
                      <a:t>8</a:t>
                    </a:r>
                    <a:r>
                      <a:rPr lang="en-US" baseline="0"/>
                      <a:t> </a:t>
                    </a:r>
                    <a:r>
                      <a:rPr lang="en-US"/>
                      <a:t>896</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Sheet1!$D$4:$I$4</c:f>
              <c:numCache>
                <c:formatCode>General</c:formatCode>
                <c:ptCount val="6"/>
                <c:pt idx="0">
                  <c:v>14.906000000000001</c:v>
                </c:pt>
                <c:pt idx="1">
                  <c:v>10.555999999999999</c:v>
                </c:pt>
                <c:pt idx="2">
                  <c:v>7.5069999999999997</c:v>
                </c:pt>
                <c:pt idx="3">
                  <c:v>8.0340000000000007</c:v>
                </c:pt>
                <c:pt idx="4">
                  <c:v>9.923</c:v>
                </c:pt>
                <c:pt idx="5">
                  <c:v>9.02</c:v>
                </c:pt>
              </c:numCache>
            </c:numRef>
          </c:val>
          <c:smooth val="0"/>
        </c:ser>
        <c:dLbls>
          <c:showLegendKey val="0"/>
          <c:showVal val="0"/>
          <c:showCatName val="0"/>
          <c:showSerName val="0"/>
          <c:showPercent val="0"/>
          <c:showBubbleSize val="0"/>
        </c:dLbls>
        <c:smooth val="0"/>
        <c:axId val="332311208"/>
        <c:axId val="332307680"/>
      </c:lineChart>
      <c:catAx>
        <c:axId val="332311208"/>
        <c:scaling>
          <c:orientation val="minMax"/>
        </c:scaling>
        <c:delete val="1"/>
        <c:axPos val="b"/>
        <c:majorTickMark val="out"/>
        <c:minorTickMark val="none"/>
        <c:tickLblPos val="nextTo"/>
        <c:crossAx val="332307680"/>
        <c:crosses val="autoZero"/>
        <c:auto val="1"/>
        <c:lblAlgn val="ctr"/>
        <c:lblOffset val="100"/>
        <c:noMultiLvlLbl val="0"/>
      </c:catAx>
      <c:valAx>
        <c:axId val="332307680"/>
        <c:scaling>
          <c:orientation val="minMax"/>
        </c:scaling>
        <c:delete val="0"/>
        <c:axPos val="l"/>
        <c:majorGridlines/>
        <c:numFmt formatCode="General" sourceLinked="1"/>
        <c:majorTickMark val="out"/>
        <c:minorTickMark val="none"/>
        <c:tickLblPos val="nextTo"/>
        <c:crossAx val="33231120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145F7-BB78-43F3-B01B-2AA4F6AD5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PF_C15.dotm</Template>
  <TotalTime>163</TotalTime>
  <Pages>31</Pages>
  <Words>9321</Words>
  <Characters>52643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AUDIT EXTERNE</vt:lpstr>
    </vt:vector>
  </TitlesOfParts>
  <Manager>Secrétariat général - Pool</Manager>
  <Company>Union internationale des télécommunications (UIT)</Company>
  <LinksUpToDate>false</LinksUpToDate>
  <CharactersWithSpaces>61841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EXTERNE</dc:title>
  <dc:subject>Conseil 2010</dc:subject>
  <dc:creator>Rapport du Secrétaire général</dc:creator>
  <cp:keywords>C2010, C10</cp:keywords>
  <dc:description>Document C15/66-F  Pour: _x000d_Date du document: 8 mai 2015_x000d_Enregistré par ITU51009313 à 10:16:21 le 14.05.2015</dc:description>
  <cp:lastModifiedBy>Saxod, Nathalie</cp:lastModifiedBy>
  <cp:revision>23</cp:revision>
  <cp:lastPrinted>2015-05-14T11:25:00Z</cp:lastPrinted>
  <dcterms:created xsi:type="dcterms:W3CDTF">2015-05-14T08:15:00Z</dcterms:created>
  <dcterms:modified xsi:type="dcterms:W3CDTF">2015-05-15T07:27:00Z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C15/66-F</vt:lpwstr>
  </property>
  <property fmtid="{D5CDD505-2E9C-101B-9397-08002B2CF9AE}" pid="3" name="Docdate">
    <vt:lpwstr>8 mai 2015</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Rapport du Secrétaire général</vt:lpwstr>
  </property>
</Properties>
</file>