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45EBE" w:rsidRPr="005E6716" w:rsidTr="006336D8">
        <w:trPr>
          <w:cantSplit/>
        </w:trPr>
        <w:tc>
          <w:tcPr>
            <w:tcW w:w="6911" w:type="dxa"/>
          </w:tcPr>
          <w:p w:rsidR="00E45EBE" w:rsidRPr="00813E5E" w:rsidRDefault="00E45EBE" w:rsidP="00E45EBE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A65E12">
              <w:rPr>
                <w:b/>
                <w:bCs/>
                <w:position w:val="6"/>
                <w:sz w:val="30"/>
                <w:szCs w:val="30"/>
              </w:rPr>
              <w:t>Council 2015</w:t>
            </w:r>
            <w:r w:rsidRPr="00A65E12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45EBE">
              <w:rPr>
                <w:b/>
                <w:bCs/>
                <w:position w:val="6"/>
                <w:sz w:val="24"/>
                <w:szCs w:val="24"/>
              </w:rPr>
              <w:t>Geneva, 12-22 May 2015</w:t>
            </w:r>
          </w:p>
        </w:tc>
        <w:tc>
          <w:tcPr>
            <w:tcW w:w="3120" w:type="dxa"/>
          </w:tcPr>
          <w:p w:rsidR="00E45EBE" w:rsidRPr="00813E5E" w:rsidRDefault="00E45EBE" w:rsidP="00E45EBE">
            <w:pPr>
              <w:spacing w:line="240" w:lineRule="atLeast"/>
              <w:jc w:val="right"/>
            </w:pPr>
            <w:bookmarkStart w:id="1" w:name="ditulogo"/>
            <w:bookmarkStart w:id="2" w:name="d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02737368" wp14:editId="221F17C1">
                  <wp:extent cx="1247775" cy="935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 w:rsidR="00E45EBE" w:rsidRPr="005E6716" w:rsidTr="006336D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E45EBE" w:rsidRPr="00E45EBE" w:rsidRDefault="00E45EBE" w:rsidP="00E45EBE">
            <w:pPr>
              <w:spacing w:after="48" w:line="240" w:lineRule="atLeast"/>
              <w:rPr>
                <w:b/>
                <w:smallCaps/>
                <w:sz w:val="24"/>
                <w:szCs w:val="24"/>
              </w:rPr>
            </w:pPr>
            <w:r w:rsidRPr="00E45EBE">
              <w:rPr>
                <w:b/>
                <w:smallCaps/>
                <w:sz w:val="24"/>
                <w:szCs w:val="24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E45EBE" w:rsidRPr="00813E5E" w:rsidRDefault="00E45EBE" w:rsidP="00E45EBE">
            <w:pPr>
              <w:spacing w:line="240" w:lineRule="atLeast"/>
              <w:rPr>
                <w:szCs w:val="24"/>
              </w:rPr>
            </w:pPr>
          </w:p>
        </w:tc>
      </w:tr>
      <w:tr w:rsidR="00E45EBE" w:rsidRPr="005E6716" w:rsidTr="006336D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45EBE" w:rsidRPr="005E6716" w:rsidRDefault="00E45EBE" w:rsidP="00E45E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rFonts w:ascii="Calibri" w:eastAsia="Times New Roman" w:hAnsi="Calibri" w:cs="Times New Roman"/>
                <w:b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45EBE" w:rsidRPr="005E6716" w:rsidRDefault="00E45EBE" w:rsidP="00E45E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E45EBE" w:rsidRPr="005E6716" w:rsidTr="006336D8">
        <w:trPr>
          <w:cantSplit/>
          <w:trHeight w:val="23"/>
        </w:trPr>
        <w:tc>
          <w:tcPr>
            <w:tcW w:w="6911" w:type="dxa"/>
            <w:vMerge w:val="restart"/>
          </w:tcPr>
          <w:p w:rsidR="00E45EBE" w:rsidRPr="005E6716" w:rsidRDefault="00E45EBE" w:rsidP="00E45EB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</w:pPr>
            <w:bookmarkStart w:id="3" w:name="dmeeting" w:colFirst="0" w:colLast="0"/>
            <w:bookmarkStart w:id="4" w:name="dnum" w:colFirst="1" w:colLast="1"/>
            <w:r w:rsidRPr="005E6716"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  <w:t xml:space="preserve">Agenda item: ADM </w:t>
            </w:r>
            <w:r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3120" w:type="dxa"/>
          </w:tcPr>
          <w:p w:rsidR="00E45EBE" w:rsidRPr="005E6716" w:rsidRDefault="00E45EBE" w:rsidP="00E45EB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</w:pPr>
            <w:r w:rsidRPr="005E6716"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  <w:t>Addendum 1 to</w:t>
            </w:r>
            <w:r w:rsidRPr="005E6716"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  <w:br/>
              <w:t>Document C1</w:t>
            </w:r>
            <w:r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  <w:t>5</w:t>
            </w:r>
            <w:r w:rsidRPr="005E6716"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  <w:t>/</w:t>
            </w:r>
            <w:r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  <w:t>65</w:t>
            </w:r>
            <w:r w:rsidRPr="005E6716"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  <w:t>-E</w:t>
            </w:r>
          </w:p>
        </w:tc>
      </w:tr>
      <w:tr w:rsidR="00E45EBE" w:rsidRPr="005E6716" w:rsidTr="006336D8">
        <w:trPr>
          <w:cantSplit/>
          <w:trHeight w:val="23"/>
        </w:trPr>
        <w:tc>
          <w:tcPr>
            <w:tcW w:w="6911" w:type="dxa"/>
            <w:vMerge/>
          </w:tcPr>
          <w:p w:rsidR="00E45EBE" w:rsidRPr="005E6716" w:rsidRDefault="00E45EBE" w:rsidP="00E45EB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E45EBE" w:rsidRPr="005E6716" w:rsidRDefault="00207936" w:rsidP="00207936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  <w:t>20</w:t>
            </w:r>
            <w:r w:rsidR="00E45EBE"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  <w:t xml:space="preserve"> May </w:t>
            </w:r>
            <w:r w:rsidR="00E45EBE" w:rsidRPr="005E6716"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  <w:t>201</w:t>
            </w:r>
            <w:r w:rsidR="00E45EBE"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  <w:t>5</w:t>
            </w:r>
          </w:p>
        </w:tc>
      </w:tr>
      <w:tr w:rsidR="00E45EBE" w:rsidRPr="005E6716" w:rsidTr="006336D8">
        <w:trPr>
          <w:cantSplit/>
          <w:trHeight w:val="23"/>
        </w:trPr>
        <w:tc>
          <w:tcPr>
            <w:tcW w:w="6911" w:type="dxa"/>
            <w:vMerge/>
          </w:tcPr>
          <w:p w:rsidR="00E45EBE" w:rsidRPr="005E6716" w:rsidRDefault="00E45EBE" w:rsidP="00E45EB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E45EBE" w:rsidRPr="005E6716" w:rsidRDefault="00E45EBE" w:rsidP="00E45EBE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</w:pPr>
            <w:r w:rsidRPr="005E6716"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  <w:t xml:space="preserve">Original: </w:t>
            </w:r>
            <w:r>
              <w:rPr>
                <w:rFonts w:ascii="Calibri" w:eastAsia="Times New Roman" w:hAnsi="Calibri" w:cs="Calibri"/>
                <w:b/>
                <w:sz w:val="24"/>
                <w:szCs w:val="20"/>
                <w:lang w:eastAsia="en-US"/>
              </w:rPr>
              <w:t>English</w:t>
            </w:r>
          </w:p>
        </w:tc>
      </w:tr>
      <w:tr w:rsidR="00E45EBE" w:rsidRPr="005E6716" w:rsidTr="006336D8">
        <w:trPr>
          <w:cantSplit/>
        </w:trPr>
        <w:tc>
          <w:tcPr>
            <w:tcW w:w="10031" w:type="dxa"/>
            <w:gridSpan w:val="2"/>
          </w:tcPr>
          <w:p w:rsidR="00E45EBE" w:rsidRPr="005E6716" w:rsidRDefault="00E45EBE" w:rsidP="00E45E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40"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8"/>
                <w:szCs w:val="20"/>
                <w:lang w:eastAsia="en-US"/>
              </w:rPr>
            </w:pPr>
            <w:bookmarkStart w:id="7" w:name="dsource" w:colFirst="0" w:colLast="0"/>
            <w:bookmarkEnd w:id="6"/>
            <w:r w:rsidRPr="005E6716">
              <w:rPr>
                <w:rFonts w:ascii="Calibri" w:eastAsia="Times New Roman" w:hAnsi="Calibri" w:cs="Times New Roman"/>
                <w:b/>
                <w:sz w:val="28"/>
                <w:szCs w:val="20"/>
                <w:lang w:eastAsia="en-US"/>
              </w:rPr>
              <w:t>Note by the Secretary-General</w:t>
            </w:r>
          </w:p>
        </w:tc>
      </w:tr>
      <w:tr w:rsidR="00E45EBE" w:rsidRPr="005E6716" w:rsidTr="006336D8">
        <w:trPr>
          <w:cantSplit/>
        </w:trPr>
        <w:tc>
          <w:tcPr>
            <w:tcW w:w="10031" w:type="dxa"/>
            <w:gridSpan w:val="2"/>
          </w:tcPr>
          <w:p w:rsidR="00E45EBE" w:rsidRPr="005E6716" w:rsidRDefault="00E45EBE" w:rsidP="00E45E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aps/>
                <w:sz w:val="28"/>
                <w:szCs w:val="20"/>
                <w:lang w:eastAsia="en-US"/>
              </w:rPr>
            </w:pPr>
            <w:bookmarkStart w:id="8" w:name="dtitle1" w:colFirst="0" w:colLast="0"/>
            <w:bookmarkEnd w:id="7"/>
          </w:p>
        </w:tc>
      </w:tr>
      <w:bookmarkEnd w:id="8"/>
    </w:tbl>
    <w:p w:rsidR="005E6716" w:rsidRPr="005E6716" w:rsidRDefault="005E6716" w:rsidP="005E671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</w:p>
    <w:p w:rsidR="005E6716" w:rsidRPr="005E6716" w:rsidRDefault="005E6716" w:rsidP="005E671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  <w:r w:rsidRPr="005E6716">
        <w:rPr>
          <w:rFonts w:ascii="Calibri" w:eastAsia="Times New Roman" w:hAnsi="Calibri" w:cs="Times New Roman"/>
          <w:sz w:val="24"/>
          <w:szCs w:val="20"/>
          <w:lang w:eastAsia="en-US"/>
        </w:rPr>
        <w:t xml:space="preserve">Please find in annex the presentation of the report by the External Auditor </w:t>
      </w:r>
      <w:r>
        <w:rPr>
          <w:rFonts w:ascii="Calibri" w:eastAsia="Times New Roman" w:hAnsi="Calibri" w:cs="Times New Roman"/>
          <w:sz w:val="24"/>
          <w:szCs w:val="20"/>
          <w:lang w:eastAsia="en-US"/>
        </w:rPr>
        <w:t>on</w:t>
      </w:r>
      <w:r w:rsidRPr="005E6716">
        <w:rPr>
          <w:rFonts w:ascii="Calibri" w:eastAsia="Times New Roman" w:hAnsi="Calibri" w:cs="Times New Roman"/>
          <w:sz w:val="24"/>
          <w:szCs w:val="20"/>
          <w:lang w:eastAsia="en-US"/>
        </w:rPr>
        <w:t xml:space="preserve"> the Union's accounts.</w:t>
      </w:r>
    </w:p>
    <w:p w:rsidR="005E6716" w:rsidRPr="005E6716" w:rsidRDefault="005E6716" w:rsidP="005E671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</w:p>
    <w:p w:rsidR="005E6716" w:rsidRPr="005E6716" w:rsidRDefault="005E6716" w:rsidP="005E671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</w:p>
    <w:p w:rsidR="005E6716" w:rsidRPr="005E6716" w:rsidRDefault="005E6716" w:rsidP="005E671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</w:p>
    <w:p w:rsidR="005E6716" w:rsidRPr="005E6716" w:rsidRDefault="005E6716" w:rsidP="005E671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</w:p>
    <w:p w:rsidR="005E6716" w:rsidRPr="005E6716" w:rsidRDefault="005E6716" w:rsidP="005E671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</w:p>
    <w:p w:rsidR="005E6716" w:rsidRPr="005E6716" w:rsidRDefault="005E6716" w:rsidP="005E671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</w:p>
    <w:p w:rsidR="005E6716" w:rsidRPr="005E6716" w:rsidRDefault="005E6716" w:rsidP="005E671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</w:p>
    <w:p w:rsidR="005E6716" w:rsidRPr="005E6716" w:rsidRDefault="005E6716" w:rsidP="005E671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  <w:r w:rsidRPr="005E6716">
        <w:rPr>
          <w:rFonts w:ascii="Calibri" w:eastAsia="Times New Roman" w:hAnsi="Calibri" w:cs="Times New Roman"/>
          <w:b/>
          <w:bCs/>
          <w:sz w:val="24"/>
          <w:szCs w:val="20"/>
          <w:lang w:eastAsia="en-US"/>
        </w:rPr>
        <w:t>Annex:</w:t>
      </w:r>
      <w:r w:rsidRPr="005E6716">
        <w:rPr>
          <w:rFonts w:ascii="Calibri" w:eastAsia="Times New Roman" w:hAnsi="Calibri" w:cs="Times New Roman"/>
          <w:sz w:val="24"/>
          <w:szCs w:val="20"/>
          <w:lang w:eastAsia="en-US"/>
        </w:rPr>
        <w:t xml:space="preserve"> 1</w:t>
      </w:r>
    </w:p>
    <w:p w:rsidR="005E6716" w:rsidRPr="005E6716" w:rsidRDefault="005E6716" w:rsidP="005E671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</w:p>
    <w:p w:rsidR="005E6716" w:rsidRPr="005E6716" w:rsidRDefault="005E6716" w:rsidP="005E671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</w:p>
    <w:p w:rsidR="005E6716" w:rsidRPr="005E6716" w:rsidRDefault="005E6716" w:rsidP="005E671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  <w:bookmarkStart w:id="9" w:name="dstart"/>
      <w:bookmarkStart w:id="10" w:name="dbreak"/>
      <w:bookmarkEnd w:id="9"/>
      <w:bookmarkEnd w:id="10"/>
    </w:p>
    <w:p w:rsidR="005E6716" w:rsidRDefault="005E6716" w:rsidP="001B28E5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:rsidR="005E6716" w:rsidRDefault="005E6716"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br w:type="page"/>
      </w:r>
    </w:p>
    <w:p w:rsidR="00E84914" w:rsidRPr="009C3C2F" w:rsidRDefault="00E84914" w:rsidP="009C3C2F">
      <w:pPr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lastRenderedPageBreak/>
        <w:t xml:space="preserve">Distinguished </w:t>
      </w:r>
      <w:r w:rsidR="001B28E5" w:rsidRPr="009C3C2F">
        <w:rPr>
          <w:sz w:val="24"/>
          <w:szCs w:val="24"/>
          <w:lang w:val="en-US"/>
        </w:rPr>
        <w:t>Delegates</w:t>
      </w:r>
      <w:r w:rsidRPr="009C3C2F">
        <w:rPr>
          <w:sz w:val="24"/>
          <w:szCs w:val="24"/>
          <w:lang w:val="en-US"/>
        </w:rPr>
        <w:t>,</w:t>
      </w:r>
    </w:p>
    <w:p w:rsidR="00172E51" w:rsidRPr="009C3C2F" w:rsidRDefault="00E84914" w:rsidP="009C3C2F">
      <w:pPr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>We</w:t>
      </w:r>
      <w:r w:rsidR="00B90762" w:rsidRPr="009C3C2F">
        <w:rPr>
          <w:sz w:val="24"/>
          <w:szCs w:val="24"/>
          <w:lang w:val="en-US"/>
        </w:rPr>
        <w:t xml:space="preserve"> (my colleagues and I) are</w:t>
      </w:r>
      <w:r w:rsidR="005C1650" w:rsidRPr="009C3C2F">
        <w:rPr>
          <w:sz w:val="24"/>
          <w:szCs w:val="24"/>
          <w:lang w:val="en-US"/>
        </w:rPr>
        <w:t xml:space="preserve"> very </w:t>
      </w:r>
      <w:r w:rsidR="005D3D80" w:rsidRPr="009C3C2F">
        <w:rPr>
          <w:sz w:val="24"/>
          <w:szCs w:val="24"/>
          <w:lang w:val="en-US"/>
        </w:rPr>
        <w:t>pleased to have the opportunity</w:t>
      </w:r>
      <w:r w:rsidR="005C1650" w:rsidRPr="009C3C2F">
        <w:rPr>
          <w:sz w:val="24"/>
          <w:szCs w:val="24"/>
          <w:lang w:val="en-US"/>
        </w:rPr>
        <w:t xml:space="preserve"> to present you</w:t>
      </w:r>
      <w:r w:rsidR="000F2855" w:rsidRPr="009C3C2F">
        <w:rPr>
          <w:sz w:val="24"/>
          <w:szCs w:val="24"/>
          <w:lang w:val="en-US"/>
        </w:rPr>
        <w:t xml:space="preserve">, on behalf of the President of the Corte </w:t>
      </w:r>
      <w:proofErr w:type="spellStart"/>
      <w:r w:rsidR="000F2855" w:rsidRPr="009C3C2F">
        <w:rPr>
          <w:sz w:val="24"/>
          <w:szCs w:val="24"/>
          <w:lang w:val="en-US"/>
        </w:rPr>
        <w:t>dei</w:t>
      </w:r>
      <w:proofErr w:type="spellEnd"/>
      <w:r w:rsidR="000F2855" w:rsidRPr="009C3C2F">
        <w:rPr>
          <w:sz w:val="24"/>
          <w:szCs w:val="24"/>
          <w:lang w:val="en-US"/>
        </w:rPr>
        <w:t xml:space="preserve"> </w:t>
      </w:r>
      <w:proofErr w:type="gramStart"/>
      <w:r w:rsidR="000F2855" w:rsidRPr="009C3C2F">
        <w:rPr>
          <w:sz w:val="24"/>
          <w:szCs w:val="24"/>
          <w:lang w:val="en-US"/>
        </w:rPr>
        <w:t>conti</w:t>
      </w:r>
      <w:proofErr w:type="gramEnd"/>
      <w:r w:rsidR="001B28E5" w:rsidRPr="009C3C2F">
        <w:rPr>
          <w:sz w:val="24"/>
          <w:szCs w:val="24"/>
          <w:lang w:val="en-US"/>
        </w:rPr>
        <w:t xml:space="preserve"> Mr. Raffaele </w:t>
      </w:r>
      <w:proofErr w:type="spellStart"/>
      <w:r w:rsidR="001B28E5" w:rsidRPr="009C3C2F">
        <w:rPr>
          <w:sz w:val="24"/>
          <w:szCs w:val="24"/>
          <w:lang w:val="en-US"/>
        </w:rPr>
        <w:t>Squitieri</w:t>
      </w:r>
      <w:proofErr w:type="spellEnd"/>
      <w:r w:rsidR="000F2855" w:rsidRPr="009C3C2F">
        <w:rPr>
          <w:sz w:val="24"/>
          <w:szCs w:val="24"/>
          <w:lang w:val="en-US"/>
        </w:rPr>
        <w:t>,</w:t>
      </w:r>
      <w:r w:rsidR="005C1650" w:rsidRPr="009C3C2F">
        <w:rPr>
          <w:sz w:val="24"/>
          <w:szCs w:val="24"/>
          <w:lang w:val="en-US"/>
        </w:rPr>
        <w:t xml:space="preserve"> the audit c</w:t>
      </w:r>
      <w:r w:rsidR="000F2855" w:rsidRPr="009C3C2F">
        <w:rPr>
          <w:sz w:val="24"/>
          <w:szCs w:val="24"/>
          <w:lang w:val="en-US"/>
        </w:rPr>
        <w:t xml:space="preserve">ertificate and the audit report concerning the financial statements as at 31 December 2014 of the </w:t>
      </w:r>
      <w:r w:rsidR="001B28E5" w:rsidRPr="009C3C2F">
        <w:rPr>
          <w:sz w:val="24"/>
          <w:szCs w:val="24"/>
          <w:lang w:val="en-US"/>
        </w:rPr>
        <w:t>International Telecommunication Union</w:t>
      </w:r>
      <w:r w:rsidR="00D17004" w:rsidRPr="009C3C2F">
        <w:rPr>
          <w:sz w:val="24"/>
          <w:szCs w:val="24"/>
          <w:lang w:val="en-US"/>
        </w:rPr>
        <w:t>.</w:t>
      </w:r>
    </w:p>
    <w:p w:rsidR="00D17004" w:rsidRPr="009C3C2F" w:rsidRDefault="00F83DC8" w:rsidP="009C3C2F">
      <w:pPr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>According to</w:t>
      </w:r>
      <w:r w:rsidR="00D17004" w:rsidRPr="009C3C2F">
        <w:rPr>
          <w:sz w:val="24"/>
          <w:szCs w:val="24"/>
          <w:lang w:val="en-US"/>
        </w:rPr>
        <w:t xml:space="preserve"> the result</w:t>
      </w:r>
      <w:r w:rsidR="00707259" w:rsidRPr="009C3C2F">
        <w:rPr>
          <w:sz w:val="24"/>
          <w:szCs w:val="24"/>
          <w:lang w:val="en-US"/>
        </w:rPr>
        <w:t>s</w:t>
      </w:r>
      <w:r w:rsidR="00D17004" w:rsidRPr="009C3C2F">
        <w:rPr>
          <w:sz w:val="24"/>
          <w:szCs w:val="24"/>
          <w:lang w:val="en-US"/>
        </w:rPr>
        <w:t xml:space="preserve"> of the audit and analyses we carried out of the financial data recorded in the financial statements</w:t>
      </w:r>
      <w:r w:rsidR="002202BA" w:rsidRPr="009C3C2F">
        <w:rPr>
          <w:sz w:val="24"/>
          <w:szCs w:val="24"/>
          <w:lang w:val="en-US"/>
        </w:rPr>
        <w:t xml:space="preserve">, we have issued an </w:t>
      </w:r>
      <w:r w:rsidR="007931B4" w:rsidRPr="009C3C2F">
        <w:rPr>
          <w:sz w:val="24"/>
          <w:szCs w:val="24"/>
          <w:lang w:val="en-US"/>
        </w:rPr>
        <w:t>“unqualified audit opinion”</w:t>
      </w:r>
      <w:r w:rsidR="00707259" w:rsidRPr="009C3C2F">
        <w:rPr>
          <w:sz w:val="24"/>
          <w:szCs w:val="24"/>
          <w:lang w:val="en-US"/>
        </w:rPr>
        <w:t xml:space="preserve"> which underlines that</w:t>
      </w:r>
      <w:r w:rsidR="00707259" w:rsidRPr="009C3C2F">
        <w:rPr>
          <w:b/>
          <w:bCs/>
          <w:sz w:val="24"/>
          <w:szCs w:val="24"/>
          <w:lang w:val="en-US"/>
        </w:rPr>
        <w:t xml:space="preserve"> I</w:t>
      </w:r>
      <w:r w:rsidR="001B28E5" w:rsidRPr="009C3C2F">
        <w:rPr>
          <w:b/>
          <w:bCs/>
          <w:sz w:val="24"/>
          <w:szCs w:val="24"/>
          <w:lang w:val="en-US"/>
        </w:rPr>
        <w:t>TU</w:t>
      </w:r>
      <w:r w:rsidR="00707259" w:rsidRPr="009C3C2F">
        <w:rPr>
          <w:b/>
          <w:bCs/>
          <w:sz w:val="24"/>
          <w:szCs w:val="24"/>
          <w:lang w:val="en-US"/>
        </w:rPr>
        <w:t>’s financial s</w:t>
      </w:r>
      <w:r w:rsidR="00DD2A52" w:rsidRPr="009C3C2F">
        <w:rPr>
          <w:b/>
          <w:bCs/>
          <w:sz w:val="24"/>
          <w:szCs w:val="24"/>
          <w:lang w:val="en-US"/>
        </w:rPr>
        <w:t>tatements for 2014 present fairl</w:t>
      </w:r>
      <w:r w:rsidR="00707259" w:rsidRPr="009C3C2F">
        <w:rPr>
          <w:b/>
          <w:bCs/>
          <w:sz w:val="24"/>
          <w:szCs w:val="24"/>
          <w:lang w:val="en-US"/>
        </w:rPr>
        <w:t xml:space="preserve">y, in all material respects, the financial position of the International </w:t>
      </w:r>
      <w:r w:rsidR="001B28E5" w:rsidRPr="009C3C2F">
        <w:rPr>
          <w:b/>
          <w:bCs/>
          <w:sz w:val="24"/>
          <w:szCs w:val="24"/>
          <w:lang w:val="en-US"/>
        </w:rPr>
        <w:t>Telecommunication Union</w:t>
      </w:r>
      <w:r w:rsidR="00707259" w:rsidRPr="009C3C2F">
        <w:rPr>
          <w:b/>
          <w:bCs/>
          <w:sz w:val="24"/>
          <w:szCs w:val="24"/>
          <w:lang w:val="en-US"/>
        </w:rPr>
        <w:t xml:space="preserve"> as at 31 Decembe</w:t>
      </w:r>
      <w:r w:rsidR="00DD2A52" w:rsidRPr="009C3C2F">
        <w:rPr>
          <w:b/>
          <w:bCs/>
          <w:sz w:val="24"/>
          <w:szCs w:val="24"/>
          <w:lang w:val="en-US"/>
        </w:rPr>
        <w:t>r 2014, as well as for the year then ended, the financial performance, the changes in net assets, the cash flows and the</w:t>
      </w:r>
      <w:r w:rsidR="00494B22" w:rsidRPr="009C3C2F">
        <w:rPr>
          <w:b/>
          <w:bCs/>
          <w:sz w:val="24"/>
          <w:szCs w:val="24"/>
          <w:lang w:val="en-US"/>
        </w:rPr>
        <w:t xml:space="preserve"> comparison of budget and actua</w:t>
      </w:r>
      <w:r w:rsidR="003F157F" w:rsidRPr="009C3C2F">
        <w:rPr>
          <w:b/>
          <w:bCs/>
          <w:sz w:val="24"/>
          <w:szCs w:val="24"/>
          <w:lang w:val="en-US"/>
        </w:rPr>
        <w:t>l</w:t>
      </w:r>
      <w:r w:rsidRPr="009C3C2F">
        <w:rPr>
          <w:b/>
          <w:bCs/>
          <w:sz w:val="24"/>
          <w:szCs w:val="24"/>
          <w:lang w:val="en-US"/>
        </w:rPr>
        <w:t xml:space="preserve"> </w:t>
      </w:r>
      <w:r w:rsidR="00DD2A52" w:rsidRPr="009C3C2F">
        <w:rPr>
          <w:b/>
          <w:bCs/>
          <w:sz w:val="24"/>
          <w:szCs w:val="24"/>
          <w:lang w:val="en-US"/>
        </w:rPr>
        <w:t xml:space="preserve">amounts, in accordance with IPSAS and the Financial Regulations and </w:t>
      </w:r>
      <w:r w:rsidR="001B28E5" w:rsidRPr="009C3C2F">
        <w:rPr>
          <w:b/>
          <w:bCs/>
          <w:sz w:val="24"/>
          <w:szCs w:val="24"/>
          <w:lang w:val="en-US"/>
        </w:rPr>
        <w:t xml:space="preserve">Financial </w:t>
      </w:r>
      <w:r w:rsidR="00DD2A52" w:rsidRPr="009C3C2F">
        <w:rPr>
          <w:b/>
          <w:bCs/>
          <w:sz w:val="24"/>
          <w:szCs w:val="24"/>
          <w:lang w:val="en-US"/>
        </w:rPr>
        <w:t>Rules of the I</w:t>
      </w:r>
      <w:r w:rsidR="001B28E5" w:rsidRPr="009C3C2F">
        <w:rPr>
          <w:b/>
          <w:bCs/>
          <w:sz w:val="24"/>
          <w:szCs w:val="24"/>
          <w:lang w:val="en-US"/>
        </w:rPr>
        <w:t>TU</w:t>
      </w:r>
      <w:r w:rsidR="00DD2A52" w:rsidRPr="009C3C2F">
        <w:rPr>
          <w:b/>
          <w:bCs/>
          <w:sz w:val="24"/>
          <w:szCs w:val="24"/>
          <w:lang w:val="en-US"/>
        </w:rPr>
        <w:t>.</w:t>
      </w:r>
    </w:p>
    <w:p w:rsidR="00DC4F40" w:rsidRPr="009C3C2F" w:rsidRDefault="00DD2A52" w:rsidP="009C3C2F">
      <w:pPr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 xml:space="preserve">In the above-mentioned certificate, </w:t>
      </w:r>
      <w:r w:rsidR="007931B4" w:rsidRPr="009C3C2F">
        <w:rPr>
          <w:sz w:val="24"/>
          <w:szCs w:val="24"/>
          <w:lang w:val="en-US"/>
        </w:rPr>
        <w:t>we have also stressed with an “</w:t>
      </w:r>
      <w:r w:rsidR="00E80A85" w:rsidRPr="009C3C2F">
        <w:rPr>
          <w:sz w:val="24"/>
          <w:szCs w:val="24"/>
          <w:lang w:val="en-US"/>
        </w:rPr>
        <w:t>em</w:t>
      </w:r>
      <w:r w:rsidRPr="009C3C2F">
        <w:rPr>
          <w:sz w:val="24"/>
          <w:szCs w:val="24"/>
          <w:lang w:val="en-US"/>
        </w:rPr>
        <w:t>phasis</w:t>
      </w:r>
      <w:r w:rsidR="007931B4" w:rsidRPr="009C3C2F">
        <w:rPr>
          <w:sz w:val="24"/>
          <w:szCs w:val="24"/>
          <w:lang w:val="en-US"/>
        </w:rPr>
        <w:t xml:space="preserve"> of matter”</w:t>
      </w:r>
      <w:r w:rsidR="00E80A85" w:rsidRPr="009C3C2F">
        <w:rPr>
          <w:sz w:val="24"/>
          <w:szCs w:val="24"/>
          <w:lang w:val="en-US"/>
        </w:rPr>
        <w:t xml:space="preserve"> the issue of</w:t>
      </w:r>
      <w:r w:rsidR="00C45319" w:rsidRPr="009C3C2F">
        <w:rPr>
          <w:sz w:val="24"/>
          <w:szCs w:val="24"/>
          <w:lang w:val="en-US"/>
        </w:rPr>
        <w:t xml:space="preserve"> After Service Health Insurance (</w:t>
      </w:r>
      <w:r w:rsidR="00E80A85" w:rsidRPr="009C3C2F">
        <w:rPr>
          <w:sz w:val="24"/>
          <w:szCs w:val="24"/>
          <w:lang w:val="en-US"/>
        </w:rPr>
        <w:t>ASHI</w:t>
      </w:r>
      <w:r w:rsidR="00C45319" w:rsidRPr="009C3C2F">
        <w:rPr>
          <w:sz w:val="24"/>
          <w:szCs w:val="24"/>
          <w:lang w:val="en-US"/>
        </w:rPr>
        <w:t>)</w:t>
      </w:r>
      <w:r w:rsidR="00E80A85" w:rsidRPr="009C3C2F">
        <w:rPr>
          <w:sz w:val="24"/>
          <w:szCs w:val="24"/>
          <w:lang w:val="en-US"/>
        </w:rPr>
        <w:t xml:space="preserve"> actuarial liabilities, a focal point of our audit report</w:t>
      </w:r>
      <w:r w:rsidR="007931B4" w:rsidRPr="009C3C2F">
        <w:rPr>
          <w:sz w:val="24"/>
          <w:szCs w:val="24"/>
          <w:lang w:val="en-US"/>
        </w:rPr>
        <w:t>,</w:t>
      </w:r>
      <w:r w:rsidR="00E80A85" w:rsidRPr="009C3C2F">
        <w:rPr>
          <w:sz w:val="24"/>
          <w:szCs w:val="24"/>
          <w:lang w:val="en-US"/>
        </w:rPr>
        <w:t xml:space="preserve"> which requests for measures to be </w:t>
      </w:r>
      <w:r w:rsidR="00C45319" w:rsidRPr="009C3C2F">
        <w:rPr>
          <w:sz w:val="24"/>
          <w:szCs w:val="24"/>
          <w:lang w:val="en-US"/>
        </w:rPr>
        <w:t>undertaken</w:t>
      </w:r>
      <w:r w:rsidR="00DC4F40" w:rsidRPr="009C3C2F">
        <w:rPr>
          <w:sz w:val="24"/>
          <w:szCs w:val="24"/>
          <w:lang w:val="en-US"/>
        </w:rPr>
        <w:t xml:space="preserve"> and monitored</w:t>
      </w:r>
      <w:r w:rsidR="00C45319" w:rsidRPr="009C3C2F">
        <w:rPr>
          <w:sz w:val="24"/>
          <w:szCs w:val="24"/>
          <w:lang w:val="en-US"/>
        </w:rPr>
        <w:t>,</w:t>
      </w:r>
      <w:r w:rsidR="00DC4F40" w:rsidRPr="009C3C2F">
        <w:rPr>
          <w:sz w:val="24"/>
          <w:szCs w:val="24"/>
          <w:lang w:val="en-US"/>
        </w:rPr>
        <w:t xml:space="preserve"> in order to assess their effectiveness, by the Management.</w:t>
      </w:r>
    </w:p>
    <w:p w:rsidR="00466119" w:rsidRPr="009C3C2F" w:rsidRDefault="00DC4F40" w:rsidP="009C3C2F">
      <w:pPr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lastRenderedPageBreak/>
        <w:t>The audit report, annexed to the audit certificate and issued according to the Financial Regulation and Fina</w:t>
      </w:r>
      <w:r w:rsidR="00494B22" w:rsidRPr="009C3C2F">
        <w:rPr>
          <w:sz w:val="24"/>
          <w:szCs w:val="24"/>
          <w:lang w:val="en-US"/>
        </w:rPr>
        <w:t xml:space="preserve">ncial Rules </w:t>
      </w:r>
      <w:r w:rsidR="001B28E5" w:rsidRPr="009C3C2F">
        <w:rPr>
          <w:sz w:val="24"/>
          <w:szCs w:val="24"/>
          <w:lang w:val="en-US"/>
        </w:rPr>
        <w:t xml:space="preserve">(as well as the additional terms of reference governing </w:t>
      </w:r>
      <w:r w:rsidR="008E3F26" w:rsidRPr="009C3C2F">
        <w:rPr>
          <w:sz w:val="24"/>
          <w:szCs w:val="24"/>
          <w:lang w:val="en-US"/>
        </w:rPr>
        <w:t xml:space="preserve">external audit) </w:t>
      </w:r>
      <w:r w:rsidR="00494B22" w:rsidRPr="009C3C2F">
        <w:rPr>
          <w:sz w:val="24"/>
          <w:szCs w:val="24"/>
          <w:lang w:val="en-US"/>
        </w:rPr>
        <w:t xml:space="preserve">of the </w:t>
      </w:r>
      <w:r w:rsidR="001B28E5" w:rsidRPr="009C3C2F">
        <w:rPr>
          <w:sz w:val="24"/>
          <w:szCs w:val="24"/>
          <w:lang w:val="en-US"/>
        </w:rPr>
        <w:t>Union</w:t>
      </w:r>
      <w:r w:rsidR="00494B22" w:rsidRPr="009C3C2F">
        <w:rPr>
          <w:sz w:val="24"/>
          <w:szCs w:val="24"/>
          <w:lang w:val="en-US"/>
        </w:rPr>
        <w:t>, underlines the main data of</w:t>
      </w:r>
      <w:r w:rsidR="007C48C6" w:rsidRPr="009C3C2F">
        <w:rPr>
          <w:sz w:val="24"/>
          <w:szCs w:val="24"/>
          <w:lang w:val="en-US"/>
        </w:rPr>
        <w:t xml:space="preserve"> the financial statements. </w:t>
      </w:r>
      <w:r w:rsidR="00320D25" w:rsidRPr="009C3C2F">
        <w:rPr>
          <w:sz w:val="24"/>
          <w:szCs w:val="24"/>
          <w:lang w:val="en-US"/>
        </w:rPr>
        <w:t>The report also presents</w:t>
      </w:r>
      <w:r w:rsidR="00E46A8A" w:rsidRPr="009C3C2F">
        <w:rPr>
          <w:sz w:val="24"/>
          <w:szCs w:val="24"/>
          <w:lang w:val="en-US"/>
        </w:rPr>
        <w:t>, according to our audit methodology,</w:t>
      </w:r>
      <w:r w:rsidR="00320D25" w:rsidRPr="009C3C2F">
        <w:rPr>
          <w:sz w:val="24"/>
          <w:szCs w:val="24"/>
          <w:lang w:val="en-US"/>
        </w:rPr>
        <w:t xml:space="preserve"> suggestions and recommendations </w:t>
      </w:r>
      <w:r w:rsidR="007C48C6" w:rsidRPr="009C3C2F">
        <w:rPr>
          <w:sz w:val="24"/>
          <w:szCs w:val="24"/>
          <w:lang w:val="en-US"/>
        </w:rPr>
        <w:t>addressed to the Management</w:t>
      </w:r>
      <w:r w:rsidR="008E3F26" w:rsidRPr="009C3C2F">
        <w:rPr>
          <w:sz w:val="24"/>
          <w:szCs w:val="24"/>
          <w:lang w:val="en-US"/>
        </w:rPr>
        <w:t xml:space="preserve"> and</w:t>
      </w:r>
      <w:r w:rsidR="007C48C6" w:rsidRPr="009C3C2F">
        <w:rPr>
          <w:sz w:val="24"/>
          <w:szCs w:val="24"/>
          <w:lang w:val="en-US"/>
        </w:rPr>
        <w:t xml:space="preserve"> linked with</w:t>
      </w:r>
      <w:r w:rsidR="00320D25" w:rsidRPr="009C3C2F">
        <w:rPr>
          <w:sz w:val="24"/>
          <w:szCs w:val="24"/>
          <w:lang w:val="en-US"/>
        </w:rPr>
        <w:t xml:space="preserve"> issues </w:t>
      </w:r>
      <w:r w:rsidR="007C48C6" w:rsidRPr="009C3C2F">
        <w:rPr>
          <w:sz w:val="24"/>
          <w:szCs w:val="24"/>
          <w:lang w:val="en-US"/>
        </w:rPr>
        <w:t>we have considered relevant to underscore</w:t>
      </w:r>
      <w:r w:rsidR="008B0EE1" w:rsidRPr="009C3C2F">
        <w:rPr>
          <w:sz w:val="24"/>
          <w:szCs w:val="24"/>
          <w:lang w:val="en-US"/>
        </w:rPr>
        <w:t xml:space="preserve">: </w:t>
      </w:r>
      <w:r w:rsidR="008B0EE1" w:rsidRPr="009C3C2F">
        <w:rPr>
          <w:b/>
          <w:bCs/>
          <w:sz w:val="24"/>
          <w:szCs w:val="24"/>
          <w:lang w:val="en-US"/>
        </w:rPr>
        <w:t>Recommendations</w:t>
      </w:r>
      <w:r w:rsidR="008B0EE1" w:rsidRPr="009C3C2F">
        <w:rPr>
          <w:sz w:val="24"/>
          <w:szCs w:val="24"/>
          <w:lang w:val="en-US"/>
        </w:rPr>
        <w:t xml:space="preserve"> fall under the follow-up process carried out by the</w:t>
      </w:r>
      <w:r w:rsidR="008E3F26" w:rsidRPr="009C3C2F">
        <w:rPr>
          <w:sz w:val="24"/>
          <w:szCs w:val="24"/>
          <w:lang w:val="en-US"/>
        </w:rPr>
        <w:t xml:space="preserve"> Council’s Working Group on Financial and Human Resources</w:t>
      </w:r>
      <w:r w:rsidR="008B0EE1" w:rsidRPr="009C3C2F">
        <w:rPr>
          <w:sz w:val="24"/>
          <w:szCs w:val="24"/>
          <w:lang w:val="en-US"/>
        </w:rPr>
        <w:t xml:space="preserve">; </w:t>
      </w:r>
      <w:r w:rsidR="008B0EE1" w:rsidRPr="009C3C2F">
        <w:rPr>
          <w:b/>
          <w:bCs/>
          <w:sz w:val="24"/>
          <w:szCs w:val="24"/>
          <w:lang w:val="en-US"/>
        </w:rPr>
        <w:t>Suggestions</w:t>
      </w:r>
      <w:r w:rsidR="008B0EE1" w:rsidRPr="009C3C2F">
        <w:rPr>
          <w:sz w:val="24"/>
          <w:szCs w:val="24"/>
          <w:lang w:val="en-US"/>
        </w:rPr>
        <w:t xml:space="preserve"> are only followed up by the External Auditors.</w:t>
      </w:r>
    </w:p>
    <w:p w:rsidR="007C48C6" w:rsidRPr="009C3C2F" w:rsidRDefault="008D20C9" w:rsidP="009C3C2F">
      <w:pPr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>An example of these recommendations and suggestions</w:t>
      </w:r>
      <w:r w:rsidR="007C48C6" w:rsidRPr="009C3C2F">
        <w:rPr>
          <w:sz w:val="24"/>
          <w:szCs w:val="24"/>
          <w:lang w:val="en-US"/>
        </w:rPr>
        <w:t xml:space="preserve"> </w:t>
      </w:r>
      <w:r w:rsidRPr="009C3C2F">
        <w:rPr>
          <w:sz w:val="24"/>
          <w:szCs w:val="24"/>
          <w:lang w:val="en-US"/>
        </w:rPr>
        <w:t>can be found in</w:t>
      </w:r>
      <w:r w:rsidR="007C48C6" w:rsidRPr="009C3C2F">
        <w:rPr>
          <w:sz w:val="24"/>
          <w:szCs w:val="24"/>
          <w:lang w:val="en-US"/>
        </w:rPr>
        <w:t xml:space="preserve"> the above-mentioned </w:t>
      </w:r>
      <w:r w:rsidR="00A35D69" w:rsidRPr="009C3C2F">
        <w:rPr>
          <w:sz w:val="24"/>
          <w:szCs w:val="24"/>
          <w:lang w:val="en-US"/>
        </w:rPr>
        <w:t>After Service Health Insurance liabilities</w:t>
      </w:r>
      <w:r w:rsidRPr="009C3C2F">
        <w:rPr>
          <w:sz w:val="24"/>
          <w:szCs w:val="24"/>
          <w:lang w:val="en-US"/>
        </w:rPr>
        <w:t xml:space="preserve"> issue</w:t>
      </w:r>
      <w:r w:rsidR="00A35D69" w:rsidRPr="009C3C2F">
        <w:rPr>
          <w:sz w:val="24"/>
          <w:szCs w:val="24"/>
          <w:lang w:val="en-US"/>
        </w:rPr>
        <w:t>. In this regard</w:t>
      </w:r>
      <w:r w:rsidR="00AE05AF" w:rsidRPr="009C3C2F">
        <w:rPr>
          <w:sz w:val="24"/>
          <w:szCs w:val="24"/>
          <w:lang w:val="en-US"/>
        </w:rPr>
        <w:t>, we ha</w:t>
      </w:r>
      <w:r w:rsidR="00C12C39" w:rsidRPr="009C3C2F">
        <w:rPr>
          <w:sz w:val="24"/>
          <w:szCs w:val="24"/>
          <w:lang w:val="en-US"/>
        </w:rPr>
        <w:t>ve</w:t>
      </w:r>
      <w:r w:rsidR="00AE05AF" w:rsidRPr="009C3C2F">
        <w:rPr>
          <w:sz w:val="24"/>
          <w:szCs w:val="24"/>
          <w:lang w:val="en-US"/>
        </w:rPr>
        <w:t xml:space="preserve"> assessed the compliance of the recorded value of these liabilities with the actuarial assumptions chosen by the Management</w:t>
      </w:r>
      <w:r w:rsidR="00C12C39" w:rsidRPr="009C3C2F">
        <w:rPr>
          <w:sz w:val="24"/>
          <w:szCs w:val="24"/>
          <w:lang w:val="en-US"/>
        </w:rPr>
        <w:t xml:space="preserve">, due to </w:t>
      </w:r>
      <w:r w:rsidR="008E3F26" w:rsidRPr="009C3C2F">
        <w:rPr>
          <w:sz w:val="24"/>
          <w:szCs w:val="24"/>
          <w:lang w:val="en-US"/>
        </w:rPr>
        <w:t>the</w:t>
      </w:r>
      <w:r w:rsidR="00C12C39" w:rsidRPr="009C3C2F">
        <w:rPr>
          <w:sz w:val="24"/>
          <w:szCs w:val="24"/>
          <w:lang w:val="en-US"/>
        </w:rPr>
        <w:t xml:space="preserve"> relevan</w:t>
      </w:r>
      <w:r w:rsidRPr="009C3C2F">
        <w:rPr>
          <w:sz w:val="24"/>
          <w:szCs w:val="24"/>
          <w:lang w:val="en-US"/>
        </w:rPr>
        <w:t>t impact</w:t>
      </w:r>
      <w:r w:rsidR="00C12C39" w:rsidRPr="009C3C2F">
        <w:rPr>
          <w:sz w:val="24"/>
          <w:szCs w:val="24"/>
          <w:lang w:val="en-US"/>
        </w:rPr>
        <w:t xml:space="preserve"> </w:t>
      </w:r>
      <w:r w:rsidR="008E3F26" w:rsidRPr="009C3C2F">
        <w:rPr>
          <w:sz w:val="24"/>
          <w:szCs w:val="24"/>
          <w:lang w:val="en-US"/>
        </w:rPr>
        <w:t xml:space="preserve">of that value </w:t>
      </w:r>
      <w:r w:rsidR="00C12C39" w:rsidRPr="009C3C2F">
        <w:rPr>
          <w:sz w:val="24"/>
          <w:szCs w:val="24"/>
          <w:lang w:val="en-US"/>
        </w:rPr>
        <w:t xml:space="preserve">on </w:t>
      </w:r>
      <w:r w:rsidR="002C34E9" w:rsidRPr="009C3C2F">
        <w:rPr>
          <w:sz w:val="24"/>
          <w:szCs w:val="24"/>
          <w:lang w:val="en-US"/>
        </w:rPr>
        <w:t xml:space="preserve">the </w:t>
      </w:r>
      <w:r w:rsidRPr="009C3C2F">
        <w:rPr>
          <w:sz w:val="24"/>
          <w:szCs w:val="24"/>
          <w:lang w:val="en-US"/>
        </w:rPr>
        <w:t>statement of</w:t>
      </w:r>
      <w:r w:rsidR="00C12C39" w:rsidRPr="009C3C2F">
        <w:rPr>
          <w:sz w:val="24"/>
          <w:szCs w:val="24"/>
          <w:lang w:val="en-US"/>
        </w:rPr>
        <w:t xml:space="preserve"> financial position of the </w:t>
      </w:r>
      <w:r w:rsidR="008E3F26" w:rsidRPr="009C3C2F">
        <w:rPr>
          <w:sz w:val="24"/>
          <w:szCs w:val="24"/>
          <w:lang w:val="en-US"/>
        </w:rPr>
        <w:t>ITU</w:t>
      </w:r>
      <w:r w:rsidR="00AE05AF" w:rsidRPr="009C3C2F">
        <w:rPr>
          <w:sz w:val="24"/>
          <w:szCs w:val="24"/>
          <w:lang w:val="en-US"/>
        </w:rPr>
        <w:t>.</w:t>
      </w:r>
    </w:p>
    <w:p w:rsidR="00AE05AF" w:rsidRPr="009C3C2F" w:rsidRDefault="00402AAE" w:rsidP="009C3C2F">
      <w:pPr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>According to the results of our audit, we have validated the</w:t>
      </w:r>
      <w:r w:rsidR="008E3F26" w:rsidRPr="009C3C2F">
        <w:rPr>
          <w:sz w:val="24"/>
          <w:szCs w:val="24"/>
          <w:lang w:val="en-US"/>
        </w:rPr>
        <w:t>se</w:t>
      </w:r>
      <w:r w:rsidRPr="009C3C2F">
        <w:rPr>
          <w:sz w:val="24"/>
          <w:szCs w:val="24"/>
          <w:lang w:val="en-US"/>
        </w:rPr>
        <w:t xml:space="preserve"> assumptions as they have been considered </w:t>
      </w:r>
      <w:r w:rsidRPr="009C3C2F">
        <w:rPr>
          <w:b/>
          <w:bCs/>
          <w:sz w:val="24"/>
          <w:szCs w:val="24"/>
          <w:lang w:val="en-US"/>
        </w:rPr>
        <w:t>in line with economic trends and rates and consistent with data available at I</w:t>
      </w:r>
      <w:r w:rsidR="008E3F26" w:rsidRPr="009C3C2F">
        <w:rPr>
          <w:b/>
          <w:bCs/>
          <w:sz w:val="24"/>
          <w:szCs w:val="24"/>
          <w:lang w:val="en-US"/>
        </w:rPr>
        <w:t>TU</w:t>
      </w:r>
      <w:r w:rsidRPr="009C3C2F">
        <w:rPr>
          <w:b/>
          <w:bCs/>
          <w:sz w:val="24"/>
          <w:szCs w:val="24"/>
          <w:lang w:val="en-US"/>
        </w:rPr>
        <w:t xml:space="preserve"> at the moment of our audit</w:t>
      </w:r>
      <w:r w:rsidR="0011695A" w:rsidRPr="009C3C2F">
        <w:rPr>
          <w:sz w:val="24"/>
          <w:szCs w:val="24"/>
          <w:lang w:val="en-US"/>
        </w:rPr>
        <w:t xml:space="preserve">. We have also suggested the Management </w:t>
      </w:r>
      <w:r w:rsidR="0011695A" w:rsidRPr="009C3C2F">
        <w:rPr>
          <w:b/>
          <w:bCs/>
          <w:sz w:val="24"/>
          <w:szCs w:val="24"/>
          <w:lang w:val="en-US"/>
        </w:rPr>
        <w:t xml:space="preserve">to review at the end of year 2015 </w:t>
      </w:r>
      <w:r w:rsidR="008E3F26" w:rsidRPr="009C3C2F">
        <w:rPr>
          <w:b/>
          <w:bCs/>
          <w:sz w:val="24"/>
          <w:szCs w:val="24"/>
          <w:lang w:val="en-US"/>
        </w:rPr>
        <w:t>whether</w:t>
      </w:r>
      <w:r w:rsidR="0011695A" w:rsidRPr="009C3C2F">
        <w:rPr>
          <w:b/>
          <w:bCs/>
          <w:sz w:val="24"/>
          <w:szCs w:val="24"/>
          <w:lang w:val="en-US"/>
        </w:rPr>
        <w:t xml:space="preserve"> some assumptions might merit further revision</w:t>
      </w:r>
      <w:r w:rsidR="0011695A" w:rsidRPr="009C3C2F">
        <w:rPr>
          <w:sz w:val="24"/>
          <w:szCs w:val="24"/>
          <w:lang w:val="en-US"/>
        </w:rPr>
        <w:t>.</w:t>
      </w:r>
    </w:p>
    <w:p w:rsidR="00402AAE" w:rsidRPr="009C3C2F" w:rsidRDefault="008E3F26" w:rsidP="009C3C2F">
      <w:pPr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lastRenderedPageBreak/>
        <w:t xml:space="preserve">Our audit confirmed </w:t>
      </w:r>
      <w:r w:rsidR="0011695A" w:rsidRPr="009C3C2F">
        <w:rPr>
          <w:sz w:val="24"/>
          <w:szCs w:val="24"/>
          <w:lang w:val="en-US"/>
        </w:rPr>
        <w:t xml:space="preserve">that the amount recorded in the accounts </w:t>
      </w:r>
      <w:r w:rsidRPr="009C3C2F">
        <w:rPr>
          <w:sz w:val="24"/>
          <w:szCs w:val="24"/>
          <w:lang w:val="en-US"/>
        </w:rPr>
        <w:t>was</w:t>
      </w:r>
      <w:r w:rsidR="0011695A" w:rsidRPr="009C3C2F">
        <w:rPr>
          <w:sz w:val="24"/>
          <w:szCs w:val="24"/>
          <w:lang w:val="en-US"/>
        </w:rPr>
        <w:t xml:space="preserve"> substantially correct.</w:t>
      </w:r>
    </w:p>
    <w:p w:rsidR="0011695A" w:rsidRPr="009C3C2F" w:rsidRDefault="00CF1890" w:rsidP="009C3C2F">
      <w:pPr>
        <w:keepNext/>
        <w:keepLines/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 xml:space="preserve">In </w:t>
      </w:r>
      <w:r w:rsidR="0011695A" w:rsidRPr="009C3C2F">
        <w:rPr>
          <w:sz w:val="24"/>
          <w:szCs w:val="24"/>
          <w:lang w:val="en-US"/>
        </w:rPr>
        <w:t xml:space="preserve">consideration of the </w:t>
      </w:r>
      <w:r w:rsidR="00C45319" w:rsidRPr="009C3C2F">
        <w:rPr>
          <w:sz w:val="24"/>
          <w:szCs w:val="24"/>
          <w:lang w:val="en-US"/>
        </w:rPr>
        <w:t>amount</w:t>
      </w:r>
      <w:r w:rsidR="0011695A" w:rsidRPr="009C3C2F">
        <w:rPr>
          <w:sz w:val="24"/>
          <w:szCs w:val="24"/>
          <w:lang w:val="en-US"/>
        </w:rPr>
        <w:t xml:space="preserve"> of these liabilities and </w:t>
      </w:r>
      <w:r w:rsidR="002C34E9" w:rsidRPr="009C3C2F">
        <w:rPr>
          <w:sz w:val="24"/>
          <w:szCs w:val="24"/>
          <w:lang w:val="en-US"/>
        </w:rPr>
        <w:t xml:space="preserve">of </w:t>
      </w:r>
      <w:r w:rsidR="0011695A" w:rsidRPr="009C3C2F">
        <w:rPr>
          <w:sz w:val="24"/>
          <w:szCs w:val="24"/>
          <w:lang w:val="en-US"/>
        </w:rPr>
        <w:t>their underfunding, we have recommended the Management:</w:t>
      </w:r>
    </w:p>
    <w:p w:rsidR="0011695A" w:rsidRPr="009C3C2F" w:rsidRDefault="0011695A" w:rsidP="009C3C2F">
      <w:pPr>
        <w:pStyle w:val="ListParagraph"/>
        <w:keepNext/>
        <w:keepLines/>
        <w:numPr>
          <w:ilvl w:val="0"/>
          <w:numId w:val="1"/>
        </w:numPr>
        <w:spacing w:before="120" w:line="240" w:lineRule="auto"/>
        <w:ind w:left="714" w:hanging="357"/>
        <w:contextualSpacing w:val="0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 xml:space="preserve">To consider </w:t>
      </w:r>
      <w:r w:rsidR="00693C9A" w:rsidRPr="009C3C2F">
        <w:rPr>
          <w:sz w:val="24"/>
          <w:szCs w:val="24"/>
          <w:lang w:val="en-US"/>
        </w:rPr>
        <w:t>some remedial measures (that we have exposed and proposed as “drivers”) and to address the issue to the attention of the Council;</w:t>
      </w:r>
    </w:p>
    <w:p w:rsidR="008E3F26" w:rsidRPr="009C3C2F" w:rsidRDefault="008E3F26" w:rsidP="009C3C2F">
      <w:pPr>
        <w:pStyle w:val="ListParagraph"/>
        <w:keepNext/>
        <w:keepLines/>
        <w:numPr>
          <w:ilvl w:val="0"/>
          <w:numId w:val="1"/>
        </w:numPr>
        <w:spacing w:before="120" w:line="240" w:lineRule="auto"/>
        <w:ind w:left="714" w:hanging="357"/>
        <w:contextualSpacing w:val="0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>To monitor these drivers in order to ensure adequate “pay as you go” and long-term funding;</w:t>
      </w:r>
    </w:p>
    <w:p w:rsidR="00693C9A" w:rsidRPr="009C3C2F" w:rsidRDefault="00693C9A" w:rsidP="009C3C2F">
      <w:pPr>
        <w:pStyle w:val="ListParagraph"/>
        <w:keepNext/>
        <w:keepLines/>
        <w:numPr>
          <w:ilvl w:val="0"/>
          <w:numId w:val="1"/>
        </w:numPr>
        <w:spacing w:before="120" w:line="240" w:lineRule="auto"/>
        <w:ind w:left="714" w:hanging="357"/>
        <w:contextualSpacing w:val="0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>To carry out a full actuarial review study in order to evaluate whether and when the I</w:t>
      </w:r>
      <w:r w:rsidR="008E3F26" w:rsidRPr="009C3C2F">
        <w:rPr>
          <w:sz w:val="24"/>
          <w:szCs w:val="24"/>
          <w:lang w:val="en-US"/>
        </w:rPr>
        <w:t>TU</w:t>
      </w:r>
      <w:r w:rsidRPr="009C3C2F">
        <w:rPr>
          <w:sz w:val="24"/>
          <w:szCs w:val="24"/>
          <w:lang w:val="en-US"/>
        </w:rPr>
        <w:t xml:space="preserve"> financial health might be compromised</w:t>
      </w:r>
      <w:r w:rsidR="008E3F26" w:rsidRPr="009C3C2F">
        <w:rPr>
          <w:sz w:val="24"/>
          <w:szCs w:val="24"/>
          <w:lang w:val="en-US"/>
        </w:rPr>
        <w:t>,</w:t>
      </w:r>
      <w:r w:rsidRPr="009C3C2F">
        <w:rPr>
          <w:sz w:val="24"/>
          <w:szCs w:val="24"/>
          <w:lang w:val="en-US"/>
        </w:rPr>
        <w:t xml:space="preserve"> in the long-term scenario</w:t>
      </w:r>
      <w:r w:rsidR="008E3F26" w:rsidRPr="009C3C2F">
        <w:rPr>
          <w:sz w:val="24"/>
          <w:szCs w:val="24"/>
          <w:lang w:val="en-US"/>
        </w:rPr>
        <w:t>,</w:t>
      </w:r>
      <w:r w:rsidRPr="009C3C2F">
        <w:rPr>
          <w:sz w:val="24"/>
          <w:szCs w:val="24"/>
          <w:lang w:val="en-US"/>
        </w:rPr>
        <w:t xml:space="preserve"> by the provisions of the Health Insurance Scheme.</w:t>
      </w:r>
    </w:p>
    <w:p w:rsidR="00117E2E" w:rsidRPr="009C3C2F" w:rsidRDefault="008E3F26" w:rsidP="009C3C2F">
      <w:pPr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 xml:space="preserve">Our </w:t>
      </w:r>
      <w:r w:rsidR="00117E2E" w:rsidRPr="009C3C2F">
        <w:rPr>
          <w:sz w:val="24"/>
          <w:szCs w:val="24"/>
          <w:lang w:val="en-US"/>
        </w:rPr>
        <w:t xml:space="preserve">report </w:t>
      </w:r>
      <w:r w:rsidR="002414E7" w:rsidRPr="009C3C2F">
        <w:rPr>
          <w:sz w:val="24"/>
          <w:szCs w:val="24"/>
          <w:lang w:val="en-US"/>
        </w:rPr>
        <w:t xml:space="preserve">also </w:t>
      </w:r>
      <w:r w:rsidRPr="009C3C2F">
        <w:rPr>
          <w:sz w:val="24"/>
          <w:szCs w:val="24"/>
          <w:lang w:val="en-US"/>
        </w:rPr>
        <w:t>presents</w:t>
      </w:r>
      <w:r w:rsidR="00117E2E" w:rsidRPr="009C3C2F">
        <w:rPr>
          <w:sz w:val="24"/>
          <w:szCs w:val="24"/>
          <w:lang w:val="en-US"/>
        </w:rPr>
        <w:t xml:space="preserve"> the results of the audit we have carried-out on other issues, </w:t>
      </w:r>
      <w:r w:rsidR="002C34E9" w:rsidRPr="009C3C2F">
        <w:rPr>
          <w:sz w:val="24"/>
          <w:szCs w:val="24"/>
          <w:lang w:val="en-US"/>
        </w:rPr>
        <w:t>for example on</w:t>
      </w:r>
      <w:r w:rsidR="00117E2E" w:rsidRPr="009C3C2F">
        <w:rPr>
          <w:sz w:val="24"/>
          <w:szCs w:val="24"/>
          <w:lang w:val="en-US"/>
        </w:rPr>
        <w:t xml:space="preserve"> </w:t>
      </w:r>
      <w:r w:rsidRPr="009C3C2F">
        <w:rPr>
          <w:sz w:val="24"/>
          <w:szCs w:val="24"/>
          <w:lang w:val="en-US"/>
        </w:rPr>
        <w:t xml:space="preserve">publications, procurements, </w:t>
      </w:r>
      <w:r w:rsidR="00117E2E" w:rsidRPr="009C3C2F">
        <w:rPr>
          <w:sz w:val="24"/>
          <w:szCs w:val="24"/>
          <w:lang w:val="en-US"/>
        </w:rPr>
        <w:t>personnel management</w:t>
      </w:r>
      <w:r w:rsidRPr="009C3C2F">
        <w:rPr>
          <w:sz w:val="24"/>
          <w:szCs w:val="24"/>
          <w:lang w:val="en-US"/>
        </w:rPr>
        <w:t>, low-value assets and lost or stolen items</w:t>
      </w:r>
      <w:r w:rsidR="002414E7" w:rsidRPr="009C3C2F">
        <w:rPr>
          <w:sz w:val="24"/>
          <w:szCs w:val="24"/>
          <w:lang w:val="en-US"/>
        </w:rPr>
        <w:t>.</w:t>
      </w:r>
      <w:r w:rsidRPr="009C3C2F">
        <w:rPr>
          <w:sz w:val="24"/>
          <w:szCs w:val="24"/>
          <w:lang w:val="en-US"/>
        </w:rPr>
        <w:t xml:space="preserve"> Proper consideration it gives to the Management’s follow-up to previous years external audit recommendations.</w:t>
      </w:r>
    </w:p>
    <w:p w:rsidR="00D57C17" w:rsidRPr="009C3C2F" w:rsidRDefault="00CF1890" w:rsidP="009C3C2F">
      <w:pPr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>F</w:t>
      </w:r>
      <w:bookmarkStart w:id="11" w:name="_GoBack"/>
      <w:bookmarkEnd w:id="11"/>
      <w:r w:rsidRPr="009C3C2F">
        <w:rPr>
          <w:sz w:val="24"/>
          <w:szCs w:val="24"/>
          <w:lang w:val="en-US"/>
        </w:rPr>
        <w:t xml:space="preserve">urthermore, according </w:t>
      </w:r>
      <w:r w:rsidR="00D57C17" w:rsidRPr="009C3C2F">
        <w:rPr>
          <w:sz w:val="24"/>
          <w:szCs w:val="24"/>
          <w:lang w:val="en-US"/>
        </w:rPr>
        <w:t xml:space="preserve">to the Financial Regulations and Financial Rules of the Union, we have </w:t>
      </w:r>
      <w:r w:rsidRPr="009C3C2F">
        <w:rPr>
          <w:sz w:val="24"/>
          <w:szCs w:val="24"/>
          <w:lang w:val="en-US"/>
        </w:rPr>
        <w:t>certified</w:t>
      </w:r>
      <w:r w:rsidR="00D57C17" w:rsidRPr="009C3C2F">
        <w:rPr>
          <w:sz w:val="24"/>
          <w:szCs w:val="24"/>
          <w:lang w:val="en-US"/>
        </w:rPr>
        <w:t xml:space="preserve"> the account concerning the projects financed by the United Nations development </w:t>
      </w:r>
      <w:r w:rsidR="00D57C17" w:rsidRPr="009C3C2F">
        <w:rPr>
          <w:sz w:val="24"/>
          <w:szCs w:val="24"/>
        </w:rPr>
        <w:t>Programme</w:t>
      </w:r>
      <w:r w:rsidR="00D57C17" w:rsidRPr="009C3C2F">
        <w:rPr>
          <w:sz w:val="24"/>
          <w:szCs w:val="24"/>
          <w:lang w:val="en-US"/>
        </w:rPr>
        <w:t xml:space="preserve"> (UNDP), Information Communication Technology Development Fund (ICTDP)</w:t>
      </w:r>
      <w:r w:rsidRPr="009C3C2F">
        <w:rPr>
          <w:sz w:val="24"/>
          <w:szCs w:val="24"/>
          <w:lang w:val="en-US"/>
        </w:rPr>
        <w:t>;</w:t>
      </w:r>
      <w:r w:rsidR="00D57C17" w:rsidRPr="009C3C2F">
        <w:rPr>
          <w:sz w:val="24"/>
          <w:szCs w:val="24"/>
          <w:lang w:val="en-US"/>
        </w:rPr>
        <w:t xml:space="preserve"> we have </w:t>
      </w:r>
      <w:r w:rsidRPr="009C3C2F">
        <w:rPr>
          <w:sz w:val="24"/>
          <w:szCs w:val="24"/>
          <w:lang w:val="en-US"/>
        </w:rPr>
        <w:t xml:space="preserve">also </w:t>
      </w:r>
      <w:r w:rsidR="00D57C17" w:rsidRPr="009C3C2F">
        <w:rPr>
          <w:sz w:val="24"/>
          <w:szCs w:val="24"/>
          <w:lang w:val="en-US"/>
        </w:rPr>
        <w:t xml:space="preserve">issued an </w:t>
      </w:r>
      <w:r w:rsidR="00D57C17" w:rsidRPr="009C3C2F">
        <w:rPr>
          <w:i/>
          <w:iCs/>
          <w:sz w:val="24"/>
          <w:szCs w:val="24"/>
          <w:lang w:val="en-US"/>
        </w:rPr>
        <w:t>ad hoc</w:t>
      </w:r>
      <w:r w:rsidR="00D57C17" w:rsidRPr="009C3C2F">
        <w:rPr>
          <w:sz w:val="24"/>
          <w:szCs w:val="24"/>
          <w:lang w:val="en-US"/>
        </w:rPr>
        <w:t xml:space="preserve"> report focused on </w:t>
      </w:r>
      <w:r w:rsidR="00D57C17" w:rsidRPr="009C3C2F">
        <w:rPr>
          <w:sz w:val="24"/>
          <w:szCs w:val="24"/>
          <w:lang w:val="en-US"/>
        </w:rPr>
        <w:lastRenderedPageBreak/>
        <w:t>the management and the results of the Telecom World event 2014, held in Doha.</w:t>
      </w:r>
    </w:p>
    <w:p w:rsidR="00D57C17" w:rsidRPr="009C3C2F" w:rsidRDefault="00D57C17" w:rsidP="009C3C2F">
      <w:pPr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>My colleague Giacinto Dammicco will refer on the main issues dealt with in this report.</w:t>
      </w:r>
    </w:p>
    <w:p w:rsidR="002B39C8" w:rsidRPr="009C3C2F" w:rsidRDefault="00D57C17" w:rsidP="009C3C2F">
      <w:pPr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 xml:space="preserve">Distinguished Delegates, we </w:t>
      </w:r>
      <w:r w:rsidR="00B90762" w:rsidRPr="009C3C2F">
        <w:rPr>
          <w:sz w:val="24"/>
          <w:szCs w:val="24"/>
          <w:lang w:val="en-US"/>
        </w:rPr>
        <w:t xml:space="preserve">welcome and </w:t>
      </w:r>
      <w:r w:rsidR="003F157F" w:rsidRPr="009C3C2F">
        <w:rPr>
          <w:sz w:val="24"/>
          <w:szCs w:val="24"/>
          <w:lang w:val="en-US"/>
        </w:rPr>
        <w:t>will be pleased to answer your questions on the content of our audit report</w:t>
      </w:r>
      <w:r w:rsidRPr="009C3C2F">
        <w:rPr>
          <w:sz w:val="24"/>
          <w:szCs w:val="24"/>
          <w:lang w:val="en-US"/>
        </w:rPr>
        <w:t>s</w:t>
      </w:r>
      <w:r w:rsidR="002B39C8" w:rsidRPr="009C3C2F">
        <w:rPr>
          <w:sz w:val="24"/>
          <w:szCs w:val="24"/>
          <w:lang w:val="en-US"/>
        </w:rPr>
        <w:t>.</w:t>
      </w:r>
    </w:p>
    <w:p w:rsidR="002B39C8" w:rsidRPr="009C3C2F" w:rsidRDefault="002B39C8" w:rsidP="009C3C2F">
      <w:pPr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 xml:space="preserve">We would like to sincerely thank the </w:t>
      </w:r>
      <w:r w:rsidR="00D57C17" w:rsidRPr="009C3C2F">
        <w:rPr>
          <w:sz w:val="24"/>
          <w:szCs w:val="24"/>
          <w:lang w:val="en-US"/>
        </w:rPr>
        <w:t>ITU</w:t>
      </w:r>
      <w:r w:rsidRPr="009C3C2F">
        <w:rPr>
          <w:sz w:val="24"/>
          <w:szCs w:val="24"/>
          <w:lang w:val="en-US"/>
        </w:rPr>
        <w:t xml:space="preserve"> Mana</w:t>
      </w:r>
      <w:r w:rsidR="00FF3F2B" w:rsidRPr="009C3C2F">
        <w:rPr>
          <w:sz w:val="24"/>
          <w:szCs w:val="24"/>
          <w:lang w:val="en-US"/>
        </w:rPr>
        <w:t xml:space="preserve">gement and staff for their kind and </w:t>
      </w:r>
      <w:r w:rsidRPr="009C3C2F">
        <w:rPr>
          <w:sz w:val="24"/>
          <w:szCs w:val="24"/>
          <w:lang w:val="en-US"/>
        </w:rPr>
        <w:t xml:space="preserve">professional co-operation and helpfulness in providing us </w:t>
      </w:r>
      <w:r w:rsidR="00B90762" w:rsidRPr="009C3C2F">
        <w:rPr>
          <w:sz w:val="24"/>
          <w:szCs w:val="24"/>
          <w:lang w:val="en-US"/>
        </w:rPr>
        <w:t>with the information and documentation we need</w:t>
      </w:r>
      <w:r w:rsidR="00FF3F2B" w:rsidRPr="009C3C2F">
        <w:rPr>
          <w:sz w:val="24"/>
          <w:szCs w:val="24"/>
          <w:lang w:val="en-US"/>
        </w:rPr>
        <w:t>ed</w:t>
      </w:r>
      <w:r w:rsidR="00B90762" w:rsidRPr="009C3C2F">
        <w:rPr>
          <w:sz w:val="24"/>
          <w:szCs w:val="24"/>
          <w:lang w:val="en-US"/>
        </w:rPr>
        <w:t xml:space="preserve"> to better perform and carry out our audit activity.</w:t>
      </w:r>
    </w:p>
    <w:p w:rsidR="002C34E9" w:rsidRDefault="002C34E9" w:rsidP="009C3C2F">
      <w:pPr>
        <w:spacing w:line="240" w:lineRule="auto"/>
        <w:jc w:val="both"/>
        <w:rPr>
          <w:sz w:val="24"/>
          <w:szCs w:val="24"/>
          <w:lang w:val="en-US"/>
        </w:rPr>
      </w:pPr>
      <w:r w:rsidRPr="009C3C2F">
        <w:rPr>
          <w:sz w:val="24"/>
          <w:szCs w:val="24"/>
          <w:lang w:val="en-US"/>
        </w:rPr>
        <w:t>T</w:t>
      </w:r>
      <w:r w:rsidR="000578C9" w:rsidRPr="009C3C2F">
        <w:rPr>
          <w:sz w:val="24"/>
          <w:szCs w:val="24"/>
          <w:lang w:val="en-US"/>
        </w:rPr>
        <w:t>h</w:t>
      </w:r>
      <w:r w:rsidRPr="009C3C2F">
        <w:rPr>
          <w:sz w:val="24"/>
          <w:szCs w:val="24"/>
          <w:lang w:val="en-US"/>
        </w:rPr>
        <w:t>ank you very much for your attention.</w:t>
      </w:r>
    </w:p>
    <w:p w:rsidR="009C3C2F" w:rsidRDefault="009C3C2F" w:rsidP="009C3C2F">
      <w:pPr>
        <w:spacing w:line="240" w:lineRule="auto"/>
        <w:jc w:val="both"/>
        <w:rPr>
          <w:sz w:val="24"/>
          <w:szCs w:val="24"/>
          <w:lang w:val="en-US"/>
        </w:rPr>
      </w:pPr>
    </w:p>
    <w:p w:rsidR="009C3C2F" w:rsidRPr="009C3C2F" w:rsidRDefault="009C3C2F" w:rsidP="009C3C2F">
      <w:pPr>
        <w:spacing w:line="240" w:lineRule="auto"/>
        <w:jc w:val="center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                                  </w:t>
      </w:r>
    </w:p>
    <w:sectPr w:rsidR="009C3C2F" w:rsidRPr="009C3C2F" w:rsidSect="004E0D23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BE" w:rsidRDefault="00E45EBE" w:rsidP="00E45EBE">
      <w:pPr>
        <w:spacing w:after="0" w:line="240" w:lineRule="auto"/>
      </w:pPr>
      <w:r>
        <w:separator/>
      </w:r>
    </w:p>
  </w:endnote>
  <w:endnote w:type="continuationSeparator" w:id="0">
    <w:p w:rsidR="00E45EBE" w:rsidRDefault="00E45EBE" w:rsidP="00E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BE" w:rsidRDefault="00E45EBE" w:rsidP="00E45EBE">
      <w:pPr>
        <w:spacing w:after="0" w:line="240" w:lineRule="auto"/>
      </w:pPr>
      <w:r>
        <w:separator/>
      </w:r>
    </w:p>
  </w:footnote>
  <w:footnote w:type="continuationSeparator" w:id="0">
    <w:p w:rsidR="00E45EBE" w:rsidRDefault="00E45EBE" w:rsidP="00E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963729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E45EBE" w:rsidRPr="009C3C2F" w:rsidRDefault="00E45EBE" w:rsidP="00E45EBE">
        <w:pPr>
          <w:pStyle w:val="Header"/>
          <w:jc w:val="center"/>
          <w:rPr>
            <w:noProof/>
            <w:sz w:val="20"/>
            <w:szCs w:val="20"/>
          </w:rPr>
        </w:pPr>
        <w:r w:rsidRPr="009C3C2F">
          <w:rPr>
            <w:sz w:val="20"/>
            <w:szCs w:val="20"/>
          </w:rPr>
          <w:t>- </w:t>
        </w:r>
        <w:r w:rsidRPr="009C3C2F">
          <w:rPr>
            <w:sz w:val="20"/>
            <w:szCs w:val="20"/>
          </w:rPr>
          <w:fldChar w:fldCharType="begin"/>
        </w:r>
        <w:r w:rsidRPr="009C3C2F">
          <w:rPr>
            <w:sz w:val="20"/>
            <w:szCs w:val="20"/>
          </w:rPr>
          <w:instrText xml:space="preserve"> PAGE   \* MERGEFORMAT </w:instrText>
        </w:r>
        <w:r w:rsidRPr="009C3C2F">
          <w:rPr>
            <w:sz w:val="20"/>
            <w:szCs w:val="20"/>
          </w:rPr>
          <w:fldChar w:fldCharType="separate"/>
        </w:r>
        <w:r w:rsidR="004E0D23">
          <w:rPr>
            <w:noProof/>
            <w:sz w:val="20"/>
            <w:szCs w:val="20"/>
          </w:rPr>
          <w:t>3</w:t>
        </w:r>
        <w:r w:rsidRPr="009C3C2F">
          <w:rPr>
            <w:noProof/>
            <w:sz w:val="20"/>
            <w:szCs w:val="20"/>
          </w:rPr>
          <w:fldChar w:fldCharType="end"/>
        </w:r>
        <w:r w:rsidRPr="009C3C2F">
          <w:rPr>
            <w:noProof/>
            <w:sz w:val="20"/>
            <w:szCs w:val="20"/>
          </w:rPr>
          <w:t> -</w:t>
        </w:r>
      </w:p>
      <w:p w:rsidR="00E45EBE" w:rsidRPr="009C3C2F" w:rsidRDefault="00E45EBE" w:rsidP="009C3C2F">
        <w:pPr>
          <w:pStyle w:val="Header"/>
          <w:jc w:val="center"/>
          <w:rPr>
            <w:sz w:val="20"/>
            <w:szCs w:val="20"/>
          </w:rPr>
        </w:pPr>
        <w:r w:rsidRPr="009C3C2F">
          <w:rPr>
            <w:noProof/>
            <w:sz w:val="20"/>
            <w:szCs w:val="20"/>
          </w:rPr>
          <w:t>C15/65</w:t>
        </w:r>
        <w:r w:rsidR="009C3C2F" w:rsidRPr="009C3C2F">
          <w:rPr>
            <w:noProof/>
            <w:sz w:val="20"/>
            <w:szCs w:val="20"/>
          </w:rPr>
          <w:t>(Add.1)-E</w:t>
        </w:r>
      </w:p>
    </w:sdtContent>
  </w:sdt>
  <w:p w:rsidR="00E45EBE" w:rsidRPr="00E45EBE" w:rsidRDefault="00E45EBE" w:rsidP="00E45EB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41D29"/>
    <w:multiLevelType w:val="hybridMultilevel"/>
    <w:tmpl w:val="D76CF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F4592"/>
    <w:multiLevelType w:val="hybridMultilevel"/>
    <w:tmpl w:val="1300658A"/>
    <w:lvl w:ilvl="0" w:tplc="A9E8D1BE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C522C"/>
    <w:multiLevelType w:val="hybridMultilevel"/>
    <w:tmpl w:val="032E5EE4"/>
    <w:lvl w:ilvl="0" w:tplc="BDCCD07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50"/>
    <w:rsid w:val="00015799"/>
    <w:rsid w:val="000578C9"/>
    <w:rsid w:val="000F2855"/>
    <w:rsid w:val="0011695A"/>
    <w:rsid w:val="00117E2E"/>
    <w:rsid w:val="001B28E5"/>
    <w:rsid w:val="00207936"/>
    <w:rsid w:val="002202BA"/>
    <w:rsid w:val="002414E7"/>
    <w:rsid w:val="0024517C"/>
    <w:rsid w:val="002471EE"/>
    <w:rsid w:val="002938E9"/>
    <w:rsid w:val="002B39C8"/>
    <w:rsid w:val="002C34E9"/>
    <w:rsid w:val="002F7D84"/>
    <w:rsid w:val="00320D25"/>
    <w:rsid w:val="003727A0"/>
    <w:rsid w:val="003F157F"/>
    <w:rsid w:val="00402AAE"/>
    <w:rsid w:val="00466119"/>
    <w:rsid w:val="00474F77"/>
    <w:rsid w:val="00494B22"/>
    <w:rsid w:val="004E0D23"/>
    <w:rsid w:val="005C1650"/>
    <w:rsid w:val="005D3D80"/>
    <w:rsid w:val="005E6716"/>
    <w:rsid w:val="00693C9A"/>
    <w:rsid w:val="006C37CC"/>
    <w:rsid w:val="00707259"/>
    <w:rsid w:val="0073141F"/>
    <w:rsid w:val="007931B4"/>
    <w:rsid w:val="007C48C6"/>
    <w:rsid w:val="008B0EE1"/>
    <w:rsid w:val="008D20C9"/>
    <w:rsid w:val="008E3F26"/>
    <w:rsid w:val="009C1AE6"/>
    <w:rsid w:val="009C3C2F"/>
    <w:rsid w:val="00A34839"/>
    <w:rsid w:val="00A35D69"/>
    <w:rsid w:val="00A503F7"/>
    <w:rsid w:val="00AC6E82"/>
    <w:rsid w:val="00AE05AF"/>
    <w:rsid w:val="00B3706E"/>
    <w:rsid w:val="00B90762"/>
    <w:rsid w:val="00C12C39"/>
    <w:rsid w:val="00C17743"/>
    <w:rsid w:val="00C45319"/>
    <w:rsid w:val="00CF1890"/>
    <w:rsid w:val="00D17004"/>
    <w:rsid w:val="00D57C17"/>
    <w:rsid w:val="00DC4F40"/>
    <w:rsid w:val="00DD2A52"/>
    <w:rsid w:val="00E45EBE"/>
    <w:rsid w:val="00E46A8A"/>
    <w:rsid w:val="00E80A85"/>
    <w:rsid w:val="00E84914"/>
    <w:rsid w:val="00F51F2F"/>
    <w:rsid w:val="00F83DC8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9ADC5-2677-4998-A657-06A4B63E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70725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07259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116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EBE"/>
  </w:style>
  <w:style w:type="paragraph" w:styleId="Footer">
    <w:name w:val="footer"/>
    <w:basedOn w:val="Normal"/>
    <w:link w:val="FooterChar"/>
    <w:uiPriority w:val="99"/>
    <w:unhideWhenUsed/>
    <w:rsid w:val="00E4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 dei Conti</dc:creator>
  <cp:lastModifiedBy>Janin, Patricia</cp:lastModifiedBy>
  <cp:revision>3</cp:revision>
  <cp:lastPrinted>2015-05-20T09:45:00Z</cp:lastPrinted>
  <dcterms:created xsi:type="dcterms:W3CDTF">2015-05-20T09:44:00Z</dcterms:created>
  <dcterms:modified xsi:type="dcterms:W3CDTF">2015-05-20T09:47:00Z</dcterms:modified>
</cp:coreProperties>
</file>