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990965" w:rsidRPr="00271E37">
        <w:trPr>
          <w:cantSplit/>
        </w:trPr>
        <w:tc>
          <w:tcPr>
            <w:tcW w:w="6912" w:type="dxa"/>
          </w:tcPr>
          <w:p w:rsidR="00990965" w:rsidRPr="00271E37" w:rsidRDefault="00990965" w:rsidP="00990965">
            <w:pPr>
              <w:spacing w:before="360"/>
            </w:pPr>
            <w:bookmarkStart w:id="0" w:name="dc06"/>
            <w:bookmarkEnd w:id="0"/>
            <w:r w:rsidRPr="00271E37">
              <w:rPr>
                <w:b/>
                <w:bCs/>
                <w:sz w:val="30"/>
                <w:szCs w:val="30"/>
              </w:rPr>
              <w:t>Conseil 2015</w:t>
            </w:r>
            <w:r w:rsidRPr="00271E37">
              <w:rPr>
                <w:rFonts w:ascii="Verdana" w:hAnsi="Verdana"/>
                <w:b/>
                <w:bCs/>
                <w:sz w:val="26"/>
                <w:szCs w:val="26"/>
              </w:rPr>
              <w:br/>
            </w:r>
            <w:r w:rsidRPr="00271E37">
              <w:rPr>
                <w:b/>
                <w:bCs/>
                <w:szCs w:val="24"/>
              </w:rPr>
              <w:t>Genève, 12-22 mai 2015</w:t>
            </w:r>
          </w:p>
        </w:tc>
        <w:tc>
          <w:tcPr>
            <w:tcW w:w="3261" w:type="dxa"/>
          </w:tcPr>
          <w:p w:rsidR="00990965" w:rsidRPr="00271E37" w:rsidRDefault="00990965" w:rsidP="00990965">
            <w:pPr>
              <w:spacing w:before="0"/>
              <w:jc w:val="right"/>
            </w:pPr>
            <w:bookmarkStart w:id="1" w:name="ditulogo"/>
            <w:bookmarkEnd w:id="1"/>
            <w:r w:rsidRPr="00271E37">
              <w:rPr>
                <w:noProof/>
                <w:lang w:val="en-US" w:eastAsia="zh-CN"/>
              </w:rPr>
              <w:drawing>
                <wp:inline distT="0" distB="0" distL="0" distR="0" wp14:anchorId="2D25CAC0" wp14:editId="1DDFE38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90965" w:rsidRPr="00271E37" w:rsidTr="00EF41DD">
        <w:trPr>
          <w:cantSplit/>
          <w:trHeight w:val="20"/>
        </w:trPr>
        <w:tc>
          <w:tcPr>
            <w:tcW w:w="6912" w:type="dxa"/>
            <w:tcBorders>
              <w:bottom w:val="single" w:sz="12" w:space="0" w:color="auto"/>
            </w:tcBorders>
            <w:vAlign w:val="center"/>
          </w:tcPr>
          <w:p w:rsidR="00990965" w:rsidRPr="00271E37" w:rsidRDefault="00990965" w:rsidP="004C37A9">
            <w:pPr>
              <w:spacing w:before="0"/>
              <w:rPr>
                <w:b/>
                <w:bCs/>
                <w:sz w:val="26"/>
                <w:szCs w:val="26"/>
              </w:rPr>
            </w:pPr>
            <w:r w:rsidRPr="00271E37">
              <w:rPr>
                <w:b/>
                <w:bCs/>
              </w:rPr>
              <w:t>UNION INTERNATIONALE DES TÉLÉCOMMUNICATIONS</w:t>
            </w:r>
          </w:p>
        </w:tc>
        <w:tc>
          <w:tcPr>
            <w:tcW w:w="3261" w:type="dxa"/>
            <w:tcBorders>
              <w:bottom w:val="single" w:sz="12" w:space="0" w:color="auto"/>
            </w:tcBorders>
          </w:tcPr>
          <w:p w:rsidR="00990965" w:rsidRPr="00271E37" w:rsidRDefault="00990965" w:rsidP="00DF74DD">
            <w:pPr>
              <w:spacing w:before="0"/>
              <w:rPr>
                <w:b/>
                <w:bCs/>
              </w:rPr>
            </w:pPr>
          </w:p>
        </w:tc>
      </w:tr>
      <w:tr w:rsidR="00990965" w:rsidRPr="00271E37">
        <w:trPr>
          <w:cantSplit/>
          <w:trHeight w:val="20"/>
        </w:trPr>
        <w:tc>
          <w:tcPr>
            <w:tcW w:w="6912" w:type="dxa"/>
            <w:tcBorders>
              <w:top w:val="single" w:sz="12" w:space="0" w:color="auto"/>
            </w:tcBorders>
          </w:tcPr>
          <w:p w:rsidR="00990965" w:rsidRPr="00271E37" w:rsidRDefault="00990965" w:rsidP="00DF74DD">
            <w:pPr>
              <w:spacing w:before="0"/>
              <w:rPr>
                <w:smallCaps/>
                <w:sz w:val="22"/>
              </w:rPr>
            </w:pPr>
          </w:p>
        </w:tc>
        <w:tc>
          <w:tcPr>
            <w:tcW w:w="3261" w:type="dxa"/>
            <w:tcBorders>
              <w:top w:val="single" w:sz="12" w:space="0" w:color="auto"/>
            </w:tcBorders>
          </w:tcPr>
          <w:p w:rsidR="00990965" w:rsidRPr="00271E37" w:rsidRDefault="00990965" w:rsidP="00DF74DD">
            <w:pPr>
              <w:spacing w:before="0"/>
              <w:rPr>
                <w:b/>
                <w:bCs/>
              </w:rPr>
            </w:pPr>
          </w:p>
        </w:tc>
      </w:tr>
      <w:tr w:rsidR="00990965" w:rsidRPr="00271E37">
        <w:trPr>
          <w:cantSplit/>
          <w:trHeight w:val="20"/>
        </w:trPr>
        <w:tc>
          <w:tcPr>
            <w:tcW w:w="6912" w:type="dxa"/>
            <w:vMerge w:val="restart"/>
          </w:tcPr>
          <w:p w:rsidR="00990965" w:rsidRPr="00271E37" w:rsidRDefault="00990965" w:rsidP="00E00FD2">
            <w:pPr>
              <w:spacing w:before="0"/>
              <w:rPr>
                <w:rFonts w:cs="Times"/>
                <w:b/>
                <w:bCs/>
                <w:szCs w:val="24"/>
              </w:rPr>
            </w:pPr>
            <w:bookmarkStart w:id="2" w:name="dnum" w:colFirst="1" w:colLast="1"/>
            <w:bookmarkStart w:id="3" w:name="dmeeting" w:colFirst="0" w:colLast="0"/>
            <w:r w:rsidRPr="00271E37">
              <w:rPr>
                <w:rFonts w:cs="Times"/>
                <w:b/>
                <w:bCs/>
                <w:szCs w:val="24"/>
              </w:rPr>
              <w:t>Point de l</w:t>
            </w:r>
            <w:r w:rsidR="0071796B">
              <w:rPr>
                <w:rFonts w:cs="Times"/>
                <w:b/>
                <w:bCs/>
                <w:szCs w:val="24"/>
              </w:rPr>
              <w:t>'</w:t>
            </w:r>
            <w:r w:rsidRPr="00271E37">
              <w:rPr>
                <w:rFonts w:cs="Times"/>
                <w:b/>
                <w:bCs/>
                <w:szCs w:val="24"/>
              </w:rPr>
              <w:t xml:space="preserve">ordre du jour: </w:t>
            </w:r>
            <w:r w:rsidR="00E00FD2">
              <w:rPr>
                <w:rFonts w:cs="Times"/>
                <w:b/>
                <w:bCs/>
                <w:szCs w:val="24"/>
              </w:rPr>
              <w:t>ADM 14</w:t>
            </w:r>
          </w:p>
        </w:tc>
        <w:tc>
          <w:tcPr>
            <w:tcW w:w="3261" w:type="dxa"/>
          </w:tcPr>
          <w:p w:rsidR="00990965" w:rsidRPr="00271E37" w:rsidRDefault="00990965" w:rsidP="00E00FD2">
            <w:pPr>
              <w:spacing w:before="0"/>
              <w:rPr>
                <w:b/>
                <w:bCs/>
              </w:rPr>
            </w:pPr>
            <w:r w:rsidRPr="00271E37">
              <w:rPr>
                <w:b/>
                <w:bCs/>
              </w:rPr>
              <w:t>Document C15/</w:t>
            </w:r>
            <w:r w:rsidR="00E00FD2">
              <w:rPr>
                <w:b/>
                <w:bCs/>
              </w:rPr>
              <w:t>43</w:t>
            </w:r>
            <w:r w:rsidRPr="00271E37">
              <w:rPr>
                <w:b/>
                <w:bCs/>
              </w:rPr>
              <w:t>-F</w:t>
            </w:r>
          </w:p>
        </w:tc>
      </w:tr>
      <w:tr w:rsidR="00990965" w:rsidRPr="00271E37">
        <w:trPr>
          <w:cantSplit/>
          <w:trHeight w:val="20"/>
        </w:trPr>
        <w:tc>
          <w:tcPr>
            <w:tcW w:w="6912" w:type="dxa"/>
            <w:vMerge/>
          </w:tcPr>
          <w:p w:rsidR="00990965" w:rsidRPr="00271E37" w:rsidRDefault="00990965" w:rsidP="00DF74DD">
            <w:pPr>
              <w:shd w:val="solid" w:color="FFFFFF" w:fill="FFFFFF"/>
              <w:spacing w:before="180"/>
              <w:rPr>
                <w:smallCaps/>
              </w:rPr>
            </w:pPr>
            <w:bookmarkStart w:id="4" w:name="ddate" w:colFirst="1" w:colLast="1"/>
            <w:bookmarkEnd w:id="2"/>
            <w:bookmarkEnd w:id="3"/>
          </w:p>
        </w:tc>
        <w:tc>
          <w:tcPr>
            <w:tcW w:w="3261" w:type="dxa"/>
          </w:tcPr>
          <w:p w:rsidR="00990965" w:rsidRPr="00271E37" w:rsidRDefault="00990965" w:rsidP="00E00FD2">
            <w:pPr>
              <w:spacing w:before="0"/>
              <w:rPr>
                <w:b/>
                <w:bCs/>
              </w:rPr>
            </w:pPr>
            <w:r w:rsidRPr="00271E37">
              <w:rPr>
                <w:b/>
                <w:bCs/>
              </w:rPr>
              <w:t>2 avril 2015</w:t>
            </w:r>
          </w:p>
        </w:tc>
      </w:tr>
      <w:tr w:rsidR="00990965" w:rsidRPr="00271E37">
        <w:trPr>
          <w:cantSplit/>
          <w:trHeight w:val="20"/>
        </w:trPr>
        <w:tc>
          <w:tcPr>
            <w:tcW w:w="6912" w:type="dxa"/>
            <w:vMerge/>
          </w:tcPr>
          <w:p w:rsidR="00990965" w:rsidRPr="00271E37" w:rsidRDefault="00990965" w:rsidP="00DF74DD">
            <w:pPr>
              <w:shd w:val="solid" w:color="FFFFFF" w:fill="FFFFFF"/>
              <w:spacing w:before="180"/>
              <w:rPr>
                <w:smallCaps/>
              </w:rPr>
            </w:pPr>
            <w:bookmarkStart w:id="5" w:name="dorlang" w:colFirst="1" w:colLast="1"/>
            <w:bookmarkEnd w:id="4"/>
          </w:p>
        </w:tc>
        <w:tc>
          <w:tcPr>
            <w:tcW w:w="3261" w:type="dxa"/>
          </w:tcPr>
          <w:p w:rsidR="00990965" w:rsidRPr="00271E37" w:rsidRDefault="00990965" w:rsidP="004D37F0">
            <w:pPr>
              <w:spacing w:before="0"/>
              <w:rPr>
                <w:b/>
                <w:bCs/>
              </w:rPr>
            </w:pPr>
            <w:r w:rsidRPr="00271E37">
              <w:rPr>
                <w:b/>
                <w:bCs/>
              </w:rPr>
              <w:t xml:space="preserve">Original: </w:t>
            </w:r>
            <w:r w:rsidR="004D37F0">
              <w:rPr>
                <w:b/>
                <w:bCs/>
              </w:rPr>
              <w:t>anglais</w:t>
            </w:r>
          </w:p>
        </w:tc>
      </w:tr>
      <w:tr w:rsidR="00990965" w:rsidRPr="00271E37">
        <w:trPr>
          <w:cantSplit/>
        </w:trPr>
        <w:tc>
          <w:tcPr>
            <w:tcW w:w="10173" w:type="dxa"/>
            <w:gridSpan w:val="2"/>
          </w:tcPr>
          <w:p w:rsidR="00990965" w:rsidRPr="00271E37" w:rsidRDefault="00E00FD2" w:rsidP="00DF74DD">
            <w:pPr>
              <w:pStyle w:val="Source"/>
            </w:pPr>
            <w:bookmarkStart w:id="6" w:name="dsource" w:colFirst="0" w:colLast="0"/>
            <w:bookmarkEnd w:id="5"/>
            <w:r>
              <w:t>Rapport</w:t>
            </w:r>
            <w:r w:rsidR="003C304B">
              <w:t xml:space="preserve"> du Secrétaire général</w:t>
            </w:r>
          </w:p>
        </w:tc>
      </w:tr>
      <w:tr w:rsidR="00990965" w:rsidRPr="00271E37">
        <w:trPr>
          <w:cantSplit/>
        </w:trPr>
        <w:tc>
          <w:tcPr>
            <w:tcW w:w="10173" w:type="dxa"/>
            <w:gridSpan w:val="2"/>
          </w:tcPr>
          <w:p w:rsidR="00990965" w:rsidRPr="00271E37" w:rsidRDefault="00E00FD2" w:rsidP="002E05E3">
            <w:pPr>
              <w:pStyle w:val="Title1"/>
            </w:pPr>
            <w:bookmarkStart w:id="7" w:name="dtitle1" w:colFirst="0" w:colLast="0"/>
            <w:bookmarkEnd w:id="6"/>
            <w:r>
              <w:t xml:space="preserve">RAPPORT DE L'AUDITEUR INTERNE SUR LES ACTIVITÉS </w:t>
            </w:r>
            <w:r w:rsidR="002E05E3">
              <w:t xml:space="preserve">D'audit </w:t>
            </w:r>
            <w:r>
              <w:t>INTERNE</w:t>
            </w:r>
          </w:p>
        </w:tc>
      </w:tr>
      <w:tr w:rsidR="006969C8" w:rsidRPr="00271E37">
        <w:trPr>
          <w:cantSplit/>
        </w:trPr>
        <w:tc>
          <w:tcPr>
            <w:tcW w:w="10173" w:type="dxa"/>
            <w:gridSpan w:val="2"/>
          </w:tcPr>
          <w:p w:rsidR="006969C8" w:rsidRDefault="006969C8" w:rsidP="00DF74DD">
            <w:pPr>
              <w:pStyle w:val="Title1"/>
              <w:rPr>
                <w:caps w:val="0"/>
              </w:rPr>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616B9" w:rsidRPr="0092392D" w:rsidTr="009668B9">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rsidR="000616B9" w:rsidRPr="005879AB" w:rsidRDefault="000616B9" w:rsidP="005879AB">
            <w:pPr>
              <w:pStyle w:val="Headingb"/>
              <w:rPr>
                <w:lang w:val="fr-CH"/>
              </w:rPr>
            </w:pPr>
            <w:r w:rsidRPr="005879AB">
              <w:rPr>
                <w:lang w:val="fr-CH"/>
              </w:rPr>
              <w:t>Résumé</w:t>
            </w:r>
          </w:p>
          <w:p w:rsidR="00AA3B91" w:rsidRPr="004D15B9" w:rsidRDefault="00E00FD2" w:rsidP="004D15B9">
            <w:r>
              <w:t>Le présent rapport couvre les activités d'audit interne menées durant la période comprise entre mars 2014 et février 2015.</w:t>
            </w:r>
          </w:p>
          <w:p w:rsidR="000616B9" w:rsidRPr="005879AB" w:rsidRDefault="000616B9" w:rsidP="005879AB">
            <w:pPr>
              <w:pStyle w:val="Headingb"/>
              <w:rPr>
                <w:lang w:val="fr-CH"/>
              </w:rPr>
            </w:pPr>
            <w:r w:rsidRPr="005879AB">
              <w:rPr>
                <w:lang w:val="fr-CH"/>
              </w:rPr>
              <w:t>Suite à donner</w:t>
            </w:r>
          </w:p>
          <w:p w:rsidR="000616B9" w:rsidRPr="004D15B9" w:rsidRDefault="000616B9" w:rsidP="00E00FD2">
            <w:r w:rsidRPr="004D15B9">
              <w:t>Le</w:t>
            </w:r>
            <w:r w:rsidR="00E00FD2">
              <w:t xml:space="preserve"> présent rapport est transmis au Conseil pour </w:t>
            </w:r>
            <w:r w:rsidR="00E00FD2">
              <w:rPr>
                <w:b/>
                <w:bCs/>
              </w:rPr>
              <w:t>examen</w:t>
            </w:r>
            <w:r w:rsidRPr="004D15B9">
              <w:t>.</w:t>
            </w:r>
          </w:p>
          <w:p w:rsidR="005879AB" w:rsidRPr="0092392D" w:rsidRDefault="005879AB" w:rsidP="005879AB">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0616B9" w:rsidRPr="005879AB" w:rsidRDefault="000616B9" w:rsidP="005879AB">
            <w:pPr>
              <w:pStyle w:val="Headingb"/>
              <w:rPr>
                <w:lang w:val="fr-CH"/>
              </w:rPr>
            </w:pPr>
            <w:r w:rsidRPr="005879AB">
              <w:rPr>
                <w:lang w:val="fr-CH"/>
              </w:rPr>
              <w:t>Références</w:t>
            </w:r>
          </w:p>
          <w:p w:rsidR="00F11B79" w:rsidRPr="00E00FD2" w:rsidRDefault="00E00FD2" w:rsidP="00E00FD2">
            <w:pPr>
              <w:spacing w:after="120"/>
              <w:rPr>
                <w:i/>
                <w:iCs/>
              </w:rPr>
            </w:pPr>
            <w:r w:rsidRPr="00E00FD2">
              <w:rPr>
                <w:i/>
                <w:iCs/>
              </w:rPr>
              <w:t>Règlement financier et Règles financières de l'UIT (2010), Article 29</w:t>
            </w:r>
          </w:p>
        </w:tc>
      </w:tr>
    </w:tbl>
    <w:p w:rsidR="00FD67EF" w:rsidRPr="00905D54" w:rsidRDefault="00FD67EF" w:rsidP="00D3323B">
      <w:pPr>
        <w:pStyle w:val="Headingb"/>
        <w:spacing w:before="280"/>
      </w:pPr>
      <w:r w:rsidRPr="00905D54">
        <w:t>Introduction</w:t>
      </w:r>
    </w:p>
    <w:p w:rsidR="00FD67EF" w:rsidRPr="00E32106" w:rsidRDefault="00FD67EF" w:rsidP="00FD67EF">
      <w:pPr>
        <w:rPr>
          <w:rFonts w:asciiTheme="minorHAnsi" w:hAnsiTheme="minorHAnsi" w:cs="Calibri"/>
          <w:szCs w:val="24"/>
          <w:lang w:val="fr-CH"/>
        </w:rPr>
      </w:pPr>
      <w:r>
        <w:t>1</w:t>
      </w:r>
      <w:r>
        <w:tab/>
        <w:t>Le présent rapport est transmis au Conseil au titre de l'Article 29 du Règlement financier (2010). Conformément à la Charte d'audit interne de l'UIT</w:t>
      </w:r>
      <w:r>
        <w:rPr>
          <w:rStyle w:val="FootnoteReference"/>
        </w:rPr>
        <w:footnoteReference w:id="1"/>
      </w:r>
      <w:r>
        <w:t>, le présent rapport est soumis au Secrétaire général et présenté au Conseil pour examen. Le présent rapport couvre les activités menées durant la période comprise entre mars 2014 et février 2015.</w:t>
      </w:r>
    </w:p>
    <w:p w:rsidR="00FD67EF" w:rsidRPr="00A1180B" w:rsidRDefault="00FD67EF" w:rsidP="00FD67EF">
      <w:pPr>
        <w:rPr>
          <w:rFonts w:asciiTheme="minorHAnsi" w:hAnsiTheme="minorHAnsi" w:cs="Calibri"/>
          <w:szCs w:val="24"/>
        </w:rPr>
      </w:pPr>
      <w:r>
        <w:rPr>
          <w:lang w:val="fr-CH"/>
        </w:rPr>
        <w:t>2</w:t>
      </w:r>
      <w:r>
        <w:rPr>
          <w:lang w:val="fr-CH"/>
        </w:rPr>
        <w:tab/>
      </w:r>
      <w:r w:rsidRPr="00A1180B">
        <w:rPr>
          <w:lang w:val="fr-CH"/>
        </w:rPr>
        <w:t>Pendant la majeure partie de l'année 2014, l</w:t>
      </w:r>
      <w:r w:rsidRPr="00A1180B">
        <w:t xml:space="preserve">'Unité de l'audit interne </w:t>
      </w:r>
      <w:r>
        <w:t>se composait de d</w:t>
      </w:r>
      <w:r w:rsidRPr="00A1180B">
        <w:t>eux fonctionnaires de la catégorie professionnelle ‒ un P.5 (Chef de l'Unité) et un P.3 (Auditeur interne) ‒ ainsi qu</w:t>
      </w:r>
      <w:r>
        <w:t>e d</w:t>
      </w:r>
      <w:r w:rsidRPr="00A1180B">
        <w:t>'un fonctionnaire de la catégorie des services généraux (Assistant d'audit)</w:t>
      </w:r>
      <w:r>
        <w:t xml:space="preserve"> travaillant à temps partiel</w:t>
      </w:r>
      <w:r w:rsidRPr="00A1180B">
        <w:t>.</w:t>
      </w:r>
      <w:r>
        <w:t xml:space="preserve"> En septembre 2014, un emploi de grade P.1 temporaire (Auditeur interne junior) a été créé dans l'attente de la création ‒ conformément à une recommandation formulée antérieurement par le Comité consultatif indépendant pour les questions de gestion (CCIG) ‒ d'un emploi de grade P.2 de durée déterminée (Auditeur interne junior), création qui a été récemment approuvée. L'Unité comprend donc aujourd'hui trois fonctionnaires de la catégorie Professionnelle et un fonctionnaire de la catégorie des Services généraux travaillant à temps partiel.</w:t>
      </w:r>
    </w:p>
    <w:p w:rsidR="00FD67EF" w:rsidRPr="007033AD" w:rsidRDefault="00C74CDF" w:rsidP="00FD67EF">
      <w:pPr>
        <w:rPr>
          <w:lang w:val="fr-CH"/>
        </w:rPr>
      </w:pPr>
      <w:r>
        <w:rPr>
          <w:lang w:val="fr-CH"/>
        </w:rPr>
        <w:lastRenderedPageBreak/>
        <w:t>3</w:t>
      </w:r>
      <w:r>
        <w:rPr>
          <w:lang w:val="fr-CH"/>
        </w:rPr>
        <w:tab/>
      </w:r>
      <w:r w:rsidR="00FD67EF" w:rsidRPr="007033AD">
        <w:rPr>
          <w:lang w:val="fr-CH"/>
        </w:rPr>
        <w:t>D</w:t>
      </w:r>
      <w:r w:rsidR="00FD67EF">
        <w:rPr>
          <w:lang w:val="fr-CH"/>
        </w:rPr>
        <w:t>'</w:t>
      </w:r>
      <w:r w:rsidR="00FD67EF" w:rsidRPr="007033AD">
        <w:rPr>
          <w:lang w:val="fr-CH"/>
        </w:rPr>
        <w:t>u</w:t>
      </w:r>
      <w:r w:rsidR="00FD67EF">
        <w:rPr>
          <w:lang w:val="fr-CH"/>
        </w:rPr>
        <w:t>n</w:t>
      </w:r>
      <w:r w:rsidR="00FD67EF" w:rsidRPr="007033AD">
        <w:rPr>
          <w:lang w:val="fr-CH"/>
        </w:rPr>
        <w:t xml:space="preserve"> point de vue organisationnel, </w:t>
      </w:r>
      <w:r w:rsidR="00FD67EF">
        <w:rPr>
          <w:lang w:val="fr-CH"/>
        </w:rPr>
        <w:t>l'Unité de l'audit interne est indépendante des processus et des fonctions sur lesquels ont porté ses travaux pendant la période couverte dans le présent rapport. Conformément au principe de bonne gouvernance, et en vue de favoriser l'indépendance de la fonction d'audit interne, des rapports d'activité sur les travaux d'audit interne ont été soumis au CCIG, qui a formulé des observations à ce sujet et en a rendu compte dans ses rapports au Secrétaire général et dans son rapport annuel au Conseil.</w:t>
      </w:r>
    </w:p>
    <w:p w:rsidR="00FD67EF" w:rsidRPr="00003D01" w:rsidRDefault="00C74CDF" w:rsidP="00FD67EF">
      <w:pPr>
        <w:rPr>
          <w:rFonts w:asciiTheme="minorHAnsi" w:hAnsiTheme="minorHAnsi" w:cs="Calibri"/>
          <w:szCs w:val="24"/>
          <w:lang w:val="fr-CH"/>
        </w:rPr>
      </w:pPr>
      <w:r>
        <w:rPr>
          <w:rFonts w:asciiTheme="minorHAnsi" w:hAnsiTheme="minorHAnsi" w:cs="Calibri"/>
          <w:szCs w:val="24"/>
          <w:lang w:val="fr-CH"/>
        </w:rPr>
        <w:t>4</w:t>
      </w:r>
      <w:r>
        <w:rPr>
          <w:rFonts w:asciiTheme="minorHAnsi" w:hAnsiTheme="minorHAnsi" w:cs="Calibri"/>
          <w:szCs w:val="24"/>
          <w:lang w:val="fr-CH"/>
        </w:rPr>
        <w:tab/>
      </w:r>
      <w:r w:rsidR="00FD67EF" w:rsidRPr="00003D01">
        <w:rPr>
          <w:rFonts w:asciiTheme="minorHAnsi" w:hAnsiTheme="minorHAnsi" w:cs="Calibri"/>
          <w:szCs w:val="24"/>
          <w:lang w:val="fr-CH"/>
        </w:rPr>
        <w:t xml:space="preserve">Le </w:t>
      </w:r>
      <w:r w:rsidR="00FD67EF" w:rsidRPr="00FD67EF">
        <w:rPr>
          <w:lang w:val="fr-CH"/>
        </w:rPr>
        <w:t>plan</w:t>
      </w:r>
      <w:r w:rsidR="00FD67EF" w:rsidRPr="00003D01">
        <w:rPr>
          <w:rFonts w:asciiTheme="minorHAnsi" w:hAnsiTheme="minorHAnsi" w:cs="Calibri"/>
          <w:szCs w:val="24"/>
          <w:lang w:val="fr-CH"/>
        </w:rPr>
        <w:t xml:space="preserve"> </w:t>
      </w:r>
      <w:r w:rsidR="00FD67EF" w:rsidRPr="00FD67EF">
        <w:rPr>
          <w:lang w:val="fr-CH"/>
        </w:rPr>
        <w:t>d'audit</w:t>
      </w:r>
      <w:r w:rsidR="00FD67EF" w:rsidRPr="00003D01">
        <w:rPr>
          <w:rFonts w:asciiTheme="minorHAnsi" w:hAnsiTheme="minorHAnsi" w:cs="Calibri"/>
          <w:szCs w:val="24"/>
          <w:lang w:val="fr-CH"/>
        </w:rPr>
        <w:t xml:space="preserve"> interne pour 2014 a été transmis au Vérificateur extérieur des comptes dans un</w:t>
      </w:r>
      <w:r w:rsidR="00FD67EF">
        <w:rPr>
          <w:rFonts w:asciiTheme="minorHAnsi" w:hAnsiTheme="minorHAnsi" w:cs="Calibri"/>
          <w:szCs w:val="24"/>
          <w:lang w:val="fr-CH"/>
        </w:rPr>
        <w:t xml:space="preserve"> souci d'efficacité et de coordination.</w:t>
      </w:r>
    </w:p>
    <w:p w:rsidR="00FD67EF" w:rsidRPr="00FD67EF" w:rsidRDefault="00FD67EF" w:rsidP="00FD67EF">
      <w:pPr>
        <w:pStyle w:val="Headingb"/>
      </w:pPr>
      <w:r w:rsidRPr="00FD67EF">
        <w:t>Orientation et champ des activités d'audit interne</w:t>
      </w:r>
    </w:p>
    <w:p w:rsidR="00FD67EF" w:rsidRDefault="00C74CDF" w:rsidP="00C74CDF">
      <w:pPr>
        <w:rPr>
          <w:lang w:val="fr-CH"/>
        </w:rPr>
      </w:pPr>
      <w:r>
        <w:rPr>
          <w:lang w:val="fr-CH"/>
        </w:rPr>
        <w:t>5</w:t>
      </w:r>
      <w:r>
        <w:rPr>
          <w:lang w:val="fr-CH"/>
        </w:rPr>
        <w:tab/>
      </w:r>
      <w:r w:rsidR="00FD67EF" w:rsidRPr="00515B1A">
        <w:rPr>
          <w:lang w:val="fr-CH"/>
        </w:rPr>
        <w:t xml:space="preserve">Les </w:t>
      </w:r>
      <w:r w:rsidR="00FD67EF" w:rsidRPr="00FD67EF">
        <w:rPr>
          <w:lang w:val="fr-CH"/>
        </w:rPr>
        <w:t>travaux</w:t>
      </w:r>
      <w:r w:rsidR="00FD67EF" w:rsidRPr="00515B1A">
        <w:rPr>
          <w:lang w:val="fr-CH"/>
        </w:rPr>
        <w:t xml:space="preserve"> d'audit ont été axés principalement sur les missions d'assurance et/ou les audits de gestion. Le champ de ces travaux incluait l'examen de documents et de structures/graphiques, l'analyse des activités menées, une évaluation des processus et des procédures associés, ainsi qu'une évaluation de conformité. Tous les audits planifiés et mis en œuvre ont été achevés dans les délais prévus, et ont donné lieu à la publication de rapports finals incluant les commentaires des superviseurs concernés.</w:t>
      </w:r>
    </w:p>
    <w:p w:rsidR="00FD67EF" w:rsidRPr="00515B1A" w:rsidRDefault="00C74CDF" w:rsidP="00FD67EF">
      <w:pPr>
        <w:rPr>
          <w:rFonts w:asciiTheme="minorHAnsi" w:hAnsiTheme="minorHAnsi" w:cs="Calibri"/>
          <w:szCs w:val="24"/>
          <w:lang w:val="fr-CH"/>
        </w:rPr>
      </w:pPr>
      <w:r>
        <w:rPr>
          <w:rFonts w:asciiTheme="minorHAnsi" w:hAnsiTheme="minorHAnsi"/>
          <w:szCs w:val="24"/>
          <w:lang w:val="fr-CH"/>
        </w:rPr>
        <w:t>6</w:t>
      </w:r>
      <w:r>
        <w:rPr>
          <w:rFonts w:asciiTheme="minorHAnsi" w:hAnsiTheme="minorHAnsi"/>
          <w:szCs w:val="24"/>
          <w:lang w:val="fr-CH"/>
        </w:rPr>
        <w:tab/>
      </w:r>
      <w:r w:rsidR="00FD67EF" w:rsidRPr="00515B1A">
        <w:rPr>
          <w:rFonts w:asciiTheme="minorHAnsi" w:hAnsiTheme="minorHAnsi"/>
          <w:szCs w:val="24"/>
          <w:lang w:val="fr-CH"/>
        </w:rPr>
        <w:t xml:space="preserve">L'Unité de l'audit interne confirme qu'elle mène ses audits conformément aux Normes internationales pour la </w:t>
      </w:r>
      <w:r w:rsidR="00FD67EF" w:rsidRPr="00FD67EF">
        <w:rPr>
          <w:lang w:val="fr-CH"/>
        </w:rPr>
        <w:t>pratique</w:t>
      </w:r>
      <w:r w:rsidR="00FD67EF" w:rsidRPr="00515B1A">
        <w:rPr>
          <w:rFonts w:asciiTheme="minorHAnsi" w:hAnsiTheme="minorHAnsi"/>
          <w:szCs w:val="24"/>
          <w:lang w:val="fr-CH"/>
        </w:rPr>
        <w:t xml:space="preserve"> professionnelle de l'audit interne et au Code de déontologie établis par </w:t>
      </w:r>
      <w:r w:rsidR="00FD67EF" w:rsidRPr="00C74CDF">
        <w:rPr>
          <w:lang w:val="fr-CH"/>
        </w:rPr>
        <w:t>l'Institut</w:t>
      </w:r>
      <w:r w:rsidR="00FD67EF" w:rsidRPr="00515B1A">
        <w:rPr>
          <w:rFonts w:asciiTheme="minorHAnsi" w:hAnsiTheme="minorHAnsi"/>
          <w:szCs w:val="24"/>
          <w:lang w:val="fr-CH"/>
        </w:rPr>
        <w:t xml:space="preserve"> des auditeurs internes</w:t>
      </w:r>
      <w:r w:rsidR="00FD67EF" w:rsidRPr="00515B1A">
        <w:rPr>
          <w:rStyle w:val="FootnoteReference"/>
          <w:rFonts w:asciiTheme="minorHAnsi" w:hAnsiTheme="minorHAnsi"/>
          <w:szCs w:val="16"/>
        </w:rPr>
        <w:footnoteReference w:id="2"/>
      </w:r>
      <w:r w:rsidR="00FD67EF">
        <w:rPr>
          <w:rFonts w:asciiTheme="minorHAnsi" w:hAnsiTheme="minorHAnsi"/>
          <w:szCs w:val="24"/>
          <w:lang w:val="fr-CH"/>
        </w:rPr>
        <w:t xml:space="preserve"> (IIA)</w:t>
      </w:r>
      <w:r w:rsidR="00FD67EF" w:rsidRPr="00515B1A">
        <w:rPr>
          <w:rFonts w:asciiTheme="minorHAnsi" w:hAnsiTheme="minorHAnsi"/>
          <w:szCs w:val="24"/>
          <w:lang w:val="fr-CH"/>
        </w:rPr>
        <w:t>, ainsi qu'aux dispositions de la Charte d'audit interne de l'UIT</w:t>
      </w:r>
      <w:r w:rsidR="00FD67EF" w:rsidRPr="00515B1A">
        <w:rPr>
          <w:rStyle w:val="FootnoteReference"/>
          <w:rFonts w:asciiTheme="minorHAnsi" w:hAnsiTheme="minorHAnsi"/>
          <w:szCs w:val="16"/>
        </w:rPr>
        <w:footnoteReference w:id="3"/>
      </w:r>
      <w:r w:rsidR="00FD67EF" w:rsidRPr="00515B1A">
        <w:rPr>
          <w:rFonts w:asciiTheme="minorHAnsi" w:hAnsiTheme="minorHAnsi"/>
          <w:szCs w:val="24"/>
          <w:lang w:val="fr-CH"/>
        </w:rPr>
        <w:t>. En outre, l'Unité de l'audit interne confirme qu'au cours de la période visée dans le présent rapport, ses membres n'ont supervisé aucune des activités ayant fait l'objet d'un audit, ni n'en ont été responsables, et qu'ils n'ont pas exercé à l'UIT de fonctions comptables ou opérationnelles.</w:t>
      </w:r>
    </w:p>
    <w:p w:rsidR="00FD67EF" w:rsidRPr="00FD67EF" w:rsidRDefault="00FD67EF" w:rsidP="00FD67EF">
      <w:pPr>
        <w:pStyle w:val="Headingb"/>
      </w:pPr>
      <w:r w:rsidRPr="00FD67EF">
        <w:t>Missions d'assurance</w:t>
      </w:r>
    </w:p>
    <w:p w:rsidR="00FD67EF" w:rsidRDefault="00C74CDF" w:rsidP="00C74CDF">
      <w:pPr>
        <w:rPr>
          <w:lang w:val="fr-CH"/>
        </w:rPr>
      </w:pPr>
      <w:r>
        <w:rPr>
          <w:lang w:val="fr-CH"/>
        </w:rPr>
        <w:t>7</w:t>
      </w:r>
      <w:r>
        <w:rPr>
          <w:lang w:val="fr-CH"/>
        </w:rPr>
        <w:tab/>
      </w:r>
      <w:r w:rsidR="00FD67EF" w:rsidRPr="00515B1A">
        <w:rPr>
          <w:lang w:val="fr-CH"/>
        </w:rPr>
        <w:t>Les missions d'assurance avaient pour objectif d'évaluer les contrôles internes en place, d'examiner si les règlements et règles applicables étaient appropriés, de vérifier la conformité de certaines transactions avec les politiques et procédures applicables, et de déterminer si les activités examinées étaient conformes aux principes de l'utilisation efficiente, efficace et économique des ressources de l'Union. Un niveau de priorité est attribué aux recommandations résultant des travaux d'audit en fonction des incidences et de la probabilité d'une déficience (critique, élevé</w:t>
      </w:r>
      <w:r>
        <w:rPr>
          <w:lang w:val="fr-CH"/>
        </w:rPr>
        <w:t>e</w:t>
      </w:r>
      <w:r w:rsidR="00FD67EF" w:rsidRPr="00515B1A">
        <w:rPr>
          <w:lang w:val="fr-CH"/>
        </w:rPr>
        <w:t>, moyen</w:t>
      </w:r>
      <w:r>
        <w:rPr>
          <w:lang w:val="fr-CH"/>
        </w:rPr>
        <w:t>ne</w:t>
      </w:r>
      <w:r w:rsidR="00FD67EF" w:rsidRPr="00515B1A">
        <w:rPr>
          <w:lang w:val="fr-CH"/>
        </w:rPr>
        <w:t>, faible).</w:t>
      </w:r>
    </w:p>
    <w:p w:rsidR="00FD67EF" w:rsidRDefault="00C74CDF" w:rsidP="00C74CDF">
      <w:pPr>
        <w:rPr>
          <w:rFonts w:asciiTheme="minorHAnsi" w:hAnsiTheme="minorHAnsi"/>
          <w:szCs w:val="24"/>
          <w:lang w:val="fr-CH"/>
        </w:rPr>
      </w:pPr>
      <w:r>
        <w:rPr>
          <w:rFonts w:asciiTheme="minorHAnsi" w:hAnsiTheme="minorHAnsi"/>
          <w:szCs w:val="24"/>
          <w:lang w:val="fr-CH"/>
        </w:rPr>
        <w:t>8</w:t>
      </w:r>
      <w:r>
        <w:rPr>
          <w:rFonts w:asciiTheme="minorHAnsi" w:hAnsiTheme="minorHAnsi"/>
          <w:szCs w:val="24"/>
          <w:lang w:val="fr-CH"/>
        </w:rPr>
        <w:tab/>
      </w:r>
      <w:r w:rsidR="00FD67EF" w:rsidRPr="008C6E8A">
        <w:rPr>
          <w:rFonts w:asciiTheme="minorHAnsi" w:hAnsiTheme="minorHAnsi"/>
          <w:szCs w:val="24"/>
          <w:lang w:val="fr-CH"/>
        </w:rPr>
        <w:t>L'Unité de l'audit interne remet systématiquement des exemplaires des rapports d'audit interne au Vérificateur extérieur des comptes de l'UIT ainsi qu'au CCIG. Conformément à la disposition 29.5 du Règlement financier de l'UIT, des rapports finals d'audit interne peuvent, sur demande écrite adressée au Secrétaire général, être mis à la disposition des Etats Membres ou de leurs représentants désignés. Aucune demande n'a été reçue au cours de la période visée dans le présent rapport.</w:t>
      </w:r>
    </w:p>
    <w:p w:rsidR="00FD67EF" w:rsidRDefault="00C74CDF" w:rsidP="00C74CDF">
      <w:pPr>
        <w:rPr>
          <w:rFonts w:asciiTheme="minorHAnsi" w:hAnsiTheme="minorHAnsi"/>
          <w:szCs w:val="24"/>
          <w:lang w:val="fr-CH"/>
        </w:rPr>
      </w:pPr>
      <w:r>
        <w:rPr>
          <w:rFonts w:asciiTheme="minorHAnsi" w:hAnsiTheme="minorHAnsi"/>
          <w:szCs w:val="24"/>
          <w:lang w:val="fr-CH"/>
        </w:rPr>
        <w:t>9</w:t>
      </w:r>
      <w:r>
        <w:rPr>
          <w:rFonts w:asciiTheme="minorHAnsi" w:hAnsiTheme="minorHAnsi"/>
          <w:szCs w:val="24"/>
          <w:lang w:val="fr-CH"/>
        </w:rPr>
        <w:tab/>
      </w:r>
      <w:r w:rsidR="00FD67EF" w:rsidRPr="008C6E8A">
        <w:rPr>
          <w:rFonts w:asciiTheme="minorHAnsi" w:hAnsiTheme="minorHAnsi"/>
          <w:szCs w:val="24"/>
          <w:lang w:val="fr-CH"/>
        </w:rPr>
        <w:t xml:space="preserve">Les résultats des travaux d'audit menés au cours de la période visée dans le présent rapport ont montré que, de manière générale, les contrôles, politiques et procédures internes étaient établis et fonctionnaient, mais qu'ils nécessitaient des améliorations dans certains domaines. Des </w:t>
      </w:r>
      <w:r w:rsidR="00FD67EF" w:rsidRPr="008C6E8A">
        <w:rPr>
          <w:rFonts w:asciiTheme="minorHAnsi" w:hAnsiTheme="minorHAnsi"/>
          <w:szCs w:val="24"/>
          <w:lang w:val="fr-CH"/>
        </w:rPr>
        <w:lastRenderedPageBreak/>
        <w:t>recommandations adressées à la direction sont actuellement mises en œuvre, avec l'appui du Secrétaire général, ce qui renforcera encore la capacité de l'UIT à remplir son mandat.</w:t>
      </w:r>
    </w:p>
    <w:p w:rsidR="00FD67EF" w:rsidRPr="00F23385" w:rsidRDefault="00E01A31" w:rsidP="00C74CDF">
      <w:pPr>
        <w:rPr>
          <w:rFonts w:asciiTheme="minorHAnsi" w:hAnsiTheme="minorHAnsi"/>
          <w:szCs w:val="24"/>
          <w:lang w:val="fr-CH"/>
        </w:rPr>
      </w:pPr>
      <w:r>
        <w:rPr>
          <w:rFonts w:asciiTheme="minorHAnsi" w:hAnsiTheme="minorHAnsi"/>
          <w:szCs w:val="24"/>
          <w:lang w:val="fr-CH"/>
        </w:rPr>
        <w:t>10</w:t>
      </w:r>
      <w:r>
        <w:rPr>
          <w:rFonts w:asciiTheme="minorHAnsi" w:hAnsiTheme="minorHAnsi"/>
          <w:szCs w:val="24"/>
          <w:lang w:val="fr-CH"/>
        </w:rPr>
        <w:tab/>
      </w:r>
      <w:r w:rsidR="00FD67EF">
        <w:rPr>
          <w:rFonts w:asciiTheme="minorHAnsi" w:hAnsiTheme="minorHAnsi"/>
          <w:szCs w:val="24"/>
          <w:lang w:val="fr-CH"/>
        </w:rPr>
        <w:t>L'Unité de l'audit interne assure le suivi de la mise en oeuvre des mesures recommandées, si nécessaire (voir aussi le paragraphe consacré au suivi plus loin dans le présent rapport).</w:t>
      </w:r>
    </w:p>
    <w:p w:rsidR="00FD67EF" w:rsidRPr="008C6E8A" w:rsidRDefault="00FD67EF" w:rsidP="00C74CDF">
      <w:pPr>
        <w:rPr>
          <w:rFonts w:asciiTheme="minorHAnsi" w:hAnsiTheme="minorHAnsi" w:cs="Calibri"/>
          <w:i/>
          <w:iCs/>
          <w:szCs w:val="24"/>
          <w:lang w:val="fr-CH"/>
        </w:rPr>
      </w:pPr>
      <w:r w:rsidRPr="008C6E8A">
        <w:rPr>
          <w:rFonts w:asciiTheme="minorHAnsi" w:hAnsiTheme="minorHAnsi" w:cs="Calibri"/>
          <w:i/>
          <w:iCs/>
          <w:szCs w:val="24"/>
          <w:lang w:val="fr-CH"/>
        </w:rPr>
        <w:t xml:space="preserve">Les missions </w:t>
      </w:r>
      <w:r w:rsidRPr="00C74CDF">
        <w:rPr>
          <w:lang w:val="fr-CH"/>
        </w:rPr>
        <w:t>d'assurance</w:t>
      </w:r>
      <w:r w:rsidRPr="008C6E8A">
        <w:rPr>
          <w:rFonts w:asciiTheme="minorHAnsi" w:hAnsiTheme="minorHAnsi" w:cs="Calibri"/>
          <w:i/>
          <w:iCs/>
          <w:szCs w:val="24"/>
          <w:lang w:val="fr-CH"/>
        </w:rPr>
        <w:t xml:space="preserve"> suivantes ont été menées:</w:t>
      </w:r>
    </w:p>
    <w:p w:rsidR="00FD67EF" w:rsidRPr="008C6E8A" w:rsidRDefault="00D3323B" w:rsidP="00ED7B76">
      <w:pPr>
        <w:pStyle w:val="Headingb"/>
        <w:rPr>
          <w:lang w:val="fr-CH"/>
        </w:rPr>
      </w:pPr>
      <w:r>
        <w:rPr>
          <w:lang w:val="fr-CH"/>
        </w:rPr>
        <w:t>A</w:t>
      </w:r>
      <w:r w:rsidR="00E01A31">
        <w:rPr>
          <w:lang w:val="fr-CH"/>
        </w:rPr>
        <w:tab/>
      </w:r>
      <w:r w:rsidR="00FD67EF" w:rsidRPr="008C6E8A">
        <w:rPr>
          <w:lang w:val="fr-CH"/>
        </w:rPr>
        <w:t>Audit des flux de travail du système SAP de planification des ressources de l'entr</w:t>
      </w:r>
      <w:r w:rsidR="00FD67EF">
        <w:rPr>
          <w:lang w:val="fr-CH"/>
        </w:rPr>
        <w:t>e</w:t>
      </w:r>
      <w:r w:rsidR="00FD67EF" w:rsidRPr="008C6E8A">
        <w:rPr>
          <w:lang w:val="fr-CH"/>
        </w:rPr>
        <w:t>prise</w:t>
      </w:r>
    </w:p>
    <w:p w:rsidR="00FD67EF" w:rsidRDefault="005A5AEA" w:rsidP="00474FA8">
      <w:pPr>
        <w:rPr>
          <w:lang w:val="fr-CH"/>
        </w:rPr>
      </w:pPr>
      <w:r>
        <w:rPr>
          <w:lang w:val="fr-CH"/>
        </w:rPr>
        <w:t>11</w:t>
      </w:r>
      <w:r>
        <w:rPr>
          <w:lang w:val="fr-CH"/>
        </w:rPr>
        <w:tab/>
      </w:r>
      <w:r w:rsidR="00FD67EF">
        <w:rPr>
          <w:lang w:val="fr-CH"/>
        </w:rPr>
        <w:t>L'</w:t>
      </w:r>
      <w:r w:rsidR="00FD67EF" w:rsidRPr="00D71AFC">
        <w:rPr>
          <w:u w:val="single"/>
          <w:lang w:val="fr-CH"/>
        </w:rPr>
        <w:t>obje</w:t>
      </w:r>
      <w:r w:rsidR="00FD67EF">
        <w:rPr>
          <w:u w:val="single"/>
          <w:lang w:val="fr-CH"/>
        </w:rPr>
        <w:t>c</w:t>
      </w:r>
      <w:r w:rsidR="00FD67EF" w:rsidRPr="00D71AFC">
        <w:rPr>
          <w:u w:val="single"/>
          <w:lang w:val="fr-CH"/>
        </w:rPr>
        <w:t>t</w:t>
      </w:r>
      <w:r w:rsidR="00FD67EF">
        <w:rPr>
          <w:u w:val="single"/>
          <w:lang w:val="fr-CH"/>
        </w:rPr>
        <w:t>if</w:t>
      </w:r>
      <w:r w:rsidR="00FD67EF">
        <w:rPr>
          <w:lang w:val="fr-CH"/>
        </w:rPr>
        <w:t xml:space="preserve"> de cet audit était principalement d'évaluer si les contrôles internes sont générale</w:t>
      </w:r>
      <w:r w:rsidR="00FD67EF">
        <w:rPr>
          <w:lang w:val="fr-CH"/>
        </w:rPr>
        <w:softHyphen/>
        <w:t xml:space="preserve">ment suffisants et s'ils fonctionnent bien. Le </w:t>
      </w:r>
      <w:r w:rsidR="00FD67EF" w:rsidRPr="00AB6B47">
        <w:rPr>
          <w:u w:val="single"/>
          <w:lang w:val="fr-CH"/>
        </w:rPr>
        <w:t>champ</w:t>
      </w:r>
      <w:r w:rsidR="00FD67EF">
        <w:rPr>
          <w:lang w:val="fr-CH"/>
        </w:rPr>
        <w:t xml:space="preserve"> de cet audit comprenait les trois fonctionnalités SAP de flux de travail que l'UIT a mi</w:t>
      </w:r>
      <w:r w:rsidR="00474FA8">
        <w:rPr>
          <w:lang w:val="fr-CH"/>
        </w:rPr>
        <w:t xml:space="preserve">ses en oeuvre jusqu'à présent: </w:t>
      </w:r>
      <w:r w:rsidR="00FD67EF">
        <w:rPr>
          <w:lang w:val="fr-CH"/>
        </w:rPr>
        <w:t>i) demandes d'autorisation de voyage</w:t>
      </w:r>
      <w:r w:rsidR="00474FA8">
        <w:rPr>
          <w:lang w:val="fr-CH"/>
        </w:rPr>
        <w:t xml:space="preserve">; </w:t>
      </w:r>
      <w:r w:rsidR="00FD67EF">
        <w:rPr>
          <w:lang w:val="fr-CH"/>
        </w:rPr>
        <w:t>ii)</w:t>
      </w:r>
      <w:r w:rsidR="00E01A31">
        <w:rPr>
          <w:lang w:val="fr-CH"/>
        </w:rPr>
        <w:t> </w:t>
      </w:r>
      <w:r w:rsidR="00FD67EF">
        <w:rPr>
          <w:lang w:val="fr-CH"/>
        </w:rPr>
        <w:t>demandes de congé</w:t>
      </w:r>
      <w:r w:rsidR="00474FA8">
        <w:rPr>
          <w:lang w:val="fr-CH"/>
        </w:rPr>
        <w:t>;</w:t>
      </w:r>
      <w:r w:rsidR="00FD67EF">
        <w:rPr>
          <w:lang w:val="fr-CH"/>
        </w:rPr>
        <w:t xml:space="preserve"> et iii) demandes d'achat internes ("</w:t>
      </w:r>
      <w:r w:rsidR="00FD67EF" w:rsidRPr="00F23385">
        <w:rPr>
          <w:lang w:val="fr-CH"/>
        </w:rPr>
        <w:t>paniers d'achat</w:t>
      </w:r>
      <w:r w:rsidR="00FD67EF">
        <w:rPr>
          <w:lang w:val="fr-CH"/>
        </w:rPr>
        <w:t>" dans la terminologie SAP). L'audit portait sur la totalité des opérations utilisant les flux de travail enregistrées dans le système SAP en 2012 et en 2013 (01.01.2012</w:t>
      </w:r>
      <w:r w:rsidR="00474FA8">
        <w:rPr>
          <w:lang w:val="fr-CH"/>
        </w:rPr>
        <w:t>-</w:t>
      </w:r>
      <w:r w:rsidR="00FD67EF">
        <w:rPr>
          <w:lang w:val="fr-CH"/>
        </w:rPr>
        <w:t>31.12.2013).</w:t>
      </w:r>
    </w:p>
    <w:p w:rsidR="00FD67EF" w:rsidRPr="00F23385" w:rsidRDefault="005A5AEA" w:rsidP="00E01A31">
      <w:pPr>
        <w:rPr>
          <w:rFonts w:asciiTheme="minorHAnsi" w:hAnsiTheme="minorHAnsi"/>
          <w:lang w:val="fr-CH"/>
        </w:rPr>
      </w:pPr>
      <w:r>
        <w:rPr>
          <w:lang w:val="fr-CH"/>
        </w:rPr>
        <w:t>12</w:t>
      </w:r>
      <w:r>
        <w:rPr>
          <w:lang w:val="fr-CH"/>
        </w:rPr>
        <w:tab/>
      </w:r>
      <w:r w:rsidR="00FD67EF" w:rsidRPr="00E01A31">
        <w:rPr>
          <w:lang w:val="fr-CH"/>
        </w:rPr>
        <w:t>Observations</w:t>
      </w:r>
      <w:r w:rsidR="00FD67EF">
        <w:rPr>
          <w:rFonts w:asciiTheme="minorHAnsi" w:hAnsiTheme="minorHAnsi"/>
          <w:lang w:val="fr-CH"/>
        </w:rPr>
        <w:t xml:space="preserve"> et recommandations de l'Unité de l'audit interne et </w:t>
      </w:r>
      <w:r w:rsidR="004B3D40">
        <w:rPr>
          <w:rFonts w:asciiTheme="minorHAnsi" w:hAnsiTheme="minorHAnsi"/>
          <w:lang w:val="fr-CH"/>
        </w:rPr>
        <w:t>commentaires</w:t>
      </w:r>
      <w:r w:rsidR="00FD67EF">
        <w:rPr>
          <w:rFonts w:asciiTheme="minorHAnsi" w:hAnsiTheme="minorHAnsi"/>
          <w:lang w:val="fr-CH"/>
        </w:rPr>
        <w:t xml:space="preserve"> de la direction:</w:t>
      </w:r>
    </w:p>
    <w:p w:rsidR="00FD67EF" w:rsidRDefault="005A5AEA" w:rsidP="005A5AEA">
      <w:pPr>
        <w:pStyle w:val="enumlev1"/>
        <w:rPr>
          <w:lang w:val="fr-CH"/>
        </w:rPr>
      </w:pPr>
      <w:r>
        <w:rPr>
          <w:lang w:val="fr-CH"/>
        </w:rPr>
        <w:t>i)</w:t>
      </w:r>
      <w:r>
        <w:rPr>
          <w:lang w:val="fr-CH"/>
        </w:rPr>
        <w:tab/>
      </w:r>
      <w:r w:rsidR="00FD67EF">
        <w:rPr>
          <w:lang w:val="fr-CH"/>
        </w:rPr>
        <w:t>Concernant les</w:t>
      </w:r>
      <w:r w:rsidR="00FD67EF" w:rsidRPr="00027F0B">
        <w:rPr>
          <w:lang w:val="fr-CH"/>
        </w:rPr>
        <w:t xml:space="preserve"> demandes d'autorisation de voyage, le flux de travail était généralement bien configuré et conforme à la réglementation. </w:t>
      </w:r>
      <w:r w:rsidR="00FD67EF">
        <w:rPr>
          <w:lang w:val="fr-CH"/>
        </w:rPr>
        <w:t>Toutefois, il a été relevé la nécessité de faire systématiquement en sorte que la soumission et l'approbation des demandes d'autorisation de voyage aient lieu en temps voulu, ainsi que de déléguer la compétence d'approbation en cas d'absence du superviseur (responsable de l'autorisation). La direction a déjà pris des mesures afin de traiter ce point.</w:t>
      </w:r>
    </w:p>
    <w:p w:rsidR="00FD67EF" w:rsidRDefault="005A5AEA" w:rsidP="005A5AEA">
      <w:pPr>
        <w:pStyle w:val="enumlev1"/>
        <w:rPr>
          <w:rFonts w:asciiTheme="minorHAnsi" w:hAnsiTheme="minorHAnsi"/>
          <w:lang w:val="fr-CH"/>
        </w:rPr>
      </w:pPr>
      <w:r>
        <w:rPr>
          <w:rFonts w:asciiTheme="minorHAnsi" w:hAnsiTheme="minorHAnsi"/>
          <w:lang w:val="fr-CH"/>
        </w:rPr>
        <w:t>ii)</w:t>
      </w:r>
      <w:r>
        <w:rPr>
          <w:rFonts w:asciiTheme="minorHAnsi" w:hAnsiTheme="minorHAnsi"/>
          <w:lang w:val="fr-CH"/>
        </w:rPr>
        <w:tab/>
      </w:r>
      <w:r w:rsidR="00FD67EF">
        <w:rPr>
          <w:rFonts w:asciiTheme="minorHAnsi" w:hAnsiTheme="minorHAnsi"/>
          <w:lang w:val="fr-CH"/>
        </w:rPr>
        <w:t xml:space="preserve">Pour ce qui est des demandes de congé, l'examen du flux de travail a révélé une insuffisance en ce </w:t>
      </w:r>
      <w:r w:rsidR="00FD67EF" w:rsidRPr="005A5AEA">
        <w:rPr>
          <w:lang w:val="fr-CH"/>
        </w:rPr>
        <w:t>qui</w:t>
      </w:r>
      <w:r w:rsidR="00FD67EF">
        <w:rPr>
          <w:rFonts w:asciiTheme="minorHAnsi" w:hAnsiTheme="minorHAnsi"/>
          <w:lang w:val="fr-CH"/>
        </w:rPr>
        <w:t xml:space="preserve"> concerne le respect des délais prévus pour la soumission des demandes de congé par les fonctionnaires et leur approbation par les superviseurs. En outre, l'examen a mis en évidence un certain nombre de déficiences, une séparation insuffisante des tâches, et des manques qui doivent être traités ‒ à titre de priorités ‒ par la direction. Il existait dans les cas concernés un risque de contournement du </w:t>
      </w:r>
      <w:r>
        <w:rPr>
          <w:rFonts w:asciiTheme="minorHAnsi" w:hAnsiTheme="minorHAnsi"/>
          <w:lang w:val="fr-CH"/>
        </w:rPr>
        <w:t xml:space="preserve">principe du </w:t>
      </w:r>
      <w:r w:rsidR="00FD67EF">
        <w:rPr>
          <w:rFonts w:asciiTheme="minorHAnsi" w:hAnsiTheme="minorHAnsi"/>
          <w:lang w:val="fr-CH"/>
        </w:rPr>
        <w:t>contrôle du superviseur (responsable de l'autorisation). Quelques cas isolés ayant donné lieu à des déficiences plus graves ont aussi été constatés, et l'Unité de l'audit interne a informé les fonctionnaires concernés, les superviseurs et/ou le personnel du Département de la gestion des ressources humaines, afin que soient prises des mesures correctives. Les déficiences relevées n'ont toutefois pas eu, en général, d'incidences sur les soldes de congé, bien qu'elles constituent un risque d'insuffisance en matière de gestion et de comptabilisation des droits de congé. L'apport de modifications supplémentaires à la configuration du flux de travail serait également utile pour permettre aux fonctionnaires eux-mêmes de mieux gérer leurs demandes de congé et/ou de suivre l'évolution de leur solde de congé. La direction a indiqué qu'elle approuvait les recommandations.</w:t>
      </w:r>
    </w:p>
    <w:p w:rsidR="00FD67EF" w:rsidRPr="00027F0B" w:rsidRDefault="005A5AEA" w:rsidP="005A5AEA">
      <w:pPr>
        <w:pStyle w:val="enumlev1"/>
        <w:rPr>
          <w:rFonts w:asciiTheme="minorHAnsi" w:hAnsiTheme="minorHAnsi"/>
          <w:lang w:val="fr-CH"/>
        </w:rPr>
      </w:pPr>
      <w:r>
        <w:rPr>
          <w:rFonts w:asciiTheme="minorHAnsi" w:hAnsiTheme="minorHAnsi"/>
          <w:lang w:val="fr-CH"/>
        </w:rPr>
        <w:t>iii)</w:t>
      </w:r>
      <w:r>
        <w:rPr>
          <w:rFonts w:asciiTheme="minorHAnsi" w:hAnsiTheme="minorHAnsi"/>
          <w:lang w:val="fr-CH"/>
        </w:rPr>
        <w:tab/>
      </w:r>
      <w:r w:rsidR="00FD67EF">
        <w:rPr>
          <w:rFonts w:asciiTheme="minorHAnsi" w:hAnsiTheme="minorHAnsi"/>
          <w:lang w:val="fr-CH"/>
        </w:rPr>
        <w:t xml:space="preserve">Concernant le flux de travail des "paniers d'achat", l'examen a révélé quelques faiblesses </w:t>
      </w:r>
      <w:r w:rsidR="00FD67EF" w:rsidRPr="005A5AEA">
        <w:rPr>
          <w:lang w:val="fr-CH"/>
        </w:rPr>
        <w:t>dans</w:t>
      </w:r>
      <w:r w:rsidR="00FD67EF">
        <w:rPr>
          <w:rFonts w:asciiTheme="minorHAnsi" w:hAnsiTheme="minorHAnsi"/>
          <w:lang w:val="fr-CH"/>
        </w:rPr>
        <w:t xml:space="preserve"> la séparation des tâches, auxquelles il est nécessaire de remédier. La direction a indiqué que, d'une manière générale, elle approuvait les recommandations, mais que pour des raisons opérationnelles, elle choisissait de maintenir la pratique actuelle.</w:t>
      </w:r>
    </w:p>
    <w:p w:rsidR="00FD67EF" w:rsidRPr="007C674C" w:rsidRDefault="005A5AEA" w:rsidP="001B6B9F">
      <w:pPr>
        <w:rPr>
          <w:lang w:val="fr-CH"/>
        </w:rPr>
      </w:pPr>
      <w:r>
        <w:rPr>
          <w:lang w:val="fr-CH"/>
        </w:rPr>
        <w:t>13</w:t>
      </w:r>
      <w:r>
        <w:rPr>
          <w:lang w:val="fr-CH"/>
        </w:rPr>
        <w:tab/>
      </w:r>
      <w:r w:rsidR="00FD67EF">
        <w:rPr>
          <w:lang w:val="fr-CH"/>
        </w:rPr>
        <w:t>En</w:t>
      </w:r>
      <w:r w:rsidR="00FD67EF" w:rsidRPr="007C674C">
        <w:rPr>
          <w:lang w:val="fr-CH"/>
        </w:rPr>
        <w:t xml:space="preserve"> </w:t>
      </w:r>
      <w:r w:rsidR="00FD67EF" w:rsidRPr="007C674C">
        <w:rPr>
          <w:u w:val="single"/>
          <w:lang w:val="fr-CH"/>
        </w:rPr>
        <w:t>conclusion</w:t>
      </w:r>
      <w:r w:rsidR="00FD67EF">
        <w:rPr>
          <w:lang w:val="fr-CH"/>
        </w:rPr>
        <w:t xml:space="preserve">, d'une manière </w:t>
      </w:r>
      <w:r w:rsidR="00FD67EF" w:rsidRPr="007C674C">
        <w:rPr>
          <w:lang w:val="fr-CH"/>
        </w:rPr>
        <w:t xml:space="preserve">générale, aucun problème n'a été relevé en ce qui concerne le flux de </w:t>
      </w:r>
      <w:r w:rsidR="00FD67EF" w:rsidRPr="00E01A31">
        <w:rPr>
          <w:lang w:val="fr-CH"/>
        </w:rPr>
        <w:t>travail</w:t>
      </w:r>
      <w:r w:rsidR="00FD67EF" w:rsidRPr="007C674C">
        <w:rPr>
          <w:lang w:val="fr-CH"/>
        </w:rPr>
        <w:t xml:space="preserve"> relatif aux </w:t>
      </w:r>
      <w:r w:rsidR="00FD67EF" w:rsidRPr="007C674C">
        <w:rPr>
          <w:i/>
          <w:iCs/>
          <w:lang w:val="fr-CH"/>
        </w:rPr>
        <w:t>demandes d'autorisation de voyage</w:t>
      </w:r>
      <w:r w:rsidR="00FD67EF" w:rsidRPr="007C674C">
        <w:rPr>
          <w:lang w:val="fr-CH"/>
        </w:rPr>
        <w:t>, les contr</w:t>
      </w:r>
      <w:r w:rsidR="00FD67EF">
        <w:rPr>
          <w:lang w:val="fr-CH"/>
        </w:rPr>
        <w:t xml:space="preserve">ôles internes associés sont jugés suffisants et leur fonctionnement est jugé bon, et il a été fourni l'assurance que les risques sont gérés et que les objectifs sont remplis. S'agissant du flux de travail relatif aux </w:t>
      </w:r>
      <w:r w:rsidR="00FD67EF" w:rsidRPr="005265E5">
        <w:rPr>
          <w:i/>
          <w:iCs/>
          <w:lang w:val="fr-CH"/>
        </w:rPr>
        <w:t xml:space="preserve">demandes de </w:t>
      </w:r>
      <w:r w:rsidR="00FD67EF" w:rsidRPr="005265E5">
        <w:rPr>
          <w:i/>
          <w:iCs/>
          <w:lang w:val="fr-CH"/>
        </w:rPr>
        <w:lastRenderedPageBreak/>
        <w:t>congé</w:t>
      </w:r>
      <w:r w:rsidR="00FD67EF">
        <w:rPr>
          <w:lang w:val="fr-CH"/>
        </w:rPr>
        <w:t xml:space="preserve">, quelques faiblesses précises ont été relevées sur le plan du contrôle interne, de même qu'un conflit dans la séparation des tâches. Bien que la direction ait pris des mesures pour résoudre ce problème, il serait trop tôt pour fournir l'assurance que les risques sont gérés de manière appropriée. Pour ce qui est du flux de travail sur les </w:t>
      </w:r>
      <w:r w:rsidR="00FD67EF" w:rsidRPr="005265E5">
        <w:rPr>
          <w:i/>
          <w:iCs/>
          <w:lang w:val="fr-CH"/>
        </w:rPr>
        <w:t>paniers d'achat</w:t>
      </w:r>
      <w:r w:rsidR="00FD67EF">
        <w:rPr>
          <w:lang w:val="fr-CH"/>
        </w:rPr>
        <w:t>, quelques problèmes ont été constatés sur le plan de la séparation des tâches. Si des mesures ont été prises pour l'un des deux, il serait trop tôt pour fournir l'assurance que les risques sont gérés de manière appropriée.</w:t>
      </w:r>
    </w:p>
    <w:p w:rsidR="00FD67EF" w:rsidRPr="004F213F" w:rsidRDefault="001B6B9F" w:rsidP="00996C81">
      <w:pPr>
        <w:pStyle w:val="Headingb"/>
        <w:rPr>
          <w:lang w:val="fr-CH"/>
        </w:rPr>
      </w:pPr>
      <w:r>
        <w:rPr>
          <w:lang w:val="fr-CH"/>
        </w:rPr>
        <w:t>B</w:t>
      </w:r>
      <w:r>
        <w:rPr>
          <w:lang w:val="fr-CH"/>
        </w:rPr>
        <w:tab/>
      </w:r>
      <w:r w:rsidR="00FD67EF" w:rsidRPr="004F213F">
        <w:rPr>
          <w:lang w:val="fr-CH"/>
        </w:rPr>
        <w:t xml:space="preserve">Audit du mécanisme d'assurance qualité pour les </w:t>
      </w:r>
      <w:r>
        <w:rPr>
          <w:lang w:val="fr-CH"/>
        </w:rPr>
        <w:t>prestations</w:t>
      </w:r>
    </w:p>
    <w:p w:rsidR="00FD67EF" w:rsidRPr="00284F8F" w:rsidRDefault="001B6B9F" w:rsidP="001B6B9F">
      <w:pPr>
        <w:pStyle w:val="Niormal"/>
      </w:pPr>
      <w:r>
        <w:t>14</w:t>
      </w:r>
      <w:r>
        <w:tab/>
      </w:r>
      <w:r w:rsidR="00FD67EF" w:rsidRPr="00284F8F">
        <w:t>L'</w:t>
      </w:r>
      <w:r w:rsidR="00FD67EF" w:rsidRPr="00284F8F">
        <w:rPr>
          <w:u w:val="single"/>
        </w:rPr>
        <w:t>obje</w:t>
      </w:r>
      <w:r w:rsidR="00FD67EF">
        <w:rPr>
          <w:u w:val="single"/>
        </w:rPr>
        <w:t>ctif</w:t>
      </w:r>
      <w:r w:rsidR="00FD67EF" w:rsidRPr="00284F8F">
        <w:t xml:space="preserve"> de cet audit était principalement d'examiner les mécanismes en place </w:t>
      </w:r>
      <w:r w:rsidR="00FD67EF">
        <w:t>au sein des</w:t>
      </w:r>
      <w:r w:rsidR="00FD67EF" w:rsidRPr="00284F8F">
        <w:t xml:space="preserve"> trois Burea</w:t>
      </w:r>
      <w:r w:rsidR="00FD67EF">
        <w:t xml:space="preserve">ux de l'UIT et du Secrétariat général pour garantir des critères de haute qualité dans la réalisation </w:t>
      </w:r>
      <w:r w:rsidR="00FD67EF" w:rsidRPr="00E01A31">
        <w:rPr>
          <w:rFonts w:ascii="Calibri" w:hAnsi="Calibri"/>
          <w:szCs w:val="20"/>
        </w:rPr>
        <w:t>des</w:t>
      </w:r>
      <w:r w:rsidR="00FD67EF">
        <w:t xml:space="preserve"> livrables attendus, et, en fonction des résultats de cet examen, de fournir une assurance au Secrétaire général concernant le principe de responsabilité de la direction de l'UIT vis-à-vis des Etats Membres de l'Union. Cet audit était basé sur les plans opérationnels pour la période 2015-2018.</w:t>
      </w:r>
    </w:p>
    <w:p w:rsidR="00FD67EF" w:rsidRPr="00390B6A" w:rsidRDefault="001B6B9F" w:rsidP="001B6B9F">
      <w:pPr>
        <w:rPr>
          <w:rFonts w:asciiTheme="minorHAnsi" w:hAnsiTheme="minorHAnsi"/>
          <w:lang w:val="fr-CH"/>
        </w:rPr>
      </w:pPr>
      <w:r>
        <w:rPr>
          <w:lang w:val="fr-CH"/>
        </w:rPr>
        <w:t>15</w:t>
      </w:r>
      <w:r>
        <w:rPr>
          <w:lang w:val="fr-CH"/>
        </w:rPr>
        <w:tab/>
      </w:r>
      <w:r w:rsidR="00FD67EF" w:rsidRPr="00E01A31">
        <w:rPr>
          <w:lang w:val="fr-CH"/>
        </w:rPr>
        <w:t>Observations</w:t>
      </w:r>
      <w:r w:rsidR="00FD67EF">
        <w:rPr>
          <w:rFonts w:asciiTheme="minorHAnsi" w:hAnsiTheme="minorHAnsi"/>
          <w:lang w:val="fr-CH"/>
        </w:rPr>
        <w:t xml:space="preserve"> et recommandations de l'Unité de l'audit interne et </w:t>
      </w:r>
      <w:r>
        <w:rPr>
          <w:rFonts w:asciiTheme="minorHAnsi" w:hAnsiTheme="minorHAnsi"/>
          <w:lang w:val="fr-CH"/>
        </w:rPr>
        <w:t>commentaires</w:t>
      </w:r>
      <w:r w:rsidR="00FD67EF">
        <w:rPr>
          <w:rFonts w:asciiTheme="minorHAnsi" w:hAnsiTheme="minorHAnsi"/>
          <w:lang w:val="fr-CH"/>
        </w:rPr>
        <w:t xml:space="preserve"> de la direction:</w:t>
      </w:r>
    </w:p>
    <w:p w:rsidR="00FD67EF" w:rsidRDefault="001B6B9F" w:rsidP="005A5AEA">
      <w:pPr>
        <w:pStyle w:val="enumlev1"/>
        <w:rPr>
          <w:rFonts w:asciiTheme="minorHAnsi" w:hAnsiTheme="minorHAnsi"/>
          <w:szCs w:val="24"/>
          <w:lang w:val="fr-CH"/>
        </w:rPr>
      </w:pPr>
      <w:r>
        <w:rPr>
          <w:lang w:val="fr-CH"/>
        </w:rPr>
        <w:t>i)</w:t>
      </w:r>
      <w:r>
        <w:rPr>
          <w:lang w:val="fr-CH"/>
        </w:rPr>
        <w:tab/>
      </w:r>
      <w:r w:rsidR="00FD67EF" w:rsidRPr="005A5AEA">
        <w:rPr>
          <w:lang w:val="fr-CH"/>
        </w:rPr>
        <w:t>L'examen</w:t>
      </w:r>
      <w:r w:rsidR="00FD67EF" w:rsidRPr="00390B6A">
        <w:rPr>
          <w:rFonts w:asciiTheme="minorHAnsi" w:hAnsiTheme="minorHAnsi"/>
          <w:szCs w:val="24"/>
          <w:lang w:val="fr-CH"/>
        </w:rPr>
        <w:t xml:space="preserve"> a r</w:t>
      </w:r>
      <w:r w:rsidR="00FD67EF">
        <w:rPr>
          <w:rFonts w:asciiTheme="minorHAnsi" w:hAnsiTheme="minorHAnsi"/>
          <w:szCs w:val="24"/>
          <w:lang w:val="fr-CH"/>
        </w:rPr>
        <w:t>évélé</w:t>
      </w:r>
      <w:r w:rsidR="00FD67EF" w:rsidRPr="00390B6A">
        <w:rPr>
          <w:rFonts w:asciiTheme="minorHAnsi" w:hAnsiTheme="minorHAnsi"/>
          <w:szCs w:val="24"/>
          <w:lang w:val="fr-CH"/>
        </w:rPr>
        <w:t xml:space="preserve"> une insuffisance des mécanismes de coordination</w:t>
      </w:r>
      <w:r>
        <w:rPr>
          <w:rFonts w:asciiTheme="minorHAnsi" w:hAnsiTheme="minorHAnsi"/>
          <w:szCs w:val="24"/>
          <w:lang w:val="fr-CH"/>
        </w:rPr>
        <w:t xml:space="preserve"> formels</w:t>
      </w:r>
      <w:r w:rsidR="00FD67EF" w:rsidRPr="00390B6A">
        <w:rPr>
          <w:rFonts w:asciiTheme="minorHAnsi" w:hAnsiTheme="minorHAnsi"/>
          <w:szCs w:val="24"/>
          <w:lang w:val="fr-CH"/>
        </w:rPr>
        <w:t xml:space="preserve"> </w:t>
      </w:r>
      <w:r w:rsidR="00FD67EF">
        <w:rPr>
          <w:rFonts w:asciiTheme="minorHAnsi" w:hAnsiTheme="minorHAnsi"/>
          <w:szCs w:val="24"/>
          <w:lang w:val="fr-CH"/>
        </w:rPr>
        <w:t>du point de vue de la direction et de l'harmonisation en ce qui concerne</w:t>
      </w:r>
      <w:r w:rsidR="00FD67EF" w:rsidRPr="00390B6A">
        <w:rPr>
          <w:rFonts w:asciiTheme="minorHAnsi" w:hAnsiTheme="minorHAnsi"/>
          <w:szCs w:val="24"/>
          <w:lang w:val="fr-CH"/>
        </w:rPr>
        <w:t xml:space="preserve"> </w:t>
      </w:r>
      <w:r w:rsidR="00FD67EF">
        <w:rPr>
          <w:rFonts w:asciiTheme="minorHAnsi" w:hAnsiTheme="minorHAnsi"/>
          <w:szCs w:val="24"/>
          <w:lang w:val="fr-CH"/>
        </w:rPr>
        <w:t xml:space="preserve">l'approche, le format et la base de </w:t>
      </w:r>
      <w:r w:rsidR="00FD67EF" w:rsidRPr="00390B6A">
        <w:rPr>
          <w:rFonts w:asciiTheme="minorHAnsi" w:hAnsiTheme="minorHAnsi"/>
          <w:szCs w:val="24"/>
          <w:lang w:val="fr-CH"/>
        </w:rPr>
        <w:t>l'évaluation des plans opérationnels.</w:t>
      </w:r>
      <w:r w:rsidR="00FD67EF">
        <w:rPr>
          <w:rFonts w:asciiTheme="minorHAnsi" w:hAnsiTheme="minorHAnsi"/>
          <w:szCs w:val="24"/>
          <w:lang w:val="fr-CH"/>
        </w:rPr>
        <w:t xml:space="preserve"> Il a donc été recommandé d'améliorer et de formaliser les mécanismes de coordination intersectorielle pour l'élaboration des plans opérationnels de l'UIT, conformément au nouveau cadre du Plan stratégique pour la période 2016-2019. La direction a déjà suivi cette recommandation pour élaborer les plans opérationnels pour la période 2016-2019.</w:t>
      </w:r>
    </w:p>
    <w:p w:rsidR="00FD67EF" w:rsidRDefault="00C07AAA" w:rsidP="003D3B5D">
      <w:pPr>
        <w:pStyle w:val="enumlev1"/>
        <w:rPr>
          <w:rFonts w:asciiTheme="minorHAnsi" w:hAnsiTheme="minorHAnsi"/>
          <w:szCs w:val="24"/>
          <w:lang w:val="fr-CH"/>
        </w:rPr>
      </w:pPr>
      <w:r>
        <w:rPr>
          <w:rFonts w:asciiTheme="minorHAnsi" w:hAnsiTheme="minorHAnsi"/>
          <w:szCs w:val="24"/>
          <w:lang w:val="fr-CH"/>
        </w:rPr>
        <w:t>ii)</w:t>
      </w:r>
      <w:r>
        <w:rPr>
          <w:rFonts w:asciiTheme="minorHAnsi" w:hAnsiTheme="minorHAnsi"/>
          <w:szCs w:val="24"/>
          <w:lang w:val="fr-CH"/>
        </w:rPr>
        <w:tab/>
      </w:r>
      <w:r w:rsidR="00FD67EF">
        <w:rPr>
          <w:rFonts w:asciiTheme="minorHAnsi" w:hAnsiTheme="minorHAnsi"/>
          <w:szCs w:val="24"/>
          <w:lang w:val="fr-CH"/>
        </w:rPr>
        <w:t xml:space="preserve">La définition d'indicateurs fondamentaux de performance (IFP) à l'échelle de l'Union n'a pas toujours été homogène, le niveau de granularité des IFP était variable d'un Bureau ou d'un département à l'autre et la description des IFP ne fournissait pas toujours des critères </w:t>
      </w:r>
      <w:r w:rsidR="00FD67EF" w:rsidRPr="005A5AEA">
        <w:rPr>
          <w:lang w:val="fr-CH"/>
        </w:rPr>
        <w:t>d'évaluation</w:t>
      </w:r>
      <w:r w:rsidR="00FD67EF">
        <w:rPr>
          <w:rFonts w:asciiTheme="minorHAnsi" w:hAnsiTheme="minorHAnsi"/>
          <w:szCs w:val="24"/>
          <w:lang w:val="fr-CH"/>
        </w:rPr>
        <w:t xml:space="preserve"> suffisants. Par conséquent, Il a été recommandé de continuer de promouvoir l'adoption de l'approche SMART (</w:t>
      </w:r>
      <w:r w:rsidR="00FD67EF" w:rsidRPr="00B044E9">
        <w:rPr>
          <w:rFonts w:asciiTheme="minorHAnsi" w:hAnsiTheme="minorHAnsi"/>
          <w:szCs w:val="24"/>
          <w:lang w:val="fr-CH"/>
        </w:rPr>
        <w:t>spécifi</w:t>
      </w:r>
      <w:r w:rsidR="001B6B9F">
        <w:rPr>
          <w:rFonts w:asciiTheme="minorHAnsi" w:hAnsiTheme="minorHAnsi"/>
          <w:szCs w:val="24"/>
          <w:lang w:val="fr-CH"/>
        </w:rPr>
        <w:t>que</w:t>
      </w:r>
      <w:r w:rsidR="00FD67EF" w:rsidRPr="00B044E9">
        <w:rPr>
          <w:rFonts w:asciiTheme="minorHAnsi" w:hAnsiTheme="minorHAnsi"/>
          <w:szCs w:val="24"/>
          <w:lang w:val="fr-CH"/>
        </w:rPr>
        <w:t xml:space="preserve">, mesurable, atteignable, </w:t>
      </w:r>
      <w:r w:rsidR="001B6B9F">
        <w:rPr>
          <w:rFonts w:asciiTheme="minorHAnsi" w:hAnsiTheme="minorHAnsi"/>
          <w:szCs w:val="24"/>
          <w:lang w:val="fr-CH"/>
        </w:rPr>
        <w:t>pertinent/réaliste</w:t>
      </w:r>
      <w:r w:rsidR="00FD67EF" w:rsidRPr="00B044E9">
        <w:rPr>
          <w:rFonts w:asciiTheme="minorHAnsi" w:hAnsiTheme="minorHAnsi"/>
          <w:szCs w:val="24"/>
          <w:lang w:val="fr-CH"/>
        </w:rPr>
        <w:t xml:space="preserve"> et situé dans le temps</w:t>
      </w:r>
      <w:r w:rsidR="00FD67EF">
        <w:rPr>
          <w:rFonts w:asciiTheme="minorHAnsi" w:hAnsiTheme="minorHAnsi"/>
          <w:szCs w:val="24"/>
          <w:lang w:val="fr-CH"/>
        </w:rPr>
        <w:t xml:space="preserve">) pour définir des indicateurs de performance. Des indicateurs de performance </w:t>
      </w:r>
      <w:r>
        <w:rPr>
          <w:rFonts w:asciiTheme="minorHAnsi" w:hAnsiTheme="minorHAnsi"/>
          <w:szCs w:val="24"/>
          <w:lang w:val="fr-CH"/>
        </w:rPr>
        <w:t xml:space="preserve">SMART </w:t>
      </w:r>
      <w:r w:rsidR="00FD67EF">
        <w:rPr>
          <w:rFonts w:asciiTheme="minorHAnsi" w:hAnsiTheme="minorHAnsi"/>
          <w:szCs w:val="24"/>
          <w:lang w:val="fr-CH"/>
        </w:rPr>
        <w:t>devraient également être définis pour chaque produit. La direction a déjà suivi ces recommandations pour élaborer les plans opérationnels pour la période 2016</w:t>
      </w:r>
      <w:r w:rsidR="003D3B5D">
        <w:rPr>
          <w:rFonts w:asciiTheme="minorHAnsi" w:hAnsiTheme="minorHAnsi"/>
          <w:szCs w:val="24"/>
          <w:lang w:val="fr-CH"/>
        </w:rPr>
        <w:noBreakHyphen/>
      </w:r>
      <w:r w:rsidR="00FD67EF">
        <w:rPr>
          <w:rFonts w:asciiTheme="minorHAnsi" w:hAnsiTheme="minorHAnsi"/>
          <w:szCs w:val="24"/>
          <w:lang w:val="fr-CH"/>
        </w:rPr>
        <w:t>2019.</w:t>
      </w:r>
    </w:p>
    <w:p w:rsidR="00FD67EF" w:rsidRDefault="00C07AAA" w:rsidP="00C07AAA">
      <w:pPr>
        <w:pStyle w:val="enumlev1"/>
        <w:rPr>
          <w:rFonts w:asciiTheme="minorHAnsi" w:hAnsiTheme="minorHAnsi"/>
          <w:szCs w:val="24"/>
          <w:lang w:val="fr-CH"/>
        </w:rPr>
      </w:pPr>
      <w:r>
        <w:rPr>
          <w:rFonts w:asciiTheme="minorHAnsi" w:hAnsiTheme="minorHAnsi"/>
          <w:szCs w:val="24"/>
          <w:lang w:val="fr-CH"/>
        </w:rPr>
        <w:t>iii)</w:t>
      </w:r>
      <w:r>
        <w:rPr>
          <w:rFonts w:asciiTheme="minorHAnsi" w:hAnsiTheme="minorHAnsi"/>
          <w:szCs w:val="24"/>
          <w:lang w:val="fr-CH"/>
        </w:rPr>
        <w:tab/>
      </w:r>
      <w:r w:rsidR="00FD67EF">
        <w:rPr>
          <w:rFonts w:asciiTheme="minorHAnsi" w:hAnsiTheme="minorHAnsi"/>
          <w:szCs w:val="24"/>
          <w:lang w:val="fr-CH"/>
        </w:rPr>
        <w:t xml:space="preserve">Depuis la mise en place des accords </w:t>
      </w:r>
      <w:r>
        <w:rPr>
          <w:rFonts w:asciiTheme="minorHAnsi" w:hAnsiTheme="minorHAnsi"/>
          <w:szCs w:val="24"/>
          <w:lang w:val="fr-CH"/>
        </w:rPr>
        <w:t>de</w:t>
      </w:r>
      <w:r w:rsidR="00FD67EF">
        <w:rPr>
          <w:rFonts w:asciiTheme="minorHAnsi" w:hAnsiTheme="minorHAnsi"/>
          <w:szCs w:val="24"/>
          <w:lang w:val="fr-CH"/>
        </w:rPr>
        <w:t xml:space="preserve"> niveau de service (SLA), l'UIT s'est familiarisée avec leur utilisation et a maintenant un niveau d'expérience suffisant pour utiliser les accords SLA afin d'évaluer la qualité des prestations de services</w:t>
      </w:r>
      <w:r w:rsidR="00FD67EF" w:rsidRPr="009B0213">
        <w:rPr>
          <w:rFonts w:asciiTheme="minorHAnsi" w:hAnsiTheme="minorHAnsi"/>
          <w:szCs w:val="24"/>
          <w:lang w:val="fr-CH"/>
        </w:rPr>
        <w:t xml:space="preserve"> </w:t>
      </w:r>
      <w:r w:rsidR="00FD67EF">
        <w:rPr>
          <w:rFonts w:asciiTheme="minorHAnsi" w:hAnsiTheme="minorHAnsi"/>
          <w:szCs w:val="24"/>
          <w:lang w:val="fr-CH"/>
        </w:rPr>
        <w:t xml:space="preserve">antérieures. Cependant, le gabarit actuel des accords SLA ne comporte pas de disposition relative à l'évaluation des prestations antérieures des fournisseurs de services. Il a été recommandé de réviser le cadre des accords SLA, afin de faciliter l'évaluation de la qualité des prestations antérieures des fournisseurs de services. Le Secrétaire général a fait observer que l'Union avait atteint un certain niveau d'expérience pour ce qui est </w:t>
      </w:r>
      <w:r>
        <w:rPr>
          <w:rFonts w:asciiTheme="minorHAnsi" w:hAnsiTheme="minorHAnsi"/>
          <w:szCs w:val="24"/>
          <w:lang w:val="fr-CH"/>
        </w:rPr>
        <w:t>de l'utilisation des</w:t>
      </w:r>
      <w:r w:rsidR="00FD67EF">
        <w:rPr>
          <w:rFonts w:asciiTheme="minorHAnsi" w:hAnsiTheme="minorHAnsi"/>
          <w:szCs w:val="24"/>
          <w:lang w:val="fr-CH"/>
        </w:rPr>
        <w:t xml:space="preserve"> accords SLA, et qu'elle était donc prête à franchir une étape supplémentaire dans la mise en oeuvre de ce mécanisme, comme cela le lui était recommandé. Aucun stade n'avait encore été franchi dans la mise en oeuvre de cette recommandation.</w:t>
      </w:r>
    </w:p>
    <w:p w:rsidR="00FD67EF" w:rsidRDefault="005D6FCC" w:rsidP="00996C81">
      <w:pPr>
        <w:pStyle w:val="enumlev1"/>
        <w:keepNext/>
        <w:keepLines/>
        <w:rPr>
          <w:rFonts w:asciiTheme="minorHAnsi" w:hAnsiTheme="minorHAnsi"/>
          <w:szCs w:val="24"/>
          <w:lang w:val="fr-CH"/>
        </w:rPr>
      </w:pPr>
      <w:r>
        <w:rPr>
          <w:rFonts w:asciiTheme="minorHAnsi" w:hAnsiTheme="minorHAnsi"/>
          <w:szCs w:val="24"/>
          <w:lang w:val="fr-CH"/>
        </w:rPr>
        <w:lastRenderedPageBreak/>
        <w:t>iv)</w:t>
      </w:r>
      <w:r>
        <w:rPr>
          <w:rFonts w:asciiTheme="minorHAnsi" w:hAnsiTheme="minorHAnsi"/>
          <w:szCs w:val="24"/>
          <w:lang w:val="fr-CH"/>
        </w:rPr>
        <w:tab/>
      </w:r>
      <w:r w:rsidR="00FD67EF">
        <w:rPr>
          <w:rFonts w:asciiTheme="minorHAnsi" w:hAnsiTheme="minorHAnsi"/>
          <w:szCs w:val="24"/>
          <w:lang w:val="fr-CH"/>
        </w:rPr>
        <w:t xml:space="preserve">Il n'existait pas d'approche systématique, faisant l'objet d'une documentation, pour ce qui est de l'attribution de la responsabilité en matière d'objectifs et de produits. Il convenait donc de déterminer des responsables, et ce pour chacun des objectifs et des produits des plans </w:t>
      </w:r>
      <w:r w:rsidR="00FD67EF" w:rsidRPr="005A5AEA">
        <w:rPr>
          <w:lang w:val="fr-CH"/>
        </w:rPr>
        <w:t>opérationnels</w:t>
      </w:r>
      <w:r w:rsidR="00FD67EF">
        <w:rPr>
          <w:rFonts w:asciiTheme="minorHAnsi" w:hAnsiTheme="minorHAnsi"/>
          <w:szCs w:val="24"/>
          <w:lang w:val="fr-CH"/>
        </w:rPr>
        <w:t xml:space="preserve"> pour la période 2016-2019 (dès lors que ces responsables peuvent être clairement déterminés). La direction a accepté de suivre cette recommandation lors de l'élaboration des plans opérationnels pour la période 2016-2019 en définissant en interne les propriétaires responsables.</w:t>
      </w:r>
    </w:p>
    <w:p w:rsidR="00FD67EF" w:rsidRPr="00390B6A" w:rsidRDefault="005D6FCC" w:rsidP="004F5130">
      <w:pPr>
        <w:pStyle w:val="enumlev1"/>
        <w:rPr>
          <w:rFonts w:asciiTheme="minorHAnsi" w:hAnsiTheme="minorHAnsi"/>
          <w:szCs w:val="24"/>
          <w:lang w:val="fr-CH"/>
        </w:rPr>
      </w:pPr>
      <w:r>
        <w:rPr>
          <w:rFonts w:asciiTheme="minorHAnsi" w:hAnsiTheme="minorHAnsi"/>
          <w:szCs w:val="24"/>
          <w:lang w:val="fr-CH"/>
        </w:rPr>
        <w:t>v)</w:t>
      </w:r>
      <w:r>
        <w:rPr>
          <w:rFonts w:asciiTheme="minorHAnsi" w:hAnsiTheme="minorHAnsi"/>
          <w:szCs w:val="24"/>
          <w:lang w:val="fr-CH"/>
        </w:rPr>
        <w:tab/>
      </w:r>
      <w:r w:rsidR="00FD67EF">
        <w:rPr>
          <w:rFonts w:asciiTheme="minorHAnsi" w:hAnsiTheme="minorHAnsi"/>
          <w:szCs w:val="24"/>
          <w:lang w:val="fr-CH"/>
        </w:rPr>
        <w:t xml:space="preserve">Les différents Bureaux et le Secrétariat général ont élaboré des méthodes et des instruments destinés au suivi des activités et à l'évaluation de la qualité des </w:t>
      </w:r>
      <w:r>
        <w:rPr>
          <w:rFonts w:asciiTheme="minorHAnsi" w:hAnsiTheme="minorHAnsi"/>
          <w:szCs w:val="24"/>
          <w:lang w:val="fr-CH"/>
        </w:rPr>
        <w:t>prestations</w:t>
      </w:r>
      <w:r w:rsidR="00FD67EF">
        <w:rPr>
          <w:rFonts w:asciiTheme="minorHAnsi" w:hAnsiTheme="minorHAnsi"/>
          <w:szCs w:val="24"/>
          <w:lang w:val="fr-CH"/>
        </w:rPr>
        <w:t xml:space="preserve">. Certaines de ces </w:t>
      </w:r>
      <w:r w:rsidR="00FD67EF" w:rsidRPr="005A5AEA">
        <w:rPr>
          <w:lang w:val="fr-CH"/>
        </w:rPr>
        <w:t>méthodes</w:t>
      </w:r>
      <w:r w:rsidR="00FD67EF">
        <w:rPr>
          <w:rFonts w:asciiTheme="minorHAnsi" w:hAnsiTheme="minorHAnsi"/>
          <w:szCs w:val="24"/>
          <w:lang w:val="fr-CH"/>
        </w:rPr>
        <w:t xml:space="preserve"> et certains de ces outils ont été considérés comme des bonnes pratiques qu'il convenait de soumettre au reste de l'Union. Cependant, le niveau de développement des outils et des systèmes </w:t>
      </w:r>
      <w:r w:rsidR="004F5130">
        <w:rPr>
          <w:rFonts w:asciiTheme="minorHAnsi" w:hAnsiTheme="minorHAnsi"/>
          <w:szCs w:val="24"/>
          <w:lang w:val="fr-CH"/>
        </w:rPr>
        <w:t xml:space="preserve">d'établissement </w:t>
      </w:r>
      <w:r w:rsidR="00FD67EF">
        <w:rPr>
          <w:rFonts w:asciiTheme="minorHAnsi" w:hAnsiTheme="minorHAnsi"/>
          <w:szCs w:val="24"/>
          <w:lang w:val="fr-CH"/>
        </w:rPr>
        <w:t>de rapport</w:t>
      </w:r>
      <w:r w:rsidR="004F5130">
        <w:rPr>
          <w:rFonts w:asciiTheme="minorHAnsi" w:hAnsiTheme="minorHAnsi"/>
          <w:szCs w:val="24"/>
          <w:lang w:val="fr-CH"/>
        </w:rPr>
        <w:t>s</w:t>
      </w:r>
      <w:r w:rsidR="00FD67EF">
        <w:rPr>
          <w:rFonts w:asciiTheme="minorHAnsi" w:hAnsiTheme="minorHAnsi"/>
          <w:szCs w:val="24"/>
          <w:lang w:val="fr-CH"/>
        </w:rPr>
        <w:t xml:space="preserve"> pou</w:t>
      </w:r>
      <w:r>
        <w:rPr>
          <w:rFonts w:asciiTheme="minorHAnsi" w:hAnsiTheme="minorHAnsi"/>
          <w:szCs w:val="24"/>
          <w:lang w:val="fr-CH"/>
        </w:rPr>
        <w:t>r le suivi et l'évaluation des prestations</w:t>
      </w:r>
      <w:r w:rsidR="00FD67EF">
        <w:rPr>
          <w:rFonts w:asciiTheme="minorHAnsi" w:hAnsiTheme="minorHAnsi"/>
          <w:szCs w:val="24"/>
          <w:lang w:val="fr-CH"/>
        </w:rPr>
        <w:t xml:space="preserve"> varient d'un Bureau ou d'un département à l'autre. L'</w:t>
      </w:r>
      <w:r w:rsidR="004F5130">
        <w:rPr>
          <w:rFonts w:asciiTheme="minorHAnsi" w:hAnsiTheme="minorHAnsi"/>
          <w:szCs w:val="24"/>
          <w:lang w:val="fr-CH"/>
        </w:rPr>
        <w:t>U</w:t>
      </w:r>
      <w:r w:rsidR="00FD67EF">
        <w:rPr>
          <w:rFonts w:asciiTheme="minorHAnsi" w:hAnsiTheme="minorHAnsi"/>
          <w:szCs w:val="24"/>
          <w:lang w:val="fr-CH"/>
        </w:rPr>
        <w:t>nité de l'audit internet a en outre noté que l'UIT ne disposait pas d'un mécanisme systématique de suivi et d'évaluation à l'échelle de l'organisation, et qu'elle s'appuyait par conséquent sur les mécanismes en place au niveau des Bureaux et du Secrétariat général. Le Secrétaire général a fait observer que le Vice-Secrétaire général serait le fonctionnaire le plus indiqué pour être chargé de cette étude. Une étude avait déjà commencé en 2015.</w:t>
      </w:r>
    </w:p>
    <w:p w:rsidR="00FD67EF" w:rsidRPr="000434A5" w:rsidRDefault="004F5130" w:rsidP="004F5130">
      <w:pPr>
        <w:rPr>
          <w:lang w:val="fr-CH"/>
        </w:rPr>
      </w:pPr>
      <w:r>
        <w:rPr>
          <w:lang w:val="fr-CH"/>
        </w:rPr>
        <w:t>16</w:t>
      </w:r>
      <w:r>
        <w:rPr>
          <w:lang w:val="fr-CH"/>
        </w:rPr>
        <w:tab/>
      </w:r>
      <w:r w:rsidR="00FD67EF">
        <w:rPr>
          <w:lang w:val="fr-CH"/>
        </w:rPr>
        <w:t>En</w:t>
      </w:r>
      <w:r w:rsidR="00FD67EF" w:rsidRPr="000434A5">
        <w:rPr>
          <w:lang w:val="fr-CH"/>
        </w:rPr>
        <w:t xml:space="preserve"> </w:t>
      </w:r>
      <w:r w:rsidR="00FD67EF" w:rsidRPr="000434A5">
        <w:rPr>
          <w:u w:val="single"/>
          <w:lang w:val="fr-CH"/>
        </w:rPr>
        <w:t>conclusion</w:t>
      </w:r>
      <w:r w:rsidR="00FD67EF">
        <w:rPr>
          <w:lang w:val="fr-CH"/>
        </w:rPr>
        <w:t xml:space="preserve">, d'une manière générale, et </w:t>
      </w:r>
      <w:r w:rsidR="00FD67EF" w:rsidRPr="000434A5">
        <w:rPr>
          <w:lang w:val="fr-CH"/>
        </w:rPr>
        <w:t>compte tenu de l'examen des mécanismes en</w:t>
      </w:r>
      <w:r w:rsidR="00FD67EF">
        <w:rPr>
          <w:lang w:val="fr-CH"/>
        </w:rPr>
        <w:t xml:space="preserve"> </w:t>
      </w:r>
      <w:r w:rsidR="00FD67EF" w:rsidRPr="000434A5">
        <w:rPr>
          <w:lang w:val="fr-CH"/>
        </w:rPr>
        <w:t xml:space="preserve">place au sein des trois Bureaux et du Secrétariat général de l'UIT, il a été fourni l'assurance que l'Union allait dans la bonne direction </w:t>
      </w:r>
      <w:r w:rsidR="00FD67EF">
        <w:rPr>
          <w:lang w:val="fr-CH"/>
        </w:rPr>
        <w:t xml:space="preserve">en vue de </w:t>
      </w:r>
      <w:r w:rsidR="00FD67EF" w:rsidRPr="000434A5">
        <w:rPr>
          <w:lang w:val="fr-CH"/>
        </w:rPr>
        <w:t xml:space="preserve">fournir les </w:t>
      </w:r>
      <w:r>
        <w:rPr>
          <w:lang w:val="fr-CH"/>
        </w:rPr>
        <w:t>prestations</w:t>
      </w:r>
      <w:r w:rsidR="00FD67EF" w:rsidRPr="000434A5">
        <w:rPr>
          <w:lang w:val="fr-CH"/>
        </w:rPr>
        <w:t xml:space="preserve"> attendu</w:t>
      </w:r>
      <w:r>
        <w:rPr>
          <w:lang w:val="fr-CH"/>
        </w:rPr>
        <w:t>e</w:t>
      </w:r>
      <w:r w:rsidR="00FD67EF" w:rsidRPr="000434A5">
        <w:rPr>
          <w:lang w:val="fr-CH"/>
        </w:rPr>
        <w:t>s, sur la base de critères de haute qualité.</w:t>
      </w:r>
    </w:p>
    <w:p w:rsidR="00FD67EF" w:rsidRPr="00AB4CE6" w:rsidRDefault="004F5130" w:rsidP="00996C81">
      <w:pPr>
        <w:pStyle w:val="Headingb"/>
        <w:rPr>
          <w:lang w:val="fr-CH"/>
        </w:rPr>
      </w:pPr>
      <w:r>
        <w:rPr>
          <w:lang w:val="fr-CH"/>
        </w:rPr>
        <w:t>C</w:t>
      </w:r>
      <w:r>
        <w:rPr>
          <w:lang w:val="fr-CH"/>
        </w:rPr>
        <w:tab/>
      </w:r>
      <w:r w:rsidR="00FD67EF" w:rsidRPr="00AB4CE6">
        <w:rPr>
          <w:lang w:val="fr-CH"/>
        </w:rPr>
        <w:t xml:space="preserve">Audit des contributions </w:t>
      </w:r>
      <w:r w:rsidR="00FD67EF">
        <w:rPr>
          <w:lang w:val="fr-CH"/>
        </w:rPr>
        <w:t xml:space="preserve">à </w:t>
      </w:r>
      <w:r w:rsidR="00FD67EF" w:rsidRPr="00AB4CE6">
        <w:rPr>
          <w:lang w:val="fr-CH"/>
        </w:rPr>
        <w:t>la Caisse commune des pensions du personnel des Nations Unies (CCPPNU)</w:t>
      </w:r>
    </w:p>
    <w:p w:rsidR="00FD67EF" w:rsidRPr="00AB4CE6" w:rsidRDefault="004F5130" w:rsidP="00DE1EA7">
      <w:pPr>
        <w:rPr>
          <w:lang w:val="fr-CH"/>
        </w:rPr>
      </w:pPr>
      <w:r>
        <w:rPr>
          <w:lang w:val="fr-CH"/>
        </w:rPr>
        <w:t>17</w:t>
      </w:r>
      <w:r>
        <w:rPr>
          <w:lang w:val="fr-CH"/>
        </w:rPr>
        <w:tab/>
      </w:r>
      <w:r w:rsidR="00FD67EF">
        <w:rPr>
          <w:lang w:val="fr-CH"/>
        </w:rPr>
        <w:t xml:space="preserve">Les principaux </w:t>
      </w:r>
      <w:r w:rsidR="00FD67EF" w:rsidRPr="00AB4CE6">
        <w:rPr>
          <w:u w:val="single"/>
          <w:lang w:val="fr-CH"/>
        </w:rPr>
        <w:t>objectifs</w:t>
      </w:r>
      <w:r w:rsidR="00FD67EF" w:rsidRPr="00AB4CE6">
        <w:rPr>
          <w:lang w:val="fr-CH"/>
        </w:rPr>
        <w:t xml:space="preserve"> de cet audit étai</w:t>
      </w:r>
      <w:r w:rsidR="00FD67EF">
        <w:rPr>
          <w:lang w:val="fr-CH"/>
        </w:rPr>
        <w:t>en</w:t>
      </w:r>
      <w:r w:rsidR="00FD67EF" w:rsidRPr="00AB4CE6">
        <w:rPr>
          <w:lang w:val="fr-CH"/>
        </w:rPr>
        <w:t xml:space="preserve">t </w:t>
      </w:r>
      <w:r w:rsidR="00FD67EF">
        <w:rPr>
          <w:lang w:val="fr-CH"/>
        </w:rPr>
        <w:t>d'examiner et d'évaluer les contrôles internes (et de faire rapport à ce sujet), de vérifier la conformité des opérations sélectionnées</w:t>
      </w:r>
      <w:r w:rsidR="00DE1EA7">
        <w:rPr>
          <w:lang w:val="fr-CH"/>
        </w:rPr>
        <w:t xml:space="preserve"> avec les </w:t>
      </w:r>
      <w:r w:rsidR="00FD67EF">
        <w:rPr>
          <w:lang w:val="fr-CH"/>
        </w:rPr>
        <w:t xml:space="preserve">politiques, </w:t>
      </w:r>
      <w:r w:rsidR="00DE1EA7">
        <w:rPr>
          <w:lang w:val="fr-CH"/>
        </w:rPr>
        <w:t xml:space="preserve">les </w:t>
      </w:r>
      <w:r w:rsidR="00FD67EF">
        <w:rPr>
          <w:lang w:val="fr-CH"/>
        </w:rPr>
        <w:t xml:space="preserve">procédures et </w:t>
      </w:r>
      <w:r w:rsidR="00DE1EA7">
        <w:rPr>
          <w:lang w:val="fr-CH"/>
        </w:rPr>
        <w:t xml:space="preserve">le </w:t>
      </w:r>
      <w:r w:rsidR="00FD67EF">
        <w:rPr>
          <w:lang w:val="fr-CH"/>
        </w:rPr>
        <w:t xml:space="preserve">cadre réglementaire applicables, et d'évaluer si les contributions à la Caisse étaient conformes aux principes de l'utilisation efficiente, efficace et économique des ressources de l'Union. Le </w:t>
      </w:r>
      <w:r w:rsidR="00FD67EF" w:rsidRPr="00F0385E">
        <w:rPr>
          <w:u w:val="single"/>
          <w:lang w:val="fr-CH"/>
        </w:rPr>
        <w:t>champ</w:t>
      </w:r>
      <w:r w:rsidR="00FD67EF">
        <w:rPr>
          <w:lang w:val="fr-CH"/>
        </w:rPr>
        <w:t xml:space="preserve"> de cet audit comprenait toutes les contributions versées de janvier 2012 à mai 2014, tant pour le personnel </w:t>
      </w:r>
      <w:r w:rsidR="00DE1EA7">
        <w:rPr>
          <w:lang w:val="fr-CH"/>
        </w:rPr>
        <w:t xml:space="preserve">permanent </w:t>
      </w:r>
      <w:r w:rsidR="00FD67EF">
        <w:rPr>
          <w:lang w:val="fr-CH"/>
        </w:rPr>
        <w:t>que pour le personnel</w:t>
      </w:r>
      <w:r w:rsidR="00DE1EA7">
        <w:rPr>
          <w:lang w:val="fr-CH"/>
        </w:rPr>
        <w:t xml:space="preserve"> au bénéfice de contrats de courte durée,</w:t>
      </w:r>
      <w:r w:rsidR="00FD67EF">
        <w:rPr>
          <w:lang w:val="fr-CH"/>
        </w:rPr>
        <w:t xml:space="preserve"> au siège de l'UIT et sur le terrain.</w:t>
      </w:r>
    </w:p>
    <w:p w:rsidR="00FD67EF" w:rsidRPr="00F0385E" w:rsidRDefault="006C45CB" w:rsidP="006C45CB">
      <w:pPr>
        <w:pStyle w:val="Niormal"/>
      </w:pPr>
      <w:r>
        <w:t>18</w:t>
      </w:r>
      <w:r>
        <w:tab/>
      </w:r>
      <w:r w:rsidR="00FD67EF">
        <w:t xml:space="preserve">Observations et recommandations de l'Unité de l'audit interne et </w:t>
      </w:r>
      <w:r w:rsidR="00DE1EA7">
        <w:t>commentaire</w:t>
      </w:r>
      <w:r w:rsidR="00FD67EF">
        <w:t>s de la direction:</w:t>
      </w:r>
    </w:p>
    <w:p w:rsidR="00FD67EF" w:rsidRPr="006C45CB" w:rsidRDefault="006C45CB" w:rsidP="006C45CB">
      <w:pPr>
        <w:pStyle w:val="enumlev1"/>
        <w:rPr>
          <w:lang w:val="fr-CH"/>
        </w:rPr>
      </w:pPr>
      <w:r>
        <w:rPr>
          <w:lang w:val="fr-CH"/>
        </w:rPr>
        <w:t>i)</w:t>
      </w:r>
      <w:r>
        <w:rPr>
          <w:lang w:val="fr-CH"/>
        </w:rPr>
        <w:tab/>
      </w:r>
      <w:r w:rsidR="00FD67EF" w:rsidRPr="006C45CB">
        <w:rPr>
          <w:lang w:val="fr-CH"/>
        </w:rPr>
        <w:t>Le calcul des contributions mensuelles à la Caisse était généralement approprié et conforme aux Statut et Règlement, mais les informations et les données figurant dans les rapports de l'UIT envoyés à la Caisse n'ont pas toujours été correctement enregistré</w:t>
      </w:r>
      <w:r w:rsidR="00B70684">
        <w:rPr>
          <w:lang w:val="fr-CH"/>
        </w:rPr>
        <w:t>e</w:t>
      </w:r>
      <w:r w:rsidR="00FD67EF" w:rsidRPr="006C45CB">
        <w:rPr>
          <w:lang w:val="fr-CH"/>
        </w:rPr>
        <w:t>s dans les archives de cette dernière. Il a été recommandé de s'entretenir avec les responsables de la Caisse afin de résoudre ce problème. La direction a indiqué que des travaux étaient en cours en vue de traiter cette question.</w:t>
      </w:r>
    </w:p>
    <w:p w:rsidR="00FD67EF" w:rsidRDefault="006C45CB" w:rsidP="00F1503A">
      <w:pPr>
        <w:pStyle w:val="enumlev1"/>
        <w:rPr>
          <w:rFonts w:asciiTheme="minorHAnsi" w:hAnsiTheme="minorHAnsi"/>
          <w:lang w:val="fr-CH"/>
        </w:rPr>
      </w:pPr>
      <w:r>
        <w:rPr>
          <w:lang w:val="fr-CH"/>
        </w:rPr>
        <w:t>ii)</w:t>
      </w:r>
      <w:r>
        <w:rPr>
          <w:lang w:val="fr-CH"/>
        </w:rPr>
        <w:tab/>
      </w:r>
      <w:r w:rsidR="00FD67EF" w:rsidRPr="006C45CB">
        <w:rPr>
          <w:lang w:val="fr-CH"/>
        </w:rPr>
        <w:t>L'examen</w:t>
      </w:r>
      <w:r w:rsidR="00FD67EF">
        <w:rPr>
          <w:rFonts w:asciiTheme="minorHAnsi" w:hAnsiTheme="minorHAnsi"/>
          <w:lang w:val="fr-CH"/>
        </w:rPr>
        <w:t xml:space="preserve"> a permis de relever quelque</w:t>
      </w:r>
      <w:r w:rsidR="00F1503A">
        <w:rPr>
          <w:rFonts w:asciiTheme="minorHAnsi" w:hAnsiTheme="minorHAnsi"/>
          <w:lang w:val="fr-CH"/>
        </w:rPr>
        <w:t>s</w:t>
      </w:r>
      <w:r w:rsidR="00FD67EF">
        <w:rPr>
          <w:rFonts w:asciiTheme="minorHAnsi" w:hAnsiTheme="minorHAnsi"/>
          <w:lang w:val="fr-CH"/>
        </w:rPr>
        <w:t xml:space="preserve"> cas où le paiement d'une pension d'invalidité par la Caisse a été octroyé, mais où l'option choisie n'était pas toujours la plus avantageuse sur le plan économique pour l'UIT. Il a été recommandé que les coûts encourus soient pris en compte pour déterminer la date de </w:t>
      </w:r>
      <w:r w:rsidR="00F1503A">
        <w:rPr>
          <w:rFonts w:asciiTheme="minorHAnsi" w:hAnsiTheme="minorHAnsi"/>
          <w:lang w:val="fr-CH"/>
        </w:rPr>
        <w:t>cessation de service</w:t>
      </w:r>
      <w:r w:rsidR="00FD67EF">
        <w:rPr>
          <w:rFonts w:asciiTheme="minorHAnsi" w:hAnsiTheme="minorHAnsi"/>
          <w:lang w:val="fr-CH"/>
        </w:rPr>
        <w:t xml:space="preserve"> pour cause d'invalidité. La direction a indiqué qu'elle approuvait cette reco</w:t>
      </w:r>
      <w:r w:rsidR="00996C81">
        <w:rPr>
          <w:rFonts w:asciiTheme="minorHAnsi" w:hAnsiTheme="minorHAnsi"/>
          <w:lang w:val="fr-CH"/>
        </w:rPr>
        <w:t>mmandation.</w:t>
      </w:r>
    </w:p>
    <w:p w:rsidR="00FD67EF" w:rsidRDefault="006C45CB" w:rsidP="006C45CB">
      <w:pPr>
        <w:pStyle w:val="enumlev1"/>
        <w:rPr>
          <w:rFonts w:asciiTheme="minorHAnsi" w:hAnsiTheme="minorHAnsi"/>
          <w:lang w:val="fr-CH"/>
        </w:rPr>
      </w:pPr>
      <w:r>
        <w:rPr>
          <w:rFonts w:asciiTheme="minorHAnsi" w:hAnsiTheme="minorHAnsi"/>
          <w:lang w:val="fr-CH"/>
        </w:rPr>
        <w:lastRenderedPageBreak/>
        <w:t>iii)</w:t>
      </w:r>
      <w:r>
        <w:rPr>
          <w:rFonts w:asciiTheme="minorHAnsi" w:hAnsiTheme="minorHAnsi"/>
          <w:lang w:val="fr-CH"/>
        </w:rPr>
        <w:tab/>
      </w:r>
      <w:r w:rsidR="00FD67EF">
        <w:rPr>
          <w:rFonts w:asciiTheme="minorHAnsi" w:hAnsiTheme="minorHAnsi"/>
          <w:lang w:val="fr-CH"/>
        </w:rPr>
        <w:t xml:space="preserve">A la suite de la mise en place de la nouvelle Convention collective d'assurance maladie, les contributions des retraités à cette convention ont été calculées manuellement sur une base mensuelle, et peuvent exposer l'UIT à des erreurs. Il a été recommandé d'élaborer un programme destiné à optimiser l'utilisation efficiente, efficace et économique des ressources de l'Union. La direction a indiqué qu'elle approuvait cette recommandation et l'Unité de l'audit interne a été récemment informée qu'une solution intermédiaire était déjà en place et que des travaux étaient en cours en vue de mettre en </w:t>
      </w:r>
      <w:r w:rsidR="00996C81">
        <w:rPr>
          <w:rFonts w:asciiTheme="minorHAnsi" w:hAnsiTheme="minorHAnsi"/>
          <w:lang w:val="fr-CH"/>
        </w:rPr>
        <w:t>oeuvre une solution permanente.</w:t>
      </w:r>
    </w:p>
    <w:p w:rsidR="00FD67EF" w:rsidRDefault="006C45CB" w:rsidP="006C45CB">
      <w:pPr>
        <w:pStyle w:val="enumlev1"/>
        <w:rPr>
          <w:rFonts w:asciiTheme="minorHAnsi" w:hAnsiTheme="minorHAnsi"/>
          <w:lang w:val="fr-CH"/>
        </w:rPr>
      </w:pPr>
      <w:r>
        <w:rPr>
          <w:rFonts w:asciiTheme="minorHAnsi" w:hAnsiTheme="minorHAnsi"/>
          <w:lang w:val="fr-CH"/>
        </w:rPr>
        <w:t>iv)</w:t>
      </w:r>
      <w:r>
        <w:rPr>
          <w:rFonts w:asciiTheme="minorHAnsi" w:hAnsiTheme="minorHAnsi"/>
          <w:lang w:val="fr-CH"/>
        </w:rPr>
        <w:tab/>
      </w:r>
      <w:r w:rsidR="00FD67EF">
        <w:rPr>
          <w:rFonts w:asciiTheme="minorHAnsi" w:hAnsiTheme="minorHAnsi"/>
          <w:lang w:val="fr-CH"/>
        </w:rPr>
        <w:t xml:space="preserve">La CCPPNU a créé une interface assurant le transfert des données relatives aux pensions, dans le but d'améliorer la collecte des données auprès des organisations participantes. Il a été </w:t>
      </w:r>
      <w:r w:rsidR="00FD67EF" w:rsidRPr="006C45CB">
        <w:rPr>
          <w:lang w:val="fr-CH"/>
        </w:rPr>
        <w:t>recommandé</w:t>
      </w:r>
      <w:r w:rsidR="00FD67EF">
        <w:rPr>
          <w:rFonts w:asciiTheme="minorHAnsi" w:hAnsiTheme="minorHAnsi"/>
          <w:lang w:val="fr-CH"/>
        </w:rPr>
        <w:t xml:space="preserve"> de demander régulièrement la validation des données des fonctionnaires, afin de garantir l'exactitude et l'intégrité de ces données dans l'optique des pensions. La direction a approuvé cette recommandation.</w:t>
      </w:r>
    </w:p>
    <w:p w:rsidR="00FD67EF" w:rsidRPr="00AB3A23" w:rsidRDefault="006C45CB" w:rsidP="006C45CB">
      <w:pPr>
        <w:pStyle w:val="enumlev1"/>
        <w:rPr>
          <w:rFonts w:asciiTheme="minorHAnsi" w:hAnsiTheme="minorHAnsi"/>
          <w:lang w:val="fr-CH"/>
        </w:rPr>
      </w:pPr>
      <w:r>
        <w:rPr>
          <w:rFonts w:asciiTheme="minorHAnsi" w:hAnsiTheme="minorHAnsi"/>
          <w:lang w:val="fr-CH"/>
        </w:rPr>
        <w:t>v)</w:t>
      </w:r>
      <w:r>
        <w:rPr>
          <w:rFonts w:asciiTheme="minorHAnsi" w:hAnsiTheme="minorHAnsi"/>
          <w:lang w:val="fr-CH"/>
        </w:rPr>
        <w:tab/>
      </w:r>
      <w:r w:rsidR="00FD67EF">
        <w:rPr>
          <w:rFonts w:asciiTheme="minorHAnsi" w:hAnsiTheme="minorHAnsi"/>
          <w:lang w:val="fr-CH"/>
        </w:rPr>
        <w:t xml:space="preserve">Le calcul par les fonctionnaires des contributions pour validation et restauration de service a été </w:t>
      </w:r>
      <w:r w:rsidR="00FD67EF" w:rsidRPr="006C45CB">
        <w:rPr>
          <w:lang w:val="fr-CH"/>
        </w:rPr>
        <w:t>effectué</w:t>
      </w:r>
      <w:r w:rsidR="00FD67EF">
        <w:rPr>
          <w:rFonts w:asciiTheme="minorHAnsi" w:hAnsiTheme="minorHAnsi"/>
          <w:lang w:val="fr-CH"/>
        </w:rPr>
        <w:t xml:space="preserve"> de manière appropriée; dans certains cas, toutefois, des retards importants ont été relevés, au-delà du délai réglementaire de 90 jours. Il a été recommandé de ne pas accorder de traitement exceptionnel pour ce qui est des retards et des modalités</w:t>
      </w:r>
      <w:r w:rsidR="00FD67EF" w:rsidRPr="00AB3A23">
        <w:rPr>
          <w:rFonts w:asciiTheme="minorHAnsi" w:hAnsiTheme="minorHAnsi"/>
          <w:lang w:val="fr-CH"/>
        </w:rPr>
        <w:t xml:space="preserve"> de remboursement. La direction a approuvé cette recommandation.</w:t>
      </w:r>
    </w:p>
    <w:p w:rsidR="00FD67EF" w:rsidRDefault="00F1503A" w:rsidP="00F1503A">
      <w:pPr>
        <w:pStyle w:val="Niormal"/>
      </w:pPr>
      <w:r>
        <w:t>19</w:t>
      </w:r>
      <w:r>
        <w:tab/>
      </w:r>
      <w:r w:rsidR="00FD67EF" w:rsidRPr="00AB3A23">
        <w:t xml:space="preserve">En </w:t>
      </w:r>
      <w:r w:rsidR="00FD67EF" w:rsidRPr="00AB3A23">
        <w:rPr>
          <w:u w:val="single"/>
        </w:rPr>
        <w:t>conclusion</w:t>
      </w:r>
      <w:r w:rsidR="00FD67EF">
        <w:t>, d'une manière générale</w:t>
      </w:r>
      <w:r w:rsidR="00FD67EF" w:rsidRPr="00AB3A23">
        <w:t xml:space="preserve">, une assurance raisonnable </w:t>
      </w:r>
      <w:r w:rsidR="00FD67EF">
        <w:t>a été fournie sur le</w:t>
      </w:r>
      <w:r w:rsidR="00FD67EF" w:rsidRPr="00AB3A23">
        <w:t xml:space="preserve"> fait que les processus en place </w:t>
      </w:r>
      <w:r w:rsidR="00FD67EF">
        <w:t>offr</w:t>
      </w:r>
      <w:r w:rsidR="00FD67EF" w:rsidRPr="00AB3A23">
        <w:t xml:space="preserve">ent des garanties suffisantes </w:t>
      </w:r>
      <w:r w:rsidR="00FD67EF">
        <w:t>pour ce qui est</w:t>
      </w:r>
      <w:r w:rsidR="00FD67EF" w:rsidRPr="00AB3A23">
        <w:t xml:space="preserve"> </w:t>
      </w:r>
      <w:r w:rsidR="00FD67EF">
        <w:t>d</w:t>
      </w:r>
      <w:r w:rsidR="00FD67EF" w:rsidRPr="00AB3A23">
        <w:t>es responsabilités de l'UIT et de</w:t>
      </w:r>
      <w:r w:rsidR="00FD67EF">
        <w:t xml:space="preserve"> se</w:t>
      </w:r>
      <w:r w:rsidR="00FD67EF" w:rsidRPr="00AB3A23">
        <w:t xml:space="preserve">s </w:t>
      </w:r>
      <w:r w:rsidR="00FD67EF">
        <w:t>fonctionnaires vis-à-vis de la Caisse commune des pensions du personnel des Nations Unies.</w:t>
      </w:r>
    </w:p>
    <w:p w:rsidR="00E3346A" w:rsidRPr="008E39DF" w:rsidRDefault="00E3346A" w:rsidP="00996C81">
      <w:pPr>
        <w:pStyle w:val="Headingb"/>
        <w:rPr>
          <w:lang w:val="fr-CH"/>
        </w:rPr>
      </w:pPr>
      <w:r>
        <w:rPr>
          <w:lang w:val="fr-CH"/>
        </w:rPr>
        <w:t>D</w:t>
      </w:r>
      <w:r w:rsidR="00996C81">
        <w:rPr>
          <w:lang w:val="fr-CH"/>
        </w:rPr>
        <w:tab/>
      </w:r>
      <w:r w:rsidRPr="008E39DF">
        <w:rPr>
          <w:lang w:val="fr-CH"/>
        </w:rPr>
        <w:t xml:space="preserve">Audit du </w:t>
      </w:r>
      <w:r>
        <w:rPr>
          <w:lang w:val="fr-CH"/>
        </w:rPr>
        <w:t>B</w:t>
      </w:r>
      <w:r w:rsidRPr="008E39DF">
        <w:rPr>
          <w:lang w:val="fr-CH"/>
        </w:rPr>
        <w:t xml:space="preserve">ureau régional et du </w:t>
      </w:r>
      <w:r>
        <w:rPr>
          <w:lang w:val="fr-CH"/>
        </w:rPr>
        <w:t>B</w:t>
      </w:r>
      <w:r w:rsidRPr="008E39DF">
        <w:rPr>
          <w:lang w:val="fr-CH"/>
        </w:rPr>
        <w:t xml:space="preserve">ureau de zone pour la région </w:t>
      </w:r>
      <w:r>
        <w:rPr>
          <w:lang w:val="fr-CH"/>
        </w:rPr>
        <w:t xml:space="preserve">Afrique </w:t>
      </w:r>
    </w:p>
    <w:p w:rsidR="00E3346A" w:rsidRPr="004D6E18" w:rsidRDefault="00E3346A" w:rsidP="00E3346A">
      <w:pPr>
        <w:rPr>
          <w:lang w:val="fr-CH"/>
        </w:rPr>
      </w:pPr>
      <w:r>
        <w:rPr>
          <w:lang w:val="fr-CH"/>
        </w:rPr>
        <w:t>20</w:t>
      </w:r>
      <w:r>
        <w:rPr>
          <w:lang w:val="fr-CH"/>
        </w:rPr>
        <w:tab/>
        <w:t xml:space="preserve">Les </w:t>
      </w:r>
      <w:r w:rsidRPr="00A04F50">
        <w:rPr>
          <w:u w:val="single"/>
          <w:lang w:val="fr-CH"/>
        </w:rPr>
        <w:t>objectifs</w:t>
      </w:r>
      <w:r>
        <w:rPr>
          <w:lang w:val="fr-CH"/>
        </w:rPr>
        <w:t xml:space="preserve"> de cet audit étaient</w:t>
      </w:r>
      <w:r w:rsidRPr="008E39DF">
        <w:rPr>
          <w:lang w:val="fr-CH"/>
        </w:rPr>
        <w:t xml:space="preserve"> d</w:t>
      </w:r>
      <w:r w:rsidR="00D3323B">
        <w:rPr>
          <w:lang w:val="fr-CH"/>
        </w:rPr>
        <w:t>'</w:t>
      </w:r>
      <w:r w:rsidRPr="008E39DF">
        <w:rPr>
          <w:lang w:val="fr-CH"/>
        </w:rPr>
        <w:t xml:space="preserve">évaluer les contrôles internes en place dans le Bureau régional à Addis-Abeba, </w:t>
      </w:r>
      <w:r>
        <w:rPr>
          <w:lang w:val="fr-CH"/>
        </w:rPr>
        <w:t>E</w:t>
      </w:r>
      <w:r w:rsidRPr="008E39DF">
        <w:rPr>
          <w:lang w:val="fr-CH"/>
        </w:rPr>
        <w:t xml:space="preserve">thiopie (AFR/RO/ADD) et le Bureau de zone </w:t>
      </w:r>
      <w:r>
        <w:rPr>
          <w:lang w:val="fr-CH"/>
        </w:rPr>
        <w:t xml:space="preserve">à </w:t>
      </w:r>
      <w:r w:rsidRPr="008E39DF">
        <w:rPr>
          <w:lang w:val="fr-CH"/>
        </w:rPr>
        <w:t>Harare, Zimbabwe (AFR/AO/HAR)</w:t>
      </w:r>
      <w:r>
        <w:rPr>
          <w:lang w:val="fr-CH"/>
        </w:rPr>
        <w:t xml:space="preserve"> pour la région Afrique,</w:t>
      </w:r>
      <w:r w:rsidRPr="008E39DF">
        <w:rPr>
          <w:lang w:val="fr-CH"/>
        </w:rPr>
        <w:t xml:space="preserve"> d'examiner si les règlements et règles applicables étaient appropriés, de vérifier la conformité de certaines transactions avec les politiques et procédures applicables, et de déterminer si les activités examinées étaient conformes aux principes de l'utilisation efficiente, efficace et économique des ressources de l'Union.</w:t>
      </w:r>
      <w:r>
        <w:rPr>
          <w:lang w:val="fr-CH"/>
        </w:rPr>
        <w:t xml:space="preserve"> Le </w:t>
      </w:r>
      <w:r w:rsidRPr="00D3323B">
        <w:rPr>
          <w:u w:val="single"/>
          <w:lang w:val="fr-CH"/>
        </w:rPr>
        <w:t>champ</w:t>
      </w:r>
      <w:r>
        <w:rPr>
          <w:lang w:val="fr-CH"/>
        </w:rPr>
        <w:t xml:space="preserve"> de l</w:t>
      </w:r>
      <w:r w:rsidR="00D3323B">
        <w:rPr>
          <w:lang w:val="fr-CH"/>
        </w:rPr>
        <w:t>'</w:t>
      </w:r>
      <w:r>
        <w:rPr>
          <w:lang w:val="fr-CH"/>
        </w:rPr>
        <w:t>audit couvrait la période allant de janvier 2012 à septembre 2014</w:t>
      </w:r>
      <w:r w:rsidRPr="008E39DF">
        <w:rPr>
          <w:lang w:val="fr-CH"/>
        </w:rPr>
        <w:t xml:space="preserve">. </w:t>
      </w:r>
      <w:r w:rsidRPr="004D6E18">
        <w:rPr>
          <w:lang w:val="fr-CH"/>
        </w:rPr>
        <w:t>L</w:t>
      </w:r>
      <w:r w:rsidR="00D3323B">
        <w:rPr>
          <w:lang w:val="fr-CH"/>
        </w:rPr>
        <w:t>'</w:t>
      </w:r>
      <w:r w:rsidRPr="004D6E18">
        <w:rPr>
          <w:lang w:val="fr-CH"/>
        </w:rPr>
        <w:t xml:space="preserve">audit interne </w:t>
      </w:r>
      <w:r>
        <w:rPr>
          <w:lang w:val="fr-CH"/>
        </w:rPr>
        <w:t>incluait</w:t>
      </w:r>
      <w:r w:rsidRPr="004D6E18">
        <w:rPr>
          <w:lang w:val="fr-CH"/>
        </w:rPr>
        <w:t xml:space="preserve"> déjà l</w:t>
      </w:r>
      <w:r w:rsidR="00D3323B">
        <w:rPr>
          <w:lang w:val="fr-CH"/>
        </w:rPr>
        <w:t>'</w:t>
      </w:r>
      <w:r w:rsidRPr="004D6E18">
        <w:rPr>
          <w:lang w:val="fr-CH"/>
        </w:rPr>
        <w:t>examen de certains documents du Bureau de zone de Dakar, Sénégal (AFR/AO/DAK)</w:t>
      </w:r>
      <w:r w:rsidR="00B70684">
        <w:rPr>
          <w:lang w:val="fr-CH"/>
        </w:rPr>
        <w:t>,</w:t>
      </w:r>
      <w:r w:rsidRPr="004D6E18">
        <w:rPr>
          <w:lang w:val="fr-CH"/>
        </w:rPr>
        <w:t xml:space="preserve"> et du Bureau de zone de Yaoundé, Cameroun (AFR/AO/YAO)</w:t>
      </w:r>
      <w:r w:rsidR="00B70684">
        <w:rPr>
          <w:lang w:val="fr-CH"/>
        </w:rPr>
        <w:t>,</w:t>
      </w:r>
      <w:r w:rsidRPr="004D6E18">
        <w:rPr>
          <w:lang w:val="fr-CH"/>
        </w:rPr>
        <w:t xml:space="preserve"> </w:t>
      </w:r>
      <w:r>
        <w:rPr>
          <w:lang w:val="fr-CH"/>
        </w:rPr>
        <w:t>chaque fois qu'il était facile de se procurer ces documents auprès du siège de l</w:t>
      </w:r>
      <w:r w:rsidR="00D3323B">
        <w:rPr>
          <w:lang w:val="fr-CH"/>
        </w:rPr>
        <w:t>'</w:t>
      </w:r>
      <w:r>
        <w:rPr>
          <w:lang w:val="fr-CH"/>
        </w:rPr>
        <w:t xml:space="preserve">UIT </w:t>
      </w:r>
      <w:r w:rsidRPr="004D6E18">
        <w:rPr>
          <w:lang w:val="fr-CH"/>
        </w:rPr>
        <w:t>(ITU/HQ),</w:t>
      </w:r>
      <w:r>
        <w:rPr>
          <w:lang w:val="fr-CH"/>
        </w:rPr>
        <w:t xml:space="preserve"> par exemple les registres de petite caisse, les accords de pays hôte,</w:t>
      </w:r>
      <w:r w:rsidRPr="004D6E18">
        <w:rPr>
          <w:lang w:val="fr-CH"/>
        </w:rPr>
        <w:t xml:space="preserve"> etc.</w:t>
      </w:r>
      <w:r>
        <w:rPr>
          <w:lang w:val="fr-CH"/>
        </w:rPr>
        <w:t xml:space="preserve"> Il a toutefois été décidé de procéder à l</w:t>
      </w:r>
      <w:r w:rsidR="00D3323B">
        <w:rPr>
          <w:lang w:val="fr-CH"/>
        </w:rPr>
        <w:t>'</w:t>
      </w:r>
      <w:r>
        <w:rPr>
          <w:lang w:val="fr-CH"/>
        </w:rPr>
        <w:t xml:space="preserve">audit du Bureau de zone </w:t>
      </w:r>
      <w:r w:rsidRPr="004D6E18">
        <w:rPr>
          <w:lang w:val="fr-CH"/>
        </w:rPr>
        <w:t xml:space="preserve">AFR/AO/DAK </w:t>
      </w:r>
      <w:r>
        <w:rPr>
          <w:lang w:val="fr-CH"/>
        </w:rPr>
        <w:t>et du Bureau de zone</w:t>
      </w:r>
      <w:r w:rsidRPr="004D6E18">
        <w:rPr>
          <w:lang w:val="fr-CH"/>
        </w:rPr>
        <w:t xml:space="preserve"> AFR/AO/YAO </w:t>
      </w:r>
      <w:r>
        <w:rPr>
          <w:lang w:val="fr-CH"/>
        </w:rPr>
        <w:t>ultérieurement</w:t>
      </w:r>
      <w:r w:rsidRPr="004D6E18">
        <w:rPr>
          <w:lang w:val="fr-CH"/>
        </w:rPr>
        <w:t>.</w:t>
      </w:r>
    </w:p>
    <w:p w:rsidR="00E3346A" w:rsidRPr="004D6E18" w:rsidRDefault="008E6FF7" w:rsidP="00654C88">
      <w:pPr>
        <w:keepNext/>
        <w:keepLines/>
        <w:rPr>
          <w:lang w:val="fr-CH"/>
        </w:rPr>
      </w:pPr>
      <w:r>
        <w:rPr>
          <w:lang w:val="fr-CH"/>
        </w:rPr>
        <w:t>2</w:t>
      </w:r>
      <w:r w:rsidR="00674E05">
        <w:rPr>
          <w:lang w:val="fr-CH"/>
        </w:rPr>
        <w:t>1</w:t>
      </w:r>
      <w:r>
        <w:rPr>
          <w:lang w:val="fr-CH"/>
        </w:rPr>
        <w:tab/>
        <w:t>O</w:t>
      </w:r>
      <w:r w:rsidR="00E3346A" w:rsidRPr="004D6E18">
        <w:rPr>
          <w:lang w:val="fr-CH"/>
        </w:rPr>
        <w:t>bservations de l</w:t>
      </w:r>
      <w:r w:rsidR="00D3323B">
        <w:rPr>
          <w:lang w:val="fr-CH"/>
        </w:rPr>
        <w:t>'</w:t>
      </w:r>
      <w:r w:rsidR="00654C88">
        <w:rPr>
          <w:lang w:val="fr-CH"/>
        </w:rPr>
        <w:t>Unité de l'audit interne</w:t>
      </w:r>
      <w:r w:rsidR="00E3346A" w:rsidRPr="004D6E18">
        <w:rPr>
          <w:lang w:val="fr-CH"/>
        </w:rPr>
        <w:t xml:space="preserve">, recommandations hautement prioritaires et </w:t>
      </w:r>
      <w:r w:rsidR="00E3346A">
        <w:rPr>
          <w:lang w:val="fr-CH"/>
        </w:rPr>
        <w:t>commentaires de la direction</w:t>
      </w:r>
      <w:r w:rsidR="00E3346A" w:rsidRPr="004D6E18">
        <w:rPr>
          <w:lang w:val="fr-CH"/>
        </w:rPr>
        <w:t>:</w:t>
      </w:r>
    </w:p>
    <w:p w:rsidR="00E3346A" w:rsidRPr="008A6DBA" w:rsidRDefault="008E6FF7" w:rsidP="004C1265">
      <w:pPr>
        <w:pStyle w:val="enumlev1"/>
        <w:rPr>
          <w:lang w:val="fr-CH"/>
        </w:rPr>
      </w:pPr>
      <w:r>
        <w:rPr>
          <w:lang w:val="fr-CH"/>
        </w:rPr>
        <w:t>i)</w:t>
      </w:r>
      <w:r>
        <w:rPr>
          <w:lang w:val="fr-CH"/>
        </w:rPr>
        <w:tab/>
      </w:r>
      <w:r w:rsidR="00B70684" w:rsidRPr="004D6E18">
        <w:rPr>
          <w:lang w:val="fr-CH"/>
        </w:rPr>
        <w:t>L</w:t>
      </w:r>
      <w:r w:rsidR="00E3346A" w:rsidRPr="004D6E18">
        <w:rPr>
          <w:lang w:val="fr-CH"/>
        </w:rPr>
        <w:t xml:space="preserve">a liste des fonctionnaires du Bureau </w:t>
      </w:r>
      <w:r w:rsidR="004C1265">
        <w:rPr>
          <w:lang w:val="fr-CH"/>
        </w:rPr>
        <w:t>de zone</w:t>
      </w:r>
      <w:r w:rsidR="00E3346A" w:rsidRPr="004D6E18">
        <w:rPr>
          <w:lang w:val="fr-CH"/>
        </w:rPr>
        <w:t xml:space="preserve"> (AFR/AO/HAR)</w:t>
      </w:r>
      <w:r w:rsidR="00E3346A">
        <w:rPr>
          <w:lang w:val="fr-CH"/>
        </w:rPr>
        <w:t xml:space="preserve"> autorisés à signer </w:t>
      </w:r>
      <w:r w:rsidR="00E3346A" w:rsidRPr="004D6E18">
        <w:rPr>
          <w:lang w:val="fr-CH"/>
        </w:rPr>
        <w:t>n</w:t>
      </w:r>
      <w:r w:rsidR="00D3323B">
        <w:rPr>
          <w:lang w:val="fr-CH"/>
        </w:rPr>
        <w:t>'</w:t>
      </w:r>
      <w:r w:rsidR="00E3346A" w:rsidRPr="004D6E18">
        <w:rPr>
          <w:lang w:val="fr-CH"/>
        </w:rPr>
        <w:t xml:space="preserve">était pas à jour et il a été recommandé </w:t>
      </w:r>
      <w:r w:rsidR="00E3346A">
        <w:rPr>
          <w:lang w:val="fr-CH"/>
        </w:rPr>
        <w:t>de mettre cette liste en conformité avec le Règlement financier et les Règles financières de l</w:t>
      </w:r>
      <w:r w:rsidR="00D3323B">
        <w:rPr>
          <w:lang w:val="fr-CH"/>
        </w:rPr>
        <w:t>'</w:t>
      </w:r>
      <w:r w:rsidR="00E3346A">
        <w:rPr>
          <w:lang w:val="fr-CH"/>
        </w:rPr>
        <w:t xml:space="preserve">UIT. </w:t>
      </w:r>
      <w:r w:rsidR="00E3346A" w:rsidRPr="004D6E18">
        <w:rPr>
          <w:lang w:val="fr-CH"/>
        </w:rPr>
        <w:t xml:space="preserve">La direction a indiqué que </w:t>
      </w:r>
      <w:r w:rsidR="00B70684">
        <w:rPr>
          <w:lang w:val="fr-CH"/>
        </w:rPr>
        <w:t xml:space="preserve">la </w:t>
      </w:r>
      <w:r w:rsidR="00E3346A" w:rsidRPr="004D6E18">
        <w:rPr>
          <w:lang w:val="fr-CH"/>
        </w:rPr>
        <w:t>question</w:t>
      </w:r>
      <w:r w:rsidR="00E3346A">
        <w:rPr>
          <w:lang w:val="fr-CH"/>
        </w:rPr>
        <w:t xml:space="preserve"> était </w:t>
      </w:r>
      <w:r w:rsidR="00E3346A" w:rsidRPr="004D6E18">
        <w:rPr>
          <w:lang w:val="fr-CH"/>
        </w:rPr>
        <w:t>en cours de traitement.</w:t>
      </w:r>
    </w:p>
    <w:p w:rsidR="00E3346A" w:rsidRPr="002F2331" w:rsidRDefault="008E6FF7" w:rsidP="004C1265">
      <w:pPr>
        <w:pStyle w:val="enumlev1"/>
      </w:pPr>
      <w:r>
        <w:rPr>
          <w:lang w:val="fr-CH"/>
        </w:rPr>
        <w:t>ii)</w:t>
      </w:r>
      <w:r>
        <w:rPr>
          <w:lang w:val="fr-CH"/>
        </w:rPr>
        <w:tab/>
      </w:r>
      <w:r w:rsidR="004C1265">
        <w:rPr>
          <w:lang w:val="fr-CH"/>
        </w:rPr>
        <w:t>L'audit a montré qu'il</w:t>
      </w:r>
      <w:r w:rsidR="00E3346A" w:rsidRPr="008A6DBA">
        <w:rPr>
          <w:lang w:val="fr-CH"/>
        </w:rPr>
        <w:t xml:space="preserve"> n</w:t>
      </w:r>
      <w:r w:rsidR="00D3323B">
        <w:rPr>
          <w:lang w:val="fr-CH"/>
        </w:rPr>
        <w:t>'</w:t>
      </w:r>
      <w:r w:rsidR="00E3346A" w:rsidRPr="008A6DBA">
        <w:rPr>
          <w:lang w:val="fr-CH"/>
        </w:rPr>
        <w:t>existait pas d</w:t>
      </w:r>
      <w:r w:rsidR="00D3323B">
        <w:rPr>
          <w:lang w:val="fr-CH"/>
        </w:rPr>
        <w:t>'</w:t>
      </w:r>
      <w:r w:rsidR="00E3346A" w:rsidRPr="008A6DBA">
        <w:rPr>
          <w:lang w:val="fr-CH"/>
        </w:rPr>
        <w:t>approche harmonisée en ce qui concerne l</w:t>
      </w:r>
      <w:r w:rsidR="00D3323B">
        <w:rPr>
          <w:lang w:val="fr-CH"/>
        </w:rPr>
        <w:t>'</w:t>
      </w:r>
      <w:r w:rsidR="00E3346A" w:rsidRPr="008A6DBA">
        <w:rPr>
          <w:lang w:val="fr-CH"/>
        </w:rPr>
        <w:t>utilisation de la petite caisse et</w:t>
      </w:r>
      <w:r w:rsidR="004C1265">
        <w:rPr>
          <w:lang w:val="fr-CH"/>
        </w:rPr>
        <w:t xml:space="preserve"> l'établissement de</w:t>
      </w:r>
      <w:r w:rsidR="00E3346A" w:rsidRPr="008A6DBA">
        <w:rPr>
          <w:lang w:val="fr-CH"/>
        </w:rPr>
        <w:t xml:space="preserve"> rapports en la matière et il a été recommandé </w:t>
      </w:r>
      <w:r w:rsidR="00E3346A">
        <w:rPr>
          <w:lang w:val="fr-CH"/>
        </w:rPr>
        <w:t xml:space="preserve">de mettre en place une approche commune pour tous les bureaux. </w:t>
      </w:r>
      <w:r w:rsidR="00E3346A" w:rsidRPr="008A6DBA">
        <w:rPr>
          <w:lang w:val="fr-CH"/>
        </w:rPr>
        <w:t>La direction a in</w:t>
      </w:r>
      <w:r w:rsidR="004C1265">
        <w:rPr>
          <w:lang w:val="fr-CH"/>
        </w:rPr>
        <w:t xml:space="preserve">diqué </w:t>
      </w:r>
      <w:r w:rsidR="004C1265">
        <w:rPr>
          <w:lang w:val="fr-CH"/>
        </w:rPr>
        <w:lastRenderedPageBreak/>
        <w:t>qu</w:t>
      </w:r>
      <w:r w:rsidR="00D3323B">
        <w:rPr>
          <w:lang w:val="fr-CH"/>
        </w:rPr>
        <w:t>'</w:t>
      </w:r>
      <w:r w:rsidR="004C1265">
        <w:rPr>
          <w:lang w:val="fr-CH"/>
        </w:rPr>
        <w:t>elle avait commencé à examiner</w:t>
      </w:r>
      <w:r w:rsidR="00E3346A" w:rsidRPr="008A6DBA">
        <w:rPr>
          <w:lang w:val="fr-CH"/>
        </w:rPr>
        <w:t xml:space="preserve"> cette question et qu</w:t>
      </w:r>
      <w:r w:rsidR="004C1265">
        <w:rPr>
          <w:lang w:val="fr-CH"/>
        </w:rPr>
        <w:t>e cet examen se poursuivrait</w:t>
      </w:r>
      <w:r w:rsidR="00D3323B">
        <w:rPr>
          <w:lang w:val="fr-CH"/>
        </w:rPr>
        <w:t xml:space="preserve"> en 2015.</w:t>
      </w:r>
    </w:p>
    <w:p w:rsidR="00E3346A" w:rsidRPr="008A6DBA" w:rsidRDefault="008E6FF7" w:rsidP="000223DC">
      <w:pPr>
        <w:pStyle w:val="enumlev1"/>
        <w:rPr>
          <w:lang w:val="fr-CH"/>
        </w:rPr>
      </w:pPr>
      <w:r>
        <w:rPr>
          <w:lang w:val="fr-CH"/>
        </w:rPr>
        <w:t>iii)</w:t>
      </w:r>
      <w:r>
        <w:rPr>
          <w:lang w:val="fr-CH"/>
        </w:rPr>
        <w:tab/>
      </w:r>
      <w:r w:rsidR="00E3346A" w:rsidRPr="008A6DBA">
        <w:rPr>
          <w:lang w:val="fr-CH"/>
        </w:rPr>
        <w:t xml:space="preserve">Plusieurs failles de sécurité ont été </w:t>
      </w:r>
      <w:r w:rsidR="000223DC">
        <w:rPr>
          <w:lang w:val="fr-CH"/>
        </w:rPr>
        <w:t>constatées</w:t>
      </w:r>
      <w:r w:rsidR="00E3346A" w:rsidRPr="008A6DBA">
        <w:rPr>
          <w:lang w:val="fr-CH"/>
        </w:rPr>
        <w:t xml:space="preserve"> dans les locaux des bureaux régionaux et des bureaux de zone qui ont été visités et il a été recommandé de remédier </w:t>
      </w:r>
      <w:r w:rsidR="00E3346A">
        <w:rPr>
          <w:lang w:val="fr-CH"/>
        </w:rPr>
        <w:t xml:space="preserve">à ces failles et de respecter les normes pertinentes de sécurité des Nations Unies. </w:t>
      </w:r>
      <w:r w:rsidR="00E3346A" w:rsidRPr="008A6DBA">
        <w:rPr>
          <w:lang w:val="fr-CH"/>
        </w:rPr>
        <w:t xml:space="preserve">La direction a indiqué que les travaux en la matière avaient commencé en collaboration avec les divisions </w:t>
      </w:r>
      <w:r w:rsidR="000223DC">
        <w:rPr>
          <w:lang w:val="fr-CH"/>
        </w:rPr>
        <w:t xml:space="preserve">concernées </w:t>
      </w:r>
      <w:r w:rsidR="00E3346A" w:rsidRPr="008A6DBA">
        <w:rPr>
          <w:lang w:val="fr-CH"/>
        </w:rPr>
        <w:t>au siège de l</w:t>
      </w:r>
      <w:r w:rsidR="00D3323B">
        <w:rPr>
          <w:lang w:val="fr-CH"/>
        </w:rPr>
        <w:t>'</w:t>
      </w:r>
      <w:r w:rsidR="00E3346A" w:rsidRPr="008A6DBA">
        <w:rPr>
          <w:lang w:val="fr-CH"/>
        </w:rPr>
        <w:t>UIT.</w:t>
      </w:r>
    </w:p>
    <w:p w:rsidR="00E3346A" w:rsidRPr="008A6DBA" w:rsidRDefault="008E6FF7" w:rsidP="00674E05">
      <w:pPr>
        <w:pStyle w:val="enumlev1"/>
        <w:rPr>
          <w:lang w:val="fr-CH"/>
        </w:rPr>
      </w:pPr>
      <w:r>
        <w:rPr>
          <w:lang w:val="fr-CH"/>
        </w:rPr>
        <w:t>iv)</w:t>
      </w:r>
      <w:r>
        <w:rPr>
          <w:lang w:val="fr-CH"/>
        </w:rPr>
        <w:tab/>
      </w:r>
      <w:r w:rsidR="000223DC">
        <w:rPr>
          <w:lang w:val="fr-CH"/>
        </w:rPr>
        <w:t xml:space="preserve">L'audit a fait apparaître d'autres sujets de </w:t>
      </w:r>
      <w:r w:rsidR="00D3323B">
        <w:rPr>
          <w:lang w:val="fr-CH"/>
        </w:rPr>
        <w:t>préoccupation</w:t>
      </w:r>
      <w:r w:rsidR="000223DC">
        <w:rPr>
          <w:lang w:val="fr-CH"/>
        </w:rPr>
        <w:t xml:space="preserve"> comme</w:t>
      </w:r>
      <w:r w:rsidR="00E3346A" w:rsidRPr="008A6DBA">
        <w:rPr>
          <w:lang w:val="fr-CH"/>
        </w:rPr>
        <w:t xml:space="preserve"> la gestion des actifs et la gestion des projets</w:t>
      </w:r>
      <w:r w:rsidR="00E3346A">
        <w:rPr>
          <w:lang w:val="fr-CH"/>
        </w:rPr>
        <w:t xml:space="preserve"> </w:t>
      </w:r>
      <w:r w:rsidR="000223DC">
        <w:rPr>
          <w:lang w:val="fr-CH"/>
        </w:rPr>
        <w:t>pour lesquels</w:t>
      </w:r>
      <w:r w:rsidR="00E3346A">
        <w:rPr>
          <w:lang w:val="fr-CH"/>
        </w:rPr>
        <w:t xml:space="preserve"> des recommandations ont été formulées </w:t>
      </w:r>
      <w:r w:rsidR="000223DC">
        <w:rPr>
          <w:lang w:val="fr-CH"/>
        </w:rPr>
        <w:t>dans le but de trouver une solution à ces problèmes</w:t>
      </w:r>
      <w:r w:rsidR="00E3346A">
        <w:rPr>
          <w:lang w:val="fr-CH"/>
        </w:rPr>
        <w:t xml:space="preserve">. </w:t>
      </w:r>
      <w:r w:rsidR="00E3346A" w:rsidRPr="008A6DBA">
        <w:rPr>
          <w:lang w:val="fr-CH"/>
        </w:rPr>
        <w:t>La direction a indiqué qu</w:t>
      </w:r>
      <w:r w:rsidR="00D3323B">
        <w:rPr>
          <w:lang w:val="fr-CH"/>
        </w:rPr>
        <w:t>'</w:t>
      </w:r>
      <w:r w:rsidR="00E3346A" w:rsidRPr="008A6DBA">
        <w:rPr>
          <w:lang w:val="fr-CH"/>
        </w:rPr>
        <w:t xml:space="preserve">elle souscrivait aux recommandations et </w:t>
      </w:r>
      <w:r w:rsidR="00674E05">
        <w:rPr>
          <w:lang w:val="fr-CH"/>
        </w:rPr>
        <w:t>a précisé</w:t>
      </w:r>
      <w:r w:rsidR="00E3346A" w:rsidRPr="008A6DBA">
        <w:rPr>
          <w:lang w:val="fr-CH"/>
        </w:rPr>
        <w:t xml:space="preserve"> que </w:t>
      </w:r>
      <w:r w:rsidR="00E3346A">
        <w:rPr>
          <w:lang w:val="fr-CH"/>
        </w:rPr>
        <w:t xml:space="preserve">des travaux étaient déjà en cours </w:t>
      </w:r>
      <w:r w:rsidR="00674E05">
        <w:rPr>
          <w:lang w:val="fr-CH"/>
        </w:rPr>
        <w:t>ou qu'elle sollicitait des</w:t>
      </w:r>
      <w:r w:rsidR="00E3346A">
        <w:rPr>
          <w:lang w:val="fr-CH"/>
        </w:rPr>
        <w:t xml:space="preserve"> précisions ou des avis supplémentaire</w:t>
      </w:r>
      <w:r w:rsidR="00674E05">
        <w:rPr>
          <w:lang w:val="fr-CH"/>
        </w:rPr>
        <w:t>s</w:t>
      </w:r>
      <w:r w:rsidR="00E3346A" w:rsidRPr="008A6DBA">
        <w:rPr>
          <w:rFonts w:cs="Helvetica"/>
          <w:lang w:val="fr-CH"/>
        </w:rPr>
        <w:t>.</w:t>
      </w:r>
    </w:p>
    <w:p w:rsidR="00E3346A" w:rsidRPr="008A6DBA" w:rsidRDefault="007145F9" w:rsidP="00E72677">
      <w:pPr>
        <w:rPr>
          <w:lang w:val="fr-CH"/>
        </w:rPr>
      </w:pPr>
      <w:r>
        <w:rPr>
          <w:lang w:val="fr-CH"/>
        </w:rPr>
        <w:t>22</w:t>
      </w:r>
      <w:r>
        <w:rPr>
          <w:lang w:val="fr-CH"/>
        </w:rPr>
        <w:tab/>
      </w:r>
      <w:r w:rsidR="00E3346A" w:rsidRPr="008A6DBA">
        <w:rPr>
          <w:lang w:val="fr-CH"/>
        </w:rPr>
        <w:t xml:space="preserve">En </w:t>
      </w:r>
      <w:r w:rsidR="00E3346A" w:rsidRPr="00E72677">
        <w:rPr>
          <w:u w:val="single"/>
          <w:lang w:val="fr-CH"/>
        </w:rPr>
        <w:t>conclusion</w:t>
      </w:r>
      <w:r w:rsidR="00E3346A" w:rsidRPr="008A6DBA">
        <w:rPr>
          <w:lang w:val="fr-CH"/>
        </w:rPr>
        <w:t>, d</w:t>
      </w:r>
      <w:r w:rsidR="00D3323B">
        <w:rPr>
          <w:lang w:val="fr-CH"/>
        </w:rPr>
        <w:t>'</w:t>
      </w:r>
      <w:r w:rsidR="00E3346A" w:rsidRPr="008A6DBA">
        <w:rPr>
          <w:lang w:val="fr-CH"/>
        </w:rPr>
        <w:t xml:space="preserve">une manière générale, aucun problème </w:t>
      </w:r>
      <w:r w:rsidR="00E3346A">
        <w:rPr>
          <w:lang w:val="fr-CH"/>
        </w:rPr>
        <w:t>critique</w:t>
      </w:r>
      <w:r w:rsidR="00E3346A">
        <w:rPr>
          <w:rStyle w:val="FootnoteReference"/>
          <w:szCs w:val="24"/>
        </w:rPr>
        <w:footnoteReference w:id="4"/>
      </w:r>
      <w:r w:rsidR="00E3346A" w:rsidRPr="008A6DBA">
        <w:rPr>
          <w:lang w:val="fr-CH"/>
        </w:rPr>
        <w:t xml:space="preserve"> </w:t>
      </w:r>
      <w:r w:rsidR="00E3346A">
        <w:rPr>
          <w:lang w:val="fr-CH"/>
        </w:rPr>
        <w:t>n</w:t>
      </w:r>
      <w:r w:rsidR="00D3323B">
        <w:rPr>
          <w:lang w:val="fr-CH"/>
        </w:rPr>
        <w:t>'</w:t>
      </w:r>
      <w:r w:rsidR="00E3346A">
        <w:rPr>
          <w:lang w:val="fr-CH"/>
        </w:rPr>
        <w:t xml:space="preserve">a été </w:t>
      </w:r>
      <w:r w:rsidR="00E72677">
        <w:rPr>
          <w:lang w:val="fr-CH"/>
        </w:rPr>
        <w:t>constaté</w:t>
      </w:r>
      <w:r w:rsidR="00E3346A" w:rsidRPr="008A6DBA">
        <w:rPr>
          <w:lang w:val="fr-CH"/>
        </w:rPr>
        <w:t>. S</w:t>
      </w:r>
      <w:r w:rsidR="00E72677">
        <w:rPr>
          <w:lang w:val="fr-CH"/>
        </w:rPr>
        <w:t>uivant le b</w:t>
      </w:r>
      <w:r w:rsidR="00E3346A" w:rsidRPr="008A6DBA">
        <w:rPr>
          <w:lang w:val="fr-CH"/>
        </w:rPr>
        <w:t>ureau</w:t>
      </w:r>
      <w:r w:rsidR="00E72677">
        <w:rPr>
          <w:lang w:val="fr-CH"/>
        </w:rPr>
        <w:t xml:space="preserve"> concerné</w:t>
      </w:r>
      <w:r w:rsidR="00E3346A" w:rsidRPr="008A6DBA">
        <w:rPr>
          <w:lang w:val="fr-CH"/>
        </w:rPr>
        <w:t xml:space="preserve">, des progrès peuvent encore être accomplis principalement dans les domaines de la sûreté et de la sécurité, de la gestion des transactions bancaires et des paiements en espèces </w:t>
      </w:r>
      <w:r w:rsidR="00E3346A">
        <w:rPr>
          <w:lang w:val="fr-CH"/>
        </w:rPr>
        <w:t>(point sur lequel le siège de l</w:t>
      </w:r>
      <w:r w:rsidR="00D3323B">
        <w:rPr>
          <w:lang w:val="fr-CH"/>
        </w:rPr>
        <w:t>'</w:t>
      </w:r>
      <w:r w:rsidR="00E3346A">
        <w:rPr>
          <w:lang w:val="fr-CH"/>
        </w:rPr>
        <w:t>UIT</w:t>
      </w:r>
      <w:r>
        <w:rPr>
          <w:lang w:val="fr-CH"/>
        </w:rPr>
        <w:t xml:space="preserve"> </w:t>
      </w:r>
      <w:r w:rsidR="00E3346A">
        <w:rPr>
          <w:lang w:val="fr-CH"/>
        </w:rPr>
        <w:t>–</w:t>
      </w:r>
      <w:r>
        <w:rPr>
          <w:lang w:val="fr-CH"/>
        </w:rPr>
        <w:t xml:space="preserve"> </w:t>
      </w:r>
      <w:r w:rsidR="00E3346A">
        <w:rPr>
          <w:lang w:val="fr-CH"/>
        </w:rPr>
        <w:t>en coordination avec les bureaux hors siège</w:t>
      </w:r>
      <w:r>
        <w:rPr>
          <w:lang w:val="fr-CH"/>
        </w:rPr>
        <w:t xml:space="preserve"> </w:t>
      </w:r>
      <w:r w:rsidR="00E3346A">
        <w:rPr>
          <w:lang w:val="fr-CH"/>
        </w:rPr>
        <w:t>–</w:t>
      </w:r>
      <w:r>
        <w:rPr>
          <w:lang w:val="fr-CH"/>
        </w:rPr>
        <w:t xml:space="preserve"> </w:t>
      </w:r>
      <w:r w:rsidR="00E3346A">
        <w:rPr>
          <w:lang w:val="fr-CH"/>
        </w:rPr>
        <w:t xml:space="preserve">a déjà résolu les problèmes) et de la mise en </w:t>
      </w:r>
      <w:r>
        <w:rPr>
          <w:lang w:val="fr-CH"/>
        </w:rPr>
        <w:t>oeuvre</w:t>
      </w:r>
      <w:r w:rsidR="00E3346A">
        <w:rPr>
          <w:lang w:val="fr-CH"/>
        </w:rPr>
        <w:t xml:space="preserve"> des mesures/projets</w:t>
      </w:r>
      <w:r w:rsidR="00E3346A" w:rsidRPr="008A6DBA">
        <w:rPr>
          <w:lang w:val="fr-CH"/>
        </w:rPr>
        <w:t>.</w:t>
      </w:r>
    </w:p>
    <w:p w:rsidR="00E3346A" w:rsidRPr="00E3346A" w:rsidRDefault="003125A2" w:rsidP="00996C81">
      <w:pPr>
        <w:pStyle w:val="Headingb"/>
        <w:rPr>
          <w:lang w:val="fr-CH"/>
        </w:rPr>
      </w:pPr>
      <w:r>
        <w:rPr>
          <w:lang w:val="fr-CH"/>
        </w:rPr>
        <w:t>E</w:t>
      </w:r>
      <w:r>
        <w:rPr>
          <w:lang w:val="fr-CH"/>
        </w:rPr>
        <w:tab/>
      </w:r>
      <w:r w:rsidR="00E3346A" w:rsidRPr="00B525E5">
        <w:rPr>
          <w:lang w:val="fr-CH"/>
        </w:rPr>
        <w:t xml:space="preserve">Audit du système de </w:t>
      </w:r>
      <w:r w:rsidR="00E3346A" w:rsidRPr="00996C81">
        <w:rPr>
          <w:u w:val="single"/>
          <w:lang w:val="fr-CH"/>
        </w:rPr>
        <w:t>gestion des relations avec les clients</w:t>
      </w:r>
      <w:r w:rsidR="00E3346A" w:rsidRPr="00B525E5">
        <w:rPr>
          <w:lang w:val="fr-CH"/>
        </w:rPr>
        <w:t xml:space="preserve"> </w:t>
      </w:r>
      <w:r w:rsidR="00E3346A">
        <w:rPr>
          <w:lang w:val="fr-CH"/>
        </w:rPr>
        <w:t xml:space="preserve">(CRM) du système SAP de planification </w:t>
      </w:r>
      <w:r>
        <w:rPr>
          <w:lang w:val="fr-CH"/>
        </w:rPr>
        <w:t>des ressources de l</w:t>
      </w:r>
      <w:r w:rsidR="00D3323B">
        <w:rPr>
          <w:lang w:val="fr-CH"/>
        </w:rPr>
        <w:t>'</w:t>
      </w:r>
      <w:r>
        <w:rPr>
          <w:lang w:val="fr-CH"/>
        </w:rPr>
        <w:t>entreprise</w:t>
      </w:r>
    </w:p>
    <w:p w:rsidR="00E3346A" w:rsidRPr="00716DE1" w:rsidRDefault="00E72677" w:rsidP="00B70684">
      <w:pPr>
        <w:rPr>
          <w:lang w:val="fr-CH"/>
        </w:rPr>
      </w:pPr>
      <w:r>
        <w:rPr>
          <w:lang w:val="fr-CH"/>
        </w:rPr>
        <w:t>23</w:t>
      </w:r>
      <w:r>
        <w:rPr>
          <w:lang w:val="fr-CH"/>
        </w:rPr>
        <w:tab/>
      </w:r>
      <w:r w:rsidR="00E3346A" w:rsidRPr="00716DE1">
        <w:rPr>
          <w:lang w:val="fr-CH"/>
        </w:rPr>
        <w:t>L</w:t>
      </w:r>
      <w:r>
        <w:rPr>
          <w:lang w:val="fr-CH"/>
        </w:rPr>
        <w:t xml:space="preserve">es principaux </w:t>
      </w:r>
      <w:r w:rsidRPr="00D3323B">
        <w:rPr>
          <w:u w:val="single"/>
          <w:lang w:val="fr-CH"/>
        </w:rPr>
        <w:t>objectifs</w:t>
      </w:r>
      <w:r>
        <w:rPr>
          <w:lang w:val="fr-CH"/>
        </w:rPr>
        <w:t xml:space="preserve"> de cet audit étaient</w:t>
      </w:r>
      <w:r w:rsidR="00E3346A" w:rsidRPr="00716DE1">
        <w:rPr>
          <w:lang w:val="fr-CH"/>
        </w:rPr>
        <w:t xml:space="preserve"> d</w:t>
      </w:r>
      <w:r w:rsidR="00D3323B">
        <w:rPr>
          <w:lang w:val="fr-CH"/>
        </w:rPr>
        <w:t>'</w:t>
      </w:r>
      <w:r w:rsidR="00E3346A" w:rsidRPr="00716DE1">
        <w:rPr>
          <w:lang w:val="fr-CH"/>
        </w:rPr>
        <w:t xml:space="preserve">examiner si les transactions CRM étaient conformes aux </w:t>
      </w:r>
      <w:r w:rsidR="00D3323B" w:rsidRPr="00716DE1">
        <w:rPr>
          <w:lang w:val="fr-CH"/>
        </w:rPr>
        <w:t>R</w:t>
      </w:r>
      <w:r w:rsidR="00E3346A" w:rsidRPr="00716DE1">
        <w:rPr>
          <w:lang w:val="fr-CH"/>
        </w:rPr>
        <w:t>ègles et procédures de l</w:t>
      </w:r>
      <w:r w:rsidR="00D3323B">
        <w:rPr>
          <w:lang w:val="fr-CH"/>
        </w:rPr>
        <w:t>'</w:t>
      </w:r>
      <w:r w:rsidR="00E3346A" w:rsidRPr="00716DE1">
        <w:rPr>
          <w:lang w:val="fr-CH"/>
        </w:rPr>
        <w:t>UIT et d</w:t>
      </w:r>
      <w:r w:rsidR="00D3323B">
        <w:rPr>
          <w:lang w:val="fr-CH"/>
        </w:rPr>
        <w:t>'</w:t>
      </w:r>
      <w:r w:rsidR="00E3346A" w:rsidRPr="00716DE1">
        <w:rPr>
          <w:lang w:val="fr-CH"/>
        </w:rPr>
        <w:t xml:space="preserve">évaluer les </w:t>
      </w:r>
      <w:r>
        <w:rPr>
          <w:lang w:val="fr-CH"/>
        </w:rPr>
        <w:t>conséquences</w:t>
      </w:r>
      <w:r w:rsidR="00E3346A" w:rsidRPr="00716DE1">
        <w:rPr>
          <w:lang w:val="fr-CH"/>
        </w:rPr>
        <w:t xml:space="preserve"> de la gestion CRM</w:t>
      </w:r>
      <w:r w:rsidR="00E3346A">
        <w:rPr>
          <w:lang w:val="fr-CH"/>
        </w:rPr>
        <w:t xml:space="preserve"> sur les activités du </w:t>
      </w:r>
      <w:r w:rsidR="00D3323B">
        <w:rPr>
          <w:lang w:val="fr-CH"/>
        </w:rPr>
        <w:t>S</w:t>
      </w:r>
      <w:r w:rsidR="00E3346A">
        <w:rPr>
          <w:lang w:val="fr-CH"/>
        </w:rPr>
        <w:t>ecrétariat de l</w:t>
      </w:r>
      <w:r w:rsidR="00D3323B">
        <w:rPr>
          <w:lang w:val="fr-CH"/>
        </w:rPr>
        <w:t>'</w:t>
      </w:r>
      <w:r w:rsidR="00E3346A">
        <w:rPr>
          <w:lang w:val="fr-CH"/>
        </w:rPr>
        <w:t xml:space="preserve">UIT. </w:t>
      </w:r>
      <w:r w:rsidR="00E3346A" w:rsidRPr="00716DE1">
        <w:rPr>
          <w:lang w:val="fr-CH"/>
        </w:rPr>
        <w:t>Le champ de l</w:t>
      </w:r>
      <w:r w:rsidR="00D3323B">
        <w:rPr>
          <w:lang w:val="fr-CH"/>
        </w:rPr>
        <w:t>'</w:t>
      </w:r>
      <w:r w:rsidR="00E3346A" w:rsidRPr="00716DE1">
        <w:rPr>
          <w:lang w:val="fr-CH"/>
        </w:rPr>
        <w:t xml:space="preserve">audit </w:t>
      </w:r>
      <w:r>
        <w:rPr>
          <w:lang w:val="fr-CH"/>
        </w:rPr>
        <w:t>incluait</w:t>
      </w:r>
      <w:r w:rsidR="00E3346A" w:rsidRPr="00716DE1">
        <w:rPr>
          <w:lang w:val="fr-CH"/>
        </w:rPr>
        <w:t xml:space="preserve"> la mise en </w:t>
      </w:r>
      <w:r w:rsidR="00E306C2">
        <w:rPr>
          <w:lang w:val="fr-CH"/>
        </w:rPr>
        <w:t>oeuvre</w:t>
      </w:r>
      <w:r w:rsidR="00E3346A" w:rsidRPr="00716DE1">
        <w:rPr>
          <w:lang w:val="fr-CH"/>
        </w:rPr>
        <w:t xml:space="preserve"> du projet CRM </w:t>
      </w:r>
      <w:r>
        <w:rPr>
          <w:lang w:val="fr-CH"/>
        </w:rPr>
        <w:t>pour ce qui est d</w:t>
      </w:r>
      <w:r w:rsidR="00E3346A" w:rsidRPr="00716DE1">
        <w:rPr>
          <w:lang w:val="fr-CH"/>
        </w:rPr>
        <w:t xml:space="preserve">es activités </w:t>
      </w:r>
      <w:r>
        <w:rPr>
          <w:lang w:val="fr-CH"/>
        </w:rPr>
        <w:t xml:space="preserve">entreprises </w:t>
      </w:r>
      <w:r w:rsidR="00E3346A">
        <w:rPr>
          <w:lang w:val="fr-CH"/>
        </w:rPr>
        <w:t>entre janvier 2013 et janvier 2015</w:t>
      </w:r>
      <w:r w:rsidR="00E3346A" w:rsidRPr="00716DE1">
        <w:rPr>
          <w:lang w:val="fr-CH"/>
        </w:rPr>
        <w:t>.</w:t>
      </w:r>
    </w:p>
    <w:p w:rsidR="00E3346A" w:rsidRDefault="00E72677" w:rsidP="00E72677">
      <w:r>
        <w:t>24</w:t>
      </w:r>
      <w:r>
        <w:tab/>
      </w:r>
      <w:r w:rsidR="00E3346A" w:rsidRPr="004D6E18">
        <w:t>Observations de l</w:t>
      </w:r>
      <w:r w:rsidR="00D3323B">
        <w:t>'</w:t>
      </w:r>
      <w:r>
        <w:t>Unité de l'audit interne</w:t>
      </w:r>
      <w:r w:rsidR="00E3346A" w:rsidRPr="004D6E18">
        <w:t xml:space="preserve">, recommandations hautement prioritaires et </w:t>
      </w:r>
      <w:r w:rsidR="00E3346A">
        <w:t>commentaires de la direction</w:t>
      </w:r>
      <w:r w:rsidR="00E3346A" w:rsidRPr="00716DE1">
        <w:t>:</w:t>
      </w:r>
    </w:p>
    <w:p w:rsidR="00E3346A" w:rsidRDefault="00E72677" w:rsidP="00B70684">
      <w:pPr>
        <w:pStyle w:val="enumlev1"/>
        <w:rPr>
          <w:rFonts w:asciiTheme="minorHAnsi" w:hAnsiTheme="minorHAnsi"/>
          <w:lang w:val="fr-CH"/>
        </w:rPr>
      </w:pPr>
      <w:r>
        <w:rPr>
          <w:lang w:val="fr-CH"/>
        </w:rPr>
        <w:t>i)</w:t>
      </w:r>
      <w:r>
        <w:rPr>
          <w:lang w:val="fr-CH"/>
        </w:rPr>
        <w:tab/>
      </w:r>
      <w:r w:rsidR="00B70684">
        <w:rPr>
          <w:lang w:val="fr-CH"/>
        </w:rPr>
        <w:t>L</w:t>
      </w:r>
      <w:r w:rsidR="00D3323B">
        <w:rPr>
          <w:lang w:val="fr-CH"/>
        </w:rPr>
        <w:t>'</w:t>
      </w:r>
      <w:r w:rsidRPr="00E72677">
        <w:rPr>
          <w:lang w:val="fr-CH"/>
        </w:rPr>
        <w:t>Unité de l'audit interne a conclu à l</w:t>
      </w:r>
      <w:r w:rsidR="00D3323B">
        <w:rPr>
          <w:lang w:val="fr-CH"/>
        </w:rPr>
        <w:t>'</w:t>
      </w:r>
      <w:r w:rsidRPr="00E72677">
        <w:rPr>
          <w:lang w:val="fr-CH"/>
        </w:rPr>
        <w:t>issue de l</w:t>
      </w:r>
      <w:r w:rsidR="00D3323B">
        <w:rPr>
          <w:lang w:val="fr-CH"/>
        </w:rPr>
        <w:t>'</w:t>
      </w:r>
      <w:r w:rsidRPr="00E72677">
        <w:rPr>
          <w:lang w:val="fr-CH"/>
        </w:rPr>
        <w:t>audit que la méthod</w:t>
      </w:r>
      <w:r w:rsidR="00A441BA">
        <w:rPr>
          <w:lang w:val="fr-CH"/>
        </w:rPr>
        <w:t>ologie</w:t>
      </w:r>
      <w:r w:rsidRPr="00E72677">
        <w:rPr>
          <w:lang w:val="fr-CH"/>
        </w:rPr>
        <w:t xml:space="preserve"> défini</w:t>
      </w:r>
      <w:r w:rsidR="00A441BA">
        <w:rPr>
          <w:lang w:val="fr-CH"/>
        </w:rPr>
        <w:t>e</w:t>
      </w:r>
      <w:r w:rsidRPr="00E72677">
        <w:rPr>
          <w:lang w:val="fr-CH"/>
        </w:rPr>
        <w:t xml:space="preserve"> dans le projet avait été suivie et mise en </w:t>
      </w:r>
      <w:r>
        <w:rPr>
          <w:lang w:val="fr-CH"/>
        </w:rPr>
        <w:t>oeuvre</w:t>
      </w:r>
      <w:r w:rsidRPr="00E72677">
        <w:rPr>
          <w:lang w:val="fr-CH"/>
        </w:rPr>
        <w:t xml:space="preserve"> correctement. Des retards importants ont toutefois été </w:t>
      </w:r>
      <w:r w:rsidR="00E306C2">
        <w:rPr>
          <w:lang w:val="fr-CH"/>
        </w:rPr>
        <w:t>constatés</w:t>
      </w:r>
      <w:r w:rsidRPr="00E72677">
        <w:rPr>
          <w:lang w:val="fr-CH"/>
        </w:rPr>
        <w:t xml:space="preserve"> au cours de la mise en </w:t>
      </w:r>
      <w:r>
        <w:rPr>
          <w:lang w:val="fr-CH"/>
        </w:rPr>
        <w:t>oeuvr</w:t>
      </w:r>
      <w:r w:rsidRPr="00E72677">
        <w:rPr>
          <w:lang w:val="fr-CH"/>
        </w:rPr>
        <w:t>e mais ces retards ont été régulièrement signalés et</w:t>
      </w:r>
      <w:r>
        <w:rPr>
          <w:lang w:val="fr-CH"/>
        </w:rPr>
        <w:t xml:space="preserve"> </w:t>
      </w:r>
      <w:r w:rsidR="00D3323B">
        <w:rPr>
          <w:lang w:val="fr-CH"/>
        </w:rPr>
        <w:t>suivis par la Commission de direction. L'</w:t>
      </w:r>
      <w:r w:rsidRPr="00E72677">
        <w:rPr>
          <w:lang w:val="fr-CH"/>
        </w:rPr>
        <w:t xml:space="preserve">Unité </w:t>
      </w:r>
      <w:r w:rsidR="00E3346A" w:rsidRPr="00E72677">
        <w:rPr>
          <w:lang w:val="fr-CH"/>
        </w:rPr>
        <w:t>a également noté que la mise</w:t>
      </w:r>
      <w:r w:rsidR="00E3346A" w:rsidRPr="00716DE1">
        <w:rPr>
          <w:rFonts w:asciiTheme="minorHAnsi" w:hAnsiTheme="minorHAnsi"/>
          <w:lang w:val="fr-CH"/>
        </w:rPr>
        <w:t xml:space="preserve"> en </w:t>
      </w:r>
      <w:r w:rsidR="00E306C2">
        <w:rPr>
          <w:rFonts w:asciiTheme="minorHAnsi" w:hAnsiTheme="minorHAnsi"/>
          <w:lang w:val="fr-CH"/>
        </w:rPr>
        <w:t xml:space="preserve">oeuvre </w:t>
      </w:r>
      <w:r w:rsidR="00E3346A" w:rsidRPr="00716DE1">
        <w:rPr>
          <w:rFonts w:asciiTheme="minorHAnsi" w:hAnsiTheme="minorHAnsi"/>
          <w:lang w:val="fr-CH"/>
        </w:rPr>
        <w:t>du projet</w:t>
      </w:r>
      <w:r w:rsidR="00E3346A">
        <w:rPr>
          <w:rFonts w:asciiTheme="minorHAnsi" w:hAnsiTheme="minorHAnsi"/>
          <w:lang w:val="fr-CH"/>
        </w:rPr>
        <w:t xml:space="preserve"> avait été couronnée de succès. </w:t>
      </w:r>
      <w:r w:rsidR="00E306C2">
        <w:rPr>
          <w:rFonts w:asciiTheme="minorHAnsi" w:hAnsiTheme="minorHAnsi"/>
          <w:lang w:val="fr-CH"/>
        </w:rPr>
        <w:t>Elle a par ailleurs</w:t>
      </w:r>
      <w:r w:rsidR="00E3346A" w:rsidRPr="00716DE1">
        <w:rPr>
          <w:rFonts w:asciiTheme="minorHAnsi" w:hAnsiTheme="minorHAnsi"/>
          <w:lang w:val="fr-CH"/>
        </w:rPr>
        <w:t xml:space="preserve"> constaté que la procédure de passation des marchés</w:t>
      </w:r>
      <w:r w:rsidR="00E3346A">
        <w:rPr>
          <w:rFonts w:asciiTheme="minorHAnsi" w:hAnsiTheme="minorHAnsi"/>
          <w:lang w:val="fr-CH"/>
        </w:rPr>
        <w:t xml:space="preserve"> appliqu</w:t>
      </w:r>
      <w:r w:rsidR="00E306C2">
        <w:rPr>
          <w:rFonts w:asciiTheme="minorHAnsi" w:hAnsiTheme="minorHAnsi"/>
          <w:lang w:val="fr-CH"/>
        </w:rPr>
        <w:t>ée</w:t>
      </w:r>
      <w:r w:rsidR="00E3346A">
        <w:rPr>
          <w:rFonts w:asciiTheme="minorHAnsi" w:hAnsiTheme="minorHAnsi"/>
          <w:lang w:val="fr-CH"/>
        </w:rPr>
        <w:t xml:space="preserve"> pour</w:t>
      </w:r>
      <w:r w:rsidR="00E306C2">
        <w:rPr>
          <w:rFonts w:asciiTheme="minorHAnsi" w:hAnsiTheme="minorHAnsi"/>
          <w:lang w:val="fr-CH"/>
        </w:rPr>
        <w:t xml:space="preserve"> s'assurer les</w:t>
      </w:r>
      <w:r w:rsidR="00E3346A">
        <w:rPr>
          <w:rFonts w:asciiTheme="minorHAnsi" w:hAnsiTheme="minorHAnsi"/>
          <w:lang w:val="fr-CH"/>
        </w:rPr>
        <w:t xml:space="preserve"> services de divers sous-traitants était conforme aux </w:t>
      </w:r>
      <w:r w:rsidR="00B70684">
        <w:rPr>
          <w:rFonts w:asciiTheme="minorHAnsi" w:hAnsiTheme="minorHAnsi"/>
          <w:lang w:val="fr-CH"/>
        </w:rPr>
        <w:t>R</w:t>
      </w:r>
      <w:r w:rsidR="00E3346A">
        <w:rPr>
          <w:rFonts w:asciiTheme="minorHAnsi" w:hAnsiTheme="minorHAnsi"/>
          <w:lang w:val="fr-CH"/>
        </w:rPr>
        <w:t xml:space="preserve">ègles et </w:t>
      </w:r>
      <w:r w:rsidR="00B70684">
        <w:rPr>
          <w:rFonts w:asciiTheme="minorHAnsi" w:hAnsiTheme="minorHAnsi"/>
          <w:lang w:val="fr-CH"/>
        </w:rPr>
        <w:t>R</w:t>
      </w:r>
      <w:r w:rsidR="00E3346A">
        <w:rPr>
          <w:rFonts w:asciiTheme="minorHAnsi" w:hAnsiTheme="minorHAnsi"/>
          <w:lang w:val="fr-CH"/>
        </w:rPr>
        <w:t>èglements de l</w:t>
      </w:r>
      <w:r w:rsidR="00D3323B">
        <w:rPr>
          <w:rFonts w:asciiTheme="minorHAnsi" w:hAnsiTheme="minorHAnsi"/>
          <w:lang w:val="fr-CH"/>
        </w:rPr>
        <w:t>'</w:t>
      </w:r>
      <w:r w:rsidR="00E3346A">
        <w:rPr>
          <w:rFonts w:asciiTheme="minorHAnsi" w:hAnsiTheme="minorHAnsi"/>
          <w:lang w:val="fr-CH"/>
        </w:rPr>
        <w:t xml:space="preserve">UIT en matière de passation de marché. </w:t>
      </w:r>
      <w:r w:rsidR="00E3346A" w:rsidRPr="007A3F14">
        <w:rPr>
          <w:rFonts w:asciiTheme="minorHAnsi" w:hAnsiTheme="minorHAnsi"/>
          <w:lang w:val="fr-CH"/>
        </w:rPr>
        <w:t>Il a également été noté que la plupart des utilisateurs</w:t>
      </w:r>
      <w:r w:rsidR="00E3346A">
        <w:rPr>
          <w:rFonts w:asciiTheme="minorHAnsi" w:hAnsiTheme="minorHAnsi"/>
          <w:lang w:val="fr-CH"/>
        </w:rPr>
        <w:t xml:space="preserve"> sont satisfaits et ne doute</w:t>
      </w:r>
      <w:r w:rsidR="00E306C2">
        <w:rPr>
          <w:rFonts w:asciiTheme="minorHAnsi" w:hAnsiTheme="minorHAnsi"/>
          <w:lang w:val="fr-CH"/>
        </w:rPr>
        <w:t>nt</w:t>
      </w:r>
      <w:r w:rsidR="00E3346A">
        <w:rPr>
          <w:rFonts w:asciiTheme="minorHAnsi" w:hAnsiTheme="minorHAnsi"/>
          <w:lang w:val="fr-CH"/>
        </w:rPr>
        <w:t xml:space="preserve"> pas que, au fil du temps, le système CRM aura des retombées positives sur leur travail.</w:t>
      </w:r>
    </w:p>
    <w:p w:rsidR="00E3346A" w:rsidRPr="006D2C17" w:rsidRDefault="006D2C17" w:rsidP="00FB4C4D">
      <w:pPr>
        <w:pStyle w:val="enumlev1"/>
        <w:rPr>
          <w:lang w:val="fr-CH"/>
        </w:rPr>
      </w:pPr>
      <w:r>
        <w:rPr>
          <w:lang w:val="fr-CH"/>
        </w:rPr>
        <w:t>ii)</w:t>
      </w:r>
      <w:r>
        <w:rPr>
          <w:lang w:val="fr-CH"/>
        </w:rPr>
        <w:tab/>
        <w:t>L</w:t>
      </w:r>
      <w:r w:rsidR="00E3346A" w:rsidRPr="006D2C17">
        <w:rPr>
          <w:lang w:val="fr-CH"/>
        </w:rPr>
        <w:t xml:space="preserve">a mise en </w:t>
      </w:r>
      <w:r>
        <w:rPr>
          <w:lang w:val="fr-CH"/>
        </w:rPr>
        <w:t>oeuvre du système</w:t>
      </w:r>
      <w:r w:rsidR="00E3346A" w:rsidRPr="006D2C17">
        <w:rPr>
          <w:lang w:val="fr-CH"/>
        </w:rPr>
        <w:t xml:space="preserve"> CRM était</w:t>
      </w:r>
      <w:r>
        <w:rPr>
          <w:lang w:val="fr-CH"/>
        </w:rPr>
        <w:t xml:space="preserve"> le fondement</w:t>
      </w:r>
      <w:r w:rsidR="00E3346A" w:rsidRPr="006D2C17">
        <w:rPr>
          <w:lang w:val="fr-CH"/>
        </w:rPr>
        <w:t xml:space="preserve"> du projet et un grand nombre de fonctionnalités ont été fourni</w:t>
      </w:r>
      <w:r>
        <w:rPr>
          <w:lang w:val="fr-CH"/>
        </w:rPr>
        <w:t>es</w:t>
      </w:r>
      <w:r w:rsidR="00E3346A" w:rsidRPr="006D2C17">
        <w:rPr>
          <w:lang w:val="fr-CH"/>
        </w:rPr>
        <w:t>. Toutefois</w:t>
      </w:r>
      <w:r w:rsidR="004236AA">
        <w:rPr>
          <w:lang w:val="fr-CH"/>
        </w:rPr>
        <w:t>,</w:t>
      </w:r>
      <w:r w:rsidR="00E3346A" w:rsidRPr="006D2C17">
        <w:rPr>
          <w:lang w:val="fr-CH"/>
        </w:rPr>
        <w:t xml:space="preserve"> il reste encore beaucoup </w:t>
      </w:r>
      <w:r>
        <w:rPr>
          <w:lang w:val="fr-CH"/>
        </w:rPr>
        <w:t>à faire</w:t>
      </w:r>
      <w:r w:rsidR="00E3346A" w:rsidRPr="006D2C17">
        <w:rPr>
          <w:lang w:val="fr-CH"/>
        </w:rPr>
        <w:t xml:space="preserve"> pour que le système CRM réponde aux attentes du </w:t>
      </w:r>
      <w:r w:rsidR="00B70684" w:rsidRPr="006D2C17">
        <w:rPr>
          <w:lang w:val="fr-CH"/>
        </w:rPr>
        <w:t>S</w:t>
      </w:r>
      <w:r w:rsidR="00E3346A" w:rsidRPr="006D2C17">
        <w:rPr>
          <w:lang w:val="fr-CH"/>
        </w:rPr>
        <w:t>ecrétariat de l</w:t>
      </w:r>
      <w:r w:rsidR="00D3323B">
        <w:rPr>
          <w:lang w:val="fr-CH"/>
        </w:rPr>
        <w:t>'</w:t>
      </w:r>
      <w:r w:rsidR="00E3346A" w:rsidRPr="006D2C17">
        <w:rPr>
          <w:lang w:val="fr-CH"/>
        </w:rPr>
        <w:t xml:space="preserve">UIT. La Commission de direction du projet CRM devrait donc être réactivée et reconvoquée pour </w:t>
      </w:r>
      <w:r>
        <w:rPr>
          <w:lang w:val="fr-CH"/>
        </w:rPr>
        <w:t xml:space="preserve">garantir </w:t>
      </w:r>
      <w:r w:rsidR="00E3346A" w:rsidRPr="006D2C17">
        <w:rPr>
          <w:lang w:val="fr-CH"/>
        </w:rPr>
        <w:t>que le projet se poursuiv</w:t>
      </w:r>
      <w:r>
        <w:rPr>
          <w:lang w:val="fr-CH"/>
        </w:rPr>
        <w:t>ra</w:t>
      </w:r>
      <w:r w:rsidR="00E3346A" w:rsidRPr="006D2C17">
        <w:rPr>
          <w:lang w:val="fr-CH"/>
        </w:rPr>
        <w:t xml:space="preserve">. Une feuille de route actualisée </w:t>
      </w:r>
      <w:r>
        <w:rPr>
          <w:lang w:val="fr-CH"/>
        </w:rPr>
        <w:t>en vue de</w:t>
      </w:r>
      <w:r w:rsidR="00E3346A" w:rsidRPr="006D2C17">
        <w:rPr>
          <w:lang w:val="fr-CH"/>
        </w:rPr>
        <w:t xml:space="preserve"> la poursuite du projet devrait également être établie. La direction a souscrit à cette recommandation et la Commission</w:t>
      </w:r>
      <w:r>
        <w:rPr>
          <w:lang w:val="fr-CH"/>
        </w:rPr>
        <w:t xml:space="preserve"> </w:t>
      </w:r>
      <w:r>
        <w:rPr>
          <w:lang w:val="fr-CH"/>
        </w:rPr>
        <w:lastRenderedPageBreak/>
        <w:t>chargée de la m</w:t>
      </w:r>
      <w:r w:rsidR="00E3346A" w:rsidRPr="006D2C17">
        <w:rPr>
          <w:lang w:val="fr-CH"/>
        </w:rPr>
        <w:t xml:space="preserve">ise en </w:t>
      </w:r>
      <w:r>
        <w:rPr>
          <w:lang w:val="fr-CH"/>
        </w:rPr>
        <w:t>oeuvre</w:t>
      </w:r>
      <w:r w:rsidR="00E3346A" w:rsidRPr="006D2C17">
        <w:rPr>
          <w:lang w:val="fr-CH"/>
        </w:rPr>
        <w:t xml:space="preserve"> du projet CRM</w:t>
      </w:r>
      <w:r>
        <w:rPr>
          <w:lang w:val="fr-CH"/>
        </w:rPr>
        <w:t xml:space="preserve"> a été créée début 2015, pour succ</w:t>
      </w:r>
      <w:r w:rsidR="00FB4C4D">
        <w:rPr>
          <w:lang w:val="fr-CH"/>
        </w:rPr>
        <w:t>é</w:t>
      </w:r>
      <w:r>
        <w:rPr>
          <w:lang w:val="fr-CH"/>
        </w:rPr>
        <w:t>der</w:t>
      </w:r>
      <w:r w:rsidR="00E3346A" w:rsidRPr="006D2C17">
        <w:rPr>
          <w:lang w:val="fr-CH"/>
        </w:rPr>
        <w:t xml:space="preserve"> à la Commission de direction du projet CRM</w:t>
      </w:r>
      <w:r>
        <w:rPr>
          <w:lang w:val="fr-CH"/>
        </w:rPr>
        <w:t>.</w:t>
      </w:r>
    </w:p>
    <w:p w:rsidR="00E3346A" w:rsidRPr="00E3346A" w:rsidRDefault="00BD2DFD" w:rsidP="00B70684">
      <w:pPr>
        <w:pStyle w:val="enumlev1"/>
        <w:rPr>
          <w:lang w:val="fr-CH"/>
        </w:rPr>
      </w:pPr>
      <w:r>
        <w:rPr>
          <w:lang w:val="fr-CH"/>
        </w:rPr>
        <w:t>iii)</w:t>
      </w:r>
      <w:r>
        <w:rPr>
          <w:lang w:val="fr-CH"/>
        </w:rPr>
        <w:tab/>
      </w:r>
      <w:r w:rsidR="00E3346A" w:rsidRPr="003C7779">
        <w:rPr>
          <w:lang w:val="fr-CH"/>
        </w:rPr>
        <w:t>La liste des besoins restant à établir/mettre en œuvre et l</w:t>
      </w:r>
      <w:r w:rsidR="00D3323B">
        <w:rPr>
          <w:lang w:val="fr-CH"/>
        </w:rPr>
        <w:t>'</w:t>
      </w:r>
      <w:r w:rsidR="00E3346A" w:rsidRPr="003C7779">
        <w:rPr>
          <w:lang w:val="fr-CH"/>
        </w:rPr>
        <w:t>évolution des différentes facettes du projet CRM de l</w:t>
      </w:r>
      <w:r w:rsidR="00D3323B">
        <w:rPr>
          <w:lang w:val="fr-CH"/>
        </w:rPr>
        <w:t>'</w:t>
      </w:r>
      <w:r w:rsidR="00E3346A" w:rsidRPr="003C7779">
        <w:rPr>
          <w:lang w:val="fr-CH"/>
        </w:rPr>
        <w:t xml:space="preserve">UIT </w:t>
      </w:r>
      <w:r w:rsidR="00FB4C4D">
        <w:rPr>
          <w:lang w:val="fr-CH"/>
        </w:rPr>
        <w:t>ne sont pas négligeables</w:t>
      </w:r>
      <w:r w:rsidR="00E3346A">
        <w:rPr>
          <w:lang w:val="fr-CH"/>
        </w:rPr>
        <w:t xml:space="preserve"> et l</w:t>
      </w:r>
      <w:r w:rsidR="00D3323B">
        <w:rPr>
          <w:lang w:val="fr-CH"/>
        </w:rPr>
        <w:t>'</w:t>
      </w:r>
      <w:r w:rsidR="00E3346A">
        <w:rPr>
          <w:lang w:val="fr-CH"/>
        </w:rPr>
        <w:t>on craint que, compte tenu des ressources actuelles, il faille proroger le</w:t>
      </w:r>
      <w:r w:rsidR="00FB4C4D">
        <w:rPr>
          <w:lang w:val="fr-CH"/>
        </w:rPr>
        <w:t xml:space="preserve">s délais pour pouvoir mettre en oeuvre </w:t>
      </w:r>
      <w:r w:rsidR="00E3346A">
        <w:rPr>
          <w:lang w:val="fr-CH"/>
        </w:rPr>
        <w:t>l</w:t>
      </w:r>
      <w:r w:rsidR="00D3323B">
        <w:rPr>
          <w:lang w:val="fr-CH"/>
        </w:rPr>
        <w:t>'</w:t>
      </w:r>
      <w:r w:rsidR="00E3346A">
        <w:rPr>
          <w:lang w:val="fr-CH"/>
        </w:rPr>
        <w:t xml:space="preserve">ensemble du projet. </w:t>
      </w:r>
      <w:r w:rsidR="00E3346A" w:rsidRPr="003C7779">
        <w:rPr>
          <w:lang w:val="fr-CH"/>
        </w:rPr>
        <w:t xml:space="preserve">La direction a souscrit à la recommandation visant à affecter des ressources supplémentaires </w:t>
      </w:r>
      <w:r w:rsidR="00E3346A">
        <w:rPr>
          <w:lang w:val="fr-CH"/>
        </w:rPr>
        <w:t>afin d</w:t>
      </w:r>
      <w:r w:rsidR="00D3323B">
        <w:rPr>
          <w:lang w:val="fr-CH"/>
        </w:rPr>
        <w:t>'</w:t>
      </w:r>
      <w:r w:rsidR="00E3346A">
        <w:rPr>
          <w:lang w:val="fr-CH"/>
        </w:rPr>
        <w:t xml:space="preserve">accélérer la mise en </w:t>
      </w:r>
      <w:r>
        <w:rPr>
          <w:lang w:val="fr-CH"/>
        </w:rPr>
        <w:t>oeuvre</w:t>
      </w:r>
      <w:r w:rsidR="00E3346A">
        <w:rPr>
          <w:lang w:val="fr-CH"/>
        </w:rPr>
        <w:t xml:space="preserve"> du projet</w:t>
      </w:r>
      <w:r w:rsidR="00FB4C4D">
        <w:rPr>
          <w:lang w:val="fr-CH"/>
        </w:rPr>
        <w:t xml:space="preserve"> CRM</w:t>
      </w:r>
      <w:r w:rsidR="00E3346A">
        <w:rPr>
          <w:lang w:val="fr-CH"/>
        </w:rPr>
        <w:t xml:space="preserve">. </w:t>
      </w:r>
      <w:r w:rsidR="00E3346A" w:rsidRPr="003C7779">
        <w:rPr>
          <w:lang w:val="fr-CH"/>
        </w:rPr>
        <w:t xml:space="preserve">La direction a </w:t>
      </w:r>
      <w:r w:rsidR="00FB4C4D">
        <w:rPr>
          <w:lang w:val="fr-CH"/>
        </w:rPr>
        <w:t>approuvé la recommandation et demandé</w:t>
      </w:r>
      <w:r w:rsidR="00E3346A" w:rsidRPr="003C7779">
        <w:rPr>
          <w:lang w:val="fr-CH"/>
        </w:rPr>
        <w:t xml:space="preserve"> à la Commission de direction de faire en sorte que des ressources suffisantes soient mises à disposition</w:t>
      </w:r>
      <w:r w:rsidR="00E3346A">
        <w:rPr>
          <w:lang w:val="fr-CH"/>
        </w:rPr>
        <w:t xml:space="preserve"> pour pouvoir poursuivre la mise en </w:t>
      </w:r>
      <w:r>
        <w:rPr>
          <w:lang w:val="fr-CH"/>
        </w:rPr>
        <w:t>oeuvre</w:t>
      </w:r>
      <w:r w:rsidR="00E3346A">
        <w:rPr>
          <w:lang w:val="fr-CH"/>
        </w:rPr>
        <w:t xml:space="preserve"> du projet.</w:t>
      </w:r>
    </w:p>
    <w:p w:rsidR="00E3346A" w:rsidRPr="009A2DDE" w:rsidRDefault="00BD2DFD" w:rsidP="000C6581">
      <w:pPr>
        <w:pStyle w:val="enumlev1"/>
      </w:pPr>
      <w:r>
        <w:rPr>
          <w:lang w:val="fr-CH"/>
        </w:rPr>
        <w:t>iv)</w:t>
      </w:r>
      <w:r>
        <w:rPr>
          <w:lang w:val="fr-CH"/>
        </w:rPr>
        <w:tab/>
      </w:r>
      <w:r w:rsidR="00E3346A" w:rsidRPr="003C7779">
        <w:rPr>
          <w:lang w:val="fr-CH"/>
        </w:rPr>
        <w:t>De graves problèmes existent en ce qui concerne la qualité des données (</w:t>
      </w:r>
      <w:r w:rsidR="00B37119">
        <w:rPr>
          <w:lang w:val="fr-CH"/>
        </w:rPr>
        <w:t xml:space="preserve">par exemple </w:t>
      </w:r>
      <w:r w:rsidR="00E3346A" w:rsidRPr="003C7779">
        <w:rPr>
          <w:lang w:val="fr-CH"/>
        </w:rPr>
        <w:t xml:space="preserve">doublons ou erreurs) dans les </w:t>
      </w:r>
      <w:r w:rsidR="00B37119">
        <w:rPr>
          <w:lang w:val="fr-CH"/>
        </w:rPr>
        <w:t>"</w:t>
      </w:r>
      <w:r w:rsidR="00E3346A" w:rsidRPr="003C7779">
        <w:rPr>
          <w:lang w:val="fr-CH"/>
        </w:rPr>
        <w:t>vieilles</w:t>
      </w:r>
      <w:r w:rsidR="00B37119">
        <w:rPr>
          <w:lang w:val="fr-CH"/>
        </w:rPr>
        <w:t>" bases de données. Il est donc recommandé de nettoyer ces données dans les meilleurs délais avant de les transférer dans le système CRM.</w:t>
      </w:r>
      <w:r w:rsidR="000C6581">
        <w:rPr>
          <w:lang w:val="fr-CH"/>
        </w:rPr>
        <w:t xml:space="preserve"> La direction souscrit totalement à cette recommandation.</w:t>
      </w:r>
    </w:p>
    <w:p w:rsidR="00E3346A" w:rsidRPr="008E3FFF" w:rsidRDefault="00BD2DFD" w:rsidP="005440BE">
      <w:pPr>
        <w:pStyle w:val="enumlev1"/>
        <w:rPr>
          <w:lang w:val="fr-CH"/>
        </w:rPr>
      </w:pPr>
      <w:r>
        <w:rPr>
          <w:lang w:val="fr-CH"/>
        </w:rPr>
        <w:t>v)</w:t>
      </w:r>
      <w:r>
        <w:rPr>
          <w:lang w:val="fr-CH"/>
        </w:rPr>
        <w:tab/>
      </w:r>
      <w:r w:rsidR="00B37119">
        <w:rPr>
          <w:lang w:val="fr-CH"/>
        </w:rPr>
        <w:t>A</w:t>
      </w:r>
      <w:r w:rsidR="00E3346A" w:rsidRPr="008E3FFF">
        <w:rPr>
          <w:lang w:val="fr-CH"/>
        </w:rPr>
        <w:t xml:space="preserve">u stade actuel de </w:t>
      </w:r>
      <w:r w:rsidR="005440BE">
        <w:rPr>
          <w:lang w:val="fr-CH"/>
        </w:rPr>
        <w:t xml:space="preserve">la </w:t>
      </w:r>
      <w:r w:rsidR="00E3346A" w:rsidRPr="008E3FFF">
        <w:rPr>
          <w:lang w:val="fr-CH"/>
        </w:rPr>
        <w:t xml:space="preserve">mise en </w:t>
      </w:r>
      <w:r w:rsidR="00B37119">
        <w:rPr>
          <w:lang w:val="fr-CH"/>
        </w:rPr>
        <w:t>oeuvre</w:t>
      </w:r>
      <w:r w:rsidR="00E3346A" w:rsidRPr="008E3FFF">
        <w:rPr>
          <w:lang w:val="fr-CH"/>
        </w:rPr>
        <w:t>, tous les utilisateurs ont encore un large profil d</w:t>
      </w:r>
      <w:r w:rsidR="00D3323B">
        <w:rPr>
          <w:lang w:val="fr-CH"/>
        </w:rPr>
        <w:t>'</w:t>
      </w:r>
      <w:r w:rsidR="00E3346A" w:rsidRPr="008E3FFF">
        <w:rPr>
          <w:lang w:val="fr-CH"/>
        </w:rPr>
        <w:t>accès et</w:t>
      </w:r>
      <w:r w:rsidR="00E3346A">
        <w:rPr>
          <w:lang w:val="fr-CH"/>
        </w:rPr>
        <w:t xml:space="preserve"> il a été recommandé </w:t>
      </w:r>
      <w:r w:rsidR="00E3346A" w:rsidRPr="008E3FFF">
        <w:rPr>
          <w:lang w:val="fr-CH"/>
        </w:rPr>
        <w:t xml:space="preserve">de mettre en </w:t>
      </w:r>
      <w:r w:rsidR="00B37119">
        <w:rPr>
          <w:lang w:val="fr-CH"/>
        </w:rPr>
        <w:t xml:space="preserve">oeuvre </w:t>
      </w:r>
      <w:r w:rsidR="00E3346A" w:rsidRPr="008E3FFF">
        <w:rPr>
          <w:lang w:val="fr-CH"/>
        </w:rPr>
        <w:t>une chaîne d</w:t>
      </w:r>
      <w:r w:rsidR="00D3323B">
        <w:rPr>
          <w:lang w:val="fr-CH"/>
        </w:rPr>
        <w:t>'</w:t>
      </w:r>
      <w:r w:rsidR="00E3346A" w:rsidRPr="008E3FFF">
        <w:rPr>
          <w:lang w:val="fr-CH"/>
        </w:rPr>
        <w:t>approbation adéquate</w:t>
      </w:r>
      <w:r w:rsidR="005440BE">
        <w:rPr>
          <w:lang w:val="fr-CH"/>
        </w:rPr>
        <w:t xml:space="preserve"> subordonnée aux</w:t>
      </w:r>
      <w:r w:rsidR="00E3346A">
        <w:rPr>
          <w:lang w:val="fr-CH"/>
        </w:rPr>
        <w:t xml:space="preserve"> droits d</w:t>
      </w:r>
      <w:r w:rsidR="00D3323B">
        <w:rPr>
          <w:lang w:val="fr-CH"/>
        </w:rPr>
        <w:t>'</w:t>
      </w:r>
      <w:r w:rsidR="00E3346A">
        <w:rPr>
          <w:lang w:val="fr-CH"/>
        </w:rPr>
        <w:t>accès.</w:t>
      </w:r>
    </w:p>
    <w:p w:rsidR="00E3346A" w:rsidRPr="00E444DA" w:rsidRDefault="00EE7290" w:rsidP="004236AA">
      <w:pPr>
        <w:rPr>
          <w:lang w:val="fr-CH"/>
        </w:rPr>
      </w:pPr>
      <w:r>
        <w:rPr>
          <w:lang w:val="fr-CH"/>
        </w:rPr>
        <w:t>25</w:t>
      </w:r>
      <w:r>
        <w:rPr>
          <w:lang w:val="fr-CH"/>
        </w:rPr>
        <w:tab/>
      </w:r>
      <w:r w:rsidR="00E3346A" w:rsidRPr="008E3FFF">
        <w:rPr>
          <w:lang w:val="fr-CH"/>
        </w:rPr>
        <w:t xml:space="preserve">En </w:t>
      </w:r>
      <w:r w:rsidR="00E3346A" w:rsidRPr="005440BE">
        <w:rPr>
          <w:u w:val="single"/>
          <w:lang w:val="fr-CH"/>
        </w:rPr>
        <w:t>conclusion</w:t>
      </w:r>
      <w:r w:rsidR="00E3346A" w:rsidRPr="008E3FFF">
        <w:rPr>
          <w:lang w:val="fr-CH"/>
        </w:rPr>
        <w:t>, d</w:t>
      </w:r>
      <w:r w:rsidR="00D3323B">
        <w:rPr>
          <w:lang w:val="fr-CH"/>
        </w:rPr>
        <w:t>'</w:t>
      </w:r>
      <w:r w:rsidR="00E3346A" w:rsidRPr="008E3FFF">
        <w:rPr>
          <w:lang w:val="fr-CH"/>
        </w:rPr>
        <w:t>une manière générale, les</w:t>
      </w:r>
      <w:r w:rsidR="005440BE">
        <w:rPr>
          <w:lang w:val="fr-CH"/>
        </w:rPr>
        <w:t xml:space="preserve"> conclusions de l'</w:t>
      </w:r>
      <w:r w:rsidR="00E3346A" w:rsidRPr="008E3FFF">
        <w:rPr>
          <w:lang w:val="fr-CH"/>
        </w:rPr>
        <w:t xml:space="preserve">audit </w:t>
      </w:r>
      <w:r w:rsidR="00E3346A">
        <w:rPr>
          <w:lang w:val="fr-CH"/>
        </w:rPr>
        <w:t xml:space="preserve">ont </w:t>
      </w:r>
      <w:r w:rsidR="005440BE">
        <w:rPr>
          <w:lang w:val="fr-CH"/>
        </w:rPr>
        <w:t xml:space="preserve">fourni une </w:t>
      </w:r>
      <w:r w:rsidR="00E3346A" w:rsidRPr="00E444DA">
        <w:rPr>
          <w:i/>
          <w:iCs/>
          <w:lang w:val="fr-CH"/>
        </w:rPr>
        <w:t>assurance</w:t>
      </w:r>
      <w:r w:rsidR="00E3346A" w:rsidRPr="008E3FFF">
        <w:rPr>
          <w:i/>
          <w:iCs/>
          <w:lang w:val="fr-CH"/>
        </w:rPr>
        <w:t xml:space="preserve"> raisonnable</w:t>
      </w:r>
      <w:r w:rsidR="00E3346A" w:rsidRPr="00EE7290">
        <w:rPr>
          <w:rStyle w:val="FootnoteReference"/>
          <w:rFonts w:asciiTheme="minorHAnsi" w:hAnsiTheme="minorHAnsi"/>
          <w:sz w:val="18"/>
          <w:szCs w:val="18"/>
        </w:rPr>
        <w:footnoteReference w:id="5"/>
      </w:r>
      <w:r w:rsidR="00E3346A" w:rsidRPr="00EE7290">
        <w:rPr>
          <w:sz w:val="18"/>
          <w:szCs w:val="18"/>
          <w:lang w:val="fr-CH"/>
        </w:rPr>
        <w:t xml:space="preserve"> </w:t>
      </w:r>
      <w:r w:rsidR="005440BE">
        <w:rPr>
          <w:lang w:val="fr-CH"/>
        </w:rPr>
        <w:t xml:space="preserve">sur le fait </w:t>
      </w:r>
      <w:r w:rsidR="00E3346A">
        <w:rPr>
          <w:lang w:val="fr-CH"/>
        </w:rPr>
        <w:t xml:space="preserve">que les transactions CRM sont conformes aux </w:t>
      </w:r>
      <w:r w:rsidR="000C6581">
        <w:rPr>
          <w:lang w:val="fr-CH"/>
        </w:rPr>
        <w:t>R</w:t>
      </w:r>
      <w:r w:rsidR="00E3346A">
        <w:rPr>
          <w:lang w:val="fr-CH"/>
        </w:rPr>
        <w:t>ègles et procédures de l</w:t>
      </w:r>
      <w:r w:rsidR="00D3323B">
        <w:rPr>
          <w:lang w:val="fr-CH"/>
        </w:rPr>
        <w:t>'</w:t>
      </w:r>
      <w:r w:rsidR="00E3346A">
        <w:rPr>
          <w:lang w:val="fr-CH"/>
        </w:rPr>
        <w:t xml:space="preserve">UIT. </w:t>
      </w:r>
      <w:r w:rsidR="00E3346A" w:rsidRPr="00E444DA">
        <w:rPr>
          <w:lang w:val="fr-CH"/>
        </w:rPr>
        <w:t>L</w:t>
      </w:r>
      <w:r w:rsidR="00D3323B">
        <w:rPr>
          <w:lang w:val="fr-CH"/>
        </w:rPr>
        <w:t>'</w:t>
      </w:r>
      <w:r w:rsidR="00E3346A" w:rsidRPr="00E444DA">
        <w:rPr>
          <w:lang w:val="fr-CH"/>
        </w:rPr>
        <w:t xml:space="preserve">évaluation des répercussions du système CRM sur les activités du </w:t>
      </w:r>
      <w:r w:rsidR="000C6581" w:rsidRPr="00E444DA">
        <w:rPr>
          <w:lang w:val="fr-CH"/>
        </w:rPr>
        <w:t>S</w:t>
      </w:r>
      <w:r w:rsidR="00E3346A" w:rsidRPr="00E444DA">
        <w:rPr>
          <w:lang w:val="fr-CH"/>
        </w:rPr>
        <w:t>ecrétariat de l</w:t>
      </w:r>
      <w:r w:rsidR="00D3323B">
        <w:rPr>
          <w:lang w:val="fr-CH"/>
        </w:rPr>
        <w:t>'</w:t>
      </w:r>
      <w:r w:rsidR="00E3346A" w:rsidRPr="00E444DA">
        <w:rPr>
          <w:lang w:val="fr-CH"/>
        </w:rPr>
        <w:t>UIT e</w:t>
      </w:r>
      <w:r w:rsidR="005440BE">
        <w:rPr>
          <w:lang w:val="fr-CH"/>
        </w:rPr>
        <w:t>s</w:t>
      </w:r>
      <w:r w:rsidR="00E3346A" w:rsidRPr="00E444DA">
        <w:rPr>
          <w:lang w:val="fr-CH"/>
        </w:rPr>
        <w:t xml:space="preserve">t positive </w:t>
      </w:r>
      <w:r w:rsidR="00E3346A">
        <w:rPr>
          <w:lang w:val="fr-CH"/>
        </w:rPr>
        <w:t>mais</w:t>
      </w:r>
      <w:r w:rsidR="005440BE">
        <w:rPr>
          <w:lang w:val="fr-CH"/>
        </w:rPr>
        <w:t>,</w:t>
      </w:r>
      <w:r w:rsidR="00E3346A">
        <w:rPr>
          <w:lang w:val="fr-CH"/>
        </w:rPr>
        <w:t xml:space="preserve"> dans un certain nombre de domaines</w:t>
      </w:r>
      <w:r w:rsidR="005440BE">
        <w:rPr>
          <w:lang w:val="fr-CH"/>
        </w:rPr>
        <w:t>,</w:t>
      </w:r>
      <w:r w:rsidR="00E3346A">
        <w:rPr>
          <w:lang w:val="fr-CH"/>
        </w:rPr>
        <w:t xml:space="preserve"> il faut redoubler d</w:t>
      </w:r>
      <w:r w:rsidR="00D3323B">
        <w:rPr>
          <w:lang w:val="fr-CH"/>
        </w:rPr>
        <w:t>'</w:t>
      </w:r>
      <w:r w:rsidR="00E3346A">
        <w:rPr>
          <w:lang w:val="fr-CH"/>
        </w:rPr>
        <w:t>attention pour atteindre l</w:t>
      </w:r>
      <w:r w:rsidR="00D3323B">
        <w:rPr>
          <w:lang w:val="fr-CH"/>
        </w:rPr>
        <w:t>'</w:t>
      </w:r>
      <w:r w:rsidR="00E3346A">
        <w:rPr>
          <w:lang w:val="fr-CH"/>
        </w:rPr>
        <w:t>objectif du projet CRM qui est de répondre pleinement aux besoins des utilisateurs.</w:t>
      </w:r>
    </w:p>
    <w:p w:rsidR="00E3346A" w:rsidRPr="00E444DA" w:rsidRDefault="00E3346A" w:rsidP="00996C81">
      <w:pPr>
        <w:pStyle w:val="Headingb"/>
        <w:rPr>
          <w:lang w:val="fr-CH"/>
        </w:rPr>
      </w:pPr>
      <w:r w:rsidRPr="00E444DA">
        <w:rPr>
          <w:lang w:val="fr-CH"/>
        </w:rPr>
        <w:t xml:space="preserve">Mise en </w:t>
      </w:r>
      <w:r w:rsidR="00EE7290">
        <w:rPr>
          <w:lang w:val="fr-CH"/>
        </w:rPr>
        <w:t>oeuvre</w:t>
      </w:r>
      <w:r w:rsidRPr="00E444DA">
        <w:rPr>
          <w:lang w:val="fr-CH"/>
        </w:rPr>
        <w:t xml:space="preserve"> des recommandations du CCI</w:t>
      </w:r>
      <w:r>
        <w:rPr>
          <w:lang w:val="fr-CH"/>
        </w:rPr>
        <w:t>G</w:t>
      </w:r>
      <w:r w:rsidR="00EE7290">
        <w:rPr>
          <w:lang w:val="fr-CH"/>
        </w:rPr>
        <w:t xml:space="preserve"> relatives</w:t>
      </w:r>
      <w:r>
        <w:rPr>
          <w:lang w:val="fr-CH"/>
        </w:rPr>
        <w:t xml:space="preserve"> à l</w:t>
      </w:r>
      <w:r w:rsidR="00D3323B">
        <w:rPr>
          <w:lang w:val="fr-CH"/>
        </w:rPr>
        <w:t>'</w:t>
      </w:r>
      <w:r>
        <w:rPr>
          <w:lang w:val="fr-CH"/>
        </w:rPr>
        <w:t xml:space="preserve">audit interne </w:t>
      </w:r>
    </w:p>
    <w:p w:rsidR="00437AE7" w:rsidRDefault="00437AE7" w:rsidP="00996C81">
      <w:r>
        <w:t>26</w:t>
      </w:r>
      <w:r>
        <w:tab/>
      </w:r>
      <w:r w:rsidRPr="00437AE7">
        <w:t>Le CCIG a suivi de manière régulière la suite donnée aux recommandations relatives à la fonction d</w:t>
      </w:r>
      <w:r w:rsidR="00D3323B">
        <w:t>'</w:t>
      </w:r>
      <w:r w:rsidRPr="00437AE7">
        <w:t xml:space="preserve">audit interne et </w:t>
      </w:r>
      <w:r w:rsidR="004236AA">
        <w:t>a</w:t>
      </w:r>
      <w:r w:rsidRPr="00437AE7">
        <w:t xml:space="preserve"> </w:t>
      </w:r>
      <w:r w:rsidR="004236AA">
        <w:t>rendu compte d</w:t>
      </w:r>
      <w:r w:rsidRPr="00437AE7">
        <w:t>es progrès accomplis dans le rapport qu</w:t>
      </w:r>
      <w:r w:rsidR="00D3323B">
        <w:t>'</w:t>
      </w:r>
      <w:r w:rsidRPr="00437AE7">
        <w:t xml:space="preserve">il a soumis au Secrétaire général ainsi que dans son rapport annuel au Conseil. </w:t>
      </w:r>
      <w:r>
        <w:t>A</w:t>
      </w:r>
      <w:r w:rsidRPr="00437AE7">
        <w:t xml:space="preserve"> cet égard, il est fait </w:t>
      </w:r>
      <w:r w:rsidR="004236AA">
        <w:t>expressé</w:t>
      </w:r>
      <w:r w:rsidRPr="00E444DA">
        <w:rPr>
          <w:rFonts w:asciiTheme="minorHAnsi" w:hAnsiTheme="minorHAnsi"/>
          <w:szCs w:val="24"/>
          <w:lang w:val="fr-CH"/>
        </w:rPr>
        <w:t>ment référence au deuxième rapport annuel du CCIG au Conseil (</w:t>
      </w:r>
      <w:r w:rsidR="004236AA">
        <w:rPr>
          <w:rFonts w:asciiTheme="minorHAnsi" w:hAnsiTheme="minorHAnsi"/>
          <w:szCs w:val="24"/>
          <w:lang w:val="fr-CH"/>
        </w:rPr>
        <w:t xml:space="preserve">Document </w:t>
      </w:r>
      <w:r w:rsidRPr="00E444DA">
        <w:rPr>
          <w:rFonts w:asciiTheme="minorHAnsi" w:hAnsiTheme="minorHAnsi"/>
          <w:szCs w:val="24"/>
          <w:lang w:val="fr-CH"/>
        </w:rPr>
        <w:t xml:space="preserve">C13/65, paragraphe 3.4) </w:t>
      </w:r>
      <w:r>
        <w:rPr>
          <w:rFonts w:asciiTheme="minorHAnsi" w:hAnsiTheme="minorHAnsi"/>
          <w:szCs w:val="24"/>
          <w:lang w:val="fr-CH"/>
        </w:rPr>
        <w:t xml:space="preserve">dans lequel il </w:t>
      </w:r>
      <w:r w:rsidR="004236AA">
        <w:rPr>
          <w:rFonts w:asciiTheme="minorHAnsi" w:hAnsiTheme="minorHAnsi"/>
          <w:szCs w:val="24"/>
          <w:lang w:val="fr-CH"/>
        </w:rPr>
        <w:t>est</w:t>
      </w:r>
      <w:r>
        <w:rPr>
          <w:rFonts w:asciiTheme="minorHAnsi" w:hAnsiTheme="minorHAnsi"/>
          <w:szCs w:val="24"/>
          <w:lang w:val="fr-CH"/>
        </w:rPr>
        <w:t xml:space="preserve"> recommandé que </w:t>
      </w:r>
      <w:r w:rsidR="004236AA">
        <w:rPr>
          <w:rFonts w:asciiTheme="minorHAnsi" w:hAnsiTheme="minorHAnsi"/>
          <w:szCs w:val="24"/>
          <w:lang w:val="fr-CH"/>
        </w:rPr>
        <w:t>"</w:t>
      </w:r>
      <w:r w:rsidRPr="00E444DA">
        <w:rPr>
          <w:rFonts w:asciiTheme="minorHAnsi" w:hAnsiTheme="minorHAnsi"/>
          <w:szCs w:val="24"/>
          <w:lang w:val="fr-CH"/>
        </w:rPr>
        <w:t xml:space="preserve">… l'examen par des pairs de la fonction d'audit interne ait lieu de préférence avant </w:t>
      </w:r>
      <w:r w:rsidRPr="00E444DA">
        <w:rPr>
          <w:rFonts w:asciiTheme="minorHAnsi" w:hAnsiTheme="minorHAnsi"/>
          <w:color w:val="000000"/>
          <w:szCs w:val="24"/>
          <w:lang w:val="fr-CH" w:eastAsia="zh-CN"/>
        </w:rPr>
        <w:t>2014</w:t>
      </w:r>
      <w:r w:rsidR="004236AA">
        <w:rPr>
          <w:rFonts w:asciiTheme="minorHAnsi" w:hAnsiTheme="minorHAnsi"/>
          <w:color w:val="000000"/>
          <w:szCs w:val="24"/>
          <w:lang w:val="fr-CH" w:eastAsia="zh-CN"/>
        </w:rPr>
        <w:t>"</w:t>
      </w:r>
      <w:r w:rsidRPr="00E444DA">
        <w:rPr>
          <w:rFonts w:asciiTheme="minorHAnsi" w:hAnsiTheme="minorHAnsi"/>
          <w:color w:val="000000"/>
          <w:szCs w:val="24"/>
          <w:lang w:val="fr-CH" w:eastAsia="zh-CN"/>
        </w:rPr>
        <w:t xml:space="preserve">. </w:t>
      </w:r>
      <w:r>
        <w:rPr>
          <w:rFonts w:asciiTheme="minorHAnsi" w:hAnsiTheme="minorHAnsi"/>
          <w:color w:val="000000"/>
          <w:szCs w:val="24"/>
          <w:lang w:val="fr-CH" w:eastAsia="zh-CN"/>
        </w:rPr>
        <w:t xml:space="preserve">Cet examen a eu lieu en janvier 2015. </w:t>
      </w:r>
      <w:r w:rsidR="004236AA">
        <w:rPr>
          <w:rFonts w:asciiTheme="minorHAnsi" w:hAnsiTheme="minorHAnsi"/>
          <w:color w:val="000000"/>
          <w:szCs w:val="24"/>
          <w:lang w:val="fr-CH" w:eastAsia="zh-CN"/>
        </w:rPr>
        <w:t>L</w:t>
      </w:r>
      <w:r w:rsidR="00D3323B">
        <w:rPr>
          <w:rFonts w:asciiTheme="minorHAnsi" w:hAnsiTheme="minorHAnsi"/>
          <w:color w:val="000000"/>
          <w:szCs w:val="24"/>
          <w:lang w:val="fr-CH" w:eastAsia="zh-CN"/>
        </w:rPr>
        <w:t>'</w:t>
      </w:r>
      <w:r>
        <w:rPr>
          <w:rFonts w:asciiTheme="minorHAnsi" w:hAnsiTheme="minorHAnsi"/>
          <w:color w:val="000000"/>
          <w:szCs w:val="24"/>
          <w:lang w:val="fr-CH" w:eastAsia="zh-CN"/>
        </w:rPr>
        <w:t xml:space="preserve">équipe </w:t>
      </w:r>
      <w:r w:rsidR="004236AA">
        <w:rPr>
          <w:rFonts w:asciiTheme="minorHAnsi" w:hAnsiTheme="minorHAnsi"/>
          <w:color w:val="000000"/>
          <w:szCs w:val="24"/>
          <w:lang w:val="fr-CH" w:eastAsia="zh-CN"/>
        </w:rPr>
        <w:t xml:space="preserve">chargée de la </w:t>
      </w:r>
      <w:r>
        <w:rPr>
          <w:rFonts w:asciiTheme="minorHAnsi" w:hAnsiTheme="minorHAnsi"/>
          <w:color w:val="000000"/>
          <w:szCs w:val="24"/>
          <w:lang w:val="fr-CH" w:eastAsia="zh-CN"/>
        </w:rPr>
        <w:t>validation extérieure a été d</w:t>
      </w:r>
      <w:r w:rsidR="00D3323B">
        <w:rPr>
          <w:rFonts w:asciiTheme="minorHAnsi" w:hAnsiTheme="minorHAnsi"/>
          <w:color w:val="000000"/>
          <w:szCs w:val="24"/>
          <w:lang w:val="fr-CH" w:eastAsia="zh-CN"/>
        </w:rPr>
        <w:t>'</w:t>
      </w:r>
      <w:r>
        <w:rPr>
          <w:rFonts w:asciiTheme="minorHAnsi" w:hAnsiTheme="minorHAnsi"/>
          <w:color w:val="000000"/>
          <w:szCs w:val="24"/>
          <w:lang w:val="fr-CH" w:eastAsia="zh-CN"/>
        </w:rPr>
        <w:t>avis globalement que l</w:t>
      </w:r>
      <w:r w:rsidR="00D3323B">
        <w:rPr>
          <w:rFonts w:asciiTheme="minorHAnsi" w:hAnsiTheme="minorHAnsi"/>
          <w:color w:val="000000"/>
          <w:szCs w:val="24"/>
          <w:lang w:val="fr-CH" w:eastAsia="zh-CN"/>
        </w:rPr>
        <w:t>'</w:t>
      </w:r>
      <w:r>
        <w:rPr>
          <w:rFonts w:asciiTheme="minorHAnsi" w:hAnsiTheme="minorHAnsi"/>
          <w:color w:val="000000"/>
          <w:szCs w:val="24"/>
          <w:lang w:val="fr-CH" w:eastAsia="zh-CN"/>
        </w:rPr>
        <w:t>audit interne de l</w:t>
      </w:r>
      <w:r w:rsidR="00D3323B">
        <w:rPr>
          <w:rFonts w:asciiTheme="minorHAnsi" w:hAnsiTheme="minorHAnsi"/>
          <w:color w:val="000000"/>
          <w:szCs w:val="24"/>
          <w:lang w:val="fr-CH" w:eastAsia="zh-CN"/>
        </w:rPr>
        <w:t>'</w:t>
      </w:r>
      <w:r>
        <w:rPr>
          <w:rFonts w:asciiTheme="minorHAnsi" w:hAnsiTheme="minorHAnsi"/>
          <w:color w:val="000000"/>
          <w:szCs w:val="24"/>
          <w:lang w:val="fr-CH" w:eastAsia="zh-CN"/>
        </w:rPr>
        <w:t>UIT est conforme d</w:t>
      </w:r>
      <w:r w:rsidR="00D3323B">
        <w:rPr>
          <w:rFonts w:asciiTheme="minorHAnsi" w:hAnsiTheme="minorHAnsi"/>
          <w:color w:val="000000"/>
          <w:szCs w:val="24"/>
          <w:lang w:val="fr-CH" w:eastAsia="zh-CN"/>
        </w:rPr>
        <w:t>'</w:t>
      </w:r>
      <w:r>
        <w:rPr>
          <w:rFonts w:asciiTheme="minorHAnsi" w:hAnsiTheme="minorHAnsi"/>
          <w:color w:val="000000"/>
          <w:szCs w:val="24"/>
          <w:lang w:val="fr-CH" w:eastAsia="zh-CN"/>
        </w:rPr>
        <w:t>une façon générale aux Normes et au Code de déontologie de l</w:t>
      </w:r>
      <w:r w:rsidR="00D3323B">
        <w:rPr>
          <w:rFonts w:asciiTheme="minorHAnsi" w:hAnsiTheme="minorHAnsi"/>
          <w:color w:val="000000"/>
          <w:szCs w:val="24"/>
          <w:lang w:val="fr-CH" w:eastAsia="zh-CN"/>
        </w:rPr>
        <w:t>'</w:t>
      </w:r>
      <w:r w:rsidRPr="00E444DA">
        <w:rPr>
          <w:rFonts w:asciiTheme="minorHAnsi" w:hAnsiTheme="minorHAnsi"/>
          <w:bCs/>
          <w:lang w:val="fr-CH"/>
        </w:rPr>
        <w:t xml:space="preserve">IIA, </w:t>
      </w:r>
      <w:r w:rsidR="004236AA">
        <w:rPr>
          <w:rFonts w:asciiTheme="minorHAnsi" w:hAnsiTheme="minorHAnsi"/>
          <w:bCs/>
          <w:lang w:val="fr-CH"/>
        </w:rPr>
        <w:t xml:space="preserve">mais </w:t>
      </w:r>
      <w:r>
        <w:rPr>
          <w:rFonts w:asciiTheme="minorHAnsi" w:hAnsiTheme="minorHAnsi"/>
          <w:bCs/>
          <w:lang w:val="fr-CH"/>
        </w:rPr>
        <w:t xml:space="preserve">elle a noté une conformité partielle avec </w:t>
      </w:r>
      <w:r w:rsidR="004236AA">
        <w:rPr>
          <w:rFonts w:asciiTheme="minorHAnsi" w:hAnsiTheme="minorHAnsi"/>
          <w:bCs/>
          <w:lang w:val="fr-CH"/>
        </w:rPr>
        <w:t>1</w:t>
      </w:r>
      <w:r>
        <w:rPr>
          <w:rFonts w:asciiTheme="minorHAnsi" w:hAnsiTheme="minorHAnsi"/>
          <w:bCs/>
          <w:lang w:val="fr-CH"/>
        </w:rPr>
        <w:t xml:space="preserve"> des 14 Normes de l</w:t>
      </w:r>
      <w:r w:rsidR="00D3323B">
        <w:rPr>
          <w:rFonts w:asciiTheme="minorHAnsi" w:hAnsiTheme="minorHAnsi"/>
          <w:bCs/>
          <w:lang w:val="fr-CH"/>
        </w:rPr>
        <w:t>'</w:t>
      </w:r>
      <w:r>
        <w:rPr>
          <w:rFonts w:asciiTheme="minorHAnsi" w:hAnsiTheme="minorHAnsi"/>
          <w:bCs/>
          <w:lang w:val="fr-CH"/>
        </w:rPr>
        <w:t xml:space="preserve">IIA relatives aux attributions et 5 des </w:t>
      </w:r>
      <w:r w:rsidR="00996C81">
        <w:rPr>
          <w:rFonts w:asciiTheme="minorHAnsi" w:hAnsiTheme="minorHAnsi"/>
          <w:bCs/>
          <w:lang w:val="fr-CH"/>
        </w:rPr>
        <w:t>26 </w:t>
      </w:r>
      <w:r>
        <w:rPr>
          <w:rFonts w:asciiTheme="minorHAnsi" w:hAnsiTheme="minorHAnsi"/>
          <w:bCs/>
          <w:lang w:val="fr-CH"/>
        </w:rPr>
        <w:t>Normes de l</w:t>
      </w:r>
      <w:r w:rsidR="00D3323B">
        <w:rPr>
          <w:rFonts w:asciiTheme="minorHAnsi" w:hAnsiTheme="minorHAnsi"/>
          <w:bCs/>
          <w:lang w:val="fr-CH"/>
        </w:rPr>
        <w:t>'</w:t>
      </w:r>
      <w:r>
        <w:rPr>
          <w:rFonts w:asciiTheme="minorHAnsi" w:hAnsiTheme="minorHAnsi"/>
          <w:bCs/>
          <w:lang w:val="fr-CH"/>
        </w:rPr>
        <w:t xml:space="preserve">IIA relatives </w:t>
      </w:r>
      <w:r w:rsidR="004236AA">
        <w:rPr>
          <w:rFonts w:asciiTheme="minorHAnsi" w:hAnsiTheme="minorHAnsi"/>
          <w:bCs/>
          <w:lang w:val="fr-CH"/>
        </w:rPr>
        <w:t>aux</w:t>
      </w:r>
      <w:r>
        <w:rPr>
          <w:rFonts w:asciiTheme="minorHAnsi" w:hAnsiTheme="minorHAnsi"/>
          <w:bCs/>
          <w:lang w:val="fr-CH"/>
        </w:rPr>
        <w:t xml:space="preserve"> performance</w:t>
      </w:r>
      <w:r w:rsidR="004236AA">
        <w:rPr>
          <w:rFonts w:asciiTheme="minorHAnsi" w:hAnsiTheme="minorHAnsi"/>
          <w:bCs/>
          <w:lang w:val="fr-CH"/>
        </w:rPr>
        <w:t>s</w:t>
      </w:r>
      <w:r>
        <w:rPr>
          <w:rFonts w:asciiTheme="minorHAnsi" w:hAnsiTheme="minorHAnsi"/>
          <w:bCs/>
          <w:lang w:val="fr-CH"/>
        </w:rPr>
        <w:t>. Le CCIG suivra la suite donnée aux diverses recommandations relatives à la conformité partielle en vue d</w:t>
      </w:r>
      <w:r w:rsidR="00D3323B">
        <w:rPr>
          <w:rFonts w:asciiTheme="minorHAnsi" w:hAnsiTheme="minorHAnsi"/>
          <w:bCs/>
          <w:lang w:val="fr-CH"/>
        </w:rPr>
        <w:t>'</w:t>
      </w:r>
      <w:r>
        <w:rPr>
          <w:rFonts w:asciiTheme="minorHAnsi" w:hAnsiTheme="minorHAnsi"/>
          <w:bCs/>
          <w:lang w:val="fr-CH"/>
        </w:rPr>
        <w:t>améliorer l</w:t>
      </w:r>
      <w:r w:rsidR="00D3323B">
        <w:rPr>
          <w:rFonts w:asciiTheme="minorHAnsi" w:hAnsiTheme="minorHAnsi"/>
          <w:bCs/>
          <w:lang w:val="fr-CH"/>
        </w:rPr>
        <w:t>'</w:t>
      </w:r>
      <w:r>
        <w:rPr>
          <w:rFonts w:asciiTheme="minorHAnsi" w:hAnsiTheme="minorHAnsi"/>
          <w:bCs/>
          <w:lang w:val="fr-CH"/>
        </w:rPr>
        <w:t>efficacité et la valeur ajoutée apportée par l</w:t>
      </w:r>
      <w:r w:rsidR="00D3323B">
        <w:rPr>
          <w:rFonts w:asciiTheme="minorHAnsi" w:hAnsiTheme="minorHAnsi"/>
          <w:bCs/>
          <w:lang w:val="fr-CH"/>
        </w:rPr>
        <w:t>'</w:t>
      </w:r>
      <w:r>
        <w:rPr>
          <w:rFonts w:asciiTheme="minorHAnsi" w:hAnsiTheme="minorHAnsi"/>
          <w:bCs/>
          <w:lang w:val="fr-CH"/>
        </w:rPr>
        <w:t>audit interne à l</w:t>
      </w:r>
      <w:r w:rsidR="00D3323B">
        <w:rPr>
          <w:rFonts w:asciiTheme="minorHAnsi" w:hAnsiTheme="minorHAnsi"/>
          <w:bCs/>
          <w:lang w:val="fr-CH"/>
        </w:rPr>
        <w:t>'</w:t>
      </w:r>
      <w:r>
        <w:rPr>
          <w:rFonts w:asciiTheme="minorHAnsi" w:hAnsiTheme="minorHAnsi"/>
          <w:bCs/>
          <w:lang w:val="fr-CH"/>
        </w:rPr>
        <w:t>UIT.</w:t>
      </w:r>
    </w:p>
    <w:p w:rsidR="00E3346A" w:rsidRPr="00C84B9C" w:rsidRDefault="00E3346A" w:rsidP="00996C81">
      <w:pPr>
        <w:pStyle w:val="Headingb"/>
        <w:rPr>
          <w:lang w:val="fr-CH"/>
        </w:rPr>
      </w:pPr>
      <w:r w:rsidRPr="00C84B9C">
        <w:rPr>
          <w:lang w:val="fr-CH"/>
        </w:rPr>
        <w:lastRenderedPageBreak/>
        <w:t>Suite donnée aux recommandations</w:t>
      </w:r>
      <w:r>
        <w:rPr>
          <w:lang w:val="fr-CH"/>
        </w:rPr>
        <w:t xml:space="preserve"> formulées par l</w:t>
      </w:r>
      <w:r w:rsidR="00D3323B">
        <w:rPr>
          <w:lang w:val="fr-CH"/>
        </w:rPr>
        <w:t>'</w:t>
      </w:r>
      <w:r>
        <w:rPr>
          <w:lang w:val="fr-CH"/>
        </w:rPr>
        <w:t>Unité de l</w:t>
      </w:r>
      <w:r w:rsidR="00D3323B">
        <w:rPr>
          <w:lang w:val="fr-CH"/>
        </w:rPr>
        <w:t>'</w:t>
      </w:r>
      <w:r>
        <w:rPr>
          <w:lang w:val="fr-CH"/>
        </w:rPr>
        <w:t>audit interne</w:t>
      </w:r>
    </w:p>
    <w:p w:rsidR="00E3346A" w:rsidRDefault="004236AA" w:rsidP="000C6581">
      <w:pPr>
        <w:rPr>
          <w:lang w:val="fr-CH"/>
        </w:rPr>
      </w:pPr>
      <w:r>
        <w:rPr>
          <w:lang w:val="fr-CH"/>
        </w:rPr>
        <w:t>27</w:t>
      </w:r>
      <w:r w:rsidR="00F30796">
        <w:rPr>
          <w:lang w:val="fr-CH"/>
        </w:rPr>
        <w:tab/>
      </w:r>
      <w:r w:rsidR="00E3346A" w:rsidRPr="00C84B9C">
        <w:rPr>
          <w:lang w:val="fr-CH"/>
        </w:rPr>
        <w:t>Durant la période considérée, et conformément à la Norme 2500 de</w:t>
      </w:r>
      <w:r w:rsidR="00E3346A">
        <w:rPr>
          <w:lang w:val="fr-CH"/>
        </w:rPr>
        <w:t xml:space="preserve"> l</w:t>
      </w:r>
      <w:r w:rsidR="00D3323B">
        <w:rPr>
          <w:lang w:val="fr-CH"/>
        </w:rPr>
        <w:t>'</w:t>
      </w:r>
      <w:r w:rsidR="00E3346A" w:rsidRPr="00C84B9C">
        <w:rPr>
          <w:lang w:val="fr-CH"/>
        </w:rPr>
        <w:t>IIA</w:t>
      </w:r>
      <w:r w:rsidR="00E3346A" w:rsidRPr="004236AA">
        <w:rPr>
          <w:rStyle w:val="FootnoteReference"/>
        </w:rPr>
        <w:footnoteReference w:id="6"/>
      </w:r>
      <w:r>
        <w:rPr>
          <w:lang w:val="fr-CH"/>
        </w:rPr>
        <w:t xml:space="preserve">, </w:t>
      </w:r>
      <w:r w:rsidR="00E3346A" w:rsidRPr="00C84B9C">
        <w:rPr>
          <w:lang w:val="fr-CH"/>
        </w:rPr>
        <w:t>l'Unité de l'audit interne a continué de donner suite aux recommandations formulées dans les rapports d'audit précédents. Il a été noté que des progrès substantiels avaient été accomplis au cours des 12</w:t>
      </w:r>
      <w:r w:rsidR="000C6581">
        <w:rPr>
          <w:lang w:val="fr-CH"/>
        </w:rPr>
        <w:t> </w:t>
      </w:r>
      <w:r w:rsidR="00E3346A" w:rsidRPr="00C84B9C">
        <w:rPr>
          <w:lang w:val="fr-CH"/>
        </w:rPr>
        <w:t xml:space="preserve">derniers mois </w:t>
      </w:r>
      <w:r w:rsidR="00E3346A">
        <w:rPr>
          <w:lang w:val="fr-CH"/>
        </w:rPr>
        <w:t>et les statistiques relatives à la mise en œuvre se présentent comme suit</w:t>
      </w:r>
      <w:r w:rsidR="00E3346A" w:rsidRPr="00C84B9C">
        <w:rPr>
          <w:lang w:val="fr-CH"/>
        </w:rPr>
        <w:t>:</w:t>
      </w:r>
    </w:p>
    <w:p w:rsidR="00A04F50" w:rsidRPr="000C6581" w:rsidRDefault="00A04F50" w:rsidP="00A04F50">
      <w:pPr>
        <w:rPr>
          <w:lang w:val="fr-CH" w:eastAsia="zh-CN"/>
        </w:rPr>
      </w:pPr>
    </w:p>
    <w:tbl>
      <w:tblPr>
        <w:tblW w:w="9536" w:type="dxa"/>
        <w:tblInd w:w="93" w:type="dxa"/>
        <w:tblLook w:val="04A0" w:firstRow="1" w:lastRow="0" w:firstColumn="1" w:lastColumn="0" w:noHBand="0" w:noVBand="1"/>
      </w:tblPr>
      <w:tblGrid>
        <w:gridCol w:w="2449"/>
        <w:gridCol w:w="850"/>
        <w:gridCol w:w="851"/>
        <w:gridCol w:w="850"/>
        <w:gridCol w:w="851"/>
        <w:gridCol w:w="850"/>
        <w:gridCol w:w="993"/>
        <w:gridCol w:w="909"/>
        <w:gridCol w:w="933"/>
      </w:tblGrid>
      <w:tr w:rsidR="00A04F50" w:rsidRPr="00922F72" w:rsidTr="001E2A26">
        <w:trPr>
          <w:trHeight w:val="230"/>
        </w:trPr>
        <w:tc>
          <w:tcPr>
            <w:tcW w:w="2449" w:type="dxa"/>
            <w:tcBorders>
              <w:top w:val="single" w:sz="8" w:space="0" w:color="auto"/>
              <w:left w:val="single" w:sz="8" w:space="0" w:color="auto"/>
              <w:bottom w:val="nil"/>
              <w:right w:val="nil"/>
            </w:tcBorders>
            <w:shd w:val="clear" w:color="000000" w:fill="000000"/>
            <w:noWrap/>
            <w:vAlign w:val="bottom"/>
            <w:hideMark/>
          </w:tcPr>
          <w:p w:rsidR="00A04F50" w:rsidRPr="00922F72" w:rsidRDefault="00A04F50" w:rsidP="00A04F50">
            <w:pPr>
              <w:pStyle w:val="Tablehead"/>
              <w:jc w:val="left"/>
              <w:rPr>
                <w:lang w:val="en-US" w:eastAsia="zh-CN"/>
              </w:rPr>
            </w:pPr>
            <w:r>
              <w:rPr>
                <w:lang w:val="en-US" w:eastAsia="zh-CN"/>
              </w:rPr>
              <w:t>Année</w:t>
            </w:r>
          </w:p>
        </w:tc>
        <w:tc>
          <w:tcPr>
            <w:tcW w:w="850" w:type="dxa"/>
            <w:tcBorders>
              <w:top w:val="single" w:sz="8" w:space="0" w:color="auto"/>
              <w:left w:val="nil"/>
              <w:bottom w:val="nil"/>
              <w:right w:val="nil"/>
            </w:tcBorders>
            <w:shd w:val="clear" w:color="000000" w:fill="000000"/>
            <w:noWrap/>
            <w:vAlign w:val="bottom"/>
            <w:hideMark/>
          </w:tcPr>
          <w:p w:rsidR="00A04F50" w:rsidRPr="00922F72" w:rsidRDefault="00A04F50" w:rsidP="001E2A26">
            <w:pPr>
              <w:pStyle w:val="Tablehead"/>
              <w:rPr>
                <w:lang w:val="en-US" w:eastAsia="zh-CN"/>
              </w:rPr>
            </w:pPr>
            <w:r w:rsidRPr="00922F72">
              <w:rPr>
                <w:lang w:val="en-US" w:eastAsia="zh-CN"/>
              </w:rPr>
              <w:t>2008</w:t>
            </w:r>
          </w:p>
        </w:tc>
        <w:tc>
          <w:tcPr>
            <w:tcW w:w="851" w:type="dxa"/>
            <w:tcBorders>
              <w:top w:val="single" w:sz="8" w:space="0" w:color="auto"/>
              <w:left w:val="nil"/>
              <w:bottom w:val="nil"/>
              <w:right w:val="nil"/>
            </w:tcBorders>
            <w:shd w:val="clear" w:color="000000" w:fill="000000"/>
            <w:noWrap/>
            <w:vAlign w:val="bottom"/>
            <w:hideMark/>
          </w:tcPr>
          <w:p w:rsidR="00A04F50" w:rsidRPr="00922F72" w:rsidRDefault="00A04F50" w:rsidP="001E2A26">
            <w:pPr>
              <w:pStyle w:val="Tablehead"/>
              <w:rPr>
                <w:lang w:val="en-US" w:eastAsia="zh-CN"/>
              </w:rPr>
            </w:pPr>
            <w:r w:rsidRPr="00922F72">
              <w:rPr>
                <w:lang w:val="en-US" w:eastAsia="zh-CN"/>
              </w:rPr>
              <w:t>2009</w:t>
            </w:r>
          </w:p>
        </w:tc>
        <w:tc>
          <w:tcPr>
            <w:tcW w:w="850" w:type="dxa"/>
            <w:tcBorders>
              <w:top w:val="single" w:sz="8" w:space="0" w:color="auto"/>
              <w:left w:val="nil"/>
              <w:bottom w:val="nil"/>
              <w:right w:val="nil"/>
            </w:tcBorders>
            <w:shd w:val="clear" w:color="000000" w:fill="000000"/>
            <w:noWrap/>
            <w:vAlign w:val="bottom"/>
            <w:hideMark/>
          </w:tcPr>
          <w:p w:rsidR="00A04F50" w:rsidRPr="00922F72" w:rsidRDefault="00A04F50" w:rsidP="001E2A26">
            <w:pPr>
              <w:pStyle w:val="Tablehead"/>
              <w:rPr>
                <w:lang w:val="en-US" w:eastAsia="zh-CN"/>
              </w:rPr>
            </w:pPr>
            <w:r w:rsidRPr="00922F72">
              <w:rPr>
                <w:lang w:val="en-US" w:eastAsia="zh-CN"/>
              </w:rPr>
              <w:t>2010</w:t>
            </w:r>
          </w:p>
        </w:tc>
        <w:tc>
          <w:tcPr>
            <w:tcW w:w="851" w:type="dxa"/>
            <w:tcBorders>
              <w:top w:val="single" w:sz="8" w:space="0" w:color="auto"/>
              <w:left w:val="nil"/>
              <w:bottom w:val="nil"/>
              <w:right w:val="nil"/>
            </w:tcBorders>
            <w:shd w:val="clear" w:color="000000" w:fill="000000"/>
            <w:noWrap/>
            <w:vAlign w:val="bottom"/>
            <w:hideMark/>
          </w:tcPr>
          <w:p w:rsidR="00A04F50" w:rsidRPr="00922F72" w:rsidRDefault="00A04F50" w:rsidP="001E2A26">
            <w:pPr>
              <w:pStyle w:val="Tablehead"/>
              <w:rPr>
                <w:lang w:val="en-US" w:eastAsia="zh-CN"/>
              </w:rPr>
            </w:pPr>
            <w:r w:rsidRPr="00922F72">
              <w:rPr>
                <w:lang w:val="en-US" w:eastAsia="zh-CN"/>
              </w:rPr>
              <w:t>2011</w:t>
            </w:r>
          </w:p>
        </w:tc>
        <w:tc>
          <w:tcPr>
            <w:tcW w:w="850" w:type="dxa"/>
            <w:tcBorders>
              <w:top w:val="single" w:sz="8" w:space="0" w:color="auto"/>
              <w:left w:val="nil"/>
              <w:bottom w:val="nil"/>
              <w:right w:val="nil"/>
            </w:tcBorders>
            <w:shd w:val="clear" w:color="000000" w:fill="000000"/>
            <w:noWrap/>
            <w:vAlign w:val="bottom"/>
            <w:hideMark/>
          </w:tcPr>
          <w:p w:rsidR="00A04F50" w:rsidRPr="00922F72" w:rsidRDefault="00A04F50" w:rsidP="001E2A26">
            <w:pPr>
              <w:pStyle w:val="Tablehead"/>
              <w:rPr>
                <w:lang w:val="en-US" w:eastAsia="zh-CN"/>
              </w:rPr>
            </w:pPr>
            <w:r w:rsidRPr="00922F72">
              <w:rPr>
                <w:lang w:val="en-US" w:eastAsia="zh-CN"/>
              </w:rPr>
              <w:t>2012</w:t>
            </w:r>
          </w:p>
        </w:tc>
        <w:tc>
          <w:tcPr>
            <w:tcW w:w="993" w:type="dxa"/>
            <w:tcBorders>
              <w:top w:val="single" w:sz="8" w:space="0" w:color="auto"/>
              <w:left w:val="nil"/>
              <w:bottom w:val="nil"/>
              <w:right w:val="nil"/>
            </w:tcBorders>
            <w:shd w:val="clear" w:color="000000" w:fill="000000"/>
            <w:noWrap/>
            <w:vAlign w:val="bottom"/>
            <w:hideMark/>
          </w:tcPr>
          <w:p w:rsidR="00A04F50" w:rsidRPr="00922F72" w:rsidRDefault="00A04F50" w:rsidP="001E2A26">
            <w:pPr>
              <w:pStyle w:val="Tablehead"/>
              <w:rPr>
                <w:lang w:val="en-US" w:eastAsia="zh-CN"/>
              </w:rPr>
            </w:pPr>
            <w:r w:rsidRPr="00922F72">
              <w:rPr>
                <w:lang w:val="en-US" w:eastAsia="zh-CN"/>
              </w:rPr>
              <w:t>2013</w:t>
            </w:r>
          </w:p>
        </w:tc>
        <w:tc>
          <w:tcPr>
            <w:tcW w:w="909" w:type="dxa"/>
            <w:tcBorders>
              <w:top w:val="single" w:sz="8" w:space="0" w:color="auto"/>
              <w:left w:val="nil"/>
              <w:bottom w:val="nil"/>
              <w:right w:val="nil"/>
            </w:tcBorders>
            <w:shd w:val="clear" w:color="000000" w:fill="000000"/>
            <w:noWrap/>
            <w:vAlign w:val="bottom"/>
            <w:hideMark/>
          </w:tcPr>
          <w:p w:rsidR="00A04F50" w:rsidRPr="00922F72" w:rsidRDefault="00A04F50" w:rsidP="001E2A26">
            <w:pPr>
              <w:pStyle w:val="Tablehead"/>
              <w:rPr>
                <w:lang w:val="en-US" w:eastAsia="zh-CN"/>
              </w:rPr>
            </w:pPr>
            <w:r w:rsidRPr="00922F72">
              <w:rPr>
                <w:lang w:val="en-US" w:eastAsia="zh-CN"/>
              </w:rPr>
              <w:t>2014</w:t>
            </w:r>
            <w:r>
              <w:rPr>
                <w:rFonts w:hint="eastAsia"/>
                <w:lang w:val="en-US" w:eastAsia="zh-CN"/>
              </w:rPr>
              <w:t>(</w:t>
            </w:r>
            <w:r w:rsidRPr="00922F72">
              <w:rPr>
                <w:lang w:val="en-US" w:eastAsia="zh-CN"/>
              </w:rPr>
              <w:t>*</w:t>
            </w:r>
            <w:r>
              <w:rPr>
                <w:rFonts w:hint="eastAsia"/>
                <w:lang w:val="en-US" w:eastAsia="zh-CN"/>
              </w:rPr>
              <w:t>)</w:t>
            </w:r>
          </w:p>
        </w:tc>
        <w:tc>
          <w:tcPr>
            <w:tcW w:w="933" w:type="dxa"/>
            <w:tcBorders>
              <w:top w:val="single" w:sz="8" w:space="0" w:color="auto"/>
              <w:left w:val="nil"/>
              <w:bottom w:val="nil"/>
              <w:right w:val="single" w:sz="8" w:space="0" w:color="auto"/>
            </w:tcBorders>
            <w:shd w:val="clear" w:color="000000" w:fill="000000"/>
            <w:noWrap/>
            <w:vAlign w:val="bottom"/>
            <w:hideMark/>
          </w:tcPr>
          <w:p w:rsidR="00A04F50" w:rsidRPr="00922F72" w:rsidRDefault="00A04F50" w:rsidP="001E2A26">
            <w:pPr>
              <w:pStyle w:val="Tablehead"/>
              <w:rPr>
                <w:lang w:val="en-US" w:eastAsia="zh-CN"/>
              </w:rPr>
            </w:pPr>
            <w:r>
              <w:rPr>
                <w:lang w:val="en-US" w:eastAsia="zh-CN"/>
              </w:rPr>
              <w:t>Total</w:t>
            </w:r>
          </w:p>
        </w:tc>
      </w:tr>
      <w:tr w:rsidR="00A04F50" w:rsidRPr="00922F72" w:rsidTr="001E2A26">
        <w:trPr>
          <w:trHeight w:val="217"/>
        </w:trPr>
        <w:tc>
          <w:tcPr>
            <w:tcW w:w="24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04F50" w:rsidRPr="00922F72" w:rsidRDefault="00A04F50" w:rsidP="001E2A26">
            <w:pPr>
              <w:pStyle w:val="Tabletext"/>
              <w:rPr>
                <w:lang w:val="en-US" w:eastAsia="zh-CN"/>
              </w:rPr>
            </w:pPr>
            <w:r w:rsidRPr="00C84B9C">
              <w:rPr>
                <w:rFonts w:asciiTheme="minorHAnsi" w:hAnsiTheme="minorHAnsi" w:cs="Calibri"/>
                <w:szCs w:val="24"/>
                <w:lang w:val="fr-CH"/>
              </w:rPr>
              <w:t>Nombre de rapports d'audi</w:t>
            </w:r>
            <w:r>
              <w:rPr>
                <w:rFonts w:asciiTheme="minorHAnsi" w:hAnsiTheme="minorHAnsi" w:cs="Calibri"/>
                <w:szCs w:val="24"/>
                <w:lang w:val="fr-CH"/>
              </w:rPr>
              <w:t>t</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1</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3</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0</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sidRPr="00922F72">
              <w:rPr>
                <w:lang w:val="en-US" w:eastAsia="zh-CN"/>
              </w:rPr>
              <w:t>4</w:t>
            </w:r>
          </w:p>
        </w:tc>
        <w:tc>
          <w:tcPr>
            <w:tcW w:w="909" w:type="dxa"/>
            <w:tcBorders>
              <w:top w:val="single" w:sz="8" w:space="0" w:color="auto"/>
              <w:left w:val="nil"/>
              <w:bottom w:val="single" w:sz="4"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4</w:t>
            </w:r>
          </w:p>
        </w:tc>
        <w:tc>
          <w:tcPr>
            <w:tcW w:w="933" w:type="dxa"/>
            <w:tcBorders>
              <w:top w:val="single" w:sz="8" w:space="0" w:color="auto"/>
              <w:left w:val="single" w:sz="4" w:space="0" w:color="auto"/>
              <w:bottom w:val="single" w:sz="4" w:space="0" w:color="auto"/>
              <w:right w:val="single" w:sz="8" w:space="0" w:color="auto"/>
            </w:tcBorders>
            <w:shd w:val="clear" w:color="000000" w:fill="C4BD97"/>
            <w:noWrap/>
            <w:vAlign w:val="bottom"/>
            <w:hideMark/>
          </w:tcPr>
          <w:p w:rsidR="00A04F50" w:rsidRPr="00922F72" w:rsidRDefault="00A04F50" w:rsidP="001E2A26">
            <w:pPr>
              <w:pStyle w:val="Tabletext"/>
              <w:jc w:val="center"/>
              <w:rPr>
                <w:b/>
                <w:bCs/>
                <w:lang w:val="en-US" w:eastAsia="zh-CN"/>
              </w:rPr>
            </w:pPr>
            <w:r>
              <w:rPr>
                <w:b/>
                <w:bCs/>
                <w:lang w:val="en-US" w:eastAsia="zh-CN"/>
              </w:rPr>
              <w:t>16</w:t>
            </w:r>
          </w:p>
        </w:tc>
      </w:tr>
      <w:tr w:rsidR="00A04F50" w:rsidRPr="00922F72" w:rsidTr="001E2A26">
        <w:trPr>
          <w:trHeight w:val="217"/>
        </w:trPr>
        <w:tc>
          <w:tcPr>
            <w:tcW w:w="2449" w:type="dxa"/>
            <w:tcBorders>
              <w:top w:val="nil"/>
              <w:left w:val="single" w:sz="8" w:space="0" w:color="auto"/>
              <w:bottom w:val="single" w:sz="4" w:space="0" w:color="auto"/>
              <w:right w:val="single" w:sz="4" w:space="0" w:color="auto"/>
            </w:tcBorders>
            <w:shd w:val="clear" w:color="auto" w:fill="auto"/>
            <w:noWrap/>
            <w:vAlign w:val="bottom"/>
            <w:hideMark/>
          </w:tcPr>
          <w:p w:rsidR="00A04F50" w:rsidRPr="00922F72" w:rsidRDefault="00A04F50" w:rsidP="001E2A26">
            <w:pPr>
              <w:pStyle w:val="Tabletext"/>
              <w:rPr>
                <w:lang w:val="en-US" w:eastAsia="zh-CN"/>
              </w:rPr>
            </w:pPr>
            <w:r w:rsidRPr="00C84B9C">
              <w:rPr>
                <w:rFonts w:asciiTheme="minorHAnsi" w:hAnsiTheme="minorHAnsi" w:cs="Calibri"/>
                <w:szCs w:val="24"/>
                <w:lang w:val="fr-CH"/>
              </w:rPr>
              <w:t>Recommandations</w:t>
            </w:r>
            <w:r>
              <w:rPr>
                <w:rFonts w:asciiTheme="minorHAnsi" w:hAnsiTheme="minorHAnsi" w:cs="Calibri"/>
                <w:szCs w:val="24"/>
                <w:lang w:val="fr-CH"/>
              </w:rPr>
              <w:t xml:space="preserve"> </w:t>
            </w:r>
            <w:r w:rsidRPr="00A04F50">
              <w:rPr>
                <w:rFonts w:asciiTheme="minorHAnsi" w:hAnsiTheme="minorHAnsi" w:cs="Calibri"/>
                <w:szCs w:val="24"/>
                <w:lang w:val="fr-CH"/>
              </w:rPr>
              <w:t>–</w:t>
            </w:r>
            <w:r>
              <w:rPr>
                <w:rFonts w:asciiTheme="minorHAnsi" w:hAnsiTheme="minorHAnsi" w:cs="Calibri"/>
                <w:szCs w:val="24"/>
                <w:lang w:val="fr-CH"/>
              </w:rPr>
              <w:t xml:space="preserve"> </w:t>
            </w:r>
            <w:r w:rsidRPr="00C84B9C">
              <w:rPr>
                <w:rFonts w:asciiTheme="minorHAnsi" w:hAnsiTheme="minorHAnsi" w:cs="Calibri"/>
                <w:szCs w:val="24"/>
                <w:lang w:val="fr-CH"/>
              </w:rPr>
              <w:t>Total</w:t>
            </w:r>
          </w:p>
        </w:tc>
        <w:tc>
          <w:tcPr>
            <w:tcW w:w="850" w:type="dxa"/>
            <w:tcBorders>
              <w:top w:val="nil"/>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10</w:t>
            </w:r>
          </w:p>
        </w:tc>
        <w:tc>
          <w:tcPr>
            <w:tcW w:w="851" w:type="dxa"/>
            <w:tcBorders>
              <w:top w:val="nil"/>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13</w:t>
            </w:r>
          </w:p>
        </w:tc>
        <w:tc>
          <w:tcPr>
            <w:tcW w:w="850" w:type="dxa"/>
            <w:tcBorders>
              <w:top w:val="nil"/>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21</w:t>
            </w:r>
          </w:p>
        </w:tc>
        <w:tc>
          <w:tcPr>
            <w:tcW w:w="851" w:type="dxa"/>
            <w:tcBorders>
              <w:top w:val="nil"/>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17</w:t>
            </w:r>
          </w:p>
        </w:tc>
        <w:tc>
          <w:tcPr>
            <w:tcW w:w="850" w:type="dxa"/>
            <w:tcBorders>
              <w:top w:val="nil"/>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A04F50">
              <w:rPr>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sidRPr="00922F72">
              <w:rPr>
                <w:lang w:val="en-US" w:eastAsia="zh-CN"/>
              </w:rPr>
              <w:t>113</w:t>
            </w:r>
          </w:p>
        </w:tc>
        <w:tc>
          <w:tcPr>
            <w:tcW w:w="909" w:type="dxa"/>
            <w:tcBorders>
              <w:top w:val="nil"/>
              <w:left w:val="nil"/>
              <w:bottom w:val="single" w:sz="4"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54</w:t>
            </w:r>
          </w:p>
        </w:tc>
        <w:tc>
          <w:tcPr>
            <w:tcW w:w="933" w:type="dxa"/>
            <w:tcBorders>
              <w:top w:val="nil"/>
              <w:left w:val="single" w:sz="4" w:space="0" w:color="auto"/>
              <w:bottom w:val="single" w:sz="4" w:space="0" w:color="auto"/>
              <w:right w:val="single" w:sz="8" w:space="0" w:color="auto"/>
            </w:tcBorders>
            <w:shd w:val="clear" w:color="000000" w:fill="C4BD97"/>
            <w:noWrap/>
            <w:vAlign w:val="bottom"/>
            <w:hideMark/>
          </w:tcPr>
          <w:p w:rsidR="00A04F50" w:rsidRPr="00922F72" w:rsidRDefault="00A04F50" w:rsidP="001E2A26">
            <w:pPr>
              <w:pStyle w:val="Tabletext"/>
              <w:jc w:val="center"/>
              <w:rPr>
                <w:b/>
                <w:bCs/>
                <w:lang w:val="en-US" w:eastAsia="zh-CN"/>
              </w:rPr>
            </w:pPr>
            <w:r>
              <w:rPr>
                <w:b/>
                <w:bCs/>
                <w:lang w:val="en-US" w:eastAsia="zh-CN"/>
              </w:rPr>
              <w:t>228</w:t>
            </w:r>
          </w:p>
        </w:tc>
      </w:tr>
      <w:tr w:rsidR="00A04F50" w:rsidRPr="00922F72" w:rsidTr="001E2A26">
        <w:trPr>
          <w:trHeight w:val="217"/>
        </w:trPr>
        <w:tc>
          <w:tcPr>
            <w:tcW w:w="2449" w:type="dxa"/>
            <w:tcBorders>
              <w:top w:val="nil"/>
              <w:left w:val="single" w:sz="8" w:space="0" w:color="auto"/>
              <w:bottom w:val="single" w:sz="4" w:space="0" w:color="auto"/>
              <w:right w:val="single" w:sz="4" w:space="0" w:color="auto"/>
            </w:tcBorders>
            <w:shd w:val="clear" w:color="auto" w:fill="auto"/>
            <w:noWrap/>
            <w:vAlign w:val="bottom"/>
            <w:hideMark/>
          </w:tcPr>
          <w:p w:rsidR="00A04F50" w:rsidRPr="00922F72" w:rsidRDefault="00A04F50" w:rsidP="001E2A26">
            <w:pPr>
              <w:pStyle w:val="Tabletext"/>
              <w:rPr>
                <w:lang w:val="en-US" w:eastAsia="zh-CN"/>
              </w:rPr>
            </w:pPr>
            <w:r>
              <w:rPr>
                <w:rFonts w:hint="eastAsia"/>
                <w:lang w:val="en-CA" w:eastAsia="zh-CN"/>
              </w:rPr>
              <w:tab/>
            </w:r>
            <w:r>
              <w:rPr>
                <w:rFonts w:asciiTheme="minorHAnsi" w:hAnsiTheme="minorHAnsi" w:cs="Calibri"/>
                <w:szCs w:val="24"/>
                <w:lang w:val="fr-CH"/>
              </w:rPr>
              <w:t>En cours</w:t>
            </w:r>
          </w:p>
        </w:tc>
        <w:tc>
          <w:tcPr>
            <w:tcW w:w="850" w:type="dxa"/>
            <w:tcBorders>
              <w:top w:val="nil"/>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9</w:t>
            </w:r>
          </w:p>
        </w:tc>
        <w:tc>
          <w:tcPr>
            <w:tcW w:w="850" w:type="dxa"/>
            <w:tcBorders>
              <w:top w:val="nil"/>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A04F50">
              <w:rPr>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22</w:t>
            </w:r>
          </w:p>
        </w:tc>
        <w:tc>
          <w:tcPr>
            <w:tcW w:w="909" w:type="dxa"/>
            <w:tcBorders>
              <w:top w:val="nil"/>
              <w:left w:val="nil"/>
              <w:bottom w:val="single" w:sz="4"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38</w:t>
            </w:r>
          </w:p>
        </w:tc>
        <w:tc>
          <w:tcPr>
            <w:tcW w:w="933" w:type="dxa"/>
            <w:tcBorders>
              <w:top w:val="nil"/>
              <w:left w:val="single" w:sz="4" w:space="0" w:color="auto"/>
              <w:bottom w:val="single" w:sz="4" w:space="0" w:color="auto"/>
              <w:right w:val="single" w:sz="8" w:space="0" w:color="auto"/>
            </w:tcBorders>
            <w:shd w:val="clear" w:color="000000" w:fill="C4BD97"/>
            <w:noWrap/>
            <w:vAlign w:val="bottom"/>
            <w:hideMark/>
          </w:tcPr>
          <w:p w:rsidR="00A04F50" w:rsidRPr="00922F72" w:rsidRDefault="00A04F50" w:rsidP="001E2A26">
            <w:pPr>
              <w:pStyle w:val="Tabletext"/>
              <w:jc w:val="center"/>
              <w:rPr>
                <w:b/>
                <w:bCs/>
                <w:lang w:val="en-US" w:eastAsia="zh-CN"/>
              </w:rPr>
            </w:pPr>
            <w:r w:rsidRPr="00922F72">
              <w:rPr>
                <w:b/>
                <w:bCs/>
                <w:lang w:val="en-US" w:eastAsia="zh-CN"/>
              </w:rPr>
              <w:t>7</w:t>
            </w:r>
            <w:r>
              <w:rPr>
                <w:b/>
                <w:bCs/>
                <w:lang w:val="en-US" w:eastAsia="zh-CN"/>
              </w:rPr>
              <w:t>1</w:t>
            </w:r>
          </w:p>
        </w:tc>
      </w:tr>
      <w:tr w:rsidR="00A04F50" w:rsidRPr="00922F72" w:rsidTr="001E2A26">
        <w:trPr>
          <w:trHeight w:val="217"/>
        </w:trPr>
        <w:tc>
          <w:tcPr>
            <w:tcW w:w="2449" w:type="dxa"/>
            <w:tcBorders>
              <w:top w:val="nil"/>
              <w:left w:val="single" w:sz="8" w:space="0" w:color="auto"/>
              <w:bottom w:val="single" w:sz="4" w:space="0" w:color="auto"/>
              <w:right w:val="single" w:sz="4" w:space="0" w:color="auto"/>
            </w:tcBorders>
            <w:shd w:val="clear" w:color="auto" w:fill="auto"/>
            <w:noWrap/>
            <w:vAlign w:val="bottom"/>
            <w:hideMark/>
          </w:tcPr>
          <w:p w:rsidR="00A04F50" w:rsidRPr="00922F72" w:rsidRDefault="00A04F50" w:rsidP="001E2A26">
            <w:pPr>
              <w:pStyle w:val="Tabletext"/>
              <w:rPr>
                <w:lang w:val="en-US" w:eastAsia="zh-CN"/>
              </w:rPr>
            </w:pPr>
            <w:r>
              <w:rPr>
                <w:rFonts w:hint="eastAsia"/>
                <w:lang w:val="en-CA" w:eastAsia="zh-CN"/>
              </w:rPr>
              <w:tab/>
            </w:r>
            <w:r>
              <w:rPr>
                <w:rFonts w:asciiTheme="minorHAnsi" w:hAnsiTheme="minorHAnsi" w:cs="Calibri"/>
                <w:szCs w:val="24"/>
                <w:lang w:val="fr-CH"/>
              </w:rPr>
              <w:t>Retardées</w:t>
            </w:r>
          </w:p>
        </w:tc>
        <w:tc>
          <w:tcPr>
            <w:tcW w:w="850" w:type="dxa"/>
            <w:tcBorders>
              <w:top w:val="nil"/>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sidRPr="00922F72">
              <w:rPr>
                <w:lang w:val="en-US" w:eastAsia="zh-CN"/>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sidRPr="00922F72">
              <w:rPr>
                <w:lang w:val="en-US" w:eastAsia="zh-CN"/>
              </w:rPr>
              <w:t>0</w:t>
            </w:r>
          </w:p>
        </w:tc>
        <w:tc>
          <w:tcPr>
            <w:tcW w:w="850" w:type="dxa"/>
            <w:tcBorders>
              <w:top w:val="nil"/>
              <w:left w:val="nil"/>
              <w:bottom w:val="single" w:sz="4"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A04F50">
              <w:rPr>
                <w:lang w:val="en-US" w:eastAsia="zh-CN"/>
              </w:rPr>
              <w:t>–</w:t>
            </w:r>
          </w:p>
        </w:tc>
        <w:tc>
          <w:tcPr>
            <w:tcW w:w="993" w:type="dxa"/>
            <w:tcBorders>
              <w:top w:val="nil"/>
              <w:left w:val="nil"/>
              <w:bottom w:val="single" w:sz="4"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6</w:t>
            </w:r>
          </w:p>
        </w:tc>
        <w:tc>
          <w:tcPr>
            <w:tcW w:w="909" w:type="dxa"/>
            <w:tcBorders>
              <w:top w:val="nil"/>
              <w:left w:val="nil"/>
              <w:bottom w:val="single" w:sz="4"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6</w:t>
            </w:r>
          </w:p>
        </w:tc>
        <w:tc>
          <w:tcPr>
            <w:tcW w:w="933" w:type="dxa"/>
            <w:tcBorders>
              <w:top w:val="nil"/>
              <w:left w:val="single" w:sz="4" w:space="0" w:color="auto"/>
              <w:bottom w:val="single" w:sz="4" w:space="0" w:color="auto"/>
              <w:right w:val="single" w:sz="8" w:space="0" w:color="auto"/>
            </w:tcBorders>
            <w:shd w:val="clear" w:color="000000" w:fill="C4BD97"/>
            <w:noWrap/>
            <w:vAlign w:val="bottom"/>
            <w:hideMark/>
          </w:tcPr>
          <w:p w:rsidR="00A04F50" w:rsidRPr="00922F72" w:rsidRDefault="00A04F50" w:rsidP="001E2A26">
            <w:pPr>
              <w:pStyle w:val="Tabletext"/>
              <w:jc w:val="center"/>
              <w:rPr>
                <w:b/>
                <w:bCs/>
                <w:lang w:val="en-US" w:eastAsia="zh-CN"/>
              </w:rPr>
            </w:pPr>
            <w:r>
              <w:rPr>
                <w:b/>
                <w:bCs/>
                <w:lang w:val="en-US" w:eastAsia="zh-CN"/>
              </w:rPr>
              <w:t>12</w:t>
            </w:r>
          </w:p>
        </w:tc>
      </w:tr>
      <w:tr w:rsidR="00A04F50" w:rsidRPr="00922F72" w:rsidTr="001E2A26">
        <w:trPr>
          <w:trHeight w:val="230"/>
        </w:trPr>
        <w:tc>
          <w:tcPr>
            <w:tcW w:w="2449"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rsidR="00A04F50" w:rsidRPr="00922F72" w:rsidRDefault="00A04F50" w:rsidP="001E2A26">
            <w:pPr>
              <w:pStyle w:val="Tabletext"/>
              <w:rPr>
                <w:lang w:val="en-US" w:eastAsia="zh-CN"/>
              </w:rPr>
            </w:pPr>
            <w:r>
              <w:rPr>
                <w:rFonts w:hint="eastAsia"/>
                <w:lang w:val="en-CA" w:eastAsia="zh-CN"/>
              </w:rPr>
              <w:tab/>
            </w:r>
            <w:r>
              <w:rPr>
                <w:rFonts w:asciiTheme="minorHAnsi" w:hAnsiTheme="minorHAnsi" w:cs="Calibri"/>
                <w:szCs w:val="24"/>
                <w:lang w:val="fr-CH"/>
              </w:rPr>
              <w:t>Closes</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10</w:t>
            </w:r>
          </w:p>
        </w:tc>
        <w:tc>
          <w:tcPr>
            <w:tcW w:w="851" w:type="dxa"/>
            <w:tcBorders>
              <w:top w:val="single" w:sz="4" w:space="0" w:color="auto"/>
              <w:left w:val="nil"/>
              <w:bottom w:val="single" w:sz="12"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12</w:t>
            </w:r>
          </w:p>
        </w:tc>
        <w:tc>
          <w:tcPr>
            <w:tcW w:w="850" w:type="dxa"/>
            <w:tcBorders>
              <w:top w:val="single" w:sz="4" w:space="0" w:color="auto"/>
              <w:left w:val="nil"/>
              <w:bottom w:val="single" w:sz="12"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sidRPr="00922F72">
              <w:rPr>
                <w:lang w:val="en-US" w:eastAsia="zh-CN"/>
              </w:rPr>
              <w:t>20</w:t>
            </w:r>
          </w:p>
        </w:tc>
        <w:tc>
          <w:tcPr>
            <w:tcW w:w="851" w:type="dxa"/>
            <w:tcBorders>
              <w:top w:val="single" w:sz="4" w:space="0" w:color="auto"/>
              <w:left w:val="nil"/>
              <w:bottom w:val="single" w:sz="12"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8</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A04F50">
              <w:rPr>
                <w:lang w:val="en-US" w:eastAsia="zh-CN"/>
              </w:rPr>
              <w:t>–</w:t>
            </w:r>
          </w:p>
        </w:tc>
        <w:tc>
          <w:tcPr>
            <w:tcW w:w="993" w:type="dxa"/>
            <w:tcBorders>
              <w:top w:val="single" w:sz="4" w:space="0" w:color="auto"/>
              <w:left w:val="nil"/>
              <w:bottom w:val="single" w:sz="12"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85</w:t>
            </w:r>
          </w:p>
        </w:tc>
        <w:tc>
          <w:tcPr>
            <w:tcW w:w="909" w:type="dxa"/>
            <w:tcBorders>
              <w:top w:val="single" w:sz="4" w:space="0" w:color="auto"/>
              <w:left w:val="nil"/>
              <w:bottom w:val="single" w:sz="12"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1</w:t>
            </w:r>
            <w:r w:rsidRPr="00922F72">
              <w:rPr>
                <w:lang w:val="en-US" w:eastAsia="zh-CN"/>
              </w:rPr>
              <w:t>0</w:t>
            </w:r>
          </w:p>
        </w:tc>
        <w:tc>
          <w:tcPr>
            <w:tcW w:w="933" w:type="dxa"/>
            <w:tcBorders>
              <w:top w:val="single" w:sz="4" w:space="0" w:color="auto"/>
              <w:left w:val="single" w:sz="4" w:space="0" w:color="auto"/>
              <w:bottom w:val="single" w:sz="12" w:space="0" w:color="auto"/>
              <w:right w:val="single" w:sz="8" w:space="0" w:color="auto"/>
            </w:tcBorders>
            <w:shd w:val="clear" w:color="000000" w:fill="C4BD97"/>
            <w:noWrap/>
            <w:vAlign w:val="bottom"/>
            <w:hideMark/>
          </w:tcPr>
          <w:p w:rsidR="00A04F50" w:rsidRPr="00922F72" w:rsidRDefault="00A04F50" w:rsidP="001E2A26">
            <w:pPr>
              <w:pStyle w:val="Tabletext"/>
              <w:jc w:val="center"/>
              <w:rPr>
                <w:b/>
                <w:bCs/>
                <w:lang w:val="en-US" w:eastAsia="zh-CN"/>
              </w:rPr>
            </w:pPr>
            <w:r>
              <w:rPr>
                <w:b/>
                <w:bCs/>
                <w:lang w:val="en-US" w:eastAsia="zh-CN"/>
              </w:rPr>
              <w:t>145</w:t>
            </w:r>
          </w:p>
        </w:tc>
      </w:tr>
      <w:tr w:rsidR="00A04F50" w:rsidRPr="00922F72" w:rsidTr="001E2A26">
        <w:trPr>
          <w:trHeight w:val="128"/>
        </w:trPr>
        <w:tc>
          <w:tcPr>
            <w:tcW w:w="2449" w:type="dxa"/>
            <w:tcBorders>
              <w:top w:val="single" w:sz="12" w:space="0" w:color="auto"/>
              <w:left w:val="nil"/>
              <w:bottom w:val="single" w:sz="12" w:space="0" w:color="auto"/>
              <w:right w:val="nil"/>
            </w:tcBorders>
            <w:shd w:val="clear" w:color="auto" w:fill="auto"/>
            <w:noWrap/>
            <w:vAlign w:val="bottom"/>
            <w:hideMark/>
          </w:tcPr>
          <w:p w:rsidR="00A04F50" w:rsidRPr="00922F72" w:rsidRDefault="00A04F50" w:rsidP="001E2A26">
            <w:pPr>
              <w:pStyle w:val="Tabletext"/>
              <w:rPr>
                <w:lang w:val="en-US" w:eastAsia="zh-CN"/>
              </w:rPr>
            </w:pPr>
          </w:p>
        </w:tc>
        <w:tc>
          <w:tcPr>
            <w:tcW w:w="850" w:type="dxa"/>
            <w:tcBorders>
              <w:top w:val="single" w:sz="12" w:space="0" w:color="auto"/>
              <w:left w:val="nil"/>
              <w:bottom w:val="single" w:sz="12" w:space="0" w:color="auto"/>
              <w:right w:val="nil"/>
            </w:tcBorders>
            <w:shd w:val="clear" w:color="auto" w:fill="auto"/>
            <w:noWrap/>
            <w:vAlign w:val="bottom"/>
            <w:hideMark/>
          </w:tcPr>
          <w:p w:rsidR="00A04F50" w:rsidRPr="00922F72" w:rsidRDefault="00A04F50" w:rsidP="001E2A26">
            <w:pPr>
              <w:pStyle w:val="Tabletext"/>
              <w:jc w:val="center"/>
              <w:rPr>
                <w:lang w:val="en-US" w:eastAsia="zh-CN"/>
              </w:rPr>
            </w:pPr>
          </w:p>
        </w:tc>
        <w:tc>
          <w:tcPr>
            <w:tcW w:w="851" w:type="dxa"/>
            <w:tcBorders>
              <w:top w:val="single" w:sz="12" w:space="0" w:color="auto"/>
              <w:left w:val="nil"/>
              <w:bottom w:val="single" w:sz="12"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p>
        </w:tc>
        <w:tc>
          <w:tcPr>
            <w:tcW w:w="850" w:type="dxa"/>
            <w:tcBorders>
              <w:top w:val="single" w:sz="12" w:space="0" w:color="auto"/>
              <w:left w:val="nil"/>
              <w:bottom w:val="single" w:sz="12"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p>
        </w:tc>
        <w:tc>
          <w:tcPr>
            <w:tcW w:w="851" w:type="dxa"/>
            <w:tcBorders>
              <w:top w:val="single" w:sz="12" w:space="0" w:color="auto"/>
              <w:left w:val="nil"/>
              <w:bottom w:val="single" w:sz="12"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p>
        </w:tc>
        <w:tc>
          <w:tcPr>
            <w:tcW w:w="850" w:type="dxa"/>
            <w:tcBorders>
              <w:top w:val="single" w:sz="12" w:space="0" w:color="auto"/>
              <w:left w:val="nil"/>
              <w:bottom w:val="single" w:sz="12" w:space="0" w:color="auto"/>
              <w:right w:val="nil"/>
            </w:tcBorders>
            <w:shd w:val="clear" w:color="auto" w:fill="auto"/>
            <w:noWrap/>
            <w:vAlign w:val="bottom"/>
            <w:hideMark/>
          </w:tcPr>
          <w:p w:rsidR="00A04F50" w:rsidRPr="00922F72" w:rsidRDefault="00A04F50" w:rsidP="001E2A26">
            <w:pPr>
              <w:pStyle w:val="Tabletext"/>
              <w:jc w:val="center"/>
              <w:rPr>
                <w:lang w:val="en-US" w:eastAsia="zh-CN"/>
              </w:rPr>
            </w:pPr>
          </w:p>
        </w:tc>
        <w:tc>
          <w:tcPr>
            <w:tcW w:w="993" w:type="dxa"/>
            <w:tcBorders>
              <w:top w:val="single" w:sz="12" w:space="0" w:color="auto"/>
              <w:left w:val="nil"/>
              <w:bottom w:val="single" w:sz="12"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p>
        </w:tc>
        <w:tc>
          <w:tcPr>
            <w:tcW w:w="909" w:type="dxa"/>
            <w:tcBorders>
              <w:top w:val="single" w:sz="12" w:space="0" w:color="auto"/>
              <w:left w:val="nil"/>
              <w:bottom w:val="single" w:sz="12" w:space="0" w:color="auto"/>
              <w:right w:val="nil"/>
            </w:tcBorders>
            <w:shd w:val="clear" w:color="000000" w:fill="FFFFFF"/>
            <w:noWrap/>
            <w:vAlign w:val="bottom"/>
            <w:hideMark/>
          </w:tcPr>
          <w:p w:rsidR="00A04F50" w:rsidRPr="00922F72" w:rsidRDefault="00A04F50" w:rsidP="001E2A26">
            <w:pPr>
              <w:pStyle w:val="Tabletext"/>
              <w:jc w:val="center"/>
              <w:rPr>
                <w:lang w:val="en-US" w:eastAsia="zh-CN"/>
              </w:rPr>
            </w:pPr>
          </w:p>
        </w:tc>
        <w:tc>
          <w:tcPr>
            <w:tcW w:w="933" w:type="dxa"/>
            <w:tcBorders>
              <w:top w:val="single" w:sz="12" w:space="0" w:color="auto"/>
              <w:left w:val="nil"/>
              <w:bottom w:val="single" w:sz="12" w:space="0" w:color="auto"/>
              <w:right w:val="nil"/>
            </w:tcBorders>
            <w:shd w:val="clear" w:color="000000" w:fill="FFFFFF"/>
            <w:noWrap/>
            <w:vAlign w:val="bottom"/>
            <w:hideMark/>
          </w:tcPr>
          <w:p w:rsidR="00A04F50" w:rsidRPr="00922F72" w:rsidRDefault="00A04F50" w:rsidP="001E2A26">
            <w:pPr>
              <w:pStyle w:val="Tabletext"/>
              <w:jc w:val="center"/>
              <w:rPr>
                <w:b/>
                <w:bCs/>
                <w:lang w:val="en-US" w:eastAsia="zh-CN"/>
              </w:rPr>
            </w:pPr>
          </w:p>
        </w:tc>
      </w:tr>
      <w:tr w:rsidR="00A04F50" w:rsidRPr="00922F72" w:rsidTr="001E2A26">
        <w:trPr>
          <w:trHeight w:val="230"/>
        </w:trPr>
        <w:tc>
          <w:tcPr>
            <w:tcW w:w="2449" w:type="dxa"/>
            <w:tcBorders>
              <w:top w:val="single" w:sz="12" w:space="0" w:color="auto"/>
              <w:left w:val="single" w:sz="8" w:space="0" w:color="auto"/>
              <w:bottom w:val="single" w:sz="8" w:space="0" w:color="auto"/>
              <w:right w:val="single" w:sz="4" w:space="0" w:color="auto"/>
            </w:tcBorders>
            <w:shd w:val="clear" w:color="auto" w:fill="auto"/>
            <w:noWrap/>
            <w:vAlign w:val="bottom"/>
          </w:tcPr>
          <w:p w:rsidR="00A04F50" w:rsidRDefault="00A04F50" w:rsidP="001E2A26">
            <w:pPr>
              <w:pStyle w:val="Tabletext"/>
              <w:rPr>
                <w:sz w:val="18"/>
                <w:szCs w:val="18"/>
                <w:lang w:val="en-US" w:eastAsia="zh-CN"/>
              </w:rPr>
            </w:pPr>
            <w:r>
              <w:rPr>
                <w:rFonts w:asciiTheme="minorHAnsi" w:hAnsiTheme="minorHAnsi" w:cs="Calibri"/>
                <w:szCs w:val="24"/>
                <w:lang w:val="fr-CH"/>
              </w:rPr>
              <w:t>% de recommandations en cours</w:t>
            </w:r>
          </w:p>
        </w:tc>
        <w:tc>
          <w:tcPr>
            <w:tcW w:w="850" w:type="dxa"/>
            <w:tcBorders>
              <w:top w:val="single" w:sz="12" w:space="0" w:color="auto"/>
              <w:left w:val="nil"/>
              <w:bottom w:val="single" w:sz="8" w:space="0" w:color="auto"/>
              <w:right w:val="single" w:sz="4" w:space="0" w:color="auto"/>
            </w:tcBorders>
            <w:shd w:val="clear" w:color="auto" w:fill="auto"/>
            <w:noWrap/>
            <w:vAlign w:val="bottom"/>
          </w:tcPr>
          <w:p w:rsidR="00A04F50" w:rsidRPr="00922F72" w:rsidRDefault="00A04F50" w:rsidP="001E2A26">
            <w:pPr>
              <w:pStyle w:val="Tabletext"/>
              <w:jc w:val="center"/>
              <w:rPr>
                <w:lang w:val="en-US" w:eastAsia="zh-CN"/>
              </w:rPr>
            </w:pPr>
            <w:r w:rsidRPr="00922F72">
              <w:rPr>
                <w:lang w:val="en-US" w:eastAsia="zh-CN"/>
              </w:rPr>
              <w:t>0%</w:t>
            </w:r>
          </w:p>
        </w:tc>
        <w:tc>
          <w:tcPr>
            <w:tcW w:w="851" w:type="dxa"/>
            <w:tcBorders>
              <w:top w:val="single" w:sz="12" w:space="0" w:color="auto"/>
              <w:left w:val="nil"/>
              <w:bottom w:val="single" w:sz="8" w:space="0" w:color="auto"/>
              <w:right w:val="single" w:sz="4" w:space="0" w:color="auto"/>
            </w:tcBorders>
            <w:shd w:val="clear" w:color="auto" w:fill="auto"/>
            <w:noWrap/>
            <w:vAlign w:val="bottom"/>
          </w:tcPr>
          <w:p w:rsidR="00A04F50" w:rsidRPr="00922F72" w:rsidRDefault="00A04F50" w:rsidP="001E2A26">
            <w:pPr>
              <w:pStyle w:val="Tabletext"/>
              <w:jc w:val="center"/>
              <w:rPr>
                <w:lang w:val="en-US" w:eastAsia="zh-CN"/>
              </w:rPr>
            </w:pPr>
            <w:r>
              <w:rPr>
                <w:lang w:val="en-US" w:eastAsia="zh-CN"/>
              </w:rPr>
              <w:t>8</w:t>
            </w:r>
            <w:r w:rsidRPr="00922F72">
              <w:rPr>
                <w:lang w:val="en-US" w:eastAsia="zh-CN"/>
              </w:rPr>
              <w:t>%</w:t>
            </w:r>
          </w:p>
        </w:tc>
        <w:tc>
          <w:tcPr>
            <w:tcW w:w="850" w:type="dxa"/>
            <w:tcBorders>
              <w:top w:val="single" w:sz="12" w:space="0" w:color="auto"/>
              <w:left w:val="nil"/>
              <w:bottom w:val="single" w:sz="8" w:space="0" w:color="auto"/>
              <w:right w:val="single" w:sz="4" w:space="0" w:color="auto"/>
            </w:tcBorders>
            <w:shd w:val="clear" w:color="auto" w:fill="auto"/>
            <w:noWrap/>
            <w:vAlign w:val="bottom"/>
          </w:tcPr>
          <w:p w:rsidR="00A04F50" w:rsidRPr="00922F72" w:rsidRDefault="00A04F50" w:rsidP="001E2A26">
            <w:pPr>
              <w:pStyle w:val="Tabletext"/>
              <w:jc w:val="center"/>
              <w:rPr>
                <w:lang w:val="en-US" w:eastAsia="zh-CN"/>
              </w:rPr>
            </w:pPr>
            <w:r>
              <w:rPr>
                <w:lang w:val="en-US" w:eastAsia="zh-CN"/>
              </w:rPr>
              <w:t>5</w:t>
            </w:r>
            <w:r w:rsidRPr="00922F72">
              <w:rPr>
                <w:lang w:val="en-US" w:eastAsia="zh-CN"/>
              </w:rPr>
              <w:t>%</w:t>
            </w:r>
          </w:p>
        </w:tc>
        <w:tc>
          <w:tcPr>
            <w:tcW w:w="851" w:type="dxa"/>
            <w:tcBorders>
              <w:top w:val="single" w:sz="12" w:space="0" w:color="auto"/>
              <w:left w:val="nil"/>
              <w:bottom w:val="single" w:sz="8" w:space="0" w:color="auto"/>
              <w:right w:val="single" w:sz="4" w:space="0" w:color="auto"/>
            </w:tcBorders>
            <w:shd w:val="clear" w:color="auto" w:fill="auto"/>
            <w:noWrap/>
            <w:vAlign w:val="bottom"/>
          </w:tcPr>
          <w:p w:rsidR="00A04F50" w:rsidRPr="00922F72" w:rsidRDefault="00A04F50" w:rsidP="001E2A26">
            <w:pPr>
              <w:pStyle w:val="Tabletext"/>
              <w:jc w:val="center"/>
              <w:rPr>
                <w:lang w:val="en-US" w:eastAsia="zh-CN"/>
              </w:rPr>
            </w:pPr>
            <w:r>
              <w:rPr>
                <w:lang w:val="en-US" w:eastAsia="zh-CN"/>
              </w:rPr>
              <w:t>53</w:t>
            </w:r>
            <w:r w:rsidRPr="00922F72">
              <w:rPr>
                <w:lang w:val="en-US" w:eastAsia="zh-CN"/>
              </w:rPr>
              <w:t>%</w:t>
            </w:r>
          </w:p>
        </w:tc>
        <w:tc>
          <w:tcPr>
            <w:tcW w:w="850" w:type="dxa"/>
            <w:tcBorders>
              <w:top w:val="single" w:sz="12" w:space="0" w:color="auto"/>
              <w:left w:val="nil"/>
              <w:bottom w:val="single" w:sz="8" w:space="0" w:color="auto"/>
              <w:right w:val="single" w:sz="4" w:space="0" w:color="auto"/>
            </w:tcBorders>
            <w:shd w:val="clear" w:color="auto" w:fill="auto"/>
            <w:noWrap/>
            <w:vAlign w:val="bottom"/>
          </w:tcPr>
          <w:p w:rsidR="00A04F50" w:rsidRPr="00922F72" w:rsidRDefault="00A04F50" w:rsidP="001E2A26">
            <w:pPr>
              <w:pStyle w:val="Tabletext"/>
              <w:jc w:val="center"/>
              <w:rPr>
                <w:lang w:val="en-US" w:eastAsia="zh-CN"/>
              </w:rPr>
            </w:pPr>
            <w:r w:rsidRPr="00A04F50">
              <w:rPr>
                <w:lang w:val="en-US" w:eastAsia="zh-CN"/>
              </w:rPr>
              <w:t>–</w:t>
            </w:r>
          </w:p>
        </w:tc>
        <w:tc>
          <w:tcPr>
            <w:tcW w:w="993" w:type="dxa"/>
            <w:tcBorders>
              <w:top w:val="single" w:sz="12" w:space="0" w:color="auto"/>
              <w:left w:val="nil"/>
              <w:bottom w:val="single" w:sz="8" w:space="0" w:color="auto"/>
              <w:right w:val="single" w:sz="4" w:space="0" w:color="auto"/>
            </w:tcBorders>
            <w:shd w:val="clear" w:color="000000" w:fill="FFFFFF"/>
            <w:noWrap/>
            <w:vAlign w:val="bottom"/>
          </w:tcPr>
          <w:p w:rsidR="00A04F50" w:rsidRPr="00922F72" w:rsidRDefault="00A04F50" w:rsidP="001E2A26">
            <w:pPr>
              <w:pStyle w:val="Tabletext"/>
              <w:jc w:val="center"/>
              <w:rPr>
                <w:lang w:val="en-US" w:eastAsia="zh-CN"/>
              </w:rPr>
            </w:pPr>
            <w:r>
              <w:rPr>
                <w:lang w:val="en-US" w:eastAsia="zh-CN"/>
              </w:rPr>
              <w:t>19</w:t>
            </w:r>
            <w:r w:rsidRPr="00922F72">
              <w:rPr>
                <w:lang w:val="en-US" w:eastAsia="zh-CN"/>
              </w:rPr>
              <w:t>%</w:t>
            </w:r>
          </w:p>
        </w:tc>
        <w:tc>
          <w:tcPr>
            <w:tcW w:w="909" w:type="dxa"/>
            <w:tcBorders>
              <w:top w:val="single" w:sz="12" w:space="0" w:color="auto"/>
              <w:left w:val="nil"/>
              <w:bottom w:val="single" w:sz="8" w:space="0" w:color="auto"/>
              <w:right w:val="single" w:sz="4" w:space="0" w:color="auto"/>
            </w:tcBorders>
            <w:shd w:val="clear" w:color="000000" w:fill="FFFFFF"/>
            <w:noWrap/>
            <w:vAlign w:val="bottom"/>
          </w:tcPr>
          <w:p w:rsidR="00A04F50" w:rsidRPr="00922F72" w:rsidRDefault="00A04F50" w:rsidP="001E2A26">
            <w:pPr>
              <w:pStyle w:val="Tabletext"/>
              <w:jc w:val="center"/>
              <w:rPr>
                <w:lang w:val="en-US" w:eastAsia="zh-CN"/>
              </w:rPr>
            </w:pPr>
            <w:r>
              <w:rPr>
                <w:lang w:val="en-US" w:eastAsia="zh-CN"/>
              </w:rPr>
              <w:t>7</w:t>
            </w:r>
            <w:r w:rsidRPr="00922F72">
              <w:rPr>
                <w:lang w:val="en-US" w:eastAsia="zh-CN"/>
              </w:rPr>
              <w:t>0%</w:t>
            </w:r>
          </w:p>
        </w:tc>
        <w:tc>
          <w:tcPr>
            <w:tcW w:w="933" w:type="dxa"/>
            <w:tcBorders>
              <w:top w:val="single" w:sz="12" w:space="0" w:color="auto"/>
              <w:left w:val="nil"/>
              <w:bottom w:val="single" w:sz="8" w:space="0" w:color="auto"/>
              <w:right w:val="single" w:sz="8" w:space="0" w:color="auto"/>
            </w:tcBorders>
            <w:shd w:val="clear" w:color="000000" w:fill="C4BD97"/>
            <w:noWrap/>
            <w:vAlign w:val="bottom"/>
          </w:tcPr>
          <w:p w:rsidR="00A04F50" w:rsidRPr="00F94C98" w:rsidRDefault="00A04F50" w:rsidP="001E2A26">
            <w:pPr>
              <w:pStyle w:val="Tabletext"/>
              <w:jc w:val="center"/>
              <w:rPr>
                <w:b/>
                <w:bCs/>
                <w:lang w:val="en-US" w:eastAsia="zh-CN"/>
              </w:rPr>
            </w:pPr>
            <w:r w:rsidRPr="00F94C98">
              <w:rPr>
                <w:b/>
                <w:bCs/>
                <w:lang w:val="en-US" w:eastAsia="zh-CN"/>
              </w:rPr>
              <w:t>31%</w:t>
            </w:r>
          </w:p>
        </w:tc>
      </w:tr>
      <w:tr w:rsidR="00A04F50" w:rsidRPr="00922F72" w:rsidTr="001E2A26">
        <w:trPr>
          <w:trHeight w:val="230"/>
        </w:trPr>
        <w:tc>
          <w:tcPr>
            <w:tcW w:w="24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04F50" w:rsidRPr="00922F72" w:rsidRDefault="00A04F50" w:rsidP="001E2A26">
            <w:pPr>
              <w:pStyle w:val="Tabletext"/>
              <w:rPr>
                <w:sz w:val="18"/>
                <w:szCs w:val="18"/>
                <w:lang w:val="en-US" w:eastAsia="zh-CN"/>
              </w:rPr>
            </w:pPr>
            <w:r>
              <w:rPr>
                <w:rFonts w:asciiTheme="minorHAnsi" w:hAnsiTheme="minorHAnsi" w:cs="Calibri"/>
                <w:szCs w:val="24"/>
                <w:lang w:val="fr-CH"/>
              </w:rPr>
              <w:t>% de recommandations retardées</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0%</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0%</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0%</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0%</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A04F50">
              <w:rPr>
                <w:lang w:val="en-US" w:eastAsia="zh-CN"/>
              </w:rPr>
              <w:t>–</w:t>
            </w:r>
          </w:p>
        </w:tc>
        <w:tc>
          <w:tcPr>
            <w:tcW w:w="993" w:type="dxa"/>
            <w:tcBorders>
              <w:top w:val="single" w:sz="8" w:space="0" w:color="auto"/>
              <w:left w:val="nil"/>
              <w:bottom w:val="single" w:sz="8"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5</w:t>
            </w:r>
            <w:r w:rsidRPr="00922F72">
              <w:rPr>
                <w:lang w:val="en-US" w:eastAsia="zh-CN"/>
              </w:rPr>
              <w:t>%</w:t>
            </w:r>
          </w:p>
        </w:tc>
        <w:tc>
          <w:tcPr>
            <w:tcW w:w="909" w:type="dxa"/>
            <w:tcBorders>
              <w:top w:val="single" w:sz="8" w:space="0" w:color="auto"/>
              <w:left w:val="nil"/>
              <w:bottom w:val="single" w:sz="8"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11</w:t>
            </w:r>
            <w:r w:rsidRPr="00922F72">
              <w:rPr>
                <w:lang w:val="en-US" w:eastAsia="zh-CN"/>
              </w:rPr>
              <w:t>%</w:t>
            </w:r>
          </w:p>
        </w:tc>
        <w:tc>
          <w:tcPr>
            <w:tcW w:w="933" w:type="dxa"/>
            <w:tcBorders>
              <w:top w:val="single" w:sz="8" w:space="0" w:color="auto"/>
              <w:left w:val="nil"/>
              <w:bottom w:val="single" w:sz="8" w:space="0" w:color="auto"/>
              <w:right w:val="single" w:sz="8" w:space="0" w:color="auto"/>
            </w:tcBorders>
            <w:shd w:val="clear" w:color="000000" w:fill="C4BD97"/>
            <w:noWrap/>
            <w:vAlign w:val="bottom"/>
            <w:hideMark/>
          </w:tcPr>
          <w:p w:rsidR="00A04F50" w:rsidRPr="00922F72" w:rsidRDefault="00A04F50" w:rsidP="001E2A26">
            <w:pPr>
              <w:pStyle w:val="Tabletext"/>
              <w:jc w:val="center"/>
              <w:rPr>
                <w:b/>
                <w:bCs/>
                <w:lang w:val="en-US" w:eastAsia="zh-CN"/>
              </w:rPr>
            </w:pPr>
            <w:r>
              <w:rPr>
                <w:b/>
                <w:bCs/>
                <w:lang w:val="en-US" w:eastAsia="zh-CN"/>
              </w:rPr>
              <w:t>5</w:t>
            </w:r>
            <w:r w:rsidRPr="00922F72">
              <w:rPr>
                <w:b/>
                <w:bCs/>
                <w:lang w:val="en-US" w:eastAsia="zh-CN"/>
              </w:rPr>
              <w:t>%</w:t>
            </w:r>
          </w:p>
        </w:tc>
      </w:tr>
      <w:tr w:rsidR="00A04F50" w:rsidRPr="00922F72" w:rsidTr="001E2A26">
        <w:trPr>
          <w:trHeight w:val="230"/>
        </w:trPr>
        <w:tc>
          <w:tcPr>
            <w:tcW w:w="2449" w:type="dxa"/>
            <w:tcBorders>
              <w:top w:val="single" w:sz="8" w:space="0" w:color="auto"/>
              <w:left w:val="single" w:sz="8" w:space="0" w:color="auto"/>
              <w:bottom w:val="single" w:sz="12" w:space="0" w:color="auto"/>
              <w:right w:val="single" w:sz="4" w:space="0" w:color="auto"/>
            </w:tcBorders>
            <w:shd w:val="clear" w:color="auto" w:fill="auto"/>
            <w:noWrap/>
            <w:vAlign w:val="bottom"/>
            <w:hideMark/>
          </w:tcPr>
          <w:p w:rsidR="00A04F50" w:rsidRPr="00922F72" w:rsidRDefault="00A04F50" w:rsidP="001E2A26">
            <w:pPr>
              <w:pStyle w:val="Tabletext"/>
              <w:rPr>
                <w:sz w:val="18"/>
                <w:szCs w:val="18"/>
                <w:lang w:val="en-US" w:eastAsia="zh-CN"/>
              </w:rPr>
            </w:pPr>
            <w:r>
              <w:rPr>
                <w:rFonts w:asciiTheme="minorHAnsi" w:hAnsiTheme="minorHAnsi" w:cs="Calibri"/>
                <w:szCs w:val="24"/>
                <w:lang w:val="fr-CH"/>
              </w:rPr>
              <w:t>% de recommandations closes</w:t>
            </w:r>
          </w:p>
        </w:tc>
        <w:tc>
          <w:tcPr>
            <w:tcW w:w="850" w:type="dxa"/>
            <w:tcBorders>
              <w:top w:val="single" w:sz="8" w:space="0" w:color="auto"/>
              <w:left w:val="nil"/>
              <w:bottom w:val="single" w:sz="12"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100%</w:t>
            </w:r>
          </w:p>
        </w:tc>
        <w:tc>
          <w:tcPr>
            <w:tcW w:w="851" w:type="dxa"/>
            <w:tcBorders>
              <w:top w:val="single" w:sz="8" w:space="0" w:color="auto"/>
              <w:left w:val="nil"/>
              <w:bottom w:val="single" w:sz="12"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Pr>
                <w:lang w:val="en-US" w:eastAsia="zh-CN"/>
              </w:rPr>
              <w:t>92</w:t>
            </w:r>
            <w:r w:rsidRPr="00922F72">
              <w:rPr>
                <w:lang w:val="en-US" w:eastAsia="zh-CN"/>
              </w:rPr>
              <w:t>%</w:t>
            </w:r>
          </w:p>
        </w:tc>
        <w:tc>
          <w:tcPr>
            <w:tcW w:w="850" w:type="dxa"/>
            <w:tcBorders>
              <w:top w:val="single" w:sz="8" w:space="0" w:color="auto"/>
              <w:left w:val="nil"/>
              <w:bottom w:val="single" w:sz="12"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95%</w:t>
            </w:r>
          </w:p>
        </w:tc>
        <w:tc>
          <w:tcPr>
            <w:tcW w:w="851" w:type="dxa"/>
            <w:tcBorders>
              <w:top w:val="single" w:sz="8" w:space="0" w:color="auto"/>
              <w:left w:val="nil"/>
              <w:bottom w:val="single" w:sz="12"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Pr>
                <w:lang w:val="en-US" w:eastAsia="zh-CN"/>
              </w:rPr>
              <w:t>47</w:t>
            </w:r>
            <w:r w:rsidRPr="00922F72">
              <w:rPr>
                <w:lang w:val="en-US" w:eastAsia="zh-CN"/>
              </w:rPr>
              <w:t>%</w:t>
            </w:r>
          </w:p>
        </w:tc>
        <w:tc>
          <w:tcPr>
            <w:tcW w:w="850" w:type="dxa"/>
            <w:tcBorders>
              <w:top w:val="single" w:sz="8" w:space="0" w:color="auto"/>
              <w:left w:val="nil"/>
              <w:bottom w:val="single" w:sz="12"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A04F50">
              <w:rPr>
                <w:lang w:val="en-US" w:eastAsia="zh-CN"/>
              </w:rPr>
              <w:t>–</w:t>
            </w:r>
          </w:p>
        </w:tc>
        <w:tc>
          <w:tcPr>
            <w:tcW w:w="993" w:type="dxa"/>
            <w:tcBorders>
              <w:top w:val="single" w:sz="8" w:space="0" w:color="auto"/>
              <w:left w:val="nil"/>
              <w:bottom w:val="single" w:sz="12" w:space="0" w:color="auto"/>
              <w:right w:val="single" w:sz="4" w:space="0" w:color="auto"/>
            </w:tcBorders>
            <w:shd w:val="clear" w:color="auto" w:fill="auto"/>
            <w:noWrap/>
            <w:vAlign w:val="bottom"/>
            <w:hideMark/>
          </w:tcPr>
          <w:p w:rsidR="00A04F50" w:rsidRPr="00922F72" w:rsidRDefault="00A04F50" w:rsidP="001E2A26">
            <w:pPr>
              <w:pStyle w:val="Tabletext"/>
              <w:jc w:val="center"/>
              <w:rPr>
                <w:lang w:val="en-US" w:eastAsia="zh-CN"/>
              </w:rPr>
            </w:pPr>
            <w:r w:rsidRPr="00922F72">
              <w:rPr>
                <w:lang w:val="en-US" w:eastAsia="zh-CN"/>
              </w:rPr>
              <w:t>7</w:t>
            </w:r>
            <w:r>
              <w:rPr>
                <w:lang w:val="en-US" w:eastAsia="zh-CN"/>
              </w:rPr>
              <w:t>5</w:t>
            </w:r>
            <w:r w:rsidRPr="00922F72">
              <w:rPr>
                <w:lang w:val="en-US" w:eastAsia="zh-CN"/>
              </w:rPr>
              <w:t>%</w:t>
            </w:r>
          </w:p>
        </w:tc>
        <w:tc>
          <w:tcPr>
            <w:tcW w:w="909" w:type="dxa"/>
            <w:tcBorders>
              <w:top w:val="single" w:sz="8" w:space="0" w:color="auto"/>
              <w:left w:val="nil"/>
              <w:bottom w:val="single" w:sz="12" w:space="0" w:color="auto"/>
              <w:right w:val="single" w:sz="4" w:space="0" w:color="auto"/>
            </w:tcBorders>
            <w:shd w:val="clear" w:color="000000" w:fill="FFFFFF"/>
            <w:noWrap/>
            <w:vAlign w:val="bottom"/>
            <w:hideMark/>
          </w:tcPr>
          <w:p w:rsidR="00A04F50" w:rsidRPr="00922F72" w:rsidRDefault="00A04F50" w:rsidP="001E2A26">
            <w:pPr>
              <w:pStyle w:val="Tabletext"/>
              <w:jc w:val="center"/>
              <w:rPr>
                <w:lang w:val="en-US" w:eastAsia="zh-CN"/>
              </w:rPr>
            </w:pPr>
            <w:r>
              <w:rPr>
                <w:lang w:val="en-US" w:eastAsia="zh-CN"/>
              </w:rPr>
              <w:t>19</w:t>
            </w:r>
            <w:r w:rsidRPr="00922F72">
              <w:rPr>
                <w:lang w:val="en-US" w:eastAsia="zh-CN"/>
              </w:rPr>
              <w:t>%</w:t>
            </w:r>
          </w:p>
        </w:tc>
        <w:tc>
          <w:tcPr>
            <w:tcW w:w="933" w:type="dxa"/>
            <w:tcBorders>
              <w:top w:val="single" w:sz="8" w:space="0" w:color="auto"/>
              <w:left w:val="nil"/>
              <w:bottom w:val="single" w:sz="12" w:space="0" w:color="auto"/>
              <w:right w:val="single" w:sz="8" w:space="0" w:color="auto"/>
            </w:tcBorders>
            <w:shd w:val="clear" w:color="000000" w:fill="C4BD97"/>
            <w:noWrap/>
            <w:vAlign w:val="bottom"/>
            <w:hideMark/>
          </w:tcPr>
          <w:p w:rsidR="00A04F50" w:rsidRPr="00922F72" w:rsidRDefault="00A04F50" w:rsidP="001E2A26">
            <w:pPr>
              <w:pStyle w:val="Tabletext"/>
              <w:jc w:val="center"/>
              <w:rPr>
                <w:b/>
                <w:bCs/>
                <w:lang w:val="en-US" w:eastAsia="zh-CN"/>
              </w:rPr>
            </w:pPr>
            <w:r>
              <w:rPr>
                <w:b/>
                <w:bCs/>
                <w:lang w:val="en-US" w:eastAsia="zh-CN"/>
              </w:rPr>
              <w:t>64</w:t>
            </w:r>
            <w:r w:rsidRPr="00922F72">
              <w:rPr>
                <w:b/>
                <w:bCs/>
                <w:lang w:val="en-US" w:eastAsia="zh-CN"/>
              </w:rPr>
              <w:t>%</w:t>
            </w:r>
          </w:p>
        </w:tc>
      </w:tr>
    </w:tbl>
    <w:p w:rsidR="00A04F50" w:rsidRDefault="00A04F50" w:rsidP="00A04F50">
      <w:pPr>
        <w:pStyle w:val="Tablelegend"/>
        <w:rPr>
          <w:lang w:val="en-CA" w:eastAsia="zh-CN"/>
        </w:rPr>
      </w:pPr>
      <w:r>
        <w:rPr>
          <w:rFonts w:hint="eastAsia"/>
          <w:lang w:eastAsia="zh-CN"/>
        </w:rPr>
        <w:t>(</w:t>
      </w:r>
      <w:r w:rsidRPr="00922F72">
        <w:rPr>
          <w:lang w:val="en-CA" w:eastAsia="zh-CN"/>
        </w:rPr>
        <w:t>*</w:t>
      </w:r>
      <w:r>
        <w:rPr>
          <w:rFonts w:hint="eastAsia"/>
          <w:lang w:val="en-CA" w:eastAsia="zh-CN"/>
        </w:rPr>
        <w:t>)</w:t>
      </w:r>
      <w:r>
        <w:rPr>
          <w:rFonts w:hint="eastAsia"/>
          <w:lang w:val="en-CA" w:eastAsia="zh-CN"/>
        </w:rPr>
        <w:tab/>
      </w:r>
      <w:r w:rsidR="000C6581" w:rsidRPr="00E3346A">
        <w:rPr>
          <w:rFonts w:asciiTheme="minorHAnsi" w:hAnsiTheme="minorHAnsi" w:cs="Calibri"/>
          <w:szCs w:val="24"/>
          <w:lang w:val="fr-CH"/>
        </w:rPr>
        <w:t>S</w:t>
      </w:r>
      <w:r w:rsidRPr="00E3346A">
        <w:rPr>
          <w:rFonts w:asciiTheme="minorHAnsi" w:hAnsiTheme="minorHAnsi" w:cs="Calibri"/>
          <w:szCs w:val="24"/>
          <w:lang w:val="fr-CH"/>
        </w:rPr>
        <w:t xml:space="preserve">ituation </w:t>
      </w:r>
      <w:r>
        <w:rPr>
          <w:rFonts w:asciiTheme="minorHAnsi" w:hAnsiTheme="minorHAnsi" w:cs="Calibri"/>
          <w:szCs w:val="24"/>
          <w:lang w:val="fr-CH"/>
        </w:rPr>
        <w:t>au</w:t>
      </w:r>
      <w:r w:rsidRPr="00E3346A">
        <w:rPr>
          <w:rFonts w:asciiTheme="minorHAnsi" w:hAnsiTheme="minorHAnsi" w:cs="Calibri"/>
          <w:szCs w:val="24"/>
          <w:lang w:val="fr-CH"/>
        </w:rPr>
        <w:t xml:space="preserve"> 19 </w:t>
      </w:r>
      <w:r>
        <w:rPr>
          <w:rFonts w:asciiTheme="minorHAnsi" w:hAnsiTheme="minorHAnsi" w:cs="Calibri"/>
          <w:szCs w:val="24"/>
          <w:lang w:val="fr-CH"/>
        </w:rPr>
        <w:t>mars</w:t>
      </w:r>
      <w:r w:rsidRPr="00E3346A">
        <w:rPr>
          <w:rFonts w:asciiTheme="minorHAnsi" w:hAnsiTheme="minorHAnsi" w:cs="Calibri"/>
          <w:szCs w:val="24"/>
          <w:lang w:val="fr-CH"/>
        </w:rPr>
        <w:t xml:space="preserve"> 2015</w:t>
      </w:r>
    </w:p>
    <w:p w:rsidR="00E3346A" w:rsidRPr="00D3323B" w:rsidRDefault="00A04F50" w:rsidP="00996C81">
      <w:pPr>
        <w:rPr>
          <w:lang w:val="fr-CH"/>
        </w:rPr>
      </w:pPr>
      <w:r>
        <w:rPr>
          <w:lang w:val="fr-CH"/>
        </w:rPr>
        <w:t>2</w:t>
      </w:r>
      <w:r w:rsidR="004236AA">
        <w:rPr>
          <w:lang w:val="fr-CH"/>
        </w:rPr>
        <w:t>8</w:t>
      </w:r>
      <w:r w:rsidR="004236AA">
        <w:rPr>
          <w:lang w:val="fr-CH"/>
        </w:rPr>
        <w:tab/>
      </w:r>
      <w:r w:rsidR="00E3346A">
        <w:rPr>
          <w:lang w:val="fr-CH"/>
        </w:rPr>
        <w:t xml:space="preserve">Toutes les </w:t>
      </w:r>
      <w:r w:rsidR="00E3346A" w:rsidRPr="00511E6B">
        <w:rPr>
          <w:lang w:val="fr-CH"/>
        </w:rPr>
        <w:t>recommandation</w:t>
      </w:r>
      <w:r w:rsidR="00E3346A">
        <w:rPr>
          <w:lang w:val="fr-CH"/>
        </w:rPr>
        <w:t>s</w:t>
      </w:r>
      <w:r w:rsidR="00E3346A" w:rsidRPr="00511E6B">
        <w:rPr>
          <w:lang w:val="fr-CH"/>
        </w:rPr>
        <w:t xml:space="preserve"> essentielle</w:t>
      </w:r>
      <w:r w:rsidR="00E3346A">
        <w:rPr>
          <w:lang w:val="fr-CH"/>
        </w:rPr>
        <w:t>s</w:t>
      </w:r>
      <w:r w:rsidR="00E3346A" w:rsidRPr="00511E6B">
        <w:rPr>
          <w:lang w:val="fr-CH"/>
        </w:rPr>
        <w:t xml:space="preserve"> ou d</w:t>
      </w:r>
      <w:r w:rsidR="00D3323B">
        <w:rPr>
          <w:lang w:val="fr-CH"/>
        </w:rPr>
        <w:t>'</w:t>
      </w:r>
      <w:r w:rsidR="00E3346A" w:rsidRPr="00511E6B">
        <w:rPr>
          <w:lang w:val="fr-CH"/>
        </w:rPr>
        <w:t>une importance majeure datant d</w:t>
      </w:r>
      <w:r w:rsidR="00D3323B">
        <w:rPr>
          <w:lang w:val="fr-CH"/>
        </w:rPr>
        <w:t>'</w:t>
      </w:r>
      <w:r w:rsidR="00E3346A" w:rsidRPr="00511E6B">
        <w:rPr>
          <w:lang w:val="fr-CH"/>
        </w:rPr>
        <w:t>avant 2012</w:t>
      </w:r>
      <w:r w:rsidR="00E3346A">
        <w:rPr>
          <w:lang w:val="fr-CH"/>
        </w:rPr>
        <w:t xml:space="preserve"> ont été mises en œuvre. </w:t>
      </w:r>
      <w:r w:rsidR="00E3346A" w:rsidRPr="00511E6B">
        <w:rPr>
          <w:lang w:val="fr-CH"/>
        </w:rPr>
        <w:t>L</w:t>
      </w:r>
      <w:r w:rsidR="00D3323B">
        <w:rPr>
          <w:lang w:val="fr-CH"/>
        </w:rPr>
        <w:t>'</w:t>
      </w:r>
      <w:r w:rsidR="00E3346A" w:rsidRPr="00511E6B">
        <w:rPr>
          <w:lang w:val="fr-CH"/>
        </w:rPr>
        <w:t>une de ces recommandations concerne la modification d</w:t>
      </w:r>
      <w:r w:rsidR="00D3323B">
        <w:rPr>
          <w:lang w:val="fr-CH"/>
        </w:rPr>
        <w:t>'</w:t>
      </w:r>
      <w:r w:rsidR="00E3346A" w:rsidRPr="00511E6B">
        <w:rPr>
          <w:lang w:val="fr-CH"/>
        </w:rPr>
        <w:t xml:space="preserve">un flux de travail </w:t>
      </w:r>
      <w:r w:rsidR="00E3346A">
        <w:rPr>
          <w:lang w:val="fr-CH"/>
        </w:rPr>
        <w:t>interne relatif à l</w:t>
      </w:r>
      <w:r w:rsidR="00D3323B">
        <w:rPr>
          <w:lang w:val="fr-CH"/>
        </w:rPr>
        <w:t>'</w:t>
      </w:r>
      <w:r w:rsidR="00E3346A">
        <w:rPr>
          <w:lang w:val="fr-CH"/>
        </w:rPr>
        <w:t>approbation, qui a été retardé</w:t>
      </w:r>
      <w:r w:rsidR="004236AA">
        <w:rPr>
          <w:lang w:val="fr-CH"/>
        </w:rPr>
        <w:t>e</w:t>
      </w:r>
      <w:r w:rsidR="00E3346A">
        <w:rPr>
          <w:lang w:val="fr-CH"/>
        </w:rPr>
        <w:t xml:space="preserve"> car </w:t>
      </w:r>
      <w:r w:rsidR="004236AA">
        <w:rPr>
          <w:lang w:val="fr-CH"/>
        </w:rPr>
        <w:t>el</w:t>
      </w:r>
      <w:r w:rsidR="00E3346A">
        <w:rPr>
          <w:lang w:val="fr-CH"/>
        </w:rPr>
        <w:t>l</w:t>
      </w:r>
      <w:r w:rsidR="004236AA">
        <w:rPr>
          <w:lang w:val="fr-CH"/>
        </w:rPr>
        <w:t>e</w:t>
      </w:r>
      <w:r w:rsidR="00E3346A">
        <w:rPr>
          <w:lang w:val="fr-CH"/>
        </w:rPr>
        <w:t xml:space="preserve"> a été intégré</w:t>
      </w:r>
      <w:r w:rsidR="004236AA">
        <w:rPr>
          <w:lang w:val="fr-CH"/>
        </w:rPr>
        <w:t>e</w:t>
      </w:r>
      <w:r w:rsidR="00E3346A">
        <w:rPr>
          <w:lang w:val="fr-CH"/>
        </w:rPr>
        <w:t xml:space="preserve"> à un examen plus global des procédures internes. Cette modification est actuellement en cours et devrait être achevé</w:t>
      </w:r>
      <w:r w:rsidR="004236AA">
        <w:rPr>
          <w:lang w:val="fr-CH"/>
        </w:rPr>
        <w:t>e</w:t>
      </w:r>
      <w:r w:rsidR="00E3346A">
        <w:rPr>
          <w:lang w:val="fr-CH"/>
        </w:rPr>
        <w:t xml:space="preserve"> en 2015. </w:t>
      </w:r>
      <w:r w:rsidR="004236AA">
        <w:rPr>
          <w:lang w:val="fr-CH"/>
        </w:rPr>
        <w:t>U</w:t>
      </w:r>
      <w:r w:rsidR="00E3346A">
        <w:rPr>
          <w:lang w:val="fr-CH"/>
        </w:rPr>
        <w:t xml:space="preserve">ne autre recommandation est toujours en cours car les priorités ont changé mais </w:t>
      </w:r>
      <w:r w:rsidR="004236AA">
        <w:rPr>
          <w:lang w:val="fr-CH"/>
        </w:rPr>
        <w:t xml:space="preserve">sa mise en oeuvre </w:t>
      </w:r>
      <w:r w:rsidR="00E3346A">
        <w:rPr>
          <w:lang w:val="fr-CH"/>
        </w:rPr>
        <w:t xml:space="preserve">devrait </w:t>
      </w:r>
      <w:r w:rsidR="004236AA">
        <w:rPr>
          <w:lang w:val="fr-CH"/>
        </w:rPr>
        <w:t xml:space="preserve">intervenir </w:t>
      </w:r>
      <w:r w:rsidR="00E3346A">
        <w:rPr>
          <w:lang w:val="fr-CH"/>
        </w:rPr>
        <w:t>en 2015. Les recommandations datant de 2011, toujours en cours, concerne</w:t>
      </w:r>
      <w:r w:rsidR="004236AA">
        <w:rPr>
          <w:lang w:val="fr-CH"/>
        </w:rPr>
        <w:t>nt</w:t>
      </w:r>
      <w:r w:rsidR="00E3346A">
        <w:rPr>
          <w:lang w:val="fr-CH"/>
        </w:rPr>
        <w:t xml:space="preserve"> l</w:t>
      </w:r>
      <w:r w:rsidR="00D3323B">
        <w:rPr>
          <w:lang w:val="fr-CH"/>
        </w:rPr>
        <w:t>'</w:t>
      </w:r>
      <w:r w:rsidR="00E3346A">
        <w:rPr>
          <w:lang w:val="fr-CH"/>
        </w:rPr>
        <w:t>audit interne du co</w:t>
      </w:r>
      <w:r w:rsidR="004236AA">
        <w:rPr>
          <w:lang w:val="fr-CH"/>
        </w:rPr>
        <w:t>ût</w:t>
      </w:r>
      <w:r w:rsidR="00E3346A">
        <w:rPr>
          <w:lang w:val="fr-CH"/>
        </w:rPr>
        <w:t xml:space="preserve"> des publications. </w:t>
      </w:r>
      <w:r w:rsidR="00E3346A" w:rsidRPr="00566540">
        <w:rPr>
          <w:lang w:val="fr-CH"/>
        </w:rPr>
        <w:t xml:space="preserve">La direction a informé régulièrement </w:t>
      </w:r>
      <w:r w:rsidR="004236AA">
        <w:rPr>
          <w:lang w:val="fr-CH"/>
        </w:rPr>
        <w:t xml:space="preserve">l'Unité de </w:t>
      </w:r>
      <w:r w:rsidR="00E3346A" w:rsidRPr="00566540">
        <w:rPr>
          <w:lang w:val="fr-CH"/>
        </w:rPr>
        <w:t>l</w:t>
      </w:r>
      <w:r w:rsidR="00D3323B">
        <w:rPr>
          <w:lang w:val="fr-CH"/>
        </w:rPr>
        <w:t>'</w:t>
      </w:r>
      <w:r w:rsidR="00E3346A" w:rsidRPr="00566540">
        <w:rPr>
          <w:lang w:val="fr-CH"/>
        </w:rPr>
        <w:t>audit interne (et le CCIG</w:t>
      </w:r>
      <w:r w:rsidR="00E3346A">
        <w:rPr>
          <w:lang w:val="fr-CH"/>
        </w:rPr>
        <w:t xml:space="preserve">) des progrès accomplis. </w:t>
      </w:r>
      <w:r w:rsidR="004236AA">
        <w:rPr>
          <w:lang w:val="fr-CH"/>
        </w:rPr>
        <w:t>E</w:t>
      </w:r>
      <w:r w:rsidR="00E3346A">
        <w:rPr>
          <w:lang w:val="fr-CH"/>
        </w:rPr>
        <w:t>tant donné que les questions soulevées pendant l</w:t>
      </w:r>
      <w:r w:rsidR="00D3323B">
        <w:rPr>
          <w:lang w:val="fr-CH"/>
        </w:rPr>
        <w:t>'</w:t>
      </w:r>
      <w:r w:rsidR="00E3346A">
        <w:rPr>
          <w:lang w:val="fr-CH"/>
        </w:rPr>
        <w:t xml:space="preserve">audit </w:t>
      </w:r>
      <w:r w:rsidR="004236AA">
        <w:rPr>
          <w:lang w:val="fr-CH"/>
        </w:rPr>
        <w:t xml:space="preserve">entrent en ligne de compte pour </w:t>
      </w:r>
      <w:r w:rsidR="00E3346A">
        <w:rPr>
          <w:lang w:val="fr-CH"/>
        </w:rPr>
        <w:t>l</w:t>
      </w:r>
      <w:r w:rsidR="00D3323B">
        <w:rPr>
          <w:lang w:val="fr-CH"/>
        </w:rPr>
        <w:t>'</w:t>
      </w:r>
      <w:r w:rsidR="00E3346A">
        <w:rPr>
          <w:lang w:val="fr-CH"/>
        </w:rPr>
        <w:t xml:space="preserve">établissement des rapports financiers </w:t>
      </w:r>
      <w:r w:rsidR="004236AA">
        <w:rPr>
          <w:lang w:val="fr-CH"/>
        </w:rPr>
        <w:t xml:space="preserve">mais aussi pour les </w:t>
      </w:r>
      <w:r w:rsidR="00E3346A">
        <w:rPr>
          <w:lang w:val="fr-CH"/>
        </w:rPr>
        <w:t>rapports de gestion</w:t>
      </w:r>
      <w:r w:rsidR="004236AA">
        <w:rPr>
          <w:lang w:val="fr-CH"/>
        </w:rPr>
        <w:t xml:space="preserve"> et pour que le coût </w:t>
      </w:r>
      <w:r w:rsidR="00E3346A">
        <w:rPr>
          <w:lang w:val="fr-CH"/>
        </w:rPr>
        <w:t xml:space="preserve">effectif de chaque publication soit parfaitement transparent, la solution qui a été retenue a été de </w:t>
      </w:r>
      <w:r w:rsidR="004236AA">
        <w:rPr>
          <w:lang w:val="fr-CH"/>
        </w:rPr>
        <w:t xml:space="preserve">procéder avec </w:t>
      </w:r>
      <w:r w:rsidR="00E3346A">
        <w:rPr>
          <w:lang w:val="fr-CH"/>
        </w:rPr>
        <w:t>prudence une fois collect</w:t>
      </w:r>
      <w:r w:rsidR="004236AA">
        <w:rPr>
          <w:lang w:val="fr-CH"/>
        </w:rPr>
        <w:t xml:space="preserve">ées </w:t>
      </w:r>
      <w:r w:rsidR="00E3346A">
        <w:rPr>
          <w:lang w:val="fr-CH"/>
        </w:rPr>
        <w:t xml:space="preserve">les informations nécessaires. </w:t>
      </w:r>
      <w:r w:rsidR="00E3346A" w:rsidRPr="00566540">
        <w:rPr>
          <w:lang w:val="fr-CH"/>
        </w:rPr>
        <w:t>Le test d</w:t>
      </w:r>
      <w:r w:rsidR="00D3323B">
        <w:rPr>
          <w:lang w:val="fr-CH"/>
        </w:rPr>
        <w:t>'</w:t>
      </w:r>
      <w:r w:rsidR="00E3346A" w:rsidRPr="00566540">
        <w:rPr>
          <w:lang w:val="fr-CH"/>
        </w:rPr>
        <w:t xml:space="preserve">évaluation aura lieu </w:t>
      </w:r>
      <w:r w:rsidR="000C6581">
        <w:rPr>
          <w:lang w:val="fr-CH"/>
        </w:rPr>
        <w:t xml:space="preserve">en </w:t>
      </w:r>
      <w:r w:rsidR="00E3346A" w:rsidRPr="00566540">
        <w:rPr>
          <w:lang w:val="fr-CH"/>
        </w:rPr>
        <w:t xml:space="preserve">2015 après </w:t>
      </w:r>
      <w:r w:rsidR="00E3346A">
        <w:rPr>
          <w:lang w:val="fr-CH"/>
        </w:rPr>
        <w:t xml:space="preserve">avoir </w:t>
      </w:r>
      <w:r w:rsidR="004236AA">
        <w:rPr>
          <w:lang w:val="fr-CH"/>
        </w:rPr>
        <w:t>recueilli p</w:t>
      </w:r>
      <w:r w:rsidR="00E3346A">
        <w:rPr>
          <w:lang w:val="fr-CH"/>
        </w:rPr>
        <w:t xml:space="preserve">endant plusieurs mois des informations fiables. </w:t>
      </w:r>
      <w:r w:rsidR="00E3346A" w:rsidRPr="00566540">
        <w:rPr>
          <w:lang w:val="fr-CH"/>
        </w:rPr>
        <w:t>En 2015, l'Unité de l'audit interne continue</w:t>
      </w:r>
      <w:r w:rsidR="004236AA">
        <w:rPr>
          <w:lang w:val="fr-CH"/>
        </w:rPr>
        <w:t>ra</w:t>
      </w:r>
      <w:r w:rsidR="00E3346A" w:rsidRPr="00566540">
        <w:rPr>
          <w:lang w:val="fr-CH"/>
        </w:rPr>
        <w:t xml:space="preserve"> de su</w:t>
      </w:r>
      <w:r w:rsidR="004236AA">
        <w:rPr>
          <w:lang w:val="fr-CH"/>
        </w:rPr>
        <w:t>ivre l'avancement de</w:t>
      </w:r>
      <w:r w:rsidR="00E3346A" w:rsidRPr="00566540">
        <w:rPr>
          <w:lang w:val="fr-CH"/>
        </w:rPr>
        <w:t xml:space="preserve"> la mise en œuvre de</w:t>
      </w:r>
      <w:r w:rsidR="004236AA">
        <w:rPr>
          <w:lang w:val="fr-CH"/>
        </w:rPr>
        <w:t>s</w:t>
      </w:r>
      <w:r w:rsidR="00E3346A" w:rsidRPr="00566540">
        <w:rPr>
          <w:lang w:val="fr-CH"/>
        </w:rPr>
        <w:t xml:space="preserve"> diverses recommandations figurant dans les rapports d'audit précédents, et</w:t>
      </w:r>
      <w:r w:rsidR="004236AA">
        <w:rPr>
          <w:lang w:val="fr-CH"/>
        </w:rPr>
        <w:t>, au besoin,</w:t>
      </w:r>
      <w:r w:rsidR="00E3346A" w:rsidRPr="00566540">
        <w:rPr>
          <w:lang w:val="fr-CH"/>
        </w:rPr>
        <w:t xml:space="preserve"> fera rapport </w:t>
      </w:r>
      <w:r w:rsidR="004236AA">
        <w:rPr>
          <w:lang w:val="fr-CH"/>
        </w:rPr>
        <w:t xml:space="preserve">en la matière </w:t>
      </w:r>
      <w:r w:rsidR="00E3346A" w:rsidRPr="00566540">
        <w:rPr>
          <w:lang w:val="fr-CH"/>
        </w:rPr>
        <w:t>au Secrétaire général</w:t>
      </w:r>
      <w:r w:rsidR="00E3346A">
        <w:rPr>
          <w:lang w:val="fr-CH"/>
        </w:rPr>
        <w:t xml:space="preserve"> et au CCIG. Globalement, on note des progrès continus.</w:t>
      </w:r>
    </w:p>
    <w:p w:rsidR="00E3346A" w:rsidRPr="00F86E10" w:rsidRDefault="00E3346A" w:rsidP="00E3346A">
      <w:pPr>
        <w:pStyle w:val="Headingb"/>
        <w:rPr>
          <w:lang w:val="fr-CH"/>
        </w:rPr>
      </w:pPr>
      <w:r w:rsidRPr="00F86E10">
        <w:rPr>
          <w:lang w:val="fr-CH"/>
        </w:rPr>
        <w:lastRenderedPageBreak/>
        <w:t>Questions relatives à la méthodologie d'audit</w:t>
      </w:r>
    </w:p>
    <w:p w:rsidR="00E3346A" w:rsidRPr="00E3346A" w:rsidRDefault="00571500" w:rsidP="00F30796">
      <w:pPr>
        <w:rPr>
          <w:lang w:val="fr-CH"/>
        </w:rPr>
      </w:pPr>
      <w:r>
        <w:rPr>
          <w:lang w:val="fr-CH"/>
        </w:rPr>
        <w:t>29</w:t>
      </w:r>
      <w:r>
        <w:rPr>
          <w:lang w:val="fr-CH"/>
        </w:rPr>
        <w:tab/>
      </w:r>
      <w:r w:rsidR="00E3346A">
        <w:rPr>
          <w:lang w:val="fr-CH"/>
        </w:rPr>
        <w:t>Dès</w:t>
      </w:r>
      <w:r w:rsidR="00E3346A" w:rsidRPr="00511E6B">
        <w:rPr>
          <w:lang w:val="fr-CH"/>
        </w:rPr>
        <w:t xml:space="preserve"> 2013, l'Unité de l'audit interne a commencé à utiliser des questionnaires d'évaluation de l'efficacité des audits, qui ont été envoyés aux superviseurs des processus et des entités faisant l'objet d'un audit, afin d'évaluer l'efficacité des travaux d'audit et de repérer les possibilités d'amélioration</w:t>
      </w:r>
      <w:r w:rsidR="00E3346A">
        <w:rPr>
          <w:lang w:val="fr-CH"/>
        </w:rPr>
        <w:t xml:space="preserve">. </w:t>
      </w:r>
      <w:r w:rsidR="00E3346A" w:rsidRPr="00511E6B">
        <w:rPr>
          <w:lang w:val="fr-CH"/>
        </w:rPr>
        <w:t xml:space="preserve">En général, les évaluations ont été </w:t>
      </w:r>
      <w:r>
        <w:rPr>
          <w:lang w:val="fr-CH"/>
        </w:rPr>
        <w:t xml:space="preserve">très </w:t>
      </w:r>
      <w:r w:rsidR="00E3346A" w:rsidRPr="00511E6B">
        <w:rPr>
          <w:lang w:val="fr-CH"/>
        </w:rPr>
        <w:t>positives (note moyenne de 4 sur une échelle allant de 1 à 5)</w:t>
      </w:r>
      <w:r w:rsidR="00A04F50">
        <w:rPr>
          <w:lang w:val="fr-CH"/>
        </w:rPr>
        <w:t>.</w:t>
      </w:r>
    </w:p>
    <w:p w:rsidR="00F1503A" w:rsidRDefault="00F1503A" w:rsidP="00F1503A">
      <w:pPr>
        <w:pStyle w:val="Niormal"/>
      </w:pPr>
    </w:p>
    <w:p w:rsidR="00571500" w:rsidRDefault="00571500" w:rsidP="00F1503A">
      <w:pPr>
        <w:pStyle w:val="Niormal"/>
      </w:pPr>
    </w:p>
    <w:p w:rsidR="00571500" w:rsidRDefault="00571500" w:rsidP="0032202E">
      <w:pPr>
        <w:pStyle w:val="Reasons"/>
      </w:pPr>
    </w:p>
    <w:p w:rsidR="00571500" w:rsidRDefault="00571500">
      <w:pPr>
        <w:jc w:val="center"/>
      </w:pPr>
      <w:r>
        <w:t>______________</w:t>
      </w:r>
    </w:p>
    <w:p w:rsidR="00571500" w:rsidRPr="00AB3A23" w:rsidRDefault="00571500" w:rsidP="00F1503A">
      <w:pPr>
        <w:pStyle w:val="Niormal"/>
      </w:pPr>
      <w:bookmarkStart w:id="8" w:name="_GoBack"/>
      <w:bookmarkEnd w:id="8"/>
    </w:p>
    <w:sectPr w:rsidR="00571500" w:rsidRPr="00AB3A23"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965" w:rsidRDefault="00990965">
      <w:r>
        <w:separator/>
      </w:r>
    </w:p>
  </w:endnote>
  <w:endnote w:type="continuationSeparator" w:id="0">
    <w:p w:rsidR="00990965" w:rsidRDefault="0099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96C81">
    <w:pPr>
      <w:pStyle w:val="Footer"/>
    </w:pPr>
    <w:r>
      <w:fldChar w:fldCharType="begin"/>
    </w:r>
    <w:r>
      <w:instrText xml:space="preserve"> FILENAME \p \* MERGEFORMAT </w:instrText>
    </w:r>
    <w:r>
      <w:fldChar w:fldCharType="separate"/>
    </w:r>
    <w:r w:rsidR="00D3268B">
      <w:t>P:\FRA\SG\CONSEIL\C15\000\054F.docx</w:t>
    </w:r>
    <w:r>
      <w:fldChar w:fldCharType="end"/>
    </w:r>
    <w:r w:rsidR="00732045">
      <w:tab/>
    </w:r>
    <w:r w:rsidR="002F1B76">
      <w:fldChar w:fldCharType="begin"/>
    </w:r>
    <w:r w:rsidR="00732045">
      <w:instrText xml:space="preserve"> savedate \@ dd.MM.yy </w:instrText>
    </w:r>
    <w:r w:rsidR="002F1B76">
      <w:fldChar w:fldCharType="separate"/>
    </w:r>
    <w:r w:rsidR="00A04F50">
      <w:t>07.05.15</w:t>
    </w:r>
    <w:r w:rsidR="002F1B76">
      <w:fldChar w:fldCharType="end"/>
    </w:r>
    <w:r w:rsidR="00732045">
      <w:tab/>
    </w:r>
    <w:r w:rsidR="002F1B76">
      <w:fldChar w:fldCharType="begin"/>
    </w:r>
    <w:r w:rsidR="00732045">
      <w:instrText xml:space="preserve"> printdate \@ dd.MM.yy </w:instrText>
    </w:r>
    <w:r w:rsidR="002F1B76">
      <w:fldChar w:fldCharType="separate"/>
    </w:r>
    <w:r w:rsidR="00D3268B">
      <w:t>28.04.15</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96C81" w:rsidP="00C33559">
    <w:pPr>
      <w:pStyle w:val="Footer"/>
    </w:pPr>
    <w:r>
      <w:fldChar w:fldCharType="begin"/>
    </w:r>
    <w:r>
      <w:instrText xml:space="preserve"> FILENAME \p \* MERGEFORMAT </w:instrText>
    </w:r>
    <w:r>
      <w:fldChar w:fldCharType="separate"/>
    </w:r>
    <w:r w:rsidR="00C33559">
      <w:t>P:\FRA\SG\CONSEIL\C15\000\043F.docx</w:t>
    </w:r>
    <w:r>
      <w:fldChar w:fldCharType="end"/>
    </w:r>
    <w:r w:rsidR="008D443F">
      <w:t xml:space="preserve"> </w:t>
    </w:r>
    <w:r w:rsidR="008312B3">
      <w:t>(37</w:t>
    </w:r>
    <w:r w:rsidR="00C33559">
      <w:t>7759</w:t>
    </w:r>
    <w:r w:rsidR="008312B3">
      <w:t>)</w:t>
    </w:r>
    <w:r w:rsidR="00732045">
      <w:tab/>
    </w:r>
    <w:r w:rsidR="002F1B76">
      <w:fldChar w:fldCharType="begin"/>
    </w:r>
    <w:r w:rsidR="00732045">
      <w:instrText xml:space="preserve"> savedate \@ dd.MM.yy </w:instrText>
    </w:r>
    <w:r w:rsidR="002F1B76">
      <w:fldChar w:fldCharType="separate"/>
    </w:r>
    <w:r w:rsidR="00A04F50">
      <w:t>07.05.15</w:t>
    </w:r>
    <w:r w:rsidR="002F1B76">
      <w:fldChar w:fldCharType="end"/>
    </w:r>
    <w:r w:rsidR="00732045">
      <w:tab/>
    </w:r>
    <w:r w:rsidR="002F1B76">
      <w:fldChar w:fldCharType="begin"/>
    </w:r>
    <w:r w:rsidR="00732045">
      <w:instrText xml:space="preserve"> printdate \@ dd.MM.yy </w:instrText>
    </w:r>
    <w:r w:rsidR="002F1B76">
      <w:fldChar w:fldCharType="separate"/>
    </w:r>
    <w:r w:rsidR="00C33559">
      <w:t>28.04.15</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996C81" w:rsidP="00FD67EF">
    <w:pPr>
      <w:pStyle w:val="Footer"/>
    </w:pPr>
    <w:r>
      <w:fldChar w:fldCharType="begin"/>
    </w:r>
    <w:r>
      <w:instrText xml:space="preserve"> FILENAME \p \* MERGEFORMAT </w:instrText>
    </w:r>
    <w:r>
      <w:fldChar w:fldCharType="separate"/>
    </w:r>
    <w:r w:rsidR="00FD67EF">
      <w:t>P:\FRA\SG\CONSEIL\C15\000\043F.docx</w:t>
    </w:r>
    <w:r>
      <w:fldChar w:fldCharType="end"/>
    </w:r>
    <w:r w:rsidR="008D443F">
      <w:t xml:space="preserve"> (37</w:t>
    </w:r>
    <w:r w:rsidR="00FD67EF">
      <w:t>7759</w:t>
    </w:r>
    <w:r w:rsidR="008D443F">
      <w:t>)</w:t>
    </w:r>
    <w:r w:rsidR="008D443F">
      <w:tab/>
    </w:r>
    <w:r w:rsidR="008D443F">
      <w:fldChar w:fldCharType="begin"/>
    </w:r>
    <w:r w:rsidR="008D443F">
      <w:instrText xml:space="preserve"> savedate \@ dd.MM.yy </w:instrText>
    </w:r>
    <w:r w:rsidR="008D443F">
      <w:fldChar w:fldCharType="separate"/>
    </w:r>
    <w:r w:rsidR="00A04F50">
      <w:t>07.05.15</w:t>
    </w:r>
    <w:r w:rsidR="008D443F">
      <w:fldChar w:fldCharType="end"/>
    </w:r>
    <w:r w:rsidR="008D443F">
      <w:tab/>
    </w:r>
    <w:r w:rsidR="008D443F">
      <w:fldChar w:fldCharType="begin"/>
    </w:r>
    <w:r w:rsidR="008D443F">
      <w:instrText xml:space="preserve"> printdate \@ dd.MM.yy </w:instrText>
    </w:r>
    <w:r w:rsidR="008D443F">
      <w:fldChar w:fldCharType="separate"/>
    </w:r>
    <w:r w:rsidR="00FD67EF">
      <w:t>28.04.15</w:t>
    </w:r>
    <w:r w:rsidR="008D443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965" w:rsidRDefault="00990965">
      <w:r>
        <w:t>____________________</w:t>
      </w:r>
    </w:p>
  </w:footnote>
  <w:footnote w:type="continuationSeparator" w:id="0">
    <w:p w:rsidR="00990965" w:rsidRDefault="00990965">
      <w:r>
        <w:continuationSeparator/>
      </w:r>
    </w:p>
  </w:footnote>
  <w:footnote w:id="1">
    <w:p w:rsidR="00FD67EF" w:rsidRPr="00E32106" w:rsidRDefault="00FD67EF" w:rsidP="00F30796">
      <w:pPr>
        <w:pStyle w:val="FootnoteText"/>
        <w:rPr>
          <w:sz w:val="20"/>
          <w:szCs w:val="16"/>
          <w:lang w:val="fr-CH"/>
        </w:rPr>
      </w:pPr>
      <w:r>
        <w:rPr>
          <w:rStyle w:val="FootnoteReference"/>
        </w:rPr>
        <w:footnoteRef/>
      </w:r>
      <w:r w:rsidR="00F30796">
        <w:tab/>
      </w:r>
      <w:r w:rsidRPr="00F30796">
        <w:t>Ordre de service N° 13/09, adopté par le Secrétaire général le 27 juin 2013.</w:t>
      </w:r>
    </w:p>
  </w:footnote>
  <w:footnote w:id="2">
    <w:p w:rsidR="00FD67EF" w:rsidRPr="00515B1A" w:rsidRDefault="00FD67EF" w:rsidP="00ED7B76">
      <w:pPr>
        <w:pStyle w:val="FootnoteText"/>
        <w:rPr>
          <w:sz w:val="20"/>
          <w:lang w:val="fr-CH"/>
        </w:rPr>
      </w:pPr>
      <w:r w:rsidRPr="00F17B62">
        <w:rPr>
          <w:rStyle w:val="FootnoteReference"/>
          <w:szCs w:val="16"/>
        </w:rPr>
        <w:footnoteRef/>
      </w:r>
      <w:r w:rsidRPr="00515B1A">
        <w:rPr>
          <w:sz w:val="20"/>
        </w:rPr>
        <w:tab/>
      </w:r>
      <w:r w:rsidRPr="00F30796">
        <w:t>Institut des auditeurs internes (</w:t>
      </w:r>
      <w:hyperlink r:id="rId1" w:history="1">
        <w:r w:rsidRPr="00ED7B76">
          <w:rPr>
            <w:rStyle w:val="Hyperlink"/>
          </w:rPr>
          <w:t>www.theiia.org</w:t>
        </w:r>
      </w:hyperlink>
      <w:r w:rsidRPr="00F30796">
        <w:t>).</w:t>
      </w:r>
    </w:p>
  </w:footnote>
  <w:footnote w:id="3">
    <w:p w:rsidR="00FD67EF" w:rsidRPr="00F2463D" w:rsidRDefault="00FD67EF" w:rsidP="00FD67EF">
      <w:pPr>
        <w:pStyle w:val="FootnoteText"/>
        <w:rPr>
          <w:lang w:val="fr-CH"/>
        </w:rPr>
      </w:pPr>
      <w:r>
        <w:rPr>
          <w:rStyle w:val="FootnoteReference"/>
        </w:rPr>
        <w:footnoteRef/>
      </w:r>
      <w:r>
        <w:tab/>
      </w:r>
      <w:r w:rsidRPr="00F30796">
        <w:t>Ordre de service N° 13/09, adopté par le Secrétaire général le 27 juin 2013.</w:t>
      </w:r>
    </w:p>
  </w:footnote>
  <w:footnote w:id="4">
    <w:p w:rsidR="00E3346A" w:rsidRPr="00F30796" w:rsidRDefault="00E3346A" w:rsidP="00D3323B">
      <w:pPr>
        <w:pStyle w:val="FootnoteText"/>
        <w:tabs>
          <w:tab w:val="clear" w:pos="256"/>
          <w:tab w:val="clear" w:pos="567"/>
          <w:tab w:val="clear" w:pos="1134"/>
          <w:tab w:val="clear" w:pos="1701"/>
          <w:tab w:val="clear" w:pos="2268"/>
          <w:tab w:val="clear" w:pos="2835"/>
        </w:tabs>
        <w:spacing w:before="60"/>
        <w:ind w:left="255" w:hanging="255"/>
      </w:pPr>
      <w:r>
        <w:rPr>
          <w:rStyle w:val="FootnoteReference"/>
        </w:rPr>
        <w:footnoteRef/>
      </w:r>
      <w:r w:rsidRPr="000F04F4">
        <w:rPr>
          <w:lang w:val="fr-CH"/>
        </w:rPr>
        <w:t xml:space="preserve"> </w:t>
      </w:r>
      <w:r w:rsidRPr="000F04F4">
        <w:rPr>
          <w:lang w:val="fr-CH"/>
        </w:rPr>
        <w:tab/>
      </w:r>
      <w:r w:rsidRPr="00F30796">
        <w:t>Par problème critique</w:t>
      </w:r>
      <w:r w:rsidR="00996C81">
        <w:t>,</w:t>
      </w:r>
      <w:r w:rsidRPr="00F30796">
        <w:t xml:space="preserve"> on entend un</w:t>
      </w:r>
      <w:r w:rsidR="00D3323B">
        <w:t xml:space="preserve">e </w:t>
      </w:r>
      <w:r w:rsidRPr="00F30796">
        <w:t>défaillance comp</w:t>
      </w:r>
      <w:r w:rsidR="00D3323B">
        <w:t>è</w:t>
      </w:r>
      <w:r w:rsidRPr="00F30796">
        <w:t>t</w:t>
      </w:r>
      <w:r w:rsidR="00D3323B">
        <w:t>e</w:t>
      </w:r>
      <w:r w:rsidRPr="00F30796">
        <w:t xml:space="preserve"> de l'environnement de contrôle dont les incidences pour l'organisation sont si néfastes qu'elles rendent impossible ou </w:t>
      </w:r>
      <w:r w:rsidR="00D3323B">
        <w:t xml:space="preserve">hautement improbable </w:t>
      </w:r>
      <w:r w:rsidRPr="00F30796">
        <w:t>la poursuite du fonctionnement de cette organisation.</w:t>
      </w:r>
    </w:p>
  </w:footnote>
  <w:footnote w:id="5">
    <w:p w:rsidR="00E3346A" w:rsidRPr="00F30796" w:rsidRDefault="00E3346A" w:rsidP="00F30796">
      <w:pPr>
        <w:spacing w:before="60"/>
        <w:ind w:left="284" w:hanging="284"/>
        <w:rPr>
          <w:rStyle w:val="FootnoteTextChar"/>
        </w:rPr>
      </w:pPr>
      <w:r>
        <w:rPr>
          <w:rStyle w:val="FootnoteReference"/>
        </w:rPr>
        <w:footnoteRef/>
      </w:r>
      <w:r w:rsidRPr="00566540">
        <w:rPr>
          <w:rStyle w:val="FootnoteReference"/>
          <w:lang w:val="fr-CH"/>
        </w:rPr>
        <w:t xml:space="preserve"> </w:t>
      </w:r>
      <w:r w:rsidRPr="00566540">
        <w:rPr>
          <w:lang w:val="fr-CH"/>
        </w:rPr>
        <w:tab/>
      </w:r>
      <w:r w:rsidRPr="00F30796">
        <w:rPr>
          <w:rStyle w:val="FootnoteTextChar"/>
        </w:rPr>
        <w:t xml:space="preserve">On a </w:t>
      </w:r>
      <w:r w:rsidR="00EE7290" w:rsidRPr="00F30796">
        <w:rPr>
          <w:rStyle w:val="FootnoteTextChar"/>
        </w:rPr>
        <w:t>constaté des insuffisances</w:t>
      </w:r>
      <w:r w:rsidRPr="00F30796">
        <w:rPr>
          <w:rStyle w:val="FootnoteTextChar"/>
        </w:rPr>
        <w:t xml:space="preserve"> dans la conception et/ou le fonctionnement des contrôles</w:t>
      </w:r>
      <w:r w:rsidR="004236AA">
        <w:rPr>
          <w:rStyle w:val="FootnoteTextChar"/>
        </w:rPr>
        <w:t>,</w:t>
      </w:r>
      <w:r w:rsidRPr="00F30796">
        <w:rPr>
          <w:rStyle w:val="FootnoteTextChar"/>
        </w:rPr>
        <w:t xml:space="preserve"> qui pourraient nuire à la réalisation des objectifs du système, </w:t>
      </w:r>
      <w:r w:rsidR="00EE7290" w:rsidRPr="00F30796">
        <w:rPr>
          <w:rStyle w:val="FootnoteTextChar"/>
        </w:rPr>
        <w:t>aux</w:t>
      </w:r>
      <w:r w:rsidRPr="00F30796">
        <w:rPr>
          <w:rStyle w:val="FootnoteTextChar"/>
        </w:rPr>
        <w:t xml:space="preserve"> fonctions ou </w:t>
      </w:r>
      <w:r w:rsidR="00EE7290" w:rsidRPr="00F30796">
        <w:rPr>
          <w:rStyle w:val="FootnoteTextChar"/>
        </w:rPr>
        <w:t>aux</w:t>
      </w:r>
      <w:r w:rsidRPr="00F30796">
        <w:rPr>
          <w:rStyle w:val="FootnoteTextChar"/>
        </w:rPr>
        <w:t xml:space="preserve"> processus. Toutefois, les conséquences de ces </w:t>
      </w:r>
      <w:r w:rsidR="00EE7290" w:rsidRPr="00F30796">
        <w:rPr>
          <w:rStyle w:val="FootnoteTextChar"/>
        </w:rPr>
        <w:t>insuffisances</w:t>
      </w:r>
      <w:r w:rsidRPr="00F30796">
        <w:rPr>
          <w:rStyle w:val="FootnoteTextChar"/>
        </w:rPr>
        <w:t xml:space="preserve"> ne seraient pas importantes </w:t>
      </w:r>
      <w:r w:rsidR="00EE7290" w:rsidRPr="00F30796">
        <w:rPr>
          <w:rStyle w:val="FootnoteTextChar"/>
        </w:rPr>
        <w:t>ou bien auraient très peu de chance de se concrétiser</w:t>
      </w:r>
      <w:r w:rsidR="004236AA">
        <w:rPr>
          <w:rStyle w:val="FootnoteTextChar"/>
        </w:rPr>
        <w:t>.</w:t>
      </w:r>
    </w:p>
  </w:footnote>
  <w:footnote w:id="6">
    <w:p w:rsidR="00E3346A" w:rsidRPr="004236AA" w:rsidRDefault="00E3346A" w:rsidP="004236AA">
      <w:pPr>
        <w:pStyle w:val="FootnoteText"/>
        <w:spacing w:before="60"/>
      </w:pPr>
      <w:r>
        <w:rPr>
          <w:rStyle w:val="FootnoteReference"/>
        </w:rPr>
        <w:footnoteRef/>
      </w:r>
      <w:r w:rsidRPr="00566540">
        <w:rPr>
          <w:lang w:val="fr-CH"/>
        </w:rPr>
        <w:t xml:space="preserve"> </w:t>
      </w:r>
      <w:r w:rsidRPr="00566540">
        <w:rPr>
          <w:lang w:val="fr-CH"/>
        </w:rPr>
        <w:tab/>
      </w:r>
      <w:r w:rsidRPr="004236AA">
        <w:t xml:space="preserve">Institut des auditeurs internes, </w:t>
      </w:r>
      <w:hyperlink r:id="rId2" w:history="1">
        <w:r w:rsidRPr="004236AA">
          <w:rPr>
            <w:rStyle w:val="Hyperlink"/>
          </w:rPr>
          <w:t>www.theiia.org</w:t>
        </w:r>
      </w:hyperlink>
      <w:r w:rsidRPr="004236A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96C81">
      <w:rPr>
        <w:noProof/>
      </w:rPr>
      <w:t>10</w:t>
    </w:r>
    <w:r>
      <w:rPr>
        <w:noProof/>
      </w:rPr>
      <w:fldChar w:fldCharType="end"/>
    </w:r>
  </w:p>
  <w:p w:rsidR="00732045" w:rsidRDefault="00732045" w:rsidP="00AA5FA5">
    <w:pPr>
      <w:pStyle w:val="Header"/>
    </w:pPr>
    <w:r>
      <w:t>C1</w:t>
    </w:r>
    <w:r w:rsidR="00A2113E">
      <w:t>5</w:t>
    </w:r>
    <w:r>
      <w:t>/</w:t>
    </w:r>
    <w:r w:rsidR="00C33559">
      <w:t>4</w:t>
    </w:r>
    <w:r w:rsidR="00AA5FA5">
      <w:t>3</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774532C"/>
    <w:lvl w:ilvl="0">
      <w:start w:val="1"/>
      <w:numFmt w:val="decimal"/>
      <w:lvlText w:val="%1."/>
      <w:lvlJc w:val="left"/>
      <w:pPr>
        <w:tabs>
          <w:tab w:val="num" w:pos="1492"/>
        </w:tabs>
        <w:ind w:left="1492" w:hanging="360"/>
      </w:pPr>
    </w:lvl>
  </w:abstractNum>
  <w:abstractNum w:abstractNumId="1">
    <w:nsid w:val="FFFFFF7D"/>
    <w:multiLevelType w:val="singleLevel"/>
    <w:tmpl w:val="2BAE32F0"/>
    <w:lvl w:ilvl="0">
      <w:start w:val="1"/>
      <w:numFmt w:val="decimal"/>
      <w:lvlText w:val="%1."/>
      <w:lvlJc w:val="left"/>
      <w:pPr>
        <w:tabs>
          <w:tab w:val="num" w:pos="1209"/>
        </w:tabs>
        <w:ind w:left="1209" w:hanging="360"/>
      </w:pPr>
    </w:lvl>
  </w:abstractNum>
  <w:abstractNum w:abstractNumId="2">
    <w:nsid w:val="FFFFFF7E"/>
    <w:multiLevelType w:val="singleLevel"/>
    <w:tmpl w:val="CF6AD594"/>
    <w:lvl w:ilvl="0">
      <w:start w:val="1"/>
      <w:numFmt w:val="decimal"/>
      <w:lvlText w:val="%1."/>
      <w:lvlJc w:val="left"/>
      <w:pPr>
        <w:tabs>
          <w:tab w:val="num" w:pos="926"/>
        </w:tabs>
        <w:ind w:left="926" w:hanging="360"/>
      </w:pPr>
    </w:lvl>
  </w:abstractNum>
  <w:abstractNum w:abstractNumId="3">
    <w:nsid w:val="FFFFFF7F"/>
    <w:multiLevelType w:val="singleLevel"/>
    <w:tmpl w:val="4A643B5E"/>
    <w:lvl w:ilvl="0">
      <w:start w:val="1"/>
      <w:numFmt w:val="decimal"/>
      <w:lvlText w:val="%1."/>
      <w:lvlJc w:val="left"/>
      <w:pPr>
        <w:tabs>
          <w:tab w:val="num" w:pos="643"/>
        </w:tabs>
        <w:ind w:left="643" w:hanging="360"/>
      </w:pPr>
    </w:lvl>
  </w:abstractNum>
  <w:abstractNum w:abstractNumId="4">
    <w:nsid w:val="FFFFFF80"/>
    <w:multiLevelType w:val="singleLevel"/>
    <w:tmpl w:val="B23AE0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4A72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E44D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924D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EEE15C"/>
    <w:lvl w:ilvl="0">
      <w:start w:val="1"/>
      <w:numFmt w:val="decimal"/>
      <w:lvlText w:val="%1."/>
      <w:lvlJc w:val="left"/>
      <w:pPr>
        <w:tabs>
          <w:tab w:val="num" w:pos="360"/>
        </w:tabs>
        <w:ind w:left="360" w:hanging="360"/>
      </w:pPr>
    </w:lvl>
  </w:abstractNum>
  <w:abstractNum w:abstractNumId="9">
    <w:nsid w:val="FFFFFF89"/>
    <w:multiLevelType w:val="singleLevel"/>
    <w:tmpl w:val="46441A18"/>
    <w:lvl w:ilvl="0">
      <w:start w:val="1"/>
      <w:numFmt w:val="bullet"/>
      <w:lvlText w:val=""/>
      <w:lvlJc w:val="left"/>
      <w:pPr>
        <w:tabs>
          <w:tab w:val="num" w:pos="360"/>
        </w:tabs>
        <w:ind w:left="360" w:hanging="360"/>
      </w:pPr>
      <w:rPr>
        <w:rFonts w:ascii="Symbol" w:hAnsi="Symbol" w:hint="default"/>
      </w:rPr>
    </w:lvl>
  </w:abstractNum>
  <w:abstractNum w:abstractNumId="10">
    <w:nsid w:val="045848D6"/>
    <w:multiLevelType w:val="hybridMultilevel"/>
    <w:tmpl w:val="A850B950"/>
    <w:lvl w:ilvl="0" w:tplc="D60876A8">
      <w:start w:val="23"/>
      <w:numFmt w:val="bullet"/>
      <w:lvlText w:val=""/>
      <w:lvlJc w:val="left"/>
      <w:pPr>
        <w:ind w:left="720" w:hanging="360"/>
      </w:pPr>
      <w:rPr>
        <w:rFonts w:ascii="Symbol" w:eastAsia="Times New Roman" w:hAnsi="Symbol"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DC5F63"/>
    <w:multiLevelType w:val="hybridMultilevel"/>
    <w:tmpl w:val="C59099F4"/>
    <w:lvl w:ilvl="0" w:tplc="968CF7A4">
      <w:start w:val="1"/>
      <w:numFmt w:val="lowerRoman"/>
      <w:lvlText w:val="(%1)"/>
      <w:lvlJc w:val="left"/>
      <w:pPr>
        <w:ind w:left="1080" w:hanging="720"/>
      </w:pPr>
      <w:rPr>
        <w:rFonts w:hint="default"/>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7452F"/>
    <w:multiLevelType w:val="hybridMultilevel"/>
    <w:tmpl w:val="297A8036"/>
    <w:lvl w:ilvl="0" w:tplc="67B29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07314"/>
    <w:multiLevelType w:val="hybridMultilevel"/>
    <w:tmpl w:val="4756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D6D66"/>
    <w:multiLevelType w:val="hybridMultilevel"/>
    <w:tmpl w:val="2FD8D0E6"/>
    <w:lvl w:ilvl="0" w:tplc="8584A3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F5E9A"/>
    <w:multiLevelType w:val="hybridMultilevel"/>
    <w:tmpl w:val="2618CB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D548A"/>
    <w:multiLevelType w:val="hybridMultilevel"/>
    <w:tmpl w:val="C67E8CA0"/>
    <w:lvl w:ilvl="0" w:tplc="04090015">
      <w:start w:val="1"/>
      <w:numFmt w:val="upperLetter"/>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7">
    <w:nsid w:val="463479DF"/>
    <w:multiLevelType w:val="hybridMultilevel"/>
    <w:tmpl w:val="77127D98"/>
    <w:lvl w:ilvl="0" w:tplc="93E42AFE">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8C314B"/>
    <w:multiLevelType w:val="hybridMultilevel"/>
    <w:tmpl w:val="75B075C6"/>
    <w:lvl w:ilvl="0" w:tplc="CCE854AA">
      <w:start w:val="1"/>
      <w:numFmt w:val="decimal"/>
      <w:lvlText w:val="%1."/>
      <w:lvlJc w:val="left"/>
      <w:pPr>
        <w:ind w:left="502" w:hanging="360"/>
      </w:pPr>
      <w:rPr>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43BEC"/>
    <w:multiLevelType w:val="hybridMultilevel"/>
    <w:tmpl w:val="1AC0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9B2F15"/>
    <w:multiLevelType w:val="hybridMultilevel"/>
    <w:tmpl w:val="5B6221A2"/>
    <w:lvl w:ilvl="0" w:tplc="763A1F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0D04C2"/>
    <w:multiLevelType w:val="hybridMultilevel"/>
    <w:tmpl w:val="89F0445A"/>
    <w:lvl w:ilvl="0" w:tplc="651C3BD4">
      <w:numFmt w:val="bullet"/>
      <w:lvlText w:val="-"/>
      <w:lvlJc w:val="left"/>
      <w:pPr>
        <w:ind w:left="357" w:hanging="360"/>
      </w:pPr>
      <w:rPr>
        <w:rFonts w:ascii="Calibri" w:eastAsia="Times New Roman" w:hAnsi="Calibri"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2">
    <w:nsid w:val="786B6D83"/>
    <w:multiLevelType w:val="hybridMultilevel"/>
    <w:tmpl w:val="F0C09E32"/>
    <w:lvl w:ilvl="0" w:tplc="8C90D1A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0"/>
  </w:num>
  <w:num w:numId="4">
    <w:abstractNumId w:val="21"/>
  </w:num>
  <w:num w:numId="5">
    <w:abstractNumId w:val="13"/>
  </w:num>
  <w:num w:numId="6">
    <w:abstractNumId w:val="19"/>
  </w:num>
  <w:num w:numId="7">
    <w:abstractNumId w:val="18"/>
  </w:num>
  <w:num w:numId="8">
    <w:abstractNumId w:val="20"/>
  </w:num>
  <w:num w:numId="9">
    <w:abstractNumId w:val="17"/>
  </w:num>
  <w:num w:numId="10">
    <w:abstractNumId w:val="11"/>
  </w:num>
  <w:num w:numId="11">
    <w:abstractNumId w:val="14"/>
  </w:num>
  <w:num w:numId="12">
    <w:abstractNumId w:val="12"/>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65"/>
    <w:rsid w:val="0000023A"/>
    <w:rsid w:val="000223DC"/>
    <w:rsid w:val="000473BD"/>
    <w:rsid w:val="00051621"/>
    <w:rsid w:val="000616B9"/>
    <w:rsid w:val="000709C5"/>
    <w:rsid w:val="000823CA"/>
    <w:rsid w:val="0008247E"/>
    <w:rsid w:val="00083DE5"/>
    <w:rsid w:val="00093E5B"/>
    <w:rsid w:val="00096482"/>
    <w:rsid w:val="000A1322"/>
    <w:rsid w:val="000A1C65"/>
    <w:rsid w:val="000A4C99"/>
    <w:rsid w:val="000C6581"/>
    <w:rsid w:val="000D0249"/>
    <w:rsid w:val="000D0D0A"/>
    <w:rsid w:val="000E52B3"/>
    <w:rsid w:val="00103163"/>
    <w:rsid w:val="00115D93"/>
    <w:rsid w:val="001247A8"/>
    <w:rsid w:val="0012714F"/>
    <w:rsid w:val="00130681"/>
    <w:rsid w:val="001378C0"/>
    <w:rsid w:val="0016732F"/>
    <w:rsid w:val="00167620"/>
    <w:rsid w:val="001A3287"/>
    <w:rsid w:val="001B6B9F"/>
    <w:rsid w:val="001D2B10"/>
    <w:rsid w:val="001D3CBE"/>
    <w:rsid w:val="001D4C31"/>
    <w:rsid w:val="001E4D21"/>
    <w:rsid w:val="00207CD1"/>
    <w:rsid w:val="00230641"/>
    <w:rsid w:val="002477A2"/>
    <w:rsid w:val="00263A51"/>
    <w:rsid w:val="00270F52"/>
    <w:rsid w:val="00271E37"/>
    <w:rsid w:val="00283ACC"/>
    <w:rsid w:val="002A39AA"/>
    <w:rsid w:val="002A5D44"/>
    <w:rsid w:val="002D51E5"/>
    <w:rsid w:val="002E05E3"/>
    <w:rsid w:val="002F1B76"/>
    <w:rsid w:val="002F772C"/>
    <w:rsid w:val="003125A2"/>
    <w:rsid w:val="00317843"/>
    <w:rsid w:val="00323575"/>
    <w:rsid w:val="00355FF5"/>
    <w:rsid w:val="00361350"/>
    <w:rsid w:val="0036659A"/>
    <w:rsid w:val="003971E1"/>
    <w:rsid w:val="003A7EF0"/>
    <w:rsid w:val="003C304B"/>
    <w:rsid w:val="003D3B5D"/>
    <w:rsid w:val="003D6A04"/>
    <w:rsid w:val="003F1B1D"/>
    <w:rsid w:val="004038CB"/>
    <w:rsid w:val="004046B8"/>
    <w:rsid w:val="0040546F"/>
    <w:rsid w:val="004122FA"/>
    <w:rsid w:val="00417B8D"/>
    <w:rsid w:val="004236AA"/>
    <w:rsid w:val="00423751"/>
    <w:rsid w:val="0042404A"/>
    <w:rsid w:val="004359AB"/>
    <w:rsid w:val="00435C1C"/>
    <w:rsid w:val="00437AE7"/>
    <w:rsid w:val="0044618F"/>
    <w:rsid w:val="0044796C"/>
    <w:rsid w:val="0046769A"/>
    <w:rsid w:val="00474FA8"/>
    <w:rsid w:val="00475FB3"/>
    <w:rsid w:val="004A14EE"/>
    <w:rsid w:val="004B3D40"/>
    <w:rsid w:val="004C1265"/>
    <w:rsid w:val="004C37A9"/>
    <w:rsid w:val="004D15B9"/>
    <w:rsid w:val="004D37F0"/>
    <w:rsid w:val="004E09FE"/>
    <w:rsid w:val="004F259E"/>
    <w:rsid w:val="004F34DD"/>
    <w:rsid w:val="004F5130"/>
    <w:rsid w:val="0050073D"/>
    <w:rsid w:val="00540615"/>
    <w:rsid w:val="00540A6D"/>
    <w:rsid w:val="005440BE"/>
    <w:rsid w:val="005653AA"/>
    <w:rsid w:val="00571500"/>
    <w:rsid w:val="00574354"/>
    <w:rsid w:val="00575417"/>
    <w:rsid w:val="005768E1"/>
    <w:rsid w:val="005879AB"/>
    <w:rsid w:val="005934B1"/>
    <w:rsid w:val="005A02EC"/>
    <w:rsid w:val="005A5AEA"/>
    <w:rsid w:val="005B2BFD"/>
    <w:rsid w:val="005C0A04"/>
    <w:rsid w:val="005C3890"/>
    <w:rsid w:val="005D6FCC"/>
    <w:rsid w:val="005E0B43"/>
    <w:rsid w:val="005F7BFE"/>
    <w:rsid w:val="00600017"/>
    <w:rsid w:val="006205E4"/>
    <w:rsid w:val="006311F4"/>
    <w:rsid w:val="00631BCB"/>
    <w:rsid w:val="00632BE8"/>
    <w:rsid w:val="00637515"/>
    <w:rsid w:val="00644A72"/>
    <w:rsid w:val="00654C88"/>
    <w:rsid w:val="006643AB"/>
    <w:rsid w:val="00674E05"/>
    <w:rsid w:val="00676A45"/>
    <w:rsid w:val="006969C8"/>
    <w:rsid w:val="006C45CB"/>
    <w:rsid w:val="006D2C17"/>
    <w:rsid w:val="006D4378"/>
    <w:rsid w:val="006F24E6"/>
    <w:rsid w:val="006F25ED"/>
    <w:rsid w:val="006F25FB"/>
    <w:rsid w:val="007145F9"/>
    <w:rsid w:val="00716E26"/>
    <w:rsid w:val="0071796B"/>
    <w:rsid w:val="007210CD"/>
    <w:rsid w:val="00730919"/>
    <w:rsid w:val="00732045"/>
    <w:rsid w:val="0073489A"/>
    <w:rsid w:val="007369DB"/>
    <w:rsid w:val="00743009"/>
    <w:rsid w:val="00743E05"/>
    <w:rsid w:val="0075100C"/>
    <w:rsid w:val="007956C2"/>
    <w:rsid w:val="007A187E"/>
    <w:rsid w:val="007A7AE3"/>
    <w:rsid w:val="007B00DE"/>
    <w:rsid w:val="007C72C2"/>
    <w:rsid w:val="007D4436"/>
    <w:rsid w:val="007D5037"/>
    <w:rsid w:val="007F1B97"/>
    <w:rsid w:val="007F1CE4"/>
    <w:rsid w:val="007F257A"/>
    <w:rsid w:val="007F2A9A"/>
    <w:rsid w:val="007F3665"/>
    <w:rsid w:val="00800037"/>
    <w:rsid w:val="00814704"/>
    <w:rsid w:val="008207F7"/>
    <w:rsid w:val="008312B3"/>
    <w:rsid w:val="008353A5"/>
    <w:rsid w:val="00855879"/>
    <w:rsid w:val="00861D73"/>
    <w:rsid w:val="0086326A"/>
    <w:rsid w:val="00871620"/>
    <w:rsid w:val="0088762D"/>
    <w:rsid w:val="008971F2"/>
    <w:rsid w:val="008A4E87"/>
    <w:rsid w:val="008D443F"/>
    <w:rsid w:val="008D6C5D"/>
    <w:rsid w:val="008D76E6"/>
    <w:rsid w:val="008E6FF7"/>
    <w:rsid w:val="008F06EB"/>
    <w:rsid w:val="00912AB7"/>
    <w:rsid w:val="0092392D"/>
    <w:rsid w:val="00925135"/>
    <w:rsid w:val="00944320"/>
    <w:rsid w:val="00944BF3"/>
    <w:rsid w:val="009656B1"/>
    <w:rsid w:val="00983129"/>
    <w:rsid w:val="00990965"/>
    <w:rsid w:val="00996C81"/>
    <w:rsid w:val="009A0015"/>
    <w:rsid w:val="009C307F"/>
    <w:rsid w:val="009F5240"/>
    <w:rsid w:val="00A04F50"/>
    <w:rsid w:val="00A2113E"/>
    <w:rsid w:val="00A23A51"/>
    <w:rsid w:val="00A24607"/>
    <w:rsid w:val="00A25CD3"/>
    <w:rsid w:val="00A4007E"/>
    <w:rsid w:val="00A441BA"/>
    <w:rsid w:val="00A50259"/>
    <w:rsid w:val="00A54258"/>
    <w:rsid w:val="00A66004"/>
    <w:rsid w:val="00A765DE"/>
    <w:rsid w:val="00A82767"/>
    <w:rsid w:val="00A915FC"/>
    <w:rsid w:val="00AA332F"/>
    <w:rsid w:val="00AA3B91"/>
    <w:rsid w:val="00AA5FA5"/>
    <w:rsid w:val="00AA7BBB"/>
    <w:rsid w:val="00AB4F24"/>
    <w:rsid w:val="00AB64A8"/>
    <w:rsid w:val="00AC0266"/>
    <w:rsid w:val="00AC4EB5"/>
    <w:rsid w:val="00AD24EC"/>
    <w:rsid w:val="00AD742E"/>
    <w:rsid w:val="00B06D3B"/>
    <w:rsid w:val="00B13C0C"/>
    <w:rsid w:val="00B309F9"/>
    <w:rsid w:val="00B32B60"/>
    <w:rsid w:val="00B37119"/>
    <w:rsid w:val="00B40933"/>
    <w:rsid w:val="00B52313"/>
    <w:rsid w:val="00B61619"/>
    <w:rsid w:val="00B70684"/>
    <w:rsid w:val="00B82671"/>
    <w:rsid w:val="00B97848"/>
    <w:rsid w:val="00BB00FF"/>
    <w:rsid w:val="00BB4545"/>
    <w:rsid w:val="00BC3D03"/>
    <w:rsid w:val="00BD2DFD"/>
    <w:rsid w:val="00BD5873"/>
    <w:rsid w:val="00BF26DB"/>
    <w:rsid w:val="00C04BE3"/>
    <w:rsid w:val="00C05375"/>
    <w:rsid w:val="00C07AAA"/>
    <w:rsid w:val="00C20C20"/>
    <w:rsid w:val="00C25D29"/>
    <w:rsid w:val="00C27A7C"/>
    <w:rsid w:val="00C324C5"/>
    <w:rsid w:val="00C33559"/>
    <w:rsid w:val="00C74CDF"/>
    <w:rsid w:val="00C77E8E"/>
    <w:rsid w:val="00C86DC0"/>
    <w:rsid w:val="00C90D2F"/>
    <w:rsid w:val="00C9521F"/>
    <w:rsid w:val="00CA08ED"/>
    <w:rsid w:val="00CA4042"/>
    <w:rsid w:val="00CF183B"/>
    <w:rsid w:val="00D16D1C"/>
    <w:rsid w:val="00D21DFA"/>
    <w:rsid w:val="00D3268B"/>
    <w:rsid w:val="00D3323B"/>
    <w:rsid w:val="00D375CD"/>
    <w:rsid w:val="00D528C9"/>
    <w:rsid w:val="00D555D3"/>
    <w:rsid w:val="00D568F6"/>
    <w:rsid w:val="00D774D3"/>
    <w:rsid w:val="00D904E8"/>
    <w:rsid w:val="00DA08C3"/>
    <w:rsid w:val="00DA1912"/>
    <w:rsid w:val="00DC22AA"/>
    <w:rsid w:val="00DE1EA7"/>
    <w:rsid w:val="00DE22BF"/>
    <w:rsid w:val="00DF2205"/>
    <w:rsid w:val="00DF74DD"/>
    <w:rsid w:val="00E00FD2"/>
    <w:rsid w:val="00E01A31"/>
    <w:rsid w:val="00E05798"/>
    <w:rsid w:val="00E107C8"/>
    <w:rsid w:val="00E13A59"/>
    <w:rsid w:val="00E200FB"/>
    <w:rsid w:val="00E25AD0"/>
    <w:rsid w:val="00E306C2"/>
    <w:rsid w:val="00E33429"/>
    <w:rsid w:val="00E3346A"/>
    <w:rsid w:val="00E43BAC"/>
    <w:rsid w:val="00E677D2"/>
    <w:rsid w:val="00E72677"/>
    <w:rsid w:val="00E94EC2"/>
    <w:rsid w:val="00EB6350"/>
    <w:rsid w:val="00ED3E98"/>
    <w:rsid w:val="00ED7B76"/>
    <w:rsid w:val="00EE6533"/>
    <w:rsid w:val="00EE7290"/>
    <w:rsid w:val="00EF67F2"/>
    <w:rsid w:val="00F01637"/>
    <w:rsid w:val="00F037CB"/>
    <w:rsid w:val="00F11B79"/>
    <w:rsid w:val="00F15027"/>
    <w:rsid w:val="00F1503A"/>
    <w:rsid w:val="00F15B57"/>
    <w:rsid w:val="00F30796"/>
    <w:rsid w:val="00F34C6E"/>
    <w:rsid w:val="00F34EF7"/>
    <w:rsid w:val="00F427DB"/>
    <w:rsid w:val="00F65796"/>
    <w:rsid w:val="00F72151"/>
    <w:rsid w:val="00F77839"/>
    <w:rsid w:val="00FA7232"/>
    <w:rsid w:val="00FA7439"/>
    <w:rsid w:val="00FB43D1"/>
    <w:rsid w:val="00FB4C4D"/>
    <w:rsid w:val="00FC1B25"/>
    <w:rsid w:val="00FC4EC0"/>
    <w:rsid w:val="00FC6958"/>
    <w:rsid w:val="00FC696B"/>
    <w:rsid w:val="00FD2357"/>
    <w:rsid w:val="00FD67E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64D5957-8F74-4E34-8D6D-47DF5E14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5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A04F50"/>
    <w:pPr>
      <w:keepNext/>
      <w:keepLines/>
      <w:spacing w:before="480"/>
      <w:ind w:left="567" w:hanging="567"/>
      <w:outlineLvl w:val="0"/>
    </w:pPr>
    <w:rPr>
      <w:b/>
      <w:sz w:val="28"/>
    </w:rPr>
  </w:style>
  <w:style w:type="paragraph" w:styleId="Heading2">
    <w:name w:val="heading 2"/>
    <w:basedOn w:val="Heading1"/>
    <w:next w:val="Normal"/>
    <w:qFormat/>
    <w:rsid w:val="00A04F50"/>
    <w:pPr>
      <w:spacing w:before="320"/>
      <w:outlineLvl w:val="1"/>
    </w:pPr>
    <w:rPr>
      <w:sz w:val="24"/>
    </w:rPr>
  </w:style>
  <w:style w:type="paragraph" w:styleId="Heading3">
    <w:name w:val="heading 3"/>
    <w:basedOn w:val="Heading1"/>
    <w:next w:val="Normal"/>
    <w:qFormat/>
    <w:rsid w:val="00A04F50"/>
    <w:pPr>
      <w:spacing w:before="200"/>
      <w:outlineLvl w:val="2"/>
    </w:pPr>
    <w:rPr>
      <w:sz w:val="24"/>
    </w:rPr>
  </w:style>
  <w:style w:type="paragraph" w:styleId="Heading4">
    <w:name w:val="heading 4"/>
    <w:basedOn w:val="Heading3"/>
    <w:next w:val="Normal"/>
    <w:qFormat/>
    <w:rsid w:val="00A04F50"/>
    <w:pPr>
      <w:ind w:left="1134" w:hanging="1134"/>
      <w:outlineLvl w:val="3"/>
    </w:pPr>
  </w:style>
  <w:style w:type="paragraph" w:styleId="Heading5">
    <w:name w:val="heading 5"/>
    <w:basedOn w:val="Heading4"/>
    <w:next w:val="Normal"/>
    <w:qFormat/>
    <w:rsid w:val="00A04F50"/>
    <w:pPr>
      <w:outlineLvl w:val="4"/>
    </w:pPr>
  </w:style>
  <w:style w:type="paragraph" w:styleId="Heading6">
    <w:name w:val="heading 6"/>
    <w:basedOn w:val="Heading4"/>
    <w:next w:val="Normal"/>
    <w:qFormat/>
    <w:rsid w:val="00A04F50"/>
    <w:pPr>
      <w:outlineLvl w:val="5"/>
    </w:pPr>
  </w:style>
  <w:style w:type="paragraph" w:styleId="Heading7">
    <w:name w:val="heading 7"/>
    <w:basedOn w:val="Heading4"/>
    <w:next w:val="Normal"/>
    <w:qFormat/>
    <w:rsid w:val="00A04F50"/>
    <w:pPr>
      <w:ind w:left="1701" w:hanging="1701"/>
      <w:outlineLvl w:val="6"/>
    </w:pPr>
  </w:style>
  <w:style w:type="paragraph" w:styleId="Heading8">
    <w:name w:val="heading 8"/>
    <w:basedOn w:val="Heading4"/>
    <w:next w:val="Normal"/>
    <w:qFormat/>
    <w:rsid w:val="00A04F50"/>
    <w:pPr>
      <w:ind w:left="1701" w:hanging="1701"/>
      <w:outlineLvl w:val="7"/>
    </w:pPr>
  </w:style>
  <w:style w:type="paragraph" w:styleId="Heading9">
    <w:name w:val="heading 9"/>
    <w:basedOn w:val="Heading4"/>
    <w:next w:val="Normal"/>
    <w:qFormat/>
    <w:rsid w:val="00A04F50"/>
    <w:pPr>
      <w:ind w:left="1701" w:hanging="1701"/>
      <w:outlineLvl w:val="8"/>
    </w:pPr>
  </w:style>
  <w:style w:type="character" w:default="1" w:styleId="DefaultParagraphFont">
    <w:name w:val="Default Paragraph Font"/>
    <w:uiPriority w:val="1"/>
    <w:semiHidden/>
    <w:unhideWhenUsed/>
    <w:rsid w:val="00A04F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4F50"/>
  </w:style>
  <w:style w:type="paragraph" w:styleId="TOC8">
    <w:name w:val="toc 8"/>
    <w:basedOn w:val="Normal"/>
    <w:next w:val="Normal"/>
    <w:rsid w:val="00A04F5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A04F5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04F5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04F5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A04F5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04F5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04F5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04F50"/>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A04F50"/>
    <w:pPr>
      <w:ind w:left="1698"/>
    </w:pPr>
  </w:style>
  <w:style w:type="paragraph" w:styleId="Index6">
    <w:name w:val="index 6"/>
    <w:basedOn w:val="Normal"/>
    <w:next w:val="Normal"/>
    <w:rsid w:val="00A04F50"/>
    <w:pPr>
      <w:ind w:left="1415"/>
    </w:pPr>
  </w:style>
  <w:style w:type="paragraph" w:styleId="Index5">
    <w:name w:val="index 5"/>
    <w:basedOn w:val="Normal"/>
    <w:next w:val="Normal"/>
    <w:rsid w:val="00A04F50"/>
    <w:pPr>
      <w:ind w:left="1132"/>
    </w:pPr>
  </w:style>
  <w:style w:type="paragraph" w:styleId="Index4">
    <w:name w:val="index 4"/>
    <w:basedOn w:val="Normal"/>
    <w:next w:val="Normal"/>
    <w:rsid w:val="00A04F50"/>
    <w:pPr>
      <w:ind w:left="849"/>
    </w:pPr>
  </w:style>
  <w:style w:type="paragraph" w:styleId="Index3">
    <w:name w:val="index 3"/>
    <w:basedOn w:val="Normal"/>
    <w:next w:val="Normal"/>
    <w:rsid w:val="00A04F50"/>
    <w:pPr>
      <w:ind w:left="566"/>
    </w:pPr>
  </w:style>
  <w:style w:type="paragraph" w:styleId="Index2">
    <w:name w:val="index 2"/>
    <w:basedOn w:val="Normal"/>
    <w:next w:val="Normal"/>
    <w:rsid w:val="00A04F50"/>
    <w:pPr>
      <w:ind w:left="283"/>
    </w:pPr>
  </w:style>
  <w:style w:type="paragraph" w:styleId="Index1">
    <w:name w:val="index 1"/>
    <w:basedOn w:val="Normal"/>
    <w:next w:val="Normal"/>
    <w:rsid w:val="00A04F50"/>
  </w:style>
  <w:style w:type="character" w:styleId="LineNumber">
    <w:name w:val="line number"/>
    <w:basedOn w:val="DefaultParagraphFont"/>
    <w:rsid w:val="00A04F50"/>
  </w:style>
  <w:style w:type="paragraph" w:styleId="IndexHeading">
    <w:name w:val="index heading"/>
    <w:basedOn w:val="Normal"/>
    <w:next w:val="Index1"/>
    <w:rsid w:val="00A04F50"/>
  </w:style>
  <w:style w:type="paragraph" w:styleId="Footer">
    <w:name w:val="footer"/>
    <w:basedOn w:val="Normal"/>
    <w:rsid w:val="00A04F5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A04F5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04F50"/>
    <w:rPr>
      <w:rFonts w:ascii="Calibri" w:hAnsi="Calibri"/>
      <w:position w:val="6"/>
      <w:sz w:val="16"/>
    </w:rPr>
  </w:style>
  <w:style w:type="paragraph" w:styleId="FootnoteText">
    <w:name w:val="footnote text"/>
    <w:basedOn w:val="Normal"/>
    <w:link w:val="FootnoteTextChar"/>
    <w:rsid w:val="00A04F50"/>
    <w:pPr>
      <w:keepLines/>
      <w:tabs>
        <w:tab w:val="left" w:pos="256"/>
      </w:tabs>
      <w:ind w:left="256" w:hanging="256"/>
    </w:pPr>
  </w:style>
  <w:style w:type="paragraph" w:styleId="NormalIndent">
    <w:name w:val="Normal Indent"/>
    <w:basedOn w:val="Normal"/>
    <w:rsid w:val="00A04F50"/>
    <w:pPr>
      <w:ind w:left="567"/>
    </w:pPr>
  </w:style>
  <w:style w:type="paragraph" w:customStyle="1" w:styleId="enumlev1">
    <w:name w:val="enumlev1"/>
    <w:basedOn w:val="Normal"/>
    <w:link w:val="enumlev1Char"/>
    <w:rsid w:val="00A04F50"/>
    <w:pPr>
      <w:spacing w:before="86"/>
      <w:ind w:left="567" w:hanging="567"/>
    </w:pPr>
  </w:style>
  <w:style w:type="paragraph" w:customStyle="1" w:styleId="enumlev2">
    <w:name w:val="enumlev2"/>
    <w:basedOn w:val="enumlev1"/>
    <w:rsid w:val="00A04F50"/>
    <w:pPr>
      <w:ind w:left="1134"/>
    </w:pPr>
  </w:style>
  <w:style w:type="paragraph" w:customStyle="1" w:styleId="enumlev3">
    <w:name w:val="enumlev3"/>
    <w:basedOn w:val="enumlev2"/>
    <w:rsid w:val="00A04F50"/>
    <w:pPr>
      <w:ind w:left="1701"/>
    </w:pPr>
  </w:style>
  <w:style w:type="paragraph" w:customStyle="1" w:styleId="Equation">
    <w:name w:val="Equation"/>
    <w:basedOn w:val="Normal"/>
    <w:rsid w:val="00A04F50"/>
    <w:pPr>
      <w:tabs>
        <w:tab w:val="center" w:pos="4820"/>
        <w:tab w:val="right" w:pos="9639"/>
      </w:tabs>
    </w:pPr>
  </w:style>
  <w:style w:type="paragraph" w:customStyle="1" w:styleId="Head">
    <w:name w:val="Head"/>
    <w:basedOn w:val="Normal"/>
    <w:rsid w:val="00A04F5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A04F50"/>
    <w:pPr>
      <w:spacing w:before="240"/>
    </w:pPr>
  </w:style>
  <w:style w:type="paragraph" w:customStyle="1" w:styleId="Call">
    <w:name w:val="Call"/>
    <w:basedOn w:val="Normal"/>
    <w:next w:val="Normal"/>
    <w:link w:val="CallChar"/>
    <w:rsid w:val="00A04F50"/>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A04F50"/>
    <w:pPr>
      <w:tabs>
        <w:tab w:val="clear" w:pos="567"/>
        <w:tab w:val="clear" w:pos="1134"/>
        <w:tab w:val="clear" w:pos="1701"/>
        <w:tab w:val="clear" w:pos="2268"/>
        <w:tab w:val="clear" w:pos="2835"/>
        <w:tab w:val="right" w:pos="9781"/>
      </w:tabs>
    </w:pPr>
    <w:rPr>
      <w:b/>
    </w:rPr>
  </w:style>
  <w:style w:type="paragraph" w:styleId="List">
    <w:name w:val="List"/>
    <w:basedOn w:val="Normal"/>
    <w:rsid w:val="00A04F50"/>
    <w:pPr>
      <w:tabs>
        <w:tab w:val="left" w:pos="2127"/>
      </w:tabs>
      <w:ind w:left="2127" w:hanging="2127"/>
    </w:pPr>
  </w:style>
  <w:style w:type="paragraph" w:customStyle="1" w:styleId="docnoted">
    <w:name w:val="docnoted"/>
    <w:basedOn w:val="Normal"/>
    <w:rsid w:val="00A04F5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A04F50"/>
    <w:pPr>
      <w:tabs>
        <w:tab w:val="left" w:pos="1276"/>
      </w:tabs>
      <w:spacing w:before="199"/>
      <w:ind w:left="1701" w:hanging="1701"/>
    </w:pPr>
    <w:rPr>
      <w:caps/>
    </w:rPr>
  </w:style>
  <w:style w:type="paragraph" w:customStyle="1" w:styleId="Reasons">
    <w:name w:val="Reasons"/>
    <w:basedOn w:val="Normal"/>
    <w:rsid w:val="00A04F50"/>
  </w:style>
  <w:style w:type="paragraph" w:customStyle="1" w:styleId="meeting">
    <w:name w:val="meeting"/>
    <w:basedOn w:val="Head"/>
    <w:next w:val="Head"/>
    <w:rsid w:val="00A04F50"/>
    <w:pPr>
      <w:tabs>
        <w:tab w:val="left" w:pos="7371"/>
      </w:tabs>
      <w:spacing w:after="567"/>
    </w:pPr>
  </w:style>
  <w:style w:type="paragraph" w:customStyle="1" w:styleId="Subject">
    <w:name w:val="Subject"/>
    <w:basedOn w:val="Normal"/>
    <w:next w:val="Source"/>
    <w:rsid w:val="00A04F50"/>
    <w:pPr>
      <w:tabs>
        <w:tab w:val="left" w:pos="709"/>
      </w:tabs>
      <w:spacing w:before="0"/>
      <w:ind w:left="709" w:hanging="709"/>
    </w:pPr>
  </w:style>
  <w:style w:type="paragraph" w:customStyle="1" w:styleId="Source">
    <w:name w:val="Source"/>
    <w:basedOn w:val="Normal"/>
    <w:next w:val="Title1"/>
    <w:rsid w:val="00A04F50"/>
    <w:pPr>
      <w:spacing w:before="840"/>
      <w:jc w:val="center"/>
    </w:pPr>
    <w:rPr>
      <w:b/>
      <w:sz w:val="28"/>
    </w:rPr>
  </w:style>
  <w:style w:type="paragraph" w:customStyle="1" w:styleId="Object">
    <w:name w:val="Object"/>
    <w:basedOn w:val="Subject"/>
    <w:next w:val="Subject"/>
    <w:rsid w:val="00A04F50"/>
  </w:style>
  <w:style w:type="paragraph" w:customStyle="1" w:styleId="Data">
    <w:name w:val="Data"/>
    <w:basedOn w:val="Subject"/>
    <w:next w:val="Subject"/>
    <w:rsid w:val="00A04F50"/>
  </w:style>
  <w:style w:type="paragraph" w:customStyle="1" w:styleId="Headingb">
    <w:name w:val="Heading_b"/>
    <w:basedOn w:val="Heading3"/>
    <w:next w:val="Normal"/>
    <w:rsid w:val="00A04F50"/>
    <w:pPr>
      <w:spacing w:before="160"/>
      <w:outlineLvl w:val="0"/>
    </w:pPr>
  </w:style>
  <w:style w:type="paragraph" w:customStyle="1" w:styleId="Title1">
    <w:name w:val="Title 1"/>
    <w:basedOn w:val="Source"/>
    <w:next w:val="Title2"/>
    <w:rsid w:val="00A04F50"/>
    <w:pPr>
      <w:spacing w:before="240"/>
    </w:pPr>
    <w:rPr>
      <w:b w:val="0"/>
      <w:caps/>
    </w:rPr>
  </w:style>
  <w:style w:type="paragraph" w:customStyle="1" w:styleId="dnum">
    <w:name w:val="dnum"/>
    <w:basedOn w:val="Normal"/>
    <w:rsid w:val="00A04F5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A04F50"/>
    <w:rPr>
      <w:caps w:val="0"/>
    </w:rPr>
  </w:style>
  <w:style w:type="paragraph" w:customStyle="1" w:styleId="Note">
    <w:name w:val="Note"/>
    <w:basedOn w:val="Normal"/>
    <w:rsid w:val="00A04F50"/>
    <w:pPr>
      <w:spacing w:before="80"/>
    </w:pPr>
  </w:style>
  <w:style w:type="paragraph" w:styleId="TOC9">
    <w:name w:val="toc 9"/>
    <w:basedOn w:val="Normal"/>
    <w:next w:val="Normal"/>
    <w:rsid w:val="00A04F50"/>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A04F5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A04F5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A04F50"/>
    <w:rPr>
      <w:color w:val="0000FF"/>
      <w:u w:val="single"/>
    </w:rPr>
  </w:style>
  <w:style w:type="character" w:styleId="FollowedHyperlink">
    <w:name w:val="FollowedHyperlink"/>
    <w:basedOn w:val="DefaultParagraphFont"/>
    <w:rsid w:val="00A04F50"/>
    <w:rPr>
      <w:color w:val="800080"/>
      <w:u w:val="single"/>
    </w:rPr>
  </w:style>
  <w:style w:type="paragraph" w:customStyle="1" w:styleId="AnnexNo">
    <w:name w:val="Annex_No"/>
    <w:basedOn w:val="Normal"/>
    <w:next w:val="Annexref"/>
    <w:link w:val="AnnexNoChar"/>
    <w:rsid w:val="00A04F50"/>
    <w:pPr>
      <w:spacing w:before="720"/>
      <w:jc w:val="center"/>
    </w:pPr>
    <w:rPr>
      <w:caps/>
      <w:sz w:val="28"/>
    </w:rPr>
  </w:style>
  <w:style w:type="paragraph" w:customStyle="1" w:styleId="Annexref">
    <w:name w:val="Annex_ref"/>
    <w:basedOn w:val="Normal"/>
    <w:next w:val="Annextitle"/>
    <w:rsid w:val="00A04F50"/>
    <w:pPr>
      <w:jc w:val="center"/>
    </w:pPr>
    <w:rPr>
      <w:sz w:val="28"/>
    </w:rPr>
  </w:style>
  <w:style w:type="paragraph" w:customStyle="1" w:styleId="Annextitle">
    <w:name w:val="Annex_title"/>
    <w:basedOn w:val="Normal"/>
    <w:next w:val="Normal"/>
    <w:rsid w:val="00A04F50"/>
    <w:pPr>
      <w:spacing w:before="240" w:after="240"/>
      <w:jc w:val="center"/>
    </w:pPr>
    <w:rPr>
      <w:b/>
      <w:sz w:val="28"/>
    </w:rPr>
  </w:style>
  <w:style w:type="paragraph" w:customStyle="1" w:styleId="AppendixNo">
    <w:name w:val="Appendix_No"/>
    <w:basedOn w:val="AnnexNo"/>
    <w:next w:val="Appendixref"/>
    <w:rsid w:val="00A04F50"/>
  </w:style>
  <w:style w:type="paragraph" w:customStyle="1" w:styleId="Appendixref">
    <w:name w:val="Appendix_ref"/>
    <w:basedOn w:val="Annexref"/>
    <w:next w:val="Appendixtitle"/>
    <w:rsid w:val="00A04F50"/>
  </w:style>
  <w:style w:type="paragraph" w:customStyle="1" w:styleId="Appendixtitle">
    <w:name w:val="Appendix_title"/>
    <w:basedOn w:val="Annextitle"/>
    <w:next w:val="Normal"/>
    <w:rsid w:val="00A04F50"/>
  </w:style>
  <w:style w:type="paragraph" w:customStyle="1" w:styleId="Artheading">
    <w:name w:val="Art_heading"/>
    <w:basedOn w:val="Normal"/>
    <w:next w:val="Normalaftertitle"/>
    <w:rsid w:val="00A04F5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A04F5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A04F5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04F50"/>
  </w:style>
  <w:style w:type="paragraph" w:customStyle="1" w:styleId="Chaptitle">
    <w:name w:val="Chap_title"/>
    <w:basedOn w:val="Arttitle"/>
    <w:next w:val="Normal"/>
    <w:rsid w:val="00A04F50"/>
  </w:style>
  <w:style w:type="character" w:styleId="EndnoteReference">
    <w:name w:val="endnote reference"/>
    <w:basedOn w:val="DefaultParagraphFont"/>
    <w:rsid w:val="00A04F50"/>
    <w:rPr>
      <w:vertAlign w:val="superscript"/>
    </w:rPr>
  </w:style>
  <w:style w:type="paragraph" w:customStyle="1" w:styleId="Equationlegend">
    <w:name w:val="Equation_legend"/>
    <w:basedOn w:val="NormalIndent"/>
    <w:rsid w:val="00A04F50"/>
    <w:pPr>
      <w:tabs>
        <w:tab w:val="right" w:pos="1531"/>
      </w:tabs>
      <w:spacing w:before="80"/>
      <w:ind w:left="1701" w:hanging="1701"/>
    </w:pPr>
  </w:style>
  <w:style w:type="paragraph" w:customStyle="1" w:styleId="Figure">
    <w:name w:val="Figure"/>
    <w:basedOn w:val="Normal"/>
    <w:next w:val="Figuretitle"/>
    <w:rsid w:val="00A04F50"/>
    <w:pPr>
      <w:keepNext/>
      <w:keepLines/>
      <w:spacing w:after="120"/>
      <w:jc w:val="center"/>
    </w:pPr>
  </w:style>
  <w:style w:type="paragraph" w:customStyle="1" w:styleId="Figurelegend">
    <w:name w:val="Figure_legend"/>
    <w:basedOn w:val="Normal"/>
    <w:rsid w:val="00A04F50"/>
    <w:pPr>
      <w:keepNext/>
      <w:keepLines/>
      <w:spacing w:before="20" w:after="20"/>
    </w:pPr>
    <w:rPr>
      <w:sz w:val="18"/>
    </w:rPr>
  </w:style>
  <w:style w:type="paragraph" w:customStyle="1" w:styleId="TableNo">
    <w:name w:val="Table_No"/>
    <w:basedOn w:val="Normal"/>
    <w:next w:val="Tabletitle"/>
    <w:rsid w:val="00A04F50"/>
    <w:pPr>
      <w:keepNext/>
      <w:spacing w:before="560" w:after="120"/>
      <w:jc w:val="center"/>
    </w:pPr>
    <w:rPr>
      <w:caps/>
    </w:rPr>
  </w:style>
  <w:style w:type="paragraph" w:customStyle="1" w:styleId="Tabletitle">
    <w:name w:val="Table_title"/>
    <w:basedOn w:val="TableNo"/>
    <w:next w:val="Tabletext"/>
    <w:rsid w:val="00A04F5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A04F50"/>
    <w:pPr>
      <w:spacing w:before="240" w:after="480"/>
    </w:pPr>
  </w:style>
  <w:style w:type="paragraph" w:customStyle="1" w:styleId="Figurewithouttitle">
    <w:name w:val="Figure_without_title"/>
    <w:basedOn w:val="Figure"/>
    <w:next w:val="Normalaftertitle"/>
    <w:rsid w:val="00A04F50"/>
    <w:pPr>
      <w:keepNext w:val="0"/>
      <w:spacing w:after="240"/>
    </w:pPr>
  </w:style>
  <w:style w:type="paragraph" w:customStyle="1" w:styleId="Headingi">
    <w:name w:val="Heading_i"/>
    <w:basedOn w:val="Heading3"/>
    <w:next w:val="Normal"/>
    <w:rsid w:val="00A04F50"/>
    <w:pPr>
      <w:spacing w:before="160"/>
      <w:outlineLvl w:val="0"/>
    </w:pPr>
    <w:rPr>
      <w:b w:val="0"/>
      <w:i/>
    </w:rPr>
  </w:style>
  <w:style w:type="character" w:styleId="PageNumber">
    <w:name w:val="page number"/>
    <w:basedOn w:val="DefaultParagraphFont"/>
    <w:rsid w:val="00A04F50"/>
    <w:rPr>
      <w:rFonts w:ascii="Calibri" w:hAnsi="Calibri"/>
    </w:rPr>
  </w:style>
  <w:style w:type="paragraph" w:customStyle="1" w:styleId="PartNo">
    <w:name w:val="Part_No"/>
    <w:basedOn w:val="AnnexNo"/>
    <w:next w:val="Parttitle"/>
    <w:rsid w:val="00A04F50"/>
  </w:style>
  <w:style w:type="paragraph" w:customStyle="1" w:styleId="Partref">
    <w:name w:val="Part_ref"/>
    <w:basedOn w:val="Annexref"/>
    <w:next w:val="Normalaftertitle"/>
    <w:rsid w:val="00A04F50"/>
  </w:style>
  <w:style w:type="paragraph" w:customStyle="1" w:styleId="Parttitle">
    <w:name w:val="Part_title"/>
    <w:basedOn w:val="Annextitle"/>
    <w:next w:val="Partref"/>
    <w:rsid w:val="00A04F50"/>
  </w:style>
  <w:style w:type="paragraph" w:customStyle="1" w:styleId="RecNo">
    <w:name w:val="Rec_No"/>
    <w:basedOn w:val="Normal"/>
    <w:next w:val="Rectitle"/>
    <w:rsid w:val="00A04F50"/>
    <w:pPr>
      <w:spacing w:before="720"/>
      <w:jc w:val="center"/>
    </w:pPr>
    <w:rPr>
      <w:caps/>
      <w:sz w:val="28"/>
    </w:rPr>
  </w:style>
  <w:style w:type="paragraph" w:customStyle="1" w:styleId="Rectitle">
    <w:name w:val="Rec_title"/>
    <w:basedOn w:val="Normal"/>
    <w:next w:val="Heading1"/>
    <w:rsid w:val="00A04F50"/>
    <w:pPr>
      <w:spacing w:before="240"/>
      <w:jc w:val="center"/>
    </w:pPr>
    <w:rPr>
      <w:b/>
      <w:sz w:val="28"/>
    </w:rPr>
  </w:style>
  <w:style w:type="paragraph" w:customStyle="1" w:styleId="Recref">
    <w:name w:val="Rec_ref"/>
    <w:basedOn w:val="Rectitle"/>
    <w:next w:val="Recdate"/>
    <w:rsid w:val="00A04F50"/>
    <w:pPr>
      <w:spacing w:before="120"/>
    </w:pPr>
    <w:rPr>
      <w:rFonts w:ascii="Times New Roman" w:hAnsi="Times New Roman"/>
      <w:b w:val="0"/>
      <w:sz w:val="24"/>
    </w:rPr>
  </w:style>
  <w:style w:type="paragraph" w:customStyle="1" w:styleId="Recdate">
    <w:name w:val="Rec_date"/>
    <w:basedOn w:val="Recref"/>
    <w:next w:val="Normalaftertitle"/>
    <w:rsid w:val="00A04F50"/>
    <w:pPr>
      <w:jc w:val="right"/>
    </w:pPr>
    <w:rPr>
      <w:sz w:val="22"/>
    </w:rPr>
  </w:style>
  <w:style w:type="paragraph" w:customStyle="1" w:styleId="Questiondate">
    <w:name w:val="Question_date"/>
    <w:basedOn w:val="Recdate"/>
    <w:next w:val="Normalaftertitle"/>
    <w:rsid w:val="00A04F50"/>
  </w:style>
  <w:style w:type="paragraph" w:customStyle="1" w:styleId="QuestionNo">
    <w:name w:val="Question_No"/>
    <w:basedOn w:val="RecNo"/>
    <w:next w:val="Questiontitle"/>
    <w:rsid w:val="00A04F50"/>
  </w:style>
  <w:style w:type="paragraph" w:customStyle="1" w:styleId="Questionref">
    <w:name w:val="Question_ref"/>
    <w:basedOn w:val="Recref"/>
    <w:next w:val="Questiondate"/>
    <w:rsid w:val="00A04F50"/>
  </w:style>
  <w:style w:type="paragraph" w:customStyle="1" w:styleId="Questiontitle">
    <w:name w:val="Question_title"/>
    <w:basedOn w:val="Rectitle"/>
    <w:next w:val="Questionref"/>
    <w:rsid w:val="00A04F50"/>
  </w:style>
  <w:style w:type="paragraph" w:customStyle="1" w:styleId="Reftext">
    <w:name w:val="Ref_text"/>
    <w:basedOn w:val="Normal"/>
    <w:rsid w:val="00A04F50"/>
    <w:pPr>
      <w:ind w:left="567" w:hanging="567"/>
    </w:pPr>
  </w:style>
  <w:style w:type="paragraph" w:customStyle="1" w:styleId="Reftitle">
    <w:name w:val="Ref_title"/>
    <w:basedOn w:val="Normal"/>
    <w:next w:val="Reftext"/>
    <w:rsid w:val="00A04F50"/>
    <w:pPr>
      <w:spacing w:before="480"/>
      <w:jc w:val="center"/>
    </w:pPr>
    <w:rPr>
      <w:caps/>
      <w:sz w:val="28"/>
    </w:rPr>
  </w:style>
  <w:style w:type="paragraph" w:customStyle="1" w:styleId="Repdate">
    <w:name w:val="Rep_date"/>
    <w:basedOn w:val="Recdate"/>
    <w:next w:val="Normalaftertitle"/>
    <w:rsid w:val="00A04F50"/>
  </w:style>
  <w:style w:type="paragraph" w:customStyle="1" w:styleId="RepNo">
    <w:name w:val="Rep_No"/>
    <w:basedOn w:val="RecNo"/>
    <w:next w:val="Reptitle"/>
    <w:rsid w:val="00A04F50"/>
  </w:style>
  <w:style w:type="paragraph" w:customStyle="1" w:styleId="Repref">
    <w:name w:val="Rep_ref"/>
    <w:basedOn w:val="Recref"/>
    <w:next w:val="Repdate"/>
    <w:rsid w:val="00A04F50"/>
  </w:style>
  <w:style w:type="paragraph" w:customStyle="1" w:styleId="Reptitle">
    <w:name w:val="Rep_title"/>
    <w:basedOn w:val="Rectitle"/>
    <w:next w:val="Repref"/>
    <w:rsid w:val="00A04F50"/>
  </w:style>
  <w:style w:type="paragraph" w:customStyle="1" w:styleId="Resdate">
    <w:name w:val="Res_date"/>
    <w:basedOn w:val="Recdate"/>
    <w:next w:val="Normalaftertitle"/>
    <w:rsid w:val="00A04F50"/>
  </w:style>
  <w:style w:type="paragraph" w:customStyle="1" w:styleId="ResNo">
    <w:name w:val="Res_No"/>
    <w:basedOn w:val="AnnexNo"/>
    <w:next w:val="Restitle"/>
    <w:rsid w:val="00A04F50"/>
  </w:style>
  <w:style w:type="paragraph" w:customStyle="1" w:styleId="Resref">
    <w:name w:val="Res_ref"/>
    <w:basedOn w:val="Recref"/>
    <w:next w:val="Resdate"/>
    <w:rsid w:val="00A04F50"/>
  </w:style>
  <w:style w:type="paragraph" w:customStyle="1" w:styleId="Restitle">
    <w:name w:val="Res_title"/>
    <w:basedOn w:val="Annextitle"/>
    <w:next w:val="Normal"/>
    <w:rsid w:val="00A04F50"/>
  </w:style>
  <w:style w:type="paragraph" w:customStyle="1" w:styleId="SectionNo">
    <w:name w:val="Section_No"/>
    <w:basedOn w:val="AnnexNo"/>
    <w:next w:val="Sectiontitle"/>
    <w:rsid w:val="00A04F50"/>
  </w:style>
  <w:style w:type="paragraph" w:customStyle="1" w:styleId="Sectiontitle">
    <w:name w:val="Section_title"/>
    <w:basedOn w:val="Normal"/>
    <w:next w:val="Normalaftertitle"/>
    <w:rsid w:val="00A04F50"/>
    <w:rPr>
      <w:sz w:val="28"/>
    </w:rPr>
  </w:style>
  <w:style w:type="paragraph" w:customStyle="1" w:styleId="SpecialFooter">
    <w:name w:val="Special Footer"/>
    <w:basedOn w:val="Footer"/>
    <w:rsid w:val="00A04F5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A04F50"/>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A04F50"/>
    <w:pPr>
      <w:spacing w:before="120" w:after="120"/>
      <w:jc w:val="center"/>
    </w:pPr>
    <w:rPr>
      <w:b/>
    </w:rPr>
  </w:style>
  <w:style w:type="paragraph" w:customStyle="1" w:styleId="Tablelegend">
    <w:name w:val="Table_legend"/>
    <w:basedOn w:val="Tabletext"/>
    <w:rsid w:val="00A04F50"/>
    <w:pPr>
      <w:spacing w:before="120"/>
    </w:pPr>
  </w:style>
  <w:style w:type="paragraph" w:customStyle="1" w:styleId="Tableref">
    <w:name w:val="Table_ref"/>
    <w:basedOn w:val="Normal"/>
    <w:next w:val="Tabletitle"/>
    <w:rsid w:val="00A04F50"/>
    <w:pPr>
      <w:keepNext/>
      <w:spacing w:before="567"/>
      <w:jc w:val="center"/>
    </w:pPr>
  </w:style>
  <w:style w:type="paragraph" w:customStyle="1" w:styleId="Title2">
    <w:name w:val="Title 2"/>
    <w:basedOn w:val="Source"/>
    <w:next w:val="Title3"/>
    <w:rsid w:val="00A04F50"/>
    <w:pPr>
      <w:spacing w:before="240"/>
    </w:pPr>
    <w:rPr>
      <w:b w:val="0"/>
      <w:caps/>
    </w:rPr>
  </w:style>
  <w:style w:type="paragraph" w:customStyle="1" w:styleId="Title3">
    <w:name w:val="Title 3"/>
    <w:basedOn w:val="Title2"/>
    <w:next w:val="Normalaftertitle"/>
    <w:rsid w:val="00A04F50"/>
    <w:rPr>
      <w:caps w:val="0"/>
    </w:rPr>
  </w:style>
  <w:style w:type="paragraph" w:customStyle="1" w:styleId="Title4">
    <w:name w:val="Title 4"/>
    <w:basedOn w:val="Title3"/>
    <w:next w:val="Heading1"/>
    <w:rsid w:val="00A04F50"/>
    <w:rPr>
      <w:b/>
    </w:rPr>
  </w:style>
  <w:style w:type="paragraph" w:customStyle="1" w:styleId="FigureNo">
    <w:name w:val="Figure_No"/>
    <w:basedOn w:val="Normal"/>
    <w:next w:val="Figuretitle"/>
    <w:rsid w:val="00A04F50"/>
    <w:pPr>
      <w:keepNext/>
      <w:keepLines/>
      <w:spacing w:before="240" w:after="120"/>
      <w:jc w:val="center"/>
    </w:pPr>
    <w:rPr>
      <w:caps/>
    </w:rPr>
  </w:style>
  <w:style w:type="paragraph" w:customStyle="1" w:styleId="firstfooter0">
    <w:name w:val="firstfooter"/>
    <w:basedOn w:val="Normal"/>
    <w:rsid w:val="00A04F5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A04F5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ntStyle19">
    <w:name w:val="Font Style19"/>
    <w:rsid w:val="008D443F"/>
    <w:rPr>
      <w:rFonts w:ascii="Times New Roman" w:hAnsi="Times New Roman" w:cs="Times New Roman"/>
      <w:i/>
      <w:iCs/>
      <w:sz w:val="22"/>
      <w:szCs w:val="22"/>
    </w:rPr>
  </w:style>
  <w:style w:type="paragraph" w:styleId="ListParagraph">
    <w:name w:val="List Paragraph"/>
    <w:basedOn w:val="Normal"/>
    <w:uiPriority w:val="34"/>
    <w:qFormat/>
    <w:rsid w:val="008D443F"/>
    <w:pPr>
      <w:ind w:left="720"/>
      <w:contextualSpacing/>
    </w:pPr>
  </w:style>
  <w:style w:type="character" w:customStyle="1" w:styleId="st1">
    <w:name w:val="st1"/>
    <w:basedOn w:val="DefaultParagraphFont"/>
    <w:rsid w:val="008D443F"/>
  </w:style>
  <w:style w:type="character" w:customStyle="1" w:styleId="enumlev1Char">
    <w:name w:val="enumlev1 Char"/>
    <w:basedOn w:val="DefaultParagraphFont"/>
    <w:link w:val="enumlev1"/>
    <w:locked/>
    <w:rsid w:val="00BB00FF"/>
    <w:rPr>
      <w:rFonts w:ascii="Calibri" w:hAnsi="Calibri"/>
      <w:sz w:val="24"/>
      <w:lang w:val="fr-FR" w:eastAsia="en-US"/>
    </w:rPr>
  </w:style>
  <w:style w:type="character" w:customStyle="1" w:styleId="NormalaftertitleChar">
    <w:name w:val="Normal after title Char"/>
    <w:basedOn w:val="DefaultParagraphFont"/>
    <w:link w:val="Normalaftertitle"/>
    <w:rsid w:val="002A39AA"/>
    <w:rPr>
      <w:rFonts w:ascii="Calibri" w:hAnsi="Calibri"/>
      <w:sz w:val="24"/>
      <w:lang w:val="fr-FR" w:eastAsia="en-US"/>
    </w:rPr>
  </w:style>
  <w:style w:type="character" w:customStyle="1" w:styleId="CallChar">
    <w:name w:val="Call Char"/>
    <w:basedOn w:val="DefaultParagraphFont"/>
    <w:link w:val="Call"/>
    <w:rsid w:val="002A39AA"/>
    <w:rPr>
      <w:rFonts w:ascii="Calibri" w:hAnsi="Calibri"/>
      <w:i/>
      <w:sz w:val="24"/>
      <w:lang w:val="fr-FR" w:eastAsia="en-US"/>
    </w:rPr>
  </w:style>
  <w:style w:type="table" w:styleId="TableGrid">
    <w:name w:val="Table Grid"/>
    <w:basedOn w:val="TableNormal"/>
    <w:uiPriority w:val="59"/>
    <w:rsid w:val="008D6C5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rsid w:val="008D6C5D"/>
    <w:rPr>
      <w:rFonts w:ascii="Calibri" w:hAnsi="Calibri"/>
      <w:caps/>
      <w:sz w:val="28"/>
      <w:lang w:val="fr-FR" w:eastAsia="en-US"/>
    </w:rPr>
  </w:style>
  <w:style w:type="paragraph" w:customStyle="1" w:styleId="DE">
    <w:name w:val="DE"/>
    <w:basedOn w:val="ResNo"/>
    <w:rsid w:val="000A1C65"/>
    <w:pPr>
      <w:spacing w:line="480" w:lineRule="auto"/>
    </w:pPr>
  </w:style>
  <w:style w:type="paragraph" w:customStyle="1" w:styleId="Nior">
    <w:name w:val="Nior"/>
    <w:basedOn w:val="Normal"/>
    <w:rsid w:val="006205E4"/>
  </w:style>
  <w:style w:type="character" w:customStyle="1" w:styleId="Heading1Char">
    <w:name w:val="Heading 1 Char"/>
    <w:link w:val="Heading1"/>
    <w:rsid w:val="00FD67EF"/>
    <w:rPr>
      <w:rFonts w:ascii="Calibri" w:hAnsi="Calibri"/>
      <w:b/>
      <w:sz w:val="28"/>
      <w:lang w:val="fr-FR" w:eastAsia="en-US"/>
    </w:rPr>
  </w:style>
  <w:style w:type="character" w:customStyle="1" w:styleId="FootnoteTextChar">
    <w:name w:val="Footnote Text Char"/>
    <w:link w:val="FootnoteText"/>
    <w:rsid w:val="00FD67EF"/>
    <w:rPr>
      <w:rFonts w:ascii="Calibri" w:hAnsi="Calibri"/>
      <w:sz w:val="24"/>
      <w:lang w:val="fr-FR" w:eastAsia="en-US"/>
    </w:rPr>
  </w:style>
  <w:style w:type="paragraph" w:customStyle="1" w:styleId="Niormal">
    <w:name w:val="Niormal"/>
    <w:basedOn w:val="Normal"/>
    <w:rsid w:val="001B6B9F"/>
    <w:rPr>
      <w:rFonts w:asciiTheme="minorHAnsi" w:hAnsiTheme="minorHAnsi"/>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2829-5329-4BF5-8B0C-2200912D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PF_C15.dotm</Template>
  <TotalTime>129</TotalTime>
  <Pages>10</Pages>
  <Words>4457</Words>
  <Characters>24060</Characters>
  <Application>Microsoft Office Word</Application>
  <DocSecurity>0</DocSecurity>
  <Lines>456</Lines>
  <Paragraphs>154</Paragraphs>
  <ScaleCrop>false</ScaleCrop>
  <HeadingPairs>
    <vt:vector size="2" baseType="variant">
      <vt:variant>
        <vt:lpstr>Title</vt:lpstr>
      </vt:variant>
      <vt:variant>
        <vt:i4>1</vt:i4>
      </vt:variant>
    </vt:vector>
  </HeadingPairs>
  <TitlesOfParts>
    <vt:vector size="1" baseType="lpstr">
      <vt:lpstr>RAPPORT DE L'AUDITEUR INTERNE SUR LES ACTIVITÉS INTERNE</vt:lpstr>
    </vt:vector>
  </TitlesOfParts>
  <Manager>Secrétariat général - Pool</Manager>
  <Company>Union internationale des télécommunications (UIT)</Company>
  <LinksUpToDate>false</LinksUpToDate>
  <CharactersWithSpaces>28368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L'AUDITEUR INTERNE SUR LES ACTIVITÉS D'AUDIT INTERNE</dc:title>
  <dc:subject>Conseil 2010</dc:subject>
  <dc:creator>Rapport du Secrétaire général</dc:creator>
  <cp:keywords>C2010, C10</cp:keywords>
  <dc:description>Document C15/43-F  Pour: Point de l'ordre du jour: ADM 14_x000d_Date du document: 2 avril 2015_x000d_Enregistré par R01 à 10:12:06 le 07/05/2015</dc:description>
  <cp:lastModifiedBy>Saxod, Nathalie</cp:lastModifiedBy>
  <cp:revision>41</cp:revision>
  <cp:lastPrinted>2015-04-28T08:27:00Z</cp:lastPrinted>
  <dcterms:created xsi:type="dcterms:W3CDTF">2015-05-06T13:35:00Z</dcterms:created>
  <dcterms:modified xsi:type="dcterms:W3CDTF">2015-05-07T08:12:00Z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C15/43-F</vt:lpwstr>
  </property>
  <property fmtid="{D5CDD505-2E9C-101B-9397-08002B2CF9AE}" pid="3" name="Docdate">
    <vt:lpwstr>2 avril 2015</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14</vt:lpwstr>
  </property>
  <property fmtid="{D5CDD505-2E9C-101B-9397-08002B2CF9AE}" pid="7" name="Docauthor">
    <vt:lpwstr>Rapport du Secrétaire général</vt:lpwstr>
  </property>
</Properties>
</file>