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65E12" w:rsidRPr="00813E5E" w14:paraId="6EDBA595" w14:textId="77777777">
        <w:trPr>
          <w:cantSplit/>
        </w:trPr>
        <w:tc>
          <w:tcPr>
            <w:tcW w:w="6911" w:type="dxa"/>
          </w:tcPr>
          <w:p w14:paraId="124932F1" w14:textId="77777777" w:rsidR="00A65E12" w:rsidRPr="00813E5E" w:rsidRDefault="00A65E12" w:rsidP="00A65E12">
            <w:pPr>
              <w:spacing w:before="360" w:after="48" w:line="240" w:lineRule="atLeast"/>
              <w:rPr>
                <w:position w:val="6"/>
              </w:rPr>
            </w:pPr>
            <w:bookmarkStart w:id="0" w:name="dc06"/>
            <w:bookmarkEnd w:id="0"/>
            <w:r w:rsidRPr="00A65E12">
              <w:rPr>
                <w:b/>
                <w:bCs/>
                <w:position w:val="6"/>
                <w:sz w:val="30"/>
                <w:szCs w:val="30"/>
              </w:rPr>
              <w:t>Council 2015</w:t>
            </w:r>
            <w:r w:rsidRPr="00A65E12">
              <w:rPr>
                <w:rFonts w:cs="Times"/>
                <w:b/>
                <w:position w:val="6"/>
                <w:sz w:val="26"/>
                <w:szCs w:val="26"/>
                <w:lang w:val="en-US"/>
              </w:rPr>
              <w:br/>
            </w:r>
            <w:r w:rsidRPr="00A65E12">
              <w:rPr>
                <w:b/>
                <w:bCs/>
                <w:position w:val="6"/>
                <w:szCs w:val="24"/>
              </w:rPr>
              <w:t>Geneva, 12-22 May 2015</w:t>
            </w:r>
          </w:p>
        </w:tc>
        <w:tc>
          <w:tcPr>
            <w:tcW w:w="3120" w:type="dxa"/>
          </w:tcPr>
          <w:p w14:paraId="1D33FF73" w14:textId="77777777" w:rsidR="00A65E12" w:rsidRPr="00813E5E" w:rsidRDefault="00A65E12" w:rsidP="00A65E12">
            <w:pPr>
              <w:spacing w:before="0" w:line="240" w:lineRule="atLeast"/>
              <w:jc w:val="right"/>
            </w:pPr>
            <w:bookmarkStart w:id="1" w:name="ditulogo"/>
            <w:bookmarkStart w:id="2" w:name="dlogo"/>
            <w:bookmarkEnd w:id="1"/>
            <w:r>
              <w:rPr>
                <w:noProof/>
                <w:lang w:val="en-US" w:eastAsia="zh-CN"/>
              </w:rPr>
              <w:drawing>
                <wp:inline distT="0" distB="0" distL="0" distR="0" wp14:anchorId="33E206C6" wp14:editId="012AAFE0">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2"/>
          </w:p>
        </w:tc>
      </w:tr>
      <w:tr w:rsidR="00A65E12" w:rsidRPr="00813E5E" w14:paraId="7535B341" w14:textId="77777777">
        <w:trPr>
          <w:cantSplit/>
        </w:trPr>
        <w:tc>
          <w:tcPr>
            <w:tcW w:w="6911" w:type="dxa"/>
            <w:tcBorders>
              <w:bottom w:val="single" w:sz="12" w:space="0" w:color="auto"/>
            </w:tcBorders>
          </w:tcPr>
          <w:p w14:paraId="7B6C37EA" w14:textId="77777777" w:rsidR="00A65E12" w:rsidRPr="00813E5E" w:rsidRDefault="00A65E12">
            <w:pPr>
              <w:spacing w:before="0" w:after="48" w:line="240" w:lineRule="atLeast"/>
              <w:rPr>
                <w:b/>
                <w:smallCaps/>
                <w:szCs w:val="24"/>
              </w:rPr>
            </w:pPr>
            <w:r>
              <w:rPr>
                <w:b/>
                <w:smallCaps/>
                <w:szCs w:val="24"/>
              </w:rPr>
              <w:t>INTERNATIONAL TELECOMMUNICATION UNION</w:t>
            </w:r>
          </w:p>
        </w:tc>
        <w:tc>
          <w:tcPr>
            <w:tcW w:w="3120" w:type="dxa"/>
            <w:tcBorders>
              <w:bottom w:val="single" w:sz="12" w:space="0" w:color="auto"/>
            </w:tcBorders>
          </w:tcPr>
          <w:p w14:paraId="01AA16B4" w14:textId="77777777" w:rsidR="00A65E12" w:rsidRPr="00813E5E" w:rsidRDefault="00A65E12">
            <w:pPr>
              <w:spacing w:before="0" w:line="240" w:lineRule="atLeast"/>
              <w:rPr>
                <w:szCs w:val="24"/>
              </w:rPr>
            </w:pPr>
          </w:p>
        </w:tc>
      </w:tr>
      <w:tr w:rsidR="00A65E12" w:rsidRPr="00813E5E" w14:paraId="3DCEC4BB" w14:textId="77777777">
        <w:trPr>
          <w:cantSplit/>
        </w:trPr>
        <w:tc>
          <w:tcPr>
            <w:tcW w:w="6911" w:type="dxa"/>
            <w:tcBorders>
              <w:top w:val="single" w:sz="12" w:space="0" w:color="auto"/>
            </w:tcBorders>
          </w:tcPr>
          <w:p w14:paraId="282AC9D7" w14:textId="77777777" w:rsidR="00A65E12" w:rsidRPr="00813E5E" w:rsidRDefault="00A65E12" w:rsidP="001270A1">
            <w:pPr>
              <w:spacing w:before="0" w:line="240" w:lineRule="atLeast"/>
              <w:rPr>
                <w:b/>
                <w:smallCaps/>
                <w:szCs w:val="24"/>
              </w:rPr>
            </w:pPr>
          </w:p>
        </w:tc>
        <w:tc>
          <w:tcPr>
            <w:tcW w:w="3120" w:type="dxa"/>
            <w:tcBorders>
              <w:top w:val="single" w:sz="12" w:space="0" w:color="auto"/>
            </w:tcBorders>
          </w:tcPr>
          <w:p w14:paraId="0C8DFA7A" w14:textId="77777777" w:rsidR="00A65E12" w:rsidRPr="00813E5E" w:rsidRDefault="00A65E12" w:rsidP="001270A1">
            <w:pPr>
              <w:spacing w:before="0" w:line="240" w:lineRule="atLeast"/>
              <w:rPr>
                <w:szCs w:val="24"/>
              </w:rPr>
            </w:pPr>
          </w:p>
        </w:tc>
      </w:tr>
      <w:tr w:rsidR="00A65E12" w:rsidRPr="00813E5E" w14:paraId="3C10B80D" w14:textId="77777777">
        <w:trPr>
          <w:cantSplit/>
          <w:trHeight w:val="23"/>
        </w:trPr>
        <w:tc>
          <w:tcPr>
            <w:tcW w:w="6911" w:type="dxa"/>
            <w:vMerge w:val="restart"/>
          </w:tcPr>
          <w:p w14:paraId="405E0C6E" w14:textId="77777777" w:rsidR="00A65E12" w:rsidRPr="00A65E12" w:rsidRDefault="00972A03" w:rsidP="00A65E12">
            <w:pPr>
              <w:tabs>
                <w:tab w:val="left" w:pos="851"/>
              </w:tabs>
              <w:spacing w:before="0" w:line="240" w:lineRule="atLeast"/>
              <w:rPr>
                <w:b/>
              </w:rPr>
            </w:pPr>
            <w:bookmarkStart w:id="3" w:name="dmeeting" w:colFirst="0" w:colLast="0"/>
            <w:bookmarkStart w:id="4" w:name="dnum" w:colFirst="1" w:colLast="1"/>
            <w:r>
              <w:rPr>
                <w:b/>
              </w:rPr>
              <w:t>Agenda item: ADM</w:t>
            </w:r>
            <w:r w:rsidR="00A65E12">
              <w:rPr>
                <w:b/>
              </w:rPr>
              <w:t xml:space="preserve"> </w:t>
            </w:r>
            <w:r w:rsidR="001270A1">
              <w:rPr>
                <w:b/>
              </w:rPr>
              <w:t>14</w:t>
            </w:r>
          </w:p>
        </w:tc>
        <w:tc>
          <w:tcPr>
            <w:tcW w:w="3120" w:type="dxa"/>
          </w:tcPr>
          <w:p w14:paraId="730FB146" w14:textId="77777777" w:rsidR="00A65E12" w:rsidRPr="00A65E12" w:rsidRDefault="00A65E12" w:rsidP="001270A1">
            <w:pPr>
              <w:tabs>
                <w:tab w:val="left" w:pos="851"/>
              </w:tabs>
              <w:spacing w:before="0" w:line="240" w:lineRule="atLeast"/>
              <w:rPr>
                <w:b/>
              </w:rPr>
            </w:pPr>
            <w:r>
              <w:rPr>
                <w:b/>
              </w:rPr>
              <w:t>Document C15/</w:t>
            </w:r>
            <w:r w:rsidR="001270A1">
              <w:rPr>
                <w:b/>
              </w:rPr>
              <w:t>43</w:t>
            </w:r>
            <w:r>
              <w:rPr>
                <w:b/>
              </w:rPr>
              <w:t>-E</w:t>
            </w:r>
          </w:p>
        </w:tc>
      </w:tr>
      <w:tr w:rsidR="00A65E12" w:rsidRPr="00813E5E" w14:paraId="78AE785E" w14:textId="77777777">
        <w:trPr>
          <w:cantSplit/>
          <w:trHeight w:val="23"/>
        </w:trPr>
        <w:tc>
          <w:tcPr>
            <w:tcW w:w="6911" w:type="dxa"/>
            <w:vMerge/>
          </w:tcPr>
          <w:p w14:paraId="68719AAB" w14:textId="77777777" w:rsidR="00A65E12" w:rsidRPr="00813E5E" w:rsidRDefault="00A65E12">
            <w:pPr>
              <w:tabs>
                <w:tab w:val="left" w:pos="851"/>
              </w:tabs>
              <w:spacing w:line="240" w:lineRule="atLeast"/>
              <w:rPr>
                <w:b/>
              </w:rPr>
            </w:pPr>
            <w:bookmarkStart w:id="5" w:name="ddate" w:colFirst="1" w:colLast="1"/>
            <w:bookmarkEnd w:id="3"/>
            <w:bookmarkEnd w:id="4"/>
          </w:p>
        </w:tc>
        <w:tc>
          <w:tcPr>
            <w:tcW w:w="3120" w:type="dxa"/>
          </w:tcPr>
          <w:p w14:paraId="69478B0E" w14:textId="7A5B48C6" w:rsidR="00A65E12" w:rsidRPr="00A65E12" w:rsidRDefault="001270A1" w:rsidP="006A564A">
            <w:pPr>
              <w:tabs>
                <w:tab w:val="left" w:pos="993"/>
              </w:tabs>
              <w:spacing w:before="0"/>
              <w:rPr>
                <w:b/>
              </w:rPr>
            </w:pPr>
            <w:r>
              <w:rPr>
                <w:b/>
              </w:rPr>
              <w:t>2</w:t>
            </w:r>
            <w:r w:rsidR="006A564A">
              <w:rPr>
                <w:b/>
              </w:rPr>
              <w:t xml:space="preserve"> April</w:t>
            </w:r>
            <w:r w:rsidR="00294D8A">
              <w:rPr>
                <w:b/>
              </w:rPr>
              <w:t xml:space="preserve"> </w:t>
            </w:r>
            <w:r w:rsidR="00A65E12">
              <w:rPr>
                <w:b/>
              </w:rPr>
              <w:t>2015</w:t>
            </w:r>
          </w:p>
        </w:tc>
      </w:tr>
      <w:tr w:rsidR="00A65E12" w:rsidRPr="00813E5E" w14:paraId="18908EAB" w14:textId="77777777">
        <w:trPr>
          <w:cantSplit/>
          <w:trHeight w:val="23"/>
        </w:trPr>
        <w:tc>
          <w:tcPr>
            <w:tcW w:w="6911" w:type="dxa"/>
            <w:vMerge/>
          </w:tcPr>
          <w:p w14:paraId="584C97A5" w14:textId="77777777" w:rsidR="00A65E12" w:rsidRPr="00813E5E" w:rsidRDefault="00A65E12">
            <w:pPr>
              <w:tabs>
                <w:tab w:val="left" w:pos="851"/>
              </w:tabs>
              <w:spacing w:line="240" w:lineRule="atLeast"/>
              <w:rPr>
                <w:b/>
              </w:rPr>
            </w:pPr>
            <w:bookmarkStart w:id="6" w:name="dorlang" w:colFirst="1" w:colLast="1"/>
            <w:bookmarkEnd w:id="5"/>
          </w:p>
        </w:tc>
        <w:tc>
          <w:tcPr>
            <w:tcW w:w="3120" w:type="dxa"/>
          </w:tcPr>
          <w:p w14:paraId="0D628B8E" w14:textId="77777777" w:rsidR="00A65E12" w:rsidRPr="00A65E12" w:rsidRDefault="00A65E12" w:rsidP="00A65E12">
            <w:pPr>
              <w:tabs>
                <w:tab w:val="left" w:pos="993"/>
              </w:tabs>
              <w:spacing w:before="0"/>
              <w:rPr>
                <w:b/>
              </w:rPr>
            </w:pPr>
            <w:r>
              <w:rPr>
                <w:b/>
              </w:rPr>
              <w:t>Original: English</w:t>
            </w:r>
          </w:p>
        </w:tc>
      </w:tr>
      <w:tr w:rsidR="00A65E12" w:rsidRPr="00813E5E" w14:paraId="20F5F35F" w14:textId="77777777">
        <w:trPr>
          <w:cantSplit/>
        </w:trPr>
        <w:tc>
          <w:tcPr>
            <w:tcW w:w="10031" w:type="dxa"/>
            <w:gridSpan w:val="2"/>
          </w:tcPr>
          <w:p w14:paraId="7CBE05EB" w14:textId="77777777" w:rsidR="00A65E12" w:rsidRPr="00813E5E" w:rsidRDefault="00A65E12" w:rsidP="009A2DDE">
            <w:pPr>
              <w:pStyle w:val="Source"/>
              <w:framePr w:hSpace="0" w:wrap="auto" w:hAnchor="text" w:yAlign="inline"/>
            </w:pPr>
            <w:bookmarkStart w:id="7" w:name="dsource" w:colFirst="0" w:colLast="0"/>
            <w:bookmarkEnd w:id="6"/>
            <w:r>
              <w:t>Report by the Secretary-General</w:t>
            </w:r>
          </w:p>
        </w:tc>
      </w:tr>
      <w:tr w:rsidR="00A65E12" w:rsidRPr="00813E5E" w14:paraId="382BC03C" w14:textId="77777777">
        <w:trPr>
          <w:cantSplit/>
        </w:trPr>
        <w:tc>
          <w:tcPr>
            <w:tcW w:w="10031" w:type="dxa"/>
            <w:gridSpan w:val="2"/>
          </w:tcPr>
          <w:p w14:paraId="168645AD" w14:textId="77777777" w:rsidR="00A65E12" w:rsidRPr="00813E5E" w:rsidRDefault="00294D8A" w:rsidP="009A2DDE">
            <w:pPr>
              <w:pStyle w:val="Title1"/>
              <w:framePr w:hSpace="0" w:wrap="auto" w:hAnchor="text" w:yAlign="inline"/>
              <w:spacing w:after="240"/>
            </w:pPr>
            <w:bookmarkStart w:id="8" w:name="dtitle1" w:colFirst="0" w:colLast="0"/>
            <w:bookmarkEnd w:id="7"/>
            <w:r w:rsidRPr="00905D54">
              <w:t>REPORT OF THE INTERNAL AUDITOR ON INTERNAL AUDIT</w:t>
            </w:r>
            <w:r w:rsidRPr="00905D54" w:rsidDel="00DF5B49">
              <w:t xml:space="preserve"> </w:t>
            </w:r>
            <w:r w:rsidRPr="00905D54">
              <w:t>ACTIVITIES</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65E12" w:rsidRPr="00813E5E" w14:paraId="3855AAD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bookmarkEnd w:id="8"/>
          <w:p w14:paraId="017A9518" w14:textId="77777777" w:rsidR="00A65E12" w:rsidRPr="00813E5E" w:rsidRDefault="00A65E12">
            <w:pPr>
              <w:pStyle w:val="Headingb"/>
            </w:pPr>
            <w:r w:rsidRPr="00813E5E">
              <w:t>Summary</w:t>
            </w:r>
          </w:p>
          <w:p w14:paraId="56B65E48" w14:textId="77777777" w:rsidR="00A65E12" w:rsidRPr="00813E5E" w:rsidRDefault="00294D8A" w:rsidP="00DB5AD2">
            <w:pPr>
              <w:spacing w:after="120"/>
              <w:jc w:val="both"/>
            </w:pPr>
            <w:r w:rsidRPr="00905D54">
              <w:rPr>
                <w:rFonts w:asciiTheme="minorHAnsi" w:hAnsiTheme="minorHAnsi"/>
                <w:bCs/>
                <w:szCs w:val="24"/>
              </w:rPr>
              <w:t xml:space="preserve">This report covers the internal audit activities for the period between </w:t>
            </w:r>
            <w:r>
              <w:rPr>
                <w:rFonts w:asciiTheme="minorHAnsi" w:hAnsiTheme="minorHAnsi"/>
                <w:bCs/>
                <w:szCs w:val="24"/>
              </w:rPr>
              <w:t xml:space="preserve">March </w:t>
            </w:r>
            <w:r w:rsidRPr="00905D54">
              <w:rPr>
                <w:rFonts w:asciiTheme="minorHAnsi" w:hAnsiTheme="minorHAnsi"/>
                <w:bCs/>
                <w:szCs w:val="24"/>
              </w:rPr>
              <w:t>201</w:t>
            </w:r>
            <w:r w:rsidR="00F91AF0">
              <w:rPr>
                <w:rFonts w:asciiTheme="minorHAnsi" w:hAnsiTheme="minorHAnsi"/>
                <w:bCs/>
                <w:szCs w:val="24"/>
              </w:rPr>
              <w:t>4</w:t>
            </w:r>
            <w:r w:rsidRPr="00905D54">
              <w:rPr>
                <w:rFonts w:asciiTheme="minorHAnsi" w:hAnsiTheme="minorHAnsi"/>
                <w:bCs/>
                <w:szCs w:val="24"/>
              </w:rPr>
              <w:t xml:space="preserve"> and February</w:t>
            </w:r>
            <w:r>
              <w:rPr>
                <w:rFonts w:asciiTheme="minorHAnsi" w:hAnsiTheme="minorHAnsi"/>
                <w:bCs/>
                <w:szCs w:val="24"/>
              </w:rPr>
              <w:t xml:space="preserve"> 2015</w:t>
            </w:r>
            <w:r w:rsidRPr="00905D54">
              <w:rPr>
                <w:rFonts w:asciiTheme="minorHAnsi" w:hAnsiTheme="minorHAnsi"/>
                <w:bCs/>
                <w:szCs w:val="24"/>
              </w:rPr>
              <w:t>.</w:t>
            </w:r>
          </w:p>
          <w:p w14:paraId="2D4BE293" w14:textId="77777777" w:rsidR="00A65E12" w:rsidRPr="00813E5E" w:rsidRDefault="00A65E12" w:rsidP="009A2DDE">
            <w:pPr>
              <w:pStyle w:val="Headingb"/>
              <w:spacing w:before="120" w:after="120"/>
            </w:pPr>
            <w:r w:rsidRPr="00813E5E">
              <w:t>Action required</w:t>
            </w:r>
          </w:p>
          <w:p w14:paraId="533FEE5A" w14:textId="74F751E4" w:rsidR="00A65E12" w:rsidRPr="00294D8A" w:rsidRDefault="00294D8A" w:rsidP="00A43D7E">
            <w:pPr>
              <w:spacing w:after="120"/>
              <w:rPr>
                <w:rFonts w:asciiTheme="minorHAnsi" w:hAnsiTheme="minorHAnsi" w:cs="Calibri"/>
                <w:szCs w:val="24"/>
              </w:rPr>
            </w:pPr>
            <w:r w:rsidRPr="00905D54">
              <w:rPr>
                <w:rFonts w:asciiTheme="minorHAnsi" w:hAnsiTheme="minorHAnsi" w:cs="Calibri"/>
              </w:rPr>
              <w:t xml:space="preserve">This report is transmitted to the Council for </w:t>
            </w:r>
            <w:r w:rsidR="00A43D7E">
              <w:rPr>
                <w:rFonts w:asciiTheme="minorHAnsi" w:hAnsiTheme="minorHAnsi" w:cs="Calibri"/>
                <w:b/>
                <w:bCs/>
              </w:rPr>
              <w:t>consideration</w:t>
            </w:r>
            <w:r w:rsidRPr="00905D54">
              <w:rPr>
                <w:rFonts w:asciiTheme="minorHAnsi" w:hAnsiTheme="minorHAnsi"/>
              </w:rPr>
              <w:t>.</w:t>
            </w:r>
          </w:p>
          <w:p w14:paraId="56A7E170" w14:textId="77777777" w:rsidR="00A65E12" w:rsidRPr="00813E5E" w:rsidRDefault="00A65E12" w:rsidP="009A2DDE">
            <w:pPr>
              <w:pStyle w:val="Table"/>
              <w:keepNext w:val="0"/>
              <w:spacing w:before="120"/>
              <w:rPr>
                <w:rFonts w:ascii="Calibri" w:hAnsi="Calibri"/>
                <w:caps w:val="0"/>
                <w:sz w:val="22"/>
              </w:rPr>
            </w:pPr>
            <w:r w:rsidRPr="00813E5E">
              <w:rPr>
                <w:rFonts w:ascii="Calibri" w:hAnsi="Calibri"/>
                <w:caps w:val="0"/>
                <w:sz w:val="22"/>
              </w:rPr>
              <w:t>____________</w:t>
            </w:r>
          </w:p>
          <w:p w14:paraId="0180715D" w14:textId="77777777" w:rsidR="00A65E12" w:rsidRPr="00813E5E" w:rsidRDefault="00A65E12" w:rsidP="009A2DDE">
            <w:pPr>
              <w:pStyle w:val="Headingb"/>
              <w:spacing w:before="120" w:after="120"/>
            </w:pPr>
            <w:r w:rsidRPr="00813E5E">
              <w:t>References</w:t>
            </w:r>
          </w:p>
          <w:p w14:paraId="3789B0F0" w14:textId="77777777" w:rsidR="00A65E12" w:rsidRPr="00813E5E" w:rsidRDefault="00294D8A" w:rsidP="001270A1">
            <w:pPr>
              <w:spacing w:after="120"/>
              <w:rPr>
                <w:i/>
                <w:iCs/>
              </w:rPr>
            </w:pPr>
            <w:r w:rsidRPr="00905D54">
              <w:rPr>
                <w:rFonts w:asciiTheme="minorHAnsi" w:hAnsiTheme="minorHAnsi"/>
                <w:i/>
                <w:iCs/>
              </w:rPr>
              <w:t>ITU Financial Regulations and Rules (2010), Article 29</w:t>
            </w:r>
          </w:p>
        </w:tc>
      </w:tr>
    </w:tbl>
    <w:p w14:paraId="49882CF6" w14:textId="77777777" w:rsidR="00DF4526" w:rsidRPr="00905D54" w:rsidRDefault="00DF4526" w:rsidP="009A2DDE">
      <w:pPr>
        <w:pStyle w:val="Heading1"/>
        <w:keepNext w:val="0"/>
        <w:keepLines w:val="0"/>
        <w:snapToGrid w:val="0"/>
        <w:spacing w:before="360" w:after="120"/>
        <w:rPr>
          <w:rFonts w:asciiTheme="minorHAnsi" w:hAnsiTheme="minorHAnsi" w:cs="Calibri"/>
        </w:rPr>
      </w:pPr>
      <w:bookmarkStart w:id="9" w:name="dstart"/>
      <w:bookmarkStart w:id="10" w:name="dbreak"/>
      <w:bookmarkEnd w:id="9"/>
      <w:bookmarkEnd w:id="10"/>
      <w:r w:rsidRPr="00905D54">
        <w:rPr>
          <w:rFonts w:asciiTheme="minorHAnsi" w:hAnsiTheme="minorHAnsi" w:cs="Calibri"/>
        </w:rPr>
        <w:t>Introduction</w:t>
      </w:r>
    </w:p>
    <w:p w14:paraId="0831A2F3" w14:textId="1B03C633" w:rsidR="00DF4526" w:rsidRPr="00905D54" w:rsidRDefault="00DF4526" w:rsidP="000942BE">
      <w:pPr>
        <w:pStyle w:val="Normalaftertitle"/>
        <w:numPr>
          <w:ilvl w:val="0"/>
          <w:numId w:val="2"/>
        </w:numPr>
        <w:tabs>
          <w:tab w:val="clear" w:pos="567"/>
          <w:tab w:val="clear" w:pos="1134"/>
          <w:tab w:val="clear" w:pos="1701"/>
          <w:tab w:val="clear" w:pos="2268"/>
          <w:tab w:val="clear" w:pos="2835"/>
        </w:tabs>
        <w:snapToGrid w:val="0"/>
        <w:spacing w:before="120" w:after="120"/>
        <w:ind w:left="0" w:firstLine="0"/>
        <w:jc w:val="both"/>
        <w:rPr>
          <w:rFonts w:asciiTheme="minorHAnsi" w:hAnsiTheme="minorHAnsi" w:cs="Calibri"/>
          <w:szCs w:val="24"/>
        </w:rPr>
      </w:pPr>
      <w:r w:rsidRPr="00905D54">
        <w:rPr>
          <w:rFonts w:asciiTheme="minorHAnsi" w:hAnsiTheme="minorHAnsi" w:cs="Calibri"/>
          <w:szCs w:val="24"/>
        </w:rPr>
        <w:t>This report is transmitted to the Council and responds to Article 29 of the Financial Regulations (2010). In accordance with the ITU Internal Audit charter</w:t>
      </w:r>
      <w:r w:rsidR="00DB5AD2">
        <w:rPr>
          <w:rFonts w:asciiTheme="minorHAnsi" w:hAnsiTheme="minorHAnsi" w:cs="Calibri"/>
          <w:szCs w:val="24"/>
        </w:rPr>
        <w:t>,</w:t>
      </w:r>
      <w:r w:rsidRPr="00905D54">
        <w:rPr>
          <w:rStyle w:val="FootnoteReference"/>
          <w:rFonts w:asciiTheme="minorHAnsi" w:hAnsiTheme="minorHAnsi" w:cs="Calibri"/>
          <w:szCs w:val="24"/>
        </w:rPr>
        <w:footnoteReference w:id="1"/>
      </w:r>
      <w:r w:rsidRPr="00905D54">
        <w:rPr>
          <w:rFonts w:asciiTheme="minorHAnsi" w:hAnsiTheme="minorHAnsi" w:cs="Calibri"/>
          <w:szCs w:val="24"/>
        </w:rPr>
        <w:t xml:space="preserve"> this report </w:t>
      </w:r>
      <w:r w:rsidR="00DB5AD2">
        <w:rPr>
          <w:rFonts w:asciiTheme="minorHAnsi" w:hAnsiTheme="minorHAnsi" w:cs="Calibri"/>
          <w:szCs w:val="24"/>
        </w:rPr>
        <w:t>i</w:t>
      </w:r>
      <w:r w:rsidRPr="00905D54">
        <w:rPr>
          <w:rFonts w:asciiTheme="minorHAnsi" w:hAnsiTheme="minorHAnsi" w:cs="Calibri"/>
          <w:szCs w:val="24"/>
        </w:rPr>
        <w:t xml:space="preserve">s submitted to the Secretary-General and presented to </w:t>
      </w:r>
      <w:r w:rsidR="00376896">
        <w:rPr>
          <w:rFonts w:asciiTheme="minorHAnsi" w:hAnsiTheme="minorHAnsi" w:cs="Calibri"/>
          <w:szCs w:val="24"/>
        </w:rPr>
        <w:t xml:space="preserve">the </w:t>
      </w:r>
      <w:r w:rsidRPr="00905D54">
        <w:rPr>
          <w:rFonts w:asciiTheme="minorHAnsi" w:hAnsiTheme="minorHAnsi" w:cs="Calibri"/>
          <w:szCs w:val="24"/>
        </w:rPr>
        <w:t xml:space="preserve">Council </w:t>
      </w:r>
      <w:proofErr w:type="spellStart"/>
      <w:r w:rsidRPr="00905D54">
        <w:rPr>
          <w:rFonts w:asciiTheme="minorHAnsi" w:hAnsiTheme="minorHAnsi" w:cs="Calibri"/>
          <w:szCs w:val="24"/>
        </w:rPr>
        <w:t>for</w:t>
      </w:r>
      <w:r w:rsidR="000942BE">
        <w:rPr>
          <w:rFonts w:asciiTheme="minorHAnsi" w:hAnsiTheme="minorHAnsi" w:cs="Calibri"/>
          <w:szCs w:val="24"/>
        </w:rPr>
        <w:t>consideration</w:t>
      </w:r>
      <w:proofErr w:type="spellEnd"/>
      <w:r w:rsidRPr="00905D54">
        <w:rPr>
          <w:rFonts w:asciiTheme="minorHAnsi" w:hAnsiTheme="minorHAnsi" w:cs="Calibri"/>
          <w:szCs w:val="24"/>
        </w:rPr>
        <w:t xml:space="preserve">. The current report covers activities from the period between </w:t>
      </w:r>
      <w:r w:rsidR="003663AD">
        <w:rPr>
          <w:rFonts w:asciiTheme="minorHAnsi" w:hAnsiTheme="minorHAnsi" w:cs="Calibri"/>
          <w:szCs w:val="24"/>
        </w:rPr>
        <w:t xml:space="preserve">March </w:t>
      </w:r>
      <w:r w:rsidRPr="00905D54">
        <w:rPr>
          <w:rFonts w:asciiTheme="minorHAnsi" w:hAnsiTheme="minorHAnsi" w:cs="Calibri"/>
          <w:szCs w:val="24"/>
        </w:rPr>
        <w:t>2014</w:t>
      </w:r>
      <w:r w:rsidR="003663AD">
        <w:rPr>
          <w:rFonts w:asciiTheme="minorHAnsi" w:hAnsiTheme="minorHAnsi" w:cs="Calibri"/>
          <w:szCs w:val="24"/>
        </w:rPr>
        <w:t xml:space="preserve"> and February 2015</w:t>
      </w:r>
      <w:r w:rsidRPr="00905D54">
        <w:rPr>
          <w:rFonts w:asciiTheme="minorHAnsi" w:hAnsiTheme="minorHAnsi" w:cs="Calibri"/>
          <w:szCs w:val="24"/>
        </w:rPr>
        <w:t>.</w:t>
      </w:r>
    </w:p>
    <w:p w14:paraId="734505FD" w14:textId="55EA434B" w:rsidR="00DF4526" w:rsidRDefault="00DB5AD2" w:rsidP="00B43531">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Pr>
          <w:rFonts w:asciiTheme="minorHAnsi" w:hAnsiTheme="minorHAnsi" w:cs="Calibri"/>
          <w:szCs w:val="24"/>
        </w:rPr>
        <w:t>For most of 2014, t</w:t>
      </w:r>
      <w:r w:rsidR="00DA613C">
        <w:rPr>
          <w:rFonts w:asciiTheme="minorHAnsi" w:hAnsiTheme="minorHAnsi" w:cs="Calibri"/>
          <w:szCs w:val="24"/>
        </w:rPr>
        <w:t xml:space="preserve">he Internal Audit Unit comprised </w:t>
      </w:r>
      <w:r w:rsidR="00DF4526" w:rsidRPr="00905D54">
        <w:rPr>
          <w:rFonts w:asciiTheme="minorHAnsi" w:hAnsiTheme="minorHAnsi" w:cs="Calibri"/>
          <w:szCs w:val="24"/>
        </w:rPr>
        <w:t xml:space="preserve">two professional staff – a P.5 (Head of the Unit) and a P.3 (Internal Auditor), as well as a </w:t>
      </w:r>
      <w:r w:rsidR="008F15FB">
        <w:rPr>
          <w:rFonts w:asciiTheme="minorHAnsi" w:hAnsiTheme="minorHAnsi" w:cs="Calibri"/>
          <w:szCs w:val="24"/>
        </w:rPr>
        <w:t xml:space="preserve">part-time </w:t>
      </w:r>
      <w:r w:rsidR="00DF4526" w:rsidRPr="00905D54">
        <w:rPr>
          <w:rFonts w:asciiTheme="minorHAnsi" w:hAnsiTheme="minorHAnsi" w:cs="Calibri"/>
          <w:szCs w:val="24"/>
        </w:rPr>
        <w:t>general service staff (Audit Assistant).</w:t>
      </w:r>
      <w:r w:rsidR="003663AD">
        <w:rPr>
          <w:rFonts w:asciiTheme="minorHAnsi" w:hAnsiTheme="minorHAnsi" w:cs="Calibri"/>
          <w:szCs w:val="24"/>
        </w:rPr>
        <w:t xml:space="preserve"> In </w:t>
      </w:r>
      <w:r w:rsidR="00F53E39">
        <w:rPr>
          <w:rFonts w:asciiTheme="minorHAnsi" w:hAnsiTheme="minorHAnsi" w:cs="Calibri"/>
          <w:szCs w:val="24"/>
        </w:rPr>
        <w:t xml:space="preserve">September 2014 </w:t>
      </w:r>
      <w:r w:rsidR="003663AD">
        <w:rPr>
          <w:rFonts w:asciiTheme="minorHAnsi" w:hAnsiTheme="minorHAnsi" w:cs="Calibri"/>
          <w:szCs w:val="24"/>
        </w:rPr>
        <w:t xml:space="preserve">a </w:t>
      </w:r>
      <w:r w:rsidR="00B43531">
        <w:rPr>
          <w:rFonts w:asciiTheme="minorHAnsi" w:hAnsiTheme="minorHAnsi" w:cs="Calibri"/>
          <w:szCs w:val="24"/>
        </w:rPr>
        <w:t xml:space="preserve">temporary </w:t>
      </w:r>
      <w:r w:rsidR="00F53E39">
        <w:rPr>
          <w:rFonts w:asciiTheme="minorHAnsi" w:hAnsiTheme="minorHAnsi" w:cs="Calibri"/>
          <w:szCs w:val="24"/>
        </w:rPr>
        <w:t>P.1 post (</w:t>
      </w:r>
      <w:r w:rsidR="003663AD">
        <w:rPr>
          <w:rFonts w:asciiTheme="minorHAnsi" w:hAnsiTheme="minorHAnsi" w:cs="Calibri"/>
          <w:szCs w:val="24"/>
        </w:rPr>
        <w:t>Junior Internal Auditor</w:t>
      </w:r>
      <w:r w:rsidR="00F53E39">
        <w:rPr>
          <w:rFonts w:asciiTheme="minorHAnsi" w:hAnsiTheme="minorHAnsi" w:cs="Calibri"/>
          <w:szCs w:val="24"/>
        </w:rPr>
        <w:t>)</w:t>
      </w:r>
      <w:r w:rsidR="003663AD">
        <w:rPr>
          <w:rFonts w:asciiTheme="minorHAnsi" w:hAnsiTheme="minorHAnsi" w:cs="Calibri"/>
          <w:szCs w:val="24"/>
        </w:rPr>
        <w:t xml:space="preserve"> was created </w:t>
      </w:r>
      <w:r w:rsidR="00B43531">
        <w:rPr>
          <w:rFonts w:asciiTheme="minorHAnsi" w:hAnsiTheme="minorHAnsi" w:cs="Calibri"/>
          <w:szCs w:val="24"/>
        </w:rPr>
        <w:t xml:space="preserve">whilst awaiting the creation –further to an earlier made recommendation by the Independent </w:t>
      </w:r>
      <w:r w:rsidR="00B43531">
        <w:rPr>
          <w:rFonts w:asciiTheme="minorHAnsi" w:hAnsiTheme="minorHAnsi" w:cs="Calibri"/>
          <w:szCs w:val="24"/>
        </w:rPr>
        <w:lastRenderedPageBreak/>
        <w:t>Management Advisory Committee (IMAC)</w:t>
      </w:r>
      <w:r w:rsidR="00625E45">
        <w:rPr>
          <w:rFonts w:asciiTheme="minorHAnsi" w:hAnsiTheme="minorHAnsi" w:cs="Calibri"/>
          <w:szCs w:val="24"/>
        </w:rPr>
        <w:t xml:space="preserve"> </w:t>
      </w:r>
      <w:r w:rsidR="00B43531">
        <w:rPr>
          <w:rFonts w:asciiTheme="minorHAnsi" w:hAnsiTheme="minorHAnsi" w:cs="Calibri"/>
          <w:szCs w:val="24"/>
        </w:rPr>
        <w:t xml:space="preserve">- of a </w:t>
      </w:r>
      <w:r w:rsidR="00B43531">
        <w:rPr>
          <w:rFonts w:ascii="Calibri" w:hAnsi="Calibri" w:cs="Arial"/>
          <w:color w:val="000000"/>
        </w:rPr>
        <w:t>fixed term P.2 post (Junior Internal Auditor)</w:t>
      </w:r>
      <w:r w:rsidR="00E72079">
        <w:rPr>
          <w:rFonts w:ascii="Calibri" w:hAnsi="Calibri" w:cs="Arial"/>
          <w:color w:val="000000"/>
        </w:rPr>
        <w:t xml:space="preserve"> which has recently been approved</w:t>
      </w:r>
      <w:r w:rsidR="00B43531">
        <w:rPr>
          <w:rFonts w:ascii="Calibri" w:hAnsi="Calibri" w:cs="Arial"/>
          <w:color w:val="000000"/>
        </w:rPr>
        <w:t xml:space="preserve">. </w:t>
      </w:r>
      <w:r w:rsidR="008F6D35">
        <w:rPr>
          <w:rFonts w:ascii="Calibri" w:hAnsi="Calibri" w:cs="Arial"/>
          <w:color w:val="000000"/>
        </w:rPr>
        <w:t>T</w:t>
      </w:r>
      <w:r w:rsidR="008F15FB">
        <w:rPr>
          <w:rFonts w:ascii="Calibri" w:hAnsi="Calibri" w:cs="Arial"/>
          <w:color w:val="000000"/>
        </w:rPr>
        <w:t xml:space="preserve">oday the Unit consists thus of three professional posts and a </w:t>
      </w:r>
      <w:r w:rsidR="008F15FB">
        <w:rPr>
          <w:rFonts w:asciiTheme="minorHAnsi" w:hAnsiTheme="minorHAnsi" w:cs="Calibri"/>
          <w:szCs w:val="24"/>
        </w:rPr>
        <w:t xml:space="preserve">part-time </w:t>
      </w:r>
      <w:r w:rsidR="008F15FB" w:rsidRPr="00905D54">
        <w:rPr>
          <w:rFonts w:asciiTheme="minorHAnsi" w:hAnsiTheme="minorHAnsi" w:cs="Calibri"/>
          <w:szCs w:val="24"/>
        </w:rPr>
        <w:t>general service staff</w:t>
      </w:r>
      <w:r w:rsidR="008F15FB">
        <w:rPr>
          <w:rFonts w:asciiTheme="minorHAnsi" w:hAnsiTheme="minorHAnsi" w:cs="Calibri"/>
          <w:szCs w:val="24"/>
        </w:rPr>
        <w:t>.</w:t>
      </w:r>
    </w:p>
    <w:p w14:paraId="3A03A037" w14:textId="47FA42A5" w:rsidR="003663AD" w:rsidRPr="00F53E39" w:rsidRDefault="003663AD" w:rsidP="00B43531">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Pr>
          <w:rFonts w:ascii="Calibri" w:hAnsi="Calibri"/>
          <w:szCs w:val="24"/>
        </w:rPr>
        <w:t xml:space="preserve">Internal Audit is organizationally independent </w:t>
      </w:r>
      <w:r>
        <w:rPr>
          <w:rFonts w:ascii="Calibri" w:hAnsi="Calibri"/>
          <w:szCs w:val="24"/>
          <w:lang w:val="en-US"/>
        </w:rPr>
        <w:t>from the processes and functions it has audited in the period covered by this report.</w:t>
      </w:r>
      <w:r w:rsidR="00F53E39">
        <w:rPr>
          <w:rFonts w:ascii="Calibri" w:hAnsi="Calibri"/>
          <w:szCs w:val="24"/>
          <w:lang w:val="en-US"/>
        </w:rPr>
        <w:t xml:space="preserve"> In line with good governance and to support the independence of the internal audit function, the </w:t>
      </w:r>
      <w:r w:rsidR="00D6318B">
        <w:rPr>
          <w:rFonts w:ascii="Calibri" w:hAnsi="Calibri"/>
          <w:szCs w:val="24"/>
          <w:lang w:val="en-US"/>
        </w:rPr>
        <w:t>IMAC</w:t>
      </w:r>
      <w:r w:rsidR="00F53E39">
        <w:rPr>
          <w:rFonts w:ascii="Calibri" w:hAnsi="Calibri"/>
          <w:szCs w:val="24"/>
          <w:lang w:val="en-US"/>
        </w:rPr>
        <w:t xml:space="preserve"> was provided with progress reports on the internal audit work, formulated comments and reported thereon in its reports to the Secretary-General and in its annual report to </w:t>
      </w:r>
      <w:r w:rsidR="00376896">
        <w:rPr>
          <w:rFonts w:ascii="Calibri" w:hAnsi="Calibri"/>
          <w:szCs w:val="24"/>
          <w:lang w:val="en-US"/>
        </w:rPr>
        <w:t xml:space="preserve">the </w:t>
      </w:r>
      <w:r w:rsidR="00F53E39">
        <w:rPr>
          <w:rFonts w:ascii="Calibri" w:hAnsi="Calibri"/>
          <w:szCs w:val="24"/>
          <w:lang w:val="en-US"/>
        </w:rPr>
        <w:t>Council.</w:t>
      </w:r>
    </w:p>
    <w:p w14:paraId="382627A3" w14:textId="2A5BA942" w:rsidR="00F53E39" w:rsidRPr="00905D54" w:rsidRDefault="00F53E39" w:rsidP="001270A1">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Pr>
          <w:rFonts w:ascii="Calibri" w:hAnsi="Calibri"/>
          <w:szCs w:val="24"/>
          <w:lang w:val="en-US"/>
        </w:rPr>
        <w:t xml:space="preserve">The Internal </w:t>
      </w:r>
      <w:r w:rsidR="00D6318B">
        <w:rPr>
          <w:rFonts w:ascii="Calibri" w:hAnsi="Calibri"/>
          <w:szCs w:val="24"/>
          <w:lang w:val="en-US"/>
        </w:rPr>
        <w:t>A</w:t>
      </w:r>
      <w:r>
        <w:rPr>
          <w:rFonts w:ascii="Calibri" w:hAnsi="Calibri"/>
          <w:szCs w:val="24"/>
          <w:lang w:val="en-US"/>
        </w:rPr>
        <w:t>udit plan for 2014 was communicated to the External Auditor in an effort to promote efficiency and coordination.</w:t>
      </w:r>
    </w:p>
    <w:p w14:paraId="2ACB60E6" w14:textId="77777777" w:rsidR="00DF4526" w:rsidRPr="00905D54" w:rsidRDefault="00DF4526" w:rsidP="00C02C7D">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cs="Calibri"/>
          <w:lang w:val="en-CA"/>
        </w:rPr>
      </w:pPr>
      <w:r w:rsidRPr="00905D54">
        <w:rPr>
          <w:rFonts w:asciiTheme="minorHAnsi" w:hAnsiTheme="minorHAnsi" w:cs="Calibri"/>
          <w:lang w:val="en-CA"/>
        </w:rPr>
        <w:t>Orientation and scope of the internal audit activities</w:t>
      </w:r>
    </w:p>
    <w:p w14:paraId="5751125F" w14:textId="77777777" w:rsidR="00F53E39" w:rsidRPr="00905D54" w:rsidRDefault="00F53E39" w:rsidP="001270A1">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sidRPr="00905D54">
        <w:rPr>
          <w:rFonts w:asciiTheme="minorHAnsi" w:hAnsiTheme="minorHAnsi" w:cs="Calibri"/>
          <w:szCs w:val="24"/>
        </w:rPr>
        <w:t xml:space="preserve">The orientation of the audit work was mainly towards the areas of assurance engagements and/or performance </w:t>
      </w:r>
      <w:r>
        <w:rPr>
          <w:rFonts w:asciiTheme="minorHAnsi" w:hAnsiTheme="minorHAnsi" w:cs="Calibri"/>
          <w:szCs w:val="24"/>
        </w:rPr>
        <w:t xml:space="preserve">audits. </w:t>
      </w:r>
      <w:r w:rsidRPr="00905D54">
        <w:rPr>
          <w:rFonts w:asciiTheme="minorHAnsi" w:hAnsiTheme="minorHAnsi" w:cs="Calibri"/>
          <w:szCs w:val="24"/>
        </w:rPr>
        <w:t xml:space="preserve">The scope </w:t>
      </w:r>
      <w:r w:rsidRPr="00905D54">
        <w:rPr>
          <w:rFonts w:asciiTheme="minorHAnsi" w:hAnsiTheme="minorHAnsi"/>
          <w:szCs w:val="24"/>
        </w:rPr>
        <w:t>encompassed the review of</w:t>
      </w:r>
      <w:r w:rsidRPr="00905D54">
        <w:rPr>
          <w:rFonts w:asciiTheme="minorHAnsi" w:hAnsiTheme="minorHAnsi" w:cs="Calibri"/>
          <w:szCs w:val="24"/>
        </w:rPr>
        <w:t xml:space="preserve"> documents and structures/charts, </w:t>
      </w:r>
      <w:r w:rsidRPr="00905D54">
        <w:rPr>
          <w:rFonts w:asciiTheme="minorHAnsi" w:hAnsiTheme="minorHAnsi"/>
          <w:szCs w:val="24"/>
        </w:rPr>
        <w:t>the a</w:t>
      </w:r>
      <w:r w:rsidRPr="00905D54">
        <w:rPr>
          <w:rFonts w:asciiTheme="minorHAnsi" w:hAnsiTheme="minorHAnsi" w:cs="Arial"/>
          <w:szCs w:val="24"/>
        </w:rPr>
        <w:t>nalysis of conducted</w:t>
      </w:r>
      <w:r w:rsidRPr="00F53E39">
        <w:rPr>
          <w:rFonts w:asciiTheme="minorHAnsi" w:hAnsiTheme="minorHAnsi" w:cs="Arial"/>
          <w:szCs w:val="24"/>
        </w:rPr>
        <w:t xml:space="preserve"> </w:t>
      </w:r>
      <w:r w:rsidRPr="00905D54">
        <w:rPr>
          <w:rFonts w:asciiTheme="minorHAnsi" w:hAnsiTheme="minorHAnsi" w:cs="Arial"/>
          <w:szCs w:val="24"/>
        </w:rPr>
        <w:t xml:space="preserve">activities, an assessment of the related processes and procedures, and the evaluation of compliance. All audits planned and taken forward were </w:t>
      </w:r>
      <w:r w:rsidR="00DA613C">
        <w:rPr>
          <w:rFonts w:asciiTheme="minorHAnsi" w:hAnsiTheme="minorHAnsi" w:cs="Arial"/>
          <w:szCs w:val="24"/>
        </w:rPr>
        <w:t xml:space="preserve">timely </w:t>
      </w:r>
      <w:r w:rsidRPr="00905D54">
        <w:rPr>
          <w:rFonts w:asciiTheme="minorHAnsi" w:hAnsiTheme="minorHAnsi" w:cs="Arial"/>
          <w:szCs w:val="24"/>
        </w:rPr>
        <w:t>finalized, with the issuance of final reports including the comments of the managers concerned.</w:t>
      </w:r>
    </w:p>
    <w:p w14:paraId="5C3AB6E7" w14:textId="1979225E" w:rsidR="00F53E39" w:rsidRPr="00905D54" w:rsidRDefault="00F53E39" w:rsidP="00684C49">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sidRPr="00905D54">
        <w:rPr>
          <w:rFonts w:asciiTheme="minorHAnsi" w:hAnsiTheme="minorHAnsi" w:cs="Arial"/>
          <w:szCs w:val="24"/>
        </w:rPr>
        <w:t>Internal Audit confirms that it conducts its audits in accordance with the International Standards for the Professional Practice of Internal Auditing and the Code of Ethics established by the Institute of Internal Auditors</w:t>
      </w:r>
      <w:r w:rsidRPr="00905D54">
        <w:rPr>
          <w:rStyle w:val="FootnoteReference"/>
          <w:rFonts w:asciiTheme="minorHAnsi" w:hAnsiTheme="minorHAnsi" w:cs="Arial"/>
          <w:szCs w:val="24"/>
        </w:rPr>
        <w:footnoteReference w:id="2"/>
      </w:r>
      <w:r w:rsidR="00903E7F">
        <w:rPr>
          <w:rFonts w:asciiTheme="minorHAnsi" w:hAnsiTheme="minorHAnsi" w:cs="Arial"/>
          <w:szCs w:val="24"/>
        </w:rPr>
        <w:t xml:space="preserve"> (IIA)</w:t>
      </w:r>
      <w:r>
        <w:rPr>
          <w:rFonts w:asciiTheme="minorHAnsi" w:hAnsiTheme="minorHAnsi" w:cs="Arial"/>
          <w:szCs w:val="24"/>
        </w:rPr>
        <w:t>,</w:t>
      </w:r>
      <w:r w:rsidRPr="00905D54">
        <w:rPr>
          <w:rFonts w:asciiTheme="minorHAnsi" w:hAnsiTheme="minorHAnsi" w:cs="Arial"/>
          <w:szCs w:val="24"/>
        </w:rPr>
        <w:t xml:space="preserve"> as well as with the provisions of the ITU Internal Audit Charter</w:t>
      </w:r>
      <w:r w:rsidR="002258AA">
        <w:rPr>
          <w:rFonts w:asciiTheme="minorHAnsi" w:hAnsiTheme="minorHAnsi" w:cs="Arial"/>
          <w:szCs w:val="24"/>
        </w:rPr>
        <w:t>.</w:t>
      </w:r>
      <w:r w:rsidRPr="00905D54">
        <w:rPr>
          <w:rStyle w:val="FootnoteReference"/>
          <w:rFonts w:asciiTheme="minorHAnsi" w:hAnsiTheme="minorHAnsi" w:cs="Arial"/>
          <w:szCs w:val="24"/>
        </w:rPr>
        <w:footnoteReference w:id="3"/>
      </w:r>
      <w:r w:rsidRPr="00905D54">
        <w:rPr>
          <w:rFonts w:asciiTheme="minorHAnsi" w:hAnsiTheme="minorHAnsi" w:cs="Arial"/>
          <w:szCs w:val="24"/>
        </w:rPr>
        <w:t xml:space="preserve"> In addition, Internal Audit confirms that, for the period reported on, its staff had no managerial authority over, nor responsibility for</w:t>
      </w:r>
      <w:r w:rsidR="002258AA">
        <w:rPr>
          <w:rFonts w:asciiTheme="minorHAnsi" w:hAnsiTheme="minorHAnsi" w:cs="Arial"/>
          <w:szCs w:val="24"/>
        </w:rPr>
        <w:t>,</w:t>
      </w:r>
      <w:r w:rsidRPr="00905D54">
        <w:rPr>
          <w:rFonts w:asciiTheme="minorHAnsi" w:hAnsiTheme="minorHAnsi" w:cs="Arial"/>
          <w:szCs w:val="24"/>
        </w:rPr>
        <w:t xml:space="preserve"> any of the activities audited and did not perform accounting or operational functions within ITU.</w:t>
      </w:r>
    </w:p>
    <w:p w14:paraId="5387A770" w14:textId="77777777" w:rsidR="00802E17" w:rsidRPr="00905D54" w:rsidRDefault="00802E17" w:rsidP="00C02C7D">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Calibri"/>
          <w:lang w:val="en-CA"/>
        </w:rPr>
      </w:pPr>
      <w:r w:rsidRPr="00905D54">
        <w:rPr>
          <w:rFonts w:asciiTheme="minorHAnsi" w:hAnsiTheme="minorHAnsi" w:cs="Calibri"/>
          <w:lang w:val="en-CA"/>
        </w:rPr>
        <w:t>Assurance Engagements</w:t>
      </w:r>
    </w:p>
    <w:p w14:paraId="162F66A1" w14:textId="77777777" w:rsidR="00802E17" w:rsidRPr="00905D54" w:rsidRDefault="00802E17" w:rsidP="001270A1">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sidRPr="00905D54">
        <w:rPr>
          <w:rFonts w:asciiTheme="minorHAnsi" w:hAnsiTheme="minorHAnsi" w:cs="Calibri"/>
          <w:szCs w:val="24"/>
        </w:rPr>
        <w:t>The objectives of the assurance engagements were to assess the internal controls in place, to review the adequacy of the applicable regulations and rules, to verify the compliance of selected transactions with applicable policies and procedures, and to assess whether the activities under review were in line with the principles of efficient, effective and economical use of the Union’s resources. The priority of the recommendations resulting from the audit work</w:t>
      </w:r>
      <w:r w:rsidR="00376896">
        <w:rPr>
          <w:rFonts w:asciiTheme="minorHAnsi" w:hAnsiTheme="minorHAnsi" w:cs="Calibri"/>
          <w:szCs w:val="24"/>
          <w:lang w:val="en-US"/>
        </w:rPr>
        <w:t xml:space="preserve"> is </w:t>
      </w:r>
      <w:r w:rsidRPr="00905D54">
        <w:rPr>
          <w:rFonts w:asciiTheme="minorHAnsi" w:hAnsiTheme="minorHAnsi" w:cs="Calibri"/>
          <w:szCs w:val="24"/>
          <w:lang w:val="en-US"/>
        </w:rPr>
        <w:t>classified according to the impact and likelihood of the deficiency (critical, high, medium, low)</w:t>
      </w:r>
      <w:r w:rsidR="00376896">
        <w:rPr>
          <w:rFonts w:asciiTheme="minorHAnsi" w:hAnsiTheme="minorHAnsi" w:cs="Calibri"/>
          <w:szCs w:val="24"/>
          <w:lang w:val="en-US"/>
        </w:rPr>
        <w:t>.</w:t>
      </w:r>
    </w:p>
    <w:p w14:paraId="3380FA64" w14:textId="57283E5F" w:rsidR="00802E17" w:rsidRPr="00905D54" w:rsidRDefault="00802E17" w:rsidP="0071077A">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sidRPr="00905D54">
        <w:rPr>
          <w:rFonts w:asciiTheme="minorHAnsi" w:hAnsiTheme="minorHAnsi" w:cs="Calibri"/>
          <w:szCs w:val="24"/>
        </w:rPr>
        <w:lastRenderedPageBreak/>
        <w:t xml:space="preserve">Internal Audit systematically shares copies of internal audit reports with the ITU External Auditor and </w:t>
      </w:r>
      <w:r>
        <w:rPr>
          <w:rFonts w:asciiTheme="minorHAnsi" w:hAnsiTheme="minorHAnsi" w:cs="Calibri"/>
          <w:szCs w:val="24"/>
        </w:rPr>
        <w:t>IMAC</w:t>
      </w:r>
      <w:r w:rsidRPr="00905D54">
        <w:rPr>
          <w:rFonts w:asciiTheme="minorHAnsi" w:hAnsiTheme="minorHAnsi" w:cs="Calibri"/>
          <w:szCs w:val="24"/>
        </w:rPr>
        <w:t>. In accordance with ITU Financial Regulation 29.5, final internal audit reports can, upon written request to the Secretary-General, be made available to Member States or their designated representatives. During the period reported on, no requests were received.</w:t>
      </w:r>
    </w:p>
    <w:p w14:paraId="7612A83D" w14:textId="77777777" w:rsidR="00802E17" w:rsidRDefault="00802E17" w:rsidP="001270A1">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sidRPr="00905D54">
        <w:rPr>
          <w:rFonts w:asciiTheme="minorHAnsi" w:hAnsiTheme="minorHAnsi" w:cs="Calibri"/>
          <w:szCs w:val="24"/>
        </w:rPr>
        <w:t>The results of the audit work for the period reported on indicated that internal controls, policies and procedures were generally established and functioning but needed improvement in certain areas</w:t>
      </w:r>
      <w:r w:rsidR="00B26FE8">
        <w:rPr>
          <w:rFonts w:asciiTheme="minorHAnsi" w:hAnsiTheme="minorHAnsi" w:cs="Calibri"/>
          <w:szCs w:val="24"/>
        </w:rPr>
        <w:t>. Recommendations made to M</w:t>
      </w:r>
      <w:r w:rsidRPr="00905D54">
        <w:rPr>
          <w:rFonts w:asciiTheme="minorHAnsi" w:hAnsiTheme="minorHAnsi" w:cs="Calibri"/>
          <w:szCs w:val="24"/>
        </w:rPr>
        <w:t>anagement are being actioned, with the support of the Secretary-General, and this will further strengthen ITU to fulfil its mandate.</w:t>
      </w:r>
    </w:p>
    <w:p w14:paraId="44CD2B2A" w14:textId="3DEDB4A1" w:rsidR="00B26FE8" w:rsidRDefault="00B26FE8" w:rsidP="001270A1">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rPr>
      </w:pPr>
      <w:r w:rsidRPr="00B26FE8">
        <w:rPr>
          <w:rFonts w:asciiTheme="minorHAnsi" w:hAnsiTheme="minorHAnsi"/>
          <w:szCs w:val="24"/>
        </w:rPr>
        <w:t>The implementatio</w:t>
      </w:r>
      <w:r w:rsidR="005D1BA0">
        <w:rPr>
          <w:rFonts w:asciiTheme="minorHAnsi" w:hAnsiTheme="minorHAnsi"/>
          <w:szCs w:val="24"/>
        </w:rPr>
        <w:t>n of recommended actions is</w:t>
      </w:r>
      <w:r w:rsidRPr="00B26FE8">
        <w:rPr>
          <w:rFonts w:asciiTheme="minorHAnsi" w:hAnsiTheme="minorHAnsi"/>
          <w:szCs w:val="24"/>
        </w:rPr>
        <w:t xml:space="preserve"> followed up by Internal Audit, as </w:t>
      </w:r>
      <w:r w:rsidR="00BF09D0">
        <w:rPr>
          <w:rFonts w:asciiTheme="minorHAnsi" w:hAnsiTheme="minorHAnsi"/>
          <w:szCs w:val="24"/>
        </w:rPr>
        <w:t xml:space="preserve">and </w:t>
      </w:r>
      <w:r w:rsidRPr="00B26FE8">
        <w:rPr>
          <w:rFonts w:asciiTheme="minorHAnsi" w:hAnsiTheme="minorHAnsi"/>
          <w:szCs w:val="24"/>
        </w:rPr>
        <w:t>when required</w:t>
      </w:r>
      <w:r w:rsidR="005D1BA0">
        <w:rPr>
          <w:rFonts w:asciiTheme="minorHAnsi" w:hAnsiTheme="minorHAnsi"/>
          <w:szCs w:val="24"/>
        </w:rPr>
        <w:t xml:space="preserve"> (see also paragraph on </w:t>
      </w:r>
      <w:r w:rsidR="00A54B58">
        <w:rPr>
          <w:rFonts w:asciiTheme="minorHAnsi" w:hAnsiTheme="minorHAnsi"/>
          <w:szCs w:val="24"/>
        </w:rPr>
        <w:t>f</w:t>
      </w:r>
      <w:r w:rsidR="005D1BA0">
        <w:rPr>
          <w:rFonts w:asciiTheme="minorHAnsi" w:hAnsiTheme="minorHAnsi"/>
          <w:szCs w:val="24"/>
        </w:rPr>
        <w:t>ollow-up further in this report).</w:t>
      </w:r>
    </w:p>
    <w:p w14:paraId="0DFDBF9B" w14:textId="77777777" w:rsidR="00802E17" w:rsidRPr="00765521" w:rsidRDefault="00802E17" w:rsidP="00CA7485">
      <w:pPr>
        <w:tabs>
          <w:tab w:val="clear" w:pos="567"/>
          <w:tab w:val="clear" w:pos="1134"/>
          <w:tab w:val="clear" w:pos="1701"/>
          <w:tab w:val="clear" w:pos="2268"/>
          <w:tab w:val="clear" w:pos="2835"/>
        </w:tabs>
        <w:snapToGrid w:val="0"/>
        <w:spacing w:before="240" w:after="120"/>
        <w:jc w:val="both"/>
        <w:rPr>
          <w:rFonts w:asciiTheme="minorHAnsi" w:hAnsiTheme="minorHAnsi" w:cs="Calibri"/>
          <w:i/>
          <w:iCs/>
          <w:szCs w:val="24"/>
        </w:rPr>
      </w:pPr>
      <w:r w:rsidRPr="00765521">
        <w:rPr>
          <w:rFonts w:asciiTheme="minorHAnsi" w:hAnsiTheme="minorHAnsi" w:cs="Calibri"/>
          <w:i/>
          <w:iCs/>
          <w:szCs w:val="24"/>
        </w:rPr>
        <w:t>The following assurance engagements have been conducted:</w:t>
      </w:r>
    </w:p>
    <w:p w14:paraId="5AAC4C83" w14:textId="77777777" w:rsidR="00DF1E0A" w:rsidRPr="007344A0" w:rsidRDefault="007344A0" w:rsidP="00CA7485">
      <w:pPr>
        <w:pStyle w:val="FootnoteText"/>
        <w:keepLines w:val="0"/>
        <w:numPr>
          <w:ilvl w:val="0"/>
          <w:numId w:val="12"/>
        </w:numPr>
        <w:tabs>
          <w:tab w:val="clear" w:pos="256"/>
          <w:tab w:val="clear" w:pos="567"/>
          <w:tab w:val="clear" w:pos="1134"/>
          <w:tab w:val="clear" w:pos="1701"/>
          <w:tab w:val="clear" w:pos="2268"/>
          <w:tab w:val="clear" w:pos="2835"/>
        </w:tabs>
        <w:snapToGrid w:val="0"/>
        <w:spacing w:after="120"/>
        <w:ind w:firstLine="0"/>
        <w:rPr>
          <w:b/>
          <w:bCs/>
          <w:i/>
          <w:iCs/>
          <w:szCs w:val="24"/>
        </w:rPr>
      </w:pPr>
      <w:r>
        <w:rPr>
          <w:b/>
          <w:bCs/>
          <w:i/>
          <w:iCs/>
          <w:szCs w:val="24"/>
        </w:rPr>
        <w:t>Audit of the SAP Enterprise Resource Planning system’s Workflows</w:t>
      </w:r>
    </w:p>
    <w:p w14:paraId="1F002811" w14:textId="77777777" w:rsidR="00DF1E0A" w:rsidRPr="00B26FE8" w:rsidRDefault="00DF1E0A" w:rsidP="00CA7485">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rPr>
      </w:pPr>
      <w:r w:rsidRPr="00B26FE8">
        <w:rPr>
          <w:rFonts w:asciiTheme="minorHAnsi" w:hAnsiTheme="minorHAnsi" w:cs="Calibri"/>
          <w:szCs w:val="24"/>
        </w:rPr>
        <w:t xml:space="preserve">The </w:t>
      </w:r>
      <w:r w:rsidR="00E17340">
        <w:rPr>
          <w:rFonts w:asciiTheme="minorHAnsi" w:hAnsiTheme="minorHAnsi" w:cs="Calibri"/>
          <w:szCs w:val="24"/>
        </w:rPr>
        <w:t xml:space="preserve">main </w:t>
      </w:r>
      <w:r w:rsidR="00E17340" w:rsidRPr="00E17340">
        <w:rPr>
          <w:rFonts w:asciiTheme="minorHAnsi" w:hAnsiTheme="minorHAnsi" w:cs="Calibri"/>
          <w:szCs w:val="24"/>
          <w:u w:val="single"/>
        </w:rPr>
        <w:t>purpose</w:t>
      </w:r>
      <w:r w:rsidR="00E17340">
        <w:rPr>
          <w:rFonts w:asciiTheme="minorHAnsi" w:hAnsiTheme="minorHAnsi" w:cs="Calibri"/>
          <w:szCs w:val="24"/>
        </w:rPr>
        <w:t xml:space="preserve"> of the audit was to assess whether the </w:t>
      </w:r>
      <w:r w:rsidR="00E17340" w:rsidRPr="00B26FE8">
        <w:rPr>
          <w:rFonts w:asciiTheme="minorHAnsi" w:hAnsiTheme="minorHAnsi"/>
        </w:rPr>
        <w:t xml:space="preserve">internal controls are </w:t>
      </w:r>
      <w:r w:rsidR="00E17340">
        <w:rPr>
          <w:rFonts w:asciiTheme="minorHAnsi" w:hAnsiTheme="minorHAnsi"/>
        </w:rPr>
        <w:t>g</w:t>
      </w:r>
      <w:r w:rsidR="00E17340" w:rsidRPr="00B26FE8">
        <w:rPr>
          <w:rFonts w:asciiTheme="minorHAnsi" w:hAnsiTheme="minorHAnsi"/>
        </w:rPr>
        <w:t>enerally adequate and functioning well</w:t>
      </w:r>
      <w:r w:rsidR="00E17340">
        <w:rPr>
          <w:rFonts w:asciiTheme="minorHAnsi" w:hAnsiTheme="minorHAnsi"/>
        </w:rPr>
        <w:t xml:space="preserve">. The </w:t>
      </w:r>
      <w:r w:rsidRPr="008C68C2">
        <w:rPr>
          <w:rFonts w:asciiTheme="minorHAnsi" w:hAnsiTheme="minorHAnsi" w:cs="Calibri"/>
          <w:szCs w:val="24"/>
          <w:u w:val="single"/>
        </w:rPr>
        <w:t>scope</w:t>
      </w:r>
      <w:r w:rsidRPr="00B26FE8">
        <w:rPr>
          <w:rFonts w:asciiTheme="minorHAnsi" w:hAnsiTheme="minorHAnsi" w:cs="Calibri"/>
          <w:szCs w:val="24"/>
        </w:rPr>
        <w:t xml:space="preserve"> </w:t>
      </w:r>
      <w:r w:rsidR="007344A0" w:rsidRPr="00B26FE8">
        <w:rPr>
          <w:rFonts w:asciiTheme="minorHAnsi" w:hAnsiTheme="minorHAnsi" w:cs="Calibri"/>
          <w:szCs w:val="24"/>
        </w:rPr>
        <w:t xml:space="preserve">of the audit </w:t>
      </w:r>
      <w:r w:rsidRPr="00B26FE8">
        <w:rPr>
          <w:rFonts w:asciiTheme="minorHAnsi" w:hAnsiTheme="minorHAnsi" w:cs="Calibri"/>
          <w:szCs w:val="24"/>
        </w:rPr>
        <w:t>encompassed the three SAP workflow functionalities that the ITU has</w:t>
      </w:r>
      <w:r w:rsidRPr="00B26FE8">
        <w:rPr>
          <w:rFonts w:asciiTheme="minorHAnsi" w:hAnsiTheme="minorHAnsi"/>
        </w:rPr>
        <w:t xml:space="preserve"> implemented so far: (</w:t>
      </w:r>
      <w:proofErr w:type="spellStart"/>
      <w:r w:rsidRPr="00B26FE8">
        <w:rPr>
          <w:rFonts w:asciiTheme="minorHAnsi" w:hAnsiTheme="minorHAnsi"/>
        </w:rPr>
        <w:t>i</w:t>
      </w:r>
      <w:proofErr w:type="spellEnd"/>
      <w:r w:rsidRPr="00B26FE8">
        <w:rPr>
          <w:rFonts w:asciiTheme="minorHAnsi" w:hAnsiTheme="minorHAnsi"/>
        </w:rPr>
        <w:t>) travel requests, (ii) leave requests and (iii)</w:t>
      </w:r>
      <w:r w:rsidR="00376896">
        <w:rPr>
          <w:rFonts w:asciiTheme="minorHAnsi" w:hAnsiTheme="minorHAnsi"/>
        </w:rPr>
        <w:t> </w:t>
      </w:r>
      <w:r w:rsidRPr="00B26FE8">
        <w:rPr>
          <w:rFonts w:asciiTheme="minorHAnsi" w:hAnsiTheme="minorHAnsi"/>
        </w:rPr>
        <w:t>internal purchase requisitions (</w:t>
      </w:r>
      <w:r w:rsidRPr="00B26FE8">
        <w:rPr>
          <w:rFonts w:asciiTheme="minorHAnsi" w:hAnsiTheme="minorHAnsi"/>
          <w:i/>
          <w:iCs/>
        </w:rPr>
        <w:t>Shopping Carts</w:t>
      </w:r>
      <w:r w:rsidRPr="00B26FE8">
        <w:rPr>
          <w:rFonts w:asciiTheme="minorHAnsi" w:hAnsiTheme="minorHAnsi"/>
        </w:rPr>
        <w:t xml:space="preserve"> in SAP terminology). The audit covered all workflow transactions recorded in SAP in 2012 and 2013 (01.01.2012 – 31.12.2013).</w:t>
      </w:r>
    </w:p>
    <w:p w14:paraId="640DCBEC" w14:textId="77777777" w:rsidR="007344A0" w:rsidRPr="00B26FE8" w:rsidRDefault="000B68A5" w:rsidP="00CA7485">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rPr>
      </w:pPr>
      <w:r>
        <w:rPr>
          <w:rFonts w:asciiTheme="minorHAnsi" w:hAnsiTheme="minorHAnsi"/>
        </w:rPr>
        <w:t>Internal Audit’</w:t>
      </w:r>
      <w:r w:rsidR="003E55DC">
        <w:rPr>
          <w:rFonts w:asciiTheme="minorHAnsi" w:hAnsiTheme="minorHAnsi"/>
        </w:rPr>
        <w:t>s observations,</w:t>
      </w:r>
      <w:r>
        <w:rPr>
          <w:rFonts w:asciiTheme="minorHAnsi" w:hAnsiTheme="minorHAnsi"/>
        </w:rPr>
        <w:t xml:space="preserve"> recommendations and Management</w:t>
      </w:r>
      <w:r w:rsidR="003E55DC">
        <w:rPr>
          <w:rFonts w:asciiTheme="minorHAnsi" w:hAnsiTheme="minorHAnsi"/>
        </w:rPr>
        <w:t>’s</w:t>
      </w:r>
      <w:r>
        <w:rPr>
          <w:rFonts w:asciiTheme="minorHAnsi" w:hAnsiTheme="minorHAnsi"/>
        </w:rPr>
        <w:t xml:space="preserve"> comments</w:t>
      </w:r>
      <w:r w:rsidR="00BE3A7E">
        <w:rPr>
          <w:rFonts w:asciiTheme="minorHAnsi" w:hAnsiTheme="minorHAnsi"/>
        </w:rPr>
        <w:t>:</w:t>
      </w:r>
    </w:p>
    <w:p w14:paraId="0054FBF9" w14:textId="77777777" w:rsidR="007344A0" w:rsidRPr="00B26FE8" w:rsidRDefault="007344A0" w:rsidP="00CA7485">
      <w:pPr>
        <w:pStyle w:val="ListParagraph"/>
        <w:numPr>
          <w:ilvl w:val="0"/>
          <w:numId w:val="6"/>
        </w:numPr>
        <w:tabs>
          <w:tab w:val="clear" w:pos="794"/>
          <w:tab w:val="clear" w:pos="1191"/>
          <w:tab w:val="clear" w:pos="1588"/>
          <w:tab w:val="clear" w:pos="1985"/>
        </w:tabs>
        <w:snapToGrid w:val="0"/>
        <w:spacing w:after="120"/>
        <w:ind w:left="709" w:hanging="425"/>
        <w:contextualSpacing w:val="0"/>
        <w:jc w:val="both"/>
        <w:rPr>
          <w:rFonts w:asciiTheme="minorHAnsi" w:hAnsiTheme="minorHAnsi"/>
        </w:rPr>
      </w:pPr>
      <w:r w:rsidRPr="00B26FE8">
        <w:rPr>
          <w:rFonts w:asciiTheme="minorHAnsi" w:hAnsiTheme="minorHAnsi"/>
        </w:rPr>
        <w:t xml:space="preserve">For travel requests, the workflow </w:t>
      </w:r>
      <w:r w:rsidR="00DA613C">
        <w:rPr>
          <w:rFonts w:asciiTheme="minorHAnsi" w:hAnsiTheme="minorHAnsi"/>
        </w:rPr>
        <w:t>wa</w:t>
      </w:r>
      <w:r w:rsidRPr="00B26FE8">
        <w:rPr>
          <w:rFonts w:asciiTheme="minorHAnsi" w:hAnsiTheme="minorHAnsi"/>
        </w:rPr>
        <w:t>s in general adequately configured and in comp</w:t>
      </w:r>
      <w:r w:rsidR="00DA613C">
        <w:rPr>
          <w:rFonts w:asciiTheme="minorHAnsi" w:hAnsiTheme="minorHAnsi"/>
        </w:rPr>
        <w:t>liance with regulations. There wa</w:t>
      </w:r>
      <w:r w:rsidRPr="00B26FE8">
        <w:rPr>
          <w:rFonts w:asciiTheme="minorHAnsi" w:hAnsiTheme="minorHAnsi"/>
        </w:rPr>
        <w:t>s however a need for systematically ensuring timely submission and approval of travel requests, as well as for delegating the approving authority in case of absence of the supervisor (authorizing official). Management already adopted measures to address this issue</w:t>
      </w:r>
      <w:r w:rsidR="00BE3A7E">
        <w:rPr>
          <w:rFonts w:asciiTheme="minorHAnsi" w:hAnsiTheme="minorHAnsi"/>
        </w:rPr>
        <w:t>.</w:t>
      </w:r>
    </w:p>
    <w:p w14:paraId="57532DC3" w14:textId="77777777" w:rsidR="007344A0" w:rsidRPr="00B26FE8" w:rsidRDefault="007344A0" w:rsidP="009A2DDE">
      <w:pPr>
        <w:pStyle w:val="ListParagraph"/>
        <w:numPr>
          <w:ilvl w:val="0"/>
          <w:numId w:val="6"/>
        </w:numPr>
        <w:tabs>
          <w:tab w:val="clear" w:pos="794"/>
          <w:tab w:val="clear" w:pos="1191"/>
          <w:tab w:val="clear" w:pos="1588"/>
          <w:tab w:val="clear" w:pos="1985"/>
        </w:tabs>
        <w:snapToGrid w:val="0"/>
        <w:spacing w:after="120"/>
        <w:ind w:left="709" w:hanging="425"/>
        <w:contextualSpacing w:val="0"/>
        <w:jc w:val="both"/>
        <w:rPr>
          <w:rFonts w:asciiTheme="minorHAnsi" w:hAnsiTheme="minorHAnsi"/>
        </w:rPr>
      </w:pPr>
      <w:r w:rsidRPr="00B26FE8">
        <w:rPr>
          <w:rFonts w:asciiTheme="minorHAnsi" w:hAnsiTheme="minorHAnsi"/>
        </w:rPr>
        <w:t>For leave requests, the workflow review also showed a deficiency in terms of timely submission of leave requests by staff members and approval by supervisors. Furthermore the review showed a number of deficiencies, lack of segregation of duties</w:t>
      </w:r>
      <w:r w:rsidR="00684C49">
        <w:rPr>
          <w:rFonts w:asciiTheme="minorHAnsi" w:hAnsiTheme="minorHAnsi"/>
        </w:rPr>
        <w:t>,</w:t>
      </w:r>
      <w:r w:rsidRPr="00B26FE8">
        <w:rPr>
          <w:rFonts w:asciiTheme="minorHAnsi" w:hAnsiTheme="minorHAnsi"/>
        </w:rPr>
        <w:t xml:space="preserve"> and shortcomings that need – as a matter of priority – to be addressed by Management. The risk of circumventing the control of the supervisor (authorizing official) existed for these cases. A few isolated cases of more serious deficiencies were also identified and Internal Audit informed staff concerned, supervisors</w:t>
      </w:r>
      <w:r w:rsidR="00684C49">
        <w:rPr>
          <w:rFonts w:asciiTheme="minorHAnsi" w:hAnsiTheme="minorHAnsi"/>
        </w:rPr>
        <w:t>,</w:t>
      </w:r>
      <w:r w:rsidRPr="00B26FE8">
        <w:rPr>
          <w:rFonts w:asciiTheme="minorHAnsi" w:hAnsiTheme="minorHAnsi"/>
        </w:rPr>
        <w:t xml:space="preserve"> and/or HRMD officials to take corrective measures. In general, leave balances were however not affected by the deficiencies that were observed, although the latter constitute a risk of inadequate leave entitlements management and accounting. Some </w:t>
      </w:r>
      <w:r w:rsidRPr="00B26FE8">
        <w:rPr>
          <w:rFonts w:asciiTheme="minorHAnsi" w:hAnsiTheme="minorHAnsi"/>
        </w:rPr>
        <w:lastRenderedPageBreak/>
        <w:t>additional modifications to the configuration of the workflow would also be helpful for staff themselves to better manage their leave requests and/or monitor their leave balances. Management commented that it agrees with the recommendations.</w:t>
      </w:r>
    </w:p>
    <w:p w14:paraId="2D0F756C" w14:textId="77777777" w:rsidR="00DF1E0A" w:rsidRPr="00B26FE8" w:rsidRDefault="00DA613C" w:rsidP="009A2DDE">
      <w:pPr>
        <w:pStyle w:val="ListParagraph"/>
        <w:numPr>
          <w:ilvl w:val="0"/>
          <w:numId w:val="6"/>
        </w:numPr>
        <w:tabs>
          <w:tab w:val="clear" w:pos="794"/>
          <w:tab w:val="clear" w:pos="1191"/>
          <w:tab w:val="clear" w:pos="1588"/>
          <w:tab w:val="clear" w:pos="1985"/>
        </w:tabs>
        <w:snapToGrid w:val="0"/>
        <w:spacing w:after="120"/>
        <w:ind w:left="709" w:hanging="425"/>
        <w:contextualSpacing w:val="0"/>
        <w:jc w:val="both"/>
        <w:rPr>
          <w:rFonts w:asciiTheme="minorHAnsi" w:hAnsiTheme="minorHAnsi"/>
        </w:rPr>
      </w:pPr>
      <w:r>
        <w:rPr>
          <w:rFonts w:asciiTheme="minorHAnsi" w:hAnsiTheme="minorHAnsi"/>
        </w:rPr>
        <w:t>For the</w:t>
      </w:r>
      <w:r w:rsidR="007344A0" w:rsidRPr="00B26FE8">
        <w:rPr>
          <w:rFonts w:asciiTheme="minorHAnsi" w:hAnsiTheme="minorHAnsi"/>
        </w:rPr>
        <w:t xml:space="preserve"> </w:t>
      </w:r>
      <w:r w:rsidR="007344A0" w:rsidRPr="00B26FE8">
        <w:rPr>
          <w:rFonts w:asciiTheme="minorHAnsi" w:hAnsiTheme="minorHAnsi"/>
          <w:i/>
          <w:iCs/>
        </w:rPr>
        <w:t>Shopping Carts</w:t>
      </w:r>
      <w:r>
        <w:rPr>
          <w:rFonts w:asciiTheme="minorHAnsi" w:hAnsiTheme="minorHAnsi"/>
          <w:i/>
          <w:iCs/>
        </w:rPr>
        <w:t xml:space="preserve"> </w:t>
      </w:r>
      <w:r>
        <w:rPr>
          <w:rFonts w:asciiTheme="minorHAnsi" w:hAnsiTheme="minorHAnsi"/>
        </w:rPr>
        <w:t>workflow</w:t>
      </w:r>
      <w:r w:rsidR="007344A0" w:rsidRPr="00B26FE8">
        <w:rPr>
          <w:rFonts w:asciiTheme="minorHAnsi" w:hAnsiTheme="minorHAnsi"/>
        </w:rPr>
        <w:t>, the review showed a few weaknesses in segregation of duties that need to be addressed. Management commented that it supports the recommendations in general, but opts for operational reasons to maintain the current practice.</w:t>
      </w:r>
    </w:p>
    <w:p w14:paraId="45188175" w14:textId="71C07A15" w:rsidR="00256219" w:rsidRPr="00B26FE8" w:rsidRDefault="00256219" w:rsidP="00684C49">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rPr>
      </w:pPr>
      <w:r w:rsidRPr="00B26FE8">
        <w:rPr>
          <w:rFonts w:asciiTheme="minorHAnsi" w:hAnsiTheme="minorHAnsi"/>
        </w:rPr>
        <w:t xml:space="preserve">As an overall </w:t>
      </w:r>
      <w:r w:rsidRPr="00E17340">
        <w:rPr>
          <w:rFonts w:asciiTheme="minorHAnsi" w:hAnsiTheme="minorHAnsi"/>
          <w:u w:val="single"/>
        </w:rPr>
        <w:t>conclusion</w:t>
      </w:r>
      <w:r w:rsidRPr="00B26FE8">
        <w:rPr>
          <w:rFonts w:asciiTheme="minorHAnsi" w:hAnsiTheme="minorHAnsi"/>
        </w:rPr>
        <w:t xml:space="preserve">, no issues for the </w:t>
      </w:r>
      <w:r w:rsidRPr="00DA613C">
        <w:rPr>
          <w:rFonts w:asciiTheme="minorHAnsi" w:hAnsiTheme="minorHAnsi"/>
          <w:i/>
          <w:iCs/>
        </w:rPr>
        <w:t>travel request</w:t>
      </w:r>
      <w:r w:rsidRPr="00B26FE8">
        <w:rPr>
          <w:rFonts w:asciiTheme="minorHAnsi" w:hAnsiTheme="minorHAnsi"/>
        </w:rPr>
        <w:t xml:space="preserve"> workflow were encountered and related internal controls are deemed generally adequate and functioning well</w:t>
      </w:r>
      <w:r w:rsidR="009A40E9">
        <w:rPr>
          <w:rFonts w:asciiTheme="minorHAnsi" w:hAnsiTheme="minorHAnsi"/>
        </w:rPr>
        <w:t xml:space="preserve">, and assurance </w:t>
      </w:r>
      <w:r w:rsidR="00DA613C">
        <w:rPr>
          <w:rFonts w:asciiTheme="minorHAnsi" w:hAnsiTheme="minorHAnsi"/>
        </w:rPr>
        <w:t>wa</w:t>
      </w:r>
      <w:r w:rsidR="009A40E9">
        <w:rPr>
          <w:rFonts w:asciiTheme="minorHAnsi" w:hAnsiTheme="minorHAnsi"/>
        </w:rPr>
        <w:t>s provided t</w:t>
      </w:r>
      <w:r w:rsidRPr="00B26FE8">
        <w:rPr>
          <w:rFonts w:asciiTheme="minorHAnsi" w:hAnsiTheme="minorHAnsi"/>
        </w:rPr>
        <w:t xml:space="preserve">hat risks are being managed and objectives are met. For the </w:t>
      </w:r>
      <w:r w:rsidRPr="00DA613C">
        <w:rPr>
          <w:rFonts w:asciiTheme="minorHAnsi" w:hAnsiTheme="minorHAnsi"/>
          <w:i/>
          <w:iCs/>
        </w:rPr>
        <w:t>leave request</w:t>
      </w:r>
      <w:r w:rsidRPr="00B26FE8">
        <w:rPr>
          <w:rFonts w:asciiTheme="minorHAnsi" w:hAnsiTheme="minorHAnsi"/>
        </w:rPr>
        <w:t xml:space="preserve"> workflow, a few specific internal control weaknesses were encountered as well as a conflict in segregation of duties. Although actions </w:t>
      </w:r>
      <w:r w:rsidR="00DA613C">
        <w:rPr>
          <w:rFonts w:asciiTheme="minorHAnsi" w:hAnsiTheme="minorHAnsi"/>
        </w:rPr>
        <w:t>we</w:t>
      </w:r>
      <w:r w:rsidRPr="00B26FE8">
        <w:rPr>
          <w:rFonts w:asciiTheme="minorHAnsi" w:hAnsiTheme="minorHAnsi"/>
        </w:rPr>
        <w:t xml:space="preserve">re being undertaken by Management to address these issues, it would be too early to provide assurance that risks are being adequately managed. For the </w:t>
      </w:r>
      <w:r w:rsidR="00DA613C" w:rsidRPr="00DA613C">
        <w:rPr>
          <w:rFonts w:asciiTheme="minorHAnsi" w:hAnsiTheme="minorHAnsi"/>
          <w:i/>
          <w:iCs/>
        </w:rPr>
        <w:t>Shopping Carts</w:t>
      </w:r>
      <w:r w:rsidR="00DA613C">
        <w:rPr>
          <w:rFonts w:asciiTheme="minorHAnsi" w:hAnsiTheme="minorHAnsi"/>
        </w:rPr>
        <w:t xml:space="preserve"> </w:t>
      </w:r>
      <w:r w:rsidRPr="00B26FE8">
        <w:rPr>
          <w:rFonts w:asciiTheme="minorHAnsi" w:hAnsiTheme="minorHAnsi"/>
        </w:rPr>
        <w:t>workflow, a few issues regarding segregation of duties were encountered. Where action has been taken for one of the two, it would be too early to provide assurance that risks are being adequately managed.</w:t>
      </w:r>
    </w:p>
    <w:p w14:paraId="582B3B72" w14:textId="77777777" w:rsidR="00B26FE8" w:rsidRPr="00B26FE8" w:rsidRDefault="00B26FE8" w:rsidP="009A2DDE">
      <w:pPr>
        <w:pStyle w:val="FootnoteText"/>
        <w:keepLines w:val="0"/>
        <w:numPr>
          <w:ilvl w:val="0"/>
          <w:numId w:val="12"/>
        </w:numPr>
        <w:tabs>
          <w:tab w:val="clear" w:pos="256"/>
          <w:tab w:val="clear" w:pos="567"/>
          <w:tab w:val="clear" w:pos="1134"/>
          <w:tab w:val="clear" w:pos="1701"/>
          <w:tab w:val="clear" w:pos="2268"/>
          <w:tab w:val="clear" w:pos="2835"/>
        </w:tabs>
        <w:snapToGrid w:val="0"/>
        <w:spacing w:before="240" w:after="120"/>
        <w:ind w:firstLine="0"/>
        <w:rPr>
          <w:b/>
          <w:bCs/>
          <w:i/>
          <w:iCs/>
          <w:szCs w:val="24"/>
        </w:rPr>
      </w:pPr>
      <w:r>
        <w:rPr>
          <w:b/>
          <w:bCs/>
          <w:i/>
          <w:iCs/>
          <w:szCs w:val="24"/>
        </w:rPr>
        <w:t xml:space="preserve">Audit of the </w:t>
      </w:r>
      <w:r w:rsidRPr="00B26FE8">
        <w:rPr>
          <w:b/>
          <w:bCs/>
          <w:i/>
          <w:iCs/>
          <w:szCs w:val="24"/>
        </w:rPr>
        <w:t>Quality Assurance Mechanism for Deliverables</w:t>
      </w:r>
    </w:p>
    <w:p w14:paraId="0D946B5E" w14:textId="77777777" w:rsidR="00DF1E0A" w:rsidRPr="00B26FE8" w:rsidRDefault="00DF1E0A" w:rsidP="001270A1">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szCs w:val="24"/>
        </w:rPr>
      </w:pPr>
      <w:r w:rsidRPr="00B26FE8">
        <w:rPr>
          <w:rFonts w:asciiTheme="minorHAnsi" w:hAnsiTheme="minorHAnsi"/>
          <w:szCs w:val="24"/>
        </w:rPr>
        <w:t xml:space="preserve">The main </w:t>
      </w:r>
      <w:r w:rsidRPr="0086072E">
        <w:rPr>
          <w:rFonts w:asciiTheme="minorHAnsi" w:hAnsiTheme="minorHAnsi"/>
          <w:szCs w:val="24"/>
          <w:u w:val="single"/>
        </w:rPr>
        <w:t>purpose</w:t>
      </w:r>
      <w:r w:rsidRPr="00B26FE8">
        <w:rPr>
          <w:rFonts w:asciiTheme="minorHAnsi" w:hAnsiTheme="minorHAnsi"/>
          <w:szCs w:val="24"/>
        </w:rPr>
        <w:t xml:space="preserve"> of the audit </w:t>
      </w:r>
      <w:r w:rsidR="0033359F">
        <w:rPr>
          <w:rFonts w:asciiTheme="minorHAnsi" w:hAnsiTheme="minorHAnsi"/>
          <w:szCs w:val="24"/>
        </w:rPr>
        <w:t>wa</w:t>
      </w:r>
      <w:r w:rsidRPr="00B26FE8">
        <w:rPr>
          <w:rFonts w:asciiTheme="minorHAnsi" w:hAnsiTheme="minorHAnsi"/>
          <w:szCs w:val="24"/>
        </w:rPr>
        <w:t>s to review the mechanisms in place within the three ITU Bureaux and the General Secretariat for ensuring high quality standards in the achievement of expected deliverables, and therefore, to provide assurance to the Secretary-General with respect to the accountabilit</w:t>
      </w:r>
      <w:r w:rsidR="0090112E">
        <w:rPr>
          <w:rFonts w:asciiTheme="minorHAnsi" w:hAnsiTheme="minorHAnsi"/>
          <w:szCs w:val="24"/>
        </w:rPr>
        <w:t>y of the ITU management towards</w:t>
      </w:r>
      <w:r w:rsidRPr="00B26FE8">
        <w:rPr>
          <w:rFonts w:asciiTheme="minorHAnsi" w:hAnsiTheme="minorHAnsi"/>
          <w:szCs w:val="24"/>
        </w:rPr>
        <w:t xml:space="preserve"> ITU Members States.</w:t>
      </w:r>
      <w:r w:rsidR="00B26FE8" w:rsidRPr="00B26FE8">
        <w:rPr>
          <w:rFonts w:asciiTheme="minorHAnsi" w:hAnsiTheme="minorHAnsi"/>
          <w:szCs w:val="24"/>
        </w:rPr>
        <w:t xml:space="preserve"> </w:t>
      </w:r>
      <w:r w:rsidRPr="00B26FE8">
        <w:rPr>
          <w:rFonts w:asciiTheme="minorHAnsi" w:hAnsiTheme="minorHAnsi"/>
          <w:szCs w:val="24"/>
        </w:rPr>
        <w:t>The bases for the audit were the operational plans (OPs) for 2015-2018.</w:t>
      </w:r>
    </w:p>
    <w:p w14:paraId="11E7BEA8" w14:textId="77777777" w:rsidR="00BE3A7E" w:rsidRPr="00B26FE8" w:rsidRDefault="000B68A5" w:rsidP="001270A1">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rPr>
      </w:pPr>
      <w:r>
        <w:rPr>
          <w:rFonts w:asciiTheme="minorHAnsi" w:hAnsiTheme="minorHAnsi"/>
        </w:rPr>
        <w:t>Internal Audit’</w:t>
      </w:r>
      <w:r w:rsidR="003E55DC">
        <w:rPr>
          <w:rFonts w:asciiTheme="minorHAnsi" w:hAnsiTheme="minorHAnsi"/>
        </w:rPr>
        <w:t>s observations,</w:t>
      </w:r>
      <w:r>
        <w:rPr>
          <w:rFonts w:asciiTheme="minorHAnsi" w:hAnsiTheme="minorHAnsi"/>
        </w:rPr>
        <w:t xml:space="preserve"> recommendations and Management</w:t>
      </w:r>
      <w:r w:rsidR="003E55DC">
        <w:rPr>
          <w:rFonts w:asciiTheme="minorHAnsi" w:hAnsiTheme="minorHAnsi"/>
        </w:rPr>
        <w:t>’s</w:t>
      </w:r>
      <w:r>
        <w:rPr>
          <w:rFonts w:asciiTheme="minorHAnsi" w:hAnsiTheme="minorHAnsi"/>
        </w:rPr>
        <w:t xml:space="preserve"> comments</w:t>
      </w:r>
      <w:r w:rsidR="00BE3A7E">
        <w:rPr>
          <w:rFonts w:asciiTheme="minorHAnsi" w:hAnsiTheme="minorHAnsi"/>
        </w:rPr>
        <w:t>:</w:t>
      </w:r>
    </w:p>
    <w:p w14:paraId="0289EDC7" w14:textId="77777777" w:rsidR="00DF1E0A" w:rsidRDefault="00BE3A7E" w:rsidP="009A2DDE">
      <w:pPr>
        <w:pStyle w:val="ListParagraph"/>
        <w:numPr>
          <w:ilvl w:val="0"/>
          <w:numId w:val="8"/>
        </w:numPr>
        <w:tabs>
          <w:tab w:val="clear" w:pos="794"/>
          <w:tab w:val="clear" w:pos="1191"/>
          <w:tab w:val="clear" w:pos="1588"/>
          <w:tab w:val="clear" w:pos="1985"/>
        </w:tabs>
        <w:overflowPunct/>
        <w:autoSpaceDE/>
        <w:autoSpaceDN/>
        <w:snapToGrid w:val="0"/>
        <w:spacing w:after="120"/>
        <w:ind w:left="709" w:hanging="425"/>
        <w:contextualSpacing w:val="0"/>
        <w:jc w:val="both"/>
        <w:textAlignment w:val="auto"/>
        <w:rPr>
          <w:rFonts w:asciiTheme="minorHAnsi" w:hAnsiTheme="minorHAnsi"/>
          <w:szCs w:val="24"/>
        </w:rPr>
      </w:pPr>
      <w:r>
        <w:rPr>
          <w:rFonts w:asciiTheme="minorHAnsi" w:hAnsiTheme="minorHAnsi"/>
          <w:szCs w:val="24"/>
        </w:rPr>
        <w:t>T</w:t>
      </w:r>
      <w:r w:rsidR="00DF1E0A" w:rsidRPr="00BE3A7E">
        <w:rPr>
          <w:rFonts w:asciiTheme="minorHAnsi" w:hAnsiTheme="minorHAnsi"/>
          <w:szCs w:val="24"/>
        </w:rPr>
        <w:t xml:space="preserve">here </w:t>
      </w:r>
      <w:r w:rsidR="0090112E">
        <w:rPr>
          <w:rFonts w:asciiTheme="minorHAnsi" w:hAnsiTheme="minorHAnsi"/>
          <w:szCs w:val="24"/>
        </w:rPr>
        <w:t>wa</w:t>
      </w:r>
      <w:r w:rsidR="00DF1E0A" w:rsidRPr="00BE3A7E">
        <w:rPr>
          <w:rFonts w:asciiTheme="minorHAnsi" w:hAnsiTheme="minorHAnsi"/>
          <w:szCs w:val="24"/>
        </w:rPr>
        <w:t xml:space="preserve">s </w:t>
      </w:r>
      <w:r w:rsidR="0090112E">
        <w:rPr>
          <w:rFonts w:asciiTheme="minorHAnsi" w:hAnsiTheme="minorHAnsi"/>
          <w:szCs w:val="24"/>
        </w:rPr>
        <w:t xml:space="preserve">lack in the </w:t>
      </w:r>
      <w:r w:rsidR="00DF1E0A" w:rsidRPr="00BE3A7E">
        <w:rPr>
          <w:rFonts w:asciiTheme="minorHAnsi" w:hAnsiTheme="minorHAnsi"/>
          <w:szCs w:val="24"/>
        </w:rPr>
        <w:t xml:space="preserve">formal coordination mechanisms </w:t>
      </w:r>
      <w:r w:rsidR="0090112E">
        <w:rPr>
          <w:rFonts w:asciiTheme="minorHAnsi" w:hAnsiTheme="minorHAnsi"/>
          <w:szCs w:val="24"/>
        </w:rPr>
        <w:t xml:space="preserve">with respect to </w:t>
      </w:r>
      <w:r w:rsidR="00DF1E0A" w:rsidRPr="00BE3A7E">
        <w:rPr>
          <w:rFonts w:asciiTheme="minorHAnsi" w:hAnsiTheme="minorHAnsi"/>
          <w:szCs w:val="24"/>
        </w:rPr>
        <w:t xml:space="preserve">guidance and </w:t>
      </w:r>
      <w:r w:rsidR="0090112E">
        <w:rPr>
          <w:rFonts w:asciiTheme="minorHAnsi" w:hAnsiTheme="minorHAnsi"/>
          <w:szCs w:val="24"/>
        </w:rPr>
        <w:t>h</w:t>
      </w:r>
      <w:r w:rsidR="00DF1E0A" w:rsidRPr="00BE3A7E">
        <w:rPr>
          <w:rFonts w:asciiTheme="minorHAnsi" w:hAnsiTheme="minorHAnsi"/>
          <w:szCs w:val="24"/>
        </w:rPr>
        <w:t xml:space="preserve">armonization in the approach, format and basis for evaluation of the OPs. </w:t>
      </w:r>
      <w:r w:rsidR="00246BCB">
        <w:rPr>
          <w:rFonts w:asciiTheme="minorHAnsi" w:hAnsiTheme="minorHAnsi"/>
          <w:szCs w:val="24"/>
        </w:rPr>
        <w:t>E</w:t>
      </w:r>
      <w:r w:rsidR="00DF1E0A" w:rsidRPr="00BE3A7E">
        <w:rPr>
          <w:rFonts w:asciiTheme="minorHAnsi" w:hAnsiTheme="minorHAnsi"/>
          <w:szCs w:val="24"/>
        </w:rPr>
        <w:t xml:space="preserve">nhancing and formalizing the </w:t>
      </w:r>
      <w:proofErr w:type="spellStart"/>
      <w:r w:rsidR="00DF1E0A" w:rsidRPr="00BE3A7E">
        <w:rPr>
          <w:rFonts w:asciiTheme="minorHAnsi" w:hAnsiTheme="minorHAnsi"/>
          <w:szCs w:val="24"/>
        </w:rPr>
        <w:t>intersectoral</w:t>
      </w:r>
      <w:proofErr w:type="spellEnd"/>
      <w:r w:rsidR="00DF1E0A" w:rsidRPr="00BE3A7E">
        <w:rPr>
          <w:rFonts w:asciiTheme="minorHAnsi" w:hAnsiTheme="minorHAnsi"/>
          <w:szCs w:val="24"/>
        </w:rPr>
        <w:t xml:space="preserve"> coordination mechanisms for the elaboration of ITU OPs, in line with the new framework of the Strategic Plan for 2016-2019</w:t>
      </w:r>
      <w:r w:rsidR="00971ABD">
        <w:rPr>
          <w:rFonts w:asciiTheme="minorHAnsi" w:hAnsiTheme="minorHAnsi"/>
          <w:szCs w:val="24"/>
        </w:rPr>
        <w:t>, wa</w:t>
      </w:r>
      <w:r w:rsidR="00246BCB">
        <w:rPr>
          <w:rFonts w:asciiTheme="minorHAnsi" w:hAnsiTheme="minorHAnsi"/>
          <w:szCs w:val="24"/>
        </w:rPr>
        <w:t>s thus recommended</w:t>
      </w:r>
      <w:r w:rsidR="00DF1E0A" w:rsidRPr="00BE3A7E">
        <w:rPr>
          <w:rFonts w:asciiTheme="minorHAnsi" w:hAnsiTheme="minorHAnsi"/>
          <w:szCs w:val="24"/>
        </w:rPr>
        <w:t>.</w:t>
      </w:r>
      <w:r w:rsidR="00971ABD">
        <w:rPr>
          <w:rFonts w:asciiTheme="minorHAnsi" w:hAnsiTheme="minorHAnsi"/>
          <w:szCs w:val="24"/>
        </w:rPr>
        <w:t xml:space="preserve"> Management already implemented this when preparing the OPs for 2016-2019.</w:t>
      </w:r>
    </w:p>
    <w:p w14:paraId="0073AE5C" w14:textId="29959B63" w:rsidR="00BE3A7E" w:rsidRPr="00971ABD" w:rsidRDefault="00BE3A7E" w:rsidP="006F2A5E">
      <w:pPr>
        <w:pStyle w:val="ListParagraph"/>
        <w:numPr>
          <w:ilvl w:val="0"/>
          <w:numId w:val="8"/>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szCs w:val="24"/>
        </w:rPr>
      </w:pPr>
      <w:r>
        <w:rPr>
          <w:rFonts w:asciiTheme="minorHAnsi" w:hAnsiTheme="minorHAnsi"/>
          <w:szCs w:val="24"/>
        </w:rPr>
        <w:t>T</w:t>
      </w:r>
      <w:r w:rsidRPr="00B26FE8">
        <w:rPr>
          <w:rFonts w:asciiTheme="minorHAnsi" w:hAnsiTheme="minorHAnsi"/>
          <w:szCs w:val="24"/>
        </w:rPr>
        <w:t>he defin</w:t>
      </w:r>
      <w:r w:rsidR="0090112E">
        <w:rPr>
          <w:rFonts w:asciiTheme="minorHAnsi" w:hAnsiTheme="minorHAnsi"/>
          <w:szCs w:val="24"/>
        </w:rPr>
        <w:t xml:space="preserve">ition of </w:t>
      </w:r>
      <w:r w:rsidR="00684C49">
        <w:rPr>
          <w:rFonts w:asciiTheme="minorHAnsi" w:hAnsiTheme="minorHAnsi"/>
          <w:szCs w:val="24"/>
        </w:rPr>
        <w:t>key performance indicators (</w:t>
      </w:r>
      <w:r w:rsidR="0090112E">
        <w:rPr>
          <w:rFonts w:asciiTheme="minorHAnsi" w:hAnsiTheme="minorHAnsi"/>
          <w:szCs w:val="24"/>
        </w:rPr>
        <w:t>KPIs</w:t>
      </w:r>
      <w:r w:rsidR="00684C49">
        <w:rPr>
          <w:rFonts w:asciiTheme="minorHAnsi" w:hAnsiTheme="minorHAnsi"/>
          <w:szCs w:val="24"/>
        </w:rPr>
        <w:t>)</w:t>
      </w:r>
      <w:r w:rsidR="0090112E">
        <w:rPr>
          <w:rFonts w:asciiTheme="minorHAnsi" w:hAnsiTheme="minorHAnsi"/>
          <w:szCs w:val="24"/>
        </w:rPr>
        <w:t xml:space="preserve"> across the Union wa</w:t>
      </w:r>
      <w:r w:rsidRPr="00B26FE8">
        <w:rPr>
          <w:rFonts w:asciiTheme="minorHAnsi" w:hAnsiTheme="minorHAnsi"/>
          <w:szCs w:val="24"/>
        </w:rPr>
        <w:t>s not always homogeneous</w:t>
      </w:r>
      <w:r>
        <w:rPr>
          <w:rFonts w:asciiTheme="minorHAnsi" w:hAnsiTheme="minorHAnsi"/>
          <w:szCs w:val="24"/>
        </w:rPr>
        <w:t>, t</w:t>
      </w:r>
      <w:r w:rsidRPr="00B26FE8">
        <w:rPr>
          <w:rFonts w:asciiTheme="minorHAnsi" w:hAnsiTheme="minorHAnsi"/>
          <w:szCs w:val="24"/>
        </w:rPr>
        <w:t xml:space="preserve">he level of </w:t>
      </w:r>
      <w:r w:rsidR="0090112E">
        <w:rPr>
          <w:rFonts w:asciiTheme="minorHAnsi" w:hAnsiTheme="minorHAnsi"/>
          <w:szCs w:val="24"/>
        </w:rPr>
        <w:t>granularity in the KPIs varied</w:t>
      </w:r>
      <w:r w:rsidRPr="00B26FE8">
        <w:rPr>
          <w:rFonts w:asciiTheme="minorHAnsi" w:hAnsiTheme="minorHAnsi"/>
          <w:szCs w:val="24"/>
        </w:rPr>
        <w:t xml:space="preserve"> from one Bureau/Department to another and</w:t>
      </w:r>
      <w:r w:rsidR="0090112E">
        <w:rPr>
          <w:rFonts w:asciiTheme="minorHAnsi" w:hAnsiTheme="minorHAnsi"/>
          <w:szCs w:val="24"/>
        </w:rPr>
        <w:t xml:space="preserve"> the description of the KPIs did</w:t>
      </w:r>
      <w:r w:rsidRPr="00B26FE8">
        <w:rPr>
          <w:rFonts w:asciiTheme="minorHAnsi" w:hAnsiTheme="minorHAnsi"/>
          <w:szCs w:val="24"/>
        </w:rPr>
        <w:t xml:space="preserve"> not always provide sufficie</w:t>
      </w:r>
      <w:r w:rsidR="0090112E">
        <w:rPr>
          <w:rFonts w:asciiTheme="minorHAnsi" w:hAnsiTheme="minorHAnsi"/>
          <w:szCs w:val="24"/>
        </w:rPr>
        <w:t>nt criteria for assessment. F</w:t>
      </w:r>
      <w:r w:rsidRPr="00B26FE8">
        <w:rPr>
          <w:rFonts w:asciiTheme="minorHAnsi" w:hAnsiTheme="minorHAnsi"/>
          <w:szCs w:val="24"/>
        </w:rPr>
        <w:t>urth</w:t>
      </w:r>
      <w:r>
        <w:rPr>
          <w:rFonts w:asciiTheme="minorHAnsi" w:hAnsiTheme="minorHAnsi"/>
          <w:szCs w:val="24"/>
        </w:rPr>
        <w:t>er</w:t>
      </w:r>
      <w:r w:rsidRPr="00B26FE8">
        <w:rPr>
          <w:rFonts w:asciiTheme="minorHAnsi" w:hAnsiTheme="minorHAnsi"/>
          <w:szCs w:val="24"/>
        </w:rPr>
        <w:t xml:space="preserve"> promot</w:t>
      </w:r>
      <w:r>
        <w:rPr>
          <w:rFonts w:asciiTheme="minorHAnsi" w:hAnsiTheme="minorHAnsi"/>
          <w:szCs w:val="24"/>
        </w:rPr>
        <w:t>ion for</w:t>
      </w:r>
      <w:r w:rsidRPr="00B26FE8">
        <w:rPr>
          <w:rFonts w:asciiTheme="minorHAnsi" w:hAnsiTheme="minorHAnsi"/>
          <w:szCs w:val="24"/>
        </w:rPr>
        <w:t xml:space="preserve"> the use of the SMART</w:t>
      </w:r>
      <w:r w:rsidR="006F2A5E">
        <w:rPr>
          <w:rFonts w:asciiTheme="minorHAnsi" w:hAnsiTheme="minorHAnsi"/>
          <w:szCs w:val="24"/>
        </w:rPr>
        <w:t xml:space="preserve"> (</w:t>
      </w:r>
      <w:r w:rsidR="006F2A5E" w:rsidRPr="006F2A5E">
        <w:rPr>
          <w:rFonts w:asciiTheme="minorHAnsi" w:hAnsiTheme="minorHAnsi"/>
          <w:szCs w:val="24"/>
        </w:rPr>
        <w:t xml:space="preserve">Specific, Measurable, </w:t>
      </w:r>
      <w:r w:rsidR="006F2A5E">
        <w:rPr>
          <w:rFonts w:asciiTheme="minorHAnsi" w:hAnsiTheme="minorHAnsi"/>
          <w:szCs w:val="24"/>
        </w:rPr>
        <w:t>Achievable, Relevant/</w:t>
      </w:r>
      <w:r w:rsidR="006F2A5E" w:rsidRPr="006F2A5E">
        <w:rPr>
          <w:rFonts w:asciiTheme="minorHAnsi" w:hAnsiTheme="minorHAnsi"/>
          <w:szCs w:val="24"/>
        </w:rPr>
        <w:t>Realistic, Time-bound</w:t>
      </w:r>
      <w:r w:rsidR="006F2A5E">
        <w:rPr>
          <w:rFonts w:asciiTheme="minorHAnsi" w:hAnsiTheme="minorHAnsi"/>
          <w:szCs w:val="24"/>
        </w:rPr>
        <w:t>)</w:t>
      </w:r>
      <w:r w:rsidRPr="00B26FE8">
        <w:rPr>
          <w:rFonts w:asciiTheme="minorHAnsi" w:hAnsiTheme="minorHAnsi"/>
          <w:szCs w:val="24"/>
        </w:rPr>
        <w:t xml:space="preserve"> approach </w:t>
      </w:r>
      <w:r>
        <w:rPr>
          <w:rFonts w:asciiTheme="minorHAnsi" w:hAnsiTheme="minorHAnsi"/>
          <w:szCs w:val="24"/>
        </w:rPr>
        <w:t>when defining</w:t>
      </w:r>
      <w:r w:rsidRPr="00B26FE8">
        <w:rPr>
          <w:rFonts w:asciiTheme="minorHAnsi" w:hAnsiTheme="minorHAnsi"/>
          <w:szCs w:val="24"/>
        </w:rPr>
        <w:t xml:space="preserve"> Performance Indicators</w:t>
      </w:r>
      <w:r w:rsidR="0090112E">
        <w:rPr>
          <w:rFonts w:asciiTheme="minorHAnsi" w:hAnsiTheme="minorHAnsi"/>
          <w:szCs w:val="24"/>
        </w:rPr>
        <w:t xml:space="preserve"> was thus recommended</w:t>
      </w:r>
      <w:r>
        <w:rPr>
          <w:rFonts w:asciiTheme="minorHAnsi" w:hAnsiTheme="minorHAnsi"/>
          <w:szCs w:val="24"/>
        </w:rPr>
        <w:t xml:space="preserve">. </w:t>
      </w:r>
      <w:r w:rsidRPr="00B26FE8">
        <w:rPr>
          <w:rFonts w:asciiTheme="minorHAnsi" w:hAnsiTheme="minorHAnsi"/>
          <w:szCs w:val="24"/>
        </w:rPr>
        <w:t>SMART Performance Indicators should also be defined for each Output</w:t>
      </w:r>
      <w:r>
        <w:rPr>
          <w:rFonts w:asciiTheme="minorHAnsi" w:hAnsiTheme="minorHAnsi"/>
          <w:szCs w:val="24"/>
        </w:rPr>
        <w:t>.</w:t>
      </w:r>
      <w:r w:rsidR="00971ABD">
        <w:rPr>
          <w:rFonts w:asciiTheme="minorHAnsi" w:hAnsiTheme="minorHAnsi"/>
          <w:szCs w:val="24"/>
        </w:rPr>
        <w:t xml:space="preserve"> Management already implemented this when preparing the OPs for 2016-2019.</w:t>
      </w:r>
    </w:p>
    <w:p w14:paraId="70F4A257" w14:textId="67F88B97" w:rsidR="001015A7" w:rsidRDefault="009B076B" w:rsidP="009B076B">
      <w:pPr>
        <w:pStyle w:val="ListParagraph"/>
        <w:numPr>
          <w:ilvl w:val="0"/>
          <w:numId w:val="8"/>
        </w:numPr>
        <w:tabs>
          <w:tab w:val="clear" w:pos="794"/>
          <w:tab w:val="clear" w:pos="1191"/>
          <w:tab w:val="clear" w:pos="1588"/>
          <w:tab w:val="clear" w:pos="1985"/>
        </w:tabs>
        <w:overflowPunct/>
        <w:autoSpaceDE/>
        <w:autoSpaceDN/>
        <w:snapToGrid w:val="0"/>
        <w:spacing w:after="120"/>
        <w:ind w:left="709" w:hanging="425"/>
        <w:contextualSpacing w:val="0"/>
        <w:jc w:val="both"/>
        <w:textAlignment w:val="auto"/>
        <w:rPr>
          <w:rFonts w:asciiTheme="minorHAnsi" w:hAnsiTheme="minorHAnsi"/>
          <w:szCs w:val="24"/>
        </w:rPr>
      </w:pPr>
      <w:r>
        <w:rPr>
          <w:rFonts w:asciiTheme="minorHAnsi" w:hAnsiTheme="minorHAnsi"/>
          <w:szCs w:val="24"/>
        </w:rPr>
        <w:lastRenderedPageBreak/>
        <w:t>Since the introduction of</w:t>
      </w:r>
      <w:r w:rsidR="001015A7">
        <w:rPr>
          <w:rFonts w:asciiTheme="minorHAnsi" w:hAnsiTheme="minorHAnsi"/>
          <w:szCs w:val="24"/>
        </w:rPr>
        <w:t xml:space="preserve"> </w:t>
      </w:r>
      <w:r w:rsidR="001015A7" w:rsidRPr="00B26FE8">
        <w:rPr>
          <w:rFonts w:asciiTheme="minorHAnsi" w:hAnsiTheme="minorHAnsi"/>
          <w:szCs w:val="24"/>
        </w:rPr>
        <w:t xml:space="preserve">Service Level Agreements (SLAs), </w:t>
      </w:r>
      <w:r w:rsidRPr="00B26FE8">
        <w:rPr>
          <w:rFonts w:asciiTheme="minorHAnsi" w:hAnsiTheme="minorHAnsi"/>
          <w:szCs w:val="24"/>
        </w:rPr>
        <w:t xml:space="preserve">ITU has </w:t>
      </w:r>
      <w:r w:rsidR="001015A7" w:rsidRPr="00B26FE8">
        <w:rPr>
          <w:rFonts w:asciiTheme="minorHAnsi" w:hAnsiTheme="minorHAnsi"/>
          <w:szCs w:val="24"/>
        </w:rPr>
        <w:t xml:space="preserve">well adopted its use and has now reached a maturity for using SLAs in assessing past service performance. </w:t>
      </w:r>
      <w:r>
        <w:rPr>
          <w:rFonts w:asciiTheme="minorHAnsi" w:hAnsiTheme="minorHAnsi"/>
          <w:szCs w:val="24"/>
        </w:rPr>
        <w:t>However, t</w:t>
      </w:r>
      <w:r w:rsidR="001015A7" w:rsidRPr="00B26FE8">
        <w:rPr>
          <w:rFonts w:asciiTheme="minorHAnsi" w:hAnsiTheme="minorHAnsi"/>
          <w:szCs w:val="24"/>
        </w:rPr>
        <w:t xml:space="preserve">he current SLA template has no provision for assessment of the past performance of Service Providers. </w:t>
      </w:r>
      <w:r w:rsidR="002D142C">
        <w:rPr>
          <w:rFonts w:asciiTheme="minorHAnsi" w:hAnsiTheme="minorHAnsi"/>
          <w:szCs w:val="24"/>
        </w:rPr>
        <w:t xml:space="preserve">A revision of the </w:t>
      </w:r>
      <w:r w:rsidR="001015A7" w:rsidRPr="00B26FE8">
        <w:rPr>
          <w:rFonts w:asciiTheme="minorHAnsi" w:hAnsiTheme="minorHAnsi"/>
          <w:szCs w:val="24"/>
        </w:rPr>
        <w:t xml:space="preserve">SLA framework </w:t>
      </w:r>
      <w:r w:rsidR="0090112E">
        <w:rPr>
          <w:rFonts w:asciiTheme="minorHAnsi" w:hAnsiTheme="minorHAnsi"/>
          <w:szCs w:val="24"/>
        </w:rPr>
        <w:t>wa</w:t>
      </w:r>
      <w:r w:rsidR="002D142C">
        <w:rPr>
          <w:rFonts w:asciiTheme="minorHAnsi" w:hAnsiTheme="minorHAnsi"/>
          <w:szCs w:val="24"/>
        </w:rPr>
        <w:t>s recommended</w:t>
      </w:r>
      <w:r w:rsidR="001015A7" w:rsidRPr="00B26FE8">
        <w:rPr>
          <w:rFonts w:asciiTheme="minorHAnsi" w:hAnsiTheme="minorHAnsi"/>
          <w:szCs w:val="24"/>
        </w:rPr>
        <w:t xml:space="preserve"> to facilitate the assessment of the Service Provider’s past performance</w:t>
      </w:r>
      <w:r w:rsidR="001015A7">
        <w:rPr>
          <w:rFonts w:asciiTheme="minorHAnsi" w:hAnsiTheme="minorHAnsi"/>
          <w:szCs w:val="24"/>
        </w:rPr>
        <w:t xml:space="preserve">. The </w:t>
      </w:r>
      <w:r w:rsidR="001015A7" w:rsidRPr="00B26FE8">
        <w:rPr>
          <w:rFonts w:asciiTheme="minorHAnsi" w:hAnsiTheme="minorHAnsi"/>
          <w:szCs w:val="24"/>
        </w:rPr>
        <w:t xml:space="preserve">Secretary-General indicated in his comment that the </w:t>
      </w:r>
      <w:r>
        <w:rPr>
          <w:rFonts w:asciiTheme="minorHAnsi" w:hAnsiTheme="minorHAnsi"/>
          <w:szCs w:val="24"/>
        </w:rPr>
        <w:t>Union</w:t>
      </w:r>
      <w:r w:rsidRPr="00B26FE8">
        <w:rPr>
          <w:rFonts w:asciiTheme="minorHAnsi" w:hAnsiTheme="minorHAnsi"/>
          <w:szCs w:val="24"/>
        </w:rPr>
        <w:t xml:space="preserve"> </w:t>
      </w:r>
      <w:r w:rsidR="001015A7" w:rsidRPr="00B26FE8">
        <w:rPr>
          <w:rFonts w:asciiTheme="minorHAnsi" w:hAnsiTheme="minorHAnsi"/>
          <w:szCs w:val="24"/>
        </w:rPr>
        <w:t>has reached a maturity in the use of SLAs and is thus ready to take this mechanism one step further, as recommended</w:t>
      </w:r>
      <w:r w:rsidR="001015A7">
        <w:rPr>
          <w:rFonts w:asciiTheme="minorHAnsi" w:hAnsiTheme="minorHAnsi"/>
          <w:szCs w:val="24"/>
        </w:rPr>
        <w:t>.</w:t>
      </w:r>
      <w:r w:rsidR="00971ABD">
        <w:rPr>
          <w:rFonts w:asciiTheme="minorHAnsi" w:hAnsiTheme="minorHAnsi"/>
          <w:szCs w:val="24"/>
        </w:rPr>
        <w:t xml:space="preserve"> This recommendation was not yet further implemented.</w:t>
      </w:r>
    </w:p>
    <w:p w14:paraId="7404C6CD" w14:textId="77777777" w:rsidR="001015A7" w:rsidRDefault="0090112E" w:rsidP="009A2DDE">
      <w:pPr>
        <w:pStyle w:val="ListParagraph"/>
        <w:numPr>
          <w:ilvl w:val="0"/>
          <w:numId w:val="8"/>
        </w:numPr>
        <w:tabs>
          <w:tab w:val="clear" w:pos="794"/>
          <w:tab w:val="clear" w:pos="1191"/>
          <w:tab w:val="clear" w:pos="1588"/>
          <w:tab w:val="clear" w:pos="1985"/>
        </w:tabs>
        <w:overflowPunct/>
        <w:autoSpaceDE/>
        <w:autoSpaceDN/>
        <w:snapToGrid w:val="0"/>
        <w:spacing w:after="120"/>
        <w:ind w:left="709" w:hanging="425"/>
        <w:contextualSpacing w:val="0"/>
        <w:jc w:val="both"/>
        <w:textAlignment w:val="auto"/>
        <w:rPr>
          <w:rFonts w:asciiTheme="minorHAnsi" w:hAnsiTheme="minorHAnsi"/>
          <w:szCs w:val="24"/>
        </w:rPr>
      </w:pPr>
      <w:r>
        <w:rPr>
          <w:rFonts w:asciiTheme="minorHAnsi" w:hAnsiTheme="minorHAnsi"/>
          <w:szCs w:val="24"/>
        </w:rPr>
        <w:t>There wa</w:t>
      </w:r>
      <w:r w:rsidR="001015A7">
        <w:rPr>
          <w:rFonts w:asciiTheme="minorHAnsi" w:hAnsiTheme="minorHAnsi"/>
          <w:szCs w:val="24"/>
        </w:rPr>
        <w:t xml:space="preserve">s </w:t>
      </w:r>
      <w:r w:rsidR="001015A7" w:rsidRPr="00B26FE8">
        <w:rPr>
          <w:rFonts w:asciiTheme="minorHAnsi" w:hAnsiTheme="minorHAnsi"/>
          <w:szCs w:val="24"/>
        </w:rPr>
        <w:t xml:space="preserve">no systematic and documented approach in place for assigning the responsibility of Objectives and Outputs. </w:t>
      </w:r>
      <w:r w:rsidR="002D142C">
        <w:rPr>
          <w:rFonts w:asciiTheme="minorHAnsi" w:hAnsiTheme="minorHAnsi"/>
          <w:szCs w:val="24"/>
        </w:rPr>
        <w:t>R</w:t>
      </w:r>
      <w:r w:rsidR="001015A7" w:rsidRPr="00B26FE8">
        <w:rPr>
          <w:rFonts w:asciiTheme="minorHAnsi" w:hAnsiTheme="minorHAnsi"/>
          <w:szCs w:val="24"/>
        </w:rPr>
        <w:t xml:space="preserve">esponsible Owners </w:t>
      </w:r>
      <w:r w:rsidR="002D142C">
        <w:rPr>
          <w:rFonts w:asciiTheme="minorHAnsi" w:hAnsiTheme="minorHAnsi"/>
          <w:szCs w:val="24"/>
        </w:rPr>
        <w:t xml:space="preserve">should thus be identified, and this </w:t>
      </w:r>
      <w:r w:rsidR="001015A7" w:rsidRPr="00B26FE8">
        <w:rPr>
          <w:rFonts w:asciiTheme="minorHAnsi" w:hAnsiTheme="minorHAnsi"/>
          <w:szCs w:val="24"/>
        </w:rPr>
        <w:t>for each of the Objectives and Outputs of the O</w:t>
      </w:r>
      <w:r w:rsidR="00BF09D0">
        <w:rPr>
          <w:rFonts w:asciiTheme="minorHAnsi" w:hAnsiTheme="minorHAnsi"/>
          <w:szCs w:val="24"/>
        </w:rPr>
        <w:t>P</w:t>
      </w:r>
      <w:r w:rsidR="001015A7" w:rsidRPr="00B26FE8">
        <w:rPr>
          <w:rFonts w:asciiTheme="minorHAnsi" w:hAnsiTheme="minorHAnsi"/>
          <w:szCs w:val="24"/>
        </w:rPr>
        <w:t>s for 2016-2019 (whenever these own</w:t>
      </w:r>
      <w:r w:rsidR="002D142C">
        <w:rPr>
          <w:rFonts w:asciiTheme="minorHAnsi" w:hAnsiTheme="minorHAnsi"/>
          <w:szCs w:val="24"/>
        </w:rPr>
        <w:t>ers can be clearly identified).</w:t>
      </w:r>
      <w:r w:rsidR="00971ABD">
        <w:rPr>
          <w:rFonts w:asciiTheme="minorHAnsi" w:hAnsiTheme="minorHAnsi"/>
          <w:szCs w:val="24"/>
        </w:rPr>
        <w:t xml:space="preserve"> Management agreed to implement this when preparing the OPs for 2016-2019 by defining internally the responsible owners.</w:t>
      </w:r>
    </w:p>
    <w:p w14:paraId="764BA686" w14:textId="35E5D0C4" w:rsidR="00DF1E0A" w:rsidRPr="00246BCB" w:rsidRDefault="00C9594D" w:rsidP="009B076B">
      <w:pPr>
        <w:pStyle w:val="ListParagraph"/>
        <w:numPr>
          <w:ilvl w:val="0"/>
          <w:numId w:val="8"/>
        </w:numPr>
        <w:tabs>
          <w:tab w:val="clear" w:pos="794"/>
          <w:tab w:val="clear" w:pos="1191"/>
          <w:tab w:val="clear" w:pos="1588"/>
          <w:tab w:val="clear" w:pos="1985"/>
        </w:tabs>
        <w:overflowPunct/>
        <w:autoSpaceDE/>
        <w:autoSpaceDN/>
        <w:snapToGrid w:val="0"/>
        <w:spacing w:after="120"/>
        <w:ind w:left="709" w:hanging="425"/>
        <w:contextualSpacing w:val="0"/>
        <w:jc w:val="both"/>
        <w:textAlignment w:val="auto"/>
        <w:rPr>
          <w:rFonts w:asciiTheme="minorHAnsi" w:hAnsiTheme="minorHAnsi"/>
          <w:szCs w:val="24"/>
        </w:rPr>
      </w:pPr>
      <w:r>
        <w:rPr>
          <w:rFonts w:asciiTheme="minorHAnsi" w:hAnsiTheme="minorHAnsi"/>
          <w:szCs w:val="24"/>
        </w:rPr>
        <w:t xml:space="preserve">Every </w:t>
      </w:r>
      <w:r w:rsidRPr="00B26FE8">
        <w:rPr>
          <w:rFonts w:asciiTheme="minorHAnsi" w:hAnsiTheme="minorHAnsi"/>
          <w:szCs w:val="24"/>
        </w:rPr>
        <w:t xml:space="preserve">Bureau and </w:t>
      </w:r>
      <w:r w:rsidR="009B076B">
        <w:rPr>
          <w:rFonts w:asciiTheme="minorHAnsi" w:hAnsiTheme="minorHAnsi"/>
          <w:szCs w:val="24"/>
        </w:rPr>
        <w:t xml:space="preserve">the </w:t>
      </w:r>
      <w:r w:rsidRPr="00B26FE8">
        <w:rPr>
          <w:rFonts w:asciiTheme="minorHAnsi" w:hAnsiTheme="minorHAnsi"/>
          <w:szCs w:val="24"/>
        </w:rPr>
        <w:t xml:space="preserve">General Secretariat has developed methods and instruments for monitoring activities and evaluating the quality of deliverables. Some of these methods and tools </w:t>
      </w:r>
      <w:r w:rsidR="0090112E">
        <w:rPr>
          <w:rFonts w:asciiTheme="minorHAnsi" w:hAnsiTheme="minorHAnsi"/>
          <w:szCs w:val="24"/>
        </w:rPr>
        <w:t>we</w:t>
      </w:r>
      <w:r w:rsidRPr="00B26FE8">
        <w:rPr>
          <w:rFonts w:asciiTheme="minorHAnsi" w:hAnsiTheme="minorHAnsi"/>
          <w:szCs w:val="24"/>
        </w:rPr>
        <w:t xml:space="preserve">re considered good practices to be presented for the consideration of the rest of the </w:t>
      </w:r>
      <w:r w:rsidR="009B076B">
        <w:rPr>
          <w:rFonts w:asciiTheme="minorHAnsi" w:hAnsiTheme="minorHAnsi"/>
          <w:szCs w:val="24"/>
        </w:rPr>
        <w:t>Union</w:t>
      </w:r>
      <w:r w:rsidRPr="00B26FE8">
        <w:rPr>
          <w:rFonts w:asciiTheme="minorHAnsi" w:hAnsiTheme="minorHAnsi"/>
          <w:szCs w:val="24"/>
        </w:rPr>
        <w:t>. However, the level of maturity of the tools and reporting systems for monitoring and evaluating deliverables vary for each Bureau/Department. Internal Audit also noted that ITU has no systematic corporate monitoring and evaluation mechanism.</w:t>
      </w:r>
      <w:r>
        <w:rPr>
          <w:rFonts w:asciiTheme="minorHAnsi" w:hAnsiTheme="minorHAnsi"/>
          <w:szCs w:val="24"/>
        </w:rPr>
        <w:t xml:space="preserve"> A feasibility study needs thus be conducted </w:t>
      </w:r>
      <w:r w:rsidRPr="00B26FE8">
        <w:rPr>
          <w:rFonts w:asciiTheme="minorHAnsi" w:hAnsiTheme="minorHAnsi"/>
          <w:szCs w:val="24"/>
        </w:rPr>
        <w:t xml:space="preserve">for the implementation of a corporate monitoring and evaluation mechanism, thereby leveraging the existing mechanisms in place </w:t>
      </w:r>
      <w:r w:rsidR="009B076B">
        <w:rPr>
          <w:rFonts w:asciiTheme="minorHAnsi" w:hAnsiTheme="minorHAnsi"/>
          <w:szCs w:val="24"/>
        </w:rPr>
        <w:t>in</w:t>
      </w:r>
      <w:r w:rsidRPr="00B26FE8">
        <w:rPr>
          <w:rFonts w:asciiTheme="minorHAnsi" w:hAnsiTheme="minorHAnsi"/>
          <w:szCs w:val="24"/>
        </w:rPr>
        <w:t xml:space="preserve"> the Bureaux and the General Secretariat</w:t>
      </w:r>
      <w:r>
        <w:rPr>
          <w:rFonts w:asciiTheme="minorHAnsi" w:hAnsiTheme="minorHAnsi"/>
          <w:szCs w:val="24"/>
        </w:rPr>
        <w:t xml:space="preserve">. </w:t>
      </w:r>
      <w:r w:rsidR="00246BCB">
        <w:rPr>
          <w:rFonts w:asciiTheme="minorHAnsi" w:hAnsiTheme="minorHAnsi"/>
          <w:szCs w:val="24"/>
        </w:rPr>
        <w:t xml:space="preserve">The </w:t>
      </w:r>
      <w:r w:rsidR="00246BCB" w:rsidRPr="00B26FE8">
        <w:rPr>
          <w:rFonts w:asciiTheme="minorHAnsi" w:hAnsiTheme="minorHAnsi"/>
          <w:szCs w:val="24"/>
        </w:rPr>
        <w:t xml:space="preserve">Secretary-General indicated in his comment that the Deputy Secretary-General would be the most suitable </w:t>
      </w:r>
      <w:r w:rsidR="009B076B">
        <w:rPr>
          <w:rFonts w:asciiTheme="minorHAnsi" w:hAnsiTheme="minorHAnsi"/>
          <w:szCs w:val="24"/>
        </w:rPr>
        <w:t>o</w:t>
      </w:r>
      <w:r w:rsidR="00246BCB" w:rsidRPr="00B26FE8">
        <w:rPr>
          <w:rFonts w:asciiTheme="minorHAnsi" w:hAnsiTheme="minorHAnsi"/>
          <w:szCs w:val="24"/>
        </w:rPr>
        <w:t>fficial to be entrusted with this study</w:t>
      </w:r>
      <w:r w:rsidR="00246BCB">
        <w:rPr>
          <w:rFonts w:asciiTheme="minorHAnsi" w:hAnsiTheme="minorHAnsi"/>
          <w:szCs w:val="24"/>
        </w:rPr>
        <w:t xml:space="preserve">. </w:t>
      </w:r>
      <w:r w:rsidR="004A1D61">
        <w:rPr>
          <w:rFonts w:asciiTheme="minorHAnsi" w:hAnsiTheme="minorHAnsi"/>
          <w:szCs w:val="24"/>
        </w:rPr>
        <w:t>In 2015 such a study was already commenced</w:t>
      </w:r>
      <w:r w:rsidR="00971ABD">
        <w:rPr>
          <w:rFonts w:asciiTheme="minorHAnsi" w:hAnsiTheme="minorHAnsi"/>
          <w:szCs w:val="24"/>
        </w:rPr>
        <w:t>.</w:t>
      </w:r>
    </w:p>
    <w:p w14:paraId="4F404CDA" w14:textId="4C86B975" w:rsidR="00DF1E0A" w:rsidRPr="00B26FE8" w:rsidRDefault="00DF1E0A" w:rsidP="009B076B">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szCs w:val="24"/>
        </w:rPr>
      </w:pPr>
      <w:r w:rsidRPr="00B26FE8">
        <w:rPr>
          <w:rFonts w:asciiTheme="minorHAnsi" w:hAnsiTheme="minorHAnsi"/>
          <w:szCs w:val="24"/>
        </w:rPr>
        <w:t>A</w:t>
      </w:r>
      <w:r w:rsidR="004A1D61">
        <w:rPr>
          <w:rFonts w:asciiTheme="minorHAnsi" w:hAnsiTheme="minorHAnsi"/>
          <w:szCs w:val="24"/>
        </w:rPr>
        <w:t xml:space="preserve">s a general </w:t>
      </w:r>
      <w:r w:rsidR="004A1D61" w:rsidRPr="00E17340">
        <w:rPr>
          <w:rFonts w:asciiTheme="minorHAnsi" w:hAnsiTheme="minorHAnsi"/>
          <w:szCs w:val="24"/>
          <w:u w:val="single"/>
        </w:rPr>
        <w:t>conclusion</w:t>
      </w:r>
      <w:r w:rsidR="004A1D61">
        <w:rPr>
          <w:rFonts w:asciiTheme="minorHAnsi" w:hAnsiTheme="minorHAnsi"/>
          <w:szCs w:val="24"/>
        </w:rPr>
        <w:t xml:space="preserve"> and</w:t>
      </w:r>
      <w:r w:rsidRPr="00B26FE8">
        <w:rPr>
          <w:rFonts w:asciiTheme="minorHAnsi" w:hAnsiTheme="minorHAnsi"/>
          <w:szCs w:val="24"/>
        </w:rPr>
        <w:t xml:space="preserve"> </w:t>
      </w:r>
      <w:r w:rsidR="004A1D61">
        <w:rPr>
          <w:rFonts w:asciiTheme="minorHAnsi" w:hAnsiTheme="minorHAnsi"/>
          <w:szCs w:val="24"/>
        </w:rPr>
        <w:t>b</w:t>
      </w:r>
      <w:r w:rsidRPr="00B26FE8">
        <w:rPr>
          <w:rFonts w:asciiTheme="minorHAnsi" w:hAnsiTheme="minorHAnsi"/>
          <w:szCs w:val="24"/>
        </w:rPr>
        <w:t xml:space="preserve">ased on the review of the mechanisms in place within the three ITU Bureaux and the General Secretariat, </w:t>
      </w:r>
      <w:r w:rsidR="0090112E">
        <w:rPr>
          <w:rFonts w:asciiTheme="minorHAnsi" w:hAnsiTheme="minorHAnsi"/>
          <w:szCs w:val="24"/>
        </w:rPr>
        <w:t>assurance wa</w:t>
      </w:r>
      <w:r w:rsidR="004A1D61">
        <w:rPr>
          <w:rFonts w:asciiTheme="minorHAnsi" w:hAnsiTheme="minorHAnsi"/>
          <w:szCs w:val="24"/>
        </w:rPr>
        <w:t xml:space="preserve">s </w:t>
      </w:r>
      <w:r w:rsidRPr="00B26FE8">
        <w:rPr>
          <w:rFonts w:asciiTheme="minorHAnsi" w:hAnsiTheme="minorHAnsi"/>
          <w:szCs w:val="24"/>
        </w:rPr>
        <w:t>provide</w:t>
      </w:r>
      <w:r w:rsidR="004A1D61">
        <w:rPr>
          <w:rFonts w:asciiTheme="minorHAnsi" w:hAnsiTheme="minorHAnsi"/>
          <w:szCs w:val="24"/>
        </w:rPr>
        <w:t>d</w:t>
      </w:r>
      <w:r w:rsidRPr="00B26FE8">
        <w:rPr>
          <w:rFonts w:asciiTheme="minorHAnsi" w:hAnsiTheme="minorHAnsi"/>
          <w:szCs w:val="24"/>
        </w:rPr>
        <w:t xml:space="preserve"> that the </w:t>
      </w:r>
      <w:r w:rsidR="009B076B">
        <w:rPr>
          <w:rFonts w:asciiTheme="minorHAnsi" w:hAnsiTheme="minorHAnsi"/>
          <w:szCs w:val="24"/>
        </w:rPr>
        <w:t>Union</w:t>
      </w:r>
      <w:r w:rsidR="009B076B" w:rsidRPr="00B26FE8">
        <w:rPr>
          <w:rFonts w:asciiTheme="minorHAnsi" w:hAnsiTheme="minorHAnsi"/>
          <w:szCs w:val="24"/>
        </w:rPr>
        <w:t xml:space="preserve"> </w:t>
      </w:r>
      <w:r w:rsidRPr="00B26FE8">
        <w:rPr>
          <w:rFonts w:asciiTheme="minorHAnsi" w:hAnsiTheme="minorHAnsi"/>
          <w:szCs w:val="24"/>
        </w:rPr>
        <w:t>is heading in the right direction for achieving expected deliverables, based on high quality standards.</w:t>
      </w:r>
    </w:p>
    <w:p w14:paraId="70D12FDE" w14:textId="77777777" w:rsidR="004218FE" w:rsidRDefault="004218FE" w:rsidP="00751F3B">
      <w:pPr>
        <w:pStyle w:val="FootnoteText"/>
        <w:keepLines w:val="0"/>
        <w:numPr>
          <w:ilvl w:val="0"/>
          <w:numId w:val="12"/>
        </w:numPr>
        <w:tabs>
          <w:tab w:val="clear" w:pos="256"/>
          <w:tab w:val="clear" w:pos="567"/>
          <w:tab w:val="clear" w:pos="1134"/>
          <w:tab w:val="clear" w:pos="1701"/>
          <w:tab w:val="clear" w:pos="2268"/>
          <w:tab w:val="clear" w:pos="2835"/>
        </w:tabs>
        <w:snapToGrid w:val="0"/>
        <w:spacing w:before="240" w:after="120"/>
        <w:ind w:firstLine="0"/>
        <w:rPr>
          <w:b/>
          <w:bCs/>
          <w:i/>
          <w:iCs/>
          <w:szCs w:val="24"/>
        </w:rPr>
      </w:pPr>
      <w:r>
        <w:rPr>
          <w:b/>
          <w:bCs/>
          <w:i/>
          <w:iCs/>
          <w:szCs w:val="24"/>
        </w:rPr>
        <w:t>Audit of the contributions to the United Nations Joint Staff Pension Fund (UNJSPF)</w:t>
      </w:r>
    </w:p>
    <w:p w14:paraId="24264E56" w14:textId="22F528D1" w:rsidR="004218FE" w:rsidRPr="004218FE" w:rsidRDefault="004218FE" w:rsidP="00751F3B">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szCs w:val="24"/>
        </w:rPr>
      </w:pPr>
      <w:r w:rsidRPr="00B26FE8">
        <w:rPr>
          <w:rFonts w:asciiTheme="minorHAnsi" w:hAnsiTheme="minorHAnsi"/>
          <w:szCs w:val="24"/>
        </w:rPr>
        <w:t xml:space="preserve">The main </w:t>
      </w:r>
      <w:r w:rsidRPr="0086072E">
        <w:rPr>
          <w:rFonts w:asciiTheme="minorHAnsi" w:hAnsiTheme="minorHAnsi"/>
          <w:szCs w:val="24"/>
          <w:u w:val="single"/>
        </w:rPr>
        <w:t>purpose</w:t>
      </w:r>
      <w:r w:rsidR="008C68C2">
        <w:rPr>
          <w:rFonts w:asciiTheme="minorHAnsi" w:hAnsiTheme="minorHAnsi"/>
          <w:szCs w:val="24"/>
          <w:u w:val="single"/>
        </w:rPr>
        <w:t>s</w:t>
      </w:r>
      <w:r w:rsidRPr="00B26FE8">
        <w:rPr>
          <w:rFonts w:asciiTheme="minorHAnsi" w:hAnsiTheme="minorHAnsi"/>
          <w:szCs w:val="24"/>
        </w:rPr>
        <w:t xml:space="preserve"> of the audit </w:t>
      </w:r>
      <w:r w:rsidR="008C68C2">
        <w:rPr>
          <w:rFonts w:asciiTheme="minorHAnsi" w:hAnsiTheme="minorHAnsi"/>
          <w:szCs w:val="24"/>
        </w:rPr>
        <w:t>wer</w:t>
      </w:r>
      <w:r w:rsidRPr="00B26FE8">
        <w:rPr>
          <w:rFonts w:asciiTheme="minorHAnsi" w:hAnsiTheme="minorHAnsi"/>
          <w:szCs w:val="24"/>
        </w:rPr>
        <w:t xml:space="preserve">e to review and assess the internal controls (and reporting), to verify compliance of selected transactions with applicable policies, procedures and regulatory framework, and to assess whether the contributions to the UNJSPF </w:t>
      </w:r>
      <w:r w:rsidR="0090112E">
        <w:rPr>
          <w:rFonts w:asciiTheme="minorHAnsi" w:hAnsiTheme="minorHAnsi"/>
          <w:szCs w:val="24"/>
        </w:rPr>
        <w:t>we</w:t>
      </w:r>
      <w:r w:rsidRPr="00B26FE8">
        <w:rPr>
          <w:rFonts w:asciiTheme="minorHAnsi" w:hAnsiTheme="minorHAnsi"/>
          <w:szCs w:val="24"/>
        </w:rPr>
        <w:t>re in line with the principles of efficient, effective and economical use of the Union’s resources.</w:t>
      </w:r>
      <w:r>
        <w:rPr>
          <w:rFonts w:asciiTheme="minorHAnsi" w:hAnsiTheme="minorHAnsi"/>
          <w:szCs w:val="24"/>
        </w:rPr>
        <w:t xml:space="preserve"> The </w:t>
      </w:r>
      <w:r w:rsidRPr="008C68C2">
        <w:rPr>
          <w:rFonts w:asciiTheme="minorHAnsi" w:hAnsiTheme="minorHAnsi"/>
          <w:szCs w:val="24"/>
          <w:u w:val="single"/>
        </w:rPr>
        <w:t>scope</w:t>
      </w:r>
      <w:r>
        <w:rPr>
          <w:rFonts w:asciiTheme="minorHAnsi" w:hAnsiTheme="minorHAnsi"/>
          <w:szCs w:val="24"/>
        </w:rPr>
        <w:t xml:space="preserve"> encompassed </w:t>
      </w:r>
      <w:r w:rsidRPr="00B26FE8">
        <w:rPr>
          <w:rFonts w:asciiTheme="minorHAnsi" w:hAnsiTheme="minorHAnsi"/>
          <w:szCs w:val="24"/>
        </w:rPr>
        <w:t>all contributions paid to the UNJSPF between January 2012 and May 2014, both for regular staff and short-term staff at ITU headquarters and in the field.</w:t>
      </w:r>
    </w:p>
    <w:p w14:paraId="6C98084A" w14:textId="77777777" w:rsidR="00A756A4" w:rsidRDefault="000B68A5" w:rsidP="00751F3B">
      <w:pPr>
        <w:pStyle w:val="ListParagraph"/>
        <w:keepNext/>
        <w:keepLines/>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rPr>
      </w:pPr>
      <w:r>
        <w:rPr>
          <w:rFonts w:asciiTheme="minorHAnsi" w:hAnsiTheme="minorHAnsi"/>
        </w:rPr>
        <w:lastRenderedPageBreak/>
        <w:t>Internal Audit’s observations</w:t>
      </w:r>
      <w:r w:rsidR="003E55DC">
        <w:rPr>
          <w:rFonts w:asciiTheme="minorHAnsi" w:hAnsiTheme="minorHAnsi"/>
        </w:rPr>
        <w:t xml:space="preserve">, </w:t>
      </w:r>
      <w:r>
        <w:rPr>
          <w:rFonts w:asciiTheme="minorHAnsi" w:hAnsiTheme="minorHAnsi"/>
        </w:rPr>
        <w:t>recommendations and Management</w:t>
      </w:r>
      <w:r w:rsidR="002F2331">
        <w:rPr>
          <w:rFonts w:asciiTheme="minorHAnsi" w:hAnsiTheme="minorHAnsi"/>
        </w:rPr>
        <w:t>’s</w:t>
      </w:r>
      <w:r>
        <w:rPr>
          <w:rFonts w:asciiTheme="minorHAnsi" w:hAnsiTheme="minorHAnsi"/>
        </w:rPr>
        <w:t xml:space="preserve"> comments</w:t>
      </w:r>
      <w:r w:rsidR="00A756A4">
        <w:rPr>
          <w:rFonts w:asciiTheme="minorHAnsi" w:hAnsiTheme="minorHAnsi"/>
        </w:rPr>
        <w:t>:</w:t>
      </w:r>
    </w:p>
    <w:p w14:paraId="1F82F0ED" w14:textId="77777777" w:rsidR="00A756A4" w:rsidRPr="003C1545" w:rsidRDefault="00A756A4" w:rsidP="00751F3B">
      <w:pPr>
        <w:pStyle w:val="ListParagraph"/>
        <w:keepNext/>
        <w:keepLines/>
        <w:numPr>
          <w:ilvl w:val="0"/>
          <w:numId w:val="9"/>
        </w:numPr>
        <w:tabs>
          <w:tab w:val="clear" w:pos="794"/>
          <w:tab w:val="clear" w:pos="1191"/>
          <w:tab w:val="clear" w:pos="1588"/>
          <w:tab w:val="clear" w:pos="1985"/>
        </w:tabs>
        <w:snapToGrid w:val="0"/>
        <w:spacing w:after="120"/>
        <w:ind w:left="709" w:hanging="425"/>
        <w:contextualSpacing w:val="0"/>
        <w:jc w:val="both"/>
        <w:rPr>
          <w:rFonts w:asciiTheme="minorHAnsi" w:hAnsiTheme="minorHAnsi"/>
        </w:rPr>
      </w:pPr>
      <w:r>
        <w:rPr>
          <w:rFonts w:asciiTheme="minorHAnsi" w:hAnsiTheme="minorHAnsi"/>
          <w:szCs w:val="24"/>
        </w:rPr>
        <w:t>T</w:t>
      </w:r>
      <w:r w:rsidRPr="00BE3A7E">
        <w:rPr>
          <w:rFonts w:asciiTheme="minorHAnsi" w:hAnsiTheme="minorHAnsi"/>
          <w:szCs w:val="24"/>
        </w:rPr>
        <w:t xml:space="preserve">he </w:t>
      </w:r>
      <w:r w:rsidRPr="00B26FE8">
        <w:rPr>
          <w:rFonts w:asciiTheme="minorHAnsi" w:hAnsiTheme="minorHAnsi"/>
          <w:szCs w:val="24"/>
        </w:rPr>
        <w:t>calculation of month</w:t>
      </w:r>
      <w:r w:rsidR="0090112E">
        <w:rPr>
          <w:rFonts w:asciiTheme="minorHAnsi" w:hAnsiTheme="minorHAnsi"/>
          <w:szCs w:val="24"/>
        </w:rPr>
        <w:t>ly contributions to the UNJSPF wa</w:t>
      </w:r>
      <w:r w:rsidRPr="00B26FE8">
        <w:rPr>
          <w:rFonts w:asciiTheme="minorHAnsi" w:hAnsiTheme="minorHAnsi"/>
          <w:szCs w:val="24"/>
        </w:rPr>
        <w:t>s generally adequate and in compliance with rules and regulations</w:t>
      </w:r>
      <w:r>
        <w:rPr>
          <w:rFonts w:asciiTheme="minorHAnsi" w:hAnsiTheme="minorHAnsi"/>
          <w:szCs w:val="24"/>
        </w:rPr>
        <w:t xml:space="preserve"> but i</w:t>
      </w:r>
      <w:r w:rsidRPr="00B26FE8">
        <w:rPr>
          <w:rFonts w:asciiTheme="minorHAnsi" w:hAnsiTheme="minorHAnsi"/>
          <w:szCs w:val="24"/>
        </w:rPr>
        <w:t xml:space="preserve">nformation and data contained in </w:t>
      </w:r>
      <w:r w:rsidR="0090112E">
        <w:rPr>
          <w:rFonts w:asciiTheme="minorHAnsi" w:hAnsiTheme="minorHAnsi"/>
          <w:szCs w:val="24"/>
        </w:rPr>
        <w:t>ITU reports sent to the UNJSPF we</w:t>
      </w:r>
      <w:r w:rsidRPr="00B26FE8">
        <w:rPr>
          <w:rFonts w:asciiTheme="minorHAnsi" w:hAnsiTheme="minorHAnsi"/>
          <w:szCs w:val="24"/>
        </w:rPr>
        <w:t xml:space="preserve">re not always properly recorded in the latter’s records. </w:t>
      </w:r>
      <w:r>
        <w:rPr>
          <w:rFonts w:asciiTheme="minorHAnsi" w:hAnsiTheme="minorHAnsi"/>
          <w:szCs w:val="24"/>
        </w:rPr>
        <w:t>A discussion with UNJSPF officers to resolve this issue was recommended. Management commented that</w:t>
      </w:r>
      <w:r w:rsidR="00851C42">
        <w:rPr>
          <w:rFonts w:asciiTheme="minorHAnsi" w:hAnsiTheme="minorHAnsi"/>
          <w:szCs w:val="24"/>
        </w:rPr>
        <w:t xml:space="preserve"> work is underway to address the issue.</w:t>
      </w:r>
    </w:p>
    <w:p w14:paraId="7D617941" w14:textId="0B147C42" w:rsidR="003C1545" w:rsidRPr="003C1545" w:rsidRDefault="003C1545" w:rsidP="00751F3B">
      <w:pPr>
        <w:pStyle w:val="ListParagraph"/>
        <w:numPr>
          <w:ilvl w:val="0"/>
          <w:numId w:val="9"/>
        </w:numPr>
        <w:tabs>
          <w:tab w:val="clear" w:pos="794"/>
          <w:tab w:val="clear" w:pos="1191"/>
          <w:tab w:val="clear" w:pos="1588"/>
          <w:tab w:val="clear" w:pos="1985"/>
        </w:tabs>
        <w:snapToGrid w:val="0"/>
        <w:spacing w:after="120"/>
        <w:ind w:left="709" w:hanging="425"/>
        <w:contextualSpacing w:val="0"/>
        <w:jc w:val="both"/>
        <w:rPr>
          <w:rFonts w:asciiTheme="minorHAnsi" w:hAnsiTheme="minorHAnsi"/>
        </w:rPr>
      </w:pPr>
      <w:r>
        <w:rPr>
          <w:rFonts w:asciiTheme="minorHAnsi" w:hAnsiTheme="minorHAnsi"/>
        </w:rPr>
        <w:t xml:space="preserve">A </w:t>
      </w:r>
      <w:r w:rsidRPr="00B26FE8">
        <w:rPr>
          <w:rFonts w:asciiTheme="minorHAnsi" w:hAnsiTheme="minorHAnsi"/>
          <w:szCs w:val="24"/>
        </w:rPr>
        <w:t xml:space="preserve">few cases </w:t>
      </w:r>
      <w:r w:rsidR="008D1BA3">
        <w:rPr>
          <w:rFonts w:asciiTheme="minorHAnsi" w:hAnsiTheme="minorHAnsi"/>
          <w:szCs w:val="24"/>
        </w:rPr>
        <w:t xml:space="preserve">were identified, </w:t>
      </w:r>
      <w:r w:rsidRPr="00B26FE8">
        <w:rPr>
          <w:rFonts w:asciiTheme="minorHAnsi" w:hAnsiTheme="minorHAnsi"/>
          <w:szCs w:val="24"/>
        </w:rPr>
        <w:t>where disability benefits by the UNJSPF had been granted</w:t>
      </w:r>
      <w:r>
        <w:rPr>
          <w:rFonts w:asciiTheme="minorHAnsi" w:hAnsiTheme="minorHAnsi"/>
          <w:szCs w:val="24"/>
        </w:rPr>
        <w:t xml:space="preserve"> but the option chosen by ITU was </w:t>
      </w:r>
      <w:r w:rsidRPr="00B26FE8">
        <w:rPr>
          <w:rFonts w:asciiTheme="minorHAnsi" w:hAnsiTheme="minorHAnsi"/>
          <w:szCs w:val="24"/>
        </w:rPr>
        <w:t>not always the most economically beneficial for ITU</w:t>
      </w:r>
      <w:r>
        <w:rPr>
          <w:rFonts w:asciiTheme="minorHAnsi" w:hAnsiTheme="minorHAnsi"/>
          <w:szCs w:val="24"/>
        </w:rPr>
        <w:t>. It was recommended that costs to be incurred be considered when determining the date of separation for disability reasons. Management commented that it supports this recommendation.</w:t>
      </w:r>
    </w:p>
    <w:p w14:paraId="1F75A58E" w14:textId="77777777" w:rsidR="003C1545" w:rsidRPr="003C1545" w:rsidRDefault="003C1545" w:rsidP="009A2DDE">
      <w:pPr>
        <w:pStyle w:val="ListParagraph"/>
        <w:numPr>
          <w:ilvl w:val="0"/>
          <w:numId w:val="9"/>
        </w:numPr>
        <w:tabs>
          <w:tab w:val="clear" w:pos="794"/>
          <w:tab w:val="clear" w:pos="1191"/>
          <w:tab w:val="clear" w:pos="1588"/>
          <w:tab w:val="clear" w:pos="1985"/>
        </w:tabs>
        <w:snapToGrid w:val="0"/>
        <w:spacing w:after="120"/>
        <w:ind w:left="709" w:hanging="425"/>
        <w:contextualSpacing w:val="0"/>
        <w:jc w:val="both"/>
        <w:rPr>
          <w:rFonts w:asciiTheme="minorHAnsi" w:hAnsiTheme="minorHAnsi"/>
        </w:rPr>
      </w:pPr>
      <w:r>
        <w:rPr>
          <w:rFonts w:asciiTheme="minorHAnsi" w:hAnsiTheme="minorHAnsi"/>
          <w:szCs w:val="24"/>
        </w:rPr>
        <w:t xml:space="preserve">With </w:t>
      </w:r>
      <w:r w:rsidRPr="00B26FE8">
        <w:rPr>
          <w:rFonts w:asciiTheme="minorHAnsi" w:hAnsiTheme="minorHAnsi"/>
          <w:szCs w:val="24"/>
        </w:rPr>
        <w:t>the introduction of the new Collective Medical Insurance Plan, contribu</w:t>
      </w:r>
      <w:r w:rsidR="0090112E">
        <w:rPr>
          <w:rFonts w:asciiTheme="minorHAnsi" w:hAnsiTheme="minorHAnsi"/>
          <w:szCs w:val="24"/>
        </w:rPr>
        <w:t>tions by retirees to this plan we</w:t>
      </w:r>
      <w:r w:rsidRPr="00B26FE8">
        <w:rPr>
          <w:rFonts w:asciiTheme="minorHAnsi" w:hAnsiTheme="minorHAnsi"/>
          <w:szCs w:val="24"/>
        </w:rPr>
        <w:t xml:space="preserve">re manually calculated on a monthly basis and may expose the ITU to errors. </w:t>
      </w:r>
      <w:r w:rsidR="0090112E">
        <w:rPr>
          <w:rFonts w:asciiTheme="minorHAnsi" w:hAnsiTheme="minorHAnsi"/>
          <w:szCs w:val="24"/>
        </w:rPr>
        <w:t>Development of a</w:t>
      </w:r>
      <w:r w:rsidRPr="00B26FE8">
        <w:rPr>
          <w:rFonts w:asciiTheme="minorHAnsi" w:hAnsiTheme="minorHAnsi"/>
          <w:szCs w:val="24"/>
        </w:rPr>
        <w:t xml:space="preserve"> standard program to optimize efficient, effective and economical use of the Union’s resources</w:t>
      </w:r>
      <w:r w:rsidRPr="003C1545">
        <w:rPr>
          <w:rFonts w:asciiTheme="minorHAnsi" w:hAnsiTheme="minorHAnsi"/>
          <w:szCs w:val="24"/>
        </w:rPr>
        <w:t xml:space="preserve"> </w:t>
      </w:r>
      <w:r>
        <w:rPr>
          <w:rFonts w:asciiTheme="minorHAnsi" w:hAnsiTheme="minorHAnsi"/>
          <w:szCs w:val="24"/>
        </w:rPr>
        <w:t>was recommended. Management commented that it supported the recommendation and Internal Audit was informed recently that an intermediate solution is already in place and work is being undertaken to implement a permanent solution.</w:t>
      </w:r>
    </w:p>
    <w:p w14:paraId="7F5D04A2" w14:textId="2172E0EE" w:rsidR="003C1545" w:rsidRPr="00B42712" w:rsidRDefault="000B68A5" w:rsidP="009A2DDE">
      <w:pPr>
        <w:pStyle w:val="ListParagraph"/>
        <w:numPr>
          <w:ilvl w:val="0"/>
          <w:numId w:val="9"/>
        </w:numPr>
        <w:tabs>
          <w:tab w:val="clear" w:pos="794"/>
          <w:tab w:val="clear" w:pos="1191"/>
          <w:tab w:val="clear" w:pos="1588"/>
          <w:tab w:val="clear" w:pos="1985"/>
        </w:tabs>
        <w:snapToGrid w:val="0"/>
        <w:spacing w:after="120"/>
        <w:ind w:left="709" w:hanging="425"/>
        <w:contextualSpacing w:val="0"/>
        <w:jc w:val="both"/>
        <w:rPr>
          <w:rFonts w:asciiTheme="minorHAnsi" w:hAnsiTheme="minorHAnsi"/>
        </w:rPr>
      </w:pPr>
      <w:r>
        <w:rPr>
          <w:rFonts w:asciiTheme="minorHAnsi" w:hAnsiTheme="minorHAnsi"/>
        </w:rPr>
        <w:t xml:space="preserve">The </w:t>
      </w:r>
      <w:r w:rsidRPr="00B26FE8">
        <w:rPr>
          <w:rFonts w:asciiTheme="minorHAnsi" w:hAnsiTheme="minorHAnsi"/>
          <w:szCs w:val="24"/>
        </w:rPr>
        <w:t xml:space="preserve">UNJSPF has developed an interface transferring data related to pension with the aim of enhancing collection of data from </w:t>
      </w:r>
      <w:r w:rsidR="009202E8">
        <w:rPr>
          <w:rFonts w:asciiTheme="minorHAnsi" w:hAnsiTheme="minorHAnsi"/>
          <w:szCs w:val="24"/>
        </w:rPr>
        <w:t>m</w:t>
      </w:r>
      <w:r w:rsidRPr="00B26FE8">
        <w:rPr>
          <w:rFonts w:asciiTheme="minorHAnsi" w:hAnsiTheme="minorHAnsi"/>
          <w:szCs w:val="24"/>
        </w:rPr>
        <w:t xml:space="preserve">ember </w:t>
      </w:r>
      <w:r w:rsidR="009202E8">
        <w:rPr>
          <w:rFonts w:asciiTheme="minorHAnsi" w:hAnsiTheme="minorHAnsi"/>
          <w:szCs w:val="24"/>
        </w:rPr>
        <w:t>o</w:t>
      </w:r>
      <w:r w:rsidRPr="00B26FE8">
        <w:rPr>
          <w:rFonts w:asciiTheme="minorHAnsi" w:hAnsiTheme="minorHAnsi"/>
          <w:szCs w:val="24"/>
        </w:rPr>
        <w:t xml:space="preserve">rganizations. </w:t>
      </w:r>
      <w:r w:rsidR="00B42712">
        <w:rPr>
          <w:rFonts w:asciiTheme="minorHAnsi" w:hAnsiTheme="minorHAnsi"/>
          <w:szCs w:val="24"/>
        </w:rPr>
        <w:t>A</w:t>
      </w:r>
      <w:r>
        <w:rPr>
          <w:rFonts w:asciiTheme="minorHAnsi" w:hAnsiTheme="minorHAnsi"/>
        </w:rPr>
        <w:t xml:space="preserve"> r</w:t>
      </w:r>
      <w:r w:rsidRPr="00B26FE8">
        <w:rPr>
          <w:rFonts w:asciiTheme="minorHAnsi" w:hAnsiTheme="minorHAnsi"/>
          <w:szCs w:val="24"/>
        </w:rPr>
        <w:t>equest</w:t>
      </w:r>
      <w:r>
        <w:rPr>
          <w:rFonts w:asciiTheme="minorHAnsi" w:hAnsiTheme="minorHAnsi"/>
          <w:szCs w:val="24"/>
        </w:rPr>
        <w:t xml:space="preserve"> to validate </w:t>
      </w:r>
      <w:r w:rsidRPr="00B26FE8">
        <w:rPr>
          <w:rFonts w:asciiTheme="minorHAnsi" w:hAnsiTheme="minorHAnsi"/>
          <w:szCs w:val="24"/>
        </w:rPr>
        <w:t xml:space="preserve">employee data on a regular basis, as to ensure accuracy </w:t>
      </w:r>
      <w:r w:rsidR="00B42712">
        <w:rPr>
          <w:rFonts w:asciiTheme="minorHAnsi" w:hAnsiTheme="minorHAnsi"/>
          <w:szCs w:val="24"/>
        </w:rPr>
        <w:t xml:space="preserve">and integrity </w:t>
      </w:r>
      <w:r w:rsidRPr="00B26FE8">
        <w:rPr>
          <w:rFonts w:asciiTheme="minorHAnsi" w:hAnsiTheme="minorHAnsi"/>
          <w:szCs w:val="24"/>
        </w:rPr>
        <w:t>of these data for pension purposes</w:t>
      </w:r>
      <w:r>
        <w:rPr>
          <w:rFonts w:asciiTheme="minorHAnsi" w:hAnsiTheme="minorHAnsi"/>
          <w:szCs w:val="24"/>
        </w:rPr>
        <w:t>, was recommended. Management supported this recommendation.</w:t>
      </w:r>
    </w:p>
    <w:p w14:paraId="2E87C911" w14:textId="5E307A31" w:rsidR="00B42712" w:rsidRPr="00B26FE8" w:rsidRDefault="00B42712" w:rsidP="009202E8">
      <w:pPr>
        <w:pStyle w:val="ListParagraph"/>
        <w:numPr>
          <w:ilvl w:val="0"/>
          <w:numId w:val="9"/>
        </w:numPr>
        <w:tabs>
          <w:tab w:val="clear" w:pos="794"/>
          <w:tab w:val="clear" w:pos="1191"/>
          <w:tab w:val="clear" w:pos="1588"/>
          <w:tab w:val="clear" w:pos="1985"/>
        </w:tabs>
        <w:snapToGrid w:val="0"/>
        <w:spacing w:after="120"/>
        <w:ind w:left="709" w:hanging="425"/>
        <w:contextualSpacing w:val="0"/>
        <w:jc w:val="both"/>
        <w:rPr>
          <w:rFonts w:asciiTheme="minorHAnsi" w:hAnsiTheme="minorHAnsi"/>
        </w:rPr>
      </w:pPr>
      <w:r>
        <w:rPr>
          <w:rFonts w:asciiTheme="minorHAnsi" w:hAnsiTheme="minorHAnsi"/>
          <w:szCs w:val="24"/>
        </w:rPr>
        <w:t>C</w:t>
      </w:r>
      <w:r w:rsidRPr="00B26FE8">
        <w:rPr>
          <w:rFonts w:asciiTheme="minorHAnsi" w:hAnsiTheme="minorHAnsi"/>
          <w:szCs w:val="24"/>
        </w:rPr>
        <w:t xml:space="preserve">alculation of Validations and Restorations of pension contributions by staff </w:t>
      </w:r>
      <w:r w:rsidR="0090112E">
        <w:rPr>
          <w:rFonts w:asciiTheme="minorHAnsi" w:hAnsiTheme="minorHAnsi"/>
          <w:szCs w:val="24"/>
        </w:rPr>
        <w:t>we</w:t>
      </w:r>
      <w:r w:rsidRPr="00B26FE8">
        <w:rPr>
          <w:rFonts w:asciiTheme="minorHAnsi" w:hAnsiTheme="minorHAnsi"/>
          <w:szCs w:val="24"/>
        </w:rPr>
        <w:t>re performed adequately</w:t>
      </w:r>
      <w:r w:rsidR="009202E8">
        <w:rPr>
          <w:rFonts w:asciiTheme="minorHAnsi" w:hAnsiTheme="minorHAnsi"/>
          <w:szCs w:val="24"/>
        </w:rPr>
        <w:t>;</w:t>
      </w:r>
      <w:r>
        <w:rPr>
          <w:rFonts w:asciiTheme="minorHAnsi" w:hAnsiTheme="minorHAnsi"/>
          <w:szCs w:val="24"/>
        </w:rPr>
        <w:t xml:space="preserve"> in some cases, </w:t>
      </w:r>
      <w:r w:rsidR="009202E8" w:rsidRPr="00B26FE8">
        <w:rPr>
          <w:rFonts w:asciiTheme="minorHAnsi" w:hAnsiTheme="minorHAnsi"/>
          <w:szCs w:val="24"/>
        </w:rPr>
        <w:t>however</w:t>
      </w:r>
      <w:r w:rsidR="009202E8">
        <w:rPr>
          <w:rFonts w:asciiTheme="minorHAnsi" w:hAnsiTheme="minorHAnsi"/>
          <w:szCs w:val="24"/>
        </w:rPr>
        <w:t xml:space="preserve">, there were </w:t>
      </w:r>
      <w:r w:rsidRPr="00B26FE8">
        <w:rPr>
          <w:rFonts w:asciiTheme="minorHAnsi" w:hAnsiTheme="minorHAnsi"/>
          <w:szCs w:val="24"/>
        </w:rPr>
        <w:t>important delays, beyond the regulatory 90 days</w:t>
      </w:r>
      <w:r>
        <w:rPr>
          <w:rFonts w:asciiTheme="minorHAnsi" w:hAnsiTheme="minorHAnsi"/>
          <w:szCs w:val="24"/>
        </w:rPr>
        <w:t xml:space="preserve">. A recommendation was made to not </w:t>
      </w:r>
      <w:r w:rsidRPr="00B26FE8">
        <w:rPr>
          <w:rFonts w:asciiTheme="minorHAnsi" w:hAnsiTheme="minorHAnsi"/>
          <w:szCs w:val="24"/>
        </w:rPr>
        <w:t>grant exceptional treatment as far as delays and reimbursement facilities are concerned</w:t>
      </w:r>
      <w:r>
        <w:rPr>
          <w:rFonts w:asciiTheme="minorHAnsi" w:hAnsiTheme="minorHAnsi"/>
          <w:szCs w:val="24"/>
        </w:rPr>
        <w:t>. Management supported this recommendation.</w:t>
      </w:r>
    </w:p>
    <w:p w14:paraId="2A3961BA" w14:textId="77777777" w:rsidR="00A756A4" w:rsidRPr="00B26FE8" w:rsidRDefault="00B42712" w:rsidP="001270A1">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szCs w:val="24"/>
        </w:rPr>
      </w:pPr>
      <w:r w:rsidRPr="00B26FE8">
        <w:rPr>
          <w:rFonts w:asciiTheme="minorHAnsi" w:hAnsiTheme="minorHAnsi"/>
          <w:szCs w:val="24"/>
        </w:rPr>
        <w:t>A</w:t>
      </w:r>
      <w:r>
        <w:rPr>
          <w:rFonts w:asciiTheme="minorHAnsi" w:hAnsiTheme="minorHAnsi"/>
          <w:szCs w:val="24"/>
        </w:rPr>
        <w:t xml:space="preserve">s a general </w:t>
      </w:r>
      <w:r w:rsidRPr="00E17340">
        <w:rPr>
          <w:rFonts w:asciiTheme="minorHAnsi" w:hAnsiTheme="minorHAnsi"/>
          <w:szCs w:val="24"/>
          <w:u w:val="single"/>
        </w:rPr>
        <w:t>conclusion</w:t>
      </w:r>
      <w:r>
        <w:rPr>
          <w:rFonts w:asciiTheme="minorHAnsi" w:hAnsiTheme="minorHAnsi"/>
          <w:szCs w:val="24"/>
        </w:rPr>
        <w:t xml:space="preserve">, reasonable assurance was provided that the established </w:t>
      </w:r>
      <w:r w:rsidRPr="00B26FE8">
        <w:rPr>
          <w:rFonts w:asciiTheme="minorHAnsi" w:hAnsiTheme="minorHAnsi"/>
          <w:szCs w:val="24"/>
        </w:rPr>
        <w:t>processes provid</w:t>
      </w:r>
      <w:r>
        <w:rPr>
          <w:rFonts w:asciiTheme="minorHAnsi" w:hAnsiTheme="minorHAnsi"/>
          <w:szCs w:val="24"/>
        </w:rPr>
        <w:t xml:space="preserve">e </w:t>
      </w:r>
      <w:r w:rsidRPr="00B26FE8">
        <w:rPr>
          <w:rFonts w:asciiTheme="minorHAnsi" w:hAnsiTheme="minorHAnsi"/>
          <w:szCs w:val="24"/>
        </w:rPr>
        <w:t>adequate safeguards as to the ITU’s and staff’s responsibilities towards the UNJSPF</w:t>
      </w:r>
      <w:r w:rsidR="002F2331">
        <w:rPr>
          <w:rFonts w:asciiTheme="minorHAnsi" w:hAnsiTheme="minorHAnsi"/>
          <w:szCs w:val="24"/>
        </w:rPr>
        <w:t>.</w:t>
      </w:r>
    </w:p>
    <w:p w14:paraId="7666DA29" w14:textId="77777777" w:rsidR="00B42712" w:rsidRDefault="00B42712" w:rsidP="009A2DDE">
      <w:pPr>
        <w:pStyle w:val="FootnoteText"/>
        <w:keepLines w:val="0"/>
        <w:numPr>
          <w:ilvl w:val="0"/>
          <w:numId w:val="12"/>
        </w:numPr>
        <w:tabs>
          <w:tab w:val="clear" w:pos="256"/>
          <w:tab w:val="clear" w:pos="567"/>
          <w:tab w:val="clear" w:pos="1134"/>
          <w:tab w:val="clear" w:pos="1701"/>
          <w:tab w:val="clear" w:pos="2268"/>
          <w:tab w:val="clear" w:pos="2835"/>
        </w:tabs>
        <w:snapToGrid w:val="0"/>
        <w:spacing w:before="240" w:after="120"/>
        <w:ind w:firstLine="0"/>
        <w:rPr>
          <w:b/>
          <w:bCs/>
          <w:i/>
          <w:iCs/>
          <w:szCs w:val="24"/>
        </w:rPr>
      </w:pPr>
      <w:r>
        <w:rPr>
          <w:b/>
          <w:bCs/>
          <w:i/>
          <w:iCs/>
          <w:szCs w:val="24"/>
        </w:rPr>
        <w:t xml:space="preserve">Audit of the </w:t>
      </w:r>
      <w:r w:rsidR="00905DEC">
        <w:rPr>
          <w:b/>
          <w:bCs/>
          <w:i/>
          <w:iCs/>
          <w:szCs w:val="24"/>
        </w:rPr>
        <w:t>Africa Regional and Area Offices</w:t>
      </w:r>
    </w:p>
    <w:p w14:paraId="62CC3C92" w14:textId="5AF0F0F3" w:rsidR="00DF1E0A" w:rsidRPr="00B26FE8" w:rsidRDefault="00520D9F" w:rsidP="009202E8">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szCs w:val="24"/>
        </w:rPr>
      </w:pPr>
      <w:r w:rsidRPr="00905D54">
        <w:rPr>
          <w:rFonts w:asciiTheme="minorHAnsi" w:hAnsiTheme="minorHAnsi" w:cs="Calibri"/>
          <w:szCs w:val="24"/>
        </w:rPr>
        <w:t xml:space="preserve">The </w:t>
      </w:r>
      <w:r w:rsidR="0086072E" w:rsidRPr="00B26FE8">
        <w:rPr>
          <w:rFonts w:asciiTheme="minorHAnsi" w:hAnsiTheme="minorHAnsi"/>
          <w:szCs w:val="24"/>
          <w:u w:val="single"/>
        </w:rPr>
        <w:t>purpose</w:t>
      </w:r>
      <w:r w:rsidR="008C68C2">
        <w:rPr>
          <w:rFonts w:asciiTheme="minorHAnsi" w:hAnsiTheme="minorHAnsi"/>
          <w:szCs w:val="24"/>
          <w:u w:val="single"/>
        </w:rPr>
        <w:t>s</w:t>
      </w:r>
      <w:r w:rsidR="008C68C2">
        <w:rPr>
          <w:rFonts w:asciiTheme="minorHAnsi" w:hAnsiTheme="minorHAnsi"/>
          <w:szCs w:val="24"/>
        </w:rPr>
        <w:t xml:space="preserve"> of the audit were</w:t>
      </w:r>
      <w:r w:rsidR="0086072E" w:rsidRPr="00B26FE8">
        <w:rPr>
          <w:rFonts w:asciiTheme="minorHAnsi" w:hAnsiTheme="minorHAnsi"/>
          <w:szCs w:val="24"/>
        </w:rPr>
        <w:t xml:space="preserve"> to assess the internal controls in place at </w:t>
      </w:r>
      <w:r w:rsidR="002F2331">
        <w:rPr>
          <w:rFonts w:asciiTheme="minorHAnsi" w:hAnsiTheme="minorHAnsi"/>
          <w:szCs w:val="24"/>
        </w:rPr>
        <w:t>the Africa Regional office in Addis Ababa, Ethiopia (</w:t>
      </w:r>
      <w:r w:rsidR="0086072E" w:rsidRPr="00B26FE8">
        <w:rPr>
          <w:rFonts w:asciiTheme="minorHAnsi" w:hAnsiTheme="minorHAnsi"/>
          <w:szCs w:val="24"/>
        </w:rPr>
        <w:t>AFR/RO/ADD</w:t>
      </w:r>
      <w:r w:rsidR="002F2331">
        <w:rPr>
          <w:rFonts w:asciiTheme="minorHAnsi" w:hAnsiTheme="minorHAnsi"/>
          <w:szCs w:val="24"/>
        </w:rPr>
        <w:t>)</w:t>
      </w:r>
      <w:r w:rsidR="0086072E" w:rsidRPr="00B26FE8">
        <w:rPr>
          <w:rFonts w:asciiTheme="minorHAnsi" w:hAnsiTheme="minorHAnsi"/>
          <w:szCs w:val="24"/>
        </w:rPr>
        <w:t xml:space="preserve"> and </w:t>
      </w:r>
      <w:r w:rsidR="002F2331">
        <w:rPr>
          <w:rFonts w:asciiTheme="minorHAnsi" w:hAnsiTheme="minorHAnsi"/>
          <w:szCs w:val="24"/>
        </w:rPr>
        <w:t>the Area Office in Harare, Zimbabwe (</w:t>
      </w:r>
      <w:r w:rsidR="0086072E" w:rsidRPr="00B26FE8">
        <w:rPr>
          <w:rFonts w:asciiTheme="minorHAnsi" w:hAnsiTheme="minorHAnsi"/>
          <w:szCs w:val="24"/>
        </w:rPr>
        <w:t>AFR/AO/HAR</w:t>
      </w:r>
      <w:r w:rsidR="002F2331">
        <w:rPr>
          <w:rFonts w:asciiTheme="minorHAnsi" w:hAnsiTheme="minorHAnsi"/>
          <w:szCs w:val="24"/>
        </w:rPr>
        <w:t>)</w:t>
      </w:r>
      <w:r w:rsidR="0086072E" w:rsidRPr="00B26FE8">
        <w:rPr>
          <w:rFonts w:asciiTheme="minorHAnsi" w:hAnsiTheme="minorHAnsi"/>
          <w:szCs w:val="24"/>
        </w:rPr>
        <w:t xml:space="preserve">; and to review the adequacy of the applicable regulations and rules, to verify the compliance of selected transactions with applicable policies and procedures, and to assess whether the activities conducted </w:t>
      </w:r>
      <w:r w:rsidR="0090112E">
        <w:rPr>
          <w:rFonts w:asciiTheme="minorHAnsi" w:hAnsiTheme="minorHAnsi"/>
          <w:szCs w:val="24"/>
        </w:rPr>
        <w:t>we</w:t>
      </w:r>
      <w:r w:rsidR="0086072E" w:rsidRPr="00B26FE8">
        <w:rPr>
          <w:rFonts w:asciiTheme="minorHAnsi" w:hAnsiTheme="minorHAnsi"/>
          <w:szCs w:val="24"/>
        </w:rPr>
        <w:t xml:space="preserve">re in line with the principles of efficient, effective and economical use of the </w:t>
      </w:r>
      <w:r w:rsidR="0086072E" w:rsidRPr="00B26FE8">
        <w:rPr>
          <w:rFonts w:asciiTheme="minorHAnsi" w:hAnsiTheme="minorHAnsi"/>
          <w:szCs w:val="24"/>
        </w:rPr>
        <w:lastRenderedPageBreak/>
        <w:t>Union’s resources</w:t>
      </w:r>
      <w:r w:rsidR="00E17340">
        <w:rPr>
          <w:rFonts w:asciiTheme="minorHAnsi" w:hAnsiTheme="minorHAnsi"/>
          <w:szCs w:val="24"/>
        </w:rPr>
        <w:t xml:space="preserve">. The </w:t>
      </w:r>
      <w:r w:rsidRPr="00905D54">
        <w:rPr>
          <w:rFonts w:asciiTheme="minorHAnsi" w:hAnsiTheme="minorHAnsi" w:cs="Calibri"/>
          <w:szCs w:val="24"/>
          <w:u w:val="single"/>
        </w:rPr>
        <w:t>scope</w:t>
      </w:r>
      <w:r w:rsidRPr="00905D54">
        <w:rPr>
          <w:rFonts w:asciiTheme="minorHAnsi" w:hAnsiTheme="minorHAnsi" w:cs="Calibri"/>
          <w:szCs w:val="24"/>
        </w:rPr>
        <w:t xml:space="preserve"> of the audit </w:t>
      </w:r>
      <w:r w:rsidR="00E17340" w:rsidRPr="00B26FE8">
        <w:rPr>
          <w:rFonts w:asciiTheme="minorHAnsi" w:hAnsiTheme="minorHAnsi"/>
          <w:szCs w:val="24"/>
        </w:rPr>
        <w:t xml:space="preserve">encompassed </w:t>
      </w:r>
      <w:r w:rsidR="0090112E">
        <w:rPr>
          <w:rFonts w:asciiTheme="minorHAnsi" w:hAnsiTheme="minorHAnsi"/>
          <w:szCs w:val="24"/>
        </w:rPr>
        <w:t>t</w:t>
      </w:r>
      <w:r w:rsidR="0090112E">
        <w:rPr>
          <w:rFonts w:asciiTheme="minorHAnsi" w:hAnsiTheme="minorHAnsi" w:cs="Arial"/>
          <w:szCs w:val="24"/>
        </w:rPr>
        <w:t>he time period</w:t>
      </w:r>
      <w:r w:rsidR="00E17340" w:rsidRPr="00B26FE8">
        <w:rPr>
          <w:rFonts w:asciiTheme="minorHAnsi" w:hAnsiTheme="minorHAnsi" w:cs="Arial"/>
          <w:szCs w:val="24"/>
        </w:rPr>
        <w:t xml:space="preserve"> </w:t>
      </w:r>
      <w:r w:rsidR="0090112E">
        <w:rPr>
          <w:rFonts w:asciiTheme="minorHAnsi" w:hAnsiTheme="minorHAnsi" w:cs="Arial"/>
          <w:szCs w:val="24"/>
        </w:rPr>
        <w:t xml:space="preserve">from </w:t>
      </w:r>
      <w:r w:rsidR="00E17340" w:rsidRPr="00B26FE8">
        <w:rPr>
          <w:rFonts w:asciiTheme="minorHAnsi" w:hAnsiTheme="minorHAnsi"/>
          <w:szCs w:val="24"/>
        </w:rPr>
        <w:t>January 2012 to September 2014. I</w:t>
      </w:r>
      <w:r w:rsidR="002F2331">
        <w:rPr>
          <w:rFonts w:asciiTheme="minorHAnsi" w:hAnsiTheme="minorHAnsi"/>
          <w:szCs w:val="24"/>
        </w:rPr>
        <w:t xml:space="preserve">nternal </w:t>
      </w:r>
      <w:r w:rsidR="00E17340" w:rsidRPr="00B26FE8">
        <w:rPr>
          <w:rFonts w:asciiTheme="minorHAnsi" w:hAnsiTheme="minorHAnsi"/>
          <w:szCs w:val="24"/>
        </w:rPr>
        <w:t>A</w:t>
      </w:r>
      <w:r w:rsidR="002F2331">
        <w:rPr>
          <w:rFonts w:asciiTheme="minorHAnsi" w:hAnsiTheme="minorHAnsi"/>
          <w:szCs w:val="24"/>
        </w:rPr>
        <w:t>udit</w:t>
      </w:r>
      <w:r w:rsidR="00E17340" w:rsidRPr="00B26FE8">
        <w:rPr>
          <w:rFonts w:asciiTheme="minorHAnsi" w:hAnsiTheme="minorHAnsi"/>
          <w:szCs w:val="24"/>
        </w:rPr>
        <w:t xml:space="preserve"> already included the review of some documents from the Area Office of Dakar</w:t>
      </w:r>
      <w:r w:rsidR="002F2331">
        <w:rPr>
          <w:rFonts w:asciiTheme="minorHAnsi" w:hAnsiTheme="minorHAnsi"/>
          <w:szCs w:val="24"/>
        </w:rPr>
        <w:t>, Senegal (AFR/AO/DAK</w:t>
      </w:r>
      <w:r w:rsidR="00E17340" w:rsidRPr="00B26FE8">
        <w:rPr>
          <w:rFonts w:asciiTheme="minorHAnsi" w:hAnsiTheme="minorHAnsi"/>
          <w:szCs w:val="24"/>
        </w:rPr>
        <w:t>) and the Area Office of Yaoundé</w:t>
      </w:r>
      <w:r w:rsidR="002F2331">
        <w:rPr>
          <w:rFonts w:asciiTheme="minorHAnsi" w:hAnsiTheme="minorHAnsi"/>
          <w:szCs w:val="24"/>
        </w:rPr>
        <w:t>, Cameroon (AFR/AO/YAO</w:t>
      </w:r>
      <w:r w:rsidR="00E17340" w:rsidRPr="00B26FE8">
        <w:rPr>
          <w:rFonts w:asciiTheme="minorHAnsi" w:hAnsiTheme="minorHAnsi"/>
          <w:szCs w:val="24"/>
        </w:rPr>
        <w:t>) whenever these documents where readily available from ITU</w:t>
      </w:r>
      <w:r w:rsidR="002F2331">
        <w:rPr>
          <w:rFonts w:asciiTheme="minorHAnsi" w:hAnsiTheme="minorHAnsi"/>
          <w:szCs w:val="24"/>
        </w:rPr>
        <w:t xml:space="preserve"> Headquarters</w:t>
      </w:r>
      <w:r w:rsidR="00E17340" w:rsidRPr="00B26FE8">
        <w:rPr>
          <w:rFonts w:asciiTheme="minorHAnsi" w:hAnsiTheme="minorHAnsi"/>
          <w:szCs w:val="24"/>
        </w:rPr>
        <w:t xml:space="preserve"> </w:t>
      </w:r>
      <w:r w:rsidR="002F2331">
        <w:rPr>
          <w:rFonts w:asciiTheme="minorHAnsi" w:hAnsiTheme="minorHAnsi"/>
          <w:szCs w:val="24"/>
        </w:rPr>
        <w:t xml:space="preserve">(ITU/HQ), </w:t>
      </w:r>
      <w:r w:rsidR="00E17340" w:rsidRPr="00B26FE8">
        <w:rPr>
          <w:rFonts w:asciiTheme="minorHAnsi" w:hAnsiTheme="minorHAnsi"/>
          <w:szCs w:val="24"/>
        </w:rPr>
        <w:t xml:space="preserve">e.g.: </w:t>
      </w:r>
      <w:r w:rsidR="009202E8">
        <w:rPr>
          <w:rFonts w:asciiTheme="minorHAnsi" w:hAnsiTheme="minorHAnsi"/>
          <w:szCs w:val="24"/>
        </w:rPr>
        <w:t>p</w:t>
      </w:r>
      <w:r w:rsidR="00E17340" w:rsidRPr="00B26FE8">
        <w:rPr>
          <w:rFonts w:asciiTheme="minorHAnsi" w:hAnsiTheme="minorHAnsi"/>
          <w:szCs w:val="24"/>
        </w:rPr>
        <w:t xml:space="preserve">etty </w:t>
      </w:r>
      <w:r w:rsidR="009202E8">
        <w:rPr>
          <w:rFonts w:asciiTheme="minorHAnsi" w:hAnsiTheme="minorHAnsi"/>
          <w:szCs w:val="24"/>
        </w:rPr>
        <w:t>c</w:t>
      </w:r>
      <w:r w:rsidR="00E17340" w:rsidRPr="00B26FE8">
        <w:rPr>
          <w:rFonts w:asciiTheme="minorHAnsi" w:hAnsiTheme="minorHAnsi"/>
          <w:szCs w:val="24"/>
        </w:rPr>
        <w:t xml:space="preserve">ash reports, </w:t>
      </w:r>
      <w:r w:rsidR="009202E8">
        <w:rPr>
          <w:rFonts w:asciiTheme="minorHAnsi" w:hAnsiTheme="minorHAnsi"/>
          <w:szCs w:val="24"/>
        </w:rPr>
        <w:t>h</w:t>
      </w:r>
      <w:r w:rsidR="00E17340" w:rsidRPr="00B26FE8">
        <w:rPr>
          <w:rFonts w:asciiTheme="minorHAnsi" w:hAnsiTheme="minorHAnsi"/>
          <w:szCs w:val="24"/>
        </w:rPr>
        <w:t xml:space="preserve">ost </w:t>
      </w:r>
      <w:r w:rsidR="009202E8">
        <w:rPr>
          <w:rFonts w:asciiTheme="minorHAnsi" w:hAnsiTheme="minorHAnsi"/>
          <w:szCs w:val="24"/>
        </w:rPr>
        <w:t>c</w:t>
      </w:r>
      <w:r w:rsidR="00E17340" w:rsidRPr="00B26FE8">
        <w:rPr>
          <w:rFonts w:asciiTheme="minorHAnsi" w:hAnsiTheme="minorHAnsi"/>
          <w:szCs w:val="24"/>
        </w:rPr>
        <w:t xml:space="preserve">ountry </w:t>
      </w:r>
      <w:r w:rsidR="009202E8">
        <w:rPr>
          <w:rFonts w:asciiTheme="minorHAnsi" w:hAnsiTheme="minorHAnsi"/>
          <w:szCs w:val="24"/>
        </w:rPr>
        <w:t>a</w:t>
      </w:r>
      <w:r w:rsidR="00E17340" w:rsidRPr="00B26FE8">
        <w:rPr>
          <w:rFonts w:asciiTheme="minorHAnsi" w:hAnsiTheme="minorHAnsi"/>
          <w:szCs w:val="24"/>
        </w:rPr>
        <w:t>greements, etc.</w:t>
      </w:r>
      <w:r w:rsidR="009202E8">
        <w:rPr>
          <w:rFonts w:asciiTheme="minorHAnsi" w:hAnsiTheme="minorHAnsi"/>
          <w:szCs w:val="24"/>
        </w:rPr>
        <w:t>,</w:t>
      </w:r>
      <w:r w:rsidR="00E17340" w:rsidRPr="00B26FE8">
        <w:rPr>
          <w:rFonts w:asciiTheme="minorHAnsi" w:hAnsiTheme="minorHAnsi"/>
          <w:szCs w:val="24"/>
        </w:rPr>
        <w:t xml:space="preserve"> but decided to conduct the audit of AFR/AO/DAK and AFR/AO/YAO at a later stage</w:t>
      </w:r>
      <w:r w:rsidR="00916353">
        <w:rPr>
          <w:rFonts w:asciiTheme="minorHAnsi" w:hAnsiTheme="minorHAnsi"/>
          <w:szCs w:val="24"/>
        </w:rPr>
        <w:t>.</w:t>
      </w:r>
    </w:p>
    <w:p w14:paraId="503C999C" w14:textId="77777777" w:rsidR="00394E7B" w:rsidRDefault="00394E7B" w:rsidP="00751F3B">
      <w:pPr>
        <w:pStyle w:val="ListParagraph"/>
        <w:keepNext/>
        <w:keepLines/>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rPr>
      </w:pPr>
      <w:r>
        <w:rPr>
          <w:rFonts w:asciiTheme="minorHAnsi" w:hAnsiTheme="minorHAnsi"/>
        </w:rPr>
        <w:t>Internal Audit’</w:t>
      </w:r>
      <w:r w:rsidR="003E55DC">
        <w:rPr>
          <w:rFonts w:asciiTheme="minorHAnsi" w:hAnsiTheme="minorHAnsi"/>
        </w:rPr>
        <w:t>s observations,</w:t>
      </w:r>
      <w:r>
        <w:rPr>
          <w:rFonts w:asciiTheme="minorHAnsi" w:hAnsiTheme="minorHAnsi"/>
        </w:rPr>
        <w:t xml:space="preserve"> high priority recommendations</w:t>
      </w:r>
      <w:r w:rsidR="009202E8">
        <w:rPr>
          <w:rFonts w:asciiTheme="minorHAnsi" w:hAnsiTheme="minorHAnsi"/>
        </w:rPr>
        <w:t>,</w:t>
      </w:r>
      <w:r>
        <w:rPr>
          <w:rFonts w:asciiTheme="minorHAnsi" w:hAnsiTheme="minorHAnsi"/>
        </w:rPr>
        <w:t xml:space="preserve"> and Management</w:t>
      </w:r>
      <w:r w:rsidR="002F2331">
        <w:rPr>
          <w:rFonts w:asciiTheme="minorHAnsi" w:hAnsiTheme="minorHAnsi"/>
        </w:rPr>
        <w:t>’s</w:t>
      </w:r>
      <w:r>
        <w:rPr>
          <w:rFonts w:asciiTheme="minorHAnsi" w:hAnsiTheme="minorHAnsi"/>
        </w:rPr>
        <w:t xml:space="preserve"> comments:</w:t>
      </w:r>
    </w:p>
    <w:p w14:paraId="3FDDD714" w14:textId="23A7FD5E" w:rsidR="002F2331" w:rsidRPr="002F2331" w:rsidRDefault="002F2331" w:rsidP="00751F3B">
      <w:pPr>
        <w:pStyle w:val="ListParagraph"/>
        <w:keepNext/>
        <w:keepLines/>
        <w:numPr>
          <w:ilvl w:val="0"/>
          <w:numId w:val="10"/>
        </w:numPr>
        <w:tabs>
          <w:tab w:val="clear" w:pos="794"/>
          <w:tab w:val="clear" w:pos="1191"/>
          <w:tab w:val="clear" w:pos="1588"/>
          <w:tab w:val="clear" w:pos="1985"/>
        </w:tabs>
        <w:snapToGrid w:val="0"/>
        <w:spacing w:after="120"/>
        <w:ind w:left="709" w:hanging="425"/>
        <w:contextualSpacing w:val="0"/>
        <w:jc w:val="both"/>
        <w:rPr>
          <w:rFonts w:asciiTheme="minorHAnsi" w:hAnsiTheme="minorHAnsi"/>
        </w:rPr>
      </w:pPr>
      <w:r>
        <w:rPr>
          <w:rFonts w:asciiTheme="minorHAnsi" w:hAnsiTheme="minorHAnsi"/>
          <w:szCs w:val="24"/>
        </w:rPr>
        <w:t>B</w:t>
      </w:r>
      <w:r w:rsidRPr="00B26FE8">
        <w:rPr>
          <w:rFonts w:asciiTheme="minorHAnsi" w:hAnsiTheme="minorHAnsi"/>
          <w:szCs w:val="24"/>
        </w:rPr>
        <w:t xml:space="preserve">ank signatories for the bank of </w:t>
      </w:r>
      <w:r w:rsidRPr="00B26FE8">
        <w:rPr>
          <w:rFonts w:asciiTheme="minorHAnsi" w:hAnsiTheme="minorHAnsi" w:cs="Arial"/>
          <w:szCs w:val="24"/>
        </w:rPr>
        <w:t xml:space="preserve">AFR/AO/HAR </w:t>
      </w:r>
      <w:r>
        <w:rPr>
          <w:rFonts w:asciiTheme="minorHAnsi" w:hAnsiTheme="minorHAnsi" w:cs="Arial"/>
          <w:szCs w:val="24"/>
        </w:rPr>
        <w:t>were not up</w:t>
      </w:r>
      <w:r w:rsidR="009202E8">
        <w:rPr>
          <w:rFonts w:asciiTheme="minorHAnsi" w:hAnsiTheme="minorHAnsi" w:cs="Arial"/>
          <w:szCs w:val="24"/>
        </w:rPr>
        <w:t>-</w:t>
      </w:r>
      <w:r>
        <w:rPr>
          <w:rFonts w:asciiTheme="minorHAnsi" w:hAnsiTheme="minorHAnsi" w:cs="Arial"/>
          <w:szCs w:val="24"/>
        </w:rPr>
        <w:t>to</w:t>
      </w:r>
      <w:r w:rsidR="009202E8">
        <w:rPr>
          <w:rFonts w:asciiTheme="minorHAnsi" w:hAnsiTheme="minorHAnsi" w:cs="Arial"/>
          <w:szCs w:val="24"/>
        </w:rPr>
        <w:t>-</w:t>
      </w:r>
      <w:r>
        <w:rPr>
          <w:rFonts w:asciiTheme="minorHAnsi" w:hAnsiTheme="minorHAnsi" w:cs="Arial"/>
          <w:szCs w:val="24"/>
        </w:rPr>
        <w:t xml:space="preserve">date and it was recommended to bring them </w:t>
      </w:r>
      <w:r w:rsidRPr="00B26FE8">
        <w:rPr>
          <w:rFonts w:asciiTheme="minorHAnsi" w:hAnsiTheme="minorHAnsi" w:cs="Arial"/>
          <w:szCs w:val="24"/>
        </w:rPr>
        <w:t xml:space="preserve">in line with the ITU Financial Regulations and Rules. </w:t>
      </w:r>
      <w:r>
        <w:rPr>
          <w:rFonts w:asciiTheme="minorHAnsi" w:hAnsiTheme="minorHAnsi" w:cs="Arial"/>
          <w:szCs w:val="24"/>
        </w:rPr>
        <w:t xml:space="preserve">Management commented that </w:t>
      </w:r>
      <w:r w:rsidRPr="00B26FE8">
        <w:rPr>
          <w:rFonts w:asciiTheme="minorHAnsi" w:hAnsiTheme="minorHAnsi" w:cs="Arial"/>
          <w:szCs w:val="24"/>
        </w:rPr>
        <w:t xml:space="preserve">this </w:t>
      </w:r>
      <w:r>
        <w:rPr>
          <w:rFonts w:asciiTheme="minorHAnsi" w:hAnsiTheme="minorHAnsi" w:cs="Arial"/>
          <w:szCs w:val="24"/>
        </w:rPr>
        <w:t>was</w:t>
      </w:r>
      <w:r w:rsidRPr="00B26FE8">
        <w:rPr>
          <w:rFonts w:asciiTheme="minorHAnsi" w:hAnsiTheme="minorHAnsi" w:cs="Arial"/>
          <w:szCs w:val="24"/>
        </w:rPr>
        <w:t xml:space="preserve"> being dealt with</w:t>
      </w:r>
      <w:r>
        <w:rPr>
          <w:rFonts w:asciiTheme="minorHAnsi" w:hAnsiTheme="minorHAnsi" w:cs="Arial"/>
          <w:szCs w:val="24"/>
        </w:rPr>
        <w:t>.</w:t>
      </w:r>
    </w:p>
    <w:p w14:paraId="3C90F933" w14:textId="77777777" w:rsidR="002F2331" w:rsidRPr="002F2331" w:rsidRDefault="002F2331" w:rsidP="009A2DDE">
      <w:pPr>
        <w:pStyle w:val="ListParagraph"/>
        <w:numPr>
          <w:ilvl w:val="0"/>
          <w:numId w:val="10"/>
        </w:numPr>
        <w:tabs>
          <w:tab w:val="clear" w:pos="794"/>
          <w:tab w:val="clear" w:pos="1191"/>
          <w:tab w:val="clear" w:pos="1588"/>
          <w:tab w:val="clear" w:pos="1985"/>
        </w:tabs>
        <w:snapToGrid w:val="0"/>
        <w:spacing w:after="120"/>
        <w:ind w:left="709" w:hanging="425"/>
        <w:contextualSpacing w:val="0"/>
        <w:jc w:val="both"/>
        <w:rPr>
          <w:rFonts w:asciiTheme="minorHAnsi" w:hAnsiTheme="minorHAnsi"/>
        </w:rPr>
      </w:pPr>
      <w:r>
        <w:rPr>
          <w:rFonts w:asciiTheme="minorHAnsi" w:hAnsiTheme="minorHAnsi" w:cs="Arial"/>
          <w:szCs w:val="24"/>
        </w:rPr>
        <w:t>There was no harmonized approach for the use and reporting of petty cash and it was recommended t</w:t>
      </w:r>
      <w:r w:rsidR="0090112E">
        <w:rPr>
          <w:rFonts w:asciiTheme="minorHAnsi" w:hAnsiTheme="minorHAnsi" w:cs="Arial"/>
          <w:szCs w:val="24"/>
        </w:rPr>
        <w:t xml:space="preserve">hat a common </w:t>
      </w:r>
      <w:r>
        <w:rPr>
          <w:rFonts w:asciiTheme="minorHAnsi" w:hAnsiTheme="minorHAnsi" w:cs="Arial"/>
          <w:szCs w:val="24"/>
        </w:rPr>
        <w:t>approach be established amongst all offices. Management commented that it had started working on this and further work would be undertaken in 2015.</w:t>
      </w:r>
    </w:p>
    <w:p w14:paraId="20B4F8B0" w14:textId="7EAFBDDC" w:rsidR="002F2331" w:rsidRPr="00485DDC" w:rsidRDefault="002F2331" w:rsidP="009A2DDE">
      <w:pPr>
        <w:pStyle w:val="ListParagraph"/>
        <w:numPr>
          <w:ilvl w:val="0"/>
          <w:numId w:val="10"/>
        </w:numPr>
        <w:tabs>
          <w:tab w:val="clear" w:pos="794"/>
          <w:tab w:val="clear" w:pos="1191"/>
          <w:tab w:val="clear" w:pos="1588"/>
          <w:tab w:val="clear" w:pos="1985"/>
        </w:tabs>
        <w:snapToGrid w:val="0"/>
        <w:spacing w:after="120"/>
        <w:ind w:left="709" w:hanging="425"/>
        <w:contextualSpacing w:val="0"/>
        <w:jc w:val="both"/>
        <w:rPr>
          <w:rFonts w:asciiTheme="minorHAnsi" w:hAnsiTheme="minorHAnsi"/>
        </w:rPr>
      </w:pPr>
      <w:r>
        <w:rPr>
          <w:rFonts w:asciiTheme="minorHAnsi" w:hAnsiTheme="minorHAnsi" w:cs="Arial"/>
          <w:szCs w:val="24"/>
        </w:rPr>
        <w:t xml:space="preserve">Several security </w:t>
      </w:r>
      <w:r w:rsidRPr="00B26FE8">
        <w:rPr>
          <w:rFonts w:asciiTheme="minorHAnsi" w:hAnsiTheme="minorHAnsi" w:cs="Arial"/>
          <w:szCs w:val="24"/>
        </w:rPr>
        <w:t xml:space="preserve">deficiencies </w:t>
      </w:r>
      <w:r>
        <w:rPr>
          <w:rFonts w:asciiTheme="minorHAnsi" w:hAnsiTheme="minorHAnsi" w:cs="Arial"/>
          <w:szCs w:val="24"/>
        </w:rPr>
        <w:t xml:space="preserve">were </w:t>
      </w:r>
      <w:r w:rsidRPr="00B26FE8">
        <w:rPr>
          <w:rFonts w:asciiTheme="minorHAnsi" w:hAnsiTheme="minorHAnsi" w:cs="Arial"/>
          <w:szCs w:val="24"/>
        </w:rPr>
        <w:t>found in the premises of the regional and area office</w:t>
      </w:r>
      <w:r>
        <w:rPr>
          <w:rFonts w:asciiTheme="minorHAnsi" w:hAnsiTheme="minorHAnsi" w:cs="Arial"/>
          <w:szCs w:val="24"/>
        </w:rPr>
        <w:t>s that were vis</w:t>
      </w:r>
      <w:r w:rsidR="0090112E">
        <w:rPr>
          <w:rFonts w:asciiTheme="minorHAnsi" w:hAnsiTheme="minorHAnsi" w:cs="Arial"/>
          <w:szCs w:val="24"/>
        </w:rPr>
        <w:t>ited and it was recommended</w:t>
      </w:r>
      <w:r>
        <w:rPr>
          <w:rFonts w:asciiTheme="minorHAnsi" w:hAnsiTheme="minorHAnsi" w:cs="Arial"/>
          <w:szCs w:val="24"/>
        </w:rPr>
        <w:t xml:space="preserve"> to address these and</w:t>
      </w:r>
      <w:r w:rsidRPr="00B26FE8">
        <w:rPr>
          <w:rFonts w:asciiTheme="minorHAnsi" w:hAnsiTheme="minorHAnsi" w:cs="Arial"/>
          <w:szCs w:val="24"/>
        </w:rPr>
        <w:t xml:space="preserve"> to achieve compliance with relevant UN security standards. </w:t>
      </w:r>
      <w:r>
        <w:rPr>
          <w:rFonts w:asciiTheme="minorHAnsi" w:hAnsiTheme="minorHAnsi" w:cs="Arial"/>
          <w:szCs w:val="24"/>
        </w:rPr>
        <w:t xml:space="preserve">Management commented that work on this had started </w:t>
      </w:r>
      <w:r w:rsidRPr="00B26FE8">
        <w:rPr>
          <w:rFonts w:asciiTheme="minorHAnsi" w:hAnsiTheme="minorHAnsi" w:cs="Arial"/>
          <w:szCs w:val="24"/>
        </w:rPr>
        <w:t xml:space="preserve">in conjunction with the relevant </w:t>
      </w:r>
      <w:r w:rsidR="009202E8">
        <w:rPr>
          <w:rFonts w:asciiTheme="minorHAnsi" w:hAnsiTheme="minorHAnsi" w:cs="Arial"/>
          <w:szCs w:val="24"/>
        </w:rPr>
        <w:t>d</w:t>
      </w:r>
      <w:r w:rsidRPr="00B26FE8">
        <w:rPr>
          <w:rFonts w:asciiTheme="minorHAnsi" w:hAnsiTheme="minorHAnsi" w:cs="Arial"/>
          <w:szCs w:val="24"/>
        </w:rPr>
        <w:t>ivisions at ITU/HQ</w:t>
      </w:r>
      <w:r w:rsidR="00485DDC">
        <w:rPr>
          <w:rFonts w:asciiTheme="minorHAnsi" w:hAnsiTheme="minorHAnsi" w:cs="Arial"/>
          <w:szCs w:val="24"/>
        </w:rPr>
        <w:t>.</w:t>
      </w:r>
    </w:p>
    <w:p w14:paraId="59B545A3" w14:textId="77777777" w:rsidR="00411C0D" w:rsidRPr="00411C0D" w:rsidRDefault="00485DDC" w:rsidP="009A2DDE">
      <w:pPr>
        <w:pStyle w:val="ListParagraph"/>
        <w:numPr>
          <w:ilvl w:val="0"/>
          <w:numId w:val="10"/>
        </w:numPr>
        <w:tabs>
          <w:tab w:val="clear" w:pos="794"/>
          <w:tab w:val="clear" w:pos="1191"/>
          <w:tab w:val="clear" w:pos="1588"/>
          <w:tab w:val="clear" w:pos="1985"/>
        </w:tabs>
        <w:snapToGrid w:val="0"/>
        <w:spacing w:after="120"/>
        <w:ind w:left="709" w:hanging="425"/>
        <w:contextualSpacing w:val="0"/>
        <w:jc w:val="both"/>
        <w:rPr>
          <w:rFonts w:asciiTheme="minorHAnsi" w:hAnsiTheme="minorHAnsi"/>
        </w:rPr>
      </w:pPr>
      <w:r>
        <w:rPr>
          <w:rFonts w:asciiTheme="minorHAnsi" w:hAnsiTheme="minorHAnsi"/>
        </w:rPr>
        <w:t xml:space="preserve">Other areas of concern were related to </w:t>
      </w:r>
      <w:r w:rsidRPr="00485DDC">
        <w:rPr>
          <w:rFonts w:asciiTheme="minorHAnsi" w:hAnsiTheme="minorHAnsi" w:cs="Helvetica"/>
          <w:lang w:val="en-US"/>
        </w:rPr>
        <w:t>asset management</w:t>
      </w:r>
      <w:r w:rsidR="00411C0D">
        <w:rPr>
          <w:rFonts w:asciiTheme="minorHAnsi" w:hAnsiTheme="minorHAnsi" w:cs="Helvetica"/>
          <w:lang w:val="en-US"/>
        </w:rPr>
        <w:t xml:space="preserve"> and</w:t>
      </w:r>
      <w:r>
        <w:rPr>
          <w:rFonts w:asciiTheme="minorHAnsi" w:hAnsiTheme="minorHAnsi" w:cs="Helvetica"/>
          <w:lang w:val="en-US"/>
        </w:rPr>
        <w:t xml:space="preserve"> project management</w:t>
      </w:r>
      <w:r w:rsidR="00411C0D">
        <w:rPr>
          <w:rFonts w:asciiTheme="minorHAnsi" w:hAnsiTheme="minorHAnsi" w:cs="Helvetica"/>
          <w:lang w:val="en-US"/>
        </w:rPr>
        <w:t>,</w:t>
      </w:r>
      <w:r>
        <w:rPr>
          <w:rFonts w:asciiTheme="minorHAnsi" w:hAnsiTheme="minorHAnsi" w:cs="Helvetica"/>
          <w:lang w:val="en-US"/>
        </w:rPr>
        <w:t xml:space="preserve"> for which recommendations were made to address the issues. Management commented to be supportive of the recommendations and indicated that work was already underway or </w:t>
      </w:r>
      <w:r w:rsidR="00411C0D">
        <w:rPr>
          <w:rFonts w:asciiTheme="minorHAnsi" w:hAnsiTheme="minorHAnsi" w:cs="Helvetica"/>
          <w:lang w:val="en-US"/>
        </w:rPr>
        <w:t xml:space="preserve">that </w:t>
      </w:r>
      <w:r>
        <w:rPr>
          <w:rFonts w:asciiTheme="minorHAnsi" w:hAnsiTheme="minorHAnsi" w:cs="Helvetica"/>
          <w:lang w:val="en-US"/>
        </w:rPr>
        <w:t>additional clarifications and guidance</w:t>
      </w:r>
      <w:r w:rsidR="00411C0D">
        <w:rPr>
          <w:rFonts w:asciiTheme="minorHAnsi" w:hAnsiTheme="minorHAnsi" w:cs="Helvetica"/>
          <w:lang w:val="en-US"/>
        </w:rPr>
        <w:t xml:space="preserve"> were sought</w:t>
      </w:r>
      <w:r>
        <w:rPr>
          <w:rFonts w:asciiTheme="minorHAnsi" w:hAnsiTheme="minorHAnsi" w:cs="Helvetica"/>
          <w:lang w:val="en-US"/>
        </w:rPr>
        <w:t>.</w:t>
      </w:r>
    </w:p>
    <w:p w14:paraId="1A3D65EB" w14:textId="0749F81A" w:rsidR="008C68C2" w:rsidRPr="00B26FE8" w:rsidRDefault="00411C0D" w:rsidP="009202E8">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szCs w:val="24"/>
        </w:rPr>
      </w:pPr>
      <w:r w:rsidRPr="00B26FE8">
        <w:rPr>
          <w:rFonts w:asciiTheme="minorHAnsi" w:hAnsiTheme="minorHAnsi"/>
          <w:szCs w:val="24"/>
        </w:rPr>
        <w:t>A</w:t>
      </w:r>
      <w:r>
        <w:rPr>
          <w:rFonts w:asciiTheme="minorHAnsi" w:hAnsiTheme="minorHAnsi"/>
          <w:szCs w:val="24"/>
        </w:rPr>
        <w:t xml:space="preserve">s a general </w:t>
      </w:r>
      <w:r w:rsidRPr="00E17340">
        <w:rPr>
          <w:rFonts w:asciiTheme="minorHAnsi" w:hAnsiTheme="minorHAnsi"/>
          <w:szCs w:val="24"/>
          <w:u w:val="single"/>
        </w:rPr>
        <w:t>conclusion</w:t>
      </w:r>
      <w:r>
        <w:rPr>
          <w:rFonts w:asciiTheme="minorHAnsi" w:hAnsiTheme="minorHAnsi"/>
          <w:szCs w:val="24"/>
        </w:rPr>
        <w:t xml:space="preserve">, </w:t>
      </w:r>
      <w:r w:rsidR="00BA1228">
        <w:rPr>
          <w:rFonts w:asciiTheme="minorHAnsi" w:hAnsiTheme="minorHAnsi"/>
          <w:szCs w:val="24"/>
        </w:rPr>
        <w:t>no critical</w:t>
      </w:r>
      <w:r w:rsidR="009202E8">
        <w:rPr>
          <w:rFonts w:asciiTheme="minorHAnsi" w:hAnsiTheme="minorHAnsi"/>
          <w:szCs w:val="24"/>
        </w:rPr>
        <w:t xml:space="preserve"> issues</w:t>
      </w:r>
      <w:r w:rsidR="00BA1228">
        <w:rPr>
          <w:rStyle w:val="FootnoteReference"/>
          <w:szCs w:val="24"/>
        </w:rPr>
        <w:footnoteReference w:id="4"/>
      </w:r>
      <w:r w:rsidR="00BA1228">
        <w:rPr>
          <w:rFonts w:asciiTheme="minorHAnsi" w:hAnsiTheme="minorHAnsi"/>
          <w:szCs w:val="24"/>
        </w:rPr>
        <w:t xml:space="preserve"> were encountered</w:t>
      </w:r>
      <w:r w:rsidR="008C68C2">
        <w:rPr>
          <w:rFonts w:asciiTheme="minorHAnsi" w:hAnsiTheme="minorHAnsi"/>
          <w:szCs w:val="24"/>
        </w:rPr>
        <w:t xml:space="preserve">. </w:t>
      </w:r>
      <w:r w:rsidR="008C68C2" w:rsidRPr="00B26FE8">
        <w:rPr>
          <w:rFonts w:asciiTheme="minorHAnsi" w:hAnsiTheme="minorHAnsi"/>
          <w:szCs w:val="24"/>
        </w:rPr>
        <w:t>Depending on the office concerned, there is room for improvement mainly in the areas of safety and security, bank and cash management (for which ITU/HQ –</w:t>
      </w:r>
      <w:r w:rsidR="009202E8">
        <w:rPr>
          <w:rFonts w:asciiTheme="minorHAnsi" w:hAnsiTheme="minorHAnsi"/>
          <w:szCs w:val="24"/>
        </w:rPr>
        <w:t xml:space="preserve"> </w:t>
      </w:r>
      <w:r w:rsidR="008C68C2" w:rsidRPr="00B26FE8">
        <w:rPr>
          <w:rFonts w:asciiTheme="minorHAnsi" w:hAnsiTheme="minorHAnsi"/>
          <w:szCs w:val="24"/>
        </w:rPr>
        <w:t>in coordination with the RO/AO</w:t>
      </w:r>
      <w:r w:rsidR="009202E8">
        <w:rPr>
          <w:rFonts w:asciiTheme="minorHAnsi" w:hAnsiTheme="minorHAnsi"/>
          <w:szCs w:val="24"/>
        </w:rPr>
        <w:t xml:space="preserve"> –</w:t>
      </w:r>
      <w:r w:rsidR="008C68C2" w:rsidRPr="00B26FE8">
        <w:rPr>
          <w:rFonts w:asciiTheme="minorHAnsi" w:hAnsiTheme="minorHAnsi"/>
          <w:szCs w:val="24"/>
        </w:rPr>
        <w:t xml:space="preserve"> is already addressing the issues), and action/project implementation</w:t>
      </w:r>
      <w:r w:rsidR="009A2DDE">
        <w:rPr>
          <w:rFonts w:asciiTheme="minorHAnsi" w:hAnsiTheme="minorHAnsi"/>
          <w:szCs w:val="24"/>
        </w:rPr>
        <w:t>.</w:t>
      </w:r>
    </w:p>
    <w:p w14:paraId="407BAAD5" w14:textId="48F848C8" w:rsidR="008C68C2" w:rsidRDefault="008C68C2" w:rsidP="000942BE">
      <w:pPr>
        <w:pStyle w:val="FootnoteText"/>
        <w:keepLines w:val="0"/>
        <w:numPr>
          <w:ilvl w:val="0"/>
          <w:numId w:val="12"/>
        </w:numPr>
        <w:tabs>
          <w:tab w:val="clear" w:pos="256"/>
          <w:tab w:val="clear" w:pos="567"/>
          <w:tab w:val="clear" w:pos="1134"/>
          <w:tab w:val="clear" w:pos="1701"/>
          <w:tab w:val="clear" w:pos="2268"/>
          <w:tab w:val="clear" w:pos="2835"/>
        </w:tabs>
        <w:snapToGrid w:val="0"/>
        <w:spacing w:before="240" w:after="120"/>
        <w:ind w:firstLine="0"/>
        <w:rPr>
          <w:b/>
          <w:bCs/>
          <w:i/>
          <w:iCs/>
          <w:szCs w:val="24"/>
        </w:rPr>
      </w:pPr>
      <w:r>
        <w:rPr>
          <w:b/>
          <w:bCs/>
          <w:i/>
          <w:iCs/>
          <w:szCs w:val="24"/>
        </w:rPr>
        <w:t xml:space="preserve">Audit of the SAP Enterprise Resource Planning system’s </w:t>
      </w:r>
      <w:r w:rsidRPr="008C68C2">
        <w:rPr>
          <w:b/>
          <w:bCs/>
          <w:i/>
          <w:iCs/>
          <w:szCs w:val="24"/>
          <w:u w:val="single"/>
        </w:rPr>
        <w:t>Customer Relationship Management</w:t>
      </w:r>
      <w:r>
        <w:rPr>
          <w:b/>
          <w:bCs/>
          <w:i/>
          <w:iCs/>
          <w:szCs w:val="24"/>
        </w:rPr>
        <w:t xml:space="preserve"> </w:t>
      </w:r>
      <w:r w:rsidR="009202E8">
        <w:rPr>
          <w:b/>
          <w:bCs/>
          <w:i/>
          <w:iCs/>
          <w:szCs w:val="24"/>
        </w:rPr>
        <w:t xml:space="preserve">(CRM) </w:t>
      </w:r>
      <w:r w:rsidR="000942BE">
        <w:rPr>
          <w:b/>
          <w:bCs/>
          <w:i/>
          <w:iCs/>
          <w:szCs w:val="24"/>
        </w:rPr>
        <w:t xml:space="preserve">system </w:t>
      </w:r>
    </w:p>
    <w:p w14:paraId="63558BA3" w14:textId="77777777" w:rsidR="008C68C2" w:rsidRPr="00477B3F" w:rsidRDefault="008C68C2" w:rsidP="001270A1">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szCs w:val="24"/>
        </w:rPr>
      </w:pPr>
      <w:r w:rsidRPr="00477B3F">
        <w:rPr>
          <w:rFonts w:asciiTheme="minorHAnsi" w:hAnsiTheme="minorHAnsi"/>
          <w:szCs w:val="24"/>
        </w:rPr>
        <w:t xml:space="preserve">The main </w:t>
      </w:r>
      <w:r w:rsidRPr="00477B3F">
        <w:rPr>
          <w:rFonts w:asciiTheme="minorHAnsi" w:hAnsiTheme="minorHAnsi"/>
          <w:szCs w:val="24"/>
          <w:u w:val="single"/>
        </w:rPr>
        <w:t>purposes</w:t>
      </w:r>
      <w:r w:rsidRPr="00477B3F">
        <w:rPr>
          <w:rFonts w:asciiTheme="minorHAnsi" w:hAnsiTheme="minorHAnsi"/>
          <w:szCs w:val="24"/>
        </w:rPr>
        <w:t xml:space="preserve"> of the audit were </w:t>
      </w:r>
      <w:r w:rsidR="003A2BDE" w:rsidRPr="00477B3F">
        <w:rPr>
          <w:rFonts w:asciiTheme="minorHAnsi" w:hAnsiTheme="minorHAnsi"/>
        </w:rPr>
        <w:t>to review the compliance of CRM’s transactions with ITU rules and procedures and to assess CRM’s effects on the ITU secretariat’s activities.</w:t>
      </w:r>
      <w:r w:rsidR="002A211D" w:rsidRPr="00477B3F">
        <w:rPr>
          <w:rFonts w:asciiTheme="minorHAnsi" w:hAnsiTheme="minorHAnsi"/>
        </w:rPr>
        <w:t xml:space="preserve"> Th</w:t>
      </w:r>
      <w:r w:rsidR="00210CB7" w:rsidRPr="00477B3F">
        <w:rPr>
          <w:rFonts w:asciiTheme="minorHAnsi" w:hAnsiTheme="minorHAnsi"/>
        </w:rPr>
        <w:t>e scope of the audit encompassed</w:t>
      </w:r>
      <w:r w:rsidR="002A211D" w:rsidRPr="00477B3F">
        <w:rPr>
          <w:rFonts w:asciiTheme="minorHAnsi" w:hAnsiTheme="minorHAnsi"/>
        </w:rPr>
        <w:t xml:space="preserve"> the implementation of the CRM project covering activities from January 2013 to January 2015</w:t>
      </w:r>
      <w:r w:rsidR="00210CB7" w:rsidRPr="00477B3F">
        <w:rPr>
          <w:rFonts w:asciiTheme="minorHAnsi" w:hAnsiTheme="minorHAnsi"/>
        </w:rPr>
        <w:t>.</w:t>
      </w:r>
    </w:p>
    <w:p w14:paraId="63DAD962" w14:textId="77777777" w:rsidR="008C68C2" w:rsidRDefault="008C68C2" w:rsidP="001270A1">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rPr>
      </w:pPr>
      <w:r>
        <w:rPr>
          <w:rFonts w:asciiTheme="minorHAnsi" w:hAnsiTheme="minorHAnsi"/>
        </w:rPr>
        <w:t>Internal Audit’s observations, recommendations and Management’s comments:</w:t>
      </w:r>
    </w:p>
    <w:p w14:paraId="5DD27764" w14:textId="44E1B4AC" w:rsidR="00DF1E0A" w:rsidRPr="00477B3F" w:rsidRDefault="00210CB7" w:rsidP="009202E8">
      <w:pPr>
        <w:pStyle w:val="ListParagraph"/>
        <w:numPr>
          <w:ilvl w:val="0"/>
          <w:numId w:val="11"/>
        </w:numPr>
        <w:tabs>
          <w:tab w:val="clear" w:pos="794"/>
          <w:tab w:val="clear" w:pos="1191"/>
          <w:tab w:val="clear" w:pos="1588"/>
          <w:tab w:val="clear" w:pos="1985"/>
        </w:tabs>
        <w:snapToGrid w:val="0"/>
        <w:spacing w:after="120"/>
        <w:ind w:left="709" w:hanging="425"/>
        <w:contextualSpacing w:val="0"/>
        <w:jc w:val="both"/>
        <w:rPr>
          <w:rFonts w:asciiTheme="minorHAnsi" w:hAnsiTheme="minorHAnsi"/>
          <w:szCs w:val="24"/>
        </w:rPr>
      </w:pPr>
      <w:r w:rsidRPr="00477B3F">
        <w:rPr>
          <w:rFonts w:asciiTheme="minorHAnsi" w:hAnsiTheme="minorHAnsi"/>
        </w:rPr>
        <w:lastRenderedPageBreak/>
        <w:t>Internal Audit concluded after the audit that the project’s methodology was adequately followed and implemented. Substantial delays were</w:t>
      </w:r>
      <w:r w:rsidR="009202E8">
        <w:rPr>
          <w:rFonts w:asciiTheme="minorHAnsi" w:hAnsiTheme="minorHAnsi"/>
        </w:rPr>
        <w:t>,</w:t>
      </w:r>
      <w:r w:rsidRPr="00477B3F">
        <w:rPr>
          <w:rFonts w:asciiTheme="minorHAnsi" w:hAnsiTheme="minorHAnsi"/>
        </w:rPr>
        <w:t xml:space="preserve"> however</w:t>
      </w:r>
      <w:r w:rsidR="009202E8">
        <w:rPr>
          <w:rFonts w:asciiTheme="minorHAnsi" w:hAnsiTheme="minorHAnsi"/>
        </w:rPr>
        <w:t>,</w:t>
      </w:r>
      <w:r w:rsidRPr="00477B3F">
        <w:rPr>
          <w:rFonts w:asciiTheme="minorHAnsi" w:hAnsiTheme="minorHAnsi"/>
        </w:rPr>
        <w:t xml:space="preserve"> noted in the course of the implementation but these delays were regularly reported and monitored by the Steering Committee. Internal Audit also noted that the go-live of the project was successful. </w:t>
      </w:r>
      <w:r w:rsidR="009202E8">
        <w:rPr>
          <w:rFonts w:asciiTheme="minorHAnsi" w:hAnsiTheme="minorHAnsi"/>
        </w:rPr>
        <w:t>Additionally</w:t>
      </w:r>
      <w:r w:rsidRPr="00477B3F">
        <w:rPr>
          <w:rFonts w:asciiTheme="minorHAnsi" w:hAnsiTheme="minorHAnsi"/>
        </w:rPr>
        <w:t>, Internal Audit found that the procurement process applied for contracting the various sub-contractors was in compliance with the ITU procurement regulations and rules.</w:t>
      </w:r>
      <w:r w:rsidR="00477B3F">
        <w:rPr>
          <w:rFonts w:asciiTheme="minorHAnsi" w:hAnsiTheme="minorHAnsi"/>
        </w:rPr>
        <w:t xml:space="preserve"> </w:t>
      </w:r>
      <w:bookmarkStart w:id="11" w:name="_GoBack"/>
      <w:bookmarkEnd w:id="11"/>
      <w:r w:rsidR="00477B3F">
        <w:rPr>
          <w:rFonts w:asciiTheme="minorHAnsi" w:hAnsiTheme="minorHAnsi"/>
        </w:rPr>
        <w:t xml:space="preserve">It was also noted that </w:t>
      </w:r>
      <w:r w:rsidR="00477B3F" w:rsidRPr="004C47D9">
        <w:rPr>
          <w:rFonts w:asciiTheme="minorHAnsi" w:hAnsiTheme="minorHAnsi"/>
        </w:rPr>
        <w:t>most of the users are positive and confident that, over time, CRM will provide benefits to their work.</w:t>
      </w:r>
    </w:p>
    <w:p w14:paraId="6E3B1BA8" w14:textId="1D0D47E9" w:rsidR="00210CB7" w:rsidRPr="00477B3F" w:rsidRDefault="00732D9E" w:rsidP="00D574B5">
      <w:pPr>
        <w:pStyle w:val="ListParagraph"/>
        <w:numPr>
          <w:ilvl w:val="0"/>
          <w:numId w:val="11"/>
        </w:numPr>
        <w:tabs>
          <w:tab w:val="clear" w:pos="794"/>
          <w:tab w:val="clear" w:pos="1191"/>
          <w:tab w:val="clear" w:pos="1588"/>
          <w:tab w:val="clear" w:pos="1985"/>
        </w:tabs>
        <w:snapToGrid w:val="0"/>
        <w:spacing w:after="120"/>
        <w:ind w:left="709" w:hanging="425"/>
        <w:contextualSpacing w:val="0"/>
        <w:jc w:val="both"/>
        <w:rPr>
          <w:rFonts w:asciiTheme="minorHAnsi" w:hAnsiTheme="minorHAnsi"/>
          <w:szCs w:val="24"/>
        </w:rPr>
      </w:pPr>
      <w:r w:rsidRPr="00477B3F">
        <w:rPr>
          <w:rFonts w:asciiTheme="minorHAnsi" w:hAnsiTheme="minorHAnsi"/>
        </w:rPr>
        <w:t xml:space="preserve">The CRM implementation project was basically the </w:t>
      </w:r>
      <w:r w:rsidR="009202E8">
        <w:rPr>
          <w:rFonts w:asciiTheme="minorHAnsi" w:hAnsiTheme="minorHAnsi"/>
        </w:rPr>
        <w:t>f</w:t>
      </w:r>
      <w:r w:rsidRPr="00477B3F">
        <w:rPr>
          <w:rFonts w:asciiTheme="minorHAnsi" w:hAnsiTheme="minorHAnsi"/>
        </w:rPr>
        <w:t xml:space="preserve">oundation phase and a lot of functionality was delivered but there is still a long way before CRM would meet the ITU </w:t>
      </w:r>
      <w:r w:rsidR="009202E8">
        <w:rPr>
          <w:rFonts w:asciiTheme="minorHAnsi" w:hAnsiTheme="minorHAnsi"/>
          <w:spacing w:val="-2"/>
        </w:rPr>
        <w:t>s</w:t>
      </w:r>
      <w:r w:rsidRPr="00516583">
        <w:rPr>
          <w:rFonts w:asciiTheme="minorHAnsi" w:hAnsiTheme="minorHAnsi"/>
          <w:spacing w:val="-2"/>
        </w:rPr>
        <w:t>ecretariat’s expectations. The CRM Project Steering Committee should thus be re-activated</w:t>
      </w:r>
      <w:r w:rsidRPr="00477B3F">
        <w:rPr>
          <w:rFonts w:asciiTheme="minorHAnsi" w:hAnsiTheme="minorHAnsi"/>
        </w:rPr>
        <w:t xml:space="preserve"> and reconvened to ensure that the project will continue.</w:t>
      </w:r>
      <w:r w:rsidR="00683CFB" w:rsidRPr="00477B3F">
        <w:rPr>
          <w:rFonts w:asciiTheme="minorHAnsi" w:hAnsiTheme="minorHAnsi"/>
        </w:rPr>
        <w:t xml:space="preserve"> An updated roadmap for the continuation of the project should also be established.</w:t>
      </w:r>
      <w:r w:rsidR="002E3784">
        <w:rPr>
          <w:rFonts w:asciiTheme="minorHAnsi" w:hAnsiTheme="minorHAnsi"/>
        </w:rPr>
        <w:t xml:space="preserve"> Management agreed to the recommendation</w:t>
      </w:r>
      <w:r w:rsidR="00D574B5">
        <w:rPr>
          <w:rFonts w:asciiTheme="minorHAnsi" w:hAnsiTheme="minorHAnsi"/>
        </w:rPr>
        <w:t xml:space="preserve"> and the CRM Implementation Committee was already created in early 2015 to succeed the CRM Project Steering Committee</w:t>
      </w:r>
      <w:r w:rsidR="002E3784">
        <w:rPr>
          <w:rFonts w:asciiTheme="minorHAnsi" w:hAnsiTheme="minorHAnsi"/>
        </w:rPr>
        <w:t>.</w:t>
      </w:r>
    </w:p>
    <w:p w14:paraId="6CA0DE2F" w14:textId="61A886FF" w:rsidR="00732D9E" w:rsidRPr="009A2DDE" w:rsidRDefault="00683CFB" w:rsidP="009202E8">
      <w:pPr>
        <w:pStyle w:val="ListParagraph"/>
        <w:numPr>
          <w:ilvl w:val="0"/>
          <w:numId w:val="11"/>
        </w:numPr>
        <w:tabs>
          <w:tab w:val="clear" w:pos="794"/>
          <w:tab w:val="clear" w:pos="1191"/>
          <w:tab w:val="clear" w:pos="1588"/>
          <w:tab w:val="clear" w:pos="1985"/>
        </w:tabs>
        <w:snapToGrid w:val="0"/>
        <w:spacing w:after="120"/>
        <w:ind w:left="709" w:hanging="425"/>
        <w:contextualSpacing w:val="0"/>
        <w:jc w:val="both"/>
        <w:rPr>
          <w:rFonts w:asciiTheme="minorHAnsi" w:hAnsiTheme="minorHAnsi"/>
          <w:szCs w:val="24"/>
        </w:rPr>
      </w:pPr>
      <w:r w:rsidRPr="009A2DDE">
        <w:rPr>
          <w:rFonts w:asciiTheme="minorHAnsi" w:hAnsiTheme="minorHAnsi"/>
          <w:szCs w:val="24"/>
        </w:rPr>
        <w:t>The list of requirements still to be developed/implemented and the evolution ITU</w:t>
      </w:r>
      <w:r w:rsidR="009202E8">
        <w:rPr>
          <w:rFonts w:asciiTheme="minorHAnsi" w:hAnsiTheme="minorHAnsi"/>
          <w:szCs w:val="24"/>
        </w:rPr>
        <w:t>’s</w:t>
      </w:r>
      <w:r w:rsidRPr="009A2DDE">
        <w:rPr>
          <w:rFonts w:asciiTheme="minorHAnsi" w:hAnsiTheme="minorHAnsi"/>
          <w:szCs w:val="24"/>
        </w:rPr>
        <w:t xml:space="preserve"> CRM faces are quite sizable and there is concern that, with the current resources, there is a risk of an extended schedule for full implementation. Management agreed with the recommendation made to allot additional resources to the CRM implementation so as to speed </w:t>
      </w:r>
      <w:r w:rsidR="009202E8">
        <w:rPr>
          <w:rFonts w:asciiTheme="minorHAnsi" w:hAnsiTheme="minorHAnsi"/>
          <w:szCs w:val="24"/>
        </w:rPr>
        <w:t xml:space="preserve">it </w:t>
      </w:r>
      <w:r w:rsidRPr="009A2DDE">
        <w:rPr>
          <w:rFonts w:asciiTheme="minorHAnsi" w:hAnsiTheme="minorHAnsi"/>
          <w:szCs w:val="24"/>
        </w:rPr>
        <w:t>up.</w:t>
      </w:r>
      <w:r w:rsidR="002E3784" w:rsidRPr="009A2DDE">
        <w:rPr>
          <w:rFonts w:asciiTheme="minorHAnsi" w:hAnsiTheme="minorHAnsi"/>
          <w:szCs w:val="24"/>
        </w:rPr>
        <w:t xml:space="preserve"> Management agreed with the recommendation and asked for the Steering Committee to ensure adequate resources would be made available for the further project.</w:t>
      </w:r>
    </w:p>
    <w:p w14:paraId="7278AF7A" w14:textId="77777777" w:rsidR="00477B3F" w:rsidRPr="009A2DDE" w:rsidRDefault="00477B3F" w:rsidP="009A2DDE">
      <w:pPr>
        <w:pStyle w:val="ListParagraph"/>
        <w:numPr>
          <w:ilvl w:val="0"/>
          <w:numId w:val="11"/>
        </w:numPr>
        <w:tabs>
          <w:tab w:val="clear" w:pos="794"/>
          <w:tab w:val="clear" w:pos="1191"/>
          <w:tab w:val="clear" w:pos="1588"/>
          <w:tab w:val="clear" w:pos="1985"/>
        </w:tabs>
        <w:snapToGrid w:val="0"/>
        <w:spacing w:after="120"/>
        <w:ind w:left="709" w:hanging="425"/>
        <w:contextualSpacing w:val="0"/>
        <w:jc w:val="both"/>
        <w:rPr>
          <w:rFonts w:asciiTheme="minorHAnsi" w:hAnsiTheme="minorHAnsi"/>
          <w:szCs w:val="24"/>
        </w:rPr>
      </w:pPr>
      <w:r w:rsidRPr="009A2DDE">
        <w:rPr>
          <w:rFonts w:asciiTheme="minorHAnsi" w:hAnsiTheme="minorHAnsi"/>
          <w:szCs w:val="24"/>
        </w:rPr>
        <w:t>Serious issues exist with respect to data quality (such as duplications and errors) in “old” databases prior to transferring these data into CRM and it is thus recommended to perform an adequate and timely data cleansing.</w:t>
      </w:r>
      <w:r w:rsidR="002E3784" w:rsidRPr="009A2DDE">
        <w:rPr>
          <w:rFonts w:asciiTheme="minorHAnsi" w:hAnsiTheme="minorHAnsi"/>
          <w:szCs w:val="24"/>
        </w:rPr>
        <w:t xml:space="preserve"> Management </w:t>
      </w:r>
      <w:r w:rsidR="00765521" w:rsidRPr="009A2DDE">
        <w:rPr>
          <w:rFonts w:asciiTheme="minorHAnsi" w:hAnsiTheme="minorHAnsi"/>
          <w:szCs w:val="24"/>
        </w:rPr>
        <w:t xml:space="preserve">fully </w:t>
      </w:r>
      <w:r w:rsidR="002E3784" w:rsidRPr="009A2DDE">
        <w:rPr>
          <w:rFonts w:asciiTheme="minorHAnsi" w:hAnsiTheme="minorHAnsi"/>
          <w:szCs w:val="24"/>
        </w:rPr>
        <w:t>agreed with the recommendation.</w:t>
      </w:r>
    </w:p>
    <w:p w14:paraId="1AF0C5A5" w14:textId="77777777" w:rsidR="00477B3F" w:rsidRPr="009A2DDE" w:rsidRDefault="00477B3F" w:rsidP="009A2DDE">
      <w:pPr>
        <w:pStyle w:val="ListParagraph"/>
        <w:numPr>
          <w:ilvl w:val="0"/>
          <w:numId w:val="11"/>
        </w:numPr>
        <w:tabs>
          <w:tab w:val="clear" w:pos="794"/>
          <w:tab w:val="clear" w:pos="1191"/>
          <w:tab w:val="clear" w:pos="1588"/>
          <w:tab w:val="clear" w:pos="1985"/>
        </w:tabs>
        <w:snapToGrid w:val="0"/>
        <w:spacing w:after="120"/>
        <w:ind w:left="709" w:hanging="425"/>
        <w:contextualSpacing w:val="0"/>
        <w:jc w:val="both"/>
        <w:rPr>
          <w:rFonts w:asciiTheme="minorHAnsi" w:hAnsiTheme="minorHAnsi"/>
          <w:szCs w:val="24"/>
        </w:rPr>
      </w:pPr>
      <w:r w:rsidRPr="009A2DDE">
        <w:rPr>
          <w:rFonts w:asciiTheme="minorHAnsi" w:hAnsiTheme="minorHAnsi"/>
          <w:szCs w:val="24"/>
        </w:rPr>
        <w:t>At this stage of the implementation, all users still have a wide access profile and a recommendation was made to implement an adequate approval chain linked with access rights.</w:t>
      </w:r>
      <w:r w:rsidR="00765521" w:rsidRPr="009A2DDE">
        <w:rPr>
          <w:rFonts w:asciiTheme="minorHAnsi" w:hAnsiTheme="minorHAnsi"/>
          <w:szCs w:val="24"/>
        </w:rPr>
        <w:t xml:space="preserve"> Management agreed with the recommendation.</w:t>
      </w:r>
    </w:p>
    <w:p w14:paraId="21DB1B31" w14:textId="194FC0BA" w:rsidR="00765521" w:rsidRPr="00765521" w:rsidRDefault="00765521" w:rsidP="00561C7B">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szCs w:val="24"/>
        </w:rPr>
      </w:pPr>
      <w:r w:rsidRPr="00765521">
        <w:rPr>
          <w:rFonts w:asciiTheme="minorHAnsi" w:hAnsiTheme="minorHAnsi"/>
          <w:szCs w:val="24"/>
        </w:rPr>
        <w:t xml:space="preserve">As a general </w:t>
      </w:r>
      <w:r w:rsidRPr="00765521">
        <w:rPr>
          <w:rFonts w:asciiTheme="minorHAnsi" w:hAnsiTheme="minorHAnsi"/>
          <w:szCs w:val="24"/>
          <w:u w:val="single"/>
        </w:rPr>
        <w:t>conclusion</w:t>
      </w:r>
      <w:r w:rsidRPr="00765521">
        <w:rPr>
          <w:rFonts w:asciiTheme="minorHAnsi" w:hAnsiTheme="minorHAnsi"/>
          <w:szCs w:val="24"/>
        </w:rPr>
        <w:t xml:space="preserve">, findings from the audit provided </w:t>
      </w:r>
      <w:r w:rsidRPr="00765521">
        <w:rPr>
          <w:rFonts w:asciiTheme="minorHAnsi" w:hAnsiTheme="minorHAnsi"/>
          <w:i/>
          <w:iCs/>
          <w:szCs w:val="24"/>
        </w:rPr>
        <w:t>Reasonable Assurance</w:t>
      </w:r>
      <w:r w:rsidRPr="00765521">
        <w:rPr>
          <w:rStyle w:val="FootnoteReference"/>
          <w:rFonts w:asciiTheme="minorHAnsi" w:hAnsiTheme="minorHAnsi"/>
          <w:sz w:val="24"/>
          <w:szCs w:val="24"/>
        </w:rPr>
        <w:footnoteReference w:id="5"/>
      </w:r>
      <w:r w:rsidRPr="00765521">
        <w:rPr>
          <w:rFonts w:asciiTheme="minorHAnsi" w:hAnsiTheme="minorHAnsi"/>
          <w:szCs w:val="24"/>
        </w:rPr>
        <w:t xml:space="preserve"> in relation to compliance of CRM’s transactions with ITU rules and procedures. The assessment of CRM’s effects on the ITU secretariat’s activities is positive, yet there are a number of areas which need further attention to achieve the objective of CRM fully meeting the needs of the users.</w:t>
      </w:r>
    </w:p>
    <w:p w14:paraId="6DAEEEE1" w14:textId="77777777" w:rsidR="0012317E" w:rsidRPr="00905D54" w:rsidRDefault="0012317E" w:rsidP="009A2DDE">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cs="Calibri"/>
          <w:lang w:val="en-CA"/>
        </w:rPr>
      </w:pPr>
      <w:r>
        <w:rPr>
          <w:rFonts w:asciiTheme="minorHAnsi" w:hAnsiTheme="minorHAnsi" w:cs="Calibri"/>
          <w:lang w:val="en-CA"/>
        </w:rPr>
        <w:lastRenderedPageBreak/>
        <w:t>Implementation of IMAC recommendations pertaining to Internal Audit</w:t>
      </w:r>
    </w:p>
    <w:p w14:paraId="6B0F23E6" w14:textId="23A15C1D" w:rsidR="0012317E" w:rsidRPr="00903E7F" w:rsidRDefault="0012317E" w:rsidP="0071077A">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color w:val="000000"/>
          <w:szCs w:val="24"/>
          <w:lang w:eastAsia="zh-CN"/>
        </w:rPr>
      </w:pPr>
      <w:r w:rsidRPr="00903E7F">
        <w:rPr>
          <w:rFonts w:asciiTheme="minorHAnsi" w:hAnsiTheme="minorHAnsi"/>
          <w:szCs w:val="24"/>
        </w:rPr>
        <w:t xml:space="preserve">IMAC performed regular follow-up of the recommendations with respect to the internal audit function and included progress noted in its report to </w:t>
      </w:r>
      <w:r w:rsidRPr="00903E7F">
        <w:rPr>
          <w:rFonts w:ascii="Calibri" w:hAnsi="Calibri"/>
          <w:szCs w:val="24"/>
          <w:lang w:val="en-US"/>
        </w:rPr>
        <w:t xml:space="preserve">to the Secretary-General and in its annual report to </w:t>
      </w:r>
      <w:r w:rsidR="00516583">
        <w:rPr>
          <w:rFonts w:ascii="Calibri" w:hAnsi="Calibri"/>
          <w:szCs w:val="24"/>
          <w:lang w:val="en-US"/>
        </w:rPr>
        <w:t xml:space="preserve">the </w:t>
      </w:r>
      <w:r w:rsidRPr="00903E7F">
        <w:rPr>
          <w:rFonts w:ascii="Calibri" w:hAnsi="Calibri"/>
          <w:szCs w:val="24"/>
          <w:lang w:val="en-US"/>
        </w:rPr>
        <w:t>Council. In that context, specific reference is made to the</w:t>
      </w:r>
      <w:r w:rsidRPr="00903E7F">
        <w:rPr>
          <w:rFonts w:asciiTheme="minorHAnsi" w:hAnsiTheme="minorHAnsi"/>
          <w:szCs w:val="24"/>
        </w:rPr>
        <w:t xml:space="preserve"> second IMAC report to Council (C13/65, paragraph 3.4) in which it had recommended that “… </w:t>
      </w:r>
      <w:r w:rsidRPr="00903E7F">
        <w:rPr>
          <w:rFonts w:asciiTheme="minorHAnsi" w:hAnsiTheme="minorHAnsi"/>
          <w:color w:val="000000"/>
          <w:szCs w:val="24"/>
          <w:lang w:eastAsia="zh-CN"/>
        </w:rPr>
        <w:t xml:space="preserve">Internal Audit pursue the commissioning of a peer review to take place preferably by 2014”. Such review took place in January 2015. </w:t>
      </w:r>
      <w:r w:rsidRPr="00903E7F">
        <w:rPr>
          <w:rFonts w:asciiTheme="minorHAnsi" w:hAnsiTheme="minorHAnsi"/>
          <w:bCs/>
        </w:rPr>
        <w:t xml:space="preserve">Though the external validation team expressed the overall opinion that ITU Internal Audit generally conforms to the Standards and Code of Ethics of the </w:t>
      </w:r>
      <w:r w:rsidR="00903E7F" w:rsidRPr="00903E7F">
        <w:rPr>
          <w:rFonts w:asciiTheme="minorHAnsi" w:hAnsiTheme="minorHAnsi"/>
          <w:bCs/>
        </w:rPr>
        <w:t>IIA</w:t>
      </w:r>
      <w:r w:rsidRPr="00903E7F">
        <w:rPr>
          <w:rFonts w:asciiTheme="minorHAnsi" w:hAnsiTheme="minorHAnsi"/>
          <w:bCs/>
        </w:rPr>
        <w:t xml:space="preserve">, it noted partial conformity with </w:t>
      </w:r>
      <w:r w:rsidR="00903E7F" w:rsidRPr="00903E7F">
        <w:rPr>
          <w:rFonts w:asciiTheme="minorHAnsi" w:hAnsiTheme="minorHAnsi"/>
          <w:bCs/>
        </w:rPr>
        <w:t xml:space="preserve">1 of the 14 IIA Attribute Standards and 5 of the 26 IIA </w:t>
      </w:r>
      <w:r w:rsidR="00903E7F" w:rsidRPr="00903E7F">
        <w:rPr>
          <w:rFonts w:asciiTheme="minorHAnsi" w:hAnsiTheme="minorHAnsi"/>
        </w:rPr>
        <w:t xml:space="preserve">Performance Standards. IMAC will further follow up on the various </w:t>
      </w:r>
      <w:r w:rsidRPr="00903E7F">
        <w:rPr>
          <w:rFonts w:asciiTheme="minorHAnsi" w:hAnsiTheme="minorHAnsi"/>
        </w:rPr>
        <w:t>recommendations related to the partial conformance</w:t>
      </w:r>
      <w:r w:rsidR="00903E7F">
        <w:rPr>
          <w:rFonts w:asciiTheme="minorHAnsi" w:hAnsiTheme="minorHAnsi"/>
        </w:rPr>
        <w:t xml:space="preserve">, with a view of </w:t>
      </w:r>
      <w:r w:rsidRPr="00903E7F">
        <w:rPr>
          <w:rFonts w:asciiTheme="minorHAnsi" w:hAnsiTheme="minorHAnsi"/>
        </w:rPr>
        <w:t xml:space="preserve">enhancing effectiveness and value added </w:t>
      </w:r>
      <w:r w:rsidR="00903E7F">
        <w:rPr>
          <w:rFonts w:asciiTheme="minorHAnsi" w:hAnsiTheme="minorHAnsi"/>
        </w:rPr>
        <w:t>by Internal Audit to the ITU.</w:t>
      </w:r>
    </w:p>
    <w:p w14:paraId="3EE119A1" w14:textId="77777777" w:rsidR="00802E17" w:rsidRPr="00905D54" w:rsidRDefault="00802E17" w:rsidP="009A2DDE">
      <w:pPr>
        <w:pStyle w:val="Heading1"/>
        <w:tabs>
          <w:tab w:val="clear" w:pos="567"/>
          <w:tab w:val="clear" w:pos="1134"/>
          <w:tab w:val="clear" w:pos="1701"/>
          <w:tab w:val="clear" w:pos="2268"/>
          <w:tab w:val="clear" w:pos="2835"/>
        </w:tabs>
        <w:snapToGrid w:val="0"/>
        <w:spacing w:before="360" w:after="120"/>
        <w:ind w:left="0" w:firstLine="0"/>
        <w:jc w:val="both"/>
        <w:rPr>
          <w:rFonts w:asciiTheme="minorHAnsi" w:hAnsiTheme="minorHAnsi" w:cs="Calibri"/>
          <w:lang w:val="en-CA"/>
        </w:rPr>
      </w:pPr>
      <w:r w:rsidRPr="00905D54">
        <w:rPr>
          <w:rFonts w:asciiTheme="minorHAnsi" w:hAnsiTheme="minorHAnsi" w:cs="Calibri"/>
          <w:lang w:val="en-CA"/>
        </w:rPr>
        <w:t>Follow-up of internal audit recommendations</w:t>
      </w:r>
    </w:p>
    <w:p w14:paraId="5CA0FEB1" w14:textId="77777777" w:rsidR="00802E17" w:rsidRPr="00905D54" w:rsidRDefault="00802E17" w:rsidP="009A2DDE">
      <w:pPr>
        <w:pStyle w:val="ListParagraph"/>
        <w:keepNext/>
        <w:keepLines/>
        <w:numPr>
          <w:ilvl w:val="0"/>
          <w:numId w:val="2"/>
        </w:numPr>
        <w:tabs>
          <w:tab w:val="clear" w:pos="794"/>
          <w:tab w:val="clear" w:pos="1191"/>
          <w:tab w:val="clear" w:pos="1588"/>
          <w:tab w:val="clear" w:pos="1985"/>
        </w:tabs>
        <w:snapToGrid w:val="0"/>
        <w:spacing w:after="240"/>
        <w:ind w:left="0" w:firstLine="0"/>
        <w:contextualSpacing w:val="0"/>
        <w:jc w:val="both"/>
        <w:rPr>
          <w:rFonts w:asciiTheme="minorHAnsi" w:hAnsiTheme="minorHAnsi" w:cs="Calibri"/>
          <w:szCs w:val="24"/>
          <w:lang w:val="en-CA"/>
        </w:rPr>
      </w:pPr>
      <w:r w:rsidRPr="00905D54">
        <w:rPr>
          <w:rFonts w:asciiTheme="minorHAnsi" w:hAnsiTheme="minorHAnsi" w:cs="Calibri"/>
          <w:szCs w:val="24"/>
          <w:lang w:val="en-CA"/>
        </w:rPr>
        <w:t>Throughout the period reported on, and in compliance with IIA</w:t>
      </w:r>
      <w:r w:rsidRPr="00905D54">
        <w:rPr>
          <w:rFonts w:asciiTheme="minorHAnsi" w:hAnsiTheme="minorHAnsi" w:cs="Calibri"/>
          <w:b/>
          <w:bCs/>
          <w:szCs w:val="24"/>
          <w:vertAlign w:val="superscript"/>
        </w:rPr>
        <w:footnoteReference w:id="6"/>
      </w:r>
      <w:r w:rsidRPr="00905D54">
        <w:rPr>
          <w:rFonts w:asciiTheme="minorHAnsi" w:hAnsiTheme="minorHAnsi" w:cs="Calibri"/>
          <w:szCs w:val="24"/>
          <w:lang w:val="en-CA"/>
        </w:rPr>
        <w:t xml:space="preserve"> Standard 2500, Internal Audit continued to follow up on recommendations made in previous audit reports. Substantial progress was noted over the last </w:t>
      </w:r>
      <w:r>
        <w:rPr>
          <w:rFonts w:asciiTheme="minorHAnsi" w:hAnsiTheme="minorHAnsi" w:cs="Calibri"/>
          <w:szCs w:val="24"/>
          <w:lang w:val="en-CA"/>
        </w:rPr>
        <w:t>12</w:t>
      </w:r>
      <w:r w:rsidRPr="00905D54">
        <w:rPr>
          <w:rFonts w:asciiTheme="minorHAnsi" w:hAnsiTheme="minorHAnsi" w:cs="Calibri"/>
          <w:szCs w:val="24"/>
          <w:lang w:val="en-CA"/>
        </w:rPr>
        <w:t xml:space="preserve"> months and statistics on the implementation are:</w:t>
      </w:r>
    </w:p>
    <w:p w14:paraId="2757B7E6" w14:textId="77777777" w:rsidR="00984B32" w:rsidRDefault="00984B32" w:rsidP="00785AF4">
      <w:pPr>
        <w:pStyle w:val="ListParagraph"/>
        <w:tabs>
          <w:tab w:val="clear" w:pos="794"/>
          <w:tab w:val="clear" w:pos="1191"/>
          <w:tab w:val="clear" w:pos="1588"/>
          <w:tab w:val="clear" w:pos="1985"/>
        </w:tabs>
        <w:snapToGrid w:val="0"/>
        <w:spacing w:after="120"/>
        <w:ind w:left="0"/>
        <w:contextualSpacing w:val="0"/>
        <w:jc w:val="both"/>
        <w:rPr>
          <w:rFonts w:asciiTheme="minorHAnsi" w:hAnsiTheme="minorHAnsi" w:cs="Calibri"/>
          <w:szCs w:val="24"/>
          <w:lang w:val="en-CA"/>
        </w:rPr>
      </w:pPr>
      <w:r w:rsidRPr="00984B32">
        <w:rPr>
          <w:noProof/>
          <w:lang w:val="en-US" w:eastAsia="zh-CN"/>
        </w:rPr>
        <w:drawing>
          <wp:inline distT="0" distB="0" distL="0" distR="0" wp14:anchorId="5DA9E4F6" wp14:editId="59C1A13C">
            <wp:extent cx="6120765" cy="15067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1506781"/>
                    </a:xfrm>
                    <a:prstGeom prst="rect">
                      <a:avLst/>
                    </a:prstGeom>
                    <a:noFill/>
                    <a:ln>
                      <a:noFill/>
                    </a:ln>
                  </pic:spPr>
                </pic:pic>
              </a:graphicData>
            </a:graphic>
          </wp:inline>
        </w:drawing>
      </w:r>
    </w:p>
    <w:p w14:paraId="6B36C619" w14:textId="77777777" w:rsidR="00802E17" w:rsidRPr="00905D54" w:rsidRDefault="00984B32" w:rsidP="001270A1">
      <w:pPr>
        <w:pStyle w:val="ListParagraph"/>
        <w:tabs>
          <w:tab w:val="clear" w:pos="794"/>
          <w:tab w:val="clear" w:pos="1191"/>
          <w:tab w:val="clear" w:pos="1588"/>
          <w:tab w:val="clear" w:pos="1985"/>
        </w:tabs>
        <w:snapToGrid w:val="0"/>
        <w:spacing w:after="120"/>
        <w:ind w:left="0"/>
        <w:contextualSpacing w:val="0"/>
        <w:jc w:val="both"/>
        <w:rPr>
          <w:rFonts w:asciiTheme="minorHAnsi" w:hAnsiTheme="minorHAnsi" w:cs="Calibri"/>
          <w:szCs w:val="24"/>
          <w:lang w:val="en-CA"/>
        </w:rPr>
      </w:pPr>
      <w:r>
        <w:rPr>
          <w:rFonts w:asciiTheme="minorHAnsi" w:hAnsiTheme="minorHAnsi" w:cs="Calibri"/>
          <w:szCs w:val="24"/>
          <w:lang w:val="en-CA"/>
        </w:rPr>
        <w:t>(*) situation on 19</w:t>
      </w:r>
      <w:r w:rsidR="00802E17" w:rsidRPr="00905D54">
        <w:rPr>
          <w:rFonts w:asciiTheme="minorHAnsi" w:hAnsiTheme="minorHAnsi" w:cs="Calibri"/>
          <w:szCs w:val="24"/>
          <w:lang w:val="en-CA"/>
        </w:rPr>
        <w:t xml:space="preserve"> </w:t>
      </w:r>
      <w:r w:rsidR="00785AF4">
        <w:rPr>
          <w:rFonts w:asciiTheme="minorHAnsi" w:hAnsiTheme="minorHAnsi" w:cs="Calibri"/>
          <w:szCs w:val="24"/>
          <w:lang w:val="en-CA"/>
        </w:rPr>
        <w:t>March</w:t>
      </w:r>
      <w:r w:rsidR="00802E17" w:rsidRPr="00905D54">
        <w:rPr>
          <w:rFonts w:asciiTheme="minorHAnsi" w:hAnsiTheme="minorHAnsi" w:cs="Calibri"/>
          <w:szCs w:val="24"/>
          <w:lang w:val="en-CA"/>
        </w:rPr>
        <w:t xml:space="preserve"> 201</w:t>
      </w:r>
      <w:r w:rsidR="00785AF4">
        <w:rPr>
          <w:rFonts w:asciiTheme="minorHAnsi" w:hAnsiTheme="minorHAnsi" w:cs="Calibri"/>
          <w:szCs w:val="24"/>
          <w:lang w:val="en-CA"/>
        </w:rPr>
        <w:t>5</w:t>
      </w:r>
    </w:p>
    <w:p w14:paraId="2F5A9B3A" w14:textId="00579563" w:rsidR="00802E17" w:rsidRPr="00905D54" w:rsidRDefault="00D143AB" w:rsidP="0071077A">
      <w:pPr>
        <w:pStyle w:val="ListParagraph"/>
        <w:numPr>
          <w:ilvl w:val="0"/>
          <w:numId w:val="2"/>
        </w:numPr>
        <w:tabs>
          <w:tab w:val="clear" w:pos="794"/>
          <w:tab w:val="clear" w:pos="1191"/>
          <w:tab w:val="clear" w:pos="1588"/>
          <w:tab w:val="clear" w:pos="1985"/>
        </w:tabs>
        <w:snapToGrid w:val="0"/>
        <w:spacing w:before="360" w:after="120"/>
        <w:ind w:left="0" w:firstLine="0"/>
        <w:contextualSpacing w:val="0"/>
        <w:jc w:val="both"/>
        <w:rPr>
          <w:rFonts w:asciiTheme="minorHAnsi" w:hAnsiTheme="minorHAnsi" w:cs="Calibri"/>
          <w:szCs w:val="24"/>
          <w:lang w:val="en-CA"/>
        </w:rPr>
      </w:pPr>
      <w:r>
        <w:rPr>
          <w:rFonts w:asciiTheme="minorHAnsi" w:hAnsiTheme="minorHAnsi" w:cs="Calibri"/>
          <w:szCs w:val="24"/>
          <w:lang w:val="en-CA"/>
        </w:rPr>
        <w:t xml:space="preserve">No critical or high importance recommendations from before 2012 were left unimplemented. One of these recommendations is related to the change of an internal approval workflow, which was delayed </w:t>
      </w:r>
      <w:r w:rsidR="00851AD7">
        <w:rPr>
          <w:rFonts w:asciiTheme="minorHAnsi" w:hAnsiTheme="minorHAnsi" w:cs="Calibri"/>
          <w:szCs w:val="24"/>
          <w:lang w:val="en-CA"/>
        </w:rPr>
        <w:t xml:space="preserve">as </w:t>
      </w:r>
      <w:r>
        <w:rPr>
          <w:rFonts w:asciiTheme="minorHAnsi" w:hAnsiTheme="minorHAnsi" w:cs="Calibri"/>
          <w:szCs w:val="24"/>
          <w:lang w:val="en-CA"/>
        </w:rPr>
        <w:t xml:space="preserve">it became part of a more holistic review of internal procedures and is </w:t>
      </w:r>
      <w:r w:rsidR="00851AD7">
        <w:rPr>
          <w:rFonts w:asciiTheme="minorHAnsi" w:hAnsiTheme="minorHAnsi" w:cs="Calibri"/>
          <w:szCs w:val="24"/>
          <w:lang w:val="en-CA"/>
        </w:rPr>
        <w:t xml:space="preserve">now in progress and </w:t>
      </w:r>
      <w:r>
        <w:rPr>
          <w:rFonts w:asciiTheme="minorHAnsi" w:hAnsiTheme="minorHAnsi" w:cs="Calibri"/>
          <w:szCs w:val="24"/>
          <w:lang w:val="en-CA"/>
        </w:rPr>
        <w:t xml:space="preserve">expected to be completed in 2015. </w:t>
      </w:r>
      <w:r w:rsidR="00851AD7">
        <w:rPr>
          <w:rFonts w:asciiTheme="minorHAnsi" w:hAnsiTheme="minorHAnsi" w:cs="Calibri"/>
          <w:szCs w:val="24"/>
          <w:lang w:val="en-CA"/>
        </w:rPr>
        <w:t xml:space="preserve">Another recommendation is also still in progress </w:t>
      </w:r>
      <w:r>
        <w:rPr>
          <w:rFonts w:asciiTheme="minorHAnsi" w:hAnsiTheme="minorHAnsi" w:cs="Calibri"/>
          <w:szCs w:val="24"/>
          <w:lang w:val="en-CA"/>
        </w:rPr>
        <w:t>because it concerns a shift in pri</w:t>
      </w:r>
      <w:r w:rsidR="00851AD7">
        <w:rPr>
          <w:rFonts w:asciiTheme="minorHAnsi" w:hAnsiTheme="minorHAnsi" w:cs="Calibri"/>
          <w:szCs w:val="24"/>
          <w:lang w:val="en-CA"/>
        </w:rPr>
        <w:t>orities, yet also expected to be implemented in 2015. The recommendations from 2011 still in progress concern an internal audit of costing of publications</w:t>
      </w:r>
      <w:r w:rsidR="00851AD7" w:rsidRPr="00851AD7">
        <w:rPr>
          <w:rFonts w:asciiTheme="minorHAnsi" w:hAnsiTheme="minorHAnsi" w:cs="Calibri"/>
          <w:szCs w:val="24"/>
          <w:lang w:val="en-CA"/>
        </w:rPr>
        <w:t xml:space="preserve">. </w:t>
      </w:r>
      <w:r w:rsidR="00851AD7">
        <w:rPr>
          <w:rFonts w:asciiTheme="minorHAnsi" w:hAnsiTheme="minorHAnsi" w:cs="Calibri"/>
          <w:szCs w:val="24"/>
          <w:lang w:val="en-CA"/>
        </w:rPr>
        <w:t xml:space="preserve">Management informed Internal Audit </w:t>
      </w:r>
      <w:r w:rsidR="00851AD7">
        <w:rPr>
          <w:rFonts w:asciiTheme="minorHAnsi" w:hAnsiTheme="minorHAnsi" w:cs="Calibri"/>
          <w:szCs w:val="24"/>
          <w:lang w:val="en-CA"/>
        </w:rPr>
        <w:lastRenderedPageBreak/>
        <w:t xml:space="preserve">(and IMAC) regularly of the progress. </w:t>
      </w:r>
      <w:r w:rsidR="00851AD7" w:rsidRPr="00851AD7">
        <w:rPr>
          <w:rFonts w:asciiTheme="minorHAnsi" w:hAnsiTheme="minorHAnsi"/>
        </w:rPr>
        <w:t>As th</w:t>
      </w:r>
      <w:r w:rsidR="00851AD7">
        <w:rPr>
          <w:rFonts w:asciiTheme="minorHAnsi" w:hAnsiTheme="minorHAnsi"/>
        </w:rPr>
        <w:t xml:space="preserve">e </w:t>
      </w:r>
      <w:r w:rsidR="00851AD7" w:rsidRPr="00851AD7">
        <w:rPr>
          <w:rFonts w:asciiTheme="minorHAnsi" w:hAnsiTheme="minorHAnsi"/>
        </w:rPr>
        <w:t>is</w:t>
      </w:r>
      <w:r w:rsidR="00851AD7">
        <w:rPr>
          <w:rFonts w:asciiTheme="minorHAnsi" w:hAnsiTheme="minorHAnsi"/>
        </w:rPr>
        <w:t xml:space="preserve">sues raised during the audit are relevant </w:t>
      </w:r>
      <w:r w:rsidR="00851AD7" w:rsidRPr="00851AD7">
        <w:rPr>
          <w:rFonts w:asciiTheme="minorHAnsi" w:hAnsiTheme="minorHAnsi"/>
        </w:rPr>
        <w:t xml:space="preserve">for financial reporting but also for management reporting purposes, </w:t>
      </w:r>
      <w:r w:rsidR="00851AD7">
        <w:rPr>
          <w:rFonts w:asciiTheme="minorHAnsi" w:hAnsiTheme="minorHAnsi"/>
        </w:rPr>
        <w:t xml:space="preserve">and </w:t>
      </w:r>
      <w:r w:rsidR="00851AD7" w:rsidRPr="00851AD7">
        <w:rPr>
          <w:rFonts w:asciiTheme="minorHAnsi" w:hAnsiTheme="minorHAnsi"/>
        </w:rPr>
        <w:t xml:space="preserve">in order to enable a transparent understanding of the actual cost of each publication, the chosen approach was to proceed carefully after having gathered the necessary information. The valuation test will be conducted </w:t>
      </w:r>
      <w:r w:rsidR="00851AD7">
        <w:rPr>
          <w:rFonts w:asciiTheme="minorHAnsi" w:hAnsiTheme="minorHAnsi"/>
        </w:rPr>
        <w:t xml:space="preserve">in 2015 </w:t>
      </w:r>
      <w:r w:rsidR="00851AD7" w:rsidRPr="00851AD7">
        <w:rPr>
          <w:rFonts w:asciiTheme="minorHAnsi" w:hAnsiTheme="minorHAnsi"/>
        </w:rPr>
        <w:t>after having gathered several months of reliable information</w:t>
      </w:r>
      <w:r w:rsidR="00685070">
        <w:rPr>
          <w:rFonts w:asciiTheme="minorHAnsi" w:hAnsiTheme="minorHAnsi"/>
        </w:rPr>
        <w:t>.</w:t>
      </w:r>
      <w:r w:rsidRPr="00851AD7">
        <w:rPr>
          <w:rFonts w:asciiTheme="minorHAnsi" w:hAnsiTheme="minorHAnsi" w:cs="Calibri"/>
          <w:szCs w:val="24"/>
          <w:lang w:val="en-CA"/>
        </w:rPr>
        <w:t xml:space="preserve"> </w:t>
      </w:r>
      <w:r w:rsidR="00802E17" w:rsidRPr="00905D54">
        <w:rPr>
          <w:rFonts w:asciiTheme="minorHAnsi" w:hAnsiTheme="minorHAnsi" w:cs="Calibri"/>
          <w:szCs w:val="24"/>
          <w:lang w:val="en-CA"/>
        </w:rPr>
        <w:t>In 201</w:t>
      </w:r>
      <w:r w:rsidR="00785AF4">
        <w:rPr>
          <w:rFonts w:asciiTheme="minorHAnsi" w:hAnsiTheme="minorHAnsi" w:cs="Calibri"/>
          <w:szCs w:val="24"/>
          <w:lang w:val="en-CA"/>
        </w:rPr>
        <w:t>5</w:t>
      </w:r>
      <w:r w:rsidR="00802E17" w:rsidRPr="00905D54">
        <w:rPr>
          <w:rFonts w:asciiTheme="minorHAnsi" w:hAnsiTheme="minorHAnsi" w:cs="Calibri"/>
          <w:szCs w:val="24"/>
          <w:lang w:val="en-CA"/>
        </w:rPr>
        <w:t xml:space="preserve">, Internal Audit continues to monitor the implementation of the various recommendations contained in previous audit reports and will report on this follow-up, as appropriate, to </w:t>
      </w:r>
      <w:r w:rsidR="00785AF4">
        <w:rPr>
          <w:rFonts w:asciiTheme="minorHAnsi" w:hAnsiTheme="minorHAnsi" w:cs="Calibri"/>
          <w:szCs w:val="24"/>
          <w:lang w:val="en-CA"/>
        </w:rPr>
        <w:t xml:space="preserve">IMAC and to the </w:t>
      </w:r>
      <w:r w:rsidR="00802E17" w:rsidRPr="00905D54">
        <w:rPr>
          <w:rFonts w:asciiTheme="minorHAnsi" w:hAnsiTheme="minorHAnsi" w:cs="Calibri"/>
          <w:szCs w:val="24"/>
          <w:lang w:val="en-CA"/>
        </w:rPr>
        <w:t>Secretary-General.</w:t>
      </w:r>
      <w:r w:rsidR="00100FA5">
        <w:rPr>
          <w:rFonts w:asciiTheme="minorHAnsi" w:hAnsiTheme="minorHAnsi" w:cs="Calibri"/>
          <w:szCs w:val="24"/>
          <w:lang w:val="en-CA"/>
        </w:rPr>
        <w:t xml:space="preserve"> Overall, continuous progress is noted.</w:t>
      </w:r>
    </w:p>
    <w:p w14:paraId="4201DA82" w14:textId="77777777" w:rsidR="00802E17" w:rsidRPr="00905D54" w:rsidRDefault="00802E17" w:rsidP="009A2DDE">
      <w:pPr>
        <w:tabs>
          <w:tab w:val="clear" w:pos="567"/>
          <w:tab w:val="clear" w:pos="1134"/>
          <w:tab w:val="clear" w:pos="1701"/>
          <w:tab w:val="clear" w:pos="2268"/>
          <w:tab w:val="clear" w:pos="2835"/>
        </w:tabs>
        <w:snapToGrid w:val="0"/>
        <w:spacing w:before="360" w:after="120"/>
        <w:jc w:val="both"/>
        <w:rPr>
          <w:rFonts w:asciiTheme="minorHAnsi" w:hAnsiTheme="minorHAnsi" w:cs="Calibri"/>
          <w:b/>
          <w:bCs/>
          <w:sz w:val="28"/>
          <w:szCs w:val="28"/>
          <w:lang w:val="en-CA"/>
        </w:rPr>
      </w:pPr>
      <w:r w:rsidRPr="00905D54">
        <w:rPr>
          <w:rFonts w:asciiTheme="minorHAnsi" w:hAnsiTheme="minorHAnsi" w:cs="Calibri"/>
          <w:b/>
          <w:bCs/>
          <w:sz w:val="28"/>
          <w:szCs w:val="28"/>
          <w:lang w:val="en-CA"/>
        </w:rPr>
        <w:t>Audit methodology related aspects</w:t>
      </w:r>
    </w:p>
    <w:p w14:paraId="5C289048" w14:textId="232B235F" w:rsidR="00802E17" w:rsidRPr="00905D54" w:rsidRDefault="003A2BDE" w:rsidP="009B3657">
      <w:pPr>
        <w:pStyle w:val="ListParagraph"/>
        <w:numPr>
          <w:ilvl w:val="0"/>
          <w:numId w:val="2"/>
        </w:numPr>
        <w:tabs>
          <w:tab w:val="clear" w:pos="794"/>
          <w:tab w:val="clear" w:pos="1191"/>
          <w:tab w:val="clear" w:pos="1588"/>
          <w:tab w:val="clear" w:pos="1985"/>
        </w:tabs>
        <w:snapToGrid w:val="0"/>
        <w:spacing w:after="120"/>
        <w:ind w:left="0" w:firstLine="0"/>
        <w:contextualSpacing w:val="0"/>
        <w:jc w:val="both"/>
        <w:rPr>
          <w:rFonts w:asciiTheme="minorHAnsi" w:hAnsiTheme="minorHAnsi" w:cs="Calibri"/>
          <w:szCs w:val="24"/>
          <w:lang w:val="en-CA"/>
        </w:rPr>
      </w:pPr>
      <w:r>
        <w:rPr>
          <w:rFonts w:asciiTheme="minorHAnsi" w:hAnsiTheme="minorHAnsi" w:cs="Calibri"/>
          <w:szCs w:val="24"/>
          <w:lang w:val="en-CA"/>
        </w:rPr>
        <w:t>Already i</w:t>
      </w:r>
      <w:r w:rsidR="00802E17" w:rsidRPr="00905D54">
        <w:rPr>
          <w:rFonts w:asciiTheme="minorHAnsi" w:hAnsiTheme="minorHAnsi" w:cs="Calibri"/>
          <w:szCs w:val="24"/>
          <w:lang w:val="en-CA"/>
        </w:rPr>
        <w:t>n 2013</w:t>
      </w:r>
      <w:r w:rsidR="00685070">
        <w:rPr>
          <w:rFonts w:asciiTheme="minorHAnsi" w:hAnsiTheme="minorHAnsi" w:cs="Calibri"/>
          <w:szCs w:val="24"/>
          <w:lang w:val="en-CA"/>
        </w:rPr>
        <w:t>,</w:t>
      </w:r>
      <w:r w:rsidR="00802E17" w:rsidRPr="00905D54">
        <w:rPr>
          <w:rFonts w:asciiTheme="minorHAnsi" w:hAnsiTheme="minorHAnsi" w:cs="Calibri"/>
          <w:szCs w:val="24"/>
          <w:lang w:val="en-CA"/>
        </w:rPr>
        <w:t xml:space="preserve"> Internal Audit started using </w:t>
      </w:r>
      <w:r w:rsidR="00802E17" w:rsidRPr="00905D54">
        <w:rPr>
          <w:rFonts w:asciiTheme="minorHAnsi" w:hAnsiTheme="minorHAnsi" w:cs="Calibri"/>
          <w:i/>
          <w:iCs/>
          <w:szCs w:val="24"/>
          <w:lang w:val="en-CA"/>
        </w:rPr>
        <w:t>Audit Effectiveness Questionnaires</w:t>
      </w:r>
      <w:r w:rsidR="00802E17" w:rsidRPr="00905D54">
        <w:rPr>
          <w:rFonts w:asciiTheme="minorHAnsi" w:hAnsiTheme="minorHAnsi" w:cs="Calibri"/>
          <w:szCs w:val="24"/>
          <w:lang w:val="en-CA"/>
        </w:rPr>
        <w:t xml:space="preserve"> which were sent to the audited processes’ and entities’ managers, to assess the effectiveness of the audit work and identify room</w:t>
      </w:r>
      <w:r>
        <w:rPr>
          <w:rFonts w:asciiTheme="minorHAnsi" w:hAnsiTheme="minorHAnsi" w:cs="Calibri"/>
          <w:szCs w:val="24"/>
          <w:lang w:val="en-CA"/>
        </w:rPr>
        <w:t xml:space="preserve"> for improvement. In general,</w:t>
      </w:r>
      <w:r w:rsidR="00802E17" w:rsidRPr="00905D54">
        <w:rPr>
          <w:rFonts w:asciiTheme="minorHAnsi" w:hAnsiTheme="minorHAnsi" w:cs="Calibri"/>
          <w:szCs w:val="24"/>
          <w:lang w:val="en-CA"/>
        </w:rPr>
        <w:t xml:space="preserve"> feedback </w:t>
      </w:r>
      <w:r>
        <w:rPr>
          <w:rFonts w:asciiTheme="minorHAnsi" w:hAnsiTheme="minorHAnsi" w:cs="Calibri"/>
          <w:szCs w:val="24"/>
          <w:lang w:val="en-CA"/>
        </w:rPr>
        <w:t>h</w:t>
      </w:r>
      <w:r w:rsidR="00802E17" w:rsidRPr="00905D54">
        <w:rPr>
          <w:rFonts w:asciiTheme="minorHAnsi" w:hAnsiTheme="minorHAnsi" w:cs="Calibri"/>
          <w:szCs w:val="24"/>
          <w:lang w:val="en-CA"/>
        </w:rPr>
        <w:t xml:space="preserve">as </w:t>
      </w:r>
      <w:r>
        <w:rPr>
          <w:rFonts w:asciiTheme="minorHAnsi" w:hAnsiTheme="minorHAnsi" w:cs="Calibri"/>
          <w:szCs w:val="24"/>
          <w:lang w:val="en-CA"/>
        </w:rPr>
        <w:t xml:space="preserve">been very </w:t>
      </w:r>
      <w:r w:rsidR="00802E17" w:rsidRPr="00905D54">
        <w:rPr>
          <w:rFonts w:asciiTheme="minorHAnsi" w:hAnsiTheme="minorHAnsi" w:cs="Calibri"/>
          <w:szCs w:val="24"/>
          <w:lang w:val="en-CA"/>
        </w:rPr>
        <w:t xml:space="preserve">positive </w:t>
      </w:r>
      <w:r>
        <w:rPr>
          <w:rFonts w:asciiTheme="minorHAnsi" w:hAnsiTheme="minorHAnsi" w:cs="Calibri"/>
          <w:szCs w:val="24"/>
          <w:lang w:val="en-CA"/>
        </w:rPr>
        <w:t xml:space="preserve">to date </w:t>
      </w:r>
      <w:r w:rsidR="00802E17" w:rsidRPr="00905D54">
        <w:rPr>
          <w:rFonts w:asciiTheme="minorHAnsi" w:hAnsiTheme="minorHAnsi" w:cs="Calibri"/>
          <w:szCs w:val="24"/>
          <w:lang w:val="en-CA"/>
        </w:rPr>
        <w:t xml:space="preserve">(average </w:t>
      </w:r>
      <w:r w:rsidR="009B3657">
        <w:rPr>
          <w:rFonts w:asciiTheme="minorHAnsi" w:hAnsiTheme="minorHAnsi" w:cs="Calibri"/>
          <w:szCs w:val="24"/>
          <w:lang w:val="en-CA"/>
        </w:rPr>
        <w:t xml:space="preserve">score </w:t>
      </w:r>
      <w:r w:rsidR="00180C4A">
        <w:rPr>
          <w:rFonts w:asciiTheme="minorHAnsi" w:hAnsiTheme="minorHAnsi" w:cs="Calibri"/>
          <w:szCs w:val="24"/>
          <w:lang w:val="en-CA"/>
        </w:rPr>
        <w:t>of 4, on a scale from 1 to 5).</w:t>
      </w:r>
    </w:p>
    <w:p w14:paraId="1B33F8F1" w14:textId="77777777" w:rsidR="008F15FB" w:rsidRPr="00F53E39" w:rsidRDefault="001270A1" w:rsidP="001270A1">
      <w:pPr>
        <w:tabs>
          <w:tab w:val="clear" w:pos="567"/>
          <w:tab w:val="clear" w:pos="1134"/>
          <w:tab w:val="clear" w:pos="1701"/>
          <w:tab w:val="clear" w:pos="2268"/>
          <w:tab w:val="clear" w:pos="2835"/>
        </w:tabs>
        <w:snapToGrid w:val="0"/>
        <w:spacing w:before="840"/>
        <w:jc w:val="center"/>
      </w:pPr>
      <w:r>
        <w:t>______________________</w:t>
      </w:r>
    </w:p>
    <w:sectPr w:rsidR="008F15FB" w:rsidRPr="00F53E39" w:rsidSect="009A2DDE">
      <w:headerReference w:type="default" r:id="rId10"/>
      <w:footerReference w:type="first" r:id="rId11"/>
      <w:pgSz w:w="11907" w:h="16834" w:code="9"/>
      <w:pgMar w:top="1276" w:right="1134" w:bottom="1134"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F928A" w14:textId="77777777" w:rsidR="00A65E12" w:rsidRDefault="00A65E12">
      <w:r>
        <w:separator/>
      </w:r>
    </w:p>
  </w:endnote>
  <w:endnote w:type="continuationSeparator" w:id="0">
    <w:p w14:paraId="52380B6F" w14:textId="77777777" w:rsidR="00A65E12" w:rsidRDefault="00A6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7EF60" w14:textId="77777777" w:rsidR="00322D0D" w:rsidRDefault="00322D0D" w:rsidP="001270A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3010D" w14:textId="77777777" w:rsidR="00A65E12" w:rsidRDefault="00A65E12">
      <w:r>
        <w:t>____________________</w:t>
      </w:r>
    </w:p>
  </w:footnote>
  <w:footnote w:type="continuationSeparator" w:id="0">
    <w:p w14:paraId="59F76400" w14:textId="77777777" w:rsidR="00A65E12" w:rsidRDefault="00A65E12">
      <w:r>
        <w:continuationSeparator/>
      </w:r>
    </w:p>
  </w:footnote>
  <w:footnote w:id="1">
    <w:p w14:paraId="48BCFEF1" w14:textId="780CF566" w:rsidR="00DF4526" w:rsidRPr="00DE2BC2" w:rsidRDefault="00DF4526" w:rsidP="000942BE">
      <w:pPr>
        <w:pStyle w:val="FootnoteText"/>
        <w:spacing w:before="60"/>
        <w:rPr>
          <w:sz w:val="22"/>
          <w:szCs w:val="22"/>
          <w:lang w:val="en-US"/>
        </w:rPr>
      </w:pPr>
      <w:r w:rsidRPr="003952C2">
        <w:rPr>
          <w:rStyle w:val="FootnoteReference"/>
          <w:szCs w:val="16"/>
        </w:rPr>
        <w:footnoteRef/>
      </w:r>
      <w:r w:rsidRPr="00DE2BC2">
        <w:rPr>
          <w:sz w:val="22"/>
          <w:szCs w:val="22"/>
        </w:rPr>
        <w:t xml:space="preserve"> </w:t>
      </w:r>
      <w:r w:rsidRPr="001270A1">
        <w:rPr>
          <w:rFonts w:cs="Calibri"/>
          <w:sz w:val="20"/>
        </w:rPr>
        <w:t xml:space="preserve">Service Order 13/09, </w:t>
      </w:r>
      <w:r w:rsidR="000942BE">
        <w:rPr>
          <w:rFonts w:cs="Calibri"/>
          <w:sz w:val="20"/>
        </w:rPr>
        <w:t>promulgated</w:t>
      </w:r>
      <w:r w:rsidR="000942BE" w:rsidRPr="001270A1">
        <w:rPr>
          <w:rFonts w:cs="Calibri"/>
          <w:sz w:val="20"/>
        </w:rPr>
        <w:t xml:space="preserve"> </w:t>
      </w:r>
      <w:r w:rsidRPr="001270A1">
        <w:rPr>
          <w:rFonts w:cs="Calibri"/>
          <w:sz w:val="20"/>
        </w:rPr>
        <w:t>by the Secretary-General on 27 June 2013.</w:t>
      </w:r>
    </w:p>
  </w:footnote>
  <w:footnote w:id="2">
    <w:p w14:paraId="158D3D78" w14:textId="77777777" w:rsidR="00F53E39" w:rsidRPr="00141758" w:rsidRDefault="00F53E39" w:rsidP="003952C2">
      <w:pPr>
        <w:pStyle w:val="FootnoteText"/>
        <w:spacing w:before="60"/>
        <w:ind w:left="0" w:firstLine="0"/>
        <w:rPr>
          <w:szCs w:val="24"/>
        </w:rPr>
      </w:pPr>
      <w:r w:rsidRPr="00141758">
        <w:rPr>
          <w:rStyle w:val="FootnoteReference"/>
          <w:szCs w:val="24"/>
        </w:rPr>
        <w:footnoteRef/>
      </w:r>
      <w:r w:rsidRPr="00141758">
        <w:rPr>
          <w:szCs w:val="24"/>
        </w:rPr>
        <w:t xml:space="preserve"> </w:t>
      </w:r>
      <w:r w:rsidRPr="003952C2">
        <w:rPr>
          <w:sz w:val="20"/>
        </w:rPr>
        <w:t xml:space="preserve">Institute of Internal Auditors, </w:t>
      </w:r>
      <w:hyperlink r:id="rId1" w:history="1">
        <w:r w:rsidRPr="003952C2">
          <w:rPr>
            <w:rStyle w:val="Hyperlink"/>
            <w:sz w:val="20"/>
          </w:rPr>
          <w:t>www.theiia.org</w:t>
        </w:r>
      </w:hyperlink>
    </w:p>
  </w:footnote>
  <w:footnote w:id="3">
    <w:p w14:paraId="667BD6DE" w14:textId="77777777" w:rsidR="00F53E39" w:rsidRPr="00FF744D" w:rsidRDefault="00F53E39" w:rsidP="003952C2">
      <w:pPr>
        <w:pStyle w:val="FootnoteText"/>
        <w:spacing w:before="60"/>
        <w:ind w:left="0" w:firstLine="0"/>
      </w:pPr>
      <w:r w:rsidRPr="00141758">
        <w:rPr>
          <w:rStyle w:val="FootnoteReference"/>
          <w:szCs w:val="24"/>
        </w:rPr>
        <w:footnoteRef/>
      </w:r>
      <w:r w:rsidRPr="00141758">
        <w:rPr>
          <w:szCs w:val="24"/>
        </w:rPr>
        <w:t xml:space="preserve"> </w:t>
      </w:r>
      <w:r w:rsidR="003952C2">
        <w:rPr>
          <w:szCs w:val="24"/>
        </w:rPr>
        <w:tab/>
      </w:r>
      <w:r w:rsidRPr="003952C2">
        <w:rPr>
          <w:rFonts w:cs="Calibri"/>
          <w:sz w:val="20"/>
        </w:rPr>
        <w:t>Service Order 13/09, adopted by the Secretary-General on 27 June 2013.</w:t>
      </w:r>
    </w:p>
  </w:footnote>
  <w:footnote w:id="4">
    <w:p w14:paraId="37EEFE48" w14:textId="77777777" w:rsidR="00BA1228" w:rsidRPr="00BA1228" w:rsidRDefault="00BA1228" w:rsidP="003952C2">
      <w:pPr>
        <w:pStyle w:val="FootnoteText"/>
        <w:tabs>
          <w:tab w:val="clear" w:pos="256"/>
          <w:tab w:val="clear" w:pos="567"/>
          <w:tab w:val="clear" w:pos="1134"/>
          <w:tab w:val="clear" w:pos="1701"/>
          <w:tab w:val="clear" w:pos="2268"/>
          <w:tab w:val="clear" w:pos="2835"/>
        </w:tabs>
        <w:spacing w:before="60"/>
        <w:ind w:left="255" w:hanging="255"/>
        <w:rPr>
          <w:lang w:val="en-US"/>
        </w:rPr>
      </w:pPr>
      <w:r>
        <w:rPr>
          <w:rStyle w:val="FootnoteReference"/>
        </w:rPr>
        <w:footnoteRef/>
      </w:r>
      <w:r>
        <w:t xml:space="preserve"> </w:t>
      </w:r>
      <w:r w:rsidR="003952C2">
        <w:tab/>
      </w:r>
      <w:r w:rsidRPr="003952C2">
        <w:rPr>
          <w:sz w:val="20"/>
          <w:lang w:val="en-US"/>
        </w:rPr>
        <w:t xml:space="preserve">A </w:t>
      </w:r>
      <w:r w:rsidRPr="003952C2">
        <w:rPr>
          <w:i/>
          <w:iCs/>
          <w:sz w:val="20"/>
          <w:lang w:val="en-US"/>
        </w:rPr>
        <w:t>critical issue</w:t>
      </w:r>
      <w:r w:rsidRPr="003952C2">
        <w:rPr>
          <w:sz w:val="20"/>
          <w:lang w:val="en-US"/>
        </w:rPr>
        <w:t xml:space="preserve"> is defined as representing a complete breakdown of the control environment which impacts so negatively on an organization as to render its continued functioning impossible or highly unlikely</w:t>
      </w:r>
      <w:r w:rsidR="009202E8">
        <w:rPr>
          <w:sz w:val="20"/>
          <w:lang w:val="en-US"/>
        </w:rPr>
        <w:t>.</w:t>
      </w:r>
    </w:p>
  </w:footnote>
  <w:footnote w:id="5">
    <w:p w14:paraId="669DDEC1" w14:textId="77777777" w:rsidR="00765521" w:rsidRPr="00A64733" w:rsidRDefault="00765521" w:rsidP="003952C2">
      <w:pPr>
        <w:spacing w:before="60"/>
        <w:ind w:left="284" w:hanging="284"/>
      </w:pPr>
      <w:r>
        <w:rPr>
          <w:rStyle w:val="FootnoteReference"/>
        </w:rPr>
        <w:footnoteRef/>
      </w:r>
      <w:r w:rsidRPr="0041773A">
        <w:rPr>
          <w:rStyle w:val="FootnoteReference"/>
        </w:rPr>
        <w:t xml:space="preserve"> </w:t>
      </w:r>
      <w:r>
        <w:tab/>
      </w:r>
      <w:r w:rsidRPr="00516583">
        <w:rPr>
          <w:spacing w:val="-2"/>
          <w:sz w:val="20"/>
        </w:rPr>
        <w:t xml:space="preserve">Some weaknesses have been identified in the design and/or operation of </w:t>
      </w:r>
      <w:r w:rsidR="00516583" w:rsidRPr="00516583">
        <w:rPr>
          <w:spacing w:val="-2"/>
          <w:sz w:val="20"/>
        </w:rPr>
        <w:t>controls, which</w:t>
      </w:r>
      <w:r w:rsidRPr="00516583">
        <w:rPr>
          <w:spacing w:val="-2"/>
          <w:sz w:val="20"/>
        </w:rPr>
        <w:t xml:space="preserve"> could hinder achievement</w:t>
      </w:r>
      <w:r w:rsidRPr="003952C2">
        <w:rPr>
          <w:sz w:val="20"/>
        </w:rPr>
        <w:t xml:space="preserve"> of the objectives of the system, function or process. However, either their impact would not be major or they would be not very likely to occur.</w:t>
      </w:r>
    </w:p>
  </w:footnote>
  <w:footnote w:id="6">
    <w:p w14:paraId="517780B5" w14:textId="77777777" w:rsidR="00802E17" w:rsidRPr="00597401" w:rsidRDefault="00802E17" w:rsidP="003952C2">
      <w:pPr>
        <w:pStyle w:val="FootnoteText"/>
        <w:spacing w:before="60"/>
        <w:rPr>
          <w:lang w:val="en-US"/>
        </w:rPr>
      </w:pPr>
      <w:r>
        <w:rPr>
          <w:rStyle w:val="FootnoteReference"/>
        </w:rPr>
        <w:footnoteRef/>
      </w:r>
      <w:r>
        <w:t xml:space="preserve"> </w:t>
      </w:r>
      <w:r w:rsidR="003952C2">
        <w:tab/>
      </w:r>
      <w:r w:rsidRPr="003952C2">
        <w:rPr>
          <w:sz w:val="20"/>
          <w:lang w:val="en-US"/>
        </w:rPr>
        <w:t xml:space="preserve">Institute of Internal Auditors, </w:t>
      </w:r>
      <w:hyperlink r:id="rId2" w:history="1">
        <w:r w:rsidRPr="003952C2">
          <w:rPr>
            <w:rStyle w:val="Hyperlink"/>
            <w:sz w:val="20"/>
            <w:lang w:val="en-US"/>
          </w:rPr>
          <w:t>www.theiia.org</w:t>
        </w:r>
      </w:hyperlink>
      <w:r w:rsidRPr="003952C2">
        <w:rPr>
          <w:rStyle w:val="Hyperlink"/>
          <w:sz w:val="2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6C195" w14:textId="77777777" w:rsidR="00322D0D" w:rsidRDefault="006535F1" w:rsidP="00CE433C">
    <w:pPr>
      <w:pStyle w:val="Header"/>
    </w:pPr>
    <w:r>
      <w:fldChar w:fldCharType="begin"/>
    </w:r>
    <w:r>
      <w:instrText>PAGE</w:instrText>
    </w:r>
    <w:r>
      <w:fldChar w:fldCharType="separate"/>
    </w:r>
    <w:r w:rsidR="006A564A">
      <w:rPr>
        <w:noProof/>
      </w:rPr>
      <w:t>8</w:t>
    </w:r>
    <w:r>
      <w:rPr>
        <w:noProof/>
      </w:rPr>
      <w:fldChar w:fldCharType="end"/>
    </w:r>
  </w:p>
  <w:p w14:paraId="44AD5A1A" w14:textId="77777777" w:rsidR="00322D0D" w:rsidRDefault="00972A03" w:rsidP="003952C2">
    <w:pPr>
      <w:pStyle w:val="Header"/>
    </w:pPr>
    <w:r>
      <w:t>C15/</w:t>
    </w:r>
    <w:r w:rsidR="003952C2">
      <w:t>43</w:t>
    </w:r>
    <w:r w:rsidR="00A65E12">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5552E63"/>
    <w:multiLevelType w:val="multilevel"/>
    <w:tmpl w:val="24BEF886"/>
    <w:lvl w:ilvl="0">
      <w:start w:val="1"/>
      <w:numFmt w:val="decimal"/>
      <w:lvlText w:val="%1."/>
      <w:lvlJc w:val="left"/>
      <w:pPr>
        <w:ind w:left="360" w:hanging="360"/>
      </w:pPr>
      <w:rPr>
        <w:i w:val="0"/>
        <w:iCs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DC5F63"/>
    <w:multiLevelType w:val="hybridMultilevel"/>
    <w:tmpl w:val="14C2984A"/>
    <w:lvl w:ilvl="0" w:tplc="9FF052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7452F"/>
    <w:multiLevelType w:val="hybridMultilevel"/>
    <w:tmpl w:val="297A8036"/>
    <w:lvl w:ilvl="0" w:tplc="67B29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D6D66"/>
    <w:multiLevelType w:val="hybridMultilevel"/>
    <w:tmpl w:val="2FD8D0E6"/>
    <w:lvl w:ilvl="0" w:tplc="8584A3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D548A"/>
    <w:multiLevelType w:val="hybridMultilevel"/>
    <w:tmpl w:val="C67E8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B50CFE"/>
    <w:multiLevelType w:val="hybridMultilevel"/>
    <w:tmpl w:val="33AA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3479DF"/>
    <w:multiLevelType w:val="hybridMultilevel"/>
    <w:tmpl w:val="77127D98"/>
    <w:lvl w:ilvl="0" w:tplc="93E42AFE">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8C314B"/>
    <w:multiLevelType w:val="hybridMultilevel"/>
    <w:tmpl w:val="19264112"/>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B65BA1"/>
    <w:multiLevelType w:val="hybridMultilevel"/>
    <w:tmpl w:val="E604A6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857655F"/>
    <w:multiLevelType w:val="hybridMultilevel"/>
    <w:tmpl w:val="785CD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9B2F15"/>
    <w:multiLevelType w:val="hybridMultilevel"/>
    <w:tmpl w:val="5B6221A2"/>
    <w:lvl w:ilvl="0" w:tplc="763A1F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1"/>
  </w:num>
  <w:num w:numId="4">
    <w:abstractNumId w:val="6"/>
  </w:num>
  <w:num w:numId="5">
    <w:abstractNumId w:val="9"/>
  </w:num>
  <w:num w:numId="6">
    <w:abstractNumId w:val="11"/>
  </w:num>
  <w:num w:numId="7">
    <w:abstractNumId w:val="10"/>
  </w:num>
  <w:num w:numId="8">
    <w:abstractNumId w:val="7"/>
  </w:num>
  <w:num w:numId="9">
    <w:abstractNumId w:val="2"/>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12"/>
    <w:rsid w:val="00031C9F"/>
    <w:rsid w:val="00055647"/>
    <w:rsid w:val="00063016"/>
    <w:rsid w:val="000646AC"/>
    <w:rsid w:val="00076AF6"/>
    <w:rsid w:val="00085CF2"/>
    <w:rsid w:val="000942BE"/>
    <w:rsid w:val="000B1705"/>
    <w:rsid w:val="000B68A5"/>
    <w:rsid w:val="000D75B2"/>
    <w:rsid w:val="00100FA5"/>
    <w:rsid w:val="001015A7"/>
    <w:rsid w:val="001121F5"/>
    <w:rsid w:val="0012317E"/>
    <w:rsid w:val="001270A1"/>
    <w:rsid w:val="00140CE1"/>
    <w:rsid w:val="0017539C"/>
    <w:rsid w:val="00175AC2"/>
    <w:rsid w:val="0017609F"/>
    <w:rsid w:val="00180C4A"/>
    <w:rsid w:val="001C628E"/>
    <w:rsid w:val="001E0F7B"/>
    <w:rsid w:val="00210CB7"/>
    <w:rsid w:val="002119FD"/>
    <w:rsid w:val="002130E0"/>
    <w:rsid w:val="002258AA"/>
    <w:rsid w:val="00246BCB"/>
    <w:rsid w:val="00256219"/>
    <w:rsid w:val="00265875"/>
    <w:rsid w:val="0027303B"/>
    <w:rsid w:val="0028109B"/>
    <w:rsid w:val="002834C5"/>
    <w:rsid w:val="00294D8A"/>
    <w:rsid w:val="002A211D"/>
    <w:rsid w:val="002B1F58"/>
    <w:rsid w:val="002C1C7A"/>
    <w:rsid w:val="002D142C"/>
    <w:rsid w:val="002E3784"/>
    <w:rsid w:val="002F2331"/>
    <w:rsid w:val="0030160F"/>
    <w:rsid w:val="00322D0D"/>
    <w:rsid w:val="0033359F"/>
    <w:rsid w:val="003663AD"/>
    <w:rsid w:val="00376896"/>
    <w:rsid w:val="003942D4"/>
    <w:rsid w:val="00394E7B"/>
    <w:rsid w:val="003952C2"/>
    <w:rsid w:val="003958A8"/>
    <w:rsid w:val="003A2BDE"/>
    <w:rsid w:val="003C1545"/>
    <w:rsid w:val="003C2533"/>
    <w:rsid w:val="003E55DC"/>
    <w:rsid w:val="003F392F"/>
    <w:rsid w:val="0040435A"/>
    <w:rsid w:val="00411C0D"/>
    <w:rsid w:val="00416A24"/>
    <w:rsid w:val="004218FE"/>
    <w:rsid w:val="00431D9E"/>
    <w:rsid w:val="00433CE8"/>
    <w:rsid w:val="00434A5C"/>
    <w:rsid w:val="004544D9"/>
    <w:rsid w:val="004608C5"/>
    <w:rsid w:val="00477B3F"/>
    <w:rsid w:val="004829C2"/>
    <w:rsid w:val="00485DDC"/>
    <w:rsid w:val="00490E72"/>
    <w:rsid w:val="004921C8"/>
    <w:rsid w:val="004A0D0C"/>
    <w:rsid w:val="004A1D61"/>
    <w:rsid w:val="004B7384"/>
    <w:rsid w:val="004C47D9"/>
    <w:rsid w:val="004D1851"/>
    <w:rsid w:val="004D599D"/>
    <w:rsid w:val="004E2EA5"/>
    <w:rsid w:val="004E3AEB"/>
    <w:rsid w:val="0050223C"/>
    <w:rsid w:val="00516583"/>
    <w:rsid w:val="00520D9F"/>
    <w:rsid w:val="005243FF"/>
    <w:rsid w:val="00561C7B"/>
    <w:rsid w:val="00564FBC"/>
    <w:rsid w:val="00582442"/>
    <w:rsid w:val="005D1BA0"/>
    <w:rsid w:val="005E7A01"/>
    <w:rsid w:val="005F32D4"/>
    <w:rsid w:val="00625E45"/>
    <w:rsid w:val="006535F1"/>
    <w:rsid w:val="0065557D"/>
    <w:rsid w:val="00662984"/>
    <w:rsid w:val="006716BB"/>
    <w:rsid w:val="00677B7B"/>
    <w:rsid w:val="00683CFB"/>
    <w:rsid w:val="00684C49"/>
    <w:rsid w:val="00685070"/>
    <w:rsid w:val="006A564A"/>
    <w:rsid w:val="006B6DCC"/>
    <w:rsid w:val="006F2A5E"/>
    <w:rsid w:val="0071077A"/>
    <w:rsid w:val="00732D9E"/>
    <w:rsid w:val="007344A0"/>
    <w:rsid w:val="0075051B"/>
    <w:rsid w:val="00751F3B"/>
    <w:rsid w:val="00765521"/>
    <w:rsid w:val="00785AF4"/>
    <w:rsid w:val="00794D34"/>
    <w:rsid w:val="00802E17"/>
    <w:rsid w:val="00813E5E"/>
    <w:rsid w:val="0083581B"/>
    <w:rsid w:val="00851AD7"/>
    <w:rsid w:val="00851C42"/>
    <w:rsid w:val="0086072E"/>
    <w:rsid w:val="00864AFF"/>
    <w:rsid w:val="00866A97"/>
    <w:rsid w:val="00870EF6"/>
    <w:rsid w:val="008872B6"/>
    <w:rsid w:val="008B4A6A"/>
    <w:rsid w:val="008C68C2"/>
    <w:rsid w:val="008C7E27"/>
    <w:rsid w:val="008D1BA3"/>
    <w:rsid w:val="008F15FB"/>
    <w:rsid w:val="008F6D35"/>
    <w:rsid w:val="0090112E"/>
    <w:rsid w:val="00903E7F"/>
    <w:rsid w:val="00905DEC"/>
    <w:rsid w:val="00916353"/>
    <w:rsid w:val="009164D6"/>
    <w:rsid w:val="009173EF"/>
    <w:rsid w:val="009202E8"/>
    <w:rsid w:val="00932906"/>
    <w:rsid w:val="009616B7"/>
    <w:rsid w:val="00961B0B"/>
    <w:rsid w:val="00971ABD"/>
    <w:rsid w:val="00972A03"/>
    <w:rsid w:val="00984B32"/>
    <w:rsid w:val="009A2DDE"/>
    <w:rsid w:val="009A40E9"/>
    <w:rsid w:val="009B076B"/>
    <w:rsid w:val="009B3657"/>
    <w:rsid w:val="009B38C3"/>
    <w:rsid w:val="009C0D8E"/>
    <w:rsid w:val="009E17BD"/>
    <w:rsid w:val="00A04CEC"/>
    <w:rsid w:val="00A27F92"/>
    <w:rsid w:val="00A32257"/>
    <w:rsid w:val="00A36D20"/>
    <w:rsid w:val="00A43D7E"/>
    <w:rsid w:val="00A54B58"/>
    <w:rsid w:val="00A55622"/>
    <w:rsid w:val="00A60AAF"/>
    <w:rsid w:val="00A65E12"/>
    <w:rsid w:val="00A756A4"/>
    <w:rsid w:val="00A83502"/>
    <w:rsid w:val="00A8605A"/>
    <w:rsid w:val="00AF6E49"/>
    <w:rsid w:val="00B04A67"/>
    <w:rsid w:val="00B0583C"/>
    <w:rsid w:val="00B26FE8"/>
    <w:rsid w:val="00B40A81"/>
    <w:rsid w:val="00B42712"/>
    <w:rsid w:val="00B43531"/>
    <w:rsid w:val="00B44910"/>
    <w:rsid w:val="00B72267"/>
    <w:rsid w:val="00B76EB6"/>
    <w:rsid w:val="00B824C8"/>
    <w:rsid w:val="00BA1228"/>
    <w:rsid w:val="00BB4BB6"/>
    <w:rsid w:val="00BC251A"/>
    <w:rsid w:val="00BC45A1"/>
    <w:rsid w:val="00BD032B"/>
    <w:rsid w:val="00BE2640"/>
    <w:rsid w:val="00BE3A7E"/>
    <w:rsid w:val="00BF09D0"/>
    <w:rsid w:val="00C01189"/>
    <w:rsid w:val="00C02C7D"/>
    <w:rsid w:val="00C374DE"/>
    <w:rsid w:val="00C47AD4"/>
    <w:rsid w:val="00C52D81"/>
    <w:rsid w:val="00C55198"/>
    <w:rsid w:val="00C9594D"/>
    <w:rsid w:val="00CA6393"/>
    <w:rsid w:val="00CA7485"/>
    <w:rsid w:val="00CB18FF"/>
    <w:rsid w:val="00CD0C08"/>
    <w:rsid w:val="00CE03FB"/>
    <w:rsid w:val="00CE433C"/>
    <w:rsid w:val="00CF33F3"/>
    <w:rsid w:val="00D06183"/>
    <w:rsid w:val="00D143AB"/>
    <w:rsid w:val="00D22C42"/>
    <w:rsid w:val="00D574B5"/>
    <w:rsid w:val="00D6318B"/>
    <w:rsid w:val="00D65041"/>
    <w:rsid w:val="00D710E6"/>
    <w:rsid w:val="00D83B7E"/>
    <w:rsid w:val="00DA613C"/>
    <w:rsid w:val="00DB5AD2"/>
    <w:rsid w:val="00DF1E0A"/>
    <w:rsid w:val="00DF4526"/>
    <w:rsid w:val="00E10E80"/>
    <w:rsid w:val="00E124F0"/>
    <w:rsid w:val="00E17340"/>
    <w:rsid w:val="00E342AF"/>
    <w:rsid w:val="00E34E8D"/>
    <w:rsid w:val="00E60F04"/>
    <w:rsid w:val="00E72079"/>
    <w:rsid w:val="00E86936"/>
    <w:rsid w:val="00EB0D6F"/>
    <w:rsid w:val="00EB2232"/>
    <w:rsid w:val="00EC5337"/>
    <w:rsid w:val="00EE5E61"/>
    <w:rsid w:val="00F10F79"/>
    <w:rsid w:val="00F2150A"/>
    <w:rsid w:val="00F231D8"/>
    <w:rsid w:val="00F46C5F"/>
    <w:rsid w:val="00F53E39"/>
    <w:rsid w:val="00F91AF0"/>
    <w:rsid w:val="00F93AE3"/>
    <w:rsid w:val="00F94A63"/>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6A0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9A2DDE"/>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9C0D8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9C0D8E"/>
    <w:rPr>
      <w:rFonts w:ascii="Tahoma" w:hAnsi="Tahoma" w:cs="Tahoma"/>
      <w:sz w:val="16"/>
      <w:szCs w:val="16"/>
      <w:lang w:val="en-GB" w:eastAsia="en-US"/>
    </w:rPr>
  </w:style>
  <w:style w:type="paragraph" w:styleId="ListParagraph">
    <w:name w:val="List Paragraph"/>
    <w:basedOn w:val="Normal"/>
    <w:uiPriority w:val="34"/>
    <w:qFormat/>
    <w:rsid w:val="00DF4526"/>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Heading1Char">
    <w:name w:val="Heading 1 Char"/>
    <w:link w:val="Heading1"/>
    <w:rsid w:val="00DF4526"/>
    <w:rPr>
      <w:rFonts w:ascii="Calibri" w:hAnsi="Calibri"/>
      <w:b/>
      <w:sz w:val="28"/>
      <w:lang w:val="en-GB" w:eastAsia="en-US"/>
    </w:rPr>
  </w:style>
  <w:style w:type="character" w:customStyle="1" w:styleId="FootnoteTextChar">
    <w:name w:val="Footnote Text Char"/>
    <w:link w:val="FootnoteText"/>
    <w:uiPriority w:val="99"/>
    <w:rsid w:val="00DF4526"/>
    <w:rPr>
      <w:rFonts w:ascii="Calibri" w:hAnsi="Calibri"/>
      <w:sz w:val="24"/>
      <w:lang w:val="en-GB" w:eastAsia="en-US"/>
    </w:rPr>
  </w:style>
  <w:style w:type="character" w:styleId="CommentReference">
    <w:name w:val="annotation reference"/>
    <w:basedOn w:val="DefaultParagraphFont"/>
    <w:semiHidden/>
    <w:unhideWhenUsed/>
    <w:rsid w:val="00684C49"/>
    <w:rPr>
      <w:sz w:val="16"/>
      <w:szCs w:val="16"/>
    </w:rPr>
  </w:style>
  <w:style w:type="paragraph" w:styleId="CommentText">
    <w:name w:val="annotation text"/>
    <w:basedOn w:val="Normal"/>
    <w:link w:val="CommentTextChar"/>
    <w:semiHidden/>
    <w:unhideWhenUsed/>
    <w:rsid w:val="00684C49"/>
    <w:rPr>
      <w:sz w:val="20"/>
    </w:rPr>
  </w:style>
  <w:style w:type="character" w:customStyle="1" w:styleId="CommentTextChar">
    <w:name w:val="Comment Text Char"/>
    <w:basedOn w:val="DefaultParagraphFont"/>
    <w:link w:val="CommentText"/>
    <w:semiHidden/>
    <w:rsid w:val="00684C49"/>
    <w:rPr>
      <w:rFonts w:ascii="Calibri" w:hAnsi="Calibri"/>
      <w:lang w:val="en-GB" w:eastAsia="en-US"/>
    </w:rPr>
  </w:style>
  <w:style w:type="paragraph" w:styleId="CommentSubject">
    <w:name w:val="annotation subject"/>
    <w:basedOn w:val="CommentText"/>
    <w:next w:val="CommentText"/>
    <w:link w:val="CommentSubjectChar"/>
    <w:semiHidden/>
    <w:unhideWhenUsed/>
    <w:rsid w:val="00684C49"/>
    <w:rPr>
      <w:b/>
      <w:bCs/>
    </w:rPr>
  </w:style>
  <w:style w:type="character" w:customStyle="1" w:styleId="CommentSubjectChar">
    <w:name w:val="Comment Subject Char"/>
    <w:basedOn w:val="CommentTextChar"/>
    <w:link w:val="CommentSubject"/>
    <w:semiHidden/>
    <w:rsid w:val="00684C49"/>
    <w:rPr>
      <w:rFonts w:ascii="Calibri" w:hAnsi="Calibri"/>
      <w:b/>
      <w:bCs/>
      <w:lang w:val="en-GB" w:eastAsia="en-US"/>
    </w:rPr>
  </w:style>
  <w:style w:type="paragraph" w:styleId="Revision">
    <w:name w:val="Revision"/>
    <w:hidden/>
    <w:uiPriority w:val="99"/>
    <w:semiHidden/>
    <w:rsid w:val="00684C4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http://www.thei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A990A-E32D-4349-8E85-B70AE19F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3498</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C15/43 - Internal Audit</vt:lpstr>
    </vt:vector>
  </TitlesOfParts>
  <LinksUpToDate>false</LinksUpToDate>
  <CharactersWithSpaces>22858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C15/43 - Internal Audit</dc:title>
  <dc:subject>Council 2015</dc:subject>
  <dc:creator/>
  <cp:keywords>Council 2015, C15</cp:keywords>
  <cp:lastModifiedBy/>
  <cp:revision>1</cp:revision>
  <dcterms:created xsi:type="dcterms:W3CDTF">2015-04-13T09:05:00Z</dcterms:created>
  <dcterms:modified xsi:type="dcterms:W3CDTF">2015-04-13T09:07:00Z</dcterms:modified>
</cp:coreProperties>
</file>