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290728">
        <w:trPr>
          <w:cantSplit/>
          <w:trHeight w:val="20"/>
        </w:trPr>
        <w:tc>
          <w:tcPr>
            <w:tcW w:w="6620" w:type="dxa"/>
          </w:tcPr>
          <w:p w:rsidR="00290728" w:rsidRPr="00290728" w:rsidRDefault="00290728" w:rsidP="00C002DE">
            <w:pPr>
              <w:spacing w:before="360"/>
              <w:jc w:val="left"/>
              <w:rPr>
                <w:b/>
                <w:bCs/>
                <w:rtl/>
                <w:lang w:bidi="ar-EG"/>
              </w:rPr>
            </w:pPr>
            <w:r w:rsidRPr="00290728">
              <w:rPr>
                <w:rFonts w:hint="cs"/>
                <w:b/>
                <w:bCs/>
                <w:w w:val="110"/>
                <w:sz w:val="32"/>
                <w:szCs w:val="44"/>
                <w:rtl/>
                <w:lang w:bidi="ar-EG"/>
              </w:rPr>
              <w:t xml:space="preserve">ال‍مجلس </w:t>
            </w:r>
            <w:r w:rsidRPr="00290728">
              <w:rPr>
                <w:b/>
                <w:bCs/>
                <w:w w:val="110"/>
                <w:sz w:val="32"/>
                <w:szCs w:val="44"/>
                <w:lang w:bidi="ar-SY"/>
              </w:rPr>
              <w:t>2015</w:t>
            </w:r>
            <w:r w:rsidR="00C002DE">
              <w:rPr>
                <w:b/>
                <w:bCs/>
                <w:w w:val="110"/>
                <w:sz w:val="32"/>
                <w:szCs w:val="44"/>
                <w:rtl/>
                <w:lang w:bidi="ar-SY"/>
              </w:rPr>
              <w:br/>
            </w:r>
            <w:r w:rsidRPr="00290728">
              <w:rPr>
                <w:rFonts w:hint="cs"/>
                <w:b/>
                <w:bCs/>
                <w:sz w:val="24"/>
                <w:szCs w:val="32"/>
                <w:rtl/>
                <w:lang w:bidi="ar-EG"/>
              </w:rPr>
              <w:t xml:space="preserve">جنيف، </w:t>
            </w:r>
            <w:r w:rsidRPr="00290728">
              <w:rPr>
                <w:b/>
                <w:bCs/>
                <w:sz w:val="24"/>
                <w:szCs w:val="32"/>
                <w:lang w:bidi="ar-SY"/>
              </w:rPr>
              <w:t>22-12</w:t>
            </w:r>
            <w:r w:rsidRPr="00290728">
              <w:rPr>
                <w:b/>
                <w:bCs/>
                <w:sz w:val="24"/>
                <w:szCs w:val="32"/>
                <w:rtl/>
                <w:lang w:bidi="ar-EG"/>
              </w:rPr>
              <w:t xml:space="preserve"> مايو</w:t>
            </w:r>
            <w:r w:rsidRPr="006A65CB">
              <w:rPr>
                <w:b/>
                <w:bCs/>
                <w:sz w:val="24"/>
                <w:szCs w:val="32"/>
                <w:rtl/>
                <w:lang w:bidi="ar-EG"/>
              </w:rPr>
              <w:t xml:space="preserve"> </w:t>
            </w:r>
            <w:r w:rsidRPr="00290728">
              <w:rPr>
                <w:b/>
                <w:bCs/>
                <w:sz w:val="24"/>
                <w:szCs w:val="32"/>
                <w:lang w:bidi="ar-SY"/>
              </w:rPr>
              <w:t>2015</w:t>
            </w:r>
          </w:p>
        </w:tc>
        <w:tc>
          <w:tcPr>
            <w:tcW w:w="3052" w:type="dxa"/>
          </w:tcPr>
          <w:p w:rsidR="00290728" w:rsidRPr="00290728" w:rsidRDefault="00290728" w:rsidP="00290728">
            <w:pPr>
              <w:spacing w:before="0" w:line="240" w:lineRule="auto"/>
              <w:jc w:val="right"/>
              <w:rPr>
                <w:rtl/>
                <w:lang w:bidi="ar-EG"/>
              </w:rPr>
            </w:pPr>
            <w:bookmarkStart w:id="0" w:name="ditulogo"/>
            <w:bookmarkEnd w:id="0"/>
            <w:r w:rsidRPr="00290728">
              <w:rPr>
                <w:noProof/>
              </w:rPr>
              <w:drawing>
                <wp:inline distT="0" distB="0" distL="0" distR="0" wp14:anchorId="76ED5690" wp14:editId="0A1EBE9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290728">
            <w:pPr>
              <w:spacing w:before="60" w:after="60" w:line="400" w:lineRule="exact"/>
              <w:rPr>
                <w:sz w:val="24"/>
                <w:szCs w:val="32"/>
                <w:rtl/>
                <w:lang w:bidi="ar-EG"/>
              </w:rPr>
            </w:pPr>
            <w:r w:rsidRPr="00290728">
              <w:rPr>
                <w:b/>
                <w:bCs/>
                <w:sz w:val="24"/>
                <w:szCs w:val="32"/>
                <w:rtl/>
                <w:lang w:bidi="ar-EG"/>
              </w:rPr>
              <w:t>الاتحـ</w:t>
            </w:r>
            <w:r w:rsidRPr="00290728">
              <w:rPr>
                <w:rFonts w:hint="cs"/>
                <w:b/>
                <w:bCs/>
                <w:sz w:val="24"/>
                <w:szCs w:val="32"/>
                <w:rtl/>
                <w:lang w:bidi="ar-EG"/>
              </w:rPr>
              <w:t>ـــ</w:t>
            </w:r>
            <w:r w:rsidRPr="00290728">
              <w:rPr>
                <w:b/>
                <w:bCs/>
                <w:sz w:val="24"/>
                <w:szCs w:val="32"/>
                <w:rtl/>
                <w:lang w:bidi="ar-EG"/>
              </w:rPr>
              <w:t>اد</w:t>
            </w:r>
            <w:r w:rsidRPr="00290728">
              <w:rPr>
                <w:rFonts w:hint="cs"/>
                <w:b/>
                <w:bCs/>
                <w:sz w:val="24"/>
                <w:szCs w:val="32"/>
                <w:rtl/>
                <w:lang w:bidi="ar-EG"/>
              </w:rPr>
              <w:t xml:space="preserve"> </w:t>
            </w:r>
            <w:r w:rsidRPr="00290728">
              <w:rPr>
                <w:b/>
                <w:bCs/>
                <w:sz w:val="24"/>
                <w:szCs w:val="32"/>
                <w:rtl/>
                <w:lang w:bidi="ar-EG"/>
              </w:rPr>
              <w:t>ال</w:t>
            </w:r>
            <w:r w:rsidRPr="00290728">
              <w:rPr>
                <w:rFonts w:hint="cs"/>
                <w:b/>
                <w:bCs/>
                <w:sz w:val="24"/>
                <w:szCs w:val="32"/>
                <w:rtl/>
                <w:lang w:bidi="ar-EG"/>
              </w:rPr>
              <w:t>ـ</w:t>
            </w:r>
            <w:r w:rsidRPr="00290728">
              <w:rPr>
                <w:b/>
                <w:bCs/>
                <w:sz w:val="24"/>
                <w:szCs w:val="32"/>
                <w:rtl/>
                <w:lang w:bidi="ar-EG"/>
              </w:rPr>
              <w:t>دولـ</w:t>
            </w:r>
            <w:r w:rsidRPr="00290728">
              <w:rPr>
                <w:rFonts w:hint="cs"/>
                <w:b/>
                <w:bCs/>
                <w:sz w:val="24"/>
                <w:szCs w:val="32"/>
                <w:rtl/>
                <w:lang w:bidi="ar-EG"/>
              </w:rPr>
              <w:t>ـــ</w:t>
            </w:r>
            <w:r w:rsidRPr="00290728">
              <w:rPr>
                <w:b/>
                <w:bCs/>
                <w:sz w:val="24"/>
                <w:szCs w:val="32"/>
                <w:rtl/>
                <w:lang w:bidi="ar-EG"/>
              </w:rPr>
              <w:t>ي للاتص</w:t>
            </w:r>
            <w:r w:rsidRPr="00290728">
              <w:rPr>
                <w:rFonts w:hint="cs"/>
                <w:b/>
                <w:bCs/>
                <w:sz w:val="24"/>
                <w:szCs w:val="32"/>
                <w:rtl/>
                <w:lang w:bidi="ar-EG"/>
              </w:rPr>
              <w:t>ـ</w:t>
            </w:r>
            <w:r w:rsidRPr="00290728">
              <w:rPr>
                <w:b/>
                <w:bCs/>
                <w:sz w:val="24"/>
                <w:szCs w:val="32"/>
                <w:rtl/>
                <w:lang w:bidi="ar-EG"/>
              </w:rPr>
              <w:t>ـ</w:t>
            </w:r>
            <w:r w:rsidRPr="00290728">
              <w:rPr>
                <w:rFonts w:hint="cs"/>
                <w:b/>
                <w:bCs/>
                <w:sz w:val="24"/>
                <w:szCs w:val="32"/>
                <w:rtl/>
                <w:lang w:bidi="ar-EG"/>
              </w:rPr>
              <w:t>ــ</w:t>
            </w:r>
            <w:r w:rsidRPr="00290728">
              <w:rPr>
                <w:b/>
                <w:bCs/>
                <w:sz w:val="24"/>
                <w:szCs w:val="32"/>
                <w:rtl/>
                <w:lang w:bidi="ar-EG"/>
              </w:rPr>
              <w:t>الات</w:t>
            </w:r>
          </w:p>
        </w:tc>
        <w:tc>
          <w:tcPr>
            <w:tcW w:w="3052" w:type="dxa"/>
            <w:tcBorders>
              <w:bottom w:val="single" w:sz="12" w:space="0" w:color="auto"/>
            </w:tcBorders>
          </w:tcPr>
          <w:p w:rsidR="00290728" w:rsidRPr="00290728" w:rsidRDefault="00290728" w:rsidP="00290728">
            <w:pPr>
              <w:spacing w:before="60" w:after="6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290728" w:rsidRDefault="00C002DE" w:rsidP="0051267B">
            <w:pPr>
              <w:spacing w:before="60" w:after="60" w:line="300" w:lineRule="exact"/>
              <w:rPr>
                <w:b/>
                <w:bCs/>
                <w:rtl/>
                <w:lang w:bidi="ar-SY"/>
              </w:rPr>
            </w:pPr>
            <w:r>
              <w:rPr>
                <w:rFonts w:hint="cs"/>
                <w:b/>
                <w:bCs/>
                <w:rtl/>
                <w:lang w:bidi="ar-EG"/>
              </w:rPr>
              <w:t>بند جدول الأعمال</w:t>
            </w:r>
            <w:r w:rsidR="00755F0B">
              <w:rPr>
                <w:rFonts w:hint="cs"/>
                <w:b/>
                <w:bCs/>
                <w:rtl/>
                <w:lang w:bidi="ar-EG"/>
              </w:rPr>
              <w:t>:</w:t>
            </w:r>
            <w:r w:rsidR="00870FBF">
              <w:rPr>
                <w:rFonts w:hint="cs"/>
                <w:b/>
                <w:bCs/>
                <w:rtl/>
                <w:lang w:bidi="ar-EG"/>
              </w:rPr>
              <w:t xml:space="preserve"> </w:t>
            </w:r>
            <w:r w:rsidR="00870FBF">
              <w:rPr>
                <w:b/>
                <w:bCs/>
                <w:lang w:bidi="ar-EG"/>
              </w:rPr>
              <w:t>ADM</w:t>
            </w:r>
            <w:r w:rsidR="0051267B">
              <w:rPr>
                <w:b/>
                <w:bCs/>
                <w:lang w:bidi="ar-EG"/>
              </w:rPr>
              <w:t> </w:t>
            </w:r>
            <w:bookmarkStart w:id="1" w:name="_GoBack"/>
            <w:bookmarkEnd w:id="1"/>
            <w:r w:rsidR="00870FBF">
              <w:rPr>
                <w:b/>
                <w:bCs/>
                <w:lang w:bidi="ar-EG"/>
              </w:rPr>
              <w:t>14</w:t>
            </w:r>
          </w:p>
        </w:tc>
        <w:tc>
          <w:tcPr>
            <w:tcW w:w="3052" w:type="dxa"/>
            <w:vAlign w:val="center"/>
          </w:tcPr>
          <w:p w:rsidR="00290728" w:rsidRPr="00290728" w:rsidRDefault="00290728" w:rsidP="00870FBF">
            <w:pPr>
              <w:spacing w:before="60" w:after="60" w:line="300" w:lineRule="exact"/>
              <w:rPr>
                <w:b/>
                <w:bCs/>
                <w:lang w:bidi="ar-SY"/>
              </w:rPr>
            </w:pPr>
            <w:r w:rsidRPr="00290728">
              <w:rPr>
                <w:rFonts w:hint="cs"/>
                <w:b/>
                <w:bCs/>
                <w:rtl/>
                <w:lang w:bidi="ar-EG"/>
              </w:rPr>
              <w:t xml:space="preserve">الوثيقة </w:t>
            </w:r>
            <w:r w:rsidRPr="00290728">
              <w:rPr>
                <w:b/>
                <w:bCs/>
                <w:lang w:bidi="ar-SY"/>
              </w:rPr>
              <w:t>C15/</w:t>
            </w:r>
            <w:r w:rsidR="00870FBF">
              <w:rPr>
                <w:b/>
                <w:bCs/>
                <w:lang w:bidi="ar-SY"/>
              </w:rPr>
              <w:t>43</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870FBF" w:rsidP="00870FBF">
            <w:pPr>
              <w:spacing w:before="60" w:after="60" w:line="300" w:lineRule="exact"/>
              <w:rPr>
                <w:b/>
                <w:bCs/>
                <w:lang w:bidi="ar-SY"/>
              </w:rPr>
            </w:pPr>
            <w:r>
              <w:rPr>
                <w:b/>
                <w:bCs/>
                <w:lang w:bidi="ar-SY"/>
              </w:rPr>
              <w:t>2</w:t>
            </w:r>
            <w:r w:rsidR="00290728" w:rsidRPr="00290728">
              <w:rPr>
                <w:rFonts w:hint="cs"/>
                <w:b/>
                <w:bCs/>
                <w:rtl/>
                <w:lang w:bidi="ar-EG"/>
              </w:rPr>
              <w:t xml:space="preserve"> </w:t>
            </w:r>
            <w:r>
              <w:rPr>
                <w:rFonts w:hint="cs"/>
                <w:b/>
                <w:bCs/>
                <w:rtl/>
                <w:lang w:bidi="ar-EG"/>
              </w:rPr>
              <w:t>أبريل</w:t>
            </w:r>
            <w:r w:rsidR="00290728" w:rsidRPr="00290728">
              <w:rPr>
                <w:rFonts w:hint="cs"/>
                <w:b/>
                <w:bCs/>
                <w:rtl/>
                <w:lang w:bidi="ar-EG"/>
              </w:rPr>
              <w:t xml:space="preserve"> </w:t>
            </w:r>
            <w:r w:rsidR="00290728" w:rsidRPr="00290728">
              <w:rPr>
                <w:b/>
                <w:bCs/>
                <w:lang w:bidi="ar-SY"/>
              </w:rPr>
              <w:t>2015</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290728">
            <w:pPr>
              <w:spacing w:before="60" w:after="60" w:line="300" w:lineRule="exact"/>
              <w:rPr>
                <w:b/>
                <w:bCs/>
                <w:lang w:bidi="ar-SY"/>
              </w:rPr>
            </w:pPr>
            <w:r w:rsidRPr="00290728">
              <w:rPr>
                <w:b/>
                <w:bCs/>
                <w:rtl/>
                <w:lang w:bidi="ar-EG"/>
              </w:rPr>
              <w:t xml:space="preserve">الأصل: </w:t>
            </w:r>
            <w:r w:rsidRPr="00290728">
              <w:rPr>
                <w:rFonts w:hint="cs"/>
                <w:b/>
                <w:bCs/>
                <w:rtl/>
                <w:lang w:bidi="ar-EG"/>
              </w:rPr>
              <w:t>بالإنكليزية</w:t>
            </w:r>
          </w:p>
        </w:tc>
      </w:tr>
      <w:tr w:rsidR="00290728" w:rsidRPr="00290728" w:rsidTr="009F66A8">
        <w:trPr>
          <w:cantSplit/>
        </w:trPr>
        <w:tc>
          <w:tcPr>
            <w:tcW w:w="9672" w:type="dxa"/>
            <w:gridSpan w:val="2"/>
          </w:tcPr>
          <w:p w:rsidR="00290728" w:rsidRPr="00290728" w:rsidRDefault="00870FBF" w:rsidP="00290728">
            <w:pPr>
              <w:pStyle w:val="Source"/>
              <w:rPr>
                <w:rtl/>
                <w:lang w:bidi="ar-SY"/>
              </w:rPr>
            </w:pPr>
            <w:r>
              <w:rPr>
                <w:rFonts w:hint="cs"/>
                <w:rtl/>
                <w:lang w:bidi="ar-SY"/>
              </w:rPr>
              <w:t>تقرير من الأمين العام</w:t>
            </w:r>
          </w:p>
        </w:tc>
      </w:tr>
      <w:tr w:rsidR="00290728" w:rsidRPr="00290728" w:rsidTr="009F66A8">
        <w:trPr>
          <w:cantSplit/>
        </w:trPr>
        <w:tc>
          <w:tcPr>
            <w:tcW w:w="9672" w:type="dxa"/>
            <w:gridSpan w:val="2"/>
          </w:tcPr>
          <w:p w:rsidR="00290728" w:rsidRPr="00383829" w:rsidRDefault="00870FBF" w:rsidP="00870FBF">
            <w:pPr>
              <w:pStyle w:val="Title1"/>
              <w:framePr w:hSpace="0" w:wrap="auto" w:yAlign="inline"/>
              <w:rPr>
                <w:rtl/>
              </w:rPr>
            </w:pPr>
            <w:r w:rsidRPr="00870FBF">
              <w:rPr>
                <w:rtl/>
              </w:rPr>
              <w:t>تقرير ال</w:t>
            </w:r>
            <w:r w:rsidR="007C17A2">
              <w:rPr>
                <w:rFonts w:hint="cs"/>
                <w:rtl/>
              </w:rPr>
              <w:t>‍</w:t>
            </w:r>
            <w:r w:rsidRPr="00870FBF">
              <w:rPr>
                <w:rtl/>
              </w:rPr>
              <w:t>مراجع الداخلي عن أنشطة ال</w:t>
            </w:r>
            <w:r w:rsidR="007C17A2">
              <w:rPr>
                <w:rFonts w:hint="cs"/>
                <w:rtl/>
              </w:rPr>
              <w:t>‍</w:t>
            </w:r>
            <w:r w:rsidRPr="00870FBF">
              <w:rPr>
                <w:rtl/>
              </w:rPr>
              <w:t>مراجعة الداخلية</w:t>
            </w:r>
          </w:p>
        </w:tc>
      </w:tr>
    </w:tbl>
    <w:p w:rsidR="00706D7A" w:rsidRDefault="00706D7A" w:rsidP="00870FBF">
      <w:pPr>
        <w:pStyle w:val="Normalaftertitle"/>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706D7A">
            <w:pPr>
              <w:rPr>
                <w:b/>
                <w:bCs/>
                <w:rtl/>
                <w:lang w:bidi="ar-SY"/>
              </w:rPr>
            </w:pPr>
            <w:r w:rsidRPr="00290728">
              <w:rPr>
                <w:rFonts w:hint="cs"/>
                <w:b/>
                <w:bCs/>
                <w:rtl/>
                <w:lang w:bidi="ar-SY"/>
              </w:rPr>
              <w:t>ملخص</w:t>
            </w:r>
          </w:p>
          <w:p w:rsidR="00290728" w:rsidRDefault="00870FBF" w:rsidP="00870FBF">
            <w:pPr>
              <w:rPr>
                <w:rtl/>
                <w:lang w:bidi="ar-SY"/>
              </w:rPr>
            </w:pPr>
            <w:r w:rsidRPr="00870FBF">
              <w:rPr>
                <w:rtl/>
              </w:rPr>
              <w:t xml:space="preserve">يشمل هذا التقرير أنشطة المراجعة الداخلية للفترة الممتدة من مارس </w:t>
            </w:r>
            <w:r w:rsidRPr="00870FBF">
              <w:rPr>
                <w:lang w:bidi="ar-SY"/>
              </w:rPr>
              <w:t>2014</w:t>
            </w:r>
            <w:r w:rsidRPr="00870FBF">
              <w:rPr>
                <w:rtl/>
              </w:rPr>
              <w:t xml:space="preserve"> إلى فبراير </w:t>
            </w:r>
            <w:r w:rsidRPr="00870FBF">
              <w:rPr>
                <w:lang w:bidi="ar-SY"/>
              </w:rPr>
              <w:t>2015</w:t>
            </w:r>
            <w:r w:rsidRPr="00870FBF">
              <w:rPr>
                <w:rtl/>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870FBF" w:rsidP="00870FBF">
            <w:pPr>
              <w:rPr>
                <w:rtl/>
                <w:lang w:bidi="ar-SY"/>
              </w:rPr>
            </w:pPr>
            <w:r w:rsidRPr="00870FBF">
              <w:rPr>
                <w:rtl/>
              </w:rPr>
              <w:t>يحال هذا التقرير إلى المجلس لكي</w:t>
            </w:r>
            <w:r w:rsidRPr="00870FBF">
              <w:rPr>
                <w:b/>
                <w:bCs/>
                <w:rtl/>
              </w:rPr>
              <w:t xml:space="preserve"> ينظر فيه</w:t>
            </w:r>
            <w:r w:rsidRPr="00870FBF">
              <w:rPr>
                <w:rtl/>
              </w:rPr>
              <w:t>.</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870FBF" w:rsidP="007C17A2">
            <w:pPr>
              <w:spacing w:after="120"/>
              <w:rPr>
                <w:i/>
                <w:iCs/>
                <w:rtl/>
                <w:lang w:bidi="ar-SY"/>
              </w:rPr>
            </w:pPr>
            <w:r w:rsidRPr="00870FBF">
              <w:rPr>
                <w:i/>
                <w:iCs/>
                <w:rtl/>
              </w:rPr>
              <w:t xml:space="preserve">اللوائح المالية والقواعد المالية للاتحاد </w:t>
            </w:r>
            <w:r w:rsidRPr="00870FBF">
              <w:rPr>
                <w:i/>
                <w:iCs/>
                <w:lang w:bidi="ar-SY"/>
              </w:rPr>
              <w:t>(2010)</w:t>
            </w:r>
            <w:r w:rsidRPr="00870FBF">
              <w:rPr>
                <w:i/>
                <w:iCs/>
                <w:rtl/>
              </w:rPr>
              <w:t xml:space="preserve">، المادة </w:t>
            </w:r>
            <w:r w:rsidRPr="00870FBF">
              <w:rPr>
                <w:i/>
                <w:iCs/>
                <w:lang w:bidi="ar-SY"/>
              </w:rPr>
              <w:t>29</w:t>
            </w:r>
          </w:p>
        </w:tc>
      </w:tr>
    </w:tbl>
    <w:p w:rsidR="00870FBF" w:rsidRPr="00870FBF" w:rsidRDefault="00870FBF" w:rsidP="007209FD">
      <w:pPr>
        <w:pStyle w:val="Heading1"/>
        <w:rPr>
          <w:lang w:bidi="ar-SY"/>
        </w:rPr>
      </w:pPr>
      <w:r w:rsidRPr="00870FBF">
        <w:rPr>
          <w:rtl/>
        </w:rPr>
        <w:t>مقدمة</w:t>
      </w:r>
    </w:p>
    <w:p w:rsidR="00870FBF" w:rsidRPr="00870FBF" w:rsidRDefault="00870FBF" w:rsidP="007209FD">
      <w:pPr>
        <w:rPr>
          <w:rtl/>
        </w:rPr>
      </w:pPr>
      <w:r w:rsidRPr="00870FBF">
        <w:rPr>
          <w:lang w:bidi="ar-SY"/>
        </w:rPr>
        <w:t>1</w:t>
      </w:r>
      <w:r w:rsidRPr="00870FBF">
        <w:rPr>
          <w:rtl/>
        </w:rPr>
        <w:tab/>
        <w:t xml:space="preserve">يُحال هذا التقرير إلى المجلس وهو قد أُعد عملاً بالمادة </w:t>
      </w:r>
      <w:r w:rsidRPr="00870FBF">
        <w:rPr>
          <w:lang w:bidi="ar-SY"/>
        </w:rPr>
        <w:t>29</w:t>
      </w:r>
      <w:r w:rsidRPr="00870FBF">
        <w:rPr>
          <w:rtl/>
        </w:rPr>
        <w:t xml:space="preserve"> من اللوائح المالية </w:t>
      </w:r>
      <w:r w:rsidRPr="00870FBF">
        <w:rPr>
          <w:lang w:bidi="ar-SY"/>
        </w:rPr>
        <w:t>(2010)</w:t>
      </w:r>
      <w:r w:rsidRPr="00870FBF">
        <w:rPr>
          <w:rtl/>
        </w:rPr>
        <w:t>. ووفقاً لميثاق المراجعة الداخلية في الاتحاد</w:t>
      </w:r>
      <w:r w:rsidRPr="007209FD">
        <w:rPr>
          <w:rStyle w:val="FootnoteReference"/>
          <w:rtl/>
        </w:rPr>
        <w:footnoteReference w:id="1"/>
      </w:r>
      <w:r w:rsidRPr="00870FBF">
        <w:rPr>
          <w:rtl/>
        </w:rPr>
        <w:t>، يقدَّم هذا التقرير إلى الأمين العام ويُعرض على المجلس لكي ينظر فيه. ويشمل هذا التقرير الأنشطة المضطلَع بها في</w:t>
      </w:r>
      <w:r w:rsidR="007209FD">
        <w:rPr>
          <w:rFonts w:hint="cs"/>
          <w:rtl/>
        </w:rPr>
        <w:t> </w:t>
      </w:r>
      <w:r w:rsidRPr="00870FBF">
        <w:rPr>
          <w:rtl/>
        </w:rPr>
        <w:t xml:space="preserve">الفترة الممتدة من مارس </w:t>
      </w:r>
      <w:r w:rsidRPr="00870FBF">
        <w:rPr>
          <w:lang w:bidi="ar-SY"/>
        </w:rPr>
        <w:t>2014</w:t>
      </w:r>
      <w:r w:rsidRPr="00870FBF">
        <w:rPr>
          <w:rtl/>
        </w:rPr>
        <w:t xml:space="preserve"> حتى فبراير </w:t>
      </w:r>
      <w:r w:rsidRPr="00870FBF">
        <w:rPr>
          <w:lang w:bidi="ar-SY"/>
        </w:rPr>
        <w:t>2015</w:t>
      </w:r>
      <w:r w:rsidRPr="00870FBF">
        <w:rPr>
          <w:rtl/>
        </w:rPr>
        <w:t>.</w:t>
      </w:r>
    </w:p>
    <w:p w:rsidR="00870FBF" w:rsidRPr="00870FBF" w:rsidRDefault="00870FBF" w:rsidP="001A0639">
      <w:pPr>
        <w:rPr>
          <w:rtl/>
        </w:rPr>
      </w:pPr>
      <w:r w:rsidRPr="00870FBF">
        <w:rPr>
          <w:lang w:bidi="ar-SY"/>
        </w:rPr>
        <w:t>2</w:t>
      </w:r>
      <w:r w:rsidRPr="00870FBF">
        <w:rPr>
          <w:rtl/>
        </w:rPr>
        <w:tab/>
        <w:t xml:space="preserve">فيما يخص القسط الأعظم من عام </w:t>
      </w:r>
      <w:r w:rsidRPr="00870FBF">
        <w:rPr>
          <w:lang w:bidi="ar-SY"/>
        </w:rPr>
        <w:t>2014</w:t>
      </w:r>
      <w:r w:rsidRPr="00870FBF">
        <w:rPr>
          <w:rtl/>
        </w:rPr>
        <w:t>، تألفت وحدة المراجعة الداخلية من موظفَيْنِ من الفئة الفنية، أحدهما من الرتبة ف</w:t>
      </w:r>
      <w:r w:rsidR="007209FD">
        <w:rPr>
          <w:rFonts w:hint="cs"/>
          <w:rtl/>
        </w:rPr>
        <w:t>.</w:t>
      </w:r>
      <w:r w:rsidRPr="00870FBF">
        <w:rPr>
          <w:lang w:bidi="ar-SY"/>
        </w:rPr>
        <w:t>5</w:t>
      </w:r>
      <w:r w:rsidRPr="00870FBF">
        <w:rPr>
          <w:rtl/>
        </w:rPr>
        <w:t xml:space="preserve"> (رئيس الوحدة) والآخر من الرتبة ف</w:t>
      </w:r>
      <w:r w:rsidR="007209FD">
        <w:rPr>
          <w:rFonts w:hint="cs"/>
          <w:rtl/>
        </w:rPr>
        <w:t>.</w:t>
      </w:r>
      <w:r w:rsidRPr="00870FBF">
        <w:rPr>
          <w:lang w:bidi="ar-SY"/>
        </w:rPr>
        <w:t>3</w:t>
      </w:r>
      <w:r w:rsidRPr="00870FBF">
        <w:rPr>
          <w:rtl/>
        </w:rPr>
        <w:t xml:space="preserve"> (مراجع داخلي)، وموظف غير متفرغ من فئة الخدمات العامة (مساعد مراجع). وفي</w:t>
      </w:r>
      <w:r w:rsidR="007209FD">
        <w:rPr>
          <w:rFonts w:hint="cs"/>
          <w:rtl/>
        </w:rPr>
        <w:t> </w:t>
      </w:r>
      <w:r w:rsidRPr="00870FBF">
        <w:rPr>
          <w:rtl/>
        </w:rPr>
        <w:t xml:space="preserve">سبتمبر </w:t>
      </w:r>
      <w:r w:rsidRPr="00870FBF">
        <w:rPr>
          <w:lang w:bidi="ar-SY"/>
        </w:rPr>
        <w:t>2014</w:t>
      </w:r>
      <w:r w:rsidRPr="00870FBF">
        <w:rPr>
          <w:rtl/>
        </w:rPr>
        <w:t xml:space="preserve"> استُحدثت وظيفة مؤقتة من الرتبة ف</w:t>
      </w:r>
      <w:r w:rsidR="001A0639">
        <w:rPr>
          <w:rFonts w:hint="cs"/>
          <w:rtl/>
        </w:rPr>
        <w:t>.</w:t>
      </w:r>
      <w:r w:rsidRPr="00870FBF">
        <w:rPr>
          <w:lang w:bidi="ar-SY"/>
        </w:rPr>
        <w:t>1</w:t>
      </w:r>
      <w:r w:rsidRPr="00870FBF">
        <w:rPr>
          <w:rtl/>
        </w:rPr>
        <w:t xml:space="preserve"> (مراجع داخلي مبتدئ) ريثما يتم </w:t>
      </w:r>
      <w:r w:rsidR="001A0639">
        <w:rPr>
          <w:rFonts w:hint="cs"/>
          <w:rtl/>
        </w:rPr>
        <w:t>-</w:t>
      </w:r>
      <w:r w:rsidRPr="00870FBF">
        <w:rPr>
          <w:rtl/>
        </w:rPr>
        <w:t xml:space="preserve"> عملاً بتوصية سبق أن قدمتها اللجنة الاستشارية المستقلة للإدارة </w:t>
      </w:r>
      <w:r w:rsidRPr="00870FBF">
        <w:rPr>
          <w:lang w:bidi="ar-SY"/>
        </w:rPr>
        <w:t>(</w:t>
      </w:r>
      <w:r w:rsidRPr="00870FBF">
        <w:rPr>
          <w:lang w:val="en-GB" w:bidi="ar-SY"/>
        </w:rPr>
        <w:t>IMAC</w:t>
      </w:r>
      <w:r w:rsidRPr="00870FBF">
        <w:rPr>
          <w:lang w:bidi="ar-SY"/>
        </w:rPr>
        <w:t>)</w:t>
      </w:r>
      <w:r w:rsidRPr="00870FBF">
        <w:rPr>
          <w:rtl/>
        </w:rPr>
        <w:t xml:space="preserve"> </w:t>
      </w:r>
      <w:r w:rsidRPr="00870FBF">
        <w:rPr>
          <w:rFonts w:hint="cs"/>
          <w:rtl/>
        </w:rPr>
        <w:t>– استحداث وظيفة ثابتة من الرتبة ف</w:t>
      </w:r>
      <w:r w:rsidR="001A0639">
        <w:rPr>
          <w:rFonts w:hint="cs"/>
          <w:rtl/>
        </w:rPr>
        <w:t>.</w:t>
      </w:r>
      <w:r w:rsidRPr="00870FBF">
        <w:rPr>
          <w:lang w:bidi="ar-SY"/>
        </w:rPr>
        <w:t>2</w:t>
      </w:r>
      <w:r w:rsidRPr="00870FBF">
        <w:rPr>
          <w:rtl/>
        </w:rPr>
        <w:t xml:space="preserve"> (مراجع داخلي مبتدئ) كانت قد أُقرت منذ عهد قريب. فهذه الوحدة تتألف حالياً من ثلاثة موظفين من الفئة الفنية وموظف غير متفرغ من فئة الخدمات العامة.</w:t>
      </w:r>
    </w:p>
    <w:p w:rsidR="00870FBF" w:rsidRPr="00870FBF" w:rsidRDefault="00870FBF" w:rsidP="00870FBF">
      <w:pPr>
        <w:rPr>
          <w:rtl/>
        </w:rPr>
      </w:pPr>
      <w:r w:rsidRPr="00870FBF">
        <w:rPr>
          <w:lang w:bidi="ar-SY"/>
        </w:rPr>
        <w:lastRenderedPageBreak/>
        <w:t>3</w:t>
      </w:r>
      <w:r w:rsidRPr="00870FBF">
        <w:rPr>
          <w:rtl/>
        </w:rPr>
        <w:tab/>
        <w:t xml:space="preserve">إن المراجعة الداخلية مستقلة تنظيمياً عن الإجراءات والوحدات التي روجعت ضمن إطارها في الفترة المشمولة بهذا التقرير. ووفقاً للإدارة الرشيدة ودعماً لاستقلال وحدة المراجعة الداخلية قُدِّمت إلى اللجنة الاستشارية المستقلة للإدارة </w:t>
      </w:r>
      <w:r w:rsidRPr="00870FBF">
        <w:rPr>
          <w:lang w:bidi="ar-SY"/>
        </w:rPr>
        <w:t>(</w:t>
      </w:r>
      <w:r w:rsidRPr="00870FBF">
        <w:rPr>
          <w:lang w:val="en-GB" w:bidi="ar-SY"/>
        </w:rPr>
        <w:t>IMAC</w:t>
      </w:r>
      <w:r w:rsidRPr="00870FBF">
        <w:rPr>
          <w:lang w:bidi="ar-SY"/>
        </w:rPr>
        <w:t>)</w:t>
      </w:r>
      <w:r w:rsidRPr="00870FBF">
        <w:rPr>
          <w:rtl/>
        </w:rPr>
        <w:t xml:space="preserve"> تقارير مرحلية عن أعمال المراجعة الداخلية فأبدت هذه اللجنة ملاحظات عليها وأفادت عن ذلك في التقارير التي قدمتها إلى المدير العام وفي تقريرها السنوي إلى المجلس.</w:t>
      </w:r>
    </w:p>
    <w:p w:rsidR="00870FBF" w:rsidRPr="00870FBF" w:rsidRDefault="00870FBF" w:rsidP="00870FBF">
      <w:pPr>
        <w:rPr>
          <w:rtl/>
        </w:rPr>
      </w:pPr>
      <w:r w:rsidRPr="00870FBF">
        <w:rPr>
          <w:lang w:bidi="ar-SY"/>
        </w:rPr>
        <w:t>4</w:t>
      </w:r>
      <w:r w:rsidRPr="00870FBF">
        <w:rPr>
          <w:rtl/>
        </w:rPr>
        <w:tab/>
        <w:t xml:space="preserve">أحيلت خطة المراجعة الداخلية لعام </w:t>
      </w:r>
      <w:r w:rsidRPr="00870FBF">
        <w:rPr>
          <w:lang w:bidi="ar-SY"/>
        </w:rPr>
        <w:t>2014</w:t>
      </w:r>
      <w:r w:rsidRPr="00870FBF">
        <w:rPr>
          <w:rtl/>
        </w:rPr>
        <w:t xml:space="preserve"> إلى المراجع الخارجي سعياً إلى النهوض بالنجاعة والتنسيق.</w:t>
      </w:r>
    </w:p>
    <w:p w:rsidR="00870FBF" w:rsidRPr="00870FBF" w:rsidRDefault="00870FBF" w:rsidP="001A0639">
      <w:pPr>
        <w:pStyle w:val="Headingb"/>
        <w:rPr>
          <w:rtl/>
          <w:lang w:bidi="ar-EG"/>
        </w:rPr>
      </w:pPr>
      <w:r w:rsidRPr="00870FBF">
        <w:rPr>
          <w:rtl/>
        </w:rPr>
        <w:t>توجُّه أنشطة المراجعة الداخلية ونطاقها</w:t>
      </w:r>
    </w:p>
    <w:p w:rsidR="00870FBF" w:rsidRPr="00870FBF" w:rsidRDefault="00870FBF" w:rsidP="00870FBF">
      <w:pPr>
        <w:rPr>
          <w:rtl/>
        </w:rPr>
      </w:pPr>
      <w:r w:rsidRPr="00870FBF">
        <w:rPr>
          <w:lang w:bidi="ar-SY"/>
        </w:rPr>
        <w:t>5</w:t>
      </w:r>
      <w:r w:rsidRPr="00870FBF">
        <w:rPr>
          <w:rtl/>
        </w:rPr>
        <w:tab/>
        <w:t>انصبَّ عمل المراجعة بصورة رئيسية على المهام المتصلة بالتزامات تأكيد صحة البيانات و/أو مراجعات الأداء. وشملت المراجعة بنطاقها استعراض الوثائق والهياكل/الرسوم البيانية وتحليل الأنشطة المضطلَع بها وتقييم العمليات والإجراءات ذات الصلة وتقييم الامتثال. وقد أُنجز في الوقت المحدَّد جميع المراجعات المقرَّرة التي وُضعت موضع التنفيذ، وتم إصدار التقارير النهائية ذات الصلة التي تتضمن ملاحظات المديرين المعنيين.</w:t>
      </w:r>
    </w:p>
    <w:p w:rsidR="00870FBF" w:rsidRPr="00870FBF" w:rsidRDefault="00870FBF" w:rsidP="004733B3">
      <w:pPr>
        <w:rPr>
          <w:rtl/>
        </w:rPr>
      </w:pPr>
      <w:r w:rsidRPr="00870FBF">
        <w:rPr>
          <w:lang w:bidi="ar-SY"/>
        </w:rPr>
        <w:t>6</w:t>
      </w:r>
      <w:r w:rsidRPr="00870FBF">
        <w:rPr>
          <w:rtl/>
        </w:rPr>
        <w:tab/>
        <w:t>تؤكد وحدة المراجعة الداخلية أنها تجري مراجعاتها وفقاً للمعايير الدولية للممارسة المهنية للمراجعة الداخلية ومدونة قواعد السلوك التي وضعها معهد المراجعين الداخليين</w:t>
      </w:r>
      <w:r w:rsidRPr="001A0639">
        <w:rPr>
          <w:rStyle w:val="FootnoteReference"/>
          <w:rtl/>
        </w:rPr>
        <w:footnoteReference w:id="2"/>
      </w:r>
      <w:r w:rsidR="004733B3">
        <w:rPr>
          <w:rFonts w:hint="cs"/>
          <w:rtl/>
        </w:rPr>
        <w:t xml:space="preserve"> </w:t>
      </w:r>
      <w:r w:rsidRPr="00870FBF">
        <w:rPr>
          <w:lang w:bidi="ar-SY"/>
        </w:rPr>
        <w:t>(IIA)</w:t>
      </w:r>
      <w:r w:rsidRPr="00870FBF">
        <w:rPr>
          <w:rtl/>
        </w:rPr>
        <w:t>، ولأحكام ميثاق المراجعة الداخلية في الاتحاد</w:t>
      </w:r>
      <w:r w:rsidRPr="004733B3">
        <w:rPr>
          <w:rStyle w:val="FootnoteReference"/>
          <w:rtl/>
        </w:rPr>
        <w:footnoteReference w:id="3"/>
      </w:r>
      <w:r w:rsidRPr="00870FBF">
        <w:rPr>
          <w:rtl/>
        </w:rPr>
        <w:t>. وبالإضافة إلى ذلك، تؤكد وحدة المراجعة الداخلية فيما يخص الفترة المشمولة بهذا التقرير أنه لم يكن لموظفيها أي سلطة إدارية ولم يتولوا أي مسؤولية عن أي من الأنشطة التي جرت مراجعتها ولم يؤدوا أي وظائف محاسبية أو تشغيلية ضمن الاتحاد.</w:t>
      </w:r>
    </w:p>
    <w:p w:rsidR="00870FBF" w:rsidRPr="00870FBF" w:rsidRDefault="00870FBF" w:rsidP="004733B3">
      <w:pPr>
        <w:pStyle w:val="Headingb"/>
        <w:rPr>
          <w:rtl/>
        </w:rPr>
      </w:pPr>
      <w:r w:rsidRPr="00870FBF">
        <w:rPr>
          <w:rtl/>
        </w:rPr>
        <w:t>المهمات المتصلة بالتزامات تأكيد صحة البيانات</w:t>
      </w:r>
    </w:p>
    <w:p w:rsidR="00870FBF" w:rsidRPr="00870FBF" w:rsidRDefault="00870FBF" w:rsidP="00AC3DA0">
      <w:pPr>
        <w:rPr>
          <w:rtl/>
        </w:rPr>
      </w:pPr>
      <w:r w:rsidRPr="00870FBF">
        <w:rPr>
          <w:lang w:bidi="ar-SY"/>
        </w:rPr>
        <w:t>7</w:t>
      </w:r>
      <w:r w:rsidRPr="00870FBF">
        <w:rPr>
          <w:rtl/>
        </w:rPr>
        <w:tab/>
        <w:t>تتمثل أهداف المهمات المتصلة بالتزامات تأكيد صحة البيانات في تقييم الضوابط الداخلية القائمة، وتدارس مدى ملاءمة اللوائح والقواعد المعمول بها، والتحقق من التقيد في معاملات منتقاة بالسياسات والإجراءات النافذة، وتبيُّن ما إذا كانت الأنشطة الخاضعة للتدارس تتوافق مع المبادئ القاضية باستعمال موارد الاتحاد على نحو ناجع وفعّال واقتصادي. وتصنَّف التوصيات الناتجة عن أعمال المراجعة من حيث الأولوية بحسب أثر القصور المعني واحتماله (حاسمة الأهمية، كبيرة الأهمية، متوسطة الأهمية، متدنية</w:t>
      </w:r>
      <w:r w:rsidR="00AC3DA0">
        <w:rPr>
          <w:rFonts w:hint="cs"/>
          <w:rtl/>
        </w:rPr>
        <w:t> </w:t>
      </w:r>
      <w:r w:rsidRPr="00870FBF">
        <w:rPr>
          <w:rtl/>
        </w:rPr>
        <w:t>الأهمية).</w:t>
      </w:r>
    </w:p>
    <w:p w:rsidR="00870FBF" w:rsidRPr="00870FBF" w:rsidRDefault="00870FBF" w:rsidP="00870FBF">
      <w:pPr>
        <w:rPr>
          <w:rtl/>
        </w:rPr>
      </w:pPr>
      <w:r w:rsidRPr="00870FBF">
        <w:rPr>
          <w:lang w:bidi="ar-SY"/>
        </w:rPr>
        <w:t>8</w:t>
      </w:r>
      <w:r w:rsidRPr="00870FBF">
        <w:rPr>
          <w:rtl/>
        </w:rPr>
        <w:tab/>
        <w:t>تقدِّم وحدة المراجعة الداخلية بانتظام نسخاً من تقارير المراجعة الداخلية إلى المراجع الخارجي لحسابات الاتحاد واللجنة الاستشارية المستقلة للإدارة </w:t>
      </w:r>
      <w:r w:rsidRPr="00870FBF">
        <w:rPr>
          <w:lang w:bidi="ar-SY"/>
        </w:rPr>
        <w:t>(IMAC)</w:t>
      </w:r>
      <w:r w:rsidRPr="00870FBF">
        <w:rPr>
          <w:rtl/>
        </w:rPr>
        <w:t xml:space="preserve">. ووفقاً للمادة </w:t>
      </w:r>
      <w:r w:rsidRPr="00870FBF">
        <w:rPr>
          <w:lang w:bidi="ar-SY"/>
        </w:rPr>
        <w:t>5.29</w:t>
      </w:r>
      <w:r w:rsidRPr="00870FBF">
        <w:rPr>
          <w:rtl/>
        </w:rPr>
        <w:t xml:space="preserve"> من اللوائح المالية للاتحاد، يمكن أن تتاح التقارير النهائية للمراجعة الداخلية إلى الدول الأعضاء أو ممثليها المعيَّنين بناءً على طلب خطي يُرسَل إلى الأمين العام. ولم ترد أي طلبات من هذا القبيل أثناء الفترة المشمولة بالتقرير الحالي.</w:t>
      </w:r>
    </w:p>
    <w:p w:rsidR="00870FBF" w:rsidRPr="00870FBF" w:rsidRDefault="00870FBF" w:rsidP="00245553">
      <w:pPr>
        <w:rPr>
          <w:rtl/>
        </w:rPr>
      </w:pPr>
      <w:r w:rsidRPr="00870FBF">
        <w:rPr>
          <w:lang w:bidi="ar-SY"/>
        </w:rPr>
        <w:t>9</w:t>
      </w:r>
      <w:r w:rsidRPr="00870FBF">
        <w:rPr>
          <w:rtl/>
        </w:rPr>
        <w:tab/>
        <w:t>تشير نتائج أعمال المراجعة للفترة المشمولة بهذا التقرير إلى أن الضوابط الداخلية والسياسات والإجراءات موجودة ومعمول بها عموماً لكن يلزم تحسينها في بعض المجالات. وتُتخذ بدعم من الأمين العام تدابير لتنفيذ التوصيات التي قدِّمت إلى الإدارة، ما</w:t>
      </w:r>
      <w:r w:rsidR="00245553">
        <w:rPr>
          <w:rFonts w:hint="cs"/>
          <w:rtl/>
        </w:rPr>
        <w:t> </w:t>
      </w:r>
      <w:r w:rsidRPr="00870FBF">
        <w:rPr>
          <w:rtl/>
        </w:rPr>
        <w:t xml:space="preserve">سيزيد من تعزيز قدرة الاتحاد على النهوض بالمهام المنوطة به في إطار ولايته. </w:t>
      </w:r>
    </w:p>
    <w:p w:rsidR="00870FBF" w:rsidRPr="00870FBF" w:rsidRDefault="00870FBF" w:rsidP="00870FBF">
      <w:pPr>
        <w:rPr>
          <w:rtl/>
        </w:rPr>
      </w:pPr>
      <w:r w:rsidRPr="00870FBF">
        <w:rPr>
          <w:lang w:bidi="ar-SY"/>
        </w:rPr>
        <w:t>10</w:t>
      </w:r>
      <w:r w:rsidRPr="00870FBF">
        <w:rPr>
          <w:rtl/>
        </w:rPr>
        <w:tab/>
        <w:t>أعقبت تنفيذ التدابير الموصى بها مراجعة داخلية، وذلك بحسب الاقتضاء وعند الاقتضاء (انظر أيضاً الفقرة المتعلقة بمتابعة التنفيذ الواردة فيما يلي ضمن هذا التقرير).</w:t>
      </w:r>
    </w:p>
    <w:p w:rsidR="00870FBF" w:rsidRPr="00E20177" w:rsidRDefault="00870FBF" w:rsidP="00E20177">
      <w:pPr>
        <w:keepNext/>
        <w:rPr>
          <w:i/>
          <w:iCs/>
          <w:rtl/>
        </w:rPr>
      </w:pPr>
      <w:r w:rsidRPr="00E20177">
        <w:rPr>
          <w:i/>
          <w:iCs/>
          <w:rtl/>
        </w:rPr>
        <w:lastRenderedPageBreak/>
        <w:t>وقد نُفِّذ ما يلي من المهمات المتصلة بالتزامات تأكيد صحة البيانات:</w:t>
      </w:r>
    </w:p>
    <w:p w:rsidR="00870FBF" w:rsidRPr="002509AD" w:rsidRDefault="00870FBF" w:rsidP="002509AD">
      <w:pPr>
        <w:pStyle w:val="Headingb"/>
        <w:rPr>
          <w:i/>
          <w:iCs/>
          <w:rtl/>
          <w:lang w:bidi="ar-EG"/>
        </w:rPr>
      </w:pPr>
      <w:r w:rsidRPr="002509AD">
        <w:rPr>
          <w:i/>
          <w:iCs/>
          <w:rtl/>
        </w:rPr>
        <w:tab/>
        <w:t>ألف.</w:t>
      </w:r>
      <w:r w:rsidRPr="002509AD">
        <w:rPr>
          <w:i/>
          <w:iCs/>
          <w:rtl/>
        </w:rPr>
        <w:tab/>
        <w:t xml:space="preserve">مراجعة مسارات الأعمال في نظام </w:t>
      </w:r>
      <w:r w:rsidRPr="002509AD">
        <w:rPr>
          <w:i/>
          <w:iCs/>
          <w:lang w:bidi="ar-SY"/>
        </w:rPr>
        <w:t>SAP</w:t>
      </w:r>
      <w:r w:rsidRPr="002509AD">
        <w:rPr>
          <w:i/>
          <w:iCs/>
          <w:rtl/>
        </w:rPr>
        <w:t xml:space="preserve"> </w:t>
      </w:r>
      <w:r w:rsidRPr="002509AD">
        <w:rPr>
          <w:rFonts w:hint="cs"/>
          <w:i/>
          <w:iCs/>
          <w:rtl/>
        </w:rPr>
        <w:t xml:space="preserve">لتخطيط الموارد المؤسسية </w:t>
      </w:r>
    </w:p>
    <w:p w:rsidR="00870FBF" w:rsidRPr="00870FBF" w:rsidRDefault="00870FBF" w:rsidP="00B2282E">
      <w:pPr>
        <w:rPr>
          <w:rtl/>
        </w:rPr>
      </w:pPr>
      <w:r w:rsidRPr="00870FBF">
        <w:rPr>
          <w:lang w:bidi="ar-SY"/>
        </w:rPr>
        <w:t>11</w:t>
      </w:r>
      <w:r w:rsidRPr="00870FBF">
        <w:rPr>
          <w:rtl/>
        </w:rPr>
        <w:tab/>
        <w:t xml:space="preserve">تمثل </w:t>
      </w:r>
      <w:r w:rsidRPr="00870FBF">
        <w:rPr>
          <w:u w:val="single"/>
          <w:rtl/>
        </w:rPr>
        <w:t>الغرض</w:t>
      </w:r>
      <w:r w:rsidRPr="00870FBF">
        <w:rPr>
          <w:rtl/>
        </w:rPr>
        <w:t xml:space="preserve"> الرئيسي من المراجعة في تقييم ما إذا كانت الضوابط الداخلية كافية وتعمل جيداً بوجه عام. واشتملت المراجعة </w:t>
      </w:r>
      <w:r w:rsidRPr="00870FBF">
        <w:rPr>
          <w:u w:val="single"/>
          <w:rtl/>
        </w:rPr>
        <w:t>بنطاقها</w:t>
      </w:r>
      <w:r w:rsidRPr="00870FBF">
        <w:rPr>
          <w:rtl/>
        </w:rPr>
        <w:t xml:space="preserve"> الوظائف الثلاث المتعلقة بمسارات الأعمال في نظام </w:t>
      </w:r>
      <w:r w:rsidRPr="00870FBF">
        <w:rPr>
          <w:lang w:bidi="ar-SY"/>
        </w:rPr>
        <w:t>SAP</w:t>
      </w:r>
      <w:r w:rsidRPr="00870FBF">
        <w:rPr>
          <w:rtl/>
        </w:rPr>
        <w:t xml:space="preserve"> </w:t>
      </w:r>
      <w:r w:rsidRPr="00870FBF">
        <w:rPr>
          <w:rFonts w:hint="cs"/>
          <w:rtl/>
        </w:rPr>
        <w:t>التي أَعْمَلها الاتحاد حتى الآن: ’</w:t>
      </w:r>
      <w:r w:rsidRPr="00870FBF">
        <w:rPr>
          <w:lang w:bidi="ar-SY"/>
        </w:rPr>
        <w:t>1</w:t>
      </w:r>
      <w:r w:rsidRPr="00870FBF">
        <w:rPr>
          <w:rtl/>
        </w:rPr>
        <w:t>‘ طلبات السفر؛ ’</w:t>
      </w:r>
      <w:r w:rsidRPr="00870FBF">
        <w:rPr>
          <w:lang w:bidi="ar-SY"/>
        </w:rPr>
        <w:t>2</w:t>
      </w:r>
      <w:r w:rsidRPr="00870FBF">
        <w:rPr>
          <w:rtl/>
        </w:rPr>
        <w:t>‘ طلبات الإجازات؛ ’</w:t>
      </w:r>
      <w:r w:rsidRPr="00870FBF">
        <w:rPr>
          <w:lang w:bidi="ar-SY"/>
        </w:rPr>
        <w:t>3</w:t>
      </w:r>
      <w:r w:rsidRPr="00870FBF">
        <w:rPr>
          <w:rtl/>
        </w:rPr>
        <w:t xml:space="preserve">‘ طلبات الشراء الداخلية </w:t>
      </w:r>
      <w:r w:rsidRPr="00870FBF">
        <w:rPr>
          <w:i/>
          <w:iCs/>
          <w:rtl/>
        </w:rPr>
        <w:t xml:space="preserve">("عربات التسوق" بحسب مصطلحات </w:t>
      </w:r>
      <w:r w:rsidRPr="00870FBF">
        <w:rPr>
          <w:i/>
          <w:iCs/>
          <w:lang w:bidi="ar-SY"/>
        </w:rPr>
        <w:t>SAP</w:t>
      </w:r>
      <w:r w:rsidRPr="00870FBF">
        <w:rPr>
          <w:i/>
          <w:iCs/>
          <w:rtl/>
        </w:rPr>
        <w:t>)</w:t>
      </w:r>
      <w:r w:rsidRPr="00870FBF">
        <w:rPr>
          <w:rtl/>
        </w:rPr>
        <w:t xml:space="preserve">. وقد خضع للمراجعة جميع المعاملات المتصلة بمسارات الأعمال المسجَّلة في نظام </w:t>
      </w:r>
      <w:r w:rsidRPr="00870FBF">
        <w:rPr>
          <w:lang w:bidi="ar-SY"/>
        </w:rPr>
        <w:t>SAP</w:t>
      </w:r>
      <w:r w:rsidRPr="00870FBF">
        <w:rPr>
          <w:rtl/>
        </w:rPr>
        <w:t xml:space="preserve"> في عام </w:t>
      </w:r>
      <w:r w:rsidRPr="00870FBF">
        <w:rPr>
          <w:lang w:bidi="ar-SY"/>
        </w:rPr>
        <w:t>2012</w:t>
      </w:r>
      <w:r w:rsidRPr="00870FBF">
        <w:rPr>
          <w:rtl/>
        </w:rPr>
        <w:t xml:space="preserve"> وعام </w:t>
      </w:r>
      <w:r w:rsidRPr="00870FBF">
        <w:rPr>
          <w:lang w:bidi="ar-SY"/>
        </w:rPr>
        <w:t>2013</w:t>
      </w:r>
      <w:r w:rsidRPr="00870FBF">
        <w:rPr>
          <w:rtl/>
        </w:rPr>
        <w:t xml:space="preserve"> </w:t>
      </w:r>
      <w:r w:rsidRPr="00870FBF">
        <w:rPr>
          <w:rFonts w:hint="cs"/>
          <w:rtl/>
        </w:rPr>
        <w:t>(</w:t>
      </w:r>
      <w:r w:rsidRPr="00870FBF">
        <w:rPr>
          <w:lang w:bidi="ar-SY"/>
        </w:rPr>
        <w:t>1</w:t>
      </w:r>
      <w:r w:rsidRPr="00870FBF">
        <w:rPr>
          <w:rtl/>
        </w:rPr>
        <w:t xml:space="preserve"> يناير </w:t>
      </w:r>
      <w:r w:rsidRPr="00870FBF">
        <w:rPr>
          <w:lang w:bidi="ar-SY"/>
        </w:rPr>
        <w:t>2012</w:t>
      </w:r>
      <w:r w:rsidRPr="00870FBF">
        <w:rPr>
          <w:rtl/>
        </w:rPr>
        <w:t xml:space="preserve"> </w:t>
      </w:r>
      <w:r w:rsidR="00B2282E">
        <w:rPr>
          <w:rFonts w:hint="cs"/>
          <w:rtl/>
        </w:rPr>
        <w:t>-</w:t>
      </w:r>
      <w:r w:rsidRPr="00870FBF">
        <w:rPr>
          <w:rFonts w:hint="cs"/>
          <w:rtl/>
        </w:rPr>
        <w:t xml:space="preserve"> </w:t>
      </w:r>
      <w:r w:rsidRPr="00870FBF">
        <w:rPr>
          <w:lang w:bidi="ar-SY"/>
        </w:rPr>
        <w:t>31</w:t>
      </w:r>
      <w:r w:rsidRPr="00870FBF">
        <w:rPr>
          <w:rtl/>
        </w:rPr>
        <w:t xml:space="preserve"> </w:t>
      </w:r>
      <w:r w:rsidRPr="00870FBF">
        <w:rPr>
          <w:rFonts w:hint="cs"/>
          <w:rtl/>
        </w:rPr>
        <w:t xml:space="preserve">ديسمبر </w:t>
      </w:r>
      <w:r w:rsidRPr="00870FBF">
        <w:rPr>
          <w:lang w:bidi="ar-SY"/>
        </w:rPr>
        <w:t>2013</w:t>
      </w:r>
      <w:r w:rsidRPr="00870FBF">
        <w:rPr>
          <w:rtl/>
        </w:rPr>
        <w:t>).</w:t>
      </w:r>
    </w:p>
    <w:p w:rsidR="00870FBF" w:rsidRPr="00870FBF" w:rsidRDefault="00870FBF" w:rsidP="00870FBF">
      <w:pPr>
        <w:rPr>
          <w:rtl/>
        </w:rPr>
      </w:pPr>
      <w:r w:rsidRPr="00870FBF">
        <w:rPr>
          <w:lang w:bidi="ar-SY"/>
        </w:rPr>
        <w:t>12</w:t>
      </w:r>
      <w:r w:rsidRPr="00870FBF">
        <w:rPr>
          <w:rtl/>
        </w:rPr>
        <w:tab/>
        <w:t>الملاحظات والتوصيات المقدَّمة في إطار المراجعة الداخلية وتعليقات الإدارة عليها:</w:t>
      </w:r>
    </w:p>
    <w:p w:rsidR="00870FBF" w:rsidRPr="00870FBF" w:rsidRDefault="00870FBF" w:rsidP="00B2282E">
      <w:pPr>
        <w:pStyle w:val="enumlev1"/>
        <w:rPr>
          <w:rtl/>
        </w:rPr>
      </w:pPr>
      <w:r w:rsidRPr="00870FBF">
        <w:rPr>
          <w:rtl/>
        </w:rPr>
        <w:t>’</w:t>
      </w:r>
      <w:r w:rsidRPr="00870FBF">
        <w:t>1</w:t>
      </w:r>
      <w:r w:rsidRPr="00870FBF">
        <w:rPr>
          <w:rtl/>
        </w:rPr>
        <w:t>‘</w:t>
      </w:r>
      <w:r w:rsidRPr="00870FBF">
        <w:rPr>
          <w:rtl/>
        </w:rPr>
        <w:tab/>
        <w:t>فيما يخص طلبات السفر، عوين على العموم أن مسار الأعمال ملائمُ التشكيلة ومتطابقٌ مع ما تقضي به اللوائح التنظيمية. بيد أنه كان يتعيَّن السهر بانتظام على تقديم طلبات السفر وإقرارها في الوقت المناسب، وعلى تفويض سلطة الموافقة في حالة غياب المشرف (المسؤول الذي يصدر الإذن). وقد اعتمدت الإدارة تدابير لمعالجة هذه المسألة.</w:t>
      </w:r>
    </w:p>
    <w:p w:rsidR="00870FBF" w:rsidRPr="00870FBF" w:rsidRDefault="00870FBF" w:rsidP="00B2282E">
      <w:pPr>
        <w:pStyle w:val="enumlev1"/>
        <w:rPr>
          <w:rtl/>
        </w:rPr>
      </w:pPr>
      <w:r w:rsidRPr="00870FBF">
        <w:rPr>
          <w:rtl/>
        </w:rPr>
        <w:t>’</w:t>
      </w:r>
      <w:r w:rsidRPr="00870FBF">
        <w:t>2</w:t>
      </w:r>
      <w:r w:rsidRPr="00870FBF">
        <w:rPr>
          <w:rtl/>
        </w:rPr>
        <w:t>‘</w:t>
      </w:r>
      <w:r w:rsidRPr="00870FBF">
        <w:rPr>
          <w:rtl/>
        </w:rPr>
        <w:tab/>
        <w:t>فيما يخص طلبات الإجازات، بينت مراجعة مسار الأعمال أيضاً أن ثمة نقصاً يعتريها من حيث تقديم الموظفين طلبات الإجازات في الوقت المناسب وموافقة المشرفين عليها. كما بينت المراجعة عدداً من وجوه القصور، وعدم الفصل بين المهام، وثغرات، ما يتعيَّن أن تعالجه الإدارة على سبيل الأولوية. وانطوت هذه الحالات على خطر الالتفاف على مراقبة المشرف (المسؤول الذي يصدر الإذن). كما عوينت بضع حالات منعزلة لنواقص أكثر خطورة فقام فريق المراجعة الداخلية بإعلام الموظفين المعنيين، والمشرفين عليهم، و/أو مسؤولي دائرة إدارة الموارد البشرية لكي تُتخذ التدابير التصحيحية اللازمة. بيد أن أرصدة الإجازات لم تتأثر على العموم بهذه النواقص التي عوينت، وإن كانت النواقص المعنية تنطوي على خطر عدم سلامة أعمال إدارة المستحقات من الإجازات وأعمال المحاسبة ذات الصلة. كما أن إدخال بعض التعديلات الإضافية على تشكيلة مسار الأعمال يمكن أن يكون مفيداً للموظفين أنفسهم لكي يحسِّنوا تدبُّرهم لطلبات إجازاتهم ومتابعتهم للأرصدة المتبقية لهم من الإجازات. وقد أبدت الإدارة موافقتها على التوصيات ذات الصلة.</w:t>
      </w:r>
    </w:p>
    <w:p w:rsidR="00870FBF" w:rsidRPr="00870FBF" w:rsidRDefault="00870FBF" w:rsidP="00B2282E">
      <w:pPr>
        <w:pStyle w:val="enumlev1"/>
        <w:rPr>
          <w:rtl/>
        </w:rPr>
      </w:pPr>
      <w:r w:rsidRPr="00870FBF">
        <w:rPr>
          <w:rtl/>
        </w:rPr>
        <w:t>’</w:t>
      </w:r>
      <w:r w:rsidRPr="00870FBF">
        <w:t>3</w:t>
      </w:r>
      <w:r w:rsidRPr="00870FBF">
        <w:rPr>
          <w:rtl/>
        </w:rPr>
        <w:t>‘</w:t>
      </w:r>
      <w:r w:rsidRPr="00870FBF">
        <w:rPr>
          <w:rtl/>
        </w:rPr>
        <w:tab/>
        <w:t>فيما يخص طلبات الشراء الداخلية، بينت المراجعة وجود بضعة مواطن ضعف في الفصل بين المهام تتعين معالجتها. وقد قالت الإدارة إنها تؤيد التوصيات المعنية على العموم، لكنها تختار الإبقاء على الممارسة الحالية وذلك لأسباب تشغيلية.</w:t>
      </w:r>
    </w:p>
    <w:p w:rsidR="00870FBF" w:rsidRPr="00870FBF" w:rsidRDefault="00870FBF" w:rsidP="00870FBF">
      <w:pPr>
        <w:rPr>
          <w:rtl/>
        </w:rPr>
      </w:pPr>
      <w:r w:rsidRPr="00870FBF">
        <w:rPr>
          <w:lang w:bidi="ar-SY"/>
        </w:rPr>
        <w:t>13</w:t>
      </w:r>
      <w:r w:rsidRPr="00870FBF">
        <w:rPr>
          <w:rtl/>
        </w:rPr>
        <w:tab/>
        <w:t xml:space="preserve">يشار بمثابة </w:t>
      </w:r>
      <w:r w:rsidRPr="00870FBF">
        <w:rPr>
          <w:u w:val="single"/>
          <w:rtl/>
        </w:rPr>
        <w:t>استنتاج</w:t>
      </w:r>
      <w:r w:rsidRPr="00870FBF">
        <w:rPr>
          <w:rtl/>
        </w:rPr>
        <w:t xml:space="preserve"> إجمالي إلى أنه لم تُواجَه مشكلات فيما يخص مسار أعمال طلبات السفر وأن الضوابط الداخلية ذات الصلة اعتُبرت ملائمة بوجه عام وتعمل كما يجب، وقد قُدّ ما يطمئن إلى أنه يجري تدبر</w:t>
      </w:r>
      <w:r w:rsidR="00D266CF">
        <w:rPr>
          <w:rFonts w:hint="cs"/>
          <w:rtl/>
        </w:rPr>
        <w:t>ُّ</w:t>
      </w:r>
      <w:r w:rsidRPr="00870FBF">
        <w:rPr>
          <w:rtl/>
        </w:rPr>
        <w:t xml:space="preserve"> الأخطار والعمل لتحقيق الأهداف. وفيما يخص مسار الأعمال المتعلقة </w:t>
      </w:r>
      <w:r w:rsidRPr="00870FBF">
        <w:rPr>
          <w:i/>
          <w:iCs/>
          <w:rtl/>
        </w:rPr>
        <w:t>بطلبات الإجازات</w:t>
      </w:r>
      <w:r w:rsidRPr="00870FBF">
        <w:rPr>
          <w:rtl/>
        </w:rPr>
        <w:t xml:space="preserve"> عوينت بعض مواطن الضعف ذات الطابع المحدَّد في الضوابط الداخلية كما عوين تنازع في الفصل بين المهام. ولئن كانت الإدارة تتخذ تدابير لمعالجة هذه المسائل فقد يكون من السابق لأوانه كثيراً الطمأنة إلى أنه يجري تدبُّر الأخطار على نحو ملائم. وفيما يخص مسار الأعمال المتعلقة بطلبات الشراء الداخلية، وُوجهت بعض المسائل المتعلقة بالفصل بين المهام. ولئن اتُخذت تدابير فيما يخص واحدة من مسألتين فإن من السابق لأوانه كثيراً الطمأنة إلى أنه يجري تدبُّر الأخطار على نحو ملائم.</w:t>
      </w:r>
    </w:p>
    <w:p w:rsidR="00870FBF" w:rsidRPr="002509AD" w:rsidRDefault="00870FBF" w:rsidP="002509AD">
      <w:pPr>
        <w:pStyle w:val="Headingb"/>
        <w:rPr>
          <w:i/>
          <w:iCs/>
          <w:rtl/>
        </w:rPr>
      </w:pPr>
      <w:r w:rsidRPr="002509AD">
        <w:rPr>
          <w:i/>
          <w:iCs/>
          <w:rtl/>
        </w:rPr>
        <w:tab/>
        <w:t>باء.</w:t>
      </w:r>
      <w:r w:rsidRPr="002509AD">
        <w:rPr>
          <w:i/>
          <w:iCs/>
          <w:rtl/>
        </w:rPr>
        <w:tab/>
        <w:t>مراجعة آلية ضمان جودة المنجزات</w:t>
      </w:r>
    </w:p>
    <w:p w:rsidR="00870FBF" w:rsidRPr="00870FBF" w:rsidRDefault="00870FBF" w:rsidP="002509AD">
      <w:pPr>
        <w:rPr>
          <w:rtl/>
        </w:rPr>
      </w:pPr>
      <w:r w:rsidRPr="00870FBF">
        <w:rPr>
          <w:lang w:bidi="ar-SY"/>
        </w:rPr>
        <w:t>14</w:t>
      </w:r>
      <w:r w:rsidRPr="00870FBF">
        <w:rPr>
          <w:rtl/>
        </w:rPr>
        <w:tab/>
        <w:t xml:space="preserve">تمثل </w:t>
      </w:r>
      <w:r w:rsidRPr="00870FBF">
        <w:rPr>
          <w:u w:val="single"/>
          <w:rtl/>
        </w:rPr>
        <w:t>الغرض</w:t>
      </w:r>
      <w:r w:rsidRPr="00870FBF">
        <w:rPr>
          <w:rtl/>
        </w:rPr>
        <w:t xml:space="preserve"> الرئيسي من المراجعة في تدارس الآليات القائمة في مكاتب الاتحاد الثلاثة والأمانة العامة للتكفل بمستويات الجودة العالية في تحقيق المنجزات المتوخاة وبالتالي طمأنة الأمين العام فيما يتعلق بمساءلة إدارة الاتحاد أمام دوله الأعضاء. أما أسس المراجعة فتمثلت في الخطط التشغيلية للفترة </w:t>
      </w:r>
      <w:r w:rsidRPr="00870FBF">
        <w:rPr>
          <w:lang w:bidi="ar-SY"/>
        </w:rPr>
        <w:t>2018</w:t>
      </w:r>
      <w:r w:rsidR="002509AD">
        <w:rPr>
          <w:lang w:bidi="ar-SY"/>
        </w:rPr>
        <w:noBreakHyphen/>
      </w:r>
      <w:r w:rsidRPr="00870FBF">
        <w:rPr>
          <w:lang w:bidi="ar-SY"/>
        </w:rPr>
        <w:t>2015</w:t>
      </w:r>
      <w:r w:rsidR="002509AD">
        <w:rPr>
          <w:rtl/>
        </w:rPr>
        <w:t>.</w:t>
      </w:r>
    </w:p>
    <w:p w:rsidR="00870FBF" w:rsidRPr="00870FBF" w:rsidRDefault="00870FBF" w:rsidP="00870FBF">
      <w:pPr>
        <w:rPr>
          <w:rtl/>
        </w:rPr>
      </w:pPr>
      <w:r w:rsidRPr="00870FBF">
        <w:rPr>
          <w:lang w:bidi="ar-SY"/>
        </w:rPr>
        <w:t>15</w:t>
      </w:r>
      <w:r w:rsidRPr="00870FBF">
        <w:rPr>
          <w:rtl/>
        </w:rPr>
        <w:tab/>
        <w:t>الملاحظات والتوصيات المقدَّمة في إطار المراجعة الداخلية وتعليقات الإدارة عليها:</w:t>
      </w:r>
    </w:p>
    <w:p w:rsidR="00870FBF" w:rsidRPr="00870FBF" w:rsidRDefault="00870FBF" w:rsidP="00057E89">
      <w:pPr>
        <w:pStyle w:val="enumlev1"/>
        <w:rPr>
          <w:rtl/>
        </w:rPr>
      </w:pPr>
      <w:r w:rsidRPr="00870FBF">
        <w:rPr>
          <w:rtl/>
        </w:rPr>
        <w:t>’</w:t>
      </w:r>
      <w:r w:rsidRPr="00870FBF">
        <w:t>1</w:t>
      </w:r>
      <w:r w:rsidRPr="00870FBF">
        <w:rPr>
          <w:rtl/>
        </w:rPr>
        <w:t>‘</w:t>
      </w:r>
      <w:r w:rsidRPr="00870FBF">
        <w:rPr>
          <w:rtl/>
        </w:rPr>
        <w:tab/>
        <w:t xml:space="preserve">عوين نقص في آليات التنسيق النظامية فيما يتعلق بالتوجيه وتحقيق الاتساق في نهج تقييم الخطط الوطنية ونسقه وأساسه. ولذا أوصِيَ بتحسين عمليات التنسيق بين القطاعات فيما يخص إعداد الخطط التشغيلية للاتحاد وإضفاء الطابع النظامي </w:t>
      </w:r>
      <w:r w:rsidRPr="00870FBF">
        <w:rPr>
          <w:rtl/>
        </w:rPr>
        <w:lastRenderedPageBreak/>
        <w:t xml:space="preserve">على هذه الآليات، وذلك وفقاً للإطار الجديد للخطة الاستراتيجية للفترة </w:t>
      </w:r>
      <w:r w:rsidRPr="00870FBF">
        <w:t>2019</w:t>
      </w:r>
      <w:r w:rsidR="00057E89">
        <w:noBreakHyphen/>
      </w:r>
      <w:r w:rsidRPr="00870FBF">
        <w:t>2016</w:t>
      </w:r>
      <w:r w:rsidRPr="00870FBF">
        <w:rPr>
          <w:rtl/>
        </w:rPr>
        <w:t xml:space="preserve">. وقد نفذت الإدارة ذلك بالفعل عند إعدادها الخطط الاستراتيجية للفترة </w:t>
      </w:r>
      <w:r w:rsidRPr="00870FBF">
        <w:t>2019-2016</w:t>
      </w:r>
      <w:r w:rsidRPr="00870FBF">
        <w:rPr>
          <w:rtl/>
        </w:rPr>
        <w:t>.</w:t>
      </w:r>
    </w:p>
    <w:p w:rsidR="00870FBF" w:rsidRPr="00870FBF" w:rsidRDefault="00870FBF" w:rsidP="002509AD">
      <w:pPr>
        <w:pStyle w:val="enumlev1"/>
        <w:rPr>
          <w:rtl/>
        </w:rPr>
      </w:pPr>
      <w:r w:rsidRPr="00870FBF">
        <w:rPr>
          <w:rtl/>
        </w:rPr>
        <w:t>’</w:t>
      </w:r>
      <w:r w:rsidRPr="00870FBF">
        <w:t>2</w:t>
      </w:r>
      <w:r w:rsidRPr="00870FBF">
        <w:rPr>
          <w:rtl/>
        </w:rPr>
        <w:t>‘</w:t>
      </w:r>
      <w:r w:rsidRPr="00870FBF">
        <w:rPr>
          <w:rtl/>
        </w:rPr>
        <w:tab/>
        <w:t xml:space="preserve">عوين أن تحديد مؤشرات الأداء الرئيسية في جميع وحدات الاتحاد ليس متسقاً في جميع الحالات، إذ تختلف درجة التفصيل في مؤشرات الأداء الرئيسية من مكتب/دائرة إلى آخر/أخرى ولا يتضمن وصف هذه المؤشرات دائماً ما يكفي من معايير التقييم. ولذا أُوصِيَ بالمزيد من الترويج لاتّباع النهج المشار إليه بالمختصر </w:t>
      </w:r>
      <w:r w:rsidRPr="00870FBF">
        <w:rPr>
          <w:lang w:val="en-GB"/>
        </w:rPr>
        <w:t>SMART</w:t>
      </w:r>
      <w:r w:rsidRPr="00870FBF">
        <w:rPr>
          <w:rtl/>
        </w:rPr>
        <w:t xml:space="preserve"> (الطابع المحدَّد وقابلية القياس، وإمكان التحقيق، والسداد/الواقعية، والتقيد بالآجال) عند تحديد مؤشرات الأداء. كما ينبغي أن يتم باتّباع النهج </w:t>
      </w:r>
      <w:r w:rsidRPr="00870FBF">
        <w:t>SMART</w:t>
      </w:r>
      <w:r w:rsidRPr="00870FBF">
        <w:rPr>
          <w:rtl/>
        </w:rPr>
        <w:t xml:space="preserve"> </w:t>
      </w:r>
      <w:r w:rsidRPr="00870FBF">
        <w:rPr>
          <w:rFonts w:hint="cs"/>
          <w:rtl/>
        </w:rPr>
        <w:t xml:space="preserve">وضع مؤشرات أداء لكل ناتج. وقد طبَّقت الإدارة ذلك بالفعل عند إعداد الخطط التشغيلية للفترة </w:t>
      </w:r>
      <w:r w:rsidRPr="00870FBF">
        <w:t>2019-2016</w:t>
      </w:r>
      <w:r w:rsidRPr="00870FBF">
        <w:rPr>
          <w:rtl/>
        </w:rPr>
        <w:t>.</w:t>
      </w:r>
    </w:p>
    <w:p w:rsidR="00870FBF" w:rsidRPr="00870FBF" w:rsidRDefault="00870FBF" w:rsidP="00371587">
      <w:pPr>
        <w:pStyle w:val="enumlev1"/>
        <w:rPr>
          <w:rtl/>
        </w:rPr>
      </w:pPr>
      <w:r w:rsidRPr="00870FBF">
        <w:rPr>
          <w:rtl/>
        </w:rPr>
        <w:t>’</w:t>
      </w:r>
      <w:r w:rsidRPr="00870FBF">
        <w:t>3</w:t>
      </w:r>
      <w:r w:rsidRPr="00870FBF">
        <w:rPr>
          <w:rtl/>
        </w:rPr>
        <w:t>‘</w:t>
      </w:r>
      <w:r w:rsidRPr="00870FBF">
        <w:rPr>
          <w:rtl/>
        </w:rPr>
        <w:tab/>
        <w:t xml:space="preserve">منذ اعتماد اتفاقات مستوى الخدمة، أخذ الاتحاد جيداً باستعمالها وبلغ الآن الاكتمالَ فيما يخص الاستعانة بها في تقييم أداء الخدمات السابقة. بيد أن النموذج الحالي لاتفاقات مستوى الخدمة لا يحتوي على نص لتقييم الأداء السابق لموفِّري الخدمات. وقد أُوصِيَ بمراجعة إطار اتفاقات مستوى الخدمة تسهيلاً لتقييم الأداء السابق لموفِّري الخدمات. وأشار الأمين العام في تعليقه على ذلك إلى أن الاتحاد بلغ الاكتمال في الاستعانة باتفاقات مستوى الخدمة وأنه الآن متأهب لقطع خطوة أخرى فيما يخص هذه الآلية، كما أُوصِيَ به. </w:t>
      </w:r>
      <w:r w:rsidR="00371587">
        <w:rPr>
          <w:rFonts w:hint="cs"/>
          <w:rtl/>
        </w:rPr>
        <w:t>ولم</w:t>
      </w:r>
      <w:r w:rsidRPr="00870FBF">
        <w:rPr>
          <w:rtl/>
        </w:rPr>
        <w:t xml:space="preserve"> يكن قد مُضي في تنفيذ هذه التوصية.</w:t>
      </w:r>
    </w:p>
    <w:p w:rsidR="00870FBF" w:rsidRPr="00870FBF" w:rsidRDefault="00870FBF" w:rsidP="00057E89">
      <w:pPr>
        <w:pStyle w:val="enumlev1"/>
        <w:rPr>
          <w:rtl/>
        </w:rPr>
      </w:pPr>
      <w:r w:rsidRPr="00870FBF">
        <w:rPr>
          <w:rtl/>
        </w:rPr>
        <w:t>’</w:t>
      </w:r>
      <w:r w:rsidRPr="00870FBF">
        <w:t>4</w:t>
      </w:r>
      <w:r w:rsidRPr="00870FBF">
        <w:rPr>
          <w:rtl/>
        </w:rPr>
        <w:t>‘</w:t>
      </w:r>
      <w:r w:rsidRPr="00870FBF">
        <w:rPr>
          <w:rtl/>
        </w:rPr>
        <w:tab/>
        <w:t xml:space="preserve">لم يكن يُعمل بنهج منتظم وموثَّق لإسناد المسؤوليات عن الأهداف والنواتج. فينبغي تحديد الجهات التي تتولى المسؤولية وذلك لكل من أهداف ونواتج الخطط التشغيلية للفترة </w:t>
      </w:r>
      <w:r w:rsidRPr="00870FBF">
        <w:t>2019</w:t>
      </w:r>
      <w:r w:rsidR="00057E89">
        <w:noBreakHyphen/>
      </w:r>
      <w:r w:rsidRPr="00870FBF">
        <w:t>2016</w:t>
      </w:r>
      <w:r w:rsidRPr="00870FBF">
        <w:rPr>
          <w:rtl/>
        </w:rPr>
        <w:t xml:space="preserve"> (كلما أمكن تمييز هذه الجهات بوضوح). وقد وافقت الإدارة على تنفيذ ذلك عند إعداد الخطط التشغيلية للفترة </w:t>
      </w:r>
      <w:r w:rsidRPr="00870FBF">
        <w:t>2019</w:t>
      </w:r>
      <w:r w:rsidR="00057E89">
        <w:noBreakHyphen/>
      </w:r>
      <w:r w:rsidRPr="00870FBF">
        <w:t>2016</w:t>
      </w:r>
      <w:r w:rsidRPr="00870FBF">
        <w:rPr>
          <w:rtl/>
        </w:rPr>
        <w:t xml:space="preserve"> بتحديد الجهات المسؤولة عن الأهداف والنواتج داخلياً.</w:t>
      </w:r>
    </w:p>
    <w:p w:rsidR="00870FBF" w:rsidRPr="00870FBF" w:rsidRDefault="00870FBF" w:rsidP="002509AD">
      <w:pPr>
        <w:pStyle w:val="enumlev1"/>
        <w:rPr>
          <w:rtl/>
        </w:rPr>
      </w:pPr>
      <w:r w:rsidRPr="00870FBF">
        <w:rPr>
          <w:rtl/>
        </w:rPr>
        <w:t>’</w:t>
      </w:r>
      <w:r w:rsidRPr="00870FBF">
        <w:t>5</w:t>
      </w:r>
      <w:r w:rsidRPr="00870FBF">
        <w:rPr>
          <w:rtl/>
        </w:rPr>
        <w:t>‘</w:t>
      </w:r>
      <w:r w:rsidRPr="00870FBF">
        <w:rPr>
          <w:rtl/>
        </w:rPr>
        <w:tab/>
        <w:t xml:space="preserve">لقد وضع كل من المكاتب والأمانة العامة طرائق وأدوات لمتابعة الأنشطة وتقييم جودة المنجزات. واعتُبر أن بعض هذه الطرائق والأدوات يمثل ممارسات جيدة يتعين عرضها لكي ينظر فيها سائر وحدات الاتحاد. بيد أن مستوى اكتمال الأدوات ونظم الإبلاغ فيما يخص متابعة وتقييم المنجَزات يتباين بحسب المكتب/الدائرة. ولوحظ أيضاً في إطار المراجعة الداخلية أنه ليس للاتحاد آلية مؤسسية منهجية للمتابعة والتقييم. ويتعين إجراء دراسة جدوى لإعمال آلية مؤسسية للمتابعة والتقييم، وبالتالي الاستفادة من الآليات القائمة المعمول بها في المكاتب وفي الأمانة العامة. وأشار المدير العام في تعليقه ذي الصلة إلى أن نائب المدير العام سيكون المسؤول الأنسب الذي يجب أن يُعهد إليه بهذه الدراسة. وفي عام </w:t>
      </w:r>
      <w:r w:rsidRPr="00870FBF">
        <w:t>2015</w:t>
      </w:r>
      <w:r w:rsidRPr="00870FBF">
        <w:rPr>
          <w:rtl/>
        </w:rPr>
        <w:t xml:space="preserve"> كان قد شُرع في هذه الدراسة.</w:t>
      </w:r>
    </w:p>
    <w:p w:rsidR="00870FBF" w:rsidRPr="00870FBF" w:rsidRDefault="00870FBF" w:rsidP="00870FBF">
      <w:pPr>
        <w:rPr>
          <w:rtl/>
        </w:rPr>
      </w:pPr>
      <w:r w:rsidRPr="00870FBF">
        <w:rPr>
          <w:lang w:bidi="ar-SY"/>
        </w:rPr>
        <w:t>16</w:t>
      </w:r>
      <w:r w:rsidRPr="00870FBF">
        <w:rPr>
          <w:rtl/>
        </w:rPr>
        <w:tab/>
        <w:t xml:space="preserve">يشار بمثابة </w:t>
      </w:r>
      <w:r w:rsidRPr="00870FBF">
        <w:rPr>
          <w:u w:val="single"/>
          <w:rtl/>
        </w:rPr>
        <w:t>استنتاج</w:t>
      </w:r>
      <w:r w:rsidRPr="00870FBF">
        <w:rPr>
          <w:rtl/>
        </w:rPr>
        <w:t xml:space="preserve"> عام إلى أنه بالاستناد إلى تدارس الآليات المعمول بها في مكاتب الاتحاد الثلاثة والأمانة العامة قُدِّم ما يطمئن إلى أن الاتحاد يسير في الاتجاه الصحيح لتحقيق المنجزات المتوخاة على أساس معايير جودة عالية.</w:t>
      </w:r>
    </w:p>
    <w:p w:rsidR="00870FBF" w:rsidRPr="00057E89" w:rsidRDefault="00870FBF" w:rsidP="00057E89">
      <w:pPr>
        <w:pStyle w:val="Headingb"/>
        <w:rPr>
          <w:i/>
          <w:iCs/>
          <w:rtl/>
          <w:lang w:bidi="ar-EG"/>
        </w:rPr>
      </w:pPr>
      <w:r w:rsidRPr="00057E89">
        <w:rPr>
          <w:i/>
          <w:iCs/>
          <w:rtl/>
          <w:lang w:bidi="ar-EG"/>
        </w:rPr>
        <w:tab/>
        <w:t>جيم.</w:t>
      </w:r>
      <w:r w:rsidRPr="00057E89">
        <w:rPr>
          <w:i/>
          <w:iCs/>
          <w:rtl/>
          <w:lang w:bidi="ar-EG"/>
        </w:rPr>
        <w:tab/>
        <w:t>مراجعة المساهمات في صندوق المعاشات التقاعدية لموظفي نظام الأمم المتحدة المشترك</w:t>
      </w:r>
      <w:r w:rsidR="00B20D33">
        <w:rPr>
          <w:rFonts w:hint="cs"/>
          <w:i/>
          <w:iCs/>
          <w:rtl/>
          <w:lang w:bidi="ar-EG"/>
        </w:rPr>
        <w:t xml:space="preserve"> </w:t>
      </w:r>
      <w:r w:rsidR="00B20D33">
        <w:rPr>
          <w:i/>
          <w:iCs/>
          <w:lang w:bidi="ar-EG"/>
        </w:rPr>
        <w:t>(UNJSPF)</w:t>
      </w:r>
    </w:p>
    <w:p w:rsidR="00870FBF" w:rsidRPr="00870FBF" w:rsidRDefault="00870FBF" w:rsidP="00870FBF">
      <w:pPr>
        <w:rPr>
          <w:rtl/>
        </w:rPr>
      </w:pPr>
      <w:r w:rsidRPr="00870FBF">
        <w:rPr>
          <w:lang w:bidi="ar-SY"/>
        </w:rPr>
        <w:t>17</w:t>
      </w:r>
      <w:r w:rsidRPr="00870FBF">
        <w:rPr>
          <w:rtl/>
        </w:rPr>
        <w:tab/>
        <w:t xml:space="preserve">تمثل </w:t>
      </w:r>
      <w:r w:rsidRPr="00870FBF">
        <w:rPr>
          <w:u w:val="single"/>
          <w:rtl/>
        </w:rPr>
        <w:t>الغرض</w:t>
      </w:r>
      <w:r w:rsidRPr="00870FBF">
        <w:rPr>
          <w:rtl/>
        </w:rPr>
        <w:t xml:space="preserve"> الرئيسي من هذه المراجعة في تدارس وتقييم الضوابط الداخلية (والإبلاغ)، للتحقق من التقيد في معاملات منتقاة بالسياسات والإجراءات والإطار النظامي الواجبة التطبيق، وتبيُّن ما إذا كانت المساهمات في صندوق التقاعد هذا متوافقة مع المبادئ القاضية باستعمال موارد الاتحاد على نحو ناجع وفعال واقتصادي. وقد شملت المراجعة </w:t>
      </w:r>
      <w:r w:rsidRPr="00870FBF">
        <w:rPr>
          <w:u w:val="single"/>
          <w:rtl/>
        </w:rPr>
        <w:t>بنطاقها</w:t>
      </w:r>
      <w:r w:rsidRPr="00870FBF">
        <w:rPr>
          <w:rtl/>
        </w:rPr>
        <w:t xml:space="preserve"> جميع المساهمات التي دُفعت إلى صندوق المعاشات التقاعدية المذكور بين يناير </w:t>
      </w:r>
      <w:r w:rsidRPr="00870FBF">
        <w:rPr>
          <w:lang w:bidi="ar-SY"/>
        </w:rPr>
        <w:t>2012</w:t>
      </w:r>
      <w:r w:rsidRPr="00870FBF">
        <w:rPr>
          <w:rtl/>
        </w:rPr>
        <w:t xml:space="preserve"> ومايو </w:t>
      </w:r>
      <w:r w:rsidRPr="00870FBF">
        <w:rPr>
          <w:lang w:bidi="ar-SY"/>
        </w:rPr>
        <w:t>2014</w:t>
      </w:r>
      <w:r w:rsidRPr="00870FBF">
        <w:rPr>
          <w:rtl/>
        </w:rPr>
        <w:t>، فيما يخص الموظفين النظاميين والموظفين بعقود محَّددة المدة العاملين في مقر الاتحاد وفي الميدان.</w:t>
      </w:r>
    </w:p>
    <w:p w:rsidR="00870FBF" w:rsidRPr="00870FBF" w:rsidRDefault="00870FBF" w:rsidP="00696330">
      <w:pPr>
        <w:keepNext/>
        <w:rPr>
          <w:rtl/>
        </w:rPr>
      </w:pPr>
      <w:r w:rsidRPr="00870FBF">
        <w:rPr>
          <w:lang w:bidi="ar-SY"/>
        </w:rPr>
        <w:t>18</w:t>
      </w:r>
      <w:r w:rsidRPr="00870FBF">
        <w:rPr>
          <w:rtl/>
        </w:rPr>
        <w:tab/>
        <w:t>الملاحظات والتوصيات المقدَّمة في إطار المراجعة الداخلية وتعليقات الإدارة عليها:</w:t>
      </w:r>
    </w:p>
    <w:p w:rsidR="00870FBF" w:rsidRPr="00870FBF" w:rsidRDefault="00870FBF" w:rsidP="00A67EB2">
      <w:pPr>
        <w:pStyle w:val="enumlev1"/>
        <w:rPr>
          <w:rtl/>
        </w:rPr>
      </w:pPr>
      <w:r w:rsidRPr="00870FBF">
        <w:rPr>
          <w:rtl/>
        </w:rPr>
        <w:t>’</w:t>
      </w:r>
      <w:r w:rsidRPr="00870FBF">
        <w:t>1</w:t>
      </w:r>
      <w:r w:rsidRPr="00870FBF">
        <w:rPr>
          <w:rtl/>
        </w:rPr>
        <w:t>‘</w:t>
      </w:r>
      <w:r w:rsidRPr="00870FBF">
        <w:rPr>
          <w:rtl/>
        </w:rPr>
        <w:tab/>
        <w:t>عوين أن حساب المساهمات الشهرية في الصندوق المشترك للمعاشات التقاعدية لموظفي الأمم المتحدة ملائم بوجه عام ويُتقيد فيه بالقواعد واللوائح التنظيمية لكن المعلومات والبيانات الواردة في تقارير الاتحاد المرسلة إلى هذا الصندوق لم</w:t>
      </w:r>
      <w:r w:rsidR="00A67EB2">
        <w:rPr>
          <w:rFonts w:hint="cs"/>
          <w:rtl/>
        </w:rPr>
        <w:t> </w:t>
      </w:r>
      <w:r w:rsidRPr="00870FBF">
        <w:rPr>
          <w:rtl/>
        </w:rPr>
        <w:t>تكن تُسجَّل دائماً على نحو سليم في محفوظات هذا الصندوق. وقد أُوصِيَ بالتباحث مع الموظفين المسؤولين عن هذا الصندوق لتذليل هذه المسألة. وقالت الإدارة إن العمل جار لمعالجة هذه المسألة.</w:t>
      </w:r>
    </w:p>
    <w:p w:rsidR="00870FBF" w:rsidRPr="00870FBF" w:rsidRDefault="00870FBF" w:rsidP="00057E89">
      <w:pPr>
        <w:pStyle w:val="enumlev1"/>
        <w:rPr>
          <w:rtl/>
        </w:rPr>
      </w:pPr>
      <w:r w:rsidRPr="00870FBF">
        <w:rPr>
          <w:rtl/>
        </w:rPr>
        <w:lastRenderedPageBreak/>
        <w:t>’</w:t>
      </w:r>
      <w:r w:rsidRPr="00870FBF">
        <w:t>2</w:t>
      </w:r>
      <w:r w:rsidRPr="00870FBF">
        <w:rPr>
          <w:rtl/>
        </w:rPr>
        <w:t>‘</w:t>
      </w:r>
      <w:r w:rsidRPr="00870FBF">
        <w:rPr>
          <w:rtl/>
        </w:rPr>
        <w:tab/>
        <w:t>عوين وجود بضع حالات مُنحت فيها تعويضات متصلة بالعجز من الصندوق المشترك للمعاشات التقاعدية لموظفي الأمم المتحدة لكن الخيار الذي أخذ به الاتحاد لم يكن دائماً الأكثر فائدة له من الناحية الاقتصادية. فأُوصِيَ بأن يُنظر في التكاليف المتكبدة عند تحديد تاريخ إنهاء الخدمة لأسباب متعلقة بالعجز. وقالت الإدارة إنها تؤيد هذه التوصية.</w:t>
      </w:r>
    </w:p>
    <w:p w:rsidR="00870FBF" w:rsidRPr="00870FBF" w:rsidRDefault="00870FBF" w:rsidP="00057E89">
      <w:pPr>
        <w:pStyle w:val="enumlev1"/>
        <w:rPr>
          <w:rtl/>
        </w:rPr>
      </w:pPr>
      <w:r w:rsidRPr="00870FBF">
        <w:rPr>
          <w:rtl/>
        </w:rPr>
        <w:t>’</w:t>
      </w:r>
      <w:r w:rsidRPr="00870FBF">
        <w:t>3</w:t>
      </w:r>
      <w:r w:rsidRPr="00870FBF">
        <w:rPr>
          <w:rtl/>
        </w:rPr>
        <w:t>‘</w:t>
      </w:r>
      <w:r w:rsidRPr="00870FBF">
        <w:rPr>
          <w:rtl/>
        </w:rPr>
        <w:tab/>
        <w:t>بالأخذ بالخطة الجديدة للتأمين الطبي الجماعي حُسبت مساهمات المتقاعدين في هذه الخطة حساباً يدوياً على أساس شهري ما يمكن أن يعرِّض الاتحاد لأخطاء. وقد أُوصِيَ بوضع برنامج قياسي للتحسين الأمثل لاستعمال موارد الاتحاد على نحو ناجع وفعال واقتصادي. وأعربت الإدارة عن تأييدها لهذه التوصية وأُعلِم فريق المراجعة الداخلية مؤخراً بأنه يُعمل حالياً بحل مؤقت وأن العمل جار لتنفيذ حل دائم.</w:t>
      </w:r>
    </w:p>
    <w:p w:rsidR="00870FBF" w:rsidRPr="00870FBF" w:rsidRDefault="00870FBF" w:rsidP="00874D38">
      <w:pPr>
        <w:pStyle w:val="enumlev1"/>
        <w:rPr>
          <w:rtl/>
        </w:rPr>
      </w:pPr>
      <w:r w:rsidRPr="00870FBF">
        <w:rPr>
          <w:rtl/>
        </w:rPr>
        <w:t>’</w:t>
      </w:r>
      <w:r w:rsidRPr="00870FBF">
        <w:t>4</w:t>
      </w:r>
      <w:r w:rsidRPr="00870FBF">
        <w:rPr>
          <w:rtl/>
        </w:rPr>
        <w:t>‘</w:t>
      </w:r>
      <w:r w:rsidRPr="00870FBF">
        <w:rPr>
          <w:rtl/>
        </w:rPr>
        <w:tab/>
        <w:t xml:space="preserve">أعد الصندوق المشترك للمعاشات التقاعدية لموظفي الأمم المتحدة </w:t>
      </w:r>
      <w:r w:rsidR="00874D38">
        <w:rPr>
          <w:rFonts w:hint="cs"/>
          <w:rtl/>
          <w:lang w:bidi="ar-EG"/>
        </w:rPr>
        <w:t>واجهة</w:t>
      </w:r>
      <w:r w:rsidRPr="00870FBF">
        <w:rPr>
          <w:rtl/>
        </w:rPr>
        <w:t xml:space="preserve"> تحال به</w:t>
      </w:r>
      <w:r w:rsidR="00874D38">
        <w:rPr>
          <w:rFonts w:hint="cs"/>
          <w:rtl/>
        </w:rPr>
        <w:t>ا</w:t>
      </w:r>
      <w:r w:rsidRPr="00870FBF">
        <w:rPr>
          <w:rtl/>
        </w:rPr>
        <w:t xml:space="preserve"> البيانات المتعلقة بالمعاشات التقاعدية بغية تحسين جمع البيانات من المنظمات الأعضاء. وقد أُوصِيَ بطلب تصديق البيانات المتعلقة بالموظفين بصورة منتظمة، للتكفل بدقة وسلامة هذه البيانات فيما يخص أغراض المعاش التقاعدي. وقد أعربت الإدارة عن تأييدها لهذه التوصية.</w:t>
      </w:r>
    </w:p>
    <w:p w:rsidR="00870FBF" w:rsidRPr="00870FBF" w:rsidRDefault="00870FBF" w:rsidP="00057E89">
      <w:pPr>
        <w:pStyle w:val="enumlev1"/>
        <w:rPr>
          <w:rtl/>
        </w:rPr>
      </w:pPr>
      <w:r w:rsidRPr="00870FBF">
        <w:rPr>
          <w:rtl/>
        </w:rPr>
        <w:t>’</w:t>
      </w:r>
      <w:r w:rsidRPr="00870FBF">
        <w:t>5</w:t>
      </w:r>
      <w:r w:rsidRPr="00870FBF">
        <w:rPr>
          <w:rtl/>
        </w:rPr>
        <w:t>‘</w:t>
      </w:r>
      <w:r w:rsidRPr="00870FBF">
        <w:rPr>
          <w:rtl/>
        </w:rPr>
        <w:tab/>
        <w:t>عوين أن حساب عمليات التصديق على مساهمات الموظفين التقاعدية وعمليات إعادة ضم مُدد الخدمة ذات الصلة تُجرى على نحو ملائم؛ بيد أنه عوين حصول تأخير طائل في بعض الحالات، جاوز المدة النظامية البالغة تسعين يوماً. فقُدمت توصية بأن لا تُمنح معاملة استثنائية عندما يتعلق الأمر بحالات تأخير وبتسهيلات للتسديد. وقد أعربت الإدارة عن تأييدها لهذه التوصية.</w:t>
      </w:r>
    </w:p>
    <w:p w:rsidR="00870FBF" w:rsidRPr="00870FBF" w:rsidRDefault="00870FBF" w:rsidP="00870FBF">
      <w:pPr>
        <w:rPr>
          <w:rtl/>
        </w:rPr>
      </w:pPr>
      <w:r w:rsidRPr="00870FBF">
        <w:rPr>
          <w:lang w:bidi="ar-SY"/>
        </w:rPr>
        <w:t>19</w:t>
      </w:r>
      <w:r w:rsidRPr="00870FBF">
        <w:rPr>
          <w:rtl/>
        </w:rPr>
        <w:tab/>
        <w:t xml:space="preserve">يشار بمثابة </w:t>
      </w:r>
      <w:r w:rsidRPr="00870FBF">
        <w:rPr>
          <w:u w:val="single"/>
          <w:rtl/>
        </w:rPr>
        <w:t>استنتاج</w:t>
      </w:r>
      <w:r w:rsidRPr="00870FBF">
        <w:rPr>
          <w:rtl/>
        </w:rPr>
        <w:t xml:space="preserve"> عام إلى أنه قدِّم ما يهيئ درجة معقولة من الاطمئنان إلى أن الإجراءات المعمول بها توفِّر ضمانات ملائمة فيما يتعلق بمسؤوليات الاتحاد ومسؤوليات موظفيه تجاه الصندوق المشترك للمعاشات التقاعدية لموظفي الأمم المتحدة.</w:t>
      </w:r>
    </w:p>
    <w:p w:rsidR="00870FBF" w:rsidRPr="00C901FA" w:rsidRDefault="00870FBF" w:rsidP="00C901FA">
      <w:pPr>
        <w:pStyle w:val="Headingb"/>
        <w:rPr>
          <w:i/>
          <w:iCs/>
          <w:rtl/>
          <w:lang w:bidi="ar-EG"/>
        </w:rPr>
      </w:pPr>
      <w:r w:rsidRPr="00C901FA">
        <w:rPr>
          <w:i/>
          <w:iCs/>
          <w:rtl/>
          <w:lang w:bidi="ar-EG"/>
        </w:rPr>
        <w:tab/>
        <w:t>دال.</w:t>
      </w:r>
      <w:r w:rsidRPr="00C901FA">
        <w:rPr>
          <w:i/>
          <w:iCs/>
          <w:rtl/>
          <w:lang w:bidi="ar-EG"/>
        </w:rPr>
        <w:tab/>
        <w:t>مراجعة المكتب الإقليمي الإفريقي ومكاتب المناطق في إفريقيا</w:t>
      </w:r>
    </w:p>
    <w:p w:rsidR="00870FBF" w:rsidRPr="00870FBF" w:rsidRDefault="00870FBF" w:rsidP="00870FBF">
      <w:pPr>
        <w:rPr>
          <w:rtl/>
        </w:rPr>
      </w:pPr>
      <w:r w:rsidRPr="00870FBF">
        <w:rPr>
          <w:lang w:bidi="ar-SY"/>
        </w:rPr>
        <w:t>20</w:t>
      </w:r>
      <w:r w:rsidRPr="00870FBF">
        <w:rPr>
          <w:rtl/>
        </w:rPr>
        <w:tab/>
        <w:t xml:space="preserve">تمثلت </w:t>
      </w:r>
      <w:r w:rsidRPr="00870FBF">
        <w:rPr>
          <w:u w:val="single"/>
          <w:rtl/>
        </w:rPr>
        <w:t>الأغراض</w:t>
      </w:r>
      <w:r w:rsidRPr="00870FBF">
        <w:rPr>
          <w:rtl/>
        </w:rPr>
        <w:t xml:space="preserve"> من هذه المراجعة في تقييم الضوابط الداخلية المعمول بها في المكتب الإقليمي الإفريقي القائم في أديس أبابا بإثيوبيا </w:t>
      </w:r>
      <w:r w:rsidRPr="00870FBF">
        <w:rPr>
          <w:lang w:bidi="ar-SY"/>
        </w:rPr>
        <w:t>(</w:t>
      </w:r>
      <w:r w:rsidRPr="00870FBF">
        <w:rPr>
          <w:lang w:val="en-GB" w:bidi="ar-SY"/>
        </w:rPr>
        <w:t>AFR/RO/ADD</w:t>
      </w:r>
      <w:r w:rsidRPr="00870FBF">
        <w:rPr>
          <w:lang w:bidi="ar-SY"/>
        </w:rPr>
        <w:t>)</w:t>
      </w:r>
      <w:r w:rsidRPr="00870FBF">
        <w:rPr>
          <w:rtl/>
        </w:rPr>
        <w:t xml:space="preserve"> </w:t>
      </w:r>
      <w:r w:rsidRPr="00870FBF">
        <w:rPr>
          <w:rFonts w:hint="cs"/>
          <w:rtl/>
        </w:rPr>
        <w:t xml:space="preserve">ومكتب المنطقة القائم في هراري بزمبابوي </w:t>
      </w:r>
      <w:r w:rsidRPr="00870FBF">
        <w:rPr>
          <w:lang w:bidi="ar-SY"/>
        </w:rPr>
        <w:t>(</w:t>
      </w:r>
      <w:r w:rsidRPr="00870FBF">
        <w:rPr>
          <w:lang w:val="en-GB" w:bidi="ar-SY"/>
        </w:rPr>
        <w:t>AFR/AO/HAR</w:t>
      </w:r>
      <w:r w:rsidRPr="00870FBF">
        <w:rPr>
          <w:lang w:bidi="ar-SY"/>
        </w:rPr>
        <w:t>)</w:t>
      </w:r>
      <w:r w:rsidRPr="00870FBF">
        <w:rPr>
          <w:rtl/>
        </w:rPr>
        <w:t xml:space="preserve">؛ وفي تدارس مدى كفاية اللوائح والقواعد الواجبة التطبيق، والتحقق من التقيد في معاملات منتقاة بالسياسات والإجراءات المعمول بها، وتبيُّن ما إذا كانت الأنشطة المضطلَع بها متوافقة مع مبادئ استعمال موارد الاتحاد على نحو ناجع وفعال واقتصادي. وطالت هذه المراجعة </w:t>
      </w:r>
      <w:r w:rsidRPr="00870FBF">
        <w:rPr>
          <w:u w:val="single"/>
          <w:rtl/>
        </w:rPr>
        <w:t>بنطاقها</w:t>
      </w:r>
      <w:r w:rsidRPr="00870FBF">
        <w:rPr>
          <w:rtl/>
        </w:rPr>
        <w:t xml:space="preserve"> الفترة الممتدة من يناير </w:t>
      </w:r>
      <w:r w:rsidRPr="00870FBF">
        <w:rPr>
          <w:lang w:bidi="ar-SY"/>
        </w:rPr>
        <w:t>2012</w:t>
      </w:r>
      <w:r w:rsidRPr="00870FBF">
        <w:rPr>
          <w:rtl/>
        </w:rPr>
        <w:t xml:space="preserve"> </w:t>
      </w:r>
      <w:r w:rsidRPr="00870FBF">
        <w:rPr>
          <w:rFonts w:hint="cs"/>
          <w:rtl/>
        </w:rPr>
        <w:t xml:space="preserve">إلى سبتمبر </w:t>
      </w:r>
      <w:r w:rsidRPr="00870FBF">
        <w:rPr>
          <w:lang w:bidi="ar-SY"/>
        </w:rPr>
        <w:t>2014</w:t>
      </w:r>
      <w:r w:rsidRPr="00870FBF">
        <w:rPr>
          <w:rtl/>
        </w:rPr>
        <w:t xml:space="preserve">. وقد شملت المراجعة الداخلية بالفعل استعراض بعض الوثائق الواردة من مكتب المنطقة القائم في داكار بالسنغال </w:t>
      </w:r>
      <w:r w:rsidRPr="00870FBF">
        <w:rPr>
          <w:lang w:bidi="ar-SY"/>
        </w:rPr>
        <w:t>(</w:t>
      </w:r>
      <w:r w:rsidRPr="00870FBF">
        <w:rPr>
          <w:lang w:val="en-GB" w:bidi="ar-SY"/>
        </w:rPr>
        <w:t>AFR/AO/DAK</w:t>
      </w:r>
      <w:r w:rsidRPr="00870FBF">
        <w:rPr>
          <w:lang w:bidi="ar-SY"/>
        </w:rPr>
        <w:t>)</w:t>
      </w:r>
      <w:r w:rsidRPr="00870FBF">
        <w:rPr>
          <w:rtl/>
        </w:rPr>
        <w:t xml:space="preserve"> ومكتب المنطقة القائم في ياوندي بالكاميرون </w:t>
      </w:r>
      <w:r w:rsidRPr="00870FBF">
        <w:rPr>
          <w:lang w:bidi="ar-SY"/>
        </w:rPr>
        <w:t>(</w:t>
      </w:r>
      <w:r w:rsidRPr="00870FBF">
        <w:rPr>
          <w:lang w:val="en-GB" w:bidi="ar-SY"/>
        </w:rPr>
        <w:t>AFR/AO/YAO</w:t>
      </w:r>
      <w:r w:rsidRPr="00870FBF">
        <w:rPr>
          <w:lang w:bidi="ar-SY"/>
        </w:rPr>
        <w:t>)</w:t>
      </w:r>
      <w:r w:rsidRPr="00870FBF">
        <w:rPr>
          <w:rtl/>
        </w:rPr>
        <w:t xml:space="preserve"> كلما أتيحت هذه الوثائق من مقر الاتحاد </w:t>
      </w:r>
      <w:r w:rsidRPr="00870FBF">
        <w:rPr>
          <w:lang w:bidi="ar-SY"/>
        </w:rPr>
        <w:t>(</w:t>
      </w:r>
      <w:r w:rsidRPr="00870FBF">
        <w:rPr>
          <w:lang w:val="en-GB" w:bidi="ar-SY"/>
        </w:rPr>
        <w:t>ITU/HQ</w:t>
      </w:r>
      <w:r w:rsidRPr="00870FBF">
        <w:rPr>
          <w:lang w:bidi="ar-SY"/>
        </w:rPr>
        <w:t>)</w:t>
      </w:r>
      <w:r w:rsidRPr="00870FBF">
        <w:rPr>
          <w:rtl/>
        </w:rPr>
        <w:t xml:space="preserve">، مثل التقارير المتعلقة بالمبالغ النقدية الصغيرة والاتفاقات مع البلد المضيف وغيرها، لكن تقرَّر إجراء مراجعة مكتب داكار </w:t>
      </w:r>
      <w:r w:rsidRPr="00870FBF">
        <w:rPr>
          <w:lang w:bidi="ar-SY"/>
        </w:rPr>
        <w:t>(</w:t>
      </w:r>
      <w:r w:rsidRPr="00870FBF">
        <w:rPr>
          <w:lang w:val="en-GB" w:bidi="ar-SY"/>
        </w:rPr>
        <w:t>AFR/AO/DAK</w:t>
      </w:r>
      <w:r w:rsidRPr="00870FBF">
        <w:rPr>
          <w:lang w:bidi="ar-SY"/>
        </w:rPr>
        <w:t>)</w:t>
      </w:r>
      <w:r w:rsidRPr="00870FBF">
        <w:rPr>
          <w:rtl/>
        </w:rPr>
        <w:t xml:space="preserve"> ومكتب ياوندي </w:t>
      </w:r>
      <w:r w:rsidRPr="00870FBF">
        <w:rPr>
          <w:lang w:bidi="ar-SY"/>
        </w:rPr>
        <w:t>(</w:t>
      </w:r>
      <w:r w:rsidRPr="00870FBF">
        <w:rPr>
          <w:lang w:val="en-GB" w:bidi="ar-SY"/>
        </w:rPr>
        <w:t>AFR/AO/YAO</w:t>
      </w:r>
      <w:r w:rsidRPr="00870FBF">
        <w:rPr>
          <w:lang w:bidi="ar-SY"/>
        </w:rPr>
        <w:t>)</w:t>
      </w:r>
      <w:r w:rsidRPr="00870FBF">
        <w:rPr>
          <w:rtl/>
        </w:rPr>
        <w:t xml:space="preserve"> في مرحلة لاحقة.</w:t>
      </w:r>
    </w:p>
    <w:p w:rsidR="00870FBF" w:rsidRPr="00870FBF" w:rsidRDefault="00870FBF" w:rsidP="00870FBF">
      <w:pPr>
        <w:rPr>
          <w:rtl/>
        </w:rPr>
      </w:pPr>
      <w:r w:rsidRPr="00870FBF">
        <w:rPr>
          <w:lang w:bidi="ar-SY"/>
        </w:rPr>
        <w:t>21</w:t>
      </w:r>
      <w:r w:rsidRPr="00870FBF">
        <w:rPr>
          <w:rtl/>
        </w:rPr>
        <w:tab/>
        <w:t>الملاحظات والتوصيات العاليةُ درجةِ الأولويةِ المقدَّمة في إطار المراجعة الداخلية وتعليقات الإدارة عليها:</w:t>
      </w:r>
    </w:p>
    <w:p w:rsidR="00870FBF" w:rsidRPr="00870FBF" w:rsidRDefault="00870FBF" w:rsidP="00C901FA">
      <w:pPr>
        <w:pStyle w:val="enumlev1"/>
        <w:rPr>
          <w:rtl/>
        </w:rPr>
      </w:pPr>
      <w:r w:rsidRPr="00870FBF">
        <w:rPr>
          <w:rtl/>
        </w:rPr>
        <w:t>’</w:t>
      </w:r>
      <w:r w:rsidRPr="00870FBF">
        <w:t>1</w:t>
      </w:r>
      <w:r w:rsidRPr="00870FBF">
        <w:rPr>
          <w:rtl/>
        </w:rPr>
        <w:t>‘</w:t>
      </w:r>
      <w:r w:rsidRPr="00870FBF">
        <w:rPr>
          <w:rtl/>
        </w:rPr>
        <w:tab/>
        <w:t xml:space="preserve">لم تكن قائمة الجهات المكلَّفة بالتوقيع المصرفي فيما يخص مصرف مكتب هراري </w:t>
      </w:r>
      <w:r w:rsidRPr="00870FBF">
        <w:t>(</w:t>
      </w:r>
      <w:r w:rsidRPr="00870FBF">
        <w:rPr>
          <w:lang w:val="en-GB"/>
        </w:rPr>
        <w:t>AFR/AO/HAR</w:t>
      </w:r>
      <w:r w:rsidRPr="00870FBF">
        <w:t>)</w:t>
      </w:r>
      <w:r w:rsidRPr="00870FBF">
        <w:rPr>
          <w:rtl/>
        </w:rPr>
        <w:t xml:space="preserve"> محيَّنة وقد أوصي بجعلها تتوافق مع اللوائح والقواعد المالية للاتحاد. وقالت الإدارة إنه تجري معالجة ذلك.</w:t>
      </w:r>
    </w:p>
    <w:p w:rsidR="00870FBF" w:rsidRPr="00870FBF" w:rsidRDefault="00870FBF" w:rsidP="00C901FA">
      <w:pPr>
        <w:pStyle w:val="enumlev1"/>
        <w:rPr>
          <w:rtl/>
        </w:rPr>
      </w:pPr>
      <w:r w:rsidRPr="00870FBF">
        <w:rPr>
          <w:rtl/>
        </w:rPr>
        <w:t>’</w:t>
      </w:r>
      <w:r w:rsidRPr="00870FBF">
        <w:t>2</w:t>
      </w:r>
      <w:r w:rsidRPr="00870FBF">
        <w:rPr>
          <w:rtl/>
        </w:rPr>
        <w:t>‘</w:t>
      </w:r>
      <w:r w:rsidRPr="00870FBF">
        <w:rPr>
          <w:rtl/>
        </w:rPr>
        <w:tab/>
        <w:t xml:space="preserve">عوين أنه لا يُتَّبع نهج منسَّق في استعمال المبالغ النقدية الصغيرة والإبلاغ عنها، فأوصِيَ بأن يُرسى نهج مشترك يتّبعه جميع المكاتب. وقالت الإدارة إنها شرعت في العمل على ذلك وإنه سيجري المزيد من العمل عليه في عام </w:t>
      </w:r>
      <w:r w:rsidRPr="00870FBF">
        <w:t>2015</w:t>
      </w:r>
      <w:r w:rsidRPr="00870FBF">
        <w:rPr>
          <w:rtl/>
        </w:rPr>
        <w:t>.</w:t>
      </w:r>
    </w:p>
    <w:p w:rsidR="00870FBF" w:rsidRPr="00870FBF" w:rsidRDefault="00870FBF" w:rsidP="00C901FA">
      <w:pPr>
        <w:pStyle w:val="enumlev1"/>
        <w:rPr>
          <w:rtl/>
        </w:rPr>
      </w:pPr>
      <w:r w:rsidRPr="00870FBF">
        <w:rPr>
          <w:rtl/>
        </w:rPr>
        <w:t>’</w:t>
      </w:r>
      <w:r w:rsidRPr="00870FBF">
        <w:t>3</w:t>
      </w:r>
      <w:r w:rsidRPr="00870FBF">
        <w:rPr>
          <w:rtl/>
        </w:rPr>
        <w:t>‘</w:t>
      </w:r>
      <w:r w:rsidRPr="00870FBF">
        <w:rPr>
          <w:rtl/>
        </w:rPr>
        <w:tab/>
        <w:t>عوينت عدة نواقص أمنية في محال المكتب الإقليمي ومكاتب المناطق التي زيرت. فأوصِيَ بمعالجة هذه النواقص وتحقيق التقيد مع معايير الأمم المتحدة الأمنية ذات الصلة. وقالت الإدارة إنه شُرع في العمل على ذلك مع الشعب ذات الصلة في مقر الاتحاد.</w:t>
      </w:r>
    </w:p>
    <w:p w:rsidR="00870FBF" w:rsidRPr="00870FBF" w:rsidRDefault="00870FBF" w:rsidP="00C901FA">
      <w:pPr>
        <w:pStyle w:val="enumlev1"/>
        <w:rPr>
          <w:rtl/>
        </w:rPr>
      </w:pPr>
      <w:r w:rsidRPr="00870FBF">
        <w:rPr>
          <w:rtl/>
        </w:rPr>
        <w:t>’</w:t>
      </w:r>
      <w:r w:rsidRPr="00870FBF">
        <w:t>4</w:t>
      </w:r>
      <w:r w:rsidRPr="00870FBF">
        <w:rPr>
          <w:rtl/>
        </w:rPr>
        <w:t>‘</w:t>
      </w:r>
      <w:r w:rsidRPr="00870FBF">
        <w:rPr>
          <w:rtl/>
        </w:rPr>
        <w:tab/>
        <w:t>عوينت مباعث قلق أخرى متصلة بإدارة الأصول وإدارة المشاريع، فقُدمت توصيات بمعالجة المسائل المعنية. وأعربت الإدارة عن تأييدها لهذه التوصيات وأشارت إلى أن العمل اللازم كان بالفعل جارياً أو كان يُسعى للحصول على المزيد من التوضيحات والإرشادات بشأنه.</w:t>
      </w:r>
    </w:p>
    <w:p w:rsidR="00870FBF" w:rsidRPr="00870FBF" w:rsidRDefault="00870FBF" w:rsidP="00870FBF">
      <w:pPr>
        <w:rPr>
          <w:rtl/>
        </w:rPr>
      </w:pPr>
      <w:r w:rsidRPr="00870FBF">
        <w:rPr>
          <w:lang w:bidi="ar-SY"/>
        </w:rPr>
        <w:lastRenderedPageBreak/>
        <w:t>22</w:t>
      </w:r>
      <w:r w:rsidRPr="00870FBF">
        <w:rPr>
          <w:rtl/>
        </w:rPr>
        <w:tab/>
        <w:t xml:space="preserve">يشار بمثابة </w:t>
      </w:r>
      <w:r w:rsidRPr="00870FBF">
        <w:rPr>
          <w:u w:val="single"/>
          <w:rtl/>
        </w:rPr>
        <w:t>استنتاج</w:t>
      </w:r>
      <w:r w:rsidRPr="00870FBF">
        <w:rPr>
          <w:rtl/>
        </w:rPr>
        <w:t xml:space="preserve"> عام إلى أنه لم تُعاين مسائل حاسمة الأهمية</w:t>
      </w:r>
      <w:r w:rsidRPr="002C03ED">
        <w:rPr>
          <w:rStyle w:val="FootnoteReference"/>
          <w:rtl/>
        </w:rPr>
        <w:footnoteReference w:id="4"/>
      </w:r>
      <w:r w:rsidRPr="00870FBF">
        <w:rPr>
          <w:rtl/>
        </w:rPr>
        <w:t>. وبحسب المكتب المعني، ثمة متَّسع  للتحسين يتهيأ بصورة رئيسية في مجالات السلامة والأمن، وإدارة المعاملات المصرفية والنقد (التي يقوم مقر الاتحاد بالفعل بمعالجة المسائل المتصلة بها - بالتنسيق مع المكتب الإقليمي/مكتب المنطقة)، وتنفيذ التدابير/المشاريع.</w:t>
      </w:r>
    </w:p>
    <w:p w:rsidR="00870FBF" w:rsidRPr="008B36F4" w:rsidRDefault="00870FBF" w:rsidP="008B36F4">
      <w:pPr>
        <w:pStyle w:val="Headingb"/>
        <w:rPr>
          <w:i/>
          <w:iCs/>
          <w:rtl/>
        </w:rPr>
      </w:pPr>
      <w:r w:rsidRPr="008B36F4">
        <w:rPr>
          <w:i/>
          <w:iCs/>
          <w:rtl/>
          <w:lang w:bidi="ar-EG"/>
        </w:rPr>
        <w:tab/>
        <w:t>هاء.</w:t>
      </w:r>
      <w:r w:rsidRPr="008B36F4">
        <w:rPr>
          <w:i/>
          <w:iCs/>
          <w:rtl/>
          <w:lang w:bidi="ar-EG"/>
        </w:rPr>
        <w:tab/>
        <w:t xml:space="preserve">مراجعة </w:t>
      </w:r>
      <w:r w:rsidRPr="00081E27">
        <w:rPr>
          <w:i/>
          <w:iCs/>
          <w:u w:val="single"/>
          <w:rtl/>
          <w:lang w:bidi="ar-EG"/>
        </w:rPr>
        <w:t>نظام إدارة علاقات العملاء</w:t>
      </w:r>
      <w:r w:rsidRPr="008B36F4">
        <w:rPr>
          <w:i/>
          <w:iCs/>
          <w:rtl/>
          <w:lang w:bidi="ar-EG"/>
        </w:rPr>
        <w:t xml:space="preserve"> </w:t>
      </w:r>
      <w:r w:rsidRPr="008B36F4">
        <w:rPr>
          <w:i/>
          <w:iCs/>
          <w:lang w:bidi="ar-SY"/>
        </w:rPr>
        <w:t>(</w:t>
      </w:r>
      <w:r w:rsidRPr="008B36F4">
        <w:rPr>
          <w:i/>
          <w:iCs/>
          <w:lang w:val="en-GB" w:bidi="ar-SY"/>
        </w:rPr>
        <w:t>CRM</w:t>
      </w:r>
      <w:r w:rsidRPr="008B36F4">
        <w:rPr>
          <w:i/>
          <w:iCs/>
          <w:lang w:bidi="ar-SY"/>
        </w:rPr>
        <w:t>)</w:t>
      </w:r>
      <w:r w:rsidRPr="008B36F4">
        <w:rPr>
          <w:i/>
          <w:iCs/>
          <w:rtl/>
          <w:lang w:bidi="ar-EG"/>
        </w:rPr>
        <w:t xml:space="preserve"> في نظام </w:t>
      </w:r>
      <w:r w:rsidRPr="008B36F4">
        <w:rPr>
          <w:i/>
          <w:iCs/>
          <w:lang w:bidi="ar-SY"/>
        </w:rPr>
        <w:t>SAP</w:t>
      </w:r>
      <w:r w:rsidRPr="008B36F4">
        <w:rPr>
          <w:i/>
          <w:iCs/>
          <w:rtl/>
        </w:rPr>
        <w:t xml:space="preserve"> </w:t>
      </w:r>
      <w:r w:rsidRPr="008B36F4">
        <w:rPr>
          <w:rFonts w:hint="cs"/>
          <w:i/>
          <w:iCs/>
          <w:rtl/>
        </w:rPr>
        <w:t>لتخطيط الموارد المؤسسية</w:t>
      </w:r>
    </w:p>
    <w:p w:rsidR="00870FBF" w:rsidRPr="00870FBF" w:rsidRDefault="00870FBF" w:rsidP="00870FBF">
      <w:pPr>
        <w:rPr>
          <w:rtl/>
        </w:rPr>
      </w:pPr>
      <w:r w:rsidRPr="00870FBF">
        <w:rPr>
          <w:lang w:bidi="ar-SY"/>
        </w:rPr>
        <w:t>23</w:t>
      </w:r>
      <w:r w:rsidRPr="00870FBF">
        <w:rPr>
          <w:rtl/>
        </w:rPr>
        <w:tab/>
        <w:t xml:space="preserve">تمثلت </w:t>
      </w:r>
      <w:r w:rsidRPr="00870FBF">
        <w:rPr>
          <w:u w:val="single"/>
          <w:rtl/>
        </w:rPr>
        <w:t>الأغراض</w:t>
      </w:r>
      <w:r w:rsidRPr="00870FBF">
        <w:rPr>
          <w:rtl/>
        </w:rPr>
        <w:t xml:space="preserve"> الرئيسية من هذه المراجعة في تدارس التقيد في معاملات إدارة علاقات العملاء بالقواعد والإجراءات المعمول بها في الاتحاد وتقييم آثار إدارة علاقات العملاء على أنشطة أمانة الاتحاد. وشملت هذه الدراسة بنطاقها تنفيذ مشروع إدارة علاقات العملاء الذي يشمل الأنشطة المضطلَع بها في الفترة الممتدة من يناير </w:t>
      </w:r>
      <w:r w:rsidRPr="00870FBF">
        <w:rPr>
          <w:lang w:bidi="ar-SY"/>
        </w:rPr>
        <w:t>2013</w:t>
      </w:r>
      <w:r w:rsidRPr="00870FBF">
        <w:rPr>
          <w:rtl/>
        </w:rPr>
        <w:t xml:space="preserve"> </w:t>
      </w:r>
      <w:r w:rsidRPr="00870FBF">
        <w:rPr>
          <w:rFonts w:hint="cs"/>
          <w:rtl/>
        </w:rPr>
        <w:t xml:space="preserve">حتى يناير </w:t>
      </w:r>
      <w:r w:rsidRPr="00870FBF">
        <w:rPr>
          <w:lang w:bidi="ar-SY"/>
        </w:rPr>
        <w:t>2015</w:t>
      </w:r>
      <w:r w:rsidRPr="00870FBF">
        <w:rPr>
          <w:rtl/>
        </w:rPr>
        <w:t>.</w:t>
      </w:r>
    </w:p>
    <w:p w:rsidR="00870FBF" w:rsidRPr="00870FBF" w:rsidRDefault="00870FBF" w:rsidP="00870FBF">
      <w:pPr>
        <w:rPr>
          <w:rtl/>
        </w:rPr>
      </w:pPr>
      <w:r w:rsidRPr="00870FBF">
        <w:rPr>
          <w:lang w:bidi="ar-SY"/>
        </w:rPr>
        <w:t>24</w:t>
      </w:r>
      <w:r w:rsidRPr="00870FBF">
        <w:rPr>
          <w:rtl/>
        </w:rPr>
        <w:tab/>
        <w:t>الملاحظات والتوصيات المقدَّمة في إطار المراجعة الداخلية وتعليقات الإدارة عليها:</w:t>
      </w:r>
    </w:p>
    <w:p w:rsidR="00870FBF" w:rsidRPr="00870FBF" w:rsidRDefault="00870FBF" w:rsidP="008B36F4">
      <w:pPr>
        <w:pStyle w:val="enumlev1"/>
        <w:rPr>
          <w:rtl/>
        </w:rPr>
      </w:pPr>
      <w:r w:rsidRPr="00870FBF">
        <w:rPr>
          <w:rtl/>
        </w:rPr>
        <w:t>’</w:t>
      </w:r>
      <w:r w:rsidRPr="00870FBF">
        <w:t>1</w:t>
      </w:r>
      <w:r w:rsidRPr="00870FBF">
        <w:rPr>
          <w:rtl/>
        </w:rPr>
        <w:t>‘</w:t>
      </w:r>
      <w:r w:rsidRPr="00870FBF">
        <w:rPr>
          <w:rtl/>
        </w:rPr>
        <w:tab/>
        <w:t xml:space="preserve">خُلِص في إطار المراجعة الداخلية بعد مراجعة المشروع أن منهجيته تُتَّبع ويجري تنفيذها على نحو ملائم. لكن عوين أنه حصلت خلال التنفيذ حالات تأخير كبير بيد أنه أفيد بها وتابعتها لجنة التوجيه بانتظام. كما لوحظ في إطار المراجعة الداخلية أنه تم بنجاح وضع المشروع موضع التشغيل الكامل. ولوحظ أيضاً في إطار المراجعة الداخلية أن إجراءات الشراء التي طُبِّقت للتعاقد مع شتى المقاولين من الباطن تم التقيد فيها بلوائح وقواعد الاتحاد المتعلقة بالمشتريات. وكذلك لوحظ أن لمعظم مستعملي نظام إدارة علاقات العملاء </w:t>
      </w:r>
      <w:r w:rsidRPr="00870FBF">
        <w:t>(</w:t>
      </w:r>
      <w:r w:rsidRPr="00870FBF">
        <w:rPr>
          <w:lang w:val="en-GB"/>
        </w:rPr>
        <w:t>CRM</w:t>
      </w:r>
      <w:r w:rsidRPr="00870FBF">
        <w:t>)</w:t>
      </w:r>
      <w:r w:rsidRPr="00870FBF">
        <w:rPr>
          <w:rtl/>
        </w:rPr>
        <w:t xml:space="preserve"> موقفاً إيجابياً إزاءه وهم واثقون بأنه سيؤتي على مر الزمن منافع لهم في عملهم.</w:t>
      </w:r>
    </w:p>
    <w:p w:rsidR="00870FBF" w:rsidRPr="00870FBF" w:rsidRDefault="00870FBF" w:rsidP="000277FC">
      <w:pPr>
        <w:pStyle w:val="enumlev1"/>
        <w:rPr>
          <w:rtl/>
        </w:rPr>
      </w:pPr>
      <w:r w:rsidRPr="00870FBF">
        <w:rPr>
          <w:rtl/>
        </w:rPr>
        <w:t>’</w:t>
      </w:r>
      <w:r w:rsidRPr="00870FBF">
        <w:t>2</w:t>
      </w:r>
      <w:r w:rsidRPr="00870FBF">
        <w:rPr>
          <w:rtl/>
        </w:rPr>
        <w:t>‘</w:t>
      </w:r>
      <w:r w:rsidRPr="00870FBF">
        <w:rPr>
          <w:rtl/>
        </w:rPr>
        <w:tab/>
        <w:t xml:space="preserve">مثَّل تنفيذ مشروع إدارة علاقات العملاء </w:t>
      </w:r>
      <w:r w:rsidRPr="00870FBF">
        <w:t>(</w:t>
      </w:r>
      <w:r w:rsidRPr="00870FBF">
        <w:rPr>
          <w:lang w:val="en-GB"/>
        </w:rPr>
        <w:t>CRM</w:t>
      </w:r>
      <w:r w:rsidRPr="00870FBF">
        <w:t>)</w:t>
      </w:r>
      <w:r w:rsidRPr="00870FBF">
        <w:rPr>
          <w:rtl/>
        </w:rPr>
        <w:t xml:space="preserve"> من حيث الأساس مرحلة التأسيس وتم إنجاز كثير من العناصر الوظائفية لكن </w:t>
      </w:r>
      <w:r w:rsidR="00371587">
        <w:rPr>
          <w:rFonts w:hint="cs"/>
          <w:rtl/>
        </w:rPr>
        <w:t>لم</w:t>
      </w:r>
      <w:r w:rsidRPr="00870FBF">
        <w:rPr>
          <w:rtl/>
        </w:rPr>
        <w:t xml:space="preserve"> يزل هناك شوط بعيد يجب قطعه قبل أن يفي هذا النظام بتوخيات الاتحاد. وعليه فإنه ينبغي تفعيل لجنة توجيه مشروع إدارة علاقات العملاء </w:t>
      </w:r>
      <w:r w:rsidRPr="00870FBF">
        <w:t>(</w:t>
      </w:r>
      <w:r w:rsidRPr="00870FBF">
        <w:rPr>
          <w:lang w:val="en-GB"/>
        </w:rPr>
        <w:t>CRM</w:t>
      </w:r>
      <w:r w:rsidRPr="00870FBF">
        <w:t>)</w:t>
      </w:r>
      <w:r w:rsidRPr="00870FBF">
        <w:rPr>
          <w:rtl/>
        </w:rPr>
        <w:t xml:space="preserve"> ودعوتها إلى الاجتماع من جديد سهراً على استمرار المشروع. كما يجب وضع خريطة طريق محيَّنة من أجل مواصلة المشروع. وقد وافقت الإدارة على هذه التوصية، وتم</w:t>
      </w:r>
      <w:r w:rsidR="00E96129">
        <w:rPr>
          <w:rFonts w:hint="cs"/>
          <w:rtl/>
        </w:rPr>
        <w:t> </w:t>
      </w:r>
      <w:r w:rsidRPr="00870FBF">
        <w:rPr>
          <w:rtl/>
        </w:rPr>
        <w:t>بالفعل في أوائل عام</w:t>
      </w:r>
      <w:r w:rsidR="000277FC">
        <w:rPr>
          <w:rFonts w:hint="cs"/>
          <w:rtl/>
        </w:rPr>
        <w:t> </w:t>
      </w:r>
      <w:r w:rsidRPr="00870FBF">
        <w:t>2015</w:t>
      </w:r>
      <w:r w:rsidRPr="00870FBF">
        <w:rPr>
          <w:rtl/>
        </w:rPr>
        <w:t xml:space="preserve"> </w:t>
      </w:r>
      <w:r w:rsidRPr="00870FBF">
        <w:rPr>
          <w:rFonts w:hint="cs"/>
          <w:rtl/>
        </w:rPr>
        <w:t xml:space="preserve">إنشاء لجنة تنفيذ مشروع إدارة علاقات العملاء </w:t>
      </w:r>
      <w:r w:rsidRPr="00870FBF">
        <w:t>(</w:t>
      </w:r>
      <w:r w:rsidRPr="00870FBF">
        <w:rPr>
          <w:lang w:val="en-GB"/>
        </w:rPr>
        <w:t>CRM</w:t>
      </w:r>
      <w:r w:rsidRPr="00870FBF">
        <w:t>)</w:t>
      </w:r>
      <w:r w:rsidRPr="00870FBF">
        <w:rPr>
          <w:rtl/>
        </w:rPr>
        <w:t xml:space="preserve"> </w:t>
      </w:r>
      <w:r w:rsidRPr="00870FBF">
        <w:rPr>
          <w:rFonts w:hint="cs"/>
          <w:rtl/>
        </w:rPr>
        <w:t>لتخلف لجنة توجيهه.</w:t>
      </w:r>
    </w:p>
    <w:p w:rsidR="00870FBF" w:rsidRPr="00870FBF" w:rsidRDefault="00870FBF" w:rsidP="008B36F4">
      <w:pPr>
        <w:pStyle w:val="enumlev1"/>
        <w:rPr>
          <w:rtl/>
        </w:rPr>
      </w:pPr>
      <w:r w:rsidRPr="00870FBF">
        <w:rPr>
          <w:rtl/>
        </w:rPr>
        <w:t>’</w:t>
      </w:r>
      <w:r w:rsidRPr="00870FBF">
        <w:t>3</w:t>
      </w:r>
      <w:r w:rsidRPr="00870FBF">
        <w:rPr>
          <w:rtl/>
        </w:rPr>
        <w:t>‘</w:t>
      </w:r>
      <w:r w:rsidRPr="00870FBF">
        <w:rPr>
          <w:rtl/>
        </w:rPr>
        <w:tab/>
      </w:r>
      <w:r w:rsidR="00C43165">
        <w:rPr>
          <w:rtl/>
        </w:rPr>
        <w:t>إن قائمة المتطلبات التي ل</w:t>
      </w:r>
      <w:r w:rsidR="00C43165">
        <w:rPr>
          <w:rFonts w:hint="cs"/>
          <w:rtl/>
        </w:rPr>
        <w:t>‍</w:t>
      </w:r>
      <w:r w:rsidR="00F96458">
        <w:rPr>
          <w:rtl/>
        </w:rPr>
        <w:t>م</w:t>
      </w:r>
      <w:r w:rsidRPr="00870FBF">
        <w:rPr>
          <w:rtl/>
        </w:rPr>
        <w:t xml:space="preserve"> يزل يتعين وضعها/تنفيذها والتطور الذي سيشهده نظام إدارة علاقات العملاء </w:t>
      </w:r>
      <w:r w:rsidRPr="00870FBF">
        <w:t>(</w:t>
      </w:r>
      <w:r w:rsidRPr="00870FBF">
        <w:rPr>
          <w:lang w:val="en-GB"/>
        </w:rPr>
        <w:t>CRM</w:t>
      </w:r>
      <w:r w:rsidRPr="00870FBF">
        <w:t>)</w:t>
      </w:r>
      <w:r w:rsidRPr="00870FBF">
        <w:rPr>
          <w:rtl/>
        </w:rPr>
        <w:t xml:space="preserve"> </w:t>
      </w:r>
      <w:r w:rsidRPr="00870FBF">
        <w:rPr>
          <w:rFonts w:hint="cs"/>
          <w:rtl/>
        </w:rPr>
        <w:t xml:space="preserve">لَمِن الكبر بمكان، وثمة قلق بشأن تمديد آجال التنفيذ الكامل بالنظر إلى الموارد المتوفرة حالياً. وقد وافقت الإدارة على التوصية بتخصيص موارد إضافية لتنفيذ مشروع إدارة علاقات العملاء </w:t>
      </w:r>
      <w:r w:rsidRPr="00870FBF">
        <w:t>(</w:t>
      </w:r>
      <w:r w:rsidRPr="00870FBF">
        <w:rPr>
          <w:lang w:val="en-GB"/>
        </w:rPr>
        <w:t>CRM</w:t>
      </w:r>
      <w:r w:rsidRPr="00870FBF">
        <w:t>)</w:t>
      </w:r>
      <w:r w:rsidRPr="00870FBF">
        <w:rPr>
          <w:rtl/>
        </w:rPr>
        <w:t xml:space="preserve"> من أجل تسريعه. لقد وافقت الإدارة على التوصية وطلبت من لجنة التوجيه أن تسهر على توفير الموارد الكافية من أجل المشروع الإضافي.</w:t>
      </w:r>
    </w:p>
    <w:p w:rsidR="00870FBF" w:rsidRPr="00870FBF" w:rsidRDefault="00870FBF" w:rsidP="00C43165">
      <w:pPr>
        <w:pStyle w:val="enumlev1"/>
        <w:rPr>
          <w:rtl/>
        </w:rPr>
      </w:pPr>
      <w:r w:rsidRPr="00870FBF">
        <w:rPr>
          <w:rtl/>
        </w:rPr>
        <w:t>’</w:t>
      </w:r>
      <w:r w:rsidRPr="00870FBF">
        <w:t>4</w:t>
      </w:r>
      <w:r w:rsidRPr="00870FBF">
        <w:rPr>
          <w:rtl/>
        </w:rPr>
        <w:t>‘</w:t>
      </w:r>
      <w:r w:rsidRPr="00870FBF">
        <w:rPr>
          <w:rtl/>
        </w:rPr>
        <w:tab/>
        <w:t xml:space="preserve">عوين وجود مشكلات جدية فيما يتعلق بجودة البيانات (كأن تعتريها حالات ازدواج أو أخطاء) في قواعد البيانات "القديمة" قبل نقل هذه البيانات إلى نظام إدارة علاقات العملاء </w:t>
      </w:r>
      <w:r w:rsidRPr="00870FBF">
        <w:t>(</w:t>
      </w:r>
      <w:r w:rsidRPr="00870FBF">
        <w:rPr>
          <w:lang w:val="en-GB"/>
        </w:rPr>
        <w:t>CRM</w:t>
      </w:r>
      <w:r w:rsidRPr="00870FBF">
        <w:t>)</w:t>
      </w:r>
      <w:r w:rsidRPr="00870FBF">
        <w:rPr>
          <w:rtl/>
        </w:rPr>
        <w:t>، فأُوصِيَ بإجراء تنقية ملائمة للبيانات في</w:t>
      </w:r>
      <w:r w:rsidR="00C43165">
        <w:rPr>
          <w:rFonts w:hint="cs"/>
          <w:rtl/>
        </w:rPr>
        <w:t> </w:t>
      </w:r>
      <w:r w:rsidRPr="00870FBF">
        <w:rPr>
          <w:rtl/>
        </w:rPr>
        <w:t>الوقت المناسب. وقد وافقت الإدارة على هذه التوصية موافقة تامة.</w:t>
      </w:r>
    </w:p>
    <w:p w:rsidR="00870FBF" w:rsidRPr="00870FBF" w:rsidRDefault="00870FBF" w:rsidP="008B36F4">
      <w:pPr>
        <w:pStyle w:val="enumlev1"/>
        <w:rPr>
          <w:rtl/>
        </w:rPr>
      </w:pPr>
      <w:r w:rsidRPr="00870FBF">
        <w:rPr>
          <w:rtl/>
        </w:rPr>
        <w:t>’</w:t>
      </w:r>
      <w:r w:rsidRPr="00870FBF">
        <w:t>5</w:t>
      </w:r>
      <w:r w:rsidRPr="00870FBF">
        <w:rPr>
          <w:rtl/>
        </w:rPr>
        <w:t>‘</w:t>
      </w:r>
      <w:r w:rsidRPr="00870FBF">
        <w:rPr>
          <w:rtl/>
        </w:rPr>
        <w:tab/>
        <w:t>عوين أنه، في هذه المرحلة من التنفيذ، يتمتع جميع المستعملين بإمكانية اط</w:t>
      </w:r>
      <w:r w:rsidRPr="00870FBF">
        <w:rPr>
          <w:rtl/>
          <w:lang w:bidi="ar-EG"/>
        </w:rPr>
        <w:t>ّ</w:t>
      </w:r>
      <w:r w:rsidRPr="00870FBF">
        <w:rPr>
          <w:rtl/>
        </w:rPr>
        <w:t>لاع واسعة النطاق، فأُوصِيَ بإعمال سلسة إقرار ملائمة مرتبطة بحقوق الاطّلاع. وقد وافقت الإدارة على هذه التوصية.</w:t>
      </w:r>
    </w:p>
    <w:p w:rsidR="00870FBF" w:rsidRPr="00870FBF" w:rsidRDefault="00870FBF" w:rsidP="00870FBF">
      <w:pPr>
        <w:rPr>
          <w:rtl/>
        </w:rPr>
      </w:pPr>
      <w:r w:rsidRPr="00870FBF">
        <w:rPr>
          <w:lang w:bidi="ar-SY"/>
        </w:rPr>
        <w:t>25</w:t>
      </w:r>
      <w:r w:rsidRPr="00870FBF">
        <w:rPr>
          <w:rtl/>
        </w:rPr>
        <w:tab/>
        <w:t xml:space="preserve">يشار بمثابة </w:t>
      </w:r>
      <w:r w:rsidRPr="00870FBF">
        <w:rPr>
          <w:u w:val="single"/>
          <w:rtl/>
        </w:rPr>
        <w:t>استنتاج</w:t>
      </w:r>
      <w:r w:rsidRPr="00870FBF">
        <w:rPr>
          <w:rtl/>
        </w:rPr>
        <w:t xml:space="preserve"> عام إلى أن المعاينات المسجَّلة في إطار المراجعة هيأت </w:t>
      </w:r>
      <w:r w:rsidRPr="00870FBF">
        <w:rPr>
          <w:i/>
          <w:iCs/>
          <w:rtl/>
        </w:rPr>
        <w:t>قدراً معقولاً من الاطمئنان</w:t>
      </w:r>
      <w:r w:rsidRPr="00E4752E">
        <w:rPr>
          <w:rStyle w:val="FootnoteReference"/>
          <w:rtl/>
        </w:rPr>
        <w:footnoteReference w:id="5"/>
      </w:r>
      <w:r w:rsidRPr="00870FBF">
        <w:rPr>
          <w:rtl/>
        </w:rPr>
        <w:t xml:space="preserve"> إلى التقيد بقواعد الاتحاد وإجراءاته في معاملات نظام إدارة علاقات العملاء </w:t>
      </w:r>
      <w:r w:rsidRPr="00870FBF">
        <w:rPr>
          <w:lang w:bidi="ar-SY"/>
        </w:rPr>
        <w:t>(</w:t>
      </w:r>
      <w:r w:rsidRPr="00870FBF">
        <w:rPr>
          <w:lang w:val="en-GB" w:bidi="ar-SY"/>
        </w:rPr>
        <w:t>CRM</w:t>
      </w:r>
      <w:r w:rsidRPr="00870FBF">
        <w:rPr>
          <w:lang w:bidi="ar-SY"/>
        </w:rPr>
        <w:t>)</w:t>
      </w:r>
      <w:r w:rsidRPr="00870FBF">
        <w:rPr>
          <w:rtl/>
        </w:rPr>
        <w:t xml:space="preserve">. وقد بيَّن تقييم آثار نظام إدارة علاقات العملاء </w:t>
      </w:r>
      <w:r w:rsidRPr="00870FBF">
        <w:rPr>
          <w:lang w:bidi="ar-SY"/>
        </w:rPr>
        <w:t>(</w:t>
      </w:r>
      <w:r w:rsidRPr="00870FBF">
        <w:rPr>
          <w:lang w:val="en-GB" w:bidi="ar-SY"/>
        </w:rPr>
        <w:t>CRM</w:t>
      </w:r>
      <w:r w:rsidRPr="00870FBF">
        <w:rPr>
          <w:lang w:bidi="ar-SY"/>
        </w:rPr>
        <w:t>)</w:t>
      </w:r>
      <w:r w:rsidRPr="00870FBF">
        <w:rPr>
          <w:rtl/>
        </w:rPr>
        <w:t xml:space="preserve"> على أنشطة أمانة الاتحاد أنه إيجابي، لكن هناك جوانب عديدة تستلزم المزيد من العناية لتحقيق الهدف المتمثل في سد هذا النظام لاحتياجات المستعملين بصورة تامة.</w:t>
      </w:r>
    </w:p>
    <w:p w:rsidR="00870FBF" w:rsidRPr="00870FBF" w:rsidRDefault="00870FBF" w:rsidP="00FF6389">
      <w:pPr>
        <w:pStyle w:val="Headingb"/>
        <w:rPr>
          <w:rtl/>
        </w:rPr>
      </w:pPr>
      <w:r w:rsidRPr="00870FBF">
        <w:rPr>
          <w:rtl/>
        </w:rPr>
        <w:lastRenderedPageBreak/>
        <w:t xml:space="preserve">تنفيذ ما يتعلق بالمراجعة الداخلية من توصيات اللجنة الاستشارية المستقلة للإدارة </w:t>
      </w:r>
      <w:r w:rsidRPr="00870FBF">
        <w:rPr>
          <w:lang w:bidi="ar-SY"/>
        </w:rPr>
        <w:t>(</w:t>
      </w:r>
      <w:r w:rsidRPr="00870FBF">
        <w:rPr>
          <w:lang w:val="en-CA" w:bidi="ar-SY"/>
        </w:rPr>
        <w:t>IMAC</w:t>
      </w:r>
      <w:r w:rsidRPr="00870FBF">
        <w:rPr>
          <w:lang w:bidi="ar-SY"/>
        </w:rPr>
        <w:t>)</w:t>
      </w:r>
    </w:p>
    <w:p w:rsidR="00870FBF" w:rsidRPr="00870FBF" w:rsidRDefault="00870FBF" w:rsidP="008F2FCA">
      <w:pPr>
        <w:rPr>
          <w:rtl/>
        </w:rPr>
      </w:pPr>
      <w:r w:rsidRPr="00870FBF">
        <w:rPr>
          <w:lang w:bidi="ar-SY"/>
        </w:rPr>
        <w:t>26</w:t>
      </w:r>
      <w:r w:rsidRPr="00870FBF">
        <w:rPr>
          <w:rtl/>
        </w:rPr>
        <w:tab/>
        <w:t xml:space="preserve">اضطلعت اللجنة الاستشارية المستقلة للإدارة </w:t>
      </w:r>
      <w:r w:rsidRPr="00870FBF">
        <w:rPr>
          <w:lang w:bidi="ar-SY"/>
        </w:rPr>
        <w:t>(</w:t>
      </w:r>
      <w:r w:rsidRPr="00870FBF">
        <w:rPr>
          <w:lang w:val="en-CA" w:bidi="ar-SY"/>
        </w:rPr>
        <w:t>IMAC</w:t>
      </w:r>
      <w:r w:rsidRPr="00870FBF">
        <w:rPr>
          <w:lang w:bidi="ar-SY"/>
        </w:rPr>
        <w:t>)</w:t>
      </w:r>
      <w:r w:rsidRPr="00870FBF">
        <w:rPr>
          <w:rtl/>
        </w:rPr>
        <w:t xml:space="preserve"> بمتابعة منتظمة لتنفيذ التوصيات المتعلقة بوظيفة المراجعة الداخلية وأدرجت عرض التقدم الملاحظ على هذا الصعيد في تقريرها الذي قُدِّم إلى الأمين العام وفي تقريرها السنوي إلى المجلس. ويشار في</w:t>
      </w:r>
      <w:r w:rsidR="00B8271B">
        <w:rPr>
          <w:rFonts w:hint="cs"/>
          <w:rtl/>
        </w:rPr>
        <w:t> </w:t>
      </w:r>
      <w:r w:rsidRPr="00870FBF">
        <w:rPr>
          <w:rtl/>
        </w:rPr>
        <w:t>هذا الصدد إشارة خاصة إلى التقرير الثاني الذي قدمته هذه اللجنة إلى المجلس (</w:t>
      </w:r>
      <w:r w:rsidRPr="00870FBF">
        <w:rPr>
          <w:lang w:bidi="ar-SY"/>
        </w:rPr>
        <w:t>C13/65</w:t>
      </w:r>
      <w:r w:rsidRPr="00870FBF">
        <w:rPr>
          <w:rtl/>
        </w:rPr>
        <w:t xml:space="preserve">، الفقرة </w:t>
      </w:r>
      <w:r w:rsidRPr="00870FBF">
        <w:rPr>
          <w:lang w:bidi="ar-SY"/>
        </w:rPr>
        <w:t>4.3</w:t>
      </w:r>
      <w:r w:rsidRPr="00870FBF">
        <w:rPr>
          <w:rtl/>
        </w:rPr>
        <w:t>) حيث أوصت بأن "...</w:t>
      </w:r>
      <w:r w:rsidR="00952C15">
        <w:rPr>
          <w:rFonts w:hint="cs"/>
          <w:rtl/>
        </w:rPr>
        <w:t> </w:t>
      </w:r>
      <w:r w:rsidRPr="00870FBF">
        <w:rPr>
          <w:rtl/>
        </w:rPr>
        <w:t xml:space="preserve">تواصل المراجعة الداخلية التكليف بإجراء استعراض من جانب الخبراء، ويفضل أن يكون ذلك بحلول </w:t>
      </w:r>
      <w:r w:rsidRPr="00870FBF">
        <w:rPr>
          <w:lang w:bidi="ar-SY"/>
        </w:rPr>
        <w:t>2014</w:t>
      </w:r>
      <w:r w:rsidRPr="00870FBF">
        <w:rPr>
          <w:rtl/>
        </w:rPr>
        <w:t xml:space="preserve">". وقد أجري استعراض من هذا القبيل في يناير </w:t>
      </w:r>
      <w:r w:rsidRPr="00870FBF">
        <w:rPr>
          <w:lang w:bidi="ar-SY"/>
        </w:rPr>
        <w:t>2015</w:t>
      </w:r>
      <w:r w:rsidRPr="00870FBF">
        <w:rPr>
          <w:rtl/>
        </w:rPr>
        <w:t>. ولئن كان فريق التصديق الخارجي قد أعرب عن رأي إجمالي مفاده أن المراجعة الداخلية في الاتحاد تتطابق على العموم مع المعايير ومدونة قواعد السلوك التي وضعها معهد المراجعين الداخليين، فإنه قد عاين مطابقة جزئية للمعيار</w:t>
      </w:r>
      <w:r w:rsidR="008F2FCA">
        <w:rPr>
          <w:rFonts w:hint="cs"/>
          <w:rtl/>
        </w:rPr>
        <w:t> </w:t>
      </w:r>
      <w:r w:rsidRPr="00870FBF">
        <w:rPr>
          <w:lang w:bidi="ar-SY"/>
        </w:rPr>
        <w:t>1</w:t>
      </w:r>
      <w:r w:rsidRPr="00870FBF">
        <w:rPr>
          <w:rtl/>
        </w:rPr>
        <w:t xml:space="preserve"> من معايير معهد المراجعين الداخليين المتعلقة بالاختصاص البالغ عددها </w:t>
      </w:r>
      <w:r w:rsidRPr="00870FBF">
        <w:rPr>
          <w:lang w:bidi="ar-SY"/>
        </w:rPr>
        <w:t>14</w:t>
      </w:r>
      <w:r w:rsidRPr="00870FBF">
        <w:rPr>
          <w:rtl/>
        </w:rPr>
        <w:t xml:space="preserve"> وللمعيار </w:t>
      </w:r>
      <w:r w:rsidRPr="00870FBF">
        <w:rPr>
          <w:lang w:bidi="ar-SY"/>
        </w:rPr>
        <w:t>5</w:t>
      </w:r>
      <w:r w:rsidRPr="00870FBF">
        <w:rPr>
          <w:rtl/>
        </w:rPr>
        <w:t xml:space="preserve"> من معايير هذا المعهد المتعلقة بالأداء البالغ عددها </w:t>
      </w:r>
      <w:r w:rsidRPr="00870FBF">
        <w:rPr>
          <w:lang w:bidi="ar-SY"/>
        </w:rPr>
        <w:t>26</w:t>
      </w:r>
      <w:r w:rsidRPr="00870FBF">
        <w:rPr>
          <w:rtl/>
        </w:rPr>
        <w:t xml:space="preserve">. إن اللجنة الاستشارية المستقلة للإدارة </w:t>
      </w:r>
      <w:r w:rsidRPr="00870FBF">
        <w:rPr>
          <w:lang w:bidi="ar-SY"/>
        </w:rPr>
        <w:t>(</w:t>
      </w:r>
      <w:r w:rsidRPr="00870FBF">
        <w:rPr>
          <w:lang w:val="en-CA" w:bidi="ar-SY"/>
        </w:rPr>
        <w:t>IMAC</w:t>
      </w:r>
      <w:r w:rsidRPr="00870FBF">
        <w:rPr>
          <w:lang w:bidi="ar-SY"/>
        </w:rPr>
        <w:t>)</w:t>
      </w:r>
      <w:r w:rsidRPr="00870FBF">
        <w:rPr>
          <w:rtl/>
        </w:rPr>
        <w:t xml:space="preserve"> ستواصل متابعة شتى التوصيات المتعلقة بالمطابقة الجزئية، بغية تحسين فعالية المراجعة الداخلية في الاتحاد والقيمة المضافة التي تؤتيها.</w:t>
      </w:r>
    </w:p>
    <w:p w:rsidR="00870FBF" w:rsidRPr="00870FBF" w:rsidRDefault="00870FBF" w:rsidP="00B8271B">
      <w:pPr>
        <w:pStyle w:val="Headingb"/>
        <w:rPr>
          <w:rtl/>
        </w:rPr>
      </w:pPr>
      <w:r w:rsidRPr="00870FBF">
        <w:rPr>
          <w:rtl/>
        </w:rPr>
        <w:t xml:space="preserve">متابعة </w:t>
      </w:r>
      <w:r w:rsidRPr="00870FBF">
        <w:rPr>
          <w:rtl/>
          <w:lang w:bidi="ar-EG"/>
        </w:rPr>
        <w:t>تنفيذ ال</w:t>
      </w:r>
      <w:r w:rsidRPr="00870FBF">
        <w:rPr>
          <w:rtl/>
        </w:rPr>
        <w:t>توصيات المقدَّمة في إطار المراجعة الداخلية</w:t>
      </w:r>
    </w:p>
    <w:p w:rsidR="00870FBF" w:rsidRPr="00870FBF" w:rsidRDefault="00870FBF" w:rsidP="008F033D">
      <w:pPr>
        <w:spacing w:after="120"/>
        <w:rPr>
          <w:rtl/>
        </w:rPr>
      </w:pPr>
      <w:r w:rsidRPr="00870FBF">
        <w:rPr>
          <w:lang w:bidi="ar-SY"/>
        </w:rPr>
        <w:t>27</w:t>
      </w:r>
      <w:r w:rsidRPr="00870FBF">
        <w:rPr>
          <w:rtl/>
        </w:rPr>
        <w:tab/>
        <w:t xml:space="preserve">واصل فريق المراجعة الداخلية طيلة الفترة المشمولة بهذا التقرير متابعة تنفيذ التوصيات التي قدمت في تقارير المراجعة السابقة، وذلك طبقاً للمعيار </w:t>
      </w:r>
      <w:r w:rsidRPr="00870FBF">
        <w:rPr>
          <w:lang w:bidi="ar-SY"/>
        </w:rPr>
        <w:t>2500</w:t>
      </w:r>
      <w:r w:rsidRPr="00870FBF">
        <w:rPr>
          <w:rtl/>
        </w:rPr>
        <w:t xml:space="preserve"> لمعهد المراجعين الداخليين</w:t>
      </w:r>
      <w:r w:rsidRPr="00B8271B">
        <w:rPr>
          <w:rStyle w:val="FootnoteReference"/>
          <w:rtl/>
        </w:rPr>
        <w:footnoteReference w:id="6"/>
      </w:r>
      <w:r w:rsidR="0077376D">
        <w:rPr>
          <w:rtl/>
        </w:rPr>
        <w:t>. وقد لوحظ أنه تحقق على مدى ال</w:t>
      </w:r>
      <w:r w:rsidR="0077376D">
        <w:rPr>
          <w:rFonts w:hint="cs"/>
          <w:rtl/>
        </w:rPr>
        <w:t>ا</w:t>
      </w:r>
      <w:r w:rsidRPr="00870FBF">
        <w:rPr>
          <w:rtl/>
        </w:rPr>
        <w:t>ثني عشر شهراً الأخيرة تقدم كبير في تنفيذ التوصيات المعنية، الذي ترد فيما يلي الإحصاءات المتعلقة به:</w:t>
      </w:r>
    </w:p>
    <w:tbl>
      <w:tblPr>
        <w:bidiVisual/>
        <w:tblW w:w="5000" w:type="pct"/>
        <w:tblLook w:val="04A0" w:firstRow="1" w:lastRow="0" w:firstColumn="1" w:lastColumn="0" w:noHBand="0" w:noVBand="1"/>
      </w:tblPr>
      <w:tblGrid>
        <w:gridCol w:w="2943"/>
        <w:gridCol w:w="832"/>
        <w:gridCol w:w="834"/>
        <w:gridCol w:w="834"/>
        <w:gridCol w:w="834"/>
        <w:gridCol w:w="834"/>
        <w:gridCol w:w="769"/>
        <w:gridCol w:w="898"/>
        <w:gridCol w:w="841"/>
      </w:tblGrid>
      <w:tr w:rsidR="00B8271B" w:rsidRPr="00B8271B" w:rsidTr="00B8271B">
        <w:trPr>
          <w:trHeight w:val="230"/>
        </w:trPr>
        <w:tc>
          <w:tcPr>
            <w:tcW w:w="1258" w:type="pct"/>
            <w:tcBorders>
              <w:top w:val="single" w:sz="8" w:space="0" w:color="auto"/>
              <w:left w:val="single" w:sz="8" w:space="0" w:color="auto"/>
              <w:bottom w:val="nil"/>
              <w:right w:val="nil"/>
            </w:tcBorders>
            <w:shd w:val="clear" w:color="auto" w:fill="000000"/>
            <w:noWrap/>
            <w:hideMark/>
          </w:tcPr>
          <w:p w:rsidR="00870FBF" w:rsidRPr="00B8271B" w:rsidRDefault="00870FBF" w:rsidP="00B8271B">
            <w:pPr>
              <w:spacing w:before="60" w:after="60" w:line="260" w:lineRule="exact"/>
              <w:jc w:val="left"/>
              <w:rPr>
                <w:b/>
                <w:bCs/>
                <w:sz w:val="20"/>
                <w:szCs w:val="26"/>
                <w:rtl/>
                <w:lang w:bidi="ar-EG"/>
              </w:rPr>
            </w:pPr>
            <w:r w:rsidRPr="00B8271B">
              <w:rPr>
                <w:b/>
                <w:bCs/>
                <w:sz w:val="20"/>
                <w:szCs w:val="26"/>
                <w:rtl/>
                <w:lang w:bidi="ar-EG"/>
              </w:rPr>
              <w:br w:type="page"/>
              <w:t>السنة</w:t>
            </w:r>
          </w:p>
        </w:tc>
        <w:tc>
          <w:tcPr>
            <w:tcW w:w="468" w:type="pct"/>
            <w:tcBorders>
              <w:top w:val="single" w:sz="8" w:space="0" w:color="auto"/>
              <w:left w:val="nil"/>
              <w:bottom w:val="nil"/>
              <w:right w:val="nil"/>
            </w:tcBorders>
            <w:shd w:val="clear" w:color="auto" w:fill="000000"/>
            <w:noWrap/>
            <w:hideMark/>
          </w:tcPr>
          <w:p w:rsidR="00870FBF" w:rsidRPr="00B8271B" w:rsidRDefault="00870FBF" w:rsidP="00B8271B">
            <w:pPr>
              <w:spacing w:before="60" w:after="60" w:line="260" w:lineRule="exact"/>
              <w:jc w:val="center"/>
              <w:rPr>
                <w:b/>
                <w:bCs/>
                <w:sz w:val="20"/>
                <w:szCs w:val="26"/>
                <w:lang w:bidi="ar-SY"/>
              </w:rPr>
            </w:pPr>
            <w:r w:rsidRPr="00B8271B">
              <w:rPr>
                <w:b/>
                <w:bCs/>
                <w:sz w:val="20"/>
                <w:szCs w:val="26"/>
                <w:lang w:bidi="ar-SY"/>
              </w:rPr>
              <w:t>2008</w:t>
            </w:r>
          </w:p>
        </w:tc>
        <w:tc>
          <w:tcPr>
            <w:tcW w:w="468" w:type="pct"/>
            <w:tcBorders>
              <w:top w:val="single" w:sz="8" w:space="0" w:color="auto"/>
              <w:left w:val="nil"/>
              <w:bottom w:val="nil"/>
              <w:right w:val="nil"/>
            </w:tcBorders>
            <w:shd w:val="clear" w:color="auto" w:fill="000000"/>
            <w:noWrap/>
            <w:hideMark/>
          </w:tcPr>
          <w:p w:rsidR="00870FBF" w:rsidRPr="00B8271B" w:rsidRDefault="00870FBF" w:rsidP="00B8271B">
            <w:pPr>
              <w:spacing w:before="60" w:after="60" w:line="260" w:lineRule="exact"/>
              <w:jc w:val="center"/>
              <w:rPr>
                <w:b/>
                <w:bCs/>
                <w:sz w:val="20"/>
                <w:szCs w:val="26"/>
                <w:lang w:bidi="ar-SY"/>
              </w:rPr>
            </w:pPr>
            <w:r w:rsidRPr="00B8271B">
              <w:rPr>
                <w:b/>
                <w:bCs/>
                <w:sz w:val="20"/>
                <w:szCs w:val="26"/>
                <w:lang w:bidi="ar-SY"/>
              </w:rPr>
              <w:t>2009</w:t>
            </w:r>
          </w:p>
        </w:tc>
        <w:tc>
          <w:tcPr>
            <w:tcW w:w="468" w:type="pct"/>
            <w:tcBorders>
              <w:top w:val="single" w:sz="8" w:space="0" w:color="auto"/>
              <w:left w:val="nil"/>
              <w:bottom w:val="nil"/>
              <w:right w:val="nil"/>
            </w:tcBorders>
            <w:shd w:val="clear" w:color="auto" w:fill="000000"/>
            <w:noWrap/>
            <w:hideMark/>
          </w:tcPr>
          <w:p w:rsidR="00870FBF" w:rsidRPr="00B8271B" w:rsidRDefault="00870FBF" w:rsidP="00B8271B">
            <w:pPr>
              <w:spacing w:before="60" w:after="60" w:line="260" w:lineRule="exact"/>
              <w:jc w:val="center"/>
              <w:rPr>
                <w:b/>
                <w:bCs/>
                <w:sz w:val="20"/>
                <w:szCs w:val="26"/>
                <w:lang w:bidi="ar-SY"/>
              </w:rPr>
            </w:pPr>
            <w:r w:rsidRPr="00B8271B">
              <w:rPr>
                <w:b/>
                <w:bCs/>
                <w:sz w:val="20"/>
                <w:szCs w:val="26"/>
                <w:lang w:bidi="ar-SY"/>
              </w:rPr>
              <w:t>2010</w:t>
            </w:r>
          </w:p>
        </w:tc>
        <w:tc>
          <w:tcPr>
            <w:tcW w:w="468" w:type="pct"/>
            <w:tcBorders>
              <w:top w:val="single" w:sz="8" w:space="0" w:color="auto"/>
              <w:left w:val="nil"/>
              <w:bottom w:val="nil"/>
              <w:right w:val="nil"/>
            </w:tcBorders>
            <w:shd w:val="clear" w:color="auto" w:fill="000000"/>
            <w:noWrap/>
            <w:hideMark/>
          </w:tcPr>
          <w:p w:rsidR="00870FBF" w:rsidRPr="00B8271B" w:rsidRDefault="00870FBF" w:rsidP="00B8271B">
            <w:pPr>
              <w:spacing w:before="60" w:after="60" w:line="260" w:lineRule="exact"/>
              <w:jc w:val="center"/>
              <w:rPr>
                <w:b/>
                <w:bCs/>
                <w:sz w:val="20"/>
                <w:szCs w:val="26"/>
                <w:lang w:bidi="ar-SY"/>
              </w:rPr>
            </w:pPr>
            <w:r w:rsidRPr="00B8271B">
              <w:rPr>
                <w:b/>
                <w:bCs/>
                <w:sz w:val="20"/>
                <w:szCs w:val="26"/>
                <w:lang w:bidi="ar-SY"/>
              </w:rPr>
              <w:t>2011</w:t>
            </w:r>
          </w:p>
        </w:tc>
        <w:tc>
          <w:tcPr>
            <w:tcW w:w="468" w:type="pct"/>
            <w:tcBorders>
              <w:top w:val="single" w:sz="8" w:space="0" w:color="auto"/>
              <w:left w:val="nil"/>
              <w:bottom w:val="nil"/>
              <w:right w:val="nil"/>
            </w:tcBorders>
            <w:shd w:val="clear" w:color="auto" w:fill="000000"/>
            <w:noWrap/>
            <w:hideMark/>
          </w:tcPr>
          <w:p w:rsidR="00870FBF" w:rsidRPr="00B8271B" w:rsidRDefault="00870FBF" w:rsidP="00B8271B">
            <w:pPr>
              <w:spacing w:before="60" w:after="60" w:line="260" w:lineRule="exact"/>
              <w:jc w:val="center"/>
              <w:rPr>
                <w:b/>
                <w:bCs/>
                <w:sz w:val="20"/>
                <w:szCs w:val="26"/>
                <w:lang w:bidi="ar-SY"/>
              </w:rPr>
            </w:pPr>
            <w:r w:rsidRPr="00B8271B">
              <w:rPr>
                <w:b/>
                <w:bCs/>
                <w:sz w:val="20"/>
                <w:szCs w:val="26"/>
                <w:lang w:bidi="ar-SY"/>
              </w:rPr>
              <w:t>2012</w:t>
            </w:r>
          </w:p>
        </w:tc>
        <w:tc>
          <w:tcPr>
            <w:tcW w:w="434" w:type="pct"/>
            <w:tcBorders>
              <w:top w:val="single" w:sz="8" w:space="0" w:color="auto"/>
              <w:left w:val="nil"/>
              <w:bottom w:val="nil"/>
              <w:right w:val="nil"/>
            </w:tcBorders>
            <w:shd w:val="clear" w:color="auto" w:fill="000000"/>
            <w:noWrap/>
            <w:hideMark/>
          </w:tcPr>
          <w:p w:rsidR="00870FBF" w:rsidRPr="00B8271B" w:rsidRDefault="00870FBF" w:rsidP="00B8271B">
            <w:pPr>
              <w:spacing w:before="60" w:after="60" w:line="260" w:lineRule="exact"/>
              <w:jc w:val="center"/>
              <w:rPr>
                <w:b/>
                <w:bCs/>
                <w:sz w:val="20"/>
                <w:szCs w:val="26"/>
                <w:lang w:bidi="ar-SY"/>
              </w:rPr>
            </w:pPr>
            <w:r w:rsidRPr="00B8271B">
              <w:rPr>
                <w:b/>
                <w:bCs/>
                <w:sz w:val="20"/>
                <w:szCs w:val="26"/>
                <w:lang w:bidi="ar-SY"/>
              </w:rPr>
              <w:t>2013</w:t>
            </w:r>
          </w:p>
        </w:tc>
        <w:tc>
          <w:tcPr>
            <w:tcW w:w="501" w:type="pct"/>
            <w:tcBorders>
              <w:top w:val="single" w:sz="8" w:space="0" w:color="auto"/>
              <w:left w:val="nil"/>
              <w:bottom w:val="nil"/>
              <w:right w:val="nil"/>
            </w:tcBorders>
            <w:shd w:val="clear" w:color="auto" w:fill="000000"/>
            <w:noWrap/>
            <w:hideMark/>
          </w:tcPr>
          <w:p w:rsidR="00870FBF" w:rsidRPr="00B8271B" w:rsidRDefault="00870FBF" w:rsidP="00B8271B">
            <w:pPr>
              <w:spacing w:before="60" w:after="60" w:line="260" w:lineRule="exact"/>
              <w:jc w:val="center"/>
              <w:rPr>
                <w:b/>
                <w:bCs/>
                <w:sz w:val="20"/>
                <w:szCs w:val="26"/>
                <w:lang w:bidi="ar-SY"/>
              </w:rPr>
            </w:pPr>
            <w:r w:rsidRPr="00B8271B">
              <w:rPr>
                <w:b/>
                <w:bCs/>
                <w:sz w:val="20"/>
                <w:szCs w:val="26"/>
                <w:lang w:bidi="ar-SY"/>
              </w:rPr>
              <w:t>(*) 2014</w:t>
            </w:r>
          </w:p>
        </w:tc>
        <w:tc>
          <w:tcPr>
            <w:tcW w:w="468" w:type="pct"/>
            <w:tcBorders>
              <w:top w:val="single" w:sz="8" w:space="0" w:color="auto"/>
              <w:left w:val="nil"/>
              <w:bottom w:val="nil"/>
              <w:right w:val="single" w:sz="8" w:space="0" w:color="auto"/>
            </w:tcBorders>
            <w:shd w:val="clear" w:color="auto" w:fill="000000"/>
            <w:noWrap/>
            <w:hideMark/>
          </w:tcPr>
          <w:p w:rsidR="00870FBF" w:rsidRPr="00B8271B" w:rsidRDefault="00870FBF" w:rsidP="00B8271B">
            <w:pPr>
              <w:spacing w:before="60" w:after="60" w:line="260" w:lineRule="exact"/>
              <w:jc w:val="center"/>
              <w:rPr>
                <w:b/>
                <w:bCs/>
                <w:sz w:val="20"/>
                <w:szCs w:val="26"/>
                <w:lang w:bidi="ar-SY"/>
              </w:rPr>
            </w:pPr>
            <w:r w:rsidRPr="00B8271B">
              <w:rPr>
                <w:b/>
                <w:bCs/>
                <w:sz w:val="20"/>
                <w:szCs w:val="26"/>
                <w:rtl/>
                <w:lang w:bidi="ar-EG"/>
              </w:rPr>
              <w:t>المجموع</w:t>
            </w:r>
          </w:p>
        </w:tc>
      </w:tr>
      <w:tr w:rsidR="00B8271B" w:rsidRPr="00B8271B" w:rsidTr="00B8271B">
        <w:trPr>
          <w:trHeight w:val="217"/>
        </w:trPr>
        <w:tc>
          <w:tcPr>
            <w:tcW w:w="1258" w:type="pct"/>
            <w:tcBorders>
              <w:top w:val="single" w:sz="8" w:space="0" w:color="auto"/>
              <w:left w:val="single" w:sz="8" w:space="0" w:color="auto"/>
              <w:bottom w:val="single" w:sz="4" w:space="0" w:color="auto"/>
              <w:right w:val="single" w:sz="4" w:space="0" w:color="auto"/>
            </w:tcBorders>
            <w:noWrap/>
            <w:hideMark/>
          </w:tcPr>
          <w:p w:rsidR="00870FBF" w:rsidRPr="00B8271B" w:rsidRDefault="00870FBF" w:rsidP="00B8271B">
            <w:pPr>
              <w:spacing w:before="60" w:after="60" w:line="260" w:lineRule="exact"/>
              <w:jc w:val="left"/>
              <w:rPr>
                <w:sz w:val="20"/>
                <w:szCs w:val="26"/>
                <w:lang w:bidi="ar-SY"/>
              </w:rPr>
            </w:pPr>
            <w:r w:rsidRPr="00B8271B">
              <w:rPr>
                <w:sz w:val="20"/>
                <w:szCs w:val="26"/>
                <w:rtl/>
                <w:lang w:bidi="ar-EG"/>
              </w:rPr>
              <w:t>عدد تقارير المراجعة</w:t>
            </w:r>
          </w:p>
        </w:tc>
        <w:tc>
          <w:tcPr>
            <w:tcW w:w="468" w:type="pct"/>
            <w:tcBorders>
              <w:top w:val="single" w:sz="8" w:space="0" w:color="auto"/>
              <w:left w:val="nil"/>
              <w:bottom w:val="single" w:sz="4"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1</w:t>
            </w:r>
          </w:p>
        </w:tc>
        <w:tc>
          <w:tcPr>
            <w:tcW w:w="468" w:type="pct"/>
            <w:tcBorders>
              <w:top w:val="single" w:sz="8" w:space="0" w:color="auto"/>
              <w:left w:val="nil"/>
              <w:bottom w:val="single" w:sz="4"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2</w:t>
            </w:r>
          </w:p>
        </w:tc>
        <w:tc>
          <w:tcPr>
            <w:tcW w:w="468" w:type="pct"/>
            <w:tcBorders>
              <w:top w:val="single" w:sz="8" w:space="0" w:color="auto"/>
              <w:left w:val="nil"/>
              <w:bottom w:val="single" w:sz="4"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3</w:t>
            </w:r>
          </w:p>
        </w:tc>
        <w:tc>
          <w:tcPr>
            <w:tcW w:w="468" w:type="pct"/>
            <w:tcBorders>
              <w:top w:val="single" w:sz="8" w:space="0" w:color="auto"/>
              <w:left w:val="nil"/>
              <w:bottom w:val="single" w:sz="4"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2</w:t>
            </w:r>
          </w:p>
        </w:tc>
        <w:tc>
          <w:tcPr>
            <w:tcW w:w="468" w:type="pct"/>
            <w:tcBorders>
              <w:top w:val="single" w:sz="8" w:space="0" w:color="auto"/>
              <w:left w:val="nil"/>
              <w:bottom w:val="single" w:sz="4"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0</w:t>
            </w:r>
          </w:p>
        </w:tc>
        <w:tc>
          <w:tcPr>
            <w:tcW w:w="434" w:type="pct"/>
            <w:tcBorders>
              <w:top w:val="single" w:sz="8" w:space="0" w:color="auto"/>
              <w:left w:val="nil"/>
              <w:bottom w:val="single" w:sz="4"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4</w:t>
            </w:r>
          </w:p>
        </w:tc>
        <w:tc>
          <w:tcPr>
            <w:tcW w:w="501" w:type="pct"/>
            <w:tcBorders>
              <w:top w:val="single" w:sz="8" w:space="0" w:color="auto"/>
              <w:left w:val="nil"/>
              <w:bottom w:val="single" w:sz="4" w:space="0" w:color="auto"/>
              <w:right w:val="nil"/>
            </w:tcBorders>
            <w:shd w:val="clear" w:color="auto" w:fill="FFFFFF"/>
            <w:noWrap/>
            <w:hideMark/>
          </w:tcPr>
          <w:p w:rsidR="00870FBF" w:rsidRPr="00B8271B" w:rsidRDefault="00870FBF" w:rsidP="00B8271B">
            <w:pPr>
              <w:spacing w:before="60" w:after="60" w:line="260" w:lineRule="exact"/>
              <w:jc w:val="center"/>
              <w:rPr>
                <w:sz w:val="20"/>
                <w:szCs w:val="26"/>
                <w:rtl/>
                <w:lang w:bidi="ar-EG"/>
              </w:rPr>
            </w:pPr>
            <w:r w:rsidRPr="00B8271B">
              <w:rPr>
                <w:sz w:val="20"/>
                <w:szCs w:val="26"/>
                <w:lang w:bidi="ar-SY"/>
              </w:rPr>
              <w:t>4</w:t>
            </w:r>
          </w:p>
        </w:tc>
        <w:tc>
          <w:tcPr>
            <w:tcW w:w="468" w:type="pct"/>
            <w:tcBorders>
              <w:top w:val="single" w:sz="8" w:space="0" w:color="auto"/>
              <w:left w:val="single" w:sz="4" w:space="0" w:color="auto"/>
              <w:bottom w:val="single" w:sz="4" w:space="0" w:color="auto"/>
              <w:right w:val="single" w:sz="8" w:space="0" w:color="auto"/>
            </w:tcBorders>
            <w:shd w:val="clear" w:color="auto" w:fill="C4BD97"/>
            <w:noWrap/>
            <w:hideMark/>
          </w:tcPr>
          <w:p w:rsidR="00870FBF" w:rsidRPr="00E4752E" w:rsidRDefault="00870FBF" w:rsidP="00B8271B">
            <w:pPr>
              <w:spacing w:before="60" w:after="60" w:line="260" w:lineRule="exact"/>
              <w:jc w:val="center"/>
              <w:rPr>
                <w:b/>
                <w:bCs/>
                <w:sz w:val="20"/>
                <w:szCs w:val="26"/>
                <w:lang w:bidi="ar-SY"/>
              </w:rPr>
            </w:pPr>
            <w:r w:rsidRPr="00E4752E">
              <w:rPr>
                <w:b/>
                <w:bCs/>
                <w:sz w:val="20"/>
                <w:szCs w:val="26"/>
                <w:lang w:bidi="ar-SY"/>
              </w:rPr>
              <w:t>16</w:t>
            </w:r>
          </w:p>
        </w:tc>
      </w:tr>
      <w:tr w:rsidR="00B8271B" w:rsidRPr="00B8271B" w:rsidTr="00B8271B">
        <w:trPr>
          <w:trHeight w:val="217"/>
        </w:trPr>
        <w:tc>
          <w:tcPr>
            <w:tcW w:w="1258" w:type="pct"/>
            <w:tcBorders>
              <w:top w:val="nil"/>
              <w:left w:val="single" w:sz="8" w:space="0" w:color="auto"/>
              <w:bottom w:val="single" w:sz="4" w:space="0" w:color="auto"/>
              <w:right w:val="single" w:sz="4" w:space="0" w:color="auto"/>
            </w:tcBorders>
            <w:noWrap/>
            <w:hideMark/>
          </w:tcPr>
          <w:p w:rsidR="00870FBF" w:rsidRPr="00B8271B" w:rsidRDefault="00870FBF" w:rsidP="00B8271B">
            <w:pPr>
              <w:spacing w:before="60" w:after="60" w:line="260" w:lineRule="exact"/>
              <w:jc w:val="left"/>
              <w:rPr>
                <w:sz w:val="20"/>
                <w:szCs w:val="26"/>
                <w:lang w:bidi="ar-SY"/>
              </w:rPr>
            </w:pPr>
            <w:r w:rsidRPr="00B8271B">
              <w:rPr>
                <w:sz w:val="20"/>
                <w:szCs w:val="26"/>
                <w:rtl/>
                <w:lang w:bidi="ar-EG"/>
              </w:rPr>
              <w:t>التوصيات - المجموع</w:t>
            </w:r>
          </w:p>
        </w:tc>
        <w:tc>
          <w:tcPr>
            <w:tcW w:w="468" w:type="pct"/>
            <w:tcBorders>
              <w:top w:val="nil"/>
              <w:left w:val="nil"/>
              <w:bottom w:val="single" w:sz="4"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10</w:t>
            </w:r>
          </w:p>
        </w:tc>
        <w:tc>
          <w:tcPr>
            <w:tcW w:w="468" w:type="pct"/>
            <w:tcBorders>
              <w:top w:val="nil"/>
              <w:left w:val="nil"/>
              <w:bottom w:val="single" w:sz="4"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13</w:t>
            </w:r>
          </w:p>
        </w:tc>
        <w:tc>
          <w:tcPr>
            <w:tcW w:w="468" w:type="pct"/>
            <w:tcBorders>
              <w:top w:val="nil"/>
              <w:left w:val="nil"/>
              <w:bottom w:val="single" w:sz="4"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21</w:t>
            </w:r>
          </w:p>
        </w:tc>
        <w:tc>
          <w:tcPr>
            <w:tcW w:w="468" w:type="pct"/>
            <w:tcBorders>
              <w:top w:val="nil"/>
              <w:left w:val="nil"/>
              <w:bottom w:val="single" w:sz="4"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17</w:t>
            </w:r>
          </w:p>
        </w:tc>
        <w:tc>
          <w:tcPr>
            <w:tcW w:w="468" w:type="pct"/>
            <w:tcBorders>
              <w:top w:val="nil"/>
              <w:left w:val="nil"/>
              <w:bottom w:val="single" w:sz="4"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w:t>
            </w:r>
          </w:p>
        </w:tc>
        <w:tc>
          <w:tcPr>
            <w:tcW w:w="434" w:type="pct"/>
            <w:tcBorders>
              <w:top w:val="nil"/>
              <w:left w:val="nil"/>
              <w:bottom w:val="single" w:sz="4"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113</w:t>
            </w:r>
          </w:p>
        </w:tc>
        <w:tc>
          <w:tcPr>
            <w:tcW w:w="501" w:type="pct"/>
            <w:tcBorders>
              <w:top w:val="nil"/>
              <w:left w:val="nil"/>
              <w:bottom w:val="single" w:sz="4" w:space="0" w:color="auto"/>
              <w:right w:val="nil"/>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54</w:t>
            </w:r>
          </w:p>
        </w:tc>
        <w:tc>
          <w:tcPr>
            <w:tcW w:w="468" w:type="pct"/>
            <w:tcBorders>
              <w:top w:val="nil"/>
              <w:left w:val="single" w:sz="4" w:space="0" w:color="auto"/>
              <w:bottom w:val="single" w:sz="4" w:space="0" w:color="auto"/>
              <w:right w:val="single" w:sz="8" w:space="0" w:color="auto"/>
            </w:tcBorders>
            <w:shd w:val="clear" w:color="auto" w:fill="C4BD97"/>
            <w:noWrap/>
            <w:hideMark/>
          </w:tcPr>
          <w:p w:rsidR="00870FBF" w:rsidRPr="00E4752E" w:rsidRDefault="00870FBF" w:rsidP="00B8271B">
            <w:pPr>
              <w:spacing w:before="60" w:after="60" w:line="260" w:lineRule="exact"/>
              <w:jc w:val="center"/>
              <w:rPr>
                <w:b/>
                <w:bCs/>
                <w:sz w:val="20"/>
                <w:szCs w:val="26"/>
                <w:lang w:bidi="ar-SY"/>
              </w:rPr>
            </w:pPr>
            <w:r w:rsidRPr="00E4752E">
              <w:rPr>
                <w:b/>
                <w:bCs/>
                <w:sz w:val="20"/>
                <w:szCs w:val="26"/>
                <w:lang w:bidi="ar-SY"/>
              </w:rPr>
              <w:t>228</w:t>
            </w:r>
          </w:p>
        </w:tc>
      </w:tr>
      <w:tr w:rsidR="00B8271B" w:rsidRPr="00B8271B" w:rsidTr="00B8271B">
        <w:trPr>
          <w:trHeight w:val="217"/>
        </w:trPr>
        <w:tc>
          <w:tcPr>
            <w:tcW w:w="1258" w:type="pct"/>
            <w:tcBorders>
              <w:top w:val="nil"/>
              <w:left w:val="single" w:sz="8" w:space="0" w:color="auto"/>
              <w:bottom w:val="single" w:sz="4" w:space="0" w:color="auto"/>
              <w:right w:val="single" w:sz="4" w:space="0" w:color="auto"/>
            </w:tcBorders>
            <w:noWrap/>
            <w:hideMark/>
          </w:tcPr>
          <w:p w:rsidR="00870FBF" w:rsidRPr="00B8271B" w:rsidRDefault="00870FBF" w:rsidP="00B8271B">
            <w:pPr>
              <w:spacing w:before="60" w:after="60" w:line="260" w:lineRule="exact"/>
              <w:jc w:val="left"/>
              <w:rPr>
                <w:sz w:val="20"/>
                <w:szCs w:val="26"/>
                <w:lang w:bidi="ar-SY"/>
              </w:rPr>
            </w:pPr>
            <w:r w:rsidRPr="00B8271B">
              <w:rPr>
                <w:sz w:val="20"/>
                <w:szCs w:val="26"/>
                <w:rtl/>
                <w:lang w:bidi="ar-EG"/>
              </w:rPr>
              <w:t>التوصيات الجاري تنفيذها</w:t>
            </w:r>
          </w:p>
        </w:tc>
        <w:tc>
          <w:tcPr>
            <w:tcW w:w="468" w:type="pct"/>
            <w:tcBorders>
              <w:top w:val="nil"/>
              <w:left w:val="nil"/>
              <w:bottom w:val="single" w:sz="4"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0</w:t>
            </w:r>
          </w:p>
        </w:tc>
        <w:tc>
          <w:tcPr>
            <w:tcW w:w="468" w:type="pct"/>
            <w:tcBorders>
              <w:top w:val="nil"/>
              <w:left w:val="nil"/>
              <w:bottom w:val="single" w:sz="4" w:space="0" w:color="auto"/>
              <w:right w:val="single" w:sz="4" w:space="0" w:color="auto"/>
            </w:tcBorders>
            <w:shd w:val="clear" w:color="auto" w:fill="FFFFFF"/>
            <w:noWrap/>
            <w:hideMark/>
          </w:tcPr>
          <w:p w:rsidR="00870FBF" w:rsidRPr="00B8271B" w:rsidRDefault="00DB47A3" w:rsidP="00B8271B">
            <w:pPr>
              <w:spacing w:before="60" w:after="60" w:line="260" w:lineRule="exact"/>
              <w:jc w:val="center"/>
              <w:rPr>
                <w:sz w:val="20"/>
                <w:szCs w:val="26"/>
                <w:lang w:bidi="ar-SY"/>
              </w:rPr>
            </w:pPr>
            <w:r>
              <w:rPr>
                <w:sz w:val="20"/>
                <w:szCs w:val="26"/>
                <w:lang w:bidi="ar-SY"/>
              </w:rPr>
              <w:t>1</w:t>
            </w:r>
          </w:p>
        </w:tc>
        <w:tc>
          <w:tcPr>
            <w:tcW w:w="468" w:type="pct"/>
            <w:tcBorders>
              <w:top w:val="nil"/>
              <w:left w:val="nil"/>
              <w:bottom w:val="single" w:sz="4"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1</w:t>
            </w:r>
          </w:p>
        </w:tc>
        <w:tc>
          <w:tcPr>
            <w:tcW w:w="468" w:type="pct"/>
            <w:tcBorders>
              <w:top w:val="nil"/>
              <w:left w:val="nil"/>
              <w:bottom w:val="single" w:sz="4"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9</w:t>
            </w:r>
          </w:p>
        </w:tc>
        <w:tc>
          <w:tcPr>
            <w:tcW w:w="468" w:type="pct"/>
            <w:tcBorders>
              <w:top w:val="nil"/>
              <w:left w:val="nil"/>
              <w:bottom w:val="single" w:sz="4"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w:t>
            </w:r>
          </w:p>
        </w:tc>
        <w:tc>
          <w:tcPr>
            <w:tcW w:w="434" w:type="pct"/>
            <w:tcBorders>
              <w:top w:val="nil"/>
              <w:left w:val="nil"/>
              <w:bottom w:val="single" w:sz="4"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22</w:t>
            </w:r>
          </w:p>
        </w:tc>
        <w:tc>
          <w:tcPr>
            <w:tcW w:w="501" w:type="pct"/>
            <w:tcBorders>
              <w:top w:val="nil"/>
              <w:left w:val="nil"/>
              <w:bottom w:val="single" w:sz="4" w:space="0" w:color="auto"/>
              <w:right w:val="nil"/>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38</w:t>
            </w:r>
          </w:p>
        </w:tc>
        <w:tc>
          <w:tcPr>
            <w:tcW w:w="468" w:type="pct"/>
            <w:tcBorders>
              <w:top w:val="nil"/>
              <w:left w:val="single" w:sz="4" w:space="0" w:color="auto"/>
              <w:bottom w:val="single" w:sz="4" w:space="0" w:color="auto"/>
              <w:right w:val="single" w:sz="8" w:space="0" w:color="auto"/>
            </w:tcBorders>
            <w:shd w:val="clear" w:color="auto" w:fill="C4BD97"/>
            <w:noWrap/>
            <w:hideMark/>
          </w:tcPr>
          <w:p w:rsidR="00870FBF" w:rsidRPr="00E4752E" w:rsidRDefault="00870FBF" w:rsidP="00B8271B">
            <w:pPr>
              <w:spacing w:before="60" w:after="60" w:line="260" w:lineRule="exact"/>
              <w:jc w:val="center"/>
              <w:rPr>
                <w:b/>
                <w:bCs/>
                <w:sz w:val="20"/>
                <w:szCs w:val="26"/>
                <w:lang w:bidi="ar-SY"/>
              </w:rPr>
            </w:pPr>
            <w:r w:rsidRPr="00E4752E">
              <w:rPr>
                <w:b/>
                <w:bCs/>
                <w:sz w:val="20"/>
                <w:szCs w:val="26"/>
                <w:lang w:bidi="ar-SY"/>
              </w:rPr>
              <w:t>71</w:t>
            </w:r>
          </w:p>
        </w:tc>
      </w:tr>
      <w:tr w:rsidR="00B8271B" w:rsidRPr="00B8271B" w:rsidTr="00B8271B">
        <w:trPr>
          <w:trHeight w:val="217"/>
        </w:trPr>
        <w:tc>
          <w:tcPr>
            <w:tcW w:w="1258" w:type="pct"/>
            <w:tcBorders>
              <w:top w:val="nil"/>
              <w:left w:val="single" w:sz="8" w:space="0" w:color="auto"/>
              <w:bottom w:val="single" w:sz="4" w:space="0" w:color="auto"/>
              <w:right w:val="single" w:sz="4" w:space="0" w:color="auto"/>
            </w:tcBorders>
            <w:noWrap/>
            <w:hideMark/>
          </w:tcPr>
          <w:p w:rsidR="00870FBF" w:rsidRPr="00B8271B" w:rsidRDefault="00870FBF" w:rsidP="00B8271B">
            <w:pPr>
              <w:spacing w:before="60" w:after="60" w:line="260" w:lineRule="exact"/>
              <w:jc w:val="left"/>
              <w:rPr>
                <w:sz w:val="20"/>
                <w:szCs w:val="26"/>
                <w:lang w:bidi="ar-SY"/>
              </w:rPr>
            </w:pPr>
            <w:r w:rsidRPr="00B8271B">
              <w:rPr>
                <w:sz w:val="20"/>
                <w:szCs w:val="26"/>
                <w:rtl/>
                <w:lang w:bidi="ar-EG"/>
              </w:rPr>
              <w:t>التوصيات المتأخَر في تنفيذها</w:t>
            </w:r>
          </w:p>
        </w:tc>
        <w:tc>
          <w:tcPr>
            <w:tcW w:w="468" w:type="pct"/>
            <w:tcBorders>
              <w:top w:val="nil"/>
              <w:left w:val="nil"/>
              <w:bottom w:val="single" w:sz="4"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0</w:t>
            </w:r>
          </w:p>
        </w:tc>
        <w:tc>
          <w:tcPr>
            <w:tcW w:w="468" w:type="pct"/>
            <w:tcBorders>
              <w:top w:val="nil"/>
              <w:left w:val="nil"/>
              <w:bottom w:val="single" w:sz="4"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0</w:t>
            </w:r>
          </w:p>
        </w:tc>
        <w:tc>
          <w:tcPr>
            <w:tcW w:w="468" w:type="pct"/>
            <w:tcBorders>
              <w:top w:val="nil"/>
              <w:left w:val="nil"/>
              <w:bottom w:val="single" w:sz="4"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0</w:t>
            </w:r>
          </w:p>
        </w:tc>
        <w:tc>
          <w:tcPr>
            <w:tcW w:w="468" w:type="pct"/>
            <w:tcBorders>
              <w:top w:val="nil"/>
              <w:left w:val="nil"/>
              <w:bottom w:val="single" w:sz="4"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0</w:t>
            </w:r>
          </w:p>
        </w:tc>
        <w:tc>
          <w:tcPr>
            <w:tcW w:w="468" w:type="pct"/>
            <w:tcBorders>
              <w:top w:val="nil"/>
              <w:left w:val="nil"/>
              <w:bottom w:val="single" w:sz="4"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w:t>
            </w:r>
          </w:p>
        </w:tc>
        <w:tc>
          <w:tcPr>
            <w:tcW w:w="434" w:type="pct"/>
            <w:tcBorders>
              <w:top w:val="nil"/>
              <w:left w:val="nil"/>
              <w:bottom w:val="single" w:sz="4"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6</w:t>
            </w:r>
          </w:p>
        </w:tc>
        <w:tc>
          <w:tcPr>
            <w:tcW w:w="501" w:type="pct"/>
            <w:tcBorders>
              <w:top w:val="nil"/>
              <w:left w:val="nil"/>
              <w:bottom w:val="single" w:sz="4" w:space="0" w:color="auto"/>
              <w:right w:val="nil"/>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6</w:t>
            </w:r>
          </w:p>
        </w:tc>
        <w:tc>
          <w:tcPr>
            <w:tcW w:w="468" w:type="pct"/>
            <w:tcBorders>
              <w:top w:val="nil"/>
              <w:left w:val="single" w:sz="4" w:space="0" w:color="auto"/>
              <w:bottom w:val="single" w:sz="4" w:space="0" w:color="auto"/>
              <w:right w:val="single" w:sz="8" w:space="0" w:color="auto"/>
            </w:tcBorders>
            <w:shd w:val="clear" w:color="auto" w:fill="C4BD97"/>
            <w:noWrap/>
            <w:hideMark/>
          </w:tcPr>
          <w:p w:rsidR="00870FBF" w:rsidRPr="00E4752E" w:rsidRDefault="00870FBF" w:rsidP="00B8271B">
            <w:pPr>
              <w:spacing w:before="60" w:after="60" w:line="260" w:lineRule="exact"/>
              <w:jc w:val="center"/>
              <w:rPr>
                <w:b/>
                <w:bCs/>
                <w:sz w:val="20"/>
                <w:szCs w:val="26"/>
                <w:lang w:bidi="ar-SY"/>
              </w:rPr>
            </w:pPr>
            <w:r w:rsidRPr="00E4752E">
              <w:rPr>
                <w:b/>
                <w:bCs/>
                <w:sz w:val="20"/>
                <w:szCs w:val="26"/>
                <w:lang w:bidi="ar-SY"/>
              </w:rPr>
              <w:t>12</w:t>
            </w:r>
          </w:p>
        </w:tc>
      </w:tr>
      <w:tr w:rsidR="00B8271B" w:rsidRPr="00B8271B" w:rsidTr="00B8271B">
        <w:trPr>
          <w:trHeight w:val="230"/>
        </w:trPr>
        <w:tc>
          <w:tcPr>
            <w:tcW w:w="1258" w:type="pct"/>
            <w:tcBorders>
              <w:top w:val="nil"/>
              <w:left w:val="single" w:sz="8" w:space="0" w:color="auto"/>
              <w:bottom w:val="single" w:sz="8" w:space="0" w:color="auto"/>
              <w:right w:val="single" w:sz="4" w:space="0" w:color="auto"/>
            </w:tcBorders>
            <w:noWrap/>
            <w:hideMark/>
          </w:tcPr>
          <w:p w:rsidR="00870FBF" w:rsidRPr="00B8271B" w:rsidRDefault="00870FBF" w:rsidP="00B8271B">
            <w:pPr>
              <w:spacing w:before="60" w:after="60" w:line="260" w:lineRule="exact"/>
              <w:jc w:val="left"/>
              <w:rPr>
                <w:sz w:val="20"/>
                <w:szCs w:val="26"/>
                <w:lang w:bidi="ar-SY"/>
              </w:rPr>
            </w:pPr>
            <w:r w:rsidRPr="00B8271B">
              <w:rPr>
                <w:sz w:val="20"/>
                <w:szCs w:val="26"/>
                <w:rtl/>
                <w:lang w:bidi="ar-EG"/>
              </w:rPr>
              <w:t>التوصيات التي أُقفل ملفها</w:t>
            </w:r>
          </w:p>
        </w:tc>
        <w:tc>
          <w:tcPr>
            <w:tcW w:w="468" w:type="pct"/>
            <w:tcBorders>
              <w:top w:val="nil"/>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10</w:t>
            </w:r>
          </w:p>
        </w:tc>
        <w:tc>
          <w:tcPr>
            <w:tcW w:w="468" w:type="pct"/>
            <w:tcBorders>
              <w:top w:val="nil"/>
              <w:left w:val="nil"/>
              <w:bottom w:val="single" w:sz="8"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12</w:t>
            </w:r>
          </w:p>
        </w:tc>
        <w:tc>
          <w:tcPr>
            <w:tcW w:w="468" w:type="pct"/>
            <w:tcBorders>
              <w:top w:val="nil"/>
              <w:left w:val="nil"/>
              <w:bottom w:val="single" w:sz="8"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20</w:t>
            </w:r>
          </w:p>
        </w:tc>
        <w:tc>
          <w:tcPr>
            <w:tcW w:w="468" w:type="pct"/>
            <w:tcBorders>
              <w:top w:val="nil"/>
              <w:left w:val="nil"/>
              <w:bottom w:val="single" w:sz="8"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8</w:t>
            </w:r>
          </w:p>
        </w:tc>
        <w:tc>
          <w:tcPr>
            <w:tcW w:w="468" w:type="pct"/>
            <w:tcBorders>
              <w:top w:val="nil"/>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w:t>
            </w:r>
          </w:p>
        </w:tc>
        <w:tc>
          <w:tcPr>
            <w:tcW w:w="434" w:type="pct"/>
            <w:tcBorders>
              <w:top w:val="nil"/>
              <w:left w:val="nil"/>
              <w:bottom w:val="single" w:sz="8"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85</w:t>
            </w:r>
          </w:p>
        </w:tc>
        <w:tc>
          <w:tcPr>
            <w:tcW w:w="501" w:type="pct"/>
            <w:tcBorders>
              <w:top w:val="nil"/>
              <w:left w:val="nil"/>
              <w:bottom w:val="single" w:sz="8" w:space="0" w:color="auto"/>
              <w:right w:val="nil"/>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10</w:t>
            </w:r>
          </w:p>
        </w:tc>
        <w:tc>
          <w:tcPr>
            <w:tcW w:w="468" w:type="pct"/>
            <w:tcBorders>
              <w:top w:val="nil"/>
              <w:left w:val="single" w:sz="4" w:space="0" w:color="auto"/>
              <w:bottom w:val="single" w:sz="8" w:space="0" w:color="auto"/>
              <w:right w:val="single" w:sz="8" w:space="0" w:color="auto"/>
            </w:tcBorders>
            <w:shd w:val="clear" w:color="auto" w:fill="C4BD97"/>
            <w:noWrap/>
            <w:hideMark/>
          </w:tcPr>
          <w:p w:rsidR="00870FBF" w:rsidRPr="00E4752E" w:rsidRDefault="00870FBF" w:rsidP="00B8271B">
            <w:pPr>
              <w:spacing w:before="60" w:after="60" w:line="260" w:lineRule="exact"/>
              <w:jc w:val="center"/>
              <w:rPr>
                <w:b/>
                <w:bCs/>
                <w:sz w:val="20"/>
                <w:szCs w:val="26"/>
                <w:lang w:bidi="ar-SY"/>
              </w:rPr>
            </w:pPr>
            <w:r w:rsidRPr="00E4752E">
              <w:rPr>
                <w:b/>
                <w:bCs/>
                <w:sz w:val="20"/>
                <w:szCs w:val="26"/>
                <w:lang w:bidi="ar-SY"/>
              </w:rPr>
              <w:t>145</w:t>
            </w:r>
          </w:p>
        </w:tc>
      </w:tr>
      <w:tr w:rsidR="00B8271B" w:rsidRPr="00B8271B" w:rsidTr="00B8271B">
        <w:trPr>
          <w:trHeight w:val="128"/>
        </w:trPr>
        <w:tc>
          <w:tcPr>
            <w:tcW w:w="1258" w:type="pct"/>
            <w:noWrap/>
            <w:hideMark/>
          </w:tcPr>
          <w:p w:rsidR="00870FBF" w:rsidRPr="00B8271B" w:rsidRDefault="00870FBF" w:rsidP="00B8271B">
            <w:pPr>
              <w:spacing w:before="60" w:after="60" w:line="260" w:lineRule="exact"/>
              <w:jc w:val="left"/>
              <w:rPr>
                <w:sz w:val="20"/>
                <w:szCs w:val="26"/>
                <w:lang w:bidi="ar-SY"/>
              </w:rPr>
            </w:pPr>
          </w:p>
        </w:tc>
        <w:tc>
          <w:tcPr>
            <w:tcW w:w="468" w:type="pct"/>
            <w:noWrap/>
            <w:hideMark/>
          </w:tcPr>
          <w:p w:rsidR="00870FBF" w:rsidRPr="00B8271B" w:rsidRDefault="00870FBF" w:rsidP="00B8271B">
            <w:pPr>
              <w:spacing w:before="60" w:after="60" w:line="260" w:lineRule="exact"/>
              <w:jc w:val="center"/>
              <w:rPr>
                <w:sz w:val="20"/>
                <w:szCs w:val="26"/>
                <w:lang w:bidi="ar-SY"/>
              </w:rPr>
            </w:pPr>
          </w:p>
        </w:tc>
        <w:tc>
          <w:tcPr>
            <w:tcW w:w="468" w:type="pct"/>
            <w:shd w:val="clear" w:color="auto" w:fill="FFFFFF"/>
            <w:noWrap/>
            <w:hideMark/>
          </w:tcPr>
          <w:p w:rsidR="00870FBF" w:rsidRPr="00B8271B" w:rsidRDefault="00870FBF" w:rsidP="00B8271B">
            <w:pPr>
              <w:spacing w:before="60" w:after="60" w:line="260" w:lineRule="exact"/>
              <w:jc w:val="center"/>
              <w:rPr>
                <w:sz w:val="20"/>
                <w:szCs w:val="26"/>
                <w:lang w:bidi="ar-SY"/>
              </w:rPr>
            </w:pPr>
          </w:p>
        </w:tc>
        <w:tc>
          <w:tcPr>
            <w:tcW w:w="468" w:type="pct"/>
            <w:shd w:val="clear" w:color="auto" w:fill="FFFFFF"/>
            <w:noWrap/>
            <w:hideMark/>
          </w:tcPr>
          <w:p w:rsidR="00870FBF" w:rsidRPr="00B8271B" w:rsidRDefault="00870FBF" w:rsidP="00B8271B">
            <w:pPr>
              <w:spacing w:before="60" w:after="60" w:line="260" w:lineRule="exact"/>
              <w:jc w:val="center"/>
              <w:rPr>
                <w:sz w:val="20"/>
                <w:szCs w:val="26"/>
                <w:lang w:bidi="ar-SY"/>
              </w:rPr>
            </w:pPr>
          </w:p>
        </w:tc>
        <w:tc>
          <w:tcPr>
            <w:tcW w:w="468" w:type="pct"/>
            <w:shd w:val="clear" w:color="auto" w:fill="FFFFFF"/>
            <w:noWrap/>
            <w:hideMark/>
          </w:tcPr>
          <w:p w:rsidR="00870FBF" w:rsidRPr="00B8271B" w:rsidRDefault="00870FBF" w:rsidP="00B8271B">
            <w:pPr>
              <w:spacing w:before="60" w:after="60" w:line="260" w:lineRule="exact"/>
              <w:jc w:val="center"/>
              <w:rPr>
                <w:sz w:val="20"/>
                <w:szCs w:val="26"/>
                <w:lang w:bidi="ar-SY"/>
              </w:rPr>
            </w:pPr>
          </w:p>
        </w:tc>
        <w:tc>
          <w:tcPr>
            <w:tcW w:w="468" w:type="pct"/>
            <w:noWrap/>
            <w:hideMark/>
          </w:tcPr>
          <w:p w:rsidR="00870FBF" w:rsidRPr="00B8271B" w:rsidRDefault="00870FBF" w:rsidP="00B8271B">
            <w:pPr>
              <w:spacing w:before="60" w:after="60" w:line="260" w:lineRule="exact"/>
              <w:jc w:val="center"/>
              <w:rPr>
                <w:sz w:val="20"/>
                <w:szCs w:val="26"/>
                <w:lang w:bidi="ar-SY"/>
              </w:rPr>
            </w:pPr>
          </w:p>
        </w:tc>
        <w:tc>
          <w:tcPr>
            <w:tcW w:w="434" w:type="pct"/>
            <w:shd w:val="clear" w:color="auto" w:fill="FFFFFF"/>
            <w:noWrap/>
            <w:hideMark/>
          </w:tcPr>
          <w:p w:rsidR="00870FBF" w:rsidRPr="00B8271B" w:rsidRDefault="00870FBF" w:rsidP="00B8271B">
            <w:pPr>
              <w:spacing w:before="60" w:after="60" w:line="260" w:lineRule="exact"/>
              <w:jc w:val="center"/>
              <w:rPr>
                <w:sz w:val="20"/>
                <w:szCs w:val="26"/>
                <w:lang w:bidi="ar-SY"/>
              </w:rPr>
            </w:pPr>
          </w:p>
        </w:tc>
        <w:tc>
          <w:tcPr>
            <w:tcW w:w="501" w:type="pct"/>
            <w:shd w:val="clear" w:color="auto" w:fill="FFFFFF"/>
            <w:noWrap/>
            <w:hideMark/>
          </w:tcPr>
          <w:p w:rsidR="00870FBF" w:rsidRPr="00B8271B" w:rsidRDefault="00870FBF" w:rsidP="00B8271B">
            <w:pPr>
              <w:spacing w:before="60" w:after="60" w:line="260" w:lineRule="exact"/>
              <w:jc w:val="center"/>
              <w:rPr>
                <w:sz w:val="20"/>
                <w:szCs w:val="26"/>
                <w:lang w:bidi="ar-SY"/>
              </w:rPr>
            </w:pPr>
          </w:p>
        </w:tc>
        <w:tc>
          <w:tcPr>
            <w:tcW w:w="468" w:type="pct"/>
            <w:shd w:val="clear" w:color="auto" w:fill="FFFFFF"/>
            <w:noWrap/>
            <w:hideMark/>
          </w:tcPr>
          <w:p w:rsidR="00870FBF" w:rsidRPr="00E4752E" w:rsidRDefault="00870FBF" w:rsidP="00B8271B">
            <w:pPr>
              <w:spacing w:before="60" w:after="60" w:line="260" w:lineRule="exact"/>
              <w:jc w:val="center"/>
              <w:rPr>
                <w:b/>
                <w:bCs/>
                <w:sz w:val="20"/>
                <w:szCs w:val="26"/>
                <w:lang w:bidi="ar-SY"/>
              </w:rPr>
            </w:pPr>
          </w:p>
        </w:tc>
      </w:tr>
      <w:tr w:rsidR="00B8271B" w:rsidRPr="00B8271B" w:rsidTr="00B8271B">
        <w:trPr>
          <w:trHeight w:val="230"/>
        </w:trPr>
        <w:tc>
          <w:tcPr>
            <w:tcW w:w="1258" w:type="pct"/>
            <w:tcBorders>
              <w:top w:val="single" w:sz="8" w:space="0" w:color="auto"/>
              <w:left w:val="single" w:sz="8" w:space="0" w:color="auto"/>
              <w:bottom w:val="single" w:sz="8" w:space="0" w:color="auto"/>
              <w:right w:val="single" w:sz="4" w:space="0" w:color="auto"/>
            </w:tcBorders>
            <w:noWrap/>
            <w:hideMark/>
          </w:tcPr>
          <w:p w:rsidR="00870FBF" w:rsidRPr="00B8271B" w:rsidRDefault="00870FBF" w:rsidP="00B8271B">
            <w:pPr>
              <w:spacing w:before="60" w:after="60" w:line="260" w:lineRule="exact"/>
              <w:jc w:val="left"/>
              <w:rPr>
                <w:sz w:val="20"/>
                <w:szCs w:val="26"/>
                <w:lang w:bidi="ar-SY"/>
              </w:rPr>
            </w:pPr>
            <w:r w:rsidRPr="00B8271B">
              <w:rPr>
                <w:sz w:val="20"/>
                <w:szCs w:val="26"/>
                <w:rtl/>
                <w:lang w:bidi="ar-EG"/>
              </w:rPr>
              <w:t>النسبة المئوية للتوصيات الجاري تنفيذها</w:t>
            </w:r>
          </w:p>
        </w:tc>
        <w:tc>
          <w:tcPr>
            <w:tcW w:w="468" w:type="pct"/>
            <w:tcBorders>
              <w:top w:val="single" w:sz="8" w:space="0" w:color="auto"/>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rtl/>
                <w:lang w:bidi="ar-EG"/>
              </w:rPr>
            </w:pPr>
            <w:r w:rsidRPr="00B8271B">
              <w:rPr>
                <w:sz w:val="20"/>
                <w:szCs w:val="26"/>
                <w:lang w:bidi="ar-SY"/>
              </w:rPr>
              <w:t>%0</w:t>
            </w:r>
          </w:p>
        </w:tc>
        <w:tc>
          <w:tcPr>
            <w:tcW w:w="468" w:type="pct"/>
            <w:tcBorders>
              <w:top w:val="single" w:sz="8" w:space="0" w:color="auto"/>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%8</w:t>
            </w:r>
          </w:p>
        </w:tc>
        <w:tc>
          <w:tcPr>
            <w:tcW w:w="468" w:type="pct"/>
            <w:tcBorders>
              <w:top w:val="single" w:sz="8" w:space="0" w:color="auto"/>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%5</w:t>
            </w:r>
          </w:p>
        </w:tc>
        <w:tc>
          <w:tcPr>
            <w:tcW w:w="468" w:type="pct"/>
            <w:tcBorders>
              <w:top w:val="single" w:sz="8" w:space="0" w:color="auto"/>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%53</w:t>
            </w:r>
          </w:p>
        </w:tc>
        <w:tc>
          <w:tcPr>
            <w:tcW w:w="468" w:type="pct"/>
            <w:tcBorders>
              <w:top w:val="single" w:sz="8" w:space="0" w:color="auto"/>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w:t>
            </w:r>
          </w:p>
        </w:tc>
        <w:tc>
          <w:tcPr>
            <w:tcW w:w="434" w:type="pct"/>
            <w:tcBorders>
              <w:top w:val="single" w:sz="8" w:space="0" w:color="auto"/>
              <w:left w:val="nil"/>
              <w:bottom w:val="single" w:sz="8"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%19</w:t>
            </w:r>
          </w:p>
        </w:tc>
        <w:tc>
          <w:tcPr>
            <w:tcW w:w="501" w:type="pct"/>
            <w:tcBorders>
              <w:top w:val="single" w:sz="8" w:space="0" w:color="auto"/>
              <w:left w:val="nil"/>
              <w:bottom w:val="single" w:sz="8"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%70</w:t>
            </w:r>
          </w:p>
        </w:tc>
        <w:tc>
          <w:tcPr>
            <w:tcW w:w="468" w:type="pct"/>
            <w:tcBorders>
              <w:top w:val="single" w:sz="8" w:space="0" w:color="auto"/>
              <w:left w:val="nil"/>
              <w:bottom w:val="single" w:sz="8" w:space="0" w:color="auto"/>
              <w:right w:val="single" w:sz="8" w:space="0" w:color="auto"/>
            </w:tcBorders>
            <w:shd w:val="clear" w:color="auto" w:fill="C4BD97"/>
            <w:noWrap/>
            <w:hideMark/>
          </w:tcPr>
          <w:p w:rsidR="00870FBF" w:rsidRPr="00E4752E" w:rsidRDefault="00870FBF" w:rsidP="00B8271B">
            <w:pPr>
              <w:spacing w:before="60" w:after="60" w:line="260" w:lineRule="exact"/>
              <w:jc w:val="center"/>
              <w:rPr>
                <w:b/>
                <w:bCs/>
                <w:sz w:val="20"/>
                <w:szCs w:val="26"/>
                <w:lang w:bidi="ar-SY"/>
              </w:rPr>
            </w:pPr>
            <w:r w:rsidRPr="00E4752E">
              <w:rPr>
                <w:b/>
                <w:bCs/>
                <w:sz w:val="20"/>
                <w:szCs w:val="26"/>
                <w:lang w:bidi="ar-SY"/>
              </w:rPr>
              <w:t>%31</w:t>
            </w:r>
          </w:p>
        </w:tc>
      </w:tr>
      <w:tr w:rsidR="00B8271B" w:rsidRPr="00B8271B" w:rsidTr="00B8271B">
        <w:trPr>
          <w:trHeight w:val="230"/>
        </w:trPr>
        <w:tc>
          <w:tcPr>
            <w:tcW w:w="1258" w:type="pct"/>
            <w:tcBorders>
              <w:top w:val="single" w:sz="8" w:space="0" w:color="auto"/>
              <w:left w:val="single" w:sz="8" w:space="0" w:color="auto"/>
              <w:bottom w:val="single" w:sz="8" w:space="0" w:color="auto"/>
              <w:right w:val="single" w:sz="4" w:space="0" w:color="auto"/>
            </w:tcBorders>
            <w:noWrap/>
            <w:hideMark/>
          </w:tcPr>
          <w:p w:rsidR="00870FBF" w:rsidRPr="00B8271B" w:rsidRDefault="00870FBF" w:rsidP="00B8271B">
            <w:pPr>
              <w:spacing w:before="60" w:after="60" w:line="260" w:lineRule="exact"/>
              <w:jc w:val="left"/>
              <w:rPr>
                <w:sz w:val="20"/>
                <w:szCs w:val="26"/>
                <w:lang w:bidi="ar-SY"/>
              </w:rPr>
            </w:pPr>
            <w:r w:rsidRPr="00B8271B">
              <w:rPr>
                <w:sz w:val="20"/>
                <w:szCs w:val="26"/>
                <w:rtl/>
                <w:lang w:bidi="ar-EG"/>
              </w:rPr>
              <w:t>النسبة المئوية للتوصيات المتأخَر في تنفيذها</w:t>
            </w:r>
          </w:p>
        </w:tc>
        <w:tc>
          <w:tcPr>
            <w:tcW w:w="468" w:type="pct"/>
            <w:tcBorders>
              <w:top w:val="single" w:sz="8" w:space="0" w:color="auto"/>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%0</w:t>
            </w:r>
          </w:p>
        </w:tc>
        <w:tc>
          <w:tcPr>
            <w:tcW w:w="468" w:type="pct"/>
            <w:tcBorders>
              <w:top w:val="single" w:sz="8" w:space="0" w:color="auto"/>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%0</w:t>
            </w:r>
          </w:p>
        </w:tc>
        <w:tc>
          <w:tcPr>
            <w:tcW w:w="468" w:type="pct"/>
            <w:tcBorders>
              <w:top w:val="single" w:sz="8" w:space="0" w:color="auto"/>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%0</w:t>
            </w:r>
          </w:p>
        </w:tc>
        <w:tc>
          <w:tcPr>
            <w:tcW w:w="468" w:type="pct"/>
            <w:tcBorders>
              <w:top w:val="single" w:sz="8" w:space="0" w:color="auto"/>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%0</w:t>
            </w:r>
          </w:p>
        </w:tc>
        <w:tc>
          <w:tcPr>
            <w:tcW w:w="468" w:type="pct"/>
            <w:tcBorders>
              <w:top w:val="single" w:sz="8" w:space="0" w:color="auto"/>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w:t>
            </w:r>
          </w:p>
        </w:tc>
        <w:tc>
          <w:tcPr>
            <w:tcW w:w="434" w:type="pct"/>
            <w:tcBorders>
              <w:top w:val="single" w:sz="8" w:space="0" w:color="auto"/>
              <w:left w:val="nil"/>
              <w:bottom w:val="single" w:sz="8"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%5</w:t>
            </w:r>
          </w:p>
        </w:tc>
        <w:tc>
          <w:tcPr>
            <w:tcW w:w="501" w:type="pct"/>
            <w:tcBorders>
              <w:top w:val="single" w:sz="8" w:space="0" w:color="auto"/>
              <w:left w:val="nil"/>
              <w:bottom w:val="single" w:sz="8"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%11</w:t>
            </w:r>
          </w:p>
        </w:tc>
        <w:tc>
          <w:tcPr>
            <w:tcW w:w="468" w:type="pct"/>
            <w:tcBorders>
              <w:top w:val="single" w:sz="8" w:space="0" w:color="auto"/>
              <w:left w:val="nil"/>
              <w:bottom w:val="single" w:sz="8" w:space="0" w:color="auto"/>
              <w:right w:val="single" w:sz="8" w:space="0" w:color="auto"/>
            </w:tcBorders>
            <w:shd w:val="clear" w:color="auto" w:fill="C4BD97"/>
            <w:noWrap/>
            <w:hideMark/>
          </w:tcPr>
          <w:p w:rsidR="00870FBF" w:rsidRPr="00E4752E" w:rsidRDefault="00870FBF" w:rsidP="00B8271B">
            <w:pPr>
              <w:spacing w:before="60" w:after="60" w:line="260" w:lineRule="exact"/>
              <w:jc w:val="center"/>
              <w:rPr>
                <w:b/>
                <w:bCs/>
                <w:sz w:val="20"/>
                <w:szCs w:val="26"/>
                <w:lang w:bidi="ar-SY"/>
              </w:rPr>
            </w:pPr>
            <w:r w:rsidRPr="00E4752E">
              <w:rPr>
                <w:b/>
                <w:bCs/>
                <w:sz w:val="20"/>
                <w:szCs w:val="26"/>
                <w:lang w:bidi="ar-SY"/>
              </w:rPr>
              <w:t>%5</w:t>
            </w:r>
          </w:p>
        </w:tc>
      </w:tr>
      <w:tr w:rsidR="00B8271B" w:rsidRPr="00B8271B" w:rsidTr="00B8271B">
        <w:trPr>
          <w:trHeight w:val="230"/>
        </w:trPr>
        <w:tc>
          <w:tcPr>
            <w:tcW w:w="1258" w:type="pct"/>
            <w:tcBorders>
              <w:top w:val="nil"/>
              <w:left w:val="single" w:sz="8" w:space="0" w:color="auto"/>
              <w:bottom w:val="single" w:sz="8" w:space="0" w:color="auto"/>
              <w:right w:val="single" w:sz="4" w:space="0" w:color="auto"/>
            </w:tcBorders>
            <w:noWrap/>
            <w:hideMark/>
          </w:tcPr>
          <w:p w:rsidR="00870FBF" w:rsidRPr="00B8271B" w:rsidRDefault="00870FBF" w:rsidP="00B8271B">
            <w:pPr>
              <w:spacing w:before="60" w:after="60" w:line="260" w:lineRule="exact"/>
              <w:jc w:val="left"/>
              <w:rPr>
                <w:sz w:val="20"/>
                <w:szCs w:val="26"/>
                <w:lang w:bidi="ar-SY"/>
              </w:rPr>
            </w:pPr>
            <w:r w:rsidRPr="00B8271B">
              <w:rPr>
                <w:sz w:val="20"/>
                <w:szCs w:val="26"/>
                <w:rtl/>
                <w:lang w:bidi="ar-EG"/>
              </w:rPr>
              <w:t>النسبة المئوية للتوصيات التي أُقفل ملفها</w:t>
            </w:r>
          </w:p>
        </w:tc>
        <w:tc>
          <w:tcPr>
            <w:tcW w:w="468" w:type="pct"/>
            <w:tcBorders>
              <w:top w:val="nil"/>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%100</w:t>
            </w:r>
          </w:p>
        </w:tc>
        <w:tc>
          <w:tcPr>
            <w:tcW w:w="468" w:type="pct"/>
            <w:tcBorders>
              <w:top w:val="nil"/>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%92</w:t>
            </w:r>
          </w:p>
        </w:tc>
        <w:tc>
          <w:tcPr>
            <w:tcW w:w="468" w:type="pct"/>
            <w:tcBorders>
              <w:top w:val="nil"/>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%95</w:t>
            </w:r>
          </w:p>
        </w:tc>
        <w:tc>
          <w:tcPr>
            <w:tcW w:w="468" w:type="pct"/>
            <w:tcBorders>
              <w:top w:val="nil"/>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%47</w:t>
            </w:r>
          </w:p>
        </w:tc>
        <w:tc>
          <w:tcPr>
            <w:tcW w:w="468" w:type="pct"/>
            <w:tcBorders>
              <w:top w:val="nil"/>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w:t>
            </w:r>
          </w:p>
        </w:tc>
        <w:tc>
          <w:tcPr>
            <w:tcW w:w="434" w:type="pct"/>
            <w:tcBorders>
              <w:top w:val="nil"/>
              <w:left w:val="nil"/>
              <w:bottom w:val="single" w:sz="8" w:space="0" w:color="auto"/>
              <w:right w:val="single" w:sz="4" w:space="0" w:color="auto"/>
            </w:tcBorders>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%75</w:t>
            </w:r>
          </w:p>
        </w:tc>
        <w:tc>
          <w:tcPr>
            <w:tcW w:w="501" w:type="pct"/>
            <w:tcBorders>
              <w:top w:val="nil"/>
              <w:left w:val="nil"/>
              <w:bottom w:val="single" w:sz="8" w:space="0" w:color="auto"/>
              <w:right w:val="single" w:sz="4" w:space="0" w:color="auto"/>
            </w:tcBorders>
            <w:shd w:val="clear" w:color="auto" w:fill="FFFFFF"/>
            <w:noWrap/>
            <w:hideMark/>
          </w:tcPr>
          <w:p w:rsidR="00870FBF" w:rsidRPr="00B8271B" w:rsidRDefault="00870FBF" w:rsidP="00B8271B">
            <w:pPr>
              <w:spacing w:before="60" w:after="60" w:line="260" w:lineRule="exact"/>
              <w:jc w:val="center"/>
              <w:rPr>
                <w:sz w:val="20"/>
                <w:szCs w:val="26"/>
                <w:lang w:bidi="ar-SY"/>
              </w:rPr>
            </w:pPr>
            <w:r w:rsidRPr="00B8271B">
              <w:rPr>
                <w:sz w:val="20"/>
                <w:szCs w:val="26"/>
                <w:lang w:bidi="ar-SY"/>
              </w:rPr>
              <w:t>%19</w:t>
            </w:r>
          </w:p>
        </w:tc>
        <w:tc>
          <w:tcPr>
            <w:tcW w:w="468" w:type="pct"/>
            <w:tcBorders>
              <w:top w:val="nil"/>
              <w:left w:val="nil"/>
              <w:bottom w:val="single" w:sz="8" w:space="0" w:color="auto"/>
              <w:right w:val="single" w:sz="8" w:space="0" w:color="auto"/>
            </w:tcBorders>
            <w:shd w:val="clear" w:color="auto" w:fill="C4BD97"/>
            <w:noWrap/>
            <w:hideMark/>
          </w:tcPr>
          <w:p w:rsidR="00870FBF" w:rsidRPr="00B8271B" w:rsidRDefault="00870FBF" w:rsidP="00B8271B">
            <w:pPr>
              <w:spacing w:before="60" w:after="60" w:line="260" w:lineRule="exact"/>
              <w:jc w:val="center"/>
              <w:rPr>
                <w:sz w:val="20"/>
                <w:szCs w:val="26"/>
                <w:rtl/>
                <w:lang w:bidi="ar-EG"/>
              </w:rPr>
            </w:pPr>
            <w:r w:rsidRPr="00B8271B">
              <w:rPr>
                <w:sz w:val="20"/>
                <w:szCs w:val="26"/>
                <w:lang w:bidi="ar-SY"/>
              </w:rPr>
              <w:t>%64</w:t>
            </w:r>
          </w:p>
        </w:tc>
      </w:tr>
    </w:tbl>
    <w:p w:rsidR="00870FBF" w:rsidRPr="00F248AE" w:rsidRDefault="00F248AE" w:rsidP="00F248AE">
      <w:pPr>
        <w:spacing w:before="60" w:after="60" w:line="260" w:lineRule="exact"/>
        <w:jc w:val="left"/>
        <w:rPr>
          <w:sz w:val="20"/>
          <w:szCs w:val="26"/>
          <w:lang w:bidi="ar-EG"/>
        </w:rPr>
      </w:pPr>
      <w:r>
        <w:rPr>
          <w:sz w:val="20"/>
          <w:szCs w:val="26"/>
          <w:lang w:bidi="ar-EG"/>
        </w:rPr>
        <w:t>(*)</w:t>
      </w:r>
      <w:r>
        <w:rPr>
          <w:rFonts w:hint="cs"/>
          <w:sz w:val="20"/>
          <w:szCs w:val="26"/>
          <w:rtl/>
          <w:lang w:bidi="ar-EG"/>
        </w:rPr>
        <w:t> </w:t>
      </w:r>
      <w:r>
        <w:rPr>
          <w:rFonts w:hint="eastAsia"/>
          <w:sz w:val="20"/>
          <w:szCs w:val="26"/>
          <w:rtl/>
          <w:lang w:bidi="ar-EG"/>
        </w:rPr>
        <w:t>  </w:t>
      </w:r>
      <w:r w:rsidR="00870FBF" w:rsidRPr="00F248AE">
        <w:rPr>
          <w:sz w:val="20"/>
          <w:szCs w:val="26"/>
          <w:rtl/>
          <w:lang w:bidi="ar-EG"/>
        </w:rPr>
        <w:t xml:space="preserve">الوضع في </w:t>
      </w:r>
      <w:r w:rsidR="00870FBF" w:rsidRPr="00F248AE">
        <w:rPr>
          <w:sz w:val="20"/>
          <w:szCs w:val="26"/>
          <w:lang w:bidi="ar-EG"/>
        </w:rPr>
        <w:t>19</w:t>
      </w:r>
      <w:r w:rsidR="00870FBF" w:rsidRPr="00F248AE">
        <w:rPr>
          <w:sz w:val="20"/>
          <w:szCs w:val="26"/>
          <w:rtl/>
          <w:lang w:bidi="ar-EG"/>
        </w:rPr>
        <w:t xml:space="preserve"> </w:t>
      </w:r>
      <w:r w:rsidR="00870FBF" w:rsidRPr="00F248AE">
        <w:rPr>
          <w:rFonts w:hint="cs"/>
          <w:sz w:val="20"/>
          <w:szCs w:val="26"/>
          <w:rtl/>
          <w:lang w:bidi="ar-EG"/>
        </w:rPr>
        <w:t xml:space="preserve">مارس </w:t>
      </w:r>
      <w:r w:rsidR="00870FBF" w:rsidRPr="00F248AE">
        <w:rPr>
          <w:sz w:val="20"/>
          <w:szCs w:val="26"/>
          <w:lang w:bidi="ar-EG"/>
        </w:rPr>
        <w:t>2015</w:t>
      </w:r>
    </w:p>
    <w:p w:rsidR="00870FBF" w:rsidRPr="00870FBF" w:rsidRDefault="00870FBF" w:rsidP="008F033D">
      <w:pPr>
        <w:pStyle w:val="Normalaftertitle"/>
        <w:spacing w:before="120"/>
        <w:rPr>
          <w:rtl/>
        </w:rPr>
      </w:pPr>
      <w:r w:rsidRPr="00870FBF">
        <w:t>28</w:t>
      </w:r>
      <w:r w:rsidRPr="00870FBF">
        <w:rPr>
          <w:rtl/>
        </w:rPr>
        <w:tab/>
        <w:t xml:space="preserve">ما من توصيات حاسمة الأهمية أو كبيرة الأهمية ترقى إلى ما قبل عام </w:t>
      </w:r>
      <w:r w:rsidRPr="00870FBF">
        <w:t>2012</w:t>
      </w:r>
      <w:r w:rsidRPr="00870FBF">
        <w:rPr>
          <w:rtl/>
        </w:rPr>
        <w:t xml:space="preserve"> </w:t>
      </w:r>
      <w:r w:rsidRPr="00870FBF">
        <w:rPr>
          <w:rFonts w:hint="cs"/>
          <w:rtl/>
        </w:rPr>
        <w:t xml:space="preserve">إلا وتم تنفيذها. ومن هذه التوصيات توصية تتصل بتغيير مسار للأعمال المتعلقة بالموافقة الداخلية، أُرجئ تنفيذها لأنه أصبح يندرج في إطار استعراض للإجراءات الداخلية هو أكثر اتساماً </w:t>
      </w:r>
      <w:r w:rsidR="00F178AD">
        <w:rPr>
          <w:rFonts w:hint="cs"/>
          <w:rtl/>
        </w:rPr>
        <w:t>بطابع أكثر شمولاً</w:t>
      </w:r>
      <w:r w:rsidRPr="00870FBF">
        <w:rPr>
          <w:rFonts w:hint="cs"/>
          <w:rtl/>
        </w:rPr>
        <w:t xml:space="preserve">، ويحرَز الآن تقدم في تنفيذها ويُتوقع أن ينجَز في عام </w:t>
      </w:r>
      <w:r w:rsidRPr="00870FBF">
        <w:t>2015</w:t>
      </w:r>
      <w:r w:rsidRPr="00870FBF">
        <w:rPr>
          <w:rtl/>
        </w:rPr>
        <w:t>. و</w:t>
      </w:r>
      <w:r w:rsidR="00CA030D">
        <w:rPr>
          <w:rtl/>
        </w:rPr>
        <w:t>هناك توصية أخرى ل</w:t>
      </w:r>
      <w:r w:rsidR="00CA030D">
        <w:rPr>
          <w:rFonts w:hint="cs"/>
          <w:rtl/>
        </w:rPr>
        <w:t>‍</w:t>
      </w:r>
      <w:r w:rsidR="00371587">
        <w:rPr>
          <w:rtl/>
        </w:rPr>
        <w:t>مّ</w:t>
      </w:r>
      <w:r w:rsidRPr="00870FBF">
        <w:rPr>
          <w:rtl/>
        </w:rPr>
        <w:t xml:space="preserve"> تزل هي أيضاً في طور التنفيذ لأنها تتعلق بتغيير في الأولويات، وإن كان يُنتظر أن يتم تنفيذها في عام </w:t>
      </w:r>
      <w:r w:rsidRPr="00870FBF">
        <w:t>2015</w:t>
      </w:r>
      <w:r w:rsidRPr="00870FBF">
        <w:rPr>
          <w:rtl/>
        </w:rPr>
        <w:t xml:space="preserve"> أيضاً. ويتعلق ما يرقى إلى عام</w:t>
      </w:r>
      <w:r w:rsidR="00371587">
        <w:rPr>
          <w:rFonts w:hint="cs"/>
          <w:rtl/>
        </w:rPr>
        <w:t> </w:t>
      </w:r>
      <w:r w:rsidRPr="00870FBF">
        <w:t>2011</w:t>
      </w:r>
      <w:r w:rsidRPr="00870FBF">
        <w:rPr>
          <w:rtl/>
        </w:rPr>
        <w:t xml:space="preserve"> </w:t>
      </w:r>
      <w:r w:rsidRPr="00870FBF">
        <w:rPr>
          <w:rFonts w:hint="cs"/>
          <w:rtl/>
        </w:rPr>
        <w:t xml:space="preserve">من التوصيات التي </w:t>
      </w:r>
      <w:r w:rsidR="00371587">
        <w:rPr>
          <w:rFonts w:hint="cs"/>
          <w:rtl/>
        </w:rPr>
        <w:t>لم</w:t>
      </w:r>
      <w:r w:rsidRPr="00870FBF">
        <w:rPr>
          <w:rFonts w:hint="cs"/>
          <w:rtl/>
        </w:rPr>
        <w:t xml:space="preserve"> تزل في طور التنفيذ بمراجعة داخلية لتقدير تكاليف المنشورات. وقد قامت الإدارة على نحو منتظم بإعلام فريق الإدارة الداخلية (و</w:t>
      </w:r>
      <w:r w:rsidRPr="00870FBF">
        <w:rPr>
          <w:rtl/>
        </w:rPr>
        <w:t>اللجنة الاستشارية المستقلة للإدارة) بالتقدم المحرز في تنفيذها. ولَمّا كانت المسائل المثارة خلال المراجعة تتصل بأغراض الإبلاغ المالي، وبأغراض الإبلاغ الإداري أيضاً، فقد وقع الاختيار على النهج القائم على العمل بحذر بعد جمع المعلومات اللازمة، توخياً للتمكين من الإحاطة الشفافة بالتكاليف الفعلية لكل منشور. وسيُجرى الاختبار التقييمي في عام </w:t>
      </w:r>
      <w:r w:rsidRPr="00870FBF">
        <w:t>2015</w:t>
      </w:r>
      <w:r w:rsidRPr="00870FBF">
        <w:rPr>
          <w:rtl/>
        </w:rPr>
        <w:t xml:space="preserve"> بعد أن يتم جمع ما يمكن التعويل عليه من المعلومات المتعلقة بعدة أشهر. ويواصل فريق المراجعة الداخلية في عام </w:t>
      </w:r>
      <w:r w:rsidRPr="00870FBF">
        <w:t>2015</w:t>
      </w:r>
      <w:r w:rsidRPr="00870FBF">
        <w:rPr>
          <w:rtl/>
        </w:rPr>
        <w:t xml:space="preserve"> </w:t>
      </w:r>
      <w:r w:rsidRPr="00870FBF">
        <w:rPr>
          <w:rFonts w:hint="cs"/>
          <w:rtl/>
        </w:rPr>
        <w:t xml:space="preserve">متابعة تنفيذ </w:t>
      </w:r>
      <w:r w:rsidRPr="00870FBF">
        <w:rPr>
          <w:rFonts w:hint="cs"/>
          <w:rtl/>
        </w:rPr>
        <w:lastRenderedPageBreak/>
        <w:t>شتى التوصيات الواردة في تقارير المراجعات السابقة وسيقدم تقريراً عن هذه المتابعة، بحسب الاقتضاء، إلى اللجنة الاستشارية المستقلة للإدارة وإلى المدير العام. وقد لوحظ تحقيق تقدم على هذا الصعيد بصورة إجمالية.</w:t>
      </w:r>
    </w:p>
    <w:p w:rsidR="00870FBF" w:rsidRPr="00870FBF" w:rsidRDefault="00870FBF" w:rsidP="00DD7765">
      <w:pPr>
        <w:pStyle w:val="Headingb"/>
        <w:rPr>
          <w:rtl/>
        </w:rPr>
      </w:pPr>
      <w:r w:rsidRPr="00870FBF">
        <w:rPr>
          <w:rtl/>
        </w:rPr>
        <w:t>الجوانب المتصلة بمنهجية المراجعة</w:t>
      </w:r>
    </w:p>
    <w:p w:rsidR="00870FBF" w:rsidRPr="00870FBF" w:rsidRDefault="00870FBF" w:rsidP="00870FBF">
      <w:pPr>
        <w:rPr>
          <w:rtl/>
        </w:rPr>
      </w:pPr>
      <w:r w:rsidRPr="00870FBF">
        <w:rPr>
          <w:lang w:bidi="ar-SY"/>
        </w:rPr>
        <w:t>29</w:t>
      </w:r>
      <w:r w:rsidRPr="00870FBF">
        <w:rPr>
          <w:rtl/>
        </w:rPr>
        <w:tab/>
        <w:t xml:space="preserve">في عام </w:t>
      </w:r>
      <w:r w:rsidRPr="00870FBF">
        <w:rPr>
          <w:lang w:bidi="ar-SY"/>
        </w:rPr>
        <w:t>2013</w:t>
      </w:r>
      <w:r w:rsidRPr="00870FBF">
        <w:rPr>
          <w:rtl/>
        </w:rPr>
        <w:t xml:space="preserve"> </w:t>
      </w:r>
      <w:r w:rsidRPr="00870FBF">
        <w:rPr>
          <w:rFonts w:hint="cs"/>
          <w:rtl/>
        </w:rPr>
        <w:t xml:space="preserve">كان فريق المراجعة الداخلية قد شرع في استعمال </w:t>
      </w:r>
      <w:r w:rsidRPr="00870FBF">
        <w:rPr>
          <w:rFonts w:hint="cs"/>
          <w:i/>
          <w:iCs/>
          <w:rtl/>
        </w:rPr>
        <w:t>استبيانات عن فعالية المراجعة</w:t>
      </w:r>
      <w:r w:rsidRPr="00870FBF">
        <w:rPr>
          <w:rFonts w:hint="cs"/>
          <w:rtl/>
        </w:rPr>
        <w:t xml:space="preserve"> أُرسلت إلى المديرين المسؤولين عن العمليات والكيانات الخاضعة للمراجعة، بغية تقييم فعالية أعمال المراجعة واستبانة المتّسع المتوفر للتحسين. ويشار إلى أن التعقيبات التي تم تلقيها حتى تاريخه إيجابية جداً بوجه عام (بلغ متوسط درجة التقييم </w:t>
      </w:r>
      <w:r w:rsidRPr="00870FBF">
        <w:rPr>
          <w:lang w:bidi="ar-SY"/>
        </w:rPr>
        <w:t>4</w:t>
      </w:r>
      <w:r w:rsidRPr="00870FBF">
        <w:rPr>
          <w:rtl/>
        </w:rPr>
        <w:t xml:space="preserve"> على سلَّم يتدرَّج من </w:t>
      </w:r>
      <w:r w:rsidRPr="00870FBF">
        <w:rPr>
          <w:lang w:bidi="ar-SY"/>
        </w:rPr>
        <w:t>1</w:t>
      </w:r>
      <w:r w:rsidRPr="00870FBF">
        <w:rPr>
          <w:rtl/>
        </w:rPr>
        <w:t xml:space="preserve"> إلى </w:t>
      </w:r>
      <w:r w:rsidRPr="00870FBF">
        <w:rPr>
          <w:lang w:bidi="ar-SY"/>
        </w:rPr>
        <w:t>5</w:t>
      </w:r>
      <w:r w:rsidR="000166DB">
        <w:rPr>
          <w:rtl/>
        </w:rPr>
        <w:t>).</w:t>
      </w:r>
    </w:p>
    <w:p w:rsidR="00290728" w:rsidRDefault="00870FBF" w:rsidP="00870FBF">
      <w:pPr>
        <w:spacing w:before="600"/>
        <w:jc w:val="center"/>
        <w:rPr>
          <w:rtl/>
        </w:rPr>
      </w:pPr>
      <w:r>
        <w:rPr>
          <w:rtl/>
        </w:rPr>
        <w:t>___________</w:t>
      </w:r>
    </w:p>
    <w:sectPr w:rsidR="00290728"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F0B" w:rsidRDefault="00755F0B" w:rsidP="006C3242">
      <w:pPr>
        <w:spacing w:before="0" w:line="240" w:lineRule="auto"/>
      </w:pPr>
      <w:r>
        <w:separator/>
      </w:r>
    </w:p>
  </w:endnote>
  <w:endnote w:type="continuationSeparator" w:id="0">
    <w:p w:rsidR="00755F0B" w:rsidRDefault="00755F0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09" w:rsidRPr="006C3242" w:rsidRDefault="000E6F09" w:rsidP="000E6F09">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P:\ARA\SG\CONSEIL\C15\000\043A.docx</w:t>
    </w:r>
    <w:r w:rsidRPr="006C3242">
      <w:rPr>
        <w:rFonts w:ascii="Calibri" w:hAnsi="Calibri" w:cs="Calibri"/>
        <w:sz w:val="16"/>
        <w:szCs w:val="16"/>
      </w:rPr>
      <w:fldChar w:fldCharType="end"/>
    </w:r>
    <w:r w:rsidRPr="000E6F09">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377759</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7C17A2">
      <w:rPr>
        <w:rFonts w:ascii="Calibri" w:hAnsi="Calibri" w:cs="Calibri"/>
        <w:noProof/>
        <w:sz w:val="16"/>
        <w:szCs w:val="16"/>
        <w:lang w:val="fr-FR"/>
      </w:rPr>
      <w:t>08.05.15</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6C3242" w:rsidRPr="006C3242" w:rsidRDefault="006C3242" w:rsidP="000E6F09">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0E6F09">
      <w:rPr>
        <w:rFonts w:ascii="Calibri" w:hAnsi="Calibri" w:cs="Calibri"/>
        <w:noProof/>
        <w:sz w:val="16"/>
        <w:szCs w:val="16"/>
        <w:lang w:val="fr-FR"/>
      </w:rPr>
      <w:t>P:\ARA\SG\CONSEIL\C15\000\043A.docx</w:t>
    </w:r>
    <w:r w:rsidRPr="006C3242">
      <w:rPr>
        <w:rFonts w:ascii="Calibri" w:hAnsi="Calibri" w:cs="Calibri"/>
        <w:sz w:val="16"/>
        <w:szCs w:val="16"/>
      </w:rPr>
      <w:fldChar w:fldCharType="end"/>
    </w:r>
    <w:r w:rsidRPr="000E6F09">
      <w:rPr>
        <w:rFonts w:ascii="Calibri" w:hAnsi="Calibri" w:cs="Calibri"/>
        <w:sz w:val="16"/>
        <w:szCs w:val="16"/>
        <w:lang w:val="fr-CH"/>
      </w:rPr>
      <w:t xml:space="preserve">  </w:t>
    </w:r>
    <w:r w:rsidRPr="006C3242">
      <w:rPr>
        <w:rFonts w:ascii="Calibri" w:hAnsi="Calibri" w:cs="Calibri"/>
        <w:sz w:val="16"/>
        <w:szCs w:val="16"/>
        <w:lang w:val="fr-FR"/>
      </w:rPr>
      <w:t xml:space="preserve"> (</w:t>
    </w:r>
    <w:r w:rsidR="000E6F09">
      <w:rPr>
        <w:rFonts w:ascii="Calibri" w:hAnsi="Calibri" w:cs="Calibri"/>
        <w:sz w:val="16"/>
        <w:szCs w:val="16"/>
        <w:lang w:val="fr-FR"/>
      </w:rPr>
      <w:t>377759</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7C17A2">
      <w:rPr>
        <w:rFonts w:ascii="Calibri" w:hAnsi="Calibri" w:cs="Calibri"/>
        <w:noProof/>
        <w:sz w:val="16"/>
        <w:szCs w:val="16"/>
        <w:lang w:val="fr-FR"/>
      </w:rPr>
      <w:t>08.05.15</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0E6F09">
      <w:rPr>
        <w:rFonts w:ascii="Calibri" w:hAnsi="Calibri" w:cs="Calibri"/>
        <w:noProof/>
        <w:sz w:val="16"/>
        <w:szCs w:val="16"/>
        <w:lang w:val="fr-FR"/>
      </w:rPr>
      <w:t>00.00.00</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F0B" w:rsidRDefault="00755F0B" w:rsidP="006C3242">
      <w:pPr>
        <w:spacing w:before="0" w:line="240" w:lineRule="auto"/>
      </w:pPr>
      <w:r>
        <w:separator/>
      </w:r>
    </w:p>
  </w:footnote>
  <w:footnote w:type="continuationSeparator" w:id="0">
    <w:p w:rsidR="00755F0B" w:rsidRDefault="00755F0B" w:rsidP="006C3242">
      <w:pPr>
        <w:spacing w:before="0" w:line="240" w:lineRule="auto"/>
      </w:pPr>
      <w:r>
        <w:continuationSeparator/>
      </w:r>
    </w:p>
  </w:footnote>
  <w:footnote w:id="1">
    <w:p w:rsidR="00870FBF" w:rsidRDefault="00870FBF" w:rsidP="00FF6389">
      <w:pPr>
        <w:pStyle w:val="Footnotetexte"/>
        <w:ind w:left="397" w:hanging="397"/>
        <w:rPr>
          <w:szCs w:val="20"/>
        </w:rPr>
      </w:pPr>
      <w:r>
        <w:rPr>
          <w:rStyle w:val="FootnoteReference"/>
        </w:rPr>
        <w:footnoteRef/>
      </w:r>
      <w:r>
        <w:rPr>
          <w:rtl/>
        </w:rPr>
        <w:t xml:space="preserve"> </w:t>
      </w:r>
      <w:r>
        <w:rPr>
          <w:rtl/>
        </w:rPr>
        <w:tab/>
        <w:t xml:space="preserve">الأمر الإداري </w:t>
      </w:r>
      <w:r>
        <w:rPr>
          <w:rtl/>
          <w:lang w:bidi="ar-EG"/>
        </w:rPr>
        <w:t>ذو ال</w:t>
      </w:r>
      <w:r>
        <w:rPr>
          <w:rtl/>
        </w:rPr>
        <w:t xml:space="preserve">رقم </w:t>
      </w:r>
      <w:r>
        <w:t>13/09</w:t>
      </w:r>
      <w:r>
        <w:rPr>
          <w:rtl/>
        </w:rPr>
        <w:t xml:space="preserve">، الذي أعلنه الأمين العام في </w:t>
      </w:r>
      <w:r>
        <w:t>27</w:t>
      </w:r>
      <w:r>
        <w:rPr>
          <w:rtl/>
        </w:rPr>
        <w:t xml:space="preserve"> يونيو </w:t>
      </w:r>
      <w:r>
        <w:t>2013</w:t>
      </w:r>
      <w:r>
        <w:rPr>
          <w:rtl/>
        </w:rPr>
        <w:t>.</w:t>
      </w:r>
    </w:p>
  </w:footnote>
  <w:footnote w:id="2">
    <w:p w:rsidR="00870FBF" w:rsidRDefault="00870FBF" w:rsidP="00FF6389">
      <w:pPr>
        <w:pStyle w:val="Footnotetexte"/>
        <w:ind w:left="397" w:hanging="397"/>
        <w:rPr>
          <w:rtl/>
        </w:rPr>
      </w:pPr>
      <w:r>
        <w:rPr>
          <w:rStyle w:val="FootnoteReference"/>
        </w:rPr>
        <w:footnoteRef/>
      </w:r>
      <w:r>
        <w:tab/>
      </w:r>
      <w:r>
        <w:rPr>
          <w:rtl/>
        </w:rPr>
        <w:t xml:space="preserve">معهد مراجعي الحسابات الداخليين، </w:t>
      </w:r>
      <w:hyperlink r:id="rId1" w:history="1">
        <w:r>
          <w:rPr>
            <w:rStyle w:val="Hyperlink"/>
          </w:rPr>
          <w:t>www.theiia.org</w:t>
        </w:r>
      </w:hyperlink>
      <w:r>
        <w:rPr>
          <w:rtl/>
        </w:rPr>
        <w:t>.</w:t>
      </w:r>
    </w:p>
  </w:footnote>
  <w:footnote w:id="3">
    <w:p w:rsidR="00870FBF" w:rsidRDefault="00870FBF" w:rsidP="00FF6389">
      <w:pPr>
        <w:pStyle w:val="Footnotetexte"/>
        <w:ind w:left="397" w:hanging="397"/>
      </w:pPr>
      <w:r>
        <w:rPr>
          <w:rStyle w:val="FootnoteReference"/>
        </w:rPr>
        <w:footnoteRef/>
      </w:r>
      <w:r>
        <w:rPr>
          <w:rtl/>
        </w:rPr>
        <w:tab/>
        <w:t xml:space="preserve">الأمر الإداري ذو الرقم </w:t>
      </w:r>
      <w:r>
        <w:t>13/09</w:t>
      </w:r>
      <w:r>
        <w:rPr>
          <w:rtl/>
        </w:rPr>
        <w:t xml:space="preserve">، الذي اعتمده الأمين العام في </w:t>
      </w:r>
      <w:r>
        <w:t>27</w:t>
      </w:r>
      <w:r>
        <w:rPr>
          <w:rtl/>
        </w:rPr>
        <w:t xml:space="preserve"> يونيو </w:t>
      </w:r>
      <w:r>
        <w:t>2013</w:t>
      </w:r>
      <w:r>
        <w:rPr>
          <w:rtl/>
        </w:rPr>
        <w:t>.</w:t>
      </w:r>
    </w:p>
  </w:footnote>
  <w:footnote w:id="4">
    <w:p w:rsidR="00870FBF" w:rsidRDefault="00870FBF" w:rsidP="00FF6389">
      <w:pPr>
        <w:pStyle w:val="Footnotetexte"/>
        <w:ind w:left="397" w:hanging="397"/>
        <w:rPr>
          <w:rtl/>
        </w:rPr>
      </w:pPr>
      <w:r>
        <w:rPr>
          <w:rStyle w:val="FootnoteReference"/>
        </w:rPr>
        <w:footnoteRef/>
      </w:r>
      <w:r>
        <w:rPr>
          <w:rtl/>
        </w:rPr>
        <w:t xml:space="preserve"> </w:t>
      </w:r>
      <w:r>
        <w:rPr>
          <w:rtl/>
        </w:rPr>
        <w:tab/>
        <w:t>تُعَرَّف المسألة الحاسمة الأهمية بأنها تمثِّل اختلالاً كاملاً في بيئة المراقبة يؤثر على المنظمة المعنية تأثيراً على درجة من السلبية تجعل استمرار عملها مستحيلاً أو مستبعداً.</w:t>
      </w:r>
    </w:p>
  </w:footnote>
  <w:footnote w:id="5">
    <w:p w:rsidR="00870FBF" w:rsidRDefault="00870FBF" w:rsidP="00DB47A3">
      <w:pPr>
        <w:pStyle w:val="Footnotetexte"/>
        <w:ind w:left="397" w:hanging="397"/>
      </w:pPr>
      <w:r w:rsidRPr="00FF6389">
        <w:rPr>
          <w:rStyle w:val="FootnoteReference"/>
        </w:rPr>
        <w:footnoteRef/>
      </w:r>
      <w:r w:rsidRPr="00FF6389">
        <w:rPr>
          <w:rtl/>
        </w:rPr>
        <w:t xml:space="preserve"> </w:t>
      </w:r>
      <w:r w:rsidRPr="00FF6389">
        <w:rPr>
          <w:rtl/>
        </w:rPr>
        <w:tab/>
        <w:t>عوينت بعض مواطن الضعف في تصميم و/أو تطبيق الضوابط، ما قد يعيق تحقيق الأهداف المنشودة من النظام، أو عمل هذا النظام، أو</w:t>
      </w:r>
      <w:r w:rsidR="00DB47A3">
        <w:rPr>
          <w:rFonts w:hint="cs"/>
          <w:rtl/>
        </w:rPr>
        <w:t> </w:t>
      </w:r>
      <w:r w:rsidRPr="00FF6389">
        <w:rPr>
          <w:rtl/>
        </w:rPr>
        <w:t>الإجراءات ذات الصلة. بيد أنها إما أن تكون غير ذات أثر كبير أو أن يكون وقوعها بعيد الاحتمال.</w:t>
      </w:r>
    </w:p>
  </w:footnote>
  <w:footnote w:id="6">
    <w:p w:rsidR="00870FBF" w:rsidRDefault="00870FBF" w:rsidP="00DD7765">
      <w:pPr>
        <w:pStyle w:val="Footnotetexte"/>
        <w:rPr>
          <w:rtl/>
        </w:rPr>
      </w:pPr>
      <w:r>
        <w:rPr>
          <w:rStyle w:val="FootnoteReference"/>
        </w:rPr>
        <w:footnoteRef/>
      </w:r>
      <w:r>
        <w:rPr>
          <w:rtl/>
        </w:rPr>
        <w:tab/>
        <w:t xml:space="preserve">معهد المراجعين الداخليين، </w:t>
      </w:r>
      <w:hyperlink r:id="rId2" w:history="1">
        <w:r>
          <w:rPr>
            <w:rStyle w:val="Hyperlink"/>
          </w:rPr>
          <w:t>www.theiia.org</w:t>
        </w:r>
      </w:hyperlink>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51267B" w:rsidP="007C17A2">
    <w:pPr>
      <w:pStyle w:val="Header"/>
      <w:bidi w:val="0"/>
      <w:spacing w:before="120" w:after="12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8</w:t>
        </w:r>
        <w:r w:rsidR="00447F32" w:rsidRPr="00447F32">
          <w:rPr>
            <w:rFonts w:cs="Calibri"/>
            <w:noProof/>
            <w:sz w:val="20"/>
            <w:szCs w:val="20"/>
          </w:rPr>
          <w:fldChar w:fldCharType="end"/>
        </w:r>
        <w:r w:rsidR="00447F32" w:rsidRPr="00447F32">
          <w:rPr>
            <w:rFonts w:cs="Calibri"/>
            <w:noProof/>
            <w:sz w:val="20"/>
            <w:szCs w:val="20"/>
          </w:rPr>
          <w:br/>
          <w:t>C15/</w:t>
        </w:r>
        <w:r w:rsidR="000E6F09">
          <w:rPr>
            <w:rFonts w:cs="Calibri"/>
            <w:noProof/>
            <w:sz w:val="20"/>
            <w:szCs w:val="20"/>
          </w:rPr>
          <w:t>43</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0B"/>
    <w:rsid w:val="000166DB"/>
    <w:rsid w:val="000277FC"/>
    <w:rsid w:val="00057E89"/>
    <w:rsid w:val="00081E27"/>
    <w:rsid w:val="00090574"/>
    <w:rsid w:val="000C548A"/>
    <w:rsid w:val="000E6F09"/>
    <w:rsid w:val="00110313"/>
    <w:rsid w:val="00143C78"/>
    <w:rsid w:val="001A0639"/>
    <w:rsid w:val="001C0169"/>
    <w:rsid w:val="001D1D50"/>
    <w:rsid w:val="001E446E"/>
    <w:rsid w:val="002154EE"/>
    <w:rsid w:val="0023283D"/>
    <w:rsid w:val="00245553"/>
    <w:rsid w:val="002509AD"/>
    <w:rsid w:val="00290728"/>
    <w:rsid w:val="002978F4"/>
    <w:rsid w:val="002B028D"/>
    <w:rsid w:val="002C03ED"/>
    <w:rsid w:val="002D4D6F"/>
    <w:rsid w:val="002D7FCD"/>
    <w:rsid w:val="002E6541"/>
    <w:rsid w:val="002F145F"/>
    <w:rsid w:val="00334FC1"/>
    <w:rsid w:val="003409BC"/>
    <w:rsid w:val="00357185"/>
    <w:rsid w:val="00371587"/>
    <w:rsid w:val="00383829"/>
    <w:rsid w:val="0042686F"/>
    <w:rsid w:val="004317D8"/>
    <w:rsid w:val="00443869"/>
    <w:rsid w:val="00447F32"/>
    <w:rsid w:val="004733B3"/>
    <w:rsid w:val="004E11DC"/>
    <w:rsid w:val="0051267B"/>
    <w:rsid w:val="0055516A"/>
    <w:rsid w:val="0058491B"/>
    <w:rsid w:val="00641287"/>
    <w:rsid w:val="0069200F"/>
    <w:rsid w:val="00696330"/>
    <w:rsid w:val="006A65CB"/>
    <w:rsid w:val="006C3242"/>
    <w:rsid w:val="006F63F7"/>
    <w:rsid w:val="00706D7A"/>
    <w:rsid w:val="007209FD"/>
    <w:rsid w:val="00722F0D"/>
    <w:rsid w:val="0074420E"/>
    <w:rsid w:val="00755F0B"/>
    <w:rsid w:val="0077376D"/>
    <w:rsid w:val="00783E26"/>
    <w:rsid w:val="007C17A2"/>
    <w:rsid w:val="007C3BC7"/>
    <w:rsid w:val="007F0787"/>
    <w:rsid w:val="008235CD"/>
    <w:rsid w:val="008247DE"/>
    <w:rsid w:val="008513CB"/>
    <w:rsid w:val="00870FBF"/>
    <w:rsid w:val="00874D38"/>
    <w:rsid w:val="008B36F4"/>
    <w:rsid w:val="008F033D"/>
    <w:rsid w:val="008F2FCA"/>
    <w:rsid w:val="00952C15"/>
    <w:rsid w:val="00982B28"/>
    <w:rsid w:val="009D313F"/>
    <w:rsid w:val="00A47A5A"/>
    <w:rsid w:val="00A6683B"/>
    <w:rsid w:val="00A67EB2"/>
    <w:rsid w:val="00A97F94"/>
    <w:rsid w:val="00AC3DA0"/>
    <w:rsid w:val="00B05BC8"/>
    <w:rsid w:val="00B20D33"/>
    <w:rsid w:val="00B2282E"/>
    <w:rsid w:val="00B64B47"/>
    <w:rsid w:val="00B71DB1"/>
    <w:rsid w:val="00B8271B"/>
    <w:rsid w:val="00C002DE"/>
    <w:rsid w:val="00C17AA5"/>
    <w:rsid w:val="00C43165"/>
    <w:rsid w:val="00C53BF8"/>
    <w:rsid w:val="00C674FE"/>
    <w:rsid w:val="00C75633"/>
    <w:rsid w:val="00C901FA"/>
    <w:rsid w:val="00CA030D"/>
    <w:rsid w:val="00CE2EE1"/>
    <w:rsid w:val="00CF3FFD"/>
    <w:rsid w:val="00D266CF"/>
    <w:rsid w:val="00D419E0"/>
    <w:rsid w:val="00D77D0F"/>
    <w:rsid w:val="00DA1CF0"/>
    <w:rsid w:val="00DB47A3"/>
    <w:rsid w:val="00DC24B4"/>
    <w:rsid w:val="00DD7765"/>
    <w:rsid w:val="00DF16DC"/>
    <w:rsid w:val="00E20177"/>
    <w:rsid w:val="00E45211"/>
    <w:rsid w:val="00E4752E"/>
    <w:rsid w:val="00E96129"/>
    <w:rsid w:val="00EB796D"/>
    <w:rsid w:val="00F15D98"/>
    <w:rsid w:val="00F178AD"/>
    <w:rsid w:val="00F248AE"/>
    <w:rsid w:val="00F84366"/>
    <w:rsid w:val="00F85089"/>
    <w:rsid w:val="00F96458"/>
    <w:rsid w:val="00FF63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6C73BB7-E036-4DA9-A5EB-172B7098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383829"/>
    <w:pPr>
      <w:keepNext/>
      <w:framePr w:hSpace="180" w:wrap="around" w:hAnchor="text" w:y="-612"/>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A6683B"/>
    <w:rPr>
      <w:color w:val="0000FA"/>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9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file:///C:\Users\khalil\Desktop\Doc_TRAD\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Council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ED760-8476-469B-9349-95268840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PA_Council15.dotx</Template>
  <TotalTime>213</TotalTime>
  <Pages>8</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50</cp:revision>
  <dcterms:created xsi:type="dcterms:W3CDTF">2015-05-07T09:45:00Z</dcterms:created>
  <dcterms:modified xsi:type="dcterms:W3CDTF">2015-05-08T14:21:00Z</dcterms:modified>
</cp:coreProperties>
</file>