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290728">
        <w:trPr>
          <w:cantSplit/>
          <w:trHeight w:val="20"/>
        </w:trPr>
        <w:tc>
          <w:tcPr>
            <w:tcW w:w="6620" w:type="dxa"/>
          </w:tcPr>
          <w:p w:rsidR="00290728" w:rsidRPr="00290728" w:rsidRDefault="00290728" w:rsidP="00C002DE">
            <w:pPr>
              <w:spacing w:before="360"/>
              <w:jc w:val="left"/>
              <w:rPr>
                <w:b/>
                <w:bCs/>
                <w:rtl/>
                <w:lang w:bidi="ar-EG"/>
              </w:rPr>
            </w:pPr>
            <w:r w:rsidRPr="00290728">
              <w:rPr>
                <w:rFonts w:hint="cs"/>
                <w:b/>
                <w:bCs/>
                <w:w w:val="110"/>
                <w:sz w:val="32"/>
                <w:szCs w:val="44"/>
                <w:rtl/>
                <w:lang w:bidi="ar-EG"/>
              </w:rPr>
              <w:t xml:space="preserve">ال‍مجلس </w:t>
            </w:r>
            <w:r w:rsidRPr="00290728">
              <w:rPr>
                <w:b/>
                <w:bCs/>
                <w:w w:val="110"/>
                <w:sz w:val="32"/>
                <w:szCs w:val="44"/>
                <w:lang w:bidi="ar-SY"/>
              </w:rPr>
              <w:t>2015</w:t>
            </w:r>
            <w:r w:rsidR="00C002DE">
              <w:rPr>
                <w:b/>
                <w:bCs/>
                <w:w w:val="110"/>
                <w:sz w:val="32"/>
                <w:szCs w:val="44"/>
                <w:rtl/>
                <w:lang w:bidi="ar-SY"/>
              </w:rPr>
              <w:br/>
            </w:r>
            <w:r w:rsidRPr="00290728">
              <w:rPr>
                <w:rFonts w:hint="cs"/>
                <w:b/>
                <w:bCs/>
                <w:sz w:val="24"/>
                <w:szCs w:val="32"/>
                <w:rtl/>
                <w:lang w:bidi="ar-EG"/>
              </w:rPr>
              <w:t xml:space="preserve">جنيف، </w:t>
            </w:r>
            <w:r w:rsidRPr="00290728">
              <w:rPr>
                <w:b/>
                <w:bCs/>
                <w:sz w:val="24"/>
                <w:szCs w:val="32"/>
                <w:lang w:bidi="ar-SY"/>
              </w:rPr>
              <w:t>22-12</w:t>
            </w:r>
            <w:r w:rsidRPr="00290728">
              <w:rPr>
                <w:b/>
                <w:bCs/>
                <w:sz w:val="24"/>
                <w:szCs w:val="32"/>
                <w:rtl/>
                <w:lang w:bidi="ar-EG"/>
              </w:rPr>
              <w:t xml:space="preserve"> مايو</w:t>
            </w:r>
            <w:r w:rsidRPr="006A65CB">
              <w:rPr>
                <w:b/>
                <w:bCs/>
                <w:sz w:val="24"/>
                <w:szCs w:val="32"/>
                <w:rtl/>
                <w:lang w:bidi="ar-EG"/>
              </w:rPr>
              <w:t xml:space="preserve"> </w:t>
            </w:r>
            <w:r w:rsidRPr="00290728">
              <w:rPr>
                <w:b/>
                <w:bCs/>
                <w:sz w:val="24"/>
                <w:szCs w:val="32"/>
                <w:lang w:bidi="ar-SY"/>
              </w:rPr>
              <w:t>2015</w:t>
            </w:r>
          </w:p>
        </w:tc>
        <w:tc>
          <w:tcPr>
            <w:tcW w:w="3052" w:type="dxa"/>
          </w:tcPr>
          <w:p w:rsidR="00290728" w:rsidRPr="00290728" w:rsidRDefault="00290728" w:rsidP="00290728">
            <w:pPr>
              <w:spacing w:before="0" w:line="240" w:lineRule="auto"/>
              <w:jc w:val="right"/>
              <w:rPr>
                <w:rtl/>
                <w:lang w:bidi="ar-EG"/>
              </w:rPr>
            </w:pPr>
            <w:bookmarkStart w:id="0" w:name="ditulogo"/>
            <w:bookmarkEnd w:id="0"/>
            <w:r w:rsidRPr="00290728">
              <w:rPr>
                <w:noProof/>
              </w:rPr>
              <w:drawing>
                <wp:inline distT="0" distB="0" distL="0" distR="0" wp14:anchorId="76ED5690" wp14:editId="0A1EBE9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290728">
            <w:pPr>
              <w:spacing w:before="60" w:after="60" w:line="400" w:lineRule="exact"/>
              <w:rPr>
                <w:sz w:val="24"/>
                <w:szCs w:val="32"/>
                <w:rtl/>
                <w:lang w:bidi="ar-EG"/>
              </w:rPr>
            </w:pPr>
            <w:r w:rsidRPr="00290728">
              <w:rPr>
                <w:b/>
                <w:bCs/>
                <w:sz w:val="24"/>
                <w:szCs w:val="32"/>
                <w:rtl/>
                <w:lang w:bidi="ar-EG"/>
              </w:rPr>
              <w:t>الاتحـ</w:t>
            </w:r>
            <w:r w:rsidRPr="00290728">
              <w:rPr>
                <w:rFonts w:hint="cs"/>
                <w:b/>
                <w:bCs/>
                <w:sz w:val="24"/>
                <w:szCs w:val="32"/>
                <w:rtl/>
                <w:lang w:bidi="ar-EG"/>
              </w:rPr>
              <w:t>ـــ</w:t>
            </w:r>
            <w:r w:rsidRPr="00290728">
              <w:rPr>
                <w:b/>
                <w:bCs/>
                <w:sz w:val="24"/>
                <w:szCs w:val="32"/>
                <w:rtl/>
                <w:lang w:bidi="ar-EG"/>
              </w:rPr>
              <w:t>اد</w:t>
            </w:r>
            <w:r w:rsidRPr="00290728">
              <w:rPr>
                <w:rFonts w:hint="cs"/>
                <w:b/>
                <w:bCs/>
                <w:sz w:val="24"/>
                <w:szCs w:val="32"/>
                <w:rtl/>
                <w:lang w:bidi="ar-EG"/>
              </w:rPr>
              <w:t xml:space="preserve"> </w:t>
            </w:r>
            <w:r w:rsidRPr="00290728">
              <w:rPr>
                <w:b/>
                <w:bCs/>
                <w:sz w:val="24"/>
                <w:szCs w:val="32"/>
                <w:rtl/>
                <w:lang w:bidi="ar-EG"/>
              </w:rPr>
              <w:t>ال</w:t>
            </w:r>
            <w:r w:rsidRPr="00290728">
              <w:rPr>
                <w:rFonts w:hint="cs"/>
                <w:b/>
                <w:bCs/>
                <w:sz w:val="24"/>
                <w:szCs w:val="32"/>
                <w:rtl/>
                <w:lang w:bidi="ar-EG"/>
              </w:rPr>
              <w:t>ـ</w:t>
            </w:r>
            <w:r w:rsidRPr="00290728">
              <w:rPr>
                <w:b/>
                <w:bCs/>
                <w:sz w:val="24"/>
                <w:szCs w:val="32"/>
                <w:rtl/>
                <w:lang w:bidi="ar-EG"/>
              </w:rPr>
              <w:t>دولـ</w:t>
            </w:r>
            <w:r w:rsidRPr="00290728">
              <w:rPr>
                <w:rFonts w:hint="cs"/>
                <w:b/>
                <w:bCs/>
                <w:sz w:val="24"/>
                <w:szCs w:val="32"/>
                <w:rtl/>
                <w:lang w:bidi="ar-EG"/>
              </w:rPr>
              <w:t>ـــ</w:t>
            </w:r>
            <w:r w:rsidRPr="00290728">
              <w:rPr>
                <w:b/>
                <w:bCs/>
                <w:sz w:val="24"/>
                <w:szCs w:val="32"/>
                <w:rtl/>
                <w:lang w:bidi="ar-EG"/>
              </w:rPr>
              <w:t>ي للاتص</w:t>
            </w:r>
            <w:r w:rsidRPr="00290728">
              <w:rPr>
                <w:rFonts w:hint="cs"/>
                <w:b/>
                <w:bCs/>
                <w:sz w:val="24"/>
                <w:szCs w:val="32"/>
                <w:rtl/>
                <w:lang w:bidi="ar-EG"/>
              </w:rPr>
              <w:t>ـ</w:t>
            </w:r>
            <w:r w:rsidRPr="00290728">
              <w:rPr>
                <w:b/>
                <w:bCs/>
                <w:sz w:val="24"/>
                <w:szCs w:val="32"/>
                <w:rtl/>
                <w:lang w:bidi="ar-EG"/>
              </w:rPr>
              <w:t>ـ</w:t>
            </w:r>
            <w:r w:rsidRPr="00290728">
              <w:rPr>
                <w:rFonts w:hint="cs"/>
                <w:b/>
                <w:bCs/>
                <w:sz w:val="24"/>
                <w:szCs w:val="32"/>
                <w:rtl/>
                <w:lang w:bidi="ar-EG"/>
              </w:rPr>
              <w:t>ــ</w:t>
            </w:r>
            <w:r w:rsidRPr="00290728">
              <w:rPr>
                <w:b/>
                <w:bCs/>
                <w:sz w:val="24"/>
                <w:szCs w:val="32"/>
                <w:rtl/>
                <w:lang w:bidi="ar-EG"/>
              </w:rPr>
              <w:t>الات</w:t>
            </w:r>
          </w:p>
        </w:tc>
        <w:tc>
          <w:tcPr>
            <w:tcW w:w="3052" w:type="dxa"/>
            <w:tcBorders>
              <w:bottom w:val="single" w:sz="12" w:space="0" w:color="auto"/>
            </w:tcBorders>
          </w:tcPr>
          <w:p w:rsidR="00290728" w:rsidRPr="00290728" w:rsidRDefault="00290728" w:rsidP="00290728">
            <w:pPr>
              <w:spacing w:before="60" w:after="6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290728" w:rsidRDefault="00C002DE" w:rsidP="00290728">
            <w:pPr>
              <w:spacing w:before="60" w:after="60" w:line="300" w:lineRule="exact"/>
              <w:rPr>
                <w:b/>
                <w:bCs/>
                <w:lang w:bidi="ar-EG"/>
              </w:rPr>
            </w:pPr>
            <w:r>
              <w:rPr>
                <w:rFonts w:hint="cs"/>
                <w:b/>
                <w:bCs/>
                <w:rtl/>
                <w:lang w:bidi="ar-EG"/>
              </w:rPr>
              <w:t>بند جدول الأعمال</w:t>
            </w:r>
            <w:r w:rsidR="00810B7B">
              <w:rPr>
                <w:rFonts w:hint="cs"/>
                <w:b/>
                <w:bCs/>
                <w:rtl/>
                <w:lang w:bidi="ar-EG"/>
              </w:rPr>
              <w:t xml:space="preserve">: </w:t>
            </w:r>
            <w:r w:rsidR="008F7F47">
              <w:rPr>
                <w:b/>
                <w:bCs/>
                <w:lang w:bidi="ar-EG"/>
              </w:rPr>
              <w:t>ADM 7</w:t>
            </w:r>
          </w:p>
        </w:tc>
        <w:tc>
          <w:tcPr>
            <w:tcW w:w="3052" w:type="dxa"/>
            <w:vAlign w:val="center"/>
          </w:tcPr>
          <w:p w:rsidR="00290728" w:rsidRPr="00290728" w:rsidRDefault="008F7F47" w:rsidP="008F7F47">
            <w:pPr>
              <w:spacing w:before="60" w:after="60" w:line="300" w:lineRule="exact"/>
              <w:rPr>
                <w:b/>
                <w:bCs/>
                <w:lang w:bidi="ar-SY"/>
              </w:rPr>
            </w:pPr>
            <w:r>
              <w:rPr>
                <w:rFonts w:hint="cs"/>
                <w:b/>
                <w:bCs/>
                <w:rtl/>
                <w:lang w:bidi="ar-EG"/>
              </w:rPr>
              <w:t>الإضافة </w:t>
            </w:r>
            <w:r>
              <w:rPr>
                <w:b/>
                <w:bCs/>
                <w:lang w:bidi="ar-EG"/>
              </w:rPr>
              <w:t>2</w:t>
            </w:r>
            <w:r>
              <w:rPr>
                <w:b/>
                <w:bCs/>
                <w:rtl/>
                <w:lang w:bidi="ar-EG"/>
              </w:rPr>
              <w:br/>
            </w:r>
            <w:r>
              <w:rPr>
                <w:rFonts w:hint="cs"/>
                <w:b/>
                <w:bCs/>
                <w:rtl/>
                <w:lang w:bidi="ar-EG"/>
              </w:rPr>
              <w:t>ل</w:t>
            </w:r>
            <w:r w:rsidR="00290728" w:rsidRPr="00290728">
              <w:rPr>
                <w:rFonts w:hint="cs"/>
                <w:b/>
                <w:bCs/>
                <w:rtl/>
                <w:lang w:bidi="ar-EG"/>
              </w:rPr>
              <w:t xml:space="preserve">لوثيقة </w:t>
            </w:r>
            <w:r w:rsidR="00290728" w:rsidRPr="00290728">
              <w:rPr>
                <w:b/>
                <w:bCs/>
                <w:lang w:bidi="ar-SY"/>
              </w:rPr>
              <w:t>C15/</w:t>
            </w:r>
            <w:r>
              <w:rPr>
                <w:b/>
                <w:bCs/>
                <w:lang w:bidi="ar-SY"/>
              </w:rPr>
              <w:t>22</w:t>
            </w:r>
            <w:r w:rsidR="00290728"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8F7F47" w:rsidP="008F7F47">
            <w:pPr>
              <w:spacing w:before="60" w:after="60" w:line="300" w:lineRule="exact"/>
              <w:rPr>
                <w:b/>
                <w:bCs/>
                <w:lang w:bidi="ar-SY"/>
              </w:rPr>
            </w:pPr>
            <w:r>
              <w:rPr>
                <w:b/>
                <w:bCs/>
                <w:lang w:bidi="ar-SY"/>
              </w:rPr>
              <w:t>13</w:t>
            </w:r>
            <w:r w:rsidR="00290728" w:rsidRPr="00290728">
              <w:rPr>
                <w:rFonts w:hint="cs"/>
                <w:b/>
                <w:bCs/>
                <w:rtl/>
                <w:lang w:bidi="ar-EG"/>
              </w:rPr>
              <w:t xml:space="preserve"> </w:t>
            </w:r>
            <w:r>
              <w:rPr>
                <w:rFonts w:hint="cs"/>
                <w:b/>
                <w:bCs/>
                <w:rtl/>
                <w:lang w:bidi="ar-EG"/>
              </w:rPr>
              <w:t>مايو</w:t>
            </w:r>
            <w:r w:rsidR="00290728" w:rsidRPr="00290728">
              <w:rPr>
                <w:rFonts w:hint="cs"/>
                <w:b/>
                <w:bCs/>
                <w:rtl/>
                <w:lang w:bidi="ar-EG"/>
              </w:rPr>
              <w:t xml:space="preserve"> </w:t>
            </w:r>
            <w:r w:rsidR="00290728" w:rsidRPr="00290728">
              <w:rPr>
                <w:b/>
                <w:bCs/>
                <w:lang w:bidi="ar-SY"/>
              </w:rPr>
              <w:t>2015</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290728">
            <w:pPr>
              <w:spacing w:before="60" w:after="60" w:line="300" w:lineRule="exact"/>
              <w:rPr>
                <w:b/>
                <w:bCs/>
                <w:lang w:bidi="ar-SY"/>
              </w:rPr>
            </w:pPr>
            <w:r w:rsidRPr="00290728">
              <w:rPr>
                <w:b/>
                <w:bCs/>
                <w:rtl/>
                <w:lang w:bidi="ar-EG"/>
              </w:rPr>
              <w:t xml:space="preserve">الأصل: </w:t>
            </w:r>
            <w:r w:rsidRPr="00290728">
              <w:rPr>
                <w:rFonts w:hint="cs"/>
                <w:b/>
                <w:bCs/>
                <w:rtl/>
                <w:lang w:bidi="ar-EG"/>
              </w:rPr>
              <w:t>بالإنكليزية</w:t>
            </w:r>
          </w:p>
        </w:tc>
      </w:tr>
      <w:tr w:rsidR="00290728" w:rsidRPr="00290728" w:rsidTr="009F66A8">
        <w:trPr>
          <w:cantSplit/>
        </w:trPr>
        <w:tc>
          <w:tcPr>
            <w:tcW w:w="9672" w:type="dxa"/>
            <w:gridSpan w:val="2"/>
          </w:tcPr>
          <w:p w:rsidR="00290728" w:rsidRPr="00290728" w:rsidRDefault="008F7F47" w:rsidP="00290728">
            <w:pPr>
              <w:pStyle w:val="Source"/>
              <w:rPr>
                <w:rtl/>
                <w:lang w:bidi="ar-SY"/>
              </w:rPr>
            </w:pPr>
            <w:r>
              <w:rPr>
                <w:rFonts w:hint="cs"/>
                <w:rtl/>
                <w:lang w:bidi="ar-SY"/>
              </w:rPr>
              <w:t>تقرير من الأمين العام</w:t>
            </w:r>
          </w:p>
        </w:tc>
      </w:tr>
      <w:tr w:rsidR="00290728" w:rsidRPr="00290728" w:rsidTr="009F66A8">
        <w:trPr>
          <w:cantSplit/>
        </w:trPr>
        <w:tc>
          <w:tcPr>
            <w:tcW w:w="9672" w:type="dxa"/>
            <w:gridSpan w:val="2"/>
          </w:tcPr>
          <w:p w:rsidR="00290728" w:rsidRPr="00383829" w:rsidRDefault="001A24EE" w:rsidP="00B9137F">
            <w:pPr>
              <w:pStyle w:val="Title1"/>
              <w:rPr>
                <w:rtl/>
                <w:lang w:bidi="ar-EG"/>
              </w:rPr>
            </w:pPr>
            <w:r>
              <w:rPr>
                <w:color w:val="000000"/>
                <w:rtl/>
              </w:rPr>
              <w:t xml:space="preserve">التقرير السنوي </w:t>
            </w:r>
            <w:r>
              <w:rPr>
                <w:rFonts w:hint="cs"/>
                <w:color w:val="000000"/>
                <w:rtl/>
              </w:rPr>
              <w:t>الرابع</w:t>
            </w:r>
            <w:r w:rsidR="00B9137F">
              <w:rPr>
                <w:color w:val="000000"/>
                <w:rtl/>
              </w:rPr>
              <w:br/>
            </w:r>
            <w:r>
              <w:rPr>
                <w:color w:val="000000"/>
                <w:rtl/>
              </w:rPr>
              <w:t xml:space="preserve">للجنة الاستشارية المستقلة للإدارة </w:t>
            </w:r>
            <w:r>
              <w:rPr>
                <w:color w:val="000000"/>
              </w:rPr>
              <w:t>(IMAC)</w:t>
            </w:r>
          </w:p>
        </w:tc>
      </w:tr>
      <w:tr w:rsidR="00A6683B" w:rsidRPr="00290728" w:rsidTr="009F66A8">
        <w:trPr>
          <w:cantSplit/>
        </w:trPr>
        <w:tc>
          <w:tcPr>
            <w:tcW w:w="9672" w:type="dxa"/>
            <w:gridSpan w:val="2"/>
          </w:tcPr>
          <w:p w:rsidR="00A6683B" w:rsidRPr="00383829" w:rsidRDefault="001A24EE" w:rsidP="00383829">
            <w:pPr>
              <w:pStyle w:val="Title2"/>
              <w:framePr w:hSpace="0" w:wrap="auto" w:yAlign="inline"/>
              <w:rPr>
                <w:rtl/>
                <w:lang w:bidi="ar-EG"/>
              </w:rPr>
            </w:pPr>
            <w:r>
              <w:rPr>
                <w:b/>
                <w:bCs/>
                <w:rtl/>
                <w:lang w:bidi="ar-EG"/>
              </w:rPr>
              <w:t xml:space="preserve">الإضافة </w:t>
            </w:r>
            <w:r w:rsidRPr="000A03A0">
              <w:rPr>
                <w:b/>
                <w:bCs/>
                <w:sz w:val="28"/>
                <w:szCs w:val="38"/>
                <w:lang w:bidi="ar-EG"/>
              </w:rPr>
              <w:t>2</w:t>
            </w:r>
            <w:r>
              <w:rPr>
                <w:b/>
                <w:bCs/>
                <w:rtl/>
                <w:lang w:bidi="ar-EG"/>
              </w:rPr>
              <w:t>، المراجعة الداخلية</w:t>
            </w: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1"/>
      </w:tblGrid>
      <w:tr w:rsidR="00290728" w:rsidTr="00C903F5">
        <w:trPr>
          <w:jc w:val="center"/>
        </w:trPr>
        <w:tc>
          <w:tcPr>
            <w:tcW w:w="8931" w:type="dxa"/>
          </w:tcPr>
          <w:p w:rsidR="00290728" w:rsidRPr="00290728" w:rsidRDefault="00290728" w:rsidP="00706D7A">
            <w:pPr>
              <w:rPr>
                <w:b/>
                <w:bCs/>
                <w:rtl/>
                <w:lang w:bidi="ar-SY"/>
              </w:rPr>
            </w:pPr>
            <w:r w:rsidRPr="00290728">
              <w:rPr>
                <w:rFonts w:hint="cs"/>
                <w:b/>
                <w:bCs/>
                <w:rtl/>
                <w:lang w:bidi="ar-SY"/>
              </w:rPr>
              <w:t>ملخص</w:t>
            </w:r>
          </w:p>
          <w:p w:rsidR="005F6F34" w:rsidRPr="00C903F5" w:rsidRDefault="005F6F34" w:rsidP="00C903F5">
            <w:pPr>
              <w:rPr>
                <w:spacing w:val="-6"/>
                <w:rtl/>
                <w:lang w:val="en-GB" w:bidi="ar-SY"/>
              </w:rPr>
            </w:pPr>
            <w:r w:rsidRPr="00C903F5">
              <w:rPr>
                <w:rFonts w:hint="cs"/>
                <w:spacing w:val="-6"/>
                <w:rtl/>
              </w:rPr>
              <w:t xml:space="preserve">تعرض هذه الوثيقة </w:t>
            </w:r>
            <w:r w:rsidRPr="00C903F5">
              <w:rPr>
                <w:rFonts w:hint="cs"/>
                <w:spacing w:val="-6"/>
                <w:rtl/>
                <w:lang w:bidi="ar-SY"/>
              </w:rPr>
              <w:t>إضافة إلى التقرير السنوي الرابع للجنة الاستشارية المستقلة للإدارة</w:t>
            </w:r>
            <w:r w:rsidR="00217F0E" w:rsidRPr="00C903F5">
              <w:rPr>
                <w:rFonts w:hint="eastAsia"/>
                <w:spacing w:val="-6"/>
                <w:rtl/>
                <w:lang w:bidi="ar-SY"/>
              </w:rPr>
              <w:t> </w:t>
            </w:r>
            <w:r w:rsidRPr="00C903F5">
              <w:rPr>
                <w:spacing w:val="-6"/>
                <w:lang w:bidi="ar-SY"/>
              </w:rPr>
              <w:t>(IMAC)</w:t>
            </w:r>
            <w:r w:rsidRPr="00C903F5">
              <w:rPr>
                <w:rFonts w:hint="cs"/>
                <w:spacing w:val="-6"/>
                <w:rtl/>
                <w:lang w:bidi="ar-SY"/>
              </w:rPr>
              <w:t xml:space="preserve"> فيما</w:t>
            </w:r>
            <w:r w:rsidR="00217F0E" w:rsidRPr="00C903F5">
              <w:rPr>
                <w:rFonts w:hint="eastAsia"/>
                <w:spacing w:val="-6"/>
                <w:rtl/>
                <w:lang w:bidi="ar-SY"/>
              </w:rPr>
              <w:t> </w:t>
            </w:r>
            <w:r w:rsidRPr="00C903F5">
              <w:rPr>
                <w:rFonts w:hint="cs"/>
                <w:spacing w:val="-6"/>
                <w:rtl/>
                <w:lang w:bidi="ar-SY"/>
              </w:rPr>
              <w:t xml:space="preserve">يتعلق باستنتاجات تقييم خارجي مستقل لوظيفة المراجعة الداخلية في الاتحاد الدولي للاتصالات والذي كانت هذه اللجنة قد أوصت بإجرائه قبلا. ويُرفع تقرير المصدقين الخارجيين الذين قاموا بالتقييم إلى المجلس بصورة منفصلة في الوثيقة </w:t>
            </w:r>
            <w:r w:rsidRPr="00C903F5">
              <w:rPr>
                <w:rFonts w:eastAsia="SimSun" w:cs="SimSun"/>
                <w:spacing w:val="-6"/>
                <w:szCs w:val="24"/>
                <w:lang w:val="en-GB" w:eastAsia="en-GB" w:bidi="en-US"/>
              </w:rPr>
              <w:t>C15/INF/11-E</w:t>
            </w:r>
            <w:r w:rsidRPr="00C903F5">
              <w:rPr>
                <w:rFonts w:hint="cs"/>
                <w:spacing w:val="-6"/>
                <w:rtl/>
                <w:lang w:val="en-GB" w:bidi="ar-SY"/>
              </w:rPr>
              <w:t>، وتزوِّد هذه الإضافة إلى التقرير السنوي الرابع للجنة الاستشارية المستقلة للإدارة المجلس بتعليقات اللجنة ومشورتها بشأن نتائج</w:t>
            </w:r>
            <w:r w:rsidR="00C903F5">
              <w:rPr>
                <w:rFonts w:hint="eastAsia"/>
                <w:spacing w:val="-6"/>
                <w:rtl/>
                <w:lang w:val="en-GB" w:bidi="ar-SY"/>
              </w:rPr>
              <w:t> </w:t>
            </w:r>
            <w:r w:rsidRPr="00C903F5">
              <w:rPr>
                <w:rFonts w:hint="cs"/>
                <w:spacing w:val="-6"/>
                <w:rtl/>
                <w:lang w:val="en-GB" w:bidi="ar-SY"/>
              </w:rPr>
              <w:t>التقييم.</w:t>
            </w:r>
          </w:p>
          <w:p w:rsidR="00290728" w:rsidRPr="00C903F5" w:rsidRDefault="00217F0E" w:rsidP="00C903F5">
            <w:pPr>
              <w:rPr>
                <w:spacing w:val="-6"/>
                <w:rtl/>
                <w:lang w:bidi="ar-SY"/>
              </w:rPr>
            </w:pPr>
            <w:r w:rsidRPr="00C903F5">
              <w:rPr>
                <w:rFonts w:hint="cs"/>
                <w:spacing w:val="-6"/>
                <w:rtl/>
                <w:lang w:val="en-GB" w:bidi="ar-SY"/>
              </w:rPr>
              <w:t>وتقر</w:t>
            </w:r>
            <w:r w:rsidR="005F6F34" w:rsidRPr="00C903F5">
              <w:rPr>
                <w:spacing w:val="-6"/>
                <w:rtl/>
                <w:lang w:val="en-GB" w:bidi="ar-SY"/>
              </w:rPr>
              <w:t xml:space="preserve"> اللجنة الاستشارية المستقلة للإدارة استنتاجات تقرير </w:t>
            </w:r>
            <w:r w:rsidR="005F6F34" w:rsidRPr="00C903F5">
              <w:rPr>
                <w:rFonts w:hint="cs"/>
                <w:spacing w:val="-6"/>
                <w:rtl/>
                <w:lang w:val="en-GB" w:bidi="ar-SY"/>
              </w:rPr>
              <w:t>التصديق</w:t>
            </w:r>
            <w:r w:rsidR="005F6F34" w:rsidRPr="00C903F5">
              <w:rPr>
                <w:spacing w:val="-6"/>
                <w:rtl/>
                <w:lang w:val="en-GB" w:bidi="ar-SY"/>
              </w:rPr>
              <w:t xml:space="preserve"> الخارجي </w:t>
            </w:r>
            <w:r w:rsidRPr="00C903F5">
              <w:rPr>
                <w:rFonts w:hint="cs"/>
                <w:spacing w:val="-6"/>
                <w:rtl/>
                <w:lang w:val="en-GB" w:bidi="ar-SY"/>
              </w:rPr>
              <w:t>وترفعها</w:t>
            </w:r>
            <w:r w:rsidR="005F6F34" w:rsidRPr="00C903F5">
              <w:rPr>
                <w:spacing w:val="-6"/>
                <w:rtl/>
                <w:lang w:val="en-GB" w:bidi="ar-SY"/>
              </w:rPr>
              <w:t xml:space="preserve"> إلى عناية المجلس. وتوصي اللجنة بأن يطلب المجلس إلى الأمين العام والمراجع الداخلي القيام، عبر آلية التقرير السنوي للمراجع الداخلي </w:t>
            </w:r>
            <w:r w:rsidRPr="00C903F5">
              <w:rPr>
                <w:spacing w:val="-6"/>
                <w:rtl/>
                <w:lang w:val="en-GB" w:bidi="ar-SY"/>
              </w:rPr>
              <w:t>بشأن أنشطة المراجعة الداخلية</w:t>
            </w:r>
            <w:r w:rsidR="005F6F34" w:rsidRPr="00C903F5">
              <w:rPr>
                <w:spacing w:val="-6"/>
                <w:rtl/>
                <w:lang w:val="en-GB" w:bidi="ar-SY"/>
              </w:rPr>
              <w:t>، برفع تقرير إلى المجلس عام</w:t>
            </w:r>
            <w:r w:rsidRPr="00C903F5">
              <w:rPr>
                <w:rFonts w:hint="eastAsia"/>
                <w:spacing w:val="-6"/>
                <w:rtl/>
                <w:lang w:bidi="ar-SY"/>
              </w:rPr>
              <w:t> </w:t>
            </w:r>
            <w:r w:rsidR="005F6F34" w:rsidRPr="00C903F5">
              <w:rPr>
                <w:spacing w:val="-6"/>
                <w:lang w:bidi="ar-SY"/>
              </w:rPr>
              <w:t>2016</w:t>
            </w:r>
            <w:r w:rsidR="005F6F34" w:rsidRPr="00C903F5">
              <w:rPr>
                <w:spacing w:val="-6"/>
                <w:rtl/>
                <w:lang w:val="en-GB" w:bidi="ar-SY"/>
              </w:rPr>
              <w:t xml:space="preserve"> والأعوام اللاحقة بشأن الإجراءات المتخذة والتقدم المحرز على طريق تنفيذ كل توصية من التوصيات التسع المدرجة في تقرير </w:t>
            </w:r>
            <w:r w:rsidR="005F6F34" w:rsidRPr="00C903F5">
              <w:rPr>
                <w:rFonts w:hint="cs"/>
                <w:spacing w:val="-6"/>
                <w:rtl/>
                <w:lang w:val="en-GB" w:bidi="ar-SY"/>
              </w:rPr>
              <w:t>التصديق</w:t>
            </w:r>
            <w:r w:rsidR="005F6F34" w:rsidRPr="00C903F5">
              <w:rPr>
                <w:spacing w:val="-6"/>
                <w:rtl/>
                <w:lang w:val="en-GB" w:bidi="ar-SY"/>
              </w:rPr>
              <w:t xml:space="preserve"> الخارجي المستقل عن أنشطة المراجعة الداخلية في</w:t>
            </w:r>
            <w:r w:rsidR="00C903F5">
              <w:rPr>
                <w:rFonts w:hint="cs"/>
                <w:spacing w:val="-6"/>
                <w:rtl/>
                <w:lang w:val="en-GB" w:bidi="ar-SY"/>
              </w:rPr>
              <w:t> </w:t>
            </w:r>
            <w:r w:rsidR="005F6F34" w:rsidRPr="00C903F5">
              <w:rPr>
                <w:spacing w:val="-6"/>
                <w:rtl/>
                <w:lang w:val="en-GB" w:bidi="ar-SY"/>
              </w:rPr>
              <w:t>الاتحاد.</w:t>
            </w:r>
          </w:p>
          <w:p w:rsidR="00290728" w:rsidRPr="00290728" w:rsidRDefault="00290728" w:rsidP="00706D7A">
            <w:pPr>
              <w:rPr>
                <w:b/>
                <w:bCs/>
                <w:rtl/>
                <w:lang w:bidi="ar-SY"/>
              </w:rPr>
            </w:pPr>
            <w:r w:rsidRPr="00290728">
              <w:rPr>
                <w:rFonts w:hint="cs"/>
                <w:b/>
                <w:bCs/>
                <w:rtl/>
                <w:lang w:bidi="ar-SY"/>
              </w:rPr>
              <w:t>الإجراء المطلوب</w:t>
            </w:r>
          </w:p>
          <w:p w:rsidR="00290728" w:rsidRDefault="005F6F34" w:rsidP="00217F0E">
            <w:pPr>
              <w:rPr>
                <w:rtl/>
                <w:lang w:bidi="ar-SY"/>
              </w:rPr>
            </w:pPr>
            <w:r>
              <w:rPr>
                <w:rFonts w:hint="cs"/>
                <w:rtl/>
                <w:lang w:bidi="ar-SY"/>
              </w:rPr>
              <w:t xml:space="preserve">يُدعى المجلس إلى </w:t>
            </w:r>
            <w:r>
              <w:rPr>
                <w:rFonts w:hint="cs"/>
                <w:b/>
                <w:bCs/>
                <w:rtl/>
                <w:lang w:bidi="ar-SY"/>
              </w:rPr>
              <w:t>إقرار</w:t>
            </w:r>
            <w:r>
              <w:rPr>
                <w:rFonts w:hint="cs"/>
                <w:rtl/>
                <w:lang w:bidi="ar-SY"/>
              </w:rPr>
              <w:t xml:space="preserve"> الإضافة المتعلقة بالتقرير السنوي الرابع للجنة الاستشارية المستقلة للإدارة </w:t>
            </w:r>
            <w:r w:rsidRPr="00B44EBC">
              <w:rPr>
                <w:rFonts w:hint="cs"/>
                <w:rtl/>
                <w:lang w:bidi="ar-SY"/>
              </w:rPr>
              <w:t>وتوصي</w:t>
            </w:r>
            <w:r>
              <w:rPr>
                <w:rFonts w:hint="cs"/>
                <w:rtl/>
                <w:lang w:bidi="ar-SY"/>
              </w:rPr>
              <w:t>ة هذه</w:t>
            </w:r>
            <w:r w:rsidR="00217F0E">
              <w:rPr>
                <w:rFonts w:hint="eastAsia"/>
                <w:rtl/>
                <w:lang w:bidi="ar-SY"/>
              </w:rPr>
              <w:t> </w:t>
            </w:r>
            <w:r>
              <w:rPr>
                <w:rFonts w:hint="cs"/>
                <w:rtl/>
                <w:lang w:bidi="ar-SY"/>
              </w:rPr>
              <w:t>اللجنة.</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290728" w:rsidRDefault="005F6F34" w:rsidP="00217F0E">
            <w:pPr>
              <w:rPr>
                <w:i/>
                <w:iCs/>
                <w:rtl/>
                <w:lang w:bidi="ar-EG"/>
              </w:rPr>
            </w:pPr>
            <w:r>
              <w:rPr>
                <w:rFonts w:hint="cs"/>
                <w:i/>
                <w:iCs/>
                <w:rtl/>
                <w:lang w:bidi="ar-SY"/>
              </w:rPr>
              <w:t xml:space="preserve">الوثيقة </w:t>
            </w:r>
            <w:r>
              <w:rPr>
                <w:rFonts w:eastAsia="SimSun" w:cs="SimSun"/>
                <w:i/>
                <w:iCs/>
                <w:szCs w:val="24"/>
                <w:lang w:eastAsia="en-GB" w:bidi="en-US"/>
              </w:rPr>
              <w:t>C15/22</w:t>
            </w:r>
            <w:r w:rsidRPr="00FE7556">
              <w:rPr>
                <w:rFonts w:ascii="Traditional Arabic"/>
                <w:i/>
                <w:iCs/>
                <w:sz w:val="30"/>
                <w:rtl/>
                <w:lang w:bidi="en-US"/>
              </w:rPr>
              <w:t xml:space="preserve"> "</w:t>
            </w:r>
            <w:r w:rsidRPr="00212E7A">
              <w:rPr>
                <w:i/>
                <w:iCs/>
                <w:rtl/>
              </w:rPr>
              <w:t xml:space="preserve">التقرير السنوي </w:t>
            </w:r>
            <w:r w:rsidRPr="00212E7A">
              <w:rPr>
                <w:rFonts w:hint="cs"/>
                <w:i/>
                <w:iCs/>
                <w:rtl/>
              </w:rPr>
              <w:t>الرابع</w:t>
            </w:r>
            <w:r w:rsidRPr="00212E7A">
              <w:rPr>
                <w:i/>
                <w:iCs/>
                <w:rtl/>
              </w:rPr>
              <w:t xml:space="preserve"> للجنة الاستشارية المستقلة للإدارة </w:t>
            </w:r>
            <w:r w:rsidR="003B0886">
              <w:rPr>
                <w:i/>
                <w:iCs/>
              </w:rPr>
              <w:t>(IMAC)</w:t>
            </w:r>
            <w:r>
              <w:rPr>
                <w:rFonts w:hint="cs"/>
                <w:i/>
                <w:iCs/>
                <w:rtl/>
              </w:rPr>
              <w:t xml:space="preserve"> إلى المجلس"؛ والوثيقة</w:t>
            </w:r>
            <w:r w:rsidR="00217F0E">
              <w:rPr>
                <w:rFonts w:hint="eastAsia"/>
                <w:i/>
                <w:iCs/>
                <w:rtl/>
              </w:rPr>
              <w:t> </w:t>
            </w:r>
            <w:r>
              <w:rPr>
                <w:rFonts w:eastAsia="SimSun" w:cs="SimSun"/>
                <w:i/>
                <w:iCs/>
                <w:szCs w:val="24"/>
                <w:lang w:eastAsia="en-GB" w:bidi="en-US"/>
              </w:rPr>
              <w:t>C15/INF/11-E</w:t>
            </w:r>
            <w:r>
              <w:rPr>
                <w:rFonts w:ascii="SimSun" w:eastAsia="SimSun" w:cs="SimSun"/>
                <w:i/>
                <w:iCs/>
                <w:sz w:val="24"/>
                <w:szCs w:val="24"/>
                <w:rtl/>
                <w:lang w:eastAsia="en-GB" w:bidi="en-US"/>
              </w:rPr>
              <w:t xml:space="preserve"> </w:t>
            </w:r>
            <w:r w:rsidRPr="005B0FFB">
              <w:rPr>
                <w:rFonts w:ascii="Traditional Arabic"/>
                <w:i/>
                <w:iCs/>
                <w:sz w:val="30"/>
                <w:rtl/>
                <w:lang w:bidi="en-US"/>
              </w:rPr>
              <w:t>"</w:t>
            </w:r>
            <w:r w:rsidRPr="005B0FFB">
              <w:rPr>
                <w:i/>
                <w:iCs/>
                <w:rtl/>
              </w:rPr>
              <w:t>تنفيذ</w:t>
            </w:r>
            <w:r w:rsidRPr="005B0FFB">
              <w:rPr>
                <w:rFonts w:ascii="Traditional Arabic"/>
                <w:i/>
                <w:iCs/>
                <w:sz w:val="30"/>
                <w:rtl/>
                <w:lang w:bidi="en-US"/>
              </w:rPr>
              <w:t xml:space="preserve"> </w:t>
            </w:r>
            <w:r w:rsidRPr="005B0FFB">
              <w:rPr>
                <w:i/>
                <w:iCs/>
                <w:rtl/>
              </w:rPr>
              <w:t>توصيات</w:t>
            </w:r>
            <w:r w:rsidRPr="005B0FFB">
              <w:rPr>
                <w:rFonts w:ascii="Traditional Arabic"/>
                <w:i/>
                <w:iCs/>
                <w:sz w:val="30"/>
                <w:rtl/>
                <w:lang w:bidi="en-US"/>
              </w:rPr>
              <w:t xml:space="preserve"> </w:t>
            </w:r>
            <w:r w:rsidRPr="005B0FFB">
              <w:rPr>
                <w:i/>
                <w:iCs/>
                <w:rtl/>
              </w:rPr>
              <w:t>اللجنة</w:t>
            </w:r>
            <w:r w:rsidRPr="005B0FFB">
              <w:rPr>
                <w:rFonts w:ascii="Traditional Arabic"/>
                <w:i/>
                <w:iCs/>
                <w:sz w:val="30"/>
                <w:rtl/>
                <w:lang w:bidi="en-US"/>
              </w:rPr>
              <w:t xml:space="preserve"> </w:t>
            </w:r>
            <w:r w:rsidRPr="005B0FFB">
              <w:rPr>
                <w:i/>
                <w:iCs/>
                <w:rtl/>
              </w:rPr>
              <w:t>الاستشارية</w:t>
            </w:r>
            <w:r w:rsidRPr="005B0FFB">
              <w:rPr>
                <w:rFonts w:ascii="Traditional Arabic"/>
                <w:i/>
                <w:iCs/>
                <w:sz w:val="30"/>
                <w:rtl/>
                <w:lang w:bidi="en-US"/>
              </w:rPr>
              <w:t xml:space="preserve"> </w:t>
            </w:r>
            <w:r w:rsidRPr="005B0FFB">
              <w:rPr>
                <w:i/>
                <w:iCs/>
                <w:rtl/>
              </w:rPr>
              <w:t>المستقلة</w:t>
            </w:r>
            <w:r w:rsidRPr="005B0FFB">
              <w:rPr>
                <w:rFonts w:ascii="Traditional Arabic"/>
                <w:i/>
                <w:iCs/>
                <w:sz w:val="30"/>
                <w:rtl/>
                <w:lang w:bidi="en-US"/>
              </w:rPr>
              <w:t xml:space="preserve"> </w:t>
            </w:r>
            <w:r w:rsidRPr="005B0FFB">
              <w:rPr>
                <w:i/>
                <w:iCs/>
                <w:rtl/>
              </w:rPr>
              <w:t>للإدارة</w:t>
            </w:r>
            <w:r w:rsidR="00FC3F8C">
              <w:rPr>
                <w:rFonts w:hint="eastAsia"/>
                <w:i/>
                <w:iCs/>
                <w:rtl/>
              </w:rPr>
              <w:t> </w:t>
            </w:r>
            <w:r w:rsidR="003B0886">
              <w:rPr>
                <w:i/>
                <w:iCs/>
              </w:rPr>
              <w:t>(IMAC)</w:t>
            </w:r>
            <w:r w:rsidR="003B0886">
              <w:rPr>
                <w:rFonts w:hint="cs"/>
                <w:i/>
                <w:iCs/>
                <w:rtl/>
                <w:lang w:bidi="ar-EG"/>
              </w:rPr>
              <w:t>"</w:t>
            </w:r>
          </w:p>
        </w:tc>
      </w:tr>
    </w:tbl>
    <w:p w:rsidR="00FC3F8C" w:rsidRDefault="00FC3F8C" w:rsidP="00C903F5">
      <w:pPr>
        <w:rPr>
          <w:rtl/>
          <w:lang w:bidi="ar-EG"/>
        </w:rPr>
      </w:pPr>
      <w:r w:rsidRPr="00042796">
        <w:rPr>
          <w:rFonts w:hint="cs"/>
          <w:lang w:bidi="ar-SY"/>
        </w:rPr>
        <w:t>1</w:t>
      </w:r>
      <w:r>
        <w:rPr>
          <w:rFonts w:hint="cs"/>
          <w:rtl/>
          <w:lang w:bidi="ar-SY"/>
        </w:rPr>
        <w:tab/>
      </w:r>
      <w:r w:rsidR="00217F0E">
        <w:rPr>
          <w:rFonts w:hint="cs"/>
          <w:rtl/>
          <w:lang w:bidi="ar-SY"/>
        </w:rPr>
        <w:t>تشير اللجنة الاستشارية المستقلة للإدارة في</w:t>
      </w:r>
      <w:r>
        <w:rPr>
          <w:rFonts w:hint="cs"/>
          <w:rtl/>
          <w:lang w:bidi="ar-SY"/>
        </w:rPr>
        <w:t xml:space="preserve"> الفقرة </w:t>
      </w:r>
      <w:r w:rsidR="00C903F5">
        <w:rPr>
          <w:lang w:bidi="ar-SY"/>
        </w:rPr>
        <w:t>10.3</w:t>
      </w:r>
      <w:r w:rsidR="00C903F5">
        <w:rPr>
          <w:rFonts w:hint="cs"/>
          <w:rtl/>
          <w:lang w:bidi="ar-EG"/>
        </w:rPr>
        <w:t xml:space="preserve"> من التقرير السنوي لعام </w:t>
      </w:r>
      <w:r w:rsidR="00C903F5">
        <w:rPr>
          <w:lang w:bidi="ar-EG"/>
        </w:rPr>
        <w:t>2015</w:t>
      </w:r>
      <w:r>
        <w:rPr>
          <w:rFonts w:hint="cs"/>
          <w:rtl/>
          <w:lang w:bidi="ar-SY"/>
        </w:rPr>
        <w:t xml:space="preserve"> </w:t>
      </w:r>
      <w:r w:rsidR="00217F0E">
        <w:rPr>
          <w:rFonts w:hint="cs"/>
          <w:rtl/>
          <w:lang w:bidi="ar-SY"/>
        </w:rPr>
        <w:t>إلى</w:t>
      </w:r>
      <w:r>
        <w:rPr>
          <w:rFonts w:hint="cs"/>
          <w:rtl/>
          <w:lang w:bidi="ar-EG"/>
        </w:rPr>
        <w:t xml:space="preserve"> أنه استجابة لما سبق للجنة أن تقدمت به من مشورة وتوصية فقد تم إجراء تصديق خارجي على وظيفة المراجعة الداخلية </w:t>
      </w:r>
      <w:r w:rsidR="00217F0E">
        <w:rPr>
          <w:rFonts w:hint="cs"/>
          <w:rtl/>
          <w:lang w:bidi="ar-EG"/>
        </w:rPr>
        <w:t>في الاتحاد</w:t>
      </w:r>
      <w:r>
        <w:rPr>
          <w:rFonts w:hint="cs"/>
          <w:rtl/>
          <w:lang w:bidi="ar-EG"/>
        </w:rPr>
        <w:t xml:space="preserve"> على يد ممارسين خارجيين وفقاً للعرف المهني المعتمد لمعهد </w:t>
      </w:r>
      <w:r w:rsidR="00217F0E">
        <w:rPr>
          <w:rFonts w:hint="cs"/>
          <w:rtl/>
          <w:lang w:bidi="ar-EG"/>
        </w:rPr>
        <w:t>المراجعين</w:t>
      </w:r>
      <w:r>
        <w:rPr>
          <w:rFonts w:hint="cs"/>
          <w:rtl/>
          <w:lang w:bidi="ar-EG"/>
        </w:rPr>
        <w:t xml:space="preserve"> الداخليين، وهو الهيئة المهنية المعنية. وترفع هذه الإضافة إلى المجلس نتائج عملية الاستعراض الخارج</w:t>
      </w:r>
      <w:r w:rsidR="00C903F5">
        <w:rPr>
          <w:rFonts w:hint="cs"/>
          <w:rtl/>
          <w:lang w:bidi="ar-EG"/>
        </w:rPr>
        <w:t>ي</w:t>
      </w:r>
      <w:r w:rsidR="00217F0E">
        <w:rPr>
          <w:rFonts w:hint="eastAsia"/>
          <w:rtl/>
          <w:lang w:bidi="ar-EG"/>
        </w:rPr>
        <w:t> </w:t>
      </w:r>
      <w:r>
        <w:rPr>
          <w:rFonts w:hint="cs"/>
          <w:rtl/>
          <w:lang w:bidi="ar-EG"/>
        </w:rPr>
        <w:t>تلك.</w:t>
      </w:r>
    </w:p>
    <w:p w:rsidR="00FC3F8C" w:rsidRPr="00C4317A" w:rsidRDefault="00FC3F8C" w:rsidP="00AE27A6">
      <w:pPr>
        <w:rPr>
          <w:rtl/>
          <w:lang w:bidi="ar-EG"/>
        </w:rPr>
      </w:pPr>
      <w:r w:rsidRPr="00F841D4">
        <w:rPr>
          <w:rFonts w:hint="cs"/>
          <w:lang w:bidi="ar-EG"/>
        </w:rPr>
        <w:t>2</w:t>
      </w:r>
      <w:r>
        <w:rPr>
          <w:rFonts w:hint="cs"/>
          <w:rtl/>
          <w:lang w:bidi="ar-EG"/>
        </w:rPr>
        <w:tab/>
        <w:t xml:space="preserve">ويعرض الأمين العام تقرير المصدقين الخارجيين ضمن الوثيقة </w:t>
      </w:r>
      <w:r w:rsidRPr="00C4317A">
        <w:rPr>
          <w:lang w:val="en-GB" w:bidi="ar-EG"/>
        </w:rPr>
        <w:t>C15/INF/11-E</w:t>
      </w:r>
      <w:r>
        <w:rPr>
          <w:rFonts w:hint="cs"/>
          <w:rtl/>
          <w:lang w:bidi="ar-EG"/>
        </w:rPr>
        <w:t xml:space="preserve">، المرفوعة إلى المجلس للعلم، والمحتوية على استنتاجات مفصلة بشأن الاستنتاجات والتوصيات المحددة التسع </w:t>
      </w:r>
      <w:r w:rsidR="00217F0E">
        <w:rPr>
          <w:rFonts w:hint="cs"/>
          <w:rtl/>
          <w:lang w:bidi="ar-EG"/>
        </w:rPr>
        <w:t>من أجل اتخاذ</w:t>
      </w:r>
      <w:r w:rsidRPr="00BC1651">
        <w:rPr>
          <w:rFonts w:hint="cs"/>
          <w:rtl/>
          <w:lang w:bidi="ar-EG"/>
        </w:rPr>
        <w:t xml:space="preserve"> الإجراءات</w:t>
      </w:r>
      <w:r w:rsidR="00217F0E">
        <w:rPr>
          <w:rFonts w:hint="eastAsia"/>
          <w:rtl/>
          <w:lang w:bidi="ar-EG"/>
        </w:rPr>
        <w:t> </w:t>
      </w:r>
      <w:r w:rsidRPr="00BC1651">
        <w:rPr>
          <w:rFonts w:hint="cs"/>
          <w:rtl/>
          <w:lang w:bidi="ar-EG"/>
        </w:rPr>
        <w:t>اللازمة.</w:t>
      </w:r>
    </w:p>
    <w:p w:rsidR="00FC3F8C" w:rsidRDefault="00FC3F8C" w:rsidP="00C903F5">
      <w:pPr>
        <w:rPr>
          <w:rtl/>
          <w:lang w:bidi="ar-EG"/>
        </w:rPr>
      </w:pPr>
      <w:r w:rsidRPr="0062662F">
        <w:rPr>
          <w:rFonts w:hint="cs"/>
          <w:lang w:bidi="ar-SY"/>
        </w:rPr>
        <w:t>3</w:t>
      </w:r>
      <w:r w:rsidRPr="0062662F">
        <w:rPr>
          <w:rFonts w:hint="cs"/>
          <w:rtl/>
          <w:lang w:bidi="ar-EG"/>
        </w:rPr>
        <w:tab/>
      </w:r>
      <w:r w:rsidR="00C903F5">
        <w:rPr>
          <w:rFonts w:hint="cs"/>
          <w:rtl/>
          <w:lang w:bidi="ar-EG"/>
        </w:rPr>
        <w:t>وتتسم وظيفة المراجعة الداخلية</w:t>
      </w:r>
      <w:r>
        <w:rPr>
          <w:rFonts w:hint="cs"/>
          <w:rtl/>
          <w:lang w:bidi="ar-EG"/>
        </w:rPr>
        <w:t xml:space="preserve">، ومن ثم استنتاجات هذا الاستعراض الخارجي، بالأهمية بالنسبة لفعالية ترتيبات الإدارة والإشراف في الاتحاد. وتعتبر المراجعة الداخلية عنصراً أساسياً في الترتيبات الشاملة </w:t>
      </w:r>
      <w:r w:rsidR="00435E42">
        <w:rPr>
          <w:rFonts w:hint="cs"/>
          <w:rtl/>
          <w:lang w:bidi="ar-EG"/>
        </w:rPr>
        <w:t>لضمان جودة الأداء</w:t>
      </w:r>
      <w:r>
        <w:rPr>
          <w:rFonts w:hint="cs"/>
          <w:rtl/>
          <w:lang w:bidi="ar-EG"/>
        </w:rPr>
        <w:t xml:space="preserve"> والإدارة</w:t>
      </w:r>
      <w:r w:rsidR="00217F0E">
        <w:rPr>
          <w:rFonts w:hint="cs"/>
          <w:rtl/>
          <w:lang w:bidi="ar-EG"/>
        </w:rPr>
        <w:t xml:space="preserve">، بالترافق مع المراجعة </w:t>
      </w:r>
      <w:r w:rsidR="002C1E66">
        <w:rPr>
          <w:rFonts w:hint="cs"/>
          <w:rtl/>
          <w:lang w:bidi="ar-EG"/>
        </w:rPr>
        <w:t>الخارجية</w:t>
      </w:r>
      <w:r>
        <w:rPr>
          <w:rFonts w:hint="cs"/>
          <w:rtl/>
          <w:lang w:bidi="ar-EG"/>
        </w:rPr>
        <w:t xml:space="preserve">، وإطار إدارة المخاطر </w:t>
      </w:r>
      <w:r w:rsidR="002C1E66">
        <w:rPr>
          <w:rFonts w:hint="cs"/>
          <w:rtl/>
          <w:lang w:bidi="ar-EG"/>
        </w:rPr>
        <w:t>والضوابط</w:t>
      </w:r>
      <w:r>
        <w:rPr>
          <w:rFonts w:hint="cs"/>
          <w:rtl/>
          <w:lang w:bidi="ar-EG"/>
        </w:rPr>
        <w:t>، وإشراف اللجنة الاستشارية المستقلة للإدارة. وقد استعرضت اللجنة الاستشارية المستقلة للإدارة تقرير التصديق وتطرح الملاحظات التالية على استنتاجات الاستعراض وما</w:t>
      </w:r>
      <w:r w:rsidR="00217F0E">
        <w:rPr>
          <w:rFonts w:hint="eastAsia"/>
          <w:rtl/>
          <w:lang w:bidi="ar-EG"/>
        </w:rPr>
        <w:t> </w:t>
      </w:r>
      <w:r>
        <w:rPr>
          <w:rFonts w:hint="cs"/>
          <w:rtl/>
          <w:lang w:bidi="ar-EG"/>
        </w:rPr>
        <w:t>تعنيه بالنسبة للدول الأعضاء في</w:t>
      </w:r>
      <w:r w:rsidR="00C903F5">
        <w:rPr>
          <w:rFonts w:hint="eastAsia"/>
          <w:rtl/>
          <w:lang w:bidi="ar-EG"/>
        </w:rPr>
        <w:t> </w:t>
      </w:r>
      <w:r>
        <w:rPr>
          <w:rFonts w:hint="cs"/>
          <w:rtl/>
          <w:lang w:bidi="ar-EG"/>
        </w:rPr>
        <w:t>المجلس.</w:t>
      </w:r>
    </w:p>
    <w:p w:rsidR="00FC3F8C" w:rsidRDefault="00FC3F8C" w:rsidP="002C1E66">
      <w:pPr>
        <w:rPr>
          <w:rtl/>
          <w:lang w:bidi="ar-SY"/>
        </w:rPr>
      </w:pPr>
      <w:r w:rsidRPr="007E1E78">
        <w:rPr>
          <w:rFonts w:hint="cs"/>
          <w:lang w:bidi="ar-EG"/>
        </w:rPr>
        <w:t>4</w:t>
      </w:r>
      <w:r>
        <w:rPr>
          <w:rFonts w:hint="cs"/>
          <w:rtl/>
          <w:lang w:bidi="ar-EG"/>
        </w:rPr>
        <w:tab/>
      </w:r>
      <w:r>
        <w:rPr>
          <w:rFonts w:hint="cs"/>
          <w:rtl/>
          <w:lang w:bidi="ar-SY"/>
        </w:rPr>
        <w:t xml:space="preserve">لا يتمتع الاتحاد الدولي للاتصالات، في الوقت الراهن، بمجموعة شاملة ومتسقة وفعالة تماماً من ترتيبات الإدارة والرقابة الداخلية لتوفير مستوى </w:t>
      </w:r>
      <w:r w:rsidR="002C1E66">
        <w:rPr>
          <w:rFonts w:hint="cs"/>
          <w:rtl/>
          <w:lang w:bidi="ar-SY"/>
        </w:rPr>
        <w:t>الضمان</w:t>
      </w:r>
      <w:r>
        <w:rPr>
          <w:rFonts w:hint="cs"/>
          <w:rtl/>
          <w:lang w:bidi="ar-SY"/>
        </w:rPr>
        <w:t xml:space="preserve"> المناسب للمنظمة ككل. ولذلك تحض اللجنة الاستشارية المستقلة للإدارة الدول الأعضاء في المجلس على أن تنخرط بنشاط فيما يتعلق بنتائج التصديق الخارجي، وأن تشجع وترصد التغيير والتحسين عبر قيام </w:t>
      </w:r>
      <w:r w:rsidR="002C1E66">
        <w:rPr>
          <w:rFonts w:hint="cs"/>
          <w:rtl/>
          <w:lang w:bidi="ar-SY"/>
        </w:rPr>
        <w:t xml:space="preserve">وحدة </w:t>
      </w:r>
      <w:r>
        <w:rPr>
          <w:rFonts w:hint="cs"/>
          <w:rtl/>
          <w:lang w:bidi="ar-SY"/>
        </w:rPr>
        <w:t>المراجعة الداخلية والأمانة بتنفيذ توصيات التقرير.</w:t>
      </w:r>
    </w:p>
    <w:p w:rsidR="00FC3F8C" w:rsidRDefault="00FC3F8C" w:rsidP="00CE303B">
      <w:pPr>
        <w:rPr>
          <w:b/>
          <w:bCs/>
          <w:rtl/>
          <w:lang w:bidi="ar-SY"/>
        </w:rPr>
      </w:pPr>
      <w:r w:rsidRPr="00E60A11">
        <w:rPr>
          <w:rFonts w:hint="cs"/>
        </w:rPr>
        <w:t>5</w:t>
      </w:r>
      <w:r>
        <w:rPr>
          <w:rFonts w:hint="cs"/>
          <w:rtl/>
        </w:rPr>
        <w:tab/>
      </w:r>
      <w:r w:rsidR="002C1E66">
        <w:rPr>
          <w:rFonts w:hint="cs"/>
          <w:rtl/>
        </w:rPr>
        <w:t>ويشير</w:t>
      </w:r>
      <w:r>
        <w:rPr>
          <w:rFonts w:hint="cs"/>
          <w:rtl/>
        </w:rPr>
        <w:t xml:space="preserve"> التصديق الخارجي المستقل بإيجابية </w:t>
      </w:r>
      <w:r w:rsidR="002C1E66">
        <w:rPr>
          <w:rFonts w:hint="cs"/>
          <w:rtl/>
        </w:rPr>
        <w:t>إلى أن المراجعة الداخلية تمتثل امتثالاً عاماً وشاملاً</w:t>
      </w:r>
      <w:r>
        <w:rPr>
          <w:rFonts w:hint="cs"/>
          <w:rtl/>
        </w:rPr>
        <w:t xml:space="preserve"> للمعايير المهنية ومدونة الأخلاقيات ذات الصلة، علماً بأن تقييم بعض المجالات أشار إلى أن الامتثال فيها جزئي فحسب وأنه بحاجة إلى</w:t>
      </w:r>
      <w:r w:rsidR="00CE303B">
        <w:rPr>
          <w:rFonts w:hint="eastAsia"/>
          <w:rtl/>
        </w:rPr>
        <w:t> </w:t>
      </w:r>
      <w:r>
        <w:rPr>
          <w:rFonts w:hint="cs"/>
          <w:rtl/>
        </w:rPr>
        <w:t xml:space="preserve">تحسين. </w:t>
      </w:r>
    </w:p>
    <w:p w:rsidR="00FC3F8C" w:rsidRDefault="00FC3F8C" w:rsidP="00796B7C">
      <w:pPr>
        <w:rPr>
          <w:b/>
          <w:bCs/>
          <w:rtl/>
          <w:lang w:bidi="ar-SY"/>
        </w:rPr>
      </w:pPr>
      <w:r>
        <w:rPr>
          <w:lang w:bidi="ar-SY"/>
        </w:rPr>
        <w:t>6</w:t>
      </w:r>
      <w:r>
        <w:rPr>
          <w:rtl/>
          <w:lang w:bidi="ar-SY"/>
        </w:rPr>
        <w:tab/>
      </w:r>
      <w:r>
        <w:rPr>
          <w:rFonts w:hint="cs"/>
          <w:rtl/>
          <w:lang w:bidi="ar-SY"/>
        </w:rPr>
        <w:t xml:space="preserve">وفيما يتعلق بمجالات التحسين فقد أشار الاستعراض إلى أن وظيفة المراجعة الداخلية لا توفر </w:t>
      </w:r>
      <w:r w:rsidR="00CE303B">
        <w:rPr>
          <w:rFonts w:hint="cs"/>
          <w:rtl/>
          <w:lang w:bidi="ar-SY"/>
        </w:rPr>
        <w:t>ضمانة</w:t>
      </w:r>
      <w:r>
        <w:rPr>
          <w:rFonts w:hint="cs"/>
          <w:rtl/>
          <w:lang w:bidi="ar-SY"/>
        </w:rPr>
        <w:t xml:space="preserve"> بشأن فعالية عمليات إدارة المخاطر والإدارة، كما أن خطة </w:t>
      </w:r>
      <w:r w:rsidR="00CE303B">
        <w:rPr>
          <w:rFonts w:hint="cs"/>
          <w:rtl/>
          <w:lang w:bidi="ar-SY"/>
        </w:rPr>
        <w:t>المراجعة</w:t>
      </w:r>
      <w:r>
        <w:rPr>
          <w:rFonts w:hint="cs"/>
          <w:rtl/>
          <w:lang w:bidi="ar-SY"/>
        </w:rPr>
        <w:t xml:space="preserve"> لا تستند إلى تحليل كامل للمخاطر، بالنظر إلى أن عملية المخاطر المساندة لانتقاء مواضيع </w:t>
      </w:r>
      <w:r w:rsidR="00CE303B">
        <w:rPr>
          <w:rFonts w:hint="cs"/>
          <w:rtl/>
          <w:lang w:bidi="ar-SY"/>
        </w:rPr>
        <w:t>ال</w:t>
      </w:r>
      <w:r>
        <w:rPr>
          <w:rFonts w:hint="cs"/>
          <w:rtl/>
          <w:lang w:bidi="ar-SY"/>
        </w:rPr>
        <w:t xml:space="preserve">مراجعة لم تكن منتظمة أو شاملة أو موثقة بشكل كاف لتوفير استراتيجية أو مقاربة كلية مناسبة </w:t>
      </w:r>
      <w:r w:rsidR="00CE303B">
        <w:rPr>
          <w:rFonts w:hint="cs"/>
          <w:rtl/>
          <w:lang w:bidi="ar-SY"/>
        </w:rPr>
        <w:t>للضمان</w:t>
      </w:r>
      <w:r>
        <w:rPr>
          <w:rFonts w:hint="cs"/>
          <w:rtl/>
          <w:lang w:bidi="ar-SY"/>
        </w:rPr>
        <w:t xml:space="preserve"> اللازم. وفضلاً عن ذلك فإن الحجم والقدرة المحدودين لوحدة المراجعة الداخلية يقيد تغطية هذه الوحدة للمخاطر الحاسم</w:t>
      </w:r>
      <w:r w:rsidR="00C903F5">
        <w:rPr>
          <w:rFonts w:hint="cs"/>
          <w:rtl/>
          <w:lang w:bidi="ar-SY"/>
        </w:rPr>
        <w:t>ة</w:t>
      </w:r>
      <w:r w:rsidR="00CE303B">
        <w:rPr>
          <w:rFonts w:hint="eastAsia"/>
          <w:rtl/>
          <w:lang w:bidi="ar-SY"/>
        </w:rPr>
        <w:t> </w:t>
      </w:r>
      <w:r>
        <w:rPr>
          <w:rFonts w:hint="cs"/>
          <w:rtl/>
          <w:lang w:bidi="ar-SY"/>
        </w:rPr>
        <w:t>والكبرى.</w:t>
      </w:r>
    </w:p>
    <w:p w:rsidR="00FC3F8C" w:rsidRDefault="00FC3F8C" w:rsidP="00845C63">
      <w:pPr>
        <w:rPr>
          <w:b/>
          <w:bCs/>
          <w:rtl/>
          <w:lang w:bidi="ar-SY"/>
        </w:rPr>
      </w:pPr>
      <w:r>
        <w:rPr>
          <w:lang w:bidi="ar-SY"/>
        </w:rPr>
        <w:t>7</w:t>
      </w:r>
      <w:r>
        <w:rPr>
          <w:rtl/>
          <w:lang w:bidi="ar-SY"/>
        </w:rPr>
        <w:tab/>
      </w:r>
      <w:r>
        <w:rPr>
          <w:rFonts w:hint="cs"/>
          <w:rtl/>
          <w:lang w:bidi="ar-SY"/>
        </w:rPr>
        <w:t xml:space="preserve">وبيَّن الاستعراض أن برامج عمل المراجعة الداخلية تتطلب تعريفاً أفضل </w:t>
      </w:r>
      <w:r w:rsidR="00845C63">
        <w:rPr>
          <w:rFonts w:hint="cs"/>
          <w:rtl/>
          <w:lang w:bidi="ar-SY"/>
        </w:rPr>
        <w:t>للضوابط</w:t>
      </w:r>
      <w:r>
        <w:rPr>
          <w:rFonts w:hint="cs"/>
          <w:rtl/>
          <w:lang w:bidi="ar-SY"/>
        </w:rPr>
        <w:t xml:space="preserve"> والمخاطر؛ وأن </w:t>
      </w:r>
      <w:r w:rsidR="00845C63">
        <w:rPr>
          <w:rFonts w:hint="cs"/>
          <w:rtl/>
          <w:lang w:bidi="ar-SY"/>
        </w:rPr>
        <w:t>وثائق</w:t>
      </w:r>
      <w:r>
        <w:rPr>
          <w:rFonts w:hint="cs"/>
          <w:rtl/>
          <w:lang w:bidi="ar-SY"/>
        </w:rPr>
        <w:t xml:space="preserve"> العمل لا</w:t>
      </w:r>
      <w:r w:rsidR="00845C63">
        <w:rPr>
          <w:rFonts w:hint="eastAsia"/>
          <w:rtl/>
          <w:lang w:bidi="ar-SY"/>
        </w:rPr>
        <w:t> </w:t>
      </w:r>
      <w:r>
        <w:rPr>
          <w:rFonts w:hint="cs"/>
          <w:rtl/>
          <w:lang w:bidi="ar-SY"/>
        </w:rPr>
        <w:t xml:space="preserve">ترتبط بشكل كاف بمعايير </w:t>
      </w:r>
      <w:r w:rsidR="00845C63">
        <w:rPr>
          <w:rFonts w:hint="cs"/>
          <w:rtl/>
          <w:lang w:bidi="ar-SY"/>
        </w:rPr>
        <w:t>ال</w:t>
      </w:r>
      <w:r>
        <w:rPr>
          <w:rFonts w:hint="cs"/>
          <w:rtl/>
          <w:lang w:bidi="ar-SY"/>
        </w:rPr>
        <w:t>مراجعة القائمة على الأهداف، وبالأسباب والاستنتاجات.</w:t>
      </w:r>
    </w:p>
    <w:p w:rsidR="00FC3F8C" w:rsidRDefault="00FC3F8C" w:rsidP="00845C63">
      <w:pPr>
        <w:rPr>
          <w:rtl/>
          <w:lang w:bidi="ar-SY"/>
        </w:rPr>
      </w:pPr>
      <w:r w:rsidRPr="0062662F">
        <w:rPr>
          <w:lang w:bidi="ar-SY"/>
        </w:rPr>
        <w:t>8</w:t>
      </w:r>
      <w:r w:rsidRPr="00902A80">
        <w:rPr>
          <w:b/>
          <w:bCs/>
          <w:rtl/>
          <w:lang w:bidi="ar-SY"/>
        </w:rPr>
        <w:tab/>
      </w:r>
      <w:r>
        <w:rPr>
          <w:rFonts w:hint="cs"/>
          <w:rtl/>
          <w:lang w:bidi="ar-SY"/>
        </w:rPr>
        <w:t xml:space="preserve">ولا يوفر رأي </w:t>
      </w:r>
      <w:r w:rsidR="00845C63">
        <w:rPr>
          <w:rFonts w:hint="cs"/>
          <w:rtl/>
          <w:lang w:bidi="ar-SY"/>
        </w:rPr>
        <w:t>ال</w:t>
      </w:r>
      <w:r>
        <w:rPr>
          <w:rFonts w:hint="cs"/>
          <w:rtl/>
          <w:lang w:bidi="ar-SY"/>
        </w:rPr>
        <w:t xml:space="preserve">مراجعة الذي تستخدمه المراجعة الداخلية </w:t>
      </w:r>
      <w:r w:rsidR="00845C63">
        <w:rPr>
          <w:rFonts w:hint="cs"/>
          <w:rtl/>
          <w:lang w:bidi="ar-SY"/>
        </w:rPr>
        <w:t>ضمانة</w:t>
      </w:r>
      <w:r>
        <w:rPr>
          <w:rFonts w:hint="cs"/>
          <w:rtl/>
          <w:lang w:bidi="ar-SY"/>
        </w:rPr>
        <w:t xml:space="preserve"> بشأن إدارة المخاطر والإدارة (على نحو ما</w:t>
      </w:r>
      <w:r w:rsidR="00845C63">
        <w:rPr>
          <w:rFonts w:hint="eastAsia"/>
          <w:rtl/>
          <w:lang w:bidi="ar-SY"/>
        </w:rPr>
        <w:t> </w:t>
      </w:r>
      <w:r>
        <w:rPr>
          <w:rFonts w:hint="cs"/>
          <w:rtl/>
          <w:lang w:bidi="ar-SY"/>
        </w:rPr>
        <w:t>ينص عليه ميثاق المراجعة الداخلية ومعاييرها)؛ وتتسم الأهداف بعمومية مفرطة ولا تُغطى على الدوام عملياً؛ كما لم تُحلل مواطن الضعف في الرقابة بشكل كامل للكشف عن الأسباب والعواقب.</w:t>
      </w:r>
    </w:p>
    <w:p w:rsidR="00FC3F8C" w:rsidRDefault="00FC3F8C" w:rsidP="00FD50EB">
      <w:pPr>
        <w:rPr>
          <w:rtl/>
          <w:lang w:bidi="ar-SY"/>
        </w:rPr>
      </w:pPr>
      <w:r w:rsidRPr="0062662F">
        <w:rPr>
          <w:lang w:bidi="ar-SY"/>
        </w:rPr>
        <w:t>9</w:t>
      </w:r>
      <w:r w:rsidRPr="00E479D5">
        <w:rPr>
          <w:b/>
          <w:bCs/>
          <w:rtl/>
          <w:lang w:bidi="ar-SY"/>
        </w:rPr>
        <w:tab/>
      </w:r>
      <w:r w:rsidR="00845C63">
        <w:rPr>
          <w:rFonts w:hint="cs"/>
          <w:rtl/>
          <w:lang w:bidi="ar-SY"/>
        </w:rPr>
        <w:t>وأشير في</w:t>
      </w:r>
      <w:r>
        <w:rPr>
          <w:rFonts w:hint="cs"/>
          <w:rtl/>
          <w:lang w:bidi="ar-SY"/>
        </w:rPr>
        <w:t xml:space="preserve"> الاستعراض </w:t>
      </w:r>
      <w:r w:rsidR="00845C63">
        <w:rPr>
          <w:rFonts w:hint="cs"/>
          <w:rtl/>
          <w:lang w:bidi="ar-SY"/>
        </w:rPr>
        <w:t xml:space="preserve">إلى </w:t>
      </w:r>
      <w:r>
        <w:rPr>
          <w:rFonts w:hint="cs"/>
          <w:rtl/>
          <w:lang w:bidi="ar-SY"/>
        </w:rPr>
        <w:t>أن التقارير السنوية للمراجعة الداخلية المرفوعة إلى المجلس لا تحدد عواقب مواطن ضعف الرقابة. ولا</w:t>
      </w:r>
      <w:r w:rsidR="00741E77">
        <w:rPr>
          <w:rFonts w:hint="eastAsia"/>
          <w:rtl/>
          <w:lang w:bidi="ar-SY"/>
        </w:rPr>
        <w:t> </w:t>
      </w:r>
      <w:r>
        <w:rPr>
          <w:rFonts w:hint="cs"/>
          <w:rtl/>
          <w:lang w:bidi="ar-SY"/>
        </w:rPr>
        <w:t>بد من الإقرار بتأثير وتبعات مواطن ضعف الرقابة والإدارة بغية معالجة أوجه القصور وتحقيق</w:t>
      </w:r>
      <w:r w:rsidR="00FD50EB">
        <w:rPr>
          <w:rFonts w:hint="eastAsia"/>
          <w:rtl/>
          <w:lang w:bidi="ar-SY"/>
        </w:rPr>
        <w:t> </w:t>
      </w:r>
      <w:r>
        <w:rPr>
          <w:rFonts w:hint="cs"/>
          <w:rtl/>
          <w:lang w:bidi="ar-SY"/>
        </w:rPr>
        <w:t>التحسينات.</w:t>
      </w:r>
    </w:p>
    <w:p w:rsidR="00FC3F8C" w:rsidRDefault="00FC3F8C" w:rsidP="00741E77">
      <w:pPr>
        <w:rPr>
          <w:rtl/>
          <w:lang w:bidi="ar-SY"/>
        </w:rPr>
      </w:pPr>
      <w:r w:rsidRPr="00455C9A">
        <w:rPr>
          <w:rFonts w:hint="cs"/>
          <w:lang w:bidi="ar-SY"/>
        </w:rPr>
        <w:t>10</w:t>
      </w:r>
      <w:r>
        <w:rPr>
          <w:rFonts w:hint="cs"/>
          <w:rtl/>
          <w:lang w:bidi="ar-SY"/>
        </w:rPr>
        <w:tab/>
        <w:t>وتتماشى استنتاجات الاستعراض الجديد هذه مع الملاحظات التي سبق أن أدلت بها اللجنة الاستشارية المستقلة للإدارة و</w:t>
      </w:r>
      <w:r w:rsidR="00845C63">
        <w:rPr>
          <w:rFonts w:hint="cs"/>
          <w:rtl/>
          <w:lang w:bidi="ar-SY"/>
        </w:rPr>
        <w:t>ال</w:t>
      </w:r>
      <w:r>
        <w:rPr>
          <w:rFonts w:hint="cs"/>
          <w:rtl/>
          <w:lang w:bidi="ar-SY"/>
        </w:rPr>
        <w:t>مراجع الخارجي وتعززها، وذلك مثلاً فيما يتعلق بما</w:t>
      </w:r>
      <w:r w:rsidR="00741E77">
        <w:rPr>
          <w:rFonts w:hint="eastAsia"/>
          <w:rtl/>
          <w:lang w:bidi="ar-SY"/>
        </w:rPr>
        <w:t> </w:t>
      </w:r>
      <w:r>
        <w:rPr>
          <w:rFonts w:hint="cs"/>
          <w:rtl/>
          <w:lang w:bidi="ar-SY"/>
        </w:rPr>
        <w:t>يلي:</w:t>
      </w:r>
    </w:p>
    <w:p w:rsidR="00FC3F8C" w:rsidRDefault="00AE27A6" w:rsidP="00845C63">
      <w:pPr>
        <w:pStyle w:val="enumlev1"/>
      </w:pPr>
      <w:r>
        <w:rPr>
          <w:rFonts w:hint="cs"/>
          <w:rtl/>
        </w:rPr>
        <w:t>•</w:t>
      </w:r>
      <w:r>
        <w:rPr>
          <w:rtl/>
        </w:rPr>
        <w:tab/>
      </w:r>
      <w:r w:rsidR="00FC3F8C">
        <w:rPr>
          <w:rFonts w:hint="cs"/>
          <w:rtl/>
        </w:rPr>
        <w:t>مدى كفاية ال</w:t>
      </w:r>
      <w:r w:rsidR="00845C63">
        <w:rPr>
          <w:rFonts w:hint="cs"/>
          <w:rtl/>
        </w:rPr>
        <w:t>موارد المتاحة للمراجعة الداخلية</w:t>
      </w:r>
      <w:r w:rsidR="00FC3F8C">
        <w:rPr>
          <w:rFonts w:hint="cs"/>
          <w:rtl/>
        </w:rPr>
        <w:t>؛</w:t>
      </w:r>
    </w:p>
    <w:p w:rsidR="00FC3F8C" w:rsidRDefault="00AE27A6" w:rsidP="00FD50EB">
      <w:pPr>
        <w:pStyle w:val="enumlev1"/>
      </w:pPr>
      <w:r>
        <w:rPr>
          <w:rFonts w:hint="cs"/>
          <w:rtl/>
        </w:rPr>
        <w:t>•</w:t>
      </w:r>
      <w:r>
        <w:rPr>
          <w:rtl/>
        </w:rPr>
        <w:tab/>
      </w:r>
      <w:r w:rsidR="00FC3F8C">
        <w:rPr>
          <w:rFonts w:hint="cs"/>
          <w:rtl/>
        </w:rPr>
        <w:t>الحاجة إلى تقييم منتظم للمخاطر، وأنشطة للمراجعة قائمة على المخاطر، وتخطيط متعدد</w:t>
      </w:r>
      <w:r w:rsidR="00FD50EB">
        <w:rPr>
          <w:rFonts w:hint="eastAsia"/>
          <w:rtl/>
        </w:rPr>
        <w:t> </w:t>
      </w:r>
      <w:r w:rsidR="00FC3F8C">
        <w:rPr>
          <w:rFonts w:hint="cs"/>
          <w:rtl/>
        </w:rPr>
        <w:t>السنوات؛</w:t>
      </w:r>
    </w:p>
    <w:p w:rsidR="00FC3F8C" w:rsidRDefault="00AE27A6" w:rsidP="00C10987">
      <w:pPr>
        <w:pStyle w:val="enumlev1"/>
        <w:keepNext/>
        <w:keepLines/>
      </w:pPr>
      <w:r>
        <w:rPr>
          <w:rFonts w:hint="cs"/>
          <w:rtl/>
        </w:rPr>
        <w:t>•</w:t>
      </w:r>
      <w:r>
        <w:rPr>
          <w:rtl/>
        </w:rPr>
        <w:tab/>
      </w:r>
      <w:r w:rsidR="00FC3F8C">
        <w:rPr>
          <w:rFonts w:hint="cs"/>
          <w:rtl/>
        </w:rPr>
        <w:t>عرض أشد وضوحاً وصراحة لتقييم ا</w:t>
      </w:r>
      <w:r w:rsidR="00FA2C51">
        <w:rPr>
          <w:rFonts w:hint="cs"/>
          <w:rtl/>
        </w:rPr>
        <w:t>لمخاطر والأولويات في خطط المراجعة</w:t>
      </w:r>
      <w:r w:rsidR="00FC3F8C">
        <w:rPr>
          <w:rFonts w:hint="cs"/>
          <w:rtl/>
        </w:rPr>
        <w:t>؛</w:t>
      </w:r>
    </w:p>
    <w:p w:rsidR="004E11DC" w:rsidRDefault="008E0227" w:rsidP="00C10987">
      <w:pPr>
        <w:pStyle w:val="enumlev1"/>
        <w:keepNext/>
        <w:keepLines/>
        <w:rPr>
          <w:rtl/>
        </w:rPr>
      </w:pPr>
      <w:r>
        <w:rPr>
          <w:rFonts w:hint="cs"/>
          <w:rtl/>
        </w:rPr>
        <w:t>•</w:t>
      </w:r>
      <w:r>
        <w:rPr>
          <w:rtl/>
        </w:rPr>
        <w:tab/>
      </w:r>
      <w:r w:rsidR="00FC3F8C">
        <w:rPr>
          <w:rFonts w:hint="cs"/>
          <w:rtl/>
        </w:rPr>
        <w:t>الحاجة إلى تقرير سنوي أشمل ترفعه</w:t>
      </w:r>
      <w:r w:rsidR="00845C63">
        <w:rPr>
          <w:rFonts w:hint="cs"/>
          <w:rtl/>
        </w:rPr>
        <w:t xml:space="preserve"> وحدة</w:t>
      </w:r>
      <w:r w:rsidR="00FC3F8C">
        <w:rPr>
          <w:rFonts w:hint="cs"/>
          <w:rtl/>
        </w:rPr>
        <w:t xml:space="preserve"> المراجعة الداخلية إلى المجلس بغية توفير </w:t>
      </w:r>
      <w:r w:rsidR="00845C63">
        <w:rPr>
          <w:rFonts w:hint="cs"/>
          <w:rtl/>
        </w:rPr>
        <w:t>ضمانات</w:t>
      </w:r>
      <w:r w:rsidR="00FC3F8C">
        <w:rPr>
          <w:rFonts w:hint="cs"/>
          <w:rtl/>
        </w:rPr>
        <w:t xml:space="preserve"> بشأن الفعالية الشاملة </w:t>
      </w:r>
      <w:r w:rsidR="00845C63">
        <w:rPr>
          <w:rFonts w:hint="cs"/>
          <w:rtl/>
        </w:rPr>
        <w:t>للضوابط</w:t>
      </w:r>
      <w:r w:rsidR="00FC3F8C">
        <w:rPr>
          <w:rFonts w:hint="cs"/>
          <w:rtl/>
        </w:rPr>
        <w:t xml:space="preserve"> الداخلية ولمعالجة </w:t>
      </w:r>
      <w:bookmarkStart w:id="1" w:name="_GoBack"/>
      <w:bookmarkEnd w:id="1"/>
      <w:r w:rsidR="00FC3F8C">
        <w:rPr>
          <w:rFonts w:hint="cs"/>
          <w:rtl/>
        </w:rPr>
        <w:t xml:space="preserve">التبعات الواسعة لاستنتاجات المراجعة </w:t>
      </w:r>
      <w:r w:rsidR="00845C63">
        <w:rPr>
          <w:rFonts w:hint="cs"/>
          <w:rtl/>
        </w:rPr>
        <w:t>وإخفاقات</w:t>
      </w:r>
      <w:r w:rsidR="009F3C6B">
        <w:rPr>
          <w:rFonts w:hint="eastAsia"/>
          <w:rtl/>
        </w:rPr>
        <w:t> </w:t>
      </w:r>
      <w:r w:rsidR="00FC3F8C">
        <w:rPr>
          <w:rFonts w:hint="cs"/>
          <w:rtl/>
        </w:rPr>
        <w:t>الرقابة.</w:t>
      </w:r>
    </w:p>
    <w:tbl>
      <w:tblPr>
        <w:tblStyle w:val="TableGrid"/>
        <w:bidiVisual/>
        <w:tblW w:w="0" w:type="auto"/>
        <w:tblLook w:val="04A0" w:firstRow="1" w:lastRow="0" w:firstColumn="1" w:lastColumn="0" w:noHBand="0" w:noVBand="1"/>
      </w:tblPr>
      <w:tblGrid>
        <w:gridCol w:w="9629"/>
      </w:tblGrid>
      <w:tr w:rsidR="00B92B2F" w:rsidTr="00B92B2F">
        <w:tc>
          <w:tcPr>
            <w:tcW w:w="9629" w:type="dxa"/>
          </w:tcPr>
          <w:p w:rsidR="00B92B2F" w:rsidRDefault="00B92B2F" w:rsidP="00B879A0">
            <w:pPr>
              <w:rPr>
                <w:rtl/>
                <w:lang w:bidi="ar-SY"/>
              </w:rPr>
            </w:pPr>
            <w:r w:rsidRPr="00057DE9">
              <w:rPr>
                <w:rFonts w:hint="cs"/>
                <w:b/>
                <w:bCs/>
                <w:rtl/>
                <w:lang w:bidi="ar-SY"/>
              </w:rPr>
              <w:lastRenderedPageBreak/>
              <w:t xml:space="preserve">التوصية </w:t>
            </w:r>
            <w:r w:rsidRPr="007D6645">
              <w:rPr>
                <w:rFonts w:hint="cs"/>
                <w:b/>
                <w:bCs/>
                <w:lang w:bidi="ar-SY"/>
              </w:rPr>
              <w:t>6</w:t>
            </w:r>
            <w:r w:rsidRPr="00057DE9">
              <w:rPr>
                <w:rFonts w:hint="cs"/>
                <w:b/>
                <w:bCs/>
                <w:rtl/>
                <w:lang w:bidi="ar-SY"/>
              </w:rPr>
              <w:t xml:space="preserve"> </w:t>
            </w:r>
            <w:r w:rsidRPr="00057DE9">
              <w:rPr>
                <w:b/>
                <w:bCs/>
                <w:lang w:bidi="ar-SY"/>
              </w:rPr>
              <w:t>(</w:t>
            </w:r>
            <w:r w:rsidRPr="007D6645">
              <w:rPr>
                <w:b/>
                <w:bCs/>
                <w:lang w:bidi="ar-SY"/>
              </w:rPr>
              <w:t>2015</w:t>
            </w:r>
            <w:r w:rsidRPr="00057DE9">
              <w:rPr>
                <w:b/>
                <w:bCs/>
                <w:lang w:bidi="ar-SY"/>
              </w:rPr>
              <w:t>)</w:t>
            </w:r>
            <w:r w:rsidRPr="00057DE9">
              <w:rPr>
                <w:rFonts w:hint="cs"/>
                <w:b/>
                <w:bCs/>
                <w:rtl/>
                <w:lang w:bidi="ar-SY"/>
              </w:rPr>
              <w:t>:</w:t>
            </w:r>
            <w:r>
              <w:rPr>
                <w:rFonts w:hint="cs"/>
                <w:rtl/>
                <w:lang w:bidi="ar-SY"/>
              </w:rPr>
              <w:t xml:space="preserve"> </w:t>
            </w:r>
            <w:r w:rsidR="00FD50EB">
              <w:rPr>
                <w:rFonts w:hint="cs"/>
                <w:rtl/>
                <w:lang w:bidi="ar-SY"/>
              </w:rPr>
              <w:t>بناءً على ذلك، تقر</w:t>
            </w:r>
            <w:r>
              <w:rPr>
                <w:rFonts w:hint="cs"/>
                <w:rtl/>
                <w:lang w:bidi="ar-SY"/>
              </w:rPr>
              <w:t xml:space="preserve"> اللجنة الاستشارية المستقلة للإدارة استنتاجات تقرير التصديق الخارجي </w:t>
            </w:r>
            <w:r w:rsidR="00FD50EB">
              <w:rPr>
                <w:rFonts w:hint="cs"/>
                <w:rtl/>
                <w:lang w:bidi="ar-SY"/>
              </w:rPr>
              <w:t>وترفعها</w:t>
            </w:r>
            <w:r>
              <w:rPr>
                <w:rFonts w:hint="cs"/>
                <w:rtl/>
                <w:lang w:bidi="ar-SY"/>
              </w:rPr>
              <w:t xml:space="preserve"> إلى عناية المجلس. وتوصي اللجنة </w:t>
            </w:r>
            <w:r w:rsidRPr="00D52C0C">
              <w:rPr>
                <w:rFonts w:hint="cs"/>
                <w:rtl/>
                <w:lang w:bidi="ar-SY"/>
              </w:rPr>
              <w:t xml:space="preserve">بأن يطلب المجلس إلى الأمين العام والمراجع الداخلي القيام، عبر آلية التقرير السنوي للمراجع الداخلي </w:t>
            </w:r>
            <w:r w:rsidR="00FD50EB">
              <w:rPr>
                <w:rFonts w:hint="cs"/>
                <w:rtl/>
                <w:lang w:bidi="ar-SY"/>
              </w:rPr>
              <w:t>بشأن أنشطة المراجعة الداخلية</w:t>
            </w:r>
            <w:r w:rsidRPr="00D52C0C">
              <w:rPr>
                <w:rFonts w:hint="cs"/>
                <w:rtl/>
                <w:lang w:bidi="ar-SY"/>
              </w:rPr>
              <w:t xml:space="preserve">، برفع تقرير إلى المجلس عام </w:t>
            </w:r>
            <w:r w:rsidRPr="007D6645">
              <w:rPr>
                <w:rFonts w:hint="cs"/>
                <w:lang w:bidi="ar-SY"/>
              </w:rPr>
              <w:t>2016</w:t>
            </w:r>
            <w:r w:rsidRPr="00D52C0C">
              <w:rPr>
                <w:rFonts w:hint="cs"/>
                <w:rtl/>
                <w:lang w:bidi="ar-SY"/>
              </w:rPr>
              <w:t xml:space="preserve"> والأعوام اللاحقة بشأن الإجراءات المتخذة والتقدم المحرز على طريق تنفيذ كل توصية من التوصيات التسع المدرجة في تقرير التصديق الخارجي المستقل عن أنشطة المراجعة الداخلية في</w:t>
            </w:r>
            <w:r w:rsidR="00B879A0">
              <w:rPr>
                <w:rFonts w:hint="eastAsia"/>
                <w:rtl/>
                <w:lang w:bidi="ar-SY"/>
              </w:rPr>
              <w:t> </w:t>
            </w:r>
            <w:r w:rsidRPr="00D52C0C">
              <w:rPr>
                <w:rFonts w:hint="cs"/>
                <w:rtl/>
                <w:lang w:bidi="ar-SY"/>
              </w:rPr>
              <w:t>الاتحاد.</w:t>
            </w:r>
          </w:p>
        </w:tc>
      </w:tr>
    </w:tbl>
    <w:p w:rsidR="0074420E" w:rsidRPr="00706D7A" w:rsidRDefault="00457840" w:rsidP="00457840">
      <w:pPr>
        <w:spacing w:before="600"/>
        <w:jc w:val="center"/>
        <w:rPr>
          <w:rtl/>
          <w:lang w:bidi="ar-SY"/>
        </w:rPr>
      </w:pPr>
      <w:r>
        <w:rPr>
          <w:rFonts w:hint="cs"/>
          <w:rtl/>
          <w:lang w:bidi="ar-SY"/>
        </w:rPr>
        <w:t>_____________</w:t>
      </w:r>
    </w:p>
    <w:sectPr w:rsidR="0074420E" w:rsidRPr="00706D7A"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BCE" w:rsidRDefault="00460BCE" w:rsidP="006C3242">
      <w:pPr>
        <w:spacing w:before="0" w:line="240" w:lineRule="auto"/>
      </w:pPr>
      <w:r>
        <w:separator/>
      </w:r>
    </w:p>
  </w:endnote>
  <w:endnote w:type="continuationSeparator" w:id="0">
    <w:p w:rsidR="00460BCE" w:rsidRDefault="00460BC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F47" w:rsidRPr="006C3242" w:rsidRDefault="008F7F47" w:rsidP="008F7F47">
    <w:pPr>
      <w:pStyle w:val="Footer"/>
      <w:tabs>
        <w:tab w:val="clear" w:pos="4153"/>
        <w:tab w:val="clear" w:pos="8306"/>
        <w:tab w:val="center" w:pos="5529"/>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P:\ARA\SG\CONSEIL\C15\000\022ADD2A.docx</w:t>
    </w:r>
    <w:r w:rsidRPr="006C3242">
      <w:rPr>
        <w:rFonts w:ascii="Calibri" w:hAnsi="Calibri" w:cs="Calibri"/>
        <w:sz w:val="16"/>
        <w:szCs w:val="16"/>
      </w:rPr>
      <w:fldChar w:fldCharType="end"/>
    </w:r>
    <w:r w:rsidRPr="008F7F47">
      <w:rPr>
        <w:rFonts w:ascii="Calibri" w:hAnsi="Calibri" w:cs="Calibri"/>
        <w:sz w:val="16"/>
        <w:szCs w:val="16"/>
        <w:lang w:val="fr-FR"/>
      </w:rPr>
      <w:t xml:space="preserve">  </w:t>
    </w:r>
    <w:r w:rsidRPr="006C3242">
      <w:rPr>
        <w:rFonts w:ascii="Calibri" w:hAnsi="Calibri" w:cs="Calibri"/>
        <w:sz w:val="16"/>
        <w:szCs w:val="16"/>
        <w:lang w:val="fr-FR"/>
      </w:rPr>
      <w:t xml:space="preserve"> (</w:t>
    </w:r>
    <w:r>
      <w:rPr>
        <w:rFonts w:ascii="Calibri" w:hAnsi="Calibri" w:cs="Calibri"/>
        <w:sz w:val="16"/>
        <w:szCs w:val="16"/>
        <w:lang w:val="fr-FR"/>
      </w:rPr>
      <w:t>381036</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B9137F">
      <w:rPr>
        <w:rFonts w:ascii="Calibri" w:hAnsi="Calibri" w:cs="Calibri"/>
        <w:noProof/>
        <w:sz w:val="16"/>
        <w:szCs w:val="16"/>
        <w:lang w:val="fr-FR"/>
      </w:rPr>
      <w:t>15.05.15</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6C3242" w:rsidRPr="006C3242" w:rsidRDefault="006C3242" w:rsidP="008F7F47">
    <w:pPr>
      <w:pStyle w:val="Footer"/>
      <w:tabs>
        <w:tab w:val="clear" w:pos="4153"/>
        <w:tab w:val="clear" w:pos="8306"/>
        <w:tab w:val="center" w:pos="5529"/>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B9137F">
      <w:rPr>
        <w:rFonts w:ascii="Calibri" w:hAnsi="Calibri" w:cs="Calibri"/>
        <w:noProof/>
        <w:sz w:val="16"/>
        <w:szCs w:val="16"/>
        <w:lang w:val="fr-FR"/>
      </w:rPr>
      <w:t>P:\ARA\SG\CONSEIL\C15\000\022ADD02A.docx</w:t>
    </w:r>
    <w:r w:rsidRPr="006C3242">
      <w:rPr>
        <w:rFonts w:ascii="Calibri" w:hAnsi="Calibri" w:cs="Calibri"/>
        <w:sz w:val="16"/>
        <w:szCs w:val="16"/>
      </w:rPr>
      <w:fldChar w:fldCharType="end"/>
    </w:r>
    <w:r w:rsidRPr="008F7F47">
      <w:rPr>
        <w:rFonts w:ascii="Calibri" w:hAnsi="Calibri" w:cs="Calibri"/>
        <w:sz w:val="16"/>
        <w:szCs w:val="16"/>
        <w:lang w:val="fr-FR"/>
      </w:rPr>
      <w:t xml:space="preserve">  </w:t>
    </w:r>
    <w:r w:rsidRPr="006C3242">
      <w:rPr>
        <w:rFonts w:ascii="Calibri" w:hAnsi="Calibri" w:cs="Calibri"/>
        <w:sz w:val="16"/>
        <w:szCs w:val="16"/>
        <w:lang w:val="fr-FR"/>
      </w:rPr>
      <w:t xml:space="preserve"> (</w:t>
    </w:r>
    <w:r w:rsidR="008F7F47">
      <w:rPr>
        <w:rFonts w:ascii="Calibri" w:hAnsi="Calibri" w:cs="Calibri"/>
        <w:sz w:val="16"/>
        <w:szCs w:val="16"/>
        <w:lang w:val="fr-FR"/>
      </w:rPr>
      <w:t>381036</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B9137F">
      <w:rPr>
        <w:rFonts w:ascii="Calibri" w:hAnsi="Calibri" w:cs="Calibri"/>
        <w:noProof/>
        <w:sz w:val="16"/>
        <w:szCs w:val="16"/>
        <w:lang w:val="fr-FR"/>
      </w:rPr>
      <w:t>15.05.15</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B9137F">
      <w:rPr>
        <w:rFonts w:ascii="Calibri" w:hAnsi="Calibri" w:cs="Calibri"/>
        <w:noProof/>
        <w:sz w:val="16"/>
        <w:szCs w:val="16"/>
        <w:lang w:val="fr-FR"/>
      </w:rPr>
      <w:t>00.00.00</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BCE" w:rsidRDefault="00460BCE" w:rsidP="006C3242">
      <w:pPr>
        <w:spacing w:before="0" w:line="240" w:lineRule="auto"/>
      </w:pPr>
      <w:r>
        <w:separator/>
      </w:r>
    </w:p>
  </w:footnote>
  <w:footnote w:type="continuationSeparator" w:id="0">
    <w:p w:rsidR="00460BCE" w:rsidRDefault="00460BCE"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C10987" w:rsidP="00921169">
    <w:pPr>
      <w:pStyle w:val="Header"/>
      <w:spacing w:before="120" w:after="120"/>
      <w:jc w:val="center"/>
      <w:rPr>
        <w:rFonts w:cs="Calibri"/>
        <w:sz w:val="20"/>
        <w:szCs w:val="20"/>
      </w:rPr>
    </w:pPr>
    <w:sdt>
      <w:sdtPr>
        <w:rPr>
          <w:rtl/>
        </w:r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Pr="00C10987">
          <w:rPr>
            <w:rFonts w:cs="Calibri"/>
            <w:noProof/>
            <w:sz w:val="20"/>
            <w:szCs w:val="20"/>
            <w:rtl/>
          </w:rPr>
          <w:t>3</w:t>
        </w:r>
        <w:r w:rsidR="00447F32" w:rsidRPr="00447F32">
          <w:rPr>
            <w:rFonts w:cs="Calibri"/>
            <w:noProof/>
            <w:sz w:val="20"/>
            <w:szCs w:val="20"/>
          </w:rPr>
          <w:fldChar w:fldCharType="end"/>
        </w:r>
        <w:r w:rsidR="00447F32" w:rsidRPr="00447F32">
          <w:rPr>
            <w:rFonts w:cs="Calibri"/>
            <w:noProof/>
            <w:sz w:val="20"/>
            <w:szCs w:val="20"/>
          </w:rPr>
          <w:br/>
          <w:t>C15/</w:t>
        </w:r>
        <w:r w:rsidR="00921169">
          <w:rPr>
            <w:rFonts w:cs="Calibri"/>
            <w:noProof/>
            <w:sz w:val="20"/>
            <w:szCs w:val="20"/>
          </w:rPr>
          <w:t>22(Add.2)</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2660341"/>
    <w:multiLevelType w:val="hybridMultilevel"/>
    <w:tmpl w:val="F03023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CE"/>
    <w:rsid w:val="00090574"/>
    <w:rsid w:val="000C548A"/>
    <w:rsid w:val="001A24EE"/>
    <w:rsid w:val="001C0169"/>
    <w:rsid w:val="001D1D50"/>
    <w:rsid w:val="001E446E"/>
    <w:rsid w:val="002154EE"/>
    <w:rsid w:val="00217F0E"/>
    <w:rsid w:val="0023283D"/>
    <w:rsid w:val="00290728"/>
    <w:rsid w:val="002978F4"/>
    <w:rsid w:val="002B028D"/>
    <w:rsid w:val="002C1E66"/>
    <w:rsid w:val="002E6541"/>
    <w:rsid w:val="003409BC"/>
    <w:rsid w:val="00357185"/>
    <w:rsid w:val="00383829"/>
    <w:rsid w:val="003B0886"/>
    <w:rsid w:val="0042686F"/>
    <w:rsid w:val="004317D8"/>
    <w:rsid w:val="00435E42"/>
    <w:rsid w:val="00443869"/>
    <w:rsid w:val="00447F32"/>
    <w:rsid w:val="00457840"/>
    <w:rsid w:val="00460BCE"/>
    <w:rsid w:val="004E11DC"/>
    <w:rsid w:val="0055516A"/>
    <w:rsid w:val="0058491B"/>
    <w:rsid w:val="005F6F34"/>
    <w:rsid w:val="0069200F"/>
    <w:rsid w:val="006A65CB"/>
    <w:rsid w:val="006C3242"/>
    <w:rsid w:val="006F63F7"/>
    <w:rsid w:val="00706D7A"/>
    <w:rsid w:val="00722F0D"/>
    <w:rsid w:val="00741E77"/>
    <w:rsid w:val="0074420E"/>
    <w:rsid w:val="00783E26"/>
    <w:rsid w:val="00796B7C"/>
    <w:rsid w:val="007C3BC7"/>
    <w:rsid w:val="007F0787"/>
    <w:rsid w:val="00810B7B"/>
    <w:rsid w:val="008235CD"/>
    <w:rsid w:val="008247DE"/>
    <w:rsid w:val="00845C63"/>
    <w:rsid w:val="008513CB"/>
    <w:rsid w:val="008E0227"/>
    <w:rsid w:val="008F7F47"/>
    <w:rsid w:val="00921169"/>
    <w:rsid w:val="00982B28"/>
    <w:rsid w:val="009D313F"/>
    <w:rsid w:val="009F3C6B"/>
    <w:rsid w:val="00A47A5A"/>
    <w:rsid w:val="00A6683B"/>
    <w:rsid w:val="00A97F94"/>
    <w:rsid w:val="00AE27A6"/>
    <w:rsid w:val="00B05BC8"/>
    <w:rsid w:val="00B64B47"/>
    <w:rsid w:val="00B879A0"/>
    <w:rsid w:val="00B9137F"/>
    <w:rsid w:val="00B92B2F"/>
    <w:rsid w:val="00C002DE"/>
    <w:rsid w:val="00C10987"/>
    <w:rsid w:val="00C53BF8"/>
    <w:rsid w:val="00C674FE"/>
    <w:rsid w:val="00C75633"/>
    <w:rsid w:val="00C903F5"/>
    <w:rsid w:val="00CE2EE1"/>
    <w:rsid w:val="00CE303B"/>
    <w:rsid w:val="00CF3FFD"/>
    <w:rsid w:val="00D77D0F"/>
    <w:rsid w:val="00DA1CF0"/>
    <w:rsid w:val="00DC24B4"/>
    <w:rsid w:val="00DF16DC"/>
    <w:rsid w:val="00E45211"/>
    <w:rsid w:val="00EB796D"/>
    <w:rsid w:val="00F84366"/>
    <w:rsid w:val="00F85089"/>
    <w:rsid w:val="00FA2C51"/>
    <w:rsid w:val="00FA6F46"/>
    <w:rsid w:val="00FC3F8C"/>
    <w:rsid w:val="00FD50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E5AF4B6-0100-4E97-93D9-E365F731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A6683B"/>
    <w:rPr>
      <w:color w:val="0000FA"/>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Council-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BC2F8-DE5E-419B-8797-ED30CE15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PA_Council-15.dotx</Template>
  <TotalTime>22</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Ajlouni, Nour</dc:creator>
  <cp:keywords/>
  <dc:description/>
  <cp:lastModifiedBy>Ajlouni, Nour</cp:lastModifiedBy>
  <cp:revision>25</cp:revision>
  <dcterms:created xsi:type="dcterms:W3CDTF">2015-05-15T17:42:00Z</dcterms:created>
  <dcterms:modified xsi:type="dcterms:W3CDTF">2015-05-15T19:11:00Z</dcterms:modified>
</cp:coreProperties>
</file>