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0B033C" w14:paraId="726BE030" w14:textId="77777777">
        <w:trPr>
          <w:cantSplit/>
        </w:trPr>
        <w:tc>
          <w:tcPr>
            <w:tcW w:w="6911" w:type="dxa"/>
          </w:tcPr>
          <w:p w14:paraId="4D8ED68A" w14:textId="77777777" w:rsidR="00BC7BC0" w:rsidRPr="000B033C" w:rsidRDefault="000569B4" w:rsidP="0022536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0B033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0B033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225368" w:rsidRPr="000B033C">
              <w:rPr>
                <w:b/>
                <w:smallCaps/>
                <w:sz w:val="28"/>
                <w:szCs w:val="28"/>
                <w:lang w:val="ru-RU"/>
              </w:rPr>
              <w:t>5</w:t>
            </w:r>
            <w:r w:rsidRPr="000B033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0B033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0B033C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0B033C">
              <w:rPr>
                <w:b/>
                <w:bCs/>
                <w:lang w:val="ru-RU"/>
              </w:rPr>
              <w:t>12−22 мая 2015 года</w:t>
            </w:r>
          </w:p>
        </w:tc>
        <w:tc>
          <w:tcPr>
            <w:tcW w:w="3120" w:type="dxa"/>
          </w:tcPr>
          <w:p w14:paraId="7BC93E67" w14:textId="77777777" w:rsidR="00BC7BC0" w:rsidRPr="000B033C" w:rsidRDefault="00D92EE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0B033C">
              <w:rPr>
                <w:noProof/>
                <w:lang w:val="en-US" w:eastAsia="zh-CN"/>
              </w:rPr>
              <w:drawing>
                <wp:inline distT="0" distB="0" distL="0" distR="0" wp14:anchorId="5DEA38CC" wp14:editId="7D91DB9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B033C" w14:paraId="0F41EF7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F848B7F" w14:textId="77777777" w:rsidR="00BC7BC0" w:rsidRPr="000B033C" w:rsidRDefault="00D92EEA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0B033C">
              <w:rPr>
                <w:rFonts w:eastAsia="SimSun"/>
                <w:b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AE85CEF" w14:textId="77777777" w:rsidR="00BC7BC0" w:rsidRPr="000B033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B033C" w14:paraId="2D62A306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F8CED11" w14:textId="77777777" w:rsidR="00BC7BC0" w:rsidRPr="000B033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C6F8589" w14:textId="77777777" w:rsidR="00BC7BC0" w:rsidRPr="000B033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B033C" w14:paraId="2D376E79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C14F73E" w14:textId="77777777" w:rsidR="00BC7BC0" w:rsidRPr="000B033C" w:rsidRDefault="00BC7BC0" w:rsidP="009E147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0B033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0B033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E1472" w:rsidRPr="000B033C">
              <w:rPr>
                <w:b/>
                <w:bCs/>
                <w:caps/>
                <w:szCs w:val="22"/>
                <w:lang w:val="ru-RU"/>
              </w:rPr>
              <w:t>ADM 7</w:t>
            </w:r>
          </w:p>
        </w:tc>
        <w:tc>
          <w:tcPr>
            <w:tcW w:w="3120" w:type="dxa"/>
          </w:tcPr>
          <w:p w14:paraId="0B5DEC1B" w14:textId="77777777" w:rsidR="00BC7BC0" w:rsidRPr="000B033C" w:rsidRDefault="00BC7BC0" w:rsidP="009E147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B033C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0B033C">
              <w:rPr>
                <w:b/>
                <w:bCs/>
                <w:szCs w:val="22"/>
                <w:lang w:val="ru-RU"/>
              </w:rPr>
              <w:t>1</w:t>
            </w:r>
            <w:r w:rsidR="00225368" w:rsidRPr="000B033C">
              <w:rPr>
                <w:b/>
                <w:bCs/>
                <w:szCs w:val="22"/>
                <w:lang w:val="ru-RU"/>
              </w:rPr>
              <w:t>5</w:t>
            </w:r>
            <w:r w:rsidRPr="000B033C">
              <w:rPr>
                <w:b/>
                <w:bCs/>
                <w:szCs w:val="22"/>
                <w:lang w:val="ru-RU"/>
              </w:rPr>
              <w:t>/</w:t>
            </w:r>
            <w:r w:rsidR="009E1472" w:rsidRPr="000B033C">
              <w:rPr>
                <w:b/>
                <w:bCs/>
                <w:szCs w:val="22"/>
                <w:lang w:val="ru-RU"/>
              </w:rPr>
              <w:t>22</w:t>
            </w:r>
            <w:r w:rsidRPr="000B033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B033C" w14:paraId="65C5195A" w14:textId="77777777">
        <w:trPr>
          <w:cantSplit/>
          <w:trHeight w:val="23"/>
        </w:trPr>
        <w:tc>
          <w:tcPr>
            <w:tcW w:w="6911" w:type="dxa"/>
            <w:vMerge/>
          </w:tcPr>
          <w:p w14:paraId="4295E74E" w14:textId="77777777" w:rsidR="00BC7BC0" w:rsidRPr="000B033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BD782E4" w14:textId="6FC05548" w:rsidR="00BC7BC0" w:rsidRPr="000B033C" w:rsidRDefault="00C04D85" w:rsidP="00C04D8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5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BC7BC0" w:rsidRPr="000B033C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0B033C">
              <w:rPr>
                <w:b/>
                <w:bCs/>
                <w:szCs w:val="22"/>
                <w:lang w:val="ru-RU"/>
              </w:rPr>
              <w:t>1</w:t>
            </w:r>
            <w:r w:rsidR="00225368" w:rsidRPr="000B033C">
              <w:rPr>
                <w:b/>
                <w:bCs/>
                <w:szCs w:val="22"/>
                <w:lang w:val="ru-RU"/>
              </w:rPr>
              <w:t>5</w:t>
            </w:r>
            <w:r w:rsidR="00BC7BC0" w:rsidRPr="000B033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B033C" w14:paraId="2C7A07F7" w14:textId="77777777">
        <w:trPr>
          <w:cantSplit/>
          <w:trHeight w:val="23"/>
        </w:trPr>
        <w:tc>
          <w:tcPr>
            <w:tcW w:w="6911" w:type="dxa"/>
            <w:vMerge/>
          </w:tcPr>
          <w:p w14:paraId="556A7832" w14:textId="77777777" w:rsidR="00BC7BC0" w:rsidRPr="000B033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0920295" w14:textId="77777777" w:rsidR="00BC7BC0" w:rsidRPr="000B033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B033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0B033C" w14:paraId="1B4E25A6" w14:textId="77777777">
        <w:trPr>
          <w:cantSplit/>
        </w:trPr>
        <w:tc>
          <w:tcPr>
            <w:tcW w:w="10031" w:type="dxa"/>
            <w:gridSpan w:val="2"/>
          </w:tcPr>
          <w:p w14:paraId="60904FB1" w14:textId="77777777" w:rsidR="00BC7BC0" w:rsidRPr="000B033C" w:rsidRDefault="00BC7BC0" w:rsidP="005A332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0B033C">
              <w:rPr>
                <w:lang w:val="ru-RU"/>
              </w:rPr>
              <w:t>Отчет Генерального секретаря</w:t>
            </w:r>
          </w:p>
        </w:tc>
      </w:tr>
      <w:tr w:rsidR="00BC7BC0" w:rsidRPr="004F5783" w14:paraId="4C0F5322" w14:textId="77777777">
        <w:trPr>
          <w:cantSplit/>
        </w:trPr>
        <w:tc>
          <w:tcPr>
            <w:tcW w:w="10031" w:type="dxa"/>
            <w:gridSpan w:val="2"/>
          </w:tcPr>
          <w:p w14:paraId="20071DCF" w14:textId="72144D46" w:rsidR="00BC7BC0" w:rsidRPr="000B033C" w:rsidRDefault="009E1472" w:rsidP="005A332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0B033C">
              <w:rPr>
                <w:lang w:val="ru-RU"/>
              </w:rPr>
              <w:t xml:space="preserve">четвертый </w:t>
            </w:r>
            <w:r w:rsidRPr="005A3321">
              <w:rPr>
                <w:lang w:val="ru-RU"/>
              </w:rPr>
              <w:t>ЕЖЕГОДНЫЙ</w:t>
            </w:r>
            <w:r w:rsidRPr="000B033C">
              <w:rPr>
                <w:lang w:val="ru-RU"/>
              </w:rPr>
              <w:t xml:space="preserve"> ОТЧЕТ </w:t>
            </w:r>
            <w:r w:rsidR="00C80DDA">
              <w:rPr>
                <w:lang w:val="ru-RU"/>
              </w:rPr>
              <w:br/>
            </w:r>
            <w:r w:rsidRPr="000B033C">
              <w:rPr>
                <w:lang w:val="ru-RU"/>
              </w:rPr>
              <w:t xml:space="preserve">НЕЗАВИСИМОГО КОНСУЛЬТАТИВНОГО КОМИТЕТА </w:t>
            </w:r>
            <w:r w:rsidRPr="000B033C">
              <w:rPr>
                <w:lang w:val="ru-RU"/>
              </w:rPr>
              <w:br/>
              <w:t>ПО УПРАВЛЕНИЮ (imac)</w:t>
            </w:r>
          </w:p>
        </w:tc>
      </w:tr>
      <w:tr w:rsidR="00F51E32" w:rsidRPr="004F5783" w14:paraId="0BE6A2EE" w14:textId="77777777">
        <w:trPr>
          <w:cantSplit/>
        </w:trPr>
        <w:tc>
          <w:tcPr>
            <w:tcW w:w="10031" w:type="dxa"/>
            <w:gridSpan w:val="2"/>
          </w:tcPr>
          <w:p w14:paraId="17F422C5" w14:textId="77777777" w:rsidR="00F51E32" w:rsidRPr="000B033C" w:rsidRDefault="00F51E32" w:rsidP="00F51E32">
            <w:pPr>
              <w:pStyle w:val="Title2"/>
              <w:rPr>
                <w:lang w:val="ru-RU"/>
              </w:rPr>
            </w:pPr>
          </w:p>
        </w:tc>
      </w:tr>
    </w:tbl>
    <w:bookmarkEnd w:id="2"/>
    <w:p w14:paraId="1075373C" w14:textId="0CE5996B" w:rsidR="0084116D" w:rsidRPr="00EC5128" w:rsidRDefault="0084116D" w:rsidP="004F5783">
      <w:pPr>
        <w:pStyle w:val="Normalaftertitle"/>
        <w:rPr>
          <w:rFonts w:asciiTheme="minorHAnsi" w:hAnsiTheme="minorHAnsi"/>
          <w:b/>
          <w:lang w:val="ru-RU" w:eastAsia="zh-CN"/>
        </w:rPr>
      </w:pPr>
      <w:r w:rsidRPr="000B033C">
        <w:rPr>
          <w:lang w:val="ru-RU"/>
        </w:rPr>
        <w:t>Имею честь направить Государствам – Членам Совета отчет Председателя Независимого консультативного комитета по управлению (IMAC)</w:t>
      </w:r>
      <w:r w:rsidRPr="000B033C">
        <w:rPr>
          <w:rFonts w:asciiTheme="minorHAnsi" w:hAnsiTheme="minorHAnsi"/>
          <w:lang w:val="ru-RU" w:eastAsia="zh-CN"/>
        </w:rPr>
        <w:t>.</w:t>
      </w:r>
      <w:r w:rsidR="00C04D85">
        <w:rPr>
          <w:rFonts w:asciiTheme="minorHAnsi" w:hAnsiTheme="minorHAnsi"/>
          <w:lang w:val="ru-RU" w:eastAsia="zh-CN"/>
        </w:rPr>
        <w:t xml:space="preserve"> К настоящему отчету буд</w:t>
      </w:r>
      <w:r w:rsidR="004F5783">
        <w:rPr>
          <w:rFonts w:asciiTheme="minorHAnsi" w:hAnsiTheme="minorHAnsi"/>
          <w:lang w:val="ru-RU" w:eastAsia="zh-CN"/>
        </w:rPr>
        <w:t>у</w:t>
      </w:r>
      <w:r w:rsidR="00C04D85">
        <w:rPr>
          <w:rFonts w:asciiTheme="minorHAnsi" w:hAnsiTheme="minorHAnsi"/>
          <w:lang w:val="ru-RU" w:eastAsia="zh-CN"/>
        </w:rPr>
        <w:t>т приложен</w:t>
      </w:r>
      <w:r w:rsidR="004F5783">
        <w:rPr>
          <w:rFonts w:asciiTheme="minorHAnsi" w:hAnsiTheme="minorHAnsi"/>
          <w:lang w:val="ru-RU" w:eastAsia="zh-CN"/>
        </w:rPr>
        <w:t>ы</w:t>
      </w:r>
      <w:r w:rsidR="00C04D85">
        <w:rPr>
          <w:rFonts w:asciiTheme="minorHAnsi" w:hAnsiTheme="minorHAnsi"/>
          <w:lang w:val="ru-RU" w:eastAsia="zh-CN"/>
        </w:rPr>
        <w:t xml:space="preserve"> </w:t>
      </w:r>
      <w:r w:rsidR="000A5337" w:rsidRPr="00C04D85">
        <w:rPr>
          <w:color w:val="000000"/>
          <w:lang w:val="ru-RU"/>
        </w:rPr>
        <w:t>дополнительны</w:t>
      </w:r>
      <w:r w:rsidR="004F5783">
        <w:rPr>
          <w:color w:val="000000"/>
          <w:lang w:val="ru-RU"/>
        </w:rPr>
        <w:t>е</w:t>
      </w:r>
      <w:r w:rsidR="000A5337">
        <w:rPr>
          <w:color w:val="000000"/>
          <w:lang w:val="ru-RU"/>
        </w:rPr>
        <w:t xml:space="preserve"> </w:t>
      </w:r>
      <w:r w:rsidR="00C04D85">
        <w:rPr>
          <w:color w:val="000000"/>
          <w:lang w:val="ru-RU"/>
        </w:rPr>
        <w:t>документ</w:t>
      </w:r>
      <w:r w:rsidR="004F5783">
        <w:rPr>
          <w:color w:val="000000"/>
          <w:lang w:val="ru-RU"/>
        </w:rPr>
        <w:t>ы</w:t>
      </w:r>
      <w:r w:rsidR="00C04D85">
        <w:rPr>
          <w:color w:val="000000"/>
          <w:lang w:val="ru-RU"/>
        </w:rPr>
        <w:t>, касающи</w:t>
      </w:r>
      <w:r w:rsidR="004F5783">
        <w:rPr>
          <w:color w:val="000000"/>
          <w:lang w:val="ru-RU"/>
        </w:rPr>
        <w:t>е</w:t>
      </w:r>
      <w:r w:rsidR="00C04D85">
        <w:rPr>
          <w:color w:val="000000"/>
          <w:lang w:val="ru-RU"/>
        </w:rPr>
        <w:t>ся</w:t>
      </w:r>
      <w:r w:rsidR="00C04D85" w:rsidRPr="00C04D85">
        <w:rPr>
          <w:color w:val="000000"/>
          <w:lang w:val="ru-RU"/>
        </w:rPr>
        <w:t xml:space="preserve"> </w:t>
      </w:r>
      <w:r w:rsidR="00B15118" w:rsidRPr="00C04D85">
        <w:rPr>
          <w:color w:val="000000"/>
          <w:lang w:val="ru-RU"/>
        </w:rPr>
        <w:t>внешн</w:t>
      </w:r>
      <w:r w:rsidR="00B15118">
        <w:rPr>
          <w:color w:val="000000"/>
          <w:lang w:val="ru-RU"/>
        </w:rPr>
        <w:t>его</w:t>
      </w:r>
      <w:r w:rsidR="00B15118" w:rsidRPr="00C04D85">
        <w:rPr>
          <w:color w:val="000000"/>
          <w:lang w:val="ru-RU"/>
        </w:rPr>
        <w:t xml:space="preserve"> </w:t>
      </w:r>
      <w:r w:rsidR="00C04D85" w:rsidRPr="00C04D85">
        <w:rPr>
          <w:color w:val="000000"/>
          <w:lang w:val="ru-RU"/>
        </w:rPr>
        <w:t>аудит</w:t>
      </w:r>
      <w:r w:rsidR="00B15118">
        <w:rPr>
          <w:color w:val="000000"/>
          <w:lang w:val="ru-RU"/>
        </w:rPr>
        <w:t>а</w:t>
      </w:r>
      <w:r w:rsidR="00C04D85">
        <w:rPr>
          <w:color w:val="000000"/>
          <w:lang w:val="ru-RU"/>
        </w:rPr>
        <w:t xml:space="preserve">, а также </w:t>
      </w:r>
      <w:r w:rsidR="004F5783">
        <w:rPr>
          <w:color w:val="000000"/>
          <w:lang w:val="ru-RU"/>
        </w:rPr>
        <w:t xml:space="preserve">проверки внешней </w:t>
      </w:r>
      <w:proofErr w:type="spellStart"/>
      <w:r w:rsidR="004F5783">
        <w:rPr>
          <w:color w:val="000000"/>
          <w:lang w:val="ru-RU"/>
        </w:rPr>
        <w:t>валидации</w:t>
      </w:r>
      <w:proofErr w:type="spellEnd"/>
      <w:r w:rsidR="004F5783">
        <w:rPr>
          <w:color w:val="000000"/>
          <w:lang w:val="ru-RU"/>
        </w:rPr>
        <w:t xml:space="preserve"> результатов самооценки Службы внутреннего аудита</w:t>
      </w:r>
      <w:bookmarkStart w:id="3" w:name="_GoBack"/>
      <w:bookmarkEnd w:id="3"/>
      <w:r w:rsidR="00B15118">
        <w:rPr>
          <w:color w:val="000000"/>
          <w:lang w:val="ru-RU"/>
        </w:rPr>
        <w:t>,</w:t>
      </w:r>
      <w:r w:rsidR="00EC5128">
        <w:rPr>
          <w:color w:val="000000"/>
          <w:lang w:val="ru-RU"/>
        </w:rPr>
        <w:t xml:space="preserve"> соответственно, после собрания </w:t>
      </w:r>
      <w:r w:rsidR="00EC5128">
        <w:rPr>
          <w:color w:val="000000"/>
          <w:lang w:val="en-US"/>
        </w:rPr>
        <w:t>IMAC</w:t>
      </w:r>
      <w:r w:rsidR="00B15118">
        <w:rPr>
          <w:color w:val="000000"/>
          <w:lang w:val="ru-RU"/>
        </w:rPr>
        <w:t>, состоявшегося</w:t>
      </w:r>
      <w:r w:rsidR="00EC5128" w:rsidRPr="00EC5128">
        <w:rPr>
          <w:color w:val="000000"/>
          <w:lang w:val="ru-RU"/>
        </w:rPr>
        <w:t xml:space="preserve"> </w:t>
      </w:r>
      <w:r w:rsidR="00EC5128">
        <w:rPr>
          <w:color w:val="000000"/>
          <w:lang w:val="ru-RU"/>
        </w:rPr>
        <w:t>4</w:t>
      </w:r>
      <w:r w:rsidR="00B15118">
        <w:rPr>
          <w:color w:val="000000"/>
          <w:lang w:val="ru-RU"/>
        </w:rPr>
        <w:t>−5 мая 2015 </w:t>
      </w:r>
      <w:r w:rsidR="00EC5128">
        <w:rPr>
          <w:color w:val="000000"/>
          <w:lang w:val="ru-RU"/>
        </w:rPr>
        <w:t>года.</w:t>
      </w:r>
    </w:p>
    <w:p w14:paraId="47C829BC" w14:textId="77777777" w:rsidR="00362D9B" w:rsidRDefault="00F51E32" w:rsidP="00C80DD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 w:eastAsia="zh-CN"/>
        </w:rPr>
      </w:pPr>
      <w:r w:rsidRPr="000B033C">
        <w:rPr>
          <w:lang w:val="ru-RU" w:eastAsia="zh-CN"/>
        </w:rPr>
        <w:tab/>
      </w:r>
      <w:proofErr w:type="spellStart"/>
      <w:r w:rsidR="0084116D" w:rsidRPr="000B033C">
        <w:rPr>
          <w:lang w:val="ru-RU" w:eastAsia="zh-CN"/>
        </w:rPr>
        <w:t>Хоулинь</w:t>
      </w:r>
      <w:proofErr w:type="spellEnd"/>
      <w:r w:rsidR="0084116D" w:rsidRPr="000B033C">
        <w:rPr>
          <w:lang w:val="ru-RU" w:eastAsia="zh-CN"/>
        </w:rPr>
        <w:t xml:space="preserve"> ЧЖАО </w:t>
      </w:r>
      <w:r w:rsidR="0084116D" w:rsidRPr="000B033C">
        <w:rPr>
          <w:lang w:val="ru-RU" w:eastAsia="zh-CN"/>
        </w:rPr>
        <w:br/>
      </w:r>
      <w:r w:rsidR="0084116D" w:rsidRPr="000B033C">
        <w:rPr>
          <w:lang w:val="ru-RU" w:eastAsia="zh-CN"/>
        </w:rPr>
        <w:tab/>
        <w:t>Генеральный секретарь</w:t>
      </w:r>
    </w:p>
    <w:p w14:paraId="7BD4AB39" w14:textId="64F5F519" w:rsidR="0084116D" w:rsidRPr="000B033C" w:rsidRDefault="0084116D" w:rsidP="00C80DD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 w:val="24"/>
          <w:lang w:val="ru-RU"/>
        </w:rPr>
      </w:pPr>
      <w:r w:rsidRPr="000B033C">
        <w:rPr>
          <w:lang w:val="ru-RU"/>
        </w:rPr>
        <w:br w:type="page"/>
      </w:r>
    </w:p>
    <w:p w14:paraId="28B9A3EB" w14:textId="0A3BCB51" w:rsidR="0084116D" w:rsidRPr="000B033C" w:rsidRDefault="004B68F6" w:rsidP="00F51E32">
      <w:pPr>
        <w:pStyle w:val="Title1"/>
        <w:rPr>
          <w:lang w:val="ru-RU"/>
        </w:rPr>
      </w:pPr>
      <w:r w:rsidRPr="000B033C">
        <w:rPr>
          <w:rFonts w:asciiTheme="minorHAnsi" w:hAnsiTheme="minorHAnsi"/>
          <w:lang w:val="ru-RU"/>
        </w:rPr>
        <w:lastRenderedPageBreak/>
        <w:t xml:space="preserve">ЧЕТВЕРТЫЙ </w:t>
      </w:r>
      <w:r w:rsidRPr="000B033C">
        <w:rPr>
          <w:lang w:val="ru-RU"/>
        </w:rPr>
        <w:t xml:space="preserve">ЕЖЕГОДНЫЙ ОТЧЕТ </w:t>
      </w:r>
      <w:r w:rsidR="00332E37" w:rsidRPr="000B033C">
        <w:rPr>
          <w:lang w:val="ru-RU"/>
        </w:rPr>
        <w:br/>
      </w:r>
      <w:r w:rsidRPr="000B033C">
        <w:rPr>
          <w:lang w:val="ru-RU"/>
        </w:rPr>
        <w:t xml:space="preserve">НЕЗАВИСИМОГО КОНСУЛЬТАТИВНОГО КОМИТЕТА </w:t>
      </w:r>
      <w:r w:rsidRPr="000B033C">
        <w:rPr>
          <w:lang w:val="ru-RU"/>
        </w:rPr>
        <w:br/>
        <w:t>ПО УПРАВЛЕНИЮ (IMAC)</w:t>
      </w:r>
    </w:p>
    <w:p w14:paraId="25D21DCE" w14:textId="77777777" w:rsidR="00F51E32" w:rsidRPr="000B033C" w:rsidRDefault="00F51E32" w:rsidP="00332E37">
      <w:pPr>
        <w:pStyle w:val="Normalaftertitle"/>
        <w:rPr>
          <w:lang w:val="ru-RU"/>
        </w:rPr>
      </w:pPr>
    </w:p>
    <w:tbl>
      <w:tblPr>
        <w:tblW w:w="808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84116D" w:rsidRPr="004F5783" w14:paraId="38597C3C" w14:textId="77777777" w:rsidTr="0084116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D22BBC" w14:textId="77777777" w:rsidR="004B68F6" w:rsidRPr="000B033C" w:rsidRDefault="004B68F6" w:rsidP="004B68F6">
            <w:pPr>
              <w:pStyle w:val="Headingb"/>
              <w:rPr>
                <w:lang w:val="ru-RU"/>
              </w:rPr>
            </w:pPr>
            <w:r w:rsidRPr="000B033C">
              <w:rPr>
                <w:lang w:val="ru-RU"/>
              </w:rPr>
              <w:t>Резюме</w:t>
            </w:r>
          </w:p>
          <w:p w14:paraId="3DE4C26F" w14:textId="16DFD37C" w:rsidR="0084116D" w:rsidRPr="000B033C" w:rsidRDefault="004B68F6" w:rsidP="00F51E32">
            <w:pPr>
              <w:rPr>
                <w:rFonts w:asciiTheme="minorHAnsi" w:hAnsiTheme="minorHAnsi"/>
                <w:szCs w:val="22"/>
                <w:lang w:val="ru-RU"/>
              </w:rPr>
            </w:pPr>
            <w:r w:rsidRPr="000B033C">
              <w:rPr>
                <w:lang w:val="ru-RU"/>
              </w:rPr>
              <w:t>В настоящем документе представлен ежегодный отчет Независимого консультативного комитета по управлению (IMAC) Совету МСЭ. В нем содержатся выводы и рекомендации, представляемые на рассмотрение Совету в связи с функцией внутреннего аудита, управлением рисками и внутренним контролем, финансовой отчетностью, бухгалтерским учетом и внешним аудитом в соответствии с кругом ведения IMAC</w:t>
            </w:r>
            <w:r w:rsidR="00F51E32" w:rsidRPr="000B033C">
              <w:rPr>
                <w:rFonts w:asciiTheme="minorHAnsi" w:hAnsiTheme="minorHAnsi"/>
                <w:szCs w:val="22"/>
                <w:lang w:val="ru-RU"/>
              </w:rPr>
              <w:t>.</w:t>
            </w:r>
          </w:p>
          <w:p w14:paraId="0C03EEF9" w14:textId="77777777" w:rsidR="004B68F6" w:rsidRPr="000B033C" w:rsidRDefault="004B68F6" w:rsidP="004B68F6">
            <w:pPr>
              <w:rPr>
                <w:lang w:val="ru-RU"/>
              </w:rPr>
            </w:pPr>
            <w:r w:rsidRPr="000B033C">
              <w:rPr>
                <w:lang w:val="ru-RU"/>
              </w:rPr>
              <w:t xml:space="preserve">В четвертом ежегодном отчете IMAC Совету МСЭ представлены обновленные данные о сфере работы и о деятельности Комитета с июня 2014 года, а также приводятся конкретные рекомендации, предназначенные для совершенствования мер по надзору, внутреннему контролю и управлению в интересах лучшего удовлетворения текущих потребностей организации. </w:t>
            </w:r>
          </w:p>
          <w:p w14:paraId="0DF38759" w14:textId="77777777" w:rsidR="004B68F6" w:rsidRPr="000B033C" w:rsidRDefault="004B68F6" w:rsidP="004B68F6">
            <w:pPr>
              <w:rPr>
                <w:lang w:val="ru-RU"/>
              </w:rPr>
            </w:pPr>
            <w:r w:rsidRPr="000B033C">
              <w:rPr>
                <w:lang w:val="ru-RU"/>
              </w:rPr>
              <w:t>В этом году IMAC предлагает Совету утвердить его рекомендации в целях дальнейшего содействия эффективному реагированию и своевременному принятию мер в интересах усиления подотчетности.</w:t>
            </w:r>
          </w:p>
          <w:p w14:paraId="529C2059" w14:textId="77777777" w:rsidR="004B68F6" w:rsidRPr="000B033C" w:rsidRDefault="004B68F6" w:rsidP="004B68F6">
            <w:pPr>
              <w:pStyle w:val="Headingb"/>
              <w:rPr>
                <w:lang w:val="ru-RU"/>
              </w:rPr>
            </w:pPr>
            <w:r w:rsidRPr="000B033C">
              <w:rPr>
                <w:lang w:val="ru-RU"/>
              </w:rPr>
              <w:t>Необходимые действия</w:t>
            </w:r>
          </w:p>
          <w:p w14:paraId="4A91C6F4" w14:textId="77777777" w:rsidR="004B68F6" w:rsidRPr="000B033C" w:rsidRDefault="004B68F6" w:rsidP="004B68F6">
            <w:pPr>
              <w:rPr>
                <w:szCs w:val="22"/>
                <w:lang w:val="ru-RU"/>
              </w:rPr>
            </w:pPr>
            <w:r w:rsidRPr="000B033C">
              <w:rPr>
                <w:lang w:val="ru-RU"/>
              </w:rPr>
              <w:t xml:space="preserve">Совету предлагается </w:t>
            </w:r>
            <w:r w:rsidRPr="000B033C">
              <w:rPr>
                <w:b/>
                <w:bCs/>
                <w:lang w:val="ru-RU"/>
              </w:rPr>
              <w:t xml:space="preserve">утвердить </w:t>
            </w:r>
            <w:r w:rsidRPr="000B033C">
              <w:rPr>
                <w:lang w:val="ru-RU"/>
              </w:rPr>
              <w:t>отчет IMAC и содержащиеся в нем рекомендации.</w:t>
            </w:r>
          </w:p>
          <w:p w14:paraId="558A6990" w14:textId="77777777" w:rsidR="004B68F6" w:rsidRPr="000B033C" w:rsidRDefault="004B68F6" w:rsidP="004B68F6">
            <w:pPr>
              <w:jc w:val="center"/>
              <w:rPr>
                <w:caps/>
                <w:szCs w:val="22"/>
                <w:lang w:val="ru-RU"/>
              </w:rPr>
            </w:pPr>
            <w:r w:rsidRPr="000B033C">
              <w:rPr>
                <w:caps/>
                <w:szCs w:val="22"/>
                <w:lang w:val="ru-RU"/>
              </w:rPr>
              <w:t>____________</w:t>
            </w:r>
          </w:p>
          <w:p w14:paraId="3A009ADF" w14:textId="77777777" w:rsidR="004B68F6" w:rsidRPr="000B033C" w:rsidRDefault="004B68F6" w:rsidP="004B68F6">
            <w:pPr>
              <w:pStyle w:val="Headingb"/>
              <w:rPr>
                <w:lang w:val="ru-RU"/>
              </w:rPr>
            </w:pPr>
            <w:r w:rsidRPr="000B033C">
              <w:rPr>
                <w:lang w:val="ru-RU"/>
              </w:rPr>
              <w:t>Справочные материалы</w:t>
            </w:r>
          </w:p>
          <w:p w14:paraId="44422385" w14:textId="16F014B2" w:rsidR="0084116D" w:rsidRPr="000B033C" w:rsidRDefault="004F5783" w:rsidP="00332E37">
            <w:pPr>
              <w:spacing w:after="120"/>
              <w:rPr>
                <w:i/>
                <w:iCs/>
                <w:szCs w:val="22"/>
                <w:lang w:val="ru-RU"/>
              </w:rPr>
            </w:pPr>
            <w:hyperlink r:id="rId9" w:history="1">
              <w:r w:rsidR="004B68F6" w:rsidRPr="00362D9B">
                <w:rPr>
                  <w:rStyle w:val="Hyperlink"/>
                  <w:i/>
                  <w:iCs/>
                  <w:lang w:val="ru-RU"/>
                </w:rPr>
                <w:t>Резолюция 162 (</w:t>
              </w:r>
              <w:proofErr w:type="spellStart"/>
              <w:r w:rsidR="004B68F6" w:rsidRPr="00362D9B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4B68F6" w:rsidRPr="00362D9B">
                <w:rPr>
                  <w:rStyle w:val="Hyperlink"/>
                  <w:i/>
                  <w:iCs/>
                  <w:lang w:val="ru-RU"/>
                </w:rPr>
                <w:t xml:space="preserve">. </w:t>
              </w:r>
              <w:proofErr w:type="spellStart"/>
              <w:r w:rsidR="004B68F6" w:rsidRPr="00362D9B">
                <w:rPr>
                  <w:rStyle w:val="Hyperlink"/>
                  <w:i/>
                  <w:iCs/>
                  <w:lang w:val="ru-RU"/>
                </w:rPr>
                <w:t>Пусан</w:t>
              </w:r>
              <w:proofErr w:type="spellEnd"/>
              <w:r w:rsidR="004B68F6" w:rsidRPr="00362D9B">
                <w:rPr>
                  <w:rStyle w:val="Hyperlink"/>
                  <w:i/>
                  <w:iCs/>
                  <w:lang w:val="ru-RU"/>
                </w:rPr>
                <w:t>, 2014 г.)</w:t>
              </w:r>
            </w:hyperlink>
            <w:r w:rsidR="004B68F6" w:rsidRPr="000B033C">
              <w:rPr>
                <w:i/>
                <w:iCs/>
                <w:lang w:val="ru-RU"/>
              </w:rPr>
              <w:t xml:space="preserve">; </w:t>
            </w:r>
            <w:hyperlink r:id="rId10" w:history="1">
              <w:r w:rsidR="004B68F6" w:rsidRPr="000B033C">
                <w:rPr>
                  <w:rStyle w:val="Hyperlink"/>
                  <w:i/>
                  <w:iCs/>
                  <w:lang w:val="ru-RU"/>
                </w:rPr>
                <w:t>Решение 565</w:t>
              </w:r>
            </w:hyperlink>
            <w:r w:rsidR="004B68F6" w:rsidRPr="000B033C">
              <w:rPr>
                <w:i/>
                <w:iCs/>
                <w:lang w:val="ru-RU"/>
              </w:rPr>
              <w:t xml:space="preserve"> Совета; </w:t>
            </w:r>
            <w:r w:rsidR="00332E37" w:rsidRPr="000B033C">
              <w:rPr>
                <w:i/>
                <w:iCs/>
                <w:lang w:val="ru-RU"/>
              </w:rPr>
              <w:br/>
            </w:r>
            <w:r w:rsidR="004B68F6" w:rsidRPr="000B033C">
              <w:rPr>
                <w:i/>
                <w:iCs/>
                <w:lang w:val="ru-RU"/>
              </w:rPr>
              <w:t xml:space="preserve">Документы </w:t>
            </w:r>
            <w:hyperlink r:id="rId11" w:history="1">
              <w:r w:rsidR="004B68F6" w:rsidRPr="000B033C">
                <w:rPr>
                  <w:rStyle w:val="Hyperlink"/>
                  <w:i/>
                  <w:iCs/>
                  <w:lang w:val="ru-RU"/>
                </w:rPr>
                <w:t>C12/44</w:t>
              </w:r>
            </w:hyperlink>
            <w:r w:rsidR="004B68F6" w:rsidRPr="000B033C">
              <w:rPr>
                <w:i/>
                <w:iCs/>
                <w:lang w:val="ru-RU"/>
              </w:rPr>
              <w:t>, где представлен перв</w:t>
            </w:r>
            <w:r w:rsidR="007D0030" w:rsidRPr="000B033C">
              <w:rPr>
                <w:i/>
                <w:iCs/>
                <w:lang w:val="ru-RU"/>
              </w:rPr>
              <w:t>ый ежегодный отчет IMAC Совету,</w:t>
            </w:r>
            <w:r w:rsidR="004B68F6" w:rsidRPr="000B033C">
              <w:rPr>
                <w:i/>
                <w:iCs/>
                <w:lang w:val="ru-RU"/>
              </w:rPr>
              <w:t xml:space="preserve"> </w:t>
            </w:r>
            <w:hyperlink r:id="rId12" w:history="1">
              <w:r w:rsidR="004B68F6" w:rsidRPr="000B033C">
                <w:rPr>
                  <w:rStyle w:val="Hyperlink"/>
                  <w:i/>
                  <w:iCs/>
                  <w:lang w:val="ru-RU"/>
                </w:rPr>
                <w:t>C13/65 + Corr.1</w:t>
              </w:r>
            </w:hyperlink>
            <w:r w:rsidR="004B68F6" w:rsidRPr="000B033C">
              <w:rPr>
                <w:i/>
                <w:iCs/>
                <w:lang w:val="ru-RU"/>
              </w:rPr>
              <w:t>, где</w:t>
            </w:r>
            <w:r w:rsidR="00F51E32" w:rsidRPr="000B033C">
              <w:rPr>
                <w:i/>
                <w:iCs/>
                <w:lang w:val="ru-RU"/>
              </w:rPr>
              <w:t> </w:t>
            </w:r>
            <w:r w:rsidR="004B68F6" w:rsidRPr="000B033C">
              <w:rPr>
                <w:i/>
                <w:iCs/>
                <w:lang w:val="ru-RU"/>
              </w:rPr>
              <w:t>представлен второй ежегодный отчет IMAC Совету, и</w:t>
            </w:r>
            <w:r w:rsidR="00332E37" w:rsidRPr="000B033C">
              <w:rPr>
                <w:i/>
                <w:iCs/>
                <w:lang w:val="ru-RU"/>
              </w:rPr>
              <w:t> </w:t>
            </w:r>
            <w:hyperlink r:id="rId13" w:history="1">
              <w:r w:rsidR="0084116D" w:rsidRPr="00362D9B">
                <w:rPr>
                  <w:rStyle w:val="Hyperlink"/>
                  <w:rFonts w:asciiTheme="minorHAnsi" w:hAnsiTheme="minorHAnsi"/>
                  <w:i/>
                  <w:iCs/>
                  <w:szCs w:val="22"/>
                  <w:lang w:val="ru-RU"/>
                </w:rPr>
                <w:t>C14/22 + Add.1</w:t>
              </w:r>
            </w:hyperlink>
            <w:r w:rsidR="004B68F6" w:rsidRPr="000B033C">
              <w:rPr>
                <w:rFonts w:asciiTheme="minorHAnsi" w:hAnsiTheme="minorHAnsi"/>
                <w:i/>
                <w:iCs/>
                <w:szCs w:val="22"/>
                <w:lang w:val="ru-RU"/>
              </w:rPr>
              <w:t>, где</w:t>
            </w:r>
            <w:r w:rsidR="00F51E32" w:rsidRPr="000B033C">
              <w:rPr>
                <w:rFonts w:asciiTheme="minorHAnsi" w:hAnsiTheme="minorHAnsi"/>
                <w:i/>
                <w:iCs/>
                <w:szCs w:val="22"/>
                <w:lang w:val="ru-RU"/>
              </w:rPr>
              <w:t> </w:t>
            </w:r>
            <w:r w:rsidR="004B68F6" w:rsidRPr="000B033C">
              <w:rPr>
                <w:rFonts w:asciiTheme="minorHAnsi" w:hAnsiTheme="minorHAnsi"/>
                <w:i/>
                <w:iCs/>
                <w:szCs w:val="22"/>
                <w:lang w:val="ru-RU"/>
              </w:rPr>
              <w:t>представлен третий ежегодный отчет IMAC Совету</w:t>
            </w:r>
          </w:p>
        </w:tc>
      </w:tr>
    </w:tbl>
    <w:p w14:paraId="5BFFD83F" w14:textId="36765EED" w:rsidR="0084116D" w:rsidRPr="000B033C" w:rsidRDefault="005A3321" w:rsidP="00F51E32">
      <w:pPr>
        <w:pStyle w:val="Heading1"/>
        <w:rPr>
          <w:lang w:val="ru-RU"/>
        </w:rPr>
      </w:pPr>
      <w:bookmarkStart w:id="4" w:name="dstart"/>
      <w:bookmarkStart w:id="5" w:name="dbreak"/>
      <w:bookmarkEnd w:id="4"/>
      <w:bookmarkEnd w:id="5"/>
      <w:r>
        <w:rPr>
          <w:lang w:val="ru-RU"/>
        </w:rPr>
        <w:t>1</w:t>
      </w:r>
      <w:r w:rsidR="0084116D" w:rsidRPr="000B033C">
        <w:rPr>
          <w:lang w:val="ru-RU"/>
        </w:rPr>
        <w:tab/>
      </w:r>
      <w:r w:rsidR="0084116D" w:rsidRPr="000B033C">
        <w:rPr>
          <w:lang w:val="ru-RU"/>
        </w:rPr>
        <w:tab/>
      </w:r>
      <w:r w:rsidR="00AF124F" w:rsidRPr="000B033C">
        <w:rPr>
          <w:lang w:val="ru-RU"/>
        </w:rPr>
        <w:t>Введение</w:t>
      </w:r>
    </w:p>
    <w:p w14:paraId="0117C98C" w14:textId="0B74EA00" w:rsidR="0084116D" w:rsidRPr="000B033C" w:rsidRDefault="0084116D" w:rsidP="00332E37">
      <w:pPr>
        <w:rPr>
          <w:rFonts w:asciiTheme="minorHAnsi" w:hAnsiTheme="minorHAnsi"/>
          <w:szCs w:val="22"/>
          <w:lang w:val="ru-RU"/>
        </w:rPr>
      </w:pPr>
      <w:r w:rsidRPr="000B033C">
        <w:rPr>
          <w:rFonts w:asciiTheme="minorHAnsi" w:hAnsiTheme="minorHAnsi"/>
          <w:szCs w:val="22"/>
          <w:lang w:val="ru-RU"/>
        </w:rPr>
        <w:t>1.1</w:t>
      </w:r>
      <w:r w:rsidRPr="000B033C">
        <w:rPr>
          <w:rFonts w:asciiTheme="minorHAnsi" w:hAnsiTheme="minorHAnsi"/>
          <w:szCs w:val="22"/>
          <w:lang w:val="ru-RU"/>
        </w:rPr>
        <w:tab/>
      </w:r>
      <w:r w:rsidR="00AF124F" w:rsidRPr="000B033C">
        <w:rPr>
          <w:lang w:val="ru-RU"/>
        </w:rPr>
        <w:t xml:space="preserve">IMAC выступает в экспертно-консультативном качестве и помогает Совету и Генеральному секретарю в выполнении ими функций руководства в отношении финансовой отчетности, механизмов внутреннего контроля, процедур управления рисками и процессов руководства, </w:t>
      </w:r>
      <w:r w:rsidR="009C404F" w:rsidRPr="000B033C">
        <w:rPr>
          <w:lang w:val="ru-RU"/>
        </w:rPr>
        <w:t xml:space="preserve">а также по другим </w:t>
      </w:r>
      <w:r w:rsidR="006F182E" w:rsidRPr="000B033C">
        <w:rPr>
          <w:lang w:val="ru-RU"/>
        </w:rPr>
        <w:t xml:space="preserve">связанным с аудитом вопросам. Тем самым </w:t>
      </w:r>
      <w:r w:rsidR="00AF124F" w:rsidRPr="000B033C">
        <w:rPr>
          <w:lang w:val="ru-RU"/>
        </w:rPr>
        <w:t>IMAC содейств</w:t>
      </w:r>
      <w:r w:rsidR="006F182E" w:rsidRPr="000B033C">
        <w:rPr>
          <w:lang w:val="ru-RU"/>
        </w:rPr>
        <w:t>ует</w:t>
      </w:r>
      <w:r w:rsidR="00AF124F" w:rsidRPr="000B033C">
        <w:rPr>
          <w:lang w:val="ru-RU"/>
        </w:rPr>
        <w:t xml:space="preserve"> повышению прозрачности, укреплению функций подотчетности и </w:t>
      </w:r>
      <w:r w:rsidR="00331146" w:rsidRPr="000B033C">
        <w:rPr>
          <w:lang w:val="ru-RU"/>
        </w:rPr>
        <w:t xml:space="preserve">поддержке </w:t>
      </w:r>
      <w:r w:rsidR="006F182E" w:rsidRPr="000B033C">
        <w:rPr>
          <w:lang w:val="ru-RU"/>
        </w:rPr>
        <w:t xml:space="preserve">надлежащего </w:t>
      </w:r>
      <w:r w:rsidR="00AF124F" w:rsidRPr="000B033C">
        <w:rPr>
          <w:lang w:val="ru-RU"/>
        </w:rPr>
        <w:t>управления</w:t>
      </w:r>
      <w:r w:rsidRPr="000B033C">
        <w:rPr>
          <w:rFonts w:asciiTheme="minorHAnsi" w:hAnsiTheme="minorHAnsi"/>
          <w:szCs w:val="22"/>
          <w:lang w:val="ru-RU"/>
        </w:rPr>
        <w:t xml:space="preserve">. IMAC </w:t>
      </w:r>
      <w:r w:rsidR="006F182E" w:rsidRPr="000B033C">
        <w:rPr>
          <w:rFonts w:asciiTheme="minorHAnsi" w:hAnsiTheme="minorHAnsi"/>
          <w:szCs w:val="22"/>
          <w:lang w:val="ru-RU"/>
        </w:rPr>
        <w:t>не проводит аудиты и не дублирует какие-либо исполнительные или аудиторские функции, внутренние или</w:t>
      </w:r>
      <w:r w:rsidR="00332E37" w:rsidRPr="000B033C">
        <w:rPr>
          <w:rFonts w:asciiTheme="minorHAnsi" w:hAnsiTheme="minorHAnsi"/>
          <w:szCs w:val="22"/>
          <w:lang w:val="ru-RU"/>
        </w:rPr>
        <w:t> </w:t>
      </w:r>
      <w:r w:rsidR="006F182E" w:rsidRPr="000B033C">
        <w:rPr>
          <w:rFonts w:asciiTheme="minorHAnsi" w:hAnsiTheme="minorHAnsi"/>
          <w:szCs w:val="22"/>
          <w:lang w:val="ru-RU"/>
        </w:rPr>
        <w:t xml:space="preserve">внешние, </w:t>
      </w:r>
      <w:r w:rsidR="00331146" w:rsidRPr="000B033C">
        <w:rPr>
          <w:rFonts w:asciiTheme="minorHAnsi" w:hAnsiTheme="minorHAnsi"/>
          <w:szCs w:val="22"/>
          <w:lang w:val="ru-RU"/>
        </w:rPr>
        <w:t>но</w:t>
      </w:r>
      <w:r w:rsidR="006F182E" w:rsidRPr="000B033C">
        <w:rPr>
          <w:rFonts w:asciiTheme="minorHAnsi" w:hAnsiTheme="minorHAnsi"/>
          <w:szCs w:val="22"/>
          <w:lang w:val="ru-RU"/>
        </w:rPr>
        <w:t xml:space="preserve"> содействует обеспечению наилучшего использования аудита и других ресурсов в</w:t>
      </w:r>
      <w:r w:rsidR="00332E37" w:rsidRPr="000B033C">
        <w:rPr>
          <w:rFonts w:asciiTheme="minorHAnsi" w:hAnsiTheme="minorHAnsi"/>
          <w:szCs w:val="22"/>
          <w:lang w:val="ru-RU"/>
        </w:rPr>
        <w:t> </w:t>
      </w:r>
      <w:r w:rsidR="006F182E" w:rsidRPr="000B033C">
        <w:rPr>
          <w:rFonts w:asciiTheme="minorHAnsi" w:hAnsiTheme="minorHAnsi"/>
          <w:szCs w:val="22"/>
          <w:lang w:val="ru-RU"/>
        </w:rPr>
        <w:t>общих рамках обеспечения МСЭ</w:t>
      </w:r>
      <w:r w:rsidRPr="000B033C">
        <w:rPr>
          <w:rFonts w:asciiTheme="minorHAnsi" w:hAnsiTheme="minorHAnsi"/>
          <w:szCs w:val="22"/>
          <w:lang w:val="ru-RU"/>
        </w:rPr>
        <w:t xml:space="preserve">. </w:t>
      </w:r>
    </w:p>
    <w:p w14:paraId="089BBF7A" w14:textId="2CD2BD38" w:rsidR="0084116D" w:rsidRPr="000B033C" w:rsidRDefault="0084116D" w:rsidP="00F51E32">
      <w:pPr>
        <w:rPr>
          <w:lang w:val="ru-RU"/>
        </w:rPr>
      </w:pPr>
      <w:r w:rsidRPr="000B033C">
        <w:rPr>
          <w:lang w:val="ru-RU"/>
        </w:rPr>
        <w:t>1.2</w:t>
      </w:r>
      <w:r w:rsidRPr="000B033C">
        <w:rPr>
          <w:lang w:val="ru-RU"/>
        </w:rPr>
        <w:tab/>
      </w:r>
      <w:r w:rsidR="006F182E" w:rsidRPr="000B033C">
        <w:rPr>
          <w:lang w:val="ru-RU"/>
        </w:rPr>
        <w:t xml:space="preserve">Выполняя просьбу ряда членов Рабочей группы Совета по финансовым и людским ресурсам уточнить роль </w:t>
      </w:r>
      <w:r w:rsidRPr="000B033C">
        <w:rPr>
          <w:lang w:val="ru-RU"/>
        </w:rPr>
        <w:t>IMAC</w:t>
      </w:r>
      <w:r w:rsidR="006F182E" w:rsidRPr="000B033C">
        <w:rPr>
          <w:lang w:val="ru-RU"/>
        </w:rPr>
        <w:t xml:space="preserve"> и приносимую им пользу</w:t>
      </w:r>
      <w:r w:rsidRPr="000B033C">
        <w:rPr>
          <w:lang w:val="ru-RU"/>
        </w:rPr>
        <w:t xml:space="preserve">, </w:t>
      </w:r>
      <w:r w:rsidR="006F182E" w:rsidRPr="000B033C">
        <w:rPr>
          <w:lang w:val="ru-RU"/>
        </w:rPr>
        <w:t>Комитет подготовил объяснительную записку, к</w:t>
      </w:r>
      <w:r w:rsidR="00EC5128">
        <w:rPr>
          <w:lang w:val="ru-RU"/>
        </w:rPr>
        <w:t>оторая приводится в Приложении 1</w:t>
      </w:r>
      <w:r w:rsidR="006F182E" w:rsidRPr="000B033C">
        <w:rPr>
          <w:lang w:val="ru-RU"/>
        </w:rPr>
        <w:t xml:space="preserve"> к настоящему отчету</w:t>
      </w:r>
      <w:r w:rsidRPr="000B033C">
        <w:rPr>
          <w:lang w:val="ru-RU"/>
        </w:rPr>
        <w:t>.</w:t>
      </w:r>
    </w:p>
    <w:p w14:paraId="5A0D66F7" w14:textId="77777777" w:rsidR="006F182E" w:rsidRPr="000B033C" w:rsidRDefault="0084116D" w:rsidP="00332E37">
      <w:pPr>
        <w:keepNext/>
        <w:rPr>
          <w:lang w:val="ru-RU"/>
        </w:rPr>
      </w:pPr>
      <w:r w:rsidRPr="000B033C">
        <w:rPr>
          <w:rFonts w:asciiTheme="minorHAnsi" w:hAnsiTheme="minorHAnsi"/>
          <w:szCs w:val="22"/>
          <w:lang w:val="ru-RU"/>
        </w:rPr>
        <w:lastRenderedPageBreak/>
        <w:t>1.3</w:t>
      </w:r>
      <w:r w:rsidRPr="000B033C">
        <w:rPr>
          <w:rFonts w:asciiTheme="minorHAnsi" w:hAnsiTheme="minorHAnsi"/>
          <w:szCs w:val="22"/>
          <w:lang w:val="ru-RU"/>
        </w:rPr>
        <w:tab/>
      </w:r>
      <w:r w:rsidR="006F182E" w:rsidRPr="000B033C">
        <w:rPr>
          <w:lang w:val="ru-RU"/>
        </w:rPr>
        <w:t>В настоящее время членами IMAC, назначенными Советом, являются:</w:t>
      </w:r>
    </w:p>
    <w:p w14:paraId="4F33E730" w14:textId="77777777" w:rsidR="006F182E" w:rsidRPr="000B033C" w:rsidRDefault="006F182E" w:rsidP="006F182E">
      <w:pPr>
        <w:pStyle w:val="enumlev1"/>
        <w:rPr>
          <w:lang w:val="ru-RU"/>
        </w:rPr>
      </w:pPr>
      <w:r w:rsidRPr="000B033C">
        <w:rPr>
          <w:lang w:val="ru-RU"/>
        </w:rPr>
        <w:t>•</w:t>
      </w:r>
      <w:r w:rsidRPr="000B033C">
        <w:rPr>
          <w:lang w:val="ru-RU"/>
        </w:rPr>
        <w:tab/>
        <w:t xml:space="preserve">г-н Эрик </w:t>
      </w:r>
      <w:proofErr w:type="spellStart"/>
      <w:r w:rsidRPr="000B033C">
        <w:rPr>
          <w:lang w:val="ru-RU"/>
        </w:rPr>
        <w:t>Адда</w:t>
      </w:r>
      <w:proofErr w:type="spellEnd"/>
      <w:r w:rsidRPr="000B033C">
        <w:rPr>
          <w:lang w:val="ru-RU"/>
        </w:rPr>
        <w:t>;</w:t>
      </w:r>
    </w:p>
    <w:p w14:paraId="1538E951" w14:textId="77777777" w:rsidR="006F182E" w:rsidRPr="000B033C" w:rsidRDefault="006F182E" w:rsidP="006F182E">
      <w:pPr>
        <w:pStyle w:val="enumlev1"/>
        <w:rPr>
          <w:lang w:val="ru-RU"/>
        </w:rPr>
      </w:pPr>
      <w:r w:rsidRPr="000B033C">
        <w:rPr>
          <w:lang w:val="ru-RU"/>
        </w:rPr>
        <w:t>•</w:t>
      </w:r>
      <w:r w:rsidRPr="000B033C">
        <w:rPr>
          <w:lang w:val="ru-RU"/>
        </w:rPr>
        <w:tab/>
        <w:t xml:space="preserve">д-р Беате </w:t>
      </w:r>
      <w:proofErr w:type="spellStart"/>
      <w:r w:rsidRPr="000B033C">
        <w:rPr>
          <w:lang w:val="ru-RU"/>
        </w:rPr>
        <w:t>Деген</w:t>
      </w:r>
      <w:proofErr w:type="spellEnd"/>
      <w:r w:rsidRPr="000B033C">
        <w:rPr>
          <w:lang w:val="ru-RU"/>
        </w:rPr>
        <w:t xml:space="preserve"> (Председатель);</w:t>
      </w:r>
    </w:p>
    <w:p w14:paraId="435B89D7" w14:textId="78EFC8ED" w:rsidR="006F182E" w:rsidRPr="000B033C" w:rsidRDefault="006F182E" w:rsidP="006F182E">
      <w:pPr>
        <w:pStyle w:val="enumlev1"/>
        <w:rPr>
          <w:lang w:val="ru-RU"/>
        </w:rPr>
      </w:pPr>
      <w:r w:rsidRPr="000B033C">
        <w:rPr>
          <w:lang w:val="ru-RU"/>
        </w:rPr>
        <w:t>•</w:t>
      </w:r>
      <w:r w:rsidRPr="000B033C">
        <w:rPr>
          <w:lang w:val="ru-RU"/>
        </w:rPr>
        <w:tab/>
        <w:t xml:space="preserve">г-н </w:t>
      </w:r>
      <w:proofErr w:type="spellStart"/>
      <w:r w:rsidRPr="000B033C">
        <w:rPr>
          <w:lang w:val="ru-RU"/>
        </w:rPr>
        <w:t>Абдессалам</w:t>
      </w:r>
      <w:proofErr w:type="spellEnd"/>
      <w:r w:rsidRPr="000B033C">
        <w:rPr>
          <w:lang w:val="ru-RU"/>
        </w:rPr>
        <w:t xml:space="preserve"> Эль-</w:t>
      </w:r>
      <w:proofErr w:type="spellStart"/>
      <w:r w:rsidRPr="000B033C">
        <w:rPr>
          <w:lang w:val="ru-RU"/>
        </w:rPr>
        <w:t>Харуши</w:t>
      </w:r>
      <w:proofErr w:type="spellEnd"/>
      <w:r w:rsidRPr="000B033C">
        <w:rPr>
          <w:lang w:val="ru-RU"/>
        </w:rPr>
        <w:t>;</w:t>
      </w:r>
    </w:p>
    <w:p w14:paraId="29C3C689" w14:textId="77777777" w:rsidR="006F182E" w:rsidRPr="000B033C" w:rsidRDefault="006F182E" w:rsidP="006F182E">
      <w:pPr>
        <w:pStyle w:val="enumlev1"/>
        <w:rPr>
          <w:lang w:val="ru-RU"/>
        </w:rPr>
      </w:pPr>
      <w:r w:rsidRPr="000B033C">
        <w:rPr>
          <w:lang w:val="ru-RU"/>
        </w:rPr>
        <w:t>•</w:t>
      </w:r>
      <w:r w:rsidRPr="000B033C">
        <w:rPr>
          <w:lang w:val="ru-RU"/>
        </w:rPr>
        <w:tab/>
        <w:t xml:space="preserve">г-н </w:t>
      </w:r>
      <w:proofErr w:type="spellStart"/>
      <w:r w:rsidRPr="000B033C">
        <w:rPr>
          <w:lang w:val="ru-RU"/>
        </w:rPr>
        <w:t>Грэм</w:t>
      </w:r>
      <w:proofErr w:type="spellEnd"/>
      <w:r w:rsidRPr="000B033C">
        <w:rPr>
          <w:lang w:val="ru-RU"/>
        </w:rPr>
        <w:t xml:space="preserve"> Миллер;</w:t>
      </w:r>
    </w:p>
    <w:p w14:paraId="56A44FE8" w14:textId="77777777" w:rsidR="006F182E" w:rsidRPr="000B033C" w:rsidRDefault="006F182E" w:rsidP="006F182E">
      <w:pPr>
        <w:pStyle w:val="enumlev1"/>
        <w:rPr>
          <w:rFonts w:asciiTheme="minorHAnsi" w:hAnsiTheme="minorHAnsi"/>
          <w:szCs w:val="22"/>
          <w:lang w:val="ru-RU"/>
        </w:rPr>
      </w:pPr>
      <w:r w:rsidRPr="000B033C">
        <w:rPr>
          <w:lang w:val="ru-RU"/>
        </w:rPr>
        <w:t>•</w:t>
      </w:r>
      <w:r w:rsidRPr="000B033C">
        <w:rPr>
          <w:lang w:val="ru-RU"/>
        </w:rPr>
        <w:tab/>
        <w:t xml:space="preserve">г-н Томас </w:t>
      </w:r>
      <w:proofErr w:type="spellStart"/>
      <w:r w:rsidRPr="000B033C">
        <w:rPr>
          <w:lang w:val="ru-RU"/>
        </w:rPr>
        <w:t>Репаш</w:t>
      </w:r>
      <w:proofErr w:type="spellEnd"/>
      <w:r w:rsidRPr="000B033C">
        <w:rPr>
          <w:lang w:val="ru-RU"/>
        </w:rPr>
        <w:t>.</w:t>
      </w:r>
    </w:p>
    <w:p w14:paraId="789A64D3" w14:textId="429FA0E8" w:rsidR="0084116D" w:rsidRPr="000B033C" w:rsidRDefault="0084116D" w:rsidP="00EC5128">
      <w:pPr>
        <w:rPr>
          <w:rFonts w:asciiTheme="minorHAnsi" w:hAnsiTheme="minorHAnsi"/>
          <w:szCs w:val="22"/>
          <w:lang w:val="ru-RU"/>
        </w:rPr>
      </w:pPr>
      <w:r w:rsidRPr="000B033C">
        <w:rPr>
          <w:rFonts w:asciiTheme="minorHAnsi" w:hAnsiTheme="minorHAnsi"/>
          <w:szCs w:val="22"/>
          <w:lang w:val="ru-RU"/>
        </w:rPr>
        <w:t>1.4</w:t>
      </w:r>
      <w:r w:rsidRPr="000B033C">
        <w:rPr>
          <w:rFonts w:asciiTheme="minorHAnsi" w:hAnsiTheme="minorHAnsi"/>
          <w:szCs w:val="22"/>
          <w:lang w:val="ru-RU"/>
        </w:rPr>
        <w:tab/>
      </w:r>
      <w:r w:rsidR="00CE0B1B" w:rsidRPr="000B033C">
        <w:rPr>
          <w:lang w:val="ru-RU"/>
        </w:rPr>
        <w:t>После того как IMAC представил Совету в 2014 го</w:t>
      </w:r>
      <w:r w:rsidR="005A3321">
        <w:rPr>
          <w:lang w:val="ru-RU"/>
        </w:rPr>
        <w:t xml:space="preserve">ду свой третий ежегодный отчет </w:t>
      </w:r>
      <w:r w:rsidR="00CE0B1B" w:rsidRPr="000B033C">
        <w:rPr>
          <w:lang w:val="ru-RU"/>
        </w:rPr>
        <w:t>(Документ С14/22) и последующий дополнительный отчет (Дополнительный документ 1 к</w:t>
      </w:r>
      <w:r w:rsidR="00332E37" w:rsidRPr="000B033C">
        <w:rPr>
          <w:lang w:val="ru-RU"/>
        </w:rPr>
        <w:t> </w:t>
      </w:r>
      <w:r w:rsidR="00CE0B1B" w:rsidRPr="000B033C">
        <w:rPr>
          <w:lang w:val="ru-RU"/>
        </w:rPr>
        <w:t>Документу С14/22), IMAC провел собрания 3–4 июля 2014 года (в преддверии ПК</w:t>
      </w:r>
      <w:r w:rsidR="00CE0B1B" w:rsidRPr="000B033C">
        <w:rPr>
          <w:lang w:val="ru-RU"/>
        </w:rPr>
        <w:noBreakHyphen/>
        <w:t>14), 1–2 декабря 2014 года, 4–6 февраля 2015 года и 4–5 мая 2015 года. Согласно кругу ведения IMAC</w:t>
      </w:r>
      <w:r w:rsidR="00331146" w:rsidRPr="000B033C">
        <w:rPr>
          <w:lang w:val="ru-RU"/>
        </w:rPr>
        <w:t>,</w:t>
      </w:r>
      <w:r w:rsidR="00CE0B1B" w:rsidRPr="000B033C">
        <w:rPr>
          <w:lang w:val="ru-RU"/>
        </w:rPr>
        <w:t xml:space="preserve"> выводы собрания, состоявшегося в </w:t>
      </w:r>
      <w:r w:rsidR="00EC5128">
        <w:rPr>
          <w:lang w:val="ru-RU"/>
        </w:rPr>
        <w:t>ноябре</w:t>
      </w:r>
      <w:r w:rsidR="00CE0B1B" w:rsidRPr="000B033C">
        <w:rPr>
          <w:lang w:val="ru-RU"/>
        </w:rPr>
        <w:t xml:space="preserve"> 2014 года, были представлены Председателю Совета и</w:t>
      </w:r>
      <w:r w:rsidR="00332E37" w:rsidRPr="000B033C">
        <w:rPr>
          <w:lang w:val="ru-RU"/>
        </w:rPr>
        <w:t> </w:t>
      </w:r>
      <w:r w:rsidR="00CE0B1B" w:rsidRPr="000B033C">
        <w:rPr>
          <w:lang w:val="ru-RU"/>
        </w:rPr>
        <w:t xml:space="preserve">Генеральному секретарю. Выводы </w:t>
      </w:r>
      <w:r w:rsidR="00DE36A5" w:rsidRPr="000B033C">
        <w:rPr>
          <w:lang w:val="ru-RU"/>
        </w:rPr>
        <w:t>дека</w:t>
      </w:r>
      <w:r w:rsidR="00CE0B1B" w:rsidRPr="000B033C">
        <w:rPr>
          <w:lang w:val="ru-RU"/>
        </w:rPr>
        <w:t>брьского, февральского и майского собраний включены в</w:t>
      </w:r>
      <w:r w:rsidR="00332E37" w:rsidRPr="000B033C">
        <w:rPr>
          <w:lang w:val="ru-RU"/>
        </w:rPr>
        <w:t> </w:t>
      </w:r>
      <w:r w:rsidR="00CE0B1B" w:rsidRPr="000B033C">
        <w:rPr>
          <w:lang w:val="ru-RU"/>
        </w:rPr>
        <w:t>четвертый ежегодный отчет Совету. Отчеты о собраниях Комитета и его ежегодные отчеты, а также другие важнейшие документы доступны для членов МСЭ в относящейся к IMAC области веб</w:t>
      </w:r>
      <w:r w:rsidR="00CE0B1B" w:rsidRPr="000B033C">
        <w:rPr>
          <w:lang w:val="ru-RU"/>
        </w:rPr>
        <w:noBreakHyphen/>
        <w:t xml:space="preserve">сайта МСЭ, размещенной в разделе </w:t>
      </w:r>
      <w:hyperlink r:id="rId14" w:history="1">
        <w:r w:rsidR="00CE0B1B" w:rsidRPr="000B033C">
          <w:rPr>
            <w:rStyle w:val="Hyperlink"/>
            <w:lang w:val="ru-RU"/>
          </w:rPr>
          <w:t>Совет МСЭ</w:t>
        </w:r>
      </w:hyperlink>
      <w:r w:rsidRPr="000B033C">
        <w:rPr>
          <w:rFonts w:asciiTheme="minorHAnsi" w:hAnsiTheme="minorHAnsi"/>
          <w:szCs w:val="22"/>
          <w:lang w:val="ru-RU"/>
        </w:rPr>
        <w:t>.</w:t>
      </w:r>
    </w:p>
    <w:p w14:paraId="561AE1EB" w14:textId="16E7D6C8" w:rsidR="0084116D" w:rsidRPr="000B033C" w:rsidRDefault="0084116D" w:rsidP="00EC5128">
      <w:pPr>
        <w:rPr>
          <w:rFonts w:asciiTheme="minorHAnsi" w:hAnsiTheme="minorHAnsi"/>
          <w:szCs w:val="22"/>
          <w:lang w:val="ru-RU"/>
        </w:rPr>
      </w:pPr>
      <w:r w:rsidRPr="000B033C">
        <w:rPr>
          <w:rFonts w:asciiTheme="minorHAnsi" w:hAnsiTheme="minorHAnsi"/>
          <w:szCs w:val="22"/>
          <w:lang w:val="ru-RU"/>
        </w:rPr>
        <w:t>1.5</w:t>
      </w:r>
      <w:r w:rsidRPr="000B033C">
        <w:rPr>
          <w:rFonts w:asciiTheme="minorHAnsi" w:hAnsiTheme="minorHAnsi"/>
          <w:szCs w:val="22"/>
          <w:lang w:val="ru-RU"/>
        </w:rPr>
        <w:tab/>
      </w:r>
      <w:r w:rsidR="00CE0B1B" w:rsidRPr="000B033C">
        <w:rPr>
          <w:lang w:val="ru-RU"/>
        </w:rPr>
        <w:t xml:space="preserve">Участие в собраниях: д-р </w:t>
      </w:r>
      <w:proofErr w:type="spellStart"/>
      <w:r w:rsidR="00CE0B1B" w:rsidRPr="000B033C">
        <w:rPr>
          <w:lang w:val="ru-RU"/>
        </w:rPr>
        <w:t>Деген</w:t>
      </w:r>
      <w:proofErr w:type="spellEnd"/>
      <w:r w:rsidR="00CE0B1B" w:rsidRPr="000B033C">
        <w:rPr>
          <w:lang w:val="ru-RU"/>
        </w:rPr>
        <w:t xml:space="preserve">, г-н </w:t>
      </w:r>
      <w:proofErr w:type="spellStart"/>
      <w:r w:rsidR="00CE0B1B" w:rsidRPr="000B033C">
        <w:rPr>
          <w:lang w:val="ru-RU"/>
        </w:rPr>
        <w:t>Адда</w:t>
      </w:r>
      <w:proofErr w:type="spellEnd"/>
      <w:r w:rsidR="00CE0B1B" w:rsidRPr="000B033C">
        <w:rPr>
          <w:lang w:val="ru-RU"/>
        </w:rPr>
        <w:t xml:space="preserve">, г-н Миллер и г-н </w:t>
      </w:r>
      <w:proofErr w:type="spellStart"/>
      <w:r w:rsidR="00CE0B1B" w:rsidRPr="000B033C">
        <w:rPr>
          <w:lang w:val="ru-RU"/>
        </w:rPr>
        <w:t>Репаш</w:t>
      </w:r>
      <w:proofErr w:type="spellEnd"/>
      <w:r w:rsidR="00CE0B1B" w:rsidRPr="000B033C">
        <w:rPr>
          <w:lang w:val="ru-RU"/>
        </w:rPr>
        <w:t xml:space="preserve"> присутствовали на всех собраниях. Г-н Эль-</w:t>
      </w:r>
      <w:proofErr w:type="spellStart"/>
      <w:r w:rsidR="00CE0B1B" w:rsidRPr="000B033C">
        <w:rPr>
          <w:lang w:val="ru-RU"/>
        </w:rPr>
        <w:t>Харуши</w:t>
      </w:r>
      <w:proofErr w:type="spellEnd"/>
      <w:r w:rsidR="00CE0B1B" w:rsidRPr="000B033C">
        <w:rPr>
          <w:lang w:val="ru-RU"/>
        </w:rPr>
        <w:t xml:space="preserve"> не смог принять участие в</w:t>
      </w:r>
      <w:r w:rsidR="00EC5128">
        <w:rPr>
          <w:lang w:val="ru-RU"/>
        </w:rPr>
        <w:t xml:space="preserve">о втором </w:t>
      </w:r>
      <w:r w:rsidR="00CE0B1B" w:rsidRPr="000B033C">
        <w:rPr>
          <w:lang w:val="ru-RU"/>
        </w:rPr>
        <w:t>собрании</w:t>
      </w:r>
      <w:r w:rsidR="00CE0B1B" w:rsidRPr="000B033C">
        <w:rPr>
          <w:rFonts w:asciiTheme="minorHAnsi" w:hAnsiTheme="minorHAnsi"/>
          <w:szCs w:val="22"/>
          <w:lang w:val="ru-RU"/>
        </w:rPr>
        <w:t xml:space="preserve"> в феврале </w:t>
      </w:r>
      <w:r w:rsidRPr="000B033C">
        <w:rPr>
          <w:rFonts w:asciiTheme="minorHAnsi" w:hAnsiTheme="minorHAnsi"/>
          <w:szCs w:val="22"/>
          <w:lang w:val="ru-RU"/>
        </w:rPr>
        <w:t>2015</w:t>
      </w:r>
      <w:r w:rsidR="00CE0B1B" w:rsidRPr="000B033C">
        <w:rPr>
          <w:rFonts w:asciiTheme="minorHAnsi" w:hAnsiTheme="minorHAnsi"/>
          <w:szCs w:val="22"/>
          <w:lang w:val="ru-RU"/>
        </w:rPr>
        <w:t> года</w:t>
      </w:r>
      <w:r w:rsidRPr="000B033C">
        <w:rPr>
          <w:rFonts w:asciiTheme="minorHAnsi" w:hAnsiTheme="minorHAnsi"/>
          <w:szCs w:val="22"/>
          <w:lang w:val="ru-RU"/>
        </w:rPr>
        <w:t>.</w:t>
      </w:r>
    </w:p>
    <w:p w14:paraId="6059EA88" w14:textId="3542DA37" w:rsidR="00CE0B1B" w:rsidRPr="000B033C" w:rsidRDefault="0084116D" w:rsidP="00332E37">
      <w:pPr>
        <w:rPr>
          <w:lang w:val="ru-RU"/>
        </w:rPr>
      </w:pPr>
      <w:r w:rsidRPr="000B033C">
        <w:rPr>
          <w:rFonts w:asciiTheme="minorHAnsi" w:hAnsiTheme="minorHAnsi"/>
          <w:szCs w:val="22"/>
          <w:lang w:val="ru-RU"/>
        </w:rPr>
        <w:t>1.6</w:t>
      </w:r>
      <w:r w:rsidRPr="000B033C">
        <w:rPr>
          <w:rFonts w:asciiTheme="minorHAnsi" w:hAnsiTheme="minorHAnsi"/>
          <w:szCs w:val="22"/>
          <w:lang w:val="ru-RU"/>
        </w:rPr>
        <w:tab/>
      </w:r>
      <w:r w:rsidR="00CE0B1B" w:rsidRPr="000B033C">
        <w:rPr>
          <w:lang w:val="ru-RU"/>
        </w:rPr>
        <w:t>После своего последнего по времени ежегодного отчета Совету в 2014 году IMAC работал во</w:t>
      </w:r>
      <w:r w:rsidR="00332E37" w:rsidRPr="000B033C">
        <w:rPr>
          <w:lang w:val="ru-RU"/>
        </w:rPr>
        <w:t> </w:t>
      </w:r>
      <w:r w:rsidR="00CE0B1B" w:rsidRPr="000B033C">
        <w:rPr>
          <w:lang w:val="ru-RU"/>
        </w:rPr>
        <w:t>всех сферах своей ответственности, включая внутренний аудит; управление рисками; внутренний контроль; представление отчетов по проверенной финансовой отчетности организации и</w:t>
      </w:r>
      <w:r w:rsidR="00332E37" w:rsidRPr="000B033C">
        <w:rPr>
          <w:lang w:val="ru-RU"/>
        </w:rPr>
        <w:t> </w:t>
      </w:r>
      <w:r w:rsidR="00CE0B1B" w:rsidRPr="000B033C">
        <w:rPr>
          <w:lang w:val="ru-RU"/>
        </w:rPr>
        <w:t xml:space="preserve">финансовых отчетов; политику и практику бухгалтерского учета; </w:t>
      </w:r>
      <w:r w:rsidR="00DE36A5" w:rsidRPr="000B033C">
        <w:rPr>
          <w:lang w:val="ru-RU"/>
        </w:rPr>
        <w:t xml:space="preserve">и </w:t>
      </w:r>
      <w:r w:rsidR="00CE0B1B" w:rsidRPr="000B033C">
        <w:rPr>
          <w:lang w:val="ru-RU"/>
        </w:rPr>
        <w:t>внешний аудит</w:t>
      </w:r>
      <w:r w:rsidR="00DE36A5" w:rsidRPr="000B033C">
        <w:rPr>
          <w:lang w:val="ru-RU"/>
        </w:rPr>
        <w:t>.</w:t>
      </w:r>
    </w:p>
    <w:p w14:paraId="74874E67" w14:textId="7692F110" w:rsidR="00DE36A5" w:rsidRPr="000B033C" w:rsidRDefault="0084116D" w:rsidP="00332E37">
      <w:pPr>
        <w:rPr>
          <w:lang w:val="ru-RU"/>
        </w:rPr>
      </w:pPr>
      <w:r w:rsidRPr="000B033C">
        <w:rPr>
          <w:rFonts w:asciiTheme="minorHAnsi" w:hAnsiTheme="minorHAnsi"/>
          <w:szCs w:val="22"/>
          <w:lang w:val="ru-RU"/>
        </w:rPr>
        <w:t>1.7</w:t>
      </w:r>
      <w:r w:rsidRPr="000B033C">
        <w:rPr>
          <w:rFonts w:asciiTheme="minorHAnsi" w:hAnsiTheme="minorHAnsi"/>
          <w:szCs w:val="22"/>
          <w:lang w:val="ru-RU"/>
        </w:rPr>
        <w:tab/>
      </w:r>
      <w:r w:rsidR="00DE36A5" w:rsidRPr="000B033C">
        <w:rPr>
          <w:lang w:val="ru-RU"/>
        </w:rPr>
        <w:t>В целях дальнейшего укрепления связей с заинтересованными сторонами IMAC встретился с</w:t>
      </w:r>
      <w:r w:rsidR="00332E37" w:rsidRPr="000B033C">
        <w:rPr>
          <w:lang w:val="ru-RU"/>
        </w:rPr>
        <w:t> </w:t>
      </w:r>
      <w:r w:rsidR="00DE36A5" w:rsidRPr="000B033C">
        <w:rPr>
          <w:lang w:val="ru-RU"/>
        </w:rPr>
        <w:t>Председателем Рабочей группы Совета по финансовым и людским ресурсам (РГС-ФЛР) и участвовал в собрании Рабочей группы, которое проходило в феврале 2015 года и было посвящено вопросам, касающимся сфер ответственности Комитета. IMAC проводил предметные обсуждения с</w:t>
      </w:r>
      <w:r w:rsidR="00332E37" w:rsidRPr="000B033C">
        <w:rPr>
          <w:lang w:val="ru-RU"/>
        </w:rPr>
        <w:t> </w:t>
      </w:r>
      <w:r w:rsidR="00DE36A5" w:rsidRPr="000B033C">
        <w:rPr>
          <w:lang w:val="ru-RU"/>
        </w:rPr>
        <w:t>Генеральным секретарем и заместителем Генерального секретаря, Департаментом управления финансовыми ресурсами, внутренним аудитором, внешним аудитором и, при необходимости, с</w:t>
      </w:r>
      <w:r w:rsidR="00332E37" w:rsidRPr="000B033C">
        <w:rPr>
          <w:lang w:val="ru-RU"/>
        </w:rPr>
        <w:t> </w:t>
      </w:r>
      <w:r w:rsidR="00DE36A5" w:rsidRPr="000B033C">
        <w:rPr>
          <w:lang w:val="ru-RU"/>
        </w:rPr>
        <w:t>другими представителями от руководства</w:t>
      </w:r>
    </w:p>
    <w:p w14:paraId="05D7ADF2" w14:textId="3DC36AB2" w:rsidR="0084116D" w:rsidRPr="000B033C" w:rsidRDefault="0084116D" w:rsidP="009677FF">
      <w:pPr>
        <w:rPr>
          <w:lang w:val="ru-RU"/>
        </w:rPr>
      </w:pPr>
      <w:r w:rsidRPr="000B033C">
        <w:rPr>
          <w:lang w:val="ru-RU"/>
        </w:rPr>
        <w:t>1.8</w:t>
      </w:r>
      <w:r w:rsidRPr="000B033C">
        <w:rPr>
          <w:lang w:val="ru-RU"/>
        </w:rPr>
        <w:tab/>
        <w:t xml:space="preserve">IMAC </w:t>
      </w:r>
      <w:r w:rsidR="00DE36A5" w:rsidRPr="000B033C">
        <w:rPr>
          <w:lang w:val="ru-RU"/>
        </w:rPr>
        <w:t xml:space="preserve">отмечает </w:t>
      </w:r>
      <w:r w:rsidR="00B26A18" w:rsidRPr="000B033C">
        <w:rPr>
          <w:lang w:val="ru-RU"/>
        </w:rPr>
        <w:t xml:space="preserve">избрание и назначение г-на </w:t>
      </w:r>
      <w:proofErr w:type="spellStart"/>
      <w:r w:rsidR="00B26A18" w:rsidRPr="000B033C">
        <w:rPr>
          <w:lang w:val="ru-RU"/>
        </w:rPr>
        <w:t>Хоулиня</w:t>
      </w:r>
      <w:proofErr w:type="spellEnd"/>
      <w:r w:rsidR="00B26A18" w:rsidRPr="000B033C">
        <w:rPr>
          <w:lang w:val="ru-RU"/>
        </w:rPr>
        <w:t xml:space="preserve"> </w:t>
      </w:r>
      <w:proofErr w:type="spellStart"/>
      <w:r w:rsidR="00B26A18" w:rsidRPr="000B033C">
        <w:rPr>
          <w:lang w:val="ru-RU"/>
        </w:rPr>
        <w:t>Чжао</w:t>
      </w:r>
      <w:proofErr w:type="spellEnd"/>
      <w:r w:rsidR="00B26A18" w:rsidRPr="000B033C">
        <w:rPr>
          <w:lang w:val="ru-RU"/>
        </w:rPr>
        <w:t xml:space="preserve"> Генеральным секретарем и</w:t>
      </w:r>
      <w:r w:rsidR="00332E37" w:rsidRPr="000B033C">
        <w:rPr>
          <w:lang w:val="ru-RU"/>
        </w:rPr>
        <w:t> </w:t>
      </w:r>
      <w:r w:rsidR="00B26A18" w:rsidRPr="000B033C">
        <w:rPr>
          <w:lang w:val="ru-RU"/>
        </w:rPr>
        <w:t>г</w:t>
      </w:r>
      <w:r w:rsidR="00332E37" w:rsidRPr="000B033C">
        <w:rPr>
          <w:lang w:val="ru-RU"/>
        </w:rPr>
        <w:noBreakHyphen/>
      </w:r>
      <w:r w:rsidR="00B26A18" w:rsidRPr="000B033C">
        <w:rPr>
          <w:lang w:val="ru-RU"/>
        </w:rPr>
        <w:t>на</w:t>
      </w:r>
      <w:r w:rsidR="00332E37" w:rsidRPr="000B033C">
        <w:rPr>
          <w:lang w:val="ru-RU"/>
        </w:rPr>
        <w:t> </w:t>
      </w:r>
      <w:r w:rsidR="00B26A18" w:rsidRPr="000B033C">
        <w:rPr>
          <w:lang w:val="ru-RU"/>
        </w:rPr>
        <w:t>Малколма Джонсона заместителем Генерального секретаря</w:t>
      </w:r>
      <w:r w:rsidR="00953E03" w:rsidRPr="000B033C">
        <w:rPr>
          <w:lang w:val="ru-RU"/>
        </w:rPr>
        <w:t xml:space="preserve"> и надеется работать с ними в</w:t>
      </w:r>
      <w:r w:rsidR="00332E37" w:rsidRPr="000B033C">
        <w:rPr>
          <w:lang w:val="ru-RU"/>
        </w:rPr>
        <w:t> </w:t>
      </w:r>
      <w:r w:rsidR="00953E03" w:rsidRPr="000B033C">
        <w:rPr>
          <w:lang w:val="ru-RU"/>
        </w:rPr>
        <w:t>предстоящие годы</w:t>
      </w:r>
      <w:r w:rsidRPr="000B033C">
        <w:rPr>
          <w:lang w:val="ru-RU"/>
        </w:rPr>
        <w:t xml:space="preserve">. </w:t>
      </w:r>
      <w:r w:rsidR="00953E03" w:rsidRPr="000B033C">
        <w:rPr>
          <w:lang w:val="ru-RU"/>
        </w:rPr>
        <w:t>Комитет хотел бы поблагодарить предыдущего Генерального секретаря д</w:t>
      </w:r>
      <w:r w:rsidR="00332E37" w:rsidRPr="000B033C">
        <w:rPr>
          <w:lang w:val="ru-RU"/>
        </w:rPr>
        <w:noBreakHyphen/>
      </w:r>
      <w:r w:rsidR="00953E03" w:rsidRPr="000B033C">
        <w:rPr>
          <w:lang w:val="ru-RU"/>
        </w:rPr>
        <w:t>ра</w:t>
      </w:r>
      <w:r w:rsidR="00332E37" w:rsidRPr="000B033C">
        <w:rPr>
          <w:lang w:val="ru-RU"/>
        </w:rPr>
        <w:t> </w:t>
      </w:r>
      <w:proofErr w:type="spellStart"/>
      <w:r w:rsidR="00953E03" w:rsidRPr="000B033C">
        <w:rPr>
          <w:lang w:val="ru-RU"/>
        </w:rPr>
        <w:t>Хамадуна</w:t>
      </w:r>
      <w:proofErr w:type="spellEnd"/>
      <w:r w:rsidR="00953E03" w:rsidRPr="000B033C">
        <w:rPr>
          <w:lang w:val="ru-RU"/>
        </w:rPr>
        <w:t xml:space="preserve"> Туре за поддержку в создании </w:t>
      </w:r>
      <w:r w:rsidRPr="000B033C">
        <w:rPr>
          <w:lang w:val="ru-RU"/>
        </w:rPr>
        <w:t xml:space="preserve">IMAC </w:t>
      </w:r>
      <w:r w:rsidR="00953E03" w:rsidRPr="000B033C">
        <w:rPr>
          <w:lang w:val="ru-RU"/>
        </w:rPr>
        <w:t>и в его работе в первые три года существования Комитета</w:t>
      </w:r>
      <w:r w:rsidRPr="000B033C">
        <w:rPr>
          <w:lang w:val="ru-RU"/>
        </w:rPr>
        <w:t xml:space="preserve">. </w:t>
      </w:r>
    </w:p>
    <w:p w14:paraId="3E38DF60" w14:textId="7B85B55E" w:rsidR="0084116D" w:rsidRPr="000B033C" w:rsidRDefault="005A3321" w:rsidP="00332E37">
      <w:pPr>
        <w:pStyle w:val="Heading1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>2</w:t>
      </w:r>
      <w:r w:rsidR="0084116D" w:rsidRPr="000B033C">
        <w:rPr>
          <w:rFonts w:asciiTheme="minorHAnsi" w:hAnsiTheme="minorHAnsi"/>
          <w:szCs w:val="22"/>
          <w:lang w:val="ru-RU"/>
        </w:rPr>
        <w:tab/>
      </w:r>
      <w:r w:rsidR="00953E03" w:rsidRPr="000B033C">
        <w:rPr>
          <w:lang w:val="ru-RU"/>
        </w:rPr>
        <w:t>Последующие меры в связи с третьим отчетом IMAC Совету в 2013 году и</w:t>
      </w:r>
      <w:r w:rsidR="00332E37" w:rsidRPr="000B033C">
        <w:rPr>
          <w:lang w:val="ru-RU"/>
        </w:rPr>
        <w:t> </w:t>
      </w:r>
      <w:r w:rsidR="00953E03" w:rsidRPr="000B033C">
        <w:rPr>
          <w:lang w:val="ru-RU"/>
        </w:rPr>
        <w:t xml:space="preserve">состояние выполнения рекомендаций </w:t>
      </w:r>
      <w:r w:rsidR="00953E03" w:rsidRPr="000B033C">
        <w:rPr>
          <w:rFonts w:asciiTheme="minorHAnsi" w:hAnsiTheme="minorHAnsi"/>
          <w:szCs w:val="22"/>
          <w:lang w:val="ru-RU"/>
        </w:rPr>
        <w:t>IMAC</w:t>
      </w:r>
    </w:p>
    <w:p w14:paraId="26DE4423" w14:textId="7102D641" w:rsidR="0084116D" w:rsidRPr="000B033C" w:rsidRDefault="0084116D" w:rsidP="00332E37">
      <w:pPr>
        <w:rPr>
          <w:rFonts w:asciiTheme="minorHAnsi" w:hAnsiTheme="minorHAnsi"/>
          <w:szCs w:val="22"/>
          <w:lang w:val="ru-RU"/>
        </w:rPr>
      </w:pPr>
      <w:r w:rsidRPr="000B033C">
        <w:rPr>
          <w:rFonts w:asciiTheme="minorHAnsi" w:hAnsiTheme="minorHAnsi"/>
          <w:szCs w:val="22"/>
          <w:lang w:val="ru-RU"/>
        </w:rPr>
        <w:t>2.1</w:t>
      </w:r>
      <w:r w:rsidRPr="000B033C">
        <w:rPr>
          <w:rFonts w:asciiTheme="minorHAnsi" w:hAnsiTheme="minorHAnsi"/>
          <w:szCs w:val="22"/>
          <w:lang w:val="ru-RU"/>
        </w:rPr>
        <w:tab/>
      </w:r>
      <w:r w:rsidR="00000BD4" w:rsidRPr="000B033C">
        <w:rPr>
          <w:lang w:val="ru-RU"/>
        </w:rPr>
        <w:t>В целях содействия РГС-ФЛР в отслеживании мер, принятых в ответ на рекомендации IMAC, Комитет рассмотрел состояние выполнения тех своих рекомендаций, которые оставались открытыми, когда РГС провела собрание в феврале 2015 года</w:t>
      </w:r>
      <w:r w:rsidRPr="000B033C">
        <w:rPr>
          <w:rFonts w:asciiTheme="minorHAnsi" w:hAnsiTheme="minorHAnsi"/>
          <w:szCs w:val="22"/>
          <w:lang w:val="ru-RU"/>
        </w:rPr>
        <w:t xml:space="preserve"> (8 </w:t>
      </w:r>
      <w:r w:rsidR="00000BD4" w:rsidRPr="000B033C">
        <w:rPr>
          <w:rFonts w:asciiTheme="minorHAnsi" w:hAnsiTheme="minorHAnsi"/>
          <w:szCs w:val="22"/>
          <w:lang w:val="ru-RU"/>
        </w:rPr>
        <w:t xml:space="preserve">из 9 рекомендаций </w:t>
      </w:r>
      <w:r w:rsidRPr="000B033C">
        <w:rPr>
          <w:rFonts w:asciiTheme="minorHAnsi" w:hAnsiTheme="minorHAnsi"/>
          <w:szCs w:val="22"/>
          <w:lang w:val="ru-RU"/>
        </w:rPr>
        <w:t>IMAC</w:t>
      </w:r>
      <w:r w:rsidR="005A3321">
        <w:rPr>
          <w:rFonts w:asciiTheme="minorHAnsi" w:hAnsiTheme="minorHAnsi"/>
          <w:szCs w:val="22"/>
          <w:lang w:val="ru-RU"/>
        </w:rPr>
        <w:t xml:space="preserve"> 2014 г.</w:t>
      </w:r>
      <w:r w:rsidRPr="000B033C">
        <w:rPr>
          <w:rFonts w:asciiTheme="minorHAnsi" w:hAnsiTheme="minorHAnsi"/>
          <w:szCs w:val="22"/>
          <w:lang w:val="ru-RU"/>
        </w:rPr>
        <w:t>; 4</w:t>
      </w:r>
      <w:r w:rsidR="00332E37" w:rsidRPr="000B033C">
        <w:rPr>
          <w:rFonts w:asciiTheme="minorHAnsi" w:hAnsiTheme="minorHAnsi"/>
          <w:szCs w:val="22"/>
          <w:lang w:val="ru-RU"/>
        </w:rPr>
        <w:t> </w:t>
      </w:r>
      <w:r w:rsidR="00000BD4" w:rsidRPr="000B033C">
        <w:rPr>
          <w:rFonts w:asciiTheme="minorHAnsi" w:hAnsiTheme="minorHAnsi"/>
          <w:szCs w:val="22"/>
          <w:lang w:val="ru-RU"/>
        </w:rPr>
        <w:t>из</w:t>
      </w:r>
      <w:r w:rsidRPr="000B033C">
        <w:rPr>
          <w:rFonts w:asciiTheme="minorHAnsi" w:hAnsiTheme="minorHAnsi"/>
          <w:szCs w:val="22"/>
          <w:lang w:val="ru-RU"/>
        </w:rPr>
        <w:t xml:space="preserve"> 8</w:t>
      </w:r>
      <w:r w:rsidR="005A3321">
        <w:rPr>
          <w:rFonts w:asciiTheme="minorHAnsi" w:hAnsiTheme="minorHAnsi"/>
          <w:szCs w:val="22"/>
          <w:lang w:val="ru-RU"/>
        </w:rPr>
        <w:t> рекомендаций 2014 г.</w:t>
      </w:r>
      <w:r w:rsidR="00000BD4" w:rsidRPr="000B033C">
        <w:rPr>
          <w:rFonts w:asciiTheme="minorHAnsi" w:hAnsiTheme="minorHAnsi"/>
          <w:szCs w:val="22"/>
          <w:lang w:val="ru-RU"/>
        </w:rPr>
        <w:t>; и</w:t>
      </w:r>
      <w:r w:rsidRPr="000B033C">
        <w:rPr>
          <w:rFonts w:asciiTheme="minorHAnsi" w:hAnsiTheme="minorHAnsi"/>
          <w:szCs w:val="22"/>
          <w:lang w:val="ru-RU"/>
        </w:rPr>
        <w:t xml:space="preserve"> 2 </w:t>
      </w:r>
      <w:r w:rsidR="00000BD4" w:rsidRPr="000B033C">
        <w:rPr>
          <w:rFonts w:asciiTheme="minorHAnsi" w:hAnsiTheme="minorHAnsi"/>
          <w:szCs w:val="22"/>
          <w:lang w:val="ru-RU"/>
        </w:rPr>
        <w:t>из</w:t>
      </w:r>
      <w:r w:rsidRPr="000B033C">
        <w:rPr>
          <w:rFonts w:asciiTheme="minorHAnsi" w:hAnsiTheme="minorHAnsi"/>
          <w:szCs w:val="22"/>
          <w:lang w:val="ru-RU"/>
        </w:rPr>
        <w:t xml:space="preserve"> 6 </w:t>
      </w:r>
      <w:r w:rsidR="00000BD4" w:rsidRPr="000B033C">
        <w:rPr>
          <w:rFonts w:asciiTheme="minorHAnsi" w:hAnsiTheme="minorHAnsi"/>
          <w:szCs w:val="22"/>
          <w:lang w:val="ru-RU"/>
        </w:rPr>
        <w:t xml:space="preserve">рекомендаций </w:t>
      </w:r>
      <w:r w:rsidRPr="000B033C">
        <w:rPr>
          <w:rFonts w:asciiTheme="minorHAnsi" w:hAnsiTheme="minorHAnsi"/>
          <w:szCs w:val="22"/>
          <w:lang w:val="ru-RU"/>
        </w:rPr>
        <w:t>2012</w:t>
      </w:r>
      <w:r w:rsidR="005A3321">
        <w:rPr>
          <w:rFonts w:asciiTheme="minorHAnsi" w:hAnsiTheme="minorHAnsi"/>
          <w:szCs w:val="22"/>
          <w:lang w:val="ru-RU"/>
        </w:rPr>
        <w:t> г.</w:t>
      </w:r>
      <w:r w:rsidRPr="000B033C">
        <w:rPr>
          <w:rFonts w:asciiTheme="minorHAnsi" w:hAnsiTheme="minorHAnsi"/>
          <w:szCs w:val="22"/>
          <w:lang w:val="ru-RU"/>
        </w:rPr>
        <w:t xml:space="preserve">). </w:t>
      </w:r>
      <w:r w:rsidR="00000BD4" w:rsidRPr="000B033C">
        <w:rPr>
          <w:rFonts w:asciiTheme="minorHAnsi" w:hAnsiTheme="minorHAnsi"/>
          <w:szCs w:val="22"/>
          <w:lang w:val="ru-RU"/>
        </w:rPr>
        <w:t>Отчет об этом рассмотрении содержится в Документе </w:t>
      </w:r>
      <w:r w:rsidR="00331146" w:rsidRPr="000B033C">
        <w:rPr>
          <w:rFonts w:asciiTheme="minorHAnsi" w:hAnsiTheme="minorHAnsi"/>
          <w:szCs w:val="22"/>
          <w:lang w:val="ru-RU"/>
        </w:rPr>
        <w:t>CWG-FHR 4/14;</w:t>
      </w:r>
      <w:r w:rsidRPr="000B033C">
        <w:rPr>
          <w:rFonts w:asciiTheme="minorHAnsi" w:hAnsiTheme="minorHAnsi"/>
          <w:szCs w:val="22"/>
          <w:lang w:val="ru-RU"/>
        </w:rPr>
        <w:t xml:space="preserve"> </w:t>
      </w:r>
      <w:r w:rsidR="004240CD" w:rsidRPr="000B033C">
        <w:rPr>
          <w:rFonts w:asciiTheme="minorHAnsi" w:hAnsiTheme="minorHAnsi"/>
          <w:szCs w:val="22"/>
          <w:lang w:val="ru-RU"/>
        </w:rPr>
        <w:t>он был представлен РГС-ФЛР и обсуждался на ее 4</w:t>
      </w:r>
      <w:r w:rsidR="00332E37" w:rsidRPr="000B033C">
        <w:rPr>
          <w:rFonts w:asciiTheme="minorHAnsi" w:hAnsiTheme="minorHAnsi"/>
          <w:szCs w:val="22"/>
          <w:lang w:val="ru-RU"/>
        </w:rPr>
        <w:noBreakHyphen/>
      </w:r>
      <w:r w:rsidR="004240CD" w:rsidRPr="000B033C">
        <w:rPr>
          <w:rFonts w:asciiTheme="minorHAnsi" w:hAnsiTheme="minorHAnsi"/>
          <w:szCs w:val="22"/>
          <w:lang w:val="ru-RU"/>
        </w:rPr>
        <w:t>м</w:t>
      </w:r>
      <w:r w:rsidR="00332E37" w:rsidRPr="000B033C">
        <w:rPr>
          <w:rFonts w:asciiTheme="minorHAnsi" w:hAnsiTheme="minorHAnsi"/>
          <w:szCs w:val="22"/>
          <w:lang w:val="ru-RU"/>
        </w:rPr>
        <w:t> </w:t>
      </w:r>
      <w:r w:rsidR="004240CD" w:rsidRPr="000B033C">
        <w:rPr>
          <w:rFonts w:asciiTheme="minorHAnsi" w:hAnsiTheme="minorHAnsi"/>
          <w:szCs w:val="22"/>
          <w:lang w:val="ru-RU"/>
        </w:rPr>
        <w:t xml:space="preserve">собрании в феврале </w:t>
      </w:r>
      <w:r w:rsidRPr="000B033C">
        <w:rPr>
          <w:rFonts w:asciiTheme="minorHAnsi" w:hAnsiTheme="minorHAnsi"/>
          <w:szCs w:val="22"/>
          <w:lang w:val="ru-RU"/>
        </w:rPr>
        <w:t>2015</w:t>
      </w:r>
      <w:r w:rsidR="004240CD" w:rsidRPr="000B033C">
        <w:rPr>
          <w:rFonts w:asciiTheme="minorHAnsi" w:hAnsiTheme="minorHAnsi"/>
          <w:szCs w:val="22"/>
          <w:lang w:val="ru-RU"/>
        </w:rPr>
        <w:t> года</w:t>
      </w:r>
      <w:r w:rsidRPr="000B033C">
        <w:rPr>
          <w:rFonts w:asciiTheme="minorHAnsi" w:hAnsiTheme="minorHAnsi"/>
          <w:szCs w:val="22"/>
          <w:lang w:val="ru-RU"/>
        </w:rPr>
        <w:t>.</w:t>
      </w:r>
    </w:p>
    <w:p w14:paraId="37E8B986" w14:textId="3738E4CA" w:rsidR="0084116D" w:rsidRPr="000B033C" w:rsidRDefault="005A3321" w:rsidP="00F51E32">
      <w:pPr>
        <w:pStyle w:val="Heading1"/>
        <w:rPr>
          <w:lang w:val="ru-RU"/>
        </w:rPr>
      </w:pPr>
      <w:r>
        <w:rPr>
          <w:lang w:val="ru-RU"/>
        </w:rPr>
        <w:lastRenderedPageBreak/>
        <w:t>3</w:t>
      </w:r>
      <w:r w:rsidR="0084116D" w:rsidRPr="000B033C">
        <w:rPr>
          <w:lang w:val="ru-RU"/>
        </w:rPr>
        <w:tab/>
      </w:r>
      <w:r w:rsidR="00896ACE" w:rsidRPr="000B033C">
        <w:rPr>
          <w:lang w:val="ru-RU"/>
        </w:rPr>
        <w:t xml:space="preserve">Ниже изложены наблюдения, выводы и рекомендации </w:t>
      </w:r>
      <w:r w:rsidR="0084116D" w:rsidRPr="000B033C">
        <w:rPr>
          <w:lang w:val="ru-RU"/>
        </w:rPr>
        <w:t>IMAC</w:t>
      </w:r>
      <w:r w:rsidR="00896ACE" w:rsidRPr="000B033C">
        <w:rPr>
          <w:lang w:val="ru-RU"/>
        </w:rPr>
        <w:t xml:space="preserve"> на 2015 год</w:t>
      </w:r>
    </w:p>
    <w:p w14:paraId="7622161B" w14:textId="2BC8E29A" w:rsidR="0084116D" w:rsidRPr="000B033C" w:rsidRDefault="00975C59" w:rsidP="00F51E32">
      <w:pPr>
        <w:pStyle w:val="Headingb"/>
        <w:rPr>
          <w:lang w:val="ru-RU"/>
        </w:rPr>
      </w:pPr>
      <w:r w:rsidRPr="000B033C">
        <w:rPr>
          <w:lang w:val="ru-RU"/>
        </w:rPr>
        <w:t>Решения ПК</w:t>
      </w:r>
      <w:r w:rsidRPr="000B033C">
        <w:rPr>
          <w:lang w:val="ru-RU"/>
        </w:rPr>
        <w:noBreakHyphen/>
        <w:t>14</w:t>
      </w:r>
    </w:p>
    <w:p w14:paraId="14B6EE24" w14:textId="54876176" w:rsidR="0084116D" w:rsidRPr="000B033C" w:rsidRDefault="0084116D" w:rsidP="000B033C">
      <w:pPr>
        <w:rPr>
          <w:lang w:val="ru-RU"/>
        </w:rPr>
      </w:pPr>
      <w:r w:rsidRPr="000B033C">
        <w:rPr>
          <w:lang w:val="ru-RU"/>
        </w:rPr>
        <w:t>3.1</w:t>
      </w:r>
      <w:r w:rsidRPr="000B033C">
        <w:rPr>
          <w:lang w:val="ru-RU"/>
        </w:rPr>
        <w:tab/>
      </w:r>
      <w:r w:rsidR="00975C59" w:rsidRPr="000B033C">
        <w:rPr>
          <w:lang w:val="ru-RU"/>
        </w:rPr>
        <w:t xml:space="preserve">Члены </w:t>
      </w:r>
      <w:r w:rsidRPr="000B033C">
        <w:rPr>
          <w:lang w:val="ru-RU"/>
        </w:rPr>
        <w:t xml:space="preserve">IMAC </w:t>
      </w:r>
      <w:r w:rsidR="00975C59" w:rsidRPr="000B033C">
        <w:rPr>
          <w:lang w:val="ru-RU"/>
        </w:rPr>
        <w:t>рассмотрели соответствующие итоги ПК</w:t>
      </w:r>
      <w:r w:rsidR="00975C59" w:rsidRPr="000B033C">
        <w:rPr>
          <w:lang w:val="ru-RU"/>
        </w:rPr>
        <w:noBreakHyphen/>
        <w:t xml:space="preserve">14 и дали высокую оценку решению Государств-Членов сделать </w:t>
      </w:r>
      <w:r w:rsidRPr="000B033C">
        <w:rPr>
          <w:lang w:val="ru-RU"/>
        </w:rPr>
        <w:t xml:space="preserve">IMAC </w:t>
      </w:r>
      <w:r w:rsidR="00975C59" w:rsidRPr="000B033C">
        <w:rPr>
          <w:lang w:val="ru-RU"/>
        </w:rPr>
        <w:t>постоянным компонентом структуры управления и надзора МСЭ.</w:t>
      </w:r>
      <w:r w:rsidRPr="000B033C">
        <w:rPr>
          <w:lang w:val="ru-RU"/>
        </w:rPr>
        <w:t xml:space="preserve"> </w:t>
      </w:r>
      <w:r w:rsidR="00331146" w:rsidRPr="000B033C">
        <w:rPr>
          <w:lang w:val="ru-RU"/>
        </w:rPr>
        <w:t>В </w:t>
      </w:r>
      <w:r w:rsidR="00975C59" w:rsidRPr="000B033C">
        <w:rPr>
          <w:lang w:val="ru-RU"/>
        </w:rPr>
        <w:t xml:space="preserve">совокупности эффективное функционирование внутреннего аудита, внешнего аудита и </w:t>
      </w:r>
      <w:r w:rsidRPr="000B033C">
        <w:rPr>
          <w:lang w:val="ru-RU"/>
        </w:rPr>
        <w:t xml:space="preserve">IMAC </w:t>
      </w:r>
      <w:r w:rsidR="00975C59" w:rsidRPr="000B033C">
        <w:rPr>
          <w:lang w:val="ru-RU"/>
        </w:rPr>
        <w:t xml:space="preserve">обеспечит Государствам-Членам и другим заинтересованным сторонам уверенность в том, что структура </w:t>
      </w:r>
      <w:r w:rsidR="00A11540" w:rsidRPr="000B033C">
        <w:rPr>
          <w:lang w:val="ru-RU"/>
        </w:rPr>
        <w:t xml:space="preserve">надзора МСЭ соответствует </w:t>
      </w:r>
      <w:r w:rsidR="00331146" w:rsidRPr="000B033C">
        <w:rPr>
          <w:lang w:val="ru-RU"/>
        </w:rPr>
        <w:t xml:space="preserve">структурам, </w:t>
      </w:r>
      <w:r w:rsidR="00A11540" w:rsidRPr="000B033C">
        <w:rPr>
          <w:lang w:val="ru-RU"/>
        </w:rPr>
        <w:t xml:space="preserve">имеющимся в учреждениях ООН, а также </w:t>
      </w:r>
      <w:r w:rsidR="00331146" w:rsidRPr="000B033C">
        <w:rPr>
          <w:lang w:val="ru-RU"/>
        </w:rPr>
        <w:t>в</w:t>
      </w:r>
      <w:r w:rsidR="000B033C">
        <w:rPr>
          <w:lang w:val="ru-RU"/>
        </w:rPr>
        <w:t> </w:t>
      </w:r>
      <w:r w:rsidR="00A11540" w:rsidRPr="000B033C">
        <w:rPr>
          <w:lang w:val="ru-RU"/>
        </w:rPr>
        <w:t>государственном и частном секторах</w:t>
      </w:r>
      <w:r w:rsidRPr="000B033C">
        <w:rPr>
          <w:lang w:val="ru-RU"/>
        </w:rPr>
        <w:t>.</w:t>
      </w:r>
    </w:p>
    <w:p w14:paraId="48DA96F2" w14:textId="2BEC7FE8" w:rsidR="0084116D" w:rsidRPr="000B033C" w:rsidRDefault="0084116D" w:rsidP="000B033C">
      <w:pPr>
        <w:rPr>
          <w:lang w:val="ru-RU"/>
        </w:rPr>
      </w:pPr>
      <w:r w:rsidRPr="000B033C">
        <w:rPr>
          <w:lang w:val="ru-RU"/>
        </w:rPr>
        <w:t>3.2</w:t>
      </w:r>
      <w:r w:rsidRPr="000B033C">
        <w:rPr>
          <w:lang w:val="ru-RU"/>
        </w:rPr>
        <w:tab/>
        <w:t xml:space="preserve">IMAC </w:t>
      </w:r>
      <w:r w:rsidR="00FC5F8B" w:rsidRPr="000B033C">
        <w:rPr>
          <w:lang w:val="ru-RU"/>
        </w:rPr>
        <w:t>также высоко оценил решение ПК</w:t>
      </w:r>
      <w:r w:rsidR="00FC5F8B" w:rsidRPr="000B033C">
        <w:rPr>
          <w:lang w:val="ru-RU"/>
        </w:rPr>
        <w:noBreakHyphen/>
        <w:t>14 обеспечить более широкий открытый доступ к</w:t>
      </w:r>
      <w:r w:rsidR="000B033C">
        <w:rPr>
          <w:lang w:val="ru-RU"/>
        </w:rPr>
        <w:t> </w:t>
      </w:r>
      <w:r w:rsidR="00FC5F8B" w:rsidRPr="000B033C">
        <w:rPr>
          <w:lang w:val="ru-RU"/>
        </w:rPr>
        <w:t>документам МСЭ</w:t>
      </w:r>
      <w:r w:rsidRPr="000B033C">
        <w:rPr>
          <w:lang w:val="ru-RU"/>
        </w:rPr>
        <w:t xml:space="preserve">, </w:t>
      </w:r>
      <w:r w:rsidR="0085120A" w:rsidRPr="000B033C">
        <w:rPr>
          <w:lang w:val="ru-RU"/>
        </w:rPr>
        <w:t>в том числе к ежегодному отчету внутреннего аудитора по деятельности по</w:t>
      </w:r>
      <w:r w:rsidR="000B033C">
        <w:rPr>
          <w:lang w:val="ru-RU"/>
        </w:rPr>
        <w:t> </w:t>
      </w:r>
      <w:r w:rsidR="0085120A" w:rsidRPr="000B033C">
        <w:rPr>
          <w:lang w:val="ru-RU"/>
        </w:rPr>
        <w:t>внутреннему аудиту после его рассмотрения Советом.</w:t>
      </w:r>
      <w:r w:rsidRPr="000B033C">
        <w:rPr>
          <w:lang w:val="ru-RU"/>
        </w:rPr>
        <w:t xml:space="preserve"> IMAC </w:t>
      </w:r>
      <w:r w:rsidR="0085120A" w:rsidRPr="000B033C">
        <w:rPr>
          <w:lang w:val="ru-RU"/>
        </w:rPr>
        <w:t>настоятельно рекомендует Государствам-Членам и далее обеспечивать возможно более широкий открытый доступ к</w:t>
      </w:r>
      <w:r w:rsidR="000B033C">
        <w:rPr>
          <w:lang w:val="ru-RU"/>
        </w:rPr>
        <w:t> </w:t>
      </w:r>
      <w:r w:rsidR="0085120A" w:rsidRPr="000B033C">
        <w:rPr>
          <w:lang w:val="ru-RU"/>
        </w:rPr>
        <w:t>документам МСЭ на всех уровнях</w:t>
      </w:r>
      <w:r w:rsidRPr="000B033C">
        <w:rPr>
          <w:lang w:val="ru-RU"/>
        </w:rPr>
        <w:t xml:space="preserve">. </w:t>
      </w:r>
      <w:r w:rsidR="0085120A" w:rsidRPr="000B033C">
        <w:rPr>
          <w:lang w:val="ru-RU"/>
        </w:rPr>
        <w:t>Наряду с этим Комитет настоятельно рекомендует Государствам-Членам в полной мере использовать этот расширенный доступ, чтобы углублять понимание вопросов управления МСЭ</w:t>
      </w:r>
      <w:r w:rsidRPr="000B033C">
        <w:rPr>
          <w:lang w:val="ru-RU"/>
        </w:rPr>
        <w:t>.</w:t>
      </w:r>
    </w:p>
    <w:p w14:paraId="04DDA0C7" w14:textId="64169600" w:rsidR="0084116D" w:rsidRPr="000B033C" w:rsidRDefault="0084116D" w:rsidP="000B033C">
      <w:pPr>
        <w:rPr>
          <w:lang w:val="ru-RU"/>
        </w:rPr>
      </w:pPr>
      <w:r w:rsidRPr="000B033C">
        <w:rPr>
          <w:lang w:val="ru-RU"/>
        </w:rPr>
        <w:t>3.3</w:t>
      </w:r>
      <w:r w:rsidRPr="000B033C">
        <w:rPr>
          <w:lang w:val="ru-RU"/>
        </w:rPr>
        <w:tab/>
      </w:r>
      <w:r w:rsidR="006075F7" w:rsidRPr="000B033C">
        <w:rPr>
          <w:lang w:val="ru-RU"/>
        </w:rPr>
        <w:t xml:space="preserve">Изменения к Резолюции 162 относительно </w:t>
      </w:r>
      <w:r w:rsidRPr="000B033C">
        <w:rPr>
          <w:lang w:val="ru-RU"/>
        </w:rPr>
        <w:t xml:space="preserve">IMAC </w:t>
      </w:r>
      <w:r w:rsidR="006075F7" w:rsidRPr="000B033C">
        <w:rPr>
          <w:lang w:val="ru-RU"/>
        </w:rPr>
        <w:t>были также приняты к сведению с</w:t>
      </w:r>
      <w:r w:rsidR="000B033C">
        <w:rPr>
          <w:lang w:val="ru-RU"/>
        </w:rPr>
        <w:t> </w:t>
      </w:r>
      <w:r w:rsidR="006075F7" w:rsidRPr="000B033C">
        <w:rPr>
          <w:lang w:val="ru-RU"/>
        </w:rPr>
        <w:t>удовлетворением, но члены с беспокойством отметили существенное изменение в пункте 2 приложения к Резолюции</w:t>
      </w:r>
      <w:r w:rsidR="00331146" w:rsidRPr="000B033C">
        <w:rPr>
          <w:lang w:val="ru-RU"/>
        </w:rPr>
        <w:t xml:space="preserve">, </w:t>
      </w:r>
      <w:r w:rsidR="006075F7" w:rsidRPr="000B033C">
        <w:rPr>
          <w:lang w:val="ru-RU"/>
        </w:rPr>
        <w:t>круг</w:t>
      </w:r>
      <w:r w:rsidR="00331146" w:rsidRPr="000B033C">
        <w:rPr>
          <w:lang w:val="ru-RU"/>
        </w:rPr>
        <w:t>е</w:t>
      </w:r>
      <w:r w:rsidR="006075F7" w:rsidRPr="000B033C">
        <w:rPr>
          <w:lang w:val="ru-RU"/>
        </w:rPr>
        <w:t xml:space="preserve"> ведения</w:t>
      </w:r>
      <w:r w:rsidR="00331146" w:rsidRPr="000B033C">
        <w:rPr>
          <w:lang w:val="ru-RU"/>
        </w:rPr>
        <w:t xml:space="preserve"> IMAC</w:t>
      </w:r>
      <w:r w:rsidRPr="000B033C">
        <w:rPr>
          <w:lang w:val="ru-RU"/>
        </w:rPr>
        <w:t xml:space="preserve">. </w:t>
      </w:r>
      <w:r w:rsidR="006075F7" w:rsidRPr="000B033C">
        <w:rPr>
          <w:lang w:val="ru-RU"/>
        </w:rPr>
        <w:t xml:space="preserve">Обеспечивая </w:t>
      </w:r>
      <w:r w:rsidRPr="000B033C">
        <w:rPr>
          <w:lang w:val="ru-RU"/>
        </w:rPr>
        <w:t xml:space="preserve">IMAC </w:t>
      </w:r>
      <w:r w:rsidR="006075F7" w:rsidRPr="000B033C">
        <w:rPr>
          <w:lang w:val="ru-RU"/>
        </w:rPr>
        <w:t xml:space="preserve">ценный </w:t>
      </w:r>
      <w:r w:rsidR="00331146" w:rsidRPr="000B033C">
        <w:rPr>
          <w:lang w:val="ru-RU"/>
        </w:rPr>
        <w:t xml:space="preserve">пункт </w:t>
      </w:r>
      <w:r w:rsidR="006075F7" w:rsidRPr="000B033C">
        <w:rPr>
          <w:lang w:val="ru-RU"/>
        </w:rPr>
        <w:t>мандат</w:t>
      </w:r>
      <w:r w:rsidR="00331146" w:rsidRPr="000B033C">
        <w:rPr>
          <w:lang w:val="ru-RU"/>
        </w:rPr>
        <w:t>а –</w:t>
      </w:r>
      <w:r w:rsidR="006075F7" w:rsidRPr="000B033C">
        <w:rPr>
          <w:lang w:val="ru-RU"/>
        </w:rPr>
        <w:t xml:space="preserve"> консультировать Совет и руководство МСЭ относительно "путей выполнения его рекомендаций", пересмотр привел</w:t>
      </w:r>
      <w:r w:rsidR="005248B3" w:rsidRPr="000B033C">
        <w:rPr>
          <w:lang w:val="ru-RU"/>
        </w:rPr>
        <w:t xml:space="preserve"> к удалению столь же важного </w:t>
      </w:r>
      <w:r w:rsidR="00331146" w:rsidRPr="000B033C">
        <w:rPr>
          <w:lang w:val="ru-RU"/>
        </w:rPr>
        <w:t xml:space="preserve">пункта </w:t>
      </w:r>
      <w:r w:rsidR="005248B3" w:rsidRPr="000B033C">
        <w:rPr>
          <w:lang w:val="ru-RU"/>
        </w:rPr>
        <w:t>мандата относительно "мер, принимаемых руководством МСЭ по рекомендациям, касающимся аудита" – традиционного и важного положения для обеспечения подотчетности</w:t>
      </w:r>
      <w:r w:rsidRPr="000B033C">
        <w:rPr>
          <w:lang w:val="ru-RU"/>
        </w:rPr>
        <w:t>.</w:t>
      </w:r>
    </w:p>
    <w:p w14:paraId="456DA41F" w14:textId="079835F7" w:rsidR="0084116D" w:rsidRPr="000B033C" w:rsidRDefault="0084116D" w:rsidP="000B033C">
      <w:pPr>
        <w:spacing w:after="120"/>
        <w:rPr>
          <w:lang w:val="ru-RU"/>
        </w:rPr>
      </w:pPr>
      <w:r w:rsidRPr="000B033C">
        <w:rPr>
          <w:lang w:val="ru-RU"/>
        </w:rPr>
        <w:t>3.4</w:t>
      </w:r>
      <w:r w:rsidRPr="000B033C">
        <w:rPr>
          <w:lang w:val="ru-RU"/>
        </w:rPr>
        <w:tab/>
      </w:r>
      <w:r w:rsidR="005248B3" w:rsidRPr="000B033C">
        <w:rPr>
          <w:lang w:val="ru-RU"/>
        </w:rPr>
        <w:t xml:space="preserve">Поскольку </w:t>
      </w:r>
      <w:r w:rsidRPr="000B033C">
        <w:rPr>
          <w:lang w:val="ru-RU"/>
        </w:rPr>
        <w:t xml:space="preserve">IMAC </w:t>
      </w:r>
      <w:r w:rsidR="005248B3" w:rsidRPr="000B033C">
        <w:rPr>
          <w:lang w:val="ru-RU"/>
        </w:rPr>
        <w:t xml:space="preserve">считает, что удаление этого </w:t>
      </w:r>
      <w:r w:rsidR="00331146" w:rsidRPr="000B033C">
        <w:rPr>
          <w:lang w:val="ru-RU"/>
        </w:rPr>
        <w:t xml:space="preserve">пункта </w:t>
      </w:r>
      <w:r w:rsidR="005248B3" w:rsidRPr="000B033C">
        <w:rPr>
          <w:lang w:val="ru-RU"/>
        </w:rPr>
        <w:t>мандата было неумышленным и</w:t>
      </w:r>
      <w:r w:rsidR="000B033C">
        <w:rPr>
          <w:lang w:val="ru-RU"/>
        </w:rPr>
        <w:t> </w:t>
      </w:r>
      <w:r w:rsidR="005248B3" w:rsidRPr="000B033C">
        <w:rPr>
          <w:lang w:val="ru-RU"/>
        </w:rPr>
        <w:t xml:space="preserve">непредвиденным следствием процесса пересмотра, Комитет будет стремиться выполнять оба </w:t>
      </w:r>
      <w:r w:rsidR="00331146" w:rsidRPr="000B033C">
        <w:rPr>
          <w:lang w:val="ru-RU"/>
        </w:rPr>
        <w:t xml:space="preserve">пункта </w:t>
      </w:r>
      <w:r w:rsidR="005248B3" w:rsidRPr="000B033C">
        <w:rPr>
          <w:lang w:val="ru-RU"/>
        </w:rPr>
        <w:t>мандата и соответственно отчитываться перед Советом и руководством МСЭ</w:t>
      </w:r>
      <w:r w:rsidRPr="000B033C">
        <w:rPr>
          <w:lang w:val="ru-RU"/>
        </w:rPr>
        <w:t xml:space="preserve">. </w:t>
      </w:r>
      <w:r w:rsidR="005248B3" w:rsidRPr="000B033C">
        <w:rPr>
          <w:lang w:val="ru-RU"/>
        </w:rPr>
        <w:t xml:space="preserve">В то же время мы все же считаем, что удаленный </w:t>
      </w:r>
      <w:r w:rsidR="00331146" w:rsidRPr="000B033C">
        <w:rPr>
          <w:lang w:val="ru-RU"/>
        </w:rPr>
        <w:t xml:space="preserve">пункт </w:t>
      </w:r>
      <w:r w:rsidR="005248B3" w:rsidRPr="000B033C">
        <w:rPr>
          <w:lang w:val="ru-RU"/>
        </w:rPr>
        <w:t>мандат</w:t>
      </w:r>
      <w:r w:rsidR="00331146" w:rsidRPr="000B033C">
        <w:rPr>
          <w:lang w:val="ru-RU"/>
        </w:rPr>
        <w:t>а</w:t>
      </w:r>
      <w:r w:rsidR="005248B3" w:rsidRPr="000B033C">
        <w:rPr>
          <w:lang w:val="ru-RU"/>
        </w:rPr>
        <w:t xml:space="preserve"> следует восстановить при первой возможности, предпочтительно на ПК</w:t>
      </w:r>
      <w:r w:rsidR="005248B3" w:rsidRPr="000B033C">
        <w:rPr>
          <w:lang w:val="ru-RU"/>
        </w:rPr>
        <w:noBreakHyphen/>
        <w:t>18</w:t>
      </w:r>
      <w:r w:rsidRPr="000B033C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1E32" w:rsidRPr="004F5783" w14:paraId="076E96DA" w14:textId="77777777" w:rsidTr="00F51E32">
        <w:tc>
          <w:tcPr>
            <w:tcW w:w="9629" w:type="dxa"/>
          </w:tcPr>
          <w:p w14:paraId="36A070A9" w14:textId="322FB64E" w:rsidR="00F51E32" w:rsidRPr="000B033C" w:rsidRDefault="00F51E32" w:rsidP="009677FF">
            <w:pPr>
              <w:rPr>
                <w:rFonts w:asciiTheme="minorHAnsi" w:hAnsiTheme="minorHAnsi"/>
                <w:szCs w:val="22"/>
                <w:lang w:val="ru-RU"/>
              </w:rPr>
            </w:pPr>
            <w:r w:rsidRPr="000B033C">
              <w:rPr>
                <w:rFonts w:asciiTheme="minorHAnsi" w:hAnsiTheme="minorHAnsi"/>
                <w:b/>
                <w:bCs/>
                <w:szCs w:val="22"/>
                <w:lang w:val="ru-RU"/>
              </w:rPr>
              <w:t>Рекомендация 1 (2015 г.)</w:t>
            </w:r>
            <w:r w:rsidRPr="00BF5518">
              <w:rPr>
                <w:rFonts w:asciiTheme="minorHAnsi" w:hAnsiTheme="minorHAnsi"/>
                <w:szCs w:val="22"/>
                <w:lang w:val="ru-RU"/>
              </w:rPr>
              <w:t xml:space="preserve">: </w:t>
            </w:r>
            <w:r w:rsidRPr="000B033C">
              <w:rPr>
                <w:rFonts w:asciiTheme="minorHAnsi" w:hAnsiTheme="minorHAnsi"/>
                <w:szCs w:val="22"/>
                <w:lang w:val="ru-RU"/>
              </w:rPr>
              <w:t xml:space="preserve">IMAC </w:t>
            </w:r>
            <w:r w:rsidRPr="000B033C">
              <w:rPr>
                <w:lang w:val="ru-RU"/>
              </w:rPr>
              <w:t>рекомендует Совету предложить Государствам-Членам на ПК</w:t>
            </w:r>
            <w:r w:rsidRPr="000B033C">
              <w:rPr>
                <w:lang w:val="ru-RU"/>
              </w:rPr>
              <w:noBreakHyphen/>
              <w:t xml:space="preserve">18 пересмотреть пункт 2 круга ведения относительно того, что </w:t>
            </w:r>
            <w:r w:rsidRPr="000B033C">
              <w:rPr>
                <w:rFonts w:asciiTheme="minorHAnsi" w:hAnsiTheme="minorHAnsi"/>
                <w:szCs w:val="22"/>
                <w:lang w:val="ru-RU"/>
              </w:rPr>
              <w:t xml:space="preserve">IMAC консультирует </w:t>
            </w:r>
            <w:r w:rsidRPr="000B033C">
              <w:rPr>
                <w:lang w:val="ru-RU"/>
              </w:rPr>
              <w:t>относительно "мер, принимаемых руководством МСЭ по рекомендациям, касающимся аудита".</w:t>
            </w:r>
          </w:p>
          <w:p w14:paraId="1526AAAE" w14:textId="14E27633" w:rsidR="00F51E32" w:rsidRPr="000B033C" w:rsidRDefault="00F51E32" w:rsidP="005A3321">
            <w:pPr>
              <w:spacing w:after="120"/>
              <w:rPr>
                <w:lang w:val="ru-RU"/>
              </w:rPr>
            </w:pPr>
            <w:r w:rsidRPr="000B033C">
              <w:rPr>
                <w:lang w:val="ru-RU"/>
              </w:rPr>
              <w:t>До этого во избежание путаницы или неверного понимания роли IMAC Комитет предлагает Совету уточнить и разъяснить его понимание порученного IMAC мандата; а также одобрить намерение Комитета действовать, как указано выше.</w:t>
            </w:r>
          </w:p>
        </w:tc>
      </w:tr>
    </w:tbl>
    <w:p w14:paraId="6FA37BFC" w14:textId="7BC21DDE" w:rsidR="0084116D" w:rsidRPr="00B15118" w:rsidRDefault="00620395" w:rsidP="00362D9B">
      <w:pPr>
        <w:pStyle w:val="Headingb"/>
        <w:spacing w:before="240"/>
        <w:rPr>
          <w:lang w:val="ru-RU"/>
        </w:rPr>
      </w:pPr>
      <w:r w:rsidRPr="00B15118">
        <w:rPr>
          <w:lang w:val="ru-RU"/>
        </w:rPr>
        <w:t>Внутренний контроль</w:t>
      </w:r>
    </w:p>
    <w:p w14:paraId="6DD86569" w14:textId="62C0F475" w:rsidR="0084116D" w:rsidRPr="000B033C" w:rsidRDefault="0084116D" w:rsidP="000B033C">
      <w:pPr>
        <w:spacing w:after="120"/>
        <w:rPr>
          <w:lang w:val="ru-RU"/>
        </w:rPr>
      </w:pPr>
      <w:r w:rsidRPr="000B033C">
        <w:rPr>
          <w:lang w:val="ru-RU"/>
        </w:rPr>
        <w:t>3.5</w:t>
      </w:r>
      <w:r w:rsidRPr="000B033C">
        <w:rPr>
          <w:lang w:val="ru-RU"/>
        </w:rPr>
        <w:tab/>
        <w:t xml:space="preserve">IMAC </w:t>
      </w:r>
      <w:r w:rsidR="005E4EAF" w:rsidRPr="000B033C">
        <w:rPr>
          <w:lang w:val="ru-RU"/>
        </w:rPr>
        <w:t xml:space="preserve">с удовлетворением отметил, что публикация заявления о внутреннем контроле </w:t>
      </w:r>
      <w:r w:rsidR="005F5BD0" w:rsidRPr="000B033C">
        <w:rPr>
          <w:lang w:val="ru-RU"/>
        </w:rPr>
        <w:t>вместе с Отчетом о финансовой деятельности теперь является частью регулярной процедуры в МСЭ</w:t>
      </w:r>
      <w:r w:rsidRPr="000B033C">
        <w:rPr>
          <w:lang w:val="ru-RU"/>
        </w:rPr>
        <w:t xml:space="preserve">. </w:t>
      </w:r>
      <w:r w:rsidR="00BF2EDA" w:rsidRPr="000B033C">
        <w:rPr>
          <w:lang w:val="ru-RU"/>
        </w:rPr>
        <w:t>Это</w:t>
      </w:r>
      <w:r w:rsidR="000B033C">
        <w:rPr>
          <w:lang w:val="fr-CH"/>
        </w:rPr>
        <w:t> </w:t>
      </w:r>
      <w:r w:rsidR="00331146" w:rsidRPr="000B033C">
        <w:rPr>
          <w:lang w:val="ru-RU"/>
        </w:rPr>
        <w:t xml:space="preserve">является </w:t>
      </w:r>
      <w:r w:rsidR="00BF2EDA" w:rsidRPr="000B033C">
        <w:rPr>
          <w:lang w:val="ru-RU"/>
        </w:rPr>
        <w:t>признак</w:t>
      </w:r>
      <w:r w:rsidR="00331146" w:rsidRPr="000B033C">
        <w:rPr>
          <w:lang w:val="ru-RU"/>
        </w:rPr>
        <w:t>ом</w:t>
      </w:r>
      <w:r w:rsidR="00BF2EDA" w:rsidRPr="000B033C">
        <w:rPr>
          <w:lang w:val="ru-RU"/>
        </w:rPr>
        <w:t xml:space="preserve"> совершенствования публичной подотчетности высшего руководства МСЭ и</w:t>
      </w:r>
      <w:r w:rsidR="000B033C">
        <w:rPr>
          <w:lang w:val="fr-CH"/>
        </w:rPr>
        <w:t> </w:t>
      </w:r>
      <w:r w:rsidR="00BF2EDA" w:rsidRPr="000B033C">
        <w:rPr>
          <w:lang w:val="ru-RU"/>
        </w:rPr>
        <w:t>обеспечивает раскрытие эффективности внутреннего контроля</w:t>
      </w:r>
      <w:r w:rsidRPr="000B033C">
        <w:rPr>
          <w:lang w:val="ru-RU"/>
        </w:rPr>
        <w:t xml:space="preserve">. </w:t>
      </w:r>
      <w:r w:rsidR="007C0196" w:rsidRPr="000B033C">
        <w:rPr>
          <w:lang w:val="ru-RU"/>
        </w:rPr>
        <w:t>Вместе с тем Генеральному секретарю следует повышать значение и целостность этого заявления, добиваясь положительных гарантий эффективности внутреннего контроля, применяемого высшим</w:t>
      </w:r>
      <w:r w:rsidR="00357C1A" w:rsidRPr="000B033C">
        <w:rPr>
          <w:lang w:val="ru-RU"/>
        </w:rPr>
        <w:t>и</w:t>
      </w:r>
      <w:r w:rsidR="007C0196" w:rsidRPr="000B033C">
        <w:rPr>
          <w:lang w:val="ru-RU"/>
        </w:rPr>
        <w:t xml:space="preserve"> руковод</w:t>
      </w:r>
      <w:r w:rsidR="00357C1A" w:rsidRPr="000B033C">
        <w:rPr>
          <w:lang w:val="ru-RU"/>
        </w:rPr>
        <w:t>ителями</w:t>
      </w:r>
      <w:r w:rsidR="007C0196" w:rsidRPr="000B033C">
        <w:rPr>
          <w:lang w:val="ru-RU"/>
        </w:rPr>
        <w:t xml:space="preserve"> МСЭ, посредством официальных свидетельств о том, что </w:t>
      </w:r>
      <w:r w:rsidR="00357C1A" w:rsidRPr="000B033C">
        <w:rPr>
          <w:lang w:val="ru-RU"/>
        </w:rPr>
        <w:t>они выполняют свои обязанности по</w:t>
      </w:r>
      <w:r w:rsidR="000B033C">
        <w:rPr>
          <w:lang w:val="fr-CH"/>
        </w:rPr>
        <w:t> </w:t>
      </w:r>
      <w:r w:rsidR="00357C1A" w:rsidRPr="000B033C">
        <w:rPr>
          <w:lang w:val="ru-RU"/>
        </w:rPr>
        <w:t>поддержанию системы внутреннего контроля в своих сферах ответственности</w:t>
      </w:r>
      <w:r w:rsidRPr="000B033C">
        <w:rPr>
          <w:lang w:val="ru-RU"/>
        </w:rPr>
        <w:t>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51E32" w:rsidRPr="000B033C" w14:paraId="2FDE1533" w14:textId="77777777" w:rsidTr="00362D9B">
        <w:tc>
          <w:tcPr>
            <w:tcW w:w="9629" w:type="dxa"/>
          </w:tcPr>
          <w:p w14:paraId="56D476CA" w14:textId="028CD52E" w:rsidR="00F51E32" w:rsidRPr="000B033C" w:rsidRDefault="00F51E32" w:rsidP="000B033C">
            <w:pPr>
              <w:keepLines/>
              <w:spacing w:after="120"/>
              <w:rPr>
                <w:lang w:val="ru-RU"/>
              </w:rPr>
            </w:pPr>
            <w:r w:rsidRPr="000B033C">
              <w:rPr>
                <w:b/>
                <w:lang w:val="ru-RU"/>
              </w:rPr>
              <w:lastRenderedPageBreak/>
              <w:t>Рекомендация 2 (2015 г.)</w:t>
            </w:r>
            <w:r w:rsidRPr="00362D9B">
              <w:rPr>
                <w:bCs/>
                <w:lang w:val="ru-RU"/>
              </w:rPr>
              <w:t xml:space="preserve">: </w:t>
            </w:r>
            <w:r w:rsidRPr="000B033C">
              <w:rPr>
                <w:lang w:val="ru-RU"/>
              </w:rPr>
              <w:t>IMAC рекомендует Генеральному секретарю получать оформленные документально гарантии эффективности системы внутреннего контроля, предлагая руководителям высшего звена подтверждать свои обязанности в отношении системы внутреннего контроля, представляя Генеральному секретарю письма-заверения с подписями для поддержки публикуемого заявления о внутреннем контроле. Для этого разрабатывается официальная процедура.</w:t>
            </w:r>
          </w:p>
        </w:tc>
      </w:tr>
    </w:tbl>
    <w:p w14:paraId="11CBA509" w14:textId="4F580EF7" w:rsidR="0084116D" w:rsidRPr="00362D9B" w:rsidRDefault="00E10029" w:rsidP="00362D9B">
      <w:pPr>
        <w:pStyle w:val="Headingb"/>
        <w:spacing w:before="240"/>
      </w:pPr>
      <w:proofErr w:type="spellStart"/>
      <w:r w:rsidRPr="00362D9B">
        <w:t>Финансовое</w:t>
      </w:r>
      <w:proofErr w:type="spellEnd"/>
      <w:r w:rsidRPr="00362D9B">
        <w:t xml:space="preserve"> </w:t>
      </w:r>
      <w:proofErr w:type="spellStart"/>
      <w:r w:rsidRPr="00362D9B">
        <w:t>управление</w:t>
      </w:r>
      <w:proofErr w:type="spellEnd"/>
    </w:p>
    <w:p w14:paraId="4C86FF05" w14:textId="113C6F7A" w:rsidR="0084116D" w:rsidRPr="000B033C" w:rsidRDefault="0084116D" w:rsidP="005A3321">
      <w:pPr>
        <w:spacing w:after="120"/>
        <w:rPr>
          <w:rFonts w:asciiTheme="minorHAnsi" w:hAnsiTheme="minorHAnsi"/>
          <w:szCs w:val="22"/>
          <w:lang w:val="ru-RU"/>
        </w:rPr>
      </w:pPr>
      <w:r w:rsidRPr="000B033C">
        <w:rPr>
          <w:rFonts w:asciiTheme="minorHAnsi" w:hAnsiTheme="minorHAnsi"/>
          <w:bCs/>
          <w:szCs w:val="22"/>
          <w:lang w:val="ru-RU"/>
        </w:rPr>
        <w:t>3.6</w:t>
      </w:r>
      <w:r w:rsidRPr="000B033C">
        <w:rPr>
          <w:rFonts w:asciiTheme="minorHAnsi" w:hAnsiTheme="minorHAnsi"/>
          <w:bCs/>
          <w:szCs w:val="22"/>
          <w:lang w:val="ru-RU"/>
        </w:rPr>
        <w:tab/>
      </w:r>
      <w:r w:rsidR="00E10029" w:rsidRPr="000B033C">
        <w:rPr>
          <w:rFonts w:asciiTheme="minorHAnsi" w:hAnsiTheme="minorHAnsi"/>
          <w:bCs/>
          <w:szCs w:val="22"/>
          <w:lang w:val="ru-RU"/>
        </w:rPr>
        <w:t>В своем третьем ежегодно</w:t>
      </w:r>
      <w:r w:rsidR="00331146" w:rsidRPr="000B033C">
        <w:rPr>
          <w:rFonts w:asciiTheme="minorHAnsi" w:hAnsiTheme="minorHAnsi"/>
          <w:bCs/>
          <w:szCs w:val="22"/>
          <w:lang w:val="ru-RU"/>
        </w:rPr>
        <w:t>м</w:t>
      </w:r>
      <w:r w:rsidR="00E10029" w:rsidRPr="000B033C">
        <w:rPr>
          <w:rFonts w:asciiTheme="minorHAnsi" w:hAnsiTheme="minorHAnsi"/>
          <w:bCs/>
          <w:szCs w:val="22"/>
          <w:lang w:val="ru-RU"/>
        </w:rPr>
        <w:t xml:space="preserve"> отчете</w:t>
      </w:r>
      <w:r w:rsidRPr="000B033C">
        <w:rPr>
          <w:rFonts w:asciiTheme="minorHAnsi" w:hAnsiTheme="minorHAnsi"/>
          <w:bCs/>
          <w:szCs w:val="22"/>
          <w:lang w:val="ru-RU"/>
        </w:rPr>
        <w:t xml:space="preserve"> (2014</w:t>
      </w:r>
      <w:r w:rsidR="00E10029" w:rsidRPr="000B033C">
        <w:rPr>
          <w:rFonts w:asciiTheme="minorHAnsi" w:hAnsiTheme="minorHAnsi"/>
          <w:bCs/>
          <w:szCs w:val="22"/>
          <w:lang w:val="ru-RU"/>
        </w:rPr>
        <w:t> г</w:t>
      </w:r>
      <w:r w:rsidR="005A3321">
        <w:rPr>
          <w:rFonts w:asciiTheme="minorHAnsi" w:hAnsiTheme="minorHAnsi"/>
          <w:bCs/>
          <w:szCs w:val="22"/>
          <w:lang w:val="ru-RU"/>
        </w:rPr>
        <w:t>.</w:t>
      </w:r>
      <w:r w:rsidRPr="000B033C">
        <w:rPr>
          <w:rFonts w:asciiTheme="minorHAnsi" w:hAnsiTheme="minorHAnsi"/>
          <w:bCs/>
          <w:szCs w:val="22"/>
          <w:lang w:val="ru-RU"/>
        </w:rPr>
        <w:t xml:space="preserve">) IMAC </w:t>
      </w:r>
      <w:r w:rsidR="00E10029" w:rsidRPr="000B033C">
        <w:rPr>
          <w:rFonts w:asciiTheme="minorHAnsi" w:hAnsiTheme="minorHAnsi"/>
          <w:bCs/>
          <w:szCs w:val="22"/>
          <w:lang w:val="ru-RU"/>
        </w:rPr>
        <w:t xml:space="preserve">рекомендовал </w:t>
      </w:r>
      <w:r w:rsidR="00E10029" w:rsidRPr="000B033C">
        <w:rPr>
          <w:lang w:val="ru-RU"/>
        </w:rPr>
        <w:t>МСЭ рассмотреть вопрос о целесообразности разработки всестороннего экономического обоснования в поддержку своего решения, связанного с такими масштабными долгосрочными издержками, как предлагаемая замена здания "</w:t>
      </w:r>
      <w:proofErr w:type="spellStart"/>
      <w:r w:rsidR="00E10029" w:rsidRPr="000B033C">
        <w:rPr>
          <w:lang w:val="ru-RU"/>
        </w:rPr>
        <w:t>Варембе</w:t>
      </w:r>
      <w:proofErr w:type="spellEnd"/>
      <w:r w:rsidR="00E10029" w:rsidRPr="000B033C">
        <w:rPr>
          <w:lang w:val="ru-RU"/>
        </w:rPr>
        <w:t>"</w:t>
      </w:r>
      <w:r w:rsidRPr="000B033C">
        <w:rPr>
          <w:rFonts w:asciiTheme="minorHAnsi" w:hAnsiTheme="minorHAnsi"/>
          <w:szCs w:val="22"/>
          <w:lang w:val="ru-RU"/>
        </w:rPr>
        <w:t xml:space="preserve">; </w:t>
      </w:r>
      <w:r w:rsidR="00E10029" w:rsidRPr="000B033C">
        <w:rPr>
          <w:rFonts w:asciiTheme="minorHAnsi" w:hAnsiTheme="minorHAnsi"/>
          <w:szCs w:val="22"/>
          <w:lang w:val="ru-RU"/>
        </w:rPr>
        <w:t>и Комитет продолжал следить за развитием событий</w:t>
      </w:r>
      <w:r w:rsidRPr="000B033C">
        <w:rPr>
          <w:rFonts w:asciiTheme="minorHAnsi" w:hAnsiTheme="minorHAnsi"/>
          <w:szCs w:val="22"/>
          <w:lang w:val="ru-RU"/>
        </w:rPr>
        <w:t xml:space="preserve">. IMAC </w:t>
      </w:r>
      <w:r w:rsidR="00E10029" w:rsidRPr="000B033C">
        <w:rPr>
          <w:rFonts w:asciiTheme="minorHAnsi" w:hAnsiTheme="minorHAnsi"/>
          <w:szCs w:val="22"/>
          <w:lang w:val="ru-RU"/>
        </w:rPr>
        <w:t>принял к сведению создание новой специальной Рабочей группы Совета (</w:t>
      </w:r>
      <w:r w:rsidR="00E10029" w:rsidRPr="000B033C">
        <w:rPr>
          <w:lang w:val="ru-RU"/>
        </w:rPr>
        <w:t>РГС-ПШК), которая будет изучать состояние помещений штаб-квартиры и анализировать варианты</w:t>
      </w:r>
      <w:r w:rsidRPr="000B033C">
        <w:rPr>
          <w:rFonts w:asciiTheme="minorHAnsi" w:hAnsiTheme="minorHAnsi"/>
          <w:szCs w:val="22"/>
          <w:lang w:val="ru-RU"/>
        </w:rPr>
        <w:t xml:space="preserve">. IMAC </w:t>
      </w:r>
      <w:r w:rsidR="00E10029" w:rsidRPr="000B033C">
        <w:rPr>
          <w:rFonts w:asciiTheme="minorHAnsi" w:hAnsiTheme="minorHAnsi"/>
          <w:szCs w:val="22"/>
          <w:lang w:val="ru-RU"/>
        </w:rPr>
        <w:t>дал высокую оценку этому подходу, который позволит провести более комплексный и продуманный анализ в поддержку решений о</w:t>
      </w:r>
      <w:r w:rsidR="000B033C">
        <w:rPr>
          <w:rFonts w:asciiTheme="minorHAnsi" w:hAnsiTheme="minorHAnsi"/>
          <w:szCs w:val="22"/>
          <w:lang w:val="fr-CH"/>
        </w:rPr>
        <w:t> </w:t>
      </w:r>
      <w:r w:rsidR="00E10029" w:rsidRPr="000B033C">
        <w:rPr>
          <w:rFonts w:asciiTheme="minorHAnsi" w:hAnsiTheme="minorHAnsi"/>
          <w:szCs w:val="22"/>
          <w:lang w:val="ru-RU"/>
        </w:rPr>
        <w:t>крупных расходах</w:t>
      </w:r>
      <w:r w:rsidRPr="000B033C">
        <w:rPr>
          <w:rFonts w:asciiTheme="minorHAnsi" w:hAnsiTheme="minorHAnsi"/>
          <w:szCs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1E32" w:rsidRPr="004F5783" w14:paraId="7954B0CE" w14:textId="77777777" w:rsidTr="00F51E32">
        <w:tc>
          <w:tcPr>
            <w:tcW w:w="9629" w:type="dxa"/>
          </w:tcPr>
          <w:p w14:paraId="7833E13C" w14:textId="70F6C3DC" w:rsidR="00F51E32" w:rsidRPr="000B033C" w:rsidRDefault="00F51E32" w:rsidP="000B033C">
            <w:pPr>
              <w:spacing w:after="120"/>
              <w:rPr>
                <w:rFonts w:asciiTheme="minorHAnsi" w:hAnsiTheme="minorHAnsi"/>
                <w:szCs w:val="22"/>
                <w:lang w:val="ru-RU"/>
              </w:rPr>
            </w:pPr>
            <w:r w:rsidRPr="000B033C">
              <w:rPr>
                <w:b/>
                <w:lang w:val="ru-RU"/>
              </w:rPr>
              <w:t>Рекомендация 3 (2015 г.)</w:t>
            </w:r>
            <w:r w:rsidRPr="000B033C">
              <w:rPr>
                <w:lang w:val="ru-RU"/>
              </w:rPr>
              <w:t>: IMAC настоятельно рекомендует РГС-ПШК проводить работу по</w:t>
            </w:r>
            <w:r w:rsidR="000B033C">
              <w:rPr>
                <w:lang w:val="fr-CH"/>
              </w:rPr>
              <w:t> </w:t>
            </w:r>
            <w:r w:rsidRPr="000B033C">
              <w:rPr>
                <w:lang w:val="ru-RU"/>
              </w:rPr>
              <w:t>рассмотрению всех реалистичных и последовательных вариантов, принимая во внимание прямые и косвенные затраты; Комитет при необходимости был бы рад в свое время представить идеи и замечания по результатам этого процесса.</w:t>
            </w:r>
          </w:p>
        </w:tc>
      </w:tr>
    </w:tbl>
    <w:p w14:paraId="7455D2FA" w14:textId="798A35D1" w:rsidR="0084116D" w:rsidRPr="00B15118" w:rsidRDefault="00786C7B" w:rsidP="00362D9B">
      <w:pPr>
        <w:pStyle w:val="Headingb"/>
        <w:spacing w:before="240"/>
        <w:rPr>
          <w:lang w:val="ru-RU"/>
        </w:rPr>
      </w:pPr>
      <w:r w:rsidRPr="00B15118">
        <w:rPr>
          <w:lang w:val="ru-RU"/>
        </w:rPr>
        <w:t>Управление рисками</w:t>
      </w:r>
    </w:p>
    <w:p w14:paraId="1B8BBBEE" w14:textId="259386B1" w:rsidR="0084116D" w:rsidRPr="000B033C" w:rsidRDefault="0084116D" w:rsidP="000B033C">
      <w:pPr>
        <w:rPr>
          <w:lang w:val="ru-RU"/>
        </w:rPr>
      </w:pPr>
      <w:r w:rsidRPr="000B033C">
        <w:rPr>
          <w:lang w:val="ru-RU"/>
        </w:rPr>
        <w:t>3.7</w:t>
      </w:r>
      <w:r w:rsidRPr="000B033C">
        <w:rPr>
          <w:lang w:val="ru-RU"/>
        </w:rPr>
        <w:tab/>
        <w:t xml:space="preserve">IMAC </w:t>
      </w:r>
      <w:r w:rsidR="00786C7B" w:rsidRPr="000B033C">
        <w:rPr>
          <w:lang w:val="ru-RU"/>
        </w:rPr>
        <w:t>отметил заслуживающий одобрения прогресс, достигнутый включением рисков и</w:t>
      </w:r>
      <w:r w:rsidR="000B033C">
        <w:rPr>
          <w:lang w:val="fr-CH"/>
        </w:rPr>
        <w:t> </w:t>
      </w:r>
      <w:r w:rsidR="00786C7B" w:rsidRPr="000B033C">
        <w:rPr>
          <w:lang w:val="ru-RU"/>
        </w:rPr>
        <w:t xml:space="preserve">управления рисками в процесс Стратегического плана МСЭ на </w:t>
      </w:r>
      <w:r w:rsidRPr="000B033C">
        <w:rPr>
          <w:lang w:val="ru-RU"/>
        </w:rPr>
        <w:t>2016</w:t>
      </w:r>
      <w:r w:rsidR="00786C7B" w:rsidRPr="000B033C">
        <w:rPr>
          <w:lang w:val="ru-RU"/>
        </w:rPr>
        <w:t>–</w:t>
      </w:r>
      <w:r w:rsidRPr="000B033C">
        <w:rPr>
          <w:lang w:val="ru-RU"/>
        </w:rPr>
        <w:t>2019</w:t>
      </w:r>
      <w:r w:rsidR="00786C7B" w:rsidRPr="000B033C">
        <w:rPr>
          <w:lang w:val="ru-RU"/>
        </w:rPr>
        <w:t> годы</w:t>
      </w:r>
      <w:r w:rsidRPr="000B033C">
        <w:rPr>
          <w:lang w:val="ru-RU"/>
        </w:rPr>
        <w:t xml:space="preserve">. </w:t>
      </w:r>
      <w:r w:rsidR="00786C7B" w:rsidRPr="000B033C">
        <w:rPr>
          <w:lang w:val="ru-RU"/>
        </w:rPr>
        <w:t>Это соответствует рекомендациям и поддержке, оказываемым</w:t>
      </w:r>
      <w:r w:rsidRPr="000B033C">
        <w:rPr>
          <w:lang w:val="ru-RU"/>
        </w:rPr>
        <w:t xml:space="preserve"> IMAC </w:t>
      </w:r>
      <w:r w:rsidR="00786C7B" w:rsidRPr="000B033C">
        <w:rPr>
          <w:lang w:val="ru-RU"/>
        </w:rPr>
        <w:t>соответствующим функциям в МСЭ</w:t>
      </w:r>
      <w:r w:rsidRPr="000B033C">
        <w:rPr>
          <w:lang w:val="ru-RU"/>
        </w:rPr>
        <w:t xml:space="preserve">. </w:t>
      </w:r>
    </w:p>
    <w:p w14:paraId="5AB55DB8" w14:textId="31491BF5" w:rsidR="0084116D" w:rsidRPr="000B033C" w:rsidRDefault="0084116D" w:rsidP="000B033C">
      <w:pPr>
        <w:spacing w:after="120"/>
        <w:rPr>
          <w:lang w:val="ru-RU"/>
        </w:rPr>
      </w:pPr>
      <w:r w:rsidRPr="000B033C">
        <w:rPr>
          <w:lang w:val="ru-RU"/>
        </w:rPr>
        <w:t>3.8</w:t>
      </w:r>
      <w:r w:rsidRPr="000B033C">
        <w:rPr>
          <w:lang w:val="ru-RU"/>
        </w:rPr>
        <w:tab/>
      </w:r>
      <w:r w:rsidR="00D6536E" w:rsidRPr="000B033C">
        <w:rPr>
          <w:lang w:val="ru-RU"/>
        </w:rPr>
        <w:t>Хотя МСЭ рассматривает управление рисками в контексте цикла периодического стратегического планирования, все же необходимо создать структурированную систему управления оперативными рисками как часть ведущихся бизнес-процессов МСЭ</w:t>
      </w:r>
      <w:r w:rsidRPr="000B033C">
        <w:rPr>
          <w:lang w:val="ru-RU"/>
        </w:rPr>
        <w:t xml:space="preserve">. </w:t>
      </w:r>
      <w:r w:rsidR="005E1FB4" w:rsidRPr="000B033C">
        <w:rPr>
          <w:lang w:val="ru-RU"/>
        </w:rPr>
        <w:t>Руководство в настоящее время в силах осуществить этот дальнейший важный этап управления рисками в масштабах всей организации</w:t>
      </w:r>
      <w:r w:rsidRPr="000B033C">
        <w:rPr>
          <w:lang w:val="ru-RU"/>
        </w:rPr>
        <w:t xml:space="preserve"> (</w:t>
      </w:r>
      <w:r w:rsidR="00D720E4" w:rsidRPr="000B033C">
        <w:rPr>
          <w:lang w:val="ru-RU"/>
        </w:rPr>
        <w:t>и в свое время рассмотреть вопрос о создании в МСЭ функции оценки, что служило бы поддержкой эффективного выполнения Стратегического плана</w:t>
      </w:r>
      <w:r w:rsidRPr="000B033C">
        <w:rPr>
          <w:lang w:val="ru-RU"/>
        </w:rPr>
        <w:t xml:space="preserve">). </w:t>
      </w:r>
      <w:r w:rsidR="00D720E4" w:rsidRPr="000B033C">
        <w:rPr>
          <w:lang w:val="ru-RU"/>
        </w:rPr>
        <w:t>Управление рисками остается в</w:t>
      </w:r>
      <w:r w:rsidR="000B033C">
        <w:rPr>
          <w:lang w:val="fr-CH"/>
        </w:rPr>
        <w:t> </w:t>
      </w:r>
      <w:r w:rsidR="00D720E4" w:rsidRPr="000B033C">
        <w:rPr>
          <w:lang w:val="ru-RU"/>
        </w:rPr>
        <w:t xml:space="preserve">числе ведущихся направлений деятельности, и </w:t>
      </w:r>
      <w:r w:rsidRPr="000B033C">
        <w:rPr>
          <w:lang w:val="ru-RU"/>
        </w:rPr>
        <w:t xml:space="preserve">IMAC </w:t>
      </w:r>
      <w:r w:rsidR="00D720E4" w:rsidRPr="000B033C">
        <w:rPr>
          <w:lang w:val="ru-RU"/>
        </w:rPr>
        <w:t xml:space="preserve">будет продолжать наблюдать за дальнейшим развитием </w:t>
      </w:r>
      <w:r w:rsidR="00002114" w:rsidRPr="000B033C">
        <w:rPr>
          <w:lang w:val="ru-RU"/>
        </w:rPr>
        <w:t>более всеобъемлющей системы управления рисками и по мере необходимости консультировать руководство</w:t>
      </w:r>
      <w:r w:rsidR="00F51E32" w:rsidRPr="000B033C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1E32" w:rsidRPr="004F5783" w14:paraId="73172217" w14:textId="77777777" w:rsidTr="00F51E32">
        <w:tc>
          <w:tcPr>
            <w:tcW w:w="9629" w:type="dxa"/>
          </w:tcPr>
          <w:p w14:paraId="03FF456D" w14:textId="34E31BFF" w:rsidR="00F51E32" w:rsidRPr="000B033C" w:rsidRDefault="00F51E32" w:rsidP="000B033C">
            <w:pPr>
              <w:spacing w:after="120"/>
              <w:rPr>
                <w:lang w:val="ru-RU"/>
              </w:rPr>
            </w:pPr>
            <w:r w:rsidRPr="000B033C">
              <w:rPr>
                <w:rFonts w:asciiTheme="minorHAnsi" w:hAnsiTheme="minorHAnsi"/>
                <w:b/>
                <w:szCs w:val="22"/>
                <w:lang w:val="ru-RU"/>
              </w:rPr>
              <w:t>Рекомендация 4 (2015 г.)</w:t>
            </w:r>
            <w:r w:rsidRPr="00362D9B">
              <w:rPr>
                <w:rFonts w:asciiTheme="minorHAnsi" w:hAnsiTheme="minorHAnsi"/>
                <w:bCs/>
                <w:szCs w:val="22"/>
                <w:lang w:val="ru-RU"/>
              </w:rPr>
              <w:t xml:space="preserve">: </w:t>
            </w:r>
            <w:r w:rsidRPr="000B033C">
              <w:rPr>
                <w:rFonts w:asciiTheme="minorHAnsi" w:hAnsiTheme="minorHAnsi"/>
                <w:szCs w:val="22"/>
                <w:lang w:val="ru-RU"/>
              </w:rPr>
              <w:t xml:space="preserve">IMAC повторяет свою рекомендацию 2014 года (Рек. 6/2014): </w:t>
            </w:r>
            <w:r w:rsidRPr="000B033C">
              <w:rPr>
                <w:lang w:val="ru-RU"/>
              </w:rPr>
              <w:t>продолжить разработку мер по систематическому управлению рисками и применять их на оперативном уровне в качестве постоянной части бизнес-процесса с использованием реестра рисков с указанием ответственных за риски и регулярного рассмотрения на уровне руководства высшего звена</w:t>
            </w:r>
            <w:r w:rsidRPr="000B033C">
              <w:rPr>
                <w:rFonts w:asciiTheme="minorHAnsi" w:hAnsiTheme="minorHAnsi"/>
                <w:szCs w:val="22"/>
                <w:lang w:val="ru-RU"/>
              </w:rPr>
              <w:t>.</w:t>
            </w:r>
          </w:p>
        </w:tc>
      </w:tr>
    </w:tbl>
    <w:p w14:paraId="7CA7CCD1" w14:textId="7AA6C15B" w:rsidR="0084116D" w:rsidRPr="00B15118" w:rsidRDefault="004020C3" w:rsidP="00362D9B">
      <w:pPr>
        <w:pStyle w:val="Headingb"/>
        <w:spacing w:before="240"/>
        <w:rPr>
          <w:lang w:val="ru-RU"/>
        </w:rPr>
      </w:pPr>
      <w:r w:rsidRPr="00B15118">
        <w:rPr>
          <w:lang w:val="ru-RU"/>
        </w:rPr>
        <w:t>Внешний аудит</w:t>
      </w:r>
    </w:p>
    <w:p w14:paraId="4C6969C8" w14:textId="24ABAB6C" w:rsidR="0084116D" w:rsidRPr="000B033C" w:rsidRDefault="0032293E" w:rsidP="0032293E">
      <w:pPr>
        <w:rPr>
          <w:lang w:val="ru-RU"/>
        </w:rPr>
      </w:pPr>
      <w:r>
        <w:rPr>
          <w:lang w:val="ru-RU"/>
        </w:rPr>
        <w:t xml:space="preserve">Эта часть будет помещена в качестве </w:t>
      </w:r>
      <w:r w:rsidR="004020C3" w:rsidRPr="000B033C">
        <w:rPr>
          <w:lang w:val="ru-RU"/>
        </w:rPr>
        <w:t>дополнительн</w:t>
      </w:r>
      <w:r>
        <w:rPr>
          <w:lang w:val="ru-RU"/>
        </w:rPr>
        <w:t>ого</w:t>
      </w:r>
      <w:r w:rsidR="004020C3" w:rsidRPr="000B033C">
        <w:rPr>
          <w:lang w:val="ru-RU"/>
        </w:rPr>
        <w:t xml:space="preserve"> документ</w:t>
      </w:r>
      <w:r>
        <w:rPr>
          <w:lang w:val="ru-RU"/>
        </w:rPr>
        <w:t>а</w:t>
      </w:r>
      <w:r w:rsidR="004020C3" w:rsidRPr="000B033C">
        <w:rPr>
          <w:lang w:val="ru-RU"/>
        </w:rPr>
        <w:t xml:space="preserve"> к настоящему отчету посл</w:t>
      </w:r>
      <w:r w:rsidR="009E7040" w:rsidRPr="000B033C">
        <w:rPr>
          <w:lang w:val="ru-RU"/>
        </w:rPr>
        <w:t>е</w:t>
      </w:r>
      <w:r w:rsidR="004020C3" w:rsidRPr="000B033C">
        <w:rPr>
          <w:lang w:val="ru-RU"/>
        </w:rPr>
        <w:t xml:space="preserve"> </w:t>
      </w:r>
      <w:r>
        <w:rPr>
          <w:lang w:val="ru-RU"/>
        </w:rPr>
        <w:t>рассмотрения</w:t>
      </w:r>
      <w:r w:rsidR="004020C3" w:rsidRPr="000B033C">
        <w:rPr>
          <w:lang w:val="ru-RU"/>
        </w:rPr>
        <w:t xml:space="preserve"> отчета </w:t>
      </w:r>
      <w:r w:rsidR="009E7040" w:rsidRPr="000B033C">
        <w:rPr>
          <w:lang w:val="ru-RU"/>
        </w:rPr>
        <w:t>в</w:t>
      </w:r>
      <w:r w:rsidR="004020C3" w:rsidRPr="000B033C">
        <w:rPr>
          <w:lang w:val="ru-RU"/>
        </w:rPr>
        <w:t>нешнего аудитора</w:t>
      </w:r>
      <w:r w:rsidR="0084116D" w:rsidRPr="000B033C">
        <w:rPr>
          <w:lang w:val="ru-RU"/>
        </w:rPr>
        <w:t>.</w:t>
      </w:r>
    </w:p>
    <w:p w14:paraId="030C013D" w14:textId="5488F15B" w:rsidR="0084116D" w:rsidRPr="000B033C" w:rsidRDefault="004020C3" w:rsidP="00F51E32">
      <w:pPr>
        <w:pStyle w:val="Headingb"/>
        <w:rPr>
          <w:lang w:val="ru-RU"/>
        </w:rPr>
      </w:pPr>
      <w:r w:rsidRPr="000B033C">
        <w:rPr>
          <w:lang w:val="ru-RU"/>
        </w:rPr>
        <w:lastRenderedPageBreak/>
        <w:t>Внутренний аудит</w:t>
      </w:r>
    </w:p>
    <w:p w14:paraId="7E9843FE" w14:textId="2346484C" w:rsidR="0084116D" w:rsidRPr="000B033C" w:rsidRDefault="0084116D" w:rsidP="000B033C">
      <w:pPr>
        <w:rPr>
          <w:lang w:val="ru-RU"/>
        </w:rPr>
      </w:pPr>
      <w:r w:rsidRPr="000B033C">
        <w:rPr>
          <w:lang w:val="ru-RU"/>
        </w:rPr>
        <w:t>3.9</w:t>
      </w:r>
      <w:r w:rsidRPr="000B033C">
        <w:rPr>
          <w:lang w:val="ru-RU"/>
        </w:rPr>
        <w:tab/>
      </w:r>
      <w:r w:rsidR="00632BA5" w:rsidRPr="000B033C">
        <w:rPr>
          <w:lang w:val="ru-RU"/>
        </w:rPr>
        <w:t xml:space="preserve">Подразделение внутреннего аудита МСЭ на протяжении последнего года </w:t>
      </w:r>
      <w:r w:rsidR="009E7040" w:rsidRPr="000B033C">
        <w:rPr>
          <w:lang w:val="ru-RU"/>
        </w:rPr>
        <w:t>оставалось под</w:t>
      </w:r>
      <w:r w:rsidR="000B033C">
        <w:rPr>
          <w:lang w:val="fr-CH"/>
        </w:rPr>
        <w:t> </w:t>
      </w:r>
      <w:r w:rsidR="00632BA5" w:rsidRPr="000B033C">
        <w:rPr>
          <w:lang w:val="ru-RU"/>
        </w:rPr>
        <w:t>наблюд</w:t>
      </w:r>
      <w:r w:rsidR="009E7040" w:rsidRPr="000B033C">
        <w:rPr>
          <w:lang w:val="ru-RU"/>
        </w:rPr>
        <w:t>ением</w:t>
      </w:r>
      <w:r w:rsidR="00632BA5" w:rsidRPr="000B033C">
        <w:rPr>
          <w:lang w:val="ru-RU"/>
        </w:rPr>
        <w:t xml:space="preserve"> </w:t>
      </w:r>
      <w:r w:rsidRPr="000B033C">
        <w:rPr>
          <w:lang w:val="ru-RU"/>
        </w:rPr>
        <w:t xml:space="preserve">IMAC, </w:t>
      </w:r>
      <w:r w:rsidR="00632BA5" w:rsidRPr="000B033C">
        <w:rPr>
          <w:lang w:val="ru-RU"/>
        </w:rPr>
        <w:t xml:space="preserve">и Комитет </w:t>
      </w:r>
      <w:r w:rsidR="004E09C2" w:rsidRPr="000B033C">
        <w:rPr>
          <w:lang w:val="ru-RU"/>
        </w:rPr>
        <w:t xml:space="preserve">был рад </w:t>
      </w:r>
      <w:r w:rsidR="00632BA5" w:rsidRPr="000B033C">
        <w:rPr>
          <w:lang w:val="ru-RU"/>
        </w:rPr>
        <w:t>отмети</w:t>
      </w:r>
      <w:r w:rsidR="004E09C2" w:rsidRPr="000B033C">
        <w:rPr>
          <w:lang w:val="ru-RU"/>
        </w:rPr>
        <w:t>ть</w:t>
      </w:r>
      <w:r w:rsidR="00632BA5" w:rsidRPr="000B033C">
        <w:rPr>
          <w:lang w:val="ru-RU"/>
        </w:rPr>
        <w:t xml:space="preserve"> ряд областей, в которых положение дел улучшилось.</w:t>
      </w:r>
      <w:r w:rsidRPr="000B033C">
        <w:rPr>
          <w:lang w:val="ru-RU"/>
        </w:rPr>
        <w:t xml:space="preserve"> </w:t>
      </w:r>
      <w:r w:rsidR="00632BA5" w:rsidRPr="000B033C">
        <w:rPr>
          <w:lang w:val="ru-RU"/>
        </w:rPr>
        <w:t>Так,</w:t>
      </w:r>
      <w:r w:rsidRPr="000B033C">
        <w:rPr>
          <w:lang w:val="ru-RU"/>
        </w:rPr>
        <w:t xml:space="preserve"> IMAC </w:t>
      </w:r>
      <w:r w:rsidR="00632BA5" w:rsidRPr="000B033C">
        <w:rPr>
          <w:lang w:val="ru-RU"/>
        </w:rPr>
        <w:t>с удовл</w:t>
      </w:r>
      <w:r w:rsidR="004E09C2" w:rsidRPr="000B033C">
        <w:rPr>
          <w:lang w:val="ru-RU"/>
        </w:rPr>
        <w:t>етворением отметил принятое Генеральным секретарем в 2014 году решение предоставить дополнительные ресурсы</w:t>
      </w:r>
      <w:r w:rsidRPr="000B033C">
        <w:rPr>
          <w:lang w:val="ru-RU"/>
        </w:rPr>
        <w:t xml:space="preserve"> </w:t>
      </w:r>
      <w:r w:rsidR="004E09C2" w:rsidRPr="000B033C">
        <w:rPr>
          <w:lang w:val="ru-RU"/>
        </w:rPr>
        <w:t>подразделению внутреннего аудита</w:t>
      </w:r>
      <w:r w:rsidRPr="000B033C">
        <w:rPr>
          <w:lang w:val="ru-RU"/>
        </w:rPr>
        <w:t xml:space="preserve">. </w:t>
      </w:r>
      <w:r w:rsidR="004E09C2" w:rsidRPr="000B033C">
        <w:rPr>
          <w:lang w:val="ru-RU"/>
        </w:rPr>
        <w:t xml:space="preserve">Эта мера соответствует рекомендациям </w:t>
      </w:r>
      <w:r w:rsidRPr="000B033C">
        <w:rPr>
          <w:lang w:val="ru-RU"/>
        </w:rPr>
        <w:t xml:space="preserve">IMAC </w:t>
      </w:r>
      <w:r w:rsidR="004E09C2" w:rsidRPr="000B033C">
        <w:rPr>
          <w:lang w:val="ru-RU"/>
        </w:rPr>
        <w:t>в</w:t>
      </w:r>
      <w:r w:rsidRPr="000B033C">
        <w:rPr>
          <w:lang w:val="ru-RU"/>
        </w:rPr>
        <w:t xml:space="preserve"> 2012 </w:t>
      </w:r>
      <w:r w:rsidR="004E09C2" w:rsidRPr="000B033C">
        <w:rPr>
          <w:lang w:val="ru-RU"/>
        </w:rPr>
        <w:t>и</w:t>
      </w:r>
      <w:r w:rsidRPr="000B033C">
        <w:rPr>
          <w:lang w:val="ru-RU"/>
        </w:rPr>
        <w:t xml:space="preserve"> 2013</w:t>
      </w:r>
      <w:r w:rsidR="004E09C2" w:rsidRPr="000B033C">
        <w:rPr>
          <w:lang w:val="ru-RU"/>
        </w:rPr>
        <w:t> годах</w:t>
      </w:r>
      <w:r w:rsidRPr="000B033C">
        <w:rPr>
          <w:lang w:val="ru-RU"/>
        </w:rPr>
        <w:t xml:space="preserve">, </w:t>
      </w:r>
      <w:r w:rsidR="004E09C2" w:rsidRPr="000B033C">
        <w:rPr>
          <w:lang w:val="ru-RU"/>
        </w:rPr>
        <w:t xml:space="preserve">а также сделанным ранее рекомендациям </w:t>
      </w:r>
      <w:r w:rsidR="009E7040" w:rsidRPr="000B033C">
        <w:rPr>
          <w:lang w:val="ru-RU"/>
        </w:rPr>
        <w:t>в</w:t>
      </w:r>
      <w:r w:rsidR="004E09C2" w:rsidRPr="000B033C">
        <w:rPr>
          <w:lang w:val="ru-RU"/>
        </w:rPr>
        <w:t>нешнего аудитора.</w:t>
      </w:r>
      <w:r w:rsidRPr="000B033C">
        <w:rPr>
          <w:lang w:val="ru-RU"/>
        </w:rPr>
        <w:t xml:space="preserve"> IMAC </w:t>
      </w:r>
      <w:r w:rsidR="004E09C2" w:rsidRPr="000B033C">
        <w:rPr>
          <w:lang w:val="ru-RU"/>
        </w:rPr>
        <w:t>надеется, что дополнительные ресурсы позволят расширить сферу охвата аудитом основных областей риска в МСЭ</w:t>
      </w:r>
      <w:r w:rsidRPr="000B033C">
        <w:rPr>
          <w:lang w:val="ru-RU"/>
        </w:rPr>
        <w:t>.</w:t>
      </w:r>
    </w:p>
    <w:p w14:paraId="32756861" w14:textId="2215BC13" w:rsidR="0084116D" w:rsidRPr="0032293E" w:rsidRDefault="0084116D" w:rsidP="00B15118">
      <w:pPr>
        <w:rPr>
          <w:lang w:val="ru-RU"/>
        </w:rPr>
      </w:pPr>
      <w:r w:rsidRPr="000B033C">
        <w:rPr>
          <w:lang w:val="ru-RU"/>
        </w:rPr>
        <w:t>3.10</w:t>
      </w:r>
      <w:r w:rsidRPr="000B033C">
        <w:rPr>
          <w:lang w:val="ru-RU"/>
        </w:rPr>
        <w:tab/>
        <w:t xml:space="preserve">IMAC </w:t>
      </w:r>
      <w:r w:rsidR="004E09C2" w:rsidRPr="000B033C">
        <w:rPr>
          <w:lang w:val="ru-RU"/>
        </w:rPr>
        <w:t>также с удовлетворением отметил, что, как он рекомендовал в 2013 году</w:t>
      </w:r>
      <w:r w:rsidRPr="000B033C">
        <w:rPr>
          <w:lang w:val="ru-RU"/>
        </w:rPr>
        <w:t xml:space="preserve"> (</w:t>
      </w:r>
      <w:r w:rsidR="004E09C2" w:rsidRPr="000B033C">
        <w:rPr>
          <w:lang w:val="ru-RU"/>
        </w:rPr>
        <w:t>Рек</w:t>
      </w:r>
      <w:r w:rsidRPr="000B033C">
        <w:rPr>
          <w:lang w:val="ru-RU"/>
        </w:rPr>
        <w:t>.</w:t>
      </w:r>
      <w:r w:rsidR="004E09C2" w:rsidRPr="000B033C">
        <w:rPr>
          <w:lang w:val="ru-RU"/>
        </w:rPr>
        <w:t> </w:t>
      </w:r>
      <w:r w:rsidRPr="000B033C">
        <w:rPr>
          <w:lang w:val="ru-RU"/>
        </w:rPr>
        <w:t xml:space="preserve">4/2013), </w:t>
      </w:r>
      <w:r w:rsidR="000663F2" w:rsidRPr="000B033C">
        <w:rPr>
          <w:lang w:val="ru-RU"/>
        </w:rPr>
        <w:t>МСЭ принял меры для внешней проверки самооценки внутреннего аудита, которая прошла в</w:t>
      </w:r>
      <w:r w:rsidR="000B033C">
        <w:rPr>
          <w:lang w:val="fr-CH"/>
        </w:rPr>
        <w:t> </w:t>
      </w:r>
      <w:r w:rsidR="000663F2" w:rsidRPr="000B033C">
        <w:rPr>
          <w:lang w:val="ru-RU"/>
        </w:rPr>
        <w:t>начале 2015 года</w:t>
      </w:r>
      <w:r w:rsidRPr="000B033C">
        <w:rPr>
          <w:lang w:val="ru-RU"/>
        </w:rPr>
        <w:t xml:space="preserve">. </w:t>
      </w:r>
      <w:r w:rsidR="0032293E">
        <w:rPr>
          <w:lang w:val="ru-RU"/>
        </w:rPr>
        <w:t xml:space="preserve">Замечания </w:t>
      </w:r>
      <w:r w:rsidR="0032293E">
        <w:rPr>
          <w:lang w:val="en-US"/>
        </w:rPr>
        <w:t>IMAC</w:t>
      </w:r>
      <w:r w:rsidR="0032293E">
        <w:rPr>
          <w:lang w:val="ru-RU"/>
        </w:rPr>
        <w:t xml:space="preserve"> будут </w:t>
      </w:r>
      <w:r w:rsidR="00B15118">
        <w:rPr>
          <w:lang w:val="ru-RU"/>
        </w:rPr>
        <w:t>включены</w:t>
      </w:r>
      <w:r w:rsidR="0032293E">
        <w:rPr>
          <w:lang w:val="ru-RU"/>
        </w:rPr>
        <w:t xml:space="preserve"> в качестве дополнительного документа к настоящему отчету, как только будет рассмотрен отчет </w:t>
      </w:r>
      <w:r w:rsidR="009F7C4E">
        <w:rPr>
          <w:lang w:val="ru-RU"/>
        </w:rPr>
        <w:t xml:space="preserve">о результатах </w:t>
      </w:r>
      <w:r w:rsidR="0032293E">
        <w:rPr>
          <w:lang w:val="ru-RU"/>
        </w:rPr>
        <w:t>внешне</w:t>
      </w:r>
      <w:r w:rsidR="009F7C4E">
        <w:rPr>
          <w:lang w:val="ru-RU"/>
        </w:rPr>
        <w:t>й проверки</w:t>
      </w:r>
      <w:r w:rsidR="0032293E">
        <w:rPr>
          <w:lang w:val="ru-RU"/>
        </w:rPr>
        <w:t>.</w:t>
      </w:r>
    </w:p>
    <w:p w14:paraId="5D321A71" w14:textId="734B12BA" w:rsidR="0084116D" w:rsidRPr="000B033C" w:rsidRDefault="0084116D" w:rsidP="000B033C">
      <w:pPr>
        <w:rPr>
          <w:lang w:val="ru-RU"/>
        </w:rPr>
      </w:pPr>
      <w:r w:rsidRPr="000B033C">
        <w:rPr>
          <w:lang w:val="ru-RU"/>
        </w:rPr>
        <w:t>3.11</w:t>
      </w:r>
      <w:r w:rsidRPr="000B033C">
        <w:rPr>
          <w:lang w:val="ru-RU"/>
        </w:rPr>
        <w:tab/>
        <w:t xml:space="preserve">IMAC </w:t>
      </w:r>
      <w:r w:rsidR="000663F2" w:rsidRPr="000B033C">
        <w:rPr>
          <w:lang w:val="ru-RU"/>
        </w:rPr>
        <w:t>рассмотрел и одобрил проекта плана аудита подразделения внутреннего аудита на</w:t>
      </w:r>
      <w:r w:rsidR="000B033C">
        <w:rPr>
          <w:lang w:val="fr-CH"/>
        </w:rPr>
        <w:t> </w:t>
      </w:r>
      <w:r w:rsidR="000663F2" w:rsidRPr="000B033C">
        <w:rPr>
          <w:lang w:val="ru-RU"/>
        </w:rPr>
        <w:t xml:space="preserve">2015 год, который был впоследствии пересмотрен для включения проверок последствий </w:t>
      </w:r>
      <w:r w:rsidR="00DB5423" w:rsidRPr="000B033C">
        <w:rPr>
          <w:lang w:val="ru-RU"/>
        </w:rPr>
        <w:t>принимаемых мер экономии, процесса управления, применяемого для достижения этой экономии, и</w:t>
      </w:r>
      <w:r w:rsidR="000B033C">
        <w:rPr>
          <w:lang w:val="fr-CH"/>
        </w:rPr>
        <w:t> </w:t>
      </w:r>
      <w:r w:rsidR="00DB5423" w:rsidRPr="000B033C">
        <w:rPr>
          <w:lang w:val="ru-RU"/>
        </w:rPr>
        <w:t>возможности получения дополнительной экономии</w:t>
      </w:r>
      <w:r w:rsidRPr="000B033C">
        <w:rPr>
          <w:lang w:val="ru-RU"/>
        </w:rPr>
        <w:t xml:space="preserve">. IMAC </w:t>
      </w:r>
      <w:r w:rsidR="00DF46C7" w:rsidRPr="000B033C">
        <w:rPr>
          <w:lang w:val="ru-RU"/>
        </w:rPr>
        <w:t>также принял к сведению намерение МСЭ завершить аудит операций на местах в Африке</w:t>
      </w:r>
      <w:r w:rsidRPr="000B033C">
        <w:rPr>
          <w:lang w:val="ru-RU"/>
        </w:rPr>
        <w:t>.</w:t>
      </w:r>
    </w:p>
    <w:p w14:paraId="662D4CA5" w14:textId="6858F9B2" w:rsidR="0084116D" w:rsidRPr="000B033C" w:rsidRDefault="0084116D" w:rsidP="000B033C">
      <w:pPr>
        <w:rPr>
          <w:lang w:val="ru-RU"/>
        </w:rPr>
      </w:pPr>
      <w:r w:rsidRPr="000B033C">
        <w:rPr>
          <w:lang w:val="ru-RU"/>
        </w:rPr>
        <w:t>3.12</w:t>
      </w:r>
      <w:r w:rsidRPr="000B033C">
        <w:rPr>
          <w:lang w:val="ru-RU"/>
        </w:rPr>
        <w:tab/>
      </w:r>
      <w:r w:rsidR="00DF46C7" w:rsidRPr="000B033C">
        <w:rPr>
          <w:lang w:val="ru-RU"/>
        </w:rPr>
        <w:t>В своем отчете об аудите 2013 года внешние аудиторы подняли ряд вопросов, касающихся внутреннего аудита, в том числе необходимости совершенствовать анализ рисков при разработке планов внутреннего аудит</w:t>
      </w:r>
      <w:r w:rsidR="009E7040" w:rsidRPr="000B033C">
        <w:rPr>
          <w:lang w:val="ru-RU"/>
        </w:rPr>
        <w:t>а</w:t>
      </w:r>
      <w:r w:rsidRPr="000B033C">
        <w:rPr>
          <w:lang w:val="ru-RU"/>
        </w:rPr>
        <w:t xml:space="preserve">. IMAC </w:t>
      </w:r>
      <w:r w:rsidR="00DF46C7" w:rsidRPr="000B033C">
        <w:rPr>
          <w:lang w:val="ru-RU"/>
        </w:rPr>
        <w:t>одобрил эти рекомендации и считает, что существуют дополнительные возможности совершенствования планирования внутреннего аудита для отражения очередности тем на основании более развернутой оценки рисков</w:t>
      </w:r>
      <w:r w:rsidRPr="000B033C">
        <w:rPr>
          <w:lang w:val="ru-RU"/>
        </w:rPr>
        <w:t xml:space="preserve">. </w:t>
      </w:r>
      <w:r w:rsidR="00DF46C7" w:rsidRPr="000B033C">
        <w:rPr>
          <w:lang w:val="ru-RU"/>
        </w:rPr>
        <w:t>Комитет будет и далее предоставлять руководящие указания и консультации в рамках своих основных обязанностей по</w:t>
      </w:r>
      <w:r w:rsidR="000B033C">
        <w:rPr>
          <w:lang w:val="fr-CH"/>
        </w:rPr>
        <w:t> </w:t>
      </w:r>
      <w:r w:rsidR="00DF46C7" w:rsidRPr="000B033C">
        <w:rPr>
          <w:lang w:val="ru-RU"/>
        </w:rPr>
        <w:t>надзору</w:t>
      </w:r>
      <w:r w:rsidRPr="000B033C">
        <w:rPr>
          <w:lang w:val="ru-RU"/>
        </w:rPr>
        <w:t>.</w:t>
      </w:r>
    </w:p>
    <w:p w14:paraId="72E24FD9" w14:textId="2F979B55" w:rsidR="0084116D" w:rsidRPr="000B033C" w:rsidRDefault="0084116D" w:rsidP="000B033C">
      <w:pPr>
        <w:spacing w:after="120"/>
        <w:rPr>
          <w:lang w:val="ru-RU"/>
        </w:rPr>
      </w:pPr>
      <w:r w:rsidRPr="000B033C">
        <w:rPr>
          <w:lang w:val="ru-RU"/>
        </w:rPr>
        <w:t>3.13</w:t>
      </w:r>
      <w:r w:rsidRPr="000B033C">
        <w:rPr>
          <w:lang w:val="ru-RU"/>
        </w:rPr>
        <w:tab/>
      </w:r>
      <w:r w:rsidR="00DF46C7" w:rsidRPr="000B033C">
        <w:rPr>
          <w:lang w:val="ru-RU"/>
        </w:rPr>
        <w:t xml:space="preserve">В своем третьем ежегодном докладе в 2014 году </w:t>
      </w:r>
      <w:r w:rsidRPr="000B033C">
        <w:rPr>
          <w:lang w:val="ru-RU"/>
        </w:rPr>
        <w:t xml:space="preserve">IMAC </w:t>
      </w:r>
      <w:r w:rsidR="00DF46C7" w:rsidRPr="000B033C">
        <w:rPr>
          <w:lang w:val="ru-RU"/>
        </w:rPr>
        <w:t>выразил обеспокоенность в связи с</w:t>
      </w:r>
      <w:r w:rsidR="000B033C">
        <w:rPr>
          <w:lang w:val="fr-CH"/>
        </w:rPr>
        <w:t> </w:t>
      </w:r>
      <w:r w:rsidR="00DF46C7" w:rsidRPr="000B033C">
        <w:rPr>
          <w:lang w:val="ru-RU"/>
        </w:rPr>
        <w:t xml:space="preserve">широким кругом недостатков в сфере </w:t>
      </w:r>
      <w:r w:rsidR="00A728DE" w:rsidRPr="000B033C">
        <w:rPr>
          <w:lang w:val="ru-RU"/>
        </w:rPr>
        <w:t>управления</w:t>
      </w:r>
      <w:r w:rsidR="00DF46C7" w:rsidRPr="000B033C">
        <w:rPr>
          <w:lang w:val="ru-RU"/>
        </w:rPr>
        <w:t>, о которых сообщалось в материалах внутреннего аудита операций МСЭ в региональных и зональных отделениях, в том числе в Арабском регионе, Азиатско-Тихоокеанском регионе, Содружестве Независимых государств и регионе Северной и</w:t>
      </w:r>
      <w:r w:rsidR="000B033C">
        <w:rPr>
          <w:lang w:val="fr-CH"/>
        </w:rPr>
        <w:t> </w:t>
      </w:r>
      <w:r w:rsidR="00DF46C7" w:rsidRPr="000B033C">
        <w:rPr>
          <w:lang w:val="ru-RU"/>
        </w:rPr>
        <w:t>Южной Америки</w:t>
      </w:r>
      <w:r w:rsidRPr="000B033C">
        <w:rPr>
          <w:lang w:val="ru-RU"/>
        </w:rPr>
        <w:t xml:space="preserve">. </w:t>
      </w:r>
      <w:r w:rsidR="00DF46C7" w:rsidRPr="000B033C">
        <w:rPr>
          <w:lang w:val="ru-RU"/>
        </w:rPr>
        <w:t xml:space="preserve">Последняя по времени проверка операций МСЭ в Африканском регионе также выявила недостатки в каждой </w:t>
      </w:r>
      <w:proofErr w:type="spellStart"/>
      <w:r w:rsidR="00DF46C7" w:rsidRPr="000B033C">
        <w:rPr>
          <w:lang w:val="ru-RU"/>
        </w:rPr>
        <w:t>рассматривавшейся</w:t>
      </w:r>
      <w:proofErr w:type="spellEnd"/>
      <w:r w:rsidR="00DF46C7" w:rsidRPr="000B033C">
        <w:rPr>
          <w:lang w:val="ru-RU"/>
        </w:rPr>
        <w:t xml:space="preserve"> области, включая управление активами, управление банковскими операциями и операциями с наличностью, управление проектами</w:t>
      </w:r>
      <w:r w:rsidRPr="000B033C">
        <w:rPr>
          <w:lang w:val="ru-RU"/>
        </w:rPr>
        <w:t xml:space="preserve">, </w:t>
      </w:r>
      <w:r w:rsidR="00DF46C7" w:rsidRPr="000B033C">
        <w:rPr>
          <w:lang w:val="ru-RU"/>
        </w:rPr>
        <w:t>безопасность и защищенность, а также делегирование полномочий по руководству</w:t>
      </w:r>
      <w:r w:rsidRPr="000B033C">
        <w:rPr>
          <w:lang w:val="ru-RU"/>
        </w:rPr>
        <w:t xml:space="preserve">. </w:t>
      </w:r>
      <w:r w:rsidR="00DF46C7" w:rsidRPr="000B033C">
        <w:rPr>
          <w:lang w:val="ru-RU"/>
        </w:rPr>
        <w:t>В совокупности проблемы показывают необходимость</w:t>
      </w:r>
      <w:r w:rsidR="000B234C" w:rsidRPr="000B033C">
        <w:rPr>
          <w:lang w:val="ru-RU"/>
        </w:rPr>
        <w:t xml:space="preserve"> того, чтобы высшее руководство МСЭ безотлагательно приняло меры по укреплению надзора за операциями на местах.</w:t>
      </w:r>
      <w:r w:rsidRPr="000B033C">
        <w:rPr>
          <w:lang w:val="ru-RU"/>
        </w:rPr>
        <w:t xml:space="preserve"> </w:t>
      </w:r>
      <w:r w:rsidR="00A728DE" w:rsidRPr="000B033C">
        <w:rPr>
          <w:lang w:val="ru-RU"/>
        </w:rPr>
        <w:t xml:space="preserve">Как </w:t>
      </w:r>
      <w:r w:rsidR="000B234C" w:rsidRPr="000B033C">
        <w:rPr>
          <w:lang w:val="ru-RU"/>
        </w:rPr>
        <w:t>считает</w:t>
      </w:r>
      <w:r w:rsidR="00A728DE" w:rsidRPr="000B033C">
        <w:rPr>
          <w:lang w:val="ru-RU"/>
        </w:rPr>
        <w:t xml:space="preserve"> IMAC</w:t>
      </w:r>
      <w:r w:rsidR="000B234C" w:rsidRPr="000B033C">
        <w:rPr>
          <w:lang w:val="ru-RU"/>
        </w:rPr>
        <w:t>, чтобы держать Государства-Члены в курсе этих вопросов, Генеральный секретарь должен в первоочередном порядке отчитываться перед Советом.</w:t>
      </w:r>
      <w:r w:rsidRPr="000B033C">
        <w:rPr>
          <w:lang w:val="ru-RU"/>
        </w:rPr>
        <w:t xml:space="preserve"> </w:t>
      </w:r>
      <w:r w:rsidR="000B234C" w:rsidRPr="000B033C">
        <w:rPr>
          <w:lang w:val="ru-RU"/>
        </w:rPr>
        <w:t>Наряду с этим</w:t>
      </w:r>
      <w:r w:rsidRPr="000B033C">
        <w:rPr>
          <w:lang w:val="ru-RU"/>
        </w:rPr>
        <w:t xml:space="preserve"> IMAC </w:t>
      </w:r>
      <w:r w:rsidR="000B234C" w:rsidRPr="000B033C">
        <w:rPr>
          <w:lang w:val="ru-RU"/>
        </w:rPr>
        <w:t xml:space="preserve">настоятельно рекомендует </w:t>
      </w:r>
      <w:r w:rsidR="00A728DE" w:rsidRPr="000B033C">
        <w:rPr>
          <w:lang w:val="ru-RU"/>
        </w:rPr>
        <w:t>в</w:t>
      </w:r>
      <w:r w:rsidR="000B234C" w:rsidRPr="000B033C">
        <w:rPr>
          <w:lang w:val="ru-RU"/>
        </w:rPr>
        <w:t>нешнему аудитору и далее рассматривать этот вопрос в рамках своей работы по аудиту</w:t>
      </w:r>
      <w:r w:rsidRPr="000B033C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1E32" w:rsidRPr="004F5783" w14:paraId="427F741C" w14:textId="77777777" w:rsidTr="00F51E32">
        <w:tc>
          <w:tcPr>
            <w:tcW w:w="9629" w:type="dxa"/>
          </w:tcPr>
          <w:p w14:paraId="7E454545" w14:textId="7E71EE5C" w:rsidR="00F51E32" w:rsidRPr="000B033C" w:rsidRDefault="00F51E32" w:rsidP="000B033C">
            <w:pPr>
              <w:spacing w:after="120"/>
              <w:rPr>
                <w:lang w:val="ru-RU"/>
              </w:rPr>
            </w:pPr>
            <w:r w:rsidRPr="000B033C">
              <w:rPr>
                <w:b/>
                <w:bCs/>
                <w:lang w:val="ru-RU"/>
              </w:rPr>
              <w:t>Рекомендация 5 (2015 г.</w:t>
            </w:r>
            <w:r w:rsidR="009677FF" w:rsidRPr="000B033C">
              <w:rPr>
                <w:lang w:val="ru-RU"/>
              </w:rPr>
              <w:t xml:space="preserve">): </w:t>
            </w:r>
            <w:r w:rsidRPr="000B033C">
              <w:rPr>
                <w:lang w:val="ru-RU"/>
              </w:rPr>
              <w:t>IMAC рекомендует Генеральному секретарю представлять Совету отчеты по общим результатам аудита и по мерам, принимаемым МСЭ для совершенствования управления операциями на местах.</w:t>
            </w:r>
          </w:p>
        </w:tc>
      </w:tr>
    </w:tbl>
    <w:p w14:paraId="72A3C242" w14:textId="172719A2" w:rsidR="0084116D" w:rsidRPr="000B033C" w:rsidRDefault="0084116D" w:rsidP="004E54DC">
      <w:pPr>
        <w:spacing w:before="240"/>
        <w:rPr>
          <w:lang w:val="ru-RU"/>
        </w:rPr>
      </w:pPr>
      <w:r w:rsidRPr="000B033C">
        <w:rPr>
          <w:lang w:val="ru-RU"/>
        </w:rPr>
        <w:t>3.14</w:t>
      </w:r>
      <w:r w:rsidRPr="000B033C">
        <w:rPr>
          <w:lang w:val="ru-RU"/>
        </w:rPr>
        <w:tab/>
      </w:r>
      <w:r w:rsidR="000B234C" w:rsidRPr="000B033C">
        <w:rPr>
          <w:lang w:val="ru-RU"/>
        </w:rPr>
        <w:t>Как и в отношении вопросов, касающихся операций МСЭ на местах</w:t>
      </w:r>
      <w:r w:rsidRPr="000B033C">
        <w:rPr>
          <w:lang w:val="ru-RU"/>
        </w:rPr>
        <w:t xml:space="preserve">, IMAC </w:t>
      </w:r>
      <w:r w:rsidR="000B234C" w:rsidRPr="000B033C">
        <w:rPr>
          <w:lang w:val="ru-RU"/>
        </w:rPr>
        <w:t xml:space="preserve">также подчеркивает значение участия Государств-Членов </w:t>
      </w:r>
      <w:r w:rsidR="00587B30" w:rsidRPr="000B033C">
        <w:rPr>
          <w:lang w:val="ru-RU"/>
        </w:rPr>
        <w:t>в других вопросах управления МСЭ</w:t>
      </w:r>
      <w:r w:rsidRPr="000B033C">
        <w:rPr>
          <w:lang w:val="ru-RU"/>
        </w:rPr>
        <w:t xml:space="preserve">. </w:t>
      </w:r>
      <w:r w:rsidR="00587B30" w:rsidRPr="000B033C">
        <w:rPr>
          <w:lang w:val="ru-RU"/>
        </w:rPr>
        <w:t>Расширение доступа Государств-Членов к отчетам по внутреннему аудиту на собраниях Совета МСЭ и недавно введенная отчетность внутреннего аудитора на собраниях Совета МСЭ будет способствовать этому участию и, следует надеяться, укрепит диалог между Государствами-Членами и функциональным подразделением внутреннего аудита</w:t>
      </w:r>
      <w:r w:rsidRPr="000B033C">
        <w:rPr>
          <w:lang w:val="ru-RU"/>
        </w:rPr>
        <w:t xml:space="preserve">. </w:t>
      </w:r>
      <w:r w:rsidR="00587B30" w:rsidRPr="000B033C">
        <w:rPr>
          <w:lang w:val="ru-RU"/>
        </w:rPr>
        <w:t xml:space="preserve">В связи с этим Комитет настоятельно рекомендует </w:t>
      </w:r>
      <w:r w:rsidR="00587B30" w:rsidRPr="000B033C">
        <w:rPr>
          <w:lang w:val="ru-RU"/>
        </w:rPr>
        <w:lastRenderedPageBreak/>
        <w:t>Государствам-Членам пользоваться предоставленным доступом, в первую очередь в областях, которым IMAC уделяет особое внимание в своих отчетах Совету</w:t>
      </w:r>
      <w:r w:rsidRPr="000B033C">
        <w:rPr>
          <w:lang w:val="ru-RU"/>
        </w:rPr>
        <w:t>.</w:t>
      </w:r>
    </w:p>
    <w:p w14:paraId="0F60411C" w14:textId="090E7783" w:rsidR="0084116D" w:rsidRPr="000B033C" w:rsidRDefault="005A3321" w:rsidP="00F51E32">
      <w:pPr>
        <w:pStyle w:val="Heading1"/>
        <w:rPr>
          <w:lang w:val="ru-RU"/>
        </w:rPr>
      </w:pPr>
      <w:r>
        <w:rPr>
          <w:lang w:val="ru-RU"/>
        </w:rPr>
        <w:t>4</w:t>
      </w:r>
      <w:r w:rsidR="0084116D" w:rsidRPr="000B033C">
        <w:rPr>
          <w:lang w:val="ru-RU"/>
        </w:rPr>
        <w:tab/>
      </w:r>
      <w:r w:rsidR="00587B30" w:rsidRPr="000B033C">
        <w:rPr>
          <w:lang w:val="ru-RU"/>
        </w:rPr>
        <w:t>Другие вопросы</w:t>
      </w:r>
    </w:p>
    <w:p w14:paraId="7AAE8EA2" w14:textId="17F27EF4" w:rsidR="0084116D" w:rsidRPr="000B033C" w:rsidRDefault="0084116D" w:rsidP="00C80DDA">
      <w:pPr>
        <w:rPr>
          <w:lang w:val="ru-RU"/>
        </w:rPr>
      </w:pPr>
      <w:r w:rsidRPr="000B033C">
        <w:rPr>
          <w:lang w:val="ru-RU"/>
        </w:rPr>
        <w:t>4.1</w:t>
      </w:r>
      <w:r w:rsidRPr="000B033C">
        <w:rPr>
          <w:lang w:val="ru-RU"/>
        </w:rPr>
        <w:tab/>
        <w:t xml:space="preserve">IMAC </w:t>
      </w:r>
      <w:r w:rsidR="00B44A2D" w:rsidRPr="000B033C">
        <w:rPr>
          <w:lang w:val="ru-RU"/>
        </w:rPr>
        <w:t>проведет следующее собрание осенью 2015 года, по возможности приурочивая его к</w:t>
      </w:r>
      <w:r w:rsidR="00C80DDA">
        <w:rPr>
          <w:lang w:val="en-US"/>
        </w:rPr>
        <w:t> </w:t>
      </w:r>
      <w:r w:rsidR="00B44A2D" w:rsidRPr="000B033C">
        <w:rPr>
          <w:lang w:val="ru-RU"/>
        </w:rPr>
        <w:t>собранию Рабочей группы Совета по финансовым и людским ресурсам (РГС-ФЛР</w:t>
      </w:r>
      <w:r w:rsidRPr="000B033C">
        <w:rPr>
          <w:lang w:val="ru-RU"/>
        </w:rPr>
        <w:t xml:space="preserve">). </w:t>
      </w:r>
      <w:r w:rsidR="00B44A2D" w:rsidRPr="000B033C">
        <w:rPr>
          <w:lang w:val="ru-RU"/>
        </w:rPr>
        <w:t>Поскольку осеннее собрание будет последним в четырехгодичном цикле Комитета в его нынешнем составе</w:t>
      </w:r>
      <w:r w:rsidRPr="000B033C">
        <w:rPr>
          <w:lang w:val="ru-RU"/>
        </w:rPr>
        <w:t xml:space="preserve">, </w:t>
      </w:r>
      <w:r w:rsidR="00B44A2D" w:rsidRPr="000B033C">
        <w:rPr>
          <w:lang w:val="ru-RU"/>
        </w:rPr>
        <w:t xml:space="preserve">члены </w:t>
      </w:r>
      <w:r w:rsidRPr="000B033C">
        <w:rPr>
          <w:lang w:val="ru-RU"/>
        </w:rPr>
        <w:t xml:space="preserve">IMAC </w:t>
      </w:r>
      <w:r w:rsidR="00B44A2D" w:rsidRPr="000B033C">
        <w:rPr>
          <w:lang w:val="ru-RU"/>
        </w:rPr>
        <w:t xml:space="preserve">хотели бы выразить свою глубокую признательность Государствам-Членам, РГС-ФЛР, Генеральному секретарю и служащим МСЭ за их поддержку, сотрудничество и позитивное отношение к созданию, </w:t>
      </w:r>
      <w:r w:rsidR="00A728DE" w:rsidRPr="000B033C">
        <w:rPr>
          <w:lang w:val="ru-RU"/>
        </w:rPr>
        <w:t>п</w:t>
      </w:r>
      <w:r w:rsidR="00471FA1" w:rsidRPr="000B033C">
        <w:rPr>
          <w:lang w:val="ru-RU"/>
        </w:rPr>
        <w:t>оддержанию существования и эффективному функционированию Комитета</w:t>
      </w:r>
      <w:r w:rsidRPr="000B033C">
        <w:rPr>
          <w:lang w:val="ru-RU"/>
        </w:rPr>
        <w:t xml:space="preserve">. </w:t>
      </w:r>
    </w:p>
    <w:p w14:paraId="15A2D74A" w14:textId="23F56180" w:rsidR="0084116D" w:rsidRPr="000B033C" w:rsidRDefault="0084116D" w:rsidP="00C80DDA">
      <w:pPr>
        <w:rPr>
          <w:lang w:val="ru-RU"/>
        </w:rPr>
      </w:pPr>
      <w:r w:rsidRPr="000B033C">
        <w:rPr>
          <w:lang w:val="ru-RU"/>
        </w:rPr>
        <w:t>4.2</w:t>
      </w:r>
      <w:r w:rsidRPr="000B033C">
        <w:rPr>
          <w:lang w:val="ru-RU"/>
        </w:rPr>
        <w:tab/>
      </w:r>
      <w:r w:rsidR="00471FA1" w:rsidRPr="000B033C">
        <w:rPr>
          <w:lang w:val="ru-RU"/>
        </w:rPr>
        <w:t>После решения ПК</w:t>
      </w:r>
      <w:r w:rsidR="00471FA1" w:rsidRPr="000B033C">
        <w:rPr>
          <w:lang w:val="ru-RU"/>
        </w:rPr>
        <w:noBreakHyphen/>
        <w:t xml:space="preserve">14 о продолжении мандата </w:t>
      </w:r>
      <w:r w:rsidRPr="000B033C">
        <w:rPr>
          <w:lang w:val="ru-RU"/>
        </w:rPr>
        <w:t xml:space="preserve">IMAC </w:t>
      </w:r>
      <w:r w:rsidR="00471FA1" w:rsidRPr="000B033C">
        <w:rPr>
          <w:lang w:val="ru-RU"/>
        </w:rPr>
        <w:t>как части мер по осуществлению надзора в МСЭ и как предусматривается положениями Резолюции 162, первоначальное назначение трех и</w:t>
      </w:r>
      <w:r w:rsidR="00A728DE" w:rsidRPr="000B033C">
        <w:rPr>
          <w:lang w:val="ru-RU"/>
        </w:rPr>
        <w:t>з</w:t>
      </w:r>
      <w:r w:rsidR="00471FA1" w:rsidRPr="000B033C">
        <w:rPr>
          <w:lang w:val="ru-RU"/>
        </w:rPr>
        <w:t xml:space="preserve"> пяти членов </w:t>
      </w:r>
      <w:r w:rsidRPr="000B033C">
        <w:rPr>
          <w:lang w:val="ru-RU"/>
        </w:rPr>
        <w:t xml:space="preserve">IMAC </w:t>
      </w:r>
      <w:r w:rsidR="00471FA1" w:rsidRPr="000B033C">
        <w:rPr>
          <w:lang w:val="ru-RU"/>
        </w:rPr>
        <w:t>на четыре года может быть возобновлено Советом</w:t>
      </w:r>
      <w:r w:rsidRPr="000B033C">
        <w:rPr>
          <w:lang w:val="ru-RU"/>
        </w:rPr>
        <w:t xml:space="preserve">; </w:t>
      </w:r>
      <w:r w:rsidR="00471FA1" w:rsidRPr="000B033C">
        <w:rPr>
          <w:lang w:val="ru-RU"/>
        </w:rPr>
        <w:t xml:space="preserve">и, для обеспечения преемственности членства, первоначальное назначение двух членов </w:t>
      </w:r>
      <w:r w:rsidRPr="000B033C">
        <w:rPr>
          <w:lang w:val="ru-RU"/>
        </w:rPr>
        <w:t xml:space="preserve">IMAC </w:t>
      </w:r>
      <w:r w:rsidR="00471FA1" w:rsidRPr="000B033C">
        <w:rPr>
          <w:lang w:val="ru-RU"/>
        </w:rPr>
        <w:t>должно быть только на один четырехгодичный срок</w:t>
      </w:r>
      <w:r w:rsidRPr="000B033C">
        <w:rPr>
          <w:lang w:val="ru-RU"/>
        </w:rPr>
        <w:t xml:space="preserve">. </w:t>
      </w:r>
      <w:r w:rsidR="00471FA1" w:rsidRPr="000B033C">
        <w:rPr>
          <w:lang w:val="ru-RU"/>
        </w:rPr>
        <w:t>В соответствии с этим, согласно договоренностям, предусмотренным в</w:t>
      </w:r>
      <w:r w:rsidR="00C80DDA">
        <w:rPr>
          <w:lang w:val="en-US"/>
        </w:rPr>
        <w:t> </w:t>
      </w:r>
      <w:r w:rsidR="00471FA1" w:rsidRPr="000B033C">
        <w:rPr>
          <w:lang w:val="ru-RU"/>
        </w:rPr>
        <w:t xml:space="preserve">Приложении к Резолюции 162, г-н </w:t>
      </w:r>
      <w:r w:rsidR="00A728DE" w:rsidRPr="000B033C">
        <w:rPr>
          <w:lang w:val="ru-RU"/>
        </w:rPr>
        <w:t>Э</w:t>
      </w:r>
      <w:r w:rsidR="00471FA1" w:rsidRPr="000B033C">
        <w:rPr>
          <w:lang w:val="ru-RU"/>
        </w:rPr>
        <w:t xml:space="preserve">рик </w:t>
      </w:r>
      <w:proofErr w:type="spellStart"/>
      <w:r w:rsidR="00471FA1" w:rsidRPr="000B033C">
        <w:rPr>
          <w:lang w:val="ru-RU"/>
        </w:rPr>
        <w:t>Адда</w:t>
      </w:r>
      <w:proofErr w:type="spellEnd"/>
      <w:r w:rsidR="00471FA1" w:rsidRPr="000B033C">
        <w:rPr>
          <w:lang w:val="ru-RU"/>
        </w:rPr>
        <w:t xml:space="preserve"> и г-н Томас </w:t>
      </w:r>
      <w:proofErr w:type="spellStart"/>
      <w:r w:rsidR="00471FA1" w:rsidRPr="000B033C">
        <w:rPr>
          <w:lang w:val="ru-RU"/>
        </w:rPr>
        <w:t>Репаш</w:t>
      </w:r>
      <w:proofErr w:type="spellEnd"/>
      <w:r w:rsidR="00471FA1" w:rsidRPr="000B033C">
        <w:rPr>
          <w:lang w:val="ru-RU"/>
        </w:rPr>
        <w:t xml:space="preserve"> покинут Комитет в конце 2015 года</w:t>
      </w:r>
      <w:r w:rsidRPr="000B033C">
        <w:rPr>
          <w:lang w:val="ru-RU"/>
        </w:rPr>
        <w:t>.</w:t>
      </w:r>
    </w:p>
    <w:p w14:paraId="2329DDDE" w14:textId="799C9371" w:rsidR="0084116D" w:rsidRPr="009F7C4E" w:rsidRDefault="0084116D" w:rsidP="00B15118">
      <w:pPr>
        <w:rPr>
          <w:lang w:val="ru-RU"/>
        </w:rPr>
      </w:pPr>
      <w:r w:rsidRPr="000B033C">
        <w:rPr>
          <w:lang w:val="ru-RU"/>
        </w:rPr>
        <w:t>4.3</w:t>
      </w:r>
      <w:r w:rsidRPr="000B033C">
        <w:rPr>
          <w:lang w:val="ru-RU"/>
        </w:rPr>
        <w:tab/>
      </w:r>
      <w:r w:rsidR="00471FA1" w:rsidRPr="000B033C">
        <w:rPr>
          <w:lang w:val="ru-RU"/>
        </w:rPr>
        <w:t xml:space="preserve">Список членского состава </w:t>
      </w:r>
      <w:r w:rsidRPr="000B033C">
        <w:rPr>
          <w:lang w:val="ru-RU"/>
        </w:rPr>
        <w:t>IMAC</w:t>
      </w:r>
      <w:r w:rsidR="00471FA1" w:rsidRPr="000B033C">
        <w:rPr>
          <w:lang w:val="ru-RU"/>
        </w:rPr>
        <w:t>, его обязанности, круг ведения и отчеты размещены в</w:t>
      </w:r>
      <w:r w:rsidR="00C80DDA">
        <w:rPr>
          <w:lang w:val="en-US"/>
        </w:rPr>
        <w:t> </w:t>
      </w:r>
      <w:r w:rsidR="00471FA1" w:rsidRPr="000B033C">
        <w:rPr>
          <w:lang w:val="ru-RU"/>
        </w:rPr>
        <w:t>разделе</w:t>
      </w:r>
      <w:r w:rsidRPr="000B033C">
        <w:rPr>
          <w:lang w:val="ru-RU"/>
        </w:rPr>
        <w:t xml:space="preserve"> IMAC </w:t>
      </w:r>
      <w:r w:rsidR="00471FA1" w:rsidRPr="000B033C">
        <w:rPr>
          <w:lang w:val="ru-RU"/>
        </w:rPr>
        <w:t>общедоступного сайта МСЭ под рубрикой "Управлени</w:t>
      </w:r>
      <w:r w:rsidR="009F7C4E">
        <w:rPr>
          <w:lang w:val="ru-RU"/>
        </w:rPr>
        <w:t>е</w:t>
      </w:r>
      <w:r w:rsidR="000A5337">
        <w:rPr>
          <w:lang w:val="ru-RU"/>
        </w:rPr>
        <w:t>,</w:t>
      </w:r>
      <w:r w:rsidR="009F7C4E">
        <w:rPr>
          <w:lang w:val="ru-RU"/>
        </w:rPr>
        <w:t xml:space="preserve">" </w:t>
      </w:r>
      <w:hyperlink r:id="rId15" w:history="1">
        <w:r w:rsidR="008D1EA1">
          <w:rPr>
            <w:rStyle w:val="Hyperlink"/>
            <w:rFonts w:asciiTheme="minorHAnsi" w:hAnsiTheme="minorHAnsi"/>
            <w:bCs/>
            <w:szCs w:val="22"/>
          </w:rPr>
          <w:t>http</w:t>
        </w:r>
        <w:r w:rsidR="008D1EA1" w:rsidRPr="008D1EA1">
          <w:rPr>
            <w:rStyle w:val="Hyperlink"/>
            <w:rFonts w:asciiTheme="minorHAnsi" w:hAnsiTheme="minorHAnsi"/>
            <w:bCs/>
            <w:szCs w:val="22"/>
            <w:lang w:val="ru-RU"/>
          </w:rPr>
          <w:t>://</w:t>
        </w:r>
        <w:r w:rsidR="008D1EA1">
          <w:rPr>
            <w:rStyle w:val="Hyperlink"/>
            <w:rFonts w:asciiTheme="minorHAnsi" w:hAnsiTheme="minorHAnsi"/>
            <w:bCs/>
            <w:szCs w:val="22"/>
          </w:rPr>
          <w:t>www</w:t>
        </w:r>
        <w:r w:rsidR="008D1EA1" w:rsidRPr="008D1EA1">
          <w:rPr>
            <w:rStyle w:val="Hyperlink"/>
            <w:rFonts w:asciiTheme="minorHAnsi" w:hAnsiTheme="minorHAnsi"/>
            <w:bCs/>
            <w:szCs w:val="22"/>
            <w:lang w:val="ru-RU"/>
          </w:rPr>
          <w:t>.</w:t>
        </w:r>
        <w:proofErr w:type="spellStart"/>
        <w:r w:rsidR="008D1EA1">
          <w:rPr>
            <w:rStyle w:val="Hyperlink"/>
            <w:rFonts w:asciiTheme="minorHAnsi" w:hAnsiTheme="minorHAnsi"/>
            <w:bCs/>
            <w:szCs w:val="22"/>
          </w:rPr>
          <w:t>itu</w:t>
        </w:r>
        <w:proofErr w:type="spellEnd"/>
        <w:r w:rsidR="008D1EA1" w:rsidRPr="008D1EA1">
          <w:rPr>
            <w:rStyle w:val="Hyperlink"/>
            <w:rFonts w:asciiTheme="minorHAnsi" w:hAnsiTheme="minorHAnsi"/>
            <w:bCs/>
            <w:szCs w:val="22"/>
            <w:lang w:val="ru-RU"/>
          </w:rPr>
          <w:t>.</w:t>
        </w:r>
        <w:proofErr w:type="spellStart"/>
        <w:r w:rsidR="008D1EA1">
          <w:rPr>
            <w:rStyle w:val="Hyperlink"/>
            <w:rFonts w:asciiTheme="minorHAnsi" w:hAnsiTheme="minorHAnsi"/>
            <w:bCs/>
            <w:szCs w:val="22"/>
          </w:rPr>
          <w:t>int</w:t>
        </w:r>
        <w:proofErr w:type="spellEnd"/>
        <w:r w:rsidR="008D1EA1" w:rsidRPr="008D1EA1">
          <w:rPr>
            <w:rStyle w:val="Hyperlink"/>
            <w:rFonts w:asciiTheme="minorHAnsi" w:hAnsiTheme="minorHAnsi"/>
            <w:bCs/>
            <w:szCs w:val="22"/>
            <w:lang w:val="ru-RU"/>
          </w:rPr>
          <w:t>/</w:t>
        </w:r>
        <w:proofErr w:type="spellStart"/>
        <w:r w:rsidR="008D1EA1">
          <w:rPr>
            <w:rStyle w:val="Hyperlink"/>
            <w:rFonts w:asciiTheme="minorHAnsi" w:hAnsiTheme="minorHAnsi"/>
            <w:bCs/>
            <w:szCs w:val="22"/>
          </w:rPr>
          <w:t>en</w:t>
        </w:r>
        <w:proofErr w:type="spellEnd"/>
        <w:r w:rsidR="008D1EA1" w:rsidRPr="008D1EA1">
          <w:rPr>
            <w:rStyle w:val="Hyperlink"/>
            <w:rFonts w:asciiTheme="minorHAnsi" w:hAnsiTheme="minorHAnsi"/>
            <w:bCs/>
            <w:szCs w:val="22"/>
            <w:lang w:val="ru-RU"/>
          </w:rPr>
          <w:t>/</w:t>
        </w:r>
        <w:r w:rsidR="008D1EA1">
          <w:rPr>
            <w:rStyle w:val="Hyperlink"/>
            <w:rFonts w:asciiTheme="minorHAnsi" w:hAnsiTheme="minorHAnsi"/>
            <w:bCs/>
            <w:szCs w:val="22"/>
          </w:rPr>
          <w:t>council</w:t>
        </w:r>
        <w:r w:rsidR="008D1EA1" w:rsidRPr="008D1EA1">
          <w:rPr>
            <w:rStyle w:val="Hyperlink"/>
            <w:rFonts w:asciiTheme="minorHAnsi" w:hAnsiTheme="minorHAnsi"/>
            <w:bCs/>
            <w:szCs w:val="22"/>
            <w:lang w:val="ru-RU"/>
          </w:rPr>
          <w:t>/</w:t>
        </w:r>
        <w:r w:rsidR="008D1EA1">
          <w:rPr>
            <w:rStyle w:val="Hyperlink"/>
            <w:rFonts w:asciiTheme="minorHAnsi" w:hAnsiTheme="minorHAnsi"/>
            <w:bCs/>
            <w:szCs w:val="22"/>
          </w:rPr>
          <w:t>Pages</w:t>
        </w:r>
        <w:r w:rsidR="008D1EA1" w:rsidRPr="008D1EA1">
          <w:rPr>
            <w:rStyle w:val="Hyperlink"/>
            <w:rFonts w:asciiTheme="minorHAnsi" w:hAnsiTheme="minorHAnsi"/>
            <w:bCs/>
            <w:szCs w:val="22"/>
            <w:lang w:val="ru-RU"/>
          </w:rPr>
          <w:t>/</w:t>
        </w:r>
        <w:proofErr w:type="spellStart"/>
        <w:r w:rsidR="008D1EA1">
          <w:rPr>
            <w:rStyle w:val="Hyperlink"/>
            <w:rFonts w:asciiTheme="minorHAnsi" w:hAnsiTheme="minorHAnsi"/>
            <w:bCs/>
            <w:szCs w:val="22"/>
          </w:rPr>
          <w:t>imac</w:t>
        </w:r>
        <w:proofErr w:type="spellEnd"/>
        <w:r w:rsidR="008D1EA1" w:rsidRPr="008D1EA1">
          <w:rPr>
            <w:rStyle w:val="Hyperlink"/>
            <w:rFonts w:asciiTheme="minorHAnsi" w:hAnsiTheme="minorHAnsi"/>
            <w:bCs/>
            <w:szCs w:val="22"/>
            <w:lang w:val="ru-RU"/>
          </w:rPr>
          <w:t>.</w:t>
        </w:r>
        <w:proofErr w:type="spellStart"/>
        <w:r w:rsidR="008D1EA1">
          <w:rPr>
            <w:rStyle w:val="Hyperlink"/>
            <w:rFonts w:asciiTheme="minorHAnsi" w:hAnsiTheme="minorHAnsi"/>
            <w:bCs/>
            <w:szCs w:val="22"/>
          </w:rPr>
          <w:t>aspx</w:t>
        </w:r>
        <w:proofErr w:type="spellEnd"/>
      </w:hyperlink>
      <w:r w:rsidR="00B15118" w:rsidRPr="000B033C">
        <w:rPr>
          <w:lang w:val="ru-RU"/>
        </w:rPr>
        <w:t>.</w:t>
      </w:r>
    </w:p>
    <w:p w14:paraId="61B77E44" w14:textId="77777777" w:rsidR="00362D9B" w:rsidRDefault="00842659" w:rsidP="00C80DDA">
      <w:pPr>
        <w:spacing w:before="1440"/>
        <w:rPr>
          <w:lang w:val="ru-RU"/>
        </w:rPr>
      </w:pPr>
      <w:r w:rsidRPr="00C80DDA">
        <w:rPr>
          <w:b/>
          <w:bCs/>
          <w:lang w:val="ru-RU"/>
        </w:rPr>
        <w:t>Приложение</w:t>
      </w:r>
      <w:r w:rsidR="0084116D" w:rsidRPr="000B033C">
        <w:rPr>
          <w:lang w:val="ru-RU"/>
        </w:rPr>
        <w:t>: 1</w:t>
      </w:r>
    </w:p>
    <w:p w14:paraId="18315907" w14:textId="5773D4A9" w:rsidR="0084116D" w:rsidRPr="00B15118" w:rsidRDefault="0084116D" w:rsidP="00362D9B">
      <w:pPr>
        <w:rPr>
          <w:lang w:val="ru-RU"/>
        </w:rPr>
      </w:pPr>
      <w:r w:rsidRPr="00B15118">
        <w:rPr>
          <w:lang w:val="ru-RU"/>
        </w:rPr>
        <w:br w:type="page"/>
      </w:r>
    </w:p>
    <w:p w14:paraId="22532178" w14:textId="77777777" w:rsidR="00362D9B" w:rsidRDefault="000D1A0E" w:rsidP="00362D9B">
      <w:pPr>
        <w:pStyle w:val="AnnexNo"/>
        <w:rPr>
          <w:lang w:val="ru-RU"/>
        </w:rPr>
      </w:pPr>
      <w:r w:rsidRPr="000B033C">
        <w:rPr>
          <w:lang w:val="ru-RU"/>
        </w:rPr>
        <w:lastRenderedPageBreak/>
        <w:t>Приложение</w:t>
      </w:r>
      <w:r w:rsidR="00362D9B">
        <w:rPr>
          <w:lang w:val="ru-RU"/>
        </w:rPr>
        <w:t xml:space="preserve"> 1</w:t>
      </w:r>
    </w:p>
    <w:p w14:paraId="137C71E9" w14:textId="20930679" w:rsidR="0084116D" w:rsidRPr="00B15118" w:rsidRDefault="00362D9B" w:rsidP="00362D9B">
      <w:pPr>
        <w:pStyle w:val="Annextitle"/>
        <w:rPr>
          <w:lang w:val="ru-RU"/>
        </w:rPr>
      </w:pPr>
      <w:r w:rsidRPr="00362D9B">
        <w:rPr>
          <w:lang w:val="ru-RU"/>
        </w:rPr>
        <w:t xml:space="preserve">Четвертый ежегодный отчет Независимого </w:t>
      </w:r>
      <w:r>
        <w:rPr>
          <w:lang w:val="ru-RU"/>
        </w:rPr>
        <w:t>консультативного комитета по </w:t>
      </w:r>
      <w:r w:rsidRPr="00362D9B">
        <w:rPr>
          <w:lang w:val="ru-RU"/>
        </w:rPr>
        <w:t xml:space="preserve">управлению </w:t>
      </w:r>
      <w:r w:rsidRPr="00B15118">
        <w:rPr>
          <w:lang w:val="ru-RU"/>
        </w:rPr>
        <w:t>(</w:t>
      </w:r>
      <w:r w:rsidRPr="00362D9B">
        <w:t>IMAC</w:t>
      </w:r>
      <w:r w:rsidRPr="00B15118">
        <w:rPr>
          <w:lang w:val="ru-RU"/>
        </w:rPr>
        <w:t>)</w:t>
      </w:r>
      <w:r w:rsidR="00B15118">
        <w:rPr>
          <w:lang w:val="ru-RU"/>
        </w:rPr>
        <w:br/>
      </w:r>
      <w:r w:rsidR="00B15118">
        <w:rPr>
          <w:lang w:val="ru-RU"/>
        </w:rPr>
        <w:br/>
        <w:t xml:space="preserve">Роль </w:t>
      </w:r>
      <w:r w:rsidR="00B15118">
        <w:rPr>
          <w:lang w:val="en-US"/>
        </w:rPr>
        <w:t>IMAC</w:t>
      </w:r>
      <w:r w:rsidR="00B15118">
        <w:rPr>
          <w:lang w:val="ru-RU"/>
        </w:rPr>
        <w:t xml:space="preserve"> и приносимая им польза</w:t>
      </w:r>
    </w:p>
    <w:p w14:paraId="282AB889" w14:textId="2FAB6323" w:rsidR="0084116D" w:rsidRPr="000B033C" w:rsidRDefault="00146EEA" w:rsidP="00362D9B">
      <w:pPr>
        <w:pStyle w:val="Normalaftertitle"/>
        <w:rPr>
          <w:lang w:val="ru-RU"/>
        </w:rPr>
      </w:pPr>
      <w:r w:rsidRPr="000B033C">
        <w:rPr>
          <w:lang w:val="ru-RU"/>
        </w:rPr>
        <w:t>В кратком отчете Председателя о четвертом собрании Рабочей группы Совета по финансовым и</w:t>
      </w:r>
      <w:r w:rsidR="00C80DDA">
        <w:rPr>
          <w:lang w:val="en-US"/>
        </w:rPr>
        <w:t> </w:t>
      </w:r>
      <w:r w:rsidRPr="000B033C">
        <w:rPr>
          <w:lang w:val="ru-RU"/>
        </w:rPr>
        <w:t xml:space="preserve">людским ресурсам </w:t>
      </w:r>
      <w:r w:rsidR="0084116D" w:rsidRPr="000B033C">
        <w:rPr>
          <w:lang w:val="ru-RU"/>
        </w:rPr>
        <w:t>4</w:t>
      </w:r>
      <w:r w:rsidRPr="000B033C">
        <w:rPr>
          <w:lang w:val="ru-RU"/>
        </w:rPr>
        <w:t>–</w:t>
      </w:r>
      <w:r w:rsidR="0084116D" w:rsidRPr="000B033C">
        <w:rPr>
          <w:lang w:val="ru-RU"/>
        </w:rPr>
        <w:t>6</w:t>
      </w:r>
      <w:r w:rsidRPr="000B033C">
        <w:rPr>
          <w:lang w:val="ru-RU"/>
        </w:rPr>
        <w:t> февраля</w:t>
      </w:r>
      <w:r w:rsidR="0084116D" w:rsidRPr="000B033C">
        <w:rPr>
          <w:lang w:val="ru-RU"/>
        </w:rPr>
        <w:t xml:space="preserve"> 2015 (</w:t>
      </w:r>
      <w:r w:rsidRPr="000B033C">
        <w:rPr>
          <w:lang w:val="ru-RU"/>
        </w:rPr>
        <w:t>Документ </w:t>
      </w:r>
      <w:r w:rsidR="0084116D" w:rsidRPr="000B033C">
        <w:rPr>
          <w:lang w:val="ru-RU"/>
        </w:rPr>
        <w:t>CWG-FHR 4/23(Rev.1)</w:t>
      </w:r>
      <w:r w:rsidRPr="000B033C">
        <w:rPr>
          <w:lang w:val="ru-RU"/>
        </w:rPr>
        <w:t>, пункт </w:t>
      </w:r>
      <w:r w:rsidR="0084116D" w:rsidRPr="000B033C">
        <w:rPr>
          <w:lang w:val="ru-RU"/>
        </w:rPr>
        <w:t xml:space="preserve">5.5) </w:t>
      </w:r>
      <w:r w:rsidRPr="000B033C">
        <w:rPr>
          <w:lang w:val="ru-RU"/>
        </w:rPr>
        <w:t>говорится</w:t>
      </w:r>
      <w:r w:rsidR="0084116D" w:rsidRPr="000B033C">
        <w:rPr>
          <w:lang w:val="ru-RU"/>
        </w:rPr>
        <w:t>:</w:t>
      </w:r>
    </w:p>
    <w:p w14:paraId="09F61ECA" w14:textId="30DD8398" w:rsidR="0084116D" w:rsidRPr="000B033C" w:rsidRDefault="0084116D" w:rsidP="00C80DDA">
      <w:pPr>
        <w:pStyle w:val="enumlev1"/>
        <w:rPr>
          <w:lang w:val="ru-RU"/>
        </w:rPr>
      </w:pPr>
      <w:r w:rsidRPr="000B033C">
        <w:rPr>
          <w:lang w:val="ru-RU"/>
        </w:rPr>
        <w:tab/>
      </w:r>
      <w:r w:rsidR="00146EEA" w:rsidRPr="000B033C">
        <w:rPr>
          <w:lang w:val="ru-RU"/>
        </w:rPr>
        <w:t xml:space="preserve">"Отмечалась необходимость дальнейшего уточнения функций внутреннего аудитора, Внешнего аудитора и </w:t>
      </w:r>
      <w:r w:rsidRPr="000B033C">
        <w:rPr>
          <w:lang w:val="ru-RU"/>
        </w:rPr>
        <w:t xml:space="preserve">IMAC, </w:t>
      </w:r>
      <w:r w:rsidR="00A274C6" w:rsidRPr="000B033C">
        <w:rPr>
          <w:lang w:val="ru-RU"/>
        </w:rPr>
        <w:t>а также целесообразность проведения анализа затрат и выгод для обеспечения ясности для ряда делегатов", а в пункте </w:t>
      </w:r>
      <w:r w:rsidRPr="000B033C">
        <w:rPr>
          <w:lang w:val="ru-RU"/>
        </w:rPr>
        <w:t>5.11:</w:t>
      </w:r>
    </w:p>
    <w:p w14:paraId="4207D5A4" w14:textId="55F022A1" w:rsidR="0084116D" w:rsidRPr="000B033C" w:rsidRDefault="0084116D" w:rsidP="00C80DDA">
      <w:pPr>
        <w:pStyle w:val="enumlev1"/>
        <w:spacing w:after="120"/>
        <w:rPr>
          <w:lang w:val="ru-RU"/>
        </w:rPr>
      </w:pPr>
      <w:r w:rsidRPr="000B033C">
        <w:rPr>
          <w:lang w:val="ru-RU"/>
        </w:rPr>
        <w:tab/>
      </w:r>
      <w:r w:rsidR="00A274C6" w:rsidRPr="000B033C">
        <w:rPr>
          <w:lang w:val="ru-RU"/>
        </w:rPr>
        <w:t xml:space="preserve">"Секретариату было предложено представить Совету информацию о затратах на </w:t>
      </w:r>
      <w:r w:rsidRPr="000B033C">
        <w:rPr>
          <w:lang w:val="ru-RU"/>
        </w:rPr>
        <w:t xml:space="preserve">IMAC </w:t>
      </w:r>
      <w:r w:rsidR="00A274C6" w:rsidRPr="000B033C">
        <w:rPr>
          <w:lang w:val="ru-RU"/>
        </w:rPr>
        <w:t>и</w:t>
      </w:r>
      <w:r w:rsidR="00C80DDA">
        <w:rPr>
          <w:lang w:val="en-US"/>
        </w:rPr>
        <w:t> </w:t>
      </w:r>
      <w:r w:rsidR="00A274C6" w:rsidRPr="000B033C">
        <w:rPr>
          <w:lang w:val="ru-RU"/>
        </w:rPr>
        <w:t>приносимых им выгодах в отношении функций внутреннего аудита и внешнего аудита".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1E32" w:rsidRPr="004F5783" w14:paraId="189B0C6B" w14:textId="77777777" w:rsidTr="00F51E32">
        <w:tc>
          <w:tcPr>
            <w:tcW w:w="9629" w:type="dxa"/>
          </w:tcPr>
          <w:p w14:paraId="59A7E222" w14:textId="0240C8F4" w:rsidR="00F51E32" w:rsidRPr="000B033C" w:rsidRDefault="00F51E32" w:rsidP="00C80DDA">
            <w:pPr>
              <w:spacing w:after="120"/>
              <w:rPr>
                <w:b/>
                <w:bCs/>
                <w:lang w:val="ru-RU"/>
              </w:rPr>
            </w:pPr>
            <w:r w:rsidRPr="000B033C">
              <w:rPr>
                <w:b/>
                <w:bCs/>
                <w:lang w:val="ru-RU"/>
              </w:rPr>
              <w:t>Чтобы обеспечить ясность для Государств – Членов Совета на будущее, IMAC подготовил следующую объяснительную записку о роли Комитета и приносимой им пользе, а также о различиях между функциями IMAC и функциями внутреннего и внешнего аудиторов</w:t>
            </w:r>
            <w:r w:rsidRPr="00362D9B">
              <w:rPr>
                <w:lang w:val="ru-RU"/>
              </w:rPr>
              <w:t>.</w:t>
            </w:r>
          </w:p>
        </w:tc>
      </w:tr>
    </w:tbl>
    <w:p w14:paraId="13DA130F" w14:textId="09EA9969" w:rsidR="0084116D" w:rsidRPr="00362D9B" w:rsidRDefault="00883664" w:rsidP="00362D9B">
      <w:pPr>
        <w:pStyle w:val="Headingb"/>
        <w:spacing w:before="360"/>
        <w:rPr>
          <w:lang w:val="ru-RU"/>
        </w:rPr>
      </w:pPr>
      <w:r w:rsidRPr="00362D9B">
        <w:rPr>
          <w:lang w:val="ru-RU"/>
        </w:rPr>
        <w:t xml:space="preserve">ОБОСНОВАНИЕ СОЗДАНИЯ ТАКИХ КОМИТЕТОВ, КАК </w:t>
      </w:r>
      <w:r w:rsidR="0084116D" w:rsidRPr="00362D9B">
        <w:t>IMAC</w:t>
      </w:r>
    </w:p>
    <w:p w14:paraId="3019ECF5" w14:textId="42D42B88" w:rsidR="0084116D" w:rsidRPr="000B033C" w:rsidRDefault="00883664" w:rsidP="00C80DDA">
      <w:pPr>
        <w:rPr>
          <w:lang w:val="ru-RU"/>
        </w:rPr>
      </w:pPr>
      <w:r w:rsidRPr="000B033C">
        <w:rPr>
          <w:lang w:val="ru-RU"/>
        </w:rPr>
        <w:t>По просьбе Генеральной Ассамблеи и признавая необходимость реформирования и</w:t>
      </w:r>
      <w:r w:rsidR="00C80DDA">
        <w:rPr>
          <w:lang w:val="en-US"/>
        </w:rPr>
        <w:t> </w:t>
      </w:r>
      <w:r w:rsidRPr="000B033C">
        <w:rPr>
          <w:lang w:val="ru-RU"/>
        </w:rPr>
        <w:t xml:space="preserve">совершенствования управления в системе ООН в соответствии с динамикой корпоративного управления в частном и государственном секторах, в 2006 году ООН опубликовала "Всесторонний обзор механизмов управления и надзора в Организации Объединенных Наций, ее фондах, программах и специализированных учреждениях" </w:t>
      </w:r>
      <w:r w:rsidR="0084116D" w:rsidRPr="000B033C">
        <w:rPr>
          <w:lang w:val="ru-RU"/>
        </w:rPr>
        <w:t>(</w:t>
      </w:r>
      <w:r w:rsidR="004E54DC" w:rsidRPr="000B033C">
        <w:rPr>
          <w:lang w:val="ru-RU"/>
        </w:rPr>
        <w:t>Документ </w:t>
      </w:r>
      <w:r w:rsidR="0084116D" w:rsidRPr="000B033C">
        <w:rPr>
          <w:lang w:val="ru-RU"/>
        </w:rPr>
        <w:t xml:space="preserve">A/60/883). </w:t>
      </w:r>
      <w:r w:rsidRPr="000B033C">
        <w:rPr>
          <w:lang w:val="ru-RU"/>
        </w:rPr>
        <w:t>Обзор был проведен под</w:t>
      </w:r>
      <w:r w:rsidR="00C80DDA">
        <w:rPr>
          <w:lang w:val="en-US"/>
        </w:rPr>
        <w:t> </w:t>
      </w:r>
      <w:r w:rsidRPr="000B033C">
        <w:rPr>
          <w:lang w:val="ru-RU"/>
        </w:rPr>
        <w:t>руководством и управлением представительного Руководящего комитета, состоявшего из</w:t>
      </w:r>
      <w:r w:rsidR="00C80DDA">
        <w:rPr>
          <w:lang w:val="en-US"/>
        </w:rPr>
        <w:t> </w:t>
      </w:r>
      <w:r w:rsidRPr="000B033C">
        <w:rPr>
          <w:lang w:val="ru-RU"/>
        </w:rPr>
        <w:t>независимых международных экспертов, при помощи агентства</w:t>
      </w:r>
      <w:r w:rsidR="0084116D" w:rsidRPr="000B033C">
        <w:rPr>
          <w:lang w:val="ru-RU"/>
        </w:rPr>
        <w:t xml:space="preserve"> </w:t>
      </w:r>
      <w:proofErr w:type="spellStart"/>
      <w:r w:rsidR="0084116D" w:rsidRPr="000B033C">
        <w:rPr>
          <w:lang w:val="ru-RU"/>
        </w:rPr>
        <w:t>PricewaterhouseCoopers</w:t>
      </w:r>
      <w:proofErr w:type="spellEnd"/>
      <w:r w:rsidR="0084116D" w:rsidRPr="000B033C">
        <w:rPr>
          <w:lang w:val="ru-RU"/>
        </w:rPr>
        <w:t xml:space="preserve">. </w:t>
      </w:r>
    </w:p>
    <w:p w14:paraId="6DA449EB" w14:textId="4F87DCCF" w:rsidR="0084116D" w:rsidRPr="000B033C" w:rsidRDefault="00883664" w:rsidP="00C80DDA">
      <w:pPr>
        <w:rPr>
          <w:lang w:val="ru-RU"/>
        </w:rPr>
      </w:pPr>
      <w:r w:rsidRPr="000B033C">
        <w:rPr>
          <w:lang w:val="ru-RU"/>
        </w:rPr>
        <w:t>В обзоре приводятся ссылки на кодексы и виды практики государственного и частного сектора различных стран мира</w:t>
      </w:r>
      <w:r w:rsidR="0084116D" w:rsidRPr="000B033C">
        <w:rPr>
          <w:lang w:val="ru-RU"/>
        </w:rPr>
        <w:t xml:space="preserve">; </w:t>
      </w:r>
      <w:r w:rsidRPr="000B033C">
        <w:rPr>
          <w:lang w:val="ru-RU"/>
        </w:rPr>
        <w:t>на международные стандарты и нормы управления и надзора</w:t>
      </w:r>
      <w:r w:rsidR="0084116D" w:rsidRPr="000B033C">
        <w:rPr>
          <w:lang w:val="ru-RU"/>
        </w:rPr>
        <w:t xml:space="preserve">; </w:t>
      </w:r>
      <w:r w:rsidRPr="000B033C">
        <w:rPr>
          <w:lang w:val="ru-RU"/>
        </w:rPr>
        <w:t>и</w:t>
      </w:r>
      <w:r w:rsidR="00C80DDA">
        <w:rPr>
          <w:lang w:val="en-US"/>
        </w:rPr>
        <w:t> </w:t>
      </w:r>
      <w:r w:rsidRPr="000B033C">
        <w:rPr>
          <w:lang w:val="ru-RU"/>
        </w:rPr>
        <w:t>на</w:t>
      </w:r>
      <w:r w:rsidR="00C80DDA">
        <w:rPr>
          <w:lang w:val="en-US"/>
        </w:rPr>
        <w:t> </w:t>
      </w:r>
      <w:r w:rsidRPr="000B033C">
        <w:rPr>
          <w:lang w:val="ru-RU"/>
        </w:rPr>
        <w:t>передовой опыт</w:t>
      </w:r>
      <w:r w:rsidR="0084116D" w:rsidRPr="000B033C">
        <w:rPr>
          <w:lang w:val="ru-RU"/>
        </w:rPr>
        <w:t xml:space="preserve">. </w:t>
      </w:r>
      <w:r w:rsidRPr="000B033C">
        <w:rPr>
          <w:lang w:val="ru-RU"/>
        </w:rPr>
        <w:t>В нем представлен Кодекс управления ООН для принятия в системе в целом</w:t>
      </w:r>
      <w:r w:rsidR="0084116D" w:rsidRPr="000B033C">
        <w:rPr>
          <w:lang w:val="ru-RU"/>
        </w:rPr>
        <w:t xml:space="preserve">; </w:t>
      </w:r>
      <w:r w:rsidRPr="000B033C">
        <w:rPr>
          <w:lang w:val="ru-RU"/>
        </w:rPr>
        <w:t>приводятся рекомендации для совершенствования управления с целью повышения эффективности и</w:t>
      </w:r>
      <w:r w:rsidR="00C80DDA">
        <w:rPr>
          <w:lang w:val="en-US"/>
        </w:rPr>
        <w:t> </w:t>
      </w:r>
      <w:r w:rsidRPr="000B033C">
        <w:rPr>
          <w:lang w:val="ru-RU"/>
        </w:rPr>
        <w:t>подотчетности исполнительного руководства</w:t>
      </w:r>
      <w:r w:rsidR="0084116D" w:rsidRPr="000B033C">
        <w:rPr>
          <w:lang w:val="ru-RU"/>
        </w:rPr>
        <w:t xml:space="preserve">, </w:t>
      </w:r>
      <w:r w:rsidRPr="000B033C">
        <w:rPr>
          <w:lang w:val="ru-RU"/>
        </w:rPr>
        <w:t>обеспечения оптимального использования консультаций независимых экспертов и совершенствования эффективного управления вопросами этики</w:t>
      </w:r>
      <w:r w:rsidR="0084116D" w:rsidRPr="000B033C">
        <w:rPr>
          <w:lang w:val="ru-RU"/>
        </w:rPr>
        <w:t xml:space="preserve">; </w:t>
      </w:r>
      <w:r w:rsidRPr="000B033C">
        <w:rPr>
          <w:lang w:val="ru-RU"/>
        </w:rPr>
        <w:t>рекомендации по улучшению централизованной службы внутреннего надзора ООН</w:t>
      </w:r>
      <w:r w:rsidR="00A728DE" w:rsidRPr="000B033C">
        <w:rPr>
          <w:lang w:val="ru-RU"/>
        </w:rPr>
        <w:t xml:space="preserve"> –</w:t>
      </w:r>
      <w:r w:rsidR="0084116D" w:rsidRPr="000B033C">
        <w:rPr>
          <w:lang w:val="ru-RU"/>
        </w:rPr>
        <w:t xml:space="preserve"> </w:t>
      </w:r>
      <w:r w:rsidR="0020081B" w:rsidRPr="000B033C">
        <w:rPr>
          <w:lang w:val="ru-RU"/>
        </w:rPr>
        <w:t>УСВН</w:t>
      </w:r>
      <w:r w:rsidR="0084116D" w:rsidRPr="000B033C">
        <w:rPr>
          <w:lang w:val="ru-RU"/>
        </w:rPr>
        <w:t xml:space="preserve">; </w:t>
      </w:r>
      <w:r w:rsidR="0020081B" w:rsidRPr="000B033C">
        <w:rPr>
          <w:lang w:val="ru-RU"/>
        </w:rPr>
        <w:t>и</w:t>
      </w:r>
      <w:r w:rsidR="00C80DDA">
        <w:rPr>
          <w:lang w:val="en-US"/>
        </w:rPr>
        <w:t> </w:t>
      </w:r>
      <w:r w:rsidR="0020081B" w:rsidRPr="000B033C">
        <w:rPr>
          <w:lang w:val="ru-RU"/>
        </w:rPr>
        <w:t>рекомендации по укреплению более широкой системы надзора в рамках системы ООН через эффективные и независимые руководящие комитеты по аудиту</w:t>
      </w:r>
      <w:r w:rsidR="0084116D" w:rsidRPr="000B033C">
        <w:rPr>
          <w:lang w:val="ru-RU"/>
        </w:rPr>
        <w:t xml:space="preserve"> (</w:t>
      </w:r>
      <w:r w:rsidR="0020081B" w:rsidRPr="000B033C">
        <w:rPr>
          <w:lang w:val="ru-RU"/>
        </w:rPr>
        <w:t>обладающи</w:t>
      </w:r>
      <w:r w:rsidR="00A728DE" w:rsidRPr="000B033C">
        <w:rPr>
          <w:lang w:val="ru-RU"/>
        </w:rPr>
        <w:t>е</w:t>
      </w:r>
      <w:r w:rsidR="0020081B" w:rsidRPr="000B033C">
        <w:rPr>
          <w:lang w:val="ru-RU"/>
        </w:rPr>
        <w:t xml:space="preserve"> ролью и функциями, в</w:t>
      </w:r>
      <w:r w:rsidR="00C80DDA">
        <w:rPr>
          <w:lang w:val="en-US"/>
        </w:rPr>
        <w:t> </w:t>
      </w:r>
      <w:r w:rsidR="0020081B" w:rsidRPr="000B033C">
        <w:rPr>
          <w:lang w:val="ru-RU"/>
        </w:rPr>
        <w:t>настоящее время выполняемыми IMAC МСЭ</w:t>
      </w:r>
      <w:r w:rsidR="0084116D" w:rsidRPr="000B033C">
        <w:rPr>
          <w:lang w:val="ru-RU"/>
        </w:rPr>
        <w:t xml:space="preserve">). </w:t>
      </w:r>
    </w:p>
    <w:p w14:paraId="52B4B12F" w14:textId="609D4B63" w:rsidR="0084116D" w:rsidRPr="000B033C" w:rsidRDefault="0020081B" w:rsidP="00C80DDA">
      <w:pPr>
        <w:rPr>
          <w:lang w:val="ru-RU"/>
        </w:rPr>
      </w:pPr>
      <w:r w:rsidRPr="000B033C">
        <w:rPr>
          <w:lang w:val="ru-RU"/>
        </w:rPr>
        <w:t>Необходимость таких комитетов по аудиту, комитетов на надзору или советов повсеместно признан</w:t>
      </w:r>
      <w:r w:rsidR="00A728DE" w:rsidRPr="000B033C">
        <w:rPr>
          <w:lang w:val="ru-RU"/>
        </w:rPr>
        <w:t>а</w:t>
      </w:r>
      <w:r w:rsidRPr="000B033C">
        <w:rPr>
          <w:lang w:val="ru-RU"/>
        </w:rPr>
        <w:t xml:space="preserve"> и принята как важный и требующийся элемент архитектуры управления организаций системы ООН</w:t>
      </w:r>
      <w:r w:rsidR="0084116D" w:rsidRPr="000B033C">
        <w:rPr>
          <w:lang w:val="ru-RU"/>
        </w:rPr>
        <w:t xml:space="preserve">. </w:t>
      </w:r>
      <w:r w:rsidRPr="000B033C">
        <w:rPr>
          <w:lang w:val="ru-RU"/>
        </w:rPr>
        <w:t>Создание таких комитетов рекомендуется во Всестороннем обзоре управления и надзора в системе ООН</w:t>
      </w:r>
      <w:r w:rsidR="0084116D" w:rsidRPr="000B033C">
        <w:rPr>
          <w:lang w:val="ru-RU"/>
        </w:rPr>
        <w:t xml:space="preserve">; </w:t>
      </w:r>
      <w:r w:rsidRPr="000B033C">
        <w:rPr>
          <w:lang w:val="ru-RU"/>
        </w:rPr>
        <w:t>Объединенной инспекционной группой ООН</w:t>
      </w:r>
      <w:r w:rsidR="0084116D" w:rsidRPr="000B033C">
        <w:rPr>
          <w:lang w:val="ru-RU"/>
        </w:rPr>
        <w:t xml:space="preserve"> (JIU/REP/2006/2 </w:t>
      </w:r>
      <w:r w:rsidRPr="000B033C">
        <w:rPr>
          <w:lang w:val="ru-RU"/>
        </w:rPr>
        <w:t>"Пробелы с точки зрения надзора в системе Организации Объединенных Наций"</w:t>
      </w:r>
      <w:r w:rsidR="0084116D" w:rsidRPr="000B033C">
        <w:rPr>
          <w:lang w:val="ru-RU"/>
        </w:rPr>
        <w:t xml:space="preserve">; </w:t>
      </w:r>
      <w:r w:rsidRPr="000B033C">
        <w:rPr>
          <w:lang w:val="ru-RU"/>
        </w:rPr>
        <w:t>и</w:t>
      </w:r>
      <w:r w:rsidR="0084116D" w:rsidRPr="000B033C">
        <w:rPr>
          <w:lang w:val="ru-RU"/>
        </w:rPr>
        <w:t xml:space="preserve"> JIU/REP/2010/5 </w:t>
      </w:r>
      <w:r w:rsidRPr="000B033C">
        <w:rPr>
          <w:lang w:val="ru-RU"/>
        </w:rPr>
        <w:t>"Функция аудита в системе Организации Объединенных Наций"</w:t>
      </w:r>
      <w:r w:rsidR="0084116D" w:rsidRPr="000B033C">
        <w:rPr>
          <w:lang w:val="ru-RU"/>
        </w:rPr>
        <w:t xml:space="preserve">); </w:t>
      </w:r>
      <w:r w:rsidRPr="000B033C">
        <w:rPr>
          <w:lang w:val="ru-RU"/>
        </w:rPr>
        <w:t>и в заявлении с изложением позиции представителей служб внутренней ревизии организаций системы Организации Объединенных Наций и многосторонних финансовых учреждений (RIAS)</w:t>
      </w:r>
      <w:r w:rsidR="0084116D" w:rsidRPr="000B033C">
        <w:rPr>
          <w:lang w:val="ru-RU"/>
        </w:rPr>
        <w:t xml:space="preserve">. </w:t>
      </w:r>
      <w:r w:rsidRPr="000B033C">
        <w:rPr>
          <w:lang w:val="ru-RU"/>
        </w:rPr>
        <w:t xml:space="preserve">Соответствующие профессиональные органы, такие как Международная федерация бухгалтеров, призвали создавать </w:t>
      </w:r>
      <w:r w:rsidR="00A728DE" w:rsidRPr="000B033C">
        <w:rPr>
          <w:lang w:val="ru-RU"/>
        </w:rPr>
        <w:t xml:space="preserve">в государственном секторе </w:t>
      </w:r>
      <w:r w:rsidRPr="000B033C">
        <w:rPr>
          <w:lang w:val="ru-RU"/>
        </w:rPr>
        <w:lastRenderedPageBreak/>
        <w:t>независимые комитеты по аудиту</w:t>
      </w:r>
      <w:r w:rsidR="0084116D" w:rsidRPr="000B033C">
        <w:rPr>
          <w:lang w:val="ru-RU"/>
        </w:rPr>
        <w:t xml:space="preserve">, </w:t>
      </w:r>
      <w:r w:rsidR="002C6E85" w:rsidRPr="000B033C">
        <w:rPr>
          <w:lang w:val="ru-RU"/>
        </w:rPr>
        <w:t>отделенные от руководящих органов, но отчитывающиеся перед</w:t>
      </w:r>
      <w:r w:rsidR="00C80DDA">
        <w:rPr>
          <w:lang w:val="en-US"/>
        </w:rPr>
        <w:t> </w:t>
      </w:r>
      <w:r w:rsidR="002C6E85" w:rsidRPr="000B033C">
        <w:rPr>
          <w:lang w:val="ru-RU"/>
        </w:rPr>
        <w:t>ними</w:t>
      </w:r>
      <w:r w:rsidR="0084116D" w:rsidRPr="000B033C">
        <w:rPr>
          <w:lang w:val="ru-RU"/>
        </w:rPr>
        <w:t>.</w:t>
      </w:r>
    </w:p>
    <w:p w14:paraId="78FE38CE" w14:textId="11C333B6" w:rsidR="0084116D" w:rsidRPr="000B033C" w:rsidRDefault="002C6E85" w:rsidP="00C80DDA">
      <w:pPr>
        <w:rPr>
          <w:lang w:val="ru-RU"/>
        </w:rPr>
      </w:pPr>
      <w:r w:rsidRPr="000B033C">
        <w:rPr>
          <w:lang w:val="ru-RU"/>
        </w:rPr>
        <w:t>Существование комитетов по надзору признано в системе ООН положительным видом практики</w:t>
      </w:r>
      <w:r w:rsidR="0084116D" w:rsidRPr="000B033C">
        <w:rPr>
          <w:lang w:val="ru-RU"/>
        </w:rPr>
        <w:t xml:space="preserve">. </w:t>
      </w:r>
      <w:r w:rsidRPr="000B033C">
        <w:rPr>
          <w:lang w:val="ru-RU"/>
        </w:rPr>
        <w:t>Они</w:t>
      </w:r>
      <w:r w:rsidR="00C80DDA">
        <w:rPr>
          <w:lang w:val="en-US"/>
        </w:rPr>
        <w:t> </w:t>
      </w:r>
      <w:r w:rsidRPr="000B033C">
        <w:rPr>
          <w:lang w:val="ru-RU"/>
        </w:rPr>
        <w:t>составляют часть структуры управления организации и являются предпосылкой надлежащего управления</w:t>
      </w:r>
      <w:r w:rsidR="0084116D" w:rsidRPr="000B033C">
        <w:rPr>
          <w:lang w:val="ru-RU"/>
        </w:rPr>
        <w:t xml:space="preserve">. </w:t>
      </w:r>
      <w:r w:rsidRPr="000B033C">
        <w:rPr>
          <w:lang w:val="ru-RU"/>
        </w:rPr>
        <w:t>Во всестороннем обзоре управления и надзора в системе ООН определены примеры передового опыта по разработке комплекса принципов надлежащего управления и надзора</w:t>
      </w:r>
      <w:r w:rsidR="0084116D" w:rsidRPr="000B033C">
        <w:rPr>
          <w:lang w:val="ru-RU"/>
        </w:rPr>
        <w:t xml:space="preserve">. </w:t>
      </w:r>
      <w:r w:rsidRPr="000B033C">
        <w:rPr>
          <w:lang w:val="ru-RU"/>
        </w:rPr>
        <w:t>Эти принципы отражают конечную ответственность руководящего органа за обеспечение того, чтобы руководство обладало прочной системой внутреннего контроля, управления рисками, системами и</w:t>
      </w:r>
      <w:r w:rsidR="00C80DDA">
        <w:rPr>
          <w:lang w:val="en-US"/>
        </w:rPr>
        <w:t> </w:t>
      </w:r>
      <w:r w:rsidRPr="000B033C">
        <w:rPr>
          <w:lang w:val="ru-RU"/>
        </w:rPr>
        <w:t>соблюдением законов, норм и стандартов учета</w:t>
      </w:r>
      <w:r w:rsidR="0084116D" w:rsidRPr="000B033C">
        <w:rPr>
          <w:lang w:val="ru-RU"/>
        </w:rPr>
        <w:t>.</w:t>
      </w:r>
    </w:p>
    <w:p w14:paraId="4BD623C8" w14:textId="5C9ABC43" w:rsidR="0084116D" w:rsidRPr="000B033C" w:rsidRDefault="002C6E85" w:rsidP="00C80DDA">
      <w:pPr>
        <w:rPr>
          <w:lang w:val="ru-RU"/>
        </w:rPr>
      </w:pPr>
      <w:r w:rsidRPr="000B033C">
        <w:rPr>
          <w:lang w:val="ru-RU"/>
        </w:rPr>
        <w:t>В обзоре называются три отдельных компонента, необходимых для выполнения руководящим органом этой основной обязанности</w:t>
      </w:r>
      <w:r w:rsidR="0084116D" w:rsidRPr="000B033C">
        <w:rPr>
          <w:lang w:val="ru-RU"/>
        </w:rPr>
        <w:t>:</w:t>
      </w:r>
    </w:p>
    <w:p w14:paraId="71278DB0" w14:textId="68DD1A2D" w:rsidR="0084116D" w:rsidRPr="000B033C" w:rsidRDefault="00C80DDA" w:rsidP="00C80DDA">
      <w:pPr>
        <w:pStyle w:val="enumlev1"/>
        <w:rPr>
          <w:lang w:val="ru-RU"/>
        </w:rPr>
      </w:pPr>
      <w:r w:rsidRPr="00C80DDA">
        <w:rPr>
          <w:lang w:val="ru-RU"/>
        </w:rPr>
        <w:t>•</w:t>
      </w:r>
      <w:r>
        <w:rPr>
          <w:lang w:val="ru-RU"/>
        </w:rPr>
        <w:tab/>
      </w:r>
      <w:r w:rsidR="002C6E85" w:rsidRPr="000B033C">
        <w:rPr>
          <w:lang w:val="ru-RU"/>
        </w:rPr>
        <w:t>комитет по надзору/аудиту, состоящий из независимых экспертов, членский состав и</w:t>
      </w:r>
      <w:r>
        <w:rPr>
          <w:lang w:val="en-US"/>
        </w:rPr>
        <w:t> </w:t>
      </w:r>
      <w:r w:rsidR="002C6E85" w:rsidRPr="000B033C">
        <w:rPr>
          <w:lang w:val="ru-RU"/>
        </w:rPr>
        <w:t>соответствующий круг ведения которого утверждается руководящим органом</w:t>
      </w:r>
      <w:r w:rsidR="0084116D" w:rsidRPr="000B033C">
        <w:rPr>
          <w:lang w:val="ru-RU"/>
        </w:rPr>
        <w:t>;</w:t>
      </w:r>
    </w:p>
    <w:p w14:paraId="15739792" w14:textId="5578D7F9" w:rsidR="0084116D" w:rsidRPr="000B033C" w:rsidRDefault="00C80DDA" w:rsidP="00C80DDA">
      <w:pPr>
        <w:pStyle w:val="enumlev1"/>
        <w:rPr>
          <w:lang w:val="ru-RU"/>
        </w:rPr>
      </w:pPr>
      <w:r w:rsidRPr="00C80DDA">
        <w:rPr>
          <w:lang w:val="ru-RU"/>
        </w:rPr>
        <w:t>•</w:t>
      </w:r>
      <w:r>
        <w:rPr>
          <w:lang w:val="ru-RU"/>
        </w:rPr>
        <w:tab/>
      </w:r>
      <w:r w:rsidR="002C6E85" w:rsidRPr="000B033C">
        <w:rPr>
          <w:lang w:val="ru-RU"/>
        </w:rPr>
        <w:t xml:space="preserve">профессиональное и компетентное функциональное звено внутреннего аудита, подотчетное исполнительному руководству, но также отчитывающееся </w:t>
      </w:r>
      <w:r w:rsidR="00A728DE" w:rsidRPr="000B033C">
        <w:rPr>
          <w:lang w:val="ru-RU"/>
        </w:rPr>
        <w:t xml:space="preserve">в </w:t>
      </w:r>
      <w:r w:rsidR="002C6E85" w:rsidRPr="000B033C">
        <w:rPr>
          <w:lang w:val="ru-RU"/>
        </w:rPr>
        <w:t>независимо</w:t>
      </w:r>
      <w:r w:rsidR="00A728DE" w:rsidRPr="000B033C">
        <w:rPr>
          <w:lang w:val="ru-RU"/>
        </w:rPr>
        <w:t>м порядке</w:t>
      </w:r>
      <w:r w:rsidR="002C6E85" w:rsidRPr="000B033C">
        <w:rPr>
          <w:lang w:val="ru-RU"/>
        </w:rPr>
        <w:t xml:space="preserve"> перед руководящим органом через комитет по аудиту</w:t>
      </w:r>
      <w:r w:rsidR="0084116D" w:rsidRPr="000B033C">
        <w:rPr>
          <w:lang w:val="ru-RU"/>
        </w:rPr>
        <w:t xml:space="preserve">, </w:t>
      </w:r>
      <w:r w:rsidR="002C6E85" w:rsidRPr="000B033C">
        <w:rPr>
          <w:lang w:val="ru-RU"/>
        </w:rPr>
        <w:t>с соответствующим кругом ведения или</w:t>
      </w:r>
      <w:r>
        <w:rPr>
          <w:lang w:val="en-US"/>
        </w:rPr>
        <w:t> </w:t>
      </w:r>
      <w:r w:rsidR="002C6E85" w:rsidRPr="000B033C">
        <w:rPr>
          <w:lang w:val="ru-RU"/>
        </w:rPr>
        <w:t>уставом и регулярными обзорами качества</w:t>
      </w:r>
      <w:r w:rsidR="0084116D" w:rsidRPr="000B033C">
        <w:rPr>
          <w:lang w:val="ru-RU"/>
        </w:rPr>
        <w:t xml:space="preserve">; </w:t>
      </w:r>
      <w:r w:rsidR="002C6E85" w:rsidRPr="000B033C">
        <w:rPr>
          <w:lang w:val="ru-RU"/>
        </w:rPr>
        <w:t>и</w:t>
      </w:r>
    </w:p>
    <w:p w14:paraId="0E8A6E9E" w14:textId="1A1E462D" w:rsidR="0084116D" w:rsidRPr="000B033C" w:rsidRDefault="00C80DDA" w:rsidP="00C80DDA">
      <w:pPr>
        <w:pStyle w:val="enumlev1"/>
        <w:rPr>
          <w:lang w:val="ru-RU"/>
        </w:rPr>
      </w:pPr>
      <w:r w:rsidRPr="00C80DDA">
        <w:rPr>
          <w:lang w:val="ru-RU"/>
        </w:rPr>
        <w:t>•</w:t>
      </w:r>
      <w:r>
        <w:rPr>
          <w:lang w:val="ru-RU"/>
        </w:rPr>
        <w:tab/>
      </w:r>
      <w:r w:rsidR="002C6E85" w:rsidRPr="000B033C">
        <w:rPr>
          <w:lang w:val="ru-RU"/>
        </w:rPr>
        <w:t>функци</w:t>
      </w:r>
      <w:r w:rsidR="00A728DE" w:rsidRPr="000B033C">
        <w:rPr>
          <w:lang w:val="ru-RU"/>
        </w:rPr>
        <w:t>ональное звено</w:t>
      </w:r>
      <w:r w:rsidR="002C6E85" w:rsidRPr="000B033C">
        <w:rPr>
          <w:lang w:val="ru-RU"/>
        </w:rPr>
        <w:t xml:space="preserve"> внешнего аудита, назначаем</w:t>
      </w:r>
      <w:r w:rsidR="00A728DE" w:rsidRPr="000B033C">
        <w:rPr>
          <w:lang w:val="ru-RU"/>
        </w:rPr>
        <w:t>ое</w:t>
      </w:r>
      <w:r w:rsidR="002C6E85" w:rsidRPr="000B033C">
        <w:rPr>
          <w:lang w:val="ru-RU"/>
        </w:rPr>
        <w:t xml:space="preserve"> ассамблеей государств – членов объединения и подотчетн</w:t>
      </w:r>
      <w:r w:rsidR="00A728DE" w:rsidRPr="000B033C">
        <w:rPr>
          <w:lang w:val="ru-RU"/>
        </w:rPr>
        <w:t>ое</w:t>
      </w:r>
      <w:r w:rsidR="002C6E85" w:rsidRPr="000B033C">
        <w:rPr>
          <w:lang w:val="ru-RU"/>
        </w:rPr>
        <w:t xml:space="preserve"> ей </w:t>
      </w:r>
      <w:r w:rsidR="00A728DE" w:rsidRPr="000B033C">
        <w:rPr>
          <w:lang w:val="ru-RU"/>
        </w:rPr>
        <w:t xml:space="preserve">при </w:t>
      </w:r>
      <w:r w:rsidR="002C6E85" w:rsidRPr="000B033C">
        <w:rPr>
          <w:lang w:val="ru-RU"/>
        </w:rPr>
        <w:t>посредств</w:t>
      </w:r>
      <w:r w:rsidR="00A728DE" w:rsidRPr="000B033C">
        <w:rPr>
          <w:lang w:val="ru-RU"/>
        </w:rPr>
        <w:t>е</w:t>
      </w:r>
      <w:r w:rsidR="002C6E85" w:rsidRPr="000B033C">
        <w:rPr>
          <w:lang w:val="ru-RU"/>
        </w:rPr>
        <w:t xml:space="preserve"> комитета по аудиту</w:t>
      </w:r>
      <w:r w:rsidR="0084116D" w:rsidRPr="000B033C">
        <w:rPr>
          <w:lang w:val="ru-RU"/>
        </w:rPr>
        <w:t>.</w:t>
      </w:r>
    </w:p>
    <w:p w14:paraId="6FC26E2D" w14:textId="354F2BE3" w:rsidR="0084116D" w:rsidRPr="00C80DDA" w:rsidRDefault="002C6E85" w:rsidP="00C80DDA">
      <w:pPr>
        <w:rPr>
          <w:lang w:val="ru-RU"/>
        </w:rPr>
      </w:pPr>
      <w:r w:rsidRPr="00C80DDA">
        <w:rPr>
          <w:b/>
          <w:bCs/>
          <w:lang w:val="ru-RU"/>
        </w:rPr>
        <w:t>Комитет по надзору</w:t>
      </w:r>
      <w:r w:rsidR="0084116D" w:rsidRPr="00C80DDA">
        <w:rPr>
          <w:lang w:val="ru-RU"/>
        </w:rPr>
        <w:t xml:space="preserve"> – </w:t>
      </w:r>
      <w:r w:rsidRPr="00C80DDA">
        <w:rPr>
          <w:lang w:val="ru-RU"/>
        </w:rPr>
        <w:t>такой</w:t>
      </w:r>
      <w:r w:rsidR="00362D9B">
        <w:rPr>
          <w:lang w:val="ru-RU"/>
        </w:rPr>
        <w:t>,</w:t>
      </w:r>
      <w:r w:rsidRPr="00C80DDA">
        <w:rPr>
          <w:lang w:val="ru-RU"/>
        </w:rPr>
        <w:t xml:space="preserve"> как </w:t>
      </w:r>
      <w:r w:rsidR="0084116D" w:rsidRPr="00C80DDA">
        <w:rPr>
          <w:lang w:val="ru-RU"/>
        </w:rPr>
        <w:t xml:space="preserve">IMAC </w:t>
      </w:r>
      <w:r w:rsidRPr="00C80DDA">
        <w:rPr>
          <w:lang w:val="ru-RU"/>
        </w:rPr>
        <w:t>–</w:t>
      </w:r>
      <w:r w:rsidR="0084116D" w:rsidRPr="00C80DDA">
        <w:rPr>
          <w:lang w:val="ru-RU"/>
        </w:rPr>
        <w:t xml:space="preserve"> </w:t>
      </w:r>
      <w:r w:rsidRPr="00C80DDA">
        <w:rPr>
          <w:lang w:val="ru-RU"/>
        </w:rPr>
        <w:t xml:space="preserve">является </w:t>
      </w:r>
      <w:r w:rsidR="00A728DE" w:rsidRPr="00C80DDA">
        <w:rPr>
          <w:lang w:val="ru-RU"/>
        </w:rPr>
        <w:t>управляю</w:t>
      </w:r>
      <w:r w:rsidRPr="00C80DDA">
        <w:rPr>
          <w:lang w:val="ru-RU"/>
        </w:rPr>
        <w:t>щим органом, состоящим из внешних независимых экспертов по стратегическому управлению финансовой деятельностью и рисками</w:t>
      </w:r>
      <w:r w:rsidR="0084116D" w:rsidRPr="00C80DDA">
        <w:rPr>
          <w:lang w:val="ru-RU"/>
        </w:rPr>
        <w:t xml:space="preserve">, </w:t>
      </w:r>
      <w:r w:rsidRPr="00C80DDA">
        <w:rPr>
          <w:lang w:val="ru-RU"/>
        </w:rPr>
        <w:t>внутреннему контролю и надзору</w:t>
      </w:r>
      <w:r w:rsidR="0084116D" w:rsidRPr="00C80DDA">
        <w:rPr>
          <w:lang w:val="ru-RU"/>
        </w:rPr>
        <w:t xml:space="preserve">. </w:t>
      </w:r>
      <w:r w:rsidRPr="00C80DDA">
        <w:rPr>
          <w:lang w:val="ru-RU"/>
        </w:rPr>
        <w:t>Комитет оказывает содействие управляющему органу в</w:t>
      </w:r>
      <w:r w:rsidR="00C80DDA" w:rsidRPr="00C80DDA">
        <w:rPr>
          <w:lang w:val="ru-RU"/>
        </w:rPr>
        <w:t> </w:t>
      </w:r>
      <w:r w:rsidRPr="00C80DDA">
        <w:rPr>
          <w:lang w:val="ru-RU"/>
        </w:rPr>
        <w:t>выполнении его обязанностей по корпоративному управлению и надзору в отношении финансовой отчетности объединения, системы внутреннего контроля, управления рисками предприятия и</w:t>
      </w:r>
      <w:r w:rsidR="00C80DDA" w:rsidRPr="00C80DDA">
        <w:rPr>
          <w:lang w:val="ru-RU"/>
        </w:rPr>
        <w:t> </w:t>
      </w:r>
      <w:r w:rsidRPr="00C80DDA">
        <w:rPr>
          <w:lang w:val="ru-RU"/>
        </w:rPr>
        <w:t>функций внутреннего и внешнего аудита</w:t>
      </w:r>
      <w:r w:rsidR="0084116D" w:rsidRPr="00C80DDA">
        <w:rPr>
          <w:lang w:val="ru-RU"/>
        </w:rPr>
        <w:t xml:space="preserve">. </w:t>
      </w:r>
      <w:r w:rsidR="00914597" w:rsidRPr="00C80DDA">
        <w:rPr>
          <w:lang w:val="ru-RU"/>
        </w:rPr>
        <w:t>Его роль заключается в предоставлении консультаций и</w:t>
      </w:r>
      <w:r w:rsidR="00C80DDA" w:rsidRPr="00C80DDA">
        <w:rPr>
          <w:lang w:val="ru-RU"/>
        </w:rPr>
        <w:t> </w:t>
      </w:r>
      <w:r w:rsidR="00914597" w:rsidRPr="00C80DDA">
        <w:rPr>
          <w:lang w:val="ru-RU"/>
        </w:rPr>
        <w:t>рекомендаций управляющему органу и исполнительному руководителю в рамках своего круга ведения</w:t>
      </w:r>
      <w:r w:rsidR="0084116D" w:rsidRPr="00C80DDA">
        <w:rPr>
          <w:lang w:val="ru-RU"/>
        </w:rPr>
        <w:t>.</w:t>
      </w:r>
    </w:p>
    <w:p w14:paraId="110998D4" w14:textId="341EC9FB" w:rsidR="0084116D" w:rsidRPr="000B033C" w:rsidRDefault="00914597" w:rsidP="00C80DDA">
      <w:pPr>
        <w:rPr>
          <w:lang w:val="ru-RU"/>
        </w:rPr>
      </w:pPr>
      <w:r w:rsidRPr="000B033C">
        <w:rPr>
          <w:b/>
          <w:lang w:val="ru-RU"/>
        </w:rPr>
        <w:t>Внутренние аудиторы</w:t>
      </w:r>
      <w:r w:rsidR="0084116D" w:rsidRPr="000B033C">
        <w:rPr>
          <w:lang w:val="ru-RU"/>
        </w:rPr>
        <w:t xml:space="preserve">, </w:t>
      </w:r>
      <w:r w:rsidRPr="000B033C">
        <w:rPr>
          <w:lang w:val="ru-RU"/>
        </w:rPr>
        <w:t>являясь внутренне независимыми от видов деятельности, аудит которых они проводят, представляют собой один из элементов организации и отчитываются в основном перед руководством</w:t>
      </w:r>
      <w:r w:rsidR="0084116D" w:rsidRPr="000B033C">
        <w:rPr>
          <w:lang w:val="ru-RU"/>
        </w:rPr>
        <w:t xml:space="preserve"> (</w:t>
      </w:r>
      <w:r w:rsidRPr="000B033C">
        <w:rPr>
          <w:lang w:val="ru-RU"/>
        </w:rPr>
        <w:t>а также представляют ежегодные краткие отчеты управляющему органу</w:t>
      </w:r>
      <w:r w:rsidR="009677FF" w:rsidRPr="000B033C">
        <w:rPr>
          <w:lang w:val="ru-RU"/>
        </w:rPr>
        <w:t xml:space="preserve">). </w:t>
      </w:r>
      <w:r w:rsidRPr="000B033C">
        <w:rPr>
          <w:lang w:val="ru-RU"/>
        </w:rPr>
        <w:t>Внутренние аудиторы, как правило, являются служащими объединения, хотя некоторые функции могут передаваться внешним подрядчикам</w:t>
      </w:r>
      <w:r w:rsidR="0084116D" w:rsidRPr="000B033C">
        <w:rPr>
          <w:lang w:val="ru-RU"/>
        </w:rPr>
        <w:t xml:space="preserve">. </w:t>
      </w:r>
      <w:r w:rsidRPr="000B033C">
        <w:rPr>
          <w:lang w:val="ru-RU"/>
        </w:rPr>
        <w:t>Основная обязанность внутренних аудиторов – оценка стратегии и практики управления рисками объединения</w:t>
      </w:r>
      <w:r w:rsidR="0084116D" w:rsidRPr="000B033C">
        <w:rPr>
          <w:lang w:val="ru-RU"/>
        </w:rPr>
        <w:t xml:space="preserve">; </w:t>
      </w:r>
      <w:r w:rsidRPr="000B033C">
        <w:rPr>
          <w:lang w:val="ru-RU"/>
        </w:rPr>
        <w:t>его систем управления и внутреннего контроля</w:t>
      </w:r>
      <w:r w:rsidR="0084116D" w:rsidRPr="000B033C">
        <w:rPr>
          <w:lang w:val="ru-RU"/>
        </w:rPr>
        <w:t xml:space="preserve">; </w:t>
      </w:r>
      <w:r w:rsidRPr="000B033C">
        <w:rPr>
          <w:lang w:val="ru-RU"/>
        </w:rPr>
        <w:t>и процессов управления</w:t>
      </w:r>
      <w:r w:rsidR="0084116D" w:rsidRPr="000B033C">
        <w:rPr>
          <w:lang w:val="ru-RU"/>
        </w:rPr>
        <w:t>.</w:t>
      </w:r>
    </w:p>
    <w:p w14:paraId="3838C6D2" w14:textId="762A923D" w:rsidR="0084116D" w:rsidRPr="000B033C" w:rsidRDefault="00914597" w:rsidP="00C80DDA">
      <w:pPr>
        <w:rPr>
          <w:lang w:val="ru-RU"/>
        </w:rPr>
      </w:pPr>
      <w:r w:rsidRPr="000B033C">
        <w:rPr>
          <w:b/>
          <w:lang w:val="ru-RU"/>
        </w:rPr>
        <w:t>Внешний аудитор</w:t>
      </w:r>
      <w:r w:rsidR="0084116D" w:rsidRPr="000B033C">
        <w:rPr>
          <w:lang w:val="ru-RU"/>
        </w:rPr>
        <w:t xml:space="preserve"> </w:t>
      </w:r>
      <w:r w:rsidRPr="000B033C">
        <w:rPr>
          <w:lang w:val="ru-RU"/>
        </w:rPr>
        <w:t>проводит аудит финансовой отчетности организации в соответствии с</w:t>
      </w:r>
      <w:r w:rsidR="00C80DDA">
        <w:rPr>
          <w:lang w:val="en-US"/>
        </w:rPr>
        <w:t> </w:t>
      </w:r>
      <w:r w:rsidRPr="000B033C">
        <w:rPr>
          <w:lang w:val="ru-RU"/>
        </w:rPr>
        <w:t>конкретными стандартами</w:t>
      </w:r>
      <w:r w:rsidR="0084116D" w:rsidRPr="000B033C">
        <w:rPr>
          <w:lang w:val="ru-RU"/>
        </w:rPr>
        <w:t xml:space="preserve">. </w:t>
      </w:r>
      <w:r w:rsidRPr="000B033C">
        <w:rPr>
          <w:lang w:val="ru-RU"/>
        </w:rPr>
        <w:t>Финансовый аудитор делает заключение относительно того, соответствует ли финансовая отчетность международным стандартам учета и основам финансовой отчетности</w:t>
      </w:r>
      <w:r w:rsidR="0084116D" w:rsidRPr="000B033C">
        <w:rPr>
          <w:lang w:val="ru-RU"/>
        </w:rPr>
        <w:t xml:space="preserve">. </w:t>
      </w:r>
      <w:r w:rsidRPr="000B033C">
        <w:rPr>
          <w:lang w:val="ru-RU"/>
        </w:rPr>
        <w:t>Внешний аудитор может выборочно проводить дополнительный аудит показателей деятельности в каких-либо областях или по каким-либо темам по своему усмотрению</w:t>
      </w:r>
      <w:r w:rsidR="0084116D" w:rsidRPr="000B033C">
        <w:rPr>
          <w:lang w:val="ru-RU"/>
        </w:rPr>
        <w:t xml:space="preserve">: </w:t>
      </w:r>
      <w:r w:rsidRPr="000B033C">
        <w:rPr>
          <w:lang w:val="ru-RU"/>
        </w:rPr>
        <w:t>например, провести независимый анализ вопроса, программы, функции, операции или конкретных систем и</w:t>
      </w:r>
      <w:r w:rsidR="00C80DDA">
        <w:rPr>
          <w:lang w:val="en-US"/>
        </w:rPr>
        <w:t> </w:t>
      </w:r>
      <w:r w:rsidRPr="000B033C">
        <w:rPr>
          <w:lang w:val="ru-RU"/>
        </w:rPr>
        <w:t>процедур управления</w:t>
      </w:r>
      <w:r w:rsidR="0084116D" w:rsidRPr="000B033C">
        <w:rPr>
          <w:lang w:val="ru-RU"/>
        </w:rPr>
        <w:t xml:space="preserve">. </w:t>
      </w:r>
    </w:p>
    <w:p w14:paraId="75303CE7" w14:textId="7D8DD993" w:rsidR="0084116D" w:rsidRPr="00362D9B" w:rsidRDefault="00D2042A" w:rsidP="00C80DDA">
      <w:pPr>
        <w:rPr>
          <w:lang w:val="ru-RU"/>
        </w:rPr>
      </w:pPr>
      <w:r w:rsidRPr="00C80DDA">
        <w:rPr>
          <w:b/>
          <w:bCs/>
          <w:lang w:val="ru-RU"/>
        </w:rPr>
        <w:t>Таким образом, независимые комитеты по надзору не дублируют деятельность других функциональных подразделений надзора и аудита, таких как внутренние и внешние аудиторы; и</w:t>
      </w:r>
      <w:r w:rsidR="00C80DDA">
        <w:rPr>
          <w:b/>
          <w:bCs/>
          <w:lang w:val="en-US"/>
        </w:rPr>
        <w:t> </w:t>
      </w:r>
      <w:r w:rsidRPr="00C80DDA">
        <w:rPr>
          <w:b/>
          <w:bCs/>
          <w:lang w:val="ru-RU"/>
        </w:rPr>
        <w:t>у</w:t>
      </w:r>
      <w:r w:rsidR="00C80DDA">
        <w:rPr>
          <w:b/>
          <w:bCs/>
          <w:lang w:val="en-US"/>
        </w:rPr>
        <w:t> </w:t>
      </w:r>
      <w:r w:rsidRPr="00C80DDA">
        <w:rPr>
          <w:b/>
          <w:bCs/>
          <w:lang w:val="ru-RU"/>
        </w:rPr>
        <w:t>тех, и у других есть собственные "оперативные" обязанности</w:t>
      </w:r>
      <w:r w:rsidR="0084116D" w:rsidRPr="00C80DDA">
        <w:rPr>
          <w:b/>
          <w:bCs/>
          <w:lang w:val="ru-RU"/>
        </w:rPr>
        <w:t xml:space="preserve">. </w:t>
      </w:r>
      <w:r w:rsidRPr="00C80DDA">
        <w:rPr>
          <w:b/>
          <w:bCs/>
          <w:lang w:val="ru-RU"/>
        </w:rPr>
        <w:t>Роль независимого комитета по</w:t>
      </w:r>
      <w:r w:rsidR="00C80DDA">
        <w:rPr>
          <w:b/>
          <w:bCs/>
          <w:lang w:val="en-US"/>
        </w:rPr>
        <w:t> </w:t>
      </w:r>
      <w:r w:rsidRPr="00C80DDA">
        <w:rPr>
          <w:b/>
          <w:bCs/>
          <w:lang w:val="ru-RU"/>
        </w:rPr>
        <w:t>надзору или аудиту заключается в открытых и частых контактах с руководством</w:t>
      </w:r>
      <w:r w:rsidR="0084116D" w:rsidRPr="00C80DDA">
        <w:rPr>
          <w:b/>
          <w:bCs/>
          <w:lang w:val="ru-RU"/>
        </w:rPr>
        <w:t xml:space="preserve">; </w:t>
      </w:r>
      <w:r w:rsidRPr="00C80DDA">
        <w:rPr>
          <w:b/>
          <w:bCs/>
          <w:lang w:val="ru-RU"/>
        </w:rPr>
        <w:t>в тщательном рассмотрении получаемой информации</w:t>
      </w:r>
      <w:r w:rsidR="0084116D" w:rsidRPr="00C80DDA">
        <w:rPr>
          <w:b/>
          <w:bCs/>
          <w:lang w:val="ru-RU"/>
        </w:rPr>
        <w:t xml:space="preserve">; </w:t>
      </w:r>
      <w:r w:rsidR="00ED3128" w:rsidRPr="00C80DDA">
        <w:rPr>
          <w:b/>
          <w:bCs/>
          <w:lang w:val="ru-RU"/>
        </w:rPr>
        <w:t>в надлежащих случаях в постановке перед руководством проблем</w:t>
      </w:r>
      <w:r w:rsidR="0084116D" w:rsidRPr="00C80DDA">
        <w:rPr>
          <w:b/>
          <w:bCs/>
          <w:lang w:val="ru-RU"/>
        </w:rPr>
        <w:t xml:space="preserve">; </w:t>
      </w:r>
      <w:r w:rsidR="00ED3128" w:rsidRPr="00C80DDA">
        <w:rPr>
          <w:b/>
          <w:bCs/>
          <w:lang w:val="ru-RU"/>
        </w:rPr>
        <w:t>и в предоставлении поддержки и консультаций руководящему органу</w:t>
      </w:r>
      <w:r w:rsidR="0084116D" w:rsidRPr="00C80DDA">
        <w:rPr>
          <w:b/>
          <w:bCs/>
          <w:lang w:val="ru-RU"/>
        </w:rPr>
        <w:t xml:space="preserve">. </w:t>
      </w:r>
      <w:r w:rsidR="00ED3128" w:rsidRPr="00C80DDA">
        <w:rPr>
          <w:b/>
          <w:bCs/>
          <w:lang w:val="ru-RU"/>
        </w:rPr>
        <w:t xml:space="preserve">Он не обладает </w:t>
      </w:r>
      <w:r w:rsidR="00ED3128" w:rsidRPr="00C80DDA">
        <w:rPr>
          <w:b/>
          <w:bCs/>
          <w:lang w:val="ru-RU"/>
        </w:rPr>
        <w:lastRenderedPageBreak/>
        <w:t>функциями управления, но может с экспертных позиций</w:t>
      </w:r>
      <w:r w:rsidR="0084116D" w:rsidRPr="00C80DDA">
        <w:rPr>
          <w:b/>
          <w:bCs/>
          <w:lang w:val="ru-RU"/>
        </w:rPr>
        <w:t xml:space="preserve"> (</w:t>
      </w:r>
      <w:r w:rsidR="00ED3128" w:rsidRPr="00C80DDA">
        <w:rPr>
          <w:b/>
          <w:bCs/>
          <w:lang w:val="ru-RU"/>
        </w:rPr>
        <w:t>по выражению ОИГ</w:t>
      </w:r>
      <w:r w:rsidR="0084116D" w:rsidRPr="00C80DDA">
        <w:rPr>
          <w:b/>
          <w:bCs/>
          <w:lang w:val="ru-RU"/>
        </w:rPr>
        <w:t xml:space="preserve">) </w:t>
      </w:r>
      <w:r w:rsidR="00ED3128" w:rsidRPr="00C80DDA">
        <w:rPr>
          <w:b/>
          <w:bCs/>
          <w:lang w:val="ru-RU"/>
        </w:rPr>
        <w:t>надзирать за</w:t>
      </w:r>
      <w:r w:rsidR="00C80DDA">
        <w:rPr>
          <w:b/>
          <w:bCs/>
          <w:lang w:val="en-US"/>
        </w:rPr>
        <w:t> </w:t>
      </w:r>
      <w:r w:rsidR="00ED3128" w:rsidRPr="00C80DDA">
        <w:rPr>
          <w:b/>
          <w:bCs/>
          <w:lang w:val="ru-RU"/>
        </w:rPr>
        <w:t>выполнением функций внешнего аудитора и всеми функциями внутреннего надзора, а</w:t>
      </w:r>
      <w:r w:rsidR="00C80DDA">
        <w:rPr>
          <w:b/>
          <w:bCs/>
          <w:lang w:val="en-US"/>
        </w:rPr>
        <w:t> </w:t>
      </w:r>
      <w:r w:rsidR="00ED3128" w:rsidRPr="00C80DDA">
        <w:rPr>
          <w:b/>
          <w:bCs/>
          <w:lang w:val="ru-RU"/>
        </w:rPr>
        <w:t>не</w:t>
      </w:r>
      <w:r w:rsidR="00C80DDA">
        <w:rPr>
          <w:b/>
          <w:bCs/>
          <w:lang w:val="en-US"/>
        </w:rPr>
        <w:t> </w:t>
      </w:r>
      <w:r w:rsidR="00ED3128" w:rsidRPr="00C80DDA">
        <w:rPr>
          <w:b/>
          <w:bCs/>
          <w:lang w:val="ru-RU"/>
        </w:rPr>
        <w:t>только внутреннего аудита</w:t>
      </w:r>
      <w:r w:rsidR="00C80DDA" w:rsidRPr="00362D9B">
        <w:rPr>
          <w:lang w:val="ru-RU"/>
        </w:rPr>
        <w:t>.</w:t>
      </w:r>
    </w:p>
    <w:p w14:paraId="569D6938" w14:textId="277C451E" w:rsidR="0084116D" w:rsidRPr="000B033C" w:rsidRDefault="000A5337" w:rsidP="000A5337">
      <w:pPr>
        <w:pStyle w:val="Headingb"/>
        <w:rPr>
          <w:lang w:val="ru-RU"/>
        </w:rPr>
      </w:pPr>
      <w:r>
        <w:rPr>
          <w:lang w:val="ru-RU"/>
        </w:rPr>
        <w:t>ЧТО НА ПРАКТИКЕ ДЕЛАЮ</w:t>
      </w:r>
      <w:r w:rsidRPr="000B033C">
        <w:rPr>
          <w:lang w:val="ru-RU"/>
        </w:rPr>
        <w:t xml:space="preserve">Т IMAC </w:t>
      </w:r>
      <w:r>
        <w:rPr>
          <w:lang w:val="ru-RU"/>
        </w:rPr>
        <w:t>И ПОДОБНЫЕ ЕМУ КОМИТЕТЫ</w:t>
      </w:r>
    </w:p>
    <w:p w14:paraId="6FDA7A8F" w14:textId="082933A5" w:rsidR="0084116D" w:rsidRPr="000B033C" w:rsidRDefault="008154CA" w:rsidP="00C80DDA">
      <w:pPr>
        <w:rPr>
          <w:lang w:val="ru-RU"/>
        </w:rPr>
      </w:pPr>
      <w:r w:rsidRPr="000B033C">
        <w:rPr>
          <w:lang w:val="ru-RU"/>
        </w:rPr>
        <w:t>Комитет по надзору или аудиту помогает обеспечить оптимальное использование всех ресурсов, выделяемых на внутренний и внешний аудит</w:t>
      </w:r>
      <w:r w:rsidR="0084116D" w:rsidRPr="000B033C">
        <w:rPr>
          <w:lang w:val="ru-RU"/>
        </w:rPr>
        <w:t xml:space="preserve">, </w:t>
      </w:r>
      <w:r w:rsidRPr="000B033C">
        <w:rPr>
          <w:lang w:val="ru-RU"/>
        </w:rPr>
        <w:t>предоставляя гарантии того, что надзор и аудит выполняются надлежащим образом и эффективно</w:t>
      </w:r>
      <w:r w:rsidR="0084116D" w:rsidRPr="000B033C">
        <w:rPr>
          <w:lang w:val="ru-RU"/>
        </w:rPr>
        <w:t xml:space="preserve">; </w:t>
      </w:r>
      <w:r w:rsidRPr="000B033C">
        <w:rPr>
          <w:lang w:val="ru-RU"/>
        </w:rPr>
        <w:t>он помогает в управлении стратегическими и</w:t>
      </w:r>
      <w:r w:rsidR="00C80DDA">
        <w:rPr>
          <w:lang w:val="en-US"/>
        </w:rPr>
        <w:t> </w:t>
      </w:r>
      <w:r w:rsidRPr="000B033C">
        <w:rPr>
          <w:lang w:val="ru-RU"/>
        </w:rPr>
        <w:t>оперативными рисками и сокращает их масштабы</w:t>
      </w:r>
      <w:r w:rsidR="0084116D" w:rsidRPr="000B033C">
        <w:rPr>
          <w:lang w:val="ru-RU"/>
        </w:rPr>
        <w:t xml:space="preserve">; </w:t>
      </w:r>
      <w:r w:rsidRPr="000B033C">
        <w:rPr>
          <w:lang w:val="ru-RU"/>
        </w:rPr>
        <w:t>он предоставляет форум, на котором исполнительный руководитель и управляющий орган</w:t>
      </w:r>
      <w:r w:rsidR="0084116D" w:rsidRPr="000B033C">
        <w:rPr>
          <w:lang w:val="ru-RU"/>
        </w:rPr>
        <w:t xml:space="preserve"> (</w:t>
      </w:r>
      <w:r w:rsidRPr="000B033C">
        <w:rPr>
          <w:lang w:val="ru-RU"/>
        </w:rPr>
        <w:t>члены которого могут не быть финансовыми специалистами</w:t>
      </w:r>
      <w:r w:rsidR="0084116D" w:rsidRPr="000B033C">
        <w:rPr>
          <w:lang w:val="ru-RU"/>
        </w:rPr>
        <w:t xml:space="preserve">) </w:t>
      </w:r>
      <w:r w:rsidRPr="000B033C">
        <w:rPr>
          <w:lang w:val="ru-RU"/>
        </w:rPr>
        <w:t>могут получить гарантии и беспристрастные рекомендации</w:t>
      </w:r>
      <w:r w:rsidR="0084116D" w:rsidRPr="000B033C">
        <w:rPr>
          <w:lang w:val="ru-RU"/>
        </w:rPr>
        <w:t xml:space="preserve">; </w:t>
      </w:r>
      <w:r w:rsidRPr="000B033C">
        <w:rPr>
          <w:lang w:val="ru-RU"/>
        </w:rPr>
        <w:t>и он укрепляет управление и подотчетность</w:t>
      </w:r>
      <w:r w:rsidR="0084116D" w:rsidRPr="000B033C">
        <w:rPr>
          <w:lang w:val="ru-RU"/>
        </w:rPr>
        <w:t xml:space="preserve">. </w:t>
      </w:r>
      <w:r w:rsidRPr="000B033C">
        <w:rPr>
          <w:lang w:val="ru-RU"/>
        </w:rPr>
        <w:t>Комитет по надзору и аудиту</w:t>
      </w:r>
      <w:r w:rsidR="0084116D" w:rsidRPr="000B033C">
        <w:rPr>
          <w:lang w:val="ru-RU"/>
        </w:rPr>
        <w:t xml:space="preserve"> (</w:t>
      </w:r>
      <w:r w:rsidRPr="000B033C">
        <w:rPr>
          <w:lang w:val="ru-RU"/>
        </w:rPr>
        <w:t xml:space="preserve">в случае МСЭ – </w:t>
      </w:r>
      <w:r w:rsidR="0084116D" w:rsidRPr="000B033C">
        <w:rPr>
          <w:lang w:val="ru-RU"/>
        </w:rPr>
        <w:t xml:space="preserve">IMAC) </w:t>
      </w:r>
      <w:r w:rsidRPr="000B033C">
        <w:rPr>
          <w:lang w:val="ru-RU"/>
        </w:rPr>
        <w:t>не является еще</w:t>
      </w:r>
      <w:r w:rsidR="00C80DDA">
        <w:rPr>
          <w:lang w:val="en-US"/>
        </w:rPr>
        <w:t> </w:t>
      </w:r>
      <w:r w:rsidRPr="000B033C">
        <w:rPr>
          <w:lang w:val="ru-RU"/>
        </w:rPr>
        <w:t>одним уровнем аудита</w:t>
      </w:r>
      <w:r w:rsidR="0084116D" w:rsidRPr="000B033C">
        <w:rPr>
          <w:lang w:val="ru-RU"/>
        </w:rPr>
        <w:t xml:space="preserve">. </w:t>
      </w:r>
      <w:r w:rsidRPr="000B033C">
        <w:rPr>
          <w:lang w:val="ru-RU"/>
        </w:rPr>
        <w:t>Он не проводит аудит и не дублирует какие-либо иные функции</w:t>
      </w:r>
      <w:r w:rsidR="0084116D" w:rsidRPr="000B033C">
        <w:rPr>
          <w:lang w:val="ru-RU"/>
        </w:rPr>
        <w:t>.</w:t>
      </w:r>
    </w:p>
    <w:p w14:paraId="2B9CAB66" w14:textId="66E632E7" w:rsidR="0084116D" w:rsidRPr="000B033C" w:rsidRDefault="008154CA" w:rsidP="00C80DDA">
      <w:pPr>
        <w:rPr>
          <w:lang w:val="ru-RU"/>
        </w:rPr>
      </w:pPr>
      <w:r w:rsidRPr="000B033C">
        <w:rPr>
          <w:lang w:val="ru-RU"/>
        </w:rPr>
        <w:t xml:space="preserve">Сферы деятельности внутреннего аудита, внешнего аудита и такого комитета, как </w:t>
      </w:r>
      <w:r w:rsidR="0084116D" w:rsidRPr="000B033C">
        <w:rPr>
          <w:lang w:val="ru-RU"/>
        </w:rPr>
        <w:t>IMAC</w:t>
      </w:r>
      <w:r w:rsidRPr="000B033C">
        <w:rPr>
          <w:lang w:val="ru-RU"/>
        </w:rPr>
        <w:t>, различны и</w:t>
      </w:r>
      <w:r w:rsidR="00C80DDA">
        <w:rPr>
          <w:lang w:val="en-US"/>
        </w:rPr>
        <w:t> </w:t>
      </w:r>
      <w:r w:rsidRPr="000B033C">
        <w:rPr>
          <w:lang w:val="ru-RU"/>
        </w:rPr>
        <w:t>не схожи между собой</w:t>
      </w:r>
      <w:r w:rsidR="0084116D" w:rsidRPr="000B033C">
        <w:rPr>
          <w:lang w:val="ru-RU"/>
        </w:rPr>
        <w:t xml:space="preserve">. </w:t>
      </w:r>
      <w:r w:rsidRPr="000B033C">
        <w:rPr>
          <w:lang w:val="ru-RU"/>
        </w:rPr>
        <w:t>Они могут быть взаимодополняющими, но они совсем не одинаковы</w:t>
      </w:r>
      <w:r w:rsidR="0084116D" w:rsidRPr="000B033C">
        <w:rPr>
          <w:lang w:val="ru-RU"/>
        </w:rPr>
        <w:t>.</w:t>
      </w:r>
    </w:p>
    <w:p w14:paraId="34682DD0" w14:textId="4E078EA4" w:rsidR="0084116D" w:rsidRPr="000B033C" w:rsidRDefault="008154CA" w:rsidP="00C80DDA">
      <w:pPr>
        <w:rPr>
          <w:lang w:val="ru-RU"/>
        </w:rPr>
      </w:pPr>
      <w:r w:rsidRPr="000B033C">
        <w:rPr>
          <w:lang w:val="ru-RU"/>
        </w:rPr>
        <w:t>Роль и существование комитетов по аудиту и надзору имеют целью поддержание надлежащего управления, разумного управления финансовой деятельностью и финансовым контролем, финансовую целостность и этичное поведение</w:t>
      </w:r>
      <w:r w:rsidR="0084116D" w:rsidRPr="000B033C">
        <w:rPr>
          <w:lang w:val="ru-RU"/>
        </w:rPr>
        <w:t>.</w:t>
      </w:r>
    </w:p>
    <w:p w14:paraId="1BB26286" w14:textId="08F1D3E5" w:rsidR="0084116D" w:rsidRPr="000B033C" w:rsidRDefault="008154CA" w:rsidP="00F51E32">
      <w:pPr>
        <w:pStyle w:val="Headingb"/>
        <w:rPr>
          <w:lang w:val="ru-RU"/>
        </w:rPr>
      </w:pPr>
      <w:r w:rsidRPr="000B033C">
        <w:rPr>
          <w:lang w:val="ru-RU"/>
        </w:rPr>
        <w:t>ПРЕИМУЩЕСТВА НАЛИЧИЯ</w:t>
      </w:r>
      <w:r w:rsidR="0084116D" w:rsidRPr="000B033C">
        <w:rPr>
          <w:lang w:val="ru-RU"/>
        </w:rPr>
        <w:t xml:space="preserve"> IMAC</w:t>
      </w:r>
    </w:p>
    <w:p w14:paraId="257A7FFB" w14:textId="7CBA0A42" w:rsidR="0084116D" w:rsidRPr="000B033C" w:rsidRDefault="008154CA" w:rsidP="00C80DDA">
      <w:pPr>
        <w:rPr>
          <w:lang w:val="ru-RU"/>
        </w:rPr>
      </w:pPr>
      <w:r w:rsidRPr="000B033C">
        <w:rPr>
          <w:lang w:val="ru-RU"/>
        </w:rPr>
        <w:t>Основная причина создания Независимого консультативного комитета по управлению неразрывно связана с соблюдением принятых стандартов надлежащего управления, финансовой целостности и</w:t>
      </w:r>
      <w:r w:rsidR="00C80DDA">
        <w:rPr>
          <w:lang w:val="en-US"/>
        </w:rPr>
        <w:t> </w:t>
      </w:r>
      <w:r w:rsidRPr="000B033C">
        <w:rPr>
          <w:lang w:val="ru-RU"/>
        </w:rPr>
        <w:t>эффективной подотчетности, а также с содействием улучшенному руководству и управлению рисками</w:t>
      </w:r>
      <w:r w:rsidR="0084116D" w:rsidRPr="000B033C">
        <w:rPr>
          <w:lang w:val="ru-RU"/>
        </w:rPr>
        <w:t xml:space="preserve">. </w:t>
      </w:r>
      <w:r w:rsidRPr="000B033C">
        <w:rPr>
          <w:lang w:val="ru-RU"/>
        </w:rPr>
        <w:t xml:space="preserve">Как и другие меры соблюдения и контроля, такие как используемые для поддержки необходимости регулярности, финансовой </w:t>
      </w:r>
      <w:r w:rsidR="006C6375" w:rsidRPr="000B033C">
        <w:rPr>
          <w:lang w:val="ru-RU"/>
        </w:rPr>
        <w:t>неподкупности и этики, функции надзора не рассчитаны на достижение финансовых целей</w:t>
      </w:r>
      <w:r w:rsidR="0084116D" w:rsidRPr="000B033C">
        <w:rPr>
          <w:lang w:val="ru-RU"/>
        </w:rPr>
        <w:t xml:space="preserve"> (</w:t>
      </w:r>
      <w:r w:rsidR="00C6108A" w:rsidRPr="000B033C">
        <w:rPr>
          <w:lang w:val="ru-RU"/>
        </w:rPr>
        <w:t>за исключением ответственного управления бюджетом и</w:t>
      </w:r>
      <w:r w:rsidR="00C80DDA">
        <w:rPr>
          <w:lang w:val="en-US"/>
        </w:rPr>
        <w:t> </w:t>
      </w:r>
      <w:r w:rsidR="00C6108A" w:rsidRPr="000B033C">
        <w:rPr>
          <w:lang w:val="ru-RU"/>
        </w:rPr>
        <w:t>эффективности</w:t>
      </w:r>
      <w:r w:rsidR="0084116D" w:rsidRPr="000B033C">
        <w:rPr>
          <w:lang w:val="ru-RU"/>
        </w:rPr>
        <w:t xml:space="preserve">); </w:t>
      </w:r>
      <w:r w:rsidR="00C6108A" w:rsidRPr="000B033C">
        <w:rPr>
          <w:lang w:val="ru-RU"/>
        </w:rPr>
        <w:t>и не предназначаются для получения финансовой прибыли от инвестиций, хотя</w:t>
      </w:r>
      <w:r w:rsidR="00C80DDA">
        <w:rPr>
          <w:lang w:val="en-US"/>
        </w:rPr>
        <w:t> </w:t>
      </w:r>
      <w:r w:rsidR="00C6108A" w:rsidRPr="000B033C">
        <w:rPr>
          <w:lang w:val="ru-RU"/>
        </w:rPr>
        <w:t xml:space="preserve">существование и функционирование этих механизмов </w:t>
      </w:r>
      <w:r w:rsidR="00863472" w:rsidRPr="000B033C">
        <w:rPr>
          <w:lang w:val="ru-RU"/>
        </w:rPr>
        <w:t>может соответствовать косвенным финансовым и экономическим интересам организации</w:t>
      </w:r>
      <w:r w:rsidR="0084116D" w:rsidRPr="000B033C">
        <w:rPr>
          <w:lang w:val="ru-RU"/>
        </w:rPr>
        <w:t xml:space="preserve">. </w:t>
      </w:r>
    </w:p>
    <w:p w14:paraId="678C76BB" w14:textId="60D5F6DB" w:rsidR="0084116D" w:rsidRPr="000B033C" w:rsidRDefault="00863472" w:rsidP="00C80DDA">
      <w:pPr>
        <w:rPr>
          <w:lang w:val="ru-RU"/>
        </w:rPr>
      </w:pPr>
      <w:r w:rsidRPr="000B033C">
        <w:rPr>
          <w:lang w:val="ru-RU"/>
        </w:rPr>
        <w:t xml:space="preserve">Консультации, рекомендации и руководящие указания, предоставляемые </w:t>
      </w:r>
      <w:r w:rsidR="0084116D" w:rsidRPr="000B033C">
        <w:rPr>
          <w:lang w:val="ru-RU"/>
        </w:rPr>
        <w:t xml:space="preserve">IMAC </w:t>
      </w:r>
      <w:r w:rsidRPr="000B033C">
        <w:rPr>
          <w:lang w:val="ru-RU"/>
        </w:rPr>
        <w:t>Совету и руководству МСЭ со времени учреждения Комитета, отражены в ежегодных отчетах, а также в отчетах о ходе работы, представляемых Рабочей группе Совета по финансовым и людским ресурсам</w:t>
      </w:r>
      <w:r w:rsidR="0084116D" w:rsidRPr="000B033C">
        <w:rPr>
          <w:lang w:val="ru-RU"/>
        </w:rPr>
        <w:t xml:space="preserve">. </w:t>
      </w:r>
      <w:r w:rsidRPr="000B033C">
        <w:rPr>
          <w:lang w:val="ru-RU"/>
        </w:rPr>
        <w:t>Осуществление рекомендаций и соответствующее совершенствование МСЭ может рассматриваться как дополнительная стоимость, получаемая МСЭ и его Государствами-Членами</w:t>
      </w:r>
      <w:r w:rsidR="0084116D" w:rsidRPr="000B033C">
        <w:rPr>
          <w:lang w:val="ru-RU"/>
        </w:rPr>
        <w:t xml:space="preserve">. </w:t>
      </w:r>
    </w:p>
    <w:p w14:paraId="12B3C6C4" w14:textId="5138A68C" w:rsidR="0084116D" w:rsidRPr="000A5337" w:rsidRDefault="00100A44" w:rsidP="00B15118">
      <w:pPr>
        <w:rPr>
          <w:lang w:val="ru-RU"/>
        </w:rPr>
      </w:pPr>
      <w:r w:rsidRPr="000B033C">
        <w:rPr>
          <w:lang w:val="ru-RU"/>
        </w:rPr>
        <w:t>Совет и Государства-Чле</w:t>
      </w:r>
      <w:r w:rsidR="005A3321">
        <w:rPr>
          <w:lang w:val="ru-RU"/>
        </w:rPr>
        <w:t>ны могут пожелать отметить, что</w:t>
      </w:r>
      <w:r w:rsidRPr="000B033C">
        <w:rPr>
          <w:lang w:val="ru-RU"/>
        </w:rPr>
        <w:t xml:space="preserve"> в соответствии с добросовестной практикой и собственными правилами процедуры</w:t>
      </w:r>
      <w:r w:rsidR="0084116D" w:rsidRPr="000B033C">
        <w:rPr>
          <w:lang w:val="ru-RU"/>
        </w:rPr>
        <w:t xml:space="preserve"> IMAC </w:t>
      </w:r>
      <w:r w:rsidR="007D0030" w:rsidRPr="000B033C">
        <w:rPr>
          <w:lang w:val="ru-RU"/>
        </w:rPr>
        <w:t xml:space="preserve">может </w:t>
      </w:r>
      <w:r w:rsidRPr="000B033C">
        <w:rPr>
          <w:lang w:val="ru-RU"/>
        </w:rPr>
        <w:t>периодически проводит</w:t>
      </w:r>
      <w:r w:rsidR="007D0030" w:rsidRPr="000B033C">
        <w:rPr>
          <w:lang w:val="ru-RU"/>
        </w:rPr>
        <w:t>ь</w:t>
      </w:r>
      <w:r w:rsidRPr="000B033C">
        <w:rPr>
          <w:lang w:val="ru-RU"/>
        </w:rPr>
        <w:t xml:space="preserve"> самооценку показателей своей работы</w:t>
      </w:r>
      <w:r w:rsidR="007D0030" w:rsidRPr="000B033C">
        <w:rPr>
          <w:lang w:val="ru-RU"/>
        </w:rPr>
        <w:t xml:space="preserve"> и уже осуществлял нечто в этом роде</w:t>
      </w:r>
      <w:r w:rsidR="0084116D" w:rsidRPr="000B033C">
        <w:rPr>
          <w:lang w:val="ru-RU"/>
        </w:rPr>
        <w:t xml:space="preserve">. </w:t>
      </w:r>
      <w:r w:rsidR="007D0030" w:rsidRPr="000B033C">
        <w:rPr>
          <w:lang w:val="ru-RU"/>
        </w:rPr>
        <w:t>Результаты этой самооценки – определения соответствия принципам добросовестной практики и в связи с этим эффективности Комитета</w:t>
      </w:r>
      <w:r w:rsidR="0084116D" w:rsidRPr="000B033C">
        <w:rPr>
          <w:lang w:val="ru-RU"/>
        </w:rPr>
        <w:t xml:space="preserve"> </w:t>
      </w:r>
      <w:r w:rsidR="007D0030" w:rsidRPr="000B033C">
        <w:rPr>
          <w:lang w:val="ru-RU"/>
        </w:rPr>
        <w:t>–</w:t>
      </w:r>
      <w:r w:rsidR="0084116D" w:rsidRPr="000B033C">
        <w:rPr>
          <w:lang w:val="ru-RU"/>
        </w:rPr>
        <w:t xml:space="preserve"> </w:t>
      </w:r>
      <w:r w:rsidR="007D0030" w:rsidRPr="000B033C">
        <w:rPr>
          <w:lang w:val="ru-RU"/>
        </w:rPr>
        <w:t>были представлены Совету в 2013 году во втором ежегодной отчете</w:t>
      </w:r>
      <w:r w:rsidR="0084116D" w:rsidRPr="000B033C">
        <w:rPr>
          <w:lang w:val="ru-RU"/>
        </w:rPr>
        <w:t xml:space="preserve"> IMAC (</w:t>
      </w:r>
      <w:r w:rsidR="007D0030" w:rsidRPr="000B033C">
        <w:rPr>
          <w:lang w:val="ru-RU"/>
        </w:rPr>
        <w:t>пункты </w:t>
      </w:r>
      <w:r w:rsidR="0084116D" w:rsidRPr="000B033C">
        <w:rPr>
          <w:lang w:val="ru-RU"/>
        </w:rPr>
        <w:t xml:space="preserve">2.3 </w:t>
      </w:r>
      <w:r w:rsidR="007D0030" w:rsidRPr="000B033C">
        <w:rPr>
          <w:lang w:val="ru-RU"/>
        </w:rPr>
        <w:t>и</w:t>
      </w:r>
      <w:r w:rsidR="00C80DDA">
        <w:rPr>
          <w:lang w:val="en-US"/>
        </w:rPr>
        <w:t> </w:t>
      </w:r>
      <w:r w:rsidR="0084116D" w:rsidRPr="000B033C">
        <w:rPr>
          <w:lang w:val="ru-RU"/>
        </w:rPr>
        <w:t xml:space="preserve">2.4 </w:t>
      </w:r>
      <w:r w:rsidR="007D0030" w:rsidRPr="000B033C">
        <w:rPr>
          <w:lang w:val="ru-RU"/>
        </w:rPr>
        <w:t>Документа </w:t>
      </w:r>
      <w:r w:rsidR="0084116D" w:rsidRPr="000B033C">
        <w:rPr>
          <w:lang w:val="ru-RU"/>
        </w:rPr>
        <w:t xml:space="preserve">C13/65). </w:t>
      </w:r>
      <w:r w:rsidR="007D0030" w:rsidRPr="000B033C">
        <w:rPr>
          <w:lang w:val="ru-RU"/>
        </w:rPr>
        <w:t>Как этот отчет, так и подробные результаты самооценки размещены в</w:t>
      </w:r>
      <w:r w:rsidR="00C80DDA">
        <w:rPr>
          <w:lang w:val="en-US"/>
        </w:rPr>
        <w:t> </w:t>
      </w:r>
      <w:r w:rsidR="007D0030" w:rsidRPr="000B033C">
        <w:rPr>
          <w:lang w:val="ru-RU"/>
        </w:rPr>
        <w:t>разделе IMAC общедоступного сайта</w:t>
      </w:r>
      <w:r w:rsidR="000A5337">
        <w:rPr>
          <w:lang w:val="ru-RU"/>
        </w:rPr>
        <w:t xml:space="preserve"> МСЭ</w:t>
      </w:r>
      <w:r w:rsidR="00B15118">
        <w:rPr>
          <w:lang w:val="ru-RU"/>
        </w:rPr>
        <w:t>, см.</w:t>
      </w:r>
      <w:r w:rsidR="000A5337">
        <w:rPr>
          <w:lang w:val="ru-RU"/>
        </w:rPr>
        <w:t xml:space="preserve"> </w:t>
      </w:r>
      <w:hyperlink r:id="rId16" w:history="1">
        <w:r w:rsidR="008D1EA1">
          <w:rPr>
            <w:rStyle w:val="Hyperlink"/>
            <w:rFonts w:asciiTheme="minorHAnsi" w:hAnsiTheme="minorHAnsi"/>
            <w:bCs/>
            <w:szCs w:val="22"/>
          </w:rPr>
          <w:t>http</w:t>
        </w:r>
        <w:r w:rsidR="008D1EA1" w:rsidRPr="008D1EA1">
          <w:rPr>
            <w:rStyle w:val="Hyperlink"/>
            <w:rFonts w:asciiTheme="minorHAnsi" w:hAnsiTheme="minorHAnsi"/>
            <w:bCs/>
            <w:szCs w:val="22"/>
            <w:lang w:val="ru-RU"/>
          </w:rPr>
          <w:t>://</w:t>
        </w:r>
        <w:r w:rsidR="008D1EA1">
          <w:rPr>
            <w:rStyle w:val="Hyperlink"/>
            <w:rFonts w:asciiTheme="minorHAnsi" w:hAnsiTheme="minorHAnsi"/>
            <w:bCs/>
            <w:szCs w:val="22"/>
          </w:rPr>
          <w:t>www</w:t>
        </w:r>
        <w:r w:rsidR="008D1EA1" w:rsidRPr="008D1EA1">
          <w:rPr>
            <w:rStyle w:val="Hyperlink"/>
            <w:rFonts w:asciiTheme="minorHAnsi" w:hAnsiTheme="minorHAnsi"/>
            <w:bCs/>
            <w:szCs w:val="22"/>
            <w:lang w:val="ru-RU"/>
          </w:rPr>
          <w:t>.</w:t>
        </w:r>
        <w:proofErr w:type="spellStart"/>
        <w:r w:rsidR="008D1EA1">
          <w:rPr>
            <w:rStyle w:val="Hyperlink"/>
            <w:rFonts w:asciiTheme="minorHAnsi" w:hAnsiTheme="minorHAnsi"/>
            <w:bCs/>
            <w:szCs w:val="22"/>
          </w:rPr>
          <w:t>itu</w:t>
        </w:r>
        <w:proofErr w:type="spellEnd"/>
        <w:r w:rsidR="008D1EA1" w:rsidRPr="008D1EA1">
          <w:rPr>
            <w:rStyle w:val="Hyperlink"/>
            <w:rFonts w:asciiTheme="minorHAnsi" w:hAnsiTheme="minorHAnsi"/>
            <w:bCs/>
            <w:szCs w:val="22"/>
            <w:lang w:val="ru-RU"/>
          </w:rPr>
          <w:t>.</w:t>
        </w:r>
        <w:proofErr w:type="spellStart"/>
        <w:r w:rsidR="008D1EA1">
          <w:rPr>
            <w:rStyle w:val="Hyperlink"/>
            <w:rFonts w:asciiTheme="minorHAnsi" w:hAnsiTheme="minorHAnsi"/>
            <w:bCs/>
            <w:szCs w:val="22"/>
          </w:rPr>
          <w:t>int</w:t>
        </w:r>
        <w:proofErr w:type="spellEnd"/>
        <w:r w:rsidR="008D1EA1" w:rsidRPr="008D1EA1">
          <w:rPr>
            <w:rStyle w:val="Hyperlink"/>
            <w:rFonts w:asciiTheme="minorHAnsi" w:hAnsiTheme="minorHAnsi"/>
            <w:bCs/>
            <w:szCs w:val="22"/>
            <w:lang w:val="ru-RU"/>
          </w:rPr>
          <w:t>/</w:t>
        </w:r>
        <w:proofErr w:type="spellStart"/>
        <w:r w:rsidR="008D1EA1">
          <w:rPr>
            <w:rStyle w:val="Hyperlink"/>
            <w:rFonts w:asciiTheme="minorHAnsi" w:hAnsiTheme="minorHAnsi"/>
            <w:bCs/>
            <w:szCs w:val="22"/>
          </w:rPr>
          <w:t>en</w:t>
        </w:r>
        <w:proofErr w:type="spellEnd"/>
        <w:r w:rsidR="008D1EA1" w:rsidRPr="008D1EA1">
          <w:rPr>
            <w:rStyle w:val="Hyperlink"/>
            <w:rFonts w:asciiTheme="minorHAnsi" w:hAnsiTheme="minorHAnsi"/>
            <w:bCs/>
            <w:szCs w:val="22"/>
            <w:lang w:val="ru-RU"/>
          </w:rPr>
          <w:t>/</w:t>
        </w:r>
        <w:r w:rsidR="008D1EA1">
          <w:rPr>
            <w:rStyle w:val="Hyperlink"/>
            <w:rFonts w:asciiTheme="minorHAnsi" w:hAnsiTheme="minorHAnsi"/>
            <w:bCs/>
            <w:szCs w:val="22"/>
          </w:rPr>
          <w:t>council</w:t>
        </w:r>
        <w:r w:rsidR="008D1EA1" w:rsidRPr="008D1EA1">
          <w:rPr>
            <w:rStyle w:val="Hyperlink"/>
            <w:rFonts w:asciiTheme="minorHAnsi" w:hAnsiTheme="minorHAnsi"/>
            <w:bCs/>
            <w:szCs w:val="22"/>
            <w:lang w:val="ru-RU"/>
          </w:rPr>
          <w:t>/</w:t>
        </w:r>
        <w:r w:rsidR="008D1EA1">
          <w:rPr>
            <w:rStyle w:val="Hyperlink"/>
            <w:rFonts w:asciiTheme="minorHAnsi" w:hAnsiTheme="minorHAnsi"/>
            <w:bCs/>
            <w:szCs w:val="22"/>
          </w:rPr>
          <w:t>Pages</w:t>
        </w:r>
        <w:r w:rsidR="008D1EA1" w:rsidRPr="008D1EA1">
          <w:rPr>
            <w:rStyle w:val="Hyperlink"/>
            <w:rFonts w:asciiTheme="minorHAnsi" w:hAnsiTheme="minorHAnsi"/>
            <w:bCs/>
            <w:szCs w:val="22"/>
            <w:lang w:val="ru-RU"/>
          </w:rPr>
          <w:t>/</w:t>
        </w:r>
        <w:proofErr w:type="spellStart"/>
        <w:r w:rsidR="008D1EA1">
          <w:rPr>
            <w:rStyle w:val="Hyperlink"/>
            <w:rFonts w:asciiTheme="minorHAnsi" w:hAnsiTheme="minorHAnsi"/>
            <w:bCs/>
            <w:szCs w:val="22"/>
          </w:rPr>
          <w:t>imac</w:t>
        </w:r>
        <w:proofErr w:type="spellEnd"/>
        <w:r w:rsidR="008D1EA1" w:rsidRPr="008D1EA1">
          <w:rPr>
            <w:rStyle w:val="Hyperlink"/>
            <w:rFonts w:asciiTheme="minorHAnsi" w:hAnsiTheme="minorHAnsi"/>
            <w:bCs/>
            <w:szCs w:val="22"/>
            <w:lang w:val="ru-RU"/>
          </w:rPr>
          <w:t>.</w:t>
        </w:r>
        <w:proofErr w:type="spellStart"/>
        <w:r w:rsidR="008D1EA1">
          <w:rPr>
            <w:rStyle w:val="Hyperlink"/>
            <w:rFonts w:asciiTheme="minorHAnsi" w:hAnsiTheme="minorHAnsi"/>
            <w:bCs/>
            <w:szCs w:val="22"/>
          </w:rPr>
          <w:t>aspx</w:t>
        </w:r>
        <w:proofErr w:type="spellEnd"/>
      </w:hyperlink>
      <w:r w:rsidR="00B15118" w:rsidRPr="000B033C">
        <w:rPr>
          <w:lang w:val="ru-RU"/>
        </w:rPr>
        <w:t>.</w:t>
      </w:r>
    </w:p>
    <w:p w14:paraId="39537464" w14:textId="77777777" w:rsidR="00362D9B" w:rsidRPr="00362D9B" w:rsidRDefault="00362D9B" w:rsidP="0032202E">
      <w:pPr>
        <w:pStyle w:val="Reasons"/>
        <w:rPr>
          <w:lang w:val="ru-RU"/>
        </w:rPr>
      </w:pPr>
    </w:p>
    <w:p w14:paraId="51A4F166" w14:textId="77777777" w:rsidR="00362D9B" w:rsidRDefault="00362D9B">
      <w:pPr>
        <w:jc w:val="center"/>
      </w:pPr>
      <w:r>
        <w:t>______________</w:t>
      </w:r>
    </w:p>
    <w:sectPr w:rsidR="00362D9B" w:rsidSect="00CF629C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536A4" w14:textId="77777777" w:rsidR="00F51E32" w:rsidRDefault="00F51E32">
      <w:r>
        <w:separator/>
      </w:r>
    </w:p>
  </w:endnote>
  <w:endnote w:type="continuationSeparator" w:id="0">
    <w:p w14:paraId="7169050D" w14:textId="77777777" w:rsidR="00F51E32" w:rsidRDefault="00F5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F07B0" w14:textId="651858D2" w:rsidR="00F51E32" w:rsidRPr="004F5783" w:rsidRDefault="00F51E32" w:rsidP="00C80DDA">
    <w:pPr>
      <w:pStyle w:val="Footer"/>
    </w:pPr>
    <w:r>
      <w:fldChar w:fldCharType="begin"/>
    </w:r>
    <w:r w:rsidRPr="004F5783">
      <w:instrText xml:space="preserve"> FILENAME \p  \* MERGEFORMAT </w:instrText>
    </w:r>
    <w:r>
      <w:fldChar w:fldCharType="separate"/>
    </w:r>
    <w:r w:rsidR="00A46F59" w:rsidRPr="004F5783">
      <w:t>P:\RUS\SG\CONSEIL\C15\000\022V2R.docx</w:t>
    </w:r>
    <w:r>
      <w:rPr>
        <w:lang w:val="en-US"/>
      </w:rPr>
      <w:fldChar w:fldCharType="end"/>
    </w:r>
    <w:r w:rsidR="00C80DDA" w:rsidRPr="004F5783">
      <w:t xml:space="preserve"> (375131</w:t>
    </w:r>
    <w:r w:rsidRPr="004F5783">
      <w:t>)</w:t>
    </w:r>
    <w:r w:rsidRPr="004F5783">
      <w:tab/>
    </w:r>
    <w:r>
      <w:fldChar w:fldCharType="begin"/>
    </w:r>
    <w:r>
      <w:instrText xml:space="preserve"> SAVEDATE \@ DD.MM.YY </w:instrText>
    </w:r>
    <w:r>
      <w:fldChar w:fldCharType="separate"/>
    </w:r>
    <w:r w:rsidR="004F5783">
      <w:t>14.05.15</w:t>
    </w:r>
    <w:r>
      <w:fldChar w:fldCharType="end"/>
    </w:r>
    <w:r w:rsidRPr="004F5783">
      <w:tab/>
    </w:r>
    <w:r>
      <w:fldChar w:fldCharType="begin"/>
    </w:r>
    <w:r>
      <w:instrText xml:space="preserve"> PRINTDATE \@ DD.MM.YY </w:instrText>
    </w:r>
    <w:r>
      <w:fldChar w:fldCharType="separate"/>
    </w:r>
    <w:r w:rsidR="00A46F59">
      <w:t>14.05.15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1F71E" w14:textId="77777777" w:rsidR="00F51E32" w:rsidRDefault="00F51E3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902085A" w14:textId="2409B76F" w:rsidR="00F51E32" w:rsidRPr="004F5783" w:rsidRDefault="00F51E32" w:rsidP="00C80DDA">
    <w:pPr>
      <w:pStyle w:val="Footer"/>
    </w:pPr>
    <w:r>
      <w:fldChar w:fldCharType="begin"/>
    </w:r>
    <w:r w:rsidRPr="004F5783">
      <w:instrText xml:space="preserve"> FILENAME \p  \* MERGEFORMAT </w:instrText>
    </w:r>
    <w:r>
      <w:fldChar w:fldCharType="separate"/>
    </w:r>
    <w:r w:rsidR="00A46F59" w:rsidRPr="004F5783">
      <w:t>P:\RUS\SG\CONSEIL\C15\000\022V2R.docx</w:t>
    </w:r>
    <w:r>
      <w:rPr>
        <w:lang w:val="en-US"/>
      </w:rPr>
      <w:fldChar w:fldCharType="end"/>
    </w:r>
    <w:r w:rsidRPr="004F5783">
      <w:t xml:space="preserve"> (3751</w:t>
    </w:r>
    <w:r w:rsidR="00C80DDA" w:rsidRPr="004F5783">
      <w:t>31</w:t>
    </w:r>
    <w:r w:rsidRPr="004F5783">
      <w:t>)</w:t>
    </w:r>
    <w:r w:rsidRPr="004F5783">
      <w:tab/>
    </w:r>
    <w:r>
      <w:fldChar w:fldCharType="begin"/>
    </w:r>
    <w:r>
      <w:instrText xml:space="preserve"> SAVEDATE \@ DD.MM.YY </w:instrText>
    </w:r>
    <w:r>
      <w:fldChar w:fldCharType="separate"/>
    </w:r>
    <w:r w:rsidR="004F5783">
      <w:t>14.05.15</w:t>
    </w:r>
    <w:r>
      <w:fldChar w:fldCharType="end"/>
    </w:r>
    <w:r w:rsidRPr="004F5783">
      <w:tab/>
    </w:r>
    <w:r>
      <w:fldChar w:fldCharType="begin"/>
    </w:r>
    <w:r>
      <w:instrText xml:space="preserve"> PRINTDATE \@ DD.MM.YY </w:instrText>
    </w:r>
    <w:r>
      <w:fldChar w:fldCharType="separate"/>
    </w:r>
    <w:r w:rsidR="00A46F59">
      <w:t>14.05.15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52479" w14:textId="77777777" w:rsidR="00F51E32" w:rsidRDefault="00F51E32">
      <w:r>
        <w:t>____________________</w:t>
      </w:r>
    </w:p>
  </w:footnote>
  <w:footnote w:type="continuationSeparator" w:id="0">
    <w:p w14:paraId="6E797530" w14:textId="77777777" w:rsidR="00F51E32" w:rsidRDefault="00F51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82AA4" w14:textId="77777777" w:rsidR="00F51E32" w:rsidRDefault="00F51E3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F5783">
      <w:rPr>
        <w:noProof/>
      </w:rPr>
      <w:t>10</w:t>
    </w:r>
    <w:r>
      <w:rPr>
        <w:noProof/>
      </w:rPr>
      <w:fldChar w:fldCharType="end"/>
    </w:r>
  </w:p>
  <w:p w14:paraId="5E28CE36" w14:textId="77777777" w:rsidR="00F51E32" w:rsidRDefault="00F51E32" w:rsidP="0084116D">
    <w:pPr>
      <w:pStyle w:val="Header"/>
      <w:spacing w:after="480"/>
    </w:pPr>
    <w:r>
      <w:t>C15/</w:t>
    </w:r>
    <w:r>
      <w:rPr>
        <w:lang w:val="ru-RU"/>
      </w:rPr>
      <w:t>22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E45910"/>
    <w:multiLevelType w:val="multilevel"/>
    <w:tmpl w:val="98EAB7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1491515"/>
    <w:multiLevelType w:val="multilevel"/>
    <w:tmpl w:val="58226F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8E87C14"/>
    <w:multiLevelType w:val="hybridMultilevel"/>
    <w:tmpl w:val="A54A8EF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6D470B9F"/>
    <w:multiLevelType w:val="singleLevel"/>
    <w:tmpl w:val="6D470B9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A7"/>
    <w:rsid w:val="00000BD4"/>
    <w:rsid w:val="00002114"/>
    <w:rsid w:val="000134A1"/>
    <w:rsid w:val="0002183E"/>
    <w:rsid w:val="000569B4"/>
    <w:rsid w:val="000663F2"/>
    <w:rsid w:val="00080E82"/>
    <w:rsid w:val="000A5337"/>
    <w:rsid w:val="000B033C"/>
    <w:rsid w:val="000B133F"/>
    <w:rsid w:val="000B234C"/>
    <w:rsid w:val="000D1A0E"/>
    <w:rsid w:val="000E3CAA"/>
    <w:rsid w:val="000E568E"/>
    <w:rsid w:val="00100A44"/>
    <w:rsid w:val="00146EEA"/>
    <w:rsid w:val="0014734F"/>
    <w:rsid w:val="001513C0"/>
    <w:rsid w:val="0015710D"/>
    <w:rsid w:val="00163A32"/>
    <w:rsid w:val="00167F15"/>
    <w:rsid w:val="00192B41"/>
    <w:rsid w:val="00192C90"/>
    <w:rsid w:val="001B7B09"/>
    <w:rsid w:val="001C7375"/>
    <w:rsid w:val="001E6719"/>
    <w:rsid w:val="0020081B"/>
    <w:rsid w:val="00214B39"/>
    <w:rsid w:val="00224FB9"/>
    <w:rsid w:val="00225368"/>
    <w:rsid w:val="00227F3B"/>
    <w:rsid w:val="00227FF0"/>
    <w:rsid w:val="00241638"/>
    <w:rsid w:val="00243632"/>
    <w:rsid w:val="0024401D"/>
    <w:rsid w:val="00291EB6"/>
    <w:rsid w:val="00292B8A"/>
    <w:rsid w:val="00293D03"/>
    <w:rsid w:val="002B532E"/>
    <w:rsid w:val="002C6E85"/>
    <w:rsid w:val="002D0DF8"/>
    <w:rsid w:val="002D246B"/>
    <w:rsid w:val="002D2F57"/>
    <w:rsid w:val="002D48C5"/>
    <w:rsid w:val="00300651"/>
    <w:rsid w:val="00315194"/>
    <w:rsid w:val="00316C64"/>
    <w:rsid w:val="00317094"/>
    <w:rsid w:val="0032293E"/>
    <w:rsid w:val="00322B9D"/>
    <w:rsid w:val="00331146"/>
    <w:rsid w:val="00332E37"/>
    <w:rsid w:val="003358C7"/>
    <w:rsid w:val="00357C1A"/>
    <w:rsid w:val="00362D9B"/>
    <w:rsid w:val="0036394E"/>
    <w:rsid w:val="00382E0D"/>
    <w:rsid w:val="00386C70"/>
    <w:rsid w:val="003C28BC"/>
    <w:rsid w:val="003D0C6A"/>
    <w:rsid w:val="003D5BA0"/>
    <w:rsid w:val="003F099E"/>
    <w:rsid w:val="003F235E"/>
    <w:rsid w:val="004020C3"/>
    <w:rsid w:val="004023E0"/>
    <w:rsid w:val="00403DD8"/>
    <w:rsid w:val="00417118"/>
    <w:rsid w:val="004240CD"/>
    <w:rsid w:val="00442494"/>
    <w:rsid w:val="0045686C"/>
    <w:rsid w:val="00471FA1"/>
    <w:rsid w:val="004918C4"/>
    <w:rsid w:val="004A28C6"/>
    <w:rsid w:val="004A4190"/>
    <w:rsid w:val="004A45B5"/>
    <w:rsid w:val="004B68F6"/>
    <w:rsid w:val="004C25E6"/>
    <w:rsid w:val="004C2FCA"/>
    <w:rsid w:val="004D0129"/>
    <w:rsid w:val="004E09C2"/>
    <w:rsid w:val="004E54DC"/>
    <w:rsid w:val="004F5783"/>
    <w:rsid w:val="005248B3"/>
    <w:rsid w:val="0053512A"/>
    <w:rsid w:val="00540907"/>
    <w:rsid w:val="00567B8A"/>
    <w:rsid w:val="00587B30"/>
    <w:rsid w:val="00594290"/>
    <w:rsid w:val="00594551"/>
    <w:rsid w:val="005A2438"/>
    <w:rsid w:val="005A3321"/>
    <w:rsid w:val="005A64D5"/>
    <w:rsid w:val="005A75EA"/>
    <w:rsid w:val="005E1FB4"/>
    <w:rsid w:val="005E4EAF"/>
    <w:rsid w:val="005F5BD0"/>
    <w:rsid w:val="00601994"/>
    <w:rsid w:val="006075F7"/>
    <w:rsid w:val="00620395"/>
    <w:rsid w:val="0062484B"/>
    <w:rsid w:val="00626C43"/>
    <w:rsid w:val="00630511"/>
    <w:rsid w:val="0063199E"/>
    <w:rsid w:val="00632BA5"/>
    <w:rsid w:val="00632D61"/>
    <w:rsid w:val="0066366D"/>
    <w:rsid w:val="006862AE"/>
    <w:rsid w:val="006C6375"/>
    <w:rsid w:val="006C63B0"/>
    <w:rsid w:val="006D0EBE"/>
    <w:rsid w:val="006D2873"/>
    <w:rsid w:val="006E2D2E"/>
    <w:rsid w:val="006E2D42"/>
    <w:rsid w:val="006F182E"/>
    <w:rsid w:val="00703676"/>
    <w:rsid w:val="007065F1"/>
    <w:rsid w:val="00707304"/>
    <w:rsid w:val="00730F54"/>
    <w:rsid w:val="00732269"/>
    <w:rsid w:val="0073318A"/>
    <w:rsid w:val="00741619"/>
    <w:rsid w:val="00785ABD"/>
    <w:rsid w:val="00786C7B"/>
    <w:rsid w:val="00790FE2"/>
    <w:rsid w:val="007A2DD4"/>
    <w:rsid w:val="007A56E6"/>
    <w:rsid w:val="007A5E30"/>
    <w:rsid w:val="007B55C7"/>
    <w:rsid w:val="007C0196"/>
    <w:rsid w:val="007D0030"/>
    <w:rsid w:val="007D38B5"/>
    <w:rsid w:val="007E7EA0"/>
    <w:rsid w:val="007F6F0C"/>
    <w:rsid w:val="00807255"/>
    <w:rsid w:val="0081023E"/>
    <w:rsid w:val="008111EC"/>
    <w:rsid w:val="008154CA"/>
    <w:rsid w:val="00817088"/>
    <w:rsid w:val="008173AA"/>
    <w:rsid w:val="00832E85"/>
    <w:rsid w:val="00837E64"/>
    <w:rsid w:val="00840A14"/>
    <w:rsid w:val="0084116D"/>
    <w:rsid w:val="00842659"/>
    <w:rsid w:val="0085120A"/>
    <w:rsid w:val="00863472"/>
    <w:rsid w:val="00883664"/>
    <w:rsid w:val="00896ACE"/>
    <w:rsid w:val="008A262B"/>
    <w:rsid w:val="008C37BC"/>
    <w:rsid w:val="008D1EA1"/>
    <w:rsid w:val="008D2D7B"/>
    <w:rsid w:val="008E0737"/>
    <w:rsid w:val="008E1CE9"/>
    <w:rsid w:val="008F7C2C"/>
    <w:rsid w:val="00903B7C"/>
    <w:rsid w:val="00914597"/>
    <w:rsid w:val="00921C3A"/>
    <w:rsid w:val="0093728D"/>
    <w:rsid w:val="00940996"/>
    <w:rsid w:val="00940E96"/>
    <w:rsid w:val="00953E03"/>
    <w:rsid w:val="009677FF"/>
    <w:rsid w:val="00975C59"/>
    <w:rsid w:val="00982FF7"/>
    <w:rsid w:val="00996B39"/>
    <w:rsid w:val="009B02FB"/>
    <w:rsid w:val="009B0BAE"/>
    <w:rsid w:val="009B36AB"/>
    <w:rsid w:val="009C25C2"/>
    <w:rsid w:val="009C404F"/>
    <w:rsid w:val="009D7962"/>
    <w:rsid w:val="009E1472"/>
    <w:rsid w:val="009E7040"/>
    <w:rsid w:val="009F7C4E"/>
    <w:rsid w:val="009F7E87"/>
    <w:rsid w:val="00A01FF8"/>
    <w:rsid w:val="00A11540"/>
    <w:rsid w:val="00A25B8C"/>
    <w:rsid w:val="00A274C6"/>
    <w:rsid w:val="00A46F59"/>
    <w:rsid w:val="00A52CFE"/>
    <w:rsid w:val="00A71773"/>
    <w:rsid w:val="00A728DE"/>
    <w:rsid w:val="00A74E26"/>
    <w:rsid w:val="00AB716F"/>
    <w:rsid w:val="00AE2C85"/>
    <w:rsid w:val="00AF124F"/>
    <w:rsid w:val="00B121DC"/>
    <w:rsid w:val="00B15118"/>
    <w:rsid w:val="00B26A18"/>
    <w:rsid w:val="00B37224"/>
    <w:rsid w:val="00B44A2D"/>
    <w:rsid w:val="00B46FB1"/>
    <w:rsid w:val="00B55127"/>
    <w:rsid w:val="00B56658"/>
    <w:rsid w:val="00B63EF2"/>
    <w:rsid w:val="00B6435A"/>
    <w:rsid w:val="00B64E69"/>
    <w:rsid w:val="00B779C2"/>
    <w:rsid w:val="00B91E74"/>
    <w:rsid w:val="00BC0D39"/>
    <w:rsid w:val="00BC1668"/>
    <w:rsid w:val="00BC7BC0"/>
    <w:rsid w:val="00BD57B7"/>
    <w:rsid w:val="00BD5800"/>
    <w:rsid w:val="00BE63E2"/>
    <w:rsid w:val="00BF2EDA"/>
    <w:rsid w:val="00BF5518"/>
    <w:rsid w:val="00C04D85"/>
    <w:rsid w:val="00C52C40"/>
    <w:rsid w:val="00C6108A"/>
    <w:rsid w:val="00C740B8"/>
    <w:rsid w:val="00C80997"/>
    <w:rsid w:val="00C80DDA"/>
    <w:rsid w:val="00C83DC2"/>
    <w:rsid w:val="00CB2D5D"/>
    <w:rsid w:val="00CB68BE"/>
    <w:rsid w:val="00CD5311"/>
    <w:rsid w:val="00CE0B1B"/>
    <w:rsid w:val="00CF629C"/>
    <w:rsid w:val="00D046AF"/>
    <w:rsid w:val="00D1064A"/>
    <w:rsid w:val="00D2042A"/>
    <w:rsid w:val="00D3784C"/>
    <w:rsid w:val="00D40905"/>
    <w:rsid w:val="00D6536E"/>
    <w:rsid w:val="00D720E4"/>
    <w:rsid w:val="00D74D2B"/>
    <w:rsid w:val="00D76862"/>
    <w:rsid w:val="00D91322"/>
    <w:rsid w:val="00D92EEA"/>
    <w:rsid w:val="00DA5D4E"/>
    <w:rsid w:val="00DB5423"/>
    <w:rsid w:val="00DE36A5"/>
    <w:rsid w:val="00DF46C7"/>
    <w:rsid w:val="00E10029"/>
    <w:rsid w:val="00E176BA"/>
    <w:rsid w:val="00E423EC"/>
    <w:rsid w:val="00E70DC7"/>
    <w:rsid w:val="00E80471"/>
    <w:rsid w:val="00EB48A7"/>
    <w:rsid w:val="00EC5128"/>
    <w:rsid w:val="00EC6BC5"/>
    <w:rsid w:val="00ED3128"/>
    <w:rsid w:val="00EE1CA7"/>
    <w:rsid w:val="00F35898"/>
    <w:rsid w:val="00F41A03"/>
    <w:rsid w:val="00F43AFF"/>
    <w:rsid w:val="00F51E32"/>
    <w:rsid w:val="00F5225B"/>
    <w:rsid w:val="00F713BB"/>
    <w:rsid w:val="00F72B36"/>
    <w:rsid w:val="00F75E9F"/>
    <w:rsid w:val="00FC5F8B"/>
    <w:rsid w:val="00FD67E8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7822853"/>
  <w15:docId w15:val="{BA177C59-5CEB-4600-8101-7D2991CC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D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51E3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51E32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51E32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F51E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F51E32"/>
    <w:pPr>
      <w:outlineLvl w:val="4"/>
    </w:pPr>
  </w:style>
  <w:style w:type="paragraph" w:styleId="Heading6">
    <w:name w:val="heading 6"/>
    <w:basedOn w:val="Heading4"/>
    <w:next w:val="Normal"/>
    <w:qFormat/>
    <w:rsid w:val="00F51E32"/>
    <w:pPr>
      <w:outlineLvl w:val="5"/>
    </w:pPr>
  </w:style>
  <w:style w:type="paragraph" w:styleId="Heading7">
    <w:name w:val="heading 7"/>
    <w:basedOn w:val="Heading6"/>
    <w:next w:val="Normal"/>
    <w:qFormat/>
    <w:rsid w:val="00F51E32"/>
    <w:pPr>
      <w:outlineLvl w:val="6"/>
    </w:pPr>
  </w:style>
  <w:style w:type="paragraph" w:styleId="Heading8">
    <w:name w:val="heading 8"/>
    <w:basedOn w:val="Heading6"/>
    <w:next w:val="Normal"/>
    <w:qFormat/>
    <w:rsid w:val="00F51E32"/>
    <w:pPr>
      <w:outlineLvl w:val="7"/>
    </w:pPr>
  </w:style>
  <w:style w:type="paragraph" w:styleId="Heading9">
    <w:name w:val="heading 9"/>
    <w:basedOn w:val="Heading6"/>
    <w:next w:val="Normal"/>
    <w:qFormat/>
    <w:rsid w:val="00F51E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51E32"/>
  </w:style>
  <w:style w:type="paragraph" w:styleId="TOC4">
    <w:name w:val="toc 4"/>
    <w:basedOn w:val="TOC3"/>
    <w:rsid w:val="00F51E32"/>
    <w:pPr>
      <w:spacing w:before="80"/>
    </w:pPr>
  </w:style>
  <w:style w:type="paragraph" w:styleId="TOC3">
    <w:name w:val="toc 3"/>
    <w:basedOn w:val="TOC2"/>
    <w:rsid w:val="00F51E32"/>
  </w:style>
  <w:style w:type="paragraph" w:styleId="TOC2">
    <w:name w:val="toc 2"/>
    <w:basedOn w:val="TOC1"/>
    <w:rsid w:val="00F51E32"/>
    <w:pPr>
      <w:spacing w:before="160"/>
    </w:pPr>
  </w:style>
  <w:style w:type="paragraph" w:styleId="TOC1">
    <w:name w:val="toc 1"/>
    <w:basedOn w:val="Normal"/>
    <w:rsid w:val="00F51E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F51E32"/>
  </w:style>
  <w:style w:type="paragraph" w:styleId="TOC6">
    <w:name w:val="toc 6"/>
    <w:basedOn w:val="TOC4"/>
    <w:rsid w:val="00F51E32"/>
  </w:style>
  <w:style w:type="paragraph" w:styleId="TOC5">
    <w:name w:val="toc 5"/>
    <w:basedOn w:val="TOC4"/>
    <w:rsid w:val="00F51E32"/>
  </w:style>
  <w:style w:type="paragraph" w:styleId="Index7">
    <w:name w:val="index 7"/>
    <w:basedOn w:val="Normal"/>
    <w:next w:val="Normal"/>
    <w:rsid w:val="00F51E32"/>
    <w:pPr>
      <w:ind w:left="1698"/>
    </w:pPr>
  </w:style>
  <w:style w:type="paragraph" w:styleId="Index6">
    <w:name w:val="index 6"/>
    <w:basedOn w:val="Normal"/>
    <w:next w:val="Normal"/>
    <w:rsid w:val="00F51E32"/>
    <w:pPr>
      <w:ind w:left="1415"/>
    </w:pPr>
  </w:style>
  <w:style w:type="paragraph" w:styleId="Index5">
    <w:name w:val="index 5"/>
    <w:basedOn w:val="Normal"/>
    <w:next w:val="Normal"/>
    <w:rsid w:val="00F51E32"/>
    <w:pPr>
      <w:ind w:left="1132"/>
    </w:pPr>
  </w:style>
  <w:style w:type="paragraph" w:styleId="Index4">
    <w:name w:val="index 4"/>
    <w:basedOn w:val="Normal"/>
    <w:next w:val="Normal"/>
    <w:rsid w:val="00F51E32"/>
    <w:pPr>
      <w:ind w:left="849"/>
    </w:pPr>
  </w:style>
  <w:style w:type="paragraph" w:styleId="Index3">
    <w:name w:val="index 3"/>
    <w:basedOn w:val="Normal"/>
    <w:next w:val="Normal"/>
    <w:rsid w:val="00F51E32"/>
    <w:pPr>
      <w:ind w:left="566"/>
    </w:pPr>
  </w:style>
  <w:style w:type="paragraph" w:styleId="Index2">
    <w:name w:val="index 2"/>
    <w:basedOn w:val="Normal"/>
    <w:next w:val="Normal"/>
    <w:rsid w:val="00F51E32"/>
    <w:pPr>
      <w:ind w:left="283"/>
    </w:pPr>
  </w:style>
  <w:style w:type="paragraph" w:styleId="Index1">
    <w:name w:val="index 1"/>
    <w:basedOn w:val="Normal"/>
    <w:next w:val="Normal"/>
    <w:rsid w:val="00F51E32"/>
  </w:style>
  <w:style w:type="character" w:styleId="LineNumber">
    <w:name w:val="line number"/>
    <w:basedOn w:val="DefaultParagraphFont"/>
    <w:rsid w:val="00F51E32"/>
  </w:style>
  <w:style w:type="paragraph" w:styleId="IndexHeading">
    <w:name w:val="index heading"/>
    <w:basedOn w:val="Normal"/>
    <w:next w:val="Index1"/>
    <w:rsid w:val="00F51E32"/>
  </w:style>
  <w:style w:type="paragraph" w:styleId="Footer">
    <w:name w:val="footer"/>
    <w:basedOn w:val="Normal"/>
    <w:rsid w:val="00F51E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F51E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1E32"/>
    <w:rPr>
      <w:position w:val="6"/>
      <w:sz w:val="16"/>
    </w:rPr>
  </w:style>
  <w:style w:type="paragraph" w:styleId="FootnoteText">
    <w:name w:val="footnote text"/>
    <w:basedOn w:val="Normal"/>
    <w:rsid w:val="00F51E32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F51E32"/>
    <w:pPr>
      <w:ind w:left="794"/>
    </w:pPr>
  </w:style>
  <w:style w:type="paragraph" w:customStyle="1" w:styleId="enumlev1">
    <w:name w:val="enumlev1"/>
    <w:basedOn w:val="Normal"/>
    <w:link w:val="enumlev1Char"/>
    <w:rsid w:val="00F51E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51E32"/>
    <w:pPr>
      <w:ind w:left="1191" w:hanging="397"/>
    </w:pPr>
  </w:style>
  <w:style w:type="paragraph" w:customStyle="1" w:styleId="enumlev3">
    <w:name w:val="enumlev3"/>
    <w:basedOn w:val="enumlev2"/>
    <w:rsid w:val="00F51E32"/>
    <w:pPr>
      <w:ind w:left="1588"/>
    </w:pPr>
  </w:style>
  <w:style w:type="paragraph" w:customStyle="1" w:styleId="Normalaftertitle">
    <w:name w:val="Normal after title"/>
    <w:basedOn w:val="Normal"/>
    <w:next w:val="Normal"/>
    <w:rsid w:val="00F51E32"/>
    <w:pPr>
      <w:spacing w:before="320"/>
    </w:pPr>
  </w:style>
  <w:style w:type="paragraph" w:customStyle="1" w:styleId="Equation">
    <w:name w:val="Equation"/>
    <w:basedOn w:val="Normal"/>
    <w:rsid w:val="00F51E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51E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F51E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F51E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F51E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F51E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F51E32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F51E3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51E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F51E32"/>
  </w:style>
  <w:style w:type="paragraph" w:customStyle="1" w:styleId="Data">
    <w:name w:val="Data"/>
    <w:basedOn w:val="Subject"/>
    <w:next w:val="Subject"/>
    <w:rsid w:val="00F51E32"/>
  </w:style>
  <w:style w:type="paragraph" w:customStyle="1" w:styleId="Reasons">
    <w:name w:val="Reasons"/>
    <w:basedOn w:val="Normal"/>
    <w:qFormat/>
    <w:rsid w:val="00F51E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F51E32"/>
    <w:rPr>
      <w:color w:val="0000FF"/>
      <w:u w:val="single"/>
    </w:rPr>
  </w:style>
  <w:style w:type="paragraph" w:customStyle="1" w:styleId="FirstFooter">
    <w:name w:val="FirstFooter"/>
    <w:basedOn w:val="Footer"/>
    <w:rsid w:val="00F51E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F51E3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F51E32"/>
  </w:style>
  <w:style w:type="paragraph" w:customStyle="1" w:styleId="Headingb">
    <w:name w:val="Heading_b"/>
    <w:basedOn w:val="Heading3"/>
    <w:next w:val="Normal"/>
    <w:rsid w:val="00F51E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F51E32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F51E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51E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51E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51E32"/>
    <w:rPr>
      <w:b/>
    </w:rPr>
  </w:style>
  <w:style w:type="paragraph" w:customStyle="1" w:styleId="dnum">
    <w:name w:val="dnum"/>
    <w:basedOn w:val="Normal"/>
    <w:rsid w:val="00F51E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F51E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51E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F51E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F51E3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F51E32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F51E32"/>
  </w:style>
  <w:style w:type="paragraph" w:customStyle="1" w:styleId="Appendixtitle">
    <w:name w:val="Appendix_title"/>
    <w:basedOn w:val="Annextitle"/>
    <w:next w:val="Appendixref"/>
    <w:rsid w:val="00F51E32"/>
  </w:style>
  <w:style w:type="paragraph" w:customStyle="1" w:styleId="Appendixref">
    <w:name w:val="Appendix_ref"/>
    <w:basedOn w:val="Annexref"/>
    <w:next w:val="Normalaftertitle"/>
    <w:rsid w:val="00F51E32"/>
  </w:style>
  <w:style w:type="paragraph" w:customStyle="1" w:styleId="Call">
    <w:name w:val="Call"/>
    <w:basedOn w:val="Normal"/>
    <w:next w:val="Normal"/>
    <w:rsid w:val="00F51E32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F51E32"/>
    <w:rPr>
      <w:vertAlign w:val="superscript"/>
    </w:rPr>
  </w:style>
  <w:style w:type="paragraph" w:customStyle="1" w:styleId="Equationlegend">
    <w:name w:val="Equation_legend"/>
    <w:basedOn w:val="Normal"/>
    <w:rsid w:val="00F51E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F51E32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F51E32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F51E32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F51E3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F51E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F51E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51E32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F51E3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F51E32"/>
    <w:pPr>
      <w:spacing w:before="160"/>
    </w:pPr>
    <w:rPr>
      <w:b w:val="0"/>
    </w:rPr>
  </w:style>
  <w:style w:type="character" w:styleId="PageNumber">
    <w:name w:val="page number"/>
    <w:basedOn w:val="DefaultParagraphFont"/>
    <w:rsid w:val="00F51E32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F51E32"/>
  </w:style>
  <w:style w:type="paragraph" w:customStyle="1" w:styleId="Parttitle">
    <w:name w:val="Part_title"/>
    <w:basedOn w:val="Annextitle"/>
    <w:next w:val="Partref"/>
    <w:rsid w:val="00F51E32"/>
  </w:style>
  <w:style w:type="paragraph" w:customStyle="1" w:styleId="Partref">
    <w:name w:val="Part_ref"/>
    <w:basedOn w:val="Annexref"/>
    <w:next w:val="Normalaftertitle"/>
    <w:rsid w:val="00F51E32"/>
  </w:style>
  <w:style w:type="paragraph" w:customStyle="1" w:styleId="RecNo">
    <w:name w:val="Rec_No"/>
    <w:basedOn w:val="Normal"/>
    <w:next w:val="Rectitle"/>
    <w:rsid w:val="00F51E3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F51E3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1E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51E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1E32"/>
  </w:style>
  <w:style w:type="paragraph" w:customStyle="1" w:styleId="QuestionNo">
    <w:name w:val="Question_No"/>
    <w:basedOn w:val="RecNo"/>
    <w:next w:val="Questiontitle"/>
    <w:rsid w:val="00F51E32"/>
  </w:style>
  <w:style w:type="paragraph" w:customStyle="1" w:styleId="Questionref">
    <w:name w:val="Question_ref"/>
    <w:basedOn w:val="Recref"/>
    <w:next w:val="Questiondate"/>
    <w:rsid w:val="00F51E32"/>
  </w:style>
  <w:style w:type="paragraph" w:customStyle="1" w:styleId="Questiontitle">
    <w:name w:val="Question_title"/>
    <w:basedOn w:val="Rectitle"/>
    <w:next w:val="Questionref"/>
    <w:rsid w:val="00F51E32"/>
  </w:style>
  <w:style w:type="paragraph" w:customStyle="1" w:styleId="Reftext">
    <w:name w:val="Ref_text"/>
    <w:basedOn w:val="Normal"/>
    <w:rsid w:val="00F51E32"/>
    <w:pPr>
      <w:ind w:left="794" w:hanging="794"/>
    </w:pPr>
  </w:style>
  <w:style w:type="paragraph" w:customStyle="1" w:styleId="Reftitle">
    <w:name w:val="Ref_title"/>
    <w:basedOn w:val="Normal"/>
    <w:next w:val="Reftext"/>
    <w:rsid w:val="00F51E3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51E32"/>
  </w:style>
  <w:style w:type="paragraph" w:customStyle="1" w:styleId="RepNo">
    <w:name w:val="Rep_No"/>
    <w:basedOn w:val="RecNo"/>
    <w:next w:val="Reptitle"/>
    <w:rsid w:val="00F51E32"/>
  </w:style>
  <w:style w:type="paragraph" w:customStyle="1" w:styleId="Reptitle">
    <w:name w:val="Rep_title"/>
    <w:basedOn w:val="Rectitle"/>
    <w:next w:val="Repref"/>
    <w:rsid w:val="00F51E32"/>
  </w:style>
  <w:style w:type="paragraph" w:customStyle="1" w:styleId="Repref">
    <w:name w:val="Rep_ref"/>
    <w:basedOn w:val="Recref"/>
    <w:next w:val="Repdate"/>
    <w:rsid w:val="00F51E32"/>
  </w:style>
  <w:style w:type="paragraph" w:customStyle="1" w:styleId="Resdate">
    <w:name w:val="Res_date"/>
    <w:basedOn w:val="Recdate"/>
    <w:next w:val="Normalaftertitle"/>
    <w:rsid w:val="00F51E32"/>
  </w:style>
  <w:style w:type="paragraph" w:customStyle="1" w:styleId="ResNo">
    <w:name w:val="Res_No"/>
    <w:basedOn w:val="RecNo"/>
    <w:next w:val="Restitle"/>
    <w:rsid w:val="00F51E32"/>
  </w:style>
  <w:style w:type="paragraph" w:customStyle="1" w:styleId="Restitle">
    <w:name w:val="Res_title"/>
    <w:basedOn w:val="Rectitle"/>
    <w:next w:val="Resref"/>
    <w:rsid w:val="00F51E32"/>
  </w:style>
  <w:style w:type="paragraph" w:customStyle="1" w:styleId="Resref">
    <w:name w:val="Res_ref"/>
    <w:basedOn w:val="Recref"/>
    <w:next w:val="Resdate"/>
    <w:rsid w:val="00F51E32"/>
  </w:style>
  <w:style w:type="paragraph" w:customStyle="1" w:styleId="SectionNo">
    <w:name w:val="Section_No"/>
    <w:basedOn w:val="AnnexNo"/>
    <w:next w:val="Sectiontitle"/>
    <w:rsid w:val="00F51E32"/>
  </w:style>
  <w:style w:type="paragraph" w:customStyle="1" w:styleId="Sectiontitle">
    <w:name w:val="Section_title"/>
    <w:basedOn w:val="Normal"/>
    <w:next w:val="Normalaftertitle"/>
    <w:rsid w:val="00F51E32"/>
    <w:rPr>
      <w:sz w:val="26"/>
    </w:rPr>
  </w:style>
  <w:style w:type="paragraph" w:customStyle="1" w:styleId="SpecialFooter">
    <w:name w:val="Special Footer"/>
    <w:basedOn w:val="Footer"/>
    <w:rsid w:val="00F51E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F51E3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51E32"/>
    <w:pPr>
      <w:spacing w:before="120"/>
    </w:pPr>
  </w:style>
  <w:style w:type="paragraph" w:customStyle="1" w:styleId="Tableref">
    <w:name w:val="Table_ref"/>
    <w:basedOn w:val="Normal"/>
    <w:next w:val="Tabletitle"/>
    <w:rsid w:val="00F51E32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F51E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51E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F51E3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F51E32"/>
    <w:rPr>
      <w:b/>
    </w:rPr>
  </w:style>
  <w:style w:type="paragraph" w:customStyle="1" w:styleId="Chaptitle">
    <w:name w:val="Chap_title"/>
    <w:basedOn w:val="Arttitle"/>
    <w:next w:val="Normalaftertitle"/>
    <w:rsid w:val="00F51E32"/>
  </w:style>
  <w:style w:type="paragraph" w:styleId="BalloonText">
    <w:name w:val="Balloon Text"/>
    <w:basedOn w:val="Normal"/>
    <w:rsid w:val="00F51E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E1CA7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EE1CA7"/>
    <w:pPr>
      <w:ind w:left="720"/>
      <w:contextualSpacing/>
    </w:pPr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1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Arial" w:eastAsiaTheme="minorHAnsi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16D"/>
    <w:rPr>
      <w:rFonts w:ascii="Arial" w:eastAsiaTheme="minorHAnsi" w:hAnsi="Arial" w:cs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116D"/>
    <w:rPr>
      <w:sz w:val="16"/>
      <w:szCs w:val="16"/>
    </w:rPr>
  </w:style>
  <w:style w:type="character" w:customStyle="1" w:styleId="enumlev1Char">
    <w:name w:val="enumlev1 Char"/>
    <w:basedOn w:val="DefaultParagraphFont"/>
    <w:link w:val="enumlev1"/>
    <w:locked/>
    <w:rsid w:val="006F182E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F5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S14-CL-C-0022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3-CL-C-0065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council/Pages/imac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2-CL-C-004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Pages/imac.aspx" TargetMode="External"/><Relationship Id="rId10" Type="http://schemas.openxmlformats.org/officeDocument/2006/relationships/hyperlink" Target="http://www.itu.int/md/S11-CL-C-0109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publ/S-CONF-PLEN-2015/en" TargetMode="External"/><Relationship Id="rId14" Type="http://schemas.openxmlformats.org/officeDocument/2006/relationships/hyperlink" Target="http://www.itu.int/en/council/Pages/defaul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0C71-366B-459C-BC51-CE639D99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PR_C15.dotm</Template>
  <TotalTime>105</TotalTime>
  <Pages>10</Pages>
  <Words>3472</Words>
  <Characters>24343</Characters>
  <Application>Microsoft Office Word</Application>
  <DocSecurity>0</DocSecurity>
  <Lines>202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27760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Tsarapkina, Yulia</dc:creator>
  <cp:keywords>C2004, C04</cp:keywords>
  <dc:description>Документ C05/xx-R  For: _x000d_Document date: Дата_x000d_Saved by RUS38507 at 8:49:12 AM on 2/8/2005</dc:description>
  <cp:lastModifiedBy>Fedosova, Elena</cp:lastModifiedBy>
  <cp:revision>6</cp:revision>
  <cp:lastPrinted>2015-05-14T09:25:00Z</cp:lastPrinted>
  <dcterms:created xsi:type="dcterms:W3CDTF">2015-05-12T14:34:00Z</dcterms:created>
  <dcterms:modified xsi:type="dcterms:W3CDTF">2015-05-14T10:26:00Z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