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34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BD1F95" w:rsidRPr="00E658D3" w14:paraId="75F86705" w14:textId="77777777" w:rsidTr="00663617">
        <w:trPr>
          <w:cantSplit/>
        </w:trPr>
        <w:tc>
          <w:tcPr>
            <w:tcW w:w="6804" w:type="dxa"/>
          </w:tcPr>
          <w:p w14:paraId="1B21D24B" w14:textId="77777777" w:rsidR="00BD1F95" w:rsidRPr="00E658D3" w:rsidRDefault="00F611B7" w:rsidP="00F611B7">
            <w:pPr>
              <w:spacing w:before="360" w:after="48" w:line="240" w:lineRule="atLeast"/>
              <w:rPr>
                <w:position w:val="6"/>
                <w:szCs w:val="24"/>
                <w:lang w:val="fr-FR"/>
              </w:rPr>
            </w:pPr>
            <w:bookmarkStart w:id="0" w:name="dbreak"/>
            <w:bookmarkStart w:id="1" w:name="dpp"/>
            <w:bookmarkEnd w:id="0"/>
            <w:bookmarkEnd w:id="1"/>
            <w:r w:rsidRPr="00E658D3">
              <w:rPr>
                <w:rFonts w:cs="Times"/>
                <w:b/>
                <w:position w:val="6"/>
                <w:szCs w:val="24"/>
                <w:lang w:val="fr-FR"/>
              </w:rPr>
              <w:t>Conférence de plénipotentiaires (PP-14</w:t>
            </w:r>
            <w:proofErr w:type="gramStart"/>
            <w:r w:rsidRPr="00E658D3">
              <w:rPr>
                <w:rFonts w:cs="Times"/>
                <w:b/>
                <w:position w:val="6"/>
                <w:szCs w:val="24"/>
                <w:lang w:val="fr-FR"/>
              </w:rPr>
              <w:t>)</w:t>
            </w:r>
            <w:proofErr w:type="gramEnd"/>
            <w:r w:rsidR="00BD1F95" w:rsidRPr="00E658D3">
              <w:rPr>
                <w:rFonts w:cs="Times"/>
                <w:b/>
                <w:position w:val="6"/>
                <w:szCs w:val="24"/>
                <w:lang w:val="fr-FR"/>
              </w:rPr>
              <w:br/>
            </w:r>
            <w:r w:rsidRPr="00E658D3">
              <w:rPr>
                <w:b/>
                <w:bCs/>
                <w:position w:val="6"/>
                <w:szCs w:val="24"/>
                <w:lang w:val="fr-FR"/>
              </w:rPr>
              <w:t>Busan, 20 o</w:t>
            </w:r>
            <w:r w:rsidR="00BD1F95" w:rsidRPr="00E658D3">
              <w:rPr>
                <w:b/>
                <w:bCs/>
                <w:position w:val="6"/>
                <w:szCs w:val="24"/>
                <w:lang w:val="fr-FR"/>
              </w:rPr>
              <w:t>ctob</w:t>
            </w:r>
            <w:r w:rsidRPr="00E658D3">
              <w:rPr>
                <w:b/>
                <w:bCs/>
                <w:position w:val="6"/>
                <w:szCs w:val="24"/>
                <w:lang w:val="fr-FR"/>
              </w:rPr>
              <w:t>r</w:t>
            </w:r>
            <w:r w:rsidR="00BD1F95" w:rsidRPr="00E658D3">
              <w:rPr>
                <w:b/>
                <w:bCs/>
                <w:position w:val="6"/>
                <w:szCs w:val="24"/>
                <w:lang w:val="fr-FR"/>
              </w:rPr>
              <w:t xml:space="preserve">e – 7 </w:t>
            </w:r>
            <w:r w:rsidRPr="00E658D3">
              <w:rPr>
                <w:b/>
                <w:bCs/>
                <w:position w:val="6"/>
                <w:szCs w:val="24"/>
                <w:lang w:val="fr-FR"/>
              </w:rPr>
              <w:t>n</w:t>
            </w:r>
            <w:r w:rsidR="00BD1F95" w:rsidRPr="00E658D3">
              <w:rPr>
                <w:b/>
                <w:bCs/>
                <w:position w:val="6"/>
                <w:szCs w:val="24"/>
                <w:lang w:val="fr-FR"/>
              </w:rPr>
              <w:t>ovemb</w:t>
            </w:r>
            <w:r w:rsidRPr="00E658D3">
              <w:rPr>
                <w:b/>
                <w:bCs/>
                <w:position w:val="6"/>
                <w:szCs w:val="24"/>
                <w:lang w:val="fr-FR"/>
              </w:rPr>
              <w:t>r</w:t>
            </w:r>
            <w:r w:rsidR="00BD1F95" w:rsidRPr="00E658D3">
              <w:rPr>
                <w:b/>
                <w:bCs/>
                <w:position w:val="6"/>
                <w:szCs w:val="24"/>
                <w:lang w:val="fr-FR"/>
              </w:rPr>
              <w:t>e 2014</w:t>
            </w:r>
          </w:p>
        </w:tc>
        <w:tc>
          <w:tcPr>
            <w:tcW w:w="3227" w:type="dxa"/>
          </w:tcPr>
          <w:p w14:paraId="7B8D4762" w14:textId="77777777" w:rsidR="00BD1F95" w:rsidRPr="00E658D3" w:rsidRDefault="00BD1F95" w:rsidP="003256D8">
            <w:pPr>
              <w:spacing w:line="240" w:lineRule="atLeast"/>
              <w:rPr>
                <w:szCs w:val="24"/>
                <w:lang w:val="fr-FR"/>
              </w:rPr>
            </w:pPr>
            <w:r w:rsidRPr="00E658D3">
              <w:rPr>
                <w:noProof/>
                <w:szCs w:val="24"/>
                <w:lang w:val="en-US" w:eastAsia="zh-CN"/>
              </w:rPr>
              <w:drawing>
                <wp:inline distT="0" distB="0" distL="0" distR="0" wp14:anchorId="3B95377E" wp14:editId="667EB350">
                  <wp:extent cx="1760220" cy="74676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F95" w:rsidRPr="00E658D3" w14:paraId="2B5925DB" w14:textId="77777777" w:rsidTr="00663617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59524B9" w14:textId="77777777" w:rsidR="00BD1F95" w:rsidRPr="00E658D3" w:rsidRDefault="00BD1F95" w:rsidP="00663617">
            <w:pPr>
              <w:spacing w:before="0"/>
              <w:rPr>
                <w:b/>
                <w:smallCaps/>
                <w:szCs w:val="24"/>
                <w:lang w:val="fr-FR"/>
              </w:rPr>
            </w:pP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55AEBB6D" w14:textId="77777777" w:rsidR="00BD1F95" w:rsidRPr="00E658D3" w:rsidRDefault="00BD1F95" w:rsidP="00663617">
            <w:pPr>
              <w:spacing w:before="0"/>
              <w:rPr>
                <w:szCs w:val="24"/>
                <w:lang w:val="fr-FR"/>
              </w:rPr>
            </w:pPr>
          </w:p>
        </w:tc>
      </w:tr>
      <w:tr w:rsidR="00BD1F95" w:rsidRPr="00E658D3" w14:paraId="6B8557DC" w14:textId="77777777" w:rsidTr="00663617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160E138F" w14:textId="77777777" w:rsidR="00BD1F95" w:rsidRPr="00E658D3" w:rsidRDefault="00BD1F95" w:rsidP="00663617">
            <w:pPr>
              <w:spacing w:before="0"/>
              <w:rPr>
                <w:b/>
                <w:smallCaps/>
                <w:szCs w:val="24"/>
                <w:lang w:val="fr-FR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351115FD" w14:textId="77777777" w:rsidR="00BD1F95" w:rsidRPr="00E658D3" w:rsidRDefault="00BD1F95" w:rsidP="00663617">
            <w:pPr>
              <w:spacing w:before="0"/>
              <w:rPr>
                <w:szCs w:val="24"/>
                <w:lang w:val="fr-FR"/>
              </w:rPr>
            </w:pPr>
          </w:p>
        </w:tc>
      </w:tr>
      <w:tr w:rsidR="00BD1F95" w:rsidRPr="00E658D3" w14:paraId="797E104A" w14:textId="77777777" w:rsidTr="00663617">
        <w:trPr>
          <w:cantSplit/>
          <w:trHeight w:val="23"/>
        </w:trPr>
        <w:tc>
          <w:tcPr>
            <w:tcW w:w="6804" w:type="dxa"/>
            <w:vMerge w:val="restart"/>
          </w:tcPr>
          <w:p w14:paraId="758881AA" w14:textId="77777777" w:rsidR="00BD1F95" w:rsidRPr="00E658D3" w:rsidRDefault="00F611B7" w:rsidP="00F611B7">
            <w:pPr>
              <w:tabs>
                <w:tab w:val="left" w:pos="851"/>
              </w:tabs>
              <w:spacing w:before="0"/>
              <w:rPr>
                <w:b/>
                <w:szCs w:val="24"/>
                <w:lang w:val="fr-FR"/>
              </w:rPr>
            </w:pPr>
            <w:r w:rsidRPr="00E658D3">
              <w:rPr>
                <w:b/>
                <w:szCs w:val="24"/>
                <w:lang w:val="fr-FR"/>
              </w:rPr>
              <w:t>SÉANCE PLÉNIÈRE</w:t>
            </w:r>
          </w:p>
        </w:tc>
        <w:tc>
          <w:tcPr>
            <w:tcW w:w="3227" w:type="dxa"/>
          </w:tcPr>
          <w:p w14:paraId="10E34295" w14:textId="106F0844" w:rsidR="00BD1F95" w:rsidRPr="00E658D3" w:rsidRDefault="00BD1F95" w:rsidP="004369B4">
            <w:pPr>
              <w:tabs>
                <w:tab w:val="left" w:pos="851"/>
              </w:tabs>
              <w:spacing w:before="0"/>
              <w:rPr>
                <w:b/>
                <w:szCs w:val="24"/>
                <w:lang w:val="fr-FR"/>
              </w:rPr>
            </w:pPr>
            <w:r w:rsidRPr="00E658D3">
              <w:rPr>
                <w:b/>
                <w:szCs w:val="24"/>
                <w:lang w:val="fr-FR"/>
              </w:rPr>
              <w:t xml:space="preserve">Document </w:t>
            </w:r>
            <w:r w:rsidR="00663617" w:rsidRPr="00E658D3">
              <w:rPr>
                <w:b/>
                <w:szCs w:val="24"/>
                <w:lang w:val="fr-FR"/>
              </w:rPr>
              <w:t>17</w:t>
            </w:r>
            <w:r w:rsidR="004369B4">
              <w:rPr>
                <w:b/>
                <w:szCs w:val="24"/>
                <w:lang w:val="fr-FR"/>
              </w:rPr>
              <w:t>3</w:t>
            </w:r>
            <w:r w:rsidRPr="00E658D3">
              <w:rPr>
                <w:b/>
                <w:szCs w:val="24"/>
                <w:lang w:val="fr-FR"/>
              </w:rPr>
              <w:t>-</w:t>
            </w:r>
            <w:r w:rsidR="00F611B7" w:rsidRPr="00E658D3">
              <w:rPr>
                <w:b/>
                <w:szCs w:val="24"/>
                <w:lang w:val="fr-FR"/>
              </w:rPr>
              <w:t>F</w:t>
            </w:r>
          </w:p>
        </w:tc>
      </w:tr>
      <w:tr w:rsidR="00BD1F95" w:rsidRPr="00E658D3" w14:paraId="44188330" w14:textId="77777777" w:rsidTr="00663617">
        <w:trPr>
          <w:cantSplit/>
          <w:trHeight w:val="23"/>
        </w:trPr>
        <w:tc>
          <w:tcPr>
            <w:tcW w:w="6804" w:type="dxa"/>
            <w:vMerge/>
          </w:tcPr>
          <w:p w14:paraId="7443CFA1" w14:textId="77777777" w:rsidR="00BD1F95" w:rsidRPr="00E658D3" w:rsidRDefault="00BD1F95" w:rsidP="00663617">
            <w:pPr>
              <w:tabs>
                <w:tab w:val="left" w:pos="851"/>
              </w:tabs>
              <w:spacing w:before="0"/>
              <w:rPr>
                <w:b/>
                <w:szCs w:val="24"/>
                <w:lang w:val="fr-FR"/>
              </w:rPr>
            </w:pPr>
          </w:p>
        </w:tc>
        <w:tc>
          <w:tcPr>
            <w:tcW w:w="3227" w:type="dxa"/>
          </w:tcPr>
          <w:p w14:paraId="6881514A" w14:textId="77777777" w:rsidR="00BD1F95" w:rsidRPr="00E658D3" w:rsidRDefault="00663617" w:rsidP="00F611B7">
            <w:pPr>
              <w:tabs>
                <w:tab w:val="left" w:pos="993"/>
              </w:tabs>
              <w:spacing w:before="0"/>
              <w:rPr>
                <w:b/>
                <w:szCs w:val="24"/>
                <w:lang w:val="fr-FR"/>
              </w:rPr>
            </w:pPr>
            <w:r w:rsidRPr="00E658D3">
              <w:rPr>
                <w:b/>
                <w:szCs w:val="24"/>
                <w:lang w:val="fr-FR"/>
              </w:rPr>
              <w:t xml:space="preserve">3 </w:t>
            </w:r>
            <w:r w:rsidR="00F611B7" w:rsidRPr="00E658D3">
              <w:rPr>
                <w:b/>
                <w:szCs w:val="24"/>
                <w:lang w:val="fr-FR"/>
              </w:rPr>
              <w:t>dé</w:t>
            </w:r>
            <w:r w:rsidRPr="00E658D3">
              <w:rPr>
                <w:b/>
                <w:szCs w:val="24"/>
                <w:lang w:val="fr-FR"/>
              </w:rPr>
              <w:t>cemb</w:t>
            </w:r>
            <w:r w:rsidR="00F611B7" w:rsidRPr="00E658D3">
              <w:rPr>
                <w:b/>
                <w:szCs w:val="24"/>
                <w:lang w:val="fr-FR"/>
              </w:rPr>
              <w:t>r</w:t>
            </w:r>
            <w:r w:rsidRPr="00E658D3">
              <w:rPr>
                <w:b/>
                <w:szCs w:val="24"/>
                <w:lang w:val="fr-FR"/>
              </w:rPr>
              <w:t>e 2014</w:t>
            </w:r>
          </w:p>
        </w:tc>
      </w:tr>
      <w:tr w:rsidR="00BD1F95" w:rsidRPr="00B92A7D" w14:paraId="10673DAD" w14:textId="77777777" w:rsidTr="00663617">
        <w:trPr>
          <w:cantSplit/>
          <w:trHeight w:val="23"/>
        </w:trPr>
        <w:tc>
          <w:tcPr>
            <w:tcW w:w="6804" w:type="dxa"/>
            <w:vMerge/>
          </w:tcPr>
          <w:p w14:paraId="7B6D9336" w14:textId="77777777" w:rsidR="00BD1F95" w:rsidRPr="00E658D3" w:rsidRDefault="00BD1F95" w:rsidP="00663617">
            <w:pPr>
              <w:tabs>
                <w:tab w:val="left" w:pos="851"/>
              </w:tabs>
              <w:spacing w:before="0"/>
              <w:rPr>
                <w:b/>
                <w:szCs w:val="24"/>
                <w:lang w:val="fr-FR"/>
              </w:rPr>
            </w:pPr>
          </w:p>
        </w:tc>
        <w:tc>
          <w:tcPr>
            <w:tcW w:w="3227" w:type="dxa"/>
          </w:tcPr>
          <w:p w14:paraId="35B58976" w14:textId="3022FB52" w:rsidR="00BD1F95" w:rsidRPr="00B92A7D" w:rsidRDefault="00BD1F95" w:rsidP="00303E23">
            <w:pPr>
              <w:tabs>
                <w:tab w:val="left" w:pos="993"/>
              </w:tabs>
              <w:spacing w:before="0"/>
              <w:rPr>
                <w:b/>
                <w:szCs w:val="24"/>
                <w:lang w:val="fr-FR"/>
              </w:rPr>
            </w:pPr>
            <w:proofErr w:type="gramStart"/>
            <w:r w:rsidRPr="00B92A7D">
              <w:rPr>
                <w:b/>
                <w:szCs w:val="24"/>
                <w:lang w:val="fr-FR"/>
              </w:rPr>
              <w:t>Original:</w:t>
            </w:r>
            <w:proofErr w:type="gramEnd"/>
            <w:r w:rsidR="00303E23">
              <w:rPr>
                <w:b/>
                <w:szCs w:val="24"/>
                <w:lang w:val="fr-FR"/>
              </w:rPr>
              <w:t xml:space="preserve"> </w:t>
            </w:r>
            <w:r w:rsidR="00F611B7" w:rsidRPr="00B92A7D">
              <w:rPr>
                <w:b/>
                <w:szCs w:val="24"/>
                <w:lang w:val="fr-FR"/>
              </w:rPr>
              <w:t>a</w:t>
            </w:r>
            <w:r w:rsidRPr="00B92A7D">
              <w:rPr>
                <w:b/>
                <w:szCs w:val="24"/>
                <w:lang w:val="fr-FR"/>
              </w:rPr>
              <w:t>ngl</w:t>
            </w:r>
            <w:r w:rsidR="00F611B7" w:rsidRPr="00B92A7D">
              <w:rPr>
                <w:b/>
                <w:szCs w:val="24"/>
                <w:lang w:val="fr-FR"/>
              </w:rPr>
              <w:t>ais</w:t>
            </w:r>
          </w:p>
        </w:tc>
      </w:tr>
    </w:tbl>
    <w:tbl>
      <w:tblPr>
        <w:tblW w:w="5144" w:type="pct"/>
        <w:tblLook w:val="0000" w:firstRow="0" w:lastRow="0" w:firstColumn="0" w:lastColumn="0" w:noHBand="0" w:noVBand="0"/>
      </w:tblPr>
      <w:tblGrid>
        <w:gridCol w:w="9923"/>
      </w:tblGrid>
      <w:tr w:rsidR="00BD1F95" w:rsidRPr="00792E3B" w14:paraId="139A8981" w14:textId="77777777" w:rsidTr="009827B9">
        <w:trPr>
          <w:cantSplit/>
        </w:trPr>
        <w:tc>
          <w:tcPr>
            <w:tcW w:w="5000" w:type="pct"/>
          </w:tcPr>
          <w:p w14:paraId="63B5C61A" w14:textId="77777777" w:rsidR="00BD1F95" w:rsidRPr="00445A64" w:rsidRDefault="00F611B7" w:rsidP="00F611B7">
            <w:pPr>
              <w:pStyle w:val="Title1"/>
              <w:spacing w:before="720"/>
              <w:rPr>
                <w:rFonts w:asciiTheme="minorHAnsi" w:hAnsiTheme="minorHAnsi"/>
                <w:szCs w:val="28"/>
                <w:lang w:val="fr-FR"/>
              </w:rPr>
            </w:pPr>
            <w:r w:rsidRPr="00445A64">
              <w:rPr>
                <w:rFonts w:asciiTheme="minorHAnsi" w:hAnsiTheme="minorHAnsi"/>
                <w:szCs w:val="28"/>
                <w:lang w:val="fr-FR"/>
              </w:rPr>
              <w:t>PROCÈS-VERBAL</w:t>
            </w:r>
          </w:p>
          <w:p w14:paraId="4F7DAC62" w14:textId="77777777" w:rsidR="00BD1F95" w:rsidRPr="00445A64" w:rsidRDefault="00F611B7" w:rsidP="003256D8">
            <w:pPr>
              <w:pStyle w:val="Title1"/>
              <w:rPr>
                <w:rFonts w:asciiTheme="minorHAnsi" w:hAnsiTheme="minorHAnsi"/>
                <w:szCs w:val="28"/>
                <w:lang w:val="fr-FR"/>
              </w:rPr>
            </w:pPr>
            <w:r w:rsidRPr="00445A64">
              <w:rPr>
                <w:rFonts w:asciiTheme="minorHAnsi" w:hAnsiTheme="minorHAnsi"/>
                <w:szCs w:val="28"/>
                <w:lang w:val="fr-FR"/>
              </w:rPr>
              <w:t>D</w:t>
            </w:r>
            <w:r w:rsidR="00BD1F95" w:rsidRPr="00445A64">
              <w:rPr>
                <w:rFonts w:asciiTheme="minorHAnsi" w:hAnsiTheme="minorHAnsi"/>
                <w:szCs w:val="28"/>
                <w:lang w:val="fr-FR"/>
              </w:rPr>
              <w:t>E</w:t>
            </w:r>
            <w:r w:rsidRPr="00445A64">
              <w:rPr>
                <w:rFonts w:asciiTheme="minorHAnsi" w:hAnsiTheme="minorHAnsi"/>
                <w:szCs w:val="28"/>
                <w:lang w:val="fr-FR"/>
              </w:rPr>
              <w:t xml:space="preserve"> LA</w:t>
            </w:r>
          </w:p>
          <w:p w14:paraId="234B1CBF" w14:textId="2D601851" w:rsidR="00BD1F95" w:rsidRPr="00E658D3" w:rsidRDefault="004369B4" w:rsidP="003256D8">
            <w:pPr>
              <w:pStyle w:val="Title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szCs w:val="28"/>
                <w:lang w:val="fr-FR"/>
              </w:rPr>
              <w:t>QUINZ</w:t>
            </w:r>
            <w:r w:rsidR="00F611B7" w:rsidRPr="00445A64">
              <w:rPr>
                <w:rFonts w:asciiTheme="minorHAnsi" w:hAnsiTheme="minorHAnsi"/>
                <w:szCs w:val="28"/>
                <w:lang w:val="fr-FR"/>
              </w:rPr>
              <w:t>IÈME</w:t>
            </w:r>
            <w:r w:rsidR="00BD1F95" w:rsidRPr="00445A64">
              <w:rPr>
                <w:rFonts w:asciiTheme="minorHAnsi" w:hAnsiTheme="minorHAnsi"/>
                <w:szCs w:val="28"/>
                <w:lang w:val="fr-FR"/>
              </w:rPr>
              <w:t xml:space="preserve"> </w:t>
            </w:r>
            <w:r w:rsidR="00F611B7" w:rsidRPr="00445A64">
              <w:rPr>
                <w:rFonts w:asciiTheme="minorHAnsi" w:hAnsiTheme="minorHAnsi"/>
                <w:szCs w:val="28"/>
                <w:lang w:val="fr-FR"/>
              </w:rPr>
              <w:t>SÉANCE PLÉNIÈRE</w:t>
            </w:r>
          </w:p>
        </w:tc>
      </w:tr>
      <w:tr w:rsidR="00BD1F95" w:rsidRPr="00B92A7D" w14:paraId="6CBD0DDD" w14:textId="77777777" w:rsidTr="009827B9">
        <w:trPr>
          <w:cantSplit/>
        </w:trPr>
        <w:tc>
          <w:tcPr>
            <w:tcW w:w="5000" w:type="pct"/>
          </w:tcPr>
          <w:p w14:paraId="2A99E398" w14:textId="125D716E" w:rsidR="00BD1F95" w:rsidRPr="00E658D3" w:rsidRDefault="004369B4" w:rsidP="004369B4">
            <w:pPr>
              <w:pStyle w:val="Normalaftertitle"/>
              <w:jc w:val="center"/>
              <w:rPr>
                <w:lang w:val="fr-FR"/>
              </w:rPr>
            </w:pPr>
            <w:r>
              <w:rPr>
                <w:rFonts w:asciiTheme="minorHAnsi" w:hAnsiTheme="minorHAnsi"/>
                <w:szCs w:val="24"/>
                <w:lang w:val="fr-FR"/>
              </w:rPr>
              <w:t>Mercre</w:t>
            </w:r>
            <w:r w:rsidR="00F611B7" w:rsidRPr="00E658D3">
              <w:rPr>
                <w:rFonts w:asciiTheme="minorHAnsi" w:hAnsiTheme="minorHAnsi"/>
                <w:szCs w:val="24"/>
                <w:lang w:val="fr-FR"/>
              </w:rPr>
              <w:t>di</w:t>
            </w:r>
            <w:r w:rsidR="007F32F6" w:rsidRPr="00E658D3">
              <w:rPr>
                <w:rFonts w:asciiTheme="minorHAnsi" w:hAnsiTheme="minorHAnsi"/>
                <w:szCs w:val="24"/>
                <w:lang w:val="fr-FR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fr-FR"/>
              </w:rPr>
              <w:t>5</w:t>
            </w:r>
            <w:r w:rsidR="00BD1F95" w:rsidRPr="00E658D3">
              <w:rPr>
                <w:rFonts w:asciiTheme="minorHAnsi" w:hAnsiTheme="minorHAnsi"/>
                <w:szCs w:val="24"/>
                <w:lang w:val="fr-FR"/>
              </w:rPr>
              <w:t xml:space="preserve"> </w:t>
            </w:r>
            <w:r w:rsidR="00F611B7" w:rsidRPr="00E658D3">
              <w:rPr>
                <w:rFonts w:asciiTheme="minorHAnsi" w:hAnsiTheme="minorHAnsi"/>
                <w:szCs w:val="24"/>
                <w:lang w:val="fr-FR"/>
              </w:rPr>
              <w:t>n</w:t>
            </w:r>
            <w:r w:rsidR="00BD1F95" w:rsidRPr="00E658D3">
              <w:rPr>
                <w:rFonts w:asciiTheme="minorHAnsi" w:hAnsiTheme="minorHAnsi"/>
                <w:szCs w:val="24"/>
                <w:lang w:val="fr-FR"/>
              </w:rPr>
              <w:t>ovemb</w:t>
            </w:r>
            <w:r w:rsidR="00F611B7" w:rsidRPr="00E658D3">
              <w:rPr>
                <w:rFonts w:asciiTheme="minorHAnsi" w:hAnsiTheme="minorHAnsi"/>
                <w:szCs w:val="24"/>
                <w:lang w:val="fr-FR"/>
              </w:rPr>
              <w:t>r</w:t>
            </w:r>
            <w:r w:rsidR="00BD1F95" w:rsidRPr="00E658D3">
              <w:rPr>
                <w:rFonts w:asciiTheme="minorHAnsi" w:hAnsiTheme="minorHAnsi"/>
                <w:szCs w:val="24"/>
                <w:lang w:val="fr-FR"/>
              </w:rPr>
              <w:t xml:space="preserve">e 2014, </w:t>
            </w:r>
            <w:r w:rsidR="00F611B7" w:rsidRPr="00E658D3">
              <w:rPr>
                <w:rFonts w:asciiTheme="minorHAnsi" w:hAnsiTheme="minorHAnsi"/>
                <w:szCs w:val="24"/>
                <w:lang w:val="fr-FR"/>
              </w:rPr>
              <w:t>à</w:t>
            </w:r>
            <w:r w:rsidR="00BD1F95" w:rsidRPr="00E658D3">
              <w:rPr>
                <w:rFonts w:asciiTheme="minorHAnsi" w:hAnsiTheme="minorHAnsi"/>
                <w:szCs w:val="24"/>
                <w:lang w:val="fr-FR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fr-FR"/>
              </w:rPr>
              <w:t>9</w:t>
            </w:r>
            <w:r w:rsidR="00FC0913" w:rsidRPr="00E658D3">
              <w:rPr>
                <w:rFonts w:asciiTheme="minorHAnsi" w:hAnsiTheme="minorHAnsi"/>
                <w:szCs w:val="24"/>
                <w:lang w:val="fr-FR"/>
              </w:rPr>
              <w:t xml:space="preserve"> </w:t>
            </w:r>
            <w:r w:rsidR="00BD1F95" w:rsidRPr="00E658D3">
              <w:rPr>
                <w:rFonts w:asciiTheme="minorHAnsi" w:hAnsiTheme="minorHAnsi"/>
                <w:szCs w:val="24"/>
                <w:lang w:val="fr-FR"/>
              </w:rPr>
              <w:t>h</w:t>
            </w:r>
            <w:r w:rsidR="00FC0913" w:rsidRPr="00E658D3">
              <w:rPr>
                <w:rFonts w:asciiTheme="minorHAnsi" w:hAnsiTheme="minorHAnsi"/>
                <w:szCs w:val="24"/>
                <w:lang w:val="fr-FR"/>
              </w:rPr>
              <w:t xml:space="preserve"> </w:t>
            </w:r>
            <w:r>
              <w:rPr>
                <w:rFonts w:asciiTheme="minorHAnsi" w:hAnsiTheme="minorHAnsi"/>
                <w:szCs w:val="24"/>
                <w:lang w:val="fr-FR"/>
              </w:rPr>
              <w:t>4</w:t>
            </w:r>
            <w:r w:rsidR="00CF0703" w:rsidRPr="00E658D3">
              <w:rPr>
                <w:rFonts w:asciiTheme="minorHAnsi" w:hAnsiTheme="minorHAnsi"/>
                <w:szCs w:val="24"/>
                <w:lang w:val="fr-FR"/>
              </w:rPr>
              <w:t>0</w:t>
            </w:r>
          </w:p>
        </w:tc>
      </w:tr>
      <w:tr w:rsidR="00BD1F95" w:rsidRPr="00792E3B" w14:paraId="79D842AB" w14:textId="77777777" w:rsidTr="009827B9">
        <w:trPr>
          <w:cantSplit/>
        </w:trPr>
        <w:tc>
          <w:tcPr>
            <w:tcW w:w="5000" w:type="pct"/>
          </w:tcPr>
          <w:p w14:paraId="2BC9DAB6" w14:textId="77777777" w:rsidR="00BD1F95" w:rsidRPr="00E658D3" w:rsidRDefault="00F611B7" w:rsidP="00F611B7">
            <w:pPr>
              <w:jc w:val="center"/>
              <w:rPr>
                <w:szCs w:val="24"/>
                <w:lang w:val="fr-FR"/>
              </w:rPr>
            </w:pPr>
            <w:proofErr w:type="gramStart"/>
            <w:r w:rsidRPr="00E658D3">
              <w:rPr>
                <w:b/>
                <w:bCs/>
                <w:szCs w:val="24"/>
                <w:lang w:val="fr-FR"/>
              </w:rPr>
              <w:t>Président</w:t>
            </w:r>
            <w:r w:rsidR="00BD1F95" w:rsidRPr="00E658D3">
              <w:rPr>
                <w:b/>
                <w:bCs/>
                <w:szCs w:val="24"/>
                <w:lang w:val="fr-FR"/>
              </w:rPr>
              <w:t>:</w:t>
            </w:r>
            <w:proofErr w:type="gramEnd"/>
            <w:r w:rsidR="00BD1F95" w:rsidRPr="00E658D3">
              <w:rPr>
                <w:szCs w:val="24"/>
                <w:lang w:val="fr-FR"/>
              </w:rPr>
              <w:t xml:space="preserve"> M. W. MIN (R</w:t>
            </w:r>
            <w:r w:rsidRPr="00E658D3">
              <w:rPr>
                <w:szCs w:val="24"/>
                <w:lang w:val="fr-FR"/>
              </w:rPr>
              <w:t>é</w:t>
            </w:r>
            <w:r w:rsidR="00BD1F95" w:rsidRPr="00E658D3">
              <w:rPr>
                <w:szCs w:val="24"/>
                <w:lang w:val="fr-FR"/>
              </w:rPr>
              <w:t>publi</w:t>
            </w:r>
            <w:r w:rsidRPr="00E658D3">
              <w:rPr>
                <w:szCs w:val="24"/>
                <w:lang w:val="fr-FR"/>
              </w:rPr>
              <w:t>que</w:t>
            </w:r>
            <w:r w:rsidR="00BD1F95" w:rsidRPr="00E658D3">
              <w:rPr>
                <w:szCs w:val="24"/>
                <w:lang w:val="fr-FR"/>
              </w:rPr>
              <w:t xml:space="preserve"> </w:t>
            </w:r>
            <w:r w:rsidRPr="00E658D3">
              <w:rPr>
                <w:szCs w:val="24"/>
                <w:lang w:val="fr-FR"/>
              </w:rPr>
              <w:t>de</w:t>
            </w:r>
            <w:r w:rsidR="00BD1F95" w:rsidRPr="00E658D3">
              <w:rPr>
                <w:szCs w:val="24"/>
                <w:lang w:val="fr-FR"/>
              </w:rPr>
              <w:t xml:space="preserve"> </w:t>
            </w:r>
            <w:r w:rsidRPr="00E658D3">
              <w:rPr>
                <w:szCs w:val="24"/>
                <w:lang w:val="fr-FR"/>
              </w:rPr>
              <w:t>C</w:t>
            </w:r>
            <w:r w:rsidR="00BD1F95" w:rsidRPr="00E658D3">
              <w:rPr>
                <w:szCs w:val="24"/>
                <w:lang w:val="fr-FR"/>
              </w:rPr>
              <w:t>or</w:t>
            </w:r>
            <w:r w:rsidRPr="00E658D3">
              <w:rPr>
                <w:szCs w:val="24"/>
                <w:lang w:val="fr-FR"/>
              </w:rPr>
              <w:t>ée</w:t>
            </w:r>
            <w:r w:rsidR="00BD1F95" w:rsidRPr="00E658D3">
              <w:rPr>
                <w:szCs w:val="24"/>
                <w:lang w:val="fr-FR"/>
              </w:rPr>
              <w:t>)</w:t>
            </w:r>
          </w:p>
        </w:tc>
      </w:tr>
    </w:tbl>
    <w:p w14:paraId="7882900E" w14:textId="77777777" w:rsidR="00BD1F95" w:rsidRPr="00E658D3" w:rsidRDefault="00BD1F95" w:rsidP="00BD1F95">
      <w:pPr>
        <w:rPr>
          <w:szCs w:val="24"/>
          <w:lang w:val="fr-FR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BD1F95" w:rsidRPr="00E658D3" w14:paraId="33B77A34" w14:textId="77777777" w:rsidTr="003256D8">
        <w:trPr>
          <w:trHeight w:val="170"/>
        </w:trPr>
        <w:tc>
          <w:tcPr>
            <w:tcW w:w="534" w:type="dxa"/>
          </w:tcPr>
          <w:p w14:paraId="43DD65B1" w14:textId="77777777" w:rsidR="00BD1F95" w:rsidRPr="00E658D3" w:rsidRDefault="00BD1F95" w:rsidP="003256D8">
            <w:pPr>
              <w:pStyle w:val="toc0"/>
              <w:rPr>
                <w:rFonts w:asciiTheme="minorHAnsi" w:hAnsiTheme="minorHAnsi"/>
                <w:szCs w:val="24"/>
                <w:lang w:val="fr-FR"/>
              </w:rPr>
            </w:pPr>
          </w:p>
        </w:tc>
        <w:tc>
          <w:tcPr>
            <w:tcW w:w="7164" w:type="dxa"/>
          </w:tcPr>
          <w:p w14:paraId="1F9313D7" w14:textId="77777777" w:rsidR="00BD1F95" w:rsidRPr="00E658D3" w:rsidRDefault="00BD1F95" w:rsidP="00F611B7">
            <w:pPr>
              <w:pStyle w:val="toc0"/>
              <w:rPr>
                <w:rFonts w:asciiTheme="minorHAnsi" w:hAnsiTheme="minorHAnsi"/>
                <w:szCs w:val="24"/>
                <w:lang w:val="fr-FR"/>
              </w:rPr>
            </w:pPr>
            <w:r w:rsidRPr="00E658D3">
              <w:rPr>
                <w:rFonts w:asciiTheme="minorHAnsi" w:hAnsiTheme="minorHAnsi"/>
                <w:szCs w:val="24"/>
                <w:lang w:val="fr-FR"/>
              </w:rPr>
              <w:t xml:space="preserve">Sujets </w:t>
            </w:r>
            <w:r w:rsidR="00F611B7" w:rsidRPr="00E658D3">
              <w:rPr>
                <w:rFonts w:asciiTheme="minorHAnsi" w:hAnsiTheme="minorHAnsi"/>
                <w:szCs w:val="24"/>
                <w:lang w:val="fr-FR"/>
              </w:rPr>
              <w:t>traités</w:t>
            </w:r>
          </w:p>
        </w:tc>
        <w:tc>
          <w:tcPr>
            <w:tcW w:w="2333" w:type="dxa"/>
          </w:tcPr>
          <w:p w14:paraId="686CDF18" w14:textId="77777777" w:rsidR="00BD1F95" w:rsidRPr="00E658D3" w:rsidRDefault="00BD1F95" w:rsidP="003256D8">
            <w:pPr>
              <w:pStyle w:val="toc0"/>
              <w:jc w:val="center"/>
              <w:rPr>
                <w:rFonts w:asciiTheme="minorHAnsi" w:hAnsiTheme="minorHAnsi"/>
                <w:szCs w:val="24"/>
                <w:lang w:val="fr-FR"/>
              </w:rPr>
            </w:pPr>
            <w:r w:rsidRPr="00E658D3">
              <w:rPr>
                <w:rFonts w:asciiTheme="minorHAnsi" w:hAnsiTheme="minorHAnsi"/>
                <w:szCs w:val="24"/>
                <w:lang w:val="fr-FR"/>
              </w:rPr>
              <w:t>Documents</w:t>
            </w:r>
          </w:p>
        </w:tc>
      </w:tr>
      <w:tr w:rsidR="004369B4" w:rsidRPr="00E658D3" w14:paraId="25BBFA53" w14:textId="77777777" w:rsidTr="003256D8">
        <w:trPr>
          <w:trHeight w:val="170"/>
        </w:trPr>
        <w:tc>
          <w:tcPr>
            <w:tcW w:w="534" w:type="dxa"/>
          </w:tcPr>
          <w:p w14:paraId="20D7F89B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1</w:t>
            </w:r>
          </w:p>
        </w:tc>
        <w:tc>
          <w:tcPr>
            <w:tcW w:w="7164" w:type="dxa"/>
          </w:tcPr>
          <w:p w14:paraId="18691260" w14:textId="4C77AF13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Neuvième série de textes soumis par la Commission de rédaction en première lecture (B9)</w:t>
            </w:r>
          </w:p>
        </w:tc>
        <w:tc>
          <w:tcPr>
            <w:tcW w:w="2333" w:type="dxa"/>
          </w:tcPr>
          <w:p w14:paraId="11F2ABF8" w14:textId="01548C3C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9" w:history="1">
              <w:r w:rsidR="004369B4" w:rsidRPr="00A252D7">
                <w:rPr>
                  <w:rStyle w:val="Hyperlink"/>
                  <w:szCs w:val="22"/>
                  <w:lang w:val="ru-RU"/>
                </w:rPr>
                <w:t>156</w:t>
              </w:r>
            </w:hyperlink>
          </w:p>
        </w:tc>
      </w:tr>
      <w:tr w:rsidR="004369B4" w:rsidRPr="00E658D3" w14:paraId="55D302D2" w14:textId="77777777" w:rsidTr="003256D8">
        <w:trPr>
          <w:trHeight w:val="170"/>
        </w:trPr>
        <w:tc>
          <w:tcPr>
            <w:tcW w:w="534" w:type="dxa"/>
          </w:tcPr>
          <w:p w14:paraId="377F0297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2</w:t>
            </w:r>
          </w:p>
        </w:tc>
        <w:tc>
          <w:tcPr>
            <w:tcW w:w="7164" w:type="dxa"/>
          </w:tcPr>
          <w:p w14:paraId="1E933CCA" w14:textId="7F30A3CF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Projet de Résolution 162 (</w:t>
            </w:r>
            <w:proofErr w:type="spellStart"/>
            <w:r w:rsidRPr="00D406F7">
              <w:rPr>
                <w:rFonts w:cstheme="majorBidi"/>
                <w:szCs w:val="24"/>
                <w:lang w:val="fr-CH"/>
              </w:rPr>
              <w:t>Rév</w:t>
            </w:r>
            <w:proofErr w:type="spellEnd"/>
            <w:r w:rsidRPr="00D406F7">
              <w:rPr>
                <w:rFonts w:cstheme="majorBidi"/>
                <w:szCs w:val="24"/>
                <w:lang w:val="fr-CH"/>
              </w:rPr>
              <w:t>. Busan, 2014) – deuxième lecture</w:t>
            </w:r>
          </w:p>
        </w:tc>
        <w:tc>
          <w:tcPr>
            <w:tcW w:w="2333" w:type="dxa"/>
          </w:tcPr>
          <w:p w14:paraId="118FD45F" w14:textId="14D6FBCC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10" w:history="1">
              <w:r w:rsidR="004369B4" w:rsidRPr="00A252D7">
                <w:rPr>
                  <w:rStyle w:val="Hyperlink"/>
                  <w:szCs w:val="22"/>
                  <w:lang w:val="ru-RU"/>
                </w:rPr>
                <w:t>156</w:t>
              </w:r>
            </w:hyperlink>
          </w:p>
        </w:tc>
      </w:tr>
      <w:tr w:rsidR="004369B4" w:rsidRPr="00E658D3" w14:paraId="683EDE4F" w14:textId="77777777" w:rsidTr="003256D8">
        <w:trPr>
          <w:trHeight w:val="170"/>
        </w:trPr>
        <w:tc>
          <w:tcPr>
            <w:tcW w:w="534" w:type="dxa"/>
          </w:tcPr>
          <w:p w14:paraId="1B2028FA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3</w:t>
            </w:r>
          </w:p>
        </w:tc>
        <w:tc>
          <w:tcPr>
            <w:tcW w:w="7164" w:type="dxa"/>
          </w:tcPr>
          <w:p w14:paraId="3BD0CDDF" w14:textId="48905BB9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Dixième série de textes soumis par la Commission de rédaction en première lecture (B10)</w:t>
            </w:r>
          </w:p>
        </w:tc>
        <w:tc>
          <w:tcPr>
            <w:tcW w:w="2333" w:type="dxa"/>
          </w:tcPr>
          <w:p w14:paraId="5476AFB0" w14:textId="3DC94076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11" w:history="1">
              <w:r w:rsidR="004369B4" w:rsidRPr="00A252D7">
                <w:rPr>
                  <w:rStyle w:val="Hyperlink"/>
                  <w:szCs w:val="22"/>
                  <w:lang w:val="ru-RU"/>
                </w:rPr>
                <w:t>158</w:t>
              </w:r>
            </w:hyperlink>
          </w:p>
        </w:tc>
      </w:tr>
      <w:tr w:rsidR="004369B4" w:rsidRPr="00E658D3" w14:paraId="33626A82" w14:textId="77777777" w:rsidTr="003256D8">
        <w:trPr>
          <w:trHeight w:val="170"/>
        </w:trPr>
        <w:tc>
          <w:tcPr>
            <w:tcW w:w="534" w:type="dxa"/>
          </w:tcPr>
          <w:p w14:paraId="4EE361B4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4</w:t>
            </w:r>
          </w:p>
        </w:tc>
        <w:tc>
          <w:tcPr>
            <w:tcW w:w="7164" w:type="dxa"/>
          </w:tcPr>
          <w:p w14:paraId="04280A8A" w14:textId="66E5FE34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Dixième série de textes soumis par la Commission de rédaction en deuxième lecture</w:t>
            </w:r>
          </w:p>
        </w:tc>
        <w:tc>
          <w:tcPr>
            <w:tcW w:w="2333" w:type="dxa"/>
          </w:tcPr>
          <w:p w14:paraId="0F2902F0" w14:textId="51F538FB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12" w:history="1">
              <w:r w:rsidR="004369B4" w:rsidRPr="00A252D7">
                <w:rPr>
                  <w:rStyle w:val="Hyperlink"/>
                  <w:szCs w:val="22"/>
                  <w:lang w:val="ru-RU"/>
                </w:rPr>
                <w:t>158</w:t>
              </w:r>
            </w:hyperlink>
          </w:p>
        </w:tc>
      </w:tr>
      <w:tr w:rsidR="004369B4" w:rsidRPr="00E658D3" w14:paraId="096A8246" w14:textId="77777777" w:rsidTr="003256D8">
        <w:trPr>
          <w:trHeight w:val="170"/>
        </w:trPr>
        <w:tc>
          <w:tcPr>
            <w:tcW w:w="534" w:type="dxa"/>
          </w:tcPr>
          <w:p w14:paraId="619CD557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5</w:t>
            </w:r>
          </w:p>
        </w:tc>
        <w:tc>
          <w:tcPr>
            <w:tcW w:w="7164" w:type="dxa"/>
          </w:tcPr>
          <w:p w14:paraId="58B15BD2" w14:textId="109C34A1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Onzième série de textes soumis par la Commission de rédaction en première lecture (B11)</w:t>
            </w:r>
          </w:p>
        </w:tc>
        <w:tc>
          <w:tcPr>
            <w:tcW w:w="2333" w:type="dxa"/>
          </w:tcPr>
          <w:p w14:paraId="271C72BD" w14:textId="2718DD67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13" w:history="1">
              <w:r w:rsidR="004369B4" w:rsidRPr="00A252D7">
                <w:rPr>
                  <w:rStyle w:val="Hyperlink"/>
                  <w:szCs w:val="22"/>
                  <w:lang w:val="ru-RU"/>
                </w:rPr>
                <w:t>159</w:t>
              </w:r>
            </w:hyperlink>
          </w:p>
        </w:tc>
      </w:tr>
      <w:tr w:rsidR="004369B4" w:rsidRPr="00E658D3" w14:paraId="45438792" w14:textId="77777777" w:rsidTr="003256D8">
        <w:trPr>
          <w:trHeight w:val="170"/>
        </w:trPr>
        <w:tc>
          <w:tcPr>
            <w:tcW w:w="534" w:type="dxa"/>
          </w:tcPr>
          <w:p w14:paraId="56146117" w14:textId="77777777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E658D3">
              <w:rPr>
                <w:szCs w:val="24"/>
                <w:lang w:val="fr-FR"/>
              </w:rPr>
              <w:t>6</w:t>
            </w:r>
          </w:p>
        </w:tc>
        <w:tc>
          <w:tcPr>
            <w:tcW w:w="7164" w:type="dxa"/>
          </w:tcPr>
          <w:p w14:paraId="66DD88E5" w14:textId="6A30545D" w:rsidR="004369B4" w:rsidRPr="00E658D3" w:rsidRDefault="004369B4" w:rsidP="004369B4">
            <w:pPr>
              <w:rPr>
                <w:szCs w:val="24"/>
                <w:lang w:val="fr-FR"/>
              </w:rPr>
            </w:pPr>
            <w:r w:rsidRPr="00D406F7">
              <w:rPr>
                <w:rFonts w:cstheme="majorBidi"/>
                <w:szCs w:val="24"/>
                <w:lang w:val="fr-CH"/>
              </w:rPr>
              <w:t>Onzième série de textes soumis par la Commission de rédaction en deuxième lecture</w:t>
            </w:r>
          </w:p>
        </w:tc>
        <w:tc>
          <w:tcPr>
            <w:tcW w:w="2333" w:type="dxa"/>
          </w:tcPr>
          <w:p w14:paraId="5BD9955A" w14:textId="16D38BCF" w:rsidR="004369B4" w:rsidRPr="00E658D3" w:rsidRDefault="00792E3B" w:rsidP="004369B4">
            <w:pPr>
              <w:jc w:val="center"/>
              <w:rPr>
                <w:szCs w:val="24"/>
                <w:lang w:val="fr-FR"/>
              </w:rPr>
            </w:pPr>
            <w:hyperlink r:id="rId14" w:history="1">
              <w:r w:rsidR="004369B4" w:rsidRPr="00A252D7">
                <w:rPr>
                  <w:rStyle w:val="Hyperlink"/>
                  <w:szCs w:val="22"/>
                  <w:lang w:val="ru-RU"/>
                </w:rPr>
                <w:t>159</w:t>
              </w:r>
            </w:hyperlink>
          </w:p>
        </w:tc>
      </w:tr>
    </w:tbl>
    <w:p w14:paraId="7413E8D8" w14:textId="77777777" w:rsidR="007F32F6" w:rsidRPr="00E658D3" w:rsidRDefault="007F32F6" w:rsidP="0060437F">
      <w:pPr>
        <w:spacing w:before="0"/>
        <w:ind w:left="567" w:hanging="567"/>
        <w:contextualSpacing/>
        <w:rPr>
          <w:b/>
          <w:bCs/>
          <w:lang w:val="fr-FR"/>
        </w:rPr>
      </w:pPr>
    </w:p>
    <w:p w14:paraId="3AD88EFF" w14:textId="77777777" w:rsidR="007F32F6" w:rsidRPr="00E658D3" w:rsidRDefault="007F32F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bCs/>
          <w:lang w:val="fr-FR"/>
        </w:rPr>
      </w:pPr>
      <w:r w:rsidRPr="00E658D3">
        <w:rPr>
          <w:b/>
          <w:bCs/>
          <w:lang w:val="fr-FR"/>
        </w:rPr>
        <w:br w:type="page"/>
      </w:r>
      <w:bookmarkStart w:id="2" w:name="_GoBack"/>
      <w:bookmarkEnd w:id="2"/>
    </w:p>
    <w:p w14:paraId="4891C903" w14:textId="77777777" w:rsidR="004369B4" w:rsidRPr="00D406F7" w:rsidRDefault="004369B4" w:rsidP="004369B4">
      <w:pPr>
        <w:pStyle w:val="Heading1"/>
        <w:rPr>
          <w:lang w:val="fr-CH"/>
        </w:rPr>
      </w:pPr>
      <w:r w:rsidRPr="00D406F7">
        <w:rPr>
          <w:lang w:val="fr-CH"/>
        </w:rPr>
        <w:lastRenderedPageBreak/>
        <w:t>1</w:t>
      </w:r>
      <w:r w:rsidRPr="00D406F7">
        <w:rPr>
          <w:lang w:val="fr-CH"/>
        </w:rPr>
        <w:tab/>
        <w:t xml:space="preserve">Neuvième série de textes soumis par la Commission de rédaction en première </w:t>
      </w:r>
      <w:proofErr w:type="gramStart"/>
      <w:r w:rsidRPr="00D406F7">
        <w:rPr>
          <w:lang w:val="fr-CH"/>
        </w:rPr>
        <w:t>lecture</w:t>
      </w:r>
      <w:proofErr w:type="gramEnd"/>
      <w:r w:rsidRPr="00D406F7">
        <w:rPr>
          <w:lang w:val="fr-CH"/>
        </w:rPr>
        <w:t xml:space="preserve"> (B9) (Document 156)</w:t>
      </w:r>
    </w:p>
    <w:p w14:paraId="1BD96411" w14:textId="724ED83B" w:rsidR="004369B4" w:rsidRPr="00D406F7" w:rsidRDefault="004369B4" w:rsidP="004369B4">
      <w:pPr>
        <w:pStyle w:val="Headingb"/>
        <w:ind w:left="0" w:firstLine="0"/>
        <w:rPr>
          <w:lang w:val="fr-CH"/>
        </w:rPr>
      </w:pPr>
      <w:r w:rsidRPr="00D406F7">
        <w:rPr>
          <w:lang w:val="fr-CH"/>
        </w:rPr>
        <w:t>Projet de Décision 5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– Produits et charges de l</w:t>
      </w:r>
      <w:r>
        <w:rPr>
          <w:lang w:val="fr-CH"/>
        </w:rPr>
        <w:t>'</w:t>
      </w:r>
      <w:r w:rsidRPr="00D406F7">
        <w:rPr>
          <w:lang w:val="fr-CH"/>
        </w:rPr>
        <w:t>Union pour la période 2016</w:t>
      </w:r>
      <w:r>
        <w:rPr>
          <w:lang w:val="fr-CH"/>
        </w:rPr>
        <w:noBreakHyphen/>
      </w:r>
      <w:r w:rsidRPr="00D406F7">
        <w:rPr>
          <w:lang w:val="fr-CH"/>
        </w:rPr>
        <w:t>2019</w:t>
      </w:r>
    </w:p>
    <w:p w14:paraId="7DE0A0D6" w14:textId="106191A2" w:rsidR="004369B4" w:rsidRPr="00D406F7" w:rsidRDefault="004369B4" w:rsidP="00303E23">
      <w:pPr>
        <w:rPr>
          <w:lang w:val="fr-CH"/>
        </w:rPr>
      </w:pPr>
      <w:r w:rsidRPr="00D406F7">
        <w:rPr>
          <w:lang w:val="fr-CH"/>
        </w:rPr>
        <w:t>1.1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 xml:space="preserve">Président de la Commission de rédaction </w:t>
      </w:r>
      <w:r w:rsidRPr="00D406F7">
        <w:rPr>
          <w:lang w:val="fr-CH"/>
        </w:rPr>
        <w:t>signale que le projet de Décision 5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comprend, dans l</w:t>
      </w:r>
      <w:r>
        <w:rPr>
          <w:lang w:val="fr-CH"/>
        </w:rPr>
        <w:t>'</w:t>
      </w:r>
      <w:r w:rsidRPr="00D406F7">
        <w:rPr>
          <w:lang w:val="fr-CH"/>
        </w:rPr>
        <w:t>Annexe 1, le plan financier de l</w:t>
      </w:r>
      <w:r>
        <w:rPr>
          <w:lang w:val="fr-CH"/>
        </w:rPr>
        <w:t>'</w:t>
      </w:r>
      <w:r w:rsidRPr="00D406F7">
        <w:rPr>
          <w:lang w:val="fr-CH"/>
        </w:rPr>
        <w:t>Union pour la période 2016</w:t>
      </w:r>
      <w:r w:rsidR="00303E23">
        <w:rPr>
          <w:lang w:val="fr-CH"/>
        </w:rPr>
        <w:noBreakHyphen/>
      </w:r>
      <w:r w:rsidRPr="00D406F7">
        <w:rPr>
          <w:lang w:val="fr-CH"/>
        </w:rPr>
        <w:t>2019.</w:t>
      </w:r>
    </w:p>
    <w:p w14:paraId="2D872894" w14:textId="7BBE5053" w:rsidR="004369B4" w:rsidRPr="00D406F7" w:rsidRDefault="004369B4" w:rsidP="00303E23">
      <w:pPr>
        <w:rPr>
          <w:lang w:val="fr-CH"/>
        </w:rPr>
      </w:pPr>
      <w:r w:rsidRPr="00D406F7">
        <w:rPr>
          <w:lang w:val="fr-CH"/>
        </w:rPr>
        <w:t>1.2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 la Fédération de Russie</w:t>
      </w:r>
      <w:r w:rsidRPr="00D406F7">
        <w:rPr>
          <w:lang w:val="fr-CH"/>
        </w:rPr>
        <w:t xml:space="preserve"> dit que, compte tenu de la situation financière actuelle de l</w:t>
      </w:r>
      <w:r>
        <w:rPr>
          <w:lang w:val="fr-CH"/>
        </w:rPr>
        <w:t>'</w:t>
      </w:r>
      <w:r w:rsidRPr="00D406F7">
        <w:rPr>
          <w:lang w:val="fr-CH"/>
        </w:rPr>
        <w:t xml:space="preserve">Union, le projet de Décision 5 révisée devrait également comprendre le libellé </w:t>
      </w:r>
      <w:proofErr w:type="gramStart"/>
      <w:r w:rsidRPr="00D406F7">
        <w:rPr>
          <w:lang w:val="fr-CH"/>
        </w:rPr>
        <w:t>suivant:</w:t>
      </w:r>
      <w:proofErr w:type="gramEnd"/>
      <w:r w:rsidRPr="00D406F7">
        <w:rPr>
          <w:lang w:val="fr-CH"/>
        </w:rPr>
        <w:t xml:space="preserve"> </w:t>
      </w:r>
      <w:r>
        <w:rPr>
          <w:lang w:val="fr-CH"/>
        </w:rPr>
        <w:t>"</w:t>
      </w:r>
      <w:r w:rsidRPr="00D406F7">
        <w:rPr>
          <w:lang w:val="fr-CH"/>
        </w:rPr>
        <w:t xml:space="preserve">A sa session ordinaire de 2017, </w:t>
      </w:r>
      <w:r w:rsidR="00303E23" w:rsidRPr="00D406F7">
        <w:rPr>
          <w:lang w:val="fr-CH"/>
        </w:rPr>
        <w:t>l</w:t>
      </w:r>
      <w:r w:rsidRPr="00D406F7">
        <w:rPr>
          <w:lang w:val="fr-CH"/>
        </w:rPr>
        <w:t>e Conseil est invité à fixer le montant provisoire de l</w:t>
      </w:r>
      <w:r>
        <w:rPr>
          <w:lang w:val="fr-CH"/>
        </w:rPr>
        <w:t>'</w:t>
      </w:r>
      <w:r w:rsidRPr="00D406F7">
        <w:rPr>
          <w:lang w:val="fr-CH"/>
        </w:rPr>
        <w:t>unité contributive. Les Etats Membres sont invités à communiquer au Secrétaire général dès que possible, et de préférence avant décembre 2017, le nombre d</w:t>
      </w:r>
      <w:r>
        <w:rPr>
          <w:lang w:val="fr-CH"/>
        </w:rPr>
        <w:t>'</w:t>
      </w:r>
      <w:r w:rsidRPr="00D406F7">
        <w:rPr>
          <w:lang w:val="fr-CH"/>
        </w:rPr>
        <w:t>unités contributives qu</w:t>
      </w:r>
      <w:r>
        <w:rPr>
          <w:lang w:val="fr-CH"/>
        </w:rPr>
        <w:t>'</w:t>
      </w:r>
      <w:r w:rsidRPr="00D406F7">
        <w:rPr>
          <w:lang w:val="fr-CH"/>
        </w:rPr>
        <w:t>ils s</w:t>
      </w:r>
      <w:r>
        <w:rPr>
          <w:lang w:val="fr-CH"/>
        </w:rPr>
        <w:t>'</w:t>
      </w:r>
      <w:r w:rsidRPr="00D406F7">
        <w:rPr>
          <w:lang w:val="fr-CH"/>
        </w:rPr>
        <w:t>engagent à verser</w:t>
      </w:r>
      <w:r w:rsidR="00303E23" w:rsidRPr="00D406F7">
        <w:rPr>
          <w:lang w:val="fr-CH"/>
        </w:rPr>
        <w:t>.</w:t>
      </w:r>
      <w:r>
        <w:rPr>
          <w:lang w:val="fr-CH"/>
        </w:rPr>
        <w:t>"</w:t>
      </w:r>
    </w:p>
    <w:p w14:paraId="352C92E7" w14:textId="29CA4B8E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Présidente de la Commission 6</w:t>
      </w:r>
      <w:r w:rsidRPr="00D406F7">
        <w:rPr>
          <w:lang w:val="fr-CH"/>
        </w:rPr>
        <w:t xml:space="preserve"> est également d</w:t>
      </w:r>
      <w:r>
        <w:rPr>
          <w:lang w:val="fr-CH"/>
        </w:rPr>
        <w:t>'</w:t>
      </w:r>
      <w:r w:rsidRPr="00D406F7">
        <w:rPr>
          <w:lang w:val="fr-CH"/>
        </w:rPr>
        <w:t>avis qu</w:t>
      </w:r>
      <w:r>
        <w:rPr>
          <w:lang w:val="fr-CH"/>
        </w:rPr>
        <w:t>'</w:t>
      </w:r>
      <w:r w:rsidRPr="00D406F7">
        <w:rPr>
          <w:lang w:val="fr-CH"/>
        </w:rPr>
        <w:t xml:space="preserve">au vu des difficultés rencontrées </w:t>
      </w:r>
      <w:r w:rsidR="001A17B4">
        <w:rPr>
          <w:lang w:val="fr-CH"/>
        </w:rPr>
        <w:t xml:space="preserve">par la PP-14 pour </w:t>
      </w:r>
      <w:r w:rsidRPr="00D406F7">
        <w:rPr>
          <w:lang w:val="fr-CH"/>
        </w:rPr>
        <w:t>élabor</w:t>
      </w:r>
      <w:r w:rsidR="001A17B4">
        <w:rPr>
          <w:lang w:val="fr-CH"/>
        </w:rPr>
        <w:t xml:space="preserve">er </w:t>
      </w:r>
      <w:r w:rsidRPr="00D406F7">
        <w:rPr>
          <w:lang w:val="fr-CH"/>
        </w:rPr>
        <w:t>un plan financier équilibré et révisé, qui s</w:t>
      </w:r>
      <w:r>
        <w:rPr>
          <w:lang w:val="fr-CH"/>
        </w:rPr>
        <w:t>'</w:t>
      </w:r>
      <w:r w:rsidRPr="00D406F7">
        <w:rPr>
          <w:lang w:val="fr-CH"/>
        </w:rPr>
        <w:t>expliquent par la diminution inattendue du nombre d</w:t>
      </w:r>
      <w:r>
        <w:rPr>
          <w:lang w:val="fr-CH"/>
        </w:rPr>
        <w:t>'</w:t>
      </w:r>
      <w:r w:rsidRPr="00D406F7">
        <w:rPr>
          <w:lang w:val="fr-CH"/>
        </w:rPr>
        <w:t>unités contributives que les Etats Membres se sont engagés à verser, il serait sage d</w:t>
      </w:r>
      <w:r>
        <w:rPr>
          <w:lang w:val="fr-CH"/>
        </w:rPr>
        <w:t>'</w:t>
      </w:r>
      <w:r w:rsidRPr="00D406F7">
        <w:rPr>
          <w:lang w:val="fr-CH"/>
        </w:rPr>
        <w:t xml:space="preserve">adopter des mesures </w:t>
      </w:r>
      <w:r w:rsidR="001A17B4">
        <w:rPr>
          <w:lang w:val="fr-CH"/>
        </w:rPr>
        <w:t>visant à</w:t>
      </w:r>
      <w:r w:rsidRPr="00D406F7">
        <w:rPr>
          <w:lang w:val="fr-CH"/>
        </w:rPr>
        <w:t xml:space="preserve"> garantir qu</w:t>
      </w:r>
      <w:r>
        <w:rPr>
          <w:lang w:val="fr-CH"/>
        </w:rPr>
        <w:t>'</w:t>
      </w:r>
      <w:r w:rsidRPr="00D406F7">
        <w:rPr>
          <w:lang w:val="fr-CH"/>
        </w:rPr>
        <w:t xml:space="preserve">une telle situation ne </w:t>
      </w:r>
      <w:r>
        <w:rPr>
          <w:lang w:val="fr-CH"/>
        </w:rPr>
        <w:t>se reproduis</w:t>
      </w:r>
      <w:r w:rsidRPr="00D406F7">
        <w:rPr>
          <w:lang w:val="fr-CH"/>
        </w:rPr>
        <w:t>e</w:t>
      </w:r>
      <w:r>
        <w:rPr>
          <w:lang w:val="fr-CH"/>
        </w:rPr>
        <w:t xml:space="preserve"> pas</w:t>
      </w:r>
      <w:r w:rsidRPr="00D406F7">
        <w:rPr>
          <w:lang w:val="fr-CH"/>
        </w:rPr>
        <w:t xml:space="preserve"> dans un délai si court. Cependant, il conviendrait de consulter le secrétariat afin de déterminer si une telle </w:t>
      </w:r>
      <w:r>
        <w:rPr>
          <w:lang w:val="fr-CH"/>
        </w:rPr>
        <w:t>procéd</w:t>
      </w:r>
      <w:r w:rsidRPr="00D406F7">
        <w:rPr>
          <w:lang w:val="fr-CH"/>
        </w:rPr>
        <w:t xml:space="preserve">ure serait acceptable </w:t>
      </w:r>
      <w:r w:rsidR="001A17B4">
        <w:rPr>
          <w:lang w:val="fr-CH"/>
        </w:rPr>
        <w:t xml:space="preserve">au titre </w:t>
      </w:r>
      <w:r w:rsidRPr="00D406F7">
        <w:rPr>
          <w:lang w:val="fr-CH"/>
        </w:rPr>
        <w:t>de la Constitution.</w:t>
      </w:r>
    </w:p>
    <w:p w14:paraId="0A0C794B" w14:textId="49BB6088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1.4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Secrétaire de la Commission 6</w:t>
      </w:r>
      <w:r w:rsidRPr="00D406F7">
        <w:rPr>
          <w:lang w:val="fr-CH"/>
        </w:rPr>
        <w:t xml:space="preserve"> dit que</w:t>
      </w:r>
      <w:r w:rsidR="001A17B4">
        <w:rPr>
          <w:lang w:val="fr-CH"/>
        </w:rPr>
        <w:t>,</w:t>
      </w:r>
      <w:r w:rsidRPr="00D406F7">
        <w:rPr>
          <w:lang w:val="fr-CH"/>
        </w:rPr>
        <w:t xml:space="preserve"> puisque la proposition concerne le montant provisoire de </w:t>
      </w:r>
      <w:r w:rsidR="001A17B4">
        <w:rPr>
          <w:lang w:val="fr-CH"/>
        </w:rPr>
        <w:t>l'</w:t>
      </w:r>
      <w:r w:rsidRPr="00D406F7">
        <w:rPr>
          <w:lang w:val="fr-CH"/>
        </w:rPr>
        <w:t>unité</w:t>
      </w:r>
      <w:r w:rsidR="001A17B4">
        <w:rPr>
          <w:lang w:val="fr-CH"/>
        </w:rPr>
        <w:t xml:space="preserve"> contributive</w:t>
      </w:r>
      <w:r w:rsidRPr="00D406F7">
        <w:rPr>
          <w:lang w:val="fr-CH"/>
        </w:rPr>
        <w:t>, elle est compatible avec les dispositions r</w:t>
      </w:r>
      <w:r w:rsidR="001A17B4">
        <w:rPr>
          <w:lang w:val="fr-CH"/>
        </w:rPr>
        <w:t>é</w:t>
      </w:r>
      <w:r w:rsidRPr="00D406F7">
        <w:rPr>
          <w:lang w:val="fr-CH"/>
        </w:rPr>
        <w:t>glementaires de l</w:t>
      </w:r>
      <w:r>
        <w:rPr>
          <w:lang w:val="fr-CH"/>
        </w:rPr>
        <w:t>'</w:t>
      </w:r>
      <w:r w:rsidRPr="00D406F7">
        <w:rPr>
          <w:lang w:val="fr-CH"/>
        </w:rPr>
        <w:t>UIT et faciliterait l</w:t>
      </w:r>
      <w:r>
        <w:rPr>
          <w:lang w:val="fr-CH"/>
        </w:rPr>
        <w:t>'</w:t>
      </w:r>
      <w:r w:rsidRPr="00D406F7">
        <w:rPr>
          <w:lang w:val="fr-CH"/>
        </w:rPr>
        <w:t xml:space="preserve">ajustement des </w:t>
      </w:r>
      <w:r w:rsidR="001A17B4">
        <w:rPr>
          <w:lang w:val="fr-CH"/>
        </w:rPr>
        <w:t>données</w:t>
      </w:r>
      <w:r w:rsidR="00E17F7A">
        <w:rPr>
          <w:lang w:val="fr-CH"/>
        </w:rPr>
        <w:t xml:space="preserve"> </w:t>
      </w:r>
      <w:r w:rsidRPr="00D406F7">
        <w:rPr>
          <w:lang w:val="fr-CH"/>
        </w:rPr>
        <w:t xml:space="preserve">budgétaires lors de la prochaine </w:t>
      </w:r>
      <w:r w:rsidR="001A17B4">
        <w:rPr>
          <w:lang w:val="fr-CH"/>
        </w:rPr>
        <w:t>C</w:t>
      </w:r>
      <w:r w:rsidRPr="00D406F7">
        <w:rPr>
          <w:lang w:val="fr-CH"/>
        </w:rPr>
        <w:t>onférence de plénipotentiaires.</w:t>
      </w:r>
    </w:p>
    <w:p w14:paraId="1B95EFC4" w14:textId="092DD2BC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1.5</w:t>
      </w:r>
      <w:r w:rsidRPr="00D406F7">
        <w:rPr>
          <w:lang w:val="fr-CH"/>
        </w:rPr>
        <w:tab/>
        <w:t xml:space="preserve">Les </w:t>
      </w:r>
      <w:r w:rsidRPr="00D406F7">
        <w:rPr>
          <w:b/>
          <w:bCs/>
          <w:lang w:val="fr-CH"/>
        </w:rPr>
        <w:t>délégués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 xml:space="preserve">Inde, de la Tunisie </w:t>
      </w:r>
      <w:r w:rsidRPr="00D406F7">
        <w:rPr>
          <w:lang w:val="fr-CH"/>
        </w:rPr>
        <w:t xml:space="preserve">et </w:t>
      </w:r>
      <w:r w:rsidRPr="00D406F7">
        <w:rPr>
          <w:b/>
          <w:bCs/>
          <w:lang w:val="fr-CH"/>
        </w:rPr>
        <w:t>du Royaume-Uni</w:t>
      </w:r>
      <w:r w:rsidRPr="00D406F7">
        <w:rPr>
          <w:lang w:val="fr-CH"/>
        </w:rPr>
        <w:t xml:space="preserve"> appuient la proposition de modification sur le principe.</w:t>
      </w:r>
    </w:p>
    <w:p w14:paraId="621BEA8C" w14:textId="208683BB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1.6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 xml:space="preserve">délégué de la République </w:t>
      </w:r>
      <w:proofErr w:type="spellStart"/>
      <w:r w:rsidRPr="00D406F7">
        <w:rPr>
          <w:b/>
          <w:bCs/>
          <w:lang w:val="fr-CH"/>
        </w:rPr>
        <w:t>sudafricaine</w:t>
      </w:r>
      <w:proofErr w:type="spellEnd"/>
      <w:r w:rsidRPr="00D406F7">
        <w:rPr>
          <w:lang w:val="fr-CH"/>
        </w:rPr>
        <w:t xml:space="preserve"> appuie également la proposition de modification, mais estime que le montant de l</w:t>
      </w:r>
      <w:r>
        <w:rPr>
          <w:lang w:val="fr-CH"/>
        </w:rPr>
        <w:t>'</w:t>
      </w:r>
      <w:r w:rsidRPr="00D406F7">
        <w:rPr>
          <w:lang w:val="fr-CH"/>
        </w:rPr>
        <w:t>unité contributive ne doit pas être provisoire et qu</w:t>
      </w:r>
      <w:r>
        <w:rPr>
          <w:lang w:val="fr-CH"/>
        </w:rPr>
        <w:t>'</w:t>
      </w:r>
      <w:r w:rsidRPr="00D406F7">
        <w:rPr>
          <w:lang w:val="fr-CH"/>
        </w:rPr>
        <w:t>il convient de le fixer pour assurer la stabilité de la planification budgétaire.</w:t>
      </w:r>
    </w:p>
    <w:p w14:paraId="6401ED7A" w14:textId="15943B8E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1.7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des Etats-Unis</w:t>
      </w:r>
      <w:r w:rsidRPr="00D406F7">
        <w:rPr>
          <w:lang w:val="fr-CH"/>
        </w:rPr>
        <w:t xml:space="preserve"> salue la proposition et considère que le texte additionnel devrait être inclu</w:t>
      </w:r>
      <w:r w:rsidR="001A17B4">
        <w:rPr>
          <w:lang w:val="fr-CH"/>
        </w:rPr>
        <w:t>s</w:t>
      </w:r>
      <w:r w:rsidRPr="00D406F7">
        <w:rPr>
          <w:lang w:val="fr-CH"/>
        </w:rPr>
        <w:t xml:space="preserve"> </w:t>
      </w:r>
      <w:r w:rsidR="001A17B4">
        <w:rPr>
          <w:lang w:val="fr-CH"/>
        </w:rPr>
        <w:t xml:space="preserve">dans </w:t>
      </w:r>
      <w:proofErr w:type="gramStart"/>
      <w:r w:rsidR="001A17B4">
        <w:rPr>
          <w:lang w:val="fr-CH"/>
        </w:rPr>
        <w:t>un nouvel</w:t>
      </w:r>
      <w:proofErr w:type="gramEnd"/>
      <w:r w:rsidRPr="00D406F7">
        <w:rPr>
          <w:lang w:val="fr-CH"/>
        </w:rPr>
        <w:t xml:space="preserve"> </w:t>
      </w:r>
      <w:r w:rsidRPr="00D406F7">
        <w:rPr>
          <w:i/>
          <w:iCs/>
          <w:lang w:val="fr-CH"/>
        </w:rPr>
        <w:t>invite</w:t>
      </w:r>
      <w:r w:rsidRPr="00D406F7">
        <w:rPr>
          <w:lang w:val="fr-CH"/>
        </w:rPr>
        <w:t>.</w:t>
      </w:r>
    </w:p>
    <w:p w14:paraId="39003B63" w14:textId="75E14C07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1.8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Arabie saoudite</w:t>
      </w:r>
      <w:r w:rsidRPr="00D406F7">
        <w:rPr>
          <w:lang w:val="fr-CH"/>
        </w:rPr>
        <w:t xml:space="preserve"> se déclare favorable à la solution pratique proposée, mais fait remarquer que l</w:t>
      </w:r>
      <w:r>
        <w:rPr>
          <w:lang w:val="fr-CH"/>
        </w:rPr>
        <w:t>'</w:t>
      </w:r>
      <w:r w:rsidRPr="00D406F7">
        <w:rPr>
          <w:lang w:val="fr-CH"/>
        </w:rPr>
        <w:t>unité contributive pour la période 2016-2019 a déjà été déterminée. Par conséquent, le texte envisagé se rapporterait à la période 2020-2023.</w:t>
      </w:r>
    </w:p>
    <w:p w14:paraId="58F3052D" w14:textId="4A6823B2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1.9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 estime que la proposition est judicieuse et </w:t>
      </w:r>
      <w:r w:rsidR="001A17B4">
        <w:rPr>
          <w:lang w:val="fr-CH"/>
        </w:rPr>
        <w:t>accept</w:t>
      </w:r>
      <w:r w:rsidRPr="00D406F7">
        <w:rPr>
          <w:lang w:val="fr-CH"/>
        </w:rPr>
        <w:t>able. Le Conseiller juridique devra néanmoins l</w:t>
      </w:r>
      <w:r>
        <w:rPr>
          <w:lang w:val="fr-CH"/>
        </w:rPr>
        <w:t>'</w:t>
      </w:r>
      <w:r w:rsidRPr="00D406F7">
        <w:rPr>
          <w:lang w:val="fr-CH"/>
        </w:rPr>
        <w:t>examiner soigneusement pour s</w:t>
      </w:r>
      <w:r>
        <w:rPr>
          <w:lang w:val="fr-CH"/>
        </w:rPr>
        <w:t>'</w:t>
      </w:r>
      <w:r w:rsidRPr="00D406F7">
        <w:rPr>
          <w:lang w:val="fr-CH"/>
        </w:rPr>
        <w:t xml:space="preserve">assurer </w:t>
      </w:r>
      <w:r w:rsidR="001A17B4">
        <w:rPr>
          <w:lang w:val="fr-CH"/>
        </w:rPr>
        <w:t xml:space="preserve">de sa </w:t>
      </w:r>
      <w:r w:rsidRPr="00D406F7">
        <w:rPr>
          <w:lang w:val="fr-CH"/>
        </w:rPr>
        <w:t>conform</w:t>
      </w:r>
      <w:r w:rsidR="001A17B4">
        <w:rPr>
          <w:lang w:val="fr-CH"/>
        </w:rPr>
        <w:t>ité</w:t>
      </w:r>
      <w:r w:rsidRPr="00D406F7">
        <w:rPr>
          <w:lang w:val="fr-CH"/>
        </w:rPr>
        <w:t xml:space="preserve"> à l</w:t>
      </w:r>
      <w:r>
        <w:rPr>
          <w:lang w:val="fr-CH"/>
        </w:rPr>
        <w:t>'</w:t>
      </w:r>
      <w:r w:rsidRPr="00D406F7">
        <w:rPr>
          <w:lang w:val="fr-CH"/>
        </w:rPr>
        <w:t>article 28 de la Constitution.</w:t>
      </w:r>
    </w:p>
    <w:p w14:paraId="7E1A82BC" w14:textId="0FEAEEA5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1.10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</w:t>
      </w:r>
      <w:r w:rsidRPr="00D406F7">
        <w:rPr>
          <w:lang w:val="fr-CH"/>
        </w:rPr>
        <w:t>, prenant acte des réactions très favorable</w:t>
      </w:r>
      <w:r>
        <w:rPr>
          <w:lang w:val="fr-CH"/>
        </w:rPr>
        <w:t>s</w:t>
      </w:r>
      <w:r w:rsidRPr="00D406F7">
        <w:rPr>
          <w:lang w:val="fr-CH"/>
        </w:rPr>
        <w:t xml:space="preserve"> suscitées par la proposition d</w:t>
      </w:r>
      <w:r>
        <w:rPr>
          <w:lang w:val="fr-CH"/>
        </w:rPr>
        <w:t>'</w:t>
      </w:r>
      <w:r w:rsidRPr="00D406F7">
        <w:rPr>
          <w:lang w:val="fr-CH"/>
        </w:rPr>
        <w:t xml:space="preserve">ajout et des différentes observations </w:t>
      </w:r>
      <w:r w:rsidRPr="00D406F7">
        <w:rPr>
          <w:lang w:val="fr-CH"/>
        </w:rPr>
        <w:lastRenderedPageBreak/>
        <w:t xml:space="preserve">émises, invite la Présidente de la Commission 6 à consulter les délégués concernés pour décider de la formulation appropriée. </w:t>
      </w:r>
    </w:p>
    <w:p w14:paraId="5A165C02" w14:textId="3007DA37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1.11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26D4A05B" w14:textId="0B3ED854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Mali</w:t>
      </w:r>
      <w:r w:rsidRPr="00D406F7">
        <w:rPr>
          <w:lang w:val="fr-CH"/>
        </w:rPr>
        <w:t xml:space="preserve"> dit que le point 6 a) du </w:t>
      </w:r>
      <w:r w:rsidRPr="00D406F7">
        <w:rPr>
          <w:i/>
          <w:iCs/>
          <w:lang w:val="fr-CH"/>
        </w:rPr>
        <w:t>décide</w:t>
      </w:r>
      <w:r w:rsidRPr="00D406F7">
        <w:rPr>
          <w:lang w:val="fr-CH"/>
        </w:rPr>
        <w:t xml:space="preserve"> n</w:t>
      </w:r>
      <w:r>
        <w:rPr>
          <w:lang w:val="fr-CH"/>
        </w:rPr>
        <w:t>'</w:t>
      </w:r>
      <w:r w:rsidRPr="00D406F7">
        <w:rPr>
          <w:lang w:val="fr-CH"/>
        </w:rPr>
        <w:t xml:space="preserve">est pas nécessaire et devrait être supprimé, car </w:t>
      </w:r>
      <w:r w:rsidRPr="00D406F7">
        <w:rPr>
          <w:sz w:val="23"/>
          <w:szCs w:val="23"/>
          <w:lang w:val="fr-CH"/>
        </w:rPr>
        <w:t>la fonction d'audit interne de l'Union est déjà forte et efficace</w:t>
      </w:r>
      <w:r w:rsidRPr="00D406F7">
        <w:rPr>
          <w:lang w:val="fr-CH"/>
        </w:rPr>
        <w:t>.</w:t>
      </w:r>
    </w:p>
    <w:p w14:paraId="46187E8D" w14:textId="7AA84250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1.13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Présidente de la Commission 6</w:t>
      </w:r>
      <w:r w:rsidRPr="00D406F7">
        <w:rPr>
          <w:lang w:val="fr-CH"/>
        </w:rPr>
        <w:t xml:space="preserve"> fait remarquer que le libellé </w:t>
      </w:r>
      <w:r>
        <w:rPr>
          <w:lang w:val="fr-CH"/>
        </w:rPr>
        <w:t>"</w:t>
      </w:r>
      <w:r w:rsidRPr="00D406F7">
        <w:rPr>
          <w:lang w:val="fr-CH"/>
        </w:rPr>
        <w:t>devrait continuer de rester forte et efficace</w:t>
      </w:r>
      <w:r>
        <w:rPr>
          <w:lang w:val="fr-CH"/>
        </w:rPr>
        <w:t>"</w:t>
      </w:r>
      <w:r w:rsidRPr="00D406F7">
        <w:rPr>
          <w:lang w:val="fr-CH"/>
        </w:rPr>
        <w:t xml:space="preserve"> signifie que la fonction d</w:t>
      </w:r>
      <w:r>
        <w:rPr>
          <w:lang w:val="fr-CH"/>
        </w:rPr>
        <w:t>'</w:t>
      </w:r>
      <w:r w:rsidRPr="00D406F7">
        <w:rPr>
          <w:lang w:val="fr-CH"/>
        </w:rPr>
        <w:t>audit interne de l</w:t>
      </w:r>
      <w:r>
        <w:rPr>
          <w:lang w:val="fr-CH"/>
        </w:rPr>
        <w:t>'</w:t>
      </w:r>
      <w:r w:rsidRPr="00D406F7">
        <w:rPr>
          <w:lang w:val="fr-CH"/>
        </w:rPr>
        <w:t>Union est déjà forte et efficace et qu</w:t>
      </w:r>
      <w:r>
        <w:rPr>
          <w:lang w:val="fr-CH"/>
        </w:rPr>
        <w:t>'</w:t>
      </w:r>
      <w:r w:rsidRPr="00D406F7">
        <w:rPr>
          <w:lang w:val="fr-CH"/>
        </w:rPr>
        <w:t>il faut veiller à la maintenir à ce niveau.</w:t>
      </w:r>
    </w:p>
    <w:p w14:paraId="34BBC99B" w14:textId="7D9DA40F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1.14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Mali</w:t>
      </w:r>
      <w:r w:rsidRPr="00D406F7">
        <w:rPr>
          <w:lang w:val="fr-CH"/>
        </w:rPr>
        <w:t xml:space="preserve"> propose de supprimer le point 2 </w:t>
      </w:r>
      <w:proofErr w:type="gramStart"/>
      <w:r w:rsidRPr="00D406F7">
        <w:rPr>
          <w:lang w:val="fr-CH"/>
        </w:rPr>
        <w:t>du</w:t>
      </w:r>
      <w:proofErr w:type="gramEnd"/>
      <w:r w:rsidRPr="00D406F7">
        <w:rPr>
          <w:lang w:val="fr-CH"/>
        </w:rPr>
        <w:t xml:space="preserve"> </w:t>
      </w:r>
      <w:r w:rsidRPr="00D406F7">
        <w:rPr>
          <w:i/>
          <w:iCs/>
          <w:lang w:val="fr-CH"/>
        </w:rPr>
        <w:t>charge le Secrétaire général et les Directeurs des Bureaux.</w:t>
      </w:r>
    </w:p>
    <w:p w14:paraId="233205BE" w14:textId="4CF1F0AD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1.15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des Etats-Unis</w:t>
      </w:r>
      <w:r w:rsidRPr="00D406F7">
        <w:rPr>
          <w:lang w:val="fr-CH"/>
        </w:rPr>
        <w:t xml:space="preserve"> souligne l</w:t>
      </w:r>
      <w:r>
        <w:rPr>
          <w:lang w:val="fr-CH"/>
        </w:rPr>
        <w:t>'</w:t>
      </w:r>
      <w:r w:rsidRPr="00D406F7">
        <w:rPr>
          <w:lang w:val="fr-CH"/>
        </w:rPr>
        <w:t>importance d</w:t>
      </w:r>
      <w:r w:rsidR="001A17B4">
        <w:rPr>
          <w:lang w:val="fr-CH"/>
        </w:rPr>
        <w:t>'un</w:t>
      </w:r>
      <w:r w:rsidRPr="00D406F7">
        <w:rPr>
          <w:lang w:val="fr-CH"/>
        </w:rPr>
        <w:t xml:space="preserve">e </w:t>
      </w:r>
      <w:r w:rsidR="001A17B4">
        <w:rPr>
          <w:lang w:val="fr-CH"/>
        </w:rPr>
        <w:t>culture de l'</w:t>
      </w:r>
      <w:r w:rsidRPr="00D406F7">
        <w:rPr>
          <w:lang w:val="fr-CH"/>
        </w:rPr>
        <w:t xml:space="preserve">efficience et de </w:t>
      </w:r>
      <w:r w:rsidR="001A17B4">
        <w:rPr>
          <w:lang w:val="fr-CH"/>
        </w:rPr>
        <w:t>l'</w:t>
      </w:r>
      <w:r w:rsidRPr="00D406F7">
        <w:rPr>
          <w:lang w:val="fr-CH"/>
        </w:rPr>
        <w:t>économie dans le contexte économique actuel et s</w:t>
      </w:r>
      <w:r>
        <w:rPr>
          <w:lang w:val="fr-CH"/>
        </w:rPr>
        <w:t>'</w:t>
      </w:r>
      <w:r w:rsidRPr="00D406F7">
        <w:rPr>
          <w:lang w:val="fr-CH"/>
        </w:rPr>
        <w:t>oppose donc à la suppression de ce point.</w:t>
      </w:r>
    </w:p>
    <w:p w14:paraId="511319F9" w14:textId="6D2F1C00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1.16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 la Fédération de Russie</w:t>
      </w:r>
      <w:r w:rsidRPr="00D406F7">
        <w:rPr>
          <w:lang w:val="fr-CH"/>
        </w:rPr>
        <w:t xml:space="preserve"> considère également que ce point est important pour assurer la stabilité financière de l</w:t>
      </w:r>
      <w:r>
        <w:rPr>
          <w:lang w:val="fr-CH"/>
        </w:rPr>
        <w:t>'</w:t>
      </w:r>
      <w:r w:rsidRPr="00D406F7">
        <w:rPr>
          <w:lang w:val="fr-CH"/>
        </w:rPr>
        <w:t>Union.</w:t>
      </w:r>
    </w:p>
    <w:p w14:paraId="64D83807" w14:textId="77777777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1.17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</w:t>
      </w:r>
      <w:r w:rsidRPr="00D406F7">
        <w:rPr>
          <w:lang w:val="fr-CH"/>
        </w:rPr>
        <w:t xml:space="preserve"> propose que la Présidente de la Commission 6 </w:t>
      </w:r>
      <w:r>
        <w:rPr>
          <w:lang w:val="fr-CH"/>
        </w:rPr>
        <w:t>examine</w:t>
      </w:r>
      <w:r w:rsidRPr="00D406F7">
        <w:rPr>
          <w:lang w:val="fr-CH"/>
        </w:rPr>
        <w:t xml:space="preserve"> la question avec les délégués concernés.</w:t>
      </w:r>
    </w:p>
    <w:p w14:paraId="55EA44D3" w14:textId="23ABE051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1.18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175F3C27" w14:textId="53BDE5B9" w:rsidR="004369B4" w:rsidRPr="00D406F7" w:rsidRDefault="004369B4" w:rsidP="001A17B4">
      <w:pPr>
        <w:rPr>
          <w:lang w:val="fr-CH"/>
        </w:rPr>
      </w:pPr>
      <w:proofErr w:type="gramStart"/>
      <w:r w:rsidRPr="00D406F7">
        <w:rPr>
          <w:lang w:val="fr-CH"/>
        </w:rPr>
        <w:t>1.19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des Philippines</w:t>
      </w:r>
      <w:r w:rsidRPr="00D406F7">
        <w:rPr>
          <w:lang w:val="fr-CH"/>
        </w:rPr>
        <w:t>, attirant l</w:t>
      </w:r>
      <w:r>
        <w:rPr>
          <w:lang w:val="fr-CH"/>
        </w:rPr>
        <w:t>'</w:t>
      </w:r>
      <w:r w:rsidRPr="00D406F7">
        <w:rPr>
          <w:lang w:val="fr-CH"/>
        </w:rPr>
        <w:t>attention sur le point 6 de l</w:t>
      </w:r>
      <w:r>
        <w:rPr>
          <w:lang w:val="fr-CH"/>
        </w:rPr>
        <w:t>'</w:t>
      </w:r>
      <w:r w:rsidRPr="00D406F7">
        <w:rPr>
          <w:lang w:val="fr-CH"/>
        </w:rPr>
        <w:t xml:space="preserve">Annexe 2, rappelle que selon le </w:t>
      </w:r>
      <w:r w:rsidR="001A17B4">
        <w:rPr>
          <w:lang w:val="fr-CH"/>
        </w:rPr>
        <w:t>D</w:t>
      </w:r>
      <w:r w:rsidRPr="00D406F7">
        <w:rPr>
          <w:lang w:val="fr-CH"/>
        </w:rPr>
        <w:t>ocument DT/26, consacré à l</w:t>
      </w:r>
      <w:r>
        <w:rPr>
          <w:lang w:val="fr-CH"/>
        </w:rPr>
        <w:t>'</w:t>
      </w:r>
      <w:r w:rsidRPr="00D406F7">
        <w:rPr>
          <w:lang w:val="fr-CH"/>
        </w:rPr>
        <w:t xml:space="preserve">autonomisation des jeunes au moyen des télécommunications et des technologies de l'information et de la communication, et </w:t>
      </w:r>
      <w:r w:rsidR="001A17B4">
        <w:rPr>
          <w:lang w:val="fr-CH"/>
        </w:rPr>
        <w:t xml:space="preserve">qui a reçu un </w:t>
      </w:r>
      <w:r w:rsidRPr="00D406F7">
        <w:rPr>
          <w:lang w:val="fr-CH"/>
        </w:rPr>
        <w:t>accueil très favorable, il convient d'accorder un rang de priorité élevé à l'intégration des jeunes professionnels dans l</w:t>
      </w:r>
      <w:r>
        <w:rPr>
          <w:lang w:val="fr-CH"/>
        </w:rPr>
        <w:t>'</w:t>
      </w:r>
      <w:r w:rsidRPr="00D406F7">
        <w:rPr>
          <w:lang w:val="fr-CH"/>
        </w:rPr>
        <w:t>Union et de tenir compte des préoccupations relatives aux jeunes dans la mise en œuvre du plan stratégique et du plan financier de l'UIT.</w:t>
      </w:r>
      <w:proofErr w:type="gramEnd"/>
      <w:r w:rsidRPr="00D406F7">
        <w:rPr>
          <w:lang w:val="fr-CH"/>
        </w:rPr>
        <w:t xml:space="preserve"> Ces éléments semblent être en contradiction avec le point 6 de l</w:t>
      </w:r>
      <w:r>
        <w:rPr>
          <w:lang w:val="fr-CH"/>
        </w:rPr>
        <w:t>'</w:t>
      </w:r>
      <w:r w:rsidRPr="00D406F7">
        <w:rPr>
          <w:lang w:val="fr-CH"/>
        </w:rPr>
        <w:t xml:space="preserve">Annexe 2 du projet de Décision 5 révisée, selon lequel de nouveaux recrutements devraient être la </w:t>
      </w:r>
      <w:r>
        <w:rPr>
          <w:lang w:val="fr-CH"/>
        </w:rPr>
        <w:t>"</w:t>
      </w:r>
      <w:r w:rsidRPr="00D406F7">
        <w:rPr>
          <w:lang w:val="fr-CH"/>
        </w:rPr>
        <w:t>dernière solution à envisager</w:t>
      </w:r>
      <w:r>
        <w:rPr>
          <w:lang w:val="fr-CH"/>
        </w:rPr>
        <w:t>"</w:t>
      </w:r>
      <w:r w:rsidRPr="00D406F7">
        <w:rPr>
          <w:lang w:val="fr-CH"/>
        </w:rPr>
        <w:t>. Il conviendrait d</w:t>
      </w:r>
      <w:r>
        <w:rPr>
          <w:lang w:val="fr-CH"/>
        </w:rPr>
        <w:t>'</w:t>
      </w:r>
      <w:r w:rsidRPr="00D406F7">
        <w:rPr>
          <w:lang w:val="fr-CH"/>
        </w:rPr>
        <w:t>harmoniser la formulation de ces deux documents.</w:t>
      </w:r>
    </w:p>
    <w:p w14:paraId="3B93746B" w14:textId="7175BAA7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1.20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Présidente de la Commission 6</w:t>
      </w:r>
      <w:r w:rsidRPr="00D406F7">
        <w:rPr>
          <w:lang w:val="fr-CH"/>
        </w:rPr>
        <w:t xml:space="preserve"> dit que la question des préoccupations relatives aux jeunes a été examinée par la Commission. A cet égard, il faut également veiller à éviter toute discrimination liée à l</w:t>
      </w:r>
      <w:r>
        <w:rPr>
          <w:lang w:val="fr-CH"/>
        </w:rPr>
        <w:t>'</w:t>
      </w:r>
      <w:r w:rsidRPr="00D406F7">
        <w:rPr>
          <w:lang w:val="fr-CH"/>
        </w:rPr>
        <w:t>âge.</w:t>
      </w:r>
    </w:p>
    <w:p w14:paraId="22E5F4F4" w14:textId="63782B30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1.21</w:t>
      </w:r>
      <w:r w:rsidRPr="00D406F7">
        <w:rPr>
          <w:lang w:val="fr-CH"/>
        </w:rPr>
        <w:tab/>
        <w:t xml:space="preserve">Les </w:t>
      </w:r>
      <w:r w:rsidRPr="00D406F7">
        <w:rPr>
          <w:b/>
          <w:bCs/>
          <w:lang w:val="fr-CH"/>
        </w:rPr>
        <w:t xml:space="preserve">délégués du Gabon </w:t>
      </w:r>
      <w:r w:rsidRPr="00D406F7">
        <w:rPr>
          <w:lang w:val="fr-CH"/>
        </w:rPr>
        <w:t xml:space="preserve">et </w:t>
      </w:r>
      <w:r w:rsidRPr="00D406F7">
        <w:rPr>
          <w:b/>
          <w:bCs/>
          <w:lang w:val="fr-CH"/>
        </w:rPr>
        <w:t>du Mali</w:t>
      </w:r>
      <w:r w:rsidRPr="00D406F7">
        <w:rPr>
          <w:lang w:val="fr-CH"/>
        </w:rPr>
        <w:t xml:space="preserve"> partagent les préoccupations relatives à la formulation du point 6. Si les seniors ne doivent pas faire l</w:t>
      </w:r>
      <w:r>
        <w:rPr>
          <w:lang w:val="fr-CH"/>
        </w:rPr>
        <w:t>'</w:t>
      </w:r>
      <w:r w:rsidRPr="00D406F7">
        <w:rPr>
          <w:lang w:val="fr-CH"/>
        </w:rPr>
        <w:t>objet de discrimination, il en va de même pour les jeunes.</w:t>
      </w:r>
    </w:p>
    <w:p w14:paraId="6AF30470" w14:textId="408CBEAD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Guyana</w:t>
      </w:r>
      <w:r w:rsidRPr="00D406F7">
        <w:rPr>
          <w:lang w:val="fr-CH"/>
        </w:rPr>
        <w:t xml:space="preserve"> affirme qu</w:t>
      </w:r>
      <w:r>
        <w:rPr>
          <w:lang w:val="fr-CH"/>
        </w:rPr>
        <w:t>'</w:t>
      </w:r>
      <w:r w:rsidRPr="00D406F7">
        <w:rPr>
          <w:lang w:val="fr-CH"/>
        </w:rPr>
        <w:t>il est important de trouver un équilibre</w:t>
      </w:r>
      <w:r w:rsidR="001A17B4">
        <w:rPr>
          <w:lang w:val="fr-CH"/>
        </w:rPr>
        <w:t>, sur le plan du</w:t>
      </w:r>
      <w:r w:rsidRPr="00D406F7">
        <w:rPr>
          <w:lang w:val="fr-CH"/>
        </w:rPr>
        <w:t xml:space="preserve"> personnel</w:t>
      </w:r>
      <w:r w:rsidR="001A17B4">
        <w:rPr>
          <w:lang w:val="fr-CH"/>
        </w:rPr>
        <w:t>,</w:t>
      </w:r>
      <w:r w:rsidRPr="00D406F7">
        <w:rPr>
          <w:lang w:val="fr-CH"/>
        </w:rPr>
        <w:t xml:space="preserve"> entre les jeunes, qui jouent un rôle essentiel en apportant une énergie nouvelle </w:t>
      </w:r>
      <w:r w:rsidR="001A17B4">
        <w:rPr>
          <w:lang w:val="fr-CH"/>
        </w:rPr>
        <w:t>à</w:t>
      </w:r>
      <w:r w:rsidRPr="00D406F7">
        <w:rPr>
          <w:lang w:val="fr-CH"/>
        </w:rPr>
        <w:t xml:space="preserve"> l</w:t>
      </w:r>
      <w:r>
        <w:rPr>
          <w:lang w:val="fr-CH"/>
        </w:rPr>
        <w:t>'</w:t>
      </w:r>
      <w:r w:rsidRPr="00D406F7">
        <w:rPr>
          <w:lang w:val="fr-CH"/>
        </w:rPr>
        <w:t xml:space="preserve">Union, et les </w:t>
      </w:r>
      <w:r w:rsidR="001A17B4">
        <w:rPr>
          <w:lang w:val="fr-CH"/>
        </w:rPr>
        <w:t xml:space="preserve">personnes plus </w:t>
      </w:r>
      <w:r w:rsidR="00E17F7A">
        <w:rPr>
          <w:lang w:val="fr-CH"/>
        </w:rPr>
        <w:t>âgées</w:t>
      </w:r>
      <w:r w:rsidRPr="00D406F7">
        <w:rPr>
          <w:lang w:val="fr-CH"/>
        </w:rPr>
        <w:t>, dont l</w:t>
      </w:r>
      <w:r>
        <w:rPr>
          <w:lang w:val="fr-CH"/>
        </w:rPr>
        <w:t>'</w:t>
      </w:r>
      <w:r w:rsidRPr="00D406F7">
        <w:rPr>
          <w:lang w:val="fr-CH"/>
        </w:rPr>
        <w:t>expérience est précieuse.</w:t>
      </w:r>
    </w:p>
    <w:p w14:paraId="07FE27B0" w14:textId="36A6E7B2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lastRenderedPageBreak/>
        <w:t>1.23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Arabie saoudite</w:t>
      </w:r>
      <w:r w:rsidRPr="00D406F7">
        <w:rPr>
          <w:lang w:val="fr-CH"/>
        </w:rPr>
        <w:t xml:space="preserve"> propose qu</w:t>
      </w:r>
      <w:r>
        <w:rPr>
          <w:lang w:val="fr-CH"/>
        </w:rPr>
        <w:t>'</w:t>
      </w:r>
      <w:r w:rsidRPr="00D406F7">
        <w:rPr>
          <w:lang w:val="fr-CH"/>
        </w:rPr>
        <w:t xml:space="preserve">un petit groupe examine les questions soulevées concernant le projet de </w:t>
      </w:r>
      <w:r w:rsidR="001A17B4">
        <w:rPr>
          <w:lang w:val="fr-CH"/>
        </w:rPr>
        <w:t>d</w:t>
      </w:r>
      <w:r w:rsidRPr="00D406F7">
        <w:rPr>
          <w:lang w:val="fr-CH"/>
        </w:rPr>
        <w:t>écision et présente un rapport à la plénière.</w:t>
      </w:r>
    </w:p>
    <w:p w14:paraId="3C454D1A" w14:textId="3CF583BD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1.24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 dit que les questions soulevées sont des questions de fond qui doivent être examinées par toutes les parties intéressées plutôt que par un petit groupe de délégués.</w:t>
      </w:r>
    </w:p>
    <w:p w14:paraId="49ABA0D5" w14:textId="0E083DA9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1.25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5845E2AB" w14:textId="27AE9832" w:rsidR="004369B4" w:rsidRPr="00D406F7" w:rsidRDefault="004369B4" w:rsidP="001A17B4">
      <w:pPr>
        <w:rPr>
          <w:lang w:val="fr-FR"/>
        </w:rPr>
      </w:pPr>
      <w:r w:rsidRPr="00D406F7">
        <w:rPr>
          <w:lang w:val="fr-CH"/>
        </w:rPr>
        <w:t>1.26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FR"/>
        </w:rPr>
        <w:t>déléguée de la Jamaïque</w:t>
      </w:r>
      <w:r w:rsidRPr="00303E23">
        <w:rPr>
          <w:lang w:val="fr-FR"/>
        </w:rPr>
        <w:t xml:space="preserve">, </w:t>
      </w:r>
      <w:r w:rsidRPr="00D406F7">
        <w:rPr>
          <w:lang w:val="fr-FR"/>
        </w:rPr>
        <w:t>faisant référence au point 9 de l</w:t>
      </w:r>
      <w:r>
        <w:rPr>
          <w:lang w:val="fr-FR"/>
        </w:rPr>
        <w:t>'</w:t>
      </w:r>
      <w:r w:rsidRPr="00D406F7">
        <w:rPr>
          <w:lang w:val="fr-FR"/>
        </w:rPr>
        <w:t>Annexe 2, fait remarquer que l</w:t>
      </w:r>
      <w:r>
        <w:rPr>
          <w:lang w:val="fr-FR"/>
        </w:rPr>
        <w:t>'</w:t>
      </w:r>
      <w:r w:rsidRPr="00D406F7">
        <w:rPr>
          <w:lang w:val="fr-FR"/>
        </w:rPr>
        <w:t xml:space="preserve">appel à réduire le coût de la documentation signifie probablement, en pratique, une intention de réduire les coûts </w:t>
      </w:r>
      <w:r w:rsidR="001A17B4">
        <w:rPr>
          <w:lang w:val="fr-FR"/>
        </w:rPr>
        <w:t>de</w:t>
      </w:r>
      <w:r w:rsidRPr="00D406F7">
        <w:rPr>
          <w:lang w:val="fr-FR"/>
        </w:rPr>
        <w:t xml:space="preserve"> production des documents.</w:t>
      </w:r>
    </w:p>
    <w:p w14:paraId="0C15AB6B" w14:textId="35FBC745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1.27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Tchad</w:t>
      </w:r>
      <w:r w:rsidRPr="00D406F7">
        <w:rPr>
          <w:lang w:val="fr-CH"/>
        </w:rPr>
        <w:t xml:space="preserve"> fait observer que le point 12 de l</w:t>
      </w:r>
      <w:r>
        <w:rPr>
          <w:lang w:val="fr-CH"/>
        </w:rPr>
        <w:t>'</w:t>
      </w:r>
      <w:r w:rsidRPr="00D406F7">
        <w:rPr>
          <w:lang w:val="fr-CH"/>
        </w:rPr>
        <w:t xml:space="preserve">Annexe 2 semble </w:t>
      </w:r>
      <w:r>
        <w:rPr>
          <w:lang w:val="fr-CH"/>
        </w:rPr>
        <w:t>aller à l'encontre de</w:t>
      </w:r>
      <w:r w:rsidRPr="00D406F7">
        <w:rPr>
          <w:lang w:val="fr-CH"/>
        </w:rPr>
        <w:t xml:space="preserve"> l</w:t>
      </w:r>
      <w:r>
        <w:rPr>
          <w:lang w:val="fr-CH"/>
        </w:rPr>
        <w:t>'</w:t>
      </w:r>
      <w:r w:rsidRPr="00D406F7">
        <w:rPr>
          <w:lang w:val="fr-CH"/>
        </w:rPr>
        <w:t>objectif</w:t>
      </w:r>
      <w:r w:rsidR="001A17B4">
        <w:rPr>
          <w:lang w:val="fr-CH"/>
        </w:rPr>
        <w:t xml:space="preserve"> visant à </w:t>
      </w:r>
      <w:r w:rsidRPr="00D406F7">
        <w:rPr>
          <w:lang w:val="fr-CH"/>
        </w:rPr>
        <w:t xml:space="preserve">utiliser les six langues officielles de l'Union sur un pied d'égalité. Il demande également une </w:t>
      </w:r>
      <w:r w:rsidR="001A17B4">
        <w:rPr>
          <w:lang w:val="fr-CH"/>
        </w:rPr>
        <w:t>explica</w:t>
      </w:r>
      <w:r w:rsidRPr="00D406F7">
        <w:rPr>
          <w:lang w:val="fr-CH"/>
        </w:rPr>
        <w:t>tion concernant les groupes de travail mentionnés au point 16.</w:t>
      </w:r>
    </w:p>
    <w:p w14:paraId="365DCD90" w14:textId="02E0EA7A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1.28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Présidente de la Commission 6</w:t>
      </w:r>
      <w:r w:rsidRPr="00D406F7">
        <w:rPr>
          <w:lang w:val="fr-CH"/>
        </w:rPr>
        <w:t xml:space="preserve"> dit que la référence à des économies dans le domaine linguistique correspond à la volonté de trouver des méthodes </w:t>
      </w:r>
      <w:r w:rsidR="001A17B4">
        <w:rPr>
          <w:lang w:val="fr-CH"/>
        </w:rPr>
        <w:t>innovantes</w:t>
      </w:r>
      <w:r w:rsidRPr="00D406F7">
        <w:rPr>
          <w:lang w:val="fr-CH"/>
        </w:rPr>
        <w:t xml:space="preserve"> pour assurer la traduction et l</w:t>
      </w:r>
      <w:r>
        <w:rPr>
          <w:lang w:val="fr-CH"/>
        </w:rPr>
        <w:t>'</w:t>
      </w:r>
      <w:r w:rsidRPr="00D406F7">
        <w:rPr>
          <w:lang w:val="fr-CH"/>
        </w:rPr>
        <w:t>interprétation, notamment la sous-traitance de tâches, tout en conservant le même niveau de qualité. En ce qui concerne le point 16, l</w:t>
      </w:r>
      <w:r>
        <w:rPr>
          <w:lang w:val="fr-CH"/>
        </w:rPr>
        <w:t>'</w:t>
      </w:r>
      <w:r w:rsidRPr="00D406F7">
        <w:rPr>
          <w:lang w:val="fr-CH"/>
        </w:rPr>
        <w:t>objectif est simplement de s</w:t>
      </w:r>
      <w:r>
        <w:rPr>
          <w:lang w:val="fr-CH"/>
        </w:rPr>
        <w:t>'</w:t>
      </w:r>
      <w:r w:rsidRPr="00D406F7">
        <w:rPr>
          <w:lang w:val="fr-CH"/>
        </w:rPr>
        <w:t>assurer que le travail réalisé par des commissions d</w:t>
      </w:r>
      <w:r>
        <w:rPr>
          <w:lang w:val="fr-CH"/>
        </w:rPr>
        <w:t>'</w:t>
      </w:r>
      <w:r w:rsidRPr="00D406F7">
        <w:rPr>
          <w:lang w:val="fr-CH"/>
        </w:rPr>
        <w:t>études régionales n</w:t>
      </w:r>
      <w:r>
        <w:rPr>
          <w:lang w:val="fr-CH"/>
        </w:rPr>
        <w:t>'</w:t>
      </w:r>
      <w:r w:rsidRPr="00D406F7">
        <w:rPr>
          <w:lang w:val="fr-CH"/>
        </w:rPr>
        <w:t xml:space="preserve">empiète pas sur </w:t>
      </w:r>
      <w:r w:rsidR="001A17B4">
        <w:rPr>
          <w:lang w:val="fr-CH"/>
        </w:rPr>
        <w:t>celui</w:t>
      </w:r>
      <w:r w:rsidRPr="00D406F7">
        <w:rPr>
          <w:lang w:val="fr-CH"/>
        </w:rPr>
        <w:t xml:space="preserve"> des commissions d</w:t>
      </w:r>
      <w:r>
        <w:rPr>
          <w:lang w:val="fr-CH"/>
        </w:rPr>
        <w:t>'</w:t>
      </w:r>
      <w:r w:rsidRPr="00D406F7">
        <w:rPr>
          <w:lang w:val="fr-CH"/>
        </w:rPr>
        <w:t>études principales.</w:t>
      </w:r>
    </w:p>
    <w:p w14:paraId="47A3CECD" w14:textId="7DE9D04D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1.29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Brésil</w:t>
      </w:r>
      <w:r w:rsidRPr="00D406F7">
        <w:rPr>
          <w:lang w:val="fr-CH"/>
        </w:rPr>
        <w:t xml:space="preserve"> fait remarquer que les mesures exposées dans l</w:t>
      </w:r>
      <w:r>
        <w:rPr>
          <w:lang w:val="fr-CH"/>
        </w:rPr>
        <w:t>'</w:t>
      </w:r>
      <w:r w:rsidRPr="00D406F7">
        <w:rPr>
          <w:lang w:val="fr-CH"/>
        </w:rPr>
        <w:t>Annexe 2 ont été examinées avec soin et ont été prises en compte lors de la préparation de l</w:t>
      </w:r>
      <w:r>
        <w:rPr>
          <w:lang w:val="fr-CH"/>
        </w:rPr>
        <w:t>'</w:t>
      </w:r>
      <w:r w:rsidRPr="00D406F7">
        <w:rPr>
          <w:lang w:val="fr-CH"/>
        </w:rPr>
        <w:t xml:space="preserve">Annexe 1 du projet de </w:t>
      </w:r>
      <w:r w:rsidR="001A17B4">
        <w:rPr>
          <w:lang w:val="fr-CH"/>
        </w:rPr>
        <w:t>d</w:t>
      </w:r>
      <w:r w:rsidRPr="00D406F7">
        <w:rPr>
          <w:lang w:val="fr-CH"/>
        </w:rPr>
        <w:t>écision, qui comprend le plan financier pour la période 2016-2019. Il souligne qu</w:t>
      </w:r>
      <w:r>
        <w:rPr>
          <w:lang w:val="fr-CH"/>
        </w:rPr>
        <w:t>'</w:t>
      </w:r>
      <w:r w:rsidRPr="00D406F7">
        <w:rPr>
          <w:lang w:val="fr-CH"/>
        </w:rPr>
        <w:t>il a été difficile de s</w:t>
      </w:r>
      <w:r>
        <w:rPr>
          <w:lang w:val="fr-CH"/>
        </w:rPr>
        <w:t>'</w:t>
      </w:r>
      <w:r w:rsidRPr="00D406F7">
        <w:rPr>
          <w:lang w:val="fr-CH"/>
        </w:rPr>
        <w:t>accorder sur un plan financier équilibré, qui devait inclure des économies à hauteur de 13</w:t>
      </w:r>
      <w:r w:rsidR="001A17B4">
        <w:rPr>
          <w:lang w:val="fr-CH"/>
        </w:rPr>
        <w:t> </w:t>
      </w:r>
      <w:r w:rsidRPr="00D406F7">
        <w:rPr>
          <w:lang w:val="fr-CH"/>
        </w:rPr>
        <w:t>millions</w:t>
      </w:r>
      <w:r w:rsidR="001A17B4">
        <w:rPr>
          <w:lang w:val="fr-CH"/>
        </w:rPr>
        <w:t> </w:t>
      </w:r>
      <w:r w:rsidR="001A17B4" w:rsidRPr="00D406F7">
        <w:rPr>
          <w:lang w:val="fr-CH"/>
        </w:rPr>
        <w:t>CHF</w:t>
      </w:r>
      <w:r w:rsidRPr="00D406F7">
        <w:rPr>
          <w:lang w:val="fr-CH"/>
        </w:rPr>
        <w:t>. La plupart des économies découlent des mesures exposées dans l</w:t>
      </w:r>
      <w:r>
        <w:rPr>
          <w:lang w:val="fr-CH"/>
        </w:rPr>
        <w:t>'</w:t>
      </w:r>
      <w:r w:rsidRPr="00D406F7">
        <w:rPr>
          <w:lang w:val="fr-CH"/>
        </w:rPr>
        <w:t>Annexe 2. Les observations formulées au cours de la discussion concernent des points essentiels de l</w:t>
      </w:r>
      <w:r>
        <w:rPr>
          <w:lang w:val="fr-CH"/>
        </w:rPr>
        <w:t>'</w:t>
      </w:r>
      <w:r w:rsidRPr="00D406F7">
        <w:rPr>
          <w:lang w:val="fr-CH"/>
        </w:rPr>
        <w:t>Annexe 2, et les modifier risquerait d</w:t>
      </w:r>
      <w:r>
        <w:rPr>
          <w:lang w:val="fr-CH"/>
        </w:rPr>
        <w:t>'</w:t>
      </w:r>
      <w:r w:rsidRPr="00D406F7">
        <w:rPr>
          <w:lang w:val="fr-CH"/>
        </w:rPr>
        <w:t>entraîner un remaniement en profondeur du plan financier, ce qui devrait être évité. Il ajoute que l</w:t>
      </w:r>
      <w:r w:rsidR="001A17B4">
        <w:rPr>
          <w:lang w:val="fr-CH"/>
        </w:rPr>
        <w:t>es</w:t>
      </w:r>
      <w:r w:rsidRPr="00D406F7">
        <w:rPr>
          <w:lang w:val="fr-CH"/>
        </w:rPr>
        <w:t xml:space="preserve"> </w:t>
      </w:r>
      <w:r w:rsidR="001A17B4">
        <w:rPr>
          <w:lang w:val="fr-CH"/>
        </w:rPr>
        <w:t xml:space="preserve">dépenses de </w:t>
      </w:r>
      <w:r w:rsidRPr="00D406F7">
        <w:rPr>
          <w:lang w:val="fr-CH"/>
        </w:rPr>
        <w:t>traduction représente</w:t>
      </w:r>
      <w:r w:rsidR="001A17B4">
        <w:rPr>
          <w:lang w:val="fr-CH"/>
        </w:rPr>
        <w:t>nt</w:t>
      </w:r>
      <w:r w:rsidRPr="00D406F7">
        <w:rPr>
          <w:lang w:val="fr-CH"/>
        </w:rPr>
        <w:t xml:space="preserve"> presque 10% du budget de l</w:t>
      </w:r>
      <w:r>
        <w:rPr>
          <w:lang w:val="fr-CH"/>
        </w:rPr>
        <w:t>'</w:t>
      </w:r>
      <w:r w:rsidRPr="00D406F7">
        <w:rPr>
          <w:lang w:val="fr-CH"/>
        </w:rPr>
        <w:t>UIT.</w:t>
      </w:r>
    </w:p>
    <w:p w14:paraId="72415EDE" w14:textId="695A4DA4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1.30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Suisse</w:t>
      </w:r>
      <w:r w:rsidRPr="00D406F7">
        <w:rPr>
          <w:lang w:val="fr-CH"/>
        </w:rPr>
        <w:t xml:space="preserve"> attire l</w:t>
      </w:r>
      <w:r>
        <w:rPr>
          <w:lang w:val="fr-CH"/>
        </w:rPr>
        <w:t>'</w:t>
      </w:r>
      <w:r w:rsidRPr="00D406F7">
        <w:rPr>
          <w:lang w:val="fr-CH"/>
        </w:rPr>
        <w:t>attention sur une différence entre les versions anglaise et française du point 12 de l</w:t>
      </w:r>
      <w:r>
        <w:rPr>
          <w:lang w:val="fr-CH"/>
        </w:rPr>
        <w:t>'</w:t>
      </w:r>
      <w:r w:rsidRPr="00D406F7">
        <w:rPr>
          <w:lang w:val="fr-CH"/>
        </w:rPr>
        <w:t xml:space="preserve">Annexe </w:t>
      </w:r>
      <w:proofErr w:type="gramStart"/>
      <w:r w:rsidRPr="00D406F7">
        <w:rPr>
          <w:lang w:val="fr-CH"/>
        </w:rPr>
        <w:t>2:</w:t>
      </w:r>
      <w:proofErr w:type="gramEnd"/>
      <w:r w:rsidRPr="00D406F7">
        <w:rPr>
          <w:lang w:val="fr-CH"/>
        </w:rPr>
        <w:t xml:space="preserve"> dans le texte français, il est question d</w:t>
      </w:r>
      <w:r>
        <w:rPr>
          <w:lang w:val="fr-CH"/>
        </w:rPr>
        <w:t>'</w:t>
      </w:r>
      <w:r w:rsidRPr="00D406F7">
        <w:rPr>
          <w:lang w:val="fr-CH"/>
        </w:rPr>
        <w:t xml:space="preserve">économies </w:t>
      </w:r>
      <w:r>
        <w:rPr>
          <w:lang w:val="fr-CH"/>
        </w:rPr>
        <w:t>"</w:t>
      </w:r>
      <w:r w:rsidRPr="00D406F7">
        <w:rPr>
          <w:lang w:val="fr-CH"/>
        </w:rPr>
        <w:t>possibles</w:t>
      </w:r>
      <w:r>
        <w:rPr>
          <w:lang w:val="fr-CH"/>
        </w:rPr>
        <w:t>"</w:t>
      </w:r>
      <w:r w:rsidRPr="00D406F7">
        <w:rPr>
          <w:lang w:val="fr-CH"/>
        </w:rPr>
        <w:t>. Il ajoute que, bien qu</w:t>
      </w:r>
      <w:r>
        <w:rPr>
          <w:lang w:val="fr-CH"/>
        </w:rPr>
        <w:t>'</w:t>
      </w:r>
      <w:r w:rsidRPr="00D406F7">
        <w:rPr>
          <w:lang w:val="fr-CH"/>
        </w:rPr>
        <w:t>il soit possible de réaliser des économies en ce qui concerne la traduction et l</w:t>
      </w:r>
      <w:r>
        <w:rPr>
          <w:lang w:val="fr-CH"/>
        </w:rPr>
        <w:t>'</w:t>
      </w:r>
      <w:r w:rsidRPr="00D406F7">
        <w:rPr>
          <w:lang w:val="fr-CH"/>
        </w:rPr>
        <w:t xml:space="preserve">interprétation, celles-ci devraient être proportionnelles aux économies </w:t>
      </w:r>
      <w:r w:rsidR="001A17B4">
        <w:rPr>
          <w:lang w:val="fr-CH"/>
        </w:rPr>
        <w:t>réalis</w:t>
      </w:r>
      <w:r w:rsidRPr="00D406F7">
        <w:rPr>
          <w:lang w:val="fr-CH"/>
        </w:rPr>
        <w:t>ées dans d</w:t>
      </w:r>
      <w:r>
        <w:rPr>
          <w:lang w:val="fr-CH"/>
        </w:rPr>
        <w:t>'</w:t>
      </w:r>
      <w:r w:rsidRPr="00D406F7">
        <w:rPr>
          <w:lang w:val="fr-CH"/>
        </w:rPr>
        <w:t xml:space="preserve">autres secteurs. </w:t>
      </w:r>
      <w:r w:rsidR="001A17B4">
        <w:rPr>
          <w:lang w:val="fr-CH"/>
        </w:rPr>
        <w:t>L</w:t>
      </w:r>
      <w:r w:rsidRPr="00D406F7">
        <w:rPr>
          <w:lang w:val="fr-CH"/>
        </w:rPr>
        <w:t xml:space="preserve">es services linguistiques </w:t>
      </w:r>
      <w:r w:rsidR="001A17B4">
        <w:rPr>
          <w:lang w:val="fr-CH"/>
        </w:rPr>
        <w:t xml:space="preserve">ne devraient pas être davantage sacrifiés </w:t>
      </w:r>
      <w:r w:rsidRPr="00D406F7">
        <w:rPr>
          <w:lang w:val="fr-CH"/>
        </w:rPr>
        <w:t>que d</w:t>
      </w:r>
      <w:r>
        <w:rPr>
          <w:lang w:val="fr-CH"/>
        </w:rPr>
        <w:t>'</w:t>
      </w:r>
      <w:r w:rsidRPr="00D406F7">
        <w:rPr>
          <w:lang w:val="fr-CH"/>
        </w:rPr>
        <w:t>autres secteurs.</w:t>
      </w:r>
    </w:p>
    <w:p w14:paraId="50E16707" w14:textId="4E1A87A2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1.31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</w:t>
      </w:r>
      <w:r w:rsidRPr="00D406F7">
        <w:rPr>
          <w:lang w:val="fr-CH"/>
        </w:rPr>
        <w:t xml:space="preserve"> fait remarquer que la Commission 6 n</w:t>
      </w:r>
      <w:r>
        <w:rPr>
          <w:lang w:val="fr-CH"/>
        </w:rPr>
        <w:t>'</w:t>
      </w:r>
      <w:r w:rsidRPr="00D406F7">
        <w:rPr>
          <w:lang w:val="fr-CH"/>
        </w:rPr>
        <w:t>a pas encore adopté son rapport et n</w:t>
      </w:r>
      <w:r>
        <w:rPr>
          <w:lang w:val="fr-CH"/>
        </w:rPr>
        <w:t>'</w:t>
      </w:r>
      <w:r w:rsidRPr="00D406F7">
        <w:rPr>
          <w:lang w:val="fr-CH"/>
        </w:rPr>
        <w:t>a donc pas terminé ses travaux. Il propose de re</w:t>
      </w:r>
      <w:r w:rsidR="001A17B4">
        <w:rPr>
          <w:lang w:val="fr-CH"/>
        </w:rPr>
        <w:t>nvoy</w:t>
      </w:r>
      <w:r w:rsidRPr="00D406F7">
        <w:rPr>
          <w:lang w:val="fr-CH"/>
        </w:rPr>
        <w:t>er le projet de Décision 5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à la Commission 6 pour examen des observations formulées. Par </w:t>
      </w:r>
      <w:r w:rsidRPr="00D406F7">
        <w:rPr>
          <w:lang w:val="fr-CH"/>
        </w:rPr>
        <w:lastRenderedPageBreak/>
        <w:t xml:space="preserve">conséquent, le projet de </w:t>
      </w:r>
      <w:r w:rsidR="001A17B4">
        <w:rPr>
          <w:lang w:val="fr-CH"/>
        </w:rPr>
        <w:t>d</w:t>
      </w:r>
      <w:r w:rsidRPr="00D406F7">
        <w:rPr>
          <w:lang w:val="fr-CH"/>
        </w:rPr>
        <w:t>écision sera soumis à nouveau à la plénière en première lecture.</w:t>
      </w:r>
    </w:p>
    <w:p w14:paraId="723A6576" w14:textId="77777777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1.32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45534B9D" w14:textId="6D833E29" w:rsidR="004369B4" w:rsidRPr="00D406F7" w:rsidRDefault="004369B4" w:rsidP="001A17B4">
      <w:pPr>
        <w:pStyle w:val="Headingb"/>
        <w:ind w:left="0" w:firstLine="0"/>
        <w:rPr>
          <w:lang w:val="fr-CH"/>
        </w:rPr>
      </w:pPr>
      <w:r w:rsidRPr="00D406F7">
        <w:rPr>
          <w:lang w:val="fr-CH"/>
        </w:rPr>
        <w:t>Projet de Résolution 162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– Comité consultatif indépendant pour les questions de gestion</w:t>
      </w:r>
    </w:p>
    <w:p w14:paraId="2788A7AB" w14:textId="304E7712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1.33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des Emirats arabes unis</w:t>
      </w:r>
      <w:r w:rsidRPr="00D406F7">
        <w:rPr>
          <w:lang w:val="fr-CH"/>
        </w:rPr>
        <w:t xml:space="preserve"> fait remarquer qu</w:t>
      </w:r>
      <w:r>
        <w:rPr>
          <w:lang w:val="fr-CH"/>
        </w:rPr>
        <w:t>'</w:t>
      </w:r>
      <w:r w:rsidRPr="00D406F7">
        <w:rPr>
          <w:lang w:val="fr-CH"/>
        </w:rPr>
        <w:t>il conviendrait de fixer des dates concernant la mise en œuvre des recommandations du CCIG et de donner un aperçu de leurs incidences financières.</w:t>
      </w:r>
    </w:p>
    <w:p w14:paraId="40951899" w14:textId="6BAAEBF2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1.34</w:t>
      </w:r>
      <w:r w:rsidRPr="00D406F7">
        <w:rPr>
          <w:lang w:val="fr-CH"/>
        </w:rPr>
        <w:tab/>
        <w:t xml:space="preserve">Il est </w:t>
      </w:r>
      <w:r w:rsidRPr="00D406F7">
        <w:rPr>
          <w:b/>
          <w:bCs/>
          <w:lang w:val="fr-CH"/>
        </w:rPr>
        <w:t>pris note</w:t>
      </w:r>
      <w:r w:rsidRPr="00D406F7">
        <w:rPr>
          <w:lang w:val="fr-CH"/>
        </w:rPr>
        <w:t xml:space="preserve"> de cette observation.</w:t>
      </w:r>
    </w:p>
    <w:p w14:paraId="32DD7861" w14:textId="172AA119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1.35</w:t>
      </w:r>
      <w:r w:rsidRPr="00D406F7">
        <w:rPr>
          <w:lang w:val="fr-CH"/>
        </w:rPr>
        <w:tab/>
        <w:t>Le projet de Résolution 162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303E23">
        <w:rPr>
          <w:lang w:val="fr-CH"/>
        </w:rPr>
        <w:t>.</w:t>
      </w:r>
    </w:p>
    <w:p w14:paraId="755FF00F" w14:textId="5F25B244" w:rsidR="004369B4" w:rsidRPr="00D406F7" w:rsidRDefault="004369B4" w:rsidP="001A17B4">
      <w:pPr>
        <w:rPr>
          <w:lang w:val="fr-CH"/>
        </w:rPr>
      </w:pPr>
      <w:r w:rsidRPr="00D406F7">
        <w:rPr>
          <w:lang w:val="fr-CH"/>
        </w:rPr>
        <w:t>1.36</w:t>
      </w:r>
      <w:r w:rsidRPr="00D406F7">
        <w:rPr>
          <w:lang w:val="fr-CH"/>
        </w:rPr>
        <w:tab/>
        <w:t>A l</w:t>
      </w:r>
      <w:r>
        <w:rPr>
          <w:lang w:val="fr-CH"/>
        </w:rPr>
        <w:t>'</w:t>
      </w:r>
      <w:r w:rsidRPr="00D406F7">
        <w:rPr>
          <w:lang w:val="fr-CH"/>
        </w:rPr>
        <w:t xml:space="preserve">exception de la Décision 5, la neuvième série de textes soumis par la Commission de rédaction (B9) (Document 156) est </w:t>
      </w:r>
      <w:r w:rsidRPr="00D406F7">
        <w:rPr>
          <w:b/>
          <w:bCs/>
          <w:lang w:val="fr-CH"/>
        </w:rPr>
        <w:t xml:space="preserve">approuvée </w:t>
      </w:r>
      <w:r w:rsidRPr="00D406F7">
        <w:rPr>
          <w:lang w:val="fr-CH"/>
        </w:rPr>
        <w:t>en première lecture.</w:t>
      </w:r>
    </w:p>
    <w:p w14:paraId="400BA5BA" w14:textId="11820692" w:rsidR="004369B4" w:rsidRPr="00D406F7" w:rsidRDefault="004369B4" w:rsidP="00BE0935">
      <w:pPr>
        <w:pStyle w:val="Heading1"/>
        <w:rPr>
          <w:lang w:val="fr-CH"/>
        </w:rPr>
      </w:pPr>
      <w:r w:rsidRPr="00D406F7">
        <w:rPr>
          <w:lang w:val="fr-CH"/>
        </w:rPr>
        <w:t>2</w:t>
      </w:r>
      <w:r w:rsidRPr="00D406F7">
        <w:rPr>
          <w:lang w:val="fr-CH"/>
        </w:rPr>
        <w:tab/>
        <w:t>Projet de Résolution 162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– deuxième lecture (Document</w:t>
      </w:r>
      <w:r w:rsidR="00BE0935">
        <w:rPr>
          <w:lang w:val="fr-CH"/>
        </w:rPr>
        <w:t> </w:t>
      </w:r>
      <w:r w:rsidRPr="00D406F7">
        <w:rPr>
          <w:lang w:val="fr-CH"/>
        </w:rPr>
        <w:t>156)</w:t>
      </w:r>
    </w:p>
    <w:p w14:paraId="19E19522" w14:textId="418DD53A" w:rsidR="004369B4" w:rsidRPr="00D406F7" w:rsidRDefault="004369B4" w:rsidP="00BE0935">
      <w:pPr>
        <w:rPr>
          <w:lang w:val="fr-CH"/>
        </w:rPr>
      </w:pPr>
      <w:r w:rsidRPr="00D406F7">
        <w:rPr>
          <w:lang w:val="fr-CH"/>
        </w:rPr>
        <w:t>2.1</w:t>
      </w:r>
      <w:r w:rsidRPr="00D406F7">
        <w:rPr>
          <w:lang w:val="fr-CH"/>
        </w:rPr>
        <w:tab/>
        <w:t>Le projet de Résolution 162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(Document 156 – neuvième série de textes soumis par la Commission de rédaction) est adopté en deuxième lecture.</w:t>
      </w:r>
    </w:p>
    <w:p w14:paraId="7E22F48B" w14:textId="3EEB1201" w:rsidR="004369B4" w:rsidRPr="00D406F7" w:rsidRDefault="004369B4" w:rsidP="001A17B4">
      <w:pPr>
        <w:pStyle w:val="Heading1"/>
        <w:rPr>
          <w:lang w:val="fr-CH"/>
        </w:rPr>
      </w:pPr>
      <w:r w:rsidRPr="00D406F7">
        <w:rPr>
          <w:lang w:val="fr-CH"/>
        </w:rPr>
        <w:t>3</w:t>
      </w:r>
      <w:r w:rsidRPr="00D406F7">
        <w:rPr>
          <w:lang w:val="fr-CH"/>
        </w:rPr>
        <w:tab/>
        <w:t>Dixième série de textes soumis par la Commission de rédaction en première lecture (B10) (Document 158)</w:t>
      </w:r>
    </w:p>
    <w:p w14:paraId="1E0C655F" w14:textId="7939F14D" w:rsidR="004369B4" w:rsidRPr="00D406F7" w:rsidRDefault="004369B4" w:rsidP="00425032">
      <w:pPr>
        <w:pStyle w:val="Headingb"/>
        <w:ind w:left="0" w:firstLine="0"/>
        <w:rPr>
          <w:lang w:val="fr-CH"/>
        </w:rPr>
      </w:pPr>
      <w:r w:rsidRPr="00D406F7">
        <w:rPr>
          <w:lang w:val="fr-CH"/>
        </w:rPr>
        <w:t>Projet de Résolution 146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– Examen et révision périodiques du Règlement des télécommunications internationales</w:t>
      </w:r>
    </w:p>
    <w:p w14:paraId="5C999E24" w14:textId="65372A45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Arabie saoudite</w:t>
      </w:r>
      <w:r w:rsidRPr="00D406F7">
        <w:rPr>
          <w:lang w:val="fr-CH"/>
        </w:rPr>
        <w:t xml:space="preserve"> dit que le Groupe d'experts sur le Règlement des télécommunications internationales (ci-après dénommé </w:t>
      </w:r>
      <w:r>
        <w:rPr>
          <w:lang w:val="fr-CH"/>
        </w:rPr>
        <w:t>"</w:t>
      </w:r>
      <w:r w:rsidRPr="00D406F7">
        <w:rPr>
          <w:lang w:val="fr-CH"/>
        </w:rPr>
        <w:t>Groupe d'experts sur le RTI</w:t>
      </w:r>
      <w:r>
        <w:rPr>
          <w:lang w:val="fr-CH"/>
        </w:rPr>
        <w:t>"</w:t>
      </w:r>
      <w:r w:rsidRPr="00D406F7">
        <w:rPr>
          <w:lang w:val="fr-CH"/>
        </w:rPr>
        <w:t xml:space="preserve">) devrait soumettre son rapport à la session </w:t>
      </w:r>
      <w:r w:rsidR="00425032">
        <w:rPr>
          <w:lang w:val="fr-CH"/>
        </w:rPr>
        <w:t xml:space="preserve">de </w:t>
      </w:r>
      <w:r w:rsidRPr="00D406F7">
        <w:rPr>
          <w:lang w:val="fr-CH"/>
        </w:rPr>
        <w:t xml:space="preserve">2017 du Conseil, et non pas à </w:t>
      </w:r>
      <w:r w:rsidR="00425032">
        <w:rPr>
          <w:lang w:val="fr-CH"/>
        </w:rPr>
        <w:t>s</w:t>
      </w:r>
      <w:r w:rsidRPr="00D406F7">
        <w:rPr>
          <w:lang w:val="fr-CH"/>
        </w:rPr>
        <w:t xml:space="preserve">a session </w:t>
      </w:r>
      <w:r w:rsidR="00425032">
        <w:rPr>
          <w:lang w:val="fr-CH"/>
        </w:rPr>
        <w:t xml:space="preserve">de </w:t>
      </w:r>
      <w:r w:rsidRPr="00D406F7">
        <w:rPr>
          <w:lang w:val="fr-CH"/>
        </w:rPr>
        <w:t xml:space="preserve">2018, comme il est indiqué au point 2 du </w:t>
      </w:r>
      <w:r w:rsidRPr="00D406F7">
        <w:rPr>
          <w:i/>
          <w:iCs/>
          <w:lang w:val="fr-CH"/>
        </w:rPr>
        <w:t>charge le Secrétaire général</w:t>
      </w:r>
      <w:r w:rsidRPr="00D406F7">
        <w:rPr>
          <w:lang w:val="fr-CH"/>
        </w:rPr>
        <w:t xml:space="preserve">. Si le rapport </w:t>
      </w:r>
      <w:r w:rsidR="00425032">
        <w:rPr>
          <w:lang w:val="fr-CH"/>
        </w:rPr>
        <w:t>devait être établi</w:t>
      </w:r>
      <w:r w:rsidRPr="00D406F7">
        <w:rPr>
          <w:lang w:val="fr-CH"/>
        </w:rPr>
        <w:t xml:space="preserve"> plus tard, les Etats Membres n</w:t>
      </w:r>
      <w:r>
        <w:rPr>
          <w:lang w:val="fr-CH"/>
        </w:rPr>
        <w:t>'</w:t>
      </w:r>
      <w:r w:rsidRPr="00D406F7">
        <w:rPr>
          <w:lang w:val="fr-CH"/>
        </w:rPr>
        <w:t>auraient pas assez de temps pour l</w:t>
      </w:r>
      <w:r>
        <w:rPr>
          <w:lang w:val="fr-CH"/>
        </w:rPr>
        <w:t>'</w:t>
      </w:r>
      <w:r w:rsidRPr="00D406F7">
        <w:rPr>
          <w:lang w:val="fr-CH"/>
        </w:rPr>
        <w:t>examiner et prendre une décision à la Conférence de plénipotentiaires de 2018.</w:t>
      </w:r>
    </w:p>
    <w:p w14:paraId="0C54A080" w14:textId="211A6AFD" w:rsidR="004369B4" w:rsidRPr="00D406F7" w:rsidRDefault="004369B4" w:rsidP="00425032">
      <w:pPr>
        <w:spacing w:before="200"/>
        <w:rPr>
          <w:rFonts w:cstheme="majorBidi"/>
          <w:szCs w:val="24"/>
          <w:lang w:val="fr-CH"/>
        </w:rPr>
      </w:pPr>
      <w:r w:rsidRPr="00D406F7">
        <w:rPr>
          <w:rFonts w:cstheme="majorBidi"/>
          <w:szCs w:val="24"/>
          <w:lang w:val="fr-CH"/>
        </w:rPr>
        <w:t>3.2</w:t>
      </w:r>
      <w:r w:rsidRPr="00D406F7">
        <w:rPr>
          <w:rFonts w:cstheme="majorBidi"/>
          <w:szCs w:val="24"/>
          <w:lang w:val="fr-CH"/>
        </w:rPr>
        <w:tab/>
        <w:t xml:space="preserve">Le </w:t>
      </w:r>
      <w:r w:rsidRPr="00D406F7">
        <w:rPr>
          <w:rFonts w:cstheme="majorBidi"/>
          <w:b/>
          <w:bCs/>
          <w:szCs w:val="24"/>
          <w:lang w:val="fr-CH"/>
        </w:rPr>
        <w:t>Président de la Commission 5</w:t>
      </w:r>
      <w:r w:rsidRPr="00D406F7">
        <w:rPr>
          <w:rFonts w:cstheme="majorBidi"/>
          <w:szCs w:val="24"/>
          <w:lang w:val="fr-CH"/>
        </w:rPr>
        <w:t xml:space="preserve"> rappelle que le processus d</w:t>
      </w:r>
      <w:r>
        <w:rPr>
          <w:rFonts w:cstheme="majorBidi"/>
          <w:szCs w:val="24"/>
          <w:lang w:val="fr-CH"/>
        </w:rPr>
        <w:t>'</w:t>
      </w:r>
      <w:r w:rsidRPr="00D406F7">
        <w:rPr>
          <w:rFonts w:cstheme="majorBidi"/>
          <w:szCs w:val="24"/>
          <w:lang w:val="fr-CH"/>
        </w:rPr>
        <w:t xml:space="preserve">examen ne </w:t>
      </w:r>
      <w:r w:rsidR="00425032">
        <w:rPr>
          <w:rFonts w:cstheme="majorBidi"/>
          <w:szCs w:val="24"/>
          <w:lang w:val="fr-CH"/>
        </w:rPr>
        <w:t xml:space="preserve">débutera </w:t>
      </w:r>
      <w:r w:rsidRPr="00D406F7">
        <w:rPr>
          <w:rFonts w:cstheme="majorBidi"/>
          <w:szCs w:val="24"/>
          <w:lang w:val="fr-CH"/>
        </w:rPr>
        <w:t xml:space="preserve">pas avant début 2017. Il est proposé que le rapport soit soumis à la session </w:t>
      </w:r>
      <w:r w:rsidR="00425032">
        <w:rPr>
          <w:rFonts w:cstheme="majorBidi"/>
          <w:szCs w:val="24"/>
          <w:lang w:val="fr-CH"/>
        </w:rPr>
        <w:t xml:space="preserve">de </w:t>
      </w:r>
      <w:r w:rsidRPr="00D406F7">
        <w:rPr>
          <w:rFonts w:cstheme="majorBidi"/>
          <w:szCs w:val="24"/>
          <w:lang w:val="fr-CH"/>
        </w:rPr>
        <w:t>2018 du Conseil, de sorte que le Groupe d</w:t>
      </w:r>
      <w:r>
        <w:rPr>
          <w:rFonts w:cstheme="majorBidi"/>
          <w:szCs w:val="24"/>
          <w:lang w:val="fr-CH"/>
        </w:rPr>
        <w:t>'</w:t>
      </w:r>
      <w:r w:rsidRPr="00D406F7">
        <w:rPr>
          <w:rFonts w:cstheme="majorBidi"/>
          <w:szCs w:val="24"/>
          <w:lang w:val="fr-CH"/>
        </w:rPr>
        <w:t xml:space="preserve">experts sur le RTI dispose de suffisamment de temps </w:t>
      </w:r>
      <w:r w:rsidR="00425032">
        <w:rPr>
          <w:rFonts w:cstheme="majorBidi"/>
          <w:szCs w:val="24"/>
          <w:lang w:val="fr-CH"/>
        </w:rPr>
        <w:t>pour la</w:t>
      </w:r>
      <w:r w:rsidRPr="00D406F7">
        <w:rPr>
          <w:rFonts w:cstheme="majorBidi"/>
          <w:szCs w:val="24"/>
          <w:lang w:val="fr-CH"/>
        </w:rPr>
        <w:t xml:space="preserve"> préparation.</w:t>
      </w:r>
    </w:p>
    <w:p w14:paraId="259E04AD" w14:textId="77777777" w:rsidR="004369B4" w:rsidRPr="00D406F7" w:rsidRDefault="004369B4" w:rsidP="004369B4">
      <w:pPr>
        <w:spacing w:before="200"/>
        <w:rPr>
          <w:rFonts w:cstheme="majorBidi"/>
          <w:b/>
          <w:bCs/>
          <w:szCs w:val="24"/>
          <w:lang w:val="fr-CH"/>
        </w:rPr>
      </w:pPr>
      <w:r w:rsidRPr="00D406F7">
        <w:rPr>
          <w:rFonts w:cstheme="majorBidi"/>
          <w:szCs w:val="24"/>
          <w:lang w:val="fr-CH"/>
        </w:rPr>
        <w:t>3.3</w:t>
      </w:r>
      <w:r w:rsidRPr="00D406F7">
        <w:rPr>
          <w:rFonts w:cstheme="majorBidi"/>
          <w:szCs w:val="24"/>
          <w:lang w:val="fr-CH"/>
        </w:rPr>
        <w:tab/>
        <w:t>Le projet de Résolution 146 (</w:t>
      </w:r>
      <w:proofErr w:type="spellStart"/>
      <w:r w:rsidRPr="00D406F7">
        <w:rPr>
          <w:rFonts w:cstheme="majorBidi"/>
          <w:szCs w:val="24"/>
          <w:lang w:val="fr-CH"/>
        </w:rPr>
        <w:t>Rév</w:t>
      </w:r>
      <w:proofErr w:type="spellEnd"/>
      <w:r w:rsidRPr="00D406F7">
        <w:rPr>
          <w:rFonts w:cstheme="majorBidi"/>
          <w:szCs w:val="24"/>
          <w:lang w:val="fr-CH"/>
        </w:rPr>
        <w:t xml:space="preserve">. Busan, 2014) est </w:t>
      </w:r>
      <w:r w:rsidRPr="00D406F7">
        <w:rPr>
          <w:rFonts w:cstheme="majorBidi"/>
          <w:b/>
          <w:bCs/>
          <w:szCs w:val="24"/>
          <w:lang w:val="fr-CH"/>
        </w:rPr>
        <w:t>adopté</w:t>
      </w:r>
      <w:r w:rsidRPr="00425032">
        <w:rPr>
          <w:rFonts w:cstheme="majorBidi"/>
          <w:szCs w:val="24"/>
          <w:lang w:val="fr-CH"/>
        </w:rPr>
        <w:t>.</w:t>
      </w:r>
    </w:p>
    <w:p w14:paraId="3A2620D6" w14:textId="77777777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lastRenderedPageBreak/>
        <w:t>Projet de Résolution 177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>. Busan, 2014) – Conformité et interopérabilité</w:t>
      </w:r>
    </w:p>
    <w:p w14:paraId="63C6903A" w14:textId="12A84C3C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3.4</w:t>
      </w:r>
      <w:r w:rsidRPr="00D406F7">
        <w:rPr>
          <w:lang w:val="fr-CH"/>
        </w:rPr>
        <w:tab/>
      </w:r>
      <w:r w:rsidR="00425032">
        <w:rPr>
          <w:lang w:val="fr-CH"/>
        </w:rPr>
        <w:t>L</w:t>
      </w:r>
      <w:r w:rsidRPr="00D406F7">
        <w:rPr>
          <w:lang w:val="fr-CH"/>
        </w:rPr>
        <w:t xml:space="preserve">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Arabie saoudite</w:t>
      </w:r>
      <w:r w:rsidRPr="00D406F7">
        <w:rPr>
          <w:lang w:val="fr-CH"/>
        </w:rPr>
        <w:t xml:space="preserve"> propose d</w:t>
      </w:r>
      <w:r>
        <w:rPr>
          <w:lang w:val="fr-CH"/>
        </w:rPr>
        <w:t>'</w:t>
      </w:r>
      <w:r w:rsidRPr="00D406F7">
        <w:rPr>
          <w:lang w:val="fr-CH"/>
        </w:rPr>
        <w:t xml:space="preserve">ajouter, </w:t>
      </w:r>
      <w:r w:rsidR="00425032">
        <w:rPr>
          <w:lang w:val="fr-CH"/>
        </w:rPr>
        <w:t>au</w:t>
      </w:r>
      <w:r w:rsidRPr="00D406F7">
        <w:rPr>
          <w:lang w:val="fr-CH"/>
        </w:rPr>
        <w:t xml:space="preserve"> point 2 du </w:t>
      </w:r>
      <w:r w:rsidRPr="00D406F7">
        <w:rPr>
          <w:i/>
          <w:iCs/>
          <w:lang w:val="fr-CH"/>
        </w:rPr>
        <w:t>invite les membres</w:t>
      </w:r>
      <w:r w:rsidRPr="00D406F7">
        <w:rPr>
          <w:lang w:val="fr-CH"/>
        </w:rPr>
        <w:t xml:space="preserve">, le libellé </w:t>
      </w:r>
      <w:r>
        <w:rPr>
          <w:lang w:val="fr-CH"/>
        </w:rPr>
        <w:t>"</w:t>
      </w:r>
      <w:r w:rsidRPr="00D406F7">
        <w:rPr>
          <w:lang w:val="fr-CH"/>
        </w:rPr>
        <w:t>aux réunions sur l'interopérabilité organisées avec l'appui de l'UIT et</w:t>
      </w:r>
      <w:r>
        <w:rPr>
          <w:lang w:val="fr-CH"/>
        </w:rPr>
        <w:t>"</w:t>
      </w:r>
      <w:r w:rsidRPr="00D406F7">
        <w:rPr>
          <w:lang w:val="fr-CH"/>
        </w:rPr>
        <w:t>, qui avait été adopté par la PP-10.</w:t>
      </w:r>
    </w:p>
    <w:p w14:paraId="5397DCC8" w14:textId="5EBC253B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3.5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 de la Commission 5</w:t>
      </w:r>
      <w:r w:rsidRPr="00D406F7">
        <w:rPr>
          <w:lang w:val="fr-CH"/>
        </w:rPr>
        <w:t xml:space="preserve"> considère que cette proposition d</w:t>
      </w:r>
      <w:r>
        <w:rPr>
          <w:lang w:val="fr-CH"/>
        </w:rPr>
        <w:t>'</w:t>
      </w:r>
      <w:r w:rsidRPr="00D406F7">
        <w:rPr>
          <w:lang w:val="fr-CH"/>
        </w:rPr>
        <w:t>adjonction permet plus de clarté, car l</w:t>
      </w:r>
      <w:r>
        <w:rPr>
          <w:lang w:val="fr-CH"/>
        </w:rPr>
        <w:t>'</w:t>
      </w:r>
      <w:r w:rsidRPr="00D406F7">
        <w:rPr>
          <w:lang w:val="fr-CH"/>
        </w:rPr>
        <w:t>invitation ne concerne pas uniquement la participation aux commissions d'études de l'UIT sur les questions de conformité et d'interopérabilité. Il suggère que la modification proposée soit acceptée.</w:t>
      </w:r>
    </w:p>
    <w:p w14:paraId="03FDCB16" w14:textId="77777777" w:rsidR="004369B4" w:rsidRPr="00D406F7" w:rsidRDefault="004369B4" w:rsidP="00425032">
      <w:pPr>
        <w:rPr>
          <w:b/>
          <w:bCs/>
          <w:lang w:val="fr-CH"/>
        </w:rPr>
      </w:pPr>
      <w:r w:rsidRPr="00D406F7">
        <w:rPr>
          <w:lang w:val="fr-CH"/>
        </w:rPr>
        <w:t>3.6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425032">
        <w:rPr>
          <w:lang w:val="fr-CH"/>
        </w:rPr>
        <w:t>.</w:t>
      </w:r>
    </w:p>
    <w:p w14:paraId="3A64CA15" w14:textId="62327943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3.7</w:t>
      </w:r>
      <w:r w:rsidRPr="00D406F7">
        <w:rPr>
          <w:lang w:val="fr-CH"/>
        </w:rPr>
        <w:tab/>
        <w:t>Le projet de Résolution 177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D406F7">
        <w:rPr>
          <w:lang w:val="fr-CH"/>
        </w:rPr>
        <w:t xml:space="preserve"> tel que modifié.</w:t>
      </w:r>
    </w:p>
    <w:p w14:paraId="47A95F38" w14:textId="66908633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COM5/4 (Busan, 2014) – Lutter contre la contrefaçon de dispositifs de télécommunication fondés sur les technologies de l'information et de la communication</w:t>
      </w:r>
    </w:p>
    <w:p w14:paraId="47B6CE25" w14:textId="17BF1DAD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3.8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 xml:space="preserve">déléguée du Royaume-Uni </w:t>
      </w:r>
      <w:r w:rsidRPr="00D406F7">
        <w:rPr>
          <w:lang w:val="fr-CH"/>
        </w:rPr>
        <w:t xml:space="preserve">fait remarquer que la Recommandation UIT-T X.1255, dont il est question </w:t>
      </w:r>
      <w:r w:rsidR="00425032">
        <w:rPr>
          <w:lang w:val="fr-CH"/>
        </w:rPr>
        <w:t>au</w:t>
      </w:r>
      <w:r w:rsidRPr="00D406F7">
        <w:rPr>
          <w:lang w:val="fr-CH"/>
        </w:rPr>
        <w:t xml:space="preserve">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reconnaissant,</w:t>
      </w:r>
      <w:r w:rsidRPr="00D406F7">
        <w:rPr>
          <w:lang w:val="fr-CH"/>
        </w:rPr>
        <w:t xml:space="preserve"> a été adoptée depuis peu, et qu</w:t>
      </w:r>
      <w:r w:rsidR="00425032">
        <w:rPr>
          <w:lang w:val="fr-CH"/>
        </w:rPr>
        <w:t>'il est encore trop tôt pour saisir pleinement les conséquences de la mention qui en est faite dans ladite</w:t>
      </w:r>
      <w:r w:rsidRPr="00D406F7">
        <w:rPr>
          <w:lang w:val="fr-CH"/>
        </w:rPr>
        <w:t xml:space="preserve"> Résolution. </w:t>
      </w:r>
      <w:r w:rsidR="00425032">
        <w:rPr>
          <w:lang w:val="fr-CH"/>
        </w:rPr>
        <w:t>Elle</w:t>
      </w:r>
      <w:r w:rsidRPr="00D406F7">
        <w:rPr>
          <w:lang w:val="fr-CH"/>
        </w:rPr>
        <w:t xml:space="preserve"> propose donc de supprimer le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</w:t>
      </w:r>
      <w:r w:rsidRPr="00D406F7">
        <w:rPr>
          <w:lang w:val="fr-CH"/>
        </w:rPr>
        <w:t>.</w:t>
      </w:r>
    </w:p>
    <w:p w14:paraId="4B0F435F" w14:textId="14C561EA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3.9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 de la Commission 5</w:t>
      </w:r>
      <w:r w:rsidRPr="00D406F7">
        <w:rPr>
          <w:lang w:val="fr-CH"/>
        </w:rPr>
        <w:t xml:space="preserve"> dit qu</w:t>
      </w:r>
      <w:r>
        <w:rPr>
          <w:lang w:val="fr-CH"/>
        </w:rPr>
        <w:t>'</w:t>
      </w:r>
      <w:r w:rsidRPr="00D406F7">
        <w:rPr>
          <w:lang w:val="fr-CH"/>
        </w:rPr>
        <w:t xml:space="preserve">il ressort clairement des discussions de la commission que la lecture du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</w:t>
      </w:r>
      <w:r w:rsidRPr="00D406F7">
        <w:rPr>
          <w:lang w:val="fr-CH"/>
        </w:rPr>
        <w:t xml:space="preserve"> </w:t>
      </w:r>
      <w:r w:rsidR="00425032">
        <w:rPr>
          <w:lang w:val="fr-CH"/>
        </w:rPr>
        <w:t xml:space="preserve">va de pair avec </w:t>
      </w:r>
      <w:r w:rsidRPr="00D406F7">
        <w:rPr>
          <w:lang w:val="fr-CH"/>
        </w:rPr>
        <w:t xml:space="preserve">celle du point </w:t>
      </w:r>
      <w:r w:rsidRPr="00425032">
        <w:rPr>
          <w:i/>
          <w:iCs/>
          <w:lang w:val="fr-CH"/>
        </w:rPr>
        <w:t>f)</w:t>
      </w:r>
      <w:r w:rsidRPr="00D406F7">
        <w:rPr>
          <w:lang w:val="fr-CH"/>
        </w:rPr>
        <w:t>, qui traite des identificateurs de dispositifs, notamment</w:t>
      </w:r>
      <w:r>
        <w:rPr>
          <w:lang w:val="fr-CH"/>
        </w:rPr>
        <w:t xml:space="preserve"> de</w:t>
      </w:r>
      <w:r w:rsidRPr="00D406F7">
        <w:rPr>
          <w:lang w:val="fr-CH"/>
        </w:rPr>
        <w:t xml:space="preserve"> l'Identité internationale d'équipement mobile.</w:t>
      </w:r>
    </w:p>
    <w:p w14:paraId="23987CDD" w14:textId="16170055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3.10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 ra</w:t>
      </w:r>
      <w:r w:rsidR="00425032">
        <w:rPr>
          <w:lang w:val="fr-CH"/>
        </w:rPr>
        <w:t xml:space="preserve">ppelle que les recommandations </w:t>
      </w:r>
      <w:r w:rsidRPr="00D406F7">
        <w:rPr>
          <w:lang w:val="fr-CH"/>
        </w:rPr>
        <w:t xml:space="preserve">ont </w:t>
      </w:r>
      <w:r w:rsidR="00425032">
        <w:rPr>
          <w:lang w:val="fr-CH"/>
        </w:rPr>
        <w:t>un caractère facultatif</w:t>
      </w:r>
      <w:r w:rsidRPr="00D406F7">
        <w:rPr>
          <w:lang w:val="fr-CH"/>
        </w:rPr>
        <w:t>, et qu</w:t>
      </w:r>
      <w:r>
        <w:rPr>
          <w:lang w:val="fr-CH"/>
        </w:rPr>
        <w:t>'</w:t>
      </w:r>
      <w:r w:rsidRPr="00D406F7">
        <w:rPr>
          <w:lang w:val="fr-CH"/>
        </w:rPr>
        <w:t>il n</w:t>
      </w:r>
      <w:r>
        <w:rPr>
          <w:lang w:val="fr-CH"/>
        </w:rPr>
        <w:t>'</w:t>
      </w:r>
      <w:r w:rsidRPr="00D406F7">
        <w:rPr>
          <w:lang w:val="fr-CH"/>
        </w:rPr>
        <w:t>est par conséquent pas conforme à la procédure qu</w:t>
      </w:r>
      <w:r>
        <w:rPr>
          <w:lang w:val="fr-CH"/>
        </w:rPr>
        <w:t>'</w:t>
      </w:r>
      <w:r w:rsidRPr="00D406F7">
        <w:rPr>
          <w:lang w:val="fr-CH"/>
        </w:rPr>
        <w:t xml:space="preserve">une conférence de plénipotentiaires </w:t>
      </w:r>
      <w:r w:rsidR="00425032">
        <w:rPr>
          <w:lang w:val="fr-CH"/>
        </w:rPr>
        <w:t>en tienne compte</w:t>
      </w:r>
      <w:r w:rsidRPr="00D406F7">
        <w:rPr>
          <w:lang w:val="fr-CH"/>
        </w:rPr>
        <w:t>.</w:t>
      </w:r>
    </w:p>
    <w:p w14:paraId="2BFAEC99" w14:textId="6DF2BDCA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3.11</w:t>
      </w:r>
      <w:r w:rsidRPr="00D406F7">
        <w:rPr>
          <w:lang w:val="fr-CH"/>
        </w:rPr>
        <w:tab/>
        <w:t xml:space="preserve">Les </w:t>
      </w:r>
      <w:r w:rsidRPr="00D406F7">
        <w:rPr>
          <w:b/>
          <w:bCs/>
          <w:lang w:val="fr-CH"/>
        </w:rPr>
        <w:t xml:space="preserve">délégués de la Suède </w:t>
      </w:r>
      <w:r w:rsidRPr="00D406F7">
        <w:rPr>
          <w:lang w:val="fr-CH"/>
        </w:rPr>
        <w:t>et</w:t>
      </w:r>
      <w:r w:rsidRPr="00D406F7">
        <w:rPr>
          <w:b/>
          <w:bCs/>
          <w:lang w:val="fr-CH"/>
        </w:rPr>
        <w:t xml:space="preserve"> des Etats-Unis</w:t>
      </w:r>
      <w:r w:rsidRPr="00D406F7">
        <w:rPr>
          <w:lang w:val="fr-CH"/>
        </w:rPr>
        <w:t xml:space="preserve"> appuient la proposition </w:t>
      </w:r>
      <w:r w:rsidR="00425032">
        <w:rPr>
          <w:lang w:val="fr-CH"/>
        </w:rPr>
        <w:t>visant à</w:t>
      </w:r>
      <w:r w:rsidRPr="00D406F7">
        <w:rPr>
          <w:lang w:val="fr-CH"/>
        </w:rPr>
        <w:t xml:space="preserve"> supprimer le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</w:t>
      </w:r>
      <w:r w:rsidRPr="00D406F7">
        <w:rPr>
          <w:lang w:val="fr-CH"/>
        </w:rPr>
        <w:t>.</w:t>
      </w:r>
    </w:p>
    <w:p w14:paraId="545379E7" w14:textId="71446D4E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Arabie saoudite</w:t>
      </w:r>
      <w:r w:rsidRPr="00D406F7">
        <w:rPr>
          <w:lang w:val="fr-CH"/>
        </w:rPr>
        <w:t xml:space="preserve"> fait part de son intention de conserver le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</w:t>
      </w:r>
      <w:r w:rsidRPr="00D406F7">
        <w:rPr>
          <w:lang w:val="fr-CH"/>
        </w:rPr>
        <w:t xml:space="preserve">, rappelant que le projet de Résolution a été examiné en détail par la Commission 5. Il ajoute que de nombreuses résolutions </w:t>
      </w:r>
      <w:r w:rsidR="00425032">
        <w:rPr>
          <w:lang w:val="fr-CH"/>
        </w:rPr>
        <w:t>font référence</w:t>
      </w:r>
      <w:r w:rsidRPr="00D406F7">
        <w:rPr>
          <w:lang w:val="fr-CH"/>
        </w:rPr>
        <w:t xml:space="preserve"> à des recommandations.</w:t>
      </w:r>
    </w:p>
    <w:p w14:paraId="21788855" w14:textId="014DCE4C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3.13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des Emirats arabes unis</w:t>
      </w:r>
      <w:r w:rsidRPr="00D406F7">
        <w:rPr>
          <w:lang w:val="fr-CH"/>
        </w:rPr>
        <w:t xml:space="preserve"> est également d</w:t>
      </w:r>
      <w:r>
        <w:rPr>
          <w:lang w:val="fr-CH"/>
        </w:rPr>
        <w:t>'</w:t>
      </w:r>
      <w:r w:rsidRPr="00D406F7">
        <w:rPr>
          <w:lang w:val="fr-CH"/>
        </w:rPr>
        <w:t xml:space="preserve">avis que le point </w:t>
      </w:r>
      <w:r w:rsidRPr="00425032">
        <w:rPr>
          <w:i/>
          <w:iCs/>
          <w:lang w:val="fr-CH"/>
        </w:rPr>
        <w:t xml:space="preserve">e) </w:t>
      </w:r>
      <w:r w:rsidRPr="00D406F7">
        <w:rPr>
          <w:lang w:val="fr-CH"/>
        </w:rPr>
        <w:t xml:space="preserve">du </w:t>
      </w:r>
      <w:r w:rsidRPr="00D406F7">
        <w:rPr>
          <w:i/>
          <w:iCs/>
          <w:lang w:val="fr-CH"/>
        </w:rPr>
        <w:t xml:space="preserve">reconnaissant </w:t>
      </w:r>
      <w:r w:rsidRPr="00D406F7">
        <w:rPr>
          <w:lang w:val="fr-CH"/>
        </w:rPr>
        <w:t>devrait être conservé, mais estime qu</w:t>
      </w:r>
      <w:r>
        <w:rPr>
          <w:lang w:val="fr-CH"/>
        </w:rPr>
        <w:t>'</w:t>
      </w:r>
      <w:r w:rsidRPr="00D406F7">
        <w:rPr>
          <w:lang w:val="fr-CH"/>
        </w:rPr>
        <w:t xml:space="preserve">il pourrait être intégré au </w:t>
      </w:r>
      <w:r w:rsidRPr="00D406F7">
        <w:rPr>
          <w:i/>
          <w:iCs/>
          <w:lang w:val="fr-CH"/>
        </w:rPr>
        <w:t>rappelant</w:t>
      </w:r>
      <w:r w:rsidRPr="00D406F7">
        <w:rPr>
          <w:lang w:val="fr-CH"/>
        </w:rPr>
        <w:t xml:space="preserve">, si cette solution </w:t>
      </w:r>
      <w:r w:rsidR="00425032">
        <w:rPr>
          <w:lang w:val="fr-CH"/>
        </w:rPr>
        <w:t>était jugé</w:t>
      </w:r>
      <w:r w:rsidRPr="00D406F7">
        <w:rPr>
          <w:lang w:val="fr-CH"/>
        </w:rPr>
        <w:t>e préférable.</w:t>
      </w:r>
    </w:p>
    <w:p w14:paraId="2812F08F" w14:textId="1F96F924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3.14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</w:t>
      </w:r>
      <w:r w:rsidRPr="00D406F7">
        <w:rPr>
          <w:lang w:val="fr-CH"/>
        </w:rPr>
        <w:t xml:space="preserve"> propose </w:t>
      </w:r>
      <w:r w:rsidRPr="00D406F7">
        <w:rPr>
          <w:lang w:val="fr-FR"/>
        </w:rPr>
        <w:t>que le Président de la Commission</w:t>
      </w:r>
      <w:r w:rsidRPr="00D406F7">
        <w:rPr>
          <w:lang w:val="fr-CH"/>
        </w:rPr>
        <w:t xml:space="preserve"> 5 rencontre les délégués concernés pour une discussion informelle à ce sujet et </w:t>
      </w:r>
      <w:r w:rsidR="00425032">
        <w:rPr>
          <w:lang w:val="fr-CH"/>
        </w:rPr>
        <w:t>fasse</w:t>
      </w:r>
      <w:r w:rsidRPr="00D406F7">
        <w:rPr>
          <w:lang w:val="fr-CH"/>
        </w:rPr>
        <w:t xml:space="preserve"> rapport à la plénière.</w:t>
      </w:r>
    </w:p>
    <w:p w14:paraId="79A362F4" w14:textId="77777777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3.15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0C183603" w14:textId="1365412A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lastRenderedPageBreak/>
        <w:t>3.16</w:t>
      </w:r>
      <w:r w:rsidRPr="00D406F7">
        <w:rPr>
          <w:lang w:val="fr-CH"/>
        </w:rPr>
        <w:tab/>
        <w:t>A l</w:t>
      </w:r>
      <w:r>
        <w:rPr>
          <w:lang w:val="fr-CH"/>
        </w:rPr>
        <w:t>'</w:t>
      </w:r>
      <w:r w:rsidRPr="00D406F7">
        <w:rPr>
          <w:lang w:val="fr-CH"/>
        </w:rPr>
        <w:t xml:space="preserve">exception du projet de Résolution COM5/4 (Busan, 2014), qui sera soumis à nouveau à la plénière en première lecture aussitôt que les </w:t>
      </w:r>
      <w:r w:rsidR="00425032">
        <w:rPr>
          <w:lang w:val="fr-CH"/>
        </w:rPr>
        <w:t>problèmes</w:t>
      </w:r>
      <w:r w:rsidRPr="00D406F7">
        <w:rPr>
          <w:lang w:val="fr-CH"/>
        </w:rPr>
        <w:t xml:space="preserve"> soulevés concernant le point </w:t>
      </w:r>
      <w:r w:rsidRPr="00425032">
        <w:rPr>
          <w:i/>
          <w:iCs/>
          <w:lang w:val="fr-CH"/>
        </w:rPr>
        <w:t>e)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reconnaissant</w:t>
      </w:r>
      <w:r w:rsidRPr="00D406F7">
        <w:rPr>
          <w:lang w:val="fr-CH"/>
        </w:rPr>
        <w:t xml:space="preserve"> auront été</w:t>
      </w:r>
      <w:r w:rsidR="00425032">
        <w:rPr>
          <w:lang w:val="fr-CH"/>
        </w:rPr>
        <w:t xml:space="preserve"> résolus</w:t>
      </w:r>
      <w:r w:rsidRPr="00D406F7">
        <w:rPr>
          <w:lang w:val="fr-CH"/>
        </w:rPr>
        <w:t xml:space="preserve">, la dixième série de textes soumis par la Commission de rédaction (B10) (Document 158), telle que modifiée, est </w:t>
      </w:r>
      <w:r w:rsidRPr="00D406F7">
        <w:rPr>
          <w:b/>
          <w:bCs/>
          <w:lang w:val="fr-CH"/>
        </w:rPr>
        <w:t xml:space="preserve">approuvée </w:t>
      </w:r>
      <w:r w:rsidRPr="00D406F7">
        <w:rPr>
          <w:lang w:val="fr-CH"/>
        </w:rPr>
        <w:t>en première lecture.</w:t>
      </w:r>
    </w:p>
    <w:p w14:paraId="17DCBEE0" w14:textId="77777777" w:rsidR="004369B4" w:rsidRPr="00D406F7" w:rsidRDefault="004369B4" w:rsidP="001A17B4">
      <w:pPr>
        <w:pStyle w:val="Heading1"/>
        <w:rPr>
          <w:lang w:val="fr-CH"/>
        </w:rPr>
      </w:pPr>
      <w:r w:rsidRPr="00D406F7">
        <w:rPr>
          <w:lang w:val="fr-CH"/>
        </w:rPr>
        <w:t>4</w:t>
      </w:r>
      <w:r w:rsidRPr="00D406F7">
        <w:rPr>
          <w:lang w:val="fr-CH"/>
        </w:rPr>
        <w:tab/>
        <w:t>Dixième série de textes soumis par la Commission de rédaction en deuxième lecture (Document 158)</w:t>
      </w:r>
    </w:p>
    <w:p w14:paraId="0A934A2E" w14:textId="527F71CB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4.1</w:t>
      </w:r>
      <w:r w:rsidRPr="00D406F7">
        <w:rPr>
          <w:lang w:val="fr-CH"/>
        </w:rPr>
        <w:tab/>
        <w:t>A l</w:t>
      </w:r>
      <w:r>
        <w:rPr>
          <w:lang w:val="fr-CH"/>
        </w:rPr>
        <w:t>'</w:t>
      </w:r>
      <w:r w:rsidRPr="00D406F7">
        <w:rPr>
          <w:lang w:val="fr-CH"/>
        </w:rPr>
        <w:t xml:space="preserve">exception du projet de Résolution COM5/4 (Busan, 2014), la dixième série de textes soumis par la Commission de rédaction (Document 158), telle que modifiée en première lecture, est </w:t>
      </w:r>
      <w:r w:rsidRPr="00D406F7">
        <w:rPr>
          <w:b/>
          <w:bCs/>
          <w:lang w:val="fr-CH"/>
        </w:rPr>
        <w:t xml:space="preserve">approuvée </w:t>
      </w:r>
      <w:r w:rsidRPr="00D406F7">
        <w:rPr>
          <w:lang w:val="fr-CH"/>
        </w:rPr>
        <w:t>en deuxième lecture.</w:t>
      </w:r>
    </w:p>
    <w:p w14:paraId="4F918008" w14:textId="77777777" w:rsidR="004369B4" w:rsidRPr="00D406F7" w:rsidRDefault="004369B4" w:rsidP="001A17B4">
      <w:pPr>
        <w:pStyle w:val="Heading1"/>
        <w:rPr>
          <w:lang w:val="fr-CH"/>
        </w:rPr>
      </w:pPr>
      <w:r w:rsidRPr="00D406F7">
        <w:rPr>
          <w:lang w:val="fr-CH"/>
        </w:rPr>
        <w:t>5</w:t>
      </w:r>
      <w:r w:rsidRPr="00D406F7">
        <w:rPr>
          <w:lang w:val="fr-CH"/>
        </w:rPr>
        <w:tab/>
        <w:t>Onzième série de textes soumis par la Commission de rédaction en première lecture (B11) (Document 159)</w:t>
      </w:r>
    </w:p>
    <w:p w14:paraId="1BE98B06" w14:textId="4F1C8261" w:rsidR="004369B4" w:rsidRPr="00D406F7" w:rsidRDefault="004369B4" w:rsidP="00303E23">
      <w:pPr>
        <w:pStyle w:val="Headingb"/>
        <w:ind w:left="0" w:firstLine="0"/>
        <w:rPr>
          <w:lang w:val="fr-CH"/>
        </w:rPr>
      </w:pPr>
      <w:r w:rsidRPr="00D406F7">
        <w:rPr>
          <w:lang w:val="fr-CH"/>
        </w:rPr>
        <w:t>Projet de Résolution 64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– Accès non discriminatoire aux moyens, services et applications modernes reposant sur les télécommunications et les technologies de l'information et de la communication, y compris la recherche appliquée, le transfert de technologie et les réunions électroniques, selon des modalités mutuellement convenues</w:t>
      </w:r>
    </w:p>
    <w:p w14:paraId="69873008" w14:textId="17738653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130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 xml:space="preserve">. Busan, 2014) – </w:t>
      </w:r>
      <w:bookmarkStart w:id="3" w:name="_Toc165351506"/>
      <w:r w:rsidRPr="00425032">
        <w:rPr>
          <w:lang w:val="fr-CH"/>
        </w:rPr>
        <w:t>Renforcement du rôle de l'UIT dans l'instauration de la confiance et de la sécurité dans l'utilisation des technologies de l'information et de la communication</w:t>
      </w:r>
      <w:bookmarkEnd w:id="3"/>
    </w:p>
    <w:p w14:paraId="024A8E5C" w14:textId="14EAEDAF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5.1</w:t>
      </w:r>
      <w:r w:rsidRPr="00D406F7">
        <w:rPr>
          <w:lang w:val="fr-CH"/>
        </w:rPr>
        <w:tab/>
      </w:r>
      <w:r w:rsidRPr="00425032">
        <w:rPr>
          <w:b/>
          <w:bCs/>
          <w:lang w:val="fr-CH"/>
        </w:rPr>
        <w:t>Adopté</w:t>
      </w:r>
      <w:r w:rsidR="00425032">
        <w:rPr>
          <w:b/>
          <w:bCs/>
          <w:lang w:val="fr-CH"/>
        </w:rPr>
        <w:t>s</w:t>
      </w:r>
      <w:r w:rsidRPr="00D406F7">
        <w:rPr>
          <w:lang w:val="fr-CH"/>
        </w:rPr>
        <w:t>.</w:t>
      </w:r>
    </w:p>
    <w:p w14:paraId="0143FEAC" w14:textId="45F4D9DF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140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 xml:space="preserve">. Busan, 2014) – </w:t>
      </w:r>
      <w:bookmarkStart w:id="4" w:name="_Toc165351524"/>
      <w:r w:rsidRPr="00425032">
        <w:rPr>
          <w:lang w:val="fr-CH"/>
        </w:rPr>
        <w:t>Rôle de l'UIT dans la mise en œuvre des résultats du Sommet mondial sur la société de l'information</w:t>
      </w:r>
      <w:bookmarkEnd w:id="4"/>
      <w:r w:rsidRPr="00425032">
        <w:rPr>
          <w:lang w:val="fr-CH"/>
        </w:rPr>
        <w:t xml:space="preserve"> et dans l'examen d'ensemble de leur mise en œuvre par l'Assemblée générale des Nations Unies</w:t>
      </w:r>
    </w:p>
    <w:p w14:paraId="288DB626" w14:textId="1DF67A7A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Indonésie</w:t>
      </w:r>
      <w:r w:rsidRPr="00D406F7">
        <w:rPr>
          <w:lang w:val="fr-CH"/>
        </w:rPr>
        <w:t>, après avoir rappelé qu</w:t>
      </w:r>
      <w:r w:rsidR="00425032">
        <w:rPr>
          <w:lang w:val="fr-CH"/>
        </w:rPr>
        <w:t>e la bonne santé du</w:t>
      </w:r>
      <w:r w:rsidRPr="00D406F7">
        <w:rPr>
          <w:lang w:val="fr-CH"/>
        </w:rPr>
        <w:t xml:space="preserve"> cyberespace </w:t>
      </w:r>
      <w:r w:rsidR="00425032">
        <w:rPr>
          <w:lang w:val="fr-CH"/>
        </w:rPr>
        <w:t>est source d'</w:t>
      </w:r>
      <w:r w:rsidRPr="00D406F7">
        <w:rPr>
          <w:lang w:val="fr-CH"/>
        </w:rPr>
        <w:t>avantages soci</w:t>
      </w:r>
      <w:r w:rsidR="00425032">
        <w:rPr>
          <w:lang w:val="fr-CH"/>
        </w:rPr>
        <w:t>o-</w:t>
      </w:r>
      <w:r w:rsidRPr="00D406F7">
        <w:rPr>
          <w:lang w:val="fr-CH"/>
        </w:rPr>
        <w:t xml:space="preserve">économiques et </w:t>
      </w:r>
      <w:r w:rsidR="00425032">
        <w:rPr>
          <w:lang w:val="fr-CH"/>
        </w:rPr>
        <w:t xml:space="preserve">que </w:t>
      </w:r>
      <w:r w:rsidRPr="00D406F7">
        <w:rPr>
          <w:lang w:val="fr-CH"/>
        </w:rPr>
        <w:t>toutes les parties prenantes</w:t>
      </w:r>
      <w:r w:rsidR="00425032">
        <w:rPr>
          <w:lang w:val="fr-CH"/>
        </w:rPr>
        <w:t xml:space="preserve"> devraient y contribuer</w:t>
      </w:r>
      <w:r w:rsidRPr="00D406F7">
        <w:rPr>
          <w:lang w:val="fr-CH"/>
        </w:rPr>
        <w:t>, salue les efforts du Président du Groupe de travail de la plénière et du Groupe ad hoc qui a tra</w:t>
      </w:r>
      <w:r w:rsidR="00425032">
        <w:rPr>
          <w:lang w:val="fr-CH"/>
        </w:rPr>
        <w:t>va</w:t>
      </w:r>
      <w:r w:rsidRPr="00D406F7">
        <w:rPr>
          <w:lang w:val="fr-CH"/>
        </w:rPr>
        <w:t>i</w:t>
      </w:r>
      <w:r w:rsidR="00425032">
        <w:rPr>
          <w:lang w:val="fr-CH"/>
        </w:rPr>
        <w:t>ll</w:t>
      </w:r>
      <w:r w:rsidRPr="00D406F7">
        <w:rPr>
          <w:lang w:val="fr-CH"/>
        </w:rPr>
        <w:t xml:space="preserve">é </w:t>
      </w:r>
      <w:r w:rsidR="00425032">
        <w:rPr>
          <w:lang w:val="fr-CH"/>
        </w:rPr>
        <w:t xml:space="preserve">sur </w:t>
      </w:r>
      <w:r w:rsidRPr="00D406F7">
        <w:rPr>
          <w:lang w:val="fr-CH"/>
        </w:rPr>
        <w:t>la Résolution 140.</w:t>
      </w:r>
    </w:p>
    <w:p w14:paraId="5F9199FA" w14:textId="2A506E1D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5.3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 la Fédération de Russie</w:t>
      </w:r>
      <w:r w:rsidRPr="00D406F7">
        <w:rPr>
          <w:lang w:val="fr-CH"/>
        </w:rPr>
        <w:t xml:space="preserve"> fait remarquer que le Groupe de travail de la plénière avait approuvé le projet de Résolution 140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>. Busan, 2014) avant d</w:t>
      </w:r>
      <w:r>
        <w:rPr>
          <w:lang w:val="fr-CH"/>
        </w:rPr>
        <w:t>'</w:t>
      </w:r>
      <w:r w:rsidRPr="00D406F7">
        <w:rPr>
          <w:lang w:val="fr-CH"/>
        </w:rPr>
        <w:t xml:space="preserve">avoir examiné le projet de </w:t>
      </w:r>
      <w:r w:rsidR="00303E23" w:rsidRPr="00D406F7">
        <w:rPr>
          <w:lang w:val="fr-CH"/>
        </w:rPr>
        <w:t>R</w:t>
      </w:r>
      <w:r w:rsidRPr="00D406F7">
        <w:rPr>
          <w:lang w:val="fr-CH"/>
        </w:rPr>
        <w:t>ésolution WG-PL/9 (Busan, 2014)</w:t>
      </w:r>
      <w:r>
        <w:rPr>
          <w:lang w:val="fr-CH"/>
        </w:rPr>
        <w:t>,</w:t>
      </w:r>
      <w:r w:rsidRPr="00D406F7">
        <w:rPr>
          <w:lang w:val="fr-CH"/>
        </w:rPr>
        <w:t xml:space="preserve"> relatif au Programme </w:t>
      </w:r>
      <w:proofErr w:type="spellStart"/>
      <w:r w:rsidRPr="00D406F7">
        <w:rPr>
          <w:lang w:val="fr-CH"/>
        </w:rPr>
        <w:t>Connect</w:t>
      </w:r>
      <w:proofErr w:type="spellEnd"/>
      <w:r w:rsidRPr="00D406F7">
        <w:rPr>
          <w:lang w:val="fr-CH"/>
        </w:rPr>
        <w:t xml:space="preserve"> 2020. </w:t>
      </w:r>
      <w:r w:rsidR="00425032">
        <w:rPr>
          <w:lang w:val="fr-CH"/>
        </w:rPr>
        <w:t xml:space="preserve">Elle </w:t>
      </w:r>
      <w:r w:rsidRPr="00D406F7">
        <w:rPr>
          <w:lang w:val="fr-CH"/>
        </w:rPr>
        <w:t>propose donc d</w:t>
      </w:r>
      <w:r>
        <w:rPr>
          <w:lang w:val="fr-CH"/>
        </w:rPr>
        <w:t>'</w:t>
      </w:r>
      <w:r w:rsidRPr="00D406F7">
        <w:rPr>
          <w:lang w:val="fr-CH"/>
        </w:rPr>
        <w:t xml:space="preserve">ajouter, dans le projet de Résolution 140, un point </w:t>
      </w:r>
      <w:r w:rsidRPr="00303E23">
        <w:rPr>
          <w:i/>
          <w:iCs/>
          <w:lang w:val="fr-CH"/>
        </w:rPr>
        <w:t>e)</w:t>
      </w:r>
      <w:r w:rsidRPr="00D406F7">
        <w:rPr>
          <w:lang w:val="fr-CH"/>
        </w:rPr>
        <w:t xml:space="preserve"> au </w:t>
      </w:r>
      <w:r w:rsidRPr="00D406F7">
        <w:rPr>
          <w:i/>
          <w:iCs/>
          <w:lang w:val="fr-CH"/>
        </w:rPr>
        <w:t>rappelant</w:t>
      </w:r>
      <w:r w:rsidRPr="00D406F7">
        <w:rPr>
          <w:lang w:val="fr-CH"/>
        </w:rPr>
        <w:t xml:space="preserve">, qui se lirait comme </w:t>
      </w:r>
      <w:proofErr w:type="gramStart"/>
      <w:r w:rsidRPr="00D406F7">
        <w:rPr>
          <w:lang w:val="fr-CH"/>
        </w:rPr>
        <w:t>suit:</w:t>
      </w:r>
      <w:proofErr w:type="gramEnd"/>
      <w:r w:rsidRPr="00D406F7">
        <w:rPr>
          <w:lang w:val="fr-CH"/>
        </w:rPr>
        <w:t xml:space="preserve"> </w:t>
      </w:r>
      <w:r>
        <w:rPr>
          <w:lang w:val="fr-CH"/>
        </w:rPr>
        <w:t>"</w:t>
      </w:r>
      <w:r w:rsidRPr="00D406F7">
        <w:rPr>
          <w:lang w:val="fr-CH"/>
        </w:rPr>
        <w:t xml:space="preserve">la Résolution WG-PL/9 (Busan, 2014) de la présente Conférence, relative au Programme </w:t>
      </w:r>
      <w:proofErr w:type="spellStart"/>
      <w:r w:rsidRPr="00D406F7">
        <w:rPr>
          <w:lang w:val="fr-CH"/>
        </w:rPr>
        <w:t>Connect</w:t>
      </w:r>
      <w:proofErr w:type="spellEnd"/>
      <w:r w:rsidRPr="00D406F7">
        <w:rPr>
          <w:lang w:val="fr-CH"/>
        </w:rPr>
        <w:t xml:space="preserve"> 2020 sur le développement des télécommunications/technologies de l'information et de la communication </w:t>
      </w:r>
      <w:r w:rsidRPr="00D406F7">
        <w:rPr>
          <w:lang w:val="fr-CH"/>
        </w:rPr>
        <w:lastRenderedPageBreak/>
        <w:t>dans le monde</w:t>
      </w:r>
      <w:r>
        <w:rPr>
          <w:lang w:val="fr-CH"/>
        </w:rPr>
        <w:t>"</w:t>
      </w:r>
      <w:r w:rsidRPr="00D406F7">
        <w:rPr>
          <w:lang w:val="fr-CH"/>
        </w:rPr>
        <w:t xml:space="preserve">. Le </w:t>
      </w:r>
      <w:r w:rsidRPr="00D406F7">
        <w:rPr>
          <w:b/>
          <w:bCs/>
          <w:lang w:val="fr-CH"/>
        </w:rPr>
        <w:t>Président du Groupe de travail de la plénière</w:t>
      </w:r>
      <w:r w:rsidRPr="00D406F7">
        <w:rPr>
          <w:lang w:val="fr-CH"/>
        </w:rPr>
        <w:t xml:space="preserve"> et les </w:t>
      </w:r>
      <w:r w:rsidRPr="00D406F7">
        <w:rPr>
          <w:b/>
          <w:bCs/>
          <w:lang w:val="fr-CH"/>
        </w:rPr>
        <w:t>délégués de la République de Corée</w:t>
      </w:r>
      <w:r w:rsidRPr="00D406F7">
        <w:rPr>
          <w:lang w:val="fr-CH"/>
        </w:rPr>
        <w:t xml:space="preserve">, </w:t>
      </w:r>
      <w:r w:rsidRPr="00D406F7">
        <w:rPr>
          <w:b/>
          <w:bCs/>
          <w:lang w:val="fr-CH"/>
        </w:rPr>
        <w:t>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Ouganda</w:t>
      </w:r>
      <w:r w:rsidRPr="00D406F7">
        <w:rPr>
          <w:lang w:val="fr-CH"/>
        </w:rPr>
        <w:t xml:space="preserve"> et </w:t>
      </w:r>
      <w:r w:rsidRPr="00D406F7">
        <w:rPr>
          <w:b/>
          <w:bCs/>
          <w:lang w:val="fr-CH"/>
        </w:rPr>
        <w:t>de la Grèce</w:t>
      </w:r>
      <w:r w:rsidRPr="00D406F7">
        <w:rPr>
          <w:lang w:val="fr-CH"/>
        </w:rPr>
        <w:t xml:space="preserve"> appuient cette proposition.</w:t>
      </w:r>
    </w:p>
    <w:p w14:paraId="6FCCF222" w14:textId="02BA6F58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5.4</w:t>
      </w:r>
      <w:r w:rsidRPr="00D406F7">
        <w:rPr>
          <w:lang w:val="fr-CH"/>
        </w:rPr>
        <w:tab/>
      </w:r>
      <w:r w:rsidRPr="00D406F7">
        <w:rPr>
          <w:lang w:val="fr-FR"/>
        </w:rPr>
        <w:t>Cette proposition d</w:t>
      </w:r>
      <w:r>
        <w:rPr>
          <w:lang w:val="fr-FR"/>
        </w:rPr>
        <w:t>'</w:t>
      </w:r>
      <w:r w:rsidRPr="00D406F7">
        <w:rPr>
          <w:lang w:val="fr-FR"/>
        </w:rPr>
        <w:t xml:space="preserve">ajout est </w:t>
      </w:r>
      <w:r w:rsidRPr="00D406F7">
        <w:rPr>
          <w:b/>
          <w:bCs/>
          <w:lang w:val="fr-FR"/>
        </w:rPr>
        <w:t>approuvée</w:t>
      </w:r>
      <w:r w:rsidRPr="00425032">
        <w:rPr>
          <w:lang w:val="fr-CH"/>
        </w:rPr>
        <w:t>.</w:t>
      </w:r>
    </w:p>
    <w:p w14:paraId="2471F080" w14:textId="5F257714" w:rsidR="004369B4" w:rsidRPr="00D406F7" w:rsidRDefault="004369B4" w:rsidP="00303E23">
      <w:pPr>
        <w:rPr>
          <w:lang w:val="fr-CH"/>
        </w:rPr>
      </w:pPr>
      <w:r w:rsidRPr="00D406F7">
        <w:rPr>
          <w:lang w:val="fr-CH"/>
        </w:rPr>
        <w:t>5.5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>déléguée de la Fédération de Russie</w:t>
      </w:r>
      <w:r w:rsidRPr="00D406F7">
        <w:rPr>
          <w:lang w:val="fr-CH"/>
        </w:rPr>
        <w:t xml:space="preserve">, répondant à une question du </w:t>
      </w:r>
      <w:r w:rsidRPr="00D406F7">
        <w:rPr>
          <w:b/>
          <w:bCs/>
          <w:lang w:val="fr-CH"/>
        </w:rPr>
        <w:t>délégué des Emirats arabes unis</w:t>
      </w:r>
      <w:r w:rsidRPr="00303E23">
        <w:rPr>
          <w:lang w:val="fr-CH"/>
        </w:rPr>
        <w:t xml:space="preserve">, </w:t>
      </w:r>
      <w:r w:rsidRPr="00D406F7">
        <w:rPr>
          <w:lang w:val="fr-CH"/>
        </w:rPr>
        <w:t xml:space="preserve">dit que la liste des résolutions figurant dans le </w:t>
      </w:r>
      <w:r w:rsidRPr="00D406F7">
        <w:rPr>
          <w:i/>
          <w:iCs/>
          <w:lang w:val="fr-CH"/>
        </w:rPr>
        <w:t>rappelant</w:t>
      </w:r>
      <w:r w:rsidRPr="00D406F7">
        <w:rPr>
          <w:lang w:val="fr-CH"/>
        </w:rPr>
        <w:t xml:space="preserve"> du projet de Résolution 140 forme un ensemble de textes clés ayant servi de base pour la suite des travaux. Il </w:t>
      </w:r>
      <w:r w:rsidRPr="00D406F7">
        <w:rPr>
          <w:lang w:val="fr-FR"/>
        </w:rPr>
        <w:t xml:space="preserve">est par conséquent tout à fait approprié de conserver le point </w:t>
      </w:r>
      <w:r w:rsidRPr="00425032">
        <w:rPr>
          <w:i/>
          <w:iCs/>
          <w:lang w:val="fr-FR"/>
        </w:rPr>
        <w:t>d)</w:t>
      </w:r>
      <w:r w:rsidRPr="00D406F7">
        <w:rPr>
          <w:lang w:val="fr-FR"/>
        </w:rPr>
        <w:t xml:space="preserve"> du </w:t>
      </w:r>
      <w:r w:rsidRPr="00D406F7">
        <w:rPr>
          <w:i/>
          <w:iCs/>
          <w:lang w:val="fr-FR"/>
        </w:rPr>
        <w:t>rappelant</w:t>
      </w:r>
      <w:r w:rsidRPr="00D406F7">
        <w:rPr>
          <w:lang w:val="fr-CH"/>
        </w:rPr>
        <w:t>, qui concerne la Résolution</w:t>
      </w:r>
      <w:r w:rsidR="00425032">
        <w:rPr>
          <w:lang w:val="fr-CH"/>
        </w:rPr>
        <w:t> </w:t>
      </w:r>
      <w:r w:rsidRPr="00D406F7">
        <w:rPr>
          <w:lang w:val="fr-CH"/>
        </w:rPr>
        <w:t>172 (Guadalajara, 2010), m</w:t>
      </w:r>
      <w:r w:rsidR="00425032">
        <w:rPr>
          <w:lang w:val="fr-CH"/>
        </w:rPr>
        <w:t xml:space="preserve">ême si </w:t>
      </w:r>
      <w:r w:rsidRPr="00D406F7">
        <w:rPr>
          <w:lang w:val="fr-CH"/>
        </w:rPr>
        <w:t xml:space="preserve">cette </w:t>
      </w:r>
      <w:r w:rsidR="00303E23" w:rsidRPr="00D406F7">
        <w:rPr>
          <w:lang w:val="fr-CH"/>
        </w:rPr>
        <w:t>R</w:t>
      </w:r>
      <w:r w:rsidRPr="00D406F7">
        <w:rPr>
          <w:lang w:val="fr-CH"/>
        </w:rPr>
        <w:t xml:space="preserve">ésolution </w:t>
      </w:r>
      <w:r w:rsidR="00425032">
        <w:rPr>
          <w:lang w:val="fr-CH"/>
        </w:rPr>
        <w:t xml:space="preserve">va être </w:t>
      </w:r>
      <w:r w:rsidRPr="00D406F7">
        <w:rPr>
          <w:lang w:val="fr-CH"/>
        </w:rPr>
        <w:t xml:space="preserve">supprimée. La Résolution 73 (Minneapolis, 1998) a été supprimée il y a un certain temps. </w:t>
      </w:r>
      <w:r w:rsidR="00303E23">
        <w:rPr>
          <w:lang w:val="fr-CH"/>
        </w:rPr>
        <w:t>Elle</w:t>
      </w:r>
      <w:r w:rsidRPr="00D406F7">
        <w:rPr>
          <w:lang w:val="fr-CH"/>
        </w:rPr>
        <w:t xml:space="preserve"> propose d</w:t>
      </w:r>
      <w:r>
        <w:rPr>
          <w:lang w:val="fr-CH"/>
        </w:rPr>
        <w:t>'</w:t>
      </w:r>
      <w:r w:rsidRPr="00D406F7">
        <w:rPr>
          <w:lang w:val="fr-CH"/>
        </w:rPr>
        <w:t xml:space="preserve">ajouter un nouveau paragraphe après le point </w:t>
      </w:r>
      <w:r w:rsidRPr="00425032">
        <w:rPr>
          <w:i/>
          <w:iCs/>
          <w:lang w:val="fr-CH"/>
        </w:rPr>
        <w:t>g)</w:t>
      </w:r>
      <w:r w:rsidRPr="00D406F7">
        <w:rPr>
          <w:lang w:val="fr-CH"/>
        </w:rPr>
        <w:t xml:space="preserve"> du </w:t>
      </w:r>
      <w:r w:rsidRPr="00D406F7">
        <w:rPr>
          <w:i/>
          <w:iCs/>
          <w:lang w:val="fr-CH"/>
        </w:rPr>
        <w:t>considérant</w:t>
      </w:r>
      <w:r w:rsidRPr="00D406F7">
        <w:rPr>
          <w:lang w:val="fr-CH"/>
        </w:rPr>
        <w:t xml:space="preserve">, qui se lirait comme </w:t>
      </w:r>
      <w:proofErr w:type="gramStart"/>
      <w:r w:rsidRPr="00D406F7">
        <w:rPr>
          <w:lang w:val="fr-CH"/>
        </w:rPr>
        <w:t>suit:</w:t>
      </w:r>
      <w:proofErr w:type="gramEnd"/>
      <w:r w:rsidRPr="00D406F7">
        <w:rPr>
          <w:lang w:val="fr-CH"/>
        </w:rPr>
        <w:t xml:space="preserve"> </w:t>
      </w:r>
      <w:r>
        <w:rPr>
          <w:lang w:val="fr-CH"/>
        </w:rPr>
        <w:t>"</w:t>
      </w:r>
      <w:r w:rsidRPr="00D406F7">
        <w:rPr>
          <w:lang w:val="fr-CH"/>
        </w:rPr>
        <w:t>que, par sa Résolution</w:t>
      </w:r>
      <w:r w:rsidR="00303E23">
        <w:rPr>
          <w:lang w:val="fr-CH"/>
        </w:rPr>
        <w:t> </w:t>
      </w:r>
      <w:r w:rsidRPr="00D406F7">
        <w:rPr>
          <w:lang w:val="fr-CH"/>
        </w:rPr>
        <w:t>WG</w:t>
      </w:r>
      <w:r w:rsidR="00303E23">
        <w:rPr>
          <w:lang w:val="fr-CH"/>
        </w:rPr>
        <w:noBreakHyphen/>
      </w:r>
      <w:r w:rsidRPr="00D406F7">
        <w:rPr>
          <w:lang w:val="fr-CH"/>
        </w:rPr>
        <w:t xml:space="preserve">PL/9 (Busan, 2014), la Conférence de plénipotentiaires a approuvé les buts et cibles relatifs aux télécommunications/TIC dans le monde du Programme </w:t>
      </w:r>
      <w:proofErr w:type="spellStart"/>
      <w:r w:rsidRPr="00D406F7">
        <w:rPr>
          <w:lang w:val="fr-CH"/>
        </w:rPr>
        <w:t>Connect</w:t>
      </w:r>
      <w:proofErr w:type="spellEnd"/>
      <w:r w:rsidRPr="00D406F7">
        <w:rPr>
          <w:lang w:val="fr-CH"/>
        </w:rPr>
        <w:t xml:space="preserve"> 2020</w:t>
      </w:r>
      <w:r>
        <w:rPr>
          <w:lang w:val="fr-CH"/>
        </w:rPr>
        <w:t>"</w:t>
      </w:r>
      <w:r w:rsidRPr="00D406F7">
        <w:rPr>
          <w:lang w:val="fr-CH"/>
        </w:rPr>
        <w:t xml:space="preserve">. Les </w:t>
      </w:r>
      <w:r w:rsidRPr="00D406F7">
        <w:rPr>
          <w:lang w:val="fr-FR"/>
        </w:rPr>
        <w:t>paragraphes suivants devraient être renumérotés en conséquence</w:t>
      </w:r>
      <w:r w:rsidRPr="00D406F7">
        <w:rPr>
          <w:lang w:val="fr-CH"/>
        </w:rPr>
        <w:t>.</w:t>
      </w:r>
    </w:p>
    <w:p w14:paraId="42241293" w14:textId="77777777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5.6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7CE97474" w14:textId="6307DF2D" w:rsidR="004369B4" w:rsidRPr="00D406F7" w:rsidRDefault="004369B4" w:rsidP="00425032">
      <w:pPr>
        <w:rPr>
          <w:lang w:val="fr-CH"/>
        </w:rPr>
      </w:pPr>
      <w:r w:rsidRPr="00D406F7">
        <w:rPr>
          <w:lang w:val="fr-CH"/>
        </w:rPr>
        <w:t>5.7</w:t>
      </w:r>
      <w:r w:rsidRPr="00D406F7">
        <w:rPr>
          <w:lang w:val="fr-CH"/>
        </w:rPr>
        <w:tab/>
        <w:t>Le projet de Résolution 140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D406F7">
        <w:rPr>
          <w:lang w:val="fr-CH"/>
        </w:rPr>
        <w:t xml:space="preserve"> tel que modifié.</w:t>
      </w:r>
    </w:p>
    <w:p w14:paraId="23258B4A" w14:textId="4009AA66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150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>. Busan, 2014) – Approbation des comptes de l'Union pour les années 2010 à 2013</w:t>
      </w:r>
    </w:p>
    <w:p w14:paraId="725D672D" w14:textId="4DDAD7DB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179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>. Busan, 2014) – Rôle de l'UIT dans la protection en ligne des enfants</w:t>
      </w:r>
    </w:p>
    <w:p w14:paraId="044C2CA0" w14:textId="5F97CD5D" w:rsidR="004369B4" w:rsidRPr="00425032" w:rsidRDefault="004369B4" w:rsidP="00425032">
      <w:pPr>
        <w:pStyle w:val="Headingb"/>
        <w:ind w:left="0" w:firstLine="0"/>
        <w:rPr>
          <w:lang w:val="fr-CH"/>
        </w:rPr>
      </w:pPr>
      <w:r w:rsidRPr="00425032">
        <w:rPr>
          <w:lang w:val="fr-CH"/>
        </w:rPr>
        <w:t>Projet de Résolution 182 (</w:t>
      </w:r>
      <w:proofErr w:type="spellStart"/>
      <w:r w:rsidRPr="00425032">
        <w:rPr>
          <w:lang w:val="fr-CH"/>
        </w:rPr>
        <w:t>Rév</w:t>
      </w:r>
      <w:proofErr w:type="spellEnd"/>
      <w:r w:rsidRPr="00425032">
        <w:rPr>
          <w:lang w:val="fr-CH"/>
        </w:rPr>
        <w:t>. Busan, 2014) – Rôle des télécommunications/technologies de l'information et de la communication en ce qui concerne les changements climatiques et la protection de l'environnement</w:t>
      </w:r>
    </w:p>
    <w:p w14:paraId="7958B297" w14:textId="6D397A98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5.8</w:t>
      </w:r>
      <w:r w:rsidRPr="00D406F7">
        <w:rPr>
          <w:lang w:val="fr-CH"/>
        </w:rPr>
        <w:tab/>
      </w:r>
      <w:r w:rsidRPr="007976A8">
        <w:rPr>
          <w:b/>
          <w:bCs/>
          <w:lang w:val="fr-CH"/>
        </w:rPr>
        <w:t>Adopté</w:t>
      </w:r>
      <w:r w:rsidR="007976A8" w:rsidRPr="007976A8">
        <w:rPr>
          <w:b/>
          <w:bCs/>
          <w:lang w:val="fr-CH"/>
        </w:rPr>
        <w:t>s</w:t>
      </w:r>
      <w:r w:rsidRPr="00D406F7">
        <w:rPr>
          <w:lang w:val="fr-CH"/>
        </w:rPr>
        <w:t>.</w:t>
      </w:r>
    </w:p>
    <w:p w14:paraId="5AC83B19" w14:textId="77777777" w:rsidR="004369B4" w:rsidRPr="007976A8" w:rsidRDefault="004369B4" w:rsidP="007976A8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t>Projet de Résolution WG-PL/7 (Busan, 2014) – Utiliser les technologies de l'information et de la communication pour briser la chaîne de transmission de maladies comme le virus Ebola en cas d'urgence sanitaire</w:t>
      </w:r>
    </w:p>
    <w:p w14:paraId="4E900BD1" w14:textId="2FE879B8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5.9</w:t>
      </w:r>
      <w:r w:rsidRPr="00D406F7">
        <w:rPr>
          <w:lang w:val="fr-CH"/>
        </w:rPr>
        <w:tab/>
        <w:t>Le</w:t>
      </w:r>
      <w:r w:rsidRPr="00D406F7">
        <w:rPr>
          <w:b/>
          <w:bCs/>
          <w:lang w:val="fr-CH"/>
        </w:rPr>
        <w:t xml:space="preserve"> 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 xml:space="preserve">Arabie saoudite </w:t>
      </w:r>
      <w:r w:rsidRPr="00D406F7">
        <w:rPr>
          <w:lang w:val="fr-CH"/>
        </w:rPr>
        <w:t>dit que, dans un souci d</w:t>
      </w:r>
      <w:r w:rsidR="007976A8">
        <w:rPr>
          <w:lang w:val="fr-CH"/>
        </w:rPr>
        <w:t>'exhaustivité</w:t>
      </w:r>
      <w:r w:rsidRPr="00D406F7">
        <w:rPr>
          <w:lang w:val="fr-CH"/>
        </w:rPr>
        <w:t xml:space="preserve"> et d</w:t>
      </w:r>
      <w:r>
        <w:rPr>
          <w:lang w:val="fr-CH"/>
        </w:rPr>
        <w:t>'</w:t>
      </w:r>
      <w:r w:rsidRPr="00D406F7">
        <w:rPr>
          <w:lang w:val="fr-CH"/>
        </w:rPr>
        <w:t xml:space="preserve">exactitude, le projet de </w:t>
      </w:r>
      <w:r w:rsidR="007976A8">
        <w:rPr>
          <w:lang w:val="fr-CH"/>
        </w:rPr>
        <w:t>r</w:t>
      </w:r>
      <w:r w:rsidRPr="00D406F7">
        <w:rPr>
          <w:lang w:val="fr-CH"/>
        </w:rPr>
        <w:t xml:space="preserve">ésolution devrait comprendre un </w:t>
      </w:r>
      <w:r w:rsidRPr="00D406F7">
        <w:rPr>
          <w:i/>
          <w:iCs/>
          <w:lang w:val="fr-CH"/>
        </w:rPr>
        <w:t>décide</w:t>
      </w:r>
      <w:r w:rsidRPr="00D406F7">
        <w:rPr>
          <w:lang w:val="fr-CH"/>
        </w:rPr>
        <w:t xml:space="preserve">. Les </w:t>
      </w:r>
      <w:r w:rsidRPr="00D406F7">
        <w:rPr>
          <w:b/>
          <w:bCs/>
          <w:lang w:val="fr-CH"/>
        </w:rPr>
        <w:t>délégués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 et </w:t>
      </w:r>
      <w:r w:rsidRPr="00D406F7">
        <w:rPr>
          <w:b/>
          <w:bCs/>
          <w:lang w:val="fr-CH"/>
        </w:rPr>
        <w:t>du Nigéria</w:t>
      </w:r>
      <w:r w:rsidRPr="00D406F7">
        <w:rPr>
          <w:lang w:val="fr-CH"/>
        </w:rPr>
        <w:t xml:space="preserve"> partagent cet avis.</w:t>
      </w:r>
    </w:p>
    <w:p w14:paraId="072233AF" w14:textId="5DAA6351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5.10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 du Groupe de travail de la plénière</w:t>
      </w:r>
      <w:r w:rsidRPr="00D406F7">
        <w:rPr>
          <w:lang w:val="fr-CH"/>
        </w:rPr>
        <w:t xml:space="preserve"> fait </w:t>
      </w:r>
      <w:proofErr w:type="gramStart"/>
      <w:r w:rsidRPr="00D406F7">
        <w:rPr>
          <w:lang w:val="fr-CH"/>
        </w:rPr>
        <w:t>remarquer</w:t>
      </w:r>
      <w:proofErr w:type="gramEnd"/>
      <w:r w:rsidRPr="00D406F7">
        <w:rPr>
          <w:lang w:val="fr-CH"/>
        </w:rPr>
        <w:t xml:space="preserve"> que la question n</w:t>
      </w:r>
      <w:r>
        <w:rPr>
          <w:lang w:val="fr-CH"/>
        </w:rPr>
        <w:t>'</w:t>
      </w:r>
      <w:r w:rsidRPr="00D406F7">
        <w:rPr>
          <w:lang w:val="fr-CH"/>
        </w:rPr>
        <w:t xml:space="preserve">a pas été soulevée par le Groupe de travail. Il propose toutefois, afin de tenir compte de la préoccupation exprimée, de modifier le projet de Résolution en ajoutant </w:t>
      </w:r>
      <w:r>
        <w:rPr>
          <w:lang w:val="fr-CH"/>
        </w:rPr>
        <w:t>"</w:t>
      </w:r>
      <w:r w:rsidRPr="00D406F7">
        <w:rPr>
          <w:i/>
          <w:iCs/>
          <w:lang w:val="fr-CH"/>
        </w:rPr>
        <w:t>décide de</w:t>
      </w:r>
      <w:r>
        <w:rPr>
          <w:i/>
          <w:iCs/>
          <w:lang w:val="fr-CH"/>
        </w:rPr>
        <w:t>"</w:t>
      </w:r>
      <w:r w:rsidRPr="00D406F7">
        <w:rPr>
          <w:lang w:val="fr-CH"/>
        </w:rPr>
        <w:t xml:space="preserve"> avant </w:t>
      </w:r>
      <w:r>
        <w:rPr>
          <w:lang w:val="fr-CH"/>
        </w:rPr>
        <w:t>"</w:t>
      </w:r>
      <w:r w:rsidRPr="00D406F7">
        <w:rPr>
          <w:i/>
          <w:iCs/>
          <w:lang w:val="fr-CH"/>
        </w:rPr>
        <w:t xml:space="preserve">charge le </w:t>
      </w:r>
      <w:r w:rsidR="00303E23" w:rsidRPr="00D406F7">
        <w:rPr>
          <w:i/>
          <w:iCs/>
          <w:lang w:val="fr-CH"/>
        </w:rPr>
        <w:t>D</w:t>
      </w:r>
      <w:r w:rsidRPr="00D406F7">
        <w:rPr>
          <w:i/>
          <w:iCs/>
          <w:lang w:val="fr-CH"/>
        </w:rPr>
        <w:t xml:space="preserve">irecteur du Bureau de développement des télécommunications, en coordination avec les </w:t>
      </w:r>
      <w:r w:rsidR="00303E23" w:rsidRPr="00D406F7">
        <w:rPr>
          <w:i/>
          <w:iCs/>
          <w:lang w:val="fr-CH"/>
        </w:rPr>
        <w:t>D</w:t>
      </w:r>
      <w:r w:rsidRPr="00D406F7">
        <w:rPr>
          <w:i/>
          <w:iCs/>
          <w:lang w:val="fr-CH"/>
        </w:rPr>
        <w:t>irecteurs des autres bureaux</w:t>
      </w:r>
      <w:r>
        <w:rPr>
          <w:lang w:val="fr-CH"/>
        </w:rPr>
        <w:t>"</w:t>
      </w:r>
      <w:r w:rsidRPr="00D406F7">
        <w:rPr>
          <w:lang w:val="fr-CH"/>
        </w:rPr>
        <w:t xml:space="preserve"> et avant </w:t>
      </w:r>
      <w:r>
        <w:rPr>
          <w:lang w:val="fr-CH"/>
        </w:rPr>
        <w:t>"</w:t>
      </w:r>
      <w:r w:rsidRPr="00D406F7">
        <w:rPr>
          <w:i/>
          <w:iCs/>
          <w:lang w:val="fr-CH"/>
        </w:rPr>
        <w:t>charge le Secrétaire général</w:t>
      </w:r>
      <w:r>
        <w:rPr>
          <w:lang w:val="fr-CH"/>
        </w:rPr>
        <w:t>"</w:t>
      </w:r>
      <w:r w:rsidRPr="00D406F7">
        <w:rPr>
          <w:lang w:val="fr-CH"/>
        </w:rPr>
        <w:t xml:space="preserve">. Le </w:t>
      </w:r>
      <w:r w:rsidRPr="00D406F7">
        <w:rPr>
          <w:b/>
          <w:bCs/>
          <w:lang w:val="fr-CH"/>
        </w:rPr>
        <w:t>délégué du Liban</w:t>
      </w:r>
      <w:r w:rsidRPr="00D406F7">
        <w:rPr>
          <w:lang w:val="fr-CH"/>
        </w:rPr>
        <w:t xml:space="preserve"> appuie cette proposition, de même que le </w:t>
      </w:r>
      <w:r w:rsidRPr="00D406F7">
        <w:rPr>
          <w:b/>
          <w:bCs/>
          <w:lang w:val="fr-CH"/>
        </w:rPr>
        <w:t>délégué du Tchad</w:t>
      </w:r>
      <w:r w:rsidRPr="00D406F7">
        <w:rPr>
          <w:lang w:val="fr-CH"/>
        </w:rPr>
        <w:t>, qui propose en outre d</w:t>
      </w:r>
      <w:r>
        <w:rPr>
          <w:lang w:val="fr-CH"/>
        </w:rPr>
        <w:t>'</w:t>
      </w:r>
      <w:r w:rsidRPr="00D406F7">
        <w:rPr>
          <w:lang w:val="fr-CH"/>
        </w:rPr>
        <w:t>inverser ces deux parties.</w:t>
      </w:r>
    </w:p>
    <w:p w14:paraId="4625837C" w14:textId="7ACA3A6B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lastRenderedPageBreak/>
        <w:t>5.11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des Emirats arabes unis</w:t>
      </w:r>
      <w:r w:rsidRPr="00D406F7">
        <w:rPr>
          <w:lang w:val="fr-CH"/>
        </w:rPr>
        <w:t xml:space="preserve"> estime que la partie </w:t>
      </w:r>
      <w:r>
        <w:rPr>
          <w:lang w:val="fr-CH"/>
        </w:rPr>
        <w:t>"</w:t>
      </w:r>
      <w:r w:rsidRPr="007976A8">
        <w:rPr>
          <w:i/>
          <w:iCs/>
          <w:lang w:val="fr-CH"/>
        </w:rPr>
        <w:t xml:space="preserve">décide de charger le </w:t>
      </w:r>
      <w:r w:rsidR="007976A8" w:rsidRPr="007976A8">
        <w:rPr>
          <w:i/>
          <w:iCs/>
          <w:lang w:val="fr-CH"/>
        </w:rPr>
        <w:t>D</w:t>
      </w:r>
      <w:r w:rsidRPr="007976A8">
        <w:rPr>
          <w:i/>
          <w:iCs/>
          <w:lang w:val="fr-CH"/>
        </w:rPr>
        <w:t xml:space="preserve">irecteur du Bureau de développement des télécommunications, en coordination avec les </w:t>
      </w:r>
      <w:r w:rsidR="007976A8" w:rsidRPr="007976A8">
        <w:rPr>
          <w:i/>
          <w:iCs/>
          <w:lang w:val="fr-CH"/>
        </w:rPr>
        <w:t>D</w:t>
      </w:r>
      <w:r w:rsidRPr="007976A8">
        <w:rPr>
          <w:i/>
          <w:iCs/>
          <w:lang w:val="fr-CH"/>
        </w:rPr>
        <w:t xml:space="preserve">irecteurs des autres </w:t>
      </w:r>
      <w:r w:rsidR="007976A8" w:rsidRPr="007976A8">
        <w:rPr>
          <w:i/>
          <w:iCs/>
          <w:lang w:val="fr-CH"/>
        </w:rPr>
        <w:t>B</w:t>
      </w:r>
      <w:r w:rsidRPr="007976A8">
        <w:rPr>
          <w:i/>
          <w:iCs/>
          <w:lang w:val="fr-CH"/>
        </w:rPr>
        <w:t>ureaux</w:t>
      </w:r>
      <w:r>
        <w:rPr>
          <w:lang w:val="fr-CH"/>
        </w:rPr>
        <w:t>"</w:t>
      </w:r>
      <w:r w:rsidRPr="00D406F7">
        <w:rPr>
          <w:lang w:val="fr-CH"/>
        </w:rPr>
        <w:t xml:space="preserve"> est suffisante. </w:t>
      </w:r>
    </w:p>
    <w:p w14:paraId="28320DC1" w14:textId="5CD0ADF5" w:rsidR="004369B4" w:rsidRPr="00D406F7" w:rsidRDefault="004369B4" w:rsidP="007976A8">
      <w:pPr>
        <w:rPr>
          <w:b/>
          <w:bCs/>
          <w:lang w:val="fr-CH"/>
        </w:rPr>
      </w:pPr>
      <w:r w:rsidRPr="00D406F7">
        <w:rPr>
          <w:lang w:val="fr-CH"/>
        </w:rPr>
        <w:t>5.12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 xml:space="preserve">délégué du Nigéria </w:t>
      </w:r>
      <w:r w:rsidRPr="00D406F7">
        <w:rPr>
          <w:lang w:val="fr-CH"/>
        </w:rPr>
        <w:t>dit qu</w:t>
      </w:r>
      <w:r>
        <w:rPr>
          <w:lang w:val="fr-CH"/>
        </w:rPr>
        <w:t>'</w:t>
      </w:r>
      <w:r w:rsidRPr="00D406F7">
        <w:rPr>
          <w:lang w:val="fr-CH"/>
        </w:rPr>
        <w:t>il conviendrait d</w:t>
      </w:r>
      <w:r>
        <w:rPr>
          <w:lang w:val="fr-CH"/>
        </w:rPr>
        <w:t>'</w:t>
      </w:r>
      <w:r w:rsidRPr="00D406F7">
        <w:rPr>
          <w:lang w:val="fr-CH"/>
        </w:rPr>
        <w:t>introduire un</w:t>
      </w:r>
      <w:r w:rsidR="007976A8">
        <w:rPr>
          <w:lang w:val="fr-CH"/>
        </w:rPr>
        <w:t xml:space="preserve"> paragraphe distinct commençant par </w:t>
      </w:r>
      <w:r w:rsidRPr="00D406F7">
        <w:rPr>
          <w:i/>
          <w:iCs/>
          <w:lang w:val="fr-CH"/>
        </w:rPr>
        <w:t>décide</w:t>
      </w:r>
      <w:r w:rsidRPr="00D406F7">
        <w:rPr>
          <w:lang w:val="fr-CH"/>
        </w:rPr>
        <w:t>.</w:t>
      </w:r>
    </w:p>
    <w:p w14:paraId="2346798F" w14:textId="655FF4E8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5.13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Président</w:t>
      </w:r>
      <w:r w:rsidRPr="00D406F7">
        <w:rPr>
          <w:lang w:val="fr-CH"/>
        </w:rPr>
        <w:t xml:space="preserve"> propose que les paragraphes relatifs à la partie </w:t>
      </w:r>
      <w:r w:rsidRPr="00D406F7">
        <w:rPr>
          <w:i/>
          <w:iCs/>
          <w:lang w:val="fr-CH"/>
        </w:rPr>
        <w:t>charge</w:t>
      </w:r>
      <w:r w:rsidRPr="00D406F7">
        <w:rPr>
          <w:lang w:val="fr-CH"/>
        </w:rPr>
        <w:t xml:space="preserve"> du projet de </w:t>
      </w:r>
      <w:r w:rsidR="007976A8">
        <w:rPr>
          <w:lang w:val="fr-CH"/>
        </w:rPr>
        <w:t>r</w:t>
      </w:r>
      <w:r w:rsidRPr="00D406F7">
        <w:rPr>
          <w:lang w:val="fr-CH"/>
        </w:rPr>
        <w:t>ésolution soient précédés d</w:t>
      </w:r>
      <w:r>
        <w:rPr>
          <w:lang w:val="fr-CH"/>
        </w:rPr>
        <w:t>'</w:t>
      </w:r>
      <w:r w:rsidRPr="00D406F7">
        <w:rPr>
          <w:lang w:val="fr-CH"/>
        </w:rPr>
        <w:t xml:space="preserve">un en-tête </w:t>
      </w:r>
      <w:r w:rsidRPr="00F23878">
        <w:rPr>
          <w:i/>
          <w:iCs/>
          <w:lang w:val="fr-CH"/>
        </w:rPr>
        <w:t>décide</w:t>
      </w:r>
      <w:r w:rsidRPr="00D406F7">
        <w:rPr>
          <w:lang w:val="fr-CH"/>
        </w:rPr>
        <w:t xml:space="preserve"> qui leur serait commun, </w:t>
      </w:r>
      <w:r w:rsidR="007976A8">
        <w:rPr>
          <w:lang w:val="fr-CH"/>
        </w:rPr>
        <w:t>moyennant des modifications de</w:t>
      </w:r>
      <w:r w:rsidRPr="00D406F7">
        <w:rPr>
          <w:lang w:val="fr-CH"/>
        </w:rPr>
        <w:t xml:space="preserve"> forme.</w:t>
      </w:r>
    </w:p>
    <w:p w14:paraId="61B2319F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5.14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0C269654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5.15</w:t>
      </w:r>
      <w:r w:rsidRPr="00D406F7">
        <w:rPr>
          <w:lang w:val="fr-CH"/>
        </w:rPr>
        <w:tab/>
        <w:t>Le projet de Résolution WG-PL/7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D406F7">
        <w:rPr>
          <w:lang w:val="fr-CH"/>
        </w:rPr>
        <w:t xml:space="preserve"> tel que modifié.</w:t>
      </w:r>
    </w:p>
    <w:p w14:paraId="3F61C7C4" w14:textId="77777777" w:rsidR="004369B4" w:rsidRPr="007976A8" w:rsidRDefault="004369B4" w:rsidP="007976A8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t>Projet de Résolution WG-PL/8 (Busan, 2014) – Connectivité aux réseaux large bande</w:t>
      </w:r>
    </w:p>
    <w:p w14:paraId="25398D56" w14:textId="33CC9CBD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5.16</w:t>
      </w:r>
      <w:r w:rsidRPr="00D406F7">
        <w:rPr>
          <w:lang w:val="fr-CH"/>
        </w:rPr>
        <w:tab/>
        <w:t>Le</w:t>
      </w:r>
      <w:r w:rsidRPr="00D406F7">
        <w:rPr>
          <w:b/>
          <w:bCs/>
          <w:lang w:val="fr-CH"/>
        </w:rPr>
        <w:t xml:space="preserve"> délégué du Canada</w:t>
      </w:r>
      <w:r w:rsidRPr="00303E23">
        <w:rPr>
          <w:lang w:val="fr-CH"/>
        </w:rPr>
        <w:t xml:space="preserve">, </w:t>
      </w:r>
      <w:r w:rsidRPr="00D406F7">
        <w:rPr>
          <w:lang w:val="fr-CH"/>
        </w:rPr>
        <w:t>appuyé par la</w:t>
      </w:r>
      <w:r w:rsidRPr="00D406F7">
        <w:rPr>
          <w:b/>
          <w:bCs/>
          <w:lang w:val="fr-CH"/>
        </w:rPr>
        <w:t xml:space="preserve"> déléguée de la Fédération de Russie</w:t>
      </w:r>
      <w:r w:rsidRPr="00D406F7">
        <w:rPr>
          <w:lang w:val="fr-CH"/>
        </w:rPr>
        <w:t>,</w:t>
      </w:r>
      <w:r w:rsidRPr="00D406F7">
        <w:rPr>
          <w:b/>
          <w:bCs/>
          <w:lang w:val="fr-CH"/>
        </w:rPr>
        <w:t xml:space="preserve"> </w:t>
      </w:r>
      <w:r w:rsidRPr="00D406F7">
        <w:rPr>
          <w:lang w:val="fr-CH"/>
        </w:rPr>
        <w:t xml:space="preserve">propose de diviser la partie </w:t>
      </w:r>
      <w:r w:rsidRPr="00D406F7">
        <w:rPr>
          <w:i/>
          <w:iCs/>
          <w:lang w:val="fr-CH"/>
        </w:rPr>
        <w:t>décide</w:t>
      </w:r>
      <w:r w:rsidRPr="00D406F7">
        <w:rPr>
          <w:lang w:val="fr-CH"/>
        </w:rPr>
        <w:t xml:space="preserve"> du projet de Résolution en deux, de sorte qu</w:t>
      </w:r>
      <w:r>
        <w:rPr>
          <w:lang w:val="fr-CH"/>
        </w:rPr>
        <w:t>'</w:t>
      </w:r>
      <w:r w:rsidRPr="00D406F7">
        <w:rPr>
          <w:lang w:val="fr-CH"/>
        </w:rPr>
        <w:t xml:space="preserve">elle reflète le rôle de premier plan </w:t>
      </w:r>
      <w:r w:rsidR="007976A8">
        <w:rPr>
          <w:lang w:val="fr-CH"/>
        </w:rPr>
        <w:t>joué par le</w:t>
      </w:r>
      <w:r w:rsidRPr="00D406F7">
        <w:rPr>
          <w:lang w:val="fr-CH"/>
        </w:rPr>
        <w:t xml:space="preserve"> Bureau de développement des télécommunications dans les activités de renforcement des capacités. Ce</w:t>
      </w:r>
      <w:r w:rsidR="007976A8">
        <w:rPr>
          <w:lang w:val="fr-CH"/>
        </w:rPr>
        <w:t xml:space="preserve"> texte </w:t>
      </w:r>
      <w:r w:rsidRPr="00D406F7">
        <w:rPr>
          <w:lang w:val="fr-CH"/>
        </w:rPr>
        <w:t xml:space="preserve">serait </w:t>
      </w:r>
      <w:r w:rsidR="007976A8">
        <w:rPr>
          <w:lang w:val="fr-CH"/>
        </w:rPr>
        <w:t xml:space="preserve">le </w:t>
      </w:r>
      <w:proofErr w:type="gramStart"/>
      <w:r w:rsidR="007976A8">
        <w:rPr>
          <w:lang w:val="fr-CH"/>
        </w:rPr>
        <w:t>suivant</w:t>
      </w:r>
      <w:r w:rsidRPr="00D406F7">
        <w:rPr>
          <w:lang w:val="fr-CH"/>
        </w:rPr>
        <w:t>:</w:t>
      </w:r>
      <w:proofErr w:type="gramEnd"/>
    </w:p>
    <w:p w14:paraId="2BEFDBA2" w14:textId="7F51FA04" w:rsidR="004369B4" w:rsidRPr="007976A8" w:rsidRDefault="004369B4" w:rsidP="007976A8">
      <w:pPr>
        <w:pStyle w:val="Call"/>
        <w:rPr>
          <w:lang w:val="fr-CH"/>
        </w:rPr>
      </w:pPr>
      <w:r w:rsidRPr="007976A8">
        <w:rPr>
          <w:i w:val="0"/>
          <w:iCs/>
          <w:lang w:val="fr-CH"/>
        </w:rPr>
        <w:t>"</w:t>
      </w:r>
      <w:proofErr w:type="gramStart"/>
      <w:r w:rsidRPr="007976A8">
        <w:rPr>
          <w:lang w:val="fr-CH"/>
        </w:rPr>
        <w:t>décide</w:t>
      </w:r>
      <w:proofErr w:type="gramEnd"/>
      <w:r w:rsidRPr="007976A8">
        <w:rPr>
          <w:lang w:val="fr-CH"/>
        </w:rPr>
        <w:t xml:space="preserve"> de charger le </w:t>
      </w:r>
      <w:r w:rsidR="007976A8" w:rsidRPr="007976A8">
        <w:rPr>
          <w:lang w:val="fr-CH"/>
        </w:rPr>
        <w:t>D</w:t>
      </w:r>
      <w:r w:rsidRPr="007976A8">
        <w:rPr>
          <w:lang w:val="fr-CH"/>
        </w:rPr>
        <w:t>irecteur du Bureau de développement des télécommunications</w:t>
      </w:r>
    </w:p>
    <w:p w14:paraId="2BC9A2F4" w14:textId="601292C6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 xml:space="preserve">de continuer de travailler en étroite coopération avec le directeur du Bureau des radiocommunications et le </w:t>
      </w:r>
      <w:r w:rsidR="00303E23" w:rsidRPr="00D406F7">
        <w:rPr>
          <w:lang w:val="fr-CH"/>
        </w:rPr>
        <w:t>D</w:t>
      </w:r>
      <w:r w:rsidRPr="00D406F7">
        <w:rPr>
          <w:lang w:val="fr-CH"/>
        </w:rPr>
        <w:t xml:space="preserve">irecteur du Bureau de la normalisation des télécommunications en ce qui concerne les activités de renforcement des capacités liées à l'élaboration de stratégies nationales, pour faciliter le déploiement de réseaux large bande, y compris de réseaux hertziens large bande, compte tenu des contraintes budgétaires actuelles de l'Union, </w:t>
      </w:r>
    </w:p>
    <w:p w14:paraId="717D40F5" w14:textId="4DD4CBFF" w:rsidR="004369B4" w:rsidRPr="00D406F7" w:rsidRDefault="004369B4" w:rsidP="007976A8">
      <w:pPr>
        <w:pStyle w:val="Call"/>
        <w:rPr>
          <w:lang w:val="fr-CH"/>
        </w:rPr>
      </w:pPr>
      <w:r w:rsidRPr="007976A8">
        <w:rPr>
          <w:i w:val="0"/>
          <w:iCs/>
          <w:lang w:val="fr-CH"/>
        </w:rPr>
        <w:t>"</w:t>
      </w:r>
      <w:proofErr w:type="gramStart"/>
      <w:r w:rsidRPr="00D406F7">
        <w:rPr>
          <w:lang w:val="fr-CH"/>
        </w:rPr>
        <w:t>décide</w:t>
      </w:r>
      <w:proofErr w:type="gramEnd"/>
      <w:r w:rsidRPr="00D406F7">
        <w:rPr>
          <w:lang w:val="fr-CH"/>
        </w:rPr>
        <w:t xml:space="preserve"> de charger le </w:t>
      </w:r>
      <w:r w:rsidR="007976A8" w:rsidRPr="00D406F7">
        <w:rPr>
          <w:lang w:val="fr-CH"/>
        </w:rPr>
        <w:t>D</w:t>
      </w:r>
      <w:r w:rsidRPr="00D406F7">
        <w:rPr>
          <w:lang w:val="fr-CH"/>
        </w:rPr>
        <w:t xml:space="preserve">irecteur du Bureau des radiocommunications et le </w:t>
      </w:r>
      <w:r w:rsidR="007976A8" w:rsidRPr="00D406F7">
        <w:rPr>
          <w:lang w:val="fr-CH"/>
        </w:rPr>
        <w:t>D</w:t>
      </w:r>
      <w:r w:rsidRPr="00D406F7">
        <w:rPr>
          <w:lang w:val="fr-CH"/>
        </w:rPr>
        <w:t>irecteur du Bureau de la normalisation des télécommunications</w:t>
      </w:r>
      <w:r>
        <w:rPr>
          <w:lang w:val="fr-CH"/>
        </w:rPr>
        <w:t>"</w:t>
      </w:r>
      <w:r w:rsidRPr="00D406F7">
        <w:rPr>
          <w:lang w:val="fr-CH"/>
        </w:rPr>
        <w:t xml:space="preserve"> </w:t>
      </w:r>
      <w:r w:rsidRPr="00303E23">
        <w:rPr>
          <w:i w:val="0"/>
          <w:iCs/>
          <w:lang w:val="fr-CH"/>
        </w:rPr>
        <w:t>suivi d</w:t>
      </w:r>
      <w:r w:rsidR="007976A8" w:rsidRPr="00303E23">
        <w:rPr>
          <w:i w:val="0"/>
          <w:iCs/>
          <w:lang w:val="fr-CH"/>
        </w:rPr>
        <w:t xml:space="preserve">u libellé existant du </w:t>
      </w:r>
      <w:r w:rsidRPr="00303E23">
        <w:rPr>
          <w:i w:val="0"/>
          <w:iCs/>
          <w:lang w:val="fr-CH"/>
        </w:rPr>
        <w:t>point 2 du</w:t>
      </w:r>
      <w:r w:rsidRPr="00D406F7">
        <w:rPr>
          <w:lang w:val="fr-CH"/>
        </w:rPr>
        <w:t xml:space="preserve"> décide de charger le </w:t>
      </w:r>
      <w:r w:rsidR="007976A8" w:rsidRPr="00D406F7">
        <w:rPr>
          <w:lang w:val="fr-CH"/>
        </w:rPr>
        <w:t xml:space="preserve">Directeur </w:t>
      </w:r>
      <w:r w:rsidRPr="00D406F7">
        <w:rPr>
          <w:lang w:val="fr-CH"/>
        </w:rPr>
        <w:t xml:space="preserve">du Bureau des radiocommunications et le </w:t>
      </w:r>
      <w:r w:rsidR="007976A8" w:rsidRPr="00D406F7">
        <w:rPr>
          <w:lang w:val="fr-CH"/>
        </w:rPr>
        <w:t>D</w:t>
      </w:r>
      <w:r w:rsidRPr="00D406F7">
        <w:rPr>
          <w:lang w:val="fr-CH"/>
        </w:rPr>
        <w:t>irecteur du Bureau de la normalisation des télécommunications.</w:t>
      </w:r>
      <w:r w:rsidR="007976A8">
        <w:rPr>
          <w:lang w:val="fr-CH"/>
        </w:rPr>
        <w:t>"</w:t>
      </w:r>
    </w:p>
    <w:p w14:paraId="6D31DA6E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5.17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2C95AFAA" w14:textId="3B88724C" w:rsidR="004369B4" w:rsidRPr="00D406F7" w:rsidRDefault="004369B4" w:rsidP="007976A8">
      <w:pPr>
        <w:rPr>
          <w:lang w:val="fr-CH"/>
        </w:rPr>
      </w:pPr>
      <w:r w:rsidRPr="00D406F7">
        <w:rPr>
          <w:color w:val="000000"/>
          <w:lang w:val="fr-CH"/>
        </w:rPr>
        <w:t>5.18</w:t>
      </w:r>
      <w:r w:rsidRPr="00D406F7">
        <w:rPr>
          <w:color w:val="000000"/>
          <w:lang w:val="fr-CH"/>
        </w:rPr>
        <w:tab/>
      </w:r>
      <w:r w:rsidRPr="00D406F7">
        <w:rPr>
          <w:lang w:val="fr-CH"/>
        </w:rPr>
        <w:t xml:space="preserve">Le </w:t>
      </w:r>
      <w:r w:rsidRPr="00D406F7">
        <w:rPr>
          <w:b/>
          <w:bCs/>
          <w:lang w:val="fr-CH"/>
        </w:rPr>
        <w:t>Président du Groupe de travail de la plénière</w:t>
      </w:r>
      <w:r w:rsidRPr="00D406F7">
        <w:rPr>
          <w:lang w:val="fr-CH"/>
        </w:rPr>
        <w:t xml:space="preserve"> propose d</w:t>
      </w:r>
      <w:r>
        <w:rPr>
          <w:lang w:val="fr-CH"/>
        </w:rPr>
        <w:t>'</w:t>
      </w:r>
      <w:r w:rsidRPr="00D406F7">
        <w:rPr>
          <w:lang w:val="fr-CH"/>
        </w:rPr>
        <w:t xml:space="preserve">ajouter un point </w:t>
      </w:r>
      <w:r w:rsidRPr="00303E23">
        <w:rPr>
          <w:i/>
          <w:iCs/>
          <w:lang w:val="fr-CH"/>
        </w:rPr>
        <w:t>c)</w:t>
      </w:r>
      <w:r w:rsidRPr="00D406F7">
        <w:rPr>
          <w:lang w:val="fr-CH"/>
        </w:rPr>
        <w:t xml:space="preserve"> au </w:t>
      </w:r>
      <w:r w:rsidRPr="00303E23">
        <w:rPr>
          <w:i/>
          <w:iCs/>
          <w:lang w:val="fr-CH"/>
        </w:rPr>
        <w:t>reconnaissant</w:t>
      </w:r>
      <w:r w:rsidRPr="00D406F7">
        <w:rPr>
          <w:lang w:val="fr-CH"/>
        </w:rPr>
        <w:t xml:space="preserve">, qui se lirait comme suit: </w:t>
      </w:r>
      <w:r>
        <w:rPr>
          <w:lang w:val="fr-CH"/>
        </w:rPr>
        <w:t>"</w:t>
      </w:r>
      <w:r w:rsidRPr="00972218">
        <w:rPr>
          <w:lang w:val="fr-CH"/>
        </w:rPr>
        <w:t xml:space="preserve">que le large bande joue un rôle vital en transformant les économies et les sociétés, comme indiqué dans la lettre ouverte de la Commission sur le large bande au service </w:t>
      </w:r>
      <w:r w:rsidR="007976A8" w:rsidRPr="00972218">
        <w:rPr>
          <w:lang w:val="fr-CH"/>
        </w:rPr>
        <w:t xml:space="preserve">du développement </w:t>
      </w:r>
      <w:r w:rsidRPr="00972218">
        <w:rPr>
          <w:lang w:val="fr-CH"/>
        </w:rPr>
        <w:t>numérique à l'intention de la Conférence de plénipotentiaires de l'UIT tenue en 2014"</w:t>
      </w:r>
      <w:r w:rsidRPr="00D406F7">
        <w:rPr>
          <w:lang w:val="fr-CH"/>
        </w:rPr>
        <w:t>.</w:t>
      </w:r>
    </w:p>
    <w:p w14:paraId="0580D06C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5.19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39C87389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5.20</w:t>
      </w:r>
      <w:r w:rsidRPr="00D406F7">
        <w:rPr>
          <w:lang w:val="fr-CH"/>
        </w:rPr>
        <w:tab/>
        <w:t>Le projet de Résolution WG-PL/8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D406F7">
        <w:rPr>
          <w:lang w:val="fr-CH"/>
        </w:rPr>
        <w:t xml:space="preserve"> tel que modifié.</w:t>
      </w:r>
    </w:p>
    <w:p w14:paraId="5A05205D" w14:textId="77777777" w:rsidR="004369B4" w:rsidRPr="007976A8" w:rsidRDefault="004369B4" w:rsidP="007976A8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lastRenderedPageBreak/>
        <w:t>Projet de Résolution COM6/5 (Busan, 2014) – Options à long terme pour les locaux du siège de l'Union</w:t>
      </w:r>
    </w:p>
    <w:p w14:paraId="11B78893" w14:textId="1F0D99B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5.21</w:t>
      </w:r>
      <w:r w:rsidRPr="00D406F7">
        <w:rPr>
          <w:lang w:val="fr-CH"/>
        </w:rPr>
        <w:tab/>
        <w:t>Le</w:t>
      </w:r>
      <w:r w:rsidRPr="00D406F7">
        <w:rPr>
          <w:b/>
          <w:bCs/>
          <w:lang w:val="fr-CH"/>
        </w:rPr>
        <w:t xml:space="preserve"> délégué de la France</w:t>
      </w:r>
      <w:r w:rsidRPr="007976A8">
        <w:rPr>
          <w:lang w:val="fr-CH"/>
        </w:rPr>
        <w:t>,</w:t>
      </w:r>
      <w:r w:rsidRPr="00D406F7">
        <w:rPr>
          <w:b/>
          <w:bCs/>
          <w:lang w:val="fr-CH"/>
        </w:rPr>
        <w:t xml:space="preserve"> </w:t>
      </w:r>
      <w:r w:rsidRPr="00D406F7">
        <w:rPr>
          <w:lang w:val="fr-CH"/>
        </w:rPr>
        <w:t>faisant remarquer qu</w:t>
      </w:r>
      <w:r w:rsidR="007976A8">
        <w:rPr>
          <w:lang w:val="fr-CH"/>
        </w:rPr>
        <w:t>'il faut agir d'</w:t>
      </w:r>
      <w:r w:rsidRPr="00D406F7">
        <w:rPr>
          <w:lang w:val="fr-CH"/>
        </w:rPr>
        <w:t>urgen</w:t>
      </w:r>
      <w:r w:rsidR="007976A8">
        <w:rPr>
          <w:lang w:val="fr-CH"/>
        </w:rPr>
        <w:t>ce</w:t>
      </w:r>
      <w:r w:rsidRPr="00D406F7">
        <w:rPr>
          <w:lang w:val="fr-CH"/>
        </w:rPr>
        <w:t>, dit que le texte n</w:t>
      </w:r>
      <w:r>
        <w:rPr>
          <w:lang w:val="fr-CH"/>
        </w:rPr>
        <w:t>'</w:t>
      </w:r>
      <w:r w:rsidRPr="00D406F7">
        <w:rPr>
          <w:lang w:val="fr-CH"/>
        </w:rPr>
        <w:t>établit pas clairement si c</w:t>
      </w:r>
      <w:r>
        <w:rPr>
          <w:lang w:val="fr-CH"/>
        </w:rPr>
        <w:t>'</w:t>
      </w:r>
      <w:r w:rsidRPr="00D406F7">
        <w:rPr>
          <w:lang w:val="fr-CH"/>
        </w:rPr>
        <w:t xml:space="preserve">est le Conseil ou </w:t>
      </w:r>
      <w:r>
        <w:rPr>
          <w:lang w:val="fr-CH"/>
        </w:rPr>
        <w:t>la C</w:t>
      </w:r>
      <w:r w:rsidRPr="00D406F7">
        <w:rPr>
          <w:lang w:val="fr-CH"/>
        </w:rPr>
        <w:t xml:space="preserve">onférence </w:t>
      </w:r>
      <w:r>
        <w:rPr>
          <w:lang w:val="fr-CH"/>
        </w:rPr>
        <w:t xml:space="preserve">de </w:t>
      </w:r>
      <w:r w:rsidRPr="00D406F7">
        <w:rPr>
          <w:lang w:val="fr-CH"/>
        </w:rPr>
        <w:t>plénipotentiaire</w:t>
      </w:r>
      <w:r>
        <w:rPr>
          <w:lang w:val="fr-CH"/>
        </w:rPr>
        <w:t>s</w:t>
      </w:r>
      <w:r w:rsidRPr="00D406F7">
        <w:rPr>
          <w:lang w:val="fr-CH"/>
        </w:rPr>
        <w:t xml:space="preserve"> qui prendra la décision finale concernant les locaux du siège de l</w:t>
      </w:r>
      <w:r>
        <w:rPr>
          <w:lang w:val="fr-CH"/>
        </w:rPr>
        <w:t>'</w:t>
      </w:r>
      <w:r w:rsidRPr="00D406F7">
        <w:rPr>
          <w:lang w:val="fr-CH"/>
        </w:rPr>
        <w:t xml:space="preserve">Union. Dans un souci de clarté, le libellé du </w:t>
      </w:r>
      <w:r w:rsidRPr="00D406F7">
        <w:rPr>
          <w:i/>
          <w:iCs/>
          <w:lang w:val="fr-CH"/>
        </w:rPr>
        <w:t>charge en outre le Conseil</w:t>
      </w:r>
      <w:r w:rsidRPr="00D406F7">
        <w:rPr>
          <w:lang w:val="fr-CH"/>
        </w:rPr>
        <w:t xml:space="preserve"> devrait être modifié pour devenir </w:t>
      </w:r>
      <w:r>
        <w:rPr>
          <w:lang w:val="fr-CH"/>
        </w:rPr>
        <w:t>"</w:t>
      </w:r>
      <w:r w:rsidRPr="00D406F7">
        <w:rPr>
          <w:lang w:val="fr-CH"/>
        </w:rPr>
        <w:t>de soumettre un rapport sur sa décision à la prochaine Conférence de plénipotentiaires</w:t>
      </w:r>
      <w:r>
        <w:rPr>
          <w:lang w:val="fr-CH"/>
        </w:rPr>
        <w:t>"</w:t>
      </w:r>
      <w:r w:rsidRPr="00D406F7">
        <w:rPr>
          <w:lang w:val="fr-CH"/>
        </w:rPr>
        <w:t>.</w:t>
      </w:r>
    </w:p>
    <w:p w14:paraId="48FF1B63" w14:textId="020095A9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5.22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du Mali</w:t>
      </w:r>
      <w:r w:rsidRPr="00D406F7">
        <w:rPr>
          <w:lang w:val="fr-CH"/>
        </w:rPr>
        <w:t xml:space="preserve"> souscrit à cette modification. Il demande si, dans l</w:t>
      </w:r>
      <w:r>
        <w:rPr>
          <w:lang w:val="fr-CH"/>
        </w:rPr>
        <w:t>'</w:t>
      </w:r>
      <w:r w:rsidRPr="00D406F7">
        <w:rPr>
          <w:lang w:val="fr-CH"/>
        </w:rPr>
        <w:t xml:space="preserve">éventualité où la décision serait reportée à la prochaine </w:t>
      </w:r>
      <w:r w:rsidR="007976A8" w:rsidRPr="00D406F7">
        <w:rPr>
          <w:lang w:val="fr-CH"/>
        </w:rPr>
        <w:t>C</w:t>
      </w:r>
      <w:r w:rsidRPr="00D406F7">
        <w:rPr>
          <w:lang w:val="fr-CH"/>
        </w:rPr>
        <w:t xml:space="preserve">onférence </w:t>
      </w:r>
      <w:r w:rsidR="007976A8">
        <w:rPr>
          <w:lang w:val="fr-CH"/>
        </w:rPr>
        <w:t xml:space="preserve">de </w:t>
      </w:r>
      <w:r w:rsidRPr="00D406F7">
        <w:rPr>
          <w:lang w:val="fr-CH"/>
        </w:rPr>
        <w:t>plénipotentiaire</w:t>
      </w:r>
      <w:r w:rsidR="007976A8">
        <w:rPr>
          <w:lang w:val="fr-CH"/>
        </w:rPr>
        <w:t>s</w:t>
      </w:r>
      <w:r w:rsidRPr="00D406F7">
        <w:rPr>
          <w:lang w:val="fr-CH"/>
        </w:rPr>
        <w:t>, l</w:t>
      </w:r>
      <w:r>
        <w:rPr>
          <w:lang w:val="fr-CH"/>
        </w:rPr>
        <w:t>'</w:t>
      </w:r>
      <w:r w:rsidRPr="00D406F7">
        <w:rPr>
          <w:lang w:val="fr-CH"/>
        </w:rPr>
        <w:t>offre faite par la Suisse d</w:t>
      </w:r>
      <w:r>
        <w:rPr>
          <w:lang w:val="fr-CH"/>
        </w:rPr>
        <w:t>'</w:t>
      </w:r>
      <w:r w:rsidRPr="00D406F7">
        <w:rPr>
          <w:lang w:val="fr-CH"/>
        </w:rPr>
        <w:t xml:space="preserve">un prêt sans intérêt sur une période de </w:t>
      </w:r>
      <w:r w:rsidR="007976A8">
        <w:rPr>
          <w:lang w:val="fr-CH"/>
        </w:rPr>
        <w:t>cinquante</w:t>
      </w:r>
      <w:r w:rsidRPr="00D406F7">
        <w:rPr>
          <w:lang w:val="fr-CH"/>
        </w:rPr>
        <w:t xml:space="preserve"> ans serait toujours d</w:t>
      </w:r>
      <w:r>
        <w:rPr>
          <w:lang w:val="fr-CH"/>
        </w:rPr>
        <w:t>'</w:t>
      </w:r>
      <w:r w:rsidRPr="00D406F7">
        <w:rPr>
          <w:lang w:val="fr-CH"/>
        </w:rPr>
        <w:t>actualité.</w:t>
      </w:r>
    </w:p>
    <w:p w14:paraId="7DCA7057" w14:textId="5C7701B4" w:rsidR="004369B4" w:rsidRPr="00D406F7" w:rsidRDefault="004369B4" w:rsidP="00303E23">
      <w:pPr>
        <w:rPr>
          <w:lang w:val="fr-CH"/>
        </w:rPr>
      </w:pPr>
      <w:r w:rsidRPr="00D406F7">
        <w:rPr>
          <w:lang w:val="fr-CH"/>
        </w:rPr>
        <w:t>5.23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 xml:space="preserve">Présidente de la Commission 6 </w:t>
      </w:r>
      <w:r w:rsidRPr="00D406F7">
        <w:rPr>
          <w:lang w:val="fr-CH"/>
        </w:rPr>
        <w:t xml:space="preserve">croit comprendre que le projet de </w:t>
      </w:r>
      <w:r w:rsidR="00303E23">
        <w:rPr>
          <w:lang w:val="fr-CH"/>
        </w:rPr>
        <w:t>r</w:t>
      </w:r>
      <w:r w:rsidRPr="00D406F7">
        <w:rPr>
          <w:lang w:val="fr-CH"/>
        </w:rPr>
        <w:t>ésolution habilite le Conseil à prendre la décision, tout en lui accordant suffisamment de flexibilité pour la reporter, en l</w:t>
      </w:r>
      <w:r>
        <w:rPr>
          <w:lang w:val="fr-CH"/>
        </w:rPr>
        <w:t>'</w:t>
      </w:r>
      <w:r w:rsidRPr="00D406F7">
        <w:rPr>
          <w:lang w:val="fr-CH"/>
        </w:rPr>
        <w:t xml:space="preserve">absence de toutes les informations nécessaires et </w:t>
      </w:r>
      <w:r w:rsidR="007976A8">
        <w:rPr>
          <w:lang w:val="fr-CH"/>
        </w:rPr>
        <w:t>pertinentes</w:t>
      </w:r>
      <w:r w:rsidRPr="00D406F7">
        <w:rPr>
          <w:lang w:val="fr-CH"/>
        </w:rPr>
        <w:t xml:space="preserve">, à la prochaine </w:t>
      </w:r>
      <w:r w:rsidR="007976A8" w:rsidRPr="00D406F7">
        <w:rPr>
          <w:lang w:val="fr-CH"/>
        </w:rPr>
        <w:t>C</w:t>
      </w:r>
      <w:r w:rsidRPr="00D406F7">
        <w:rPr>
          <w:lang w:val="fr-CH"/>
        </w:rPr>
        <w:t xml:space="preserve">onférence </w:t>
      </w:r>
      <w:r w:rsidR="007976A8">
        <w:rPr>
          <w:lang w:val="fr-CH"/>
        </w:rPr>
        <w:t xml:space="preserve">de </w:t>
      </w:r>
      <w:r w:rsidRPr="00D406F7">
        <w:rPr>
          <w:lang w:val="fr-CH"/>
        </w:rPr>
        <w:t>plénipotentiaire</w:t>
      </w:r>
      <w:r w:rsidR="007976A8">
        <w:rPr>
          <w:lang w:val="fr-CH"/>
        </w:rPr>
        <w:t>s</w:t>
      </w:r>
      <w:r w:rsidRPr="00D406F7">
        <w:rPr>
          <w:lang w:val="fr-CH"/>
        </w:rPr>
        <w:t>.</w:t>
      </w:r>
    </w:p>
    <w:p w14:paraId="5A44AF77" w14:textId="15075BF3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5.24</w:t>
      </w:r>
      <w:r w:rsidRPr="00D406F7">
        <w:rPr>
          <w:lang w:val="fr-CH"/>
        </w:rPr>
        <w:tab/>
        <w:t>Le</w:t>
      </w:r>
      <w:r w:rsidRPr="00D406F7">
        <w:rPr>
          <w:b/>
          <w:bCs/>
          <w:lang w:val="fr-CH"/>
        </w:rPr>
        <w:t xml:space="preserve"> Secrétaire de la Commission 6</w:t>
      </w:r>
      <w:r w:rsidRPr="00D406F7">
        <w:rPr>
          <w:lang w:val="fr-CH"/>
        </w:rPr>
        <w:t xml:space="preserve"> </w:t>
      </w:r>
      <w:r w:rsidR="007976A8">
        <w:rPr>
          <w:lang w:val="fr-CH"/>
        </w:rPr>
        <w:t>con</w:t>
      </w:r>
      <w:r w:rsidRPr="00D406F7">
        <w:rPr>
          <w:lang w:val="fr-CH"/>
        </w:rPr>
        <w:t xml:space="preserve">firme que cette interprétation est correcte. </w:t>
      </w:r>
    </w:p>
    <w:p w14:paraId="180C5DCC" w14:textId="2AADF819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5.25</w:t>
      </w:r>
      <w:r w:rsidRPr="00D406F7">
        <w:rPr>
          <w:lang w:val="fr-CH"/>
        </w:rPr>
        <w:tab/>
        <w:t xml:space="preserve">La </w:t>
      </w:r>
      <w:r w:rsidRPr="00D406F7">
        <w:rPr>
          <w:b/>
          <w:bCs/>
          <w:lang w:val="fr-CH"/>
        </w:rPr>
        <w:t xml:space="preserve">déléguée des Etats-Unis </w:t>
      </w:r>
      <w:r w:rsidRPr="00D406F7">
        <w:rPr>
          <w:lang w:val="fr-CH"/>
        </w:rPr>
        <w:t>propose d</w:t>
      </w:r>
      <w:r>
        <w:rPr>
          <w:lang w:val="fr-CH"/>
        </w:rPr>
        <w:t>'</w:t>
      </w:r>
      <w:r w:rsidRPr="00D406F7">
        <w:rPr>
          <w:lang w:val="fr-CH"/>
        </w:rPr>
        <w:t xml:space="preserve">inverser les parties </w:t>
      </w:r>
      <w:r w:rsidRPr="00D406F7">
        <w:rPr>
          <w:i/>
          <w:iCs/>
          <w:lang w:val="fr-CH"/>
        </w:rPr>
        <w:t>charge en outre le Conseil</w:t>
      </w:r>
      <w:r w:rsidRPr="00D406F7">
        <w:rPr>
          <w:lang w:val="fr-CH"/>
        </w:rPr>
        <w:t xml:space="preserve"> et </w:t>
      </w:r>
      <w:r w:rsidRPr="00D406F7">
        <w:rPr>
          <w:i/>
          <w:iCs/>
          <w:lang w:val="fr-CH"/>
        </w:rPr>
        <w:t>autorise le Conseil</w:t>
      </w:r>
      <w:r w:rsidRPr="00D406F7">
        <w:rPr>
          <w:lang w:val="fr-CH"/>
        </w:rPr>
        <w:t xml:space="preserve">. </w:t>
      </w:r>
    </w:p>
    <w:p w14:paraId="2D770E5D" w14:textId="565F3F56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5.26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 propose, afin de tenir compte des préoccupations exprimées, de modifier le libellé du </w:t>
      </w:r>
      <w:r w:rsidRPr="00D406F7">
        <w:rPr>
          <w:i/>
          <w:iCs/>
          <w:lang w:val="fr-CH"/>
        </w:rPr>
        <w:t>charge en outre le Conseil</w:t>
      </w:r>
      <w:r w:rsidRPr="00D406F7">
        <w:rPr>
          <w:lang w:val="fr-CH"/>
        </w:rPr>
        <w:t xml:space="preserve">, qui deviendrait </w:t>
      </w:r>
      <w:r>
        <w:rPr>
          <w:lang w:val="fr-CH"/>
        </w:rPr>
        <w:t>"</w:t>
      </w:r>
      <w:r w:rsidRPr="00D406F7">
        <w:rPr>
          <w:lang w:val="fr-CH"/>
        </w:rPr>
        <w:t>de se prononcer sur la question selon qu</w:t>
      </w:r>
      <w:r>
        <w:rPr>
          <w:lang w:val="fr-CH"/>
        </w:rPr>
        <w:t>'</w:t>
      </w:r>
      <w:r w:rsidRPr="00D406F7">
        <w:rPr>
          <w:lang w:val="fr-CH"/>
        </w:rPr>
        <w:t>il conviendra et de faire rapport en conséquence à la prochaine Conférence de plénipotentiaires</w:t>
      </w:r>
      <w:r>
        <w:rPr>
          <w:lang w:val="fr-CH"/>
        </w:rPr>
        <w:t>"</w:t>
      </w:r>
      <w:r w:rsidRPr="00D406F7">
        <w:rPr>
          <w:lang w:val="fr-CH"/>
        </w:rPr>
        <w:t xml:space="preserve">. Le </w:t>
      </w:r>
      <w:r w:rsidRPr="00D406F7">
        <w:rPr>
          <w:b/>
          <w:bCs/>
          <w:lang w:val="fr-CH"/>
        </w:rPr>
        <w:t>délégué du Mali</w:t>
      </w:r>
      <w:r w:rsidRPr="00D406F7">
        <w:rPr>
          <w:lang w:val="fr-CH"/>
        </w:rPr>
        <w:t xml:space="preserve"> appuie cette proposition.</w:t>
      </w:r>
    </w:p>
    <w:p w14:paraId="4B6EC28D" w14:textId="37DA747A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5.27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des Emirats arabes unis</w:t>
      </w:r>
      <w:r w:rsidRPr="00D406F7">
        <w:rPr>
          <w:lang w:val="fr-CH"/>
        </w:rPr>
        <w:t xml:space="preserve"> croit comprendre que le Groupe ad hoc de la Commission 6 créé pour examiner la question avait conclu que la décision finale serait prise à la PP-18.</w:t>
      </w:r>
    </w:p>
    <w:p w14:paraId="732A80F9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5.28</w:t>
      </w:r>
      <w:r w:rsidRPr="00D406F7">
        <w:rPr>
          <w:lang w:val="fr-CH"/>
        </w:rPr>
        <w:tab/>
        <w:t xml:space="preserve">Le </w:t>
      </w:r>
      <w:r w:rsidRPr="00D406F7">
        <w:rPr>
          <w:b/>
          <w:bCs/>
          <w:lang w:val="fr-CH"/>
        </w:rPr>
        <w:t>délégué de la République dominicaine</w:t>
      </w:r>
      <w:r w:rsidRPr="00D406F7">
        <w:rPr>
          <w:lang w:val="fr-CH"/>
        </w:rPr>
        <w:t xml:space="preserve"> appuie la proposition des Etats-Unis. Si les paragraphes étaient inversés, une grande partie </w:t>
      </w:r>
      <w:proofErr w:type="gramStart"/>
      <w:r w:rsidRPr="00D406F7">
        <w:rPr>
          <w:lang w:val="fr-CH"/>
        </w:rPr>
        <w:t>du</w:t>
      </w:r>
      <w:proofErr w:type="gramEnd"/>
      <w:r w:rsidRPr="00D406F7">
        <w:rPr>
          <w:lang w:val="fr-CH"/>
        </w:rPr>
        <w:t xml:space="preserve"> </w:t>
      </w:r>
      <w:r w:rsidRPr="00D406F7">
        <w:rPr>
          <w:i/>
          <w:iCs/>
          <w:lang w:val="fr-CH"/>
        </w:rPr>
        <w:t>charge en outre le Conseil</w:t>
      </w:r>
      <w:r w:rsidRPr="00D406F7">
        <w:rPr>
          <w:lang w:val="fr-CH"/>
        </w:rPr>
        <w:t xml:space="preserve"> serait redondante.</w:t>
      </w:r>
    </w:p>
    <w:p w14:paraId="40A2C3EC" w14:textId="15769FD5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5.29</w:t>
      </w:r>
      <w:r w:rsidRPr="00D406F7">
        <w:rPr>
          <w:lang w:val="fr-CH"/>
        </w:rPr>
        <w:tab/>
        <w:t xml:space="preserve">Après avoir consulté de manière informelle les parties intéressées, </w:t>
      </w:r>
      <w:r w:rsidR="00303E23" w:rsidRPr="00D406F7">
        <w:rPr>
          <w:lang w:val="fr-CH"/>
        </w:rPr>
        <w:t>l</w:t>
      </w:r>
      <w:r w:rsidRPr="00D406F7">
        <w:rPr>
          <w:lang w:val="fr-CH"/>
        </w:rPr>
        <w:t xml:space="preserve">e </w:t>
      </w:r>
      <w:r w:rsidRPr="00D406F7">
        <w:rPr>
          <w:b/>
          <w:bCs/>
          <w:lang w:val="fr-CH"/>
        </w:rPr>
        <w:t>délégué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Espagne</w:t>
      </w:r>
      <w:r w:rsidRPr="00D406F7">
        <w:rPr>
          <w:lang w:val="fr-CH"/>
        </w:rPr>
        <w:t xml:space="preserve">, appuyé par les </w:t>
      </w:r>
      <w:r w:rsidRPr="00D406F7">
        <w:rPr>
          <w:b/>
          <w:bCs/>
          <w:lang w:val="fr-CH"/>
        </w:rPr>
        <w:t>délégués de la République islamique d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Iran</w:t>
      </w:r>
      <w:r w:rsidRPr="00D406F7">
        <w:rPr>
          <w:lang w:val="fr-CH"/>
        </w:rPr>
        <w:t xml:space="preserve">, </w:t>
      </w:r>
      <w:r w:rsidRPr="00D406F7">
        <w:rPr>
          <w:b/>
          <w:bCs/>
          <w:lang w:val="fr-CH"/>
        </w:rPr>
        <w:t>des Emirats arabes unis, de l</w:t>
      </w:r>
      <w:r>
        <w:rPr>
          <w:b/>
          <w:bCs/>
          <w:lang w:val="fr-CH"/>
        </w:rPr>
        <w:t>'</w:t>
      </w:r>
      <w:r w:rsidRPr="00D406F7">
        <w:rPr>
          <w:b/>
          <w:bCs/>
          <w:lang w:val="fr-CH"/>
        </w:rPr>
        <w:t>Allemagne, du Mali</w:t>
      </w:r>
      <w:r w:rsidRPr="00D406F7">
        <w:rPr>
          <w:lang w:val="fr-CH"/>
        </w:rPr>
        <w:t xml:space="preserve"> et </w:t>
      </w:r>
      <w:r w:rsidRPr="00D406F7">
        <w:rPr>
          <w:b/>
          <w:bCs/>
          <w:lang w:val="fr-CH"/>
        </w:rPr>
        <w:t>de la</w:t>
      </w:r>
      <w:r w:rsidRPr="00D406F7">
        <w:rPr>
          <w:lang w:val="fr-CH"/>
        </w:rPr>
        <w:t xml:space="preserve"> </w:t>
      </w:r>
      <w:r w:rsidRPr="00D406F7">
        <w:rPr>
          <w:b/>
          <w:bCs/>
          <w:lang w:val="fr-CH"/>
        </w:rPr>
        <w:t>Tunisie</w:t>
      </w:r>
      <w:r w:rsidRPr="00D406F7">
        <w:rPr>
          <w:lang w:val="fr-CH"/>
        </w:rPr>
        <w:t>, dit qu</w:t>
      </w:r>
      <w:r>
        <w:rPr>
          <w:lang w:val="fr-CH"/>
        </w:rPr>
        <w:t>'</w:t>
      </w:r>
      <w:r w:rsidRPr="00D406F7">
        <w:rPr>
          <w:lang w:val="fr-CH"/>
        </w:rPr>
        <w:t xml:space="preserve">il est proposé de supprimer la partie </w:t>
      </w:r>
      <w:r w:rsidRPr="00D406F7">
        <w:rPr>
          <w:i/>
          <w:iCs/>
          <w:lang w:val="fr-CH"/>
        </w:rPr>
        <w:t>charge en outre le Conseil</w:t>
      </w:r>
      <w:r w:rsidRPr="00D406F7">
        <w:rPr>
          <w:lang w:val="fr-CH"/>
        </w:rPr>
        <w:t xml:space="preserve"> dans son intégralité et d</w:t>
      </w:r>
      <w:r>
        <w:rPr>
          <w:lang w:val="fr-CH"/>
        </w:rPr>
        <w:t>'</w:t>
      </w:r>
      <w:r w:rsidRPr="00D406F7">
        <w:rPr>
          <w:lang w:val="fr-CH"/>
        </w:rPr>
        <w:t xml:space="preserve">ajouter </w:t>
      </w:r>
      <w:r>
        <w:rPr>
          <w:lang w:val="fr-CH"/>
        </w:rPr>
        <w:t>"</w:t>
      </w:r>
      <w:r w:rsidRPr="00D406F7">
        <w:rPr>
          <w:lang w:val="fr-CH"/>
        </w:rPr>
        <w:t>et de faire rapport en conséquence à la prochaine Conférence de plénipotentiaires</w:t>
      </w:r>
      <w:r>
        <w:rPr>
          <w:lang w:val="fr-CH"/>
        </w:rPr>
        <w:t>"</w:t>
      </w:r>
      <w:r w:rsidRPr="00D406F7">
        <w:rPr>
          <w:lang w:val="fr-CH"/>
        </w:rPr>
        <w:t xml:space="preserve"> à la fin du </w:t>
      </w:r>
      <w:r w:rsidRPr="00D406F7">
        <w:rPr>
          <w:i/>
          <w:iCs/>
          <w:lang w:val="fr-CH"/>
        </w:rPr>
        <w:t>autorise le Conseil</w:t>
      </w:r>
      <w:r w:rsidRPr="00D406F7">
        <w:rPr>
          <w:lang w:val="fr-CH"/>
        </w:rPr>
        <w:t xml:space="preserve">. </w:t>
      </w:r>
    </w:p>
    <w:p w14:paraId="3F430B21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5.30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0A0EB507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5.31</w:t>
      </w:r>
      <w:r w:rsidRPr="00D406F7">
        <w:rPr>
          <w:lang w:val="fr-CH"/>
        </w:rPr>
        <w:tab/>
        <w:t>Le projet de Résolution COM6/5 (</w:t>
      </w:r>
      <w:proofErr w:type="spellStart"/>
      <w:r w:rsidRPr="00D406F7">
        <w:rPr>
          <w:lang w:val="fr-CH"/>
        </w:rPr>
        <w:t>Rév</w:t>
      </w:r>
      <w:proofErr w:type="spellEnd"/>
      <w:r w:rsidRPr="00D406F7">
        <w:rPr>
          <w:lang w:val="fr-CH"/>
        </w:rPr>
        <w:t xml:space="preserve">. Busan, 2014) est </w:t>
      </w:r>
      <w:r w:rsidRPr="00D406F7">
        <w:rPr>
          <w:b/>
          <w:bCs/>
          <w:lang w:val="fr-CH"/>
        </w:rPr>
        <w:t>adopté</w:t>
      </w:r>
      <w:r w:rsidRPr="00D406F7">
        <w:rPr>
          <w:lang w:val="fr-CH"/>
        </w:rPr>
        <w:t xml:space="preserve"> tel que modifié.</w:t>
      </w:r>
    </w:p>
    <w:p w14:paraId="71437E52" w14:textId="02DE77E3" w:rsidR="004369B4" w:rsidRPr="007976A8" w:rsidRDefault="004369B4" w:rsidP="00303E23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lastRenderedPageBreak/>
        <w:t xml:space="preserve">SUP Résolution 35 (Kyoto, 1994) – </w:t>
      </w:r>
      <w:bookmarkStart w:id="5" w:name="_Toc165351392"/>
      <w:r w:rsidRPr="007976A8">
        <w:rPr>
          <w:lang w:val="fr-CH"/>
        </w:rPr>
        <w:t>Contribution des télécommunications à la protection de l'environnement</w:t>
      </w:r>
      <w:bookmarkEnd w:id="5"/>
    </w:p>
    <w:p w14:paraId="73E9A6E2" w14:textId="166CABBC" w:rsidR="004369B4" w:rsidRPr="007976A8" w:rsidRDefault="004369B4" w:rsidP="007976A8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t>SUP Résolution 172 (Guadalajara, 2010) – Examen d'ensemble de la mise en œuvre des résultats du Sommet mondial sur la société de l'information</w:t>
      </w:r>
    </w:p>
    <w:p w14:paraId="65B42123" w14:textId="07F35B46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5.32</w:t>
      </w:r>
      <w:r w:rsidRPr="00D406F7">
        <w:rPr>
          <w:lang w:val="fr-CH"/>
        </w:rPr>
        <w:tab/>
      </w:r>
      <w:r w:rsidRPr="007976A8">
        <w:rPr>
          <w:b/>
          <w:bCs/>
          <w:lang w:val="fr-CH"/>
        </w:rPr>
        <w:t>Approuvé</w:t>
      </w:r>
      <w:r w:rsidR="007976A8" w:rsidRPr="007976A8">
        <w:rPr>
          <w:b/>
          <w:bCs/>
          <w:lang w:val="fr-CH"/>
        </w:rPr>
        <w:t>s</w:t>
      </w:r>
      <w:r w:rsidRPr="00D406F7">
        <w:rPr>
          <w:lang w:val="fr-CH"/>
        </w:rPr>
        <w:t>.</w:t>
      </w:r>
    </w:p>
    <w:p w14:paraId="4A68316D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5.33</w:t>
      </w:r>
      <w:r w:rsidRPr="00D406F7">
        <w:rPr>
          <w:lang w:val="fr-CH"/>
        </w:rPr>
        <w:tab/>
        <w:t xml:space="preserve">La onzième série de textes soumis par la Commission de rédaction en première lecture (B11) (Document 159), telle que modifiée, est </w:t>
      </w:r>
      <w:r w:rsidRPr="00D406F7">
        <w:rPr>
          <w:b/>
          <w:bCs/>
          <w:lang w:val="fr-CH"/>
        </w:rPr>
        <w:t>approuvée</w:t>
      </w:r>
      <w:r w:rsidRPr="00D406F7">
        <w:rPr>
          <w:lang w:val="fr-CH"/>
        </w:rPr>
        <w:t>.</w:t>
      </w:r>
    </w:p>
    <w:p w14:paraId="32BB2EB2" w14:textId="77777777" w:rsidR="004369B4" w:rsidRPr="00D406F7" w:rsidRDefault="004369B4" w:rsidP="001A17B4">
      <w:pPr>
        <w:pStyle w:val="Heading1"/>
        <w:rPr>
          <w:lang w:val="fr-CH"/>
        </w:rPr>
      </w:pPr>
      <w:r w:rsidRPr="00D406F7">
        <w:rPr>
          <w:lang w:val="fr-CH"/>
        </w:rPr>
        <w:t>6</w:t>
      </w:r>
      <w:r w:rsidRPr="00D406F7">
        <w:rPr>
          <w:lang w:val="fr-CH"/>
        </w:rPr>
        <w:tab/>
        <w:t>Onzième série de textes soumis par la Commission de rédaction en deuxième lecture (Document 159)</w:t>
      </w:r>
    </w:p>
    <w:p w14:paraId="51FB22CD" w14:textId="424B1E46" w:rsidR="004369B4" w:rsidRPr="007976A8" w:rsidRDefault="004369B4" w:rsidP="00303E23">
      <w:pPr>
        <w:pStyle w:val="Headingb"/>
        <w:ind w:left="0" w:firstLine="0"/>
        <w:rPr>
          <w:lang w:val="fr-CH"/>
        </w:rPr>
      </w:pPr>
      <w:r w:rsidRPr="007976A8">
        <w:rPr>
          <w:lang w:val="fr-CH"/>
        </w:rPr>
        <w:t>Projet de Résolution 182 (</w:t>
      </w:r>
      <w:proofErr w:type="spellStart"/>
      <w:r w:rsidRPr="007976A8">
        <w:rPr>
          <w:lang w:val="fr-CH"/>
        </w:rPr>
        <w:t>Rév</w:t>
      </w:r>
      <w:proofErr w:type="spellEnd"/>
      <w:r w:rsidRPr="007976A8">
        <w:rPr>
          <w:lang w:val="fr-CH"/>
        </w:rPr>
        <w:t>. Busan, 2014) – Rôle des télécommunications/technologies de l'information et de la communication en ce qui concerne les changements climatiques et la protection de l'environnement</w:t>
      </w:r>
    </w:p>
    <w:p w14:paraId="2A72FEE5" w14:textId="3BE72997" w:rsidR="004369B4" w:rsidRPr="00D406F7" w:rsidRDefault="004369B4" w:rsidP="007976A8">
      <w:pPr>
        <w:rPr>
          <w:strike/>
          <w:lang w:val="fr-CH"/>
        </w:rPr>
      </w:pPr>
      <w:r w:rsidRPr="00D406F7">
        <w:rPr>
          <w:lang w:val="fr-CH"/>
        </w:rPr>
        <w:t>6.1</w:t>
      </w:r>
      <w:r w:rsidRPr="00D406F7">
        <w:rPr>
          <w:lang w:val="fr-CH"/>
        </w:rPr>
        <w:tab/>
        <w:t>Le</w:t>
      </w:r>
      <w:r w:rsidRPr="00D406F7">
        <w:rPr>
          <w:b/>
          <w:bCs/>
          <w:lang w:val="fr-CH"/>
        </w:rPr>
        <w:t xml:space="preserve"> délégué du Guyana </w:t>
      </w:r>
      <w:r w:rsidRPr="00D406F7">
        <w:rPr>
          <w:lang w:val="fr-CH"/>
        </w:rPr>
        <w:t>propose de modifier le dernier alinéa du point 1</w:t>
      </w:r>
      <w:r w:rsidR="007976A8">
        <w:rPr>
          <w:lang w:val="fr-CH"/>
        </w:rPr>
        <w:t xml:space="preserve"> </w:t>
      </w:r>
      <w:r w:rsidRPr="00D406F7">
        <w:rPr>
          <w:lang w:val="fr-CH"/>
        </w:rPr>
        <w:t xml:space="preserve">du </w:t>
      </w:r>
      <w:r w:rsidRPr="00D406F7">
        <w:rPr>
          <w:i/>
          <w:iCs/>
          <w:lang w:val="fr-CH"/>
        </w:rPr>
        <w:t xml:space="preserve">charge les </w:t>
      </w:r>
      <w:r w:rsidR="007976A8" w:rsidRPr="00D406F7">
        <w:rPr>
          <w:i/>
          <w:iCs/>
          <w:lang w:val="fr-CH"/>
        </w:rPr>
        <w:t>D</w:t>
      </w:r>
      <w:r w:rsidRPr="00D406F7">
        <w:rPr>
          <w:i/>
          <w:iCs/>
          <w:lang w:val="fr-CH"/>
        </w:rPr>
        <w:t>irecteurs des trois Bureaux, dans le cadre de leur mandat</w:t>
      </w:r>
      <w:r w:rsidRPr="00D406F7">
        <w:rPr>
          <w:lang w:val="fr-CH"/>
        </w:rPr>
        <w:t xml:space="preserve"> comme </w:t>
      </w:r>
      <w:proofErr w:type="gramStart"/>
      <w:r w:rsidRPr="00D406F7">
        <w:rPr>
          <w:lang w:val="fr-CH"/>
        </w:rPr>
        <w:t>suit:</w:t>
      </w:r>
      <w:proofErr w:type="gramEnd"/>
      <w:r w:rsidRPr="00D406F7">
        <w:rPr>
          <w:lang w:val="fr-CH"/>
        </w:rPr>
        <w:t xml:space="preserve"> </w:t>
      </w:r>
      <w:r>
        <w:rPr>
          <w:lang w:val="fr-CH"/>
        </w:rPr>
        <w:t>"</w:t>
      </w:r>
      <w:r w:rsidRPr="00D406F7">
        <w:rPr>
          <w:lang w:val="fr-CH"/>
        </w:rPr>
        <w:t>pour permettre aux télécommunications/TIC de contribuer à la prévision des catastrophes, à l'alerte avancée, à l'atténuation de leurs effets et aux opérations de secours en cas de catastrophe</w:t>
      </w:r>
      <w:r>
        <w:rPr>
          <w:lang w:val="fr-CH"/>
        </w:rPr>
        <w:t>"</w:t>
      </w:r>
      <w:r w:rsidRPr="00D406F7">
        <w:rPr>
          <w:lang w:val="fr-CH"/>
        </w:rPr>
        <w:t xml:space="preserve">. </w:t>
      </w:r>
    </w:p>
    <w:p w14:paraId="18A96AAA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6.2</w:t>
      </w:r>
      <w:r w:rsidRPr="00D406F7">
        <w:rPr>
          <w:lang w:val="fr-CH"/>
        </w:rPr>
        <w:tab/>
        <w:t xml:space="preserve">Il en est ainsi </w:t>
      </w:r>
      <w:r w:rsidRPr="00D406F7">
        <w:rPr>
          <w:b/>
          <w:bCs/>
          <w:lang w:val="fr-CH"/>
        </w:rPr>
        <w:t>décidé</w:t>
      </w:r>
      <w:r w:rsidRPr="00D406F7">
        <w:rPr>
          <w:lang w:val="fr-CH"/>
        </w:rPr>
        <w:t>.</w:t>
      </w:r>
    </w:p>
    <w:p w14:paraId="366DBC92" w14:textId="77777777" w:rsidR="004369B4" w:rsidRPr="00D406F7" w:rsidRDefault="004369B4" w:rsidP="007976A8">
      <w:pPr>
        <w:rPr>
          <w:lang w:val="fr-CH"/>
        </w:rPr>
      </w:pPr>
      <w:r w:rsidRPr="00D406F7">
        <w:rPr>
          <w:lang w:val="fr-CH"/>
        </w:rPr>
        <w:t>6.3</w:t>
      </w:r>
      <w:r w:rsidRPr="00D406F7">
        <w:rPr>
          <w:lang w:val="fr-CH"/>
        </w:rPr>
        <w:tab/>
        <w:t xml:space="preserve">La onzième série de textes soumis par la Commission de rédaction (Document 159), telle que modifiée, est </w:t>
      </w:r>
      <w:r w:rsidRPr="00D406F7">
        <w:rPr>
          <w:b/>
          <w:bCs/>
          <w:lang w:val="fr-CH"/>
        </w:rPr>
        <w:t>approuvée</w:t>
      </w:r>
      <w:r w:rsidRPr="00D406F7">
        <w:rPr>
          <w:lang w:val="fr-CH"/>
        </w:rPr>
        <w:t xml:space="preserve"> en deuxième lecture.</w:t>
      </w:r>
    </w:p>
    <w:p w14:paraId="2AE80B73" w14:textId="77777777" w:rsidR="004369B4" w:rsidRPr="00D406F7" w:rsidRDefault="004369B4" w:rsidP="004369B4">
      <w:pPr>
        <w:spacing w:before="200"/>
        <w:rPr>
          <w:rFonts w:cstheme="majorBidi"/>
          <w:b/>
          <w:bCs/>
          <w:szCs w:val="24"/>
          <w:lang w:val="fr-CH"/>
        </w:rPr>
      </w:pPr>
      <w:r w:rsidRPr="00D406F7">
        <w:rPr>
          <w:rFonts w:cstheme="majorBidi"/>
          <w:b/>
          <w:bCs/>
          <w:szCs w:val="24"/>
          <w:lang w:val="fr-CH"/>
        </w:rPr>
        <w:t>La séance est levée à 12 h 25.</w:t>
      </w:r>
    </w:p>
    <w:p w14:paraId="4D677330" w14:textId="5F7D691D" w:rsidR="001A17B4" w:rsidRPr="00E658D3" w:rsidRDefault="001A17B4" w:rsidP="001A17B4">
      <w:pPr>
        <w:pStyle w:val="Normalpv"/>
        <w:tabs>
          <w:tab w:val="left" w:pos="7088"/>
        </w:tabs>
        <w:spacing w:before="840"/>
        <w:rPr>
          <w:lang w:val="fr-FR"/>
        </w:rPr>
      </w:pPr>
      <w:r w:rsidRPr="00E658D3">
        <w:rPr>
          <w:lang w:val="fr-FR"/>
        </w:rPr>
        <w:t xml:space="preserve">Le Secrétaire </w:t>
      </w:r>
      <w:proofErr w:type="gramStart"/>
      <w:r w:rsidRPr="00E658D3">
        <w:rPr>
          <w:lang w:val="fr-FR"/>
        </w:rPr>
        <w:t>général:</w:t>
      </w:r>
      <w:proofErr w:type="gramEnd"/>
      <w:r w:rsidRPr="00E658D3">
        <w:rPr>
          <w:lang w:val="fr-FR"/>
        </w:rPr>
        <w:tab/>
        <w:t>Le Président:</w:t>
      </w:r>
    </w:p>
    <w:p w14:paraId="14BAE769" w14:textId="43DF1034" w:rsidR="001A17B4" w:rsidRPr="00E658D3" w:rsidRDefault="001A17B4" w:rsidP="001A17B4">
      <w:pPr>
        <w:pStyle w:val="Normalpv"/>
        <w:tabs>
          <w:tab w:val="left" w:pos="7088"/>
        </w:tabs>
        <w:spacing w:before="0"/>
        <w:rPr>
          <w:lang w:val="fr-FR"/>
        </w:rPr>
      </w:pPr>
      <w:r w:rsidRPr="00E658D3">
        <w:rPr>
          <w:lang w:val="fr-FR"/>
        </w:rPr>
        <w:t>H. TOURÉ</w:t>
      </w:r>
      <w:r w:rsidRPr="00E658D3">
        <w:rPr>
          <w:lang w:val="fr-FR"/>
        </w:rPr>
        <w:tab/>
      </w:r>
      <w:r w:rsidRPr="00E658D3">
        <w:rPr>
          <w:lang w:val="fr-FR"/>
        </w:rPr>
        <w:tab/>
      </w:r>
      <w:r w:rsidRPr="00E658D3">
        <w:rPr>
          <w:lang w:val="fr-FR"/>
        </w:rPr>
        <w:tab/>
      </w:r>
      <w:r w:rsidRPr="00E658D3">
        <w:rPr>
          <w:lang w:val="fr-FR"/>
        </w:rPr>
        <w:tab/>
        <w:t>W. MIN</w:t>
      </w:r>
    </w:p>
    <w:p w14:paraId="3CA69660" w14:textId="77777777" w:rsidR="00E658D3" w:rsidRDefault="00E658D3" w:rsidP="00E658D3">
      <w:pPr>
        <w:spacing w:before="200"/>
        <w:rPr>
          <w:lang w:val="fr-FR"/>
        </w:rPr>
      </w:pPr>
    </w:p>
    <w:p w14:paraId="0D4610B5" w14:textId="77777777" w:rsidR="001A17B4" w:rsidRPr="00E658D3" w:rsidRDefault="001A17B4" w:rsidP="00E658D3">
      <w:pPr>
        <w:spacing w:before="200"/>
        <w:rPr>
          <w:rFonts w:asciiTheme="minorHAnsi" w:hAnsiTheme="minorHAnsi"/>
          <w:lang w:val="fr-FR"/>
        </w:rPr>
      </w:pPr>
    </w:p>
    <w:sectPr w:rsidR="001A17B4" w:rsidRPr="00E658D3" w:rsidSect="00361097">
      <w:headerReference w:type="default" r:id="rId15"/>
      <w:footerReference w:type="first" r:id="rId16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99BB" w14:textId="77777777" w:rsidR="00BE0935" w:rsidRDefault="00BE0935">
      <w:r>
        <w:separator/>
      </w:r>
    </w:p>
  </w:endnote>
  <w:endnote w:type="continuationSeparator" w:id="0">
    <w:p w14:paraId="69FBB12D" w14:textId="77777777" w:rsidR="00BE0935" w:rsidRDefault="00BE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BECF7" w14:textId="77777777" w:rsidR="00BE0935" w:rsidRDefault="00BE0935" w:rsidP="002E08D3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B5AF6" w14:textId="77777777" w:rsidR="00BE0935" w:rsidRDefault="00BE0935">
      <w:r>
        <w:t>____________________</w:t>
      </w:r>
    </w:p>
  </w:footnote>
  <w:footnote w:type="continuationSeparator" w:id="0">
    <w:p w14:paraId="7B2DDAD2" w14:textId="77777777" w:rsidR="00BE0935" w:rsidRDefault="00BE0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9B7BE" w14:textId="20A72F0E" w:rsidR="00BE0935" w:rsidRDefault="00BE0935" w:rsidP="004369B4">
    <w:pPr>
      <w:pStyle w:val="Header"/>
    </w:pPr>
    <w:r w:rsidRPr="00CA4BB2">
      <w:rPr>
        <w:rStyle w:val="PageNumber"/>
        <w:sz w:val="20"/>
      </w:rPr>
      <w:fldChar w:fldCharType="begin"/>
    </w:r>
    <w:r w:rsidRPr="00CA4BB2">
      <w:rPr>
        <w:rStyle w:val="PageNumber"/>
        <w:sz w:val="20"/>
      </w:rPr>
      <w:instrText xml:space="preserve"> PAGE </w:instrText>
    </w:r>
    <w:r w:rsidRPr="00CA4BB2">
      <w:rPr>
        <w:rStyle w:val="PageNumber"/>
        <w:sz w:val="20"/>
      </w:rPr>
      <w:fldChar w:fldCharType="separate"/>
    </w:r>
    <w:r w:rsidR="00792E3B">
      <w:rPr>
        <w:rStyle w:val="PageNumber"/>
        <w:noProof/>
        <w:sz w:val="20"/>
      </w:rPr>
      <w:t>3</w:t>
    </w:r>
    <w:r w:rsidRPr="00CA4BB2">
      <w:rPr>
        <w:rStyle w:val="PageNumber"/>
        <w:sz w:val="20"/>
      </w:rPr>
      <w:fldChar w:fldCharType="end"/>
    </w:r>
    <w:r w:rsidR="00792E3B">
      <w:rPr>
        <w:rStyle w:val="PageNumber"/>
        <w:sz w:val="20"/>
      </w:rPr>
      <w:t>/</w:t>
    </w:r>
    <w:r w:rsidR="00792E3B">
      <w:rPr>
        <w:rStyle w:val="PageNumber"/>
        <w:sz w:val="20"/>
      </w:rPr>
      <w:fldChar w:fldCharType="begin"/>
    </w:r>
    <w:r w:rsidR="00792E3B">
      <w:rPr>
        <w:rStyle w:val="PageNumber"/>
        <w:sz w:val="20"/>
      </w:rPr>
      <w:instrText xml:space="preserve"> PAGE   \* MERGEFORMAT </w:instrText>
    </w:r>
    <w:r w:rsidR="00792E3B">
      <w:rPr>
        <w:rStyle w:val="PageNumber"/>
        <w:sz w:val="20"/>
      </w:rPr>
      <w:fldChar w:fldCharType="separate"/>
    </w:r>
    <w:r w:rsidR="00792E3B">
      <w:rPr>
        <w:rStyle w:val="PageNumber"/>
        <w:noProof/>
        <w:sz w:val="20"/>
      </w:rPr>
      <w:t>3</w:t>
    </w:r>
    <w:r w:rsidR="00792E3B">
      <w:rPr>
        <w:rStyle w:val="PageNumber"/>
        <w:sz w:val="20"/>
      </w:rPr>
      <w:fldChar w:fldCharType="end"/>
    </w:r>
    <w:r w:rsidRPr="00CA4BB2">
      <w:rPr>
        <w:rStyle w:val="PageNumber"/>
        <w:sz w:val="20"/>
      </w:rPr>
      <w:br/>
      <w:t>PP-14/17</w:t>
    </w:r>
    <w:r>
      <w:rPr>
        <w:rStyle w:val="PageNumber"/>
        <w:sz w:val="20"/>
      </w:rPr>
      <w:t>3-F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0DC5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021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8A3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C42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12E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40A3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8D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823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A60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F80A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23590"/>
    <w:multiLevelType w:val="hybridMultilevel"/>
    <w:tmpl w:val="4120D086"/>
    <w:lvl w:ilvl="0" w:tplc="345C1B3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F44E9"/>
    <w:multiLevelType w:val="hybridMultilevel"/>
    <w:tmpl w:val="BFFA8C0C"/>
    <w:lvl w:ilvl="0" w:tplc="29FCF7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A0721"/>
    <w:multiLevelType w:val="hybridMultilevel"/>
    <w:tmpl w:val="3CDC31EC"/>
    <w:lvl w:ilvl="0" w:tplc="29FCF7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06403"/>
    <w:multiLevelType w:val="hybridMultilevel"/>
    <w:tmpl w:val="1FA0A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9138E"/>
    <w:multiLevelType w:val="hybridMultilevel"/>
    <w:tmpl w:val="1FA0A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44F80"/>
    <w:multiLevelType w:val="hybridMultilevel"/>
    <w:tmpl w:val="244E3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13DA4"/>
    <w:multiLevelType w:val="hybridMultilevel"/>
    <w:tmpl w:val="3AE8324A"/>
    <w:lvl w:ilvl="0" w:tplc="29FCF7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C2E84"/>
    <w:multiLevelType w:val="hybridMultilevel"/>
    <w:tmpl w:val="4196A74C"/>
    <w:lvl w:ilvl="0" w:tplc="31DEA2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72AD5"/>
    <w:multiLevelType w:val="hybridMultilevel"/>
    <w:tmpl w:val="CC7AECEC"/>
    <w:lvl w:ilvl="0" w:tplc="29FCF7E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5"/>
  </w:num>
  <w:num w:numId="5">
    <w:abstractNumId w:val="18"/>
  </w:num>
  <w:num w:numId="6">
    <w:abstractNumId w:val="16"/>
  </w:num>
  <w:num w:numId="7">
    <w:abstractNumId w:val="12"/>
  </w:num>
  <w:num w:numId="8">
    <w:abstractNumId w:val="11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3C6A"/>
    <w:rsid w:val="00003EB3"/>
    <w:rsid w:val="000048E4"/>
    <w:rsid w:val="00010B2A"/>
    <w:rsid w:val="00011208"/>
    <w:rsid w:val="000143FA"/>
    <w:rsid w:val="00014808"/>
    <w:rsid w:val="00015E97"/>
    <w:rsid w:val="000214F1"/>
    <w:rsid w:val="000218BA"/>
    <w:rsid w:val="000335DF"/>
    <w:rsid w:val="00043F57"/>
    <w:rsid w:val="00056587"/>
    <w:rsid w:val="000573B7"/>
    <w:rsid w:val="00057439"/>
    <w:rsid w:val="00064EC4"/>
    <w:rsid w:val="00075EBC"/>
    <w:rsid w:val="0008212A"/>
    <w:rsid w:val="00082EB9"/>
    <w:rsid w:val="000851E3"/>
    <w:rsid w:val="0008540E"/>
    <w:rsid w:val="000927FC"/>
    <w:rsid w:val="00094B4F"/>
    <w:rsid w:val="00095209"/>
    <w:rsid w:val="00095381"/>
    <w:rsid w:val="000A1015"/>
    <w:rsid w:val="000A2C06"/>
    <w:rsid w:val="000A4844"/>
    <w:rsid w:val="000B03F9"/>
    <w:rsid w:val="000B0A77"/>
    <w:rsid w:val="000B0D6C"/>
    <w:rsid w:val="000B1101"/>
    <w:rsid w:val="000B15A2"/>
    <w:rsid w:val="000B5BB9"/>
    <w:rsid w:val="000B5E72"/>
    <w:rsid w:val="000B7152"/>
    <w:rsid w:val="000C4701"/>
    <w:rsid w:val="000D08B8"/>
    <w:rsid w:val="000D32DF"/>
    <w:rsid w:val="000D45F8"/>
    <w:rsid w:val="000E1758"/>
    <w:rsid w:val="000E1DB1"/>
    <w:rsid w:val="000E4C7A"/>
    <w:rsid w:val="000E5E15"/>
    <w:rsid w:val="000E7035"/>
    <w:rsid w:val="000E7361"/>
    <w:rsid w:val="000F1753"/>
    <w:rsid w:val="000F5A9A"/>
    <w:rsid w:val="000F73D1"/>
    <w:rsid w:val="001001C5"/>
    <w:rsid w:val="00105739"/>
    <w:rsid w:val="00105EFE"/>
    <w:rsid w:val="00106777"/>
    <w:rsid w:val="0011489E"/>
    <w:rsid w:val="00114BA3"/>
    <w:rsid w:val="00115DEC"/>
    <w:rsid w:val="00123F09"/>
    <w:rsid w:val="001344A8"/>
    <w:rsid w:val="00134EC9"/>
    <w:rsid w:val="00136175"/>
    <w:rsid w:val="00140FF0"/>
    <w:rsid w:val="00143550"/>
    <w:rsid w:val="00143732"/>
    <w:rsid w:val="0014400C"/>
    <w:rsid w:val="00146057"/>
    <w:rsid w:val="00147599"/>
    <w:rsid w:val="0015112E"/>
    <w:rsid w:val="00151A05"/>
    <w:rsid w:val="001523C3"/>
    <w:rsid w:val="00152AC3"/>
    <w:rsid w:val="00155FF4"/>
    <w:rsid w:val="0016258D"/>
    <w:rsid w:val="00162AAC"/>
    <w:rsid w:val="00164602"/>
    <w:rsid w:val="0016633C"/>
    <w:rsid w:val="00167895"/>
    <w:rsid w:val="00170126"/>
    <w:rsid w:val="00171990"/>
    <w:rsid w:val="00172258"/>
    <w:rsid w:val="00176922"/>
    <w:rsid w:val="00180194"/>
    <w:rsid w:val="00183E1F"/>
    <w:rsid w:val="00195B70"/>
    <w:rsid w:val="001961C1"/>
    <w:rsid w:val="00197C23"/>
    <w:rsid w:val="001A0EEB"/>
    <w:rsid w:val="001A16ED"/>
    <w:rsid w:val="001A17B4"/>
    <w:rsid w:val="001A2DA9"/>
    <w:rsid w:val="001A5E36"/>
    <w:rsid w:val="001A6F7A"/>
    <w:rsid w:val="001B18AB"/>
    <w:rsid w:val="001B24BD"/>
    <w:rsid w:val="001B70D1"/>
    <w:rsid w:val="001C3804"/>
    <w:rsid w:val="001D1A0C"/>
    <w:rsid w:val="001D3322"/>
    <w:rsid w:val="001D41B6"/>
    <w:rsid w:val="001E01A5"/>
    <w:rsid w:val="001E18AB"/>
    <w:rsid w:val="001E1C8F"/>
    <w:rsid w:val="001E65ED"/>
    <w:rsid w:val="001E7308"/>
    <w:rsid w:val="001F1FB6"/>
    <w:rsid w:val="002005A5"/>
    <w:rsid w:val="002042F1"/>
    <w:rsid w:val="00206EFA"/>
    <w:rsid w:val="002115E0"/>
    <w:rsid w:val="002132EC"/>
    <w:rsid w:val="0021660D"/>
    <w:rsid w:val="00217697"/>
    <w:rsid w:val="00232B31"/>
    <w:rsid w:val="00235A3B"/>
    <w:rsid w:val="00241870"/>
    <w:rsid w:val="00242B62"/>
    <w:rsid w:val="00243BE4"/>
    <w:rsid w:val="00245562"/>
    <w:rsid w:val="0024622A"/>
    <w:rsid w:val="002548A1"/>
    <w:rsid w:val="00257188"/>
    <w:rsid w:val="002578B4"/>
    <w:rsid w:val="00264CED"/>
    <w:rsid w:val="00267D12"/>
    <w:rsid w:val="00270ECF"/>
    <w:rsid w:val="00272ABD"/>
    <w:rsid w:val="00273CB9"/>
    <w:rsid w:val="00277310"/>
    <w:rsid w:val="00281792"/>
    <w:rsid w:val="0028799E"/>
    <w:rsid w:val="002901FB"/>
    <w:rsid w:val="002962A8"/>
    <w:rsid w:val="002A0EE3"/>
    <w:rsid w:val="002A4DBF"/>
    <w:rsid w:val="002A5440"/>
    <w:rsid w:val="002A56C0"/>
    <w:rsid w:val="002B114D"/>
    <w:rsid w:val="002B2D30"/>
    <w:rsid w:val="002B37B7"/>
    <w:rsid w:val="002B4ECD"/>
    <w:rsid w:val="002C3A09"/>
    <w:rsid w:val="002D70C1"/>
    <w:rsid w:val="002D7578"/>
    <w:rsid w:val="002E08D3"/>
    <w:rsid w:val="002E43A6"/>
    <w:rsid w:val="002E4B3A"/>
    <w:rsid w:val="002F097E"/>
    <w:rsid w:val="002F125B"/>
    <w:rsid w:val="002F36B9"/>
    <w:rsid w:val="002F4E43"/>
    <w:rsid w:val="002F5FA2"/>
    <w:rsid w:val="003007D3"/>
    <w:rsid w:val="00301D11"/>
    <w:rsid w:val="00303E23"/>
    <w:rsid w:val="00310AE8"/>
    <w:rsid w:val="003126B0"/>
    <w:rsid w:val="00314127"/>
    <w:rsid w:val="00314C12"/>
    <w:rsid w:val="0032120A"/>
    <w:rsid w:val="00322EB4"/>
    <w:rsid w:val="00323951"/>
    <w:rsid w:val="003256D8"/>
    <w:rsid w:val="003261C3"/>
    <w:rsid w:val="00327F10"/>
    <w:rsid w:val="00342EF6"/>
    <w:rsid w:val="003453DA"/>
    <w:rsid w:val="00347512"/>
    <w:rsid w:val="00351F49"/>
    <w:rsid w:val="003524CD"/>
    <w:rsid w:val="00354470"/>
    <w:rsid w:val="003565DE"/>
    <w:rsid w:val="00357754"/>
    <w:rsid w:val="003578E4"/>
    <w:rsid w:val="00361097"/>
    <w:rsid w:val="0036383E"/>
    <w:rsid w:val="00373A0D"/>
    <w:rsid w:val="00375076"/>
    <w:rsid w:val="00375BBA"/>
    <w:rsid w:val="00393A1C"/>
    <w:rsid w:val="00395CE4"/>
    <w:rsid w:val="00397821"/>
    <w:rsid w:val="003A44DB"/>
    <w:rsid w:val="003A5FFB"/>
    <w:rsid w:val="003A7FB6"/>
    <w:rsid w:val="003B0F3A"/>
    <w:rsid w:val="003B3751"/>
    <w:rsid w:val="003B47D5"/>
    <w:rsid w:val="003C2683"/>
    <w:rsid w:val="003C2771"/>
    <w:rsid w:val="003E275D"/>
    <w:rsid w:val="003E7663"/>
    <w:rsid w:val="003F0763"/>
    <w:rsid w:val="003F5771"/>
    <w:rsid w:val="003F74E6"/>
    <w:rsid w:val="00400081"/>
    <w:rsid w:val="00401216"/>
    <w:rsid w:val="004014B0"/>
    <w:rsid w:val="004040D9"/>
    <w:rsid w:val="00404352"/>
    <w:rsid w:val="004059B0"/>
    <w:rsid w:val="00406655"/>
    <w:rsid w:val="00407D15"/>
    <w:rsid w:val="00424AB6"/>
    <w:rsid w:val="00425032"/>
    <w:rsid w:val="0042506E"/>
    <w:rsid w:val="00426AC1"/>
    <w:rsid w:val="00427CBA"/>
    <w:rsid w:val="004321DC"/>
    <w:rsid w:val="00433C00"/>
    <w:rsid w:val="00435AA4"/>
    <w:rsid w:val="00435EA8"/>
    <w:rsid w:val="004360BB"/>
    <w:rsid w:val="004369B4"/>
    <w:rsid w:val="00442A9F"/>
    <w:rsid w:val="00445A64"/>
    <w:rsid w:val="00446381"/>
    <w:rsid w:val="0045042B"/>
    <w:rsid w:val="0045533C"/>
    <w:rsid w:val="00455C29"/>
    <w:rsid w:val="00457058"/>
    <w:rsid w:val="00457866"/>
    <w:rsid w:val="00460568"/>
    <w:rsid w:val="004606DA"/>
    <w:rsid w:val="00463092"/>
    <w:rsid w:val="004662AB"/>
    <w:rsid w:val="004664A0"/>
    <w:rsid w:val="004676C0"/>
    <w:rsid w:val="00473998"/>
    <w:rsid w:val="00474E00"/>
    <w:rsid w:val="0047728B"/>
    <w:rsid w:val="00477E45"/>
    <w:rsid w:val="004835DB"/>
    <w:rsid w:val="00491D2D"/>
    <w:rsid w:val="00494315"/>
    <w:rsid w:val="00494797"/>
    <w:rsid w:val="00496D49"/>
    <w:rsid w:val="00497DAE"/>
    <w:rsid w:val="004A32E7"/>
    <w:rsid w:val="004A4389"/>
    <w:rsid w:val="004A7179"/>
    <w:rsid w:val="004B0C10"/>
    <w:rsid w:val="004C19D7"/>
    <w:rsid w:val="004C297B"/>
    <w:rsid w:val="004C4DB0"/>
    <w:rsid w:val="004C73C9"/>
    <w:rsid w:val="004D004E"/>
    <w:rsid w:val="004E01FA"/>
    <w:rsid w:val="004E52A7"/>
    <w:rsid w:val="004E580E"/>
    <w:rsid w:val="004E6764"/>
    <w:rsid w:val="004F041D"/>
    <w:rsid w:val="004F1C55"/>
    <w:rsid w:val="00504FE5"/>
    <w:rsid w:val="005053ED"/>
    <w:rsid w:val="00507348"/>
    <w:rsid w:val="005076E0"/>
    <w:rsid w:val="00516E60"/>
    <w:rsid w:val="00521A24"/>
    <w:rsid w:val="00522C97"/>
    <w:rsid w:val="00525908"/>
    <w:rsid w:val="0052712C"/>
    <w:rsid w:val="005356FD"/>
    <w:rsid w:val="005356FF"/>
    <w:rsid w:val="00535A70"/>
    <w:rsid w:val="00536452"/>
    <w:rsid w:val="00540485"/>
    <w:rsid w:val="00547D75"/>
    <w:rsid w:val="00550570"/>
    <w:rsid w:val="00551471"/>
    <w:rsid w:val="00551C8B"/>
    <w:rsid w:val="00554E24"/>
    <w:rsid w:val="00555A0F"/>
    <w:rsid w:val="00556FDE"/>
    <w:rsid w:val="00557172"/>
    <w:rsid w:val="00560DE2"/>
    <w:rsid w:val="0056428C"/>
    <w:rsid w:val="00565D32"/>
    <w:rsid w:val="00567130"/>
    <w:rsid w:val="00567DB5"/>
    <w:rsid w:val="0057034B"/>
    <w:rsid w:val="0057711B"/>
    <w:rsid w:val="005810E3"/>
    <w:rsid w:val="00581E8F"/>
    <w:rsid w:val="00586A98"/>
    <w:rsid w:val="00587B29"/>
    <w:rsid w:val="005926A1"/>
    <w:rsid w:val="005927A4"/>
    <w:rsid w:val="00594587"/>
    <w:rsid w:val="00596AFA"/>
    <w:rsid w:val="00596B48"/>
    <w:rsid w:val="005A5770"/>
    <w:rsid w:val="005B10E8"/>
    <w:rsid w:val="005B4D5A"/>
    <w:rsid w:val="005B5026"/>
    <w:rsid w:val="005C3315"/>
    <w:rsid w:val="005D1392"/>
    <w:rsid w:val="005D3009"/>
    <w:rsid w:val="005D3A30"/>
    <w:rsid w:val="005E1CC3"/>
    <w:rsid w:val="005F05C8"/>
    <w:rsid w:val="00604079"/>
    <w:rsid w:val="0060437F"/>
    <w:rsid w:val="006107BB"/>
    <w:rsid w:val="00617BE4"/>
    <w:rsid w:val="00620233"/>
    <w:rsid w:val="00640419"/>
    <w:rsid w:val="006404B0"/>
    <w:rsid w:val="006412B9"/>
    <w:rsid w:val="00652375"/>
    <w:rsid w:val="00663617"/>
    <w:rsid w:val="0066499C"/>
    <w:rsid w:val="006650C4"/>
    <w:rsid w:val="00675E58"/>
    <w:rsid w:val="0069342D"/>
    <w:rsid w:val="006A7108"/>
    <w:rsid w:val="006B40DA"/>
    <w:rsid w:val="006C50EF"/>
    <w:rsid w:val="006C5D5D"/>
    <w:rsid w:val="006D72DA"/>
    <w:rsid w:val="006D76D1"/>
    <w:rsid w:val="006E215D"/>
    <w:rsid w:val="006E4EA9"/>
    <w:rsid w:val="006E57C8"/>
    <w:rsid w:val="006E70E1"/>
    <w:rsid w:val="006F196E"/>
    <w:rsid w:val="006F51FE"/>
    <w:rsid w:val="006F565E"/>
    <w:rsid w:val="0070082D"/>
    <w:rsid w:val="0070102E"/>
    <w:rsid w:val="00701715"/>
    <w:rsid w:val="00701ABB"/>
    <w:rsid w:val="00703298"/>
    <w:rsid w:val="007054DE"/>
    <w:rsid w:val="00711035"/>
    <w:rsid w:val="007130ED"/>
    <w:rsid w:val="007140CF"/>
    <w:rsid w:val="0071582A"/>
    <w:rsid w:val="00722595"/>
    <w:rsid w:val="007261C8"/>
    <w:rsid w:val="00730990"/>
    <w:rsid w:val="0073319E"/>
    <w:rsid w:val="00733C8A"/>
    <w:rsid w:val="00735652"/>
    <w:rsid w:val="00736A5D"/>
    <w:rsid w:val="007376C4"/>
    <w:rsid w:val="00737F2E"/>
    <w:rsid w:val="00741956"/>
    <w:rsid w:val="00745A37"/>
    <w:rsid w:val="00746924"/>
    <w:rsid w:val="007470B3"/>
    <w:rsid w:val="00750829"/>
    <w:rsid w:val="007538C9"/>
    <w:rsid w:val="00753F63"/>
    <w:rsid w:val="007542C4"/>
    <w:rsid w:val="00755067"/>
    <w:rsid w:val="00755FF3"/>
    <w:rsid w:val="007561B6"/>
    <w:rsid w:val="00756CFC"/>
    <w:rsid w:val="00762791"/>
    <w:rsid w:val="007649DA"/>
    <w:rsid w:val="00765553"/>
    <w:rsid w:val="00767280"/>
    <w:rsid w:val="00777B8B"/>
    <w:rsid w:val="00791712"/>
    <w:rsid w:val="00792833"/>
    <w:rsid w:val="00792E3B"/>
    <w:rsid w:val="00794795"/>
    <w:rsid w:val="007949EA"/>
    <w:rsid w:val="00794C88"/>
    <w:rsid w:val="00796849"/>
    <w:rsid w:val="007976A8"/>
    <w:rsid w:val="007A20B2"/>
    <w:rsid w:val="007A3050"/>
    <w:rsid w:val="007A59C3"/>
    <w:rsid w:val="007B0E06"/>
    <w:rsid w:val="007B30FC"/>
    <w:rsid w:val="007C03E0"/>
    <w:rsid w:val="007C3643"/>
    <w:rsid w:val="007D1F4E"/>
    <w:rsid w:val="007D2ADD"/>
    <w:rsid w:val="007D5A8D"/>
    <w:rsid w:val="007E00D2"/>
    <w:rsid w:val="007E2AD4"/>
    <w:rsid w:val="007E646F"/>
    <w:rsid w:val="007F230C"/>
    <w:rsid w:val="007F32F6"/>
    <w:rsid w:val="007F4630"/>
    <w:rsid w:val="007F5554"/>
    <w:rsid w:val="00803133"/>
    <w:rsid w:val="008076F7"/>
    <w:rsid w:val="008117CC"/>
    <w:rsid w:val="00815300"/>
    <w:rsid w:val="00817215"/>
    <w:rsid w:val="008219AB"/>
    <w:rsid w:val="008263C6"/>
    <w:rsid w:val="008272EE"/>
    <w:rsid w:val="0082780C"/>
    <w:rsid w:val="00831716"/>
    <w:rsid w:val="008333C7"/>
    <w:rsid w:val="00833E0F"/>
    <w:rsid w:val="0083654C"/>
    <w:rsid w:val="00836F3E"/>
    <w:rsid w:val="008404FD"/>
    <w:rsid w:val="00843BCA"/>
    <w:rsid w:val="00844BA8"/>
    <w:rsid w:val="00846DBA"/>
    <w:rsid w:val="00847767"/>
    <w:rsid w:val="00847DCB"/>
    <w:rsid w:val="00850AEF"/>
    <w:rsid w:val="00851042"/>
    <w:rsid w:val="00860C6A"/>
    <w:rsid w:val="00861F27"/>
    <w:rsid w:val="00862891"/>
    <w:rsid w:val="0087376A"/>
    <w:rsid w:val="00873A8F"/>
    <w:rsid w:val="00875048"/>
    <w:rsid w:val="00875BE1"/>
    <w:rsid w:val="008774EF"/>
    <w:rsid w:val="00877715"/>
    <w:rsid w:val="00880CE1"/>
    <w:rsid w:val="0088224F"/>
    <w:rsid w:val="008926A1"/>
    <w:rsid w:val="00892CA4"/>
    <w:rsid w:val="00895CE3"/>
    <w:rsid w:val="0089603F"/>
    <w:rsid w:val="008960F0"/>
    <w:rsid w:val="00896DA5"/>
    <w:rsid w:val="00897970"/>
    <w:rsid w:val="008A0B99"/>
    <w:rsid w:val="008A41AA"/>
    <w:rsid w:val="008A43F7"/>
    <w:rsid w:val="008B1DED"/>
    <w:rsid w:val="008B4E96"/>
    <w:rsid w:val="008B5A71"/>
    <w:rsid w:val="008C1A26"/>
    <w:rsid w:val="008C475A"/>
    <w:rsid w:val="008C564E"/>
    <w:rsid w:val="008D20CF"/>
    <w:rsid w:val="008D3BE2"/>
    <w:rsid w:val="008D4D98"/>
    <w:rsid w:val="008D79B3"/>
    <w:rsid w:val="008E0400"/>
    <w:rsid w:val="008E2A7B"/>
    <w:rsid w:val="008E2FA9"/>
    <w:rsid w:val="008E3926"/>
    <w:rsid w:val="008E6E9B"/>
    <w:rsid w:val="008F0F53"/>
    <w:rsid w:val="008F2C56"/>
    <w:rsid w:val="008F34E8"/>
    <w:rsid w:val="008F3C99"/>
    <w:rsid w:val="008F4E36"/>
    <w:rsid w:val="00900D5B"/>
    <w:rsid w:val="00901613"/>
    <w:rsid w:val="00912F47"/>
    <w:rsid w:val="00913618"/>
    <w:rsid w:val="009214C6"/>
    <w:rsid w:val="009226DA"/>
    <w:rsid w:val="009236FE"/>
    <w:rsid w:val="009323F8"/>
    <w:rsid w:val="00940E00"/>
    <w:rsid w:val="00941EAC"/>
    <w:rsid w:val="009428F4"/>
    <w:rsid w:val="009438EA"/>
    <w:rsid w:val="00945D4B"/>
    <w:rsid w:val="00946818"/>
    <w:rsid w:val="00950E0F"/>
    <w:rsid w:val="00955D27"/>
    <w:rsid w:val="00957A94"/>
    <w:rsid w:val="00962DD4"/>
    <w:rsid w:val="009630FA"/>
    <w:rsid w:val="00964A6F"/>
    <w:rsid w:val="00965E84"/>
    <w:rsid w:val="00967103"/>
    <w:rsid w:val="00967670"/>
    <w:rsid w:val="00970996"/>
    <w:rsid w:val="00972218"/>
    <w:rsid w:val="009800CC"/>
    <w:rsid w:val="00980E5E"/>
    <w:rsid w:val="009827B9"/>
    <w:rsid w:val="00982AE2"/>
    <w:rsid w:val="009901B1"/>
    <w:rsid w:val="009A078E"/>
    <w:rsid w:val="009A145E"/>
    <w:rsid w:val="009A2300"/>
    <w:rsid w:val="009A2B30"/>
    <w:rsid w:val="009A4211"/>
    <w:rsid w:val="009A446F"/>
    <w:rsid w:val="009A47A2"/>
    <w:rsid w:val="009A52E0"/>
    <w:rsid w:val="009B4377"/>
    <w:rsid w:val="009B68AA"/>
    <w:rsid w:val="009C2BD5"/>
    <w:rsid w:val="009D0CA7"/>
    <w:rsid w:val="009D1907"/>
    <w:rsid w:val="009E425E"/>
    <w:rsid w:val="009E4322"/>
    <w:rsid w:val="009E6210"/>
    <w:rsid w:val="009F4384"/>
    <w:rsid w:val="009F442D"/>
    <w:rsid w:val="009F50DA"/>
    <w:rsid w:val="009F5762"/>
    <w:rsid w:val="009F77C3"/>
    <w:rsid w:val="00A00C41"/>
    <w:rsid w:val="00A0557B"/>
    <w:rsid w:val="00A06D56"/>
    <w:rsid w:val="00A17460"/>
    <w:rsid w:val="00A24EBE"/>
    <w:rsid w:val="00A30134"/>
    <w:rsid w:val="00A314A2"/>
    <w:rsid w:val="00A35B2A"/>
    <w:rsid w:val="00A4439D"/>
    <w:rsid w:val="00A47EC1"/>
    <w:rsid w:val="00A50A38"/>
    <w:rsid w:val="00A51663"/>
    <w:rsid w:val="00A5242E"/>
    <w:rsid w:val="00A619C5"/>
    <w:rsid w:val="00A61FBE"/>
    <w:rsid w:val="00A7077D"/>
    <w:rsid w:val="00A808E1"/>
    <w:rsid w:val="00A8262F"/>
    <w:rsid w:val="00A84B32"/>
    <w:rsid w:val="00A84B3A"/>
    <w:rsid w:val="00A9237A"/>
    <w:rsid w:val="00A93B71"/>
    <w:rsid w:val="00A94AB7"/>
    <w:rsid w:val="00AA0065"/>
    <w:rsid w:val="00AA2010"/>
    <w:rsid w:val="00AA21B0"/>
    <w:rsid w:val="00AB0B32"/>
    <w:rsid w:val="00AB318A"/>
    <w:rsid w:val="00AB495B"/>
    <w:rsid w:val="00AB5C39"/>
    <w:rsid w:val="00AB6B44"/>
    <w:rsid w:val="00AB75A9"/>
    <w:rsid w:val="00AC2692"/>
    <w:rsid w:val="00AD0F3F"/>
    <w:rsid w:val="00AD1C5C"/>
    <w:rsid w:val="00AD566F"/>
    <w:rsid w:val="00AD61C4"/>
    <w:rsid w:val="00AE4E76"/>
    <w:rsid w:val="00AF1E28"/>
    <w:rsid w:val="00AF43E8"/>
    <w:rsid w:val="00AF567B"/>
    <w:rsid w:val="00B14B4F"/>
    <w:rsid w:val="00B1615B"/>
    <w:rsid w:val="00B1733E"/>
    <w:rsid w:val="00B203DA"/>
    <w:rsid w:val="00B25A86"/>
    <w:rsid w:val="00B304B9"/>
    <w:rsid w:val="00B30CA0"/>
    <w:rsid w:val="00B335EF"/>
    <w:rsid w:val="00B35E47"/>
    <w:rsid w:val="00B4062E"/>
    <w:rsid w:val="00B55E1A"/>
    <w:rsid w:val="00B57988"/>
    <w:rsid w:val="00B62032"/>
    <w:rsid w:val="00B63BB9"/>
    <w:rsid w:val="00B6452E"/>
    <w:rsid w:val="00B65F8C"/>
    <w:rsid w:val="00B7263B"/>
    <w:rsid w:val="00B73F47"/>
    <w:rsid w:val="00B7638A"/>
    <w:rsid w:val="00B80DF9"/>
    <w:rsid w:val="00B840D8"/>
    <w:rsid w:val="00B84410"/>
    <w:rsid w:val="00B86535"/>
    <w:rsid w:val="00B91CCD"/>
    <w:rsid w:val="00B92A7D"/>
    <w:rsid w:val="00B93CE4"/>
    <w:rsid w:val="00B96467"/>
    <w:rsid w:val="00BA154E"/>
    <w:rsid w:val="00BA2BB3"/>
    <w:rsid w:val="00BA37CE"/>
    <w:rsid w:val="00BA4692"/>
    <w:rsid w:val="00BA6986"/>
    <w:rsid w:val="00BC270D"/>
    <w:rsid w:val="00BC37B4"/>
    <w:rsid w:val="00BC6FDB"/>
    <w:rsid w:val="00BC71F7"/>
    <w:rsid w:val="00BC7DE8"/>
    <w:rsid w:val="00BD08C9"/>
    <w:rsid w:val="00BD1F95"/>
    <w:rsid w:val="00BD49E1"/>
    <w:rsid w:val="00BE0935"/>
    <w:rsid w:val="00BE0966"/>
    <w:rsid w:val="00BE7C70"/>
    <w:rsid w:val="00BF0499"/>
    <w:rsid w:val="00BF43BA"/>
    <w:rsid w:val="00BF4E15"/>
    <w:rsid w:val="00BF5722"/>
    <w:rsid w:val="00BF5DC6"/>
    <w:rsid w:val="00BF6268"/>
    <w:rsid w:val="00BF720B"/>
    <w:rsid w:val="00C04511"/>
    <w:rsid w:val="00C12720"/>
    <w:rsid w:val="00C13C68"/>
    <w:rsid w:val="00C15D97"/>
    <w:rsid w:val="00C163DA"/>
    <w:rsid w:val="00C16846"/>
    <w:rsid w:val="00C17B2C"/>
    <w:rsid w:val="00C27EAB"/>
    <w:rsid w:val="00C3012D"/>
    <w:rsid w:val="00C34851"/>
    <w:rsid w:val="00C35940"/>
    <w:rsid w:val="00C42A5B"/>
    <w:rsid w:val="00C42F57"/>
    <w:rsid w:val="00C431BA"/>
    <w:rsid w:val="00C44535"/>
    <w:rsid w:val="00C452CB"/>
    <w:rsid w:val="00C45FD8"/>
    <w:rsid w:val="00C56038"/>
    <w:rsid w:val="00C62C6D"/>
    <w:rsid w:val="00C631D5"/>
    <w:rsid w:val="00C64141"/>
    <w:rsid w:val="00C6431E"/>
    <w:rsid w:val="00C72664"/>
    <w:rsid w:val="00C801C6"/>
    <w:rsid w:val="00C813AE"/>
    <w:rsid w:val="00C81E45"/>
    <w:rsid w:val="00C86F24"/>
    <w:rsid w:val="00C91344"/>
    <w:rsid w:val="00C97522"/>
    <w:rsid w:val="00CA38C9"/>
    <w:rsid w:val="00CA3DEB"/>
    <w:rsid w:val="00CA4A62"/>
    <w:rsid w:val="00CB0A64"/>
    <w:rsid w:val="00CB1AD0"/>
    <w:rsid w:val="00CB477D"/>
    <w:rsid w:val="00CB4984"/>
    <w:rsid w:val="00CB5DD7"/>
    <w:rsid w:val="00CB77D5"/>
    <w:rsid w:val="00CC14F0"/>
    <w:rsid w:val="00CC5A13"/>
    <w:rsid w:val="00CC6B4B"/>
    <w:rsid w:val="00CE3B0F"/>
    <w:rsid w:val="00CE40BB"/>
    <w:rsid w:val="00CF06A8"/>
    <w:rsid w:val="00CF0703"/>
    <w:rsid w:val="00CF1C71"/>
    <w:rsid w:val="00CF613F"/>
    <w:rsid w:val="00D00544"/>
    <w:rsid w:val="00D0068D"/>
    <w:rsid w:val="00D047F1"/>
    <w:rsid w:val="00D07696"/>
    <w:rsid w:val="00D077AB"/>
    <w:rsid w:val="00D11956"/>
    <w:rsid w:val="00D13990"/>
    <w:rsid w:val="00D15A98"/>
    <w:rsid w:val="00D26BAF"/>
    <w:rsid w:val="00D272EC"/>
    <w:rsid w:val="00D31AC2"/>
    <w:rsid w:val="00D44703"/>
    <w:rsid w:val="00D44C64"/>
    <w:rsid w:val="00D500DC"/>
    <w:rsid w:val="00D5041F"/>
    <w:rsid w:val="00D50CEB"/>
    <w:rsid w:val="00D53594"/>
    <w:rsid w:val="00D54B39"/>
    <w:rsid w:val="00D62A3A"/>
    <w:rsid w:val="00D64FF3"/>
    <w:rsid w:val="00D65784"/>
    <w:rsid w:val="00D657A2"/>
    <w:rsid w:val="00D7120B"/>
    <w:rsid w:val="00D760C8"/>
    <w:rsid w:val="00D81BF0"/>
    <w:rsid w:val="00D83FFD"/>
    <w:rsid w:val="00D850C2"/>
    <w:rsid w:val="00D8617D"/>
    <w:rsid w:val="00D900B0"/>
    <w:rsid w:val="00D92563"/>
    <w:rsid w:val="00D97205"/>
    <w:rsid w:val="00DA2878"/>
    <w:rsid w:val="00DA32FE"/>
    <w:rsid w:val="00DA6175"/>
    <w:rsid w:val="00DA6261"/>
    <w:rsid w:val="00DB01E8"/>
    <w:rsid w:val="00DC3389"/>
    <w:rsid w:val="00DC7C10"/>
    <w:rsid w:val="00DD26B1"/>
    <w:rsid w:val="00DD3E74"/>
    <w:rsid w:val="00DD5177"/>
    <w:rsid w:val="00DE16B8"/>
    <w:rsid w:val="00DE3704"/>
    <w:rsid w:val="00DE4CC2"/>
    <w:rsid w:val="00DF0096"/>
    <w:rsid w:val="00DF23FC"/>
    <w:rsid w:val="00DF39CD"/>
    <w:rsid w:val="00DF3A95"/>
    <w:rsid w:val="00E0094D"/>
    <w:rsid w:val="00E016D9"/>
    <w:rsid w:val="00E07938"/>
    <w:rsid w:val="00E13427"/>
    <w:rsid w:val="00E1374D"/>
    <w:rsid w:val="00E14032"/>
    <w:rsid w:val="00E14476"/>
    <w:rsid w:val="00E15EE6"/>
    <w:rsid w:val="00E17F7A"/>
    <w:rsid w:val="00E20134"/>
    <w:rsid w:val="00E24551"/>
    <w:rsid w:val="00E24CB2"/>
    <w:rsid w:val="00E30C87"/>
    <w:rsid w:val="00E32C84"/>
    <w:rsid w:val="00E3536D"/>
    <w:rsid w:val="00E41541"/>
    <w:rsid w:val="00E415A1"/>
    <w:rsid w:val="00E44456"/>
    <w:rsid w:val="00E52BAD"/>
    <w:rsid w:val="00E54AB0"/>
    <w:rsid w:val="00E553B9"/>
    <w:rsid w:val="00E56E57"/>
    <w:rsid w:val="00E62BDE"/>
    <w:rsid w:val="00E658D3"/>
    <w:rsid w:val="00E6599B"/>
    <w:rsid w:val="00E66468"/>
    <w:rsid w:val="00E664F5"/>
    <w:rsid w:val="00E726DE"/>
    <w:rsid w:val="00E74420"/>
    <w:rsid w:val="00E7699D"/>
    <w:rsid w:val="00E86427"/>
    <w:rsid w:val="00E871C2"/>
    <w:rsid w:val="00E90A8F"/>
    <w:rsid w:val="00E966E1"/>
    <w:rsid w:val="00EA1BAA"/>
    <w:rsid w:val="00EB182E"/>
    <w:rsid w:val="00EB6B1F"/>
    <w:rsid w:val="00EC2545"/>
    <w:rsid w:val="00EC2748"/>
    <w:rsid w:val="00ED401C"/>
    <w:rsid w:val="00ED69FA"/>
    <w:rsid w:val="00EE333B"/>
    <w:rsid w:val="00EF2642"/>
    <w:rsid w:val="00EF3681"/>
    <w:rsid w:val="00EF59CA"/>
    <w:rsid w:val="00F05B96"/>
    <w:rsid w:val="00F10790"/>
    <w:rsid w:val="00F10E7C"/>
    <w:rsid w:val="00F13C1E"/>
    <w:rsid w:val="00F140A2"/>
    <w:rsid w:val="00F16F17"/>
    <w:rsid w:val="00F173DE"/>
    <w:rsid w:val="00F20BC2"/>
    <w:rsid w:val="00F22CE2"/>
    <w:rsid w:val="00F265B7"/>
    <w:rsid w:val="00F2779A"/>
    <w:rsid w:val="00F27FE9"/>
    <w:rsid w:val="00F301C2"/>
    <w:rsid w:val="00F342E4"/>
    <w:rsid w:val="00F35330"/>
    <w:rsid w:val="00F41C91"/>
    <w:rsid w:val="00F433A4"/>
    <w:rsid w:val="00F4421A"/>
    <w:rsid w:val="00F45733"/>
    <w:rsid w:val="00F47316"/>
    <w:rsid w:val="00F50ABA"/>
    <w:rsid w:val="00F55CEA"/>
    <w:rsid w:val="00F55DA5"/>
    <w:rsid w:val="00F5694F"/>
    <w:rsid w:val="00F56967"/>
    <w:rsid w:val="00F611B7"/>
    <w:rsid w:val="00F616B6"/>
    <w:rsid w:val="00F66B4E"/>
    <w:rsid w:val="00F72702"/>
    <w:rsid w:val="00F72825"/>
    <w:rsid w:val="00F80C3C"/>
    <w:rsid w:val="00F87944"/>
    <w:rsid w:val="00F935A3"/>
    <w:rsid w:val="00F95ABE"/>
    <w:rsid w:val="00F9756D"/>
    <w:rsid w:val="00FA1417"/>
    <w:rsid w:val="00FA2B66"/>
    <w:rsid w:val="00FA3BF1"/>
    <w:rsid w:val="00FB5F12"/>
    <w:rsid w:val="00FC0913"/>
    <w:rsid w:val="00FC5B20"/>
    <w:rsid w:val="00FC7104"/>
    <w:rsid w:val="00FD08BB"/>
    <w:rsid w:val="00FD211C"/>
    <w:rsid w:val="00FD417F"/>
    <w:rsid w:val="00FD45FE"/>
    <w:rsid w:val="00FD7B1D"/>
    <w:rsid w:val="00FE1E22"/>
    <w:rsid w:val="00FE2CAD"/>
    <w:rsid w:val="00FE388E"/>
    <w:rsid w:val="00FE4F34"/>
    <w:rsid w:val="00FF167D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4:docId w14:val="29F793FA"/>
  <w15:docId w15:val="{20144E53-C592-4A58-88D6-8D6F4095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6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uiPriority w:val="39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link w:val="FooterChar"/>
    <w:uiPriority w:val="99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qFormat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No"/>
    <w:next w:val="Normalaftertitle"/>
    <w:qFormat/>
    <w:rsid w:val="001E18AB"/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E1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7A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EBE"/>
    <w:pPr>
      <w:ind w:left="720"/>
      <w:contextualSpacing/>
    </w:pPr>
  </w:style>
  <w:style w:type="paragraph" w:customStyle="1" w:styleId="Colloquy">
    <w:name w:val="Colloquy"/>
    <w:basedOn w:val="Normal"/>
    <w:uiPriority w:val="99"/>
    <w:rsid w:val="000A2C0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djustRightInd/>
      <w:spacing w:before="0" w:line="528" w:lineRule="atLeast"/>
      <w:ind w:right="1440" w:firstLine="432"/>
      <w:textAlignment w:val="auto"/>
    </w:pPr>
    <w:rPr>
      <w:rFonts w:ascii="Courier New" w:eastAsiaTheme="minorEastAsia" w:hAnsi="Courier New" w:cs="Courier New"/>
      <w:szCs w:val="24"/>
      <w:lang w:val="en-US"/>
    </w:rPr>
  </w:style>
  <w:style w:type="paragraph" w:customStyle="1" w:styleId="ContinCol">
    <w:name w:val="Contin Col"/>
    <w:basedOn w:val="Normal"/>
    <w:uiPriority w:val="99"/>
    <w:rsid w:val="000A2C06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djustRightInd/>
      <w:spacing w:before="0" w:line="528" w:lineRule="atLeast"/>
      <w:ind w:right="1440" w:firstLine="432"/>
      <w:textAlignment w:val="auto"/>
    </w:pPr>
    <w:rPr>
      <w:rFonts w:ascii="Courier New" w:eastAsiaTheme="minorEastAsia" w:hAnsi="Courier New" w:cs="Courier New"/>
      <w:szCs w:val="24"/>
      <w:lang w:val="en-US"/>
    </w:rPr>
  </w:style>
  <w:style w:type="paragraph" w:styleId="ListBullet">
    <w:name w:val="List Bullet"/>
    <w:basedOn w:val="Normal"/>
    <w:unhideWhenUsed/>
    <w:rsid w:val="005D3A30"/>
    <w:pPr>
      <w:numPr>
        <w:numId w:val="10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B318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Theme="minorEastAsia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B318A"/>
    <w:rPr>
      <w:rFonts w:ascii="Calibri" w:eastAsiaTheme="minorEastAsia" w:hAnsi="Calibr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50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A3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A3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A38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A50A38"/>
    <w:rPr>
      <w:rFonts w:ascii="Calibri" w:hAnsi="Calibri"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69B4"/>
    <w:rPr>
      <w:rFonts w:ascii="Calibri" w:hAnsi="Calibri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md/S14-PP-C-0159/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md/S14-PP-C-0158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4-PP-C-0158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md/S14-PP-C-0156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4-PP-C-0156/en" TargetMode="External"/><Relationship Id="rId14" Type="http://schemas.openxmlformats.org/officeDocument/2006/relationships/hyperlink" Target="http://www.itu.int/md/S14-PP-C-0159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4B0F-EBC9-4E6B-88E7-EC10A61F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4004</Words>
  <Characters>21708</Characters>
  <Application>Microsoft Office Word</Application>
  <DocSecurity>4</DocSecurity>
  <Lines>180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25661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(PP-10)</dc:subject>
  <dc:creator>unknown</dc:creator>
  <cp:keywords>PP-10</cp:keywords>
  <cp:lastModifiedBy>Brouard, Ricarda</cp:lastModifiedBy>
  <cp:revision>2</cp:revision>
  <cp:lastPrinted>2014-12-22T12:23:00Z</cp:lastPrinted>
  <dcterms:created xsi:type="dcterms:W3CDTF">2014-12-24T08:57:00Z</dcterms:created>
  <dcterms:modified xsi:type="dcterms:W3CDTF">2014-12-24T08:57:00Z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