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D63FB" w:rsidTr="006A046E">
        <w:trPr>
          <w:cantSplit/>
        </w:trPr>
        <w:tc>
          <w:tcPr>
            <w:tcW w:w="6911" w:type="dxa"/>
          </w:tcPr>
          <w:p w:rsidR="00BD1614" w:rsidRPr="002D63FB" w:rsidRDefault="00BD1614" w:rsidP="0023630E">
            <w:pPr>
              <w:rPr>
                <w:b/>
                <w:bCs/>
                <w:position w:val="6"/>
                <w:szCs w:val="24"/>
              </w:rPr>
            </w:pPr>
            <w:bookmarkStart w:id="0" w:name="dbreak"/>
            <w:bookmarkStart w:id="1" w:name="dpp"/>
            <w:bookmarkEnd w:id="0"/>
            <w:bookmarkEnd w:id="1"/>
            <w:r w:rsidRPr="002D63FB">
              <w:rPr>
                <w:rFonts w:cs="Times"/>
                <w:b/>
                <w:sz w:val="30"/>
                <w:szCs w:val="30"/>
              </w:rPr>
              <w:t>Conférence de plénipotentiaires</w:t>
            </w:r>
            <w:r w:rsidRPr="002D63FB">
              <w:rPr>
                <w:b/>
                <w:smallCaps/>
                <w:sz w:val="30"/>
                <w:szCs w:val="30"/>
              </w:rPr>
              <w:t xml:space="preserve"> (PP-14)</w:t>
            </w:r>
            <w:r w:rsidRPr="002D63FB">
              <w:rPr>
                <w:b/>
                <w:smallCaps/>
                <w:sz w:val="36"/>
              </w:rPr>
              <w:br/>
            </w:r>
            <w:r w:rsidRPr="002D63FB">
              <w:rPr>
                <w:rFonts w:cs="Times New Roman Bold"/>
                <w:b/>
                <w:bCs/>
                <w:szCs w:val="24"/>
              </w:rPr>
              <w:t>Busan, 20 octobre - 7 novembre 2014</w:t>
            </w:r>
          </w:p>
        </w:tc>
        <w:tc>
          <w:tcPr>
            <w:tcW w:w="3120" w:type="dxa"/>
          </w:tcPr>
          <w:p w:rsidR="00BD1614" w:rsidRPr="002D63FB" w:rsidRDefault="00BD1614" w:rsidP="0023630E">
            <w:pPr>
              <w:spacing w:before="0"/>
              <w:rPr>
                <w:rFonts w:cstheme="minorHAnsi"/>
              </w:rPr>
            </w:pPr>
            <w:bookmarkStart w:id="2" w:name="ditulogo"/>
            <w:bookmarkEnd w:id="2"/>
            <w:r w:rsidRPr="002D63FB">
              <w:rPr>
                <w:rFonts w:cstheme="minorHAnsi"/>
                <w:b/>
                <w:bCs/>
                <w:noProof/>
                <w:lang w:val="en-US" w:eastAsia="zh-CN"/>
              </w:rPr>
              <w:drawing>
                <wp:inline distT="0" distB="0" distL="0" distR="0" wp14:anchorId="17972A46" wp14:editId="1D3D841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2D63FB" w:rsidTr="006A046E">
        <w:trPr>
          <w:cantSplit/>
        </w:trPr>
        <w:tc>
          <w:tcPr>
            <w:tcW w:w="6911" w:type="dxa"/>
            <w:tcBorders>
              <w:bottom w:val="single" w:sz="12" w:space="0" w:color="auto"/>
            </w:tcBorders>
          </w:tcPr>
          <w:p w:rsidR="00BD1614" w:rsidRPr="002D63FB" w:rsidRDefault="00BD1614" w:rsidP="0023630E">
            <w:pPr>
              <w:spacing w:before="0" w:after="48"/>
              <w:rPr>
                <w:rFonts w:cstheme="minorHAnsi"/>
                <w:b/>
                <w:smallCaps/>
                <w:szCs w:val="24"/>
              </w:rPr>
            </w:pPr>
            <w:bookmarkStart w:id="3" w:name="dhead"/>
          </w:p>
        </w:tc>
        <w:tc>
          <w:tcPr>
            <w:tcW w:w="3120" w:type="dxa"/>
            <w:tcBorders>
              <w:bottom w:val="single" w:sz="12" w:space="0" w:color="auto"/>
            </w:tcBorders>
          </w:tcPr>
          <w:p w:rsidR="00BD1614" w:rsidRPr="002D63FB" w:rsidRDefault="00BD1614" w:rsidP="0023630E">
            <w:pPr>
              <w:spacing w:before="0"/>
              <w:rPr>
                <w:rFonts w:cstheme="minorHAnsi"/>
                <w:szCs w:val="24"/>
              </w:rPr>
            </w:pPr>
          </w:p>
        </w:tc>
      </w:tr>
      <w:tr w:rsidR="00BD1614" w:rsidRPr="002D63FB" w:rsidTr="006A046E">
        <w:trPr>
          <w:cantSplit/>
        </w:trPr>
        <w:tc>
          <w:tcPr>
            <w:tcW w:w="6911" w:type="dxa"/>
            <w:tcBorders>
              <w:top w:val="single" w:sz="12" w:space="0" w:color="auto"/>
            </w:tcBorders>
          </w:tcPr>
          <w:p w:rsidR="00BD1614" w:rsidRPr="002D63FB" w:rsidRDefault="00BD1614" w:rsidP="0023630E">
            <w:pPr>
              <w:spacing w:before="0" w:after="48"/>
              <w:rPr>
                <w:rFonts w:cstheme="minorHAnsi"/>
                <w:b/>
                <w:smallCaps/>
                <w:szCs w:val="24"/>
              </w:rPr>
            </w:pPr>
          </w:p>
        </w:tc>
        <w:tc>
          <w:tcPr>
            <w:tcW w:w="3120" w:type="dxa"/>
            <w:tcBorders>
              <w:top w:val="single" w:sz="12" w:space="0" w:color="auto"/>
            </w:tcBorders>
          </w:tcPr>
          <w:p w:rsidR="00BD1614" w:rsidRPr="002D63FB" w:rsidRDefault="00BD1614" w:rsidP="0023630E">
            <w:pPr>
              <w:spacing w:before="0"/>
              <w:rPr>
                <w:rFonts w:cstheme="minorHAnsi"/>
                <w:szCs w:val="24"/>
              </w:rPr>
            </w:pPr>
          </w:p>
        </w:tc>
      </w:tr>
      <w:tr w:rsidR="00BD1614" w:rsidRPr="002D63FB" w:rsidTr="006A046E">
        <w:trPr>
          <w:cantSplit/>
        </w:trPr>
        <w:tc>
          <w:tcPr>
            <w:tcW w:w="6911" w:type="dxa"/>
          </w:tcPr>
          <w:p w:rsidR="00BD1614" w:rsidRPr="002D63FB" w:rsidRDefault="00407795" w:rsidP="0023630E">
            <w:pPr>
              <w:pStyle w:val="Committee"/>
              <w:framePr w:hSpace="0" w:wrap="auto" w:hAnchor="text" w:yAlign="inline"/>
              <w:spacing w:line="240" w:lineRule="auto"/>
              <w:rPr>
                <w:lang w:val="fr-FR"/>
              </w:rPr>
            </w:pPr>
            <w:r w:rsidRPr="002D63FB">
              <w:rPr>
                <w:lang w:val="fr-FR"/>
              </w:rPr>
              <w:t>SÉANCE PLÉNIÈRE</w:t>
            </w:r>
          </w:p>
        </w:tc>
        <w:tc>
          <w:tcPr>
            <w:tcW w:w="3120" w:type="dxa"/>
          </w:tcPr>
          <w:p w:rsidR="00BD1614" w:rsidRPr="002D63FB" w:rsidRDefault="00407795" w:rsidP="0023630E">
            <w:pPr>
              <w:spacing w:before="0"/>
              <w:rPr>
                <w:rFonts w:cstheme="minorHAnsi"/>
                <w:szCs w:val="24"/>
              </w:rPr>
            </w:pPr>
            <w:r w:rsidRPr="002D63FB">
              <w:rPr>
                <w:rFonts w:cstheme="minorHAnsi"/>
                <w:b/>
                <w:szCs w:val="24"/>
              </w:rPr>
              <w:t xml:space="preserve">Document </w:t>
            </w:r>
            <w:r w:rsidR="006E3AEE" w:rsidRPr="002D63FB">
              <w:rPr>
                <w:rFonts w:cstheme="minorHAnsi"/>
                <w:b/>
                <w:szCs w:val="24"/>
              </w:rPr>
              <w:t>171</w:t>
            </w:r>
            <w:r w:rsidRPr="002D63FB">
              <w:rPr>
                <w:rFonts w:cstheme="minorHAnsi"/>
                <w:b/>
                <w:szCs w:val="24"/>
              </w:rPr>
              <w:t>-F</w:t>
            </w:r>
          </w:p>
        </w:tc>
      </w:tr>
      <w:tr w:rsidR="00BD1614" w:rsidRPr="002D63FB" w:rsidTr="006A046E">
        <w:trPr>
          <w:cantSplit/>
        </w:trPr>
        <w:tc>
          <w:tcPr>
            <w:tcW w:w="6911" w:type="dxa"/>
          </w:tcPr>
          <w:p w:rsidR="00BD1614" w:rsidRPr="002D63FB" w:rsidRDefault="00BD1614" w:rsidP="0023630E">
            <w:pPr>
              <w:spacing w:before="0" w:after="48"/>
              <w:rPr>
                <w:rFonts w:cstheme="minorHAnsi"/>
                <w:b/>
                <w:smallCaps/>
                <w:szCs w:val="24"/>
              </w:rPr>
            </w:pPr>
          </w:p>
        </w:tc>
        <w:tc>
          <w:tcPr>
            <w:tcW w:w="3120" w:type="dxa"/>
          </w:tcPr>
          <w:p w:rsidR="00BD1614" w:rsidRPr="002D63FB" w:rsidRDefault="006E3AEE" w:rsidP="00B4443B">
            <w:pPr>
              <w:spacing w:before="0"/>
              <w:rPr>
                <w:rFonts w:cstheme="minorHAnsi"/>
                <w:b/>
                <w:szCs w:val="24"/>
              </w:rPr>
            </w:pPr>
            <w:r w:rsidRPr="002D63FB">
              <w:rPr>
                <w:rFonts w:cstheme="minorHAnsi"/>
                <w:b/>
                <w:szCs w:val="24"/>
              </w:rPr>
              <w:t>14</w:t>
            </w:r>
            <w:r w:rsidR="00407795" w:rsidRPr="002D63FB">
              <w:rPr>
                <w:rFonts w:cstheme="minorHAnsi"/>
                <w:b/>
                <w:szCs w:val="24"/>
              </w:rPr>
              <w:t xml:space="preserve"> novembre 201</w:t>
            </w:r>
            <w:r w:rsidR="00B4443B">
              <w:rPr>
                <w:rFonts w:cstheme="minorHAnsi"/>
                <w:b/>
                <w:szCs w:val="24"/>
              </w:rPr>
              <w:t>4</w:t>
            </w:r>
          </w:p>
        </w:tc>
      </w:tr>
      <w:tr w:rsidR="00BD1614" w:rsidRPr="002D63FB" w:rsidTr="006A046E">
        <w:trPr>
          <w:cantSplit/>
        </w:trPr>
        <w:tc>
          <w:tcPr>
            <w:tcW w:w="6911" w:type="dxa"/>
          </w:tcPr>
          <w:p w:rsidR="00BD1614" w:rsidRPr="002D63FB" w:rsidRDefault="00BD1614" w:rsidP="0023630E">
            <w:pPr>
              <w:spacing w:before="0" w:after="48"/>
              <w:rPr>
                <w:rFonts w:cstheme="minorHAnsi"/>
                <w:b/>
                <w:smallCaps/>
                <w:szCs w:val="24"/>
              </w:rPr>
            </w:pPr>
          </w:p>
        </w:tc>
        <w:tc>
          <w:tcPr>
            <w:tcW w:w="3120" w:type="dxa"/>
          </w:tcPr>
          <w:p w:rsidR="00BD1614" w:rsidRPr="002D63FB" w:rsidRDefault="00407795" w:rsidP="0023630E">
            <w:pPr>
              <w:spacing w:before="0"/>
              <w:rPr>
                <w:rFonts w:cstheme="minorHAnsi"/>
                <w:b/>
                <w:szCs w:val="24"/>
              </w:rPr>
            </w:pPr>
            <w:r w:rsidRPr="002D63FB">
              <w:rPr>
                <w:rFonts w:cstheme="minorHAnsi"/>
                <w:b/>
                <w:szCs w:val="24"/>
              </w:rPr>
              <w:t>Original: anglais</w:t>
            </w:r>
          </w:p>
        </w:tc>
      </w:tr>
      <w:tr w:rsidR="00BD1614" w:rsidRPr="002D63FB" w:rsidTr="006A046E">
        <w:trPr>
          <w:cantSplit/>
        </w:trPr>
        <w:tc>
          <w:tcPr>
            <w:tcW w:w="10031" w:type="dxa"/>
            <w:gridSpan w:val="2"/>
          </w:tcPr>
          <w:p w:rsidR="00BD1614" w:rsidRPr="002D63FB" w:rsidRDefault="00BD1614" w:rsidP="0023630E">
            <w:pPr>
              <w:spacing w:before="0"/>
              <w:rPr>
                <w:rFonts w:cstheme="minorHAnsi"/>
                <w:b/>
                <w:szCs w:val="24"/>
              </w:rPr>
            </w:pPr>
          </w:p>
        </w:tc>
      </w:tr>
      <w:tr w:rsidR="00BD1614" w:rsidRPr="002D63FB" w:rsidTr="006A046E">
        <w:trPr>
          <w:cantSplit/>
        </w:trPr>
        <w:tc>
          <w:tcPr>
            <w:tcW w:w="10031" w:type="dxa"/>
            <w:gridSpan w:val="2"/>
          </w:tcPr>
          <w:p w:rsidR="0023630E" w:rsidRPr="002D63FB" w:rsidRDefault="0023630E" w:rsidP="0023630E">
            <w:pPr>
              <w:pStyle w:val="Title1"/>
            </w:pPr>
            <w:bookmarkStart w:id="4" w:name="dsource" w:colFirst="0" w:colLast="0"/>
            <w:bookmarkEnd w:id="3"/>
            <w:r w:rsidRPr="002D63FB">
              <w:t>PROCèS-VERBAL</w:t>
            </w:r>
          </w:p>
          <w:p w:rsidR="0023630E" w:rsidRPr="002D63FB" w:rsidRDefault="0023630E" w:rsidP="0023630E">
            <w:pPr>
              <w:pStyle w:val="Title1"/>
            </w:pPr>
            <w:r w:rsidRPr="002D63FB">
              <w:t>DE LA</w:t>
            </w:r>
          </w:p>
          <w:p w:rsidR="00BD1614" w:rsidRPr="002D63FB" w:rsidRDefault="0023630E" w:rsidP="0023630E">
            <w:pPr>
              <w:pStyle w:val="Source"/>
              <w:spacing w:before="240"/>
              <w:rPr>
                <w:b w:val="0"/>
                <w:caps/>
              </w:rPr>
            </w:pPr>
            <w:r w:rsidRPr="002D63FB">
              <w:rPr>
                <w:b w:val="0"/>
                <w:caps/>
              </w:rPr>
              <w:t>TREIZIèME séance PLéNIèRE</w:t>
            </w:r>
          </w:p>
        </w:tc>
      </w:tr>
      <w:tr w:rsidR="00BD1614" w:rsidRPr="002D63FB" w:rsidTr="006A046E">
        <w:trPr>
          <w:cantSplit/>
        </w:trPr>
        <w:tc>
          <w:tcPr>
            <w:tcW w:w="10031" w:type="dxa"/>
            <w:gridSpan w:val="2"/>
          </w:tcPr>
          <w:p w:rsidR="00BD1614" w:rsidRPr="002D63FB" w:rsidRDefault="0023630E" w:rsidP="0023630E">
            <w:pPr>
              <w:pStyle w:val="Title1"/>
            </w:pPr>
            <w:bookmarkStart w:id="5" w:name="dtitle1" w:colFirst="0" w:colLast="0"/>
            <w:bookmarkEnd w:id="4"/>
            <w:r w:rsidRPr="002D63FB">
              <w:rPr>
                <w:caps w:val="0"/>
              </w:rPr>
              <w:t>Lundi 3 novembre 2014, à 14 h 35</w:t>
            </w:r>
          </w:p>
        </w:tc>
      </w:tr>
      <w:tr w:rsidR="00BD1614" w:rsidRPr="002D63FB" w:rsidTr="006A046E">
        <w:trPr>
          <w:cantSplit/>
        </w:trPr>
        <w:tc>
          <w:tcPr>
            <w:tcW w:w="10031" w:type="dxa"/>
            <w:gridSpan w:val="2"/>
          </w:tcPr>
          <w:p w:rsidR="00BD1614" w:rsidRPr="002D63FB" w:rsidRDefault="0023630E" w:rsidP="0023630E">
            <w:pPr>
              <w:pStyle w:val="Title2"/>
            </w:pPr>
            <w:bookmarkStart w:id="6" w:name="dtitle2" w:colFirst="0" w:colLast="0"/>
            <w:bookmarkEnd w:id="5"/>
            <w:r w:rsidRPr="002D63FB">
              <w:rPr>
                <w:b/>
                <w:bCs/>
                <w:caps w:val="0"/>
              </w:rPr>
              <w:t>Président:</w:t>
            </w:r>
            <w:r w:rsidRPr="002D63FB">
              <w:rPr>
                <w:caps w:val="0"/>
              </w:rPr>
              <w:t xml:space="preserve"> M. W. Min</w:t>
            </w:r>
            <w:r w:rsidRPr="002D63FB">
              <w:rPr>
                <w:caps w:val="0"/>
                <w:szCs w:val="24"/>
              </w:rPr>
              <w:t xml:space="preserve"> (République de Corée)</w:t>
            </w:r>
          </w:p>
        </w:tc>
      </w:tr>
      <w:tr w:rsidR="00BD1614" w:rsidRPr="002D63FB" w:rsidTr="006A046E">
        <w:trPr>
          <w:cantSplit/>
        </w:trPr>
        <w:tc>
          <w:tcPr>
            <w:tcW w:w="10031" w:type="dxa"/>
            <w:gridSpan w:val="2"/>
          </w:tcPr>
          <w:p w:rsidR="00BD1614" w:rsidRPr="002D63FB" w:rsidRDefault="00BD1614" w:rsidP="0023630E">
            <w:pPr>
              <w:pStyle w:val="Agendaitem"/>
              <w:rPr>
                <w:lang w:val="fr-FR"/>
              </w:rPr>
            </w:pPr>
            <w:bookmarkStart w:id="7" w:name="dtitle3" w:colFirst="0" w:colLast="0"/>
            <w:bookmarkEnd w:id="6"/>
          </w:p>
        </w:tc>
      </w:tr>
      <w:bookmarkEnd w:id="7"/>
    </w:tbl>
    <w:p w:rsidR="0023630E" w:rsidRPr="002D63FB" w:rsidRDefault="0023630E" w:rsidP="0023630E"/>
    <w:tbl>
      <w:tblPr>
        <w:tblW w:w="10031" w:type="dxa"/>
        <w:tblLook w:val="0000" w:firstRow="0" w:lastRow="0" w:firstColumn="0" w:lastColumn="0" w:noHBand="0" w:noVBand="0"/>
      </w:tblPr>
      <w:tblGrid>
        <w:gridCol w:w="534"/>
        <w:gridCol w:w="7164"/>
        <w:gridCol w:w="2333"/>
      </w:tblGrid>
      <w:tr w:rsidR="0023630E" w:rsidRPr="002D63FB" w:rsidTr="00CA7C40">
        <w:tc>
          <w:tcPr>
            <w:tcW w:w="534" w:type="dxa"/>
          </w:tcPr>
          <w:p w:rsidR="0023630E" w:rsidRPr="002D63FB" w:rsidRDefault="0023630E" w:rsidP="0023630E">
            <w:pPr>
              <w:pStyle w:val="toc0"/>
            </w:pPr>
          </w:p>
        </w:tc>
        <w:tc>
          <w:tcPr>
            <w:tcW w:w="7164" w:type="dxa"/>
          </w:tcPr>
          <w:p w:rsidR="0023630E" w:rsidRPr="002D63FB" w:rsidRDefault="0023630E" w:rsidP="0023630E">
            <w:pPr>
              <w:pStyle w:val="toc0"/>
            </w:pPr>
            <w:r w:rsidRPr="002D63FB">
              <w:t>Sujets traités</w:t>
            </w:r>
          </w:p>
        </w:tc>
        <w:tc>
          <w:tcPr>
            <w:tcW w:w="2333" w:type="dxa"/>
          </w:tcPr>
          <w:p w:rsidR="0023630E" w:rsidRPr="002D63FB" w:rsidRDefault="0023630E" w:rsidP="0023630E">
            <w:pPr>
              <w:pStyle w:val="toc0"/>
              <w:jc w:val="center"/>
            </w:pPr>
            <w:r w:rsidRPr="002D63FB">
              <w:t>Documents</w:t>
            </w:r>
          </w:p>
        </w:tc>
      </w:tr>
      <w:tr w:rsidR="0023630E" w:rsidRPr="002D63FB" w:rsidTr="00CA7C40">
        <w:tc>
          <w:tcPr>
            <w:tcW w:w="534" w:type="dxa"/>
          </w:tcPr>
          <w:p w:rsidR="0023630E" w:rsidRPr="002D63FB" w:rsidRDefault="0023630E" w:rsidP="0023630E">
            <w:pPr>
              <w:ind w:left="567" w:hanging="567"/>
            </w:pPr>
            <w:r w:rsidRPr="002D63FB">
              <w:t>1</w:t>
            </w:r>
          </w:p>
        </w:tc>
        <w:tc>
          <w:tcPr>
            <w:tcW w:w="7164" w:type="dxa"/>
          </w:tcPr>
          <w:p w:rsidR="0023630E" w:rsidRPr="002D63FB" w:rsidRDefault="0023630E" w:rsidP="0023630E">
            <w:pPr>
              <w:ind w:left="567" w:hanging="567"/>
            </w:pPr>
            <w:r w:rsidRPr="002D63FB">
              <w:t>Rapport oral du Président de la Commission 2 (Pouvoirs)</w:t>
            </w:r>
          </w:p>
        </w:tc>
        <w:tc>
          <w:tcPr>
            <w:tcW w:w="2333" w:type="dxa"/>
          </w:tcPr>
          <w:p w:rsidR="0023630E" w:rsidRPr="002D63FB" w:rsidRDefault="00B75E4A" w:rsidP="0023630E">
            <w:pPr>
              <w:jc w:val="center"/>
            </w:pPr>
            <w:hyperlink r:id="rId7" w:history="1">
              <w:r w:rsidR="0023630E" w:rsidRPr="002D63FB">
                <w:rPr>
                  <w:rStyle w:val="Hyperlink"/>
                </w:rPr>
                <w:t>135</w:t>
              </w:r>
            </w:hyperlink>
          </w:p>
        </w:tc>
      </w:tr>
      <w:tr w:rsidR="0023630E" w:rsidRPr="002D63FB" w:rsidTr="00CA7C40">
        <w:tc>
          <w:tcPr>
            <w:tcW w:w="534" w:type="dxa"/>
          </w:tcPr>
          <w:p w:rsidR="0023630E" w:rsidRPr="002D63FB" w:rsidRDefault="0023630E" w:rsidP="0023630E">
            <w:pPr>
              <w:ind w:left="567" w:hanging="567"/>
            </w:pPr>
            <w:r w:rsidRPr="002D63FB">
              <w:t>2</w:t>
            </w:r>
          </w:p>
        </w:tc>
        <w:tc>
          <w:tcPr>
            <w:tcW w:w="7164" w:type="dxa"/>
          </w:tcPr>
          <w:p w:rsidR="0023630E" w:rsidRPr="002D63FB" w:rsidRDefault="0023630E" w:rsidP="0023630E">
            <w:r w:rsidRPr="002D63FB">
              <w:t xml:space="preserve">Quatrième série de textes soumis par la Commission de rédaction en première lecture (B4) </w:t>
            </w:r>
          </w:p>
        </w:tc>
        <w:tc>
          <w:tcPr>
            <w:tcW w:w="2333" w:type="dxa"/>
          </w:tcPr>
          <w:p w:rsidR="0023630E" w:rsidRPr="002D63FB" w:rsidRDefault="00B75E4A" w:rsidP="0023630E">
            <w:pPr>
              <w:jc w:val="center"/>
            </w:pPr>
            <w:hyperlink r:id="rId8" w:history="1">
              <w:r w:rsidR="0023630E" w:rsidRPr="002D63FB">
                <w:rPr>
                  <w:rStyle w:val="Hyperlink"/>
                </w:rPr>
                <w:t>130</w:t>
              </w:r>
            </w:hyperlink>
          </w:p>
        </w:tc>
      </w:tr>
      <w:tr w:rsidR="0023630E" w:rsidRPr="002D63FB" w:rsidTr="00CA7C40">
        <w:tc>
          <w:tcPr>
            <w:tcW w:w="534" w:type="dxa"/>
          </w:tcPr>
          <w:p w:rsidR="0023630E" w:rsidRPr="002D63FB" w:rsidRDefault="0023630E" w:rsidP="0023630E">
            <w:pPr>
              <w:ind w:left="567" w:hanging="567"/>
            </w:pPr>
            <w:r w:rsidRPr="002D63FB">
              <w:t>3</w:t>
            </w:r>
          </w:p>
        </w:tc>
        <w:tc>
          <w:tcPr>
            <w:tcW w:w="7164" w:type="dxa"/>
          </w:tcPr>
          <w:p w:rsidR="0023630E" w:rsidRPr="002D63FB" w:rsidRDefault="0023630E" w:rsidP="0023630E">
            <w:r w:rsidRPr="002D63FB">
              <w:t xml:space="preserve">Quatrième série de textes soumis par la Commission de rédaction </w:t>
            </w:r>
            <w:r w:rsidR="00B4443B">
              <w:t>–</w:t>
            </w:r>
            <w:r w:rsidRPr="002D63FB">
              <w:t xml:space="preserve"> deuxième lecture</w:t>
            </w:r>
          </w:p>
        </w:tc>
        <w:tc>
          <w:tcPr>
            <w:tcW w:w="2333" w:type="dxa"/>
          </w:tcPr>
          <w:p w:rsidR="0023630E" w:rsidRPr="002D63FB" w:rsidRDefault="00B75E4A" w:rsidP="0023630E">
            <w:pPr>
              <w:jc w:val="center"/>
            </w:pPr>
            <w:hyperlink r:id="rId9" w:history="1">
              <w:r w:rsidR="0023630E" w:rsidRPr="002D63FB">
                <w:rPr>
                  <w:rStyle w:val="Hyperlink"/>
                </w:rPr>
                <w:t>130</w:t>
              </w:r>
            </w:hyperlink>
          </w:p>
        </w:tc>
      </w:tr>
      <w:tr w:rsidR="0023630E" w:rsidRPr="002D63FB" w:rsidTr="00CA7C40">
        <w:tc>
          <w:tcPr>
            <w:tcW w:w="534" w:type="dxa"/>
          </w:tcPr>
          <w:p w:rsidR="0023630E" w:rsidRPr="002D63FB" w:rsidRDefault="0023630E" w:rsidP="0023630E">
            <w:pPr>
              <w:ind w:left="567" w:hanging="567"/>
            </w:pPr>
            <w:r w:rsidRPr="002D63FB">
              <w:t>4</w:t>
            </w:r>
          </w:p>
        </w:tc>
        <w:tc>
          <w:tcPr>
            <w:tcW w:w="7164" w:type="dxa"/>
          </w:tcPr>
          <w:p w:rsidR="0023630E" w:rsidRPr="002D63FB" w:rsidRDefault="0023630E" w:rsidP="0023630E">
            <w:r w:rsidRPr="002D63FB">
              <w:t>Cinquième série de textes soumis par la Commission de rédaction en première lecture (B5)</w:t>
            </w:r>
          </w:p>
        </w:tc>
        <w:tc>
          <w:tcPr>
            <w:tcW w:w="2333" w:type="dxa"/>
          </w:tcPr>
          <w:p w:rsidR="0023630E" w:rsidRPr="002D63FB" w:rsidRDefault="00B75E4A" w:rsidP="0023630E">
            <w:pPr>
              <w:jc w:val="center"/>
            </w:pPr>
            <w:hyperlink r:id="rId10" w:history="1">
              <w:r w:rsidR="0023630E" w:rsidRPr="002D63FB">
                <w:rPr>
                  <w:rStyle w:val="Hyperlink"/>
                </w:rPr>
                <w:t>139</w:t>
              </w:r>
            </w:hyperlink>
          </w:p>
        </w:tc>
      </w:tr>
      <w:tr w:rsidR="0023630E" w:rsidRPr="002D63FB" w:rsidTr="00CA7C40">
        <w:tc>
          <w:tcPr>
            <w:tcW w:w="534" w:type="dxa"/>
          </w:tcPr>
          <w:p w:rsidR="0023630E" w:rsidRPr="002D63FB" w:rsidRDefault="0023630E" w:rsidP="0023630E">
            <w:pPr>
              <w:ind w:left="567" w:hanging="567"/>
            </w:pPr>
            <w:r w:rsidRPr="002D63FB">
              <w:t>5</w:t>
            </w:r>
          </w:p>
        </w:tc>
        <w:tc>
          <w:tcPr>
            <w:tcW w:w="7164" w:type="dxa"/>
          </w:tcPr>
          <w:p w:rsidR="0023630E" w:rsidRPr="002D63FB" w:rsidRDefault="0023630E" w:rsidP="0023630E">
            <w:r w:rsidRPr="002D63FB">
              <w:t xml:space="preserve">Cinquième série de textes soumis par la Commission de rédaction </w:t>
            </w:r>
            <w:r w:rsidR="00B4443B">
              <w:t>–</w:t>
            </w:r>
            <w:r w:rsidRPr="002D63FB">
              <w:t xml:space="preserve"> deuxième lecture</w:t>
            </w:r>
          </w:p>
        </w:tc>
        <w:tc>
          <w:tcPr>
            <w:tcW w:w="2333" w:type="dxa"/>
          </w:tcPr>
          <w:p w:rsidR="0023630E" w:rsidRPr="002D63FB" w:rsidRDefault="00B75E4A" w:rsidP="0023630E">
            <w:pPr>
              <w:jc w:val="center"/>
            </w:pPr>
            <w:hyperlink r:id="rId11" w:history="1">
              <w:r w:rsidR="0023630E" w:rsidRPr="002D63FB">
                <w:rPr>
                  <w:rStyle w:val="Hyperlink"/>
                </w:rPr>
                <w:t>139</w:t>
              </w:r>
            </w:hyperlink>
          </w:p>
        </w:tc>
      </w:tr>
      <w:tr w:rsidR="0023630E" w:rsidRPr="002D63FB" w:rsidTr="00CA7C40">
        <w:tc>
          <w:tcPr>
            <w:tcW w:w="534" w:type="dxa"/>
          </w:tcPr>
          <w:p w:rsidR="0023630E" w:rsidRPr="002D63FB" w:rsidRDefault="0023630E" w:rsidP="0023630E">
            <w:pPr>
              <w:ind w:left="567" w:hanging="567"/>
            </w:pPr>
            <w:r w:rsidRPr="002D63FB">
              <w:t>6</w:t>
            </w:r>
          </w:p>
        </w:tc>
        <w:tc>
          <w:tcPr>
            <w:tcW w:w="7164" w:type="dxa"/>
          </w:tcPr>
          <w:p w:rsidR="0023630E" w:rsidRPr="002D63FB" w:rsidRDefault="0023630E" w:rsidP="0023630E">
            <w:r w:rsidRPr="002D63FB">
              <w:t>Sixième série de textes soumis par la Commission de rédaction en première lecture (B6)</w:t>
            </w:r>
          </w:p>
        </w:tc>
        <w:tc>
          <w:tcPr>
            <w:tcW w:w="2333" w:type="dxa"/>
          </w:tcPr>
          <w:p w:rsidR="0023630E" w:rsidRPr="002D63FB" w:rsidRDefault="00B75E4A" w:rsidP="0023630E">
            <w:pPr>
              <w:jc w:val="center"/>
            </w:pPr>
            <w:hyperlink r:id="rId12" w:history="1">
              <w:r w:rsidR="0023630E" w:rsidRPr="002D63FB">
                <w:rPr>
                  <w:rStyle w:val="Hyperlink"/>
                </w:rPr>
                <w:t>142</w:t>
              </w:r>
            </w:hyperlink>
          </w:p>
        </w:tc>
      </w:tr>
      <w:tr w:rsidR="0023630E" w:rsidRPr="002D63FB" w:rsidTr="00CA7C40">
        <w:tc>
          <w:tcPr>
            <w:tcW w:w="534" w:type="dxa"/>
          </w:tcPr>
          <w:p w:rsidR="0023630E" w:rsidRPr="002D63FB" w:rsidRDefault="0023630E" w:rsidP="0023630E">
            <w:pPr>
              <w:ind w:left="567" w:hanging="567"/>
            </w:pPr>
            <w:r w:rsidRPr="002D63FB">
              <w:t>7</w:t>
            </w:r>
          </w:p>
        </w:tc>
        <w:tc>
          <w:tcPr>
            <w:tcW w:w="7164" w:type="dxa"/>
          </w:tcPr>
          <w:p w:rsidR="0023630E" w:rsidRPr="002D63FB" w:rsidRDefault="0023630E" w:rsidP="0023630E">
            <w:r w:rsidRPr="002D63FB">
              <w:t xml:space="preserve">Sixième série de textes soumis par la Commission de rédaction </w:t>
            </w:r>
            <w:r w:rsidR="00B4443B">
              <w:t>–</w:t>
            </w:r>
            <w:r w:rsidRPr="002D63FB">
              <w:t xml:space="preserve"> deuxième lecture</w:t>
            </w:r>
          </w:p>
        </w:tc>
        <w:tc>
          <w:tcPr>
            <w:tcW w:w="2333" w:type="dxa"/>
          </w:tcPr>
          <w:p w:rsidR="0023630E" w:rsidRPr="002D63FB" w:rsidRDefault="00B75E4A" w:rsidP="0023630E">
            <w:pPr>
              <w:jc w:val="center"/>
            </w:pPr>
            <w:hyperlink r:id="rId13" w:history="1">
              <w:r w:rsidR="0023630E" w:rsidRPr="002D63FB">
                <w:rPr>
                  <w:rStyle w:val="Hyperlink"/>
                </w:rPr>
                <w:t>142</w:t>
              </w:r>
            </w:hyperlink>
          </w:p>
        </w:tc>
      </w:tr>
      <w:tr w:rsidR="0023630E" w:rsidRPr="002D63FB" w:rsidTr="00CA7C40">
        <w:tc>
          <w:tcPr>
            <w:tcW w:w="534" w:type="dxa"/>
          </w:tcPr>
          <w:p w:rsidR="0023630E" w:rsidRPr="002D63FB" w:rsidRDefault="0023630E" w:rsidP="0023630E">
            <w:pPr>
              <w:ind w:left="567" w:hanging="567"/>
            </w:pPr>
            <w:r w:rsidRPr="002D63FB">
              <w:t>8</w:t>
            </w:r>
          </w:p>
        </w:tc>
        <w:tc>
          <w:tcPr>
            <w:tcW w:w="7164" w:type="dxa"/>
          </w:tcPr>
          <w:p w:rsidR="0023630E" w:rsidRPr="002D63FB" w:rsidRDefault="0023630E" w:rsidP="0023630E">
            <w:r w:rsidRPr="002D63FB">
              <w:t>Première série de textes soumis par la Commission de rédaction en deuxième lecture (R1)</w:t>
            </w:r>
          </w:p>
        </w:tc>
        <w:tc>
          <w:tcPr>
            <w:tcW w:w="2333" w:type="dxa"/>
          </w:tcPr>
          <w:p w:rsidR="0023630E" w:rsidRPr="002D63FB" w:rsidRDefault="00B75E4A" w:rsidP="0023630E">
            <w:pPr>
              <w:jc w:val="center"/>
            </w:pPr>
            <w:hyperlink r:id="rId14" w:history="1">
              <w:r w:rsidR="0023630E" w:rsidRPr="002D63FB">
                <w:rPr>
                  <w:rStyle w:val="Hyperlink"/>
                </w:rPr>
                <w:t>137</w:t>
              </w:r>
            </w:hyperlink>
          </w:p>
        </w:tc>
      </w:tr>
      <w:tr w:rsidR="0023630E" w:rsidRPr="002D63FB" w:rsidTr="00CA7C40">
        <w:tc>
          <w:tcPr>
            <w:tcW w:w="534" w:type="dxa"/>
          </w:tcPr>
          <w:p w:rsidR="0023630E" w:rsidRPr="002D63FB" w:rsidRDefault="0023630E" w:rsidP="0023630E">
            <w:pPr>
              <w:ind w:left="567" w:hanging="567"/>
            </w:pPr>
            <w:r w:rsidRPr="002D63FB">
              <w:t>9</w:t>
            </w:r>
          </w:p>
        </w:tc>
        <w:tc>
          <w:tcPr>
            <w:tcW w:w="7164" w:type="dxa"/>
          </w:tcPr>
          <w:p w:rsidR="0023630E" w:rsidRPr="002D63FB" w:rsidRDefault="0023630E" w:rsidP="0023630E">
            <w:pPr>
              <w:ind w:left="567" w:hanging="567"/>
            </w:pPr>
            <w:r w:rsidRPr="002D63FB">
              <w:t xml:space="preserve">Approbation des procès-verbaux </w:t>
            </w:r>
          </w:p>
        </w:tc>
        <w:tc>
          <w:tcPr>
            <w:tcW w:w="2333" w:type="dxa"/>
          </w:tcPr>
          <w:p w:rsidR="0023630E" w:rsidRPr="002D63FB" w:rsidRDefault="00B75E4A" w:rsidP="0023630E">
            <w:pPr>
              <w:jc w:val="center"/>
            </w:pPr>
            <w:hyperlink r:id="rId15" w:history="1">
              <w:r w:rsidR="0023630E" w:rsidRPr="002D63FB">
                <w:rPr>
                  <w:rStyle w:val="Hyperlink"/>
                </w:rPr>
                <w:t>107</w:t>
              </w:r>
            </w:hyperlink>
            <w:r w:rsidR="0023630E" w:rsidRPr="002D63FB">
              <w:t xml:space="preserve">, </w:t>
            </w:r>
            <w:hyperlink r:id="rId16" w:history="1">
              <w:r w:rsidR="0023630E" w:rsidRPr="002D63FB">
                <w:rPr>
                  <w:rStyle w:val="Hyperlink"/>
                </w:rPr>
                <w:t>108</w:t>
              </w:r>
            </w:hyperlink>
            <w:r w:rsidR="0023630E" w:rsidRPr="002D63FB">
              <w:t xml:space="preserve">, </w:t>
            </w:r>
            <w:hyperlink r:id="rId17" w:history="1">
              <w:r w:rsidR="0023630E" w:rsidRPr="002D63FB">
                <w:rPr>
                  <w:rStyle w:val="Hyperlink"/>
                </w:rPr>
                <w:t>112</w:t>
              </w:r>
            </w:hyperlink>
            <w:r w:rsidR="0023630E" w:rsidRPr="002D63FB">
              <w:t xml:space="preserve">, </w:t>
            </w:r>
            <w:hyperlink r:id="rId18" w:history="1">
              <w:r w:rsidR="0023630E" w:rsidRPr="002D63FB">
                <w:rPr>
                  <w:rStyle w:val="Hyperlink"/>
                </w:rPr>
                <w:t>113</w:t>
              </w:r>
            </w:hyperlink>
            <w:r w:rsidR="0023630E" w:rsidRPr="002D63FB">
              <w:t xml:space="preserve">, </w:t>
            </w:r>
            <w:hyperlink r:id="rId19" w:history="1">
              <w:r w:rsidR="0023630E" w:rsidRPr="002D63FB">
                <w:rPr>
                  <w:rStyle w:val="Hyperlink"/>
                </w:rPr>
                <w:t>114</w:t>
              </w:r>
            </w:hyperlink>
          </w:p>
        </w:tc>
      </w:tr>
      <w:tr w:rsidR="0023630E" w:rsidRPr="002D63FB" w:rsidTr="00CA7C40">
        <w:tc>
          <w:tcPr>
            <w:tcW w:w="534" w:type="dxa"/>
          </w:tcPr>
          <w:p w:rsidR="0023630E" w:rsidRPr="002D63FB" w:rsidRDefault="0023630E" w:rsidP="0023630E">
            <w:pPr>
              <w:ind w:left="567" w:hanging="567"/>
            </w:pPr>
            <w:r w:rsidRPr="002D63FB">
              <w:t>10</w:t>
            </w:r>
          </w:p>
        </w:tc>
        <w:tc>
          <w:tcPr>
            <w:tcW w:w="7164" w:type="dxa"/>
          </w:tcPr>
          <w:p w:rsidR="0023630E" w:rsidRPr="002D63FB" w:rsidRDefault="0023630E" w:rsidP="0023630E">
            <w:pPr>
              <w:ind w:left="567" w:hanging="567"/>
            </w:pPr>
            <w:r w:rsidRPr="002D63FB">
              <w:t xml:space="preserve">Mesures de lutte contre le virus </w:t>
            </w:r>
            <w:r w:rsidR="00B4443B" w:rsidRPr="002D63FB">
              <w:t>Ebola</w:t>
            </w:r>
          </w:p>
        </w:tc>
        <w:tc>
          <w:tcPr>
            <w:tcW w:w="2333" w:type="dxa"/>
          </w:tcPr>
          <w:p w:rsidR="0023630E" w:rsidRPr="002D63FB" w:rsidRDefault="00B4443B" w:rsidP="0023630E">
            <w:pPr>
              <w:jc w:val="center"/>
            </w:pPr>
            <w:r>
              <w:t>–</w:t>
            </w:r>
          </w:p>
        </w:tc>
      </w:tr>
    </w:tbl>
    <w:p w:rsidR="0023630E" w:rsidRPr="002D63FB" w:rsidRDefault="0023630E" w:rsidP="0023630E">
      <w:pPr>
        <w:tabs>
          <w:tab w:val="clear" w:pos="567"/>
          <w:tab w:val="clear" w:pos="1134"/>
          <w:tab w:val="clear" w:pos="1701"/>
          <w:tab w:val="clear" w:pos="2268"/>
          <w:tab w:val="clear" w:pos="2835"/>
        </w:tabs>
        <w:overflowPunct/>
        <w:autoSpaceDE/>
        <w:autoSpaceDN/>
        <w:adjustRightInd/>
        <w:spacing w:before="0"/>
        <w:textAlignment w:val="auto"/>
        <w:rPr>
          <w:b/>
          <w:sz w:val="28"/>
        </w:rPr>
      </w:pPr>
      <w:r w:rsidRPr="002D63FB">
        <w:rPr>
          <w:b/>
          <w:sz w:val="28"/>
        </w:rPr>
        <w:br w:type="page"/>
      </w:r>
    </w:p>
    <w:p w:rsidR="0023630E" w:rsidRPr="002D63FB" w:rsidRDefault="0023630E" w:rsidP="0023630E">
      <w:pPr>
        <w:pStyle w:val="Heading1"/>
      </w:pPr>
      <w:r w:rsidRPr="002D63FB">
        <w:lastRenderedPageBreak/>
        <w:t>1</w:t>
      </w:r>
      <w:r w:rsidRPr="002D63FB">
        <w:tab/>
        <w:t>Rapport oral du Président de la Commission 2 (Pouvoirs) (Document 135)</w:t>
      </w:r>
    </w:p>
    <w:p w:rsidR="0023630E" w:rsidRPr="002D63FB" w:rsidRDefault="0023630E" w:rsidP="00B4443B">
      <w:r w:rsidRPr="002D63FB">
        <w:t>1.1</w:t>
      </w:r>
      <w:r w:rsidRPr="002D63FB">
        <w:tab/>
        <w:t xml:space="preserve">Le </w:t>
      </w:r>
      <w:r w:rsidRPr="00B4443B">
        <w:rPr>
          <w:b/>
          <w:bCs/>
        </w:rPr>
        <w:t>Président de la Commission 2 (</w:t>
      </w:r>
      <w:r w:rsidR="002D63FB" w:rsidRPr="00B4443B">
        <w:rPr>
          <w:b/>
          <w:bCs/>
        </w:rPr>
        <w:t>Pouvoirs</w:t>
      </w:r>
      <w:r w:rsidRPr="00B4443B">
        <w:rPr>
          <w:b/>
          <w:bCs/>
        </w:rPr>
        <w:t>)</w:t>
      </w:r>
      <w:r w:rsidRPr="002D63FB">
        <w:t xml:space="preserve"> dit que, comme indiqué dans le Document 135, la délégation de la Barbade a les pleins pouvoirs pour représenter le Gouvernement de Trinité</w:t>
      </w:r>
      <w:r w:rsidR="00B4443B">
        <w:noBreakHyphen/>
      </w:r>
      <w:r w:rsidRPr="002D63FB">
        <w:t>et</w:t>
      </w:r>
      <w:r w:rsidR="00B4443B">
        <w:noBreakHyphen/>
      </w:r>
      <w:r w:rsidRPr="002D63FB">
        <w:t>Tobago jusqu'à la fin de la Conférence et pour voter et signer les Actes finals de la Conférence en son nom, conformément au numéro 335 de la Convention de l'UIT.</w:t>
      </w:r>
    </w:p>
    <w:p w:rsidR="0023630E" w:rsidRPr="002D63FB" w:rsidRDefault="0023630E" w:rsidP="0023630E">
      <w:r w:rsidRPr="002D63FB">
        <w:t>1.2</w:t>
      </w:r>
      <w:r w:rsidRPr="002D63FB">
        <w:tab/>
        <w:t xml:space="preserve">Il est </w:t>
      </w:r>
      <w:r w:rsidRPr="002D63FB">
        <w:rPr>
          <w:b/>
          <w:bCs/>
        </w:rPr>
        <w:t>pris note</w:t>
      </w:r>
      <w:r w:rsidRPr="002D63FB">
        <w:t xml:space="preserve"> de cette information.</w:t>
      </w:r>
    </w:p>
    <w:p w:rsidR="0023630E" w:rsidRPr="002D63FB" w:rsidRDefault="0023630E" w:rsidP="0023630E">
      <w:pPr>
        <w:pStyle w:val="Heading1"/>
      </w:pPr>
      <w:r w:rsidRPr="002D63FB">
        <w:t>2</w:t>
      </w:r>
      <w:r w:rsidRPr="002D63FB">
        <w:tab/>
        <w:t>Quatrième série de textes soumis par la Commission de rédaction en première lecture (B4) (Document 130)</w:t>
      </w:r>
    </w:p>
    <w:p w:rsidR="0023630E" w:rsidRPr="002D63FB" w:rsidRDefault="0023630E" w:rsidP="007E6344">
      <w:r w:rsidRPr="002D63FB">
        <w:t>2.1</w:t>
      </w:r>
      <w:r w:rsidRPr="002D63FB">
        <w:tab/>
        <w:t xml:space="preserve">Le </w:t>
      </w:r>
      <w:r w:rsidRPr="002D63FB">
        <w:rPr>
          <w:b/>
          <w:bCs/>
        </w:rPr>
        <w:t>délégué de la Fédération de Russie</w:t>
      </w:r>
      <w:r w:rsidRPr="002D63FB">
        <w:t xml:space="preserve"> propose que toute </w:t>
      </w:r>
      <w:r w:rsidR="007E6344">
        <w:t>observation</w:t>
      </w:r>
      <w:r w:rsidRPr="002D63FB">
        <w:t xml:space="preserve"> d'ordre purement rédactionnel sur telle ou telle version linguistique d'un document soit communiquée directement à la Commission de rédaction et non présentée en séance plénière.</w:t>
      </w:r>
    </w:p>
    <w:p w:rsidR="0023630E" w:rsidRPr="002D63FB" w:rsidRDefault="0023630E" w:rsidP="0023630E">
      <w:r w:rsidRPr="002D63FB">
        <w:t>2.2</w:t>
      </w:r>
      <w:r w:rsidRPr="002D63FB">
        <w:tab/>
        <w:t xml:space="preserve">Il en est ainsi </w:t>
      </w:r>
      <w:r w:rsidRPr="002D63FB">
        <w:rPr>
          <w:b/>
          <w:bCs/>
        </w:rPr>
        <w:t>décidé</w:t>
      </w:r>
      <w:r w:rsidRPr="002D63FB">
        <w:t>.</w:t>
      </w:r>
    </w:p>
    <w:p w:rsidR="0023630E" w:rsidRPr="002D63FB" w:rsidRDefault="0023630E" w:rsidP="0023630E">
      <w:pPr>
        <w:rPr>
          <w:b/>
          <w:bCs/>
        </w:rPr>
      </w:pPr>
      <w:r w:rsidRPr="002D63FB">
        <w:rPr>
          <w:b/>
          <w:bCs/>
        </w:rPr>
        <w:t>Projet de Résolution 2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Forum mondial des politiques de télécommunication et des technologies de l'information et des communications</w:t>
      </w:r>
    </w:p>
    <w:p w:rsidR="0023630E" w:rsidRPr="002D63FB" w:rsidRDefault="0023630E" w:rsidP="0023630E">
      <w:r w:rsidRPr="002D63FB">
        <w:t>2.3</w:t>
      </w:r>
      <w:r w:rsidRPr="002D63FB">
        <w:tab/>
      </w:r>
      <w:r w:rsidRPr="002D63FB">
        <w:rPr>
          <w:b/>
          <w:bCs/>
        </w:rPr>
        <w:t>Adopté</w:t>
      </w:r>
      <w:r w:rsidRPr="002D63FB">
        <w:t>.</w:t>
      </w:r>
    </w:p>
    <w:p w:rsidR="0023630E" w:rsidRPr="002D63FB" w:rsidRDefault="0023630E" w:rsidP="00B4443B">
      <w:pPr>
        <w:rPr>
          <w:b/>
          <w:bCs/>
        </w:rPr>
      </w:pPr>
      <w:r w:rsidRPr="002D63FB">
        <w:rPr>
          <w:b/>
          <w:bCs/>
        </w:rPr>
        <w:t>Projet de Résolution</w:t>
      </w:r>
      <w:r w:rsidR="009A2D81" w:rsidRPr="002D63FB">
        <w:rPr>
          <w:b/>
          <w:bCs/>
        </w:rPr>
        <w:t xml:space="preserve"> </w:t>
      </w:r>
      <w:r w:rsidRPr="002D63FB">
        <w:rPr>
          <w:b/>
          <w:bCs/>
        </w:rPr>
        <w:t xml:space="preserve">70 (Rév. Busan, 2014) </w:t>
      </w:r>
      <w:r w:rsidR="00B4443B" w:rsidRPr="00B4443B">
        <w:rPr>
          <w:b/>
          <w:bCs/>
        </w:rPr>
        <w:t>–</w:t>
      </w:r>
      <w:r w:rsidRPr="002D63FB">
        <w:rPr>
          <w:b/>
          <w:bCs/>
        </w:rPr>
        <w:t xml:space="preserve"> Intégration du principe de l'égalité hommes/femmes à l'UIT, promotion de l'égalité hommes/femmes et autonomisation des femmes grâce aux technologies de l'information et de la communication</w:t>
      </w:r>
    </w:p>
    <w:p w:rsidR="0023630E" w:rsidRPr="002D63FB" w:rsidRDefault="0023630E" w:rsidP="00B4443B">
      <w:pPr>
        <w:rPr>
          <w:b/>
          <w:bCs/>
        </w:rPr>
      </w:pPr>
      <w:r w:rsidRPr="002D63FB">
        <w:t>2.4</w:t>
      </w:r>
      <w:r w:rsidRPr="002D63FB">
        <w:tab/>
        <w:t xml:space="preserve">Le </w:t>
      </w:r>
      <w:r w:rsidRPr="002D63FB">
        <w:rPr>
          <w:b/>
          <w:bCs/>
        </w:rPr>
        <w:t>Président de la Commission de rédaction</w:t>
      </w:r>
      <w:r w:rsidRPr="002D63FB">
        <w:t xml:space="preserve"> dit qu'il convient de supprimer les crochets placés autour de la partie </w:t>
      </w:r>
      <w:r w:rsidRPr="002D63FB">
        <w:rPr>
          <w:i/>
          <w:iCs/>
        </w:rPr>
        <w:t>ten</w:t>
      </w:r>
      <w:r w:rsidRPr="002D63FB">
        <w:t>a</w:t>
      </w:r>
      <w:r w:rsidRPr="002D63FB">
        <w:rPr>
          <w:i/>
          <w:iCs/>
        </w:rPr>
        <w:t>nt compte</w:t>
      </w:r>
      <w:r w:rsidRPr="002D63FB">
        <w:t xml:space="preserve">; la Résolution révisée mentionnée dans ce paragraphe a été approuvée par la Commission 6 et examinée par la Commission de rédaction dans l'intervalle, et sera publiée dans la septième série de textes (B7) soumis par la Commission 4 à la </w:t>
      </w:r>
      <w:r w:rsidR="00B4443B" w:rsidRPr="002D63FB">
        <w:t>p</w:t>
      </w:r>
      <w:r w:rsidRPr="002D63FB">
        <w:t>lénière.</w:t>
      </w:r>
    </w:p>
    <w:p w:rsidR="0023630E" w:rsidRPr="002D63FB" w:rsidRDefault="0023630E" w:rsidP="0023630E">
      <w:r w:rsidRPr="002D63FB">
        <w:t>2.5</w:t>
      </w:r>
      <w:r w:rsidRPr="002D63FB">
        <w:tab/>
        <w:t>Le projet de Résolution</w:t>
      </w:r>
      <w:r w:rsidR="009A2D81" w:rsidRPr="002D63FB">
        <w:t xml:space="preserve"> </w:t>
      </w:r>
      <w:r w:rsidRPr="002D63FB">
        <w:t>70 (Rév.</w:t>
      </w:r>
      <w:r w:rsidR="009A2D81" w:rsidRPr="002D63FB">
        <w:t xml:space="preserve"> </w:t>
      </w:r>
      <w:r w:rsidRPr="002D63FB">
        <w:t xml:space="preserve">Busan) est </w:t>
      </w:r>
      <w:r w:rsidRPr="002D63FB">
        <w:rPr>
          <w:b/>
          <w:bCs/>
        </w:rPr>
        <w:t xml:space="preserve">adopté </w:t>
      </w:r>
      <w:r w:rsidRPr="002D63FB">
        <w:t>tel que modifié.</w:t>
      </w:r>
    </w:p>
    <w:p w:rsidR="0023630E" w:rsidRPr="002D63FB" w:rsidRDefault="0023630E" w:rsidP="00B4443B">
      <w:pPr>
        <w:rPr>
          <w:b/>
          <w:bCs/>
        </w:rPr>
      </w:pPr>
      <w:r w:rsidRPr="002D63FB">
        <w:rPr>
          <w:b/>
          <w:bCs/>
        </w:rPr>
        <w:t xml:space="preserve">Projet de Résolution WG-PL/2 (Busan, 2014) </w:t>
      </w:r>
      <w:r w:rsidR="00B4443B" w:rsidRPr="00B4443B">
        <w:rPr>
          <w:b/>
          <w:bCs/>
        </w:rPr>
        <w:t>–</w:t>
      </w:r>
      <w:r w:rsidRPr="002D63FB">
        <w:rPr>
          <w:b/>
          <w:bCs/>
        </w:rPr>
        <w:t xml:space="preserve"> Protection des utilisateurs/consommateurs de services de télécommunication</w:t>
      </w:r>
    </w:p>
    <w:p w:rsidR="0023630E" w:rsidRPr="002D63FB" w:rsidRDefault="0023630E" w:rsidP="00B4443B">
      <w:pPr>
        <w:rPr>
          <w:b/>
          <w:bCs/>
        </w:rPr>
      </w:pPr>
      <w:r w:rsidRPr="002D63FB">
        <w:rPr>
          <w:b/>
          <w:bCs/>
        </w:rPr>
        <w:t xml:space="preserve">Projet de Résolution WG-PL/3 (Busan, 2014) </w:t>
      </w:r>
      <w:r w:rsidR="00B4443B" w:rsidRPr="00B4443B">
        <w:rPr>
          <w:b/>
          <w:bCs/>
        </w:rPr>
        <w:t>–</w:t>
      </w:r>
      <w:r w:rsidRPr="002D63FB">
        <w:rPr>
          <w:b/>
          <w:bCs/>
        </w:rPr>
        <w:t xml:space="preserve"> Faciliter l'avènement de l'Internet des objets dans la perspective d'un monde global interconnecté </w:t>
      </w:r>
    </w:p>
    <w:p w:rsidR="0023630E" w:rsidRPr="002D63FB" w:rsidRDefault="0023630E" w:rsidP="0023630E">
      <w:pPr>
        <w:snapToGrid w:val="0"/>
      </w:pPr>
      <w:r w:rsidRPr="002D63FB">
        <w:t>2.6</w:t>
      </w:r>
      <w:r w:rsidRPr="002D63FB">
        <w:tab/>
      </w:r>
      <w:r w:rsidRPr="002D63FB">
        <w:rPr>
          <w:b/>
          <w:bCs/>
        </w:rPr>
        <w:t>Adoptés</w:t>
      </w:r>
      <w:r w:rsidRPr="002D63FB">
        <w:t xml:space="preserve">. </w:t>
      </w:r>
    </w:p>
    <w:p w:rsidR="0023630E" w:rsidRPr="002D63FB" w:rsidRDefault="0023630E" w:rsidP="0023630E">
      <w:pPr>
        <w:snapToGrid w:val="0"/>
      </w:pPr>
      <w:r w:rsidRPr="002D63FB">
        <w:t>2.7</w:t>
      </w:r>
      <w:r w:rsidRPr="002D63FB">
        <w:tab/>
        <w:t xml:space="preserve">La quatrième série de textes soumis par la Commission de rédaction en première lecture (B4) (Document 130), telle que modifiée, est </w:t>
      </w:r>
      <w:r w:rsidRPr="002D63FB">
        <w:rPr>
          <w:b/>
          <w:bCs/>
        </w:rPr>
        <w:t>approuvée</w:t>
      </w:r>
      <w:r w:rsidRPr="002D63FB">
        <w:t>.</w:t>
      </w:r>
    </w:p>
    <w:p w:rsidR="0023630E" w:rsidRPr="002D63FB" w:rsidRDefault="0023630E" w:rsidP="00B4443B">
      <w:pPr>
        <w:pStyle w:val="Heading1"/>
      </w:pPr>
      <w:r w:rsidRPr="002D63FB">
        <w:t>3</w:t>
      </w:r>
      <w:r w:rsidRPr="002D63FB">
        <w:tab/>
        <w:t xml:space="preserve">Quatrième série de textes soumis par la Commission de rédaction </w:t>
      </w:r>
      <w:r w:rsidR="00B4443B" w:rsidRPr="00B4443B">
        <w:rPr>
          <w:b w:val="0"/>
          <w:bCs/>
        </w:rPr>
        <w:t>–</w:t>
      </w:r>
      <w:r w:rsidRPr="002D63FB">
        <w:t xml:space="preserve"> deuxième</w:t>
      </w:r>
      <w:r w:rsidR="00B4443B">
        <w:t> </w:t>
      </w:r>
      <w:r w:rsidRPr="002D63FB">
        <w:t>lecture (Document 130)</w:t>
      </w:r>
    </w:p>
    <w:p w:rsidR="0023630E" w:rsidRPr="002D63FB" w:rsidRDefault="0023630E" w:rsidP="0023630E">
      <w:pPr>
        <w:snapToGrid w:val="0"/>
      </w:pPr>
      <w:r w:rsidRPr="002D63FB">
        <w:t>3.1</w:t>
      </w:r>
      <w:r w:rsidRPr="002D63FB">
        <w:tab/>
        <w:t xml:space="preserve">La quatrième série de textes soumis par la Commission de rédaction (Document 130), telle que modifiée en première lecture, est </w:t>
      </w:r>
      <w:r w:rsidRPr="002D63FB">
        <w:rPr>
          <w:b/>
          <w:bCs/>
        </w:rPr>
        <w:t>approuvée</w:t>
      </w:r>
      <w:r w:rsidRPr="002D63FB">
        <w:t xml:space="preserve"> en deuxième lecture.</w:t>
      </w:r>
    </w:p>
    <w:p w:rsidR="0023630E" w:rsidRPr="002D63FB" w:rsidRDefault="0023630E" w:rsidP="0023630E">
      <w:pPr>
        <w:pStyle w:val="Heading1"/>
      </w:pPr>
      <w:r w:rsidRPr="002D63FB">
        <w:rPr>
          <w:szCs w:val="28"/>
        </w:rPr>
        <w:t>4</w:t>
      </w:r>
      <w:r w:rsidRPr="002D63FB">
        <w:rPr>
          <w:szCs w:val="28"/>
        </w:rPr>
        <w:tab/>
        <w:t>Cinquième série de textes soumis par la Commission de rédaction en première lecture</w:t>
      </w:r>
      <w:r w:rsidRPr="002D63FB">
        <w:t xml:space="preserve"> (B5) (Document 139)</w:t>
      </w:r>
    </w:p>
    <w:p w:rsidR="0023630E" w:rsidRPr="002D63FB" w:rsidRDefault="0023630E" w:rsidP="00B4443B">
      <w:pPr>
        <w:spacing w:before="160"/>
        <w:rPr>
          <w:b/>
          <w:bCs/>
        </w:rPr>
      </w:pPr>
      <w:r w:rsidRPr="002D63FB">
        <w:rPr>
          <w:b/>
          <w:bCs/>
        </w:rPr>
        <w:t>Projet de Résolution 25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Renforcement de la présence régionale</w:t>
      </w:r>
    </w:p>
    <w:p w:rsidR="0023630E" w:rsidRPr="002D63FB" w:rsidRDefault="0023630E" w:rsidP="00B4443B">
      <w:pPr>
        <w:spacing w:before="160"/>
        <w:rPr>
          <w:b/>
          <w:bCs/>
        </w:rPr>
      </w:pPr>
      <w:r w:rsidRPr="002D63FB">
        <w:rPr>
          <w:b/>
          <w:bCs/>
        </w:rPr>
        <w:t>Projet de Résolution 94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Vérification des comptes de l'Union</w:t>
      </w:r>
    </w:p>
    <w:p w:rsidR="0023630E" w:rsidRPr="002D63FB" w:rsidRDefault="0023630E" w:rsidP="00B4443B">
      <w:pPr>
        <w:spacing w:before="160"/>
        <w:rPr>
          <w:b/>
          <w:bCs/>
        </w:rPr>
      </w:pPr>
      <w:r w:rsidRPr="002D63FB">
        <w:rPr>
          <w:b/>
          <w:bCs/>
        </w:rPr>
        <w:t>Projet de Résolution 123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Réduire l'écart qui existe en matière de normalisation entre pays en développement et pays développés</w:t>
      </w:r>
    </w:p>
    <w:p w:rsidR="0023630E" w:rsidRPr="002D63FB" w:rsidRDefault="0023630E" w:rsidP="009A2D81">
      <w:pPr>
        <w:spacing w:before="160"/>
        <w:rPr>
          <w:b/>
          <w:bCs/>
        </w:rPr>
      </w:pPr>
      <w:r w:rsidRPr="002D63FB">
        <w:rPr>
          <w:b/>
          <w:bCs/>
        </w:rPr>
        <w:t>Projet de Résolution 137 (Rév.</w:t>
      </w:r>
      <w:r w:rsidR="009A2D81" w:rsidRPr="002D63FB">
        <w:rPr>
          <w:b/>
          <w:bCs/>
        </w:rPr>
        <w:t xml:space="preserve"> </w:t>
      </w:r>
      <w:r w:rsidRPr="002D63FB">
        <w:rPr>
          <w:b/>
          <w:bCs/>
        </w:rPr>
        <w:t>Busan, 2014) – Déploiement de réseaux de prochaine génération dans les pays en développemen</w:t>
      </w:r>
      <w:r w:rsidR="002D63FB" w:rsidRPr="002D63FB">
        <w:rPr>
          <w:b/>
          <w:bCs/>
        </w:rPr>
        <w:t>t</w:t>
      </w:r>
    </w:p>
    <w:p w:rsidR="0023630E" w:rsidRPr="002D63FB" w:rsidRDefault="0023630E" w:rsidP="00B4443B">
      <w:pPr>
        <w:spacing w:before="160"/>
        <w:rPr>
          <w:b/>
          <w:bCs/>
        </w:rPr>
      </w:pPr>
      <w:r w:rsidRPr="002D63FB">
        <w:rPr>
          <w:b/>
          <w:bCs/>
        </w:rPr>
        <w:t>Projet de Résolution 144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Mise à disposition à l'avance de modèles d'accord de pays hôte pour la tenue de conférences et assemblées de l'Union en dehors de Genève</w:t>
      </w:r>
    </w:p>
    <w:p w:rsidR="0023630E" w:rsidRPr="002D63FB" w:rsidRDefault="0023630E" w:rsidP="00B4443B">
      <w:pPr>
        <w:spacing w:before="160"/>
        <w:rPr>
          <w:b/>
          <w:bCs/>
        </w:rPr>
      </w:pPr>
      <w:r w:rsidRPr="002D63FB">
        <w:rPr>
          <w:b/>
          <w:bCs/>
        </w:rPr>
        <w:t>Projet de Résolution 154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Utilisation des six langues officielles de l'Union sur un pied d'égalité</w:t>
      </w:r>
    </w:p>
    <w:p w:rsidR="0023630E" w:rsidRPr="002D63FB" w:rsidRDefault="0023630E" w:rsidP="00B4443B">
      <w:pPr>
        <w:spacing w:before="160"/>
        <w:rPr>
          <w:b/>
          <w:bCs/>
        </w:rPr>
      </w:pPr>
      <w:r w:rsidRPr="002D63FB">
        <w:rPr>
          <w:b/>
          <w:bCs/>
        </w:rPr>
        <w:t>Projet de Résolution 174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Rôle de l'UIT concernant les questions de politiques publiques internationales ayant trait aux risques d'utilisation des technologies de l'information et de la communication à des fins illicites</w:t>
      </w:r>
    </w:p>
    <w:p w:rsidR="0023630E" w:rsidRPr="002D63FB" w:rsidRDefault="0023630E" w:rsidP="0023630E">
      <w:pPr>
        <w:spacing w:before="160"/>
      </w:pPr>
      <w:r w:rsidRPr="002D63FB">
        <w:t>4.1</w:t>
      </w:r>
      <w:r w:rsidRPr="002D63FB">
        <w:tab/>
      </w:r>
      <w:r w:rsidRPr="002D63FB">
        <w:rPr>
          <w:b/>
          <w:bCs/>
        </w:rPr>
        <w:t>Adoptés</w:t>
      </w:r>
      <w:r w:rsidRPr="002D63FB">
        <w:t>.</w:t>
      </w:r>
    </w:p>
    <w:p w:rsidR="0023630E" w:rsidRPr="002D63FB" w:rsidRDefault="0023630E" w:rsidP="0023630E">
      <w:pPr>
        <w:spacing w:before="160"/>
      </w:pPr>
      <w:r w:rsidRPr="002D63FB">
        <w:t>4.2</w:t>
      </w:r>
      <w:r w:rsidRPr="002D63FB">
        <w:tab/>
        <w:t xml:space="preserve">Le </w:t>
      </w:r>
      <w:r w:rsidRPr="002D63FB">
        <w:rPr>
          <w:b/>
          <w:bCs/>
        </w:rPr>
        <w:t xml:space="preserve">délégué de la République islamique d'Iran </w:t>
      </w:r>
      <w:r w:rsidRPr="002D63FB">
        <w:t xml:space="preserve">dit, pour inclusion dans le procès-verbal, que la CMR-15, lorsqu'elle traitera du point de l'ordre du jour lié à la Résolution 174 (Rév. Busan, 2014), devra prendre en considération les buts et objectifs de cette Résolution. </w:t>
      </w:r>
    </w:p>
    <w:p w:rsidR="0023630E" w:rsidRPr="002D63FB" w:rsidRDefault="0023630E" w:rsidP="00B75E4A">
      <w:pPr>
        <w:spacing w:before="160"/>
        <w:rPr>
          <w:b/>
          <w:bCs/>
        </w:rPr>
      </w:pPr>
      <w:r w:rsidRPr="002D63FB">
        <w:rPr>
          <w:b/>
          <w:bCs/>
        </w:rPr>
        <w:t xml:space="preserve">Projet de Résolution WG-PL/4 (Busan, 2014) </w:t>
      </w:r>
      <w:r w:rsidR="00B75E4A" w:rsidRPr="00B4443B">
        <w:rPr>
          <w:b/>
          <w:bCs/>
        </w:rPr>
        <w:t>–</w:t>
      </w:r>
      <w:bookmarkStart w:id="8" w:name="_GoBack"/>
      <w:bookmarkEnd w:id="8"/>
      <w:r w:rsidRPr="002D63FB">
        <w:rPr>
          <w:b/>
          <w:bCs/>
        </w:rPr>
        <w:t xml:space="preserve"> Autonomisation des jeunes au moyen des télécommunications et des technologies de l'information et de la communication </w:t>
      </w:r>
    </w:p>
    <w:p w:rsidR="0023630E" w:rsidRPr="002D63FB" w:rsidRDefault="0023630E" w:rsidP="007E6344">
      <w:pPr>
        <w:spacing w:before="160"/>
      </w:pPr>
      <w:r w:rsidRPr="002D63FB">
        <w:t>4.3</w:t>
      </w:r>
      <w:r w:rsidRPr="002D63FB">
        <w:tab/>
        <w:t xml:space="preserve">Le </w:t>
      </w:r>
      <w:r w:rsidRPr="002D63FB">
        <w:rPr>
          <w:b/>
          <w:bCs/>
        </w:rPr>
        <w:t>Président de la Commission de rédaction</w:t>
      </w:r>
      <w:r w:rsidRPr="002D63FB">
        <w:t xml:space="preserve">, se référant </w:t>
      </w:r>
      <w:r w:rsidRPr="00B4443B">
        <w:t>au</w:t>
      </w:r>
      <w:r w:rsidRPr="002D63FB">
        <w:rPr>
          <w:i/>
          <w:iCs/>
        </w:rPr>
        <w:t xml:space="preserve"> rappelant b)</w:t>
      </w:r>
      <w:r w:rsidRPr="002D63FB">
        <w:t xml:space="preserve">, dit que le projet de Résolution 169 n'a pas encore été soumis à la Commission de rédaction et que les crochets seront supprimés lorsque </w:t>
      </w:r>
      <w:r w:rsidR="007E6344">
        <w:t>cette</w:t>
      </w:r>
      <w:r w:rsidRPr="002D63FB">
        <w:t xml:space="preserve"> Résolution aura été adoptée.</w:t>
      </w:r>
    </w:p>
    <w:p w:rsidR="0023630E" w:rsidRPr="002D63FB" w:rsidRDefault="0023630E" w:rsidP="002D63FB">
      <w:pPr>
        <w:spacing w:before="160"/>
      </w:pPr>
      <w:r w:rsidRPr="002D63FB">
        <w:t>4.4</w:t>
      </w:r>
      <w:r w:rsidRPr="002D63FB">
        <w:tab/>
        <w:t xml:space="preserve">Compte tenu de cette remarque, le </w:t>
      </w:r>
      <w:r w:rsidR="002D63FB" w:rsidRPr="002D63FB">
        <w:t>p</w:t>
      </w:r>
      <w:r w:rsidRPr="002D63FB">
        <w:t xml:space="preserve">rojet de Résolution WG-PL/4 (Busan, 2014) est </w:t>
      </w:r>
      <w:r w:rsidRPr="002D63FB">
        <w:rPr>
          <w:b/>
          <w:bCs/>
        </w:rPr>
        <w:t>adopté</w:t>
      </w:r>
      <w:r w:rsidRPr="002D63FB">
        <w:t>.</w:t>
      </w:r>
    </w:p>
    <w:p w:rsidR="0023630E" w:rsidRPr="002D63FB" w:rsidRDefault="0023630E" w:rsidP="0023630E">
      <w:pPr>
        <w:spacing w:before="160"/>
      </w:pPr>
      <w:r w:rsidRPr="002D63FB">
        <w:t>4.5</w:t>
      </w:r>
      <w:r w:rsidRPr="002D63FB">
        <w:tab/>
        <w:t xml:space="preserve">La </w:t>
      </w:r>
      <w:r w:rsidRPr="002D63FB">
        <w:rPr>
          <w:b/>
          <w:bCs/>
        </w:rPr>
        <w:t>déléguée du Costa Rica</w:t>
      </w:r>
      <w:r w:rsidRPr="00B4443B">
        <w:t>,</w:t>
      </w:r>
      <w:r w:rsidRPr="002D63FB">
        <w:rPr>
          <w:b/>
          <w:bCs/>
        </w:rPr>
        <w:t xml:space="preserve"> </w:t>
      </w:r>
      <w:r w:rsidRPr="002D63FB">
        <w:t>reconnaissant que l'inclusion numérique est essentielle à l'édification d'une société intégrée et inclusive fondée sur la solidarité, dit qu'il y a lieu de prendre des mesures pour assurer à toute personne un accès financièrement abordable aux technologies de l'information et de la communication. Il conviendrait à cet égard d'élargir la coopération internationale en vue de créer plus d'espaces où les jeunes puissent apprendre, créer, participer et être utilisateurs en matière de technologies numériques, en vue de promouvoir le développement de services accessibles et financièrement abordables.</w:t>
      </w:r>
      <w:r w:rsidR="009A2D81" w:rsidRPr="002D63FB">
        <w:t xml:space="preserve"> </w:t>
      </w:r>
    </w:p>
    <w:p w:rsidR="0023630E" w:rsidRPr="002D63FB" w:rsidRDefault="0023630E" w:rsidP="0023630E">
      <w:pPr>
        <w:spacing w:before="160"/>
      </w:pPr>
      <w:r w:rsidRPr="002D63FB">
        <w:t>4.6</w:t>
      </w:r>
      <w:r w:rsidRPr="002D63FB">
        <w:tab/>
        <w:t xml:space="preserve">La </w:t>
      </w:r>
      <w:r w:rsidRPr="002D63FB">
        <w:rPr>
          <w:b/>
          <w:bCs/>
        </w:rPr>
        <w:t xml:space="preserve">déléguée de l'Argentine </w:t>
      </w:r>
      <w:r w:rsidRPr="002D63FB">
        <w:t xml:space="preserve">remercie la CITEL, en particulier le Costa Rica, d'avoir présenté le projet de Résolution WG-PL/4, et le Secrétariat de l'UIT d'avoir lancé avec succès l'initiative "Jeunes décideurs dans le domaine des TIC" lors de la Conférence. </w:t>
      </w:r>
    </w:p>
    <w:p w:rsidR="0023630E" w:rsidRPr="002D63FB" w:rsidRDefault="0023630E" w:rsidP="0023630E">
      <w:pPr>
        <w:spacing w:before="160"/>
      </w:pPr>
      <w:r w:rsidRPr="002D63FB">
        <w:t>4.7</w:t>
      </w:r>
      <w:r w:rsidRPr="002D63FB">
        <w:tab/>
        <w:t xml:space="preserve">Le </w:t>
      </w:r>
      <w:r w:rsidRPr="002D63FB">
        <w:rPr>
          <w:b/>
          <w:bCs/>
        </w:rPr>
        <w:t>délégué des Emirats arabes unis</w:t>
      </w:r>
      <w:r w:rsidRPr="002D63FB">
        <w:t>, s'exprimant au nom du groupe arabe,</w:t>
      </w:r>
      <w:r w:rsidR="009A2D81" w:rsidRPr="002D63FB">
        <w:t xml:space="preserve"> </w:t>
      </w:r>
      <w:r w:rsidRPr="002D63FB">
        <w:t>se félicite des efforts déployés par toutes les parties concernées pour rédiger la Résolution, qui contribuera à aider les jeunes à renforcer leurs activités à l'UIT, notamment dans le domaine des technologies de l'information et de la communication.</w:t>
      </w:r>
    </w:p>
    <w:p w:rsidR="0023630E" w:rsidRPr="002D63FB" w:rsidRDefault="0023630E" w:rsidP="0023630E">
      <w:pPr>
        <w:spacing w:before="160"/>
      </w:pPr>
      <w:r w:rsidRPr="002D63FB">
        <w:t>4.8</w:t>
      </w:r>
      <w:r w:rsidRPr="002D63FB">
        <w:tab/>
        <w:t xml:space="preserve">Le </w:t>
      </w:r>
      <w:r w:rsidRPr="002D63FB">
        <w:rPr>
          <w:b/>
          <w:bCs/>
        </w:rPr>
        <w:t>délégué de la Grenade</w:t>
      </w:r>
      <w:r w:rsidRPr="002D63FB">
        <w:t>, s'exprimant au nom des nations des Caraïbes, se félicite également de la Résolution et de ses conséquences pour les jeunes. Le degré de mentorat ainsi assuré garantit aux jeunes un avenir non seulement à l'UIT, mais plus largement dans le monde des technologies de l'information et de la communication.</w:t>
      </w:r>
    </w:p>
    <w:p w:rsidR="0023630E" w:rsidRPr="002D63FB" w:rsidRDefault="0023630E" w:rsidP="0023630E">
      <w:pPr>
        <w:spacing w:before="160"/>
      </w:pPr>
      <w:r w:rsidRPr="002D63FB">
        <w:t>4.9</w:t>
      </w:r>
      <w:r w:rsidRPr="002D63FB">
        <w:tab/>
        <w:t xml:space="preserve">La </w:t>
      </w:r>
      <w:r w:rsidRPr="002D63FB">
        <w:rPr>
          <w:b/>
          <w:bCs/>
        </w:rPr>
        <w:t xml:space="preserve">déléguée des Comores </w:t>
      </w:r>
      <w:r w:rsidRPr="002D63FB">
        <w:t>note que, grâce à l'initiative "Jeunes décideurs dans le domaine des TIC", un premier groupe de jeunes gens a assisté à la PP-14 et elle espère qu'un autre groupe participera à la prochaine Conférence de plénipotentiaires. Elle encourage les Etats Membres à mettre en place un système de suivi de l'évolution et de l'implication des jeunes ayant pris part à l'initiative.</w:t>
      </w:r>
    </w:p>
    <w:p w:rsidR="0023630E" w:rsidRPr="002D63FB" w:rsidRDefault="0023630E" w:rsidP="007E6344">
      <w:pPr>
        <w:spacing w:before="160"/>
      </w:pPr>
      <w:r w:rsidRPr="002D63FB">
        <w:t>4</w:t>
      </w:r>
      <w:r w:rsidR="002D63FB" w:rsidRPr="002D63FB">
        <w:t>.10</w:t>
      </w:r>
      <w:r w:rsidR="002D63FB" w:rsidRPr="002D63FB">
        <w:tab/>
      </w:r>
      <w:r w:rsidRPr="002D63FB">
        <w:t xml:space="preserve">Le </w:t>
      </w:r>
      <w:r w:rsidRPr="002D63FB">
        <w:rPr>
          <w:b/>
          <w:bCs/>
        </w:rPr>
        <w:t xml:space="preserve">délégué de Vanuatu </w:t>
      </w:r>
      <w:r w:rsidRPr="002D63FB">
        <w:t>remercie également l'UIT d'avoir lancé l'initiative "Jeunes décideurs dans le domaine des TIC", qui doit être poursuivie. Il félicite les jeunes professionnels qui ont rédigé la Résolution</w:t>
      </w:r>
      <w:r w:rsidR="007E6344">
        <w:t xml:space="preserve">, que </w:t>
      </w:r>
      <w:r w:rsidRPr="002D63FB">
        <w:t>son Gouvernement</w:t>
      </w:r>
      <w:r w:rsidR="007E6344">
        <w:t xml:space="preserve"> considère comme </w:t>
      </w:r>
      <w:r w:rsidRPr="002D63FB">
        <w:t xml:space="preserve">un moyen d'encourager les jeunes à s'impliquer dans des activités économiques novatrices. </w:t>
      </w:r>
    </w:p>
    <w:p w:rsidR="0023630E" w:rsidRPr="002D63FB" w:rsidRDefault="0023630E" w:rsidP="002D63FB">
      <w:pPr>
        <w:spacing w:before="160"/>
        <w:rPr>
          <w:b/>
          <w:bCs/>
        </w:rPr>
      </w:pPr>
      <w:r w:rsidRPr="002D63FB">
        <w:rPr>
          <w:b/>
          <w:bCs/>
        </w:rPr>
        <w:t>Projet de Résolution WG-PL/5 (Busan, 2014) – Promouvoir les efforts en vue de renforcer les capacités dans le domaine des réseaux pilotés par logiciel</w:t>
      </w:r>
      <w:r w:rsidR="009A2D81" w:rsidRPr="002D63FB">
        <w:rPr>
          <w:b/>
          <w:bCs/>
        </w:rPr>
        <w:t xml:space="preserve"> dans les pays en développement</w:t>
      </w:r>
    </w:p>
    <w:p w:rsidR="0023630E" w:rsidRPr="002D63FB" w:rsidRDefault="0023630E" w:rsidP="00B4443B">
      <w:pPr>
        <w:spacing w:before="160"/>
        <w:rPr>
          <w:b/>
          <w:bCs/>
        </w:rPr>
      </w:pPr>
      <w:r w:rsidRPr="002D63FB">
        <w:rPr>
          <w:b/>
          <w:bCs/>
        </w:rPr>
        <w:t xml:space="preserve">Projet de Résolution COM5/2 (Busan, 2014) </w:t>
      </w:r>
      <w:r w:rsidR="00B4443B" w:rsidRPr="00B4443B">
        <w:rPr>
          <w:b/>
          <w:bCs/>
        </w:rPr>
        <w:t>–</w:t>
      </w:r>
      <w:r w:rsidRPr="002D63FB">
        <w:rPr>
          <w:b/>
          <w:bCs/>
        </w:rPr>
        <w:t xml:space="preserve"> Renforcement du rôle de l'UIT en ce qui concerne les mesures de transparence et de confiance relatives aux activités spatiales</w:t>
      </w:r>
    </w:p>
    <w:p w:rsidR="0023630E" w:rsidRPr="002D63FB" w:rsidRDefault="0023630E" w:rsidP="0023630E">
      <w:pPr>
        <w:spacing w:before="160"/>
      </w:pPr>
      <w:r w:rsidRPr="002D63FB">
        <w:t>4.11</w:t>
      </w:r>
      <w:r w:rsidRPr="002D63FB">
        <w:tab/>
      </w:r>
      <w:r w:rsidRPr="002D63FB">
        <w:rPr>
          <w:b/>
          <w:bCs/>
        </w:rPr>
        <w:t>Adoptés</w:t>
      </w:r>
      <w:r w:rsidRPr="002D63FB">
        <w:t>.</w:t>
      </w:r>
    </w:p>
    <w:p w:rsidR="0023630E" w:rsidRPr="002D63FB" w:rsidRDefault="0023630E" w:rsidP="0023630E">
      <w:pPr>
        <w:snapToGrid w:val="0"/>
        <w:spacing w:before="160"/>
        <w:rPr>
          <w:b/>
          <w:bCs/>
        </w:rPr>
      </w:pPr>
      <w:r w:rsidRPr="002D63FB">
        <w:t>4.12</w:t>
      </w:r>
      <w:r w:rsidRPr="002D63FB">
        <w:tab/>
        <w:t xml:space="preserve">La cinquième série de textes soumis par la Commission de rédaction en première lecture (B5) (Document 139) est </w:t>
      </w:r>
      <w:r w:rsidRPr="002D63FB">
        <w:rPr>
          <w:b/>
          <w:bCs/>
        </w:rPr>
        <w:t>approuvée</w:t>
      </w:r>
      <w:r w:rsidRPr="00B4443B">
        <w:t>.</w:t>
      </w:r>
    </w:p>
    <w:p w:rsidR="0023630E" w:rsidRPr="002D63FB" w:rsidRDefault="0023630E" w:rsidP="00B4443B">
      <w:pPr>
        <w:pStyle w:val="Heading1"/>
        <w:spacing w:before="240"/>
      </w:pPr>
      <w:r w:rsidRPr="002D63FB">
        <w:t>5</w:t>
      </w:r>
      <w:r w:rsidRPr="002D63FB">
        <w:tab/>
        <w:t xml:space="preserve">Cinquième série de textes soumis par la Commission de rédaction </w:t>
      </w:r>
      <w:r w:rsidR="00B4443B" w:rsidRPr="00B4443B">
        <w:rPr>
          <w:b w:val="0"/>
          <w:bCs/>
        </w:rPr>
        <w:t>–</w:t>
      </w:r>
      <w:r w:rsidRPr="002D63FB">
        <w:t xml:space="preserve"> deuxième lecture (Document 139)</w:t>
      </w:r>
    </w:p>
    <w:p w:rsidR="0023630E" w:rsidRPr="002D63FB" w:rsidRDefault="0023630E" w:rsidP="0023630E">
      <w:pPr>
        <w:snapToGrid w:val="0"/>
        <w:spacing w:before="160"/>
      </w:pPr>
      <w:r w:rsidRPr="002D63FB">
        <w:t>5.1</w:t>
      </w:r>
      <w:r w:rsidRPr="002D63FB">
        <w:tab/>
        <w:t xml:space="preserve">La cinquième série de textes soumis par la Commission de rédaction (Document 139) est </w:t>
      </w:r>
      <w:r w:rsidRPr="002D63FB">
        <w:rPr>
          <w:b/>
          <w:bCs/>
        </w:rPr>
        <w:t>approuvée</w:t>
      </w:r>
      <w:r w:rsidRPr="002D63FB">
        <w:t xml:space="preserve"> en deuxième lecture.</w:t>
      </w:r>
    </w:p>
    <w:p w:rsidR="0023630E" w:rsidRPr="002D63FB" w:rsidRDefault="0023630E" w:rsidP="0023630E">
      <w:pPr>
        <w:pStyle w:val="Heading1"/>
        <w:spacing w:before="240"/>
      </w:pPr>
      <w:r w:rsidRPr="002D63FB">
        <w:t>6</w:t>
      </w:r>
      <w:r w:rsidRPr="002D63FB">
        <w:tab/>
        <w:t>Sixième série de textes soumis par la Commission de rédaction en première lecture (B6) (Document 142)</w:t>
      </w:r>
    </w:p>
    <w:p w:rsidR="0023630E" w:rsidRPr="002D63FB" w:rsidRDefault="0023630E" w:rsidP="00B4443B">
      <w:pPr>
        <w:snapToGrid w:val="0"/>
        <w:spacing w:before="160"/>
        <w:rPr>
          <w:b/>
          <w:bCs/>
        </w:rPr>
      </w:pPr>
      <w:r w:rsidRPr="002D63FB">
        <w:rPr>
          <w:b/>
          <w:bCs/>
        </w:rPr>
        <w:t>Projet de Résolution 131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Mesurer les technologies de l'information et de la communication pour édifier une société de l'information intégrée et inclusive </w:t>
      </w:r>
    </w:p>
    <w:p w:rsidR="0023630E" w:rsidRPr="002D63FB" w:rsidRDefault="0023630E" w:rsidP="00B4443B">
      <w:pPr>
        <w:snapToGrid w:val="0"/>
        <w:spacing w:before="160"/>
        <w:rPr>
          <w:b/>
          <w:bCs/>
        </w:rPr>
      </w:pPr>
      <w:r w:rsidRPr="002D63FB">
        <w:rPr>
          <w:b/>
          <w:bCs/>
        </w:rPr>
        <w:t>Projet de Résolution 139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Utilisation des télécommunications et des technologies de l'information et de la communication pour réduire la fracture numérique et édifier une soc</w:t>
      </w:r>
      <w:r w:rsidR="009A2D81" w:rsidRPr="002D63FB">
        <w:rPr>
          <w:b/>
          <w:bCs/>
        </w:rPr>
        <w:t>iété de l'information inclusive</w:t>
      </w:r>
    </w:p>
    <w:p w:rsidR="0023630E" w:rsidRPr="002D63FB" w:rsidRDefault="0023630E" w:rsidP="00B4443B">
      <w:pPr>
        <w:snapToGrid w:val="0"/>
        <w:spacing w:before="160"/>
        <w:rPr>
          <w:b/>
          <w:bCs/>
        </w:rPr>
      </w:pPr>
      <w:r w:rsidRPr="002D63FB">
        <w:rPr>
          <w:b/>
          <w:bCs/>
        </w:rPr>
        <w:t>Projet de Résolution 176 (Rév.</w:t>
      </w:r>
      <w:r w:rsidR="009A2D81" w:rsidRPr="002D63FB">
        <w:rPr>
          <w:b/>
          <w:bCs/>
        </w:rPr>
        <w:t xml:space="preserve"> </w:t>
      </w:r>
      <w:r w:rsidRPr="002D63FB">
        <w:rPr>
          <w:b/>
          <w:bCs/>
        </w:rPr>
        <w:t xml:space="preserve">Busan, 2014) </w:t>
      </w:r>
      <w:r w:rsidR="00B4443B" w:rsidRPr="00B4443B">
        <w:rPr>
          <w:b/>
          <w:bCs/>
        </w:rPr>
        <w:t>–</w:t>
      </w:r>
      <w:r w:rsidRPr="002D63FB">
        <w:rPr>
          <w:b/>
          <w:bCs/>
        </w:rPr>
        <w:t xml:space="preserve"> Exposition des personnes aux champs électromagnétiques et mesure de ces champs</w:t>
      </w:r>
    </w:p>
    <w:p w:rsidR="0023630E" w:rsidRPr="002D63FB" w:rsidRDefault="0023630E" w:rsidP="0023630E">
      <w:pPr>
        <w:spacing w:before="160"/>
      </w:pPr>
      <w:r w:rsidRPr="002D63FB">
        <w:t>6.1</w:t>
      </w:r>
      <w:r w:rsidRPr="002D63FB">
        <w:tab/>
      </w:r>
      <w:r w:rsidRPr="002D63FB">
        <w:rPr>
          <w:b/>
          <w:bCs/>
        </w:rPr>
        <w:t>Adoptés</w:t>
      </w:r>
      <w:r w:rsidRPr="002D63FB">
        <w:t>.</w:t>
      </w:r>
    </w:p>
    <w:p w:rsidR="0023630E" w:rsidRPr="002D63FB" w:rsidRDefault="0023630E" w:rsidP="0023630E">
      <w:pPr>
        <w:snapToGrid w:val="0"/>
        <w:spacing w:before="160"/>
        <w:rPr>
          <w:b/>
          <w:bCs/>
        </w:rPr>
      </w:pPr>
      <w:r w:rsidRPr="002D63FB">
        <w:t>6.2</w:t>
      </w:r>
      <w:r w:rsidRPr="002D63FB">
        <w:tab/>
        <w:t xml:space="preserve">La sixième série de textes soumis par la Commission de rédaction en première lecture (B6) (Document 142) est </w:t>
      </w:r>
      <w:r w:rsidRPr="002D63FB">
        <w:rPr>
          <w:b/>
          <w:bCs/>
        </w:rPr>
        <w:t>approuvée</w:t>
      </w:r>
      <w:r w:rsidRPr="00B4443B">
        <w:t>.</w:t>
      </w:r>
    </w:p>
    <w:p w:rsidR="0023630E" w:rsidRPr="002D63FB" w:rsidRDefault="0023630E" w:rsidP="00B4443B">
      <w:pPr>
        <w:pStyle w:val="Heading1"/>
        <w:spacing w:before="240"/>
      </w:pPr>
      <w:r w:rsidRPr="002D63FB">
        <w:t>7</w:t>
      </w:r>
      <w:r w:rsidRPr="002D63FB">
        <w:tab/>
        <w:t xml:space="preserve">Sixième série de textes soumis par la Commission de rédaction </w:t>
      </w:r>
      <w:r w:rsidR="00B4443B" w:rsidRPr="00B4443B">
        <w:t>–</w:t>
      </w:r>
      <w:r w:rsidRPr="002D63FB">
        <w:t xml:space="preserve"> deuxième lecture (Document 142)</w:t>
      </w:r>
    </w:p>
    <w:p w:rsidR="0023630E" w:rsidRPr="002D63FB" w:rsidRDefault="0023630E" w:rsidP="0023630E">
      <w:pPr>
        <w:snapToGrid w:val="0"/>
        <w:spacing w:before="160"/>
      </w:pPr>
      <w:r w:rsidRPr="002D63FB">
        <w:t>7.1</w:t>
      </w:r>
      <w:r w:rsidRPr="002D63FB">
        <w:tab/>
        <w:t xml:space="preserve">La sixième série de textes soumis par la Commission de rédaction (Document 142) est </w:t>
      </w:r>
      <w:r w:rsidRPr="002D63FB">
        <w:rPr>
          <w:b/>
          <w:bCs/>
        </w:rPr>
        <w:t>approuvée</w:t>
      </w:r>
      <w:r w:rsidRPr="002D63FB">
        <w:t xml:space="preserve"> en deuxième lecture.</w:t>
      </w:r>
    </w:p>
    <w:p w:rsidR="0023630E" w:rsidRPr="002D63FB" w:rsidRDefault="0023630E" w:rsidP="0023630E">
      <w:pPr>
        <w:pStyle w:val="Heading1"/>
        <w:spacing w:before="240"/>
      </w:pPr>
      <w:r w:rsidRPr="002D63FB">
        <w:t>8</w:t>
      </w:r>
      <w:r w:rsidRPr="002D63FB">
        <w:tab/>
        <w:t>Première série de textes soumis par la Commission de rédaction en deuxième lecture (R1) (Document 137)</w:t>
      </w:r>
    </w:p>
    <w:p w:rsidR="0023630E" w:rsidRPr="002D63FB" w:rsidRDefault="0023630E" w:rsidP="00B4443B">
      <w:pPr>
        <w:snapToGrid w:val="0"/>
        <w:spacing w:before="160"/>
        <w:rPr>
          <w:b/>
          <w:bCs/>
        </w:rPr>
      </w:pPr>
      <w:r w:rsidRPr="002D63FB">
        <w:rPr>
          <w:b/>
          <w:bCs/>
        </w:rPr>
        <w:t xml:space="preserve">Projet de décision COM6/1 (Busan, 2014) </w:t>
      </w:r>
      <w:r w:rsidR="00B4443B" w:rsidRPr="00B4443B">
        <w:rPr>
          <w:b/>
          <w:bCs/>
        </w:rPr>
        <w:t>–</w:t>
      </w:r>
      <w:r w:rsidRPr="002D63FB">
        <w:rPr>
          <w:b/>
          <w:bCs/>
        </w:rPr>
        <w:t xml:space="preserve"> Mécanisme de suivi des programmes et projets de l'UIT </w:t>
      </w:r>
    </w:p>
    <w:p w:rsidR="0023630E" w:rsidRPr="002D63FB" w:rsidRDefault="0023630E" w:rsidP="009A2D81">
      <w:pPr>
        <w:snapToGrid w:val="0"/>
        <w:spacing w:before="160"/>
      </w:pPr>
      <w:r w:rsidRPr="002D63FB">
        <w:t>8.1</w:t>
      </w:r>
      <w:r w:rsidRPr="002D63FB">
        <w:tab/>
        <w:t xml:space="preserve">La </w:t>
      </w:r>
      <w:r w:rsidRPr="002D63FB">
        <w:rPr>
          <w:b/>
          <w:bCs/>
        </w:rPr>
        <w:t>Présidente de la Commission 6</w:t>
      </w:r>
      <w:r w:rsidRPr="002D63FB">
        <w:t xml:space="preserve"> dit qu'il convient de supprimer les crochets de la partie</w:t>
      </w:r>
      <w:r w:rsidR="009A2D81" w:rsidRPr="002D63FB">
        <w:t xml:space="preserve"> </w:t>
      </w:r>
      <w:r w:rsidRPr="002D63FB">
        <w:rPr>
          <w:i/>
          <w:iCs/>
        </w:rPr>
        <w:t>charge le Secrétaire général</w:t>
      </w:r>
      <w:r w:rsidRPr="002D63FB">
        <w:t xml:space="preserve"> 1 et de remplacer le texte entre crochets par "et d'assurer le libre accès des parties prenantes concernées à cette base de données".</w:t>
      </w:r>
    </w:p>
    <w:p w:rsidR="0023630E" w:rsidRPr="002D63FB" w:rsidRDefault="0023630E" w:rsidP="0023630E">
      <w:pPr>
        <w:snapToGrid w:val="0"/>
        <w:spacing w:before="160"/>
      </w:pPr>
      <w:r w:rsidRPr="002D63FB">
        <w:t>8.2.</w:t>
      </w:r>
      <w:r w:rsidRPr="002D63FB">
        <w:tab/>
        <w:t xml:space="preserve">Le projet de décision, tel que modifié, est </w:t>
      </w:r>
      <w:r w:rsidRPr="002D63FB">
        <w:rPr>
          <w:b/>
          <w:bCs/>
        </w:rPr>
        <w:t>adopté</w:t>
      </w:r>
      <w:r w:rsidRPr="002D63FB">
        <w:t>.</w:t>
      </w:r>
    </w:p>
    <w:p w:rsidR="0023630E" w:rsidRPr="002D63FB" w:rsidRDefault="0023630E" w:rsidP="00B4443B">
      <w:pPr>
        <w:snapToGrid w:val="0"/>
        <w:spacing w:before="160"/>
        <w:rPr>
          <w:b/>
          <w:bCs/>
        </w:rPr>
      </w:pPr>
      <w:r w:rsidRPr="002D63FB">
        <w:rPr>
          <w:b/>
          <w:bCs/>
        </w:rPr>
        <w:t xml:space="preserve">Projet de Résolution COM6/1 (Busan, 2014) </w:t>
      </w:r>
      <w:r w:rsidR="00B4443B" w:rsidRPr="00B4443B">
        <w:rPr>
          <w:b/>
          <w:bCs/>
        </w:rPr>
        <w:t>–</w:t>
      </w:r>
      <w:r w:rsidRPr="002D63FB">
        <w:rPr>
          <w:b/>
          <w:bCs/>
        </w:rPr>
        <w:t xml:space="preserve"> Stratégie de coordination des efforts entre les trois Secteurs de l'Union</w:t>
      </w:r>
    </w:p>
    <w:p w:rsidR="0023630E" w:rsidRPr="002D63FB" w:rsidRDefault="0023630E" w:rsidP="0023630E">
      <w:pPr>
        <w:snapToGrid w:val="0"/>
        <w:spacing w:before="160"/>
      </w:pPr>
      <w:r w:rsidRPr="002D63FB">
        <w:t>8.3</w:t>
      </w:r>
      <w:r w:rsidRPr="002D63FB">
        <w:tab/>
        <w:t xml:space="preserve">Le </w:t>
      </w:r>
      <w:r w:rsidRPr="002D63FB">
        <w:rPr>
          <w:b/>
          <w:bCs/>
        </w:rPr>
        <w:t xml:space="preserve">Président de la Commission de rédaction </w:t>
      </w:r>
      <w:r w:rsidRPr="002D63FB">
        <w:t xml:space="preserve">souligne que la partie </w:t>
      </w:r>
      <w:r w:rsidRPr="002D63FB">
        <w:rPr>
          <w:i/>
          <w:iCs/>
        </w:rPr>
        <w:t xml:space="preserve">charge le directeur du Bureau des radiocommunications, le directeur du Bureau de la normalisation des télécommunications et le directeur du Bureau de développement des télécommunications </w:t>
      </w:r>
      <w:r w:rsidRPr="002D63FB">
        <w:t>3 contient un texte révisé ayant fait l'objet d'un accord entre la Fédération de Russie et la République islamique d'Iran.</w:t>
      </w:r>
    </w:p>
    <w:p w:rsidR="0023630E" w:rsidRPr="002D63FB" w:rsidRDefault="0023630E" w:rsidP="0023630E">
      <w:pPr>
        <w:snapToGrid w:val="0"/>
        <w:spacing w:before="160"/>
      </w:pPr>
      <w:r w:rsidRPr="002D63FB">
        <w:t>8.4</w:t>
      </w:r>
      <w:r w:rsidRPr="002D63FB">
        <w:tab/>
        <w:t xml:space="preserve">Le Projet de Résolution est </w:t>
      </w:r>
      <w:r w:rsidRPr="002D63FB">
        <w:rPr>
          <w:b/>
          <w:bCs/>
        </w:rPr>
        <w:t>adopté</w:t>
      </w:r>
      <w:r w:rsidRPr="002D63FB">
        <w:t>.</w:t>
      </w:r>
    </w:p>
    <w:p w:rsidR="0023630E" w:rsidRPr="002D63FB" w:rsidRDefault="0023630E" w:rsidP="00B4443B">
      <w:pPr>
        <w:snapToGrid w:val="0"/>
        <w:spacing w:before="160"/>
        <w:rPr>
          <w:b/>
          <w:bCs/>
        </w:rPr>
      </w:pPr>
      <w:r w:rsidRPr="002D63FB">
        <w:rPr>
          <w:b/>
          <w:bCs/>
        </w:rPr>
        <w:t xml:space="preserve">SUP Résolution 171 (Guadalajara, 2010) </w:t>
      </w:r>
      <w:r w:rsidR="00B4443B" w:rsidRPr="00B4443B">
        <w:rPr>
          <w:b/>
          <w:bCs/>
        </w:rPr>
        <w:t>–</w:t>
      </w:r>
      <w:r w:rsidRPr="002D63FB">
        <w:rPr>
          <w:b/>
          <w:bCs/>
        </w:rPr>
        <w:t xml:space="preserve"> Préparation de la Conférence mondiale des télécommunications internationales de 2012</w:t>
      </w:r>
    </w:p>
    <w:p w:rsidR="0023630E" w:rsidRPr="002D63FB" w:rsidRDefault="0023630E" w:rsidP="0023630E">
      <w:pPr>
        <w:snapToGrid w:val="0"/>
        <w:spacing w:before="160"/>
      </w:pPr>
      <w:r w:rsidRPr="002D63FB">
        <w:t>8.5</w:t>
      </w:r>
      <w:r w:rsidRPr="002D63FB">
        <w:tab/>
      </w:r>
      <w:r w:rsidRPr="002D63FB">
        <w:rPr>
          <w:b/>
          <w:bCs/>
        </w:rPr>
        <w:t>Approuvé</w:t>
      </w:r>
      <w:r w:rsidRPr="002D63FB">
        <w:t>.</w:t>
      </w:r>
    </w:p>
    <w:p w:rsidR="0023630E" w:rsidRPr="002D63FB" w:rsidRDefault="0023630E" w:rsidP="0023630E">
      <w:pPr>
        <w:snapToGrid w:val="0"/>
        <w:spacing w:before="160"/>
      </w:pPr>
      <w:r w:rsidRPr="002D63FB">
        <w:t>8.6</w:t>
      </w:r>
      <w:r w:rsidRPr="002D63FB">
        <w:tab/>
        <w:t xml:space="preserve">La première série de textes soumis par la Commission de rédaction en deuxième lecture (R1) (Document 137) est </w:t>
      </w:r>
      <w:r w:rsidRPr="002D63FB">
        <w:rPr>
          <w:b/>
          <w:bCs/>
        </w:rPr>
        <w:t>approuvée</w:t>
      </w:r>
      <w:r w:rsidRPr="002D63FB">
        <w:t xml:space="preserve"> telle que modifiée.</w:t>
      </w:r>
    </w:p>
    <w:p w:rsidR="0023630E" w:rsidRPr="002D63FB" w:rsidRDefault="0023630E" w:rsidP="00B4443B">
      <w:pPr>
        <w:pStyle w:val="Heading1"/>
        <w:spacing w:before="240"/>
      </w:pPr>
      <w:r w:rsidRPr="002D63FB">
        <w:t>9</w:t>
      </w:r>
      <w:r w:rsidRPr="002D63FB">
        <w:tab/>
        <w:t xml:space="preserve">Approbation des procès-verbaux (Documents 107, 108, 112, 113 </w:t>
      </w:r>
      <w:r w:rsidR="00B4443B">
        <w:t>et</w:t>
      </w:r>
      <w:r w:rsidRPr="002D63FB">
        <w:t xml:space="preserve"> 114)</w:t>
      </w:r>
    </w:p>
    <w:p w:rsidR="0023630E" w:rsidRPr="002D63FB" w:rsidRDefault="0023630E" w:rsidP="0023630E">
      <w:pPr>
        <w:spacing w:before="160"/>
      </w:pPr>
      <w:r w:rsidRPr="002D63FB">
        <w:t>9.1</w:t>
      </w:r>
      <w:r w:rsidRPr="002D63FB">
        <w:tab/>
        <w:t xml:space="preserve">Le </w:t>
      </w:r>
      <w:r w:rsidRPr="002D63FB">
        <w:rPr>
          <w:b/>
          <w:bCs/>
        </w:rPr>
        <w:t>délégué du Japon</w:t>
      </w:r>
      <w:r w:rsidRPr="002D63FB">
        <w:t>, se référant au paragraphe 13.1 du procès-verbal de la première séance plénière (Document 107), dit que le titre de M. Kosaburo Nishime (Japon) doit être changé en Ministre d'Etat.</w:t>
      </w:r>
    </w:p>
    <w:p w:rsidR="0023630E" w:rsidRPr="002D63FB" w:rsidRDefault="0023630E" w:rsidP="007E6344">
      <w:pPr>
        <w:spacing w:before="160"/>
      </w:pPr>
      <w:r w:rsidRPr="002D63FB">
        <w:t>9.2</w:t>
      </w:r>
      <w:r w:rsidRPr="002D63FB">
        <w:tab/>
        <w:t xml:space="preserve">Le </w:t>
      </w:r>
      <w:r w:rsidRPr="002D63FB">
        <w:rPr>
          <w:b/>
          <w:bCs/>
        </w:rPr>
        <w:t>Président</w:t>
      </w:r>
      <w:r w:rsidRPr="002D63FB">
        <w:t xml:space="preserve"> </w:t>
      </w:r>
      <w:r w:rsidR="007E6344">
        <w:t xml:space="preserve">demande aux </w:t>
      </w:r>
      <w:r w:rsidRPr="002D63FB">
        <w:t xml:space="preserve">délégations qui souhaiteraient apporter des changements aux procès-verbaux </w:t>
      </w:r>
      <w:r w:rsidR="007E6344">
        <w:t xml:space="preserve">de communiquer </w:t>
      </w:r>
      <w:r w:rsidRPr="002D63FB">
        <w:t xml:space="preserve">leurs modifications au Secrétariat. </w:t>
      </w:r>
    </w:p>
    <w:p w:rsidR="0023630E" w:rsidRPr="002D63FB" w:rsidRDefault="0023630E" w:rsidP="0023630E">
      <w:pPr>
        <w:spacing w:before="160"/>
      </w:pPr>
      <w:r w:rsidRPr="002D63FB">
        <w:t>9.3</w:t>
      </w:r>
      <w:r w:rsidRPr="002D63FB">
        <w:tab/>
        <w:t>Avec cette remarque, le procès-verbal de la première séance plénière (Document 107)</w:t>
      </w:r>
      <w:r w:rsidR="002D63FB" w:rsidRPr="002D63FB">
        <w:t>,</w:t>
      </w:r>
      <w:r w:rsidRPr="002D63FB">
        <w:rPr>
          <w:b/>
          <w:bCs/>
        </w:rPr>
        <w:t xml:space="preserve"> </w:t>
      </w:r>
      <w:r w:rsidRPr="002D63FB">
        <w:t xml:space="preserve">tel que modifié, et les procès-verbaux de la deuxième séance plénière (Document 108), de la troisième séance plénière (Document 112), de la quatrième séance plénière (Document 113) et de la cinquième séance plénière (Document 114) sont </w:t>
      </w:r>
      <w:r w:rsidRPr="002D63FB">
        <w:rPr>
          <w:b/>
          <w:bCs/>
        </w:rPr>
        <w:t>approuvés</w:t>
      </w:r>
      <w:r w:rsidRPr="002D63FB">
        <w:t>.</w:t>
      </w:r>
    </w:p>
    <w:p w:rsidR="0023630E" w:rsidRPr="002D63FB" w:rsidRDefault="0023630E" w:rsidP="0023630E">
      <w:pPr>
        <w:pStyle w:val="Heading1"/>
        <w:spacing w:before="240"/>
      </w:pPr>
      <w:r w:rsidRPr="002D63FB">
        <w:t>10</w:t>
      </w:r>
      <w:r w:rsidRPr="002D63FB">
        <w:tab/>
        <w:t>Mesures de lutte contre le virus E</w:t>
      </w:r>
      <w:r w:rsidR="009A2D81" w:rsidRPr="002D63FB">
        <w:t>bola</w:t>
      </w:r>
    </w:p>
    <w:p w:rsidR="0023630E" w:rsidRPr="002D63FB" w:rsidRDefault="0023630E" w:rsidP="0023630E">
      <w:pPr>
        <w:spacing w:before="160"/>
      </w:pPr>
      <w:r w:rsidRPr="002D63FB">
        <w:t xml:space="preserve">10.1 </w:t>
      </w:r>
      <w:r w:rsidRPr="002D63FB">
        <w:tab/>
        <w:t xml:space="preserve">Le </w:t>
      </w:r>
      <w:r w:rsidRPr="002D63FB">
        <w:rPr>
          <w:b/>
        </w:rPr>
        <w:t xml:space="preserve">Président </w:t>
      </w:r>
      <w:r w:rsidRPr="002D63FB">
        <w:t>indique que la délégation du Japon a annoncé le versement à l'UIT d'une contribution de 180 000 CHF en appui au développement des applications mobiles destinées à prévenir la transmission du virus Ebola.</w:t>
      </w:r>
    </w:p>
    <w:p w:rsidR="0023630E" w:rsidRPr="002D63FB" w:rsidRDefault="0023630E" w:rsidP="0023630E">
      <w:pPr>
        <w:spacing w:before="160"/>
      </w:pPr>
      <w:r w:rsidRPr="002D63FB">
        <w:t>10.2</w:t>
      </w:r>
      <w:r w:rsidRPr="002D63FB">
        <w:tab/>
        <w:t xml:space="preserve">Le </w:t>
      </w:r>
      <w:r w:rsidRPr="002D63FB">
        <w:rPr>
          <w:b/>
          <w:bCs/>
        </w:rPr>
        <w:t>délégué de la République sudafricaine</w:t>
      </w:r>
      <w:r w:rsidRPr="002D63FB">
        <w:t xml:space="preserve"> fait la déclaration suivante concernant le projet de nouvelle Résolution proposé par la Sierra Leone dans le Document 140, relatif à l'utilisation des TIC pour briser la chaîne de transmission en cas d'urgence sanitaire comme le virus Ebola:</w:t>
      </w:r>
    </w:p>
    <w:p w:rsidR="0023630E" w:rsidRPr="002D63FB" w:rsidRDefault="0090728E" w:rsidP="00B4443B">
      <w:pPr>
        <w:spacing w:before="160"/>
      </w:pPr>
      <w:r w:rsidRPr="002D63FB">
        <w:t>"</w:t>
      </w:r>
      <w:r w:rsidR="0023630E" w:rsidRPr="002D63FB">
        <w:t xml:space="preserve">Au nom du Gouvernement de la République sudafricaine, j'ai le plaisir de m'adresser à la </w:t>
      </w:r>
      <w:r w:rsidR="00B4443B">
        <w:t>p</w:t>
      </w:r>
      <w:r w:rsidR="0023630E" w:rsidRPr="002D63FB">
        <w:t>lénière pour exprimer mon soutien à la Résolution sur le virus Ebola.</w:t>
      </w:r>
    </w:p>
    <w:p w:rsidR="0023630E" w:rsidRPr="002D63FB" w:rsidRDefault="0023630E" w:rsidP="007E6344">
      <w:pPr>
        <w:spacing w:before="160"/>
      </w:pPr>
      <w:r w:rsidRPr="002D63FB">
        <w:t xml:space="preserve">Le Gouvernement sudafricain a attribué 32,6 millions </w:t>
      </w:r>
      <w:r w:rsidR="007E6344">
        <w:t xml:space="preserve">de rands </w:t>
      </w:r>
      <w:r w:rsidRPr="002D63FB">
        <w:t xml:space="preserve">pour endiguer et prévenir la dissémination du virus en République sudafricaine, ainsi que pour mettre à disposition des pays concernés des laboratoires mobiles, des experts, des formations et un appui technique; et il prévoit de lever 250 millions </w:t>
      </w:r>
      <w:r w:rsidR="007E6344">
        <w:t xml:space="preserve">de rands </w:t>
      </w:r>
      <w:r w:rsidRPr="002D63FB">
        <w:t>supplémentaires à travers son fonds d'intervention d'urgence contre Ebola pour aider les nations d'Afrique de l'</w:t>
      </w:r>
      <w:r w:rsidR="00FF54D4" w:rsidRPr="002D63FB">
        <w:t>O</w:t>
      </w:r>
      <w:r w:rsidRPr="002D63FB">
        <w:t>uest les plus touchées. Le Gouvernement a fait appel au secteur privé pour qu'il contribue à ce fonds.</w:t>
      </w:r>
    </w:p>
    <w:p w:rsidR="0023630E" w:rsidRPr="002D63FB" w:rsidRDefault="0023630E" w:rsidP="00B4443B">
      <w:pPr>
        <w:spacing w:before="160"/>
      </w:pPr>
      <w:r w:rsidRPr="002D63FB">
        <w:t>Une équipe d'experts médicaux sudafricains participe en Guinée, en Sierra Leone et au Lib</w:t>
      </w:r>
      <w:r w:rsidR="00FF54D4" w:rsidRPr="002D63FB">
        <w:t>é</w:t>
      </w:r>
      <w:r w:rsidRPr="002D63FB">
        <w:t>ria, pays d'Afrique de l'</w:t>
      </w:r>
      <w:r w:rsidR="00FF54D4" w:rsidRPr="002D63FB">
        <w:t>O</w:t>
      </w:r>
      <w:r w:rsidR="002D63FB" w:rsidRPr="002D63FB">
        <w:t>uest</w:t>
      </w:r>
      <w:r w:rsidRPr="002D63FB">
        <w:t>, à la lutte contre la diffusion du virus Ebola. Cette équipe de spécialistes très bien formés dispose d'un laboratoire mobile pour diagnostiquer la maladie dans l'ensemble de la région et former le personnel de santé.</w:t>
      </w:r>
    </w:p>
    <w:p w:rsidR="0023630E" w:rsidRPr="002D63FB" w:rsidRDefault="0023630E" w:rsidP="0023630E">
      <w:pPr>
        <w:spacing w:before="160"/>
      </w:pPr>
      <w:r w:rsidRPr="002D63FB">
        <w:t>Nous sommes donc reconnaissants à tous les pays qui ont soutenu l'initiative lancée par l'UIT dans ce domaine. Nous assurons de notre soutien les gouvernements concernés et, une nouvelle fois, félicitons l'UIT d'avoir accordé une attention priori</w:t>
      </w:r>
      <w:r w:rsidR="0090728E" w:rsidRPr="002D63FB">
        <w:t>taire à cette question urgente."</w:t>
      </w:r>
    </w:p>
    <w:p w:rsidR="0023630E" w:rsidRPr="002D63FB" w:rsidRDefault="0023630E" w:rsidP="0023630E">
      <w:pPr>
        <w:spacing w:before="160"/>
      </w:pPr>
      <w:r w:rsidRPr="002D63FB">
        <w:t>10.3</w:t>
      </w:r>
      <w:r w:rsidRPr="002D63FB">
        <w:tab/>
        <w:t xml:space="preserve">Le </w:t>
      </w:r>
      <w:r w:rsidRPr="002D63FB">
        <w:rPr>
          <w:b/>
          <w:bCs/>
        </w:rPr>
        <w:t xml:space="preserve">Président </w:t>
      </w:r>
      <w:r w:rsidRPr="002D63FB">
        <w:t>souligne l'importance des</w:t>
      </w:r>
      <w:r w:rsidRPr="002D63FB">
        <w:rPr>
          <w:b/>
          <w:bCs/>
        </w:rPr>
        <w:t xml:space="preserve"> </w:t>
      </w:r>
      <w:r w:rsidRPr="002D63FB">
        <w:t xml:space="preserve">contributions visant à lutter contre le virus Ebola. </w:t>
      </w:r>
    </w:p>
    <w:p w:rsidR="0023630E" w:rsidRPr="002D63FB" w:rsidRDefault="0023630E" w:rsidP="0023630E">
      <w:pPr>
        <w:spacing w:before="160"/>
        <w:rPr>
          <w:b/>
          <w:bCs/>
        </w:rPr>
      </w:pPr>
      <w:r w:rsidRPr="002D63FB">
        <w:rPr>
          <w:b/>
          <w:bCs/>
        </w:rPr>
        <w:t>La séance est levée à 15 h 15.</w:t>
      </w:r>
    </w:p>
    <w:p w:rsidR="0023630E" w:rsidRPr="002D63FB" w:rsidRDefault="0023630E" w:rsidP="00FF54D4">
      <w:pPr>
        <w:snapToGrid w:val="0"/>
        <w:spacing w:before="840"/>
      </w:pPr>
      <w:r w:rsidRPr="002D63FB">
        <w:t>Le Secrétaire général:</w:t>
      </w:r>
      <w:r w:rsidRPr="002D63FB">
        <w:tab/>
      </w:r>
      <w:r w:rsidRPr="002D63FB">
        <w:tab/>
      </w:r>
      <w:r w:rsidRPr="002D63FB">
        <w:tab/>
      </w:r>
      <w:r w:rsidRPr="002D63FB">
        <w:tab/>
      </w:r>
      <w:r w:rsidRPr="002D63FB">
        <w:tab/>
      </w:r>
      <w:r w:rsidRPr="002D63FB">
        <w:tab/>
      </w:r>
      <w:r w:rsidRPr="002D63FB">
        <w:tab/>
      </w:r>
      <w:r w:rsidRPr="002D63FB">
        <w:tab/>
        <w:t>Le Président:</w:t>
      </w:r>
      <w:r w:rsidRPr="002D63FB">
        <w:br/>
        <w:t>H. TOURÉ</w:t>
      </w:r>
      <w:r w:rsidRPr="002D63FB">
        <w:tab/>
      </w:r>
      <w:r w:rsidRPr="002D63FB">
        <w:tab/>
      </w:r>
      <w:r w:rsidRPr="002D63FB">
        <w:tab/>
      </w:r>
      <w:r w:rsidRPr="002D63FB">
        <w:tab/>
      </w:r>
      <w:r w:rsidRPr="002D63FB">
        <w:tab/>
      </w:r>
      <w:r w:rsidRPr="002D63FB">
        <w:tab/>
      </w:r>
      <w:r w:rsidRPr="002D63FB">
        <w:tab/>
      </w:r>
      <w:r w:rsidRPr="002D63FB">
        <w:tab/>
      </w:r>
      <w:r w:rsidRPr="002D63FB">
        <w:tab/>
      </w:r>
      <w:r w:rsidRPr="002D63FB">
        <w:tab/>
        <w:t>W. MIN</w:t>
      </w:r>
    </w:p>
    <w:p w:rsidR="0023630E" w:rsidRPr="002D63FB" w:rsidRDefault="0023630E" w:rsidP="0023630E">
      <w:pPr>
        <w:tabs>
          <w:tab w:val="clear" w:pos="567"/>
          <w:tab w:val="clear" w:pos="1134"/>
          <w:tab w:val="clear" w:pos="1701"/>
          <w:tab w:val="clear" w:pos="2268"/>
          <w:tab w:val="clear" w:pos="2835"/>
        </w:tabs>
        <w:overflowPunct/>
        <w:autoSpaceDE/>
        <w:autoSpaceDN/>
        <w:adjustRightInd/>
        <w:spacing w:before="0"/>
        <w:textAlignment w:val="auto"/>
      </w:pPr>
    </w:p>
    <w:sectPr w:rsidR="0023630E" w:rsidRPr="002D63FB" w:rsidSect="003A0B7D">
      <w:headerReference w:type="default" r:id="rId20"/>
      <w:footerReference w:type="default" r:id="rId21"/>
      <w:footerReference w:type="first" r:id="rId2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AEE" w:rsidRDefault="006E3AEE">
      <w:r>
        <w:separator/>
      </w:r>
    </w:p>
  </w:endnote>
  <w:endnote w:type="continuationSeparator" w:id="0">
    <w:p w:rsidR="006E3AEE" w:rsidRDefault="006E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67B" w:rsidRPr="0023630E" w:rsidRDefault="00B75E4A" w:rsidP="0023630E">
    <w:pPr>
      <w:pStyle w:val="Footer"/>
    </w:pPr>
    <w:r>
      <w:fldChar w:fldCharType="begin"/>
    </w:r>
    <w:r>
      <w:instrText xml:space="preserve"> FILENAME \p \* MERGEFORMAT </w:instrText>
    </w:r>
    <w:r>
      <w:fldChar w:fldCharType="separate"/>
    </w:r>
    <w:r w:rsidR="00E402ED">
      <w:t>P:\FRA\SG\CONF-SG\PP14\100\171F.docx</w:t>
    </w:r>
    <w:r>
      <w:fldChar w:fldCharType="end"/>
    </w:r>
    <w:r w:rsidR="0023630E">
      <w:t xml:space="preserve"> (372833)</w:t>
    </w:r>
    <w:r w:rsidR="0023630E">
      <w:tab/>
    </w:r>
    <w:r w:rsidR="0023630E">
      <w:fldChar w:fldCharType="begin"/>
    </w:r>
    <w:r w:rsidR="0023630E">
      <w:instrText xml:space="preserve"> savedate \@ dd.MM.yy </w:instrText>
    </w:r>
    <w:r w:rsidR="0023630E">
      <w:fldChar w:fldCharType="separate"/>
    </w:r>
    <w:r>
      <w:t>26.11.14</w:t>
    </w:r>
    <w:r w:rsidR="0023630E">
      <w:fldChar w:fldCharType="end"/>
    </w:r>
    <w:r w:rsidR="0023630E">
      <w:tab/>
    </w:r>
    <w:r w:rsidR="0023630E">
      <w:fldChar w:fldCharType="begin"/>
    </w:r>
    <w:r w:rsidR="0023630E">
      <w:instrText xml:space="preserve"> printdate \@ dd.MM.yy </w:instrText>
    </w:r>
    <w:r w:rsidR="0023630E">
      <w:fldChar w:fldCharType="separate"/>
    </w:r>
    <w:r w:rsidR="00E402ED">
      <w:t>26.11.14</w:t>
    </w:r>
    <w:r w:rsidR="0023630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5FB" w:rsidRDefault="000D15FB"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C467B" w:rsidRDefault="000C467B">
    <w:pPr>
      <w:pStyle w:val="FirstFooter"/>
      <w:jc w:val="center"/>
    </w:pPr>
  </w:p>
  <w:p w:rsidR="000C467B" w:rsidRDefault="00B75E4A">
    <w:pPr>
      <w:pStyle w:val="Footer"/>
    </w:pPr>
    <w:r>
      <w:fldChar w:fldCharType="begin"/>
    </w:r>
    <w:r>
      <w:instrText xml:space="preserve"> FILENAME \p \* MERGEFORMAT </w:instrText>
    </w:r>
    <w:r>
      <w:fldChar w:fldCharType="separate"/>
    </w:r>
    <w:r w:rsidR="00E402ED">
      <w:t>P:\FRA\SG\CONF-SG\PP14\100\171F.docx</w:t>
    </w:r>
    <w:r>
      <w:fldChar w:fldCharType="end"/>
    </w:r>
    <w:r w:rsidR="0023630E">
      <w:t xml:space="preserve"> (372833)</w:t>
    </w:r>
    <w:r w:rsidR="000C467B">
      <w:tab/>
    </w:r>
    <w:r w:rsidR="00575DC7">
      <w:fldChar w:fldCharType="begin"/>
    </w:r>
    <w:r w:rsidR="000C467B">
      <w:instrText xml:space="preserve"> savedate \@ dd.MM.yy </w:instrText>
    </w:r>
    <w:r w:rsidR="00575DC7">
      <w:fldChar w:fldCharType="separate"/>
    </w:r>
    <w:r>
      <w:t>26.11.14</w:t>
    </w:r>
    <w:r w:rsidR="00575DC7">
      <w:fldChar w:fldCharType="end"/>
    </w:r>
    <w:r w:rsidR="000C467B">
      <w:tab/>
    </w:r>
    <w:r w:rsidR="00575DC7">
      <w:fldChar w:fldCharType="begin"/>
    </w:r>
    <w:r w:rsidR="000C467B">
      <w:instrText xml:space="preserve"> printdate \@ dd.MM.yy </w:instrText>
    </w:r>
    <w:r w:rsidR="00575DC7">
      <w:fldChar w:fldCharType="separate"/>
    </w:r>
    <w:r w:rsidR="00E402ED">
      <w:t>26.11.14</w:t>
    </w:r>
    <w:r w:rsidR="00575DC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AEE" w:rsidRDefault="006E3AEE">
      <w:r>
        <w:t>____________________</w:t>
      </w:r>
    </w:p>
  </w:footnote>
  <w:footnote w:type="continuationSeparator" w:id="0">
    <w:p w:rsidR="006E3AEE" w:rsidRDefault="006E3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795" w:rsidRDefault="00407795" w:rsidP="00407795">
    <w:pPr>
      <w:pStyle w:val="Header"/>
    </w:pPr>
    <w:r>
      <w:fldChar w:fldCharType="begin"/>
    </w:r>
    <w:r>
      <w:instrText xml:space="preserve"> PAGE </w:instrText>
    </w:r>
    <w:r>
      <w:fldChar w:fldCharType="separate"/>
    </w:r>
    <w:r w:rsidR="00B75E4A">
      <w:rPr>
        <w:noProof/>
      </w:rPr>
      <w:t>3</w:t>
    </w:r>
    <w:r>
      <w:fldChar w:fldCharType="end"/>
    </w:r>
  </w:p>
  <w:p w:rsidR="00BD1614" w:rsidRPr="00407795" w:rsidRDefault="00407795" w:rsidP="0023630E">
    <w:pPr>
      <w:pStyle w:val="Header"/>
    </w:pPr>
    <w:r>
      <w:t>PP14/</w:t>
    </w:r>
    <w:r w:rsidR="0023630E">
      <w:t>171</w:t>
    </w:r>
    <w:r>
      <w:t>-</w:t>
    </w:r>
    <w:r w:rsidRPr="00010B43">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EE"/>
    <w:rsid w:val="000054D8"/>
    <w:rsid w:val="00072D5C"/>
    <w:rsid w:val="00084308"/>
    <w:rsid w:val="000B14B6"/>
    <w:rsid w:val="000C467B"/>
    <w:rsid w:val="000D15FB"/>
    <w:rsid w:val="001051E4"/>
    <w:rsid w:val="00133915"/>
    <w:rsid w:val="001354EA"/>
    <w:rsid w:val="00136FCE"/>
    <w:rsid w:val="00153BA4"/>
    <w:rsid w:val="00190BCE"/>
    <w:rsid w:val="001941AD"/>
    <w:rsid w:val="001A0682"/>
    <w:rsid w:val="001E1B9B"/>
    <w:rsid w:val="001F6233"/>
    <w:rsid w:val="0023630E"/>
    <w:rsid w:val="002C1059"/>
    <w:rsid w:val="002C2F9C"/>
    <w:rsid w:val="002D63FB"/>
    <w:rsid w:val="003A0B7D"/>
    <w:rsid w:val="003A45C2"/>
    <w:rsid w:val="003C4BE2"/>
    <w:rsid w:val="003D147D"/>
    <w:rsid w:val="00407795"/>
    <w:rsid w:val="00430015"/>
    <w:rsid w:val="004678D0"/>
    <w:rsid w:val="00471BF7"/>
    <w:rsid w:val="00482954"/>
    <w:rsid w:val="00524001"/>
    <w:rsid w:val="00564B63"/>
    <w:rsid w:val="00575DC7"/>
    <w:rsid w:val="005836C2"/>
    <w:rsid w:val="005A4EFD"/>
    <w:rsid w:val="005A5ABE"/>
    <w:rsid w:val="005C2ECC"/>
    <w:rsid w:val="005E419E"/>
    <w:rsid w:val="00611CF1"/>
    <w:rsid w:val="006201D9"/>
    <w:rsid w:val="006277DB"/>
    <w:rsid w:val="00635B7B"/>
    <w:rsid w:val="006548C0"/>
    <w:rsid w:val="00655B98"/>
    <w:rsid w:val="00686973"/>
    <w:rsid w:val="006A6342"/>
    <w:rsid w:val="006B6C9C"/>
    <w:rsid w:val="006C7AE3"/>
    <w:rsid w:val="006D55E8"/>
    <w:rsid w:val="006E1921"/>
    <w:rsid w:val="006E3AEE"/>
    <w:rsid w:val="006F36F9"/>
    <w:rsid w:val="0070576B"/>
    <w:rsid w:val="00713335"/>
    <w:rsid w:val="00727C2F"/>
    <w:rsid w:val="00735F13"/>
    <w:rsid w:val="007717F2"/>
    <w:rsid w:val="0078134C"/>
    <w:rsid w:val="007A5830"/>
    <w:rsid w:val="007E6344"/>
    <w:rsid w:val="00801256"/>
    <w:rsid w:val="008703CB"/>
    <w:rsid w:val="008C33C2"/>
    <w:rsid w:val="008C6137"/>
    <w:rsid w:val="008E2DB4"/>
    <w:rsid w:val="00901DD5"/>
    <w:rsid w:val="0090728E"/>
    <w:rsid w:val="0090735B"/>
    <w:rsid w:val="00912D5E"/>
    <w:rsid w:val="00934340"/>
    <w:rsid w:val="00966CD3"/>
    <w:rsid w:val="00987A20"/>
    <w:rsid w:val="009A0E15"/>
    <w:rsid w:val="009A2D81"/>
    <w:rsid w:val="009F0592"/>
    <w:rsid w:val="00A20E72"/>
    <w:rsid w:val="00A246DC"/>
    <w:rsid w:val="00A47BAF"/>
    <w:rsid w:val="00A5784F"/>
    <w:rsid w:val="00A8436E"/>
    <w:rsid w:val="00A95B66"/>
    <w:rsid w:val="00AE0667"/>
    <w:rsid w:val="00B41E0A"/>
    <w:rsid w:val="00B4443B"/>
    <w:rsid w:val="00B56DE0"/>
    <w:rsid w:val="00B71F12"/>
    <w:rsid w:val="00B75E4A"/>
    <w:rsid w:val="00B96B1E"/>
    <w:rsid w:val="00BB2A6F"/>
    <w:rsid w:val="00BD1614"/>
    <w:rsid w:val="00BF7D25"/>
    <w:rsid w:val="00C010C0"/>
    <w:rsid w:val="00C54CE6"/>
    <w:rsid w:val="00C575E2"/>
    <w:rsid w:val="00C7368B"/>
    <w:rsid w:val="00C92746"/>
    <w:rsid w:val="00CC4DC5"/>
    <w:rsid w:val="00CE1A7C"/>
    <w:rsid w:val="00D12C74"/>
    <w:rsid w:val="00D56483"/>
    <w:rsid w:val="00D56AD6"/>
    <w:rsid w:val="00D70019"/>
    <w:rsid w:val="00D74B58"/>
    <w:rsid w:val="00D82ABE"/>
    <w:rsid w:val="00DA685B"/>
    <w:rsid w:val="00DA742B"/>
    <w:rsid w:val="00DF25C1"/>
    <w:rsid w:val="00DF48F7"/>
    <w:rsid w:val="00DF4964"/>
    <w:rsid w:val="00DF4D73"/>
    <w:rsid w:val="00DF79B0"/>
    <w:rsid w:val="00E1047D"/>
    <w:rsid w:val="00E402ED"/>
    <w:rsid w:val="00E443FA"/>
    <w:rsid w:val="00E54FCE"/>
    <w:rsid w:val="00E93D35"/>
    <w:rsid w:val="00EA45DB"/>
    <w:rsid w:val="00ED2CD9"/>
    <w:rsid w:val="00F564C1"/>
    <w:rsid w:val="00F77FA2"/>
    <w:rsid w:val="00F8357A"/>
    <w:rsid w:val="00FA1B77"/>
    <w:rsid w:val="00FB4B65"/>
    <w:rsid w:val="00FB74B8"/>
    <w:rsid w:val="00FC49E0"/>
    <w:rsid w:val="00FF0484"/>
    <w:rsid w:val="00FF4394"/>
    <w:rsid w:val="00FF4E56"/>
    <w:rsid w:val="00FF5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FFB1A6-DF3B-4BEF-9195-9F0B3A1D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FD"/>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AE0667"/>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md/S14-PP-C-0130/en" TargetMode="External"/><Relationship Id="rId13" Type="http://schemas.openxmlformats.org/officeDocument/2006/relationships/hyperlink" Target="http://www.itu.int/md/S14-PP-C-0142/en" TargetMode="External"/><Relationship Id="rId18" Type="http://schemas.openxmlformats.org/officeDocument/2006/relationships/hyperlink" Target="http://www.itu.int/md/S14-PP-C-0113/en"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itu.int/md/S14-PP-C-0135/en" TargetMode="External"/><Relationship Id="rId12" Type="http://schemas.openxmlformats.org/officeDocument/2006/relationships/hyperlink" Target="http://www.itu.int/md/S14-PP-C-0142/en" TargetMode="External"/><Relationship Id="rId17" Type="http://schemas.openxmlformats.org/officeDocument/2006/relationships/hyperlink" Target="http://www.itu.int/md/S14-PP-C-0112/en" TargetMode="External"/><Relationship Id="rId2" Type="http://schemas.openxmlformats.org/officeDocument/2006/relationships/settings" Target="settings.xml"/><Relationship Id="rId16" Type="http://schemas.openxmlformats.org/officeDocument/2006/relationships/hyperlink" Target="http://www.itu.int/md/S14-PP-C-0108/en"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tu.int/md/S14-PP-C-0139/en"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itu.int/md/S14-PP-C-0107/en" TargetMode="External"/><Relationship Id="rId23" Type="http://schemas.openxmlformats.org/officeDocument/2006/relationships/fontTable" Target="fontTable.xml"/><Relationship Id="rId10" Type="http://schemas.openxmlformats.org/officeDocument/2006/relationships/hyperlink" Target="http://www.itu.int/md/S14-PP-C-0139/en" TargetMode="External"/><Relationship Id="rId19" Type="http://schemas.openxmlformats.org/officeDocument/2006/relationships/hyperlink" Target="http://www.itu.int/md/S14-PP-C-0114/en" TargetMode="External"/><Relationship Id="rId4" Type="http://schemas.openxmlformats.org/officeDocument/2006/relationships/footnotes" Target="footnotes.xml"/><Relationship Id="rId9" Type="http://schemas.openxmlformats.org/officeDocument/2006/relationships/hyperlink" Target="http://www.itu.int/md/S14-PP-C-0130/en" TargetMode="External"/><Relationship Id="rId14" Type="http://schemas.openxmlformats.org/officeDocument/2006/relationships/hyperlink" Target="http://www.itu.int/md/S14-PP-C-0137/en"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PF_PP14.dotx</Template>
  <TotalTime>33</TotalTime>
  <Pages>6</Pages>
  <Words>2089</Words>
  <Characters>12202</Characters>
  <Application>Microsoft Office Word</Application>
  <DocSecurity>0</DocSecurity>
  <Lines>101</Lines>
  <Paragraphs>28</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14263</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Conférence de plénipotentiaires (PP-06)</dc:subject>
  <dc:creator>Alidra, Patricia</dc:creator>
  <cp:keywords>PP-06</cp:keywords>
  <dc:description>PF_PP14.dotx  For: _x000d_Document date: _x000d_Saved by ITU51009317 at 10:31:32 on 19/03/2013</dc:description>
  <cp:lastModifiedBy>Saxod, Nathalie</cp:lastModifiedBy>
  <cp:revision>9</cp:revision>
  <cp:lastPrinted>2014-11-26T09:50:00Z</cp:lastPrinted>
  <dcterms:created xsi:type="dcterms:W3CDTF">2014-11-21T10:30:00Z</dcterms:created>
  <dcterms:modified xsi:type="dcterms:W3CDTF">2014-11-26T09:58:00Z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