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A067E6" w:rsidRPr="009F279B" w:rsidTr="001B2011">
        <w:trPr>
          <w:cantSplit/>
          <w:trHeight w:val="20"/>
        </w:trPr>
        <w:tc>
          <w:tcPr>
            <w:tcW w:w="6619" w:type="dxa"/>
          </w:tcPr>
          <w:p w:rsidR="00A067E6" w:rsidRPr="009F279B" w:rsidRDefault="00A067E6" w:rsidP="00A067E6">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proofErr w:type="spellStart"/>
            <w:r w:rsidRPr="009F279B">
              <w:rPr>
                <w:rFonts w:hint="cs"/>
                <w:b/>
                <w:bCs/>
                <w:w w:val="125"/>
                <w:position w:val="6"/>
                <w:sz w:val="32"/>
                <w:szCs w:val="44"/>
                <w:rtl/>
                <w:lang w:val="en-US"/>
              </w:rPr>
              <w:t>مؤت</w:t>
            </w:r>
            <w:r>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w:t>
            </w:r>
            <w:proofErr w:type="gramStart"/>
            <w:r w:rsidRPr="009F279B">
              <w:rPr>
                <w:rFonts w:asciiTheme="minorHAnsi" w:hAnsiTheme="minorHAnsi"/>
                <w:b/>
                <w:bCs/>
                <w:position w:val="6"/>
                <w:sz w:val="32"/>
                <w:szCs w:val="44"/>
                <w:lang w:val="en-US"/>
              </w:rPr>
              <w:t>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proofErr w:type="gramEnd"/>
            <w:r w:rsidRPr="009F279B">
              <w:rPr>
                <w:rFonts w:ascii="Traditional Arabic" w:hAnsi="Traditional Arabic"/>
                <w:b/>
                <w:bCs/>
                <w:sz w:val="34"/>
                <w:szCs w:val="34"/>
                <w:rtl/>
                <w:lang w:val="en-US"/>
              </w:rPr>
              <w:t>،</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A067E6" w:rsidRPr="009F279B" w:rsidRDefault="00A067E6" w:rsidP="00A067E6">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30CACCD" wp14:editId="784E2AEE">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A067E6" w:rsidRPr="009F279B" w:rsidTr="001B2011">
        <w:trPr>
          <w:cantSplit/>
          <w:trHeight w:val="20"/>
        </w:trPr>
        <w:tc>
          <w:tcPr>
            <w:tcW w:w="6619" w:type="dxa"/>
            <w:tcBorders>
              <w:bottom w:val="single" w:sz="12" w:space="0" w:color="auto"/>
            </w:tcBorders>
          </w:tcPr>
          <w:p w:rsidR="00A067E6" w:rsidRPr="009F279B" w:rsidRDefault="00A067E6" w:rsidP="00A067E6">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A067E6" w:rsidRPr="009F279B" w:rsidRDefault="00A067E6" w:rsidP="00A067E6">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A067E6" w:rsidRPr="009F279B" w:rsidTr="001B2011">
        <w:trPr>
          <w:cantSplit/>
          <w:trHeight w:val="20"/>
        </w:trPr>
        <w:tc>
          <w:tcPr>
            <w:tcW w:w="6619" w:type="dxa"/>
            <w:tcBorders>
              <w:top w:val="single" w:sz="12" w:space="0" w:color="auto"/>
            </w:tcBorders>
          </w:tcPr>
          <w:p w:rsidR="00A067E6" w:rsidRPr="009F279B" w:rsidRDefault="00A067E6" w:rsidP="00A067E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A067E6" w:rsidRPr="009F279B" w:rsidRDefault="00A067E6" w:rsidP="00A067E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A067E6" w:rsidRPr="00263B70" w:rsidTr="001B2011">
        <w:trPr>
          <w:cantSplit/>
        </w:trPr>
        <w:tc>
          <w:tcPr>
            <w:tcW w:w="6619" w:type="dxa"/>
          </w:tcPr>
          <w:p w:rsidR="00A067E6" w:rsidRPr="00263B70" w:rsidRDefault="00A067E6" w:rsidP="00A067E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proofErr w:type="spellStart"/>
            <w:r w:rsidRPr="00263B70">
              <w:rPr>
                <w:rFonts w:eastAsia="SimSun"/>
                <w:b/>
                <w:bCs/>
                <w:rtl/>
                <w:lang w:val="en-US"/>
              </w:rPr>
              <w:t>ال</w:t>
            </w:r>
            <w:r w:rsidRPr="00263B70">
              <w:rPr>
                <w:rFonts w:eastAsia="SimSun" w:hint="cs"/>
                <w:b/>
                <w:bCs/>
                <w:rtl/>
                <w:lang w:val="en-US"/>
              </w:rPr>
              <w:t>‍</w:t>
            </w:r>
            <w:r w:rsidRPr="00263B70">
              <w:rPr>
                <w:rFonts w:eastAsia="SimSun"/>
                <w:b/>
                <w:bCs/>
                <w:rtl/>
                <w:lang w:val="en-US"/>
              </w:rPr>
              <w:t>جلسة</w:t>
            </w:r>
            <w:proofErr w:type="spellEnd"/>
            <w:r w:rsidRPr="00263B70">
              <w:rPr>
                <w:rFonts w:eastAsia="SimSun"/>
                <w:b/>
                <w:bCs/>
                <w:rtl/>
                <w:lang w:val="en-US"/>
              </w:rPr>
              <w:t xml:space="preserve"> العامة</w:t>
            </w:r>
          </w:p>
        </w:tc>
        <w:tc>
          <w:tcPr>
            <w:tcW w:w="3053" w:type="dxa"/>
            <w:vAlign w:val="center"/>
          </w:tcPr>
          <w:p w:rsidR="00A067E6" w:rsidRPr="00263B70" w:rsidRDefault="00A067E6" w:rsidP="00D16746">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Pr>
                <w:rFonts w:ascii="Calibri" w:hAnsi="Calibri"/>
                <w:sz w:val="22"/>
              </w:rPr>
              <w:t>10</w:t>
            </w:r>
            <w:r w:rsidR="00D16746">
              <w:rPr>
                <w:rFonts w:ascii="Calibri" w:hAnsi="Calibri"/>
                <w:sz w:val="22"/>
              </w:rPr>
              <w:t>8</w:t>
            </w:r>
            <w:r w:rsidRPr="00263B70">
              <w:rPr>
                <w:rFonts w:ascii="Calibri" w:hAnsi="Calibri"/>
                <w:sz w:val="22"/>
              </w:rPr>
              <w:t>-A</w:t>
            </w:r>
          </w:p>
        </w:tc>
      </w:tr>
      <w:tr w:rsidR="00A067E6" w:rsidRPr="00263B70" w:rsidTr="001B2011">
        <w:trPr>
          <w:cantSplit/>
        </w:trPr>
        <w:tc>
          <w:tcPr>
            <w:tcW w:w="6619" w:type="dxa"/>
          </w:tcPr>
          <w:p w:rsidR="00A067E6" w:rsidRPr="00263B70" w:rsidRDefault="00A067E6" w:rsidP="00A067E6">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A067E6" w:rsidRPr="00263B70" w:rsidRDefault="00D8574D" w:rsidP="00A067E6">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24</w:t>
            </w:r>
            <w:r w:rsidR="00A067E6" w:rsidRPr="00263B70">
              <w:rPr>
                <w:rFonts w:ascii="Calibri" w:hAnsi="Calibri" w:hint="cs"/>
                <w:sz w:val="22"/>
                <w:rtl/>
              </w:rPr>
              <w:t xml:space="preserve"> </w:t>
            </w:r>
            <w:r w:rsidR="00A067E6">
              <w:rPr>
                <w:rFonts w:ascii="Calibri" w:hAnsi="Calibri" w:hint="cs"/>
                <w:sz w:val="22"/>
                <w:rtl/>
              </w:rPr>
              <w:t>أكتوبر</w:t>
            </w:r>
            <w:r w:rsidR="00A067E6" w:rsidRPr="00263B70">
              <w:rPr>
                <w:rFonts w:ascii="Calibri" w:hAnsi="Calibri" w:hint="cs"/>
                <w:sz w:val="22"/>
                <w:rtl/>
              </w:rPr>
              <w:t xml:space="preserve"> </w:t>
            </w:r>
            <w:r w:rsidR="00A067E6" w:rsidRPr="00263B70">
              <w:rPr>
                <w:rFonts w:ascii="Calibri" w:hAnsi="Calibri"/>
                <w:sz w:val="22"/>
              </w:rPr>
              <w:t>2014</w:t>
            </w:r>
          </w:p>
        </w:tc>
      </w:tr>
      <w:tr w:rsidR="00A067E6" w:rsidRPr="00263B70" w:rsidTr="001B2011">
        <w:trPr>
          <w:cantSplit/>
        </w:trPr>
        <w:tc>
          <w:tcPr>
            <w:tcW w:w="6619" w:type="dxa"/>
          </w:tcPr>
          <w:p w:rsidR="00A067E6" w:rsidRPr="00263B70" w:rsidRDefault="00A067E6" w:rsidP="00A067E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A067E6" w:rsidRPr="00263B70" w:rsidRDefault="00A067E6" w:rsidP="00A067E6">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A067E6" w:rsidRPr="00263B70" w:rsidTr="001B2011">
        <w:trPr>
          <w:cantSplit/>
        </w:trPr>
        <w:tc>
          <w:tcPr>
            <w:tcW w:w="6619" w:type="dxa"/>
          </w:tcPr>
          <w:p w:rsidR="00A067E6" w:rsidRPr="00263B70" w:rsidRDefault="00A067E6" w:rsidP="00A067E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A067E6" w:rsidRPr="00263B70" w:rsidRDefault="00A067E6" w:rsidP="00A067E6">
            <w:pPr>
              <w:pStyle w:val="Adress"/>
              <w:framePr w:hSpace="0" w:wrap="auto" w:xAlign="left" w:yAlign="inline"/>
              <w:spacing w:before="20" w:after="20" w:line="300" w:lineRule="exact"/>
              <w:rPr>
                <w:rFonts w:ascii="Calibri" w:eastAsia="SimSun" w:hAnsi="Calibri"/>
                <w:sz w:val="22"/>
                <w:rtl/>
              </w:rPr>
            </w:pPr>
          </w:p>
        </w:tc>
      </w:tr>
      <w:tr w:rsidR="00A067E6" w:rsidRPr="009F279B" w:rsidTr="001B2011">
        <w:trPr>
          <w:cantSplit/>
        </w:trPr>
        <w:tc>
          <w:tcPr>
            <w:tcW w:w="9672" w:type="dxa"/>
            <w:gridSpan w:val="2"/>
          </w:tcPr>
          <w:p w:rsidR="00A067E6" w:rsidRPr="007161E9" w:rsidRDefault="00A067E6" w:rsidP="00D16746">
            <w:pPr>
              <w:pStyle w:val="Source"/>
              <w:framePr w:hSpace="0" w:wrap="auto" w:yAlign="inline"/>
              <w:rPr>
                <w:szCs w:val="28"/>
                <w:rtl/>
              </w:rPr>
            </w:pPr>
            <w:r>
              <w:rPr>
                <w:rFonts w:hint="cs"/>
                <w:rtl/>
              </w:rPr>
              <w:t xml:space="preserve">محضر الجلسة العامة </w:t>
            </w:r>
            <w:r w:rsidR="00D16746">
              <w:rPr>
                <w:rFonts w:hint="cs"/>
                <w:rtl/>
              </w:rPr>
              <w:t>الثانية</w:t>
            </w:r>
          </w:p>
        </w:tc>
      </w:tr>
      <w:tr w:rsidR="00A067E6" w:rsidRPr="009F279B" w:rsidTr="001B2011">
        <w:trPr>
          <w:cantSplit/>
        </w:trPr>
        <w:tc>
          <w:tcPr>
            <w:tcW w:w="9672" w:type="dxa"/>
            <w:gridSpan w:val="2"/>
          </w:tcPr>
          <w:p w:rsidR="00A067E6" w:rsidRDefault="00A067E6" w:rsidP="00D16746">
            <w:pPr>
              <w:pStyle w:val="Title1"/>
              <w:framePr w:hSpace="0" w:wrap="auto" w:yAlign="inline"/>
              <w:rPr>
                <w:rtl/>
              </w:rPr>
            </w:pPr>
            <w:r>
              <w:rPr>
                <w:rFonts w:hint="cs"/>
                <w:rtl/>
              </w:rPr>
              <w:t>ال</w:t>
            </w:r>
            <w:r w:rsidR="00D16746">
              <w:rPr>
                <w:rFonts w:hint="cs"/>
                <w:rtl/>
              </w:rPr>
              <w:t>ثلاثاء</w:t>
            </w:r>
            <w:r>
              <w:rPr>
                <w:rFonts w:hint="cs"/>
                <w:rtl/>
              </w:rPr>
              <w:t xml:space="preserve">، </w:t>
            </w:r>
            <w:r>
              <w:t>2</w:t>
            </w:r>
            <w:r w:rsidR="00D16746">
              <w:t>1</w:t>
            </w:r>
            <w:r>
              <w:rPr>
                <w:rFonts w:hint="cs"/>
                <w:rtl/>
                <w:lang w:bidi="ar-SY"/>
              </w:rPr>
              <w:t xml:space="preserve"> أكتوبر </w:t>
            </w:r>
            <w:r>
              <w:rPr>
                <w:lang w:bidi="ar-SY"/>
              </w:rPr>
              <w:t>2014</w:t>
            </w:r>
            <w:r>
              <w:rPr>
                <w:rFonts w:hint="cs"/>
                <w:rtl/>
                <w:lang w:bidi="ar-SY"/>
              </w:rPr>
              <w:t xml:space="preserve">، الساعة </w:t>
            </w:r>
            <w:r w:rsidR="00D16746">
              <w:rPr>
                <w:lang w:bidi="ar-SY"/>
              </w:rPr>
              <w:t>09</w:t>
            </w:r>
            <w:r>
              <w:rPr>
                <w:lang w:bidi="ar-SY"/>
              </w:rPr>
              <w:t>5</w:t>
            </w:r>
            <w:r w:rsidR="00D16746">
              <w:rPr>
                <w:lang w:bidi="ar-SY"/>
              </w:rPr>
              <w:t>0</w:t>
            </w:r>
          </w:p>
          <w:p w:rsidR="00A067E6" w:rsidRPr="00B115D1" w:rsidRDefault="00A067E6" w:rsidP="0012128E">
            <w:pPr>
              <w:spacing w:before="0"/>
              <w:jc w:val="center"/>
              <w:rPr>
                <w:sz w:val="40"/>
                <w:szCs w:val="40"/>
                <w:rtl/>
                <w:lang w:val="en-US"/>
              </w:rPr>
            </w:pPr>
            <w:r w:rsidRPr="00B115D1">
              <w:rPr>
                <w:rFonts w:hint="cs"/>
                <w:b/>
                <w:bCs/>
                <w:sz w:val="40"/>
                <w:szCs w:val="40"/>
                <w:rtl/>
                <w:lang w:val="en-US"/>
              </w:rPr>
              <w:t>الرئيس</w:t>
            </w:r>
            <w:r w:rsidRPr="00B115D1">
              <w:rPr>
                <w:rFonts w:hint="cs"/>
                <w:sz w:val="40"/>
                <w:szCs w:val="40"/>
                <w:rtl/>
                <w:lang w:val="en-US"/>
              </w:rPr>
              <w:t xml:space="preserve">: السيد </w:t>
            </w:r>
            <w:r w:rsidRPr="00B115D1">
              <w:rPr>
                <w:color w:val="000000"/>
                <w:sz w:val="40"/>
                <w:szCs w:val="40"/>
                <w:rtl/>
              </w:rPr>
              <w:t>و. مين (جمهورية كوريا)</w:t>
            </w:r>
          </w:p>
        </w:tc>
      </w:tr>
      <w:tr w:rsidR="00A067E6" w:rsidRPr="009F279B" w:rsidTr="001B2011">
        <w:trPr>
          <w:cantSplit/>
        </w:trPr>
        <w:tc>
          <w:tcPr>
            <w:tcW w:w="9672" w:type="dxa"/>
            <w:gridSpan w:val="2"/>
          </w:tcPr>
          <w:p w:rsidR="00A067E6" w:rsidRPr="007161E9" w:rsidRDefault="00A067E6" w:rsidP="00A067E6">
            <w:pPr>
              <w:pStyle w:val="Title2"/>
              <w:framePr w:hSpace="0" w:wrap="auto" w:yAlign="inline"/>
              <w:rPr>
                <w:szCs w:val="28"/>
                <w:rtl/>
              </w:rPr>
            </w:pPr>
          </w:p>
        </w:tc>
      </w:tr>
    </w:tbl>
    <w:p w:rsidR="00A067E6" w:rsidRDefault="00A067E6" w:rsidP="00A067E6">
      <w:pPr>
        <w:rPr>
          <w:rtl/>
        </w:rPr>
      </w:pPr>
    </w:p>
    <w:tbl>
      <w:tblPr>
        <w:bidiVisual/>
        <w:tblW w:w="5000" w:type="pct"/>
        <w:tblLook w:val="01E0" w:firstRow="1" w:lastRow="1" w:firstColumn="1" w:lastColumn="1" w:noHBand="0" w:noVBand="0"/>
      </w:tblPr>
      <w:tblGrid>
        <w:gridCol w:w="512"/>
        <w:gridCol w:w="7301"/>
        <w:gridCol w:w="1826"/>
      </w:tblGrid>
      <w:tr w:rsidR="00A067E6" w:rsidRPr="00D02D80" w:rsidTr="001B2011">
        <w:tc>
          <w:tcPr>
            <w:tcW w:w="266" w:type="pct"/>
          </w:tcPr>
          <w:p w:rsidR="00A067E6" w:rsidRPr="00D02D80" w:rsidRDefault="00A067E6" w:rsidP="00E11E78">
            <w:pPr>
              <w:pStyle w:val="toc0"/>
              <w:bidi w:val="0"/>
              <w:spacing w:before="60" w:after="60" w:line="340" w:lineRule="exact"/>
              <w:jc w:val="center"/>
              <w:rPr>
                <w:rFonts w:ascii="Calibri" w:hAnsi="Calibri"/>
              </w:rPr>
            </w:pPr>
          </w:p>
        </w:tc>
        <w:tc>
          <w:tcPr>
            <w:tcW w:w="3787" w:type="pct"/>
          </w:tcPr>
          <w:p w:rsidR="00A067E6" w:rsidRPr="00D02D80" w:rsidRDefault="00A067E6" w:rsidP="00E11E78">
            <w:pPr>
              <w:pStyle w:val="toc0"/>
              <w:spacing w:before="60" w:after="60" w:line="340" w:lineRule="exact"/>
              <w:rPr>
                <w:rFonts w:ascii="Calibri" w:hAnsi="Calibri"/>
              </w:rPr>
            </w:pPr>
            <w:r w:rsidRPr="00D02D80">
              <w:rPr>
                <w:rFonts w:ascii="Calibri" w:hAnsi="Calibri" w:hint="cs"/>
                <w:rtl/>
              </w:rPr>
              <w:t>موضوعات المناقشة</w:t>
            </w:r>
          </w:p>
        </w:tc>
        <w:tc>
          <w:tcPr>
            <w:tcW w:w="947" w:type="pct"/>
          </w:tcPr>
          <w:p w:rsidR="00A067E6" w:rsidRPr="00D02D80" w:rsidRDefault="00A067E6" w:rsidP="00E11E78">
            <w:pPr>
              <w:pStyle w:val="toc0"/>
              <w:spacing w:before="60" w:after="60" w:line="340" w:lineRule="exact"/>
              <w:jc w:val="center"/>
              <w:rPr>
                <w:rFonts w:ascii="Calibri" w:hAnsi="Calibri"/>
                <w:b w:val="0"/>
              </w:rPr>
            </w:pPr>
            <w:r w:rsidRPr="00D02D80">
              <w:rPr>
                <w:rFonts w:ascii="Calibri" w:hAnsi="Calibri" w:hint="cs"/>
                <w:b w:val="0"/>
                <w:rtl/>
              </w:rPr>
              <w:t>الوثائق</w:t>
            </w:r>
          </w:p>
        </w:tc>
      </w:tr>
      <w:tr w:rsidR="00A067E6" w:rsidRPr="00D02D80" w:rsidTr="001B2011">
        <w:tc>
          <w:tcPr>
            <w:tcW w:w="266" w:type="pct"/>
          </w:tcPr>
          <w:p w:rsidR="00A067E6" w:rsidRPr="00D02D80" w:rsidRDefault="00D16746" w:rsidP="00E11E78">
            <w:pPr>
              <w:spacing w:before="60" w:after="60" w:line="340" w:lineRule="exact"/>
              <w:ind w:left="567" w:hanging="567"/>
              <w:jc w:val="left"/>
              <w:rPr>
                <w:lang w:val="en-US"/>
              </w:rPr>
            </w:pPr>
            <w:r>
              <w:rPr>
                <w:lang w:val="en-US"/>
              </w:rPr>
              <w:t>1</w:t>
            </w:r>
          </w:p>
        </w:tc>
        <w:tc>
          <w:tcPr>
            <w:tcW w:w="3787" w:type="pct"/>
          </w:tcPr>
          <w:p w:rsidR="00A067E6" w:rsidRPr="00D02D80" w:rsidRDefault="00D16746" w:rsidP="00E11E78">
            <w:pPr>
              <w:spacing w:before="60" w:after="60" w:line="340" w:lineRule="exact"/>
              <w:ind w:left="567" w:hanging="567"/>
              <w:jc w:val="left"/>
            </w:pPr>
            <w:r>
              <w:rPr>
                <w:rFonts w:hint="cs"/>
                <w:rtl/>
              </w:rPr>
              <w:t>القيمة النهائية لوحدة المساهمة والموعد النهائي لإبلاغ الأمانة بالاختيار النهائي لفئة المساهمة</w:t>
            </w:r>
          </w:p>
        </w:tc>
        <w:tc>
          <w:tcPr>
            <w:tcW w:w="947" w:type="pct"/>
          </w:tcPr>
          <w:p w:rsidR="00A067E6" w:rsidRPr="00D16746" w:rsidRDefault="00D16746" w:rsidP="00E11E78">
            <w:pPr>
              <w:spacing w:before="60" w:after="60" w:line="340" w:lineRule="exact"/>
              <w:jc w:val="center"/>
              <w:rPr>
                <w:lang w:bidi="ar-SA"/>
              </w:rPr>
            </w:pPr>
            <w:r>
              <w:rPr>
                <w:rFonts w:hint="cs"/>
                <w:rtl/>
                <w:lang w:bidi="ar-SA"/>
              </w:rPr>
              <w:t>-</w:t>
            </w:r>
          </w:p>
        </w:tc>
      </w:tr>
      <w:tr w:rsidR="00A067E6" w:rsidRPr="00D02D80" w:rsidTr="001B2011">
        <w:tc>
          <w:tcPr>
            <w:tcW w:w="266" w:type="pct"/>
          </w:tcPr>
          <w:p w:rsidR="00A067E6" w:rsidRPr="00D02D80" w:rsidRDefault="00A067E6" w:rsidP="00E11E78">
            <w:pPr>
              <w:spacing w:before="60" w:after="60" w:line="340" w:lineRule="exact"/>
              <w:ind w:left="567" w:hanging="567"/>
              <w:jc w:val="left"/>
              <w:rPr>
                <w:rtl/>
                <w:lang w:val="en-US"/>
              </w:rPr>
            </w:pPr>
            <w:r>
              <w:rPr>
                <w:lang w:val="en-US"/>
              </w:rPr>
              <w:t>2</w:t>
            </w:r>
          </w:p>
        </w:tc>
        <w:tc>
          <w:tcPr>
            <w:tcW w:w="3787" w:type="pct"/>
          </w:tcPr>
          <w:p w:rsidR="00A067E6" w:rsidRPr="0007011D" w:rsidRDefault="00D16746" w:rsidP="00E11E78">
            <w:pPr>
              <w:spacing w:before="60" w:after="60" w:line="340" w:lineRule="exact"/>
              <w:rPr>
                <w:rtl/>
                <w:lang w:val="en-US"/>
              </w:rPr>
            </w:pPr>
            <w:r>
              <w:rPr>
                <w:rFonts w:hint="cs"/>
                <w:rtl/>
                <w:lang w:bidi="ar-SY"/>
              </w:rPr>
              <w:t>تقرير المجلس بشأن تنفيذ الخطة الاستراتيجية وأنشطة الاتحاد</w:t>
            </w:r>
          </w:p>
        </w:tc>
        <w:tc>
          <w:tcPr>
            <w:tcW w:w="947" w:type="pct"/>
          </w:tcPr>
          <w:p w:rsidR="00A067E6" w:rsidRPr="00D02D80" w:rsidRDefault="00A067E6" w:rsidP="00E11E78">
            <w:pPr>
              <w:spacing w:before="60" w:after="60" w:line="340" w:lineRule="exact"/>
              <w:jc w:val="center"/>
              <w:rPr>
                <w:rtl/>
              </w:rPr>
            </w:pPr>
            <w:r>
              <w:rPr>
                <w:rFonts w:hint="cs"/>
                <w:rtl/>
              </w:rPr>
              <w:t>-</w:t>
            </w:r>
          </w:p>
        </w:tc>
      </w:tr>
      <w:tr w:rsidR="00A067E6" w:rsidRPr="00D02D80" w:rsidTr="001B2011">
        <w:tc>
          <w:tcPr>
            <w:tcW w:w="266" w:type="pct"/>
          </w:tcPr>
          <w:p w:rsidR="00A067E6" w:rsidRDefault="00A067E6" w:rsidP="00E11E78">
            <w:pPr>
              <w:spacing w:before="60" w:after="60" w:line="340" w:lineRule="exact"/>
              <w:ind w:left="567" w:hanging="567"/>
              <w:jc w:val="left"/>
              <w:rPr>
                <w:lang w:val="en-US"/>
              </w:rPr>
            </w:pPr>
            <w:r>
              <w:rPr>
                <w:lang w:val="en-US"/>
              </w:rPr>
              <w:t>3</w:t>
            </w:r>
          </w:p>
        </w:tc>
        <w:tc>
          <w:tcPr>
            <w:tcW w:w="3787" w:type="pct"/>
          </w:tcPr>
          <w:p w:rsidR="00A067E6" w:rsidRPr="00D02D80" w:rsidRDefault="00A067E6" w:rsidP="00E11E78">
            <w:pPr>
              <w:spacing w:before="60" w:after="60" w:line="340" w:lineRule="exact"/>
              <w:ind w:left="567" w:hanging="567"/>
              <w:jc w:val="left"/>
              <w:rPr>
                <w:rtl/>
                <w:lang w:bidi="ar-SY"/>
              </w:rPr>
            </w:pPr>
            <w:r>
              <w:rPr>
                <w:rFonts w:hint="cs"/>
                <w:rtl/>
                <w:lang w:bidi="ar-SY"/>
              </w:rPr>
              <w:t>بيانات السياسات العامة</w:t>
            </w:r>
            <w:r w:rsidR="00D16746">
              <w:rPr>
                <w:rFonts w:hint="cs"/>
                <w:rtl/>
                <w:lang w:bidi="ar-SY"/>
              </w:rPr>
              <w:t xml:space="preserve"> (تتمة)</w:t>
            </w:r>
          </w:p>
        </w:tc>
        <w:tc>
          <w:tcPr>
            <w:tcW w:w="947" w:type="pct"/>
          </w:tcPr>
          <w:p w:rsidR="00A067E6" w:rsidRPr="00D02D80" w:rsidRDefault="001C04B4" w:rsidP="00E11E78">
            <w:pPr>
              <w:spacing w:before="60" w:after="60" w:line="340" w:lineRule="exact"/>
              <w:jc w:val="center"/>
              <w:rPr>
                <w:rtl/>
              </w:rPr>
            </w:pPr>
            <w:hyperlink r:id="rId9" w:history="1">
              <w:r w:rsidR="00D16746" w:rsidRPr="00E304BA">
                <w:rPr>
                  <w:rStyle w:val="Hyperlink"/>
                  <w:rFonts w:asciiTheme="minorHAnsi" w:eastAsia="SimSun" w:hAnsiTheme="minorHAnsi"/>
                </w:rPr>
                <w:t>20 + Add.1</w:t>
              </w:r>
            </w:hyperlink>
          </w:p>
        </w:tc>
      </w:tr>
    </w:tbl>
    <w:p w:rsidR="00A067E6" w:rsidRDefault="00A067E6" w:rsidP="00A067E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p>
    <w:p w:rsidR="00A067E6" w:rsidRPr="00F706C9" w:rsidRDefault="00A067E6" w:rsidP="00A067E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A067E6" w:rsidRPr="00845E16" w:rsidRDefault="00A067E6" w:rsidP="00D16746">
      <w:pPr>
        <w:pStyle w:val="Heading1"/>
        <w:rPr>
          <w:rtl/>
          <w:lang w:val="en-US"/>
        </w:rPr>
      </w:pPr>
      <w:r>
        <w:rPr>
          <w:lang w:val="en-US"/>
        </w:rPr>
        <w:lastRenderedPageBreak/>
        <w:t>1</w:t>
      </w:r>
      <w:r>
        <w:rPr>
          <w:rFonts w:hint="cs"/>
          <w:rtl/>
          <w:lang w:val="en-US" w:bidi="ar-SY"/>
        </w:rPr>
        <w:tab/>
      </w:r>
      <w:r w:rsidR="00D16746">
        <w:rPr>
          <w:rFonts w:hint="cs"/>
          <w:rtl/>
        </w:rPr>
        <w:t>القيمة النهائية لوحدة المساهمة والموعد النهائي لإبلاغ الأمانة بالاختيار النهائي لفئة المساهمة</w:t>
      </w:r>
    </w:p>
    <w:p w:rsidR="00A067E6" w:rsidRPr="00640019" w:rsidRDefault="00A067E6" w:rsidP="005A4452">
      <w:pPr>
        <w:rPr>
          <w:rtl/>
          <w:lang w:val="en-US"/>
        </w:rPr>
      </w:pPr>
      <w:r>
        <w:rPr>
          <w:lang w:val="en-US"/>
        </w:rPr>
        <w:t>1.1</w:t>
      </w:r>
      <w:r>
        <w:rPr>
          <w:rFonts w:hint="cs"/>
          <w:rtl/>
          <w:lang w:val="en-US"/>
        </w:rPr>
        <w:tab/>
      </w:r>
      <w:r w:rsidR="00640019" w:rsidRPr="00640019">
        <w:rPr>
          <w:rFonts w:hint="cs"/>
          <w:spacing w:val="-4"/>
          <w:rtl/>
        </w:rPr>
        <w:t>قال</w:t>
      </w:r>
      <w:r w:rsidRPr="00640019">
        <w:rPr>
          <w:rFonts w:hint="cs"/>
          <w:spacing w:val="-4"/>
          <w:rtl/>
        </w:rPr>
        <w:t xml:space="preserve"> </w:t>
      </w:r>
      <w:r w:rsidRPr="00640019">
        <w:rPr>
          <w:rFonts w:hint="cs"/>
          <w:b/>
          <w:bCs/>
          <w:spacing w:val="-4"/>
          <w:rtl/>
        </w:rPr>
        <w:t>الأمين العام</w:t>
      </w:r>
      <w:r w:rsidRPr="00640019">
        <w:rPr>
          <w:rFonts w:hint="cs"/>
          <w:spacing w:val="-4"/>
          <w:rtl/>
        </w:rPr>
        <w:t xml:space="preserve"> </w:t>
      </w:r>
      <w:r w:rsidR="00640019" w:rsidRPr="00640019">
        <w:rPr>
          <w:rFonts w:hint="cs"/>
          <w:spacing w:val="-4"/>
          <w:rtl/>
        </w:rPr>
        <w:t xml:space="preserve">إن إجراء تنبؤ واقعي للإيرادات يشكل أمراً حيوياً لإتمام خطة مالية متوازنة. ومن ثم سيكون من المفيد جداً أن يتمكن المؤتمر من الموافقة على حد أعلى نهائي لوحدة المساهمة في أقرب وقت ممكن. وعملاً بالرقم </w:t>
      </w:r>
      <w:r w:rsidR="00640019" w:rsidRPr="00640019">
        <w:rPr>
          <w:spacing w:val="-4"/>
          <w:lang w:val="en-US"/>
        </w:rPr>
        <w:t>161B</w:t>
      </w:r>
      <w:r w:rsidR="00640019" w:rsidRPr="00640019">
        <w:rPr>
          <w:rFonts w:hint="cs"/>
          <w:spacing w:val="-4"/>
          <w:rtl/>
          <w:lang w:val="en-US"/>
        </w:rPr>
        <w:t xml:space="preserve"> من الدستور، أوصى المجلس بأن يظل الحد الأعلى النهائي لوحدة المساهمة من دون تغيير عند </w:t>
      </w:r>
      <w:r w:rsidR="00640019" w:rsidRPr="00640019">
        <w:rPr>
          <w:spacing w:val="-4"/>
        </w:rPr>
        <w:t>318 000</w:t>
      </w:r>
      <w:r w:rsidR="00640019" w:rsidRPr="00640019">
        <w:rPr>
          <w:rFonts w:hint="cs"/>
          <w:spacing w:val="-4"/>
          <w:rtl/>
        </w:rPr>
        <w:t xml:space="preserve"> فرنك سويسري خلال الفترة</w:t>
      </w:r>
      <w:r w:rsidR="00FA0119">
        <w:rPr>
          <w:rFonts w:hint="eastAsia"/>
          <w:spacing w:val="-4"/>
          <w:rtl/>
        </w:rPr>
        <w:t> </w:t>
      </w:r>
      <w:r w:rsidR="00640019" w:rsidRPr="00640019">
        <w:rPr>
          <w:spacing w:val="-4"/>
          <w:lang w:val="en-US"/>
        </w:rPr>
        <w:t>2019</w:t>
      </w:r>
      <w:r w:rsidR="00640019">
        <w:rPr>
          <w:spacing w:val="-4"/>
          <w:lang w:val="en-US"/>
        </w:rPr>
        <w:t>-</w:t>
      </w:r>
      <w:r w:rsidR="00640019" w:rsidRPr="00640019">
        <w:rPr>
          <w:spacing w:val="-4"/>
          <w:lang w:val="en-US"/>
        </w:rPr>
        <w:t>2016</w:t>
      </w:r>
      <w:r w:rsidR="00640019" w:rsidRPr="00640019">
        <w:rPr>
          <w:rFonts w:hint="cs"/>
          <w:spacing w:val="-4"/>
          <w:rtl/>
          <w:lang w:val="en-US"/>
        </w:rPr>
        <w:t>، وكان هذا هو</w:t>
      </w:r>
      <w:r w:rsidR="005A4452">
        <w:rPr>
          <w:rFonts w:hint="eastAsia"/>
          <w:spacing w:val="-4"/>
          <w:rtl/>
          <w:lang w:val="en-US"/>
        </w:rPr>
        <w:t> </w:t>
      </w:r>
      <w:r w:rsidR="00640019" w:rsidRPr="00640019">
        <w:rPr>
          <w:rFonts w:hint="cs"/>
          <w:spacing w:val="-4"/>
          <w:rtl/>
          <w:lang w:val="en-US"/>
        </w:rPr>
        <w:t xml:space="preserve">الرقم المستخدم في تخطيط الميزانية على مدى السنوات الأربع السابقة. ودعا الأمين العام المؤتمر إلى الموافقة على توصية المجلس، والطلب إلى الدول الأعضاء إبلاغ الاتحاد عن فئة المساهمة النهائية التي اختاروها بحلول الساعة </w:t>
      </w:r>
      <w:r w:rsidR="00640019" w:rsidRPr="00640019">
        <w:rPr>
          <w:spacing w:val="-4"/>
          <w:lang w:val="en-US"/>
        </w:rPr>
        <w:t>0759</w:t>
      </w:r>
      <w:r w:rsidR="00640019" w:rsidRPr="00640019">
        <w:rPr>
          <w:rFonts w:hint="cs"/>
          <w:spacing w:val="-4"/>
          <w:rtl/>
          <w:lang w:val="en-US"/>
        </w:rPr>
        <w:t xml:space="preserve"> بالتوقيت المحلي من يوم الإثنين، </w:t>
      </w:r>
      <w:r w:rsidR="00640019" w:rsidRPr="00640019">
        <w:rPr>
          <w:spacing w:val="-4"/>
          <w:lang w:val="en-US"/>
        </w:rPr>
        <w:t>27</w:t>
      </w:r>
      <w:r w:rsidR="00FA0119">
        <w:rPr>
          <w:rFonts w:hint="eastAsia"/>
          <w:spacing w:val="-4"/>
          <w:rtl/>
          <w:lang w:val="en-US"/>
        </w:rPr>
        <w:t> </w:t>
      </w:r>
      <w:r w:rsidR="00640019" w:rsidRPr="00640019">
        <w:rPr>
          <w:rFonts w:hint="cs"/>
          <w:spacing w:val="-4"/>
          <w:rtl/>
          <w:lang w:val="en-US"/>
        </w:rPr>
        <w:t>أكتوبر</w:t>
      </w:r>
      <w:r w:rsidR="00FA0119">
        <w:rPr>
          <w:rFonts w:hint="eastAsia"/>
          <w:spacing w:val="-4"/>
          <w:rtl/>
          <w:lang w:val="en-US"/>
        </w:rPr>
        <w:t> </w:t>
      </w:r>
      <w:r w:rsidR="00640019" w:rsidRPr="00640019">
        <w:rPr>
          <w:spacing w:val="-4"/>
          <w:lang w:val="en-US"/>
        </w:rPr>
        <w:t>2014</w:t>
      </w:r>
      <w:r w:rsidR="00640019" w:rsidRPr="00640019">
        <w:rPr>
          <w:rFonts w:hint="cs"/>
          <w:spacing w:val="-4"/>
          <w:rtl/>
          <w:lang w:val="en-US"/>
        </w:rPr>
        <w:t xml:space="preserve"> (الساعة </w:t>
      </w:r>
      <w:r w:rsidR="00640019" w:rsidRPr="00640019">
        <w:rPr>
          <w:spacing w:val="-4"/>
          <w:lang w:val="en-US"/>
        </w:rPr>
        <w:t>2359</w:t>
      </w:r>
      <w:r w:rsidR="00640019" w:rsidRPr="00640019">
        <w:rPr>
          <w:rFonts w:hint="cs"/>
          <w:spacing w:val="-4"/>
          <w:rtl/>
          <w:lang w:val="en-US"/>
        </w:rPr>
        <w:t xml:space="preserve"> بتوقيت جنيف من يوم الأحد، </w:t>
      </w:r>
      <w:r w:rsidR="00640019" w:rsidRPr="00640019">
        <w:rPr>
          <w:spacing w:val="-4"/>
          <w:lang w:val="en-US"/>
        </w:rPr>
        <w:t>26</w:t>
      </w:r>
      <w:r w:rsidR="00640019" w:rsidRPr="00640019">
        <w:rPr>
          <w:rFonts w:hint="cs"/>
          <w:spacing w:val="-4"/>
          <w:rtl/>
          <w:lang w:val="en-US"/>
        </w:rPr>
        <w:t xml:space="preserve"> أكتوبر).</w:t>
      </w:r>
    </w:p>
    <w:p w:rsidR="00A067E6" w:rsidRDefault="00A067E6" w:rsidP="00FA0119">
      <w:pPr>
        <w:rPr>
          <w:rtl/>
          <w:lang w:val="en-US"/>
        </w:rPr>
      </w:pPr>
      <w:r>
        <w:rPr>
          <w:lang w:val="en-US"/>
        </w:rPr>
        <w:t>2.1</w:t>
      </w:r>
      <w:r>
        <w:rPr>
          <w:rFonts w:hint="cs"/>
          <w:rtl/>
          <w:lang w:val="en-US" w:bidi="ar-SY"/>
        </w:rPr>
        <w:tab/>
      </w:r>
      <w:r w:rsidR="00640019">
        <w:rPr>
          <w:rFonts w:hint="cs"/>
          <w:rtl/>
          <w:lang w:val="en-US" w:bidi="ar-SY"/>
        </w:rPr>
        <w:t xml:space="preserve">دعا </w:t>
      </w:r>
      <w:r w:rsidR="00640019">
        <w:rPr>
          <w:rFonts w:hint="cs"/>
          <w:b/>
          <w:bCs/>
          <w:rtl/>
          <w:lang w:val="en-US" w:bidi="ar-SY"/>
        </w:rPr>
        <w:t>الرئيس</w:t>
      </w:r>
      <w:r w:rsidR="00D73847">
        <w:rPr>
          <w:rFonts w:hint="cs"/>
          <w:rtl/>
          <w:lang w:val="en-US" w:bidi="ar-SY"/>
        </w:rPr>
        <w:t xml:space="preserve"> المؤتمر إلى الموافقة على توصية المجلس، محدداً بذلك الحد الأعلى النهائي لوحدة المساهمة عند </w:t>
      </w:r>
      <w:r w:rsidR="00D73847" w:rsidRPr="00640019">
        <w:rPr>
          <w:spacing w:val="-4"/>
        </w:rPr>
        <w:t>318 000</w:t>
      </w:r>
      <w:r w:rsidR="00FA0119">
        <w:rPr>
          <w:rFonts w:hint="eastAsia"/>
          <w:spacing w:val="-4"/>
          <w:rtl/>
        </w:rPr>
        <w:t> </w:t>
      </w:r>
      <w:r w:rsidR="00D73847" w:rsidRPr="00640019">
        <w:rPr>
          <w:rFonts w:hint="cs"/>
          <w:spacing w:val="-4"/>
          <w:rtl/>
        </w:rPr>
        <w:t>فرنك سويسري</w:t>
      </w:r>
      <w:r w:rsidR="00D73847">
        <w:rPr>
          <w:rFonts w:hint="cs"/>
          <w:rtl/>
          <w:lang w:val="en-US"/>
        </w:rPr>
        <w:t>، وكذلك الموعد النهائي الذي اقترحه الأمين العام.</w:t>
      </w:r>
    </w:p>
    <w:p w:rsidR="00D73847" w:rsidRDefault="00D73847" w:rsidP="00D73847">
      <w:pPr>
        <w:rPr>
          <w:rtl/>
          <w:lang w:val="en-US"/>
        </w:rPr>
      </w:pPr>
      <w:r>
        <w:rPr>
          <w:lang w:val="en-US"/>
        </w:rPr>
        <w:t>3.1</w:t>
      </w:r>
      <w:r>
        <w:rPr>
          <w:rtl/>
          <w:lang w:val="en-US"/>
        </w:rPr>
        <w:tab/>
      </w:r>
      <w:r>
        <w:rPr>
          <w:rFonts w:hint="cs"/>
          <w:rtl/>
          <w:lang w:val="en-US"/>
        </w:rPr>
        <w:t xml:space="preserve">وتمت </w:t>
      </w:r>
      <w:r>
        <w:rPr>
          <w:rFonts w:hint="cs"/>
          <w:b/>
          <w:bCs/>
          <w:rtl/>
          <w:lang w:val="en-US"/>
        </w:rPr>
        <w:t>الموافقة</w:t>
      </w:r>
      <w:r>
        <w:rPr>
          <w:rFonts w:hint="cs"/>
          <w:rtl/>
          <w:lang w:val="en-US"/>
        </w:rPr>
        <w:t xml:space="preserve"> على ذلك.</w:t>
      </w:r>
    </w:p>
    <w:p w:rsidR="00A067E6" w:rsidRDefault="00A067E6" w:rsidP="00D16746">
      <w:pPr>
        <w:pStyle w:val="Heading1"/>
        <w:rPr>
          <w:rtl/>
          <w:lang w:val="en-US"/>
        </w:rPr>
      </w:pPr>
      <w:r>
        <w:rPr>
          <w:lang w:val="en-US" w:bidi="ar-SY"/>
        </w:rPr>
        <w:t>2</w:t>
      </w:r>
      <w:r>
        <w:rPr>
          <w:rFonts w:hint="cs"/>
          <w:rtl/>
          <w:lang w:val="en-US" w:bidi="ar-SY"/>
        </w:rPr>
        <w:tab/>
      </w:r>
      <w:r w:rsidR="00D16746">
        <w:rPr>
          <w:rFonts w:hint="cs"/>
          <w:rtl/>
          <w:lang w:bidi="ar-SY"/>
        </w:rPr>
        <w:t>تقرير المجلس بشأن تنفيذ الخطة الاستراتيجية وأنشطة الاتحاد</w:t>
      </w:r>
      <w:r w:rsidR="00DC6AFA">
        <w:rPr>
          <w:rFonts w:hint="cs"/>
          <w:rtl/>
          <w:lang w:val="en-US" w:bidi="ar-SY"/>
        </w:rPr>
        <w:t xml:space="preserve"> (</w:t>
      </w:r>
      <w:r w:rsidR="00DC6AFA">
        <w:rPr>
          <w:rFonts w:hint="cs"/>
          <w:rtl/>
          <w:lang w:val="en-US"/>
        </w:rPr>
        <w:t xml:space="preserve">الوثيقة </w:t>
      </w:r>
      <w:r w:rsidR="00DC6AFA">
        <w:rPr>
          <w:lang w:val="en-US"/>
        </w:rPr>
        <w:t>20</w:t>
      </w:r>
      <w:r w:rsidR="00DC6AFA">
        <w:rPr>
          <w:rFonts w:hint="cs"/>
          <w:rtl/>
          <w:lang w:val="en-US"/>
        </w:rPr>
        <w:t xml:space="preserve"> والإضافة </w:t>
      </w:r>
      <w:r w:rsidR="00DC6AFA">
        <w:rPr>
          <w:lang w:val="en-US"/>
        </w:rPr>
        <w:t>1</w:t>
      </w:r>
      <w:r w:rsidR="00DC6AFA">
        <w:rPr>
          <w:rFonts w:hint="cs"/>
          <w:rtl/>
          <w:lang w:val="en-US"/>
        </w:rPr>
        <w:t>)</w:t>
      </w:r>
    </w:p>
    <w:p w:rsidR="00A067E6" w:rsidRPr="00D73847" w:rsidRDefault="00A067E6" w:rsidP="00D73847">
      <w:pPr>
        <w:rPr>
          <w:rtl/>
        </w:rPr>
      </w:pPr>
      <w:r>
        <w:rPr>
          <w:lang w:val="en-US" w:bidi="ar-SY"/>
        </w:rPr>
        <w:t>1.2</w:t>
      </w:r>
      <w:r>
        <w:rPr>
          <w:rFonts w:hint="cs"/>
          <w:rtl/>
          <w:lang w:val="en-US" w:bidi="ar-SY"/>
        </w:rPr>
        <w:tab/>
      </w:r>
      <w:r w:rsidR="00D73847">
        <w:rPr>
          <w:rFonts w:hint="cs"/>
          <w:rtl/>
          <w:lang w:val="en-US" w:bidi="ar-SY"/>
        </w:rPr>
        <w:t>دعا</w:t>
      </w:r>
      <w:r>
        <w:rPr>
          <w:rFonts w:hint="cs"/>
          <w:rtl/>
          <w:lang w:val="en-US" w:bidi="ar-SY"/>
        </w:rPr>
        <w:t xml:space="preserve"> </w:t>
      </w:r>
      <w:r w:rsidR="00D73847">
        <w:rPr>
          <w:rFonts w:hint="cs"/>
          <w:b/>
          <w:bCs/>
          <w:rtl/>
          <w:lang w:val="en-US" w:bidi="ar-SY"/>
        </w:rPr>
        <w:t xml:space="preserve">الرئيس </w:t>
      </w:r>
      <w:r w:rsidR="00D73847">
        <w:rPr>
          <w:rFonts w:hint="cs"/>
          <w:rtl/>
        </w:rPr>
        <w:t>المؤتمر إلى مشاهدة عرض الفيديو الذي يوجز أنشطة الاتحاد.</w:t>
      </w:r>
    </w:p>
    <w:p w:rsidR="00A067E6" w:rsidRPr="0063283C" w:rsidRDefault="00A067E6" w:rsidP="00505E51">
      <w:pPr>
        <w:rPr>
          <w:rtl/>
          <w:lang w:val="en-US"/>
        </w:rPr>
      </w:pPr>
      <w:r>
        <w:rPr>
          <w:lang w:val="en-US" w:bidi="ar-SY"/>
        </w:rPr>
        <w:t>2.2</w:t>
      </w:r>
      <w:r>
        <w:rPr>
          <w:rFonts w:hint="cs"/>
          <w:rtl/>
          <w:lang w:val="en-US" w:bidi="ar-SY"/>
        </w:rPr>
        <w:tab/>
      </w:r>
      <w:r w:rsidR="00D73847">
        <w:rPr>
          <w:rFonts w:hint="cs"/>
          <w:rtl/>
          <w:lang w:val="en-US" w:bidi="ar-SY"/>
        </w:rPr>
        <w:t xml:space="preserve">قال </w:t>
      </w:r>
      <w:r w:rsidR="00D73847">
        <w:rPr>
          <w:rFonts w:hint="cs"/>
          <w:b/>
          <w:bCs/>
          <w:rtl/>
          <w:lang w:val="en-US" w:bidi="ar-SY"/>
        </w:rPr>
        <w:t>رئيس المجلس</w:t>
      </w:r>
      <w:r w:rsidR="00D73847">
        <w:rPr>
          <w:rFonts w:hint="cs"/>
          <w:rtl/>
          <w:lang w:val="en-US" w:bidi="ar-SY"/>
        </w:rPr>
        <w:t xml:space="preserve"> في معرض تقديمه للوثيقة </w:t>
      </w:r>
      <w:r w:rsidR="00D73847">
        <w:rPr>
          <w:lang w:val="en-US" w:bidi="ar-SY"/>
        </w:rPr>
        <w:t>20</w:t>
      </w:r>
      <w:r w:rsidR="00D73847">
        <w:rPr>
          <w:rFonts w:hint="cs"/>
          <w:rtl/>
          <w:lang w:val="en-US"/>
        </w:rPr>
        <w:t xml:space="preserve"> والإضافة </w:t>
      </w:r>
      <w:r w:rsidR="00D73847">
        <w:rPr>
          <w:lang w:val="en-US"/>
        </w:rPr>
        <w:t>1</w:t>
      </w:r>
      <w:r w:rsidR="00D73847">
        <w:rPr>
          <w:rFonts w:hint="cs"/>
          <w:rtl/>
          <w:lang w:val="en-US"/>
        </w:rPr>
        <w:t>، إن الإدارة، بناء</w:t>
      </w:r>
      <w:r w:rsidR="0063283C">
        <w:rPr>
          <w:rFonts w:hint="cs"/>
          <w:rtl/>
          <w:lang w:val="en-US"/>
        </w:rPr>
        <w:t>ً</w:t>
      </w:r>
      <w:r w:rsidR="00D73847">
        <w:rPr>
          <w:rFonts w:hint="cs"/>
          <w:rtl/>
          <w:lang w:val="en-US"/>
        </w:rPr>
        <w:t xml:space="preserve"> على طلب الدول الأعضاء، قد صبت تركيزها على أنشطة الاتحاد بشأن تحقيق أهدافه الاستراتيجية. وأضاف أنه منذ انعقاد دورة المجلس في مايو </w:t>
      </w:r>
      <w:r w:rsidR="00D73847">
        <w:rPr>
          <w:lang w:val="en-US"/>
        </w:rPr>
        <w:t>2014</w:t>
      </w:r>
      <w:r w:rsidR="0063283C">
        <w:rPr>
          <w:rFonts w:hint="cs"/>
          <w:rtl/>
          <w:lang w:val="en-US"/>
        </w:rPr>
        <w:t xml:space="preserve">، جرى تحديث التقرير الوارد في الوثيقة </w:t>
      </w:r>
      <w:r w:rsidR="0063283C">
        <w:rPr>
          <w:lang w:val="en-US"/>
        </w:rPr>
        <w:t>20</w:t>
      </w:r>
      <w:r w:rsidR="0063283C">
        <w:rPr>
          <w:rFonts w:hint="cs"/>
          <w:rtl/>
          <w:lang w:val="en-US"/>
        </w:rPr>
        <w:t xml:space="preserve"> بحيث يأخذ في الاعتبار النتائج الأخيرة للأحداث المختلفة، بما في ذلك المؤتمر العالمي لتنمية الاتصالات، والحدث الرفيع المستوى للقمة العالمية لمجتمع المعلومات الذي استضافه الاتحاد في</w:t>
      </w:r>
      <w:r w:rsidR="005A4452">
        <w:rPr>
          <w:rFonts w:hint="cs"/>
          <w:rtl/>
          <w:lang w:val="en-US"/>
        </w:rPr>
        <w:t xml:space="preserve"> يونيو</w:t>
      </w:r>
      <w:r w:rsidR="0063283C">
        <w:rPr>
          <w:rFonts w:hint="cs"/>
          <w:rtl/>
          <w:lang w:val="en-US"/>
        </w:rPr>
        <w:t xml:space="preserve"> </w:t>
      </w:r>
      <w:r w:rsidR="0063283C">
        <w:rPr>
          <w:lang w:val="en-US"/>
        </w:rPr>
        <w:t>2014</w:t>
      </w:r>
      <w:r w:rsidR="0063283C">
        <w:rPr>
          <w:rFonts w:hint="cs"/>
          <w:rtl/>
          <w:lang w:val="en-US"/>
        </w:rPr>
        <w:t>، والندوة العالمية الرابعة عشر لمنظمي الاتصالات التي ع</w:t>
      </w:r>
      <w:r w:rsidR="00813B94">
        <w:rPr>
          <w:rFonts w:hint="cs"/>
          <w:rtl/>
          <w:lang w:val="en-US"/>
        </w:rPr>
        <w:t>ُ</w:t>
      </w:r>
      <w:r w:rsidR="0063283C">
        <w:rPr>
          <w:rFonts w:hint="cs"/>
          <w:rtl/>
          <w:lang w:val="en-US"/>
        </w:rPr>
        <w:t xml:space="preserve">قدت في البحرين في يونيو </w:t>
      </w:r>
      <w:r w:rsidR="0063283C">
        <w:rPr>
          <w:lang w:val="en-US"/>
        </w:rPr>
        <w:t>2014</w:t>
      </w:r>
      <w:r w:rsidR="0063283C">
        <w:rPr>
          <w:rFonts w:hint="cs"/>
          <w:rtl/>
          <w:lang w:val="en-US"/>
        </w:rPr>
        <w:t>، والنتائج المالية النهائية لتليكوم العالمي للاتحاد</w:t>
      </w:r>
      <w:r w:rsidR="00A20A06">
        <w:rPr>
          <w:rFonts w:hint="cs"/>
          <w:rtl/>
          <w:lang w:val="en-US"/>
        </w:rPr>
        <w:t>.</w:t>
      </w:r>
      <w:r w:rsidR="0063283C">
        <w:rPr>
          <w:rFonts w:hint="cs"/>
          <w:rtl/>
          <w:lang w:val="en-US"/>
        </w:rPr>
        <w:t xml:space="preserve"> كما أضيف تقرير عن أنشطة فريق العمل التابع للمجلس والمعني بالقمة العالمية لمجتمع المعلومات منذ المؤتمر </w:t>
      </w:r>
      <w:r w:rsidR="0063283C">
        <w:rPr>
          <w:lang w:val="en-US"/>
        </w:rPr>
        <w:t>PP-10</w:t>
      </w:r>
      <w:r w:rsidR="005A4452">
        <w:rPr>
          <w:rFonts w:hint="cs"/>
          <w:rtl/>
          <w:lang w:val="en-US"/>
        </w:rPr>
        <w:t>، بناءً على قرار من المجلس في جلسته</w:t>
      </w:r>
      <w:r w:rsidR="00505E51">
        <w:rPr>
          <w:rFonts w:hint="cs"/>
          <w:rtl/>
          <w:lang w:val="en-US"/>
        </w:rPr>
        <w:t xml:space="preserve"> الختامية</w:t>
      </w:r>
      <w:r w:rsidR="0063283C">
        <w:rPr>
          <w:rFonts w:hint="cs"/>
          <w:rtl/>
          <w:lang w:val="en-US"/>
        </w:rPr>
        <w:t>.</w:t>
      </w:r>
    </w:p>
    <w:p w:rsidR="00A067E6" w:rsidRDefault="00A067E6" w:rsidP="0063283C">
      <w:pPr>
        <w:rPr>
          <w:rtl/>
          <w:lang w:val="en-US"/>
        </w:rPr>
      </w:pPr>
      <w:r>
        <w:rPr>
          <w:lang w:val="en-US" w:bidi="ar-SY"/>
        </w:rPr>
        <w:t>3.2</w:t>
      </w:r>
      <w:r>
        <w:rPr>
          <w:rFonts w:hint="cs"/>
          <w:rtl/>
          <w:lang w:val="en-US" w:bidi="ar-SY"/>
        </w:rPr>
        <w:tab/>
      </w:r>
      <w:r w:rsidR="0063283C" w:rsidRPr="0063283C">
        <w:rPr>
          <w:rFonts w:hint="cs"/>
          <w:rtl/>
        </w:rPr>
        <w:t>شكر</w:t>
      </w:r>
      <w:r w:rsidR="0063283C">
        <w:rPr>
          <w:rFonts w:hint="cs"/>
          <w:rtl/>
        </w:rPr>
        <w:t xml:space="preserve"> </w:t>
      </w:r>
      <w:r w:rsidR="0063283C">
        <w:rPr>
          <w:rFonts w:hint="cs"/>
          <w:b/>
          <w:bCs/>
          <w:rtl/>
        </w:rPr>
        <w:t>الرئيس</w:t>
      </w:r>
      <w:r w:rsidR="0063283C">
        <w:rPr>
          <w:rFonts w:hint="cs"/>
          <w:rtl/>
        </w:rPr>
        <w:t xml:space="preserve"> المتحدث السابق</w:t>
      </w:r>
      <w:r w:rsidR="00813B94">
        <w:rPr>
          <w:rFonts w:hint="cs"/>
          <w:rtl/>
        </w:rPr>
        <w:t xml:space="preserve"> وهنأه</w:t>
      </w:r>
      <w:r w:rsidR="0063283C">
        <w:rPr>
          <w:rFonts w:hint="cs"/>
          <w:rtl/>
        </w:rPr>
        <w:t xml:space="preserve"> على كل ما قام به من عمل دؤوب كرئيس للمجلس للعام </w:t>
      </w:r>
      <w:r w:rsidR="0063283C">
        <w:rPr>
          <w:lang w:val="en-US"/>
        </w:rPr>
        <w:t>2014</w:t>
      </w:r>
      <w:r w:rsidR="0063283C">
        <w:rPr>
          <w:rFonts w:hint="cs"/>
          <w:rtl/>
          <w:lang w:val="en-US"/>
        </w:rPr>
        <w:t>.</w:t>
      </w:r>
    </w:p>
    <w:p w:rsidR="0063283C" w:rsidRDefault="0063283C" w:rsidP="008C5817">
      <w:pPr>
        <w:rPr>
          <w:rtl/>
          <w:lang w:val="en-US"/>
        </w:rPr>
      </w:pPr>
      <w:r>
        <w:rPr>
          <w:lang w:val="en-US"/>
        </w:rPr>
        <w:t>4.2</w:t>
      </w:r>
      <w:r>
        <w:rPr>
          <w:rtl/>
          <w:lang w:val="en-US"/>
        </w:rPr>
        <w:tab/>
      </w:r>
      <w:r>
        <w:rPr>
          <w:rFonts w:hint="cs"/>
          <w:rtl/>
          <w:lang w:val="en-US"/>
        </w:rPr>
        <w:t xml:space="preserve">طلب </w:t>
      </w:r>
      <w:r w:rsidRPr="008C5817">
        <w:rPr>
          <w:rFonts w:hint="cs"/>
          <w:b/>
          <w:bCs/>
          <w:rtl/>
          <w:lang w:val="en-US"/>
        </w:rPr>
        <w:t>وفد الاتحاد الروسي</w:t>
      </w:r>
      <w:r>
        <w:rPr>
          <w:rFonts w:hint="cs"/>
          <w:rtl/>
          <w:lang w:val="en-US"/>
        </w:rPr>
        <w:t xml:space="preserve"> أن يوز</w:t>
      </w:r>
      <w:r w:rsidR="008C5817">
        <w:rPr>
          <w:rFonts w:hint="cs"/>
          <w:rtl/>
          <w:lang w:val="en-US"/>
        </w:rPr>
        <w:t>ّع تقرير فريق العمل التابع للمجلس والمعني بالقمة العالمية لمجتمع المعلومات الوارد في</w:t>
      </w:r>
      <w:r w:rsidR="008C5817">
        <w:rPr>
          <w:rFonts w:hint="eastAsia"/>
          <w:rtl/>
          <w:lang w:val="en-US"/>
        </w:rPr>
        <w:t> </w:t>
      </w:r>
      <w:r w:rsidR="008C5817">
        <w:rPr>
          <w:rFonts w:hint="cs"/>
          <w:rtl/>
          <w:lang w:val="en-US"/>
        </w:rPr>
        <w:t>الإضافة</w:t>
      </w:r>
      <w:r w:rsidR="008C5817">
        <w:rPr>
          <w:rFonts w:hint="eastAsia"/>
          <w:rtl/>
          <w:lang w:val="en-US"/>
        </w:rPr>
        <w:t> </w:t>
      </w:r>
      <w:r w:rsidR="008C5817">
        <w:rPr>
          <w:lang w:val="en-US"/>
        </w:rPr>
        <w:t>1</w:t>
      </w:r>
      <w:r w:rsidR="008C5817">
        <w:rPr>
          <w:rFonts w:hint="cs"/>
          <w:rtl/>
          <w:lang w:val="en-US"/>
        </w:rPr>
        <w:t xml:space="preserve"> للوثيقة </w:t>
      </w:r>
      <w:r w:rsidR="008C5817">
        <w:rPr>
          <w:lang w:val="en-US"/>
        </w:rPr>
        <w:t>20</w:t>
      </w:r>
      <w:r w:rsidR="008C5817">
        <w:rPr>
          <w:rFonts w:hint="cs"/>
          <w:rtl/>
          <w:lang w:val="en-US"/>
        </w:rPr>
        <w:t xml:space="preserve"> على فريق العمل التابع للجلسة العامة لمناقشته في إطار مراجعة القرارين </w:t>
      </w:r>
      <w:r w:rsidR="008C5817">
        <w:rPr>
          <w:lang w:val="en-US"/>
        </w:rPr>
        <w:t>140</w:t>
      </w:r>
      <w:r w:rsidR="001B09DF">
        <w:rPr>
          <w:rFonts w:hint="cs"/>
          <w:rtl/>
          <w:lang w:val="en-US"/>
        </w:rPr>
        <w:t xml:space="preserve"> (المراجَ</w:t>
      </w:r>
      <w:r w:rsidR="008C5817">
        <w:rPr>
          <w:rFonts w:hint="cs"/>
          <w:rtl/>
          <w:lang w:val="en-US"/>
        </w:rPr>
        <w:t xml:space="preserve">ع في </w:t>
      </w:r>
      <w:proofErr w:type="spellStart"/>
      <w:r w:rsidR="008C5817">
        <w:rPr>
          <w:rFonts w:hint="cs"/>
          <w:rtl/>
          <w:lang w:val="en-US"/>
        </w:rPr>
        <w:t>غوادالاخارا</w:t>
      </w:r>
      <w:proofErr w:type="spellEnd"/>
      <w:r w:rsidR="008C5817">
        <w:rPr>
          <w:rFonts w:hint="cs"/>
          <w:rtl/>
          <w:lang w:val="en-US"/>
        </w:rPr>
        <w:t xml:space="preserve">، </w:t>
      </w:r>
      <w:r w:rsidR="008C5817">
        <w:rPr>
          <w:lang w:val="en-US"/>
        </w:rPr>
        <w:t>2010</w:t>
      </w:r>
      <w:r w:rsidR="008C5817">
        <w:rPr>
          <w:rFonts w:hint="cs"/>
          <w:rtl/>
          <w:lang w:val="en-US"/>
        </w:rPr>
        <w:t>) و</w:t>
      </w:r>
      <w:r w:rsidR="008C5817">
        <w:rPr>
          <w:lang w:val="en-US"/>
        </w:rPr>
        <w:t>172</w:t>
      </w:r>
      <w:r w:rsidR="008C5817">
        <w:rPr>
          <w:rFonts w:hint="cs"/>
          <w:rtl/>
          <w:lang w:val="en-US"/>
        </w:rPr>
        <w:t xml:space="preserve"> (</w:t>
      </w:r>
      <w:proofErr w:type="spellStart"/>
      <w:r w:rsidR="008C5817">
        <w:rPr>
          <w:rFonts w:hint="cs"/>
          <w:rtl/>
          <w:lang w:val="en-US"/>
        </w:rPr>
        <w:t>غوادالاخارا</w:t>
      </w:r>
      <w:proofErr w:type="spellEnd"/>
      <w:r w:rsidR="008C5817">
        <w:rPr>
          <w:rFonts w:hint="cs"/>
          <w:rtl/>
          <w:lang w:val="en-US"/>
        </w:rPr>
        <w:t xml:space="preserve">، </w:t>
      </w:r>
      <w:r w:rsidR="008C5817">
        <w:rPr>
          <w:lang w:val="en-US"/>
        </w:rPr>
        <w:t>2010</w:t>
      </w:r>
      <w:r w:rsidR="008C5817">
        <w:rPr>
          <w:rFonts w:hint="cs"/>
          <w:rtl/>
          <w:lang w:val="en-US"/>
        </w:rPr>
        <w:t>) لأنه يتضمن توصيات محددة في هذا الشأن.</w:t>
      </w:r>
    </w:p>
    <w:p w:rsidR="008C5817" w:rsidRDefault="008C5817" w:rsidP="008C5817">
      <w:pPr>
        <w:rPr>
          <w:rtl/>
          <w:lang w:val="en-US"/>
        </w:rPr>
      </w:pPr>
      <w:r>
        <w:rPr>
          <w:lang w:val="en-US"/>
        </w:rPr>
        <w:t>5.2</w:t>
      </w:r>
      <w:r>
        <w:rPr>
          <w:rtl/>
          <w:lang w:val="en-US"/>
        </w:rPr>
        <w:tab/>
      </w:r>
      <w:r>
        <w:rPr>
          <w:rFonts w:hint="cs"/>
          <w:rtl/>
          <w:lang w:val="en-US"/>
        </w:rPr>
        <w:t xml:space="preserve">دعا </w:t>
      </w:r>
      <w:r>
        <w:rPr>
          <w:rFonts w:hint="cs"/>
          <w:b/>
          <w:bCs/>
          <w:rtl/>
          <w:lang w:val="en-US"/>
        </w:rPr>
        <w:t>الرئيس</w:t>
      </w:r>
      <w:r>
        <w:rPr>
          <w:rFonts w:hint="cs"/>
          <w:rtl/>
        </w:rPr>
        <w:t xml:space="preserve"> المؤتمر إلى إقرار </w:t>
      </w:r>
      <w:r>
        <w:rPr>
          <w:rFonts w:hint="cs"/>
          <w:rtl/>
          <w:lang w:val="en-US"/>
        </w:rPr>
        <w:t xml:space="preserve">الوثيقة </w:t>
      </w:r>
      <w:r>
        <w:rPr>
          <w:lang w:val="en-US"/>
        </w:rPr>
        <w:t>20</w:t>
      </w:r>
      <w:r>
        <w:rPr>
          <w:rFonts w:hint="cs"/>
          <w:rtl/>
          <w:lang w:val="en-US"/>
        </w:rPr>
        <w:t xml:space="preserve"> والإضافة </w:t>
      </w:r>
      <w:r>
        <w:rPr>
          <w:lang w:val="en-US"/>
        </w:rPr>
        <w:t>1</w:t>
      </w:r>
      <w:r>
        <w:rPr>
          <w:rFonts w:hint="cs"/>
          <w:rtl/>
          <w:lang w:val="en-US"/>
        </w:rPr>
        <w:t xml:space="preserve">، التي تحتوي على تقرير المجلس بشأن تنفيذ الخطة الاستراتيجية وأنشطة الاتحاد، على أن يكون مفهوماً أن الإضافة </w:t>
      </w:r>
      <w:r>
        <w:rPr>
          <w:lang w:val="en-US"/>
        </w:rPr>
        <w:t>1</w:t>
      </w:r>
      <w:r>
        <w:rPr>
          <w:rFonts w:hint="cs"/>
          <w:rtl/>
          <w:lang w:val="en-US"/>
        </w:rPr>
        <w:t xml:space="preserve"> سيتناولها فريق العمل التابع للجلسة العامة.</w:t>
      </w:r>
    </w:p>
    <w:p w:rsidR="008C5817" w:rsidRPr="008C5817" w:rsidRDefault="008C5817" w:rsidP="008C5817">
      <w:pPr>
        <w:rPr>
          <w:rtl/>
          <w:lang w:val="en-US"/>
        </w:rPr>
      </w:pPr>
      <w:r>
        <w:rPr>
          <w:lang w:val="en-US"/>
        </w:rPr>
        <w:t>6.2</w:t>
      </w:r>
      <w:r>
        <w:rPr>
          <w:rtl/>
          <w:lang w:val="en-US"/>
        </w:rPr>
        <w:tab/>
      </w:r>
      <w:r>
        <w:rPr>
          <w:rFonts w:hint="cs"/>
          <w:rtl/>
          <w:lang w:val="en-US"/>
        </w:rPr>
        <w:t xml:space="preserve">وتمت </w:t>
      </w:r>
      <w:r w:rsidRPr="008C5817">
        <w:rPr>
          <w:rFonts w:hint="cs"/>
          <w:b/>
          <w:bCs/>
          <w:rtl/>
          <w:lang w:val="en-US"/>
        </w:rPr>
        <w:t>الموافقة</w:t>
      </w:r>
      <w:r>
        <w:rPr>
          <w:rFonts w:hint="cs"/>
          <w:rtl/>
          <w:lang w:val="en-US"/>
        </w:rPr>
        <w:t xml:space="preserve"> على ذلك.</w:t>
      </w:r>
    </w:p>
    <w:p w:rsidR="00A067E6" w:rsidRDefault="00A067E6" w:rsidP="00640019">
      <w:pPr>
        <w:pStyle w:val="Heading1"/>
        <w:rPr>
          <w:rtl/>
          <w:lang w:val="en-US"/>
        </w:rPr>
      </w:pPr>
      <w:r>
        <w:rPr>
          <w:lang w:val="en-US" w:bidi="ar-SY"/>
        </w:rPr>
        <w:t>3</w:t>
      </w:r>
      <w:r>
        <w:rPr>
          <w:rFonts w:hint="cs"/>
          <w:rtl/>
          <w:lang w:val="en-US" w:bidi="ar-SY"/>
        </w:rPr>
        <w:tab/>
      </w:r>
      <w:r w:rsidR="00640019">
        <w:rPr>
          <w:rFonts w:hint="cs"/>
          <w:rtl/>
          <w:lang w:bidi="ar-SY"/>
        </w:rPr>
        <w:t>بيانات السياسات العامة (تتمة)</w:t>
      </w:r>
      <w:r w:rsidR="008C5817">
        <w:rPr>
          <w:rStyle w:val="FootnoteReference"/>
          <w:rtl/>
          <w:lang w:bidi="ar-SY"/>
        </w:rPr>
        <w:footnoteReference w:customMarkFollows="1" w:id="1"/>
        <w:t>*</w:t>
      </w:r>
    </w:p>
    <w:p w:rsidR="00A067E6" w:rsidRDefault="00A067E6" w:rsidP="008C5817">
      <w:pPr>
        <w:keepNext/>
        <w:rPr>
          <w:rtl/>
        </w:rPr>
      </w:pPr>
      <w:r>
        <w:rPr>
          <w:lang w:val="en-US" w:bidi="ar-SY"/>
        </w:rPr>
        <w:t>1.3</w:t>
      </w:r>
      <w:r>
        <w:rPr>
          <w:rFonts w:hint="cs"/>
          <w:rtl/>
          <w:lang w:val="en-US" w:bidi="ar-SY"/>
        </w:rPr>
        <w:tab/>
        <w:t xml:space="preserve">أدلى </w:t>
      </w:r>
      <w:r w:rsidR="008C5817">
        <w:rPr>
          <w:rFonts w:hint="cs"/>
          <w:rtl/>
        </w:rPr>
        <w:t>المتحدثون المذكورون أدناه ببيانات سياسة عامة:</w:t>
      </w:r>
    </w:p>
    <w:p w:rsidR="008F6AC2" w:rsidRDefault="00A06A57" w:rsidP="008C5817">
      <w:pPr>
        <w:pStyle w:val="enumlev1"/>
        <w:rPr>
          <w:rtl/>
          <w:lang w:val="ru-RU"/>
        </w:rPr>
      </w:pPr>
      <w:r>
        <w:rPr>
          <w:rFonts w:hint="cs"/>
          <w:rtl/>
          <w:lang w:val="en-US" w:bidi="ar-SY"/>
        </w:rPr>
        <w:t>-</w:t>
      </w:r>
      <w:r>
        <w:rPr>
          <w:rFonts w:hint="cs"/>
          <w:rtl/>
          <w:lang w:val="en-US" w:bidi="ar-SY"/>
        </w:rPr>
        <w:tab/>
      </w:r>
      <w:r w:rsidR="00BD1D27">
        <w:rPr>
          <w:rFonts w:hint="cs"/>
          <w:rtl/>
        </w:rPr>
        <w:t xml:space="preserve">السيد </w:t>
      </w:r>
      <w:r w:rsidR="008C5817">
        <w:rPr>
          <w:rFonts w:hint="cs"/>
          <w:rtl/>
        </w:rPr>
        <w:t xml:space="preserve">أحمد </w:t>
      </w:r>
      <w:proofErr w:type="spellStart"/>
      <w:r w:rsidR="008C5817">
        <w:rPr>
          <w:rFonts w:hint="cs"/>
          <w:rtl/>
        </w:rPr>
        <w:t>شابري</w:t>
      </w:r>
      <w:proofErr w:type="spellEnd"/>
      <w:r w:rsidR="008C5817">
        <w:rPr>
          <w:rFonts w:hint="cs"/>
          <w:rtl/>
        </w:rPr>
        <w:t xml:space="preserve"> شيخ، وزير الاتصالات والوسائط</w:t>
      </w:r>
      <w:r w:rsidR="008C5817">
        <w:rPr>
          <w:rFonts w:hint="cs"/>
          <w:rtl/>
          <w:lang w:val="ru-RU"/>
        </w:rPr>
        <w:t xml:space="preserve"> المتعددة</w:t>
      </w:r>
      <w:r w:rsidR="006464AF">
        <w:rPr>
          <w:rFonts w:hint="cs"/>
          <w:rtl/>
          <w:lang w:val="ru-RU"/>
        </w:rPr>
        <w:t xml:space="preserve"> (</w:t>
      </w:r>
      <w:r w:rsidR="008C5817">
        <w:rPr>
          <w:rFonts w:hint="cs"/>
          <w:rtl/>
          <w:lang w:val="ru-RU"/>
        </w:rPr>
        <w:t>ماليزيا)؛</w:t>
      </w:r>
    </w:p>
    <w:p w:rsidR="008C5817" w:rsidRDefault="008C5817" w:rsidP="008C5817">
      <w:pPr>
        <w:pStyle w:val="enumlev1"/>
        <w:rPr>
          <w:rtl/>
          <w:lang w:val="ru-RU"/>
        </w:rPr>
      </w:pPr>
      <w:r>
        <w:rPr>
          <w:rFonts w:hint="cs"/>
          <w:rtl/>
          <w:lang w:val="ru-RU"/>
        </w:rPr>
        <w:t>-</w:t>
      </w:r>
      <w:r>
        <w:rPr>
          <w:rtl/>
          <w:lang w:val="ru-RU"/>
        </w:rPr>
        <w:tab/>
      </w:r>
      <w:r w:rsidR="004338A4">
        <w:rPr>
          <w:rFonts w:hint="cs"/>
          <w:rtl/>
          <w:lang w:val="ru-RU"/>
        </w:rPr>
        <w:t xml:space="preserve">السيد </w:t>
      </w:r>
      <w:proofErr w:type="spellStart"/>
      <w:r w:rsidR="004338A4">
        <w:rPr>
          <w:rFonts w:hint="cs"/>
          <w:rtl/>
          <w:lang w:val="ru-RU"/>
        </w:rPr>
        <w:t>ليهو</w:t>
      </w:r>
      <w:proofErr w:type="spellEnd"/>
      <w:r w:rsidR="004338A4">
        <w:rPr>
          <w:rFonts w:hint="cs"/>
          <w:rtl/>
          <w:lang w:val="ru-RU"/>
        </w:rPr>
        <w:t xml:space="preserve"> ليو، نائب وزير،</w:t>
      </w:r>
      <w:r>
        <w:rPr>
          <w:rFonts w:hint="cs"/>
          <w:rtl/>
          <w:lang w:val="ru-RU"/>
        </w:rPr>
        <w:t xml:space="preserve"> وزارة الصناعة وتكنولوجيا المعلومات (الصين)؛</w:t>
      </w:r>
    </w:p>
    <w:p w:rsidR="008C5817" w:rsidRDefault="008C5817" w:rsidP="008C5817">
      <w:pPr>
        <w:pStyle w:val="enumlev1"/>
        <w:rPr>
          <w:rtl/>
          <w:lang w:val="ru-RU"/>
        </w:rPr>
      </w:pPr>
      <w:r>
        <w:rPr>
          <w:rFonts w:hint="cs"/>
          <w:rtl/>
          <w:lang w:val="ru-RU"/>
        </w:rPr>
        <w:lastRenderedPageBreak/>
        <w:t>-</w:t>
      </w:r>
      <w:r>
        <w:rPr>
          <w:rFonts w:hint="cs"/>
          <w:rtl/>
          <w:lang w:val="ru-RU"/>
        </w:rPr>
        <w:tab/>
        <w:t xml:space="preserve">السيد </w:t>
      </w:r>
      <w:proofErr w:type="spellStart"/>
      <w:r>
        <w:rPr>
          <w:rFonts w:hint="cs"/>
          <w:rtl/>
          <w:lang w:val="ru-RU"/>
        </w:rPr>
        <w:t>إيرنيس</w:t>
      </w:r>
      <w:proofErr w:type="spellEnd"/>
      <w:r>
        <w:rPr>
          <w:rFonts w:hint="cs"/>
          <w:rtl/>
          <w:lang w:val="ru-RU"/>
        </w:rPr>
        <w:t xml:space="preserve"> </w:t>
      </w:r>
      <w:proofErr w:type="spellStart"/>
      <w:r>
        <w:rPr>
          <w:rFonts w:hint="cs"/>
          <w:rtl/>
          <w:lang w:val="ru-RU"/>
        </w:rPr>
        <w:t>ماميركانونف</w:t>
      </w:r>
      <w:proofErr w:type="spellEnd"/>
      <w:r>
        <w:rPr>
          <w:rFonts w:hint="cs"/>
          <w:rtl/>
          <w:lang w:val="ru-RU"/>
        </w:rPr>
        <w:t>، نائب وزير، وزارة النقل والاتصالات (جمهورية قيرغيزستان)؛</w:t>
      </w:r>
    </w:p>
    <w:p w:rsidR="0024734B" w:rsidRDefault="008C5817" w:rsidP="0024734B">
      <w:pPr>
        <w:pStyle w:val="enumlev1"/>
        <w:rPr>
          <w:rtl/>
          <w:lang w:val="ru-RU"/>
        </w:rPr>
      </w:pPr>
      <w:r>
        <w:rPr>
          <w:rFonts w:hint="cs"/>
          <w:rtl/>
          <w:lang w:val="ru-RU"/>
        </w:rPr>
        <w:t>-</w:t>
      </w:r>
      <w:r>
        <w:rPr>
          <w:rtl/>
          <w:lang w:val="ru-RU"/>
        </w:rPr>
        <w:tab/>
      </w:r>
      <w:r w:rsidR="004338A4">
        <w:rPr>
          <w:rFonts w:hint="cs"/>
          <w:rtl/>
          <w:lang w:val="ru-RU"/>
        </w:rPr>
        <w:t xml:space="preserve">السيد </w:t>
      </w:r>
      <w:proofErr w:type="spellStart"/>
      <w:r w:rsidR="004338A4">
        <w:rPr>
          <w:rFonts w:hint="cs"/>
          <w:rtl/>
          <w:lang w:val="ru-RU"/>
        </w:rPr>
        <w:t>فولو</w:t>
      </w:r>
      <w:r>
        <w:rPr>
          <w:rFonts w:hint="cs"/>
          <w:rtl/>
          <w:lang w:val="ru-RU"/>
        </w:rPr>
        <w:t>ديمير</w:t>
      </w:r>
      <w:proofErr w:type="spellEnd"/>
      <w:r>
        <w:rPr>
          <w:rFonts w:hint="cs"/>
          <w:rtl/>
          <w:lang w:val="ru-RU"/>
        </w:rPr>
        <w:t xml:space="preserve"> </w:t>
      </w:r>
      <w:proofErr w:type="spellStart"/>
      <w:r>
        <w:rPr>
          <w:rFonts w:hint="cs"/>
          <w:rtl/>
          <w:lang w:val="ru-RU"/>
        </w:rPr>
        <w:t>ز</w:t>
      </w:r>
      <w:r w:rsidR="0024734B">
        <w:rPr>
          <w:rFonts w:hint="cs"/>
          <w:rtl/>
          <w:lang w:val="ru-RU"/>
        </w:rPr>
        <w:t>فيريف</w:t>
      </w:r>
      <w:proofErr w:type="spellEnd"/>
      <w:r w:rsidR="0024734B">
        <w:rPr>
          <w:rFonts w:hint="cs"/>
          <w:rtl/>
          <w:lang w:val="ru-RU"/>
        </w:rPr>
        <w:t>، رئيس الإدارة الحكومية للاتصالات الخاصة وحماية المعلومات (أوكرانيا)؛</w:t>
      </w:r>
    </w:p>
    <w:p w:rsidR="0024734B" w:rsidRDefault="0024734B" w:rsidP="0024734B">
      <w:pPr>
        <w:pStyle w:val="enumlev1"/>
        <w:rPr>
          <w:rtl/>
          <w:lang w:val="ru-RU"/>
        </w:rPr>
      </w:pPr>
      <w:r>
        <w:rPr>
          <w:rFonts w:hint="cs"/>
          <w:rtl/>
          <w:lang w:val="ru-RU"/>
        </w:rPr>
        <w:t>-</w:t>
      </w:r>
      <w:r>
        <w:rPr>
          <w:rtl/>
          <w:lang w:val="ru-RU"/>
        </w:rPr>
        <w:tab/>
      </w:r>
      <w:r>
        <w:rPr>
          <w:rFonts w:hint="cs"/>
          <w:rtl/>
          <w:lang w:val="ru-RU"/>
        </w:rPr>
        <w:t>السيدة تهاني عطية، وزيرة العلوم والاتصالات (السودان)؛</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محمد </w:t>
      </w:r>
      <w:proofErr w:type="spellStart"/>
      <w:r>
        <w:rPr>
          <w:rFonts w:hint="cs"/>
          <w:rtl/>
          <w:lang w:val="ru-RU"/>
        </w:rPr>
        <w:t>كمارا</w:t>
      </w:r>
      <w:proofErr w:type="spellEnd"/>
      <w:r>
        <w:rPr>
          <w:rFonts w:hint="cs"/>
          <w:rtl/>
          <w:lang w:val="ru-RU"/>
        </w:rPr>
        <w:t>، وزير الاقتصاد الرقمي والمعلومات والاتصالات (مالي)؛</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دينا ناث </w:t>
      </w:r>
      <w:proofErr w:type="spellStart"/>
      <w:r>
        <w:rPr>
          <w:rFonts w:hint="cs"/>
          <w:rtl/>
          <w:lang w:val="ru-RU"/>
        </w:rPr>
        <w:t>دونغيل</w:t>
      </w:r>
      <w:proofErr w:type="spellEnd"/>
      <w:r>
        <w:rPr>
          <w:rFonts w:hint="cs"/>
          <w:rtl/>
          <w:lang w:val="ru-RU"/>
        </w:rPr>
        <w:t>، وزير المعلومات والاتصالات (بوتان)؛</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باستور نغوا </w:t>
      </w:r>
      <w:proofErr w:type="spellStart"/>
      <w:r>
        <w:rPr>
          <w:rFonts w:hint="cs"/>
          <w:rtl/>
          <w:lang w:val="ru-RU"/>
        </w:rPr>
        <w:t>نانيم</w:t>
      </w:r>
      <w:proofErr w:type="spellEnd"/>
      <w:r>
        <w:rPr>
          <w:rFonts w:hint="cs"/>
          <w:rtl/>
          <w:lang w:val="ru-RU"/>
        </w:rPr>
        <w:t>، وزير الاقتصاد الرقمي والاتصالات والبريد (الغابون)؛</w:t>
      </w:r>
    </w:p>
    <w:p w:rsidR="0024734B" w:rsidRDefault="0024734B" w:rsidP="004338A4">
      <w:pPr>
        <w:pStyle w:val="enumlev1"/>
        <w:rPr>
          <w:rtl/>
          <w:lang w:val="ru-RU"/>
        </w:rPr>
      </w:pPr>
      <w:r>
        <w:rPr>
          <w:rFonts w:hint="cs"/>
          <w:rtl/>
          <w:lang w:val="ru-RU"/>
        </w:rPr>
        <w:t>-</w:t>
      </w:r>
      <w:r>
        <w:rPr>
          <w:rtl/>
          <w:lang w:val="ru-RU"/>
        </w:rPr>
        <w:tab/>
      </w:r>
      <w:r>
        <w:rPr>
          <w:rFonts w:hint="cs"/>
          <w:rtl/>
          <w:lang w:val="ru-RU"/>
        </w:rPr>
        <w:t xml:space="preserve">السيد جون </w:t>
      </w:r>
      <w:proofErr w:type="spellStart"/>
      <w:r>
        <w:rPr>
          <w:rFonts w:hint="cs"/>
          <w:rtl/>
          <w:lang w:val="ru-RU"/>
        </w:rPr>
        <w:t>ناساسيرا</w:t>
      </w:r>
      <w:proofErr w:type="spellEnd"/>
      <w:r>
        <w:rPr>
          <w:rFonts w:hint="cs"/>
          <w:rtl/>
          <w:lang w:val="ru-RU"/>
        </w:rPr>
        <w:t>، وزير تكنولوجيا المعلومات والاتصالات (</w:t>
      </w:r>
      <w:r w:rsidR="004338A4">
        <w:rPr>
          <w:rFonts w:hint="cs"/>
          <w:rtl/>
          <w:lang w:val="ru-RU"/>
        </w:rPr>
        <w:t>أوغندا</w:t>
      </w:r>
      <w:r>
        <w:rPr>
          <w:rFonts w:hint="cs"/>
          <w:rtl/>
          <w:lang w:val="ru-RU"/>
        </w:rPr>
        <w:t>)؛</w:t>
      </w:r>
    </w:p>
    <w:p w:rsidR="004338A4" w:rsidRDefault="004338A4" w:rsidP="004338A4">
      <w:pPr>
        <w:pStyle w:val="enumlev1"/>
        <w:rPr>
          <w:rtl/>
          <w:lang w:val="ru-RU"/>
        </w:rPr>
      </w:pPr>
      <w:r>
        <w:rPr>
          <w:rFonts w:hint="cs"/>
          <w:rtl/>
          <w:lang w:val="ru-RU"/>
        </w:rPr>
        <w:t>-</w:t>
      </w:r>
      <w:r>
        <w:rPr>
          <w:rFonts w:hint="cs"/>
          <w:rtl/>
          <w:lang w:val="ru-RU"/>
        </w:rPr>
        <w:tab/>
        <w:t xml:space="preserve">السيد فريد </w:t>
      </w:r>
      <w:proofErr w:type="spellStart"/>
      <w:r>
        <w:rPr>
          <w:rFonts w:hint="cs"/>
          <w:rtl/>
          <w:lang w:val="ru-RU"/>
        </w:rPr>
        <w:t>ماتيانغي</w:t>
      </w:r>
      <w:proofErr w:type="spellEnd"/>
      <w:r>
        <w:rPr>
          <w:rFonts w:hint="cs"/>
          <w:rtl/>
          <w:lang w:val="ru-RU"/>
        </w:rPr>
        <w:t>، وزير تكنولوجيا المعلومات والاتصالات (كينيا)؛</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نيكولاس </w:t>
      </w:r>
      <w:proofErr w:type="spellStart"/>
      <w:r>
        <w:rPr>
          <w:rFonts w:hint="cs"/>
          <w:rtl/>
          <w:lang w:val="ru-RU"/>
        </w:rPr>
        <w:t>كارافاسكي</w:t>
      </w:r>
      <w:proofErr w:type="spellEnd"/>
      <w:r>
        <w:rPr>
          <w:rFonts w:hint="cs"/>
          <w:rtl/>
          <w:lang w:val="ru-RU"/>
        </w:rPr>
        <w:t>، نائب رئيس لجنة الاتصالات الوطنية (الأرجنتين)؛</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w:t>
      </w:r>
      <w:proofErr w:type="spellStart"/>
      <w:r>
        <w:rPr>
          <w:rFonts w:hint="cs"/>
          <w:rtl/>
          <w:lang w:val="ru-RU"/>
        </w:rPr>
        <w:t>ديبرتسيون</w:t>
      </w:r>
      <w:proofErr w:type="spellEnd"/>
      <w:r>
        <w:rPr>
          <w:rFonts w:hint="cs"/>
          <w:rtl/>
          <w:lang w:val="ru-RU"/>
        </w:rPr>
        <w:t xml:space="preserve"> </w:t>
      </w:r>
      <w:proofErr w:type="spellStart"/>
      <w:r>
        <w:rPr>
          <w:rFonts w:hint="cs"/>
          <w:rtl/>
          <w:lang w:val="ru-RU"/>
        </w:rPr>
        <w:t>جبرميشيل</w:t>
      </w:r>
      <w:proofErr w:type="spellEnd"/>
      <w:r>
        <w:rPr>
          <w:rFonts w:hint="cs"/>
          <w:rtl/>
          <w:lang w:val="ru-RU"/>
        </w:rPr>
        <w:t>، وزير تكنولوجيا الاتصالات والمعلومات (إثيوبيا)؛</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w:t>
      </w:r>
      <w:proofErr w:type="spellStart"/>
      <w:r>
        <w:rPr>
          <w:rFonts w:hint="cs"/>
          <w:rtl/>
          <w:lang w:val="ru-RU"/>
        </w:rPr>
        <w:t>سيابونغا</w:t>
      </w:r>
      <w:proofErr w:type="spellEnd"/>
      <w:r>
        <w:rPr>
          <w:rFonts w:hint="cs"/>
          <w:rtl/>
          <w:lang w:val="ru-RU"/>
        </w:rPr>
        <w:t xml:space="preserve"> كويلي، وزير خدمات الاتصالات والبريد (جنوب إفريقيا)؛</w:t>
      </w:r>
    </w:p>
    <w:p w:rsidR="0024734B" w:rsidRDefault="0024734B" w:rsidP="0024734B">
      <w:pPr>
        <w:pStyle w:val="enumlev1"/>
        <w:rPr>
          <w:rtl/>
          <w:lang w:val="ru-RU"/>
        </w:rPr>
      </w:pPr>
      <w:r>
        <w:rPr>
          <w:rFonts w:hint="cs"/>
          <w:rtl/>
          <w:lang w:val="ru-RU"/>
        </w:rPr>
        <w:t>-</w:t>
      </w:r>
      <w:r>
        <w:rPr>
          <w:rtl/>
          <w:lang w:val="ru-RU"/>
        </w:rPr>
        <w:tab/>
      </w:r>
      <w:r>
        <w:rPr>
          <w:rFonts w:hint="cs"/>
          <w:rtl/>
          <w:lang w:val="ru-RU"/>
        </w:rPr>
        <w:t>السيدة جاكلين بوه، مديرة إدارية، هيئة تطوير المعلومات والاتصالات (سنغافورة)؛</w:t>
      </w:r>
    </w:p>
    <w:p w:rsidR="0024734B" w:rsidRDefault="0024734B" w:rsidP="0024734B">
      <w:pPr>
        <w:pStyle w:val="enumlev1"/>
        <w:rPr>
          <w:rtl/>
          <w:lang w:val="ru-RU"/>
        </w:rPr>
      </w:pPr>
      <w:r>
        <w:rPr>
          <w:rFonts w:hint="cs"/>
          <w:rtl/>
          <w:lang w:val="ru-RU"/>
        </w:rPr>
        <w:t>-</w:t>
      </w:r>
      <w:r>
        <w:rPr>
          <w:rtl/>
          <w:lang w:val="ru-RU"/>
        </w:rPr>
        <w:tab/>
      </w:r>
      <w:r>
        <w:rPr>
          <w:rFonts w:hint="cs"/>
          <w:rtl/>
          <w:lang w:val="ru-RU"/>
        </w:rPr>
        <w:t>السيد محمد العامر، رئيس هيئة تنظيم الاتصالات (البحرين)؛</w:t>
      </w:r>
    </w:p>
    <w:p w:rsidR="0024734B" w:rsidRDefault="0024734B" w:rsidP="0024734B">
      <w:pPr>
        <w:pStyle w:val="enumlev1"/>
        <w:rPr>
          <w:rtl/>
          <w:lang w:val="ru-RU"/>
        </w:rPr>
      </w:pPr>
      <w:r>
        <w:rPr>
          <w:rFonts w:hint="cs"/>
          <w:rtl/>
          <w:lang w:val="ru-RU"/>
        </w:rPr>
        <w:t>-</w:t>
      </w:r>
      <w:r>
        <w:rPr>
          <w:rtl/>
          <w:lang w:val="ru-RU"/>
        </w:rPr>
        <w:tab/>
      </w:r>
      <w:r>
        <w:rPr>
          <w:rFonts w:hint="cs"/>
          <w:rtl/>
          <w:lang w:val="ru-RU"/>
        </w:rPr>
        <w:t>السيد هشام العلايلي، الرئيس التنفيذي للجهاز القومي لتنظيم الاتصالات (مصر)؛</w:t>
      </w:r>
    </w:p>
    <w:p w:rsidR="0024734B" w:rsidRDefault="0024734B" w:rsidP="0024734B">
      <w:pPr>
        <w:pStyle w:val="enumlev1"/>
        <w:rPr>
          <w:rtl/>
          <w:lang w:val="ru-RU"/>
        </w:rPr>
      </w:pPr>
      <w:r>
        <w:rPr>
          <w:rFonts w:hint="cs"/>
          <w:rtl/>
          <w:lang w:val="ru-RU"/>
        </w:rPr>
        <w:t>-</w:t>
      </w:r>
      <w:r>
        <w:rPr>
          <w:rtl/>
          <w:lang w:val="ru-RU"/>
        </w:rPr>
        <w:tab/>
      </w:r>
      <w:r>
        <w:rPr>
          <w:rFonts w:hint="cs"/>
          <w:rtl/>
          <w:lang w:val="ru-RU"/>
        </w:rPr>
        <w:t xml:space="preserve">السيد جيفرسون فؤاد ناصف، رئيس وحدة الشؤون الدولية، </w:t>
      </w:r>
      <w:proofErr w:type="spellStart"/>
      <w:r>
        <w:rPr>
          <w:rFonts w:hint="cs"/>
          <w:rtl/>
          <w:lang w:val="ru-RU"/>
        </w:rPr>
        <w:t>أناتيل</w:t>
      </w:r>
      <w:proofErr w:type="spellEnd"/>
      <w:r>
        <w:rPr>
          <w:rFonts w:hint="cs"/>
          <w:rtl/>
          <w:lang w:val="ru-RU"/>
        </w:rPr>
        <w:t xml:space="preserve"> (البرازيل)؛</w:t>
      </w:r>
    </w:p>
    <w:p w:rsidR="0024734B" w:rsidRDefault="0024734B" w:rsidP="0024734B">
      <w:pPr>
        <w:rPr>
          <w:lang w:val="en-US"/>
        </w:rPr>
      </w:pPr>
      <w:r>
        <w:rPr>
          <w:lang w:val="en-US"/>
        </w:rPr>
        <w:t>2.3</w:t>
      </w:r>
      <w:r>
        <w:rPr>
          <w:rtl/>
          <w:lang w:val="en-US"/>
        </w:rPr>
        <w:tab/>
      </w:r>
      <w:r>
        <w:rPr>
          <w:rFonts w:hint="cs"/>
          <w:rtl/>
          <w:lang w:val="en-US"/>
        </w:rPr>
        <w:t xml:space="preserve">شكر </w:t>
      </w:r>
      <w:r>
        <w:rPr>
          <w:rFonts w:hint="cs"/>
          <w:b/>
          <w:bCs/>
          <w:rtl/>
          <w:lang w:val="en-US"/>
        </w:rPr>
        <w:t>الأمين العام</w:t>
      </w:r>
      <w:r>
        <w:rPr>
          <w:rFonts w:hint="cs"/>
          <w:rtl/>
          <w:lang w:val="en-US"/>
        </w:rPr>
        <w:t xml:space="preserve"> جميع المتحدثين الذين وجهوا له التحية والتهنئة أثناء إدلائهم ببيانات </w:t>
      </w:r>
      <w:r w:rsidR="00264534">
        <w:rPr>
          <w:rFonts w:hint="cs"/>
          <w:rtl/>
          <w:lang w:val="en-US"/>
        </w:rPr>
        <w:t>السياسة العامة، على ما حققه من إ</w:t>
      </w:r>
      <w:r>
        <w:rPr>
          <w:rFonts w:hint="cs"/>
          <w:rtl/>
          <w:lang w:val="en-US"/>
        </w:rPr>
        <w:t>نجازات خلال فترتي توليه منصب الأمين العام للاتحاد الدولي للاتصالات.</w:t>
      </w:r>
    </w:p>
    <w:p w:rsidR="003E423B" w:rsidRPr="0024734B" w:rsidRDefault="003E423B" w:rsidP="0024734B">
      <w:pPr>
        <w:rPr>
          <w:rtl/>
          <w:lang w:val="en-US"/>
        </w:rPr>
      </w:pPr>
      <w:r>
        <w:rPr>
          <w:lang w:val="en-US"/>
        </w:rPr>
        <w:t>3.3</w:t>
      </w:r>
      <w:r>
        <w:rPr>
          <w:rtl/>
          <w:lang w:val="en-US"/>
        </w:rPr>
        <w:tab/>
      </w:r>
      <w:r>
        <w:rPr>
          <w:rFonts w:hint="cs"/>
          <w:rtl/>
          <w:lang w:val="en-US"/>
        </w:rPr>
        <w:t>وجه</w:t>
      </w:r>
      <w:r w:rsidRPr="00292645">
        <w:rPr>
          <w:rFonts w:hint="cs"/>
          <w:b/>
          <w:bCs/>
          <w:rtl/>
          <w:lang w:val="en-US"/>
        </w:rPr>
        <w:t xml:space="preserve"> الرئيس</w:t>
      </w:r>
      <w:r>
        <w:rPr>
          <w:rFonts w:hint="cs"/>
          <w:rtl/>
          <w:lang w:val="en-US"/>
        </w:rPr>
        <w:t xml:space="preserve"> الشكر لجميع المتحدثين الذين هنأوه على انتخابه رئيساً للمؤتمر أثناء إدلائهم ببيانات السياسة العامة، وأثنى على الإدارة المضيفة لما قدمته من خدمات للمؤتمر.</w:t>
      </w:r>
    </w:p>
    <w:p w:rsidR="00A06A57" w:rsidRDefault="00A06A57" w:rsidP="0024734B">
      <w:pPr>
        <w:spacing w:before="240"/>
        <w:rPr>
          <w:b/>
          <w:bCs/>
          <w:rtl/>
          <w:lang w:val="en-US"/>
        </w:rPr>
      </w:pPr>
      <w:r w:rsidRPr="00DD0BEC">
        <w:rPr>
          <w:rFonts w:hint="cs"/>
          <w:b/>
          <w:bCs/>
          <w:rtl/>
          <w:lang w:val="en-US" w:bidi="ar-SY"/>
        </w:rPr>
        <w:t xml:space="preserve">ورُفعت الجلسة في الساعة </w:t>
      </w:r>
      <w:r w:rsidR="0024734B">
        <w:rPr>
          <w:b/>
          <w:bCs/>
          <w:lang w:val="en-US" w:bidi="ar-SY"/>
        </w:rPr>
        <w:t>1240</w:t>
      </w:r>
      <w:r w:rsidRPr="00DD0BEC">
        <w:rPr>
          <w:rFonts w:hint="cs"/>
          <w:b/>
          <w:bCs/>
          <w:rtl/>
          <w:lang w:val="en-US" w:bidi="ar-SY"/>
        </w:rPr>
        <w:t>.</w:t>
      </w:r>
    </w:p>
    <w:p w:rsidR="00A06A57" w:rsidRPr="00DD0BEC" w:rsidRDefault="00A06A57" w:rsidP="0024734B">
      <w:pPr>
        <w:rPr>
          <w:rtl/>
          <w:lang w:val="en-US" w:bidi="ar-SY"/>
        </w:rPr>
      </w:pPr>
    </w:p>
    <w:p w:rsidR="00A06A57" w:rsidRPr="004F106D" w:rsidRDefault="00A06A57" w:rsidP="00A06A57">
      <w:pPr>
        <w:tabs>
          <w:tab w:val="clear" w:pos="567"/>
          <w:tab w:val="clear" w:pos="1134"/>
          <w:tab w:val="clear" w:pos="1701"/>
          <w:tab w:val="clear" w:pos="2268"/>
          <w:tab w:val="clear" w:pos="2835"/>
          <w:tab w:val="left" w:pos="7235"/>
        </w:tabs>
        <w:rPr>
          <w:sz w:val="24"/>
          <w:szCs w:val="32"/>
          <w:rtl/>
          <w:lang w:val="en-US" w:bidi="ar-SY"/>
        </w:rPr>
      </w:pPr>
      <w:r w:rsidRPr="004F106D">
        <w:rPr>
          <w:rFonts w:hint="cs"/>
          <w:sz w:val="24"/>
          <w:szCs w:val="32"/>
          <w:rtl/>
          <w:lang w:val="en-US" w:bidi="ar-SY"/>
        </w:rPr>
        <w:t xml:space="preserve">الأمين </w:t>
      </w:r>
      <w:proofErr w:type="gramStart"/>
      <w:r w:rsidRPr="004F106D">
        <w:rPr>
          <w:rFonts w:hint="cs"/>
          <w:sz w:val="24"/>
          <w:szCs w:val="32"/>
          <w:rtl/>
          <w:lang w:val="en-US" w:bidi="ar-SY"/>
        </w:rPr>
        <w:t>العام:</w:t>
      </w:r>
      <w:r w:rsidRPr="004F106D">
        <w:rPr>
          <w:rFonts w:hint="cs"/>
          <w:sz w:val="24"/>
          <w:szCs w:val="32"/>
          <w:rtl/>
          <w:lang w:val="en-US" w:bidi="ar-SY"/>
        </w:rPr>
        <w:tab/>
      </w:r>
      <w:proofErr w:type="gramEnd"/>
      <w:r w:rsidRPr="004F106D">
        <w:rPr>
          <w:rFonts w:hint="cs"/>
          <w:sz w:val="24"/>
          <w:szCs w:val="32"/>
          <w:rtl/>
          <w:lang w:val="en-US" w:bidi="ar-SY"/>
        </w:rPr>
        <w:t>الرئيس:</w:t>
      </w:r>
    </w:p>
    <w:p w:rsidR="00A06A57" w:rsidRPr="004F106D" w:rsidRDefault="00A06A57" w:rsidP="008F6AC2">
      <w:pPr>
        <w:tabs>
          <w:tab w:val="clear" w:pos="567"/>
          <w:tab w:val="clear" w:pos="1134"/>
          <w:tab w:val="clear" w:pos="1701"/>
          <w:tab w:val="clear" w:pos="2268"/>
          <w:tab w:val="clear" w:pos="2835"/>
          <w:tab w:val="center" w:pos="714"/>
          <w:tab w:val="left" w:pos="7235"/>
        </w:tabs>
        <w:spacing w:before="0"/>
        <w:rPr>
          <w:sz w:val="24"/>
          <w:szCs w:val="32"/>
          <w:rtl/>
          <w:lang w:val="en-US" w:bidi="ar-SY"/>
        </w:rPr>
      </w:pPr>
      <w:r w:rsidRPr="004F106D">
        <w:rPr>
          <w:rFonts w:hint="cs"/>
          <w:sz w:val="24"/>
          <w:szCs w:val="32"/>
          <w:rtl/>
          <w:lang w:val="en-US" w:bidi="ar-SY"/>
        </w:rPr>
        <w:t xml:space="preserve">ح. إ. </w:t>
      </w:r>
      <w:proofErr w:type="gramStart"/>
      <w:r w:rsidRPr="004F106D">
        <w:rPr>
          <w:rFonts w:hint="cs"/>
          <w:sz w:val="24"/>
          <w:szCs w:val="32"/>
          <w:rtl/>
          <w:lang w:val="en-US" w:bidi="ar-SY"/>
        </w:rPr>
        <w:t>توريه</w:t>
      </w:r>
      <w:proofErr w:type="gramEnd"/>
      <w:r w:rsidRPr="004F106D">
        <w:rPr>
          <w:rFonts w:hint="cs"/>
          <w:sz w:val="24"/>
          <w:szCs w:val="32"/>
          <w:rtl/>
          <w:lang w:val="en-US" w:bidi="ar-SY"/>
        </w:rPr>
        <w:tab/>
      </w:r>
      <w:r w:rsidR="008F6AC2">
        <w:rPr>
          <w:rFonts w:hint="cs"/>
          <w:sz w:val="24"/>
          <w:szCs w:val="32"/>
          <w:rtl/>
          <w:lang w:val="en-US" w:bidi="ar-SY"/>
        </w:rPr>
        <w:t>و. وين</w:t>
      </w:r>
    </w:p>
    <w:p w:rsidR="0086422D" w:rsidRPr="009B42AD" w:rsidRDefault="009B42AD" w:rsidP="009B42AD">
      <w:pPr>
        <w:spacing w:before="240"/>
        <w:jc w:val="center"/>
        <w:rPr>
          <w:sz w:val="30"/>
          <w:rtl/>
          <w:lang w:val="en-US"/>
        </w:rPr>
      </w:pPr>
      <w:r>
        <w:rPr>
          <w:rFonts w:hint="cs"/>
          <w:sz w:val="30"/>
          <w:rtl/>
          <w:lang w:val="en-US"/>
        </w:rPr>
        <w:t>___________</w:t>
      </w:r>
    </w:p>
    <w:sectPr w:rsidR="0086422D" w:rsidRPr="009B42AD" w:rsidSect="00B541A1">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4C" w:rsidRDefault="00F2144C" w:rsidP="00FE7FCA">
      <w:r>
        <w:separator/>
      </w:r>
    </w:p>
  </w:endnote>
  <w:endnote w:type="continuationSeparator" w:id="0">
    <w:p w:rsidR="00F2144C" w:rsidRDefault="00F2144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4C" w:rsidRPr="001C04B4" w:rsidRDefault="00F2144C" w:rsidP="00D1674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FILENAME \p \* MERGEFORMAT </w:instrText>
    </w:r>
    <w:r w:rsidRPr="001C04B4">
      <w:rPr>
        <w:rFonts w:asciiTheme="minorHAnsi" w:hAnsiTheme="minorHAnsi"/>
        <w:color w:val="FFFFFF" w:themeColor="background1"/>
        <w:sz w:val="16"/>
        <w:szCs w:val="16"/>
        <w:lang w:val="en-US" w:bidi="ar-SA"/>
      </w:rPr>
      <w:fldChar w:fldCharType="separate"/>
    </w:r>
    <w:r w:rsidR="00292645" w:rsidRPr="001C04B4">
      <w:rPr>
        <w:rFonts w:asciiTheme="minorHAnsi" w:hAnsiTheme="minorHAnsi"/>
        <w:noProof/>
        <w:color w:val="FFFFFF" w:themeColor="background1"/>
        <w:sz w:val="16"/>
        <w:szCs w:val="16"/>
        <w:lang w:val="en-US" w:bidi="ar-SA"/>
      </w:rPr>
      <w:t>P:\ARA\SG\CONF-SG\PP14\100\108V2A.docx</w:t>
    </w:r>
    <w:r w:rsidRPr="001C04B4">
      <w:rPr>
        <w:rFonts w:asciiTheme="minorHAnsi" w:hAnsiTheme="minorHAnsi"/>
        <w:color w:val="FFFFFF" w:themeColor="background1"/>
        <w:sz w:val="16"/>
        <w:szCs w:val="16"/>
        <w:lang w:val="en-US" w:bidi="ar-SA"/>
      </w:rPr>
      <w:fldChar w:fldCharType="end"/>
    </w:r>
    <w:r w:rsidR="00D16746" w:rsidRPr="001C04B4">
      <w:rPr>
        <w:rFonts w:asciiTheme="minorHAnsi" w:hAnsiTheme="minorHAnsi"/>
        <w:color w:val="FFFFFF" w:themeColor="background1"/>
        <w:sz w:val="16"/>
        <w:szCs w:val="16"/>
        <w:lang w:val="en-US" w:bidi="ar-SA"/>
      </w:rPr>
      <w:t xml:space="preserve">   (371</w:t>
    </w:r>
    <w:r w:rsidRPr="001C04B4">
      <w:rPr>
        <w:rFonts w:asciiTheme="minorHAnsi" w:hAnsiTheme="minorHAnsi"/>
        <w:color w:val="FFFFFF" w:themeColor="background1"/>
        <w:sz w:val="16"/>
        <w:szCs w:val="16"/>
        <w:lang w:val="en-US" w:bidi="ar-SA"/>
      </w:rPr>
      <w:t>5</w:t>
    </w:r>
    <w:r w:rsidR="00D16746" w:rsidRPr="001C04B4">
      <w:rPr>
        <w:rFonts w:asciiTheme="minorHAnsi" w:hAnsiTheme="minorHAnsi"/>
        <w:color w:val="FFFFFF" w:themeColor="background1"/>
        <w:sz w:val="16"/>
        <w:szCs w:val="16"/>
        <w:lang w:val="en-US" w:bidi="ar-SA"/>
      </w:rPr>
      <w:t>04</w:t>
    </w:r>
    <w:r w:rsidRPr="001C04B4">
      <w:rPr>
        <w:rFonts w:asciiTheme="minorHAnsi" w:hAnsiTheme="minorHAnsi"/>
        <w:color w:val="FFFFFF" w:themeColor="background1"/>
        <w:sz w:val="16"/>
        <w:szCs w:val="16"/>
        <w:lang w:val="en-US" w:bidi="ar-SA"/>
      </w:rPr>
      <w:t>)</w:t>
    </w:r>
    <w:r w:rsidRPr="001C04B4">
      <w:rPr>
        <w:rFonts w:asciiTheme="minorHAnsi" w:hAnsiTheme="minorHAnsi"/>
        <w:color w:val="FFFFFF" w:themeColor="background1"/>
        <w:sz w:val="16"/>
        <w:szCs w:val="16"/>
        <w:lang w:val="en-US" w:bidi="ar-SA"/>
      </w:rPr>
      <w:tab/>
    </w: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savedate \@ dd.MM.yy </w:instrText>
    </w:r>
    <w:r w:rsidRPr="001C04B4">
      <w:rPr>
        <w:rFonts w:asciiTheme="minorHAnsi" w:hAnsiTheme="minorHAnsi"/>
        <w:color w:val="FFFFFF" w:themeColor="background1"/>
        <w:sz w:val="16"/>
        <w:szCs w:val="16"/>
        <w:lang w:val="en-US" w:bidi="ar-SA"/>
      </w:rPr>
      <w:fldChar w:fldCharType="separate"/>
    </w:r>
    <w:r w:rsidR="001C04B4" w:rsidRPr="001C04B4">
      <w:rPr>
        <w:rFonts w:asciiTheme="minorHAnsi" w:hAnsiTheme="minorHAnsi"/>
        <w:noProof/>
        <w:color w:val="FFFFFF" w:themeColor="background1"/>
        <w:sz w:val="16"/>
        <w:szCs w:val="16"/>
        <w:lang w:val="en-US" w:bidi="ar-SA"/>
      </w:rPr>
      <w:t>28.10.14</w:t>
    </w:r>
    <w:r w:rsidRPr="001C04B4">
      <w:rPr>
        <w:rFonts w:asciiTheme="minorHAnsi" w:hAnsiTheme="minorHAnsi"/>
        <w:color w:val="FFFFFF" w:themeColor="background1"/>
        <w:sz w:val="16"/>
        <w:szCs w:val="16"/>
        <w:lang w:val="en-US" w:bidi="ar-SA"/>
      </w:rPr>
      <w:fldChar w:fldCharType="end"/>
    </w:r>
    <w:r w:rsidRPr="001C04B4">
      <w:rPr>
        <w:rFonts w:asciiTheme="minorHAnsi" w:hAnsiTheme="minorHAnsi"/>
        <w:color w:val="FFFFFF" w:themeColor="background1"/>
        <w:sz w:val="16"/>
        <w:szCs w:val="16"/>
        <w:lang w:val="en-US" w:bidi="ar-SA"/>
      </w:rPr>
      <w:tab/>
    </w: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printdate \@ dd.MM.yy </w:instrText>
    </w:r>
    <w:r w:rsidRPr="001C04B4">
      <w:rPr>
        <w:rFonts w:asciiTheme="minorHAnsi" w:hAnsiTheme="minorHAnsi"/>
        <w:color w:val="FFFFFF" w:themeColor="background1"/>
        <w:sz w:val="16"/>
        <w:szCs w:val="16"/>
        <w:lang w:val="en-US" w:bidi="ar-SA"/>
      </w:rPr>
      <w:fldChar w:fldCharType="separate"/>
    </w:r>
    <w:r w:rsidR="00292645" w:rsidRPr="001C04B4">
      <w:rPr>
        <w:rFonts w:asciiTheme="minorHAnsi" w:hAnsiTheme="minorHAnsi"/>
        <w:noProof/>
        <w:color w:val="FFFFFF" w:themeColor="background1"/>
        <w:sz w:val="16"/>
        <w:szCs w:val="16"/>
        <w:lang w:val="en-US" w:bidi="ar-SA"/>
      </w:rPr>
      <w:t>28.10.14</w:t>
    </w:r>
    <w:r w:rsidRPr="001C04B4">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4C" w:rsidRPr="00B115D1" w:rsidRDefault="00F2144C"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sidRPr="00B115D1">
      <w:rPr>
        <w:sz w:val="20"/>
        <w:szCs w:val="20"/>
      </w:rPr>
      <w:t xml:space="preserve"> </w:t>
    </w:r>
    <w:r w:rsidRPr="00B115D1">
      <w:rPr>
        <w:rStyle w:val="Hyperlink"/>
        <w:sz w:val="22"/>
        <w:szCs w:val="22"/>
      </w:rPr>
      <w:t>www.itu.int/plenipotentiary/</w:t>
    </w:r>
    <w:r w:rsidRPr="00B115D1">
      <w:rPr>
        <w:sz w:val="20"/>
        <w:szCs w:val="20"/>
      </w:rPr>
      <w:t xml:space="preserve"> </w:t>
    </w:r>
    <w:r>
      <w:rPr>
        <w:rFonts w:ascii="Symbol" w:hAnsi="Symbol"/>
        <w:sz w:val="22"/>
        <w:szCs w:val="20"/>
        <w:lang w:val="en-GB"/>
      </w:rPr>
      <w:t></w:t>
    </w:r>
  </w:p>
  <w:p w:rsidR="00F2144C" w:rsidRPr="001C04B4" w:rsidRDefault="00F2144C" w:rsidP="00D1674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FILENAME \p \* MERGEFORMAT </w:instrText>
    </w:r>
    <w:r w:rsidRPr="001C04B4">
      <w:rPr>
        <w:rFonts w:asciiTheme="minorHAnsi" w:hAnsiTheme="minorHAnsi"/>
        <w:color w:val="FFFFFF" w:themeColor="background1"/>
        <w:sz w:val="16"/>
        <w:szCs w:val="16"/>
        <w:lang w:val="en-US" w:bidi="ar-SA"/>
      </w:rPr>
      <w:fldChar w:fldCharType="separate"/>
    </w:r>
    <w:r w:rsidR="00292645" w:rsidRPr="001C04B4">
      <w:rPr>
        <w:rFonts w:asciiTheme="minorHAnsi" w:hAnsiTheme="minorHAnsi"/>
        <w:noProof/>
        <w:color w:val="FFFFFF" w:themeColor="background1"/>
        <w:sz w:val="16"/>
        <w:szCs w:val="16"/>
        <w:lang w:val="en-US" w:bidi="ar-SA"/>
      </w:rPr>
      <w:t>P:\ARA\SG\CONF-SG\PP14\100\108V2A.docx</w:t>
    </w:r>
    <w:r w:rsidRPr="001C04B4">
      <w:rPr>
        <w:rFonts w:asciiTheme="minorHAnsi" w:hAnsiTheme="minorHAnsi"/>
        <w:color w:val="FFFFFF" w:themeColor="background1"/>
        <w:sz w:val="16"/>
        <w:szCs w:val="16"/>
        <w:lang w:val="en-US" w:bidi="ar-SA"/>
      </w:rPr>
      <w:fldChar w:fldCharType="end"/>
    </w:r>
    <w:r w:rsidRPr="001C04B4">
      <w:rPr>
        <w:rFonts w:asciiTheme="minorHAnsi" w:hAnsiTheme="minorHAnsi"/>
        <w:color w:val="FFFFFF" w:themeColor="background1"/>
        <w:sz w:val="16"/>
        <w:szCs w:val="16"/>
        <w:lang w:val="en-US" w:bidi="ar-SA"/>
      </w:rPr>
      <w:t xml:space="preserve">   (371</w:t>
    </w:r>
    <w:r w:rsidR="00D16746" w:rsidRPr="001C04B4">
      <w:rPr>
        <w:rFonts w:asciiTheme="minorHAnsi" w:hAnsiTheme="minorHAnsi"/>
        <w:color w:val="FFFFFF" w:themeColor="background1"/>
        <w:sz w:val="16"/>
        <w:szCs w:val="16"/>
        <w:lang w:val="en-US" w:bidi="ar-SA"/>
      </w:rPr>
      <w:t>504</w:t>
    </w:r>
    <w:r w:rsidRPr="001C04B4">
      <w:rPr>
        <w:rFonts w:asciiTheme="minorHAnsi" w:hAnsiTheme="minorHAnsi"/>
        <w:color w:val="FFFFFF" w:themeColor="background1"/>
        <w:sz w:val="16"/>
        <w:szCs w:val="16"/>
        <w:lang w:val="en-US" w:bidi="ar-SA"/>
      </w:rPr>
      <w:t>)</w:t>
    </w:r>
    <w:r w:rsidRPr="001C04B4">
      <w:rPr>
        <w:rFonts w:asciiTheme="minorHAnsi" w:hAnsiTheme="minorHAnsi"/>
        <w:color w:val="FFFFFF" w:themeColor="background1"/>
        <w:sz w:val="16"/>
        <w:szCs w:val="16"/>
        <w:lang w:val="en-US" w:bidi="ar-SA"/>
      </w:rPr>
      <w:tab/>
    </w: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savedate \@ dd.MM.yy </w:instrText>
    </w:r>
    <w:r w:rsidRPr="001C04B4">
      <w:rPr>
        <w:rFonts w:asciiTheme="minorHAnsi" w:hAnsiTheme="minorHAnsi"/>
        <w:color w:val="FFFFFF" w:themeColor="background1"/>
        <w:sz w:val="16"/>
        <w:szCs w:val="16"/>
        <w:lang w:val="en-US" w:bidi="ar-SA"/>
      </w:rPr>
      <w:fldChar w:fldCharType="separate"/>
    </w:r>
    <w:r w:rsidR="001C04B4" w:rsidRPr="001C04B4">
      <w:rPr>
        <w:rFonts w:asciiTheme="minorHAnsi" w:hAnsiTheme="minorHAnsi"/>
        <w:noProof/>
        <w:color w:val="FFFFFF" w:themeColor="background1"/>
        <w:sz w:val="16"/>
        <w:szCs w:val="16"/>
        <w:lang w:val="en-US" w:bidi="ar-SA"/>
      </w:rPr>
      <w:t>28.10.14</w:t>
    </w:r>
    <w:r w:rsidRPr="001C04B4">
      <w:rPr>
        <w:rFonts w:asciiTheme="minorHAnsi" w:hAnsiTheme="minorHAnsi"/>
        <w:color w:val="FFFFFF" w:themeColor="background1"/>
        <w:sz w:val="16"/>
        <w:szCs w:val="16"/>
        <w:lang w:val="en-US" w:bidi="ar-SA"/>
      </w:rPr>
      <w:fldChar w:fldCharType="end"/>
    </w:r>
    <w:r w:rsidRPr="001C04B4">
      <w:rPr>
        <w:rFonts w:asciiTheme="minorHAnsi" w:hAnsiTheme="minorHAnsi"/>
        <w:color w:val="FFFFFF" w:themeColor="background1"/>
        <w:sz w:val="16"/>
        <w:szCs w:val="16"/>
        <w:lang w:val="en-US" w:bidi="ar-SA"/>
      </w:rPr>
      <w:tab/>
    </w:r>
    <w:r w:rsidRPr="001C04B4">
      <w:rPr>
        <w:rFonts w:asciiTheme="minorHAnsi" w:hAnsiTheme="minorHAnsi"/>
        <w:color w:val="FFFFFF" w:themeColor="background1"/>
        <w:sz w:val="16"/>
        <w:szCs w:val="16"/>
        <w:lang w:val="en-US" w:bidi="ar-SA"/>
      </w:rPr>
      <w:fldChar w:fldCharType="begin"/>
    </w:r>
    <w:r w:rsidRPr="001C04B4">
      <w:rPr>
        <w:rFonts w:asciiTheme="minorHAnsi" w:hAnsiTheme="minorHAnsi"/>
        <w:color w:val="FFFFFF" w:themeColor="background1"/>
        <w:sz w:val="16"/>
        <w:szCs w:val="16"/>
        <w:lang w:val="en-US" w:bidi="ar-SA"/>
      </w:rPr>
      <w:instrText xml:space="preserve"> printdate \@ dd.MM.yy </w:instrText>
    </w:r>
    <w:r w:rsidRPr="001C04B4">
      <w:rPr>
        <w:rFonts w:asciiTheme="minorHAnsi" w:hAnsiTheme="minorHAnsi"/>
        <w:color w:val="FFFFFF" w:themeColor="background1"/>
        <w:sz w:val="16"/>
        <w:szCs w:val="16"/>
        <w:lang w:val="en-US" w:bidi="ar-SA"/>
      </w:rPr>
      <w:fldChar w:fldCharType="separate"/>
    </w:r>
    <w:r w:rsidR="00292645" w:rsidRPr="001C04B4">
      <w:rPr>
        <w:rFonts w:asciiTheme="minorHAnsi" w:hAnsiTheme="minorHAnsi"/>
        <w:noProof/>
        <w:color w:val="FFFFFF" w:themeColor="background1"/>
        <w:sz w:val="16"/>
        <w:szCs w:val="16"/>
        <w:lang w:val="en-US" w:bidi="ar-SA"/>
      </w:rPr>
      <w:t>28.10.14</w:t>
    </w:r>
    <w:r w:rsidRPr="001C04B4">
      <w:rPr>
        <w:rFonts w:asciiTheme="minorHAnsi" w:hAnsiTheme="minorHAnsi"/>
        <w:color w:val="FFFFFF" w:themeColor="background1"/>
        <w:sz w:val="16"/>
        <w:szCs w:val="16"/>
        <w:lang w:val="en-US" w:bidi="ar-SA"/>
      </w:rPr>
      <w:fldChar w:fldCharType="end"/>
    </w: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4C" w:rsidRDefault="00F2144C">
      <w:r>
        <w:t>_______________</w:t>
      </w:r>
    </w:p>
  </w:footnote>
  <w:footnote w:type="continuationSeparator" w:id="0">
    <w:p w:rsidR="00F2144C" w:rsidRDefault="00F2144C" w:rsidP="00FE7FCA">
      <w:r>
        <w:continuationSeparator/>
      </w:r>
    </w:p>
  </w:footnote>
  <w:footnote w:id="1">
    <w:p w:rsidR="008C5817" w:rsidRPr="008C5817" w:rsidRDefault="008C5817" w:rsidP="008C5817">
      <w:pPr>
        <w:pStyle w:val="FootnoteText"/>
        <w:jc w:val="left"/>
      </w:pPr>
      <w:r>
        <w:rPr>
          <w:rStyle w:val="FootnoteReference"/>
          <w:rtl/>
        </w:rPr>
        <w:t>*</w:t>
      </w:r>
      <w:r>
        <w:rPr>
          <w:rtl/>
        </w:rPr>
        <w:tab/>
      </w:r>
      <w:r>
        <w:rPr>
          <w:rFonts w:hint="cs"/>
          <w:rtl/>
        </w:rPr>
        <w:t>يمكن الاطلاع على بيانات السياسة العامة المقدمة إلى الأمانة على:</w:t>
      </w:r>
      <w:r w:rsidRPr="008C5817">
        <w:t xml:space="preserve"> </w:t>
      </w:r>
      <w:hyperlink r:id="rId1" w:history="1">
        <w:r w:rsidRPr="00E304BA">
          <w:rPr>
            <w:rStyle w:val="Hyperlink"/>
            <w:rFonts w:eastAsia="SimSun"/>
          </w:rPr>
          <w:t>http://www.itu.int/en/plenipotentiary/2014/statements/Pages/default.aspx</w:t>
        </w:r>
      </w:hyperlink>
      <w:r>
        <w:rPr>
          <w:rFonts w:eastAsia="SimSun"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4C" w:rsidRPr="005A25FE" w:rsidRDefault="00F2144C"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292645">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F2144C" w:rsidRDefault="00F2144C"/>
  <w:p w:rsidR="00F2144C" w:rsidRDefault="00F214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4C" w:rsidRPr="006A7C71" w:rsidRDefault="00F2144C" w:rsidP="00D16746">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C04B4">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Pr>
        <w:rStyle w:val="PageNumber"/>
        <w:rFonts w:ascii="Calibri" w:hAnsi="Calibri"/>
      </w:rPr>
      <w:t>10</w:t>
    </w:r>
    <w:r w:rsidR="00D16746">
      <w:rPr>
        <w:rStyle w:val="PageNumber"/>
        <w:rFonts w:ascii="Calibri" w:hAnsi="Calibri"/>
      </w:rPr>
      <w:t>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4C" w:rsidRPr="00B10B0D" w:rsidRDefault="00F2144C"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F5"/>
    <w:rsid w:val="00004A19"/>
    <w:rsid w:val="00004C7A"/>
    <w:rsid w:val="00005A03"/>
    <w:rsid w:val="00006678"/>
    <w:rsid w:val="000075F1"/>
    <w:rsid w:val="000126DD"/>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5E86"/>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128E"/>
    <w:rsid w:val="00124807"/>
    <w:rsid w:val="00126205"/>
    <w:rsid w:val="00126D8B"/>
    <w:rsid w:val="00127D4A"/>
    <w:rsid w:val="00130211"/>
    <w:rsid w:val="0013130B"/>
    <w:rsid w:val="00135443"/>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09DF"/>
    <w:rsid w:val="001B1704"/>
    <w:rsid w:val="001B2C77"/>
    <w:rsid w:val="001B428F"/>
    <w:rsid w:val="001B5864"/>
    <w:rsid w:val="001B58C3"/>
    <w:rsid w:val="001B61AB"/>
    <w:rsid w:val="001B6244"/>
    <w:rsid w:val="001C04B4"/>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05C"/>
    <w:rsid w:val="00231E43"/>
    <w:rsid w:val="00233E82"/>
    <w:rsid w:val="00235425"/>
    <w:rsid w:val="002371FD"/>
    <w:rsid w:val="00237B79"/>
    <w:rsid w:val="002471D5"/>
    <w:rsid w:val="0024734B"/>
    <w:rsid w:val="0025361D"/>
    <w:rsid w:val="00253C26"/>
    <w:rsid w:val="00255055"/>
    <w:rsid w:val="00255DD0"/>
    <w:rsid w:val="00257188"/>
    <w:rsid w:val="002576F6"/>
    <w:rsid w:val="002578B4"/>
    <w:rsid w:val="002629BD"/>
    <w:rsid w:val="00263B70"/>
    <w:rsid w:val="002642B5"/>
    <w:rsid w:val="00264534"/>
    <w:rsid w:val="00272074"/>
    <w:rsid w:val="002732BB"/>
    <w:rsid w:val="00273EEF"/>
    <w:rsid w:val="0027409B"/>
    <w:rsid w:val="0027456E"/>
    <w:rsid w:val="00275EF8"/>
    <w:rsid w:val="00276339"/>
    <w:rsid w:val="00276A6F"/>
    <w:rsid w:val="002802F3"/>
    <w:rsid w:val="002816D2"/>
    <w:rsid w:val="002824BE"/>
    <w:rsid w:val="00283FC8"/>
    <w:rsid w:val="00285647"/>
    <w:rsid w:val="002858F5"/>
    <w:rsid w:val="00292645"/>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37A1"/>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23B"/>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8A4"/>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1477"/>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5E51"/>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7771"/>
    <w:rsid w:val="005610F0"/>
    <w:rsid w:val="0056395A"/>
    <w:rsid w:val="00565E64"/>
    <w:rsid w:val="00567130"/>
    <w:rsid w:val="00573BC2"/>
    <w:rsid w:val="005741E5"/>
    <w:rsid w:val="00575907"/>
    <w:rsid w:val="00577207"/>
    <w:rsid w:val="00577F3A"/>
    <w:rsid w:val="005805E4"/>
    <w:rsid w:val="00582912"/>
    <w:rsid w:val="00583E1D"/>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4452"/>
    <w:rsid w:val="005A7165"/>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6685"/>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3283C"/>
    <w:rsid w:val="00640019"/>
    <w:rsid w:val="006422DC"/>
    <w:rsid w:val="006438BD"/>
    <w:rsid w:val="006464AF"/>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2F99"/>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1FEF"/>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2AC"/>
    <w:rsid w:val="00761F8F"/>
    <w:rsid w:val="00762938"/>
    <w:rsid w:val="007638CF"/>
    <w:rsid w:val="0076605C"/>
    <w:rsid w:val="00767035"/>
    <w:rsid w:val="0077489F"/>
    <w:rsid w:val="007768A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2124"/>
    <w:rsid w:val="008075D5"/>
    <w:rsid w:val="00811230"/>
    <w:rsid w:val="00813B94"/>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22D"/>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817"/>
    <w:rsid w:val="008D3BE2"/>
    <w:rsid w:val="008D3D86"/>
    <w:rsid w:val="008D521B"/>
    <w:rsid w:val="008D5D0E"/>
    <w:rsid w:val="008D71B0"/>
    <w:rsid w:val="008D7FF0"/>
    <w:rsid w:val="008E1B87"/>
    <w:rsid w:val="008E2A12"/>
    <w:rsid w:val="008E3CD1"/>
    <w:rsid w:val="008F284F"/>
    <w:rsid w:val="008F2D4D"/>
    <w:rsid w:val="008F5294"/>
    <w:rsid w:val="008F54F7"/>
    <w:rsid w:val="008F6AC2"/>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C45"/>
    <w:rsid w:val="0096156C"/>
    <w:rsid w:val="00961F52"/>
    <w:rsid w:val="00962A57"/>
    <w:rsid w:val="009639E0"/>
    <w:rsid w:val="00965468"/>
    <w:rsid w:val="00967D57"/>
    <w:rsid w:val="00970F39"/>
    <w:rsid w:val="00972ED6"/>
    <w:rsid w:val="00975D77"/>
    <w:rsid w:val="00976F09"/>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2AD"/>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7E6"/>
    <w:rsid w:val="00A06A57"/>
    <w:rsid w:val="00A06CB2"/>
    <w:rsid w:val="00A07160"/>
    <w:rsid w:val="00A11C33"/>
    <w:rsid w:val="00A16046"/>
    <w:rsid w:val="00A20A0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4FDC"/>
    <w:rsid w:val="00A57C1B"/>
    <w:rsid w:val="00A57D5D"/>
    <w:rsid w:val="00A6044D"/>
    <w:rsid w:val="00A6137B"/>
    <w:rsid w:val="00A62A3C"/>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15D1"/>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6549"/>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1D27"/>
    <w:rsid w:val="00BD2884"/>
    <w:rsid w:val="00BD3AA2"/>
    <w:rsid w:val="00BD59D7"/>
    <w:rsid w:val="00BE55C6"/>
    <w:rsid w:val="00BF06B3"/>
    <w:rsid w:val="00BF374F"/>
    <w:rsid w:val="00BF610D"/>
    <w:rsid w:val="00BF720B"/>
    <w:rsid w:val="00C04511"/>
    <w:rsid w:val="00C074DB"/>
    <w:rsid w:val="00C07CF1"/>
    <w:rsid w:val="00C120B3"/>
    <w:rsid w:val="00C12F1B"/>
    <w:rsid w:val="00C159BA"/>
    <w:rsid w:val="00C16846"/>
    <w:rsid w:val="00C20731"/>
    <w:rsid w:val="00C2311B"/>
    <w:rsid w:val="00C238F5"/>
    <w:rsid w:val="00C24453"/>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16746"/>
    <w:rsid w:val="00D22C9A"/>
    <w:rsid w:val="00D2304D"/>
    <w:rsid w:val="00D24865"/>
    <w:rsid w:val="00D31F48"/>
    <w:rsid w:val="00D36206"/>
    <w:rsid w:val="00D409A0"/>
    <w:rsid w:val="00D4153A"/>
    <w:rsid w:val="00D44B82"/>
    <w:rsid w:val="00D45C23"/>
    <w:rsid w:val="00D46A8F"/>
    <w:rsid w:val="00D5128E"/>
    <w:rsid w:val="00D53A54"/>
    <w:rsid w:val="00D550C4"/>
    <w:rsid w:val="00D56429"/>
    <w:rsid w:val="00D60EBD"/>
    <w:rsid w:val="00D6289F"/>
    <w:rsid w:val="00D628EF"/>
    <w:rsid w:val="00D63292"/>
    <w:rsid w:val="00D64281"/>
    <w:rsid w:val="00D64AAB"/>
    <w:rsid w:val="00D704FF"/>
    <w:rsid w:val="00D73847"/>
    <w:rsid w:val="00D75657"/>
    <w:rsid w:val="00D80532"/>
    <w:rsid w:val="00D80807"/>
    <w:rsid w:val="00D820F8"/>
    <w:rsid w:val="00D83C63"/>
    <w:rsid w:val="00D8574D"/>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C6AFA"/>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1E78"/>
    <w:rsid w:val="00E12128"/>
    <w:rsid w:val="00E140E4"/>
    <w:rsid w:val="00E14413"/>
    <w:rsid w:val="00E20102"/>
    <w:rsid w:val="00E224C4"/>
    <w:rsid w:val="00E24590"/>
    <w:rsid w:val="00E33424"/>
    <w:rsid w:val="00E350E8"/>
    <w:rsid w:val="00E35AD7"/>
    <w:rsid w:val="00E36718"/>
    <w:rsid w:val="00E376E3"/>
    <w:rsid w:val="00E41695"/>
    <w:rsid w:val="00E42FCB"/>
    <w:rsid w:val="00E50C87"/>
    <w:rsid w:val="00E51FB8"/>
    <w:rsid w:val="00E521B4"/>
    <w:rsid w:val="00E53CED"/>
    <w:rsid w:val="00E53FD7"/>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144C"/>
    <w:rsid w:val="00F22C92"/>
    <w:rsid w:val="00F26849"/>
    <w:rsid w:val="00F30221"/>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6C9"/>
    <w:rsid w:val="00F7094E"/>
    <w:rsid w:val="00F74219"/>
    <w:rsid w:val="00F85BE7"/>
    <w:rsid w:val="00F86FF8"/>
    <w:rsid w:val="00F90C7C"/>
    <w:rsid w:val="00F91F22"/>
    <w:rsid w:val="00F946E0"/>
    <w:rsid w:val="00F94814"/>
    <w:rsid w:val="00F97163"/>
    <w:rsid w:val="00FA0119"/>
    <w:rsid w:val="00FB1C68"/>
    <w:rsid w:val="00FB26C7"/>
    <w:rsid w:val="00FB341B"/>
    <w:rsid w:val="00FB4823"/>
    <w:rsid w:val="00FB4EC6"/>
    <w:rsid w:val="00FB56C5"/>
    <w:rsid w:val="00FB604C"/>
    <w:rsid w:val="00FB6A46"/>
    <w:rsid w:val="00FC394F"/>
    <w:rsid w:val="00FC48AA"/>
    <w:rsid w:val="00FC525F"/>
    <w:rsid w:val="00FC57F6"/>
    <w:rsid w:val="00FC598B"/>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C0AA73E-753B-4508-83E0-BBF4B9A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AnnexNO0">
    <w:name w:val="Annex_NO"/>
    <w:basedOn w:val="Normal"/>
    <w:qFormat/>
    <w:rsid w:val="00A06A57"/>
    <w:pPr>
      <w:keepNext/>
      <w:spacing w:before="360"/>
      <w:jc w:val="center"/>
    </w:pPr>
    <w:rPr>
      <w:sz w:val="28"/>
      <w:szCs w:val="40"/>
    </w:rPr>
  </w:style>
  <w:style w:type="character" w:styleId="Strong">
    <w:name w:val="Strong"/>
    <w:basedOn w:val="DefaultParagraphFont"/>
    <w:uiPriority w:val="22"/>
    <w:qFormat/>
    <w:rsid w:val="00583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4-PP-C-0020/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55CF-A495-4C52-9E94-C726CCEB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4052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4777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Al-Midani, Mohammad Haitham</dc:creator>
  <cp:keywords>PP-14</cp:keywords>
  <dc:description>Document 1-A  For: XXX_x000d_
Document date: 6 October 2010_x000d_
Saved by Elbahnassawy at 22:46:25 on 06.10.2010</dc:description>
  <cp:lastModifiedBy>Brouard, Ricarda</cp:lastModifiedBy>
  <cp:revision>2</cp:revision>
  <cp:lastPrinted>2014-10-28T02:46:00Z</cp:lastPrinted>
  <dcterms:created xsi:type="dcterms:W3CDTF">2014-10-28T03:26:00Z</dcterms:created>
  <dcterms:modified xsi:type="dcterms:W3CDTF">2014-10-28T03:26:00Z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