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960D89" w:rsidRDefault="00BD1614" w:rsidP="00030EE3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>
              <w:rPr>
                <w:b/>
                <w:smallCaps/>
                <w:sz w:val="30"/>
                <w:szCs w:val="30"/>
                <w:lang w:val="fr-CH"/>
              </w:rPr>
              <w:t>4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Busan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20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030EE3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7 novembre 2014</w:t>
            </w:r>
          </w:p>
        </w:tc>
        <w:tc>
          <w:tcPr>
            <w:tcW w:w="3120" w:type="dxa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407795" w:rsidP="006A046E">
            <w:pPr>
              <w:pStyle w:val="Committee"/>
              <w:framePr w:hSpace="0" w:wrap="auto" w:hAnchor="text" w:yAlign="inline"/>
            </w:pPr>
            <w:bookmarkStart w:id="4" w:name="_GoBack"/>
            <w:bookmarkEnd w:id="4"/>
            <w:r w:rsidRPr="008C10D9">
              <w:t>SÉANCE PLÉNIÈRE</w:t>
            </w:r>
          </w:p>
        </w:tc>
        <w:tc>
          <w:tcPr>
            <w:tcW w:w="3120" w:type="dxa"/>
          </w:tcPr>
          <w:p w:rsidR="00BD1614" w:rsidRPr="008C10D9" w:rsidRDefault="007940EF" w:rsidP="007940EF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Document 66</w:t>
            </w:r>
            <w:r w:rsidR="00407795"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7940EF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11 août</w:t>
            </w:r>
            <w:r w:rsidRPr="00F25480">
              <w:rPr>
                <w:rFonts w:asciiTheme="minorHAnsi" w:hAnsiTheme="minorHAnsi" w:cstheme="minorHAnsi"/>
                <w:b/>
                <w:bCs/>
                <w:szCs w:val="24"/>
              </w:rPr>
              <w:t xml:space="preserve"> 2014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407795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Original: anglais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2A6F8F" w:rsidRDefault="007940EF" w:rsidP="006A046E">
            <w:pPr>
              <w:pStyle w:val="Source"/>
              <w:rPr>
                <w:lang w:val="en-US"/>
              </w:rPr>
            </w:pPr>
            <w:bookmarkStart w:id="5" w:name="dsource" w:colFirst="0" w:colLast="0"/>
            <w:bookmarkEnd w:id="3"/>
            <w:r w:rsidRPr="0069593C">
              <w:t xml:space="preserve">Note du </w:t>
            </w:r>
            <w:r w:rsidRPr="0069593C">
              <w:rPr>
                <w:iCs/>
              </w:rPr>
              <w:t>Secrétaire général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7940EF" w:rsidRDefault="007940EF" w:rsidP="006A046E">
            <w:pPr>
              <w:pStyle w:val="Title1"/>
              <w:rPr>
                <w:lang w:val="fr-CH"/>
              </w:rPr>
            </w:pPr>
            <w:bookmarkStart w:id="6" w:name="dtitle1" w:colFirst="0" w:colLast="0"/>
            <w:bookmarkEnd w:id="5"/>
            <w:r w:rsidRPr="0069593C">
              <w:t xml:space="preserve">CANDIDATURE AU POSTE DE MEMBRE DU COMITÉ </w:t>
            </w:r>
            <w:r>
              <w:br/>
            </w:r>
            <w:r w:rsidRPr="0069593C">
              <w:t>DU RÈGLEMENT DES RADIOCOMMUNICATIONS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030EE3" w:rsidRDefault="00BD1614" w:rsidP="006A046E">
            <w:pPr>
              <w:pStyle w:val="Title2"/>
              <w:rPr>
                <w:lang w:val="fr-CH"/>
              </w:rPr>
            </w:pPr>
            <w:bookmarkStart w:id="7" w:name="dtitle2" w:colFirst="0" w:colLast="0"/>
            <w:bookmarkEnd w:id="6"/>
          </w:p>
        </w:tc>
      </w:tr>
      <w:tr w:rsidR="00BD1614" w:rsidTr="006A046E">
        <w:trPr>
          <w:cantSplit/>
        </w:trPr>
        <w:tc>
          <w:tcPr>
            <w:tcW w:w="10031" w:type="dxa"/>
            <w:gridSpan w:val="2"/>
          </w:tcPr>
          <w:p w:rsidR="00BD1614" w:rsidRDefault="00BD1614" w:rsidP="006A046E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:rsidR="007940EF" w:rsidRPr="0069593C" w:rsidRDefault="007940EF" w:rsidP="007940EF">
      <w:r w:rsidRPr="0069593C">
        <w:t>En complément des informations données dans le Document 3, j'ai l'honneur de transmettre à la Conférence, en annexe, la candidature de:</w:t>
      </w:r>
    </w:p>
    <w:p w:rsidR="007940EF" w:rsidRPr="00FB1A81" w:rsidRDefault="007940EF" w:rsidP="007940EF">
      <w:pPr>
        <w:jc w:val="center"/>
        <w:rPr>
          <w:b/>
          <w:bCs/>
        </w:rPr>
      </w:pPr>
      <w:r w:rsidRPr="00FB1A81">
        <w:rPr>
          <w:b/>
          <w:bCs/>
        </w:rPr>
        <w:t xml:space="preserve">M. </w:t>
      </w:r>
      <w:r>
        <w:rPr>
          <w:b/>
          <w:bCs/>
        </w:rPr>
        <w:t>Meiditomo SUTYARJOKO (République d</w:t>
      </w:r>
      <w:r w:rsidR="000F0C34">
        <w:rPr>
          <w:b/>
          <w:bCs/>
        </w:rPr>
        <w:t>'</w:t>
      </w:r>
      <w:r>
        <w:rPr>
          <w:b/>
          <w:bCs/>
        </w:rPr>
        <w:t>Indonésie)</w:t>
      </w:r>
    </w:p>
    <w:p w:rsidR="007940EF" w:rsidRPr="0069593C" w:rsidRDefault="007940EF" w:rsidP="007940EF">
      <w:r w:rsidRPr="0069593C">
        <w:t xml:space="preserve">au poste de membre du Comité du Règlement des radiocommunications. </w:t>
      </w:r>
    </w:p>
    <w:p w:rsidR="007940EF" w:rsidRPr="0069593C" w:rsidRDefault="007940EF" w:rsidP="007940EF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0"/>
          <w:tab w:val="center" w:pos="7230"/>
        </w:tabs>
        <w:spacing w:before="840"/>
      </w:pPr>
      <w:r w:rsidRPr="0069593C">
        <w:tab/>
        <w:t>Dr Hamadoun I. TOURÉ</w:t>
      </w:r>
      <w:r w:rsidRPr="0069593C">
        <w:br/>
      </w:r>
      <w:r w:rsidRPr="0069593C">
        <w:tab/>
        <w:t>Secrétaire général</w:t>
      </w:r>
    </w:p>
    <w:p w:rsidR="007940EF" w:rsidRDefault="007940EF" w:rsidP="007940EF">
      <w:pPr>
        <w:spacing w:before="2760"/>
      </w:pPr>
      <w:r w:rsidRPr="00B47CB9">
        <w:rPr>
          <w:b/>
          <w:bCs/>
        </w:rPr>
        <w:t>Annexe</w:t>
      </w:r>
      <w:r>
        <w:t>: 1</w:t>
      </w:r>
    </w:p>
    <w:p w:rsidR="000D15FB" w:rsidRDefault="000D15FB" w:rsidP="00BD1614"/>
    <w:p w:rsidR="00BD1614" w:rsidRDefault="00BD16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2E2004" w:rsidRDefault="002E2004" w:rsidP="000F0C34">
      <w:pPr>
        <w:pStyle w:val="AnnexNo"/>
      </w:pPr>
      <w:r>
        <w:lastRenderedPageBreak/>
        <w:t>ANNEXE</w:t>
      </w:r>
    </w:p>
    <w:p w:rsidR="002E2004" w:rsidRDefault="002E2004" w:rsidP="002E2004">
      <w:pPr>
        <w:pStyle w:val="Annextitle"/>
        <w:jc w:val="left"/>
        <w:rPr>
          <w:b w:val="0"/>
          <w:sz w:val="24"/>
          <w:szCs w:val="24"/>
        </w:rPr>
      </w:pPr>
      <w:r w:rsidRPr="004D5718">
        <w:rPr>
          <w:b w:val="0"/>
          <w:sz w:val="24"/>
          <w:szCs w:val="24"/>
        </w:rPr>
        <w:t>Mission</w:t>
      </w:r>
      <w:r>
        <w:rPr>
          <w:b w:val="0"/>
          <w:sz w:val="24"/>
          <w:szCs w:val="24"/>
        </w:rPr>
        <w:t xml:space="preserve"> permanente </w:t>
      </w:r>
      <w:r>
        <w:rPr>
          <w:b w:val="0"/>
          <w:sz w:val="24"/>
          <w:szCs w:val="24"/>
        </w:rPr>
        <w:br/>
        <w:t>de la République d</w:t>
      </w:r>
      <w:r w:rsidR="000F0C34">
        <w:rPr>
          <w:b w:val="0"/>
          <w:sz w:val="24"/>
          <w:szCs w:val="24"/>
        </w:rPr>
        <w:t>'</w:t>
      </w:r>
      <w:r>
        <w:rPr>
          <w:b w:val="0"/>
          <w:sz w:val="24"/>
          <w:szCs w:val="24"/>
        </w:rPr>
        <w:t xml:space="preserve">Indonésie </w:t>
      </w:r>
      <w:r>
        <w:rPr>
          <w:b w:val="0"/>
          <w:sz w:val="24"/>
          <w:szCs w:val="24"/>
        </w:rPr>
        <w:br/>
        <w:t>auprès de l</w:t>
      </w:r>
      <w:r w:rsidR="000F0C34">
        <w:rPr>
          <w:b w:val="0"/>
          <w:sz w:val="24"/>
          <w:szCs w:val="24"/>
        </w:rPr>
        <w:t>'</w:t>
      </w:r>
      <w:r>
        <w:rPr>
          <w:b w:val="0"/>
          <w:sz w:val="24"/>
          <w:szCs w:val="24"/>
        </w:rPr>
        <w:t xml:space="preserve">Organisation des Nations Unies, </w:t>
      </w:r>
      <w:r>
        <w:rPr>
          <w:b w:val="0"/>
          <w:sz w:val="24"/>
          <w:szCs w:val="24"/>
        </w:rPr>
        <w:br/>
        <w:t>de l</w:t>
      </w:r>
      <w:r w:rsidR="000F0C34">
        <w:rPr>
          <w:b w:val="0"/>
          <w:sz w:val="24"/>
          <w:szCs w:val="24"/>
        </w:rPr>
        <w:t>'</w:t>
      </w:r>
      <w:r>
        <w:rPr>
          <w:b w:val="0"/>
          <w:sz w:val="24"/>
          <w:szCs w:val="24"/>
        </w:rPr>
        <w:t xml:space="preserve">OMC et des autres organisations </w:t>
      </w:r>
      <w:r>
        <w:rPr>
          <w:b w:val="0"/>
          <w:sz w:val="24"/>
          <w:szCs w:val="24"/>
        </w:rPr>
        <w:br/>
        <w:t>internationales à Genève</w:t>
      </w:r>
    </w:p>
    <w:p w:rsidR="002E2004" w:rsidRDefault="002E2004" w:rsidP="002E2004">
      <w:r>
        <w:t>Réf.</w:t>
      </w:r>
      <w:r w:rsidR="006459D1">
        <w:t>:</w:t>
      </w:r>
      <w:r>
        <w:tab/>
        <w:t>778/ADM/2014</w:t>
      </w:r>
    </w:p>
    <w:p w:rsidR="002E2004" w:rsidRDefault="002E2004" w:rsidP="00FD3E63">
      <w:pPr>
        <w:pStyle w:val="Heading1"/>
        <w:tabs>
          <w:tab w:val="clear" w:pos="1134"/>
        </w:tabs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La Mission permanente de la République d</w:t>
      </w:r>
      <w:r w:rsidR="000F0C34">
        <w:rPr>
          <w:b w:val="0"/>
          <w:sz w:val="24"/>
          <w:szCs w:val="24"/>
        </w:rPr>
        <w:t>'</w:t>
      </w:r>
      <w:r>
        <w:rPr>
          <w:b w:val="0"/>
          <w:sz w:val="24"/>
          <w:szCs w:val="24"/>
        </w:rPr>
        <w:t>Indonésie auprès de l</w:t>
      </w:r>
      <w:r w:rsidR="000F0C34">
        <w:rPr>
          <w:b w:val="0"/>
          <w:sz w:val="24"/>
          <w:szCs w:val="24"/>
        </w:rPr>
        <w:t>'</w:t>
      </w:r>
      <w:r>
        <w:rPr>
          <w:b w:val="0"/>
          <w:sz w:val="24"/>
          <w:szCs w:val="24"/>
        </w:rPr>
        <w:t>Organisation des Nations Unies, de l</w:t>
      </w:r>
      <w:r w:rsidR="000F0C34">
        <w:rPr>
          <w:b w:val="0"/>
          <w:sz w:val="24"/>
          <w:szCs w:val="24"/>
        </w:rPr>
        <w:t>'</w:t>
      </w:r>
      <w:r>
        <w:rPr>
          <w:b w:val="0"/>
          <w:sz w:val="24"/>
          <w:szCs w:val="24"/>
        </w:rPr>
        <w:t>OMC et des autres organisations internationales à Genève présente ses compliments au Secrétariat de l</w:t>
      </w:r>
      <w:r w:rsidR="000F0C34">
        <w:rPr>
          <w:b w:val="0"/>
          <w:sz w:val="24"/>
          <w:szCs w:val="24"/>
        </w:rPr>
        <w:t>'</w:t>
      </w:r>
      <w:r>
        <w:rPr>
          <w:b w:val="0"/>
          <w:sz w:val="24"/>
          <w:szCs w:val="24"/>
        </w:rPr>
        <w:t>Union internationale des télécommunications (UIT) et a l</w:t>
      </w:r>
      <w:r w:rsidR="000F0C34">
        <w:rPr>
          <w:b w:val="0"/>
          <w:sz w:val="24"/>
          <w:szCs w:val="24"/>
        </w:rPr>
        <w:t>'</w:t>
      </w:r>
      <w:r>
        <w:rPr>
          <w:b w:val="0"/>
          <w:sz w:val="24"/>
          <w:szCs w:val="24"/>
        </w:rPr>
        <w:t xml:space="preserve">honneur de lui faire part de la décision du </w:t>
      </w:r>
      <w:r w:rsidR="00FD3E63">
        <w:rPr>
          <w:b w:val="0"/>
          <w:sz w:val="24"/>
          <w:szCs w:val="24"/>
        </w:rPr>
        <w:t>G</w:t>
      </w:r>
      <w:r>
        <w:rPr>
          <w:b w:val="0"/>
          <w:sz w:val="24"/>
          <w:szCs w:val="24"/>
        </w:rPr>
        <w:t>ouvernement de la République d</w:t>
      </w:r>
      <w:r w:rsidR="000F0C34">
        <w:rPr>
          <w:b w:val="0"/>
          <w:sz w:val="24"/>
          <w:szCs w:val="24"/>
        </w:rPr>
        <w:t>'</w:t>
      </w:r>
      <w:r>
        <w:rPr>
          <w:b w:val="0"/>
          <w:sz w:val="24"/>
          <w:szCs w:val="24"/>
        </w:rPr>
        <w:t xml:space="preserve">Indonésie de présenter la candidature de </w:t>
      </w:r>
      <w:r w:rsidRPr="004127FD">
        <w:rPr>
          <w:sz w:val="24"/>
          <w:szCs w:val="24"/>
        </w:rPr>
        <w:t>M.</w:t>
      </w:r>
      <w:r>
        <w:rPr>
          <w:b w:val="0"/>
          <w:sz w:val="24"/>
          <w:szCs w:val="24"/>
        </w:rPr>
        <w:t> </w:t>
      </w:r>
      <w:r w:rsidRPr="00934BE4">
        <w:rPr>
          <w:sz w:val="24"/>
          <w:szCs w:val="24"/>
        </w:rPr>
        <w:t>Meiditomo SUTYARJOKO</w:t>
      </w:r>
      <w:r>
        <w:rPr>
          <w:b w:val="0"/>
          <w:sz w:val="24"/>
          <w:szCs w:val="24"/>
        </w:rPr>
        <w:t xml:space="preserve"> au poste de membre du Comité du Règlement des radiocommunications (RRB) de l</w:t>
      </w:r>
      <w:r w:rsidR="000F0C34">
        <w:rPr>
          <w:b w:val="0"/>
          <w:sz w:val="24"/>
          <w:szCs w:val="24"/>
        </w:rPr>
        <w:t>'</w:t>
      </w:r>
      <w:r>
        <w:rPr>
          <w:b w:val="0"/>
          <w:sz w:val="24"/>
          <w:szCs w:val="24"/>
        </w:rPr>
        <w:t>Union internationale des téléco</w:t>
      </w:r>
      <w:r w:rsidR="00030EE3">
        <w:rPr>
          <w:b w:val="0"/>
          <w:sz w:val="24"/>
          <w:szCs w:val="24"/>
        </w:rPr>
        <w:t>mmunications (région E) pour la </w:t>
      </w:r>
      <w:r>
        <w:rPr>
          <w:b w:val="0"/>
          <w:sz w:val="24"/>
          <w:szCs w:val="24"/>
        </w:rPr>
        <w:t>période 2014</w:t>
      </w:r>
      <w:r>
        <w:rPr>
          <w:b w:val="0"/>
          <w:sz w:val="24"/>
          <w:szCs w:val="24"/>
        </w:rPr>
        <w:noBreakHyphen/>
        <w:t>2018, lors des élections qui auront lieu da</w:t>
      </w:r>
      <w:r w:rsidR="00030EE3">
        <w:rPr>
          <w:b w:val="0"/>
          <w:sz w:val="24"/>
          <w:szCs w:val="24"/>
        </w:rPr>
        <w:t>ns le cadre de la Conférence de </w:t>
      </w:r>
      <w:r>
        <w:rPr>
          <w:b w:val="0"/>
          <w:sz w:val="24"/>
          <w:szCs w:val="24"/>
        </w:rPr>
        <w:t>plénipotentiaires de l</w:t>
      </w:r>
      <w:r w:rsidR="000F0C34">
        <w:rPr>
          <w:b w:val="0"/>
          <w:sz w:val="24"/>
          <w:szCs w:val="24"/>
        </w:rPr>
        <w:t>'</w:t>
      </w:r>
      <w:r>
        <w:rPr>
          <w:b w:val="0"/>
          <w:sz w:val="24"/>
          <w:szCs w:val="24"/>
        </w:rPr>
        <w:t>UIT organisée à Busan (République de Corée) du</w:t>
      </w:r>
      <w:r w:rsidR="00DE6E4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20 octobre au</w:t>
      </w:r>
      <w:r w:rsidR="00030EE3">
        <w:rPr>
          <w:b w:val="0"/>
          <w:sz w:val="24"/>
          <w:szCs w:val="24"/>
        </w:rPr>
        <w:t> </w:t>
      </w:r>
      <w:r>
        <w:rPr>
          <w:b w:val="0"/>
          <w:sz w:val="24"/>
          <w:szCs w:val="24"/>
        </w:rPr>
        <w:t>7 </w:t>
      </w:r>
      <w:r w:rsidR="00FD3E63">
        <w:rPr>
          <w:b w:val="0"/>
          <w:sz w:val="24"/>
          <w:szCs w:val="24"/>
        </w:rPr>
        <w:t>novembre </w:t>
      </w:r>
      <w:r>
        <w:rPr>
          <w:b w:val="0"/>
          <w:sz w:val="24"/>
          <w:szCs w:val="24"/>
        </w:rPr>
        <w:t>2014.</w:t>
      </w:r>
    </w:p>
    <w:p w:rsidR="002E2004" w:rsidRDefault="002E2004" w:rsidP="002E2004">
      <w:r>
        <w:t>Ci-joint le curriculum vitae de M. Meiditomo SUTYARJOKO.</w:t>
      </w:r>
    </w:p>
    <w:p w:rsidR="000F0C34" w:rsidRDefault="002E2004" w:rsidP="00B97FC8">
      <w:r>
        <w:t>La Mission permanente de la République d</w:t>
      </w:r>
      <w:r w:rsidR="000F0C34">
        <w:t>'</w:t>
      </w:r>
      <w:r>
        <w:t>Indonésie auprès de l</w:t>
      </w:r>
      <w:r w:rsidR="000F0C34">
        <w:t>'</w:t>
      </w:r>
      <w:r>
        <w:t>Organisation des Nations Unies, de l</w:t>
      </w:r>
      <w:r w:rsidR="000F0C34">
        <w:t>'</w:t>
      </w:r>
      <w:r>
        <w:t>OMC et des autres organisations internationales à Genève saisit la présente occasion pour renouveler au Secrétariat de l</w:t>
      </w:r>
      <w:r w:rsidR="000F0C34">
        <w:t>'</w:t>
      </w:r>
      <w:r>
        <w:t>Union internationale des télécommunications l</w:t>
      </w:r>
      <w:r w:rsidR="000F0C34">
        <w:t>'</w:t>
      </w:r>
      <w:r>
        <w:t>assurance de sa haute considération.</w:t>
      </w:r>
    </w:p>
    <w:p w:rsidR="002E2004" w:rsidRDefault="002E2004" w:rsidP="00F553B4">
      <w:pPr>
        <w:spacing w:before="360"/>
        <w:jc w:val="right"/>
      </w:pPr>
      <w:r>
        <w:t>Genève, le 3 août 2014</w:t>
      </w:r>
    </w:p>
    <w:p w:rsidR="002E2004" w:rsidRPr="00934BE4" w:rsidRDefault="002E2004" w:rsidP="000F0C34">
      <w:pPr>
        <w:spacing w:before="1440"/>
      </w:pPr>
      <w:r>
        <w:t>Secrétariat de l</w:t>
      </w:r>
      <w:r w:rsidR="000F0C34">
        <w:t>'</w:t>
      </w:r>
      <w:r>
        <w:t xml:space="preserve">Union internationale </w:t>
      </w:r>
      <w:r w:rsidR="00030EE3">
        <w:br/>
      </w:r>
      <w:r>
        <w:t xml:space="preserve">des télécommunications </w:t>
      </w:r>
      <w:r>
        <w:br/>
        <w:t>Genève</w:t>
      </w:r>
    </w:p>
    <w:p w:rsidR="002E2004" w:rsidRDefault="002E2004" w:rsidP="002E200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jc w:val="center"/>
        <w:textAlignment w:val="auto"/>
      </w:pPr>
    </w:p>
    <w:p w:rsidR="002E2004" w:rsidRPr="004D5718" w:rsidRDefault="002E2004" w:rsidP="002E200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4D5718">
        <w:rPr>
          <w:lang w:val="fr-CH"/>
        </w:rPr>
        <w:br w:type="page"/>
      </w:r>
    </w:p>
    <w:tbl>
      <w:tblPr>
        <w:tblW w:w="9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253"/>
        <w:gridCol w:w="3227"/>
      </w:tblGrid>
      <w:tr w:rsidR="002E2004" w:rsidRPr="00030EE3" w:rsidTr="00AF3920">
        <w:trPr>
          <w:trHeight w:val="98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004" w:rsidRPr="00030EE3" w:rsidRDefault="002E2004" w:rsidP="00AF3920">
            <w:pPr>
              <w:pStyle w:val="Aaoeeu"/>
              <w:rPr>
                <w:rFonts w:asciiTheme="minorHAnsi" w:hAnsiTheme="minorHAnsi"/>
                <w:b/>
                <w:bCs/>
                <w:smallCaps/>
                <w:spacing w:val="40"/>
                <w:sz w:val="28"/>
              </w:rPr>
            </w:pPr>
            <w:r w:rsidRPr="00030EE3">
              <w:rPr>
                <w:rFonts w:asciiTheme="minorHAnsi" w:hAnsiTheme="minorHAnsi"/>
                <w:b/>
                <w:bCs/>
                <w:smallCaps/>
                <w:spacing w:val="40"/>
                <w:sz w:val="28"/>
              </w:rPr>
              <w:lastRenderedPageBreak/>
              <w:t>curriculum vitae</w:t>
            </w:r>
          </w:p>
        </w:tc>
        <w:tc>
          <w:tcPr>
            <w:tcW w:w="32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bCs/>
              </w:rPr>
            </w:pPr>
            <w:r w:rsidRPr="00030EE3">
              <w:rPr>
                <w:rFonts w:asciiTheme="minorHAnsi" w:hAnsiTheme="minorHAnsi"/>
                <w:b/>
                <w:bCs/>
                <w:noProof/>
                <w:lang w:eastAsia="zh-CN"/>
              </w:rPr>
              <w:drawing>
                <wp:anchor distT="0" distB="0" distL="114300" distR="114300" simplePos="0" relativeHeight="251660288" behindDoc="1" locked="0" layoutInCell="1" allowOverlap="1" wp14:anchorId="708A7500" wp14:editId="0AB772AB">
                  <wp:simplePos x="0" y="0"/>
                  <wp:positionH relativeFrom="column">
                    <wp:posOffset>5396230</wp:posOffset>
                  </wp:positionH>
                  <wp:positionV relativeFrom="paragraph">
                    <wp:posOffset>685800</wp:posOffset>
                  </wp:positionV>
                  <wp:extent cx="1273810" cy="1371600"/>
                  <wp:effectExtent l="0" t="0" r="254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1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0EE3">
              <w:rPr>
                <w:rFonts w:asciiTheme="minorHAnsi" w:hAnsiTheme="minorHAnsi"/>
                <w:b/>
                <w:bCs/>
                <w:noProof/>
                <w:lang w:eastAsia="zh-CN"/>
              </w:rPr>
              <w:drawing>
                <wp:anchor distT="0" distB="0" distL="114300" distR="114300" simplePos="0" relativeHeight="251659264" behindDoc="1" locked="0" layoutInCell="1" allowOverlap="1" wp14:anchorId="3AB6D2BA" wp14:editId="12BF03C9">
                  <wp:simplePos x="0" y="0"/>
                  <wp:positionH relativeFrom="column">
                    <wp:posOffset>5396230</wp:posOffset>
                  </wp:positionH>
                  <wp:positionV relativeFrom="paragraph">
                    <wp:posOffset>685800</wp:posOffset>
                  </wp:positionV>
                  <wp:extent cx="1273810" cy="1371600"/>
                  <wp:effectExtent l="0" t="0" r="254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1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E2004" w:rsidRPr="00030EE3" w:rsidRDefault="002E2004" w:rsidP="00AF3920">
            <w:pPr>
              <w:pStyle w:val="Eaoaeaa"/>
              <w:widowControl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030EE3">
              <w:rPr>
                <w:rFonts w:asciiTheme="minorHAnsi" w:hAnsiTheme="minorHAnsi"/>
                <w:b/>
                <w:bCs/>
                <w:noProof/>
                <w:lang w:eastAsia="zh-CN"/>
              </w:rPr>
              <w:drawing>
                <wp:inline distT="0" distB="0" distL="0" distR="0" wp14:anchorId="4501042B" wp14:editId="5309D0C5">
                  <wp:extent cx="1747521" cy="1882432"/>
                  <wp:effectExtent l="0" t="0" r="508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utyarjok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279" cy="188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2004" w:rsidRPr="00030EE3" w:rsidRDefault="002E2004" w:rsidP="00AF3920">
            <w:pPr>
              <w:pStyle w:val="Eaoaeaa"/>
              <w:rPr>
                <w:rFonts w:asciiTheme="minorHAnsi" w:hAnsiTheme="minorHAnsi"/>
                <w:b/>
                <w:bCs/>
                <w:noProof/>
              </w:rPr>
            </w:pPr>
          </w:p>
        </w:tc>
      </w:tr>
      <w:tr w:rsidR="002E2004" w:rsidRPr="00030EE3" w:rsidTr="00AF3920">
        <w:trPr>
          <w:trHeight w:val="69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E2004" w:rsidRPr="00030EE3" w:rsidRDefault="002E2004" w:rsidP="00F553B4">
            <w:pPr>
              <w:pStyle w:val="Aaoeeu"/>
              <w:ind w:left="-108"/>
              <w:jc w:val="right"/>
              <w:rPr>
                <w:rFonts w:asciiTheme="minorHAnsi" w:hAnsiTheme="minorHAnsi"/>
                <w:b/>
                <w:bCs/>
                <w:smallCaps/>
                <w:spacing w:val="40"/>
                <w:sz w:val="28"/>
                <w:lang w:val="fr-FR"/>
              </w:rPr>
            </w:pPr>
            <w:r w:rsidRPr="00030EE3">
              <w:rPr>
                <w:rFonts w:asciiTheme="minorHAnsi" w:hAnsiTheme="minorHAnsi"/>
                <w:b/>
                <w:bCs/>
                <w:smallCaps/>
                <w:u w:val="single"/>
                <w:lang w:val="fr-FR"/>
              </w:rPr>
              <w:t>Renseignements</w:t>
            </w:r>
            <w:r w:rsidRPr="00030EE3">
              <w:rPr>
                <w:rFonts w:asciiTheme="minorHAnsi" w:hAnsiTheme="minorHAnsi"/>
                <w:b/>
                <w:bCs/>
                <w:smallCaps/>
                <w:u w:val="single"/>
                <w:lang w:val="fr-FR"/>
              </w:rPr>
              <w:br/>
            </w:r>
            <w:r w:rsidR="00F553B4">
              <w:rPr>
                <w:rFonts w:asciiTheme="minorHAnsi" w:hAnsiTheme="minorHAnsi"/>
                <w:b/>
                <w:bCs/>
                <w:smallCaps/>
                <w:u w:val="single"/>
                <w:lang w:val="fr-FR"/>
              </w:rPr>
              <w:t>P</w:t>
            </w:r>
            <w:r w:rsidRPr="00030EE3">
              <w:rPr>
                <w:rFonts w:asciiTheme="minorHAnsi" w:hAnsiTheme="minorHAnsi"/>
                <w:b/>
                <w:bCs/>
                <w:smallCaps/>
                <w:u w:val="single"/>
                <w:lang w:val="fr-FR"/>
              </w:rPr>
              <w:t>ersonnels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E2004" w:rsidRPr="00030EE3" w:rsidRDefault="002E2004" w:rsidP="00AF3920">
            <w:pPr>
              <w:pStyle w:val="Aaoeeu"/>
              <w:rPr>
                <w:rFonts w:asciiTheme="minorHAnsi" w:hAnsiTheme="minorHAnsi"/>
                <w:b/>
                <w:bCs/>
                <w:smallCaps/>
                <w:spacing w:val="40"/>
                <w:sz w:val="28"/>
                <w:lang w:val="fr-FR"/>
              </w:rPr>
            </w:pPr>
          </w:p>
        </w:tc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bCs/>
                <w:noProof/>
                <w:lang w:val="fr-FR"/>
              </w:rPr>
            </w:pPr>
          </w:p>
        </w:tc>
      </w:tr>
      <w:tr w:rsidR="002E2004" w:rsidRPr="00030EE3" w:rsidTr="00AF3920"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E2004" w:rsidRPr="00F553B4" w:rsidRDefault="002E2004" w:rsidP="00AF3920">
            <w:pPr>
              <w:pStyle w:val="Aaoeeu"/>
              <w:jc w:val="right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 w:rsidRPr="00F553B4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Nom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E2004" w:rsidRPr="00030EE3" w:rsidRDefault="002E2004" w:rsidP="00AF3920">
            <w:pPr>
              <w:pStyle w:val="Aaoeeu"/>
              <w:rPr>
                <w:rFonts w:asciiTheme="minorHAnsi" w:hAnsiTheme="minorHAnsi"/>
                <w:b/>
                <w:bCs/>
                <w:smallCaps/>
                <w:spacing w:val="40"/>
                <w:sz w:val="28"/>
                <w:lang w:val="fr-FR"/>
              </w:rPr>
            </w:pPr>
            <w:r w:rsidRPr="00030EE3">
              <w:rPr>
                <w:rFonts w:asciiTheme="minorHAnsi" w:hAnsiTheme="minorHAnsi"/>
                <w:b/>
                <w:bCs/>
                <w:sz w:val="28"/>
                <w:szCs w:val="28"/>
                <w:lang w:val="fr-FR"/>
              </w:rPr>
              <w:t>Meiditomo Sutyarjoko (Meidi)</w:t>
            </w:r>
          </w:p>
        </w:tc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bCs/>
                <w:noProof/>
                <w:lang w:val="fr-FR"/>
              </w:rPr>
            </w:pPr>
          </w:p>
        </w:tc>
      </w:tr>
      <w:tr w:rsidR="002E2004" w:rsidRPr="00030EE3" w:rsidTr="00AF3920"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E2004" w:rsidRPr="00F553B4" w:rsidRDefault="002E2004" w:rsidP="00AF3920">
            <w:pPr>
              <w:pStyle w:val="Aaoeeu"/>
              <w:jc w:val="right"/>
              <w:rPr>
                <w:rFonts w:asciiTheme="minorHAnsi" w:hAnsiTheme="minorHAnsi"/>
                <w:b/>
                <w:bCs/>
                <w:smallCaps/>
                <w:sz w:val="22"/>
                <w:szCs w:val="22"/>
                <w:u w:val="single"/>
                <w:lang w:val="fr-FR"/>
              </w:rPr>
            </w:pPr>
            <w:r w:rsidRPr="00F553B4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Date de naissance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E2004" w:rsidRPr="00030EE3" w:rsidRDefault="002E2004" w:rsidP="00AF3920">
            <w:pPr>
              <w:pStyle w:val="Aaoeeu"/>
              <w:rPr>
                <w:rFonts w:asciiTheme="minorHAnsi" w:hAnsiTheme="minorHAnsi"/>
                <w:bCs/>
                <w:smallCaps/>
                <w:spacing w:val="40"/>
                <w:sz w:val="22"/>
                <w:szCs w:val="28"/>
                <w:lang w:val="fr-FR"/>
              </w:rPr>
            </w:pPr>
            <w:r w:rsidRPr="00030EE3">
              <w:rPr>
                <w:rFonts w:asciiTheme="minorHAnsi" w:hAnsiTheme="minorHAnsi"/>
                <w:bCs/>
                <w:sz w:val="22"/>
                <w:szCs w:val="28"/>
                <w:lang w:val="fr-FR"/>
              </w:rPr>
              <w:t>28 mai 1964</w:t>
            </w:r>
          </w:p>
        </w:tc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bCs/>
                <w:noProof/>
                <w:lang w:val="fr-FR"/>
              </w:rPr>
            </w:pPr>
          </w:p>
        </w:tc>
      </w:tr>
      <w:tr w:rsidR="002E2004" w:rsidRPr="00030EE3" w:rsidTr="00AF3920"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E2004" w:rsidRPr="00F553B4" w:rsidRDefault="002E2004" w:rsidP="00AF3920">
            <w:pPr>
              <w:pStyle w:val="Aaoeeu"/>
              <w:jc w:val="right"/>
              <w:rPr>
                <w:rFonts w:asciiTheme="minorHAnsi" w:hAnsiTheme="minorHAnsi"/>
                <w:b/>
                <w:bCs/>
                <w:smallCaps/>
                <w:sz w:val="22"/>
                <w:szCs w:val="22"/>
                <w:u w:val="single"/>
                <w:lang w:val="fr-FR"/>
              </w:rPr>
            </w:pPr>
            <w:r w:rsidRPr="00F553B4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Nationalité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E2004" w:rsidRPr="00030EE3" w:rsidRDefault="002E2004" w:rsidP="00AF3920">
            <w:pPr>
              <w:pStyle w:val="Aaoeeu"/>
              <w:rPr>
                <w:rFonts w:asciiTheme="minorHAnsi" w:hAnsiTheme="minorHAnsi"/>
                <w:bCs/>
                <w:smallCaps/>
                <w:spacing w:val="40"/>
                <w:sz w:val="22"/>
                <w:szCs w:val="28"/>
                <w:lang w:val="fr-FR"/>
              </w:rPr>
            </w:pPr>
            <w:r w:rsidRPr="00030EE3">
              <w:rPr>
                <w:rFonts w:asciiTheme="minorHAnsi" w:hAnsiTheme="minorHAnsi"/>
                <w:bCs/>
                <w:sz w:val="22"/>
                <w:szCs w:val="28"/>
                <w:lang w:val="fr-FR"/>
              </w:rPr>
              <w:t>Indonésienne</w:t>
            </w:r>
          </w:p>
        </w:tc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bCs/>
                <w:noProof/>
                <w:lang w:val="fr-FR"/>
              </w:rPr>
            </w:pPr>
          </w:p>
        </w:tc>
      </w:tr>
      <w:tr w:rsidR="002E2004" w:rsidRPr="00030EE3" w:rsidTr="00AF3920"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E2004" w:rsidRPr="00F553B4" w:rsidRDefault="002E2004" w:rsidP="00AF3920">
            <w:pPr>
              <w:pStyle w:val="Aaoeeu"/>
              <w:jc w:val="right"/>
              <w:rPr>
                <w:rFonts w:asciiTheme="minorHAnsi" w:hAnsiTheme="minorHAnsi"/>
                <w:b/>
                <w:bCs/>
                <w:smallCaps/>
                <w:sz w:val="22"/>
                <w:szCs w:val="22"/>
                <w:u w:val="single"/>
                <w:lang w:val="fr-FR"/>
              </w:rPr>
            </w:pPr>
            <w:r w:rsidRPr="00F553B4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Famille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E2004" w:rsidRPr="00030EE3" w:rsidRDefault="002E2004" w:rsidP="00AF3920">
            <w:pPr>
              <w:pStyle w:val="Aaoeeu"/>
              <w:rPr>
                <w:rFonts w:asciiTheme="minorHAnsi" w:hAnsiTheme="minorHAnsi"/>
                <w:bCs/>
                <w:smallCaps/>
                <w:spacing w:val="40"/>
                <w:sz w:val="22"/>
                <w:szCs w:val="28"/>
                <w:lang w:val="fr-FR"/>
              </w:rPr>
            </w:pPr>
            <w:r w:rsidRPr="00030EE3">
              <w:rPr>
                <w:rFonts w:asciiTheme="minorHAnsi" w:hAnsiTheme="minorHAnsi"/>
                <w:bCs/>
                <w:sz w:val="22"/>
                <w:szCs w:val="28"/>
                <w:lang w:val="fr-FR"/>
              </w:rPr>
              <w:t>Une fille et un fils</w:t>
            </w:r>
          </w:p>
        </w:tc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bCs/>
                <w:noProof/>
                <w:lang w:val="fr-FR"/>
              </w:rPr>
            </w:pPr>
          </w:p>
        </w:tc>
      </w:tr>
      <w:tr w:rsidR="002E2004" w:rsidRPr="00030EE3" w:rsidTr="00AF3920"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E2004" w:rsidRPr="00030EE3" w:rsidRDefault="002E2004" w:rsidP="00AF3920">
            <w:pPr>
              <w:pStyle w:val="Aaoeeu"/>
              <w:jc w:val="right"/>
              <w:rPr>
                <w:rFonts w:asciiTheme="minorHAnsi" w:hAnsiTheme="minorHAnsi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E2004" w:rsidRPr="00030EE3" w:rsidRDefault="002E2004" w:rsidP="00AF3920">
            <w:pPr>
              <w:pStyle w:val="Aaoeeu"/>
              <w:rPr>
                <w:rFonts w:asciiTheme="minorHAnsi" w:hAnsiTheme="minorHAnsi"/>
                <w:bCs/>
                <w:smallCaps/>
                <w:spacing w:val="40"/>
                <w:sz w:val="22"/>
                <w:szCs w:val="28"/>
                <w:lang w:val="fr-FR"/>
              </w:rPr>
            </w:pPr>
          </w:p>
        </w:tc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bCs/>
                <w:noProof/>
                <w:lang w:val="fr-FR"/>
              </w:rPr>
            </w:pPr>
          </w:p>
        </w:tc>
      </w:tr>
    </w:tbl>
    <w:p w:rsidR="002E2004" w:rsidRPr="00030EE3" w:rsidRDefault="002E2004" w:rsidP="002E2004">
      <w:pPr>
        <w:spacing w:before="0"/>
        <w:rPr>
          <w:rFonts w:asciiTheme="minorHAnsi" w:hAnsiTheme="minorHAnsi"/>
          <w:lang w:val="fr-CH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1701"/>
        <w:gridCol w:w="251"/>
        <w:gridCol w:w="7546"/>
      </w:tblGrid>
      <w:tr w:rsidR="002E2004" w:rsidRPr="00030EE3" w:rsidTr="00AF3920">
        <w:tc>
          <w:tcPr>
            <w:tcW w:w="1701" w:type="dxa"/>
            <w:tcBorders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spacing w:before="20" w:after="20"/>
              <w:rPr>
                <w:rFonts w:asciiTheme="minorHAnsi" w:hAnsiTheme="minorHAnsi"/>
                <w:b/>
                <w:i w:val="0"/>
                <w:sz w:val="24"/>
                <w:u w:val="single"/>
              </w:rPr>
            </w:pPr>
            <w:r w:rsidRPr="00030EE3">
              <w:rPr>
                <w:rFonts w:asciiTheme="minorHAnsi" w:hAnsiTheme="minorHAnsi"/>
                <w:b/>
                <w:i w:val="0"/>
                <w:smallCaps/>
                <w:sz w:val="24"/>
                <w:u w:val="single"/>
              </w:rPr>
              <w:t>Fonctions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2004" w:rsidRPr="00030EE3" w:rsidRDefault="002E2004" w:rsidP="00AF3920">
            <w:pPr>
              <w:pStyle w:val="Aaoeeu"/>
              <w:widowControl/>
              <w:spacing w:before="20" w:after="20"/>
              <w:ind w:hanging="123"/>
              <w:rPr>
                <w:rFonts w:asciiTheme="minorHAnsi" w:hAnsiTheme="minorHAnsi"/>
              </w:rPr>
            </w:pPr>
          </w:p>
        </w:tc>
        <w:tc>
          <w:tcPr>
            <w:tcW w:w="7546" w:type="dxa"/>
          </w:tcPr>
          <w:p w:rsidR="002E2004" w:rsidRPr="00030EE3" w:rsidRDefault="00F553B4" w:rsidP="00AF3920">
            <w:pPr>
              <w:pStyle w:val="OiaeaeiYiio2"/>
              <w:widowControl/>
              <w:tabs>
                <w:tab w:val="left" w:pos="280"/>
              </w:tabs>
              <w:spacing w:before="60"/>
              <w:jc w:val="left"/>
              <w:rPr>
                <w:rFonts w:asciiTheme="minorHAnsi" w:hAnsiTheme="minorHAnsi"/>
                <w:bCs/>
                <w:i w:val="0"/>
                <w:sz w:val="20"/>
                <w:lang w:val="fr-CH"/>
              </w:rPr>
            </w:pPr>
            <w:r>
              <w:rPr>
                <w:rFonts w:asciiTheme="minorHAnsi" w:hAnsiTheme="minorHAnsi"/>
                <w:bCs/>
                <w:i w:val="0"/>
                <w:sz w:val="20"/>
                <w:lang w:val="fr-CH"/>
              </w:rPr>
              <w:t>1</w:t>
            </w:r>
            <w:r w:rsidR="002E2004"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ab/>
              <w:t>Premier Vice</w:t>
            </w:r>
            <w:r w:rsidR="002E2004"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noBreakHyphen/>
              <w:t>Président, Ingénierie et exploitation</w:t>
            </w:r>
          </w:p>
          <w:p w:rsidR="002E2004" w:rsidRPr="00030EE3" w:rsidRDefault="002E2004" w:rsidP="00AF3920">
            <w:pPr>
              <w:pStyle w:val="OiaeaeiYiio2"/>
              <w:widowControl/>
              <w:tabs>
                <w:tab w:val="left" w:pos="280"/>
              </w:tabs>
              <w:jc w:val="left"/>
              <w:rPr>
                <w:rFonts w:asciiTheme="minorHAnsi" w:hAnsiTheme="minorHAnsi"/>
                <w:bCs/>
                <w:i w:val="0"/>
                <w:sz w:val="20"/>
              </w:rPr>
            </w:pP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ab/>
            </w:r>
            <w:r w:rsidRPr="00030EE3">
              <w:rPr>
                <w:rFonts w:asciiTheme="minorHAnsi" w:hAnsiTheme="minorHAnsi"/>
                <w:bCs/>
                <w:i w:val="0"/>
                <w:sz w:val="20"/>
              </w:rPr>
              <w:t xml:space="preserve">PT. Broadband Broadcast Satellite (Indonésie) </w:t>
            </w:r>
          </w:p>
          <w:p w:rsidR="002E2004" w:rsidRPr="00030EE3" w:rsidRDefault="00F553B4" w:rsidP="00AF3920">
            <w:pPr>
              <w:pStyle w:val="OiaeaeiYiio2"/>
              <w:widowControl/>
              <w:tabs>
                <w:tab w:val="left" w:pos="280"/>
              </w:tabs>
              <w:spacing w:before="60"/>
              <w:jc w:val="left"/>
              <w:rPr>
                <w:rFonts w:asciiTheme="minorHAnsi" w:hAnsiTheme="minorHAnsi"/>
                <w:bCs/>
                <w:i w:val="0"/>
                <w:sz w:val="20"/>
                <w:lang w:val="fr-CH"/>
              </w:rPr>
            </w:pPr>
            <w:r>
              <w:rPr>
                <w:rFonts w:asciiTheme="minorHAnsi" w:hAnsiTheme="minorHAnsi"/>
                <w:bCs/>
                <w:i w:val="0"/>
                <w:sz w:val="20"/>
                <w:lang w:val="fr-CH"/>
              </w:rPr>
              <w:t>2</w:t>
            </w:r>
            <w:r w:rsidR="002E2004"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ab/>
            </w:r>
            <w:r w:rsidR="002E2004" w:rsidRPr="00030EE3">
              <w:rPr>
                <w:rFonts w:asciiTheme="minorHAnsi" w:hAnsiTheme="minorHAnsi"/>
                <w:bCs/>
                <w:i w:val="0"/>
                <w:sz w:val="20"/>
                <w:lang w:val="fr-FR"/>
              </w:rPr>
              <w:t>Président-Directeur</w:t>
            </w:r>
          </w:p>
          <w:p w:rsidR="002E2004" w:rsidRPr="00030EE3" w:rsidRDefault="002E2004" w:rsidP="00AF3920">
            <w:pPr>
              <w:pStyle w:val="OiaeaeiYiio2"/>
              <w:widowControl/>
              <w:tabs>
                <w:tab w:val="left" w:pos="280"/>
              </w:tabs>
              <w:jc w:val="left"/>
              <w:rPr>
                <w:rFonts w:asciiTheme="minorHAnsi" w:hAnsiTheme="minorHAnsi"/>
                <w:bCs/>
                <w:i w:val="0"/>
                <w:sz w:val="20"/>
                <w:lang w:val="fr-CH"/>
              </w:rPr>
            </w:pP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ab/>
              <w:t>PT. Sarana Mukti Adijaya</w:t>
            </w:r>
          </w:p>
          <w:p w:rsidR="002E2004" w:rsidRPr="00030EE3" w:rsidRDefault="00F553B4" w:rsidP="00AF3920">
            <w:pPr>
              <w:pStyle w:val="OiaeaeiYiio2"/>
              <w:widowControl/>
              <w:tabs>
                <w:tab w:val="left" w:pos="280"/>
              </w:tabs>
              <w:spacing w:before="60"/>
              <w:ind w:left="280" w:hanging="280"/>
              <w:jc w:val="left"/>
              <w:rPr>
                <w:rFonts w:asciiTheme="minorHAnsi" w:hAnsiTheme="minorHAnsi"/>
                <w:bCs/>
                <w:i w:val="0"/>
                <w:sz w:val="20"/>
                <w:lang w:val="fr-CH"/>
              </w:rPr>
            </w:pPr>
            <w:r>
              <w:rPr>
                <w:rFonts w:asciiTheme="minorHAnsi" w:hAnsiTheme="minorHAnsi"/>
                <w:bCs/>
                <w:i w:val="0"/>
                <w:sz w:val="20"/>
                <w:lang w:val="fr-CH"/>
              </w:rPr>
              <w:t>3</w:t>
            </w:r>
            <w:r w:rsidR="002E2004"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ab/>
              <w:t>Conseiller auprès du Ministry of Communication and Information Technology (MCIT) de l</w:t>
            </w:r>
            <w:r w:rsidR="000F0C34"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'</w:t>
            </w:r>
            <w:r w:rsidR="002E2004"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Indonésie</w:t>
            </w:r>
          </w:p>
          <w:p w:rsidR="002E2004" w:rsidRPr="00030EE3" w:rsidRDefault="00F553B4" w:rsidP="00AF3920">
            <w:pPr>
              <w:pStyle w:val="OiaeaeiYiio2"/>
              <w:widowControl/>
              <w:tabs>
                <w:tab w:val="left" w:pos="280"/>
              </w:tabs>
              <w:spacing w:before="60"/>
              <w:jc w:val="left"/>
              <w:rPr>
                <w:rFonts w:asciiTheme="minorHAnsi" w:hAnsiTheme="minorHAnsi"/>
                <w:bCs/>
                <w:i w:val="0"/>
                <w:sz w:val="20"/>
                <w:lang w:val="fr-CH"/>
              </w:rPr>
            </w:pPr>
            <w:r>
              <w:rPr>
                <w:rFonts w:asciiTheme="minorHAnsi" w:hAnsiTheme="minorHAnsi"/>
                <w:bCs/>
                <w:i w:val="0"/>
                <w:sz w:val="20"/>
                <w:lang w:val="fr-CH"/>
              </w:rPr>
              <w:t>4</w:t>
            </w:r>
            <w:r w:rsidR="002E2004"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 xml:space="preserve"> </w:t>
            </w:r>
            <w:r w:rsidR="002E2004"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ab/>
              <w:t>Membre de l</w:t>
            </w:r>
            <w:r w:rsidR="000F0C34"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'</w:t>
            </w:r>
            <w:r w:rsidR="002E2004"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Indonesia Telecommunication Society (MASTEL)</w:t>
            </w:r>
          </w:p>
          <w:p w:rsidR="002E2004" w:rsidRPr="00030EE3" w:rsidRDefault="00F553B4" w:rsidP="00AF3920">
            <w:pPr>
              <w:pStyle w:val="OiaeaeiYiio2"/>
              <w:widowControl/>
              <w:tabs>
                <w:tab w:val="left" w:pos="280"/>
              </w:tabs>
              <w:spacing w:before="60"/>
              <w:jc w:val="left"/>
              <w:rPr>
                <w:rFonts w:asciiTheme="minorHAnsi" w:hAnsiTheme="minorHAnsi"/>
                <w:bCs/>
                <w:i w:val="0"/>
                <w:sz w:val="20"/>
                <w:lang w:val="fr-CH"/>
              </w:rPr>
            </w:pPr>
            <w:r>
              <w:rPr>
                <w:rFonts w:asciiTheme="minorHAnsi" w:hAnsiTheme="minorHAnsi"/>
                <w:bCs/>
                <w:i w:val="0"/>
                <w:sz w:val="20"/>
                <w:lang w:val="fr-CH"/>
              </w:rPr>
              <w:t>5</w:t>
            </w:r>
            <w:r w:rsidR="002E2004"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ab/>
              <w:t>Membre de l</w:t>
            </w:r>
            <w:r w:rsidR="000F0C34"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'</w:t>
            </w:r>
            <w:r w:rsidR="002E2004"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Indonesia Internet Service Provider Assocation (APJII)</w:t>
            </w:r>
          </w:p>
          <w:p w:rsidR="002E2004" w:rsidRPr="00030EE3" w:rsidRDefault="00F553B4" w:rsidP="00AF3920">
            <w:pPr>
              <w:pStyle w:val="OiaeaeiYiio2"/>
              <w:widowControl/>
              <w:tabs>
                <w:tab w:val="left" w:pos="280"/>
              </w:tabs>
              <w:spacing w:before="60"/>
              <w:jc w:val="left"/>
              <w:rPr>
                <w:rFonts w:asciiTheme="minorHAnsi" w:hAnsiTheme="minorHAnsi"/>
                <w:bCs/>
                <w:i w:val="0"/>
                <w:sz w:val="20"/>
                <w:lang w:val="fr-CH"/>
              </w:rPr>
            </w:pPr>
            <w:r>
              <w:rPr>
                <w:rFonts w:asciiTheme="minorHAnsi" w:hAnsiTheme="minorHAnsi"/>
                <w:bCs/>
                <w:i w:val="0"/>
                <w:sz w:val="20"/>
                <w:lang w:val="fr-CH"/>
              </w:rPr>
              <w:t>6</w:t>
            </w:r>
            <w:r w:rsidR="002E2004"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ab/>
              <w:t>Membre de l</w:t>
            </w:r>
            <w:r w:rsidR="000F0C34"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'</w:t>
            </w:r>
            <w:r w:rsidR="002E2004"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Indonesia Satellite Association (ASSI)</w:t>
            </w:r>
          </w:p>
        </w:tc>
      </w:tr>
    </w:tbl>
    <w:p w:rsidR="002E2004" w:rsidRPr="00030EE3" w:rsidRDefault="002E2004" w:rsidP="002E2004">
      <w:pPr>
        <w:pStyle w:val="Aaoeeu"/>
        <w:widowControl/>
        <w:rPr>
          <w:rFonts w:asciiTheme="minorHAnsi" w:hAnsiTheme="minorHAnsi"/>
          <w:lang w:val="fr-CH"/>
        </w:rPr>
      </w:pPr>
    </w:p>
    <w:tbl>
      <w:tblPr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266"/>
        <w:gridCol w:w="7538"/>
      </w:tblGrid>
      <w:tr w:rsidR="002E2004" w:rsidRPr="00030EE3" w:rsidTr="00030EE3">
        <w:trPr>
          <w:gridAfter w:val="2"/>
          <w:wAfter w:w="7804" w:type="dxa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Aeeaoaeaa1"/>
              <w:widowControl/>
              <w:rPr>
                <w:rFonts w:asciiTheme="minorHAnsi" w:hAnsiTheme="minorHAnsi"/>
                <w:smallCaps/>
                <w:u w:val="single"/>
              </w:rPr>
            </w:pPr>
            <w:r w:rsidRPr="00030EE3">
              <w:rPr>
                <w:rFonts w:asciiTheme="minorHAnsi" w:hAnsiTheme="minorHAnsi"/>
                <w:smallCaps/>
                <w:u w:val="single"/>
              </w:rPr>
              <w:t xml:space="preserve">Education et Formation </w:t>
            </w:r>
          </w:p>
        </w:tc>
      </w:tr>
      <w:tr w:rsidR="002E2004" w:rsidRPr="00030EE3" w:rsidTr="00030EE3"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1988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04" w:rsidRPr="00030EE3" w:rsidRDefault="002E2004" w:rsidP="00AF3920">
            <w:pPr>
              <w:pStyle w:val="Aaoeeu"/>
              <w:widowControl/>
              <w:rPr>
                <w:rFonts w:asciiTheme="minorHAnsi" w:hAnsiTheme="minorHAnsi"/>
                <w:sz w:val="20"/>
              </w:rPr>
            </w:pPr>
          </w:p>
        </w:tc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OiaeaeiYiio2"/>
              <w:widowControl/>
              <w:jc w:val="left"/>
              <w:rPr>
                <w:rFonts w:asciiTheme="minorHAnsi" w:hAnsiTheme="minorHAnsi"/>
                <w:bCs/>
                <w:i w:val="0"/>
                <w:sz w:val="20"/>
              </w:rPr>
            </w:pPr>
            <w:r w:rsidRPr="00030EE3">
              <w:rPr>
                <w:rFonts w:asciiTheme="minorHAnsi" w:hAnsiTheme="minorHAnsi"/>
                <w:bCs/>
                <w:i w:val="0"/>
                <w:sz w:val="20"/>
              </w:rPr>
              <w:t>Bachelor en ingénierie, Bandung Institute of Technology (Indonésie)</w:t>
            </w:r>
          </w:p>
        </w:tc>
      </w:tr>
      <w:tr w:rsidR="002E2004" w:rsidRPr="00030EE3" w:rsidTr="00030EE3"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1991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04" w:rsidRPr="00030EE3" w:rsidRDefault="002E2004" w:rsidP="00AF3920">
            <w:pPr>
              <w:pStyle w:val="Aaoeeu"/>
              <w:widowControl/>
              <w:rPr>
                <w:rFonts w:asciiTheme="minorHAnsi" w:hAnsiTheme="minorHAnsi"/>
                <w:sz w:val="20"/>
              </w:rPr>
            </w:pPr>
          </w:p>
        </w:tc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OiaeaeiYiio2"/>
              <w:widowControl/>
              <w:jc w:val="left"/>
              <w:rPr>
                <w:rFonts w:asciiTheme="minorHAnsi" w:hAnsiTheme="minorHAnsi"/>
                <w:bCs/>
                <w:i w:val="0"/>
                <w:sz w:val="20"/>
                <w:lang w:val="fr-CH"/>
              </w:rPr>
            </w:pP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Théorie et conception des antennes évoluées 1; Hughes Space &amp; Comm; El Segundo, Californie (Etats</w:t>
            </w: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noBreakHyphen/>
              <w:t>Unis)</w:t>
            </w:r>
          </w:p>
        </w:tc>
      </w:tr>
      <w:tr w:rsidR="002E2004" w:rsidRPr="00030EE3" w:rsidTr="00030EE3"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1992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04" w:rsidRPr="00030EE3" w:rsidRDefault="002E2004" w:rsidP="00AF3920">
            <w:pPr>
              <w:pStyle w:val="Aaoeeu"/>
              <w:widowControl/>
              <w:rPr>
                <w:rFonts w:asciiTheme="minorHAnsi" w:hAnsiTheme="minorHAnsi"/>
                <w:sz w:val="20"/>
              </w:rPr>
            </w:pPr>
          </w:p>
        </w:tc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OiaeaeiYiio2"/>
              <w:widowControl/>
              <w:jc w:val="left"/>
              <w:rPr>
                <w:rFonts w:asciiTheme="minorHAnsi" w:hAnsiTheme="minorHAnsi"/>
                <w:bCs/>
                <w:i w:val="0"/>
                <w:sz w:val="20"/>
                <w:lang w:val="fr-CH"/>
              </w:rPr>
            </w:pP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Théorie et conception des antennes évoluées 2; Hughes Space &amp; Comm; El Segundo, Californie (Etats</w:t>
            </w: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noBreakHyphen/>
              <w:t>Unis)</w:t>
            </w:r>
          </w:p>
        </w:tc>
      </w:tr>
      <w:tr w:rsidR="002E2004" w:rsidRPr="00030EE3" w:rsidTr="00030EE3"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1993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04" w:rsidRPr="00030EE3" w:rsidRDefault="002E2004" w:rsidP="00AF3920">
            <w:pPr>
              <w:pStyle w:val="Aaoeeu"/>
              <w:widowControl/>
              <w:rPr>
                <w:rFonts w:asciiTheme="minorHAnsi" w:hAnsiTheme="minorHAnsi"/>
                <w:sz w:val="20"/>
              </w:rPr>
            </w:pPr>
          </w:p>
        </w:tc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OiaeaeiYiio2"/>
              <w:widowControl/>
              <w:jc w:val="left"/>
              <w:rPr>
                <w:rFonts w:asciiTheme="minorHAnsi" w:hAnsiTheme="minorHAnsi"/>
                <w:bCs/>
                <w:i w:val="0"/>
                <w:sz w:val="20"/>
                <w:lang w:val="fr-CH"/>
              </w:rPr>
            </w:pP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Théorie et conception des antennes évoluées 3; Hughes Space &amp; Comm; El Segundo, Californie (Etats</w:t>
            </w: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noBreakHyphen/>
              <w:t>Unis)</w:t>
            </w:r>
          </w:p>
        </w:tc>
      </w:tr>
      <w:tr w:rsidR="002E2004" w:rsidRPr="00030EE3" w:rsidTr="00030EE3"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1994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04" w:rsidRPr="00030EE3" w:rsidRDefault="002E2004" w:rsidP="00AF3920">
            <w:pPr>
              <w:pStyle w:val="Aaoeeu"/>
              <w:widowControl/>
              <w:rPr>
                <w:rFonts w:asciiTheme="minorHAnsi" w:hAnsiTheme="minorHAnsi"/>
                <w:sz w:val="20"/>
              </w:rPr>
            </w:pPr>
          </w:p>
        </w:tc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OiaeaeiYiio2"/>
              <w:widowControl/>
              <w:jc w:val="left"/>
              <w:rPr>
                <w:rFonts w:asciiTheme="minorHAnsi" w:hAnsiTheme="minorHAnsi"/>
                <w:bCs/>
                <w:i w:val="0"/>
                <w:sz w:val="20"/>
                <w:lang w:val="fr-CH"/>
              </w:rPr>
            </w:pP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Master de Sciences en ingénierie électrique; Université de Californie du Sud; Californie (Etats</w:t>
            </w: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noBreakHyphen/>
              <w:t>Unis)</w:t>
            </w:r>
          </w:p>
        </w:tc>
      </w:tr>
      <w:tr w:rsidR="002E2004" w:rsidRPr="00030EE3" w:rsidTr="00030EE3"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2010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04" w:rsidRPr="00030EE3" w:rsidRDefault="002E2004" w:rsidP="00AF3920">
            <w:pPr>
              <w:pStyle w:val="Aaoeeu"/>
              <w:widowControl/>
              <w:rPr>
                <w:rFonts w:asciiTheme="minorHAnsi" w:hAnsiTheme="minorHAnsi"/>
                <w:sz w:val="20"/>
              </w:rPr>
            </w:pPr>
          </w:p>
        </w:tc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OiaeaeiYiio2"/>
              <w:widowControl/>
              <w:jc w:val="left"/>
              <w:rPr>
                <w:rFonts w:asciiTheme="minorHAnsi" w:hAnsiTheme="minorHAnsi"/>
                <w:bCs/>
                <w:i w:val="0"/>
                <w:sz w:val="20"/>
                <w:lang w:val="fr-CH"/>
              </w:rPr>
            </w:pP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Doctorat en gestion stratégique; Université d</w:t>
            </w:r>
            <w:r w:rsidR="000F0C34"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'</w:t>
            </w: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Indonésie (Indonésie)</w:t>
            </w:r>
          </w:p>
        </w:tc>
      </w:tr>
    </w:tbl>
    <w:p w:rsidR="002E2004" w:rsidRPr="00030EE3" w:rsidRDefault="002E2004" w:rsidP="002E2004">
      <w:pPr>
        <w:spacing w:before="0"/>
        <w:rPr>
          <w:rFonts w:asciiTheme="minorHAnsi" w:hAnsiTheme="minorHAnsi"/>
          <w:lang w:val="fr-CH"/>
        </w:rPr>
      </w:pPr>
    </w:p>
    <w:tbl>
      <w:tblPr>
        <w:tblW w:w="9640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306"/>
        <w:gridCol w:w="7498"/>
      </w:tblGrid>
      <w:tr w:rsidR="002E2004" w:rsidRPr="00030EE3" w:rsidTr="00030EE3">
        <w:trPr>
          <w:gridAfter w:val="2"/>
          <w:wAfter w:w="7804" w:type="dxa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Aeeaoaeaa1"/>
              <w:widowControl/>
              <w:ind w:left="-250"/>
              <w:rPr>
                <w:rFonts w:asciiTheme="minorHAnsi" w:hAnsiTheme="minorHAnsi"/>
                <w:smallCaps/>
                <w:u w:val="single"/>
                <w:lang w:val="fr-FR"/>
              </w:rPr>
            </w:pPr>
            <w:r w:rsidRPr="00030EE3">
              <w:rPr>
                <w:rFonts w:asciiTheme="minorHAnsi" w:hAnsiTheme="minorHAnsi"/>
                <w:smallCaps/>
                <w:u w:val="single"/>
                <w:lang w:val="fr-FR"/>
              </w:rPr>
              <w:t>Expérience Professionnelle</w:t>
            </w:r>
          </w:p>
        </w:tc>
      </w:tr>
      <w:tr w:rsidR="002E2004" w:rsidRPr="00030EE3" w:rsidTr="00030EE3"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1989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04" w:rsidRPr="00030EE3" w:rsidRDefault="002E2004" w:rsidP="00AF3920">
            <w:pPr>
              <w:pStyle w:val="Aaoeeu"/>
              <w:widowControl/>
              <w:rPr>
                <w:rFonts w:asciiTheme="minorHAnsi" w:hAnsiTheme="minorHAnsi"/>
              </w:rPr>
            </w:pP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OiaeaeiYiio2"/>
              <w:widowControl/>
              <w:jc w:val="left"/>
              <w:rPr>
                <w:rFonts w:asciiTheme="minorHAnsi" w:hAnsiTheme="minorHAnsi"/>
                <w:bCs/>
                <w:i w:val="0"/>
                <w:sz w:val="20"/>
                <w:lang w:val="fr-CH"/>
              </w:rPr>
            </w:pP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Ingénieur en systèmes satellite, Hughes Space &amp; Communication, El Segundo, Californie (Etats</w:t>
            </w: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noBreakHyphen/>
              <w:t>Unis)</w:t>
            </w:r>
          </w:p>
        </w:tc>
      </w:tr>
      <w:tr w:rsidR="002E2004" w:rsidRPr="00030EE3" w:rsidTr="00030EE3"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1997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04" w:rsidRPr="00030EE3" w:rsidRDefault="002E2004" w:rsidP="00AF3920">
            <w:pPr>
              <w:pStyle w:val="Aaoeeu"/>
              <w:widowControl/>
              <w:rPr>
                <w:rFonts w:asciiTheme="minorHAnsi" w:hAnsiTheme="minorHAnsi"/>
              </w:rPr>
            </w:pP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OiaeaeiYiio2"/>
              <w:widowControl/>
              <w:jc w:val="both"/>
              <w:rPr>
                <w:rFonts w:asciiTheme="minorHAnsi" w:hAnsiTheme="minorHAnsi"/>
                <w:bCs/>
                <w:i w:val="0"/>
                <w:sz w:val="20"/>
                <w:lang w:val="fr-CH"/>
              </w:rPr>
            </w:pP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Vice</w:t>
            </w: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noBreakHyphen/>
              <w:t>Président adjoint, Division astronautique, Nusantara Aircaft Industry (Indonésie)</w:t>
            </w:r>
          </w:p>
        </w:tc>
      </w:tr>
      <w:tr w:rsidR="002E2004" w:rsidRPr="00030EE3" w:rsidTr="00030EE3"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1998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04" w:rsidRPr="00030EE3" w:rsidRDefault="002E2004" w:rsidP="00AF3920">
            <w:pPr>
              <w:pStyle w:val="Aaoeeu"/>
              <w:widowControl/>
              <w:rPr>
                <w:rFonts w:asciiTheme="minorHAnsi" w:hAnsiTheme="minorHAnsi"/>
              </w:rPr>
            </w:pP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OiaeaeiYiio2"/>
              <w:widowControl/>
              <w:jc w:val="both"/>
              <w:rPr>
                <w:rFonts w:asciiTheme="minorHAnsi" w:hAnsiTheme="minorHAnsi"/>
                <w:bCs/>
                <w:i w:val="0"/>
                <w:sz w:val="20"/>
                <w:lang w:val="fr-CH"/>
              </w:rPr>
            </w:pP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Directeur technique, Asia Cellular Satellite (Indonésie)</w:t>
            </w:r>
          </w:p>
        </w:tc>
      </w:tr>
      <w:tr w:rsidR="002E2004" w:rsidRPr="00030EE3" w:rsidTr="00030EE3"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2007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04" w:rsidRPr="00030EE3" w:rsidRDefault="002E2004" w:rsidP="00AF3920">
            <w:pPr>
              <w:pStyle w:val="Aaoeeu"/>
              <w:widowControl/>
              <w:rPr>
                <w:rFonts w:asciiTheme="minorHAnsi" w:hAnsiTheme="minorHAnsi"/>
              </w:rPr>
            </w:pP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OiaeaeiYiio2"/>
              <w:widowControl/>
              <w:jc w:val="both"/>
              <w:rPr>
                <w:rFonts w:asciiTheme="minorHAnsi" w:hAnsiTheme="minorHAnsi"/>
                <w:bCs/>
                <w:i w:val="0"/>
                <w:sz w:val="20"/>
                <w:lang w:val="fr-CH"/>
              </w:rPr>
            </w:pP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Directeur de l</w:t>
            </w:r>
            <w:r w:rsidR="000F0C34"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'</w:t>
            </w: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exploitation, Inmarsat Indonesia</w:t>
            </w:r>
          </w:p>
        </w:tc>
      </w:tr>
      <w:tr w:rsidR="002E2004" w:rsidRPr="00030EE3" w:rsidTr="00030EE3"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2008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04" w:rsidRPr="00030EE3" w:rsidRDefault="002E2004" w:rsidP="00AF3920">
            <w:pPr>
              <w:pStyle w:val="Aaoeeu"/>
              <w:widowControl/>
              <w:rPr>
                <w:rFonts w:asciiTheme="minorHAnsi" w:hAnsiTheme="minorHAnsi"/>
              </w:rPr>
            </w:pP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OiaeaeiYiio2"/>
              <w:widowControl/>
              <w:jc w:val="both"/>
              <w:rPr>
                <w:rFonts w:asciiTheme="minorHAnsi" w:hAnsiTheme="minorHAnsi"/>
                <w:bCs/>
                <w:i w:val="0"/>
                <w:sz w:val="20"/>
                <w:lang w:val="fr-CH"/>
              </w:rPr>
            </w:pP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Directeur technique, S2M Group, Dubaï (Emirats arabes unis)</w:t>
            </w:r>
          </w:p>
        </w:tc>
      </w:tr>
      <w:tr w:rsidR="002E2004" w:rsidRPr="00030EE3" w:rsidTr="00030EE3"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2011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04" w:rsidRPr="00030EE3" w:rsidRDefault="002E2004" w:rsidP="00AF3920">
            <w:pPr>
              <w:pStyle w:val="Aaoeeu"/>
              <w:widowControl/>
              <w:rPr>
                <w:rFonts w:asciiTheme="minorHAnsi" w:hAnsiTheme="minorHAnsi"/>
              </w:rPr>
            </w:pP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OiaeaeiYiio2"/>
              <w:widowControl/>
              <w:jc w:val="left"/>
              <w:rPr>
                <w:rFonts w:asciiTheme="minorHAnsi" w:hAnsiTheme="minorHAnsi"/>
                <w:bCs/>
                <w:i w:val="0"/>
                <w:sz w:val="20"/>
                <w:lang w:val="fr-CH"/>
              </w:rPr>
            </w:pP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Premier Vice</w:t>
            </w: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noBreakHyphen/>
              <w:t>Président, Ingénierie et exploitation, Broadband Broadcast Satellite (Indonésie)</w:t>
            </w:r>
          </w:p>
        </w:tc>
      </w:tr>
    </w:tbl>
    <w:p w:rsidR="002E2004" w:rsidRPr="00030EE3" w:rsidRDefault="002E2004" w:rsidP="002E2004">
      <w:pPr>
        <w:spacing w:before="0"/>
        <w:rPr>
          <w:rFonts w:asciiTheme="minorHAnsi" w:hAnsiTheme="minorHAnsi"/>
          <w:lang w:val="fr-CH"/>
        </w:rPr>
      </w:pPr>
    </w:p>
    <w:tbl>
      <w:tblPr>
        <w:tblW w:w="9640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0"/>
        <w:gridCol w:w="284"/>
        <w:gridCol w:w="7576"/>
      </w:tblGrid>
      <w:tr w:rsidR="002E2004" w:rsidRPr="00030EE3" w:rsidTr="000F0C34">
        <w:trPr>
          <w:gridAfter w:val="2"/>
          <w:wAfter w:w="7860" w:type="dxa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Aeeaoaeaa1"/>
              <w:widowControl/>
              <w:rPr>
                <w:rFonts w:asciiTheme="minorHAnsi" w:hAnsiTheme="minorHAnsi"/>
                <w:smallCaps/>
                <w:u w:val="single"/>
                <w:lang w:val="fr-CH"/>
              </w:rPr>
            </w:pPr>
            <w:r w:rsidRPr="00030EE3">
              <w:rPr>
                <w:rFonts w:asciiTheme="minorHAnsi" w:hAnsiTheme="minorHAnsi"/>
                <w:smallCaps/>
                <w:u w:val="single"/>
                <w:lang w:val="fr-CH"/>
              </w:rPr>
              <w:lastRenderedPageBreak/>
              <w:t>Réglementation</w:t>
            </w:r>
          </w:p>
        </w:tc>
      </w:tr>
      <w:tr w:rsidR="002E2004" w:rsidRPr="00030EE3" w:rsidTr="000F0C34"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keepNext/>
              <w:widowControl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2003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04" w:rsidRPr="00030EE3" w:rsidRDefault="002E2004" w:rsidP="00AF3920">
            <w:pPr>
              <w:pStyle w:val="Aaoeeu"/>
              <w:widowControl/>
              <w:rPr>
                <w:rFonts w:asciiTheme="minorHAnsi" w:hAnsiTheme="minorHAnsi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OiaeaeiYiio2"/>
              <w:keepNext/>
              <w:keepLines/>
              <w:widowControl/>
              <w:jc w:val="both"/>
              <w:rPr>
                <w:rFonts w:asciiTheme="minorHAnsi" w:hAnsiTheme="minorHAnsi"/>
                <w:bCs/>
                <w:i w:val="0"/>
                <w:sz w:val="20"/>
                <w:lang w:val="fr-CH"/>
              </w:rPr>
            </w:pP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Président, Réunion d</w:t>
            </w:r>
            <w:r w:rsidR="000F0C34"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'</w:t>
            </w: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 xml:space="preserve">examen des opérateurs en bande L (L-Band ORM), Singapour </w:t>
            </w:r>
          </w:p>
        </w:tc>
      </w:tr>
      <w:tr w:rsidR="002E2004" w:rsidRPr="00030EE3" w:rsidTr="000F0C34"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keepNext/>
              <w:widowControl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2004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04" w:rsidRPr="00030EE3" w:rsidRDefault="002E2004" w:rsidP="00AF3920">
            <w:pPr>
              <w:pStyle w:val="Aaoeeu"/>
              <w:keepNext/>
              <w:widowControl/>
              <w:rPr>
                <w:rFonts w:asciiTheme="minorHAnsi" w:hAnsiTheme="minorHAnsi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OiaeaeiYiio2"/>
              <w:keepNext/>
              <w:keepLines/>
              <w:widowControl/>
              <w:jc w:val="both"/>
              <w:rPr>
                <w:rFonts w:asciiTheme="minorHAnsi" w:hAnsiTheme="minorHAnsi"/>
                <w:bCs/>
                <w:i w:val="0"/>
                <w:sz w:val="20"/>
                <w:lang w:val="fr-CH"/>
              </w:rPr>
            </w:pP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Chef de délégation, L-Band ORM, Dubaï (Emirats arabes unis)</w:t>
            </w:r>
          </w:p>
        </w:tc>
      </w:tr>
      <w:tr w:rsidR="002E2004" w:rsidRPr="00030EE3" w:rsidTr="000F0C34"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2004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04" w:rsidRPr="00030EE3" w:rsidRDefault="002E2004" w:rsidP="00AF3920">
            <w:pPr>
              <w:pStyle w:val="Aaoeeu"/>
              <w:widowControl/>
              <w:rPr>
                <w:rFonts w:asciiTheme="minorHAnsi" w:hAnsiTheme="minorHAnsi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OiaeaeiYiio2"/>
              <w:keepNext/>
              <w:keepLines/>
              <w:widowControl/>
              <w:jc w:val="both"/>
              <w:rPr>
                <w:rFonts w:asciiTheme="minorHAnsi" w:hAnsiTheme="minorHAnsi"/>
                <w:bCs/>
                <w:i w:val="0"/>
                <w:sz w:val="20"/>
                <w:lang w:val="fr-CH"/>
              </w:rPr>
            </w:pP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Chef de délégation adjoint, Réunion multilatérale (MLM), Dubaï, (Emirats arabes unis)</w:t>
            </w:r>
          </w:p>
        </w:tc>
      </w:tr>
      <w:tr w:rsidR="002E2004" w:rsidRPr="00030EE3" w:rsidTr="000F0C34"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2006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04" w:rsidRPr="00030EE3" w:rsidRDefault="002E2004" w:rsidP="00AF3920">
            <w:pPr>
              <w:pStyle w:val="Aaoeeu"/>
              <w:widowControl/>
              <w:rPr>
                <w:rFonts w:asciiTheme="minorHAnsi" w:hAnsiTheme="minorHAnsi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OiaeaeiYiio2"/>
              <w:keepNext/>
              <w:keepLines/>
              <w:widowControl/>
              <w:jc w:val="both"/>
              <w:rPr>
                <w:rFonts w:asciiTheme="minorHAnsi" w:hAnsiTheme="minorHAnsi"/>
                <w:bCs/>
                <w:i w:val="0"/>
                <w:sz w:val="20"/>
                <w:lang w:val="fr-CH"/>
              </w:rPr>
            </w:pP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Chef de délégation, L-Band ORM, Nordwijk (Pays-Bas)</w:t>
            </w:r>
          </w:p>
        </w:tc>
      </w:tr>
      <w:tr w:rsidR="002E2004" w:rsidRPr="00030EE3" w:rsidTr="000F0C34"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2006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04" w:rsidRPr="00030EE3" w:rsidRDefault="002E2004" w:rsidP="00AF3920">
            <w:pPr>
              <w:pStyle w:val="Aaoeeu"/>
              <w:widowControl/>
              <w:rPr>
                <w:rFonts w:asciiTheme="minorHAnsi" w:hAnsiTheme="minorHAnsi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OiaeaeiYiio2"/>
              <w:keepNext/>
              <w:keepLines/>
              <w:widowControl/>
              <w:jc w:val="both"/>
              <w:rPr>
                <w:rFonts w:asciiTheme="minorHAnsi" w:hAnsiTheme="minorHAnsi"/>
                <w:bCs/>
                <w:i w:val="0"/>
                <w:sz w:val="20"/>
                <w:lang w:val="fr-CH"/>
              </w:rPr>
            </w:pP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Membre de la délégation de l</w:t>
            </w:r>
            <w:r w:rsidR="000F0C34"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'</w:t>
            </w: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Indonésie, Conférence de plénipotentiaires, Antalya (Turquie)</w:t>
            </w:r>
          </w:p>
        </w:tc>
      </w:tr>
      <w:tr w:rsidR="002E2004" w:rsidRPr="00030EE3" w:rsidTr="000F0C34"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2007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04" w:rsidRPr="00030EE3" w:rsidRDefault="002E2004" w:rsidP="00AF3920">
            <w:pPr>
              <w:pStyle w:val="Aaoeeu"/>
              <w:widowControl/>
              <w:rPr>
                <w:rFonts w:asciiTheme="minorHAnsi" w:hAnsiTheme="minorHAnsi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OiaeaeiYiio2"/>
              <w:keepNext/>
              <w:keepLines/>
              <w:widowControl/>
              <w:jc w:val="both"/>
              <w:rPr>
                <w:rFonts w:asciiTheme="minorHAnsi" w:hAnsiTheme="minorHAnsi"/>
                <w:bCs/>
                <w:i w:val="0"/>
                <w:sz w:val="20"/>
                <w:lang w:val="fr-CH"/>
              </w:rPr>
            </w:pP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Chef de délégation, L-Band ORM, Tokyo (Japon)</w:t>
            </w:r>
          </w:p>
        </w:tc>
      </w:tr>
      <w:tr w:rsidR="002E2004" w:rsidRPr="00030EE3" w:rsidTr="000F0C34"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2008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04" w:rsidRPr="00030EE3" w:rsidRDefault="002E2004" w:rsidP="00AF3920">
            <w:pPr>
              <w:pStyle w:val="Aaoeeu"/>
              <w:widowControl/>
              <w:rPr>
                <w:rFonts w:asciiTheme="minorHAnsi" w:hAnsiTheme="minorHAnsi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OiaeaeiYiio2"/>
              <w:keepNext/>
              <w:keepLines/>
              <w:widowControl/>
              <w:jc w:val="left"/>
              <w:rPr>
                <w:rFonts w:asciiTheme="minorHAnsi" w:hAnsiTheme="minorHAnsi"/>
                <w:bCs/>
                <w:i w:val="0"/>
                <w:sz w:val="20"/>
                <w:lang w:val="fr-CH"/>
              </w:rPr>
            </w:pP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Groupe UIT</w:t>
            </w: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noBreakHyphen/>
              <w:t>2000 et Effort d</w:t>
            </w:r>
            <w:r w:rsidR="000F0C34"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'</w:t>
            </w: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harmonisation du spectre pour les communications par satellite en bande S au Moyen</w:t>
            </w: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noBreakHyphen/>
              <w:t>Orient (S2M)</w:t>
            </w:r>
          </w:p>
        </w:tc>
      </w:tr>
      <w:tr w:rsidR="002E2004" w:rsidRPr="00030EE3" w:rsidTr="000F0C34"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2008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04" w:rsidRPr="00030EE3" w:rsidRDefault="002E2004" w:rsidP="00AF3920">
            <w:pPr>
              <w:pStyle w:val="Aaoeeu"/>
              <w:widowControl/>
              <w:rPr>
                <w:rFonts w:asciiTheme="minorHAnsi" w:hAnsiTheme="minorHAnsi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OiaeaeiYiio2"/>
              <w:keepNext/>
              <w:keepLines/>
              <w:widowControl/>
              <w:jc w:val="both"/>
              <w:rPr>
                <w:rFonts w:asciiTheme="minorHAnsi" w:hAnsiTheme="minorHAnsi"/>
                <w:bCs/>
                <w:i w:val="0"/>
                <w:sz w:val="20"/>
                <w:lang w:val="fr-CH"/>
              </w:rPr>
            </w:pP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Conseiller de l</w:t>
            </w:r>
            <w:r w:rsidR="000F0C34"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'</w:t>
            </w: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 xml:space="preserve">ACeS, L-Band ORM, Genève (Suisse) </w:t>
            </w:r>
          </w:p>
        </w:tc>
      </w:tr>
      <w:tr w:rsidR="002E2004" w:rsidRPr="00030EE3" w:rsidTr="000F0C34"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2013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04" w:rsidRPr="00030EE3" w:rsidRDefault="002E2004" w:rsidP="00AF3920">
            <w:pPr>
              <w:pStyle w:val="Aaoeeu"/>
              <w:widowControl/>
              <w:rPr>
                <w:rFonts w:asciiTheme="minorHAnsi" w:hAnsiTheme="minorHAnsi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E2004" w:rsidRPr="00030EE3" w:rsidRDefault="002E2004" w:rsidP="00AF3920">
            <w:pPr>
              <w:pStyle w:val="OiaeaeiYiio2"/>
              <w:keepNext/>
              <w:keepLines/>
              <w:widowControl/>
              <w:jc w:val="both"/>
              <w:rPr>
                <w:rFonts w:asciiTheme="minorHAnsi" w:hAnsiTheme="minorHAnsi"/>
                <w:bCs/>
                <w:i w:val="0"/>
                <w:sz w:val="20"/>
                <w:lang w:val="fr-CH"/>
              </w:rPr>
            </w:pPr>
            <w:r w:rsidRPr="00030EE3">
              <w:rPr>
                <w:rFonts w:asciiTheme="minorHAnsi" w:hAnsiTheme="minorHAnsi"/>
                <w:bCs/>
                <w:i w:val="0"/>
                <w:sz w:val="20"/>
                <w:lang w:val="fr-CH"/>
              </w:rPr>
              <w:t>Conseiller du MCIT, Coordination des satellites, Bande planifiée</w:t>
            </w:r>
          </w:p>
        </w:tc>
      </w:tr>
    </w:tbl>
    <w:p w:rsidR="002E2004" w:rsidRPr="00030EE3" w:rsidRDefault="002E2004" w:rsidP="002E2004">
      <w:pPr>
        <w:rPr>
          <w:rFonts w:asciiTheme="minorHAnsi" w:hAnsiTheme="minorHAnsi"/>
          <w:lang w:val="fr-CH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780"/>
        <w:gridCol w:w="284"/>
        <w:gridCol w:w="7576"/>
      </w:tblGrid>
      <w:tr w:rsidR="002E2004" w:rsidRPr="00030EE3" w:rsidTr="000F0C34">
        <w:trPr>
          <w:gridAfter w:val="2"/>
          <w:wAfter w:w="7860" w:type="dxa"/>
        </w:trPr>
        <w:tc>
          <w:tcPr>
            <w:tcW w:w="1780" w:type="dxa"/>
          </w:tcPr>
          <w:p w:rsidR="002E2004" w:rsidRPr="00030EE3" w:rsidRDefault="002E2004" w:rsidP="00AF3920">
            <w:pPr>
              <w:pStyle w:val="Aeeaoaeaa1"/>
              <w:widowControl/>
              <w:rPr>
                <w:rFonts w:asciiTheme="minorHAnsi" w:hAnsiTheme="minorHAnsi"/>
                <w:smallCaps/>
                <w:u w:val="single"/>
              </w:rPr>
            </w:pPr>
            <w:r w:rsidRPr="00030EE3">
              <w:rPr>
                <w:rFonts w:asciiTheme="minorHAnsi" w:hAnsiTheme="minorHAnsi"/>
                <w:smallCaps/>
                <w:u w:val="single"/>
              </w:rPr>
              <w:t>Publications</w:t>
            </w:r>
          </w:p>
        </w:tc>
      </w:tr>
      <w:tr w:rsidR="002E2004" w:rsidRPr="00F17204" w:rsidTr="000F0C34">
        <w:tc>
          <w:tcPr>
            <w:tcW w:w="1780" w:type="dxa"/>
            <w:tcBorders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spacing w:before="120"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E2004" w:rsidRPr="00030EE3" w:rsidRDefault="002E2004" w:rsidP="00AF3920">
            <w:pPr>
              <w:pStyle w:val="Aaoeeu"/>
              <w:widowControl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576" w:type="dxa"/>
          </w:tcPr>
          <w:p w:rsidR="002E2004" w:rsidRPr="00030EE3" w:rsidRDefault="002E2004" w:rsidP="00AF3920">
            <w:pPr>
              <w:pStyle w:val="OiaeaeiYiio2"/>
              <w:widowControl/>
              <w:spacing w:before="120"/>
              <w:jc w:val="both"/>
              <w:rPr>
                <w:rFonts w:asciiTheme="minorHAnsi" w:hAnsiTheme="minorHAnsi"/>
                <w:b/>
                <w:i w:val="0"/>
                <w:sz w:val="20"/>
              </w:rPr>
            </w:pPr>
            <w:r w:rsidRPr="00030EE3">
              <w:rPr>
                <w:rFonts w:asciiTheme="minorHAnsi" w:hAnsiTheme="minorHAnsi" w:cs="Verdana"/>
                <w:b/>
                <w:sz w:val="20"/>
                <w:szCs w:val="20"/>
              </w:rPr>
              <w:t>Application Type and User Experience as Driver to Multi Technology Acceptance Model:  An Empirical Study for Mobile Internet in Indonesia</w:t>
            </w:r>
            <w:r w:rsidRPr="00030EE3">
              <w:rPr>
                <w:rFonts w:asciiTheme="minorHAnsi" w:hAnsiTheme="minorHAnsi" w:cs="Verdana"/>
                <w:sz w:val="20"/>
                <w:szCs w:val="20"/>
              </w:rPr>
              <w:t xml:space="preserve">, January 2010, Las Vegas, International Academy of Management and Business (IAMB).  </w:t>
            </w:r>
          </w:p>
        </w:tc>
      </w:tr>
      <w:tr w:rsidR="002E2004" w:rsidRPr="00F17204" w:rsidTr="000F0C34">
        <w:tc>
          <w:tcPr>
            <w:tcW w:w="1780" w:type="dxa"/>
            <w:tcBorders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spacing w:before="120"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E2004" w:rsidRPr="00030EE3" w:rsidRDefault="002E2004" w:rsidP="00AF3920">
            <w:pPr>
              <w:pStyle w:val="Aaoeeu"/>
              <w:widowControl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576" w:type="dxa"/>
          </w:tcPr>
          <w:p w:rsidR="002E2004" w:rsidRPr="00030EE3" w:rsidRDefault="002E2004" w:rsidP="00AF3920">
            <w:pPr>
              <w:pStyle w:val="OiaeaeiYiio2"/>
              <w:widowControl/>
              <w:spacing w:before="120"/>
              <w:jc w:val="both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030EE3">
              <w:rPr>
                <w:rFonts w:asciiTheme="minorHAnsi" w:hAnsiTheme="minorHAnsi" w:cs="Verdana"/>
                <w:b/>
                <w:sz w:val="20"/>
                <w:szCs w:val="20"/>
              </w:rPr>
              <w:t>Satellite to Earth Link Impairment Analysis in Mobile Television Broadcastin</w:t>
            </w:r>
            <w:r w:rsidRPr="00030EE3">
              <w:rPr>
                <w:rFonts w:asciiTheme="minorHAnsi" w:hAnsiTheme="minorHAnsi" w:cs="Verdana"/>
                <w:sz w:val="20"/>
                <w:szCs w:val="20"/>
              </w:rPr>
              <w:t>g, Journal of IEEE, co author with Alireza Ph.D., presented on 15 – 18 May 2009 in Barcelona, Spain.</w:t>
            </w:r>
          </w:p>
        </w:tc>
      </w:tr>
      <w:tr w:rsidR="002E2004" w:rsidRPr="00F17204" w:rsidTr="000F0C34">
        <w:tc>
          <w:tcPr>
            <w:tcW w:w="1780" w:type="dxa"/>
            <w:tcBorders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spacing w:before="120"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E2004" w:rsidRPr="00030EE3" w:rsidRDefault="002E2004" w:rsidP="00AF3920">
            <w:pPr>
              <w:pStyle w:val="Aaoeeu"/>
              <w:widowControl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576" w:type="dxa"/>
          </w:tcPr>
          <w:p w:rsidR="002E2004" w:rsidRPr="00030EE3" w:rsidRDefault="002E2004" w:rsidP="00F553B4">
            <w:pPr>
              <w:pStyle w:val="OiaeaeiYiio2"/>
              <w:widowControl/>
              <w:spacing w:before="120"/>
              <w:jc w:val="both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030EE3">
              <w:rPr>
                <w:rFonts w:asciiTheme="minorHAnsi" w:hAnsiTheme="minorHAnsi" w:cs="Verdana"/>
                <w:b/>
                <w:sz w:val="20"/>
                <w:szCs w:val="20"/>
              </w:rPr>
              <w:t>S2M System Sharing Study with IMT-2000 under The Same Geographical Area</w:t>
            </w:r>
            <w:r w:rsidRPr="00030EE3">
              <w:rPr>
                <w:rFonts w:asciiTheme="minorHAnsi" w:hAnsiTheme="minorHAnsi" w:cs="Verdana"/>
                <w:sz w:val="20"/>
                <w:szCs w:val="20"/>
              </w:rPr>
              <w:t>, December</w:t>
            </w:r>
            <w:r w:rsidR="00F553B4">
              <w:rPr>
                <w:rFonts w:asciiTheme="minorHAnsi" w:hAnsiTheme="minorHAnsi" w:cs="Verdana"/>
                <w:sz w:val="20"/>
                <w:szCs w:val="20"/>
              </w:rPr>
              <w:t> </w:t>
            </w:r>
            <w:r w:rsidRPr="00030EE3">
              <w:rPr>
                <w:rFonts w:asciiTheme="minorHAnsi" w:hAnsiTheme="minorHAnsi" w:cs="Verdana"/>
                <w:sz w:val="20"/>
                <w:szCs w:val="20"/>
              </w:rPr>
              <w:t>2008.</w:t>
            </w:r>
          </w:p>
        </w:tc>
      </w:tr>
      <w:tr w:rsidR="002E2004" w:rsidRPr="00F17204" w:rsidTr="000F0C34">
        <w:tc>
          <w:tcPr>
            <w:tcW w:w="1780" w:type="dxa"/>
            <w:tcBorders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spacing w:before="120"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E2004" w:rsidRPr="00030EE3" w:rsidRDefault="002E2004" w:rsidP="00AF3920">
            <w:pPr>
              <w:pStyle w:val="Aaoeeu"/>
              <w:widowControl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576" w:type="dxa"/>
          </w:tcPr>
          <w:p w:rsidR="002E2004" w:rsidRPr="00030EE3" w:rsidRDefault="002E2004" w:rsidP="00AF3920">
            <w:pPr>
              <w:pStyle w:val="OiaeaeiYiio2"/>
              <w:widowControl/>
              <w:spacing w:before="120"/>
              <w:jc w:val="both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030EE3">
              <w:rPr>
                <w:rFonts w:asciiTheme="minorHAnsi" w:hAnsiTheme="minorHAnsi" w:cs="Helvetica"/>
                <w:b/>
                <w:sz w:val="20"/>
              </w:rPr>
              <w:t>S2M and IMT-2000 Spectrum Harmonization Proposal for Middle East and North Africa Countries</w:t>
            </w:r>
            <w:r w:rsidRPr="00030EE3">
              <w:rPr>
                <w:rFonts w:asciiTheme="minorHAnsi" w:hAnsiTheme="minorHAnsi" w:cs="Helvetica"/>
                <w:sz w:val="20"/>
              </w:rPr>
              <w:t>, December 2008.</w:t>
            </w:r>
          </w:p>
        </w:tc>
      </w:tr>
      <w:tr w:rsidR="002E2004" w:rsidRPr="00F17204" w:rsidTr="000F0C34">
        <w:tc>
          <w:tcPr>
            <w:tcW w:w="1780" w:type="dxa"/>
            <w:tcBorders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spacing w:before="120"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E2004" w:rsidRPr="00030EE3" w:rsidRDefault="002E2004" w:rsidP="00AF3920">
            <w:pPr>
              <w:pStyle w:val="Aaoeeu"/>
              <w:widowControl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576" w:type="dxa"/>
          </w:tcPr>
          <w:p w:rsidR="002E2004" w:rsidRPr="00030EE3" w:rsidRDefault="002E2004" w:rsidP="00AF3920">
            <w:pPr>
              <w:pStyle w:val="OiaeaeiYiio2"/>
              <w:widowControl/>
              <w:spacing w:before="120"/>
              <w:jc w:val="both"/>
              <w:rPr>
                <w:rFonts w:asciiTheme="minorHAnsi" w:hAnsiTheme="minorHAnsi" w:cs="Helvetica"/>
                <w:b/>
                <w:sz w:val="20"/>
              </w:rPr>
            </w:pPr>
            <w:r w:rsidRPr="00030EE3">
              <w:rPr>
                <w:rFonts w:asciiTheme="minorHAnsi" w:hAnsiTheme="minorHAnsi" w:cs="Verdana"/>
                <w:b/>
                <w:sz w:val="20"/>
                <w:szCs w:val="20"/>
              </w:rPr>
              <w:t>S2M Mobile Television Technology</w:t>
            </w:r>
            <w:r w:rsidRPr="00030EE3">
              <w:rPr>
                <w:rFonts w:asciiTheme="minorHAnsi" w:hAnsiTheme="minorHAnsi" w:cs="Verdana"/>
                <w:sz w:val="20"/>
                <w:szCs w:val="20"/>
              </w:rPr>
              <w:t>, Presented in Space System Loral User Conference, Palo Alto, U.S.A., October 2008</w:t>
            </w:r>
            <w:r w:rsidR="00F553B4">
              <w:rPr>
                <w:rFonts w:asciiTheme="minorHAnsi" w:hAnsiTheme="minorHAnsi" w:cs="Verdana"/>
                <w:sz w:val="20"/>
                <w:szCs w:val="20"/>
              </w:rPr>
              <w:t>.</w:t>
            </w:r>
          </w:p>
        </w:tc>
      </w:tr>
      <w:tr w:rsidR="002E2004" w:rsidRPr="00F17204" w:rsidTr="000F0C34">
        <w:tc>
          <w:tcPr>
            <w:tcW w:w="1780" w:type="dxa"/>
            <w:tcBorders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spacing w:before="120"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E2004" w:rsidRPr="00030EE3" w:rsidRDefault="002E2004" w:rsidP="00AF3920">
            <w:pPr>
              <w:pStyle w:val="Aaoeeu"/>
              <w:widowControl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576" w:type="dxa"/>
          </w:tcPr>
          <w:p w:rsidR="002E2004" w:rsidRPr="00030EE3" w:rsidRDefault="002E2004" w:rsidP="00AF3920">
            <w:pPr>
              <w:pStyle w:val="OiaeaeiYiio2"/>
              <w:widowControl/>
              <w:spacing w:before="120"/>
              <w:jc w:val="both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030EE3">
              <w:rPr>
                <w:rFonts w:asciiTheme="minorHAnsi" w:hAnsiTheme="minorHAnsi" w:cs="Verdana"/>
                <w:b/>
                <w:sz w:val="20"/>
                <w:szCs w:val="20"/>
              </w:rPr>
              <w:t>S2M System Update: Mobile TV Standards</w:t>
            </w:r>
            <w:r w:rsidRPr="00030EE3">
              <w:rPr>
                <w:rFonts w:asciiTheme="minorHAnsi" w:hAnsiTheme="minorHAnsi" w:cs="Verdana"/>
                <w:sz w:val="20"/>
                <w:szCs w:val="20"/>
              </w:rPr>
              <w:t>, August 2008</w:t>
            </w:r>
            <w:r w:rsidR="00F553B4">
              <w:rPr>
                <w:rFonts w:asciiTheme="minorHAnsi" w:hAnsiTheme="minorHAnsi" w:cs="Verdana"/>
                <w:sz w:val="20"/>
                <w:szCs w:val="20"/>
              </w:rPr>
              <w:t>.</w:t>
            </w:r>
          </w:p>
        </w:tc>
      </w:tr>
      <w:tr w:rsidR="002E2004" w:rsidRPr="00F17204" w:rsidTr="000F0C34">
        <w:tc>
          <w:tcPr>
            <w:tcW w:w="1780" w:type="dxa"/>
            <w:tcBorders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spacing w:before="120"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E2004" w:rsidRPr="00030EE3" w:rsidRDefault="002E2004" w:rsidP="00AF3920">
            <w:pPr>
              <w:pStyle w:val="Aaoeeu"/>
              <w:widowControl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576" w:type="dxa"/>
          </w:tcPr>
          <w:p w:rsidR="002E2004" w:rsidRPr="00030EE3" w:rsidRDefault="002E2004" w:rsidP="00AF3920">
            <w:pPr>
              <w:widowControl w:val="0"/>
              <w:tabs>
                <w:tab w:val="clear" w:pos="567"/>
                <w:tab w:val="clear" w:pos="1134"/>
                <w:tab w:val="clear" w:pos="1701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="Verdana"/>
                <w:sz w:val="20"/>
                <w:lang w:val="en-US"/>
              </w:rPr>
            </w:pPr>
            <w:r w:rsidRPr="00030EE3">
              <w:rPr>
                <w:rFonts w:asciiTheme="minorHAnsi" w:hAnsiTheme="minorHAnsi" w:cs="Helvetica"/>
                <w:b/>
                <w:sz w:val="20"/>
                <w:lang w:val="en-US"/>
              </w:rPr>
              <w:t>Study on FCC and ITU ruling on ATC (MSS) and BAS/Hybrid System (BSS) Concepts:  Regulatory Point of View and Applicability to S2M System</w:t>
            </w:r>
            <w:r w:rsidRPr="00030EE3">
              <w:rPr>
                <w:rFonts w:asciiTheme="minorHAnsi" w:hAnsiTheme="minorHAnsi" w:cs="Helvetica"/>
                <w:sz w:val="20"/>
                <w:lang w:val="en-US"/>
              </w:rPr>
              <w:t>, August, 2008.</w:t>
            </w:r>
          </w:p>
        </w:tc>
      </w:tr>
      <w:tr w:rsidR="002E2004" w:rsidRPr="00F17204" w:rsidTr="000F0C34">
        <w:tc>
          <w:tcPr>
            <w:tcW w:w="1780" w:type="dxa"/>
            <w:tcBorders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spacing w:before="120"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E2004" w:rsidRPr="00030EE3" w:rsidRDefault="002E2004" w:rsidP="00AF3920">
            <w:pPr>
              <w:pStyle w:val="Aaoeeu"/>
              <w:widowControl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576" w:type="dxa"/>
          </w:tcPr>
          <w:p w:rsidR="002E2004" w:rsidRPr="00030EE3" w:rsidRDefault="002E2004" w:rsidP="00AF3920">
            <w:pPr>
              <w:widowControl w:val="0"/>
              <w:tabs>
                <w:tab w:val="clear" w:pos="567"/>
                <w:tab w:val="clear" w:pos="1134"/>
                <w:tab w:val="clear" w:pos="1701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="Verdana"/>
                <w:sz w:val="20"/>
                <w:lang w:val="en-US"/>
              </w:rPr>
            </w:pPr>
            <w:r w:rsidRPr="00030EE3">
              <w:rPr>
                <w:rFonts w:asciiTheme="minorHAnsi" w:hAnsiTheme="minorHAnsi" w:cs="Helvetica"/>
                <w:b/>
                <w:sz w:val="20"/>
                <w:lang w:val="en-US"/>
              </w:rPr>
              <w:t>Resource Reconfigurability and IT Role in New Product Development:  Cases for Technology Company in Jakarta - Batam - Singapore</w:t>
            </w:r>
            <w:r w:rsidRPr="00030EE3">
              <w:rPr>
                <w:rFonts w:asciiTheme="minorHAnsi" w:hAnsiTheme="minorHAnsi" w:cs="Helvetica"/>
                <w:sz w:val="20"/>
                <w:lang w:val="en-US"/>
              </w:rPr>
              <w:t>, Organization Theory, Ph.D. Management Research Series, University of Indonesia, 2005.</w:t>
            </w:r>
          </w:p>
        </w:tc>
      </w:tr>
      <w:tr w:rsidR="002E2004" w:rsidRPr="00F17204" w:rsidTr="000F0C34">
        <w:tc>
          <w:tcPr>
            <w:tcW w:w="1780" w:type="dxa"/>
            <w:tcBorders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spacing w:before="120"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E2004" w:rsidRPr="00030EE3" w:rsidRDefault="002E2004" w:rsidP="00AF3920">
            <w:pPr>
              <w:pStyle w:val="Aaoeeu"/>
              <w:widowControl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576" w:type="dxa"/>
          </w:tcPr>
          <w:p w:rsidR="002E2004" w:rsidRPr="00030EE3" w:rsidRDefault="002E2004" w:rsidP="00AF3920">
            <w:pPr>
              <w:widowControl w:val="0"/>
              <w:tabs>
                <w:tab w:val="clear" w:pos="567"/>
                <w:tab w:val="clear" w:pos="1134"/>
                <w:tab w:val="clear" w:pos="1701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="Helvetica"/>
                <w:b/>
                <w:sz w:val="20"/>
                <w:lang w:val="en-US"/>
              </w:rPr>
            </w:pPr>
            <w:r w:rsidRPr="00030EE3">
              <w:rPr>
                <w:rFonts w:asciiTheme="minorHAnsi" w:hAnsiTheme="minorHAnsi" w:cs="Helvetica"/>
                <w:b/>
                <w:sz w:val="20"/>
                <w:lang w:val="en-US"/>
              </w:rPr>
              <w:t>Performance Impact of Technological Assets and Reconfiguration Capabilities:  Replica Research for the Case of Manufacturing Firm in Jakarta – Batam - Singapore</w:t>
            </w:r>
            <w:r w:rsidRPr="00030EE3">
              <w:rPr>
                <w:rFonts w:asciiTheme="minorHAnsi" w:hAnsiTheme="minorHAnsi" w:cs="Helvetica"/>
                <w:sz w:val="20"/>
                <w:lang w:val="en-US"/>
              </w:rPr>
              <w:t>, Ph.D. Management Research Series, University of Indonesia, 2005.</w:t>
            </w:r>
          </w:p>
        </w:tc>
      </w:tr>
      <w:tr w:rsidR="002E2004" w:rsidRPr="00F17204" w:rsidTr="000F0C34">
        <w:tc>
          <w:tcPr>
            <w:tcW w:w="1780" w:type="dxa"/>
            <w:tcBorders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spacing w:before="120"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E2004" w:rsidRPr="00030EE3" w:rsidRDefault="002E2004" w:rsidP="00AF3920">
            <w:pPr>
              <w:pStyle w:val="Aaoeeu"/>
              <w:widowControl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576" w:type="dxa"/>
          </w:tcPr>
          <w:p w:rsidR="002E2004" w:rsidRPr="00030EE3" w:rsidRDefault="002E2004" w:rsidP="00AF3920">
            <w:pPr>
              <w:widowControl w:val="0"/>
              <w:tabs>
                <w:tab w:val="clear" w:pos="567"/>
                <w:tab w:val="clear" w:pos="1134"/>
                <w:tab w:val="clear" w:pos="1701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="Verdana"/>
                <w:sz w:val="20"/>
                <w:lang w:val="en-US"/>
              </w:rPr>
            </w:pPr>
            <w:r w:rsidRPr="00030EE3">
              <w:rPr>
                <w:rFonts w:asciiTheme="minorHAnsi" w:hAnsiTheme="minorHAnsi" w:cs="Verdana"/>
                <w:b/>
                <w:sz w:val="20"/>
                <w:lang w:val="en-US"/>
              </w:rPr>
              <w:t>Asia Cellular Satellite (ACeS) Technolog</w:t>
            </w:r>
            <w:r w:rsidRPr="00030EE3">
              <w:rPr>
                <w:rFonts w:asciiTheme="minorHAnsi" w:hAnsiTheme="minorHAnsi" w:cs="Verdana"/>
                <w:sz w:val="20"/>
                <w:lang w:val="en-US"/>
              </w:rPr>
              <w:t>y, APSCC, April, 2006.</w:t>
            </w:r>
          </w:p>
        </w:tc>
      </w:tr>
      <w:tr w:rsidR="002E2004" w:rsidRPr="00030EE3" w:rsidTr="000F0C34">
        <w:tc>
          <w:tcPr>
            <w:tcW w:w="1780" w:type="dxa"/>
            <w:tcBorders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spacing w:before="120"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E2004" w:rsidRPr="00030EE3" w:rsidRDefault="002E2004" w:rsidP="00AF3920">
            <w:pPr>
              <w:pStyle w:val="Aaoeeu"/>
              <w:widowControl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576" w:type="dxa"/>
          </w:tcPr>
          <w:p w:rsidR="002E2004" w:rsidRPr="00030EE3" w:rsidRDefault="002E2004" w:rsidP="00AF3920">
            <w:pPr>
              <w:widowControl w:val="0"/>
              <w:tabs>
                <w:tab w:val="clear" w:pos="567"/>
                <w:tab w:val="clear" w:pos="1134"/>
                <w:tab w:val="clear" w:pos="1701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="Verdana"/>
                <w:b/>
                <w:sz w:val="20"/>
              </w:rPr>
            </w:pPr>
            <w:r w:rsidRPr="00030EE3">
              <w:rPr>
                <w:rFonts w:asciiTheme="minorHAnsi" w:hAnsiTheme="minorHAnsi" w:cs="Verdana"/>
                <w:b/>
                <w:sz w:val="20"/>
              </w:rPr>
              <w:t>Asia Cellular Satellite (ACeS) GMPCS Applications,</w:t>
            </w:r>
            <w:r w:rsidRPr="00030EE3">
              <w:rPr>
                <w:rFonts w:asciiTheme="minorHAnsi" w:hAnsiTheme="minorHAnsi" w:cs="Verdana"/>
                <w:sz w:val="20"/>
              </w:rPr>
              <w:t xml:space="preserve"> Presentation in Lockheed Martin Commercial Space System (LMCSS) Satellite User Conference 2005.</w:t>
            </w:r>
          </w:p>
        </w:tc>
      </w:tr>
    </w:tbl>
    <w:p w:rsidR="002E2004" w:rsidRPr="00030EE3" w:rsidRDefault="002E2004" w:rsidP="002E2004">
      <w:pPr>
        <w:rPr>
          <w:rFonts w:asciiTheme="minorHAnsi" w:hAnsiTheme="minorHAnsi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1638"/>
        <w:gridCol w:w="284"/>
        <w:gridCol w:w="7576"/>
      </w:tblGrid>
      <w:tr w:rsidR="002E2004" w:rsidRPr="00030EE3" w:rsidTr="00AF3920">
        <w:trPr>
          <w:gridAfter w:val="2"/>
          <w:wAfter w:w="7860" w:type="dxa"/>
        </w:trPr>
        <w:tc>
          <w:tcPr>
            <w:tcW w:w="1638" w:type="dxa"/>
          </w:tcPr>
          <w:p w:rsidR="002E2004" w:rsidRPr="00030EE3" w:rsidRDefault="002E2004" w:rsidP="00AF3920">
            <w:pPr>
              <w:pStyle w:val="Aeeaoaeaa1"/>
              <w:widowControl/>
              <w:rPr>
                <w:rFonts w:asciiTheme="minorHAnsi" w:hAnsiTheme="minorHAnsi"/>
                <w:smallCaps/>
                <w:u w:val="single"/>
              </w:rPr>
            </w:pPr>
            <w:r w:rsidRPr="00030EE3">
              <w:rPr>
                <w:rFonts w:asciiTheme="minorHAnsi" w:hAnsiTheme="minorHAnsi"/>
                <w:smallCaps/>
                <w:u w:val="single"/>
              </w:rPr>
              <w:t>Brevets</w:t>
            </w:r>
          </w:p>
        </w:tc>
      </w:tr>
      <w:tr w:rsidR="002E2004" w:rsidRPr="000128BD" w:rsidTr="00AF3920">
        <w:tc>
          <w:tcPr>
            <w:tcW w:w="1638" w:type="dxa"/>
            <w:tcBorders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spacing w:before="120"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E2004" w:rsidRPr="00030EE3" w:rsidRDefault="002E2004" w:rsidP="00AF3920">
            <w:pPr>
              <w:pStyle w:val="Aaoeeu"/>
              <w:widowControl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576" w:type="dxa"/>
          </w:tcPr>
          <w:p w:rsidR="002E2004" w:rsidRPr="000128BD" w:rsidRDefault="000128BD" w:rsidP="000128BD">
            <w:pPr>
              <w:pStyle w:val="OiaeaeiYiio2"/>
              <w:widowControl/>
              <w:spacing w:before="120"/>
              <w:jc w:val="both"/>
              <w:rPr>
                <w:rFonts w:asciiTheme="minorHAnsi" w:hAnsiTheme="minorHAnsi"/>
                <w:b/>
                <w:i w:val="0"/>
                <w:sz w:val="20"/>
                <w:lang w:val="fr-CH"/>
              </w:rPr>
            </w:pPr>
            <w:r w:rsidRPr="000128BD">
              <w:rPr>
                <w:rFonts w:asciiTheme="minorHAnsi" w:hAnsiTheme="minorHAnsi" w:cs="Verdana"/>
                <w:b/>
                <w:sz w:val="20"/>
                <w:szCs w:val="20"/>
                <w:lang w:val="fr-CH"/>
              </w:rPr>
              <w:t>Processus de diversité spectrale d'une liaison par satellite en utilisant une seule antenne et un routeur</w:t>
            </w:r>
            <w:r w:rsidR="002E2004" w:rsidRPr="000128BD">
              <w:rPr>
                <w:rFonts w:asciiTheme="minorHAnsi" w:hAnsiTheme="minorHAnsi" w:cs="Verdana"/>
                <w:bCs/>
                <w:sz w:val="20"/>
                <w:szCs w:val="20"/>
                <w:lang w:val="fr-CH"/>
              </w:rPr>
              <w:t>,</w:t>
            </w:r>
            <w:r w:rsidR="002E2004" w:rsidRPr="000128BD">
              <w:rPr>
                <w:rFonts w:asciiTheme="minorHAnsi" w:hAnsiTheme="minorHAnsi" w:cs="Verdana"/>
                <w:b/>
                <w:sz w:val="20"/>
                <w:szCs w:val="20"/>
                <w:lang w:val="fr-CH"/>
              </w:rPr>
              <w:t xml:space="preserve"> </w:t>
            </w:r>
            <w:r w:rsidRPr="000128BD">
              <w:rPr>
                <w:rFonts w:asciiTheme="minorHAnsi" w:hAnsiTheme="minorHAnsi" w:cs="Verdana"/>
                <w:sz w:val="20"/>
                <w:szCs w:val="20"/>
                <w:lang w:val="fr-CH"/>
              </w:rPr>
              <w:t>octobre </w:t>
            </w:r>
            <w:r w:rsidR="002E2004" w:rsidRPr="000128BD">
              <w:rPr>
                <w:rFonts w:asciiTheme="minorHAnsi" w:hAnsiTheme="minorHAnsi" w:cs="Verdana"/>
                <w:sz w:val="20"/>
                <w:szCs w:val="20"/>
                <w:lang w:val="fr-CH"/>
              </w:rPr>
              <w:t>2011 (</w:t>
            </w:r>
            <w:r>
              <w:rPr>
                <w:rFonts w:asciiTheme="minorHAnsi" w:hAnsiTheme="minorHAnsi" w:cs="Verdana"/>
                <w:sz w:val="20"/>
                <w:szCs w:val="20"/>
                <w:lang w:val="fr-CH"/>
              </w:rPr>
              <w:t>Brevet américain et international</w:t>
            </w:r>
            <w:r w:rsidR="002E2004" w:rsidRPr="000128BD">
              <w:rPr>
                <w:rFonts w:asciiTheme="minorHAnsi" w:hAnsiTheme="minorHAnsi" w:cs="Verdana"/>
                <w:sz w:val="20"/>
                <w:szCs w:val="20"/>
                <w:lang w:val="fr-CH"/>
              </w:rPr>
              <w:t xml:space="preserve">, </w:t>
            </w:r>
            <w:r>
              <w:rPr>
                <w:rFonts w:asciiTheme="minorHAnsi" w:hAnsiTheme="minorHAnsi" w:cs="Verdana"/>
                <w:sz w:val="20"/>
                <w:szCs w:val="20"/>
                <w:lang w:val="fr-CH"/>
              </w:rPr>
              <w:t>dans le cadre d'</w:t>
            </w:r>
            <w:r w:rsidR="002E2004" w:rsidRPr="000128BD">
              <w:rPr>
                <w:rFonts w:asciiTheme="minorHAnsi" w:hAnsiTheme="minorHAnsi" w:cs="Verdana"/>
                <w:sz w:val="20"/>
                <w:szCs w:val="20"/>
                <w:lang w:val="fr-CH"/>
              </w:rPr>
              <w:t xml:space="preserve">ABS, </w:t>
            </w:r>
            <w:r>
              <w:rPr>
                <w:rFonts w:asciiTheme="minorHAnsi" w:hAnsiTheme="minorHAnsi" w:cs="Verdana"/>
                <w:sz w:val="20"/>
                <w:szCs w:val="20"/>
                <w:lang w:val="fr-CH"/>
              </w:rPr>
              <w:t>conjointement avec</w:t>
            </w:r>
            <w:r w:rsidR="002E2004" w:rsidRPr="000128BD">
              <w:rPr>
                <w:rFonts w:asciiTheme="minorHAnsi" w:hAnsiTheme="minorHAnsi" w:cs="Verdana"/>
                <w:sz w:val="20"/>
                <w:szCs w:val="20"/>
                <w:lang w:val="fr-CH"/>
              </w:rPr>
              <w:t xml:space="preserve"> </w:t>
            </w:r>
            <w:r w:rsidR="002E2004" w:rsidRPr="000128BD">
              <w:rPr>
                <w:rFonts w:asciiTheme="minorHAnsi" w:hAnsiTheme="minorHAnsi" w:cs="Verdana"/>
                <w:b/>
                <w:sz w:val="20"/>
                <w:szCs w:val="20"/>
                <w:lang w:val="fr-CH"/>
              </w:rPr>
              <w:t>Thomas Kyo Choi</w:t>
            </w:r>
            <w:r w:rsidR="002E2004" w:rsidRPr="000128BD">
              <w:rPr>
                <w:rFonts w:asciiTheme="minorHAnsi" w:hAnsiTheme="minorHAnsi" w:cs="Verdana"/>
                <w:sz w:val="20"/>
                <w:szCs w:val="20"/>
                <w:lang w:val="fr-CH"/>
              </w:rPr>
              <w:t>).</w:t>
            </w:r>
          </w:p>
        </w:tc>
      </w:tr>
      <w:tr w:rsidR="002E2004" w:rsidRPr="000128BD" w:rsidTr="00AF3920">
        <w:tc>
          <w:tcPr>
            <w:tcW w:w="1638" w:type="dxa"/>
            <w:tcBorders>
              <w:right w:val="single" w:sz="4" w:space="0" w:color="auto"/>
            </w:tcBorders>
          </w:tcPr>
          <w:p w:rsidR="002E2004" w:rsidRPr="00030EE3" w:rsidRDefault="002E2004" w:rsidP="00AF3920">
            <w:pPr>
              <w:pStyle w:val="OiaeaeiYiio2"/>
              <w:widowControl/>
              <w:spacing w:before="120"/>
              <w:rPr>
                <w:rFonts w:asciiTheme="minorHAnsi" w:hAnsiTheme="minorHAnsi"/>
                <w:i w:val="0"/>
                <w:sz w:val="20"/>
              </w:rPr>
            </w:pPr>
            <w:r w:rsidRPr="00030EE3">
              <w:rPr>
                <w:rFonts w:asciiTheme="minorHAnsi" w:hAnsiTheme="minorHAnsi"/>
                <w:i w:val="0"/>
                <w:sz w:val="20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E2004" w:rsidRPr="00030EE3" w:rsidRDefault="002E2004" w:rsidP="00AF3920">
            <w:pPr>
              <w:pStyle w:val="Aaoeeu"/>
              <w:widowControl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576" w:type="dxa"/>
          </w:tcPr>
          <w:p w:rsidR="002E2004" w:rsidRPr="000128BD" w:rsidRDefault="000128BD" w:rsidP="000128BD">
            <w:pPr>
              <w:pStyle w:val="OiaeaeiYiio2"/>
              <w:widowControl/>
              <w:spacing w:before="120"/>
              <w:jc w:val="both"/>
              <w:rPr>
                <w:rFonts w:asciiTheme="minorHAnsi" w:hAnsiTheme="minorHAnsi" w:cs="Verdana"/>
                <w:b/>
                <w:sz w:val="20"/>
                <w:szCs w:val="20"/>
                <w:lang w:val="fr-CH"/>
              </w:rPr>
            </w:pPr>
            <w:r w:rsidRPr="000128BD">
              <w:rPr>
                <w:rFonts w:asciiTheme="minorHAnsi" w:hAnsiTheme="minorHAnsi" w:cs="Verdana"/>
                <w:b/>
                <w:sz w:val="20"/>
                <w:szCs w:val="20"/>
                <w:lang w:val="fr-CH"/>
              </w:rPr>
              <w:t>Diverses modifications à la norme de télévision mobile</w:t>
            </w:r>
            <w:r>
              <w:rPr>
                <w:rFonts w:asciiTheme="minorHAnsi" w:hAnsiTheme="minorHAnsi" w:cs="Verdana"/>
                <w:b/>
                <w:sz w:val="20"/>
                <w:szCs w:val="20"/>
                <w:lang w:val="fr-CH"/>
              </w:rPr>
              <w:t xml:space="preserve"> CMMB</w:t>
            </w:r>
            <w:r w:rsidR="002E2004" w:rsidRPr="000128BD">
              <w:rPr>
                <w:rFonts w:asciiTheme="minorHAnsi" w:hAnsiTheme="minorHAnsi" w:cs="Verdana"/>
                <w:bCs/>
                <w:sz w:val="20"/>
                <w:szCs w:val="20"/>
                <w:lang w:val="fr-CH"/>
              </w:rPr>
              <w:t>,</w:t>
            </w:r>
            <w:r w:rsidR="002E2004" w:rsidRPr="000128BD">
              <w:rPr>
                <w:rFonts w:asciiTheme="minorHAnsi" w:hAnsiTheme="minorHAnsi" w:cs="Verdana"/>
                <w:b/>
                <w:sz w:val="20"/>
                <w:szCs w:val="20"/>
                <w:lang w:val="fr-CH"/>
              </w:rPr>
              <w:t xml:space="preserve"> </w:t>
            </w:r>
            <w:r>
              <w:rPr>
                <w:rFonts w:asciiTheme="minorHAnsi" w:hAnsiTheme="minorHAnsi" w:cs="Verdana"/>
                <w:sz w:val="20"/>
                <w:szCs w:val="20"/>
                <w:lang w:val="fr-CH"/>
              </w:rPr>
              <w:t>octobre</w:t>
            </w:r>
            <w:r>
              <w:rPr>
                <w:rFonts w:asciiTheme="minorHAnsi" w:hAnsiTheme="minorHAnsi" w:cs="Verdana"/>
                <w:sz w:val="20"/>
                <w:szCs w:val="20"/>
                <w:lang w:val="fr-CH"/>
              </w:rPr>
              <w:noBreakHyphen/>
            </w:r>
            <w:r w:rsidRPr="000128BD">
              <w:rPr>
                <w:rFonts w:asciiTheme="minorHAnsi" w:hAnsiTheme="minorHAnsi" w:cs="Verdana"/>
                <w:sz w:val="20"/>
                <w:szCs w:val="20"/>
                <w:lang w:val="fr-CH"/>
              </w:rPr>
              <w:t>décembre</w:t>
            </w:r>
            <w:r w:rsidR="00F553B4" w:rsidRPr="000128BD">
              <w:rPr>
                <w:rFonts w:asciiTheme="minorHAnsi" w:hAnsiTheme="minorHAnsi" w:cs="Verdana"/>
                <w:sz w:val="20"/>
                <w:szCs w:val="20"/>
                <w:lang w:val="fr-CH"/>
              </w:rPr>
              <w:t xml:space="preserve"> </w:t>
            </w:r>
            <w:r w:rsidR="002E2004" w:rsidRPr="000128BD">
              <w:rPr>
                <w:rFonts w:asciiTheme="minorHAnsi" w:hAnsiTheme="minorHAnsi" w:cs="Verdana"/>
                <w:sz w:val="20"/>
                <w:szCs w:val="20"/>
                <w:lang w:val="fr-CH"/>
              </w:rPr>
              <w:t>2009 (</w:t>
            </w:r>
            <w:r w:rsidRPr="000128BD">
              <w:rPr>
                <w:rFonts w:asciiTheme="minorHAnsi" w:hAnsiTheme="minorHAnsi" w:cs="Verdana"/>
                <w:sz w:val="20"/>
                <w:szCs w:val="20"/>
                <w:lang w:val="fr-CH"/>
              </w:rPr>
              <w:t>soumis par </w:t>
            </w:r>
            <w:r w:rsidR="002E2004" w:rsidRPr="000128BD">
              <w:rPr>
                <w:rFonts w:asciiTheme="minorHAnsi" w:hAnsiTheme="minorHAnsi" w:cs="Verdana"/>
                <w:sz w:val="20"/>
                <w:szCs w:val="20"/>
                <w:lang w:val="fr-CH"/>
              </w:rPr>
              <w:t>S2M).</w:t>
            </w:r>
          </w:p>
        </w:tc>
      </w:tr>
    </w:tbl>
    <w:p w:rsidR="00BD1614" w:rsidRPr="002E2004" w:rsidRDefault="000F0C34" w:rsidP="00F17204">
      <w:pPr>
        <w:spacing w:before="360"/>
        <w:jc w:val="center"/>
        <w:rPr>
          <w:lang w:val="en-US"/>
        </w:rPr>
      </w:pPr>
      <w:r>
        <w:t>______________</w:t>
      </w:r>
    </w:p>
    <w:sectPr w:rsidR="00BD1614" w:rsidRPr="002E2004" w:rsidSect="003A0B7D">
      <w:headerReference w:type="default" r:id="rId10"/>
      <w:footerReference w:type="first" r:id="rId1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519" w:rsidRDefault="00EC3519">
      <w:r>
        <w:separator/>
      </w:r>
    </w:p>
  </w:endnote>
  <w:endnote w:type="continuationSeparator" w:id="0">
    <w:p w:rsidR="00EC3519" w:rsidRDefault="00EC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519" w:rsidRDefault="00EC3519">
      <w:r>
        <w:t>____________________</w:t>
      </w:r>
    </w:p>
  </w:footnote>
  <w:footnote w:type="continuationSeparator" w:id="0">
    <w:p w:rsidR="00EC3519" w:rsidRDefault="00EC3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95" w:rsidRDefault="00407795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17204">
      <w:rPr>
        <w:noProof/>
      </w:rPr>
      <w:t>2</w:t>
    </w:r>
    <w:r>
      <w:fldChar w:fldCharType="end"/>
    </w:r>
  </w:p>
  <w:p w:rsidR="00BD1614" w:rsidRPr="00407795" w:rsidRDefault="00407795" w:rsidP="002E2004">
    <w:pPr>
      <w:pStyle w:val="Header"/>
    </w:pPr>
    <w:r>
      <w:t>PP14/</w:t>
    </w:r>
    <w:r w:rsidR="002E2004">
      <w:t>66</w:t>
    </w:r>
    <w:r>
      <w:t>-</w:t>
    </w:r>
    <w:r w:rsidRPr="00010B43"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19"/>
    <w:rsid w:val="000054D8"/>
    <w:rsid w:val="000128BD"/>
    <w:rsid w:val="00030EE3"/>
    <w:rsid w:val="00072D5C"/>
    <w:rsid w:val="00084308"/>
    <w:rsid w:val="000B14B6"/>
    <w:rsid w:val="000C467B"/>
    <w:rsid w:val="000D15FB"/>
    <w:rsid w:val="000F0C34"/>
    <w:rsid w:val="001051E4"/>
    <w:rsid w:val="00133915"/>
    <w:rsid w:val="001354EA"/>
    <w:rsid w:val="00136FCE"/>
    <w:rsid w:val="00153BA4"/>
    <w:rsid w:val="00190BCE"/>
    <w:rsid w:val="001941AD"/>
    <w:rsid w:val="001A0682"/>
    <w:rsid w:val="001E1B9B"/>
    <w:rsid w:val="001F6233"/>
    <w:rsid w:val="002C1059"/>
    <w:rsid w:val="002C2F9C"/>
    <w:rsid w:val="002E2004"/>
    <w:rsid w:val="003A0B7D"/>
    <w:rsid w:val="003A45C2"/>
    <w:rsid w:val="003C4BE2"/>
    <w:rsid w:val="003D147D"/>
    <w:rsid w:val="00407795"/>
    <w:rsid w:val="00430015"/>
    <w:rsid w:val="004678D0"/>
    <w:rsid w:val="00471BF7"/>
    <w:rsid w:val="00482954"/>
    <w:rsid w:val="00524001"/>
    <w:rsid w:val="00564B63"/>
    <w:rsid w:val="00575DC7"/>
    <w:rsid w:val="005836C2"/>
    <w:rsid w:val="005A4EFD"/>
    <w:rsid w:val="005A5ABE"/>
    <w:rsid w:val="005C2ECC"/>
    <w:rsid w:val="005E419E"/>
    <w:rsid w:val="00611CF1"/>
    <w:rsid w:val="006201D9"/>
    <w:rsid w:val="006277DB"/>
    <w:rsid w:val="00635B7B"/>
    <w:rsid w:val="006459D1"/>
    <w:rsid w:val="006548C0"/>
    <w:rsid w:val="00655B98"/>
    <w:rsid w:val="00686973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8134C"/>
    <w:rsid w:val="007940EF"/>
    <w:rsid w:val="007A5830"/>
    <w:rsid w:val="00801256"/>
    <w:rsid w:val="008703CB"/>
    <w:rsid w:val="008C33C2"/>
    <w:rsid w:val="008C6137"/>
    <w:rsid w:val="008E2DB4"/>
    <w:rsid w:val="00901DD5"/>
    <w:rsid w:val="0090735B"/>
    <w:rsid w:val="00912D5E"/>
    <w:rsid w:val="00934340"/>
    <w:rsid w:val="00966CD3"/>
    <w:rsid w:val="00987A20"/>
    <w:rsid w:val="009A0E15"/>
    <w:rsid w:val="009A7A55"/>
    <w:rsid w:val="009F0592"/>
    <w:rsid w:val="00A20E72"/>
    <w:rsid w:val="00A246DC"/>
    <w:rsid w:val="00A47BAF"/>
    <w:rsid w:val="00A5784F"/>
    <w:rsid w:val="00A8436E"/>
    <w:rsid w:val="00A95B66"/>
    <w:rsid w:val="00AE0667"/>
    <w:rsid w:val="00B41E0A"/>
    <w:rsid w:val="00B56DE0"/>
    <w:rsid w:val="00B71F12"/>
    <w:rsid w:val="00B96B1E"/>
    <w:rsid w:val="00B97FC8"/>
    <w:rsid w:val="00BB2A6F"/>
    <w:rsid w:val="00BD1614"/>
    <w:rsid w:val="00BF7D25"/>
    <w:rsid w:val="00C010C0"/>
    <w:rsid w:val="00C54CE6"/>
    <w:rsid w:val="00C575E2"/>
    <w:rsid w:val="00C7368B"/>
    <w:rsid w:val="00C92746"/>
    <w:rsid w:val="00CC4DC5"/>
    <w:rsid w:val="00CE1A7C"/>
    <w:rsid w:val="00D12C74"/>
    <w:rsid w:val="00D56483"/>
    <w:rsid w:val="00D56AD6"/>
    <w:rsid w:val="00D70019"/>
    <w:rsid w:val="00D74B58"/>
    <w:rsid w:val="00D82ABE"/>
    <w:rsid w:val="00DA685B"/>
    <w:rsid w:val="00DA742B"/>
    <w:rsid w:val="00DE6E40"/>
    <w:rsid w:val="00DF25C1"/>
    <w:rsid w:val="00DF48F7"/>
    <w:rsid w:val="00DF4964"/>
    <w:rsid w:val="00DF4D73"/>
    <w:rsid w:val="00DF79B0"/>
    <w:rsid w:val="00E1047D"/>
    <w:rsid w:val="00E443FA"/>
    <w:rsid w:val="00E54FCE"/>
    <w:rsid w:val="00E93D35"/>
    <w:rsid w:val="00EA45DB"/>
    <w:rsid w:val="00EC3519"/>
    <w:rsid w:val="00ED2CD9"/>
    <w:rsid w:val="00F17204"/>
    <w:rsid w:val="00F553B4"/>
    <w:rsid w:val="00F564C1"/>
    <w:rsid w:val="00F77FA2"/>
    <w:rsid w:val="00F8357A"/>
    <w:rsid w:val="00FA1B77"/>
    <w:rsid w:val="00FB4B65"/>
    <w:rsid w:val="00FB74B8"/>
    <w:rsid w:val="00FC49E0"/>
    <w:rsid w:val="00FD3E63"/>
    <w:rsid w:val="00FF0484"/>
    <w:rsid w:val="00FF439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AE0667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Aaoeeu">
    <w:name w:val="Aaoeeu"/>
    <w:rsid w:val="002E2004"/>
    <w:pPr>
      <w:widowControl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Aeeaoaeaa1">
    <w:name w:val="A?eeaoae?aa 1"/>
    <w:basedOn w:val="Aaoeeu"/>
    <w:next w:val="Aaoeeu"/>
    <w:rsid w:val="002E2004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E200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E2004"/>
    <w:pPr>
      <w:jc w:val="right"/>
    </w:pPr>
    <w:rPr>
      <w:i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AE0667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Aaoeeu">
    <w:name w:val="Aaoeeu"/>
    <w:rsid w:val="002E2004"/>
    <w:pPr>
      <w:widowControl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Aeeaoaeaa1">
    <w:name w:val="A?eeaoae?aa 1"/>
    <w:basedOn w:val="Aaoeeu"/>
    <w:next w:val="Aaoeeu"/>
    <w:rsid w:val="002E2004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E200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E2004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PF_PP14.dotx</Template>
  <TotalTime>1</TotalTime>
  <Pages>4</Pages>
  <Words>863</Words>
  <Characters>5550</Characters>
  <Application>Microsoft Office Word</Application>
  <DocSecurity>4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6401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Alidra, Patricia</dc:creator>
  <cp:keywords>PP-06</cp:keywords>
  <dc:description>PF_PP14.dotx  For: _x000d_Document date: _x000d_Saved by ITU51009317 at 10:31:32 on 19/03/2013</dc:description>
  <cp:lastModifiedBy>Brouard, Ricarda</cp:lastModifiedBy>
  <cp:revision>2</cp:revision>
  <cp:lastPrinted>2014-08-26T09:48:00Z</cp:lastPrinted>
  <dcterms:created xsi:type="dcterms:W3CDTF">2014-08-26T15:02:00Z</dcterms:created>
  <dcterms:modified xsi:type="dcterms:W3CDTF">2014-08-26T15:02:00Z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