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rsidTr="006A046E">
        <w:trPr>
          <w:cantSplit/>
        </w:trPr>
        <w:tc>
          <w:tcPr>
            <w:tcW w:w="6911" w:type="dxa"/>
          </w:tcPr>
          <w:p w:rsidR="00BD1614" w:rsidRPr="00960D89" w:rsidRDefault="00BD1614" w:rsidP="007A1164">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(PP-1</w:t>
            </w:r>
            <w:r>
              <w:rPr>
                <w:b/>
                <w:smallCaps/>
                <w:sz w:val="30"/>
                <w:szCs w:val="30"/>
                <w:lang w:val="fr-CH"/>
              </w:rPr>
              <w:t>4</w:t>
            </w:r>
            <w:r w:rsidRPr="000F6395">
              <w:rPr>
                <w:b/>
                <w:smallCaps/>
                <w:sz w:val="30"/>
                <w:szCs w:val="30"/>
                <w:lang w:val="fr-CH"/>
              </w:rPr>
              <w:t>)</w:t>
            </w:r>
            <w:r w:rsidRPr="000F6395">
              <w:rPr>
                <w:b/>
                <w:smallCaps/>
                <w:sz w:val="36"/>
                <w:lang w:val="fr-CH"/>
              </w:rPr>
              <w:br/>
            </w:r>
            <w:r>
              <w:rPr>
                <w:rFonts w:cs="Times New Roman Bold"/>
                <w:b/>
                <w:bCs/>
                <w:szCs w:val="24"/>
                <w:lang w:val="fr-CH"/>
              </w:rPr>
              <w:t>Busan</w:t>
            </w:r>
            <w:r w:rsidRPr="000F6395">
              <w:rPr>
                <w:rFonts w:cs="Times New Roman Bold"/>
                <w:b/>
                <w:bCs/>
                <w:szCs w:val="24"/>
                <w:lang w:val="fr-CH"/>
              </w:rPr>
              <w:t xml:space="preserve">, </w:t>
            </w:r>
            <w:r>
              <w:rPr>
                <w:rFonts w:cs="Times New Roman Bold"/>
                <w:b/>
                <w:bCs/>
                <w:szCs w:val="24"/>
                <w:lang w:val="fr-CH"/>
              </w:rPr>
              <w:t>20</w:t>
            </w:r>
            <w:r w:rsidRPr="000F6395">
              <w:rPr>
                <w:rFonts w:cs="Times New Roman Bold"/>
                <w:b/>
                <w:bCs/>
                <w:szCs w:val="24"/>
                <w:lang w:val="fr-CH"/>
              </w:rPr>
              <w:t xml:space="preserve"> octobre </w:t>
            </w:r>
            <w:r>
              <w:rPr>
                <w:rFonts w:cs="Times New Roman Bold"/>
                <w:b/>
                <w:bCs/>
                <w:szCs w:val="24"/>
                <w:lang w:val="fr-CH"/>
              </w:rPr>
              <w:t>- 7 novembre 2014</w:t>
            </w:r>
          </w:p>
        </w:tc>
        <w:tc>
          <w:tcPr>
            <w:tcW w:w="3120" w:type="dxa"/>
          </w:tcPr>
          <w:p w:rsidR="00BD1614" w:rsidRPr="008C10D9" w:rsidRDefault="00BD1614" w:rsidP="007A1164">
            <w:pPr>
              <w:spacing w:before="0"/>
              <w:rPr>
                <w:rFonts w:cstheme="minorHAnsi"/>
                <w:lang w:val="en-US"/>
              </w:rPr>
            </w:pPr>
            <w:bookmarkStart w:id="2" w:name="ditulogo"/>
            <w:bookmarkEnd w:id="2"/>
            <w:r w:rsidRPr="008C10D9">
              <w:rPr>
                <w:rFonts w:cstheme="minorHAnsi"/>
                <w:b/>
                <w:bCs/>
                <w:noProof/>
                <w:lang w:val="en-US" w:eastAsia="zh-CN"/>
              </w:rPr>
              <w:drawing>
                <wp:inline distT="0" distB="0" distL="0" distR="0" wp14:anchorId="151D6EB3" wp14:editId="252C8EDD">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2A6F8F" w:rsidTr="006A046E">
        <w:trPr>
          <w:cantSplit/>
        </w:trPr>
        <w:tc>
          <w:tcPr>
            <w:tcW w:w="6911" w:type="dxa"/>
            <w:tcBorders>
              <w:bottom w:val="single" w:sz="12" w:space="0" w:color="auto"/>
            </w:tcBorders>
          </w:tcPr>
          <w:p w:rsidR="00BD1614" w:rsidRPr="008C10D9" w:rsidRDefault="00BD1614" w:rsidP="007A1164">
            <w:pPr>
              <w:spacing w:before="0" w:after="48"/>
              <w:rPr>
                <w:rFonts w:cstheme="minorHAnsi"/>
                <w:b/>
                <w:smallCaps/>
                <w:szCs w:val="24"/>
                <w:lang w:val="en-US"/>
              </w:rPr>
            </w:pPr>
            <w:bookmarkStart w:id="3" w:name="dhead"/>
          </w:p>
        </w:tc>
        <w:tc>
          <w:tcPr>
            <w:tcW w:w="3120" w:type="dxa"/>
            <w:tcBorders>
              <w:bottom w:val="single" w:sz="12" w:space="0" w:color="auto"/>
            </w:tcBorders>
          </w:tcPr>
          <w:p w:rsidR="00BD1614" w:rsidRPr="008C10D9" w:rsidRDefault="00BD1614" w:rsidP="007A1164">
            <w:pPr>
              <w:spacing w:before="0"/>
              <w:rPr>
                <w:rFonts w:cstheme="minorHAnsi"/>
                <w:szCs w:val="24"/>
                <w:lang w:val="en-US"/>
              </w:rPr>
            </w:pPr>
          </w:p>
        </w:tc>
      </w:tr>
      <w:tr w:rsidR="00BD1614" w:rsidRPr="002A6F8F" w:rsidTr="006A046E">
        <w:trPr>
          <w:cantSplit/>
        </w:trPr>
        <w:tc>
          <w:tcPr>
            <w:tcW w:w="6911" w:type="dxa"/>
            <w:tcBorders>
              <w:top w:val="single" w:sz="12" w:space="0" w:color="auto"/>
            </w:tcBorders>
          </w:tcPr>
          <w:p w:rsidR="00BD1614" w:rsidRPr="008C10D9" w:rsidRDefault="00BD1614" w:rsidP="007A1164">
            <w:pPr>
              <w:spacing w:before="0" w:after="48"/>
              <w:rPr>
                <w:rFonts w:cstheme="minorHAnsi"/>
                <w:b/>
                <w:smallCaps/>
                <w:szCs w:val="24"/>
                <w:lang w:val="en-US"/>
              </w:rPr>
            </w:pPr>
          </w:p>
        </w:tc>
        <w:tc>
          <w:tcPr>
            <w:tcW w:w="3120" w:type="dxa"/>
            <w:tcBorders>
              <w:top w:val="single" w:sz="12" w:space="0" w:color="auto"/>
            </w:tcBorders>
          </w:tcPr>
          <w:p w:rsidR="00BD1614" w:rsidRPr="008C10D9" w:rsidRDefault="00BD1614" w:rsidP="007A1164">
            <w:pPr>
              <w:spacing w:before="0"/>
              <w:rPr>
                <w:rFonts w:cstheme="minorHAnsi"/>
                <w:szCs w:val="24"/>
                <w:lang w:val="en-US"/>
              </w:rPr>
            </w:pPr>
          </w:p>
        </w:tc>
      </w:tr>
      <w:tr w:rsidR="00DE12C7" w:rsidRPr="002A6F8F" w:rsidTr="006A046E">
        <w:trPr>
          <w:cantSplit/>
        </w:trPr>
        <w:tc>
          <w:tcPr>
            <w:tcW w:w="6911" w:type="dxa"/>
          </w:tcPr>
          <w:p w:rsidR="00DE12C7" w:rsidRPr="008C10D9" w:rsidRDefault="00DE12C7" w:rsidP="007A1164">
            <w:pPr>
              <w:pStyle w:val="Committee"/>
              <w:framePr w:hSpace="0" w:wrap="auto" w:hAnchor="text" w:yAlign="inline"/>
              <w:spacing w:line="240" w:lineRule="auto"/>
            </w:pPr>
            <w:r w:rsidRPr="008C10D9">
              <w:t>SÉANCE PLÉNIÈRE</w:t>
            </w:r>
          </w:p>
        </w:tc>
        <w:tc>
          <w:tcPr>
            <w:tcW w:w="3120" w:type="dxa"/>
          </w:tcPr>
          <w:p w:rsidR="00DE12C7" w:rsidRPr="00FA64D9" w:rsidRDefault="00DE12C7" w:rsidP="007A1164">
            <w:pPr>
              <w:tabs>
                <w:tab w:val="left" w:pos="851"/>
              </w:tabs>
              <w:spacing w:before="0"/>
              <w:rPr>
                <w:b/>
              </w:rPr>
            </w:pPr>
            <w:r w:rsidRPr="00FA64D9">
              <w:rPr>
                <w:b/>
              </w:rPr>
              <w:t>Document 62</w:t>
            </w:r>
            <w:r>
              <w:rPr>
                <w:b/>
              </w:rPr>
              <w:t>-F</w:t>
            </w:r>
          </w:p>
        </w:tc>
      </w:tr>
      <w:tr w:rsidR="00DE12C7" w:rsidRPr="002A6F8F" w:rsidTr="006A046E">
        <w:trPr>
          <w:cantSplit/>
        </w:trPr>
        <w:tc>
          <w:tcPr>
            <w:tcW w:w="6911" w:type="dxa"/>
          </w:tcPr>
          <w:p w:rsidR="00DE12C7" w:rsidRPr="008C10D9" w:rsidRDefault="00DE12C7" w:rsidP="007A1164">
            <w:pPr>
              <w:spacing w:before="0" w:after="48"/>
              <w:rPr>
                <w:rFonts w:cstheme="minorHAnsi"/>
                <w:b/>
                <w:smallCaps/>
                <w:szCs w:val="24"/>
                <w:lang w:val="en-US"/>
              </w:rPr>
            </w:pPr>
          </w:p>
        </w:tc>
        <w:tc>
          <w:tcPr>
            <w:tcW w:w="3120" w:type="dxa"/>
          </w:tcPr>
          <w:p w:rsidR="00DE12C7" w:rsidRPr="00FA64D9" w:rsidRDefault="00DE12C7" w:rsidP="007A1164">
            <w:pPr>
              <w:tabs>
                <w:tab w:val="left" w:pos="993"/>
              </w:tabs>
              <w:spacing w:before="0"/>
              <w:rPr>
                <w:b/>
              </w:rPr>
            </w:pPr>
            <w:r w:rsidRPr="00FA64D9">
              <w:rPr>
                <w:b/>
              </w:rPr>
              <w:t xml:space="preserve">8 </w:t>
            </w:r>
            <w:r>
              <w:rPr>
                <w:b/>
              </w:rPr>
              <w:t>août</w:t>
            </w:r>
            <w:r w:rsidRPr="00FA64D9">
              <w:rPr>
                <w:b/>
              </w:rPr>
              <w:t xml:space="preserve"> 2014</w:t>
            </w:r>
          </w:p>
        </w:tc>
      </w:tr>
      <w:tr w:rsidR="00DE12C7" w:rsidRPr="002A6F8F" w:rsidTr="006A046E">
        <w:trPr>
          <w:cantSplit/>
        </w:trPr>
        <w:tc>
          <w:tcPr>
            <w:tcW w:w="6911" w:type="dxa"/>
          </w:tcPr>
          <w:p w:rsidR="00DE12C7" w:rsidRPr="008C10D9" w:rsidRDefault="00DE12C7" w:rsidP="007A1164">
            <w:pPr>
              <w:spacing w:before="0" w:after="48"/>
              <w:rPr>
                <w:rFonts w:cstheme="minorHAnsi"/>
                <w:b/>
                <w:smallCaps/>
                <w:szCs w:val="24"/>
                <w:lang w:val="en-US"/>
              </w:rPr>
            </w:pPr>
          </w:p>
        </w:tc>
        <w:tc>
          <w:tcPr>
            <w:tcW w:w="3120" w:type="dxa"/>
          </w:tcPr>
          <w:p w:rsidR="00DE12C7" w:rsidRPr="00FA64D9" w:rsidRDefault="00DE12C7" w:rsidP="007A1164">
            <w:pPr>
              <w:tabs>
                <w:tab w:val="left" w:pos="993"/>
              </w:tabs>
              <w:spacing w:before="0"/>
              <w:rPr>
                <w:b/>
              </w:rPr>
            </w:pPr>
            <w:r w:rsidRPr="00FA64D9">
              <w:rPr>
                <w:b/>
              </w:rPr>
              <w:t xml:space="preserve">Original: </w:t>
            </w:r>
            <w:r>
              <w:rPr>
                <w:b/>
              </w:rPr>
              <w:t>anglais</w:t>
            </w:r>
          </w:p>
        </w:tc>
      </w:tr>
      <w:tr w:rsidR="00BD1614" w:rsidRPr="002A6F8F" w:rsidTr="006A046E">
        <w:trPr>
          <w:cantSplit/>
        </w:trPr>
        <w:tc>
          <w:tcPr>
            <w:tcW w:w="10031" w:type="dxa"/>
            <w:gridSpan w:val="2"/>
          </w:tcPr>
          <w:p w:rsidR="00BD1614" w:rsidRPr="008C10D9" w:rsidRDefault="00BD1614" w:rsidP="007A1164">
            <w:pPr>
              <w:spacing w:before="0"/>
              <w:rPr>
                <w:rFonts w:cstheme="minorHAnsi"/>
                <w:b/>
                <w:szCs w:val="24"/>
                <w:lang w:val="en-US"/>
              </w:rPr>
            </w:pPr>
          </w:p>
        </w:tc>
      </w:tr>
      <w:tr w:rsidR="00BD1614" w:rsidRPr="002A6F8F" w:rsidTr="006A046E">
        <w:trPr>
          <w:cantSplit/>
        </w:trPr>
        <w:tc>
          <w:tcPr>
            <w:tcW w:w="10031" w:type="dxa"/>
            <w:gridSpan w:val="2"/>
          </w:tcPr>
          <w:p w:rsidR="00BD1614" w:rsidRPr="002A6F8F" w:rsidRDefault="00DE12C7" w:rsidP="007A1164">
            <w:pPr>
              <w:pStyle w:val="Source"/>
              <w:rPr>
                <w:lang w:val="en-US"/>
              </w:rPr>
            </w:pPr>
            <w:bookmarkStart w:id="4" w:name="dsource" w:colFirst="0" w:colLast="0"/>
            <w:bookmarkEnd w:id="3"/>
            <w:r>
              <w:t>Rapport du Secrétaire général</w:t>
            </w:r>
          </w:p>
        </w:tc>
      </w:tr>
      <w:tr w:rsidR="00BD1614" w:rsidRPr="002A6F8F" w:rsidTr="006A046E">
        <w:trPr>
          <w:cantSplit/>
        </w:trPr>
        <w:tc>
          <w:tcPr>
            <w:tcW w:w="10031" w:type="dxa"/>
            <w:gridSpan w:val="2"/>
          </w:tcPr>
          <w:p w:rsidR="00BD1614" w:rsidRPr="004C0333" w:rsidRDefault="00DE12C7" w:rsidP="007A1164">
            <w:pPr>
              <w:pStyle w:val="Title1"/>
              <w:rPr>
                <w:lang w:val="fr-CH"/>
              </w:rPr>
            </w:pPr>
            <w:bookmarkStart w:id="5" w:name="dtitle1" w:colFirst="0" w:colLast="0"/>
            <w:bookmarkEnd w:id="4"/>
            <w:r w:rsidRPr="00BA4B4A">
              <w:rPr>
                <w:lang w:val="fr-CH"/>
              </w:rPr>
              <w:t xml:space="preserve">RÔLE DE L'UIT EN TANT QU'AUTORITÉ DE SURVEILLANCE DU SYSTÈME </w:t>
            </w:r>
            <w:r w:rsidRPr="00BA4B4A">
              <w:rPr>
                <w:lang w:val="fr-CH"/>
              </w:rPr>
              <w:br/>
              <w:t xml:space="preserve">INTERNATIONAL D'INSCRIPTION POUR LES BIENS SPATIAUX </w:t>
            </w:r>
            <w:r w:rsidRPr="00BA4B4A">
              <w:rPr>
                <w:lang w:val="fr-CH"/>
              </w:rPr>
              <w:br/>
              <w:t xml:space="preserve">CONFORMÉMENT AU PROTOCOLE PORTANT </w:t>
            </w:r>
            <w:r w:rsidRPr="00BA4B4A">
              <w:rPr>
                <w:lang w:val="fr-CH"/>
              </w:rPr>
              <w:br/>
              <w:t>SUR LES BIENS SPATIAUX</w:t>
            </w:r>
          </w:p>
        </w:tc>
      </w:tr>
      <w:tr w:rsidR="00BD1614" w:rsidRPr="002A6F8F" w:rsidTr="006A046E">
        <w:trPr>
          <w:cantSplit/>
        </w:trPr>
        <w:tc>
          <w:tcPr>
            <w:tcW w:w="10031" w:type="dxa"/>
            <w:gridSpan w:val="2"/>
          </w:tcPr>
          <w:p w:rsidR="00BD1614" w:rsidRPr="004C0333" w:rsidRDefault="00BD1614" w:rsidP="007A1164">
            <w:pPr>
              <w:pStyle w:val="Title2"/>
              <w:rPr>
                <w:lang w:val="fr-CH"/>
              </w:rPr>
            </w:pPr>
            <w:bookmarkStart w:id="6" w:name="dtitle2" w:colFirst="0" w:colLast="0"/>
            <w:bookmarkEnd w:id="5"/>
          </w:p>
        </w:tc>
      </w:tr>
      <w:tr w:rsidR="00BD1614" w:rsidTr="006A046E">
        <w:trPr>
          <w:cantSplit/>
        </w:trPr>
        <w:tc>
          <w:tcPr>
            <w:tcW w:w="10031" w:type="dxa"/>
            <w:gridSpan w:val="2"/>
          </w:tcPr>
          <w:p w:rsidR="00BD1614" w:rsidRDefault="00BD1614" w:rsidP="007A1164">
            <w:pPr>
              <w:pStyle w:val="Agendaitem"/>
            </w:pPr>
            <w:bookmarkStart w:id="7" w:name="dtitle3" w:colFirst="0" w:colLast="0"/>
            <w:bookmarkEnd w:id="6"/>
          </w:p>
        </w:tc>
      </w:tr>
    </w:tbl>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C67534" w:rsidRPr="00E5190F" w:rsidTr="00A82C91">
        <w:trPr>
          <w:trHeight w:val="3372"/>
        </w:trPr>
        <w:tc>
          <w:tcPr>
            <w:tcW w:w="8080" w:type="dxa"/>
            <w:tcBorders>
              <w:top w:val="single" w:sz="12" w:space="0" w:color="auto"/>
              <w:left w:val="single" w:sz="12" w:space="0" w:color="auto"/>
              <w:bottom w:val="single" w:sz="12" w:space="0" w:color="auto"/>
              <w:right w:val="single" w:sz="12" w:space="0" w:color="auto"/>
            </w:tcBorders>
          </w:tcPr>
          <w:bookmarkEnd w:id="7"/>
          <w:p w:rsidR="00C67534" w:rsidRPr="00E5190F" w:rsidRDefault="00C67534" w:rsidP="00A82C91">
            <w:pPr>
              <w:pStyle w:val="Headingb"/>
            </w:pPr>
            <w:r w:rsidRPr="00AF5F83">
              <w:rPr>
                <w:rFonts w:asciiTheme="minorHAnsi" w:hAnsiTheme="minorHAnsi"/>
                <w:szCs w:val="24"/>
                <w:lang w:val="fr-CH"/>
              </w:rPr>
              <w:t>Résumé</w:t>
            </w:r>
          </w:p>
          <w:p w:rsidR="00C67534" w:rsidRPr="008D304C" w:rsidRDefault="00C67534" w:rsidP="00C67534">
            <w:pPr>
              <w:spacing w:after="120"/>
              <w:rPr>
                <w:rFonts w:cstheme="minorHAnsi"/>
                <w:szCs w:val="24"/>
                <w:lang w:val="fr-CH"/>
              </w:rPr>
            </w:pPr>
            <w:r w:rsidRPr="002F5A11">
              <w:rPr>
                <w:rFonts w:asciiTheme="minorHAnsi" w:hAnsiTheme="minorHAnsi"/>
                <w:szCs w:val="24"/>
                <w:lang w:val="fr-CH"/>
              </w:rPr>
              <w:t>Ces dernières années,</w:t>
            </w:r>
            <w:r>
              <w:rPr>
                <w:rFonts w:asciiTheme="minorHAnsi" w:hAnsiTheme="minorHAnsi"/>
                <w:szCs w:val="24"/>
                <w:lang w:val="fr-CH"/>
              </w:rPr>
              <w:t xml:space="preserve"> l'Union internationale des télécommunications (UIT) s'est montrée très intéressée par la possibilité d'exercer les fonctions d'</w:t>
            </w:r>
            <w:r w:rsidRPr="002F5A11">
              <w:rPr>
                <w:rFonts w:asciiTheme="minorHAnsi" w:hAnsiTheme="minorHAnsi"/>
                <w:szCs w:val="24"/>
                <w:lang w:val="fr-CH"/>
              </w:rPr>
              <w:t>Autorité de</w:t>
            </w:r>
            <w:r>
              <w:rPr>
                <w:rFonts w:asciiTheme="minorHAnsi" w:hAnsiTheme="minorHAnsi"/>
                <w:szCs w:val="24"/>
                <w:lang w:val="fr-CH"/>
              </w:rPr>
              <w:t xml:space="preserve"> </w:t>
            </w:r>
            <w:r w:rsidRPr="00157FC9">
              <w:rPr>
                <w:rFonts w:asciiTheme="minorHAnsi" w:hAnsiTheme="minorHAnsi"/>
                <w:szCs w:val="24"/>
                <w:lang w:val="fr-CH"/>
              </w:rPr>
              <w:t>surveillance du futur système international d'inscription</w:t>
            </w:r>
            <w:r>
              <w:rPr>
                <w:rFonts w:asciiTheme="minorHAnsi" w:hAnsiTheme="minorHAnsi"/>
                <w:szCs w:val="24"/>
                <w:lang w:val="fr-CH"/>
              </w:rPr>
              <w:t xml:space="preserve"> </w:t>
            </w:r>
            <w:r w:rsidRPr="00157FC9">
              <w:rPr>
                <w:rFonts w:asciiTheme="minorHAnsi" w:hAnsiTheme="minorHAnsi"/>
                <w:szCs w:val="24"/>
                <w:lang w:val="fr-CH"/>
              </w:rPr>
              <w:t>pour les biens spatiaux. conformément au Protocole portant sur les biens spatiaux</w:t>
            </w:r>
            <w:r>
              <w:rPr>
                <w:rFonts w:asciiTheme="minorHAnsi" w:hAnsiTheme="minorHAnsi"/>
                <w:szCs w:val="24"/>
                <w:lang w:val="fr-CH"/>
              </w:rPr>
              <w:t>.</w:t>
            </w:r>
            <w:r w:rsidR="002A3E7D">
              <w:rPr>
                <w:rFonts w:asciiTheme="minorHAnsi" w:hAnsiTheme="minorHAnsi"/>
                <w:szCs w:val="24"/>
                <w:lang w:val="fr-CH"/>
              </w:rPr>
              <w:t xml:space="preserve"> </w:t>
            </w:r>
            <w:r w:rsidRPr="008D304C">
              <w:rPr>
                <w:bCs/>
                <w:szCs w:val="24"/>
                <w:lang w:val="fr-CH"/>
              </w:rPr>
              <w:t xml:space="preserve">Le présent rapport fait suite </w:t>
            </w:r>
            <w:r w:rsidRPr="00FF4FB2">
              <w:rPr>
                <w:bCs/>
                <w:szCs w:val="24"/>
                <w:lang w:val="fr-CH"/>
              </w:rPr>
              <w:t xml:space="preserve">aux discussions qui ont eu lieu </w:t>
            </w:r>
            <w:r w:rsidRPr="008D304C">
              <w:rPr>
                <w:bCs/>
                <w:szCs w:val="24"/>
                <w:lang w:val="fr-CH"/>
              </w:rPr>
              <w:t>aux</w:t>
            </w:r>
            <w:r>
              <w:rPr>
                <w:bCs/>
                <w:szCs w:val="24"/>
                <w:lang w:val="fr-CH"/>
              </w:rPr>
              <w:t xml:space="preserve"> </w:t>
            </w:r>
            <w:r w:rsidRPr="008D304C">
              <w:rPr>
                <w:bCs/>
                <w:szCs w:val="24"/>
                <w:lang w:val="fr-CH"/>
              </w:rPr>
              <w:t>sessions de 2011, 2012</w:t>
            </w:r>
            <w:r>
              <w:rPr>
                <w:bCs/>
                <w:szCs w:val="24"/>
                <w:lang w:val="fr-CH"/>
              </w:rPr>
              <w:t xml:space="preserve">, </w:t>
            </w:r>
            <w:r w:rsidRPr="008D304C">
              <w:rPr>
                <w:bCs/>
                <w:szCs w:val="24"/>
                <w:lang w:val="fr-CH"/>
              </w:rPr>
              <w:t xml:space="preserve">2013 </w:t>
            </w:r>
            <w:r w:rsidR="002A3E7D">
              <w:rPr>
                <w:bCs/>
                <w:szCs w:val="24"/>
                <w:lang w:val="fr-CH"/>
              </w:rPr>
              <w:t>et </w:t>
            </w:r>
            <w:r>
              <w:rPr>
                <w:bCs/>
                <w:szCs w:val="24"/>
                <w:lang w:val="fr-CH"/>
              </w:rPr>
              <w:t xml:space="preserve">2014 </w:t>
            </w:r>
            <w:r w:rsidRPr="008D304C">
              <w:rPr>
                <w:bCs/>
                <w:szCs w:val="24"/>
                <w:lang w:val="fr-CH"/>
              </w:rPr>
              <w:t xml:space="preserve">du Conseil </w:t>
            </w:r>
            <w:r>
              <w:rPr>
                <w:bCs/>
                <w:szCs w:val="24"/>
                <w:lang w:val="fr-CH"/>
              </w:rPr>
              <w:t xml:space="preserve">ainsi qu'aux première et seconde sessions de la Commission préparatoire </w:t>
            </w:r>
            <w:r w:rsidRPr="00FF4FB2">
              <w:rPr>
                <w:bCs/>
                <w:szCs w:val="24"/>
                <w:lang w:val="fr-CH"/>
              </w:rPr>
              <w:t>concernant le rôle que pourrait jouer l'UIT en tant qu'</w:t>
            </w:r>
            <w:r>
              <w:rPr>
                <w:bCs/>
                <w:szCs w:val="24"/>
                <w:lang w:val="fr-CH"/>
              </w:rPr>
              <w:t>Autorité</w:t>
            </w:r>
            <w:r w:rsidRPr="00FF4FB2">
              <w:rPr>
                <w:bCs/>
                <w:szCs w:val="24"/>
                <w:lang w:val="fr-CH"/>
              </w:rPr>
              <w:t xml:space="preserve"> de surveillance du système international d'inscription pour les biens spatiaux</w:t>
            </w:r>
            <w:r>
              <w:rPr>
                <w:rFonts w:cstheme="minorHAnsi"/>
                <w:szCs w:val="24"/>
                <w:lang w:val="fr-CH"/>
              </w:rPr>
              <w:t xml:space="preserve">. On y trouve également </w:t>
            </w:r>
            <w:r w:rsidRPr="008D304C">
              <w:rPr>
                <w:rFonts w:cstheme="minorHAnsi"/>
                <w:szCs w:val="24"/>
                <w:lang w:val="fr-CH"/>
              </w:rPr>
              <w:t xml:space="preserve">quelques informations </w:t>
            </w:r>
            <w:r>
              <w:rPr>
                <w:rFonts w:cstheme="minorHAnsi"/>
                <w:szCs w:val="24"/>
                <w:lang w:val="fr-CH"/>
              </w:rPr>
              <w:t>générales ainsi que</w:t>
            </w:r>
            <w:r w:rsidRPr="008D304C">
              <w:rPr>
                <w:rFonts w:cstheme="minorHAnsi"/>
                <w:szCs w:val="24"/>
                <w:lang w:val="fr-CH"/>
              </w:rPr>
              <w:t xml:space="preserve"> des précisions et des renseignements </w:t>
            </w:r>
            <w:r>
              <w:rPr>
                <w:rFonts w:cstheme="minorHAnsi"/>
                <w:szCs w:val="24"/>
                <w:lang w:val="fr-CH"/>
              </w:rPr>
              <w:t>en la matière.</w:t>
            </w:r>
          </w:p>
          <w:p w:rsidR="00C67534" w:rsidRPr="00FA3435" w:rsidRDefault="00C67534" w:rsidP="00C67534">
            <w:pPr>
              <w:pStyle w:val="Headingb"/>
              <w:spacing w:before="120" w:after="120"/>
              <w:rPr>
                <w:rFonts w:asciiTheme="minorHAnsi" w:hAnsiTheme="minorHAnsi"/>
                <w:szCs w:val="24"/>
                <w:lang w:val="fr-CH"/>
              </w:rPr>
            </w:pPr>
            <w:r w:rsidRPr="00FA3435">
              <w:rPr>
                <w:rFonts w:asciiTheme="minorHAnsi" w:hAnsiTheme="minorHAnsi"/>
                <w:szCs w:val="24"/>
                <w:lang w:val="fr-CH"/>
              </w:rPr>
              <w:t xml:space="preserve">Suite à donner </w:t>
            </w:r>
          </w:p>
          <w:p w:rsidR="00C67534" w:rsidRPr="00E5190F" w:rsidRDefault="00C67534" w:rsidP="00C67534">
            <w:r w:rsidRPr="00FA3435">
              <w:rPr>
                <w:rFonts w:asciiTheme="minorHAnsi" w:hAnsiTheme="minorHAnsi"/>
                <w:szCs w:val="24"/>
                <w:lang w:val="fr-CH"/>
              </w:rPr>
              <w:t xml:space="preserve">Le présent rapport est transmis </w:t>
            </w:r>
            <w:r>
              <w:rPr>
                <w:rFonts w:asciiTheme="minorHAnsi" w:hAnsiTheme="minorHAnsi"/>
                <w:szCs w:val="24"/>
                <w:lang w:val="fr-CH"/>
              </w:rPr>
              <w:t>à la Conférence de plénipotentiaires pour qu'elle l'examine et lui donne la suite voulue.</w:t>
            </w:r>
          </w:p>
          <w:p w:rsidR="00C67534" w:rsidRPr="002A3E7D" w:rsidRDefault="00C67534" w:rsidP="00A82C91">
            <w:pPr>
              <w:pStyle w:val="Table"/>
              <w:keepNext w:val="0"/>
              <w:spacing w:before="0" w:after="0"/>
              <w:rPr>
                <w:caps w:val="0"/>
                <w:sz w:val="22"/>
                <w:lang w:val="fr-CH"/>
              </w:rPr>
            </w:pPr>
            <w:r w:rsidRPr="002A3E7D">
              <w:rPr>
                <w:caps w:val="0"/>
                <w:sz w:val="22"/>
                <w:lang w:val="fr-CH"/>
              </w:rPr>
              <w:t>____________</w:t>
            </w:r>
          </w:p>
          <w:p w:rsidR="00C67534" w:rsidRPr="00E5190F" w:rsidRDefault="00C67534" w:rsidP="00A82C91">
            <w:pPr>
              <w:pStyle w:val="Headingb"/>
            </w:pPr>
            <w:r w:rsidRPr="00AF5F83">
              <w:rPr>
                <w:rFonts w:asciiTheme="minorHAnsi" w:hAnsiTheme="minorHAnsi"/>
                <w:szCs w:val="24"/>
                <w:lang w:val="fr-CH"/>
              </w:rPr>
              <w:t>Références</w:t>
            </w:r>
          </w:p>
          <w:p w:rsidR="00C67534" w:rsidRPr="00E5190F" w:rsidRDefault="00C67534" w:rsidP="00C67534">
            <w:pPr>
              <w:spacing w:after="120"/>
              <w:rPr>
                <w:i/>
                <w:iCs/>
              </w:rPr>
            </w:pPr>
            <w:r w:rsidRPr="00AF5F83">
              <w:rPr>
                <w:rFonts w:asciiTheme="minorHAnsi" w:hAnsiTheme="minorHAnsi"/>
                <w:i/>
                <w:iCs/>
                <w:szCs w:val="24"/>
                <w:lang w:val="fr-CH"/>
              </w:rPr>
              <w:t xml:space="preserve">Documents </w:t>
            </w:r>
            <w:hyperlink r:id="rId10" w:history="1">
              <w:r w:rsidRPr="00E5190F">
                <w:rPr>
                  <w:rStyle w:val="Hyperlink"/>
                  <w:i/>
                  <w:iCs/>
                </w:rPr>
                <w:t>C11/26</w:t>
              </w:r>
            </w:hyperlink>
            <w:r w:rsidRPr="00E5190F">
              <w:rPr>
                <w:i/>
                <w:iCs/>
              </w:rPr>
              <w:t xml:space="preserve">, </w:t>
            </w:r>
            <w:hyperlink r:id="rId11" w:history="1">
              <w:r w:rsidRPr="00E5190F">
                <w:rPr>
                  <w:rStyle w:val="Hyperlink"/>
                  <w:i/>
                  <w:iCs/>
                </w:rPr>
                <w:t>C11/92</w:t>
              </w:r>
            </w:hyperlink>
            <w:r w:rsidRPr="00E5190F">
              <w:rPr>
                <w:i/>
                <w:iCs/>
              </w:rPr>
              <w:t xml:space="preserve">, </w:t>
            </w:r>
            <w:hyperlink r:id="rId12" w:history="1">
              <w:r w:rsidR="002A3E7D">
                <w:rPr>
                  <w:rStyle w:val="Hyperlink"/>
                  <w:i/>
                  <w:iCs/>
                </w:rPr>
                <w:t>C11/100</w:t>
              </w:r>
              <w:r w:rsidRPr="00E5190F">
                <w:rPr>
                  <w:rStyle w:val="Hyperlink"/>
                  <w:i/>
                  <w:iCs/>
                </w:rPr>
                <w:t>(R</w:t>
              </w:r>
              <w:r>
                <w:rPr>
                  <w:rStyle w:val="Hyperlink"/>
                  <w:i/>
                  <w:iCs/>
                </w:rPr>
                <w:t>é</w:t>
              </w:r>
              <w:r w:rsidRPr="00E5190F">
                <w:rPr>
                  <w:rStyle w:val="Hyperlink"/>
                  <w:i/>
                  <w:iCs/>
                </w:rPr>
                <w:t>v.1)</w:t>
              </w:r>
            </w:hyperlink>
            <w:r w:rsidRPr="00E5190F">
              <w:rPr>
                <w:i/>
                <w:iCs/>
              </w:rPr>
              <w:t xml:space="preserve">, </w:t>
            </w:r>
            <w:hyperlink r:id="rId13" w:history="1">
              <w:r w:rsidRPr="00E5190F">
                <w:rPr>
                  <w:rStyle w:val="Hyperlink"/>
                  <w:i/>
                  <w:iCs/>
                </w:rPr>
                <w:t>C11/120</w:t>
              </w:r>
            </w:hyperlink>
            <w:r w:rsidRPr="00E5190F">
              <w:rPr>
                <w:i/>
                <w:iCs/>
              </w:rPr>
              <w:t xml:space="preserve">, </w:t>
            </w:r>
            <w:hyperlink r:id="rId14" w:history="1">
              <w:r w:rsidRPr="00E5190F">
                <w:rPr>
                  <w:rStyle w:val="Hyperlink"/>
                  <w:i/>
                  <w:iCs/>
                </w:rPr>
                <w:t>C12/36</w:t>
              </w:r>
            </w:hyperlink>
            <w:r w:rsidRPr="00E5190F">
              <w:rPr>
                <w:i/>
                <w:iCs/>
              </w:rPr>
              <w:t xml:space="preserve">, </w:t>
            </w:r>
            <w:hyperlink r:id="rId15" w:history="1">
              <w:r w:rsidRPr="00E5190F">
                <w:rPr>
                  <w:rStyle w:val="Hyperlink"/>
                  <w:i/>
                  <w:iCs/>
                </w:rPr>
                <w:t>C12/68</w:t>
              </w:r>
            </w:hyperlink>
            <w:r w:rsidRPr="00E5190F">
              <w:rPr>
                <w:i/>
                <w:iCs/>
              </w:rPr>
              <w:t xml:space="preserve">, </w:t>
            </w:r>
            <w:hyperlink r:id="rId16" w:history="1">
              <w:r w:rsidRPr="00E5190F">
                <w:rPr>
                  <w:rStyle w:val="Hyperlink"/>
                  <w:i/>
                  <w:iCs/>
                </w:rPr>
                <w:t>C12/77</w:t>
              </w:r>
            </w:hyperlink>
            <w:r w:rsidRPr="00E5190F">
              <w:rPr>
                <w:i/>
                <w:iCs/>
              </w:rPr>
              <w:t xml:space="preserve">, </w:t>
            </w:r>
            <w:hyperlink r:id="rId17" w:history="1">
              <w:r w:rsidRPr="00E5190F">
                <w:rPr>
                  <w:rStyle w:val="Hyperlink"/>
                  <w:i/>
                  <w:iCs/>
                </w:rPr>
                <w:t>C12/94</w:t>
              </w:r>
            </w:hyperlink>
            <w:r w:rsidRPr="00E5190F">
              <w:rPr>
                <w:i/>
                <w:iCs/>
              </w:rPr>
              <w:t xml:space="preserve">, </w:t>
            </w:r>
            <w:hyperlink r:id="rId18" w:history="1">
              <w:r w:rsidRPr="00E5190F">
                <w:rPr>
                  <w:rStyle w:val="Hyperlink"/>
                  <w:i/>
                  <w:iCs/>
                </w:rPr>
                <w:t>C13/15</w:t>
              </w:r>
            </w:hyperlink>
            <w:r w:rsidRPr="00E5190F">
              <w:rPr>
                <w:i/>
                <w:iCs/>
              </w:rPr>
              <w:t xml:space="preserve">, </w:t>
            </w:r>
            <w:hyperlink r:id="rId19" w:history="1">
              <w:r w:rsidRPr="00E5190F">
                <w:rPr>
                  <w:rStyle w:val="Hyperlink"/>
                  <w:i/>
                  <w:iCs/>
                </w:rPr>
                <w:t>C13/55</w:t>
              </w:r>
            </w:hyperlink>
            <w:r w:rsidRPr="00E5190F">
              <w:rPr>
                <w:i/>
                <w:iCs/>
              </w:rPr>
              <w:t xml:space="preserve">, </w:t>
            </w:r>
            <w:hyperlink r:id="rId20" w:history="1">
              <w:r w:rsidRPr="00E5190F">
                <w:rPr>
                  <w:rStyle w:val="Hyperlink"/>
                  <w:i/>
                  <w:iCs/>
                </w:rPr>
                <w:t>C13/78</w:t>
              </w:r>
            </w:hyperlink>
            <w:r w:rsidRPr="00E5190F">
              <w:rPr>
                <w:i/>
                <w:iCs/>
              </w:rPr>
              <w:t xml:space="preserve">, </w:t>
            </w:r>
            <w:hyperlink r:id="rId21" w:history="1">
              <w:r w:rsidRPr="00E5190F">
                <w:rPr>
                  <w:rStyle w:val="Hyperlink"/>
                  <w:i/>
                  <w:iCs/>
                </w:rPr>
                <w:t>C13/107</w:t>
              </w:r>
            </w:hyperlink>
            <w:r w:rsidRPr="00E5190F">
              <w:rPr>
                <w:i/>
                <w:iCs/>
              </w:rPr>
              <w:t xml:space="preserve">, </w:t>
            </w:r>
            <w:hyperlink r:id="rId22" w:history="1">
              <w:r w:rsidRPr="00E5190F">
                <w:rPr>
                  <w:rStyle w:val="Hyperlink"/>
                  <w:i/>
                  <w:iCs/>
                </w:rPr>
                <w:t>C14/13</w:t>
              </w:r>
            </w:hyperlink>
            <w:r w:rsidRPr="00E5190F">
              <w:rPr>
                <w:i/>
                <w:iCs/>
              </w:rPr>
              <w:t xml:space="preserve">, </w:t>
            </w:r>
            <w:hyperlink r:id="rId23" w:history="1">
              <w:r w:rsidRPr="00E5190F">
                <w:rPr>
                  <w:rStyle w:val="Hyperlink"/>
                  <w:i/>
                  <w:iCs/>
                </w:rPr>
                <w:t>C14/INF/12</w:t>
              </w:r>
            </w:hyperlink>
            <w:r w:rsidRPr="00E5190F">
              <w:rPr>
                <w:i/>
                <w:iCs/>
              </w:rPr>
              <w:t xml:space="preserve">, </w:t>
            </w:r>
            <w:hyperlink r:id="rId24" w:history="1">
              <w:r w:rsidRPr="00E5190F">
                <w:rPr>
                  <w:rStyle w:val="Hyperlink"/>
                  <w:i/>
                  <w:iCs/>
                </w:rPr>
                <w:t>C14/51</w:t>
              </w:r>
            </w:hyperlink>
            <w:r w:rsidRPr="00E5190F">
              <w:rPr>
                <w:i/>
                <w:iCs/>
              </w:rPr>
              <w:t xml:space="preserve">, </w:t>
            </w:r>
            <w:hyperlink r:id="rId25" w:history="1">
              <w:r w:rsidRPr="00E5190F">
                <w:rPr>
                  <w:rStyle w:val="Hyperlink"/>
                  <w:i/>
                  <w:iCs/>
                </w:rPr>
                <w:t>C14/65</w:t>
              </w:r>
            </w:hyperlink>
            <w:r w:rsidRPr="00E5190F">
              <w:rPr>
                <w:i/>
                <w:iCs/>
              </w:rPr>
              <w:t xml:space="preserve">, </w:t>
            </w:r>
            <w:hyperlink r:id="rId26" w:history="1">
              <w:r w:rsidRPr="00E5190F">
                <w:rPr>
                  <w:rStyle w:val="Hyperlink"/>
                  <w:i/>
                  <w:iCs/>
                </w:rPr>
                <w:t>C14/71</w:t>
              </w:r>
            </w:hyperlink>
            <w:r w:rsidRPr="00E5190F">
              <w:rPr>
                <w:i/>
                <w:iCs/>
              </w:rPr>
              <w:t xml:space="preserve">, </w:t>
            </w:r>
            <w:hyperlink r:id="rId27" w:history="1">
              <w:r w:rsidRPr="00E5190F">
                <w:rPr>
                  <w:rStyle w:val="Hyperlink"/>
                  <w:i/>
                  <w:iCs/>
                </w:rPr>
                <w:t>C14/94</w:t>
              </w:r>
            </w:hyperlink>
            <w:r w:rsidRPr="00E5190F">
              <w:rPr>
                <w:i/>
                <w:iCs/>
              </w:rPr>
              <w:t xml:space="preserve">, </w:t>
            </w:r>
            <w:hyperlink r:id="rId28" w:history="1">
              <w:r w:rsidRPr="00E5190F">
                <w:rPr>
                  <w:rStyle w:val="Hyperlink"/>
                  <w:i/>
                  <w:iCs/>
                </w:rPr>
                <w:t>C14/96</w:t>
              </w:r>
            </w:hyperlink>
          </w:p>
        </w:tc>
      </w:tr>
    </w:tbl>
    <w:p w:rsidR="00BD1614" w:rsidRDefault="00BD1614" w:rsidP="007A1164">
      <w:pPr>
        <w:tabs>
          <w:tab w:val="clear" w:pos="567"/>
          <w:tab w:val="clear" w:pos="1134"/>
          <w:tab w:val="clear" w:pos="1701"/>
          <w:tab w:val="clear" w:pos="2268"/>
          <w:tab w:val="clear" w:pos="2835"/>
        </w:tabs>
        <w:overflowPunct/>
        <w:autoSpaceDE/>
        <w:autoSpaceDN/>
        <w:adjustRightInd/>
        <w:spacing w:before="0"/>
        <w:textAlignment w:val="auto"/>
      </w:pPr>
      <w:r>
        <w:br w:type="page"/>
      </w:r>
    </w:p>
    <w:p w:rsidR="00DE12C7" w:rsidRPr="0073182D" w:rsidRDefault="008D4F2D" w:rsidP="008D4F2D">
      <w:pPr>
        <w:pStyle w:val="Heading1"/>
        <w:rPr>
          <w:rFonts w:cs="Segoe UI"/>
          <w:lang w:val="fr-CH"/>
        </w:rPr>
      </w:pPr>
      <w:r>
        <w:rPr>
          <w:rFonts w:eastAsiaTheme="minorEastAsia"/>
          <w:lang w:val="fr-CH" w:eastAsia="zh-CN"/>
        </w:rPr>
        <w:lastRenderedPageBreak/>
        <w:t>1</w:t>
      </w:r>
      <w:r>
        <w:rPr>
          <w:rFonts w:eastAsiaTheme="minorEastAsia"/>
          <w:lang w:val="fr-CH" w:eastAsia="zh-CN"/>
        </w:rPr>
        <w:tab/>
      </w:r>
      <w:r w:rsidR="00DE12C7" w:rsidRPr="0073182D">
        <w:rPr>
          <w:rFonts w:eastAsiaTheme="minorEastAsia"/>
          <w:lang w:val="fr-CH" w:eastAsia="zh-CN"/>
        </w:rPr>
        <w:t>Session de 2011 du Conseil</w:t>
      </w:r>
      <w:r w:rsidR="004C0333">
        <w:rPr>
          <w:rFonts w:eastAsiaTheme="minorEastAsia"/>
          <w:lang w:val="fr-CH" w:eastAsia="zh-CN"/>
        </w:rPr>
        <w:t xml:space="preserve"> </w:t>
      </w:r>
    </w:p>
    <w:p w:rsidR="00DE12C7" w:rsidRPr="00D83994" w:rsidRDefault="00DE12C7" w:rsidP="008D4F2D">
      <w:pPr>
        <w:spacing w:after="120"/>
        <w:rPr>
          <w:rFonts w:asciiTheme="minorHAnsi" w:hAnsiTheme="minorHAnsi"/>
          <w:szCs w:val="24"/>
          <w:lang w:val="fr-CH"/>
        </w:rPr>
      </w:pPr>
      <w:r>
        <w:rPr>
          <w:rFonts w:asciiTheme="minorHAnsi" w:hAnsiTheme="minorHAnsi" w:cs="Segoe UI"/>
          <w:szCs w:val="24"/>
          <w:lang w:val="fr-CH"/>
        </w:rPr>
        <w:t>1.1</w:t>
      </w:r>
      <w:r w:rsidR="008D4F2D">
        <w:rPr>
          <w:rFonts w:asciiTheme="minorHAnsi" w:hAnsiTheme="minorHAnsi" w:cs="Segoe UI"/>
          <w:szCs w:val="24"/>
          <w:lang w:val="fr-CH"/>
        </w:rPr>
        <w:tab/>
      </w:r>
      <w:r>
        <w:rPr>
          <w:rFonts w:asciiTheme="minorHAnsi" w:hAnsiTheme="minorHAnsi" w:cs="Segoe UI"/>
          <w:szCs w:val="24"/>
          <w:lang w:val="fr-CH"/>
        </w:rPr>
        <w:t>La question du rôle de l</w:t>
      </w:r>
      <w:r w:rsidR="004C0333">
        <w:rPr>
          <w:rFonts w:asciiTheme="minorHAnsi" w:hAnsiTheme="minorHAnsi" w:cs="Segoe UI"/>
          <w:szCs w:val="24"/>
          <w:lang w:val="fr-CH"/>
        </w:rPr>
        <w:t>'</w:t>
      </w:r>
      <w:r>
        <w:rPr>
          <w:rFonts w:asciiTheme="minorHAnsi" w:hAnsiTheme="minorHAnsi" w:cs="Segoe UI"/>
          <w:szCs w:val="24"/>
          <w:lang w:val="fr-CH"/>
        </w:rPr>
        <w:t>UIT en tant</w:t>
      </w:r>
      <w:r w:rsidR="004C0333">
        <w:rPr>
          <w:rFonts w:asciiTheme="minorHAnsi" w:hAnsiTheme="minorHAnsi" w:cs="Segoe UI"/>
          <w:szCs w:val="24"/>
          <w:lang w:val="fr-CH"/>
        </w:rPr>
        <w:t xml:space="preserve"> </w:t>
      </w:r>
      <w:r>
        <w:rPr>
          <w:rFonts w:asciiTheme="minorHAnsi" w:hAnsiTheme="minorHAnsi" w:cs="Segoe UI"/>
          <w:szCs w:val="24"/>
          <w:lang w:val="fr-CH"/>
        </w:rPr>
        <w:t>qu</w:t>
      </w:r>
      <w:r w:rsidR="004C0333">
        <w:rPr>
          <w:rFonts w:asciiTheme="minorHAnsi" w:hAnsiTheme="minorHAnsi" w:cs="Segoe UI"/>
          <w:szCs w:val="24"/>
          <w:lang w:val="fr-CH"/>
        </w:rPr>
        <w:t>'</w:t>
      </w:r>
      <w:r>
        <w:rPr>
          <w:rFonts w:asciiTheme="minorHAnsi" w:hAnsiTheme="minorHAnsi" w:cs="Segoe UI"/>
          <w:szCs w:val="24"/>
          <w:lang w:val="fr-CH"/>
        </w:rPr>
        <w:t xml:space="preserve">Autorité </w:t>
      </w:r>
      <w:r w:rsidRPr="002F5A11">
        <w:rPr>
          <w:rFonts w:asciiTheme="minorHAnsi" w:hAnsiTheme="minorHAnsi"/>
          <w:szCs w:val="24"/>
          <w:lang w:val="fr-CH"/>
        </w:rPr>
        <w:t>de</w:t>
      </w:r>
      <w:r>
        <w:rPr>
          <w:rFonts w:asciiTheme="minorHAnsi" w:hAnsiTheme="minorHAnsi"/>
          <w:szCs w:val="24"/>
          <w:lang w:val="fr-CH"/>
        </w:rPr>
        <w:t xml:space="preserve"> </w:t>
      </w:r>
      <w:r w:rsidRPr="00157FC9">
        <w:rPr>
          <w:rFonts w:asciiTheme="minorHAnsi" w:hAnsiTheme="minorHAnsi"/>
          <w:szCs w:val="24"/>
          <w:lang w:val="fr-CH"/>
        </w:rPr>
        <w:t>surveillance du futur système international d'inscription</w:t>
      </w:r>
      <w:r>
        <w:rPr>
          <w:rFonts w:asciiTheme="minorHAnsi" w:hAnsiTheme="minorHAnsi"/>
          <w:szCs w:val="24"/>
          <w:lang w:val="fr-CH"/>
        </w:rPr>
        <w:t xml:space="preserve"> </w:t>
      </w:r>
      <w:r w:rsidRPr="00157FC9">
        <w:rPr>
          <w:rFonts w:asciiTheme="minorHAnsi" w:hAnsiTheme="minorHAnsi"/>
          <w:szCs w:val="24"/>
          <w:lang w:val="fr-CH"/>
        </w:rPr>
        <w:t>pour les biens spatiaux</w:t>
      </w:r>
      <w:r>
        <w:rPr>
          <w:rFonts w:asciiTheme="minorHAnsi" w:hAnsiTheme="minorHAnsi"/>
          <w:szCs w:val="24"/>
          <w:lang w:val="fr-CH"/>
        </w:rPr>
        <w:t xml:space="preserve"> </w:t>
      </w:r>
      <w:r w:rsidRPr="00157FC9">
        <w:rPr>
          <w:rFonts w:asciiTheme="minorHAnsi" w:hAnsiTheme="minorHAnsi"/>
          <w:szCs w:val="24"/>
          <w:lang w:val="fr-CH"/>
        </w:rPr>
        <w:t>conformément au Protocole portant sur les biens spatiaux</w:t>
      </w:r>
      <w:r>
        <w:rPr>
          <w:rFonts w:asciiTheme="minorHAnsi" w:hAnsiTheme="minorHAnsi"/>
          <w:szCs w:val="24"/>
          <w:lang w:val="fr-CH"/>
        </w:rPr>
        <w:t xml:space="preserve"> a été examinée</w:t>
      </w:r>
      <w:r w:rsidR="004C0333">
        <w:rPr>
          <w:rFonts w:asciiTheme="minorHAnsi" w:hAnsiTheme="minorHAnsi"/>
          <w:szCs w:val="24"/>
          <w:lang w:val="fr-CH"/>
        </w:rPr>
        <w:t xml:space="preserve"> </w:t>
      </w:r>
      <w:r>
        <w:rPr>
          <w:rFonts w:asciiTheme="minorHAnsi" w:hAnsiTheme="minorHAnsi"/>
          <w:szCs w:val="24"/>
          <w:lang w:val="fr-CH"/>
        </w:rPr>
        <w:t>pour la première fois à la session de 2011 du Conseil.</w:t>
      </w:r>
      <w:r w:rsidR="004C0333">
        <w:rPr>
          <w:rFonts w:asciiTheme="minorHAnsi" w:hAnsiTheme="minorHAnsi"/>
          <w:szCs w:val="24"/>
          <w:lang w:val="fr-CH"/>
        </w:rPr>
        <w:t xml:space="preserve"> </w:t>
      </w:r>
      <w:r w:rsidRPr="00086102">
        <w:rPr>
          <w:rFonts w:asciiTheme="minorHAnsi" w:hAnsiTheme="minorHAnsi" w:cs="Segoe UI"/>
          <w:szCs w:val="24"/>
          <w:lang w:val="fr-CH"/>
        </w:rPr>
        <w:t>Le Secrétaire général a déclaré que</w:t>
      </w:r>
      <w:r>
        <w:rPr>
          <w:rFonts w:asciiTheme="minorHAnsi" w:hAnsiTheme="minorHAnsi" w:cs="Segoe UI"/>
          <w:szCs w:val="24"/>
          <w:lang w:val="fr-CH"/>
        </w:rPr>
        <w:t xml:space="preserve"> l</w:t>
      </w:r>
      <w:r w:rsidR="004C0333">
        <w:rPr>
          <w:rFonts w:asciiTheme="minorHAnsi" w:hAnsiTheme="minorHAnsi" w:cs="Segoe UI"/>
          <w:szCs w:val="24"/>
          <w:lang w:val="fr-CH"/>
        </w:rPr>
        <w:t>'</w:t>
      </w:r>
      <w:r>
        <w:rPr>
          <w:rFonts w:asciiTheme="minorHAnsi" w:hAnsiTheme="minorHAnsi" w:cs="Segoe UI"/>
          <w:szCs w:val="24"/>
          <w:lang w:val="fr-CH"/>
        </w:rPr>
        <w:t>adoption de ce</w:t>
      </w:r>
      <w:r w:rsidR="004C0333">
        <w:rPr>
          <w:rFonts w:asciiTheme="minorHAnsi" w:hAnsiTheme="minorHAnsi" w:cs="Segoe UI"/>
          <w:szCs w:val="24"/>
          <w:lang w:val="fr-CH"/>
        </w:rPr>
        <w:t xml:space="preserve"> </w:t>
      </w:r>
      <w:r>
        <w:rPr>
          <w:rFonts w:asciiTheme="minorHAnsi" w:hAnsiTheme="minorHAnsi" w:cs="Segoe UI"/>
          <w:szCs w:val="24"/>
          <w:lang w:val="fr-CH"/>
        </w:rPr>
        <w:t>P</w:t>
      </w:r>
      <w:r w:rsidRPr="00086102">
        <w:rPr>
          <w:rFonts w:asciiTheme="minorHAnsi" w:hAnsiTheme="minorHAnsi" w:cs="Segoe UI"/>
          <w:szCs w:val="24"/>
          <w:lang w:val="fr-CH"/>
        </w:rPr>
        <w:t>rotocole</w:t>
      </w:r>
      <w:r w:rsidR="004C0333">
        <w:rPr>
          <w:rFonts w:asciiTheme="minorHAnsi" w:hAnsiTheme="minorHAnsi" w:cs="Segoe UI"/>
          <w:szCs w:val="24"/>
          <w:lang w:val="fr-CH"/>
        </w:rPr>
        <w:t xml:space="preserve"> </w:t>
      </w:r>
      <w:r>
        <w:rPr>
          <w:rFonts w:asciiTheme="minorHAnsi" w:hAnsiTheme="minorHAnsi" w:cs="Segoe UI"/>
          <w:szCs w:val="24"/>
          <w:lang w:val="fr-CH"/>
        </w:rPr>
        <w:t xml:space="preserve">devrait </w:t>
      </w:r>
      <w:r w:rsidRPr="00086102">
        <w:rPr>
          <w:rFonts w:asciiTheme="minorHAnsi" w:hAnsiTheme="minorHAnsi" w:cs="Segoe UI"/>
          <w:szCs w:val="24"/>
          <w:lang w:val="fr-CH"/>
        </w:rPr>
        <w:t>marque</w:t>
      </w:r>
      <w:r>
        <w:rPr>
          <w:rFonts w:asciiTheme="minorHAnsi" w:hAnsiTheme="minorHAnsi" w:cs="Segoe UI"/>
          <w:szCs w:val="24"/>
          <w:lang w:val="fr-CH"/>
        </w:rPr>
        <w:t>r</w:t>
      </w:r>
      <w:r w:rsidR="004C0333">
        <w:rPr>
          <w:rFonts w:asciiTheme="minorHAnsi" w:hAnsiTheme="minorHAnsi" w:cs="Segoe UI"/>
          <w:szCs w:val="24"/>
          <w:lang w:val="fr-CH"/>
        </w:rPr>
        <w:t xml:space="preserve"> </w:t>
      </w:r>
      <w:r w:rsidRPr="00086102">
        <w:rPr>
          <w:rFonts w:asciiTheme="minorHAnsi" w:hAnsiTheme="minorHAnsi" w:cs="Segoe UI"/>
          <w:szCs w:val="24"/>
          <w:lang w:val="fr-CH"/>
        </w:rPr>
        <w:t xml:space="preserve">une étape importante </w:t>
      </w:r>
      <w:r>
        <w:rPr>
          <w:rFonts w:asciiTheme="minorHAnsi" w:hAnsiTheme="minorHAnsi" w:cs="Segoe UI"/>
          <w:szCs w:val="24"/>
          <w:lang w:val="fr-CH"/>
        </w:rPr>
        <w:t xml:space="preserve">pour le secteur </w:t>
      </w:r>
      <w:r w:rsidRPr="00086102">
        <w:rPr>
          <w:rFonts w:asciiTheme="minorHAnsi" w:hAnsiTheme="minorHAnsi" w:cs="Segoe UI"/>
          <w:szCs w:val="24"/>
          <w:lang w:val="fr-CH"/>
        </w:rPr>
        <w:t>et n</w:t>
      </w:r>
      <w:r w:rsidR="004C0333">
        <w:rPr>
          <w:rFonts w:asciiTheme="minorHAnsi" w:hAnsiTheme="minorHAnsi" w:cs="Segoe UI"/>
          <w:szCs w:val="24"/>
          <w:lang w:val="fr-CH"/>
        </w:rPr>
        <w:t>'</w:t>
      </w:r>
      <w:r w:rsidRPr="00086102">
        <w:rPr>
          <w:rFonts w:asciiTheme="minorHAnsi" w:hAnsiTheme="minorHAnsi" w:cs="Segoe UI"/>
          <w:szCs w:val="24"/>
          <w:lang w:val="fr-CH"/>
        </w:rPr>
        <w:t>aurait pas d</w:t>
      </w:r>
      <w:r w:rsidR="004C0333">
        <w:rPr>
          <w:rFonts w:asciiTheme="minorHAnsi" w:hAnsiTheme="minorHAnsi" w:cs="Segoe UI"/>
          <w:szCs w:val="24"/>
          <w:lang w:val="fr-CH"/>
        </w:rPr>
        <w:t>'</w:t>
      </w:r>
      <w:r w:rsidRPr="00086102">
        <w:rPr>
          <w:rFonts w:asciiTheme="minorHAnsi" w:hAnsiTheme="minorHAnsi" w:cs="Segoe UI"/>
          <w:szCs w:val="24"/>
          <w:lang w:val="fr-CH"/>
        </w:rPr>
        <w:t>i</w:t>
      </w:r>
      <w:r>
        <w:rPr>
          <w:rFonts w:asciiTheme="minorHAnsi" w:hAnsiTheme="minorHAnsi" w:cs="Segoe UI"/>
          <w:szCs w:val="24"/>
          <w:lang w:val="fr-CH"/>
        </w:rPr>
        <w:t xml:space="preserve">ncidences </w:t>
      </w:r>
      <w:r w:rsidRPr="00086102">
        <w:rPr>
          <w:rFonts w:asciiTheme="minorHAnsi" w:hAnsiTheme="minorHAnsi" w:cs="Segoe UI"/>
          <w:szCs w:val="24"/>
          <w:lang w:val="fr-CH"/>
        </w:rPr>
        <w:t>financi</w:t>
      </w:r>
      <w:r>
        <w:rPr>
          <w:rFonts w:asciiTheme="minorHAnsi" w:hAnsiTheme="minorHAnsi" w:cs="Segoe UI"/>
          <w:szCs w:val="24"/>
          <w:lang w:val="fr-CH"/>
        </w:rPr>
        <w:t>è</w:t>
      </w:r>
      <w:r w:rsidRPr="00086102">
        <w:rPr>
          <w:rFonts w:asciiTheme="minorHAnsi" w:hAnsiTheme="minorHAnsi" w:cs="Segoe UI"/>
          <w:szCs w:val="24"/>
          <w:lang w:val="fr-CH"/>
        </w:rPr>
        <w:t>r</w:t>
      </w:r>
      <w:r>
        <w:rPr>
          <w:rFonts w:asciiTheme="minorHAnsi" w:hAnsiTheme="minorHAnsi" w:cs="Segoe UI"/>
          <w:szCs w:val="24"/>
          <w:lang w:val="fr-CH"/>
        </w:rPr>
        <w:t>es</w:t>
      </w:r>
      <w:r w:rsidR="004C0333">
        <w:rPr>
          <w:rFonts w:asciiTheme="minorHAnsi" w:hAnsiTheme="minorHAnsi" w:cs="Segoe UI"/>
          <w:szCs w:val="24"/>
          <w:lang w:val="fr-CH"/>
        </w:rPr>
        <w:t xml:space="preserve"> </w:t>
      </w:r>
      <w:r>
        <w:rPr>
          <w:rFonts w:asciiTheme="minorHAnsi" w:hAnsiTheme="minorHAnsi" w:cs="Segoe UI"/>
          <w:szCs w:val="24"/>
          <w:lang w:val="fr-CH"/>
        </w:rPr>
        <w:t>pour l</w:t>
      </w:r>
      <w:r w:rsidR="004C0333">
        <w:rPr>
          <w:rFonts w:asciiTheme="minorHAnsi" w:hAnsiTheme="minorHAnsi" w:cs="Segoe UI"/>
          <w:szCs w:val="24"/>
          <w:lang w:val="fr-CH"/>
        </w:rPr>
        <w:t>'</w:t>
      </w:r>
      <w:r>
        <w:rPr>
          <w:rFonts w:asciiTheme="minorHAnsi" w:hAnsiTheme="minorHAnsi" w:cs="Segoe UI"/>
          <w:szCs w:val="24"/>
          <w:lang w:val="fr-CH"/>
        </w:rPr>
        <w:t>A</w:t>
      </w:r>
      <w:r w:rsidRPr="00086102">
        <w:rPr>
          <w:rFonts w:asciiTheme="minorHAnsi" w:hAnsiTheme="minorHAnsi" w:cs="Segoe UI"/>
          <w:szCs w:val="24"/>
          <w:lang w:val="fr-CH"/>
        </w:rPr>
        <w:t>utorité de surveillance</w:t>
      </w:r>
      <w:r w:rsidR="004C0333">
        <w:rPr>
          <w:rFonts w:asciiTheme="minorHAnsi" w:hAnsiTheme="minorHAnsi" w:cs="Segoe UI"/>
          <w:szCs w:val="24"/>
          <w:lang w:val="fr-CH"/>
        </w:rPr>
        <w:t>,</w:t>
      </w:r>
      <w:r w:rsidRPr="00086102">
        <w:rPr>
          <w:rFonts w:asciiTheme="minorHAnsi" w:hAnsiTheme="minorHAnsi" w:cs="Segoe UI"/>
          <w:szCs w:val="24"/>
          <w:lang w:val="fr-CH"/>
        </w:rPr>
        <w:t xml:space="preserve"> </w:t>
      </w:r>
      <w:r>
        <w:rPr>
          <w:rFonts w:asciiTheme="minorHAnsi" w:hAnsiTheme="minorHAnsi" w:cs="Segoe UI"/>
          <w:szCs w:val="24"/>
          <w:lang w:val="fr-CH"/>
        </w:rPr>
        <w:t>étant donné que le</w:t>
      </w:r>
      <w:r w:rsidRPr="00086102">
        <w:rPr>
          <w:rFonts w:asciiTheme="minorHAnsi" w:hAnsiTheme="minorHAnsi" w:cs="Segoe UI"/>
          <w:szCs w:val="24"/>
          <w:lang w:val="fr-CH"/>
        </w:rPr>
        <w:t xml:space="preserve"> financement</w:t>
      </w:r>
      <w:r w:rsidR="004C0333">
        <w:rPr>
          <w:rFonts w:asciiTheme="minorHAnsi" w:hAnsiTheme="minorHAnsi" w:cs="Segoe UI"/>
          <w:szCs w:val="24"/>
          <w:lang w:val="fr-CH"/>
        </w:rPr>
        <w:t xml:space="preserve"> </w:t>
      </w:r>
      <w:r>
        <w:rPr>
          <w:rFonts w:asciiTheme="minorHAnsi" w:hAnsiTheme="minorHAnsi" w:cs="Segoe UI"/>
          <w:szCs w:val="24"/>
          <w:lang w:val="fr-CH"/>
        </w:rPr>
        <w:t xml:space="preserve">de cette dernière proviendrait </w:t>
      </w:r>
      <w:r w:rsidRPr="00086102">
        <w:rPr>
          <w:rFonts w:asciiTheme="minorHAnsi" w:hAnsiTheme="minorHAnsi" w:cs="Segoe UI"/>
          <w:szCs w:val="24"/>
          <w:lang w:val="fr-CH"/>
        </w:rPr>
        <w:t>des droits</w:t>
      </w:r>
      <w:r w:rsidR="004C0333">
        <w:rPr>
          <w:rFonts w:asciiTheme="minorHAnsi" w:hAnsiTheme="minorHAnsi" w:cs="Segoe UI"/>
          <w:szCs w:val="24"/>
          <w:lang w:val="fr-CH"/>
        </w:rPr>
        <w:t xml:space="preserve"> </w:t>
      </w:r>
      <w:r w:rsidRPr="00086102">
        <w:rPr>
          <w:rFonts w:asciiTheme="minorHAnsi" w:hAnsiTheme="minorHAnsi" w:cs="Segoe UI"/>
          <w:szCs w:val="24"/>
          <w:lang w:val="fr-CH"/>
        </w:rPr>
        <w:t>versés au Registre international.</w:t>
      </w:r>
      <w:r>
        <w:rPr>
          <w:rFonts w:asciiTheme="minorHAnsi" w:hAnsiTheme="minorHAnsi" w:cs="Segoe UI"/>
          <w:szCs w:val="24"/>
          <w:lang w:val="fr-CH"/>
        </w:rPr>
        <w:t xml:space="preserve"> </w:t>
      </w:r>
      <w:r w:rsidRPr="00D83994">
        <w:rPr>
          <w:rFonts w:asciiTheme="minorHAnsi" w:hAnsiTheme="minorHAnsi" w:cs="Segoe UI"/>
          <w:szCs w:val="24"/>
          <w:lang w:val="fr-CH"/>
        </w:rPr>
        <w:t>Il a encouragé les Conseillers à ne pas laisser passer</w:t>
      </w:r>
      <w:r>
        <w:rPr>
          <w:rFonts w:asciiTheme="minorHAnsi" w:hAnsiTheme="minorHAnsi" w:cs="Segoe UI"/>
          <w:szCs w:val="24"/>
          <w:lang w:val="fr-CH"/>
        </w:rPr>
        <w:t xml:space="preserve"> cette occasion pour</w:t>
      </w:r>
      <w:r w:rsidR="004C0333">
        <w:rPr>
          <w:rFonts w:asciiTheme="minorHAnsi" w:hAnsiTheme="minorHAnsi" w:cs="Segoe UI"/>
          <w:szCs w:val="24"/>
          <w:lang w:val="fr-CH"/>
        </w:rPr>
        <w:t xml:space="preserve"> </w:t>
      </w:r>
      <w:r>
        <w:rPr>
          <w:rFonts w:asciiTheme="minorHAnsi" w:hAnsiTheme="minorHAnsi" w:cs="Segoe UI"/>
          <w:szCs w:val="24"/>
          <w:lang w:val="fr-CH"/>
        </w:rPr>
        <w:t>l</w:t>
      </w:r>
      <w:r w:rsidR="004C0333">
        <w:rPr>
          <w:rFonts w:asciiTheme="minorHAnsi" w:hAnsiTheme="minorHAnsi" w:cs="Segoe UI"/>
          <w:szCs w:val="24"/>
          <w:lang w:val="fr-CH"/>
        </w:rPr>
        <w:t>'</w:t>
      </w:r>
      <w:r>
        <w:rPr>
          <w:rFonts w:asciiTheme="minorHAnsi" w:hAnsiTheme="minorHAnsi" w:cs="Segoe UI"/>
          <w:szCs w:val="24"/>
          <w:lang w:val="fr-CH"/>
        </w:rPr>
        <w:t>UIT d</w:t>
      </w:r>
      <w:r w:rsidR="004C0333">
        <w:rPr>
          <w:rFonts w:asciiTheme="minorHAnsi" w:hAnsiTheme="minorHAnsi" w:cs="Segoe UI"/>
          <w:szCs w:val="24"/>
          <w:lang w:val="fr-CH"/>
        </w:rPr>
        <w:t>'</w:t>
      </w:r>
      <w:r>
        <w:rPr>
          <w:rFonts w:asciiTheme="minorHAnsi" w:hAnsiTheme="minorHAnsi" w:cs="Segoe UI"/>
          <w:szCs w:val="24"/>
          <w:lang w:val="fr-CH"/>
        </w:rPr>
        <w:t xml:space="preserve">assumer ces fonctions </w:t>
      </w:r>
    </w:p>
    <w:p w:rsidR="00DE12C7" w:rsidRPr="00A8338F" w:rsidRDefault="00DE12C7" w:rsidP="00B67BB6">
      <w:pPr>
        <w:rPr>
          <w:lang w:val="fr-CH"/>
        </w:rPr>
      </w:pPr>
      <w:r>
        <w:rPr>
          <w:lang w:val="fr-CH"/>
        </w:rPr>
        <w:t>1.2</w:t>
      </w:r>
      <w:r w:rsidR="008D4F2D">
        <w:rPr>
          <w:lang w:val="fr-CH"/>
        </w:rPr>
        <w:tab/>
      </w:r>
      <w:r w:rsidR="00B30170">
        <w:rPr>
          <w:lang w:val="fr-CH"/>
        </w:rPr>
        <w:t>A</w:t>
      </w:r>
      <w:r>
        <w:rPr>
          <w:lang w:val="fr-CH"/>
        </w:rPr>
        <w:t xml:space="preserve"> sa session de 2011, le Conseil a principalement examiné le</w:t>
      </w:r>
      <w:r w:rsidR="004C0333">
        <w:rPr>
          <w:lang w:val="fr-CH"/>
        </w:rPr>
        <w:t xml:space="preserve"> </w:t>
      </w:r>
      <w:r>
        <w:rPr>
          <w:lang w:val="fr-CH"/>
        </w:rPr>
        <w:t>domaine de com</w:t>
      </w:r>
      <w:r w:rsidRPr="00D83994">
        <w:rPr>
          <w:lang w:val="fr-CH"/>
        </w:rPr>
        <w:t xml:space="preserve">pétence </w:t>
      </w:r>
      <w:r>
        <w:rPr>
          <w:lang w:val="fr-CH"/>
        </w:rPr>
        <w:t xml:space="preserve">et les obligations </w:t>
      </w:r>
      <w:r w:rsidRPr="00D83994">
        <w:rPr>
          <w:lang w:val="fr-CH"/>
        </w:rPr>
        <w:t>de l</w:t>
      </w:r>
      <w:r w:rsidR="004C0333">
        <w:rPr>
          <w:lang w:val="fr-CH"/>
        </w:rPr>
        <w:t>'</w:t>
      </w:r>
      <w:r>
        <w:rPr>
          <w:lang w:val="fr-CH"/>
        </w:rPr>
        <w:t>A</w:t>
      </w:r>
      <w:r w:rsidRPr="00D83994">
        <w:rPr>
          <w:lang w:val="fr-CH"/>
        </w:rPr>
        <w:t>utorité de surve</w:t>
      </w:r>
      <w:r>
        <w:rPr>
          <w:lang w:val="fr-CH"/>
        </w:rPr>
        <w:t>illance</w:t>
      </w:r>
      <w:r w:rsidR="004C0333">
        <w:rPr>
          <w:lang w:val="fr-CH"/>
        </w:rPr>
        <w:t>,</w:t>
      </w:r>
      <w:r>
        <w:rPr>
          <w:lang w:val="fr-CH"/>
        </w:rPr>
        <w:t xml:space="preserve"> ainsi que la portée et la définition</w:t>
      </w:r>
      <w:r w:rsidR="004C0333">
        <w:rPr>
          <w:lang w:val="fr-CH"/>
        </w:rPr>
        <w:t xml:space="preserve"> </w:t>
      </w:r>
      <w:r>
        <w:rPr>
          <w:lang w:val="fr-CH"/>
        </w:rPr>
        <w:t>du</w:t>
      </w:r>
      <w:r w:rsidRPr="00D83994">
        <w:rPr>
          <w:lang w:val="fr-CH"/>
        </w:rPr>
        <w:t xml:space="preserve"> contrôle exercé, </w:t>
      </w:r>
      <w:r>
        <w:rPr>
          <w:lang w:val="fr-CH"/>
        </w:rPr>
        <w:t>d</w:t>
      </w:r>
      <w:r w:rsidRPr="00D83994">
        <w:rPr>
          <w:lang w:val="fr-CH"/>
        </w:rPr>
        <w:t xml:space="preserve">es contentieux, </w:t>
      </w:r>
      <w:r>
        <w:rPr>
          <w:lang w:val="fr-CH"/>
        </w:rPr>
        <w:t>d</w:t>
      </w:r>
      <w:r w:rsidRPr="00D83994">
        <w:rPr>
          <w:lang w:val="fr-CH"/>
        </w:rPr>
        <w:t xml:space="preserve">es responsabilités, </w:t>
      </w:r>
      <w:r>
        <w:rPr>
          <w:lang w:val="fr-CH"/>
        </w:rPr>
        <w:t>du</w:t>
      </w:r>
      <w:r w:rsidRPr="00D83994">
        <w:rPr>
          <w:lang w:val="fr-CH"/>
        </w:rPr>
        <w:t xml:space="preserve"> règlement des litiges, </w:t>
      </w:r>
      <w:r>
        <w:rPr>
          <w:lang w:val="fr-CH"/>
        </w:rPr>
        <w:t xml:space="preserve">des incidences </w:t>
      </w:r>
      <w:r w:rsidRPr="00D83994">
        <w:rPr>
          <w:lang w:val="fr-CH"/>
        </w:rPr>
        <w:t xml:space="preserve">financières, </w:t>
      </w:r>
      <w:r>
        <w:rPr>
          <w:lang w:val="fr-CH"/>
        </w:rPr>
        <w:t xml:space="preserve">de </w:t>
      </w:r>
      <w:r w:rsidRPr="00D83994">
        <w:rPr>
          <w:lang w:val="fr-CH"/>
        </w:rPr>
        <w:t>l</w:t>
      </w:r>
      <w:r w:rsidR="004C0333">
        <w:rPr>
          <w:lang w:val="fr-CH"/>
        </w:rPr>
        <w:t>'</w:t>
      </w:r>
      <w:r w:rsidRPr="00D83994">
        <w:rPr>
          <w:lang w:val="fr-CH"/>
        </w:rPr>
        <w:t>obligation de rendre compte et</w:t>
      </w:r>
      <w:r>
        <w:rPr>
          <w:lang w:val="fr-CH"/>
        </w:rPr>
        <w:t xml:space="preserve"> de </w:t>
      </w:r>
      <w:r w:rsidRPr="00D83994">
        <w:rPr>
          <w:lang w:val="fr-CH"/>
        </w:rPr>
        <w:t>la</w:t>
      </w:r>
      <w:r>
        <w:rPr>
          <w:lang w:val="fr-CH"/>
        </w:rPr>
        <w:t xml:space="preserve"> responsabilité.</w:t>
      </w:r>
      <w:r w:rsidR="004C0333">
        <w:rPr>
          <w:lang w:val="fr-CH"/>
        </w:rPr>
        <w:t xml:space="preserve"> </w:t>
      </w:r>
      <w:r w:rsidRPr="00A8338F">
        <w:rPr>
          <w:lang w:val="fr-CH"/>
        </w:rPr>
        <w:t xml:space="preserve">Les questions soulevées par les </w:t>
      </w:r>
      <w:r w:rsidR="00464FF7">
        <w:rPr>
          <w:lang w:val="fr-CH"/>
        </w:rPr>
        <w:t>E</w:t>
      </w:r>
      <w:r w:rsidRPr="00A8338F">
        <w:rPr>
          <w:lang w:val="fr-CH"/>
        </w:rPr>
        <w:t>tats Membres ont été examinées pendant la session du Conseil</w:t>
      </w:r>
      <w:r>
        <w:rPr>
          <w:lang w:val="fr-CH"/>
        </w:rPr>
        <w:t xml:space="preserve"> et la Conférence tenue à Berlin en 2012 devait permettre de clarifier certains problèmes.</w:t>
      </w:r>
      <w:r w:rsidR="004C0333">
        <w:rPr>
          <w:lang w:val="fr-CH"/>
        </w:rPr>
        <w:t xml:space="preserve"> </w:t>
      </w:r>
    </w:p>
    <w:p w:rsidR="00DE12C7" w:rsidRDefault="00DE12C7" w:rsidP="00B67BB6">
      <w:pPr>
        <w:rPr>
          <w:lang w:val="fr-CH"/>
        </w:rPr>
      </w:pPr>
      <w:r>
        <w:rPr>
          <w:lang w:val="fr-CH"/>
        </w:rPr>
        <w:t>1.3</w:t>
      </w:r>
      <w:r w:rsidR="008D4F2D">
        <w:rPr>
          <w:lang w:val="fr-CH"/>
        </w:rPr>
        <w:tab/>
      </w:r>
      <w:r>
        <w:rPr>
          <w:lang w:val="fr-CH"/>
        </w:rPr>
        <w:t>Le Conseil a décidé d</w:t>
      </w:r>
      <w:r w:rsidR="004C0333">
        <w:rPr>
          <w:lang w:val="fr-CH"/>
        </w:rPr>
        <w:t>'</w:t>
      </w:r>
      <w:r>
        <w:rPr>
          <w:lang w:val="fr-CH"/>
        </w:rPr>
        <w:t>autoriser</w:t>
      </w:r>
      <w:r w:rsidR="004C0333">
        <w:rPr>
          <w:lang w:val="fr-CH"/>
        </w:rPr>
        <w:t xml:space="preserve"> </w:t>
      </w:r>
      <w:r w:rsidRPr="00A8338F">
        <w:rPr>
          <w:lang w:val="fr-CH"/>
        </w:rPr>
        <w:t>le Secrétaire général à participer, en qualité d'observateur, à la Conférence de Berlin</w:t>
      </w:r>
      <w:r w:rsidR="004C0333">
        <w:rPr>
          <w:lang w:val="fr-CH"/>
        </w:rPr>
        <w:t xml:space="preserve"> </w:t>
      </w:r>
      <w:r>
        <w:rPr>
          <w:lang w:val="fr-CH"/>
        </w:rPr>
        <w:t>et</w:t>
      </w:r>
      <w:r w:rsidR="004C0333">
        <w:rPr>
          <w:lang w:val="fr-CH"/>
        </w:rPr>
        <w:t xml:space="preserve"> </w:t>
      </w:r>
      <w:r w:rsidRPr="00A8338F">
        <w:rPr>
          <w:lang w:val="fr-CH"/>
        </w:rPr>
        <w:t>qu'il n'y avait pas lieu de préjuger la question de savoir si l'UIT pourrait ou non être l'Autorité de surveillance</w:t>
      </w:r>
      <w:r>
        <w:rPr>
          <w:lang w:val="fr-CH"/>
        </w:rPr>
        <w:t>, mais</w:t>
      </w:r>
      <w:r w:rsidR="004C0333">
        <w:rPr>
          <w:lang w:val="fr-CH"/>
        </w:rPr>
        <w:t xml:space="preserve"> </w:t>
      </w:r>
      <w:r w:rsidRPr="00A8338F">
        <w:rPr>
          <w:lang w:val="fr-CH"/>
        </w:rPr>
        <w:t>que le Secrétaire général de l'UIT pourrait continuer d'exprimer l'intérêt de l'Union</w:t>
      </w:r>
      <w:r w:rsidR="004C0333">
        <w:rPr>
          <w:lang w:val="fr-CH"/>
        </w:rPr>
        <w:t xml:space="preserve"> </w:t>
      </w:r>
      <w:r w:rsidRPr="00A8338F">
        <w:rPr>
          <w:lang w:val="fr-CH"/>
        </w:rPr>
        <w:t>(</w:t>
      </w:r>
      <w:r>
        <w:rPr>
          <w:lang w:val="fr-CH"/>
        </w:rPr>
        <w:t xml:space="preserve">voir le </w:t>
      </w:r>
      <w:r w:rsidRPr="00A8338F">
        <w:rPr>
          <w:lang w:val="fr-CH"/>
        </w:rPr>
        <w:t xml:space="preserve">Document </w:t>
      </w:r>
      <w:hyperlink r:id="rId29" w:history="1">
        <w:r w:rsidRPr="00A8338F">
          <w:rPr>
            <w:rStyle w:val="Hyperlink"/>
            <w:rFonts w:asciiTheme="minorHAnsi" w:hAnsiTheme="minorHAnsi" w:cs="Segoe UI"/>
            <w:szCs w:val="24"/>
            <w:lang w:val="fr-CH"/>
          </w:rPr>
          <w:t>C11/100(</w:t>
        </w:r>
        <w:bookmarkStart w:id="8" w:name="_GoBack"/>
        <w:bookmarkEnd w:id="8"/>
        <w:r w:rsidRPr="00A8338F">
          <w:rPr>
            <w:rStyle w:val="Hyperlink"/>
            <w:rFonts w:asciiTheme="minorHAnsi" w:hAnsiTheme="minorHAnsi" w:cs="Segoe UI"/>
            <w:szCs w:val="24"/>
            <w:lang w:val="fr-CH"/>
          </w:rPr>
          <w:t>R</w:t>
        </w:r>
        <w:r>
          <w:rPr>
            <w:rStyle w:val="Hyperlink"/>
            <w:rFonts w:asciiTheme="minorHAnsi" w:hAnsiTheme="minorHAnsi" w:cs="Segoe UI"/>
            <w:szCs w:val="24"/>
            <w:lang w:val="fr-CH"/>
          </w:rPr>
          <w:t>é</w:t>
        </w:r>
        <w:r w:rsidRPr="00A8338F">
          <w:rPr>
            <w:rStyle w:val="Hyperlink"/>
            <w:rFonts w:asciiTheme="minorHAnsi" w:hAnsiTheme="minorHAnsi" w:cs="Segoe UI"/>
            <w:szCs w:val="24"/>
            <w:lang w:val="fr-CH"/>
          </w:rPr>
          <w:t>v.1)</w:t>
        </w:r>
      </w:hyperlink>
      <w:r w:rsidRPr="00A8338F">
        <w:rPr>
          <w:lang w:val="fr-CH"/>
        </w:rPr>
        <w:t>).</w:t>
      </w:r>
      <w:r w:rsidR="004C0333">
        <w:rPr>
          <w:lang w:val="fr-CH"/>
        </w:rPr>
        <w:t xml:space="preserve"> </w:t>
      </w:r>
      <w:r>
        <w:rPr>
          <w:lang w:val="fr-CH"/>
        </w:rPr>
        <w:t xml:space="preserve">Le </w:t>
      </w:r>
      <w:r w:rsidRPr="00A8338F">
        <w:rPr>
          <w:lang w:val="fr-CH"/>
        </w:rPr>
        <w:t>Secrétaire général fera</w:t>
      </w:r>
      <w:r>
        <w:rPr>
          <w:lang w:val="fr-CH"/>
        </w:rPr>
        <w:t>it</w:t>
      </w:r>
      <w:r w:rsidRPr="00A8338F">
        <w:rPr>
          <w:lang w:val="fr-CH"/>
        </w:rPr>
        <w:t xml:space="preserve"> rapport au Conseil </w:t>
      </w:r>
      <w:r>
        <w:rPr>
          <w:lang w:val="fr-CH"/>
        </w:rPr>
        <w:t xml:space="preserve">à sa session de </w:t>
      </w:r>
      <w:r w:rsidRPr="00A8338F">
        <w:rPr>
          <w:lang w:val="fr-CH"/>
        </w:rPr>
        <w:t>2012, qui examinera</w:t>
      </w:r>
      <w:r>
        <w:rPr>
          <w:lang w:val="fr-CH"/>
        </w:rPr>
        <w:t>it</w:t>
      </w:r>
      <w:r w:rsidRPr="00A8338F">
        <w:rPr>
          <w:lang w:val="fr-CH"/>
        </w:rPr>
        <w:t xml:space="preserve"> de nouveau la question à la lumière des résultats de la </w:t>
      </w:r>
      <w:r>
        <w:rPr>
          <w:lang w:val="fr-CH"/>
        </w:rPr>
        <w:t>C</w:t>
      </w:r>
      <w:r w:rsidRPr="00A8338F">
        <w:rPr>
          <w:lang w:val="fr-CH"/>
        </w:rPr>
        <w:t>onférence</w:t>
      </w:r>
      <w:r>
        <w:rPr>
          <w:lang w:val="fr-CH"/>
        </w:rPr>
        <w:t xml:space="preserve"> diplomatique</w:t>
      </w:r>
      <w:r w:rsidRPr="00A8338F">
        <w:rPr>
          <w:lang w:val="fr-CH"/>
        </w:rPr>
        <w:t>, en tenant compte des incidences financières, juridiques et techniques.</w:t>
      </w:r>
    </w:p>
    <w:p w:rsidR="00DE12C7" w:rsidRPr="00E40FD8" w:rsidRDefault="00DE12C7" w:rsidP="008D4F2D">
      <w:pPr>
        <w:pStyle w:val="Heading1"/>
        <w:rPr>
          <w:rFonts w:eastAsiaTheme="minorEastAsia"/>
          <w:lang w:val="fr-CH" w:eastAsia="zh-CN"/>
        </w:rPr>
      </w:pPr>
      <w:r>
        <w:rPr>
          <w:rFonts w:eastAsiaTheme="minorEastAsia"/>
          <w:lang w:val="fr-CH" w:eastAsia="zh-CN"/>
        </w:rPr>
        <w:t>2</w:t>
      </w:r>
      <w:r w:rsidR="008D4F2D">
        <w:rPr>
          <w:rFonts w:eastAsiaTheme="minorEastAsia"/>
          <w:lang w:val="fr-CH" w:eastAsia="zh-CN"/>
        </w:rPr>
        <w:tab/>
      </w:r>
      <w:r w:rsidRPr="00E40FD8">
        <w:rPr>
          <w:rFonts w:eastAsiaTheme="minorEastAsia"/>
          <w:lang w:val="fr-CH" w:eastAsia="zh-CN"/>
        </w:rPr>
        <w:t xml:space="preserve">Conférence diplomatique (Berlin, 27 </w:t>
      </w:r>
      <w:r>
        <w:rPr>
          <w:rFonts w:eastAsiaTheme="minorEastAsia"/>
          <w:lang w:val="fr-CH" w:eastAsia="zh-CN"/>
        </w:rPr>
        <w:t>février -</w:t>
      </w:r>
      <w:r w:rsidR="004C0333">
        <w:rPr>
          <w:rFonts w:eastAsiaTheme="minorEastAsia"/>
          <w:lang w:val="fr-CH" w:eastAsia="zh-CN"/>
        </w:rPr>
        <w:t xml:space="preserve"> </w:t>
      </w:r>
      <w:r>
        <w:rPr>
          <w:rFonts w:eastAsiaTheme="minorEastAsia"/>
          <w:lang w:val="fr-CH" w:eastAsia="zh-CN"/>
        </w:rPr>
        <w:t>9 mars</w:t>
      </w:r>
      <w:r w:rsidR="004C0333">
        <w:rPr>
          <w:rFonts w:eastAsiaTheme="minorEastAsia"/>
          <w:lang w:val="fr-CH" w:eastAsia="zh-CN"/>
        </w:rPr>
        <w:t xml:space="preserve"> </w:t>
      </w:r>
      <w:r w:rsidRPr="00E40FD8">
        <w:rPr>
          <w:rFonts w:eastAsiaTheme="minorEastAsia"/>
          <w:lang w:val="fr-CH" w:eastAsia="zh-CN"/>
        </w:rPr>
        <w:t>2012)</w:t>
      </w:r>
    </w:p>
    <w:p w:rsidR="00DE12C7" w:rsidRDefault="00DE12C7" w:rsidP="00B67BB6">
      <w:r>
        <w:rPr>
          <w:lang w:val="fr-CH" w:eastAsia="es-ES"/>
        </w:rPr>
        <w:t>2.1</w:t>
      </w:r>
      <w:r w:rsidR="008D4F2D">
        <w:rPr>
          <w:lang w:val="fr-CH" w:eastAsia="es-ES"/>
        </w:rPr>
        <w:tab/>
      </w:r>
      <w:r w:rsidRPr="00E40FD8">
        <w:rPr>
          <w:lang w:val="fr-CH" w:eastAsia="es-ES"/>
        </w:rPr>
        <w:t>La Conférence diplomatique</w:t>
      </w:r>
      <w:r w:rsidRPr="00E40FD8">
        <w:rPr>
          <w:lang w:val="fr-CH"/>
        </w:rPr>
        <w:t xml:space="preserve"> pour l'adoption d'un Protocole portant sur les questions spécifiques aux biens spatiaux à la Convention relative aux garanties internationales portant sur des matériels d'équipement mobiles s'est tenue à Berlin</w:t>
      </w:r>
      <w:r>
        <w:rPr>
          <w:lang w:val="fr-CH"/>
        </w:rPr>
        <w:t xml:space="preserve"> </w:t>
      </w:r>
      <w:r w:rsidRPr="00E40FD8">
        <w:rPr>
          <w:lang w:val="fr-CH"/>
        </w:rPr>
        <w:t>du 27 février au 9 mars 2012</w:t>
      </w:r>
      <w:r>
        <w:rPr>
          <w:lang w:val="fr-CH"/>
        </w:rPr>
        <w:t>,</w:t>
      </w:r>
      <w:r w:rsidRPr="00E40FD8">
        <w:rPr>
          <w:lang w:val="fr-CH"/>
        </w:rPr>
        <w:t xml:space="preserve"> sous les auspices</w:t>
      </w:r>
      <w:r w:rsidR="004C0333">
        <w:rPr>
          <w:lang w:val="fr-CH"/>
        </w:rPr>
        <w:t xml:space="preserve"> </w:t>
      </w:r>
      <w:r>
        <w:rPr>
          <w:lang w:val="fr-CH"/>
        </w:rPr>
        <w:t>d</w:t>
      </w:r>
      <w:r w:rsidR="004C0333">
        <w:rPr>
          <w:lang w:val="fr-CH"/>
        </w:rPr>
        <w:t>'</w:t>
      </w:r>
      <w:r>
        <w:rPr>
          <w:lang w:val="fr-CH"/>
        </w:rPr>
        <w:t>UNIDROIT</w:t>
      </w:r>
      <w:r w:rsidR="008D4F2D">
        <w:rPr>
          <w:rStyle w:val="FootnoteReference"/>
          <w:color w:val="000000"/>
          <w:lang w:val="fr-CH"/>
        </w:rPr>
        <w:footnoteReference w:id="1"/>
      </w:r>
      <w:r w:rsidR="004C0333" w:rsidRPr="00464FF7">
        <w:t>,</w:t>
      </w:r>
      <w:r w:rsidR="004C0333">
        <w:rPr>
          <w:lang w:val="fr-CH"/>
        </w:rPr>
        <w:t xml:space="preserve"> </w:t>
      </w:r>
      <w:r w:rsidRPr="00E40FD8">
        <w:rPr>
          <w:lang w:val="fr-CH"/>
        </w:rPr>
        <w:t>à l'invitation du Gouvernement de la République fédérale d'</w:t>
      </w:r>
      <w:r>
        <w:rPr>
          <w:lang w:val="fr-CH"/>
        </w:rPr>
        <w:t>Allemagne.</w:t>
      </w:r>
      <w:r w:rsidR="004C0333">
        <w:rPr>
          <w:lang w:val="fr-CH"/>
        </w:rPr>
        <w:t xml:space="preserve"> </w:t>
      </w:r>
      <w:r w:rsidRPr="007F7F35">
        <w:t>Des représentants de quarante Etats et dix organisations internationales, dont l'UIT, ont participé à la Conférence diplomatique.</w:t>
      </w:r>
    </w:p>
    <w:p w:rsidR="00DE12C7" w:rsidRDefault="00DE12C7" w:rsidP="00B67BB6">
      <w:pPr>
        <w:rPr>
          <w:lang w:val="fr-CH"/>
        </w:rPr>
      </w:pPr>
      <w:r>
        <w:rPr>
          <w:lang w:val="fr-CH"/>
        </w:rPr>
        <w:t>2.2</w:t>
      </w:r>
      <w:r w:rsidR="008D4F2D">
        <w:rPr>
          <w:lang w:val="fr-CH"/>
        </w:rPr>
        <w:tab/>
      </w:r>
      <w:r>
        <w:rPr>
          <w:lang w:val="fr-CH"/>
        </w:rPr>
        <w:t>L</w:t>
      </w:r>
      <w:r w:rsidRPr="00E40FD8">
        <w:rPr>
          <w:lang w:val="fr-CH"/>
        </w:rPr>
        <w:t xml:space="preserve">a Conférence a adopté le texte du </w:t>
      </w:r>
      <w:hyperlink r:id="rId30" w:history="1">
        <w:r w:rsidRPr="00066141">
          <w:rPr>
            <w:rStyle w:val="Hyperlink"/>
            <w:lang w:val="fr-CH"/>
          </w:rPr>
          <w:t>Protocole portant sur les questions spécifiques aux biens spatiaux à la Convention relative aux garanties internationale</w:t>
        </w:r>
        <w:r w:rsidR="00464FF7">
          <w:rPr>
            <w:rStyle w:val="Hyperlink"/>
            <w:lang w:val="fr-CH"/>
          </w:rPr>
          <w:t>s portant sur des matériels d'équipement mobile</w:t>
        </w:r>
        <w:r w:rsidRPr="00066141">
          <w:rPr>
            <w:rStyle w:val="Hyperlink"/>
            <w:lang w:val="fr-CH"/>
          </w:rPr>
          <w:t>s</w:t>
        </w:r>
      </w:hyperlink>
      <w:r w:rsidRPr="00E40FD8">
        <w:rPr>
          <w:i/>
          <w:iCs/>
          <w:lang w:val="fr-CH"/>
        </w:rPr>
        <w:t xml:space="preserve"> </w:t>
      </w:r>
      <w:r w:rsidRPr="00E40FD8">
        <w:rPr>
          <w:lang w:val="fr-CH"/>
        </w:rPr>
        <w:t>(</w:t>
      </w:r>
      <w:hyperlink r:id="rId31" w:history="1">
        <w:r w:rsidRPr="00066141">
          <w:t>Protocole portant sur les biens spatiaux</w:t>
        </w:r>
      </w:hyperlink>
      <w:r w:rsidRPr="00E40FD8">
        <w:rPr>
          <w:lang w:val="fr-CH"/>
        </w:rPr>
        <w:t>)</w:t>
      </w:r>
      <w:r w:rsidR="004C0333">
        <w:rPr>
          <w:lang w:val="fr-CH"/>
        </w:rPr>
        <w:t xml:space="preserve"> </w:t>
      </w:r>
      <w:r>
        <w:rPr>
          <w:lang w:val="fr-CH"/>
        </w:rPr>
        <w:t>et</w:t>
      </w:r>
      <w:r w:rsidR="004C0333">
        <w:rPr>
          <w:lang w:val="fr-CH"/>
        </w:rPr>
        <w:t xml:space="preserve"> </w:t>
      </w:r>
      <w:r w:rsidRPr="00E40FD8">
        <w:rPr>
          <w:lang w:val="fr-CH"/>
        </w:rPr>
        <w:t xml:space="preserve">a de plus adopté par consensus cinq Résolutions, qui figurent dans des annexes de </w:t>
      </w:r>
      <w:hyperlink r:id="rId32" w:history="1">
        <w:r w:rsidRPr="00066141">
          <w:rPr>
            <w:rStyle w:val="Hyperlink"/>
            <w:lang w:val="fr-CH"/>
          </w:rPr>
          <w:t>l'</w:t>
        </w:r>
        <w:r w:rsidRPr="00066141">
          <w:rPr>
            <w:rStyle w:val="Hyperlink"/>
          </w:rPr>
          <w:t>Acte final</w:t>
        </w:r>
        <w:r w:rsidRPr="00066141">
          <w:rPr>
            <w:rStyle w:val="Hyperlink"/>
            <w:lang w:val="fr-CH"/>
          </w:rPr>
          <w:t xml:space="preserve"> de la Conférence diplomatique</w:t>
        </w:r>
      </w:hyperlink>
      <w:r w:rsidRPr="00E40FD8">
        <w:rPr>
          <w:lang w:val="fr-CH"/>
        </w:rPr>
        <w:t xml:space="preserve">. </w:t>
      </w:r>
    </w:p>
    <w:p w:rsidR="00F25DE1" w:rsidRDefault="00F25DE1" w:rsidP="007A1164">
      <w:pPr>
        <w:tabs>
          <w:tab w:val="clear" w:pos="567"/>
          <w:tab w:val="clear" w:pos="1134"/>
          <w:tab w:val="clear" w:pos="1701"/>
          <w:tab w:val="clear" w:pos="2268"/>
          <w:tab w:val="clear" w:pos="2835"/>
        </w:tabs>
        <w:overflowPunct/>
        <w:autoSpaceDE/>
        <w:autoSpaceDN/>
        <w:adjustRightInd/>
        <w:snapToGrid w:val="0"/>
        <w:spacing w:after="120"/>
        <w:textAlignment w:val="auto"/>
        <w:rPr>
          <w:color w:val="000000"/>
          <w:lang w:val="fr-CH"/>
        </w:rPr>
      </w:pPr>
      <w:r>
        <w:rPr>
          <w:color w:val="000000"/>
          <w:lang w:val="fr-CH"/>
        </w:rPr>
        <w:br w:type="page"/>
      </w:r>
    </w:p>
    <w:p w:rsidR="00DE12C7" w:rsidRDefault="00DE12C7" w:rsidP="00B67BB6">
      <w:pPr>
        <w:rPr>
          <w:lang w:val="fr-CH"/>
        </w:rPr>
      </w:pPr>
      <w:r>
        <w:rPr>
          <w:lang w:val="fr-CH"/>
        </w:rPr>
        <w:lastRenderedPageBreak/>
        <w:t>2.3</w:t>
      </w:r>
      <w:r w:rsidR="008D4F2D">
        <w:rPr>
          <w:lang w:val="fr-CH"/>
        </w:rPr>
        <w:tab/>
      </w:r>
      <w:r w:rsidRPr="00E40FD8">
        <w:rPr>
          <w:lang w:val="fr-CH"/>
        </w:rPr>
        <w:t xml:space="preserve">Ainsi qu'il en avait été chargé par le Conseil à sa session de 2011, l'observateur représentant le Secrétaire général de l'UIT a exprimé l'intérêt de l'Union pour que </w:t>
      </w:r>
      <w:r>
        <w:rPr>
          <w:lang w:val="fr-CH"/>
        </w:rPr>
        <w:t>cette organisation exerce les fonctions</w:t>
      </w:r>
      <w:r w:rsidR="004C0333">
        <w:rPr>
          <w:lang w:val="fr-CH"/>
        </w:rPr>
        <w:t xml:space="preserve"> </w:t>
      </w:r>
      <w:r>
        <w:rPr>
          <w:lang w:val="fr-CH"/>
        </w:rPr>
        <w:t>d</w:t>
      </w:r>
      <w:r w:rsidRPr="00E40FD8">
        <w:rPr>
          <w:lang w:val="fr-CH"/>
        </w:rPr>
        <w:t xml:space="preserve">'Autorité de surveillance du Registre international pour les biens spatiaux, sous réserve de l'examen de la question par les organes directeurs de l'UIT et sans préjudice de la décision qu'ils prendront à cet égard, à la lumière des résultats de la Conférence, compte tenu des incidences financières, juridiques et techniques d'une telle décision. </w:t>
      </w:r>
    </w:p>
    <w:p w:rsidR="00DE12C7" w:rsidRDefault="008D4F2D" w:rsidP="00B67BB6">
      <w:pPr>
        <w:rPr>
          <w:lang w:val="fr-CH"/>
        </w:rPr>
      </w:pPr>
      <w:r>
        <w:rPr>
          <w:lang w:val="fr-CH"/>
        </w:rPr>
        <w:t>2.4</w:t>
      </w:r>
      <w:r>
        <w:rPr>
          <w:lang w:val="fr-CH"/>
        </w:rPr>
        <w:tab/>
      </w:r>
      <w:r w:rsidR="00DE12C7" w:rsidRPr="009C625B">
        <w:rPr>
          <w:lang w:val="fr-CH"/>
        </w:rPr>
        <w:t xml:space="preserve">La Conférence a adopté la </w:t>
      </w:r>
      <w:hyperlink r:id="rId33" w:history="1">
        <w:r w:rsidR="00DE12C7" w:rsidRPr="00066141">
          <w:rPr>
            <w:rStyle w:val="Hyperlink"/>
            <w:lang w:val="fr-CH"/>
          </w:rPr>
          <w:t>Résolution 1</w:t>
        </w:r>
      </w:hyperlink>
      <w:r w:rsidR="00DE12C7" w:rsidRPr="009C625B">
        <w:rPr>
          <w:lang w:val="fr-CH"/>
        </w:rPr>
        <w:t xml:space="preserve"> concernant l'établissement de la Commission préparatoire et du Registre international pour les biens spatiaux</w:t>
      </w:r>
      <w:r w:rsidR="00DE12C7" w:rsidRPr="009C625B">
        <w:rPr>
          <w:b/>
          <w:lang w:val="fr-CH"/>
        </w:rPr>
        <w:t>,</w:t>
      </w:r>
      <w:r w:rsidR="00DE12C7" w:rsidRPr="009C625B">
        <w:rPr>
          <w:lang w:val="fr-CH"/>
        </w:rPr>
        <w:t xml:space="preserve"> par laquelle il a été décidé "d'établir, en attendant l'entrée en vigueur du Protocole, une Commission préparatoire investie de tous les pouvoirs nécessaires pour faire fonction d'Autorité provisoire de surveillance pour l'établissement du Registre international pour les biens spatiaux, sous la direction de l'Assemblée générale d'UNIDROIT". Cette Commission préparatoire sera composée de personnes possédant les qualifications et l'expérience nécessaires proposées par un tiers des Etats ayant participé à la négociation. L'</w:t>
      </w:r>
      <w:r w:rsidR="00DE12C7">
        <w:rPr>
          <w:lang w:val="fr-CH"/>
        </w:rPr>
        <w:t>UIT</w:t>
      </w:r>
      <w:r w:rsidR="00DE12C7" w:rsidRPr="009C625B">
        <w:rPr>
          <w:lang w:val="fr-CH"/>
        </w:rPr>
        <w:t>, l'Organisation de l'aviation civile internationale (OACI), l'Organisation intergouvernementale pour les transports internationaux ferroviaires (OTIF), des représentants des communautés internationales financières, commerciales et des assurances dans le domaine spatial ainsi que d'autres parties intéressées</w:t>
      </w:r>
      <w:r w:rsidR="004C0333">
        <w:rPr>
          <w:lang w:val="fr-CH"/>
        </w:rPr>
        <w:t xml:space="preserve"> </w:t>
      </w:r>
      <w:r w:rsidR="00DE12C7" w:rsidRPr="009C625B">
        <w:rPr>
          <w:lang w:val="fr-CH"/>
        </w:rPr>
        <w:t>ont</w:t>
      </w:r>
      <w:r w:rsidR="00DE12C7">
        <w:rPr>
          <w:lang w:val="fr-CH"/>
        </w:rPr>
        <w:t xml:space="preserve"> été </w:t>
      </w:r>
      <w:r w:rsidR="00DE12C7" w:rsidRPr="009C625B">
        <w:rPr>
          <w:lang w:val="fr-CH"/>
        </w:rPr>
        <w:t>invités à participer aux travaux de la Commission préparatoire à titre d'observateurs.</w:t>
      </w:r>
    </w:p>
    <w:p w:rsidR="00DE12C7" w:rsidRPr="00193676" w:rsidRDefault="00DE12C7" w:rsidP="00B67BB6">
      <w:pPr>
        <w:rPr>
          <w:rFonts w:eastAsiaTheme="minorEastAsia"/>
          <w:lang w:val="fr-CH" w:eastAsia="zh-CN"/>
        </w:rPr>
      </w:pPr>
      <w:r>
        <w:rPr>
          <w:rFonts w:eastAsiaTheme="minorEastAsia"/>
          <w:lang w:val="fr-CH" w:eastAsia="zh-CN"/>
        </w:rPr>
        <w:t>2.5</w:t>
      </w:r>
      <w:r w:rsidR="008D4F2D">
        <w:rPr>
          <w:rFonts w:eastAsiaTheme="minorEastAsia"/>
          <w:lang w:val="fr-CH" w:eastAsia="zh-CN"/>
        </w:rPr>
        <w:tab/>
      </w:r>
      <w:r w:rsidRPr="00193676">
        <w:rPr>
          <w:rFonts w:eastAsiaTheme="minorEastAsia"/>
          <w:lang w:val="fr-CH" w:eastAsia="zh-CN"/>
        </w:rPr>
        <w:t xml:space="preserve">Dans sa </w:t>
      </w:r>
      <w:hyperlink r:id="rId34" w:history="1">
        <w:r w:rsidRPr="00066141">
          <w:rPr>
            <w:rStyle w:val="Hyperlink"/>
            <w:rFonts w:eastAsiaTheme="minorEastAsia" w:cs="Calibri"/>
            <w:szCs w:val="24"/>
            <w:lang w:val="fr-CH" w:eastAsia="zh-CN"/>
          </w:rPr>
          <w:t>Résolution 2</w:t>
        </w:r>
      </w:hyperlink>
      <w:r w:rsidRPr="00193676">
        <w:rPr>
          <w:rFonts w:eastAsiaTheme="minorEastAsia"/>
          <w:lang w:val="fr-CH" w:eastAsia="zh-CN"/>
        </w:rPr>
        <w:t xml:space="preserve"> concernant l'établissement de l'Autorité de surveillance du Registre international pour les biens spatiaux, et compte ten</w:t>
      </w:r>
      <w:r>
        <w:rPr>
          <w:rFonts w:eastAsiaTheme="minorEastAsia"/>
          <w:lang w:val="fr-CH" w:eastAsia="zh-CN"/>
        </w:rPr>
        <w:t>u de l'intérêt exprimé par l'Union</w:t>
      </w:r>
      <w:r w:rsidRPr="00193676">
        <w:rPr>
          <w:rFonts w:eastAsiaTheme="minorEastAsia"/>
          <w:lang w:val="fr-CH" w:eastAsia="zh-CN"/>
        </w:rPr>
        <w:t>,</w:t>
      </w:r>
      <w:r w:rsidR="004C0333">
        <w:rPr>
          <w:rFonts w:eastAsiaTheme="minorEastAsia"/>
          <w:lang w:val="fr-CH" w:eastAsia="zh-CN"/>
        </w:rPr>
        <w:t xml:space="preserve"> </w:t>
      </w:r>
      <w:r w:rsidRPr="00193676">
        <w:rPr>
          <w:rFonts w:eastAsiaTheme="minorEastAsia"/>
          <w:lang w:val="fr-CH" w:eastAsia="zh-CN"/>
        </w:rPr>
        <w:t>la Conférence a invité les organes directeurs</w:t>
      </w:r>
      <w:r>
        <w:rPr>
          <w:rFonts w:eastAsiaTheme="minorEastAsia"/>
          <w:lang w:val="fr-CH" w:eastAsia="zh-CN"/>
        </w:rPr>
        <w:t xml:space="preserve"> de l</w:t>
      </w:r>
      <w:r w:rsidR="004C0333">
        <w:rPr>
          <w:rFonts w:eastAsiaTheme="minorEastAsia"/>
          <w:lang w:val="fr-CH" w:eastAsia="zh-CN"/>
        </w:rPr>
        <w:t>'</w:t>
      </w:r>
      <w:r>
        <w:rPr>
          <w:rFonts w:eastAsiaTheme="minorEastAsia"/>
          <w:lang w:val="fr-CH" w:eastAsia="zh-CN"/>
        </w:rPr>
        <w:t>UIT</w:t>
      </w:r>
      <w:r w:rsidRPr="00193676">
        <w:rPr>
          <w:rFonts w:eastAsiaTheme="minorEastAsia"/>
          <w:lang w:val="fr-CH" w:eastAsia="zh-CN"/>
        </w:rPr>
        <w:t>:</w:t>
      </w:r>
    </w:p>
    <w:p w:rsidR="00DE12C7" w:rsidRPr="00193676" w:rsidRDefault="00DE12C7" w:rsidP="008D4F2D">
      <w:pPr>
        <w:pStyle w:val="enumlev1"/>
        <w:rPr>
          <w:rFonts w:eastAsiaTheme="minorEastAsia"/>
          <w:lang w:val="fr-CH" w:eastAsia="zh-CN"/>
        </w:rPr>
      </w:pPr>
      <w:r w:rsidRPr="00193676">
        <w:rPr>
          <w:rFonts w:eastAsiaTheme="minorEastAsia"/>
          <w:lang w:val="fr-CH" w:eastAsia="zh-CN"/>
        </w:rPr>
        <w:t>1)</w:t>
      </w:r>
      <w:r w:rsidRPr="00193676">
        <w:rPr>
          <w:rFonts w:eastAsiaTheme="minorEastAsia"/>
          <w:lang w:val="fr-CH" w:eastAsia="zh-CN"/>
        </w:rPr>
        <w:tab/>
        <w:t xml:space="preserve">à examiner la question de l'acceptation par l'UIT des fonctions d'Autorité de surveillance au moment de, ou après, l'entrée en vigueur du Protocole et de prendre les mesures nécessaires, le cas échéant; et </w:t>
      </w:r>
    </w:p>
    <w:p w:rsidR="00DE12C7" w:rsidRPr="00193676" w:rsidRDefault="00DE12C7" w:rsidP="008D4F2D">
      <w:pPr>
        <w:pStyle w:val="enumlev1"/>
        <w:rPr>
          <w:rFonts w:eastAsiaTheme="minorEastAsia"/>
          <w:lang w:val="fr-CH" w:eastAsia="zh-CN"/>
        </w:rPr>
      </w:pPr>
      <w:r w:rsidRPr="00193676">
        <w:rPr>
          <w:rFonts w:eastAsiaTheme="minorEastAsia"/>
          <w:lang w:val="fr-CH" w:eastAsia="zh-CN"/>
        </w:rPr>
        <w:t>2)</w:t>
      </w:r>
      <w:r w:rsidRPr="00193676">
        <w:rPr>
          <w:rFonts w:eastAsiaTheme="minorEastAsia"/>
          <w:lang w:val="fr-CH" w:eastAsia="zh-CN"/>
        </w:rPr>
        <w:tab/>
        <w:t>à informer le Secrétaire général d'UNIDROIT en conséquence.</w:t>
      </w:r>
      <w:r w:rsidR="004C0333">
        <w:rPr>
          <w:rFonts w:eastAsiaTheme="minorEastAsia"/>
          <w:lang w:val="fr-CH" w:eastAsia="zh-CN"/>
        </w:rPr>
        <w:t xml:space="preserve"> </w:t>
      </w:r>
    </w:p>
    <w:p w:rsidR="00DE12C7" w:rsidRPr="006E1CEA" w:rsidRDefault="008D4F2D" w:rsidP="008D4F2D">
      <w:pPr>
        <w:pStyle w:val="Heading1"/>
        <w:rPr>
          <w:rFonts w:eastAsiaTheme="minorEastAsia"/>
          <w:lang w:val="fr-CH" w:eastAsia="zh-CN"/>
        </w:rPr>
      </w:pPr>
      <w:r>
        <w:rPr>
          <w:rFonts w:eastAsiaTheme="minorEastAsia"/>
          <w:lang w:val="fr-CH" w:eastAsia="zh-CN"/>
        </w:rPr>
        <w:t>3</w:t>
      </w:r>
      <w:r>
        <w:rPr>
          <w:rFonts w:eastAsiaTheme="minorEastAsia"/>
          <w:lang w:val="fr-CH" w:eastAsia="zh-CN"/>
        </w:rPr>
        <w:tab/>
      </w:r>
      <w:r w:rsidR="00DE12C7" w:rsidRPr="006E1CEA">
        <w:rPr>
          <w:rFonts w:eastAsiaTheme="minorEastAsia"/>
          <w:lang w:val="fr-CH" w:eastAsia="zh-CN"/>
        </w:rPr>
        <w:t xml:space="preserve">Session de 2012 du </w:t>
      </w:r>
      <w:r w:rsidR="00DE12C7">
        <w:rPr>
          <w:rFonts w:eastAsiaTheme="minorEastAsia"/>
          <w:lang w:val="fr-CH" w:eastAsia="zh-CN"/>
        </w:rPr>
        <w:t>C</w:t>
      </w:r>
      <w:r w:rsidR="00DE12C7" w:rsidRPr="006E1CEA">
        <w:rPr>
          <w:rFonts w:eastAsiaTheme="minorEastAsia"/>
          <w:lang w:val="fr-CH" w:eastAsia="zh-CN"/>
        </w:rPr>
        <w:t>onseil</w:t>
      </w:r>
      <w:r w:rsidR="004C0333">
        <w:rPr>
          <w:rFonts w:eastAsiaTheme="minorEastAsia"/>
          <w:lang w:val="fr-CH" w:eastAsia="zh-CN"/>
        </w:rPr>
        <w:t xml:space="preserve"> </w:t>
      </w:r>
    </w:p>
    <w:p w:rsidR="00DE12C7" w:rsidRPr="00481A74" w:rsidRDefault="008D4F2D" w:rsidP="00B67BB6">
      <w:pPr>
        <w:rPr>
          <w:rFonts w:eastAsiaTheme="minorEastAsia"/>
          <w:lang w:val="fr-CH" w:eastAsia="zh-CN"/>
        </w:rPr>
      </w:pPr>
      <w:r>
        <w:rPr>
          <w:rFonts w:eastAsiaTheme="minorEastAsia"/>
          <w:lang w:val="fr-CH" w:eastAsia="zh-CN"/>
        </w:rPr>
        <w:t>3.1</w:t>
      </w:r>
      <w:r>
        <w:rPr>
          <w:rFonts w:eastAsiaTheme="minorEastAsia"/>
          <w:lang w:val="fr-CH" w:eastAsia="zh-CN"/>
        </w:rPr>
        <w:tab/>
      </w:r>
      <w:r w:rsidR="00DE12C7">
        <w:rPr>
          <w:rFonts w:eastAsiaTheme="minorEastAsia"/>
          <w:lang w:val="fr-CH" w:eastAsia="zh-CN"/>
        </w:rPr>
        <w:t>S</w:t>
      </w:r>
      <w:r w:rsidR="00DE12C7" w:rsidRPr="006E1CEA">
        <w:rPr>
          <w:rFonts w:eastAsiaTheme="minorEastAsia"/>
          <w:lang w:val="fr-CH" w:eastAsia="zh-CN"/>
        </w:rPr>
        <w:t>uite aux discussions qui ont eu lieu à la session de 2011 du Conseil concernant le rôle que pourrait jouer l'UIT en tant qu'Autorité de surveillance du futur système international d'inscription pour les biens spatiaux, conformément au projet de Protocole portant sur les biens spatiaux</w:t>
      </w:r>
      <w:r w:rsidR="004C0333">
        <w:rPr>
          <w:rFonts w:eastAsiaTheme="minorEastAsia"/>
          <w:lang w:val="fr-CH" w:eastAsia="zh-CN"/>
        </w:rPr>
        <w:t>,</w:t>
      </w:r>
      <w:r w:rsidR="00DE12C7">
        <w:rPr>
          <w:rFonts w:eastAsiaTheme="minorEastAsia"/>
          <w:lang w:val="fr-CH" w:eastAsia="zh-CN"/>
        </w:rPr>
        <w:t xml:space="preserve"> </w:t>
      </w:r>
      <w:r w:rsidR="00DE12C7" w:rsidRPr="006E1CEA">
        <w:rPr>
          <w:rFonts w:eastAsiaTheme="minorEastAsia"/>
          <w:lang w:val="fr-CH" w:eastAsia="zh-CN"/>
        </w:rPr>
        <w:t>un rapport d'activité</w:t>
      </w:r>
      <w:r w:rsidR="00DE12C7" w:rsidRPr="00C90822">
        <w:rPr>
          <w:rFonts w:eastAsiaTheme="minorEastAsia"/>
          <w:lang w:val="fr-CH" w:eastAsia="zh-CN"/>
        </w:rPr>
        <w:t xml:space="preserve"> </w:t>
      </w:r>
      <w:r w:rsidR="00DE12C7">
        <w:rPr>
          <w:rFonts w:eastAsiaTheme="minorEastAsia"/>
          <w:lang w:val="fr-CH" w:eastAsia="zh-CN"/>
        </w:rPr>
        <w:t xml:space="preserve">relatif à </w:t>
      </w:r>
      <w:r w:rsidR="00DE12C7" w:rsidRPr="006E1CEA">
        <w:rPr>
          <w:rFonts w:eastAsiaTheme="minorEastAsia"/>
          <w:lang w:val="fr-CH" w:eastAsia="zh-CN"/>
        </w:rPr>
        <w:t>la Conférence diplomatique</w:t>
      </w:r>
      <w:r w:rsidR="00DE12C7">
        <w:rPr>
          <w:rFonts w:eastAsiaTheme="minorEastAsia"/>
          <w:lang w:val="fr-CH" w:eastAsia="zh-CN"/>
        </w:rPr>
        <w:t>, assorti</w:t>
      </w:r>
      <w:r w:rsidR="004C0333">
        <w:rPr>
          <w:rFonts w:eastAsiaTheme="minorEastAsia"/>
          <w:lang w:val="fr-CH" w:eastAsia="zh-CN"/>
        </w:rPr>
        <w:t xml:space="preserve"> </w:t>
      </w:r>
      <w:r w:rsidR="00DE12C7">
        <w:rPr>
          <w:rFonts w:eastAsiaTheme="minorEastAsia"/>
          <w:lang w:val="fr-CH" w:eastAsia="zh-CN"/>
        </w:rPr>
        <w:t>de suggestions sur les mesures de suivi à prendre,</w:t>
      </w:r>
      <w:r w:rsidR="004C0333">
        <w:rPr>
          <w:rFonts w:eastAsiaTheme="minorEastAsia"/>
          <w:lang w:val="fr-CH" w:eastAsia="zh-CN"/>
        </w:rPr>
        <w:t xml:space="preserve"> </w:t>
      </w:r>
      <w:r w:rsidR="00DE12C7">
        <w:rPr>
          <w:rFonts w:eastAsiaTheme="minorEastAsia"/>
          <w:lang w:val="fr-CH" w:eastAsia="zh-CN"/>
        </w:rPr>
        <w:t>a été présenté au Conseil à sa session de 2012 (voir le Document</w:t>
      </w:r>
      <w:r w:rsidR="004C0333">
        <w:rPr>
          <w:rFonts w:eastAsiaTheme="minorEastAsia"/>
          <w:lang w:val="fr-CH" w:eastAsia="zh-CN"/>
        </w:rPr>
        <w:t xml:space="preserve"> </w:t>
      </w:r>
      <w:hyperlink r:id="rId35" w:history="1">
        <w:r w:rsidR="00DE12C7" w:rsidRPr="006E1CEA">
          <w:rPr>
            <w:rStyle w:val="Hyperlink"/>
            <w:rFonts w:eastAsiaTheme="minorEastAsia" w:cs="Calibri"/>
            <w:szCs w:val="24"/>
            <w:lang w:val="fr-CH" w:eastAsia="zh-CN"/>
          </w:rPr>
          <w:t>C12/36</w:t>
        </w:r>
      </w:hyperlink>
      <w:r>
        <w:rPr>
          <w:rFonts w:eastAsiaTheme="minorEastAsia"/>
          <w:lang w:val="fr-CH" w:eastAsia="zh-CN"/>
        </w:rPr>
        <w:t>)</w:t>
      </w:r>
      <w:r w:rsidR="00DE12C7">
        <w:rPr>
          <w:rFonts w:eastAsiaTheme="minorEastAsia"/>
          <w:lang w:val="fr-CH" w:eastAsia="zh-CN"/>
        </w:rPr>
        <w:t xml:space="preserve">. </w:t>
      </w:r>
      <w:r w:rsidR="00DE12C7" w:rsidRPr="00005E60">
        <w:rPr>
          <w:rFonts w:eastAsiaTheme="minorEastAsia"/>
          <w:lang w:eastAsia="zh-CN"/>
        </w:rPr>
        <w:t>Le Conseil à sa session de</w:t>
      </w:r>
      <w:r w:rsidR="004C0333">
        <w:rPr>
          <w:rFonts w:eastAsiaTheme="minorEastAsia"/>
          <w:lang w:eastAsia="zh-CN"/>
        </w:rPr>
        <w:t xml:space="preserve"> </w:t>
      </w:r>
      <w:r w:rsidR="00DE12C7" w:rsidRPr="00005E60">
        <w:rPr>
          <w:rFonts w:eastAsiaTheme="minorEastAsia"/>
          <w:lang w:eastAsia="zh-CN"/>
        </w:rPr>
        <w:t>2012 a</w:t>
      </w:r>
      <w:r w:rsidR="004C0333">
        <w:rPr>
          <w:rFonts w:eastAsiaTheme="minorEastAsia"/>
          <w:lang w:eastAsia="zh-CN"/>
        </w:rPr>
        <w:t xml:space="preserve"> </w:t>
      </w:r>
      <w:r w:rsidR="00DE12C7" w:rsidRPr="00005E60">
        <w:rPr>
          <w:rFonts w:eastAsiaTheme="minorEastAsia"/>
          <w:lang w:eastAsia="zh-CN"/>
        </w:rPr>
        <w:t>décidé d</w:t>
      </w:r>
      <w:r w:rsidR="004C0333">
        <w:rPr>
          <w:rFonts w:eastAsiaTheme="minorEastAsia"/>
          <w:lang w:eastAsia="zh-CN"/>
        </w:rPr>
        <w:t>'</w:t>
      </w:r>
      <w:r w:rsidR="00DE12C7" w:rsidRPr="00005E60">
        <w:rPr>
          <w:rFonts w:eastAsiaTheme="minorEastAsia"/>
          <w:lang w:eastAsia="zh-CN"/>
        </w:rPr>
        <w:t>autoriser le Secrétaire général à continuer d'exprimer l'intérêt de l'Union pour que celle-ci devienne l'Autorité de surveillance, notant qu'il n'y avait</w:t>
      </w:r>
      <w:r w:rsidR="004C0333">
        <w:rPr>
          <w:rFonts w:eastAsiaTheme="minorEastAsia"/>
          <w:lang w:eastAsia="zh-CN"/>
        </w:rPr>
        <w:t xml:space="preserve"> </w:t>
      </w:r>
      <w:r w:rsidR="00DE12C7" w:rsidRPr="00005E60">
        <w:rPr>
          <w:rFonts w:eastAsiaTheme="minorEastAsia"/>
          <w:lang w:eastAsia="zh-CN"/>
        </w:rPr>
        <w:t>pas lieu à ce stade de préjuger la question de savoir si l'UIT pourrait ou non assumer ces fonctions. En outre, le Conseil à sa session de 2012 a autorisé le Secrétaire général, ou son représentant, à participer en tant qu'observateur aux travaux de la Commission préparatoire, une fois que cette Commission aura été établie.</w:t>
      </w:r>
      <w:r w:rsidR="00DE12C7" w:rsidRPr="00005E60">
        <w:t xml:space="preserve"> </w:t>
      </w:r>
      <w:r w:rsidR="00DE12C7">
        <w:rPr>
          <w:rFonts w:eastAsiaTheme="minorEastAsia"/>
          <w:lang w:eastAsia="zh-CN"/>
        </w:rPr>
        <w:t>L</w:t>
      </w:r>
      <w:r w:rsidR="00DE12C7" w:rsidRPr="00005E60">
        <w:rPr>
          <w:rFonts w:eastAsiaTheme="minorEastAsia"/>
          <w:lang w:eastAsia="zh-CN"/>
        </w:rPr>
        <w:t>e Secrétaire général</w:t>
      </w:r>
      <w:r w:rsidR="00DE12C7">
        <w:rPr>
          <w:rFonts w:eastAsiaTheme="minorEastAsia"/>
          <w:lang w:eastAsia="zh-CN"/>
        </w:rPr>
        <w:t xml:space="preserve"> a été invité à</w:t>
      </w:r>
      <w:r w:rsidR="004C0333">
        <w:rPr>
          <w:rFonts w:eastAsiaTheme="minorEastAsia"/>
          <w:lang w:eastAsia="zh-CN"/>
        </w:rPr>
        <w:t xml:space="preserve"> </w:t>
      </w:r>
      <w:r w:rsidR="00DE12C7" w:rsidRPr="00005E60">
        <w:rPr>
          <w:rFonts w:eastAsiaTheme="minorEastAsia"/>
          <w:lang w:eastAsia="zh-CN"/>
        </w:rPr>
        <w:t>soumettr</w:t>
      </w:r>
      <w:r w:rsidR="00DE12C7">
        <w:rPr>
          <w:rFonts w:eastAsiaTheme="minorEastAsia"/>
          <w:lang w:eastAsia="zh-CN"/>
        </w:rPr>
        <w:t>e</w:t>
      </w:r>
      <w:r w:rsidR="00DE12C7" w:rsidRPr="00005E60">
        <w:rPr>
          <w:rFonts w:eastAsiaTheme="minorEastAsia"/>
          <w:lang w:eastAsia="zh-CN"/>
        </w:rPr>
        <w:t xml:space="preserve"> un rapport </w:t>
      </w:r>
      <w:r w:rsidR="00DE12C7">
        <w:rPr>
          <w:rFonts w:eastAsiaTheme="minorEastAsia"/>
          <w:lang w:eastAsia="zh-CN"/>
        </w:rPr>
        <w:t xml:space="preserve">au </w:t>
      </w:r>
      <w:r w:rsidR="00DE12C7" w:rsidRPr="00005E60">
        <w:rPr>
          <w:rFonts w:eastAsiaTheme="minorEastAsia"/>
          <w:lang w:eastAsia="zh-CN"/>
        </w:rPr>
        <w:t xml:space="preserve">Conseil à sa session de 2013, afin </w:t>
      </w:r>
      <w:r w:rsidR="00DE12C7">
        <w:rPr>
          <w:rFonts w:eastAsiaTheme="minorEastAsia"/>
          <w:lang w:eastAsia="zh-CN"/>
        </w:rPr>
        <w:t xml:space="preserve">que celui-ci </w:t>
      </w:r>
      <w:r w:rsidR="00DE12C7" w:rsidRPr="00005E60">
        <w:rPr>
          <w:rFonts w:eastAsiaTheme="minorEastAsia"/>
          <w:lang w:eastAsia="zh-CN"/>
        </w:rPr>
        <w:t>examine</w:t>
      </w:r>
      <w:r w:rsidR="004C0333">
        <w:rPr>
          <w:rFonts w:eastAsiaTheme="minorEastAsia"/>
          <w:lang w:eastAsia="zh-CN"/>
        </w:rPr>
        <w:t xml:space="preserve"> </w:t>
      </w:r>
      <w:r w:rsidR="00DE12C7" w:rsidRPr="00005E60">
        <w:rPr>
          <w:rFonts w:eastAsiaTheme="minorEastAsia"/>
          <w:lang w:eastAsia="zh-CN"/>
        </w:rPr>
        <w:t>plus avant la question à la lumière des faits nouveaux survenus en ce qui concerne l'établissement de la Commission préparatoire et des progrès éventuels accomplis, compte tenu des incidences financières, juridiques et techniques pour l'UIT.</w:t>
      </w:r>
      <w:r w:rsidR="004C0333">
        <w:rPr>
          <w:rFonts w:eastAsiaTheme="minorEastAsia"/>
          <w:lang w:eastAsia="zh-CN"/>
        </w:rPr>
        <w:t xml:space="preserve"> </w:t>
      </w:r>
    </w:p>
    <w:p w:rsidR="00464FF7" w:rsidRDefault="00464FF7" w:rsidP="008D4F2D">
      <w:pPr>
        <w:pStyle w:val="Heading1"/>
        <w:rPr>
          <w:rFonts w:eastAsiaTheme="minorEastAsia"/>
          <w:lang w:val="fr-CH" w:eastAsia="zh-CN"/>
        </w:rPr>
      </w:pPr>
      <w:r>
        <w:rPr>
          <w:rFonts w:eastAsiaTheme="minorEastAsia"/>
          <w:lang w:val="fr-CH" w:eastAsia="zh-CN"/>
        </w:rPr>
        <w:br w:type="page"/>
      </w:r>
    </w:p>
    <w:p w:rsidR="00DE12C7" w:rsidRDefault="00DE12C7" w:rsidP="008D4F2D">
      <w:pPr>
        <w:pStyle w:val="Heading1"/>
        <w:rPr>
          <w:rFonts w:eastAsiaTheme="minorEastAsia"/>
          <w:lang w:val="fr-CH" w:eastAsia="zh-CN"/>
        </w:rPr>
      </w:pPr>
      <w:r>
        <w:rPr>
          <w:rFonts w:eastAsiaTheme="minorEastAsia"/>
          <w:lang w:val="fr-CH" w:eastAsia="zh-CN"/>
        </w:rPr>
        <w:t>4</w:t>
      </w:r>
      <w:r w:rsidR="008D4F2D">
        <w:rPr>
          <w:rFonts w:eastAsiaTheme="minorEastAsia"/>
          <w:lang w:val="fr-CH" w:eastAsia="zh-CN"/>
        </w:rPr>
        <w:tab/>
      </w:r>
      <w:r w:rsidRPr="008965D3">
        <w:rPr>
          <w:rFonts w:eastAsiaTheme="minorEastAsia"/>
          <w:lang w:val="fr-CH" w:eastAsia="zh-CN"/>
        </w:rPr>
        <w:t>Commission préparatoire (1ère session, 6-7 mai 2013)</w:t>
      </w:r>
    </w:p>
    <w:p w:rsidR="00DE12C7" w:rsidRPr="008965D3" w:rsidRDefault="00DE12C7" w:rsidP="00B67BB6">
      <w:pPr>
        <w:rPr>
          <w:rFonts w:eastAsiaTheme="minorEastAsia"/>
          <w:lang w:val="fr-CH" w:eastAsia="zh-CN"/>
        </w:rPr>
      </w:pPr>
      <w:r>
        <w:rPr>
          <w:rFonts w:eastAsiaTheme="minorEastAsia"/>
          <w:lang w:val="fr-CH" w:eastAsia="zh-CN"/>
        </w:rPr>
        <w:t>4.1</w:t>
      </w:r>
      <w:r w:rsidR="008D4F2D">
        <w:rPr>
          <w:rFonts w:eastAsiaTheme="minorEastAsia"/>
          <w:lang w:val="fr-CH" w:eastAsia="zh-CN"/>
        </w:rPr>
        <w:tab/>
      </w:r>
      <w:r w:rsidRPr="008965D3">
        <w:rPr>
          <w:rFonts w:eastAsiaTheme="minorEastAsia"/>
          <w:lang w:val="fr-CH" w:eastAsia="zh-CN"/>
        </w:rPr>
        <w:t>La première session de la Commission préparatoire chargée de l'établissement du Registre international pour les biens spatiaux conformément au Protocole portant sur les biens spatiaux</w:t>
      </w:r>
      <w:r>
        <w:rPr>
          <w:rFonts w:eastAsiaTheme="minorEastAsia"/>
          <w:lang w:val="fr-CH" w:eastAsia="zh-CN"/>
        </w:rPr>
        <w:t xml:space="preserve"> </w:t>
      </w:r>
      <w:r w:rsidRPr="008965D3">
        <w:rPr>
          <w:rFonts w:eastAsiaTheme="minorEastAsia"/>
          <w:lang w:val="fr-CH" w:eastAsia="zh-CN"/>
        </w:rPr>
        <w:t>s'est tenue au siège d'U</w:t>
      </w:r>
      <w:r>
        <w:rPr>
          <w:rFonts w:eastAsiaTheme="minorEastAsia"/>
          <w:lang w:val="fr-CH" w:eastAsia="zh-CN"/>
        </w:rPr>
        <w:t xml:space="preserve">NIDROIT </w:t>
      </w:r>
      <w:r w:rsidRPr="008965D3">
        <w:rPr>
          <w:rFonts w:eastAsiaTheme="minorEastAsia"/>
          <w:lang w:val="fr-CH" w:eastAsia="zh-CN"/>
        </w:rPr>
        <w:t xml:space="preserve">à Rome les 6 et 7 mai 2013. Conformément à la Résolution 1 de la Conférence diplomatique relative à l'établissement de la Commission préparatoire et en attendant l'entrée en vigueur du Protocole, la </w:t>
      </w:r>
      <w:r>
        <w:rPr>
          <w:rFonts w:eastAsiaTheme="minorEastAsia"/>
          <w:lang w:val="fr-CH" w:eastAsia="zh-CN"/>
        </w:rPr>
        <w:t>C</w:t>
      </w:r>
      <w:r w:rsidRPr="008965D3">
        <w:rPr>
          <w:rFonts w:eastAsiaTheme="minorEastAsia"/>
          <w:lang w:val="fr-CH" w:eastAsia="zh-CN"/>
        </w:rPr>
        <w:t xml:space="preserve">ommission est </w:t>
      </w:r>
      <w:r>
        <w:rPr>
          <w:rFonts w:eastAsiaTheme="minorEastAsia"/>
          <w:lang w:val="fr-CH" w:eastAsia="zh-CN"/>
        </w:rPr>
        <w:t xml:space="preserve">actuellement </w:t>
      </w:r>
      <w:r w:rsidRPr="008965D3">
        <w:rPr>
          <w:rFonts w:eastAsiaTheme="minorEastAsia"/>
          <w:lang w:val="fr-CH" w:eastAsia="zh-CN"/>
        </w:rPr>
        <w:t>investie de tous les pouvoirs nécessaires pour faire fonction d'Autorité provisoire de surveillance.</w:t>
      </w:r>
    </w:p>
    <w:p w:rsidR="00DE12C7" w:rsidRPr="008965D3" w:rsidRDefault="00DE12C7" w:rsidP="00B67BB6">
      <w:pPr>
        <w:rPr>
          <w:rFonts w:eastAsiaTheme="minorEastAsia"/>
          <w:lang w:val="fr-CH" w:eastAsia="zh-CN"/>
        </w:rPr>
      </w:pPr>
      <w:r>
        <w:rPr>
          <w:rFonts w:eastAsiaTheme="minorEastAsia"/>
          <w:lang w:val="fr-CH" w:eastAsia="zh-CN"/>
        </w:rPr>
        <w:t>4.2</w:t>
      </w:r>
      <w:r w:rsidR="008D4F2D">
        <w:rPr>
          <w:rFonts w:eastAsiaTheme="minorEastAsia"/>
          <w:lang w:val="fr-CH" w:eastAsia="zh-CN"/>
        </w:rPr>
        <w:tab/>
      </w:r>
      <w:r w:rsidRPr="008965D3">
        <w:rPr>
          <w:rFonts w:eastAsiaTheme="minorEastAsia"/>
          <w:lang w:val="fr-CH" w:eastAsia="zh-CN"/>
        </w:rPr>
        <w:t>La Commission a établi deux groupes de travail, le Groupe de travail I, chargé de rédiger un projet de règlement concernant le Registre international pour les biens spatiaux, placé sous la présidence de M. Igor Porokhin (Fédération de Russie) avec la participation de représentants de la République populaire de Chine, de la France, de l'Allemagne, de la Fédération de Russie, de la République sudafricaine</w:t>
      </w:r>
      <w:r>
        <w:rPr>
          <w:rFonts w:eastAsiaTheme="minorEastAsia"/>
          <w:lang w:val="fr-CH" w:eastAsia="zh-CN"/>
        </w:rPr>
        <w:t xml:space="preserve"> et </w:t>
      </w:r>
      <w:r w:rsidRPr="008965D3">
        <w:rPr>
          <w:rFonts w:eastAsiaTheme="minorEastAsia"/>
          <w:lang w:val="fr-CH" w:eastAsia="zh-CN"/>
        </w:rPr>
        <w:t>des Etats-Unis d'Amérique</w:t>
      </w:r>
      <w:r>
        <w:rPr>
          <w:rFonts w:eastAsiaTheme="minorEastAsia"/>
          <w:lang w:val="fr-CH" w:eastAsia="zh-CN"/>
        </w:rPr>
        <w:t>,</w:t>
      </w:r>
      <w:r w:rsidR="004C0333">
        <w:rPr>
          <w:rFonts w:eastAsiaTheme="minorEastAsia"/>
          <w:lang w:val="fr-CH" w:eastAsia="zh-CN"/>
        </w:rPr>
        <w:t xml:space="preserve"> </w:t>
      </w:r>
      <w:r w:rsidRPr="008965D3">
        <w:rPr>
          <w:rFonts w:eastAsiaTheme="minorEastAsia"/>
          <w:lang w:val="fr-CH" w:eastAsia="zh-CN"/>
        </w:rPr>
        <w:t>ainsi que de l'UIT, de SES et de Thales Alenia Space à titre d'observateurs</w:t>
      </w:r>
      <w:r>
        <w:rPr>
          <w:rFonts w:eastAsiaTheme="minorEastAsia"/>
          <w:lang w:val="fr-CH" w:eastAsia="zh-CN"/>
        </w:rPr>
        <w:t>,</w:t>
      </w:r>
      <w:r w:rsidR="004C0333">
        <w:rPr>
          <w:rFonts w:eastAsiaTheme="minorEastAsia"/>
          <w:lang w:val="fr-CH" w:eastAsia="zh-CN"/>
        </w:rPr>
        <w:t xml:space="preserve"> </w:t>
      </w:r>
      <w:r w:rsidRPr="008965D3">
        <w:rPr>
          <w:rFonts w:eastAsiaTheme="minorEastAsia"/>
          <w:lang w:val="fr-CH" w:eastAsia="zh-CN"/>
        </w:rPr>
        <w:t>et le Groupe de travail II, chargé de rédiger une demande de propositions concernant la sélection d'un Conservateur du Registre international pour les biens spatiaux, placé sous la présidence de M. Bernhard Schmidt-Tedd (Allemagne)</w:t>
      </w:r>
      <w:r>
        <w:rPr>
          <w:rFonts w:eastAsiaTheme="minorEastAsia"/>
          <w:lang w:val="fr-CH" w:eastAsia="zh-CN"/>
        </w:rPr>
        <w:t>,</w:t>
      </w:r>
      <w:r w:rsidRPr="008965D3">
        <w:rPr>
          <w:rFonts w:eastAsiaTheme="minorEastAsia"/>
          <w:lang w:val="fr-CH" w:eastAsia="zh-CN"/>
        </w:rPr>
        <w:t xml:space="preserve"> avec la participation de représentants de la République populaire de Chine, de la République tchèque, de la France, de l'Allemagne, de l'</w:t>
      </w:r>
      <w:r>
        <w:rPr>
          <w:rFonts w:eastAsiaTheme="minorEastAsia"/>
          <w:lang w:val="fr-CH" w:eastAsia="zh-CN"/>
        </w:rPr>
        <w:t xml:space="preserve">Italie et </w:t>
      </w:r>
      <w:r w:rsidRPr="008965D3">
        <w:rPr>
          <w:rFonts w:eastAsiaTheme="minorEastAsia"/>
          <w:lang w:val="fr-CH" w:eastAsia="zh-CN"/>
        </w:rPr>
        <w:t>de la Fédération de Russie</w:t>
      </w:r>
      <w:r>
        <w:rPr>
          <w:rFonts w:eastAsiaTheme="minorEastAsia"/>
          <w:lang w:val="fr-CH" w:eastAsia="zh-CN"/>
        </w:rPr>
        <w:t>,</w:t>
      </w:r>
      <w:r w:rsidR="004C0333">
        <w:rPr>
          <w:rFonts w:eastAsiaTheme="minorEastAsia"/>
          <w:lang w:val="fr-CH" w:eastAsia="zh-CN"/>
        </w:rPr>
        <w:t xml:space="preserve"> </w:t>
      </w:r>
      <w:r w:rsidRPr="008965D3">
        <w:rPr>
          <w:rFonts w:eastAsiaTheme="minorEastAsia"/>
          <w:lang w:val="fr-CH" w:eastAsia="zh-CN"/>
        </w:rPr>
        <w:t>ainsi que de l'UIT à titre d'observateur. La Commission a également approuvé un calendrier prévoyant la tenue d'une réunion du Groupe de travail I au début de 2014 en fonction des travaux intersessions entrepris</w:t>
      </w:r>
      <w:r>
        <w:rPr>
          <w:rFonts w:eastAsiaTheme="minorEastAsia"/>
          <w:lang w:val="fr-CH" w:eastAsia="zh-CN"/>
        </w:rPr>
        <w:t>, suivie</w:t>
      </w:r>
      <w:r w:rsidR="004C0333">
        <w:rPr>
          <w:rFonts w:eastAsiaTheme="minorEastAsia"/>
          <w:lang w:val="fr-CH" w:eastAsia="zh-CN"/>
        </w:rPr>
        <w:t xml:space="preserve"> </w:t>
      </w:r>
      <w:r w:rsidRPr="008965D3">
        <w:rPr>
          <w:rFonts w:eastAsiaTheme="minorEastAsia"/>
          <w:lang w:val="fr-CH" w:eastAsia="zh-CN"/>
        </w:rPr>
        <w:t>éventuelle</w:t>
      </w:r>
      <w:r>
        <w:rPr>
          <w:rFonts w:eastAsiaTheme="minorEastAsia"/>
          <w:lang w:val="fr-CH" w:eastAsia="zh-CN"/>
        </w:rPr>
        <w:t>ment d</w:t>
      </w:r>
      <w:r w:rsidR="004C0333">
        <w:rPr>
          <w:rFonts w:eastAsiaTheme="minorEastAsia"/>
          <w:lang w:val="fr-CH" w:eastAsia="zh-CN"/>
        </w:rPr>
        <w:t>'</w:t>
      </w:r>
      <w:r>
        <w:rPr>
          <w:rFonts w:eastAsiaTheme="minorEastAsia"/>
          <w:lang w:val="fr-CH" w:eastAsia="zh-CN"/>
        </w:rPr>
        <w:t>une</w:t>
      </w:r>
      <w:r w:rsidR="004C0333">
        <w:rPr>
          <w:rFonts w:eastAsiaTheme="minorEastAsia"/>
          <w:lang w:val="fr-CH" w:eastAsia="zh-CN"/>
        </w:rPr>
        <w:t xml:space="preserve"> </w:t>
      </w:r>
      <w:r w:rsidRPr="008965D3">
        <w:rPr>
          <w:rFonts w:eastAsiaTheme="minorEastAsia"/>
          <w:lang w:val="fr-CH" w:eastAsia="zh-CN"/>
        </w:rPr>
        <w:t>réunio</w:t>
      </w:r>
      <w:r>
        <w:rPr>
          <w:rFonts w:eastAsiaTheme="minorEastAsia"/>
          <w:lang w:val="fr-CH" w:eastAsia="zh-CN"/>
        </w:rPr>
        <w:t>n du Groupe de travail II avant</w:t>
      </w:r>
      <w:r w:rsidR="004C0333">
        <w:rPr>
          <w:rFonts w:eastAsiaTheme="minorEastAsia"/>
          <w:lang w:val="fr-CH" w:eastAsia="zh-CN"/>
        </w:rPr>
        <w:t xml:space="preserve"> </w:t>
      </w:r>
      <w:r w:rsidRPr="008965D3">
        <w:rPr>
          <w:rFonts w:eastAsiaTheme="minorEastAsia"/>
          <w:lang w:val="fr-CH" w:eastAsia="zh-CN"/>
        </w:rPr>
        <w:t>avril 2014.</w:t>
      </w:r>
    </w:p>
    <w:p w:rsidR="00DE12C7" w:rsidRPr="007F7F35" w:rsidRDefault="008D4F2D" w:rsidP="008D4F2D">
      <w:pPr>
        <w:pStyle w:val="Heading1"/>
        <w:rPr>
          <w:rFonts w:eastAsiaTheme="minorEastAsia"/>
          <w:lang w:eastAsia="zh-CN"/>
        </w:rPr>
      </w:pPr>
      <w:r>
        <w:rPr>
          <w:rFonts w:eastAsiaTheme="minorEastAsia"/>
          <w:lang w:val="fr-CH" w:eastAsia="zh-CN"/>
        </w:rPr>
        <w:t>5</w:t>
      </w:r>
      <w:r>
        <w:rPr>
          <w:rFonts w:eastAsiaTheme="minorEastAsia"/>
          <w:lang w:val="fr-CH" w:eastAsia="zh-CN"/>
        </w:rPr>
        <w:tab/>
      </w:r>
      <w:r w:rsidR="00DE12C7" w:rsidRPr="007F7F35">
        <w:rPr>
          <w:rFonts w:eastAsiaTheme="minorEastAsia"/>
          <w:lang w:eastAsia="zh-CN"/>
        </w:rPr>
        <w:t xml:space="preserve">Session de 2013 du Conseil </w:t>
      </w:r>
    </w:p>
    <w:p w:rsidR="00DE12C7" w:rsidRPr="008965D3" w:rsidRDefault="00DE12C7" w:rsidP="00B67BB6">
      <w:pPr>
        <w:rPr>
          <w:rFonts w:eastAsiaTheme="minorEastAsia"/>
          <w:lang w:val="fr-CH" w:eastAsia="zh-CN"/>
        </w:rPr>
      </w:pPr>
      <w:r>
        <w:rPr>
          <w:rFonts w:eastAsiaTheme="minorEastAsia"/>
          <w:lang w:val="fr-CH" w:eastAsia="zh-CN"/>
        </w:rPr>
        <w:t>5.1</w:t>
      </w:r>
      <w:r w:rsidR="008D4F2D">
        <w:rPr>
          <w:rFonts w:eastAsiaTheme="minorEastAsia"/>
          <w:lang w:val="fr-CH" w:eastAsia="zh-CN"/>
        </w:rPr>
        <w:tab/>
      </w:r>
      <w:r w:rsidRPr="008965D3">
        <w:rPr>
          <w:rFonts w:eastAsiaTheme="minorEastAsia"/>
          <w:lang w:val="fr-CH" w:eastAsia="zh-CN"/>
        </w:rPr>
        <w:t xml:space="preserve">A la suite des discussions qui ont eu lieu à la session de 2012 du Conseil et </w:t>
      </w:r>
      <w:r>
        <w:rPr>
          <w:rFonts w:eastAsiaTheme="minorEastAsia"/>
          <w:lang w:val="fr-CH" w:eastAsia="zh-CN"/>
        </w:rPr>
        <w:t xml:space="preserve">à </w:t>
      </w:r>
      <w:r w:rsidRPr="008965D3">
        <w:rPr>
          <w:rFonts w:eastAsiaTheme="minorEastAsia"/>
          <w:lang w:val="fr-CH" w:eastAsia="zh-CN"/>
        </w:rPr>
        <w:t xml:space="preserve">la première session de la Commission préparatoire tenue à Rome (Italie) les 6 </w:t>
      </w:r>
      <w:r w:rsidR="00B67BB6">
        <w:rPr>
          <w:rFonts w:eastAsiaTheme="minorEastAsia"/>
          <w:lang w:val="fr-CH" w:eastAsia="zh-CN"/>
        </w:rPr>
        <w:t>et 7 mai 2013 (voir le Document </w:t>
      </w:r>
      <w:hyperlink r:id="rId36" w:history="1">
        <w:r w:rsidR="00B67BB6" w:rsidRPr="00B67BB6">
          <w:rPr>
            <w:rStyle w:val="Hyperlink"/>
            <w:rFonts w:eastAsiaTheme="minorEastAsia" w:cs="Calibri"/>
            <w:szCs w:val="24"/>
            <w:lang w:val="fr-CH" w:eastAsia="zh-CN"/>
          </w:rPr>
          <w:t>C13/55</w:t>
        </w:r>
      </w:hyperlink>
      <w:r w:rsidRPr="008965D3">
        <w:rPr>
          <w:rFonts w:eastAsiaTheme="minorEastAsia"/>
          <w:lang w:val="fr-CH" w:eastAsia="zh-CN"/>
        </w:rPr>
        <w:t>), le Conseil</w:t>
      </w:r>
      <w:r>
        <w:rPr>
          <w:rFonts w:eastAsiaTheme="minorEastAsia"/>
          <w:lang w:val="fr-CH" w:eastAsia="zh-CN"/>
        </w:rPr>
        <w:t xml:space="preserve"> </w:t>
      </w:r>
      <w:r w:rsidRPr="008965D3">
        <w:rPr>
          <w:rFonts w:eastAsiaTheme="minorEastAsia"/>
          <w:lang w:val="fr-CH" w:eastAsia="zh-CN"/>
        </w:rPr>
        <w:t>à sa session de 2013</w:t>
      </w:r>
      <w:r>
        <w:rPr>
          <w:rFonts w:eastAsiaTheme="minorEastAsia"/>
          <w:lang w:val="fr-CH" w:eastAsia="zh-CN"/>
        </w:rPr>
        <w:t xml:space="preserve"> </w:t>
      </w:r>
      <w:r w:rsidRPr="008965D3">
        <w:rPr>
          <w:rFonts w:eastAsiaTheme="minorEastAsia"/>
          <w:lang w:val="fr-CH" w:eastAsia="zh-CN"/>
        </w:rPr>
        <w:t xml:space="preserve">a examiné en détail le problème soulevé par le rôle </w:t>
      </w:r>
      <w:r>
        <w:rPr>
          <w:rFonts w:eastAsiaTheme="minorEastAsia"/>
          <w:lang w:val="fr-CH" w:eastAsia="zh-CN"/>
        </w:rPr>
        <w:t>que pourrait jouer</w:t>
      </w:r>
      <w:r w:rsidR="004C0333">
        <w:rPr>
          <w:rFonts w:eastAsiaTheme="minorEastAsia"/>
          <w:lang w:val="fr-CH" w:eastAsia="zh-CN"/>
        </w:rPr>
        <w:t xml:space="preserve"> </w:t>
      </w:r>
      <w:r w:rsidRPr="008965D3">
        <w:rPr>
          <w:rFonts w:eastAsiaTheme="minorEastAsia"/>
          <w:lang w:val="fr-CH" w:eastAsia="zh-CN"/>
        </w:rPr>
        <w:t>l'UIT en tant qu'Autorité de surveillance du système international d'inscription pour les biens spatiaux conformément au Protocole portant sur les biens spatiaux. Les principales questions et observations formulées par les Etats Membres concernaient</w:t>
      </w:r>
      <w:r w:rsidR="004C0333">
        <w:rPr>
          <w:rFonts w:eastAsiaTheme="minorEastAsia"/>
          <w:lang w:val="fr-CH" w:eastAsia="zh-CN"/>
        </w:rPr>
        <w:t xml:space="preserve"> </w:t>
      </w:r>
      <w:r w:rsidRPr="008965D3">
        <w:rPr>
          <w:rFonts w:eastAsiaTheme="minorEastAsia"/>
          <w:lang w:val="fr-CH" w:eastAsia="zh-CN"/>
        </w:rPr>
        <w:t>les incidences financières et les questions logistiques</w:t>
      </w:r>
      <w:r>
        <w:rPr>
          <w:rFonts w:eastAsiaTheme="minorEastAsia"/>
          <w:lang w:val="fr-CH" w:eastAsia="zh-CN"/>
        </w:rPr>
        <w:t>,</w:t>
      </w:r>
      <w:r w:rsidRPr="008965D3">
        <w:rPr>
          <w:rFonts w:eastAsiaTheme="minorEastAsia"/>
          <w:lang w:val="fr-CH" w:eastAsia="zh-CN"/>
        </w:rPr>
        <w:t xml:space="preserve"> dans l'hypothèse où l'UIT exercerait l</w:t>
      </w:r>
      <w:r>
        <w:rPr>
          <w:rFonts w:eastAsiaTheme="minorEastAsia"/>
          <w:lang w:val="fr-CH" w:eastAsia="zh-CN"/>
        </w:rPr>
        <w:t>es</w:t>
      </w:r>
      <w:r w:rsidRPr="008965D3">
        <w:rPr>
          <w:rFonts w:eastAsiaTheme="minorEastAsia"/>
          <w:lang w:val="fr-CH" w:eastAsia="zh-CN"/>
        </w:rPr>
        <w:t xml:space="preserve"> fonction</w:t>
      </w:r>
      <w:r>
        <w:rPr>
          <w:rFonts w:eastAsiaTheme="minorEastAsia"/>
          <w:lang w:val="fr-CH" w:eastAsia="zh-CN"/>
        </w:rPr>
        <w:t>s</w:t>
      </w:r>
      <w:r w:rsidR="004C0333">
        <w:rPr>
          <w:rFonts w:eastAsiaTheme="minorEastAsia"/>
          <w:lang w:val="fr-CH" w:eastAsia="zh-CN"/>
        </w:rPr>
        <w:t xml:space="preserve"> </w:t>
      </w:r>
      <w:r w:rsidRPr="008965D3">
        <w:rPr>
          <w:rFonts w:eastAsiaTheme="minorEastAsia"/>
          <w:lang w:val="fr-CH" w:eastAsia="zh-CN"/>
        </w:rPr>
        <w:t>d'Autorité de surveillance, le lien entre l'objet de l'Union</w:t>
      </w:r>
      <w:r>
        <w:rPr>
          <w:rFonts w:eastAsiaTheme="minorEastAsia"/>
          <w:lang w:val="fr-CH" w:eastAsia="zh-CN"/>
        </w:rPr>
        <w:t>,</w:t>
      </w:r>
      <w:r w:rsidRPr="008965D3">
        <w:rPr>
          <w:rFonts w:eastAsiaTheme="minorEastAsia"/>
          <w:lang w:val="fr-CH" w:eastAsia="zh-CN"/>
        </w:rPr>
        <w:t xml:space="preserve"> tel qu'énoncé dans la Constitution de l'UIT</w:t>
      </w:r>
      <w:r>
        <w:rPr>
          <w:rFonts w:eastAsiaTheme="minorEastAsia"/>
          <w:lang w:val="fr-CH" w:eastAsia="zh-CN"/>
        </w:rPr>
        <w:t>,</w:t>
      </w:r>
      <w:r w:rsidRPr="008965D3">
        <w:rPr>
          <w:rFonts w:eastAsiaTheme="minorEastAsia"/>
          <w:lang w:val="fr-CH" w:eastAsia="zh-CN"/>
        </w:rPr>
        <w:t xml:space="preserve"> et le Protocole portant sur les biens spatiaux, les droits et obligations de l'Autorité de surveillance, le document qui lierait l'UIT au Protocole, et la possibilité pour l'Union de fixer librement le montant des droits d'inscription. </w:t>
      </w:r>
    </w:p>
    <w:p w:rsidR="00DE12C7" w:rsidRPr="00CF5864" w:rsidRDefault="00DE12C7" w:rsidP="00B67BB6">
      <w:pPr>
        <w:rPr>
          <w:rFonts w:eastAsiaTheme="minorEastAsia"/>
          <w:lang w:eastAsia="zh-CN"/>
        </w:rPr>
      </w:pPr>
      <w:r>
        <w:rPr>
          <w:rFonts w:eastAsiaTheme="minorEastAsia"/>
          <w:lang w:eastAsia="zh-CN"/>
        </w:rPr>
        <w:t>5.2</w:t>
      </w:r>
      <w:r w:rsidR="008D4F2D">
        <w:rPr>
          <w:rFonts w:eastAsiaTheme="minorEastAsia"/>
          <w:lang w:eastAsia="zh-CN"/>
        </w:rPr>
        <w:tab/>
      </w:r>
      <w:r w:rsidRPr="00481A74">
        <w:rPr>
          <w:rFonts w:eastAsiaTheme="minorEastAsia"/>
          <w:lang w:eastAsia="zh-CN"/>
        </w:rPr>
        <w:t>Conformément à ses d</w:t>
      </w:r>
      <w:r>
        <w:rPr>
          <w:rFonts w:eastAsiaTheme="minorEastAsia"/>
          <w:lang w:eastAsia="zh-CN"/>
        </w:rPr>
        <w:t>é</w:t>
      </w:r>
      <w:r w:rsidRPr="00481A74">
        <w:rPr>
          <w:rFonts w:eastAsiaTheme="minorEastAsia"/>
          <w:lang w:eastAsia="zh-CN"/>
        </w:rPr>
        <w:t>cisions antérieures, le Conseil à sa session de 2013 a adopté la</w:t>
      </w:r>
      <w:r w:rsidR="004C0333">
        <w:rPr>
          <w:rFonts w:eastAsiaTheme="minorEastAsia"/>
          <w:lang w:eastAsia="zh-CN"/>
        </w:rPr>
        <w:t xml:space="preserve"> </w:t>
      </w:r>
      <w:r w:rsidRPr="00481A74">
        <w:rPr>
          <w:rFonts w:eastAsiaTheme="minorEastAsia"/>
          <w:lang w:eastAsia="zh-CN"/>
        </w:rPr>
        <w:t>Décision 576</w:t>
      </w:r>
      <w:r w:rsidR="004C0333">
        <w:rPr>
          <w:rFonts w:eastAsiaTheme="minorEastAsia"/>
          <w:lang w:eastAsia="zh-CN"/>
        </w:rPr>
        <w:t xml:space="preserve"> </w:t>
      </w:r>
      <w:r w:rsidRPr="00481A74">
        <w:rPr>
          <w:rFonts w:eastAsiaTheme="minorEastAsia"/>
          <w:lang w:eastAsia="zh-CN"/>
        </w:rPr>
        <w:t>concernant l</w:t>
      </w:r>
      <w:r w:rsidR="004C0333">
        <w:rPr>
          <w:rFonts w:eastAsiaTheme="minorEastAsia"/>
          <w:lang w:eastAsia="zh-CN"/>
        </w:rPr>
        <w:t>'</w:t>
      </w:r>
      <w:r w:rsidRPr="00481A74">
        <w:rPr>
          <w:rFonts w:eastAsiaTheme="minorEastAsia"/>
          <w:lang w:eastAsia="zh-CN"/>
        </w:rPr>
        <w:t>examen du</w:t>
      </w:r>
      <w:r w:rsidR="004C0333">
        <w:rPr>
          <w:rFonts w:eastAsiaTheme="minorEastAsia"/>
          <w:lang w:eastAsia="zh-CN"/>
        </w:rPr>
        <w:t xml:space="preserve"> </w:t>
      </w:r>
      <w:r w:rsidRPr="00481A74">
        <w:rPr>
          <w:rFonts w:eastAsiaTheme="minorEastAsia"/>
          <w:lang w:eastAsia="zh-CN"/>
        </w:rPr>
        <w:t xml:space="preserve">rôle que pourrait jouer l'UIT en tant qu'Autorité de surveillance du système international d'inscription pour les biens spatiaux, conformément au Protocole portant sur les biens spatiaux. </w:t>
      </w:r>
      <w:r w:rsidRPr="00CF5864">
        <w:rPr>
          <w:rFonts w:eastAsiaTheme="minorEastAsia"/>
          <w:lang w:eastAsia="zh-CN"/>
        </w:rPr>
        <w:t>En vertu de cette Décision, le Secrétaire g</w:t>
      </w:r>
      <w:r>
        <w:rPr>
          <w:rFonts w:eastAsiaTheme="minorEastAsia"/>
          <w:lang w:eastAsia="zh-CN"/>
        </w:rPr>
        <w:t>é</w:t>
      </w:r>
      <w:r w:rsidRPr="00CF5864">
        <w:rPr>
          <w:rFonts w:eastAsiaTheme="minorEastAsia"/>
          <w:lang w:eastAsia="zh-CN"/>
        </w:rPr>
        <w:t>n</w:t>
      </w:r>
      <w:r>
        <w:rPr>
          <w:rFonts w:eastAsiaTheme="minorEastAsia"/>
          <w:lang w:eastAsia="zh-CN"/>
        </w:rPr>
        <w:t>é</w:t>
      </w:r>
      <w:r w:rsidRPr="00CF5864">
        <w:rPr>
          <w:rFonts w:eastAsiaTheme="minorEastAsia"/>
          <w:lang w:eastAsia="zh-CN"/>
        </w:rPr>
        <w:t>ral a été chargé</w:t>
      </w:r>
      <w:r w:rsidR="008D4F2D">
        <w:rPr>
          <w:rFonts w:eastAsiaTheme="minorEastAsia"/>
          <w:lang w:eastAsia="zh-CN"/>
        </w:rPr>
        <w:t>:</w:t>
      </w:r>
    </w:p>
    <w:p w:rsidR="00DE12C7" w:rsidRDefault="008D4F2D" w:rsidP="008D4F2D">
      <w:pPr>
        <w:pStyle w:val="enumlev1"/>
        <w:rPr>
          <w:rFonts w:eastAsiaTheme="minorEastAsia"/>
          <w:lang w:eastAsia="zh-CN"/>
        </w:rPr>
      </w:pPr>
      <w:r>
        <w:rPr>
          <w:rFonts w:eastAsiaTheme="minorEastAsia"/>
          <w:lang w:eastAsia="zh-CN"/>
        </w:rPr>
        <w:t>1)</w:t>
      </w:r>
      <w:r>
        <w:rPr>
          <w:rFonts w:eastAsiaTheme="minorEastAsia"/>
          <w:lang w:eastAsia="zh-CN"/>
        </w:rPr>
        <w:tab/>
      </w:r>
      <w:r w:rsidR="00DE12C7" w:rsidRPr="00473152">
        <w:rPr>
          <w:rFonts w:eastAsiaTheme="minorEastAsia"/>
          <w:lang w:eastAsia="zh-CN"/>
        </w:rPr>
        <w:t xml:space="preserve">de soumettre au Conseil à sa session de 2014 et à la prochaine Conférence de plénipotentiaires un rapport sur les résultats des travaux de la Commission préparatoire ainsi que sur les incidences financières, juridiques et techniques </w:t>
      </w:r>
      <w:r w:rsidR="00B67BB6">
        <w:rPr>
          <w:rFonts w:eastAsiaTheme="minorEastAsia"/>
          <w:lang w:eastAsia="zh-CN"/>
        </w:rPr>
        <w:t>si l'UIT exerçait les fonctions </w:t>
      </w:r>
      <w:r w:rsidR="00DE12C7" w:rsidRPr="00473152">
        <w:rPr>
          <w:rFonts w:eastAsiaTheme="minorEastAsia"/>
          <w:lang w:eastAsia="zh-CN"/>
        </w:rPr>
        <w:t>d'Autorité de surveillance, en tenant compte de l'évolution des travaux de la Commission préparatoire et en apportant des éléments de réponse aux précisions demandées par le Conseil</w:t>
      </w:r>
      <w:r>
        <w:rPr>
          <w:rFonts w:eastAsiaTheme="minorEastAsia"/>
          <w:lang w:eastAsia="zh-CN"/>
        </w:rPr>
        <w:t>;</w:t>
      </w:r>
    </w:p>
    <w:p w:rsidR="00DE12C7" w:rsidRDefault="008D4F2D" w:rsidP="008D4F2D">
      <w:pPr>
        <w:pStyle w:val="enumlev1"/>
        <w:rPr>
          <w:rFonts w:eastAsiaTheme="minorEastAsia"/>
          <w:lang w:eastAsia="zh-CN"/>
        </w:rPr>
      </w:pPr>
      <w:r>
        <w:rPr>
          <w:rFonts w:eastAsiaTheme="minorEastAsia"/>
          <w:lang w:eastAsia="zh-CN"/>
        </w:rPr>
        <w:t>2)</w:t>
      </w:r>
      <w:r>
        <w:rPr>
          <w:rFonts w:eastAsiaTheme="minorEastAsia"/>
          <w:lang w:eastAsia="zh-CN"/>
        </w:rPr>
        <w:tab/>
      </w:r>
      <w:r w:rsidR="00DE12C7">
        <w:rPr>
          <w:rFonts w:eastAsiaTheme="minorEastAsia"/>
          <w:lang w:eastAsia="zh-CN"/>
        </w:rPr>
        <w:t xml:space="preserve">de </w:t>
      </w:r>
      <w:r w:rsidR="00DE12C7" w:rsidRPr="00C23663">
        <w:rPr>
          <w:rFonts w:eastAsiaTheme="minorEastAsia"/>
          <w:lang w:eastAsia="zh-CN"/>
        </w:rPr>
        <w:t>présenter un rapport sur les incidences financières de sa participation aux réunions de la Commission préparatoire ainsi que sur les conséquences financières éventuelles si l'UIT exerçait les fonctions d'Autorité de surveillance, au moment de ou après l'entrée en vigueur du Protocole</w:t>
      </w:r>
      <w:r>
        <w:rPr>
          <w:rFonts w:eastAsiaTheme="minorEastAsia"/>
          <w:lang w:eastAsia="zh-CN"/>
        </w:rPr>
        <w:t>;</w:t>
      </w:r>
      <w:r w:rsidR="00DE12C7">
        <w:rPr>
          <w:rFonts w:eastAsiaTheme="minorEastAsia"/>
          <w:lang w:eastAsia="zh-CN"/>
        </w:rPr>
        <w:t xml:space="preserve"> et</w:t>
      </w:r>
    </w:p>
    <w:p w:rsidR="00DE12C7" w:rsidRPr="00325B9E" w:rsidRDefault="008D4F2D" w:rsidP="008D4F2D">
      <w:pPr>
        <w:pStyle w:val="enumlev1"/>
        <w:rPr>
          <w:rFonts w:eastAsiaTheme="minorEastAsia"/>
          <w:lang w:eastAsia="zh-CN"/>
        </w:rPr>
      </w:pPr>
      <w:r>
        <w:rPr>
          <w:rFonts w:eastAsiaTheme="minorEastAsia"/>
          <w:lang w:eastAsia="zh-CN"/>
        </w:rPr>
        <w:t>3)</w:t>
      </w:r>
      <w:r>
        <w:rPr>
          <w:rFonts w:eastAsiaTheme="minorEastAsia"/>
          <w:lang w:eastAsia="zh-CN"/>
        </w:rPr>
        <w:tab/>
      </w:r>
      <w:r w:rsidR="00DE12C7" w:rsidRPr="00325B9E">
        <w:rPr>
          <w:rFonts w:eastAsiaTheme="minorEastAsia"/>
          <w:lang w:eastAsia="zh-CN"/>
        </w:rPr>
        <w:t>de définir des mécanismes visant à permettre aux Etats Membres et aux Membres de Secteur de l'UIT d'examiner le rôle de l'UIT en tant qu'Autorité de surveillance ou de formuler des observations à cet égard</w:t>
      </w:r>
      <w:r w:rsidR="004C0333">
        <w:rPr>
          <w:rFonts w:eastAsiaTheme="minorEastAsia"/>
          <w:lang w:eastAsia="zh-CN"/>
        </w:rPr>
        <w:t xml:space="preserve"> </w:t>
      </w:r>
      <w:r w:rsidR="00DE12C7" w:rsidRPr="00325B9E">
        <w:rPr>
          <w:rFonts w:eastAsiaTheme="minorEastAsia"/>
          <w:lang w:eastAsia="zh-CN"/>
        </w:rPr>
        <w:t>(</w:t>
      </w:r>
      <w:r w:rsidR="00DE12C7">
        <w:rPr>
          <w:rFonts w:eastAsiaTheme="minorEastAsia"/>
          <w:lang w:eastAsia="zh-CN"/>
        </w:rPr>
        <w:t xml:space="preserve">voir le </w:t>
      </w:r>
      <w:r w:rsidR="00DE12C7" w:rsidRPr="00325B9E">
        <w:rPr>
          <w:rFonts w:eastAsiaTheme="minorEastAsia"/>
          <w:lang w:eastAsia="zh-CN"/>
        </w:rPr>
        <w:t xml:space="preserve">Document </w:t>
      </w:r>
      <w:hyperlink r:id="rId37" w:history="1">
        <w:r w:rsidR="00DE12C7" w:rsidRPr="00325B9E">
          <w:rPr>
            <w:rStyle w:val="Hyperlink"/>
            <w:rFonts w:eastAsiaTheme="minorEastAsia" w:cs="Calibri"/>
            <w:szCs w:val="24"/>
            <w:lang w:eastAsia="zh-CN"/>
          </w:rPr>
          <w:t>C13/107</w:t>
        </w:r>
      </w:hyperlink>
      <w:r w:rsidR="00DE12C7" w:rsidRPr="00325B9E">
        <w:rPr>
          <w:rFonts w:eastAsiaTheme="minorEastAsia"/>
          <w:lang w:eastAsia="zh-CN"/>
        </w:rPr>
        <w:t>).</w:t>
      </w:r>
    </w:p>
    <w:p w:rsidR="00DE12C7" w:rsidRPr="000E2E0F" w:rsidRDefault="00DE12C7" w:rsidP="008D4F2D">
      <w:pPr>
        <w:pStyle w:val="Heading1"/>
        <w:rPr>
          <w:rFonts w:eastAsiaTheme="minorEastAsia"/>
          <w:lang w:eastAsia="zh-CN"/>
        </w:rPr>
      </w:pPr>
      <w:r w:rsidRPr="000E2E0F">
        <w:rPr>
          <w:rFonts w:eastAsiaTheme="minorEastAsia"/>
          <w:lang w:eastAsia="zh-CN"/>
        </w:rPr>
        <w:t>6</w:t>
      </w:r>
      <w:r w:rsidR="008D4F2D">
        <w:rPr>
          <w:rFonts w:eastAsiaTheme="minorEastAsia"/>
          <w:lang w:eastAsia="zh-CN"/>
        </w:rPr>
        <w:tab/>
      </w:r>
      <w:r w:rsidRPr="000E2E0F">
        <w:rPr>
          <w:rFonts w:eastAsiaTheme="minorEastAsia"/>
          <w:lang w:eastAsia="zh-CN"/>
        </w:rPr>
        <w:t xml:space="preserve">Commission préparatoire (Rome, </w:t>
      </w:r>
      <w:r>
        <w:rPr>
          <w:rFonts w:eastAsiaTheme="minorEastAsia"/>
          <w:lang w:eastAsia="zh-CN"/>
        </w:rPr>
        <w:t xml:space="preserve">seconde </w:t>
      </w:r>
      <w:r w:rsidRPr="000E2E0F">
        <w:rPr>
          <w:rFonts w:eastAsiaTheme="minorEastAsia"/>
          <w:lang w:eastAsia="zh-CN"/>
        </w:rPr>
        <w:t xml:space="preserve">session, 27-28 </w:t>
      </w:r>
      <w:r>
        <w:rPr>
          <w:rFonts w:eastAsiaTheme="minorEastAsia"/>
          <w:lang w:eastAsia="zh-CN"/>
        </w:rPr>
        <w:t>janvier</w:t>
      </w:r>
      <w:r w:rsidR="004C0333">
        <w:rPr>
          <w:rFonts w:eastAsiaTheme="minorEastAsia"/>
          <w:lang w:eastAsia="zh-CN"/>
        </w:rPr>
        <w:t xml:space="preserve"> </w:t>
      </w:r>
      <w:r w:rsidRPr="000E2E0F">
        <w:rPr>
          <w:rFonts w:eastAsiaTheme="minorEastAsia"/>
          <w:lang w:eastAsia="zh-CN"/>
        </w:rPr>
        <w:t>2014)</w:t>
      </w:r>
    </w:p>
    <w:p w:rsidR="00DE12C7" w:rsidRDefault="00DE12C7" w:rsidP="00B67BB6">
      <w:pPr>
        <w:rPr>
          <w:rFonts w:eastAsiaTheme="minorEastAsia"/>
          <w:lang w:eastAsia="zh-CN"/>
        </w:rPr>
      </w:pPr>
      <w:r>
        <w:rPr>
          <w:rFonts w:eastAsiaTheme="minorEastAsia"/>
          <w:lang w:eastAsia="zh-CN"/>
        </w:rPr>
        <w:t>6.1</w:t>
      </w:r>
      <w:r w:rsidR="008D4F2D">
        <w:rPr>
          <w:rFonts w:eastAsiaTheme="minorEastAsia"/>
          <w:lang w:eastAsia="zh-CN"/>
        </w:rPr>
        <w:tab/>
      </w:r>
      <w:r w:rsidRPr="00A4703E">
        <w:rPr>
          <w:rFonts w:eastAsiaTheme="minorEastAsia"/>
          <w:lang w:eastAsia="zh-CN"/>
        </w:rPr>
        <w:t xml:space="preserve">La </w:t>
      </w:r>
      <w:r>
        <w:rPr>
          <w:rFonts w:eastAsiaTheme="minorEastAsia"/>
          <w:lang w:eastAsia="zh-CN"/>
        </w:rPr>
        <w:t xml:space="preserve">seconde </w:t>
      </w:r>
      <w:r w:rsidRPr="00A4703E">
        <w:rPr>
          <w:rFonts w:eastAsiaTheme="minorEastAsia"/>
          <w:lang w:eastAsia="zh-CN"/>
        </w:rPr>
        <w:t>session de la Commission préparatoire chargée de l'établissement du Registre international pour les biens spatiaux conformément au Protocole portant sur les biens spatiaux s'est tenue au siège d'UNIDROIT à Rome</w:t>
      </w:r>
      <w:r w:rsidR="004C0333">
        <w:rPr>
          <w:rFonts w:eastAsiaTheme="minorEastAsia"/>
          <w:lang w:eastAsia="zh-CN"/>
        </w:rPr>
        <w:t xml:space="preserve"> </w:t>
      </w:r>
      <w:r w:rsidRPr="00A4703E">
        <w:rPr>
          <w:rFonts w:eastAsiaTheme="minorEastAsia"/>
          <w:lang w:eastAsia="zh-CN"/>
        </w:rPr>
        <w:t>les 27 et 28 janvier 2014.</w:t>
      </w:r>
      <w:r w:rsidR="00B67BB6">
        <w:rPr>
          <w:rFonts w:eastAsiaTheme="minorEastAsia"/>
          <w:lang w:eastAsia="zh-CN"/>
        </w:rPr>
        <w:t xml:space="preserve"> </w:t>
      </w:r>
      <w:r w:rsidRPr="00A4703E">
        <w:rPr>
          <w:rFonts w:eastAsiaTheme="minorEastAsia"/>
          <w:lang w:eastAsia="zh-CN"/>
        </w:rPr>
        <w:t xml:space="preserve">Le Groupe de travail I chargé de rédiger un projet de règlement concernant le Registre international pour les biens spatiaux et le Groupe de travail II chargé de rédiger une demande de propositions concernant la sélection d'un Conservateur du Registre international pour les biens spatiaux n'ont tenu aucune réunion. </w:t>
      </w:r>
    </w:p>
    <w:p w:rsidR="00DE12C7" w:rsidRPr="00894124" w:rsidRDefault="00DE12C7" w:rsidP="00B67BB6">
      <w:pPr>
        <w:rPr>
          <w:rFonts w:eastAsiaTheme="minorEastAsia"/>
          <w:lang w:eastAsia="zh-CN"/>
        </w:rPr>
      </w:pPr>
      <w:r>
        <w:rPr>
          <w:rFonts w:eastAsiaTheme="minorEastAsia"/>
          <w:lang w:eastAsia="zh-CN"/>
        </w:rPr>
        <w:t>6.2</w:t>
      </w:r>
      <w:r w:rsidR="008D4F2D">
        <w:rPr>
          <w:rFonts w:eastAsiaTheme="minorEastAsia"/>
          <w:lang w:eastAsia="zh-CN"/>
        </w:rPr>
        <w:tab/>
      </w:r>
      <w:r>
        <w:rPr>
          <w:rFonts w:eastAsiaTheme="minorEastAsia"/>
          <w:lang w:eastAsia="zh-CN"/>
        </w:rPr>
        <w:t>Le</w:t>
      </w:r>
      <w:r w:rsidRPr="00894124">
        <w:rPr>
          <w:rFonts w:eastAsiaTheme="minorEastAsia"/>
          <w:lang w:eastAsia="zh-CN"/>
        </w:rPr>
        <w:t>s participants ont essentiellement examiné la Note explicative relative au projet révisé de Règlement sur les biens spatiaux établie par M. Roy Goode et étudié d'autres questions concernant le texte révisé du projet de Règlement sur les biens spatiaux. L'essentiel des débats a été consacré à l'examen de la question des critères d'identification pour l'inscription des biens spatiaux, en particulier des satellites et des biens spatiaux physiquement reliés. L'examen de la question de la détermination des tarifs afférents à l'utilisation des services du Registre international a été reportée à un stade ultérieur des discussions, en vue éventuellement de faire figurer cette question dans les Règles de procédure qui seront établies une fois le Règlement élaboré.</w:t>
      </w:r>
    </w:p>
    <w:p w:rsidR="00DE12C7" w:rsidRDefault="00DE12C7" w:rsidP="00B67BB6">
      <w:pPr>
        <w:rPr>
          <w:rFonts w:eastAsiaTheme="minorEastAsia"/>
          <w:lang w:eastAsia="zh-CN"/>
        </w:rPr>
      </w:pPr>
      <w:r>
        <w:rPr>
          <w:rFonts w:eastAsiaTheme="minorEastAsia"/>
          <w:lang w:eastAsia="zh-CN"/>
        </w:rPr>
        <w:t>6.3</w:t>
      </w:r>
      <w:r w:rsidR="008D4F2D">
        <w:rPr>
          <w:rFonts w:eastAsiaTheme="minorEastAsia"/>
          <w:lang w:eastAsia="zh-CN"/>
        </w:rPr>
        <w:tab/>
      </w:r>
      <w:r w:rsidRPr="008369D7">
        <w:rPr>
          <w:rFonts w:eastAsiaTheme="minorEastAsia"/>
          <w:lang w:eastAsia="zh-CN"/>
        </w:rPr>
        <w:t xml:space="preserve">En ce qui concerne les questions en suspens </w:t>
      </w:r>
      <w:r>
        <w:rPr>
          <w:rFonts w:eastAsiaTheme="minorEastAsia"/>
          <w:lang w:eastAsia="zh-CN"/>
        </w:rPr>
        <w:t>liées à</w:t>
      </w:r>
      <w:r w:rsidR="004C0333">
        <w:rPr>
          <w:rFonts w:eastAsiaTheme="minorEastAsia"/>
          <w:lang w:eastAsia="zh-CN"/>
        </w:rPr>
        <w:t xml:space="preserve"> </w:t>
      </w:r>
      <w:r w:rsidRPr="008369D7">
        <w:rPr>
          <w:rFonts w:eastAsiaTheme="minorEastAsia"/>
          <w:lang w:eastAsia="zh-CN"/>
        </w:rPr>
        <w:t xml:space="preserve">la </w:t>
      </w:r>
      <w:r w:rsidR="008D4F2D" w:rsidRPr="008369D7">
        <w:rPr>
          <w:rFonts w:eastAsiaTheme="minorEastAsia"/>
          <w:lang w:eastAsia="zh-CN"/>
        </w:rPr>
        <w:t>sélection</w:t>
      </w:r>
      <w:r w:rsidRPr="008369D7">
        <w:rPr>
          <w:rFonts w:eastAsiaTheme="minorEastAsia"/>
          <w:lang w:eastAsia="zh-CN"/>
        </w:rPr>
        <w:t xml:space="preserve"> d</w:t>
      </w:r>
      <w:r w:rsidR="004C0333">
        <w:rPr>
          <w:rFonts w:eastAsiaTheme="minorEastAsia"/>
          <w:lang w:eastAsia="zh-CN"/>
        </w:rPr>
        <w:t>'</w:t>
      </w:r>
      <w:r w:rsidRPr="008369D7">
        <w:rPr>
          <w:rFonts w:eastAsiaTheme="minorEastAsia"/>
          <w:lang w:eastAsia="zh-CN"/>
        </w:rPr>
        <w:t>un</w:t>
      </w:r>
      <w:r>
        <w:rPr>
          <w:rFonts w:eastAsiaTheme="minorEastAsia"/>
          <w:lang w:eastAsia="zh-CN"/>
        </w:rPr>
        <w:t xml:space="preserve"> </w:t>
      </w:r>
      <w:r w:rsidRPr="008369D7">
        <w:rPr>
          <w:rFonts w:eastAsiaTheme="minorEastAsia"/>
          <w:lang w:eastAsia="zh-CN"/>
        </w:rPr>
        <w:t>Conservateur, ainsi qu</w:t>
      </w:r>
      <w:r w:rsidR="004C0333">
        <w:rPr>
          <w:rFonts w:eastAsiaTheme="minorEastAsia"/>
          <w:lang w:eastAsia="zh-CN"/>
        </w:rPr>
        <w:t>'</w:t>
      </w:r>
      <w:r>
        <w:rPr>
          <w:rFonts w:eastAsiaTheme="minorEastAsia"/>
          <w:lang w:eastAsia="zh-CN"/>
        </w:rPr>
        <w:t>à</w:t>
      </w:r>
      <w:r w:rsidR="004C0333">
        <w:rPr>
          <w:rFonts w:eastAsiaTheme="minorEastAsia"/>
          <w:lang w:eastAsia="zh-CN"/>
        </w:rPr>
        <w:t xml:space="preserve"> </w:t>
      </w:r>
      <w:r w:rsidRPr="008369D7">
        <w:rPr>
          <w:rFonts w:eastAsiaTheme="minorEastAsia"/>
          <w:lang w:eastAsia="zh-CN"/>
        </w:rPr>
        <w:t>l</w:t>
      </w:r>
      <w:r w:rsidR="004C0333">
        <w:rPr>
          <w:rFonts w:eastAsiaTheme="minorEastAsia"/>
          <w:lang w:eastAsia="zh-CN"/>
        </w:rPr>
        <w:t>'</w:t>
      </w:r>
      <w:r w:rsidRPr="008369D7">
        <w:rPr>
          <w:rFonts w:eastAsiaTheme="minorEastAsia"/>
          <w:lang w:eastAsia="zh-CN"/>
        </w:rPr>
        <w:t xml:space="preserve">établissement de la version </w:t>
      </w:r>
      <w:r w:rsidR="008D4F2D" w:rsidRPr="008369D7">
        <w:rPr>
          <w:rFonts w:eastAsiaTheme="minorEastAsia"/>
          <w:lang w:eastAsia="zh-CN"/>
        </w:rPr>
        <w:t>définitive</w:t>
      </w:r>
      <w:r w:rsidRPr="008369D7">
        <w:rPr>
          <w:rFonts w:eastAsiaTheme="minorEastAsia"/>
          <w:lang w:eastAsia="zh-CN"/>
        </w:rPr>
        <w:t xml:space="preserve"> du projet de Règlement, la Commission </w:t>
      </w:r>
      <w:r w:rsidR="008D4F2D" w:rsidRPr="008369D7">
        <w:rPr>
          <w:rFonts w:eastAsiaTheme="minorEastAsia"/>
          <w:lang w:eastAsia="zh-CN"/>
        </w:rPr>
        <w:t>opératoire</w:t>
      </w:r>
      <w:r w:rsidRPr="008369D7">
        <w:rPr>
          <w:rFonts w:eastAsiaTheme="minorEastAsia"/>
          <w:lang w:eastAsia="zh-CN"/>
        </w:rPr>
        <w:t xml:space="preserve"> a décidé de se réunir</w:t>
      </w:r>
      <w:r w:rsidR="004C0333">
        <w:rPr>
          <w:rFonts w:eastAsiaTheme="minorEastAsia"/>
          <w:lang w:eastAsia="zh-CN"/>
        </w:rPr>
        <w:t xml:space="preserve"> </w:t>
      </w:r>
      <w:r w:rsidRPr="008369D7">
        <w:rPr>
          <w:rFonts w:eastAsiaTheme="minorEastAsia"/>
          <w:lang w:eastAsia="zh-CN"/>
        </w:rPr>
        <w:t xml:space="preserve">au siège d'UNIDROIT les 11 et 12 septembre 2014. Au cours de la période d'intersession, la version définitive du Règlement sera établie et un projet de demande de propositions concernant la sélection du Conservateur sera élaboré. </w:t>
      </w:r>
    </w:p>
    <w:p w:rsidR="00DE12C7" w:rsidRDefault="00DE12C7" w:rsidP="00B67BB6">
      <w:pPr>
        <w:rPr>
          <w:rFonts w:eastAsiaTheme="minorEastAsia"/>
          <w:lang w:eastAsia="zh-CN"/>
        </w:rPr>
      </w:pPr>
      <w:r>
        <w:rPr>
          <w:rFonts w:eastAsiaTheme="minorEastAsia"/>
          <w:lang w:eastAsia="zh-CN"/>
        </w:rPr>
        <w:t>6.4</w:t>
      </w:r>
      <w:r w:rsidR="008D4F2D">
        <w:rPr>
          <w:rFonts w:eastAsiaTheme="minorEastAsia"/>
          <w:lang w:eastAsia="zh-CN"/>
        </w:rPr>
        <w:tab/>
      </w:r>
      <w:r w:rsidRPr="005B1D89">
        <w:rPr>
          <w:rFonts w:eastAsiaTheme="minorEastAsia"/>
          <w:lang w:eastAsia="zh-CN"/>
        </w:rPr>
        <w:t xml:space="preserve">La Commission préparatoire a indiqué qu'elle menait ses travaux en partant de l'hypothèse que l'UIT accepterait en définitive de remplir les fonctions d'Autorité de surveillance et qu'il serait prématuré de conjecturer sur les autres solutions possibles. En réponse à des questions concrètes posées par le représentant de l'UIT au sujet du rôle précis de l'Autorité de surveillance et de ses responsabilités, ainsi que de l'expérience acquise par l'OACI en tant qu'Autorité de surveillance pour le Registre d'aéronefs, le Secrétariat d'UNIDROIT a fourni par la suite une note indiquant précisément le rôle de l'Autorité de surveillance (voir l'Annexe </w:t>
      </w:r>
      <w:r w:rsidR="00B67BB6">
        <w:rPr>
          <w:rFonts w:eastAsiaTheme="minorEastAsia"/>
          <w:lang w:eastAsia="zh-CN"/>
        </w:rPr>
        <w:t>2).</w:t>
      </w:r>
    </w:p>
    <w:p w:rsidR="00DE12C7" w:rsidRPr="003C027E" w:rsidRDefault="00DE12C7" w:rsidP="008D4F2D">
      <w:pPr>
        <w:pStyle w:val="Heading1"/>
        <w:rPr>
          <w:rFonts w:eastAsiaTheme="minorEastAsia"/>
          <w:lang w:eastAsia="zh-CN"/>
        </w:rPr>
      </w:pPr>
      <w:r w:rsidRPr="003C027E">
        <w:rPr>
          <w:rFonts w:eastAsiaTheme="minorEastAsia"/>
          <w:lang w:eastAsia="zh-CN"/>
        </w:rPr>
        <w:t>7</w:t>
      </w:r>
      <w:r w:rsidR="008D4F2D">
        <w:rPr>
          <w:rFonts w:eastAsiaTheme="minorEastAsia"/>
          <w:lang w:eastAsia="zh-CN"/>
        </w:rPr>
        <w:tab/>
      </w:r>
      <w:r w:rsidRPr="003C027E">
        <w:rPr>
          <w:rFonts w:eastAsiaTheme="minorEastAsia"/>
          <w:lang w:eastAsia="zh-CN"/>
        </w:rPr>
        <w:t>Session de 2014 du Conseil</w:t>
      </w:r>
      <w:r w:rsidR="004C0333">
        <w:rPr>
          <w:rFonts w:eastAsiaTheme="minorEastAsia"/>
          <w:lang w:eastAsia="zh-CN"/>
        </w:rPr>
        <w:t xml:space="preserve"> </w:t>
      </w:r>
    </w:p>
    <w:p w:rsidR="00DE12C7" w:rsidRPr="00756106" w:rsidRDefault="00DE12C7" w:rsidP="00B67BB6">
      <w:pPr>
        <w:rPr>
          <w:rFonts w:eastAsiaTheme="minorEastAsia"/>
          <w:lang w:eastAsia="zh-CN"/>
        </w:rPr>
      </w:pPr>
      <w:r>
        <w:rPr>
          <w:rFonts w:eastAsiaTheme="minorEastAsia"/>
          <w:lang w:eastAsia="zh-CN"/>
        </w:rPr>
        <w:t>7.1</w:t>
      </w:r>
      <w:r w:rsidR="008D4F2D">
        <w:rPr>
          <w:rFonts w:eastAsiaTheme="minorEastAsia"/>
          <w:lang w:eastAsia="zh-CN"/>
        </w:rPr>
        <w:tab/>
      </w:r>
      <w:r w:rsidRPr="00D6281D">
        <w:rPr>
          <w:rFonts w:eastAsiaTheme="minorEastAsia"/>
          <w:lang w:eastAsia="zh-CN"/>
        </w:rPr>
        <w:t>Compte tenu de la prochaine Conférence de plénipotentiaires, des renseignements détaillés ont été communiqués au</w:t>
      </w:r>
      <w:r w:rsidR="004C0333">
        <w:rPr>
          <w:rFonts w:eastAsiaTheme="minorEastAsia"/>
          <w:lang w:eastAsia="zh-CN"/>
        </w:rPr>
        <w:t xml:space="preserve"> </w:t>
      </w:r>
      <w:r w:rsidRPr="00D6281D">
        <w:rPr>
          <w:rFonts w:eastAsiaTheme="minorEastAsia"/>
          <w:lang w:eastAsia="zh-CN"/>
        </w:rPr>
        <w:t>Conseil à sa session de</w:t>
      </w:r>
      <w:r w:rsidR="004C0333">
        <w:rPr>
          <w:rFonts w:eastAsiaTheme="minorEastAsia"/>
          <w:lang w:eastAsia="zh-CN"/>
        </w:rPr>
        <w:t xml:space="preserve"> </w:t>
      </w:r>
      <w:r w:rsidRPr="00D6281D">
        <w:rPr>
          <w:rFonts w:eastAsiaTheme="minorEastAsia"/>
          <w:lang w:eastAsia="zh-CN"/>
        </w:rPr>
        <w:t xml:space="preserve">2014 </w:t>
      </w:r>
      <w:r w:rsidRPr="006E1CEA">
        <w:rPr>
          <w:rFonts w:eastAsiaTheme="minorEastAsia"/>
          <w:lang w:val="fr-CH" w:eastAsia="zh-CN"/>
        </w:rPr>
        <w:t>concernant le rôle que pourrait jouer l'UIT en tant qu'Autorité de surveillance du</w:t>
      </w:r>
      <w:r w:rsidR="004C0333">
        <w:rPr>
          <w:rFonts w:eastAsiaTheme="minorEastAsia"/>
          <w:lang w:val="fr-CH" w:eastAsia="zh-CN"/>
        </w:rPr>
        <w:t xml:space="preserve"> </w:t>
      </w:r>
      <w:r w:rsidRPr="006E1CEA">
        <w:rPr>
          <w:rFonts w:eastAsiaTheme="minorEastAsia"/>
          <w:lang w:val="fr-CH" w:eastAsia="zh-CN"/>
        </w:rPr>
        <w:t>système international d'inscription pour les biens spatiaux, conformément</w:t>
      </w:r>
      <w:r w:rsidR="004C0333">
        <w:rPr>
          <w:rFonts w:eastAsiaTheme="minorEastAsia"/>
          <w:lang w:val="fr-CH" w:eastAsia="zh-CN"/>
        </w:rPr>
        <w:t xml:space="preserve"> </w:t>
      </w:r>
      <w:r>
        <w:rPr>
          <w:rFonts w:eastAsiaTheme="minorEastAsia"/>
          <w:lang w:val="fr-CH" w:eastAsia="zh-CN"/>
        </w:rPr>
        <w:t>au</w:t>
      </w:r>
      <w:r w:rsidRPr="006E1CEA">
        <w:rPr>
          <w:rFonts w:eastAsiaTheme="minorEastAsia"/>
          <w:lang w:val="fr-CH" w:eastAsia="zh-CN"/>
        </w:rPr>
        <w:t xml:space="preserve"> Protocole portant sur les biens spatiaux</w:t>
      </w:r>
      <w:r w:rsidR="004C0333">
        <w:rPr>
          <w:rFonts w:eastAsiaTheme="minorEastAsia"/>
          <w:lang w:val="fr-CH" w:eastAsia="zh-CN"/>
        </w:rPr>
        <w:t xml:space="preserve"> </w:t>
      </w:r>
      <w:r w:rsidRPr="00D6281D">
        <w:rPr>
          <w:rFonts w:eastAsiaTheme="minorEastAsia"/>
          <w:lang w:eastAsia="zh-CN"/>
        </w:rPr>
        <w:t>(</w:t>
      </w:r>
      <w:r>
        <w:rPr>
          <w:rFonts w:eastAsiaTheme="minorEastAsia"/>
          <w:lang w:eastAsia="zh-CN"/>
        </w:rPr>
        <w:t>voir les</w:t>
      </w:r>
      <w:r w:rsidR="004C0333">
        <w:rPr>
          <w:rFonts w:eastAsiaTheme="minorEastAsia"/>
          <w:lang w:eastAsia="zh-CN"/>
        </w:rPr>
        <w:t xml:space="preserve"> </w:t>
      </w:r>
      <w:r w:rsidRPr="00D6281D">
        <w:rPr>
          <w:rFonts w:eastAsiaTheme="minorEastAsia"/>
          <w:lang w:eastAsia="zh-CN"/>
        </w:rPr>
        <w:t xml:space="preserve">Documents </w:t>
      </w:r>
      <w:hyperlink r:id="rId38" w:history="1">
        <w:r w:rsidRPr="00D6281D">
          <w:rPr>
            <w:rStyle w:val="Hyperlink"/>
            <w:rFonts w:eastAsiaTheme="minorEastAsia" w:cs="Calibri"/>
            <w:b/>
            <w:bCs/>
            <w:szCs w:val="24"/>
            <w:lang w:eastAsia="zh-CN"/>
          </w:rPr>
          <w:t>C14/13</w:t>
        </w:r>
      </w:hyperlink>
      <w:r w:rsidRPr="00D6281D">
        <w:rPr>
          <w:rFonts w:eastAsiaTheme="minorEastAsia"/>
          <w:b/>
          <w:bCs/>
          <w:lang w:eastAsia="zh-CN"/>
        </w:rPr>
        <w:t xml:space="preserve"> </w:t>
      </w:r>
      <w:r>
        <w:rPr>
          <w:rFonts w:eastAsiaTheme="minorEastAsia"/>
          <w:lang w:eastAsia="zh-CN"/>
        </w:rPr>
        <w:t>et</w:t>
      </w:r>
      <w:r w:rsidR="00B67BB6">
        <w:rPr>
          <w:rFonts w:eastAsiaTheme="minorEastAsia"/>
          <w:lang w:eastAsia="zh-CN"/>
        </w:rPr>
        <w:t> </w:t>
      </w:r>
      <w:hyperlink r:id="rId39" w:history="1">
        <w:r w:rsidRPr="00D6281D">
          <w:rPr>
            <w:rStyle w:val="Hyperlink"/>
            <w:rFonts w:eastAsiaTheme="minorEastAsia" w:cs="Calibri"/>
            <w:b/>
            <w:bCs/>
            <w:szCs w:val="24"/>
            <w:lang w:eastAsia="zh-CN"/>
          </w:rPr>
          <w:t>C14/INF/12</w:t>
        </w:r>
      </w:hyperlink>
      <w:r w:rsidRPr="00D6281D">
        <w:rPr>
          <w:rFonts w:eastAsiaTheme="minorEastAsia"/>
          <w:lang w:eastAsia="zh-CN"/>
        </w:rPr>
        <w:t>).</w:t>
      </w:r>
      <w:r>
        <w:rPr>
          <w:rFonts w:eastAsiaTheme="minorEastAsia"/>
          <w:lang w:eastAsia="zh-CN"/>
        </w:rPr>
        <w:t xml:space="preserve"> </w:t>
      </w:r>
      <w:r w:rsidRPr="00756106">
        <w:rPr>
          <w:rFonts w:eastAsiaTheme="minorEastAsia"/>
          <w:lang w:eastAsia="zh-CN"/>
        </w:rPr>
        <w:t>Il n</w:t>
      </w:r>
      <w:r w:rsidR="004C0333">
        <w:rPr>
          <w:rFonts w:eastAsiaTheme="minorEastAsia"/>
          <w:lang w:eastAsia="zh-CN"/>
        </w:rPr>
        <w:t>'</w:t>
      </w:r>
      <w:r w:rsidRPr="00756106">
        <w:rPr>
          <w:rFonts w:eastAsiaTheme="minorEastAsia"/>
          <w:lang w:eastAsia="zh-CN"/>
        </w:rPr>
        <w:t>en reste pas moins</w:t>
      </w:r>
      <w:r w:rsidR="004C0333">
        <w:rPr>
          <w:rFonts w:eastAsiaTheme="minorEastAsia"/>
          <w:lang w:eastAsia="zh-CN"/>
        </w:rPr>
        <w:t xml:space="preserve"> </w:t>
      </w:r>
      <w:r>
        <w:rPr>
          <w:rFonts w:eastAsiaTheme="minorEastAsia"/>
          <w:lang w:eastAsia="zh-CN"/>
        </w:rPr>
        <w:t>qu</w:t>
      </w:r>
      <w:r w:rsidR="004C0333">
        <w:rPr>
          <w:rFonts w:eastAsiaTheme="minorEastAsia"/>
          <w:lang w:eastAsia="zh-CN"/>
        </w:rPr>
        <w:t>'</w:t>
      </w:r>
      <w:r w:rsidRPr="00756106">
        <w:rPr>
          <w:rFonts w:eastAsiaTheme="minorEastAsia"/>
          <w:lang w:eastAsia="zh-CN"/>
        </w:rPr>
        <w:t>il faut encore lever quelques incertitude</w:t>
      </w:r>
      <w:r>
        <w:rPr>
          <w:rFonts w:eastAsiaTheme="minorEastAsia"/>
          <w:lang w:eastAsia="zh-CN"/>
        </w:rPr>
        <w:t xml:space="preserve">s </w:t>
      </w:r>
      <w:r w:rsidRPr="00756106">
        <w:rPr>
          <w:rFonts w:eastAsiaTheme="minorEastAsia"/>
          <w:lang w:eastAsia="zh-CN"/>
        </w:rPr>
        <w:t>avant la</w:t>
      </w:r>
      <w:r w:rsidR="004C0333">
        <w:rPr>
          <w:rFonts w:eastAsiaTheme="minorEastAsia"/>
          <w:lang w:eastAsia="zh-CN"/>
        </w:rPr>
        <w:t xml:space="preserve"> </w:t>
      </w:r>
      <w:r w:rsidRPr="00756106">
        <w:rPr>
          <w:rFonts w:eastAsiaTheme="minorEastAsia"/>
          <w:lang w:eastAsia="zh-CN"/>
        </w:rPr>
        <w:t>PP-14. La question a été soulevée et des observations ont été formulées par les délégués de la République populaire de Chine</w:t>
      </w:r>
      <w:r w:rsidR="004C0333">
        <w:rPr>
          <w:rFonts w:eastAsiaTheme="minorEastAsia"/>
          <w:lang w:eastAsia="zh-CN"/>
        </w:rPr>
        <w:t xml:space="preserve"> </w:t>
      </w:r>
      <w:r w:rsidRPr="00756106">
        <w:rPr>
          <w:rFonts w:eastAsiaTheme="minorEastAsia"/>
          <w:lang w:eastAsia="zh-CN"/>
        </w:rPr>
        <w:t>(</w:t>
      </w:r>
      <w:r>
        <w:rPr>
          <w:rFonts w:eastAsiaTheme="minorEastAsia"/>
          <w:lang w:eastAsia="zh-CN"/>
        </w:rPr>
        <w:t xml:space="preserve">voir le </w:t>
      </w:r>
      <w:r w:rsidRPr="00756106">
        <w:rPr>
          <w:rFonts w:eastAsiaTheme="minorEastAsia"/>
          <w:lang w:eastAsia="zh-CN"/>
        </w:rPr>
        <w:t xml:space="preserve">Document </w:t>
      </w:r>
      <w:hyperlink r:id="rId40" w:history="1">
        <w:r w:rsidRPr="00756106">
          <w:rPr>
            <w:rStyle w:val="Hyperlink"/>
            <w:rFonts w:eastAsiaTheme="minorEastAsia" w:cs="Calibri"/>
            <w:b/>
            <w:bCs/>
            <w:szCs w:val="24"/>
            <w:lang w:eastAsia="zh-CN"/>
          </w:rPr>
          <w:t>C14/71</w:t>
        </w:r>
      </w:hyperlink>
      <w:r w:rsidRPr="00756106">
        <w:rPr>
          <w:rFonts w:eastAsiaTheme="minorEastAsia"/>
          <w:lang w:eastAsia="zh-CN"/>
        </w:rPr>
        <w:t xml:space="preserve">), </w:t>
      </w:r>
      <w:r>
        <w:rPr>
          <w:rFonts w:eastAsiaTheme="minorEastAsia"/>
          <w:lang w:eastAsia="zh-CN"/>
        </w:rPr>
        <w:t>du Japo</w:t>
      </w:r>
      <w:r w:rsidRPr="00756106">
        <w:rPr>
          <w:rFonts w:eastAsiaTheme="minorEastAsia"/>
          <w:lang w:eastAsia="zh-CN"/>
        </w:rPr>
        <w:t>n (</w:t>
      </w:r>
      <w:r w:rsidR="004C0333">
        <w:rPr>
          <w:rFonts w:eastAsiaTheme="minorEastAsia"/>
          <w:lang w:eastAsia="zh-CN"/>
        </w:rPr>
        <w:t xml:space="preserve"> </w:t>
      </w:r>
      <w:r>
        <w:rPr>
          <w:rFonts w:eastAsiaTheme="minorEastAsia"/>
          <w:lang w:eastAsia="zh-CN"/>
        </w:rPr>
        <w:t xml:space="preserve">voir le </w:t>
      </w:r>
      <w:r w:rsidRPr="00756106">
        <w:rPr>
          <w:rFonts w:eastAsiaTheme="minorEastAsia"/>
          <w:lang w:eastAsia="zh-CN"/>
        </w:rPr>
        <w:t>Document</w:t>
      </w:r>
      <w:r w:rsidRPr="00756106">
        <w:rPr>
          <w:rFonts w:eastAsiaTheme="minorEastAsia"/>
          <w:b/>
          <w:bCs/>
          <w:lang w:eastAsia="zh-CN"/>
        </w:rPr>
        <w:t xml:space="preserve"> </w:t>
      </w:r>
      <w:hyperlink r:id="rId41" w:history="1">
        <w:r w:rsidRPr="00756106">
          <w:rPr>
            <w:rStyle w:val="Hyperlink"/>
            <w:rFonts w:eastAsiaTheme="minorEastAsia" w:cs="Calibri"/>
            <w:b/>
            <w:bCs/>
            <w:szCs w:val="24"/>
            <w:lang w:eastAsia="zh-CN"/>
          </w:rPr>
          <w:t>C14/51</w:t>
        </w:r>
      </w:hyperlink>
      <w:r w:rsidRPr="00756106">
        <w:rPr>
          <w:rFonts w:eastAsiaTheme="minorEastAsia"/>
          <w:lang w:eastAsia="zh-CN"/>
        </w:rPr>
        <w:t>)</w:t>
      </w:r>
      <w:r>
        <w:rPr>
          <w:rFonts w:eastAsiaTheme="minorEastAsia"/>
          <w:lang w:eastAsia="zh-CN"/>
        </w:rPr>
        <w:t xml:space="preserve"> et des Etats-Unis d</w:t>
      </w:r>
      <w:r w:rsidR="004C0333">
        <w:rPr>
          <w:rFonts w:eastAsiaTheme="minorEastAsia"/>
          <w:lang w:eastAsia="zh-CN"/>
        </w:rPr>
        <w:t>'</w:t>
      </w:r>
      <w:r>
        <w:rPr>
          <w:rFonts w:eastAsiaTheme="minorEastAsia"/>
          <w:lang w:eastAsia="zh-CN"/>
        </w:rPr>
        <w:t>Amérique</w:t>
      </w:r>
      <w:r w:rsidR="00B67BB6">
        <w:rPr>
          <w:rFonts w:eastAsiaTheme="minorEastAsia"/>
          <w:lang w:eastAsia="zh-CN"/>
        </w:rPr>
        <w:t xml:space="preserve"> </w:t>
      </w:r>
      <w:r w:rsidRPr="00756106">
        <w:rPr>
          <w:rFonts w:eastAsiaTheme="minorEastAsia"/>
          <w:lang w:eastAsia="zh-CN"/>
        </w:rPr>
        <w:t>(</w:t>
      </w:r>
      <w:r>
        <w:rPr>
          <w:rFonts w:eastAsiaTheme="minorEastAsia"/>
          <w:lang w:eastAsia="zh-CN"/>
        </w:rPr>
        <w:t xml:space="preserve">voir le </w:t>
      </w:r>
      <w:r w:rsidRPr="00756106">
        <w:rPr>
          <w:rFonts w:eastAsiaTheme="minorEastAsia"/>
          <w:lang w:eastAsia="zh-CN"/>
        </w:rPr>
        <w:t>Document</w:t>
      </w:r>
      <w:r w:rsidRPr="00756106">
        <w:rPr>
          <w:rFonts w:eastAsiaTheme="minorEastAsia"/>
          <w:b/>
          <w:bCs/>
          <w:lang w:eastAsia="zh-CN"/>
        </w:rPr>
        <w:t xml:space="preserve"> </w:t>
      </w:r>
      <w:hyperlink r:id="rId42" w:history="1">
        <w:r w:rsidRPr="00756106">
          <w:rPr>
            <w:rStyle w:val="Hyperlink"/>
            <w:rFonts w:eastAsiaTheme="minorEastAsia" w:cs="Calibri"/>
            <w:b/>
            <w:bCs/>
            <w:szCs w:val="24"/>
            <w:lang w:eastAsia="zh-CN"/>
          </w:rPr>
          <w:t>C14/65</w:t>
        </w:r>
      </w:hyperlink>
      <w:r w:rsidRPr="00756106">
        <w:rPr>
          <w:rFonts w:eastAsiaTheme="minorEastAsia"/>
          <w:lang w:eastAsia="zh-CN"/>
        </w:rPr>
        <w:t xml:space="preserve">) </w:t>
      </w:r>
      <w:r>
        <w:rPr>
          <w:rFonts w:eastAsiaTheme="minorEastAsia"/>
          <w:lang w:eastAsia="zh-CN"/>
        </w:rPr>
        <w:t>ainsi que par des Conseillers lors des sixième et septième séances plénières du Conseil</w:t>
      </w:r>
      <w:r w:rsidR="00B67BB6">
        <w:rPr>
          <w:rFonts w:eastAsiaTheme="minorEastAsia"/>
          <w:lang w:eastAsia="zh-CN"/>
        </w:rPr>
        <w:t xml:space="preserve"> </w:t>
      </w:r>
      <w:r w:rsidRPr="00756106">
        <w:rPr>
          <w:rFonts w:eastAsiaTheme="minorEastAsia"/>
          <w:lang w:eastAsia="zh-CN"/>
        </w:rPr>
        <w:t>(</w:t>
      </w:r>
      <w:r>
        <w:rPr>
          <w:rFonts w:eastAsiaTheme="minorEastAsia"/>
          <w:lang w:eastAsia="zh-CN"/>
        </w:rPr>
        <w:t>voir les</w:t>
      </w:r>
      <w:r w:rsidRPr="00756106">
        <w:rPr>
          <w:rFonts w:eastAsiaTheme="minorEastAsia"/>
          <w:lang w:eastAsia="zh-CN"/>
        </w:rPr>
        <w:t xml:space="preserve"> Documents </w:t>
      </w:r>
      <w:hyperlink r:id="rId43" w:history="1">
        <w:r w:rsidRPr="00756106">
          <w:rPr>
            <w:rStyle w:val="Hyperlink"/>
            <w:rFonts w:eastAsiaTheme="minorEastAsia" w:cs="Calibri"/>
            <w:b/>
            <w:bCs/>
            <w:szCs w:val="24"/>
            <w:lang w:eastAsia="zh-CN"/>
          </w:rPr>
          <w:t>C14/94</w:t>
        </w:r>
      </w:hyperlink>
      <w:r w:rsidRPr="00756106">
        <w:rPr>
          <w:rFonts w:eastAsiaTheme="minorEastAsia"/>
          <w:lang w:eastAsia="zh-CN"/>
        </w:rPr>
        <w:t xml:space="preserve"> </w:t>
      </w:r>
      <w:r>
        <w:rPr>
          <w:rFonts w:eastAsiaTheme="minorEastAsia"/>
          <w:lang w:eastAsia="zh-CN"/>
        </w:rPr>
        <w:t xml:space="preserve">et </w:t>
      </w:r>
      <w:hyperlink r:id="rId44" w:history="1">
        <w:r w:rsidRPr="00756106">
          <w:rPr>
            <w:rStyle w:val="Hyperlink"/>
            <w:rFonts w:eastAsiaTheme="minorEastAsia" w:cs="Calibri"/>
            <w:b/>
            <w:bCs/>
            <w:szCs w:val="24"/>
            <w:lang w:eastAsia="zh-CN"/>
          </w:rPr>
          <w:t>C14/96</w:t>
        </w:r>
      </w:hyperlink>
      <w:r w:rsidRPr="00756106">
        <w:rPr>
          <w:rFonts w:eastAsiaTheme="minorEastAsia"/>
          <w:lang w:eastAsia="zh-CN"/>
        </w:rPr>
        <w:t>).</w:t>
      </w:r>
    </w:p>
    <w:p w:rsidR="00DE12C7" w:rsidRPr="00381222" w:rsidRDefault="00DE12C7" w:rsidP="00B67BB6">
      <w:pPr>
        <w:rPr>
          <w:rFonts w:eastAsiaTheme="minorEastAsia"/>
          <w:lang w:eastAsia="zh-CN"/>
        </w:rPr>
      </w:pPr>
      <w:r>
        <w:rPr>
          <w:rFonts w:eastAsiaTheme="minorEastAsia"/>
          <w:lang w:eastAsia="zh-CN"/>
        </w:rPr>
        <w:t>7.2</w:t>
      </w:r>
      <w:r w:rsidR="008D4F2D">
        <w:rPr>
          <w:rFonts w:eastAsiaTheme="minorEastAsia"/>
          <w:lang w:eastAsia="zh-CN"/>
        </w:rPr>
        <w:tab/>
      </w:r>
      <w:r>
        <w:rPr>
          <w:rFonts w:eastAsiaTheme="minorEastAsia"/>
          <w:lang w:eastAsia="zh-CN"/>
        </w:rPr>
        <w:t>Les principaux sujets de préoccupation demeurent</w:t>
      </w:r>
      <w:r w:rsidR="004C0333">
        <w:rPr>
          <w:rFonts w:eastAsiaTheme="minorEastAsia"/>
          <w:lang w:eastAsia="zh-CN"/>
        </w:rPr>
        <w:t xml:space="preserve"> </w:t>
      </w:r>
      <w:r w:rsidRPr="00381222">
        <w:rPr>
          <w:rFonts w:eastAsiaTheme="minorEastAsia"/>
          <w:lang w:eastAsia="zh-CN"/>
        </w:rPr>
        <w:t>les conséquences financières, juridiques et techniques de l'exercice par l</w:t>
      </w:r>
      <w:r w:rsidR="004C0333">
        <w:rPr>
          <w:rFonts w:eastAsiaTheme="minorEastAsia"/>
          <w:lang w:eastAsia="zh-CN"/>
        </w:rPr>
        <w:t>'</w:t>
      </w:r>
      <w:r w:rsidRPr="00381222">
        <w:rPr>
          <w:rFonts w:eastAsiaTheme="minorEastAsia"/>
          <w:lang w:eastAsia="zh-CN"/>
        </w:rPr>
        <w:t>UIT des</w:t>
      </w:r>
      <w:r w:rsidR="004C0333">
        <w:rPr>
          <w:rFonts w:eastAsiaTheme="minorEastAsia"/>
          <w:lang w:eastAsia="zh-CN"/>
        </w:rPr>
        <w:t xml:space="preserve"> </w:t>
      </w:r>
      <w:r w:rsidRPr="00381222">
        <w:rPr>
          <w:rFonts w:eastAsiaTheme="minorEastAsia"/>
          <w:lang w:eastAsia="zh-CN"/>
        </w:rPr>
        <w:t>fonctions</w:t>
      </w:r>
      <w:r w:rsidR="004C0333">
        <w:rPr>
          <w:rFonts w:eastAsiaTheme="minorEastAsia"/>
          <w:lang w:eastAsia="zh-CN"/>
        </w:rPr>
        <w:t xml:space="preserve"> </w:t>
      </w:r>
      <w:r w:rsidRPr="00381222">
        <w:rPr>
          <w:rFonts w:eastAsiaTheme="minorEastAsia"/>
          <w:lang w:eastAsia="zh-CN"/>
        </w:rPr>
        <w:t>d'Autorité de surveillance</w:t>
      </w:r>
      <w:r w:rsidR="00C1030C">
        <w:rPr>
          <w:rFonts w:eastAsiaTheme="minorEastAsia"/>
          <w:lang w:eastAsia="zh-CN"/>
        </w:rPr>
        <w:t>;</w:t>
      </w:r>
      <w:r w:rsidRPr="00381222">
        <w:rPr>
          <w:rFonts w:eastAsiaTheme="minorEastAsia"/>
          <w:lang w:eastAsia="zh-CN"/>
        </w:rPr>
        <w:t xml:space="preserve"> la corrélation entre les fonctions</w:t>
      </w:r>
      <w:r w:rsidR="004C0333">
        <w:rPr>
          <w:rFonts w:eastAsiaTheme="minorEastAsia"/>
          <w:lang w:eastAsia="zh-CN"/>
        </w:rPr>
        <w:t xml:space="preserve"> </w:t>
      </w:r>
      <w:r w:rsidRPr="00381222">
        <w:rPr>
          <w:rFonts w:eastAsiaTheme="minorEastAsia"/>
          <w:lang w:eastAsia="zh-CN"/>
        </w:rPr>
        <w:t>d'Autorité de surveillance</w:t>
      </w:r>
      <w:r w:rsidR="004C0333">
        <w:rPr>
          <w:rFonts w:eastAsiaTheme="minorEastAsia"/>
          <w:lang w:eastAsia="zh-CN"/>
        </w:rPr>
        <w:t xml:space="preserve"> </w:t>
      </w:r>
      <w:r w:rsidRPr="00381222">
        <w:rPr>
          <w:rFonts w:eastAsiaTheme="minorEastAsia"/>
          <w:lang w:eastAsia="zh-CN"/>
        </w:rPr>
        <w:t>et le mandat</w:t>
      </w:r>
      <w:r w:rsidR="004C0333">
        <w:rPr>
          <w:rFonts w:eastAsiaTheme="minorEastAsia"/>
          <w:lang w:eastAsia="zh-CN"/>
        </w:rPr>
        <w:t xml:space="preserve"> </w:t>
      </w:r>
      <w:r w:rsidRPr="00381222">
        <w:rPr>
          <w:rFonts w:eastAsiaTheme="minorEastAsia"/>
          <w:lang w:eastAsia="zh-CN"/>
        </w:rPr>
        <w:t>de l</w:t>
      </w:r>
      <w:r w:rsidR="004C0333">
        <w:rPr>
          <w:rFonts w:eastAsiaTheme="minorEastAsia"/>
          <w:lang w:eastAsia="zh-CN"/>
        </w:rPr>
        <w:t>'</w:t>
      </w:r>
      <w:r w:rsidRPr="00381222">
        <w:rPr>
          <w:rFonts w:eastAsiaTheme="minorEastAsia"/>
          <w:lang w:eastAsia="zh-CN"/>
        </w:rPr>
        <w:t>UIT</w:t>
      </w:r>
      <w:r w:rsidR="004C0333">
        <w:rPr>
          <w:rFonts w:eastAsiaTheme="minorEastAsia"/>
          <w:lang w:eastAsia="zh-CN"/>
        </w:rPr>
        <w:t xml:space="preserve">, </w:t>
      </w:r>
      <w:r w:rsidRPr="00381222">
        <w:rPr>
          <w:rFonts w:eastAsiaTheme="minorEastAsia"/>
          <w:lang w:eastAsia="zh-CN"/>
        </w:rPr>
        <w:t>l</w:t>
      </w:r>
      <w:r w:rsidR="004C0333">
        <w:rPr>
          <w:rFonts w:eastAsiaTheme="minorEastAsia"/>
          <w:lang w:eastAsia="zh-CN"/>
        </w:rPr>
        <w:t>'</w:t>
      </w:r>
      <w:r>
        <w:rPr>
          <w:rFonts w:eastAsiaTheme="minorEastAsia"/>
          <w:lang w:eastAsia="zh-CN"/>
        </w:rPr>
        <w:t xml:space="preserve">immunité </w:t>
      </w:r>
      <w:r w:rsidRPr="00381222">
        <w:rPr>
          <w:rFonts w:eastAsiaTheme="minorEastAsia"/>
          <w:lang w:eastAsia="zh-CN"/>
        </w:rPr>
        <w:t>de l</w:t>
      </w:r>
      <w:r w:rsidR="004C0333">
        <w:rPr>
          <w:rFonts w:eastAsiaTheme="minorEastAsia"/>
          <w:lang w:eastAsia="zh-CN"/>
        </w:rPr>
        <w:t>'</w:t>
      </w:r>
      <w:r w:rsidRPr="00381222">
        <w:rPr>
          <w:rFonts w:eastAsiaTheme="minorEastAsia"/>
          <w:lang w:eastAsia="zh-CN"/>
        </w:rPr>
        <w:t>UIT</w:t>
      </w:r>
      <w:r w:rsidR="004C0333">
        <w:rPr>
          <w:rFonts w:eastAsiaTheme="minorEastAsia"/>
          <w:lang w:eastAsia="zh-CN"/>
        </w:rPr>
        <w:t>,</w:t>
      </w:r>
      <w:r>
        <w:rPr>
          <w:rFonts w:eastAsiaTheme="minorEastAsia"/>
          <w:lang w:eastAsia="zh-CN"/>
        </w:rPr>
        <w:t xml:space="preserve"> le rôle de l</w:t>
      </w:r>
      <w:r w:rsidR="004C0333">
        <w:rPr>
          <w:rFonts w:eastAsiaTheme="minorEastAsia"/>
          <w:lang w:eastAsia="zh-CN"/>
        </w:rPr>
        <w:t>'</w:t>
      </w:r>
      <w:r>
        <w:rPr>
          <w:rFonts w:eastAsiaTheme="minorEastAsia"/>
          <w:lang w:eastAsia="zh-CN"/>
        </w:rPr>
        <w:t>Union à l</w:t>
      </w:r>
      <w:r w:rsidR="004C0333">
        <w:rPr>
          <w:rFonts w:eastAsiaTheme="minorEastAsia"/>
          <w:lang w:eastAsia="zh-CN"/>
        </w:rPr>
        <w:t>'</w:t>
      </w:r>
      <w:r>
        <w:rPr>
          <w:rFonts w:eastAsiaTheme="minorEastAsia"/>
          <w:lang w:eastAsia="zh-CN"/>
        </w:rPr>
        <w:t>égard du Conservateur, la participation de l</w:t>
      </w:r>
      <w:r w:rsidR="004C0333">
        <w:rPr>
          <w:rFonts w:eastAsiaTheme="minorEastAsia"/>
          <w:lang w:eastAsia="zh-CN"/>
        </w:rPr>
        <w:t>'</w:t>
      </w:r>
      <w:r>
        <w:rPr>
          <w:rFonts w:eastAsiaTheme="minorEastAsia"/>
          <w:lang w:eastAsia="zh-CN"/>
        </w:rPr>
        <w:t xml:space="preserve">UIT dans le cadre du </w:t>
      </w:r>
      <w:r w:rsidRPr="006E1CEA">
        <w:rPr>
          <w:rFonts w:eastAsiaTheme="minorEastAsia"/>
          <w:lang w:val="fr-CH" w:eastAsia="zh-CN"/>
        </w:rPr>
        <w:t>Protocole portant sur les biens spatiaux</w:t>
      </w:r>
      <w:r>
        <w:rPr>
          <w:rFonts w:eastAsiaTheme="minorEastAsia"/>
          <w:lang w:val="fr-CH" w:eastAsia="zh-CN"/>
        </w:rPr>
        <w:t xml:space="preserve"> ainsi que</w:t>
      </w:r>
      <w:r w:rsidR="004C0333">
        <w:rPr>
          <w:rFonts w:eastAsiaTheme="minorEastAsia"/>
          <w:lang w:val="fr-CH" w:eastAsia="zh-CN"/>
        </w:rPr>
        <w:t xml:space="preserve"> </w:t>
      </w:r>
      <w:r>
        <w:rPr>
          <w:rFonts w:eastAsiaTheme="minorEastAsia"/>
          <w:lang w:val="fr-CH" w:eastAsia="zh-CN"/>
        </w:rPr>
        <w:t>l</w:t>
      </w:r>
      <w:r w:rsidR="004C0333">
        <w:rPr>
          <w:rFonts w:eastAsiaTheme="minorEastAsia"/>
          <w:lang w:val="fr-CH" w:eastAsia="zh-CN"/>
        </w:rPr>
        <w:t>'</w:t>
      </w:r>
      <w:r>
        <w:rPr>
          <w:rFonts w:eastAsiaTheme="minorEastAsia"/>
          <w:lang w:val="fr-CH" w:eastAsia="zh-CN"/>
        </w:rPr>
        <w:t>évaluation des incidences que pourrait avoir l</w:t>
      </w:r>
      <w:r w:rsidR="004C0333">
        <w:rPr>
          <w:rFonts w:eastAsiaTheme="minorEastAsia"/>
          <w:lang w:val="fr-CH" w:eastAsia="zh-CN"/>
        </w:rPr>
        <w:t>'</w:t>
      </w:r>
      <w:r>
        <w:rPr>
          <w:rFonts w:eastAsiaTheme="minorEastAsia"/>
          <w:lang w:val="fr-CH" w:eastAsia="zh-CN"/>
        </w:rPr>
        <w:t>acceptation ou le refus, par l</w:t>
      </w:r>
      <w:r w:rsidR="004C0333">
        <w:rPr>
          <w:rFonts w:eastAsiaTheme="minorEastAsia"/>
          <w:lang w:val="fr-CH" w:eastAsia="zh-CN"/>
        </w:rPr>
        <w:t>'</w:t>
      </w:r>
      <w:r>
        <w:rPr>
          <w:rFonts w:eastAsiaTheme="minorEastAsia"/>
          <w:lang w:val="fr-CH" w:eastAsia="zh-CN"/>
        </w:rPr>
        <w:t>UIT, de l</w:t>
      </w:r>
      <w:r w:rsidR="004C0333">
        <w:rPr>
          <w:rFonts w:eastAsiaTheme="minorEastAsia"/>
          <w:lang w:val="fr-CH" w:eastAsia="zh-CN"/>
        </w:rPr>
        <w:t>'</w:t>
      </w:r>
      <w:r>
        <w:rPr>
          <w:rFonts w:eastAsiaTheme="minorEastAsia"/>
          <w:lang w:val="fr-CH" w:eastAsia="zh-CN"/>
        </w:rPr>
        <w:t xml:space="preserve">exercice des fonctions </w:t>
      </w:r>
      <w:r w:rsidRPr="00381222">
        <w:rPr>
          <w:rFonts w:eastAsiaTheme="minorEastAsia"/>
          <w:lang w:eastAsia="zh-CN"/>
        </w:rPr>
        <w:t>d'Autorité de surveillance</w:t>
      </w:r>
      <w:r>
        <w:rPr>
          <w:rFonts w:eastAsiaTheme="minorEastAsia"/>
          <w:lang w:eastAsia="zh-CN"/>
        </w:rPr>
        <w:t>.</w:t>
      </w:r>
    </w:p>
    <w:p w:rsidR="00DE12C7" w:rsidRPr="0072341B" w:rsidRDefault="008D4F2D" w:rsidP="00B67BB6">
      <w:pPr>
        <w:rPr>
          <w:rFonts w:eastAsiaTheme="minorEastAsia"/>
          <w:lang w:eastAsia="zh-CN"/>
        </w:rPr>
      </w:pPr>
      <w:r>
        <w:rPr>
          <w:rFonts w:eastAsiaTheme="minorEastAsia"/>
          <w:lang w:eastAsia="zh-CN"/>
        </w:rPr>
        <w:t>7.3</w:t>
      </w:r>
      <w:r>
        <w:rPr>
          <w:rFonts w:eastAsiaTheme="minorEastAsia"/>
          <w:lang w:eastAsia="zh-CN"/>
        </w:rPr>
        <w:tab/>
      </w:r>
      <w:r w:rsidR="00DE12C7">
        <w:rPr>
          <w:rFonts w:eastAsiaTheme="minorEastAsia"/>
          <w:lang w:eastAsia="zh-CN"/>
        </w:rPr>
        <w:t>Conformément à ses décisions antérieures,</w:t>
      </w:r>
      <w:r w:rsidR="00B67BB6">
        <w:rPr>
          <w:rFonts w:eastAsiaTheme="minorEastAsia"/>
          <w:lang w:eastAsia="zh-CN"/>
        </w:rPr>
        <w:t xml:space="preserve"> </w:t>
      </w:r>
      <w:r w:rsidR="00DE12C7">
        <w:rPr>
          <w:rFonts w:eastAsiaTheme="minorEastAsia"/>
          <w:lang w:eastAsia="zh-CN"/>
        </w:rPr>
        <w:t>l</w:t>
      </w:r>
      <w:r w:rsidR="00DE12C7" w:rsidRPr="00BA5B18">
        <w:rPr>
          <w:rFonts w:eastAsiaTheme="minorEastAsia"/>
          <w:lang w:eastAsia="zh-CN"/>
        </w:rPr>
        <w:t xml:space="preserve">e Conseil </w:t>
      </w:r>
      <w:r w:rsidR="00DE12C7">
        <w:rPr>
          <w:rFonts w:eastAsiaTheme="minorEastAsia"/>
          <w:lang w:eastAsia="zh-CN"/>
        </w:rPr>
        <w:t xml:space="preserve">à sa session de </w:t>
      </w:r>
      <w:r w:rsidR="00DE12C7" w:rsidRPr="00BA5B18">
        <w:rPr>
          <w:rFonts w:eastAsiaTheme="minorEastAsia"/>
          <w:lang w:eastAsia="zh-CN"/>
        </w:rPr>
        <w:t>2014</w:t>
      </w:r>
      <w:r w:rsidR="00DE12C7">
        <w:rPr>
          <w:rFonts w:eastAsiaTheme="minorEastAsia"/>
          <w:lang w:eastAsia="zh-CN"/>
        </w:rPr>
        <w:t xml:space="preserve"> a pris</w:t>
      </w:r>
      <w:r w:rsidR="004C0333">
        <w:rPr>
          <w:rFonts w:eastAsiaTheme="minorEastAsia"/>
          <w:lang w:eastAsia="zh-CN"/>
        </w:rPr>
        <w:t xml:space="preserve"> </w:t>
      </w:r>
      <w:r w:rsidR="00DE12C7" w:rsidRPr="00BA5B18">
        <w:rPr>
          <w:rFonts w:eastAsiaTheme="minorEastAsia"/>
          <w:lang w:eastAsia="zh-CN"/>
        </w:rPr>
        <w:t xml:space="preserve">note du Document </w:t>
      </w:r>
      <w:hyperlink r:id="rId45" w:history="1">
        <w:r w:rsidR="00DE12C7" w:rsidRPr="00ED77BC">
          <w:rPr>
            <w:rStyle w:val="Hyperlink"/>
            <w:rFonts w:eastAsiaTheme="minorEastAsia" w:cs="Calibri"/>
            <w:b/>
            <w:bCs/>
            <w:szCs w:val="24"/>
            <w:lang w:eastAsia="zh-CN"/>
          </w:rPr>
          <w:t>C14/13</w:t>
        </w:r>
      </w:hyperlink>
      <w:r w:rsidR="00DE12C7" w:rsidRPr="00BA5B18">
        <w:rPr>
          <w:rFonts w:eastAsiaTheme="minorEastAsia"/>
          <w:lang w:eastAsia="zh-CN"/>
        </w:rPr>
        <w:t xml:space="preserve"> et</w:t>
      </w:r>
      <w:r w:rsidR="004C0333">
        <w:rPr>
          <w:rFonts w:eastAsiaTheme="minorEastAsia"/>
          <w:lang w:eastAsia="zh-CN"/>
        </w:rPr>
        <w:t xml:space="preserve"> </w:t>
      </w:r>
      <w:r w:rsidR="00DE12C7">
        <w:rPr>
          <w:rFonts w:eastAsiaTheme="minorEastAsia"/>
          <w:lang w:eastAsia="zh-CN"/>
        </w:rPr>
        <w:t xml:space="preserve">a </w:t>
      </w:r>
      <w:r w:rsidR="00DE12C7" w:rsidRPr="00BA5B18">
        <w:rPr>
          <w:rFonts w:eastAsiaTheme="minorEastAsia"/>
          <w:lang w:eastAsia="zh-CN"/>
        </w:rPr>
        <w:t>autoris</w:t>
      </w:r>
      <w:r w:rsidR="00DE12C7">
        <w:rPr>
          <w:rFonts w:eastAsiaTheme="minorEastAsia"/>
          <w:lang w:eastAsia="zh-CN"/>
        </w:rPr>
        <w:t>é</w:t>
      </w:r>
      <w:r w:rsidR="00DE12C7" w:rsidRPr="00BA5B18">
        <w:rPr>
          <w:rFonts w:eastAsiaTheme="minorEastAsia"/>
          <w:lang w:eastAsia="zh-CN"/>
        </w:rPr>
        <w:t xml:space="preserve"> le Secrétaire général à continuer d'exprimer l'intérêt de l'Union pour que</w:t>
      </w:r>
      <w:r w:rsidR="00DE12C7">
        <w:rPr>
          <w:rFonts w:eastAsiaTheme="minorEastAsia"/>
          <w:lang w:eastAsia="zh-CN"/>
        </w:rPr>
        <w:t xml:space="preserve"> cette organisation</w:t>
      </w:r>
      <w:r w:rsidR="004C0333">
        <w:rPr>
          <w:rFonts w:eastAsiaTheme="minorEastAsia"/>
          <w:lang w:eastAsia="zh-CN"/>
        </w:rPr>
        <w:t xml:space="preserve"> </w:t>
      </w:r>
      <w:r w:rsidR="00DE12C7">
        <w:rPr>
          <w:rFonts w:eastAsiaTheme="minorEastAsia"/>
          <w:lang w:eastAsia="zh-CN"/>
        </w:rPr>
        <w:t>exerce les fonctions</w:t>
      </w:r>
      <w:r w:rsidR="004C0333">
        <w:rPr>
          <w:rFonts w:eastAsiaTheme="minorEastAsia"/>
          <w:lang w:eastAsia="zh-CN"/>
        </w:rPr>
        <w:t xml:space="preserve"> </w:t>
      </w:r>
      <w:r w:rsidR="00DE12C7">
        <w:rPr>
          <w:rFonts w:eastAsiaTheme="minorEastAsia"/>
          <w:lang w:eastAsia="zh-CN"/>
        </w:rPr>
        <w:t>d</w:t>
      </w:r>
      <w:r w:rsidR="00DE12C7" w:rsidRPr="00BA5B18">
        <w:rPr>
          <w:rFonts w:eastAsiaTheme="minorEastAsia"/>
          <w:lang w:eastAsia="zh-CN"/>
        </w:rPr>
        <w:t>'Autorité de surveillance, notant qu'il n'y a</w:t>
      </w:r>
      <w:r w:rsidR="00DE12C7">
        <w:rPr>
          <w:rFonts w:eastAsiaTheme="minorEastAsia"/>
          <w:lang w:eastAsia="zh-CN"/>
        </w:rPr>
        <w:t>vait</w:t>
      </w:r>
      <w:r w:rsidR="004C0333">
        <w:rPr>
          <w:rFonts w:eastAsiaTheme="minorEastAsia"/>
          <w:lang w:eastAsia="zh-CN"/>
        </w:rPr>
        <w:t xml:space="preserve"> </w:t>
      </w:r>
      <w:r w:rsidR="00DE12C7" w:rsidRPr="00BA5B18">
        <w:rPr>
          <w:rFonts w:eastAsiaTheme="minorEastAsia"/>
          <w:lang w:eastAsia="zh-CN"/>
        </w:rPr>
        <w:t>pas lieu à ce stade de préjuger</w:t>
      </w:r>
      <w:r w:rsidR="004C0333">
        <w:rPr>
          <w:rFonts w:eastAsiaTheme="minorEastAsia"/>
          <w:lang w:eastAsia="zh-CN"/>
        </w:rPr>
        <w:t xml:space="preserve"> </w:t>
      </w:r>
      <w:r w:rsidR="00DE12C7" w:rsidRPr="00BA5B18">
        <w:rPr>
          <w:rFonts w:eastAsiaTheme="minorEastAsia"/>
          <w:lang w:eastAsia="zh-CN"/>
        </w:rPr>
        <w:t xml:space="preserve">la question de savoir si l'UIT pourrait ou non être l'Autorité de surveillance. Il </w:t>
      </w:r>
      <w:r w:rsidR="00DE12C7">
        <w:rPr>
          <w:rFonts w:eastAsiaTheme="minorEastAsia"/>
          <w:lang w:eastAsia="zh-CN"/>
        </w:rPr>
        <w:t xml:space="preserve">a </w:t>
      </w:r>
      <w:r w:rsidR="00DE12C7" w:rsidRPr="00BA5B18">
        <w:rPr>
          <w:rFonts w:eastAsiaTheme="minorEastAsia"/>
          <w:lang w:eastAsia="zh-CN"/>
        </w:rPr>
        <w:t>en outre autoris</w:t>
      </w:r>
      <w:r w:rsidR="00DE12C7">
        <w:rPr>
          <w:rFonts w:eastAsiaTheme="minorEastAsia"/>
          <w:lang w:eastAsia="zh-CN"/>
        </w:rPr>
        <w:t>é</w:t>
      </w:r>
      <w:r w:rsidR="004C0333">
        <w:rPr>
          <w:rFonts w:eastAsiaTheme="minorEastAsia"/>
          <w:lang w:eastAsia="zh-CN"/>
        </w:rPr>
        <w:t xml:space="preserve"> </w:t>
      </w:r>
      <w:r w:rsidR="00DE12C7" w:rsidRPr="00BA5B18">
        <w:rPr>
          <w:rFonts w:eastAsiaTheme="minorEastAsia"/>
          <w:lang w:eastAsia="zh-CN"/>
        </w:rPr>
        <w:t xml:space="preserve">le Secrétaire général, ou son représentant, à continuer de participer à titre d'observateur aux travaux de la Commission préparatoire et de ses groupes de travail. </w:t>
      </w:r>
      <w:r w:rsidR="00DE12C7">
        <w:rPr>
          <w:rFonts w:eastAsiaTheme="minorEastAsia"/>
          <w:lang w:eastAsia="zh-CN"/>
        </w:rPr>
        <w:t>De plus, l</w:t>
      </w:r>
      <w:r w:rsidR="00DE12C7" w:rsidRPr="00BA5B18">
        <w:rPr>
          <w:rFonts w:eastAsiaTheme="minorEastAsia"/>
          <w:lang w:eastAsia="zh-CN"/>
        </w:rPr>
        <w:t>e Conseil</w:t>
      </w:r>
      <w:r w:rsidR="00DE12C7">
        <w:rPr>
          <w:rFonts w:eastAsiaTheme="minorEastAsia"/>
          <w:lang w:eastAsia="zh-CN"/>
        </w:rPr>
        <w:t xml:space="preserve"> a</w:t>
      </w:r>
      <w:r w:rsidR="004C0333">
        <w:rPr>
          <w:rFonts w:eastAsiaTheme="minorEastAsia"/>
          <w:lang w:eastAsia="zh-CN"/>
        </w:rPr>
        <w:t xml:space="preserve"> </w:t>
      </w:r>
      <w:r w:rsidR="00DE12C7" w:rsidRPr="00BA5B18">
        <w:rPr>
          <w:rFonts w:eastAsiaTheme="minorEastAsia"/>
          <w:lang w:eastAsia="zh-CN"/>
        </w:rPr>
        <w:t>autoris</w:t>
      </w:r>
      <w:r w:rsidR="00DE12C7">
        <w:rPr>
          <w:rFonts w:eastAsiaTheme="minorEastAsia"/>
          <w:lang w:eastAsia="zh-CN"/>
        </w:rPr>
        <w:t>é</w:t>
      </w:r>
      <w:r w:rsidR="004C0333">
        <w:rPr>
          <w:rFonts w:eastAsiaTheme="minorEastAsia"/>
          <w:lang w:eastAsia="zh-CN"/>
        </w:rPr>
        <w:t xml:space="preserve"> </w:t>
      </w:r>
      <w:r w:rsidR="00DE12C7" w:rsidRPr="00BA5B18">
        <w:rPr>
          <w:rFonts w:eastAsiaTheme="minorEastAsia"/>
          <w:lang w:eastAsia="zh-CN"/>
        </w:rPr>
        <w:t xml:space="preserve">le Secrétaire général à présenter un rapport sur </w:t>
      </w:r>
      <w:r w:rsidR="00DE12C7">
        <w:rPr>
          <w:rFonts w:eastAsiaTheme="minorEastAsia"/>
          <w:lang w:eastAsia="zh-CN"/>
        </w:rPr>
        <w:t>c</w:t>
      </w:r>
      <w:r w:rsidR="00B67BB6">
        <w:rPr>
          <w:rFonts w:eastAsiaTheme="minorEastAsia"/>
          <w:lang w:eastAsia="zh-CN"/>
        </w:rPr>
        <w:t>e sujet à la </w:t>
      </w:r>
      <w:r w:rsidR="00DE12C7" w:rsidRPr="00BA5B18">
        <w:rPr>
          <w:rFonts w:eastAsiaTheme="minorEastAsia"/>
          <w:lang w:eastAsia="zh-CN"/>
        </w:rPr>
        <w:t>PP-14 et à rendre compte de l'état d'avancement des travaux à la session de 2015 du Conseil.</w:t>
      </w:r>
      <w:r w:rsidR="00DE12C7">
        <w:rPr>
          <w:rFonts w:eastAsiaTheme="minorEastAsia"/>
          <w:lang w:eastAsia="zh-CN"/>
        </w:rPr>
        <w:t xml:space="preserve"> </w:t>
      </w:r>
    </w:p>
    <w:p w:rsidR="00DE12C7" w:rsidRPr="00BB2795" w:rsidRDefault="008D4F2D" w:rsidP="00B67BB6">
      <w:pPr>
        <w:rPr>
          <w:rFonts w:eastAsiaTheme="minorEastAsia"/>
          <w:lang w:eastAsia="zh-CN"/>
        </w:rPr>
      </w:pPr>
      <w:r>
        <w:rPr>
          <w:rFonts w:eastAsiaTheme="minorEastAsia"/>
          <w:lang w:eastAsia="zh-CN"/>
        </w:rPr>
        <w:t>7.4</w:t>
      </w:r>
      <w:r>
        <w:rPr>
          <w:rFonts w:eastAsiaTheme="minorEastAsia"/>
          <w:lang w:eastAsia="zh-CN"/>
        </w:rPr>
        <w:tab/>
      </w:r>
      <w:r w:rsidR="00DE12C7" w:rsidRPr="0072341B">
        <w:rPr>
          <w:rFonts w:eastAsiaTheme="minorEastAsia"/>
          <w:lang w:eastAsia="zh-CN"/>
        </w:rPr>
        <w:t xml:space="preserve">Suite à une proposition selon laquelle le Conseil devrait recommander à la PP-14 de prendre une décision </w:t>
      </w:r>
      <w:r w:rsidR="00DE12C7">
        <w:rPr>
          <w:rFonts w:eastAsiaTheme="minorEastAsia"/>
          <w:lang w:eastAsia="zh-CN"/>
        </w:rPr>
        <w:t>en la matière</w:t>
      </w:r>
      <w:r w:rsidR="00DE12C7" w:rsidRPr="0072341B">
        <w:rPr>
          <w:rFonts w:eastAsiaTheme="minorEastAsia"/>
          <w:lang w:eastAsia="zh-CN"/>
        </w:rPr>
        <w:t xml:space="preserve">, le Conseil </w:t>
      </w:r>
      <w:r w:rsidR="00DE12C7">
        <w:rPr>
          <w:rFonts w:eastAsiaTheme="minorEastAsia"/>
          <w:lang w:eastAsia="zh-CN"/>
        </w:rPr>
        <w:t>a pris</w:t>
      </w:r>
      <w:r w:rsidR="004C0333">
        <w:rPr>
          <w:rFonts w:eastAsiaTheme="minorEastAsia"/>
          <w:lang w:eastAsia="zh-CN"/>
        </w:rPr>
        <w:t xml:space="preserve"> </w:t>
      </w:r>
      <w:r w:rsidR="00DE12C7" w:rsidRPr="0072341B">
        <w:rPr>
          <w:rFonts w:eastAsiaTheme="minorEastAsia"/>
          <w:lang w:eastAsia="zh-CN"/>
        </w:rPr>
        <w:t xml:space="preserve">note de la proposition d'un observateur, </w:t>
      </w:r>
      <w:r w:rsidR="00DE12C7">
        <w:rPr>
          <w:rFonts w:eastAsiaTheme="minorEastAsia"/>
          <w:lang w:eastAsia="zh-CN"/>
        </w:rPr>
        <w:t>qui a estimé qu</w:t>
      </w:r>
      <w:r w:rsidR="004C0333">
        <w:rPr>
          <w:rFonts w:eastAsiaTheme="minorEastAsia"/>
          <w:lang w:eastAsia="zh-CN"/>
        </w:rPr>
        <w:t>'</w:t>
      </w:r>
      <w:r w:rsidR="00DE12C7" w:rsidRPr="0072341B">
        <w:rPr>
          <w:rFonts w:eastAsiaTheme="minorEastAsia"/>
          <w:lang w:eastAsia="zh-CN"/>
        </w:rPr>
        <w:t xml:space="preserve">il serait préférable de recommander à la PP-14 d'examiner la question et de prendre les mesures </w:t>
      </w:r>
      <w:r w:rsidR="00DE12C7">
        <w:rPr>
          <w:rFonts w:eastAsiaTheme="minorEastAsia"/>
          <w:lang w:eastAsia="zh-CN"/>
        </w:rPr>
        <w:t>nécessaires, selon qu</w:t>
      </w:r>
      <w:r w:rsidR="004C0333">
        <w:rPr>
          <w:rFonts w:eastAsiaTheme="minorEastAsia"/>
          <w:lang w:eastAsia="zh-CN"/>
        </w:rPr>
        <w:t>'</w:t>
      </w:r>
      <w:r w:rsidR="00DE12C7">
        <w:rPr>
          <w:rFonts w:eastAsiaTheme="minorEastAsia"/>
          <w:lang w:eastAsia="zh-CN"/>
        </w:rPr>
        <w:t xml:space="preserve">il conviendra. </w:t>
      </w:r>
    </w:p>
    <w:p w:rsidR="00DE12C7" w:rsidRPr="005208B0" w:rsidRDefault="00DE12C7" w:rsidP="00B67BB6">
      <w:pPr>
        <w:rPr>
          <w:i/>
          <w:iCs/>
        </w:rPr>
      </w:pPr>
      <w:r>
        <w:t>7.5</w:t>
      </w:r>
      <w:r w:rsidR="008D4F2D">
        <w:tab/>
      </w:r>
      <w:r w:rsidRPr="00BB2795">
        <w:t xml:space="preserve">S'agissant des questions soulevées et des commentaires formulés par </w:t>
      </w:r>
      <w:r>
        <w:t xml:space="preserve">plusieurs </w:t>
      </w:r>
      <w:r w:rsidRPr="00BB2795">
        <w:t xml:space="preserve">administrations, </w:t>
      </w:r>
      <w:r>
        <w:t>en particulie</w:t>
      </w:r>
      <w:r w:rsidRPr="00BB2795">
        <w:t xml:space="preserve">r </w:t>
      </w:r>
      <w:r>
        <w:t xml:space="preserve">les </w:t>
      </w:r>
      <w:r w:rsidRPr="00BB2795">
        <w:t>Administrations</w:t>
      </w:r>
      <w:r>
        <w:t xml:space="preserve"> du</w:t>
      </w:r>
      <w:r w:rsidR="004C0333">
        <w:t xml:space="preserve"> </w:t>
      </w:r>
      <w:r>
        <w:t>Japo</w:t>
      </w:r>
      <w:r w:rsidRPr="00BB2795">
        <w:t xml:space="preserve">n, </w:t>
      </w:r>
      <w:r>
        <w:t>de l</w:t>
      </w:r>
      <w:r w:rsidR="004C0333">
        <w:t>'</w:t>
      </w:r>
      <w:r>
        <w:t>Australie</w:t>
      </w:r>
      <w:r w:rsidRPr="00BB2795">
        <w:t xml:space="preserve">, </w:t>
      </w:r>
      <w:r>
        <w:t xml:space="preserve">des </w:t>
      </w:r>
      <w:r w:rsidRPr="00BB2795">
        <w:t xml:space="preserve">Philippines, </w:t>
      </w:r>
      <w:r>
        <w:t>de l</w:t>
      </w:r>
      <w:r w:rsidR="004C0333">
        <w:t>'</w:t>
      </w:r>
      <w:r>
        <w:t>Allemagne</w:t>
      </w:r>
      <w:r w:rsidR="004C0333">
        <w:t>,</w:t>
      </w:r>
      <w:r>
        <w:t xml:space="preserve"> de</w:t>
      </w:r>
      <w:r w:rsidR="004C0333">
        <w:t xml:space="preserve"> </w:t>
      </w:r>
      <w:r>
        <w:t>la</w:t>
      </w:r>
      <w:r w:rsidR="004C0333">
        <w:t xml:space="preserve"> </w:t>
      </w:r>
      <w:r w:rsidRPr="00BB2795">
        <w:t xml:space="preserve">France, </w:t>
      </w:r>
      <w:r>
        <w:t>de l</w:t>
      </w:r>
      <w:r w:rsidR="004C0333">
        <w:t>'</w:t>
      </w:r>
      <w:r>
        <w:t>Inde</w:t>
      </w:r>
      <w:r w:rsidRPr="00BB2795">
        <w:t xml:space="preserve">, </w:t>
      </w:r>
      <w:r>
        <w:t xml:space="preserve">du </w:t>
      </w:r>
      <w:r w:rsidRPr="00BB2795">
        <w:t xml:space="preserve">Mali, </w:t>
      </w:r>
      <w:r>
        <w:t xml:space="preserve">du </w:t>
      </w:r>
      <w:r w:rsidRPr="00BB2795">
        <w:t xml:space="preserve">Nigeria, </w:t>
      </w:r>
      <w:r>
        <w:t>de l</w:t>
      </w:r>
      <w:r w:rsidR="004C0333">
        <w:t>'</w:t>
      </w:r>
      <w:r>
        <w:t>Argentine</w:t>
      </w:r>
      <w:r w:rsidRPr="00BB2795">
        <w:t xml:space="preserve">, </w:t>
      </w:r>
      <w:r>
        <w:t>de la Suède</w:t>
      </w:r>
      <w:r w:rsidR="004C0333">
        <w:t>,</w:t>
      </w:r>
      <w:r>
        <w:t xml:space="preserve"> de la</w:t>
      </w:r>
      <w:r w:rsidR="004C0333">
        <w:t xml:space="preserve"> </w:t>
      </w:r>
      <w:r>
        <w:t>Chine</w:t>
      </w:r>
      <w:r w:rsidRPr="00BB2795">
        <w:t xml:space="preserve">, </w:t>
      </w:r>
      <w:r>
        <w:t>de la Turquie et des Etats-Unis d</w:t>
      </w:r>
      <w:r w:rsidR="004C0333">
        <w:t>'</w:t>
      </w:r>
      <w:r>
        <w:t>Amérique,</w:t>
      </w:r>
      <w:r w:rsidR="004C0333">
        <w:t xml:space="preserve"> </w:t>
      </w:r>
      <w:r w:rsidRPr="00BB2795">
        <w:t>au cours des sessions de 2012</w:t>
      </w:r>
      <w:r>
        <w:t>,</w:t>
      </w:r>
      <w:r w:rsidR="004C0333">
        <w:t xml:space="preserve"> </w:t>
      </w:r>
      <w:r w:rsidRPr="00BB2795">
        <w:t>2013</w:t>
      </w:r>
      <w:r>
        <w:t xml:space="preserve"> et 2014</w:t>
      </w:r>
      <w:r w:rsidR="004C0333">
        <w:t xml:space="preserve"> </w:t>
      </w:r>
      <w:r w:rsidRPr="00BB2795">
        <w:t>du Conseil,</w:t>
      </w:r>
      <w:r w:rsidR="004C0333">
        <w:t xml:space="preserve"> </w:t>
      </w:r>
      <w:r w:rsidRPr="00BB2795">
        <w:t>concernant le rôle que pourrait jouer l'UIT en tant qu'Autorité de surveillance</w:t>
      </w:r>
      <w:r>
        <w:t xml:space="preserve"> du </w:t>
      </w:r>
      <w:r w:rsidRPr="00157FC9">
        <w:rPr>
          <w:lang w:val="fr-CH"/>
        </w:rPr>
        <w:t>système international d'inscription</w:t>
      </w:r>
      <w:r>
        <w:rPr>
          <w:lang w:val="fr-CH"/>
        </w:rPr>
        <w:t xml:space="preserve"> </w:t>
      </w:r>
      <w:r w:rsidRPr="00157FC9">
        <w:rPr>
          <w:lang w:val="fr-CH"/>
        </w:rPr>
        <w:t>pour les biens spatiaux</w:t>
      </w:r>
      <w:r>
        <w:t>, le s</w:t>
      </w:r>
      <w:r w:rsidRPr="00BB2795">
        <w:t>ecrétariat</w:t>
      </w:r>
      <w:r w:rsidR="004C0333">
        <w:t xml:space="preserve"> </w:t>
      </w:r>
      <w:r w:rsidRPr="00BB2795">
        <w:t xml:space="preserve">a </w:t>
      </w:r>
      <w:r>
        <w:t xml:space="preserve">établi </w:t>
      </w:r>
      <w:r w:rsidRPr="00BB2795">
        <w:t>un document d'information</w:t>
      </w:r>
      <w:r w:rsidR="004C0333">
        <w:t xml:space="preserve"> </w:t>
      </w:r>
      <w:r>
        <w:t>fournissant</w:t>
      </w:r>
      <w:r w:rsidR="004C0333">
        <w:t xml:space="preserve"> </w:t>
      </w:r>
      <w:r w:rsidRPr="00BB2795">
        <w:t xml:space="preserve">toutes les informations et précisions nécessaires </w:t>
      </w:r>
      <w:r>
        <w:t xml:space="preserve">. </w:t>
      </w:r>
    </w:p>
    <w:p w:rsidR="00DE12C7" w:rsidRPr="000E2E0F" w:rsidRDefault="00DE12C7" w:rsidP="00B67BB6">
      <w:r>
        <w:rPr>
          <w:lang w:val="fr-CH"/>
        </w:rPr>
        <w:t>7.6</w:t>
      </w:r>
      <w:r w:rsidR="008D4F2D">
        <w:rPr>
          <w:lang w:val="fr-CH"/>
        </w:rPr>
        <w:tab/>
      </w:r>
      <w:r w:rsidRPr="005020D3">
        <w:rPr>
          <w:lang w:val="fr-CH"/>
        </w:rPr>
        <w:t>Afin que le Secrétaire général de l'UIT puisse s'acquitter de cette tâche d'une manière parfaitement transparente, un réseau d'échange en ligne (SharePoint)</w:t>
      </w:r>
      <w:r>
        <w:rPr>
          <w:lang w:val="fr-CH"/>
        </w:rPr>
        <w:t>,</w:t>
      </w:r>
      <w:r w:rsidR="004C0333">
        <w:rPr>
          <w:lang w:val="fr-CH"/>
        </w:rPr>
        <w:t xml:space="preserve"> </w:t>
      </w:r>
      <w:r w:rsidR="00B67BB6">
        <w:rPr>
          <w:lang w:val="fr-CH"/>
        </w:rPr>
        <w:t>ouvert aux Etats Membres </w:t>
      </w:r>
      <w:r w:rsidRPr="005020D3">
        <w:rPr>
          <w:lang w:val="fr-CH"/>
        </w:rPr>
        <w:t>du Conseil,</w:t>
      </w:r>
      <w:r w:rsidR="004C0333">
        <w:rPr>
          <w:lang w:val="fr-CH"/>
        </w:rPr>
        <w:t xml:space="preserve"> </w:t>
      </w:r>
      <w:r w:rsidRPr="005020D3">
        <w:rPr>
          <w:lang w:val="fr-CH"/>
        </w:rPr>
        <w:t xml:space="preserve">a </w:t>
      </w:r>
      <w:r>
        <w:rPr>
          <w:lang w:val="fr-CH"/>
        </w:rPr>
        <w:t xml:space="preserve">été </w:t>
      </w:r>
      <w:r w:rsidRPr="005020D3">
        <w:rPr>
          <w:lang w:val="fr-CH"/>
        </w:rPr>
        <w:t>mis en place</w:t>
      </w:r>
      <w:r>
        <w:rPr>
          <w:lang w:val="fr-CH"/>
        </w:rPr>
        <w:t>,</w:t>
      </w:r>
      <w:r w:rsidRPr="005020D3">
        <w:rPr>
          <w:lang w:val="fr-CH"/>
        </w:rPr>
        <w:t xml:space="preserve"> afin de permettre l'échange de</w:t>
      </w:r>
      <w:r w:rsidR="004C0333">
        <w:rPr>
          <w:lang w:val="fr-CH"/>
        </w:rPr>
        <w:t xml:space="preserve"> </w:t>
      </w:r>
      <w:r w:rsidR="00ED77BC">
        <w:rPr>
          <w:lang w:val="fr-CH"/>
        </w:rPr>
        <w:t>renseignements et de </w:t>
      </w:r>
      <w:r w:rsidRPr="005020D3">
        <w:rPr>
          <w:lang w:val="fr-CH"/>
        </w:rPr>
        <w:t>commentaires en ligne (lettre DM-12/1031, datée du 15 octobre 2012)</w:t>
      </w:r>
      <w:r>
        <w:rPr>
          <w:lang w:val="fr-CH"/>
        </w:rPr>
        <w:t>,</w:t>
      </w:r>
      <w:r w:rsidRPr="005020D3">
        <w:rPr>
          <w:lang w:val="fr-CH"/>
        </w:rPr>
        <w:t xml:space="preserve"> à l'adresse</w:t>
      </w:r>
      <w:r>
        <w:t xml:space="preserve"> </w:t>
      </w:r>
      <w:hyperlink r:id="rId46" w:history="1">
        <w:r w:rsidRPr="000E2E0F">
          <w:rPr>
            <w:rStyle w:val="Hyperlink"/>
            <w:szCs w:val="24"/>
          </w:rPr>
          <w:t>https://extranet.itu.int/ITU-R/space-assets</w:t>
        </w:r>
      </w:hyperlink>
      <w:r w:rsidRPr="000E2E0F">
        <w:t xml:space="preserve">. </w:t>
      </w:r>
    </w:p>
    <w:p w:rsidR="00DE12C7" w:rsidRPr="00ED77BC" w:rsidRDefault="00DE12C7" w:rsidP="00ED77BC">
      <w:pPr>
        <w:pStyle w:val="Heading1"/>
        <w:ind w:left="0" w:firstLine="0"/>
      </w:pPr>
      <w:r w:rsidRPr="00ED77BC">
        <w:t>8</w:t>
      </w:r>
      <w:r w:rsidR="008D4F2D" w:rsidRPr="00ED77BC">
        <w:tab/>
      </w:r>
      <w:r w:rsidRPr="00ED77BC">
        <w:t>La Conférence de plénipotentiaires est invitée à examiner le présent document et à prendre les mesures voulues.</w:t>
      </w:r>
    </w:p>
    <w:p w:rsidR="008D4F2D" w:rsidRDefault="008D4F2D" w:rsidP="008D4F2D">
      <w:r>
        <w:br w:type="page"/>
      </w:r>
    </w:p>
    <w:p w:rsidR="00DE12C7" w:rsidRPr="006F6D82" w:rsidRDefault="00DE12C7" w:rsidP="008D4F2D">
      <w:pPr>
        <w:pStyle w:val="AnnexNo"/>
      </w:pPr>
      <w:r w:rsidRPr="006F6D82">
        <w:t>ANNEXE 1</w:t>
      </w:r>
    </w:p>
    <w:p w:rsidR="00DE12C7" w:rsidRPr="006F6D82" w:rsidRDefault="00DE12C7" w:rsidP="008D4F2D">
      <w:pPr>
        <w:pStyle w:val="Annextitle"/>
      </w:pPr>
      <w:r w:rsidRPr="006F6D82">
        <w:t>Autorité de surveillance du</w:t>
      </w:r>
      <w:r w:rsidR="004C0333">
        <w:t xml:space="preserve"> </w:t>
      </w:r>
      <w:r w:rsidRPr="006F6D82">
        <w:t>système international d'inscription pour les biens spatiaux, conformément au Protocole portant sur les</w:t>
      </w:r>
      <w:r w:rsidR="004C0333">
        <w:t xml:space="preserve"> </w:t>
      </w:r>
      <w:r w:rsidRPr="006F6D82">
        <w:t>biens spatiaux</w:t>
      </w:r>
      <w:r w:rsidR="004C0333">
        <w:t xml:space="preserve"> </w:t>
      </w:r>
    </w:p>
    <w:p w:rsidR="00DE12C7" w:rsidRPr="00212099" w:rsidRDefault="00DE12C7" w:rsidP="007F379C">
      <w:pPr>
        <w:pStyle w:val="Normalaftertitle"/>
        <w:spacing w:before="480"/>
      </w:pPr>
      <w:r w:rsidRPr="00C1030C">
        <w:rPr>
          <w:b/>
          <w:bCs/>
        </w:rPr>
        <w:t>Rappel</w:t>
      </w:r>
      <w:r w:rsidRPr="00212099">
        <w:t xml:space="preserve"> </w:t>
      </w:r>
      <w:r w:rsidR="00ED77BC">
        <w:t>–</w:t>
      </w:r>
      <w:r w:rsidRPr="00212099">
        <w:t xml:space="preserve"> Le projet de </w:t>
      </w:r>
      <w:hyperlink r:id="rId47" w:history="1">
        <w:r w:rsidRPr="00066141">
          <w:rPr>
            <w:rStyle w:val="Hyperlink"/>
          </w:rPr>
          <w:t>Protocole portant sur les biens spatiaux</w:t>
        </w:r>
      </w:hyperlink>
      <w:r w:rsidR="004C0333">
        <w:t xml:space="preserve"> </w:t>
      </w:r>
      <w:r w:rsidRPr="00212099">
        <w:t xml:space="preserve">fait partie d'un ensemble de traités internationaux, dont les premiers ont été la </w:t>
      </w:r>
      <w:hyperlink r:id="rId48" w:history="1">
        <w:r w:rsidRPr="009C12FF">
          <w:rPr>
            <w:rStyle w:val="Hyperlink"/>
          </w:rPr>
          <w:t>Convention relative aux garanties internationales portant sur des matériels d'équipement mobiles</w:t>
        </w:r>
      </w:hyperlink>
      <w:r w:rsidRPr="00212099">
        <w:t xml:space="preserve"> (ci-après désignée la Convention) et le </w:t>
      </w:r>
      <w:hyperlink r:id="rId49" w:history="1">
        <w:r w:rsidRPr="009C12FF">
          <w:rPr>
            <w:rStyle w:val="Hyperlink"/>
          </w:rPr>
          <w:t>Protocole portant sur les questions spécifiques aux matériels d'équipement aéronautiques</w:t>
        </w:r>
      </w:hyperlink>
      <w:r w:rsidR="004C0333">
        <w:t xml:space="preserve">, </w:t>
      </w:r>
      <w:r w:rsidRPr="00212099">
        <w:t>tous deux ouverts à la signature le 16 novembre 2001 au Cap. Le</w:t>
      </w:r>
      <w:r w:rsidR="004C0333">
        <w:t xml:space="preserve"> </w:t>
      </w:r>
      <w:r w:rsidRPr="00212099">
        <w:t>Protocole portant sur les biens spatiaux est un instrument destiné à faciliter le financement garanti par un actif pour l'acquisition et l'utilisation de biens spatiaux tels que les satellites et les répéteurs, qui ignorent les frontières.</w:t>
      </w:r>
      <w:r w:rsidR="004C0333">
        <w:t xml:space="preserve"> </w:t>
      </w:r>
    </w:p>
    <w:p w:rsidR="00DE12C7" w:rsidRPr="00212099" w:rsidRDefault="00DE12C7" w:rsidP="00ED77BC">
      <w:r w:rsidRPr="00C1030C">
        <w:rPr>
          <w:b/>
          <w:bCs/>
        </w:rPr>
        <w:t>Financement garanti par un actif</w:t>
      </w:r>
      <w:r w:rsidRPr="00212099">
        <w:t xml:space="preserve"> </w:t>
      </w:r>
      <w:r w:rsidR="00ED77BC">
        <w:t>–</w:t>
      </w:r>
      <w:r w:rsidRPr="00212099">
        <w:t xml:space="preserve"> Conformément à un régime juridique international de financement garanti par un actif, un créancier pourrait faire valoir ses droits vis-à-vis d'équipements, en cas d'inexécution par le débiteur de ses obligations. Ce mode de financement est bien adapté aux emprunts portant sur des biens spatiaux de grande valeur. En vertu du régime juridique actuel, c'est le droit régissant l'emplacement de l'équipement qui est en principe applicable lorsqu'il s'agit de trancher des questions concernant la validité, le caractère exécutoire et le rang des sûretés et des créances concernant cet équipement. Or, il n'existe actuellement aucune législation applicable à l'emplacement des équipements dans l'espace, ce qui, du point de vue d'un prêteur, rend moins acceptables les risques inhérents au financement garanti par un actif. </w:t>
      </w:r>
    </w:p>
    <w:p w:rsidR="00DE12C7" w:rsidRPr="00212099" w:rsidRDefault="00DE12C7" w:rsidP="00ED77BC">
      <w:r w:rsidRPr="00C1030C">
        <w:rPr>
          <w:b/>
          <w:bCs/>
        </w:rPr>
        <w:t>Registre international</w:t>
      </w:r>
      <w:r w:rsidRPr="00212099">
        <w:t xml:space="preserve"> </w:t>
      </w:r>
      <w:r w:rsidR="00ED77BC">
        <w:t>–</w:t>
      </w:r>
      <w:r w:rsidR="004C0333">
        <w:t xml:space="preserve"> </w:t>
      </w:r>
      <w:r w:rsidRPr="00212099">
        <w:t>Le Protocole portant sur les objets spatiaux</w:t>
      </w:r>
      <w:r w:rsidR="004C0333">
        <w:t xml:space="preserve"> </w:t>
      </w:r>
      <w:r>
        <w:t xml:space="preserve">a </w:t>
      </w:r>
      <w:r w:rsidRPr="00212099">
        <w:t>fix</w:t>
      </w:r>
      <w:r>
        <w:t>é</w:t>
      </w:r>
      <w:r w:rsidR="004C0333">
        <w:t xml:space="preserve"> </w:t>
      </w:r>
      <w:r w:rsidRPr="00212099">
        <w:t>les bases jur</w:t>
      </w:r>
      <w:r>
        <w:t>idiques sur lesquelles repos</w:t>
      </w:r>
      <w:r w:rsidRPr="00212099">
        <w:t>e</w:t>
      </w:r>
      <w:r>
        <w:t>ro</w:t>
      </w:r>
      <w:r w:rsidRPr="00212099">
        <w:t>nt la création, le rang et le caractère exécutoire des créances et des sûretés concernant les équipements spatiaux. L'une des principales caractéristiques du</w:t>
      </w:r>
      <w:r w:rsidR="004C0333">
        <w:t xml:space="preserve"> </w:t>
      </w:r>
      <w:r w:rsidRPr="00212099">
        <w:t>Protocole portant sur les objets spatiaux est la création d'un Registre international pour les biens spatiaux (ci-après dénommé le Registre), dans lequel ces créances et sûretés pourront être inscrites. Le Registre déterminera</w:t>
      </w:r>
      <w:r>
        <w:t>it</w:t>
      </w:r>
      <w:r w:rsidR="004C0333">
        <w:t xml:space="preserve"> </w:t>
      </w:r>
      <w:r w:rsidRPr="00212099">
        <w:t>une priorité entre les sûretés et créances selon le principe "premier arrivé, premier servi", afin d'établir, pour les bailleurs de fond, une certitude juridique quant au financement garanti par un actif. Ce Registre serait géré et administré 24 heures sur 24 et 7 jours sur 7 par un Conservateur.</w:t>
      </w:r>
    </w:p>
    <w:p w:rsidR="00DE12C7" w:rsidRPr="00212099" w:rsidRDefault="00DE12C7" w:rsidP="00ED77BC">
      <w:r w:rsidRPr="00C1030C">
        <w:rPr>
          <w:b/>
          <w:bCs/>
        </w:rPr>
        <w:t>Biens spatiaux</w:t>
      </w:r>
      <w:r w:rsidRPr="00C1030C">
        <w:t xml:space="preserve"> </w:t>
      </w:r>
      <w:r w:rsidR="00ED77BC">
        <w:t>–</w:t>
      </w:r>
      <w:r w:rsidRPr="00C1030C">
        <w:t xml:space="preserve"> Conformément à la définition préliminaire de ces termes donnée dans le</w:t>
      </w:r>
      <w:r w:rsidR="004C0333">
        <w:t xml:space="preserve"> </w:t>
      </w:r>
      <w:r w:rsidRPr="00212099">
        <w:t>Protocole portant sur les biens spatiaux, un "bien spatial" désigne tout bien fait par l</w:t>
      </w:r>
      <w:r w:rsidR="004C0333">
        <w:t>'</w:t>
      </w:r>
      <w:r w:rsidRPr="00212099">
        <w:t>homme susceptible d</w:t>
      </w:r>
      <w:r w:rsidR="004C0333">
        <w:t>'</w:t>
      </w:r>
      <w:r w:rsidRPr="00212099">
        <w:t>individualisation, qui se trouve dans l</w:t>
      </w:r>
      <w:r w:rsidR="004C0333">
        <w:t>'</w:t>
      </w:r>
      <w:r w:rsidRPr="00212099">
        <w:t>espace ou est conçu pour être lancé dans l</w:t>
      </w:r>
      <w:r w:rsidR="004C0333">
        <w:t>'</w:t>
      </w:r>
      <w:r w:rsidRPr="00212099">
        <w:t>espace, et qui comprend:</w:t>
      </w:r>
    </w:p>
    <w:p w:rsidR="00DE12C7" w:rsidRPr="00212099" w:rsidRDefault="00DE12C7" w:rsidP="00C1030C">
      <w:pPr>
        <w:pStyle w:val="enumlev1"/>
      </w:pPr>
      <w:r w:rsidRPr="00212099">
        <w:t>i)</w:t>
      </w:r>
      <w:r w:rsidRPr="00212099">
        <w:tab/>
        <w:t>un engin spatial, par exemple un satellite, une station spatiale, un module spatial, une capsule spatiale, un véhicule spatial ou un véhicule de</w:t>
      </w:r>
      <w:r>
        <w:t xml:space="preserve"> lancement réutilisable [pour lequel</w:t>
      </w:r>
      <w:r w:rsidRPr="00212099">
        <w:t xml:space="preserve"> une inscription peut être effectuée conformément au règlement], intégrant ou non un bien spatial au sens de</w:t>
      </w:r>
      <w:r>
        <w:t xml:space="preserve"> l</w:t>
      </w:r>
      <w:r w:rsidR="004C0333">
        <w:t>'</w:t>
      </w:r>
      <w:r w:rsidRPr="00212099">
        <w:t>alinéa</w:t>
      </w:r>
      <w:r>
        <w:t xml:space="preserve"> </w:t>
      </w:r>
      <w:r w:rsidRPr="00212099">
        <w:t>ii) ou iii) ci-dessous</w:t>
      </w:r>
      <w:r w:rsidR="00C1030C">
        <w:t>;</w:t>
      </w:r>
    </w:p>
    <w:p w:rsidR="00DE12C7" w:rsidRPr="00212099" w:rsidRDefault="00DE12C7" w:rsidP="00C1030C">
      <w:pPr>
        <w:pStyle w:val="enumlev1"/>
      </w:pPr>
      <w:r w:rsidRPr="00212099">
        <w:t>ii)</w:t>
      </w:r>
      <w:r w:rsidRPr="00212099">
        <w:tab/>
        <w:t>une charge utile (à des fins de télécommunications, navigation, observation, pour des applications scientifiques ou autres) pour laquelle une inscription distincte peut être effectuée conformément au règlement; ou</w:t>
      </w:r>
    </w:p>
    <w:p w:rsidR="00ED77BC" w:rsidRDefault="00ED77BC" w:rsidP="00C1030C">
      <w:pPr>
        <w:pStyle w:val="enumlev1"/>
      </w:pPr>
      <w:r>
        <w:br w:type="page"/>
      </w:r>
    </w:p>
    <w:p w:rsidR="00DE12C7" w:rsidRPr="00212099" w:rsidRDefault="00DE12C7" w:rsidP="00C1030C">
      <w:pPr>
        <w:pStyle w:val="enumlev1"/>
      </w:pPr>
      <w:r w:rsidRPr="00212099">
        <w:t>iii)</w:t>
      </w:r>
      <w:r w:rsidRPr="00212099">
        <w:tab/>
        <w:t>une partie d'un engin spatial ou d'une charge utile telle qu</w:t>
      </w:r>
      <w:r w:rsidR="004C0333">
        <w:t>'</w:t>
      </w:r>
      <w:r w:rsidRPr="00212099">
        <w:t xml:space="preserve">un </w:t>
      </w:r>
      <w:r>
        <w:t>répéteur</w:t>
      </w:r>
      <w:r w:rsidRPr="00212099">
        <w:t>, pour laquelle une inscription distincte peut être effectuée conformément au règlement, avec tous accessoires, pièces et équipements qui y sont posés, intégrés ou fixés, ainsi que tous les manuels, les données et les registres y afférents.</w:t>
      </w:r>
    </w:p>
    <w:p w:rsidR="00DE12C7" w:rsidRPr="00212099" w:rsidRDefault="00DE12C7" w:rsidP="00ED77BC">
      <w:r w:rsidRPr="00C1030C">
        <w:rPr>
          <w:b/>
          <w:bCs/>
        </w:rPr>
        <w:t>Rôle et fonctions de l'Autorité de surveillance</w:t>
      </w:r>
      <w:r w:rsidRPr="00212099">
        <w:t xml:space="preserve"> </w:t>
      </w:r>
      <w:r w:rsidR="00ED77BC">
        <w:t>–</w:t>
      </w:r>
      <w:r w:rsidRPr="00212099">
        <w:t xml:space="preserve"> L'Autorité de surveillance serait chargée de superviser la gestion du Registre par le Conservateur. Elle aurait notamment pour tâche de nommer le Conservateur et, le cas échéant, de mettre fin à ses fonctions, de suivre ses activités et d'élaborer des Règlements concernant le fonctionnement du Registre, après approbation par les Etats contractants. Elle pourrait être secondée par une Commission d'experts nommés par les Etats signataires et les Etats contractants. L'Autorité de surveillance déterminerait et réexaminerait périodiquement la structure tarifaire des services du Registre</w:t>
      </w:r>
      <w:r>
        <w:t>.</w:t>
      </w:r>
      <w:r w:rsidR="004C0333">
        <w:t xml:space="preserve"> </w:t>
      </w:r>
    </w:p>
    <w:p w:rsidR="00DE12C7" w:rsidRDefault="00DE12C7" w:rsidP="00ED77BC">
      <w:r w:rsidRPr="00C1030C">
        <w:rPr>
          <w:b/>
          <w:bCs/>
        </w:rPr>
        <w:t>Procédure applicable au choix de l'Autorité de surveillance</w:t>
      </w:r>
      <w:r w:rsidRPr="00212099">
        <w:t xml:space="preserve"> </w:t>
      </w:r>
      <w:r w:rsidR="00ED77BC">
        <w:t>–</w:t>
      </w:r>
      <w:r w:rsidRPr="00212099">
        <w:t xml:space="preserve"> Les Etats</w:t>
      </w:r>
      <w:r w:rsidR="004C0333">
        <w:t xml:space="preserve"> </w:t>
      </w:r>
      <w:r w:rsidRPr="00212099">
        <w:t>représentés à la Conférence diplomatique</w:t>
      </w:r>
      <w:r w:rsidR="004C0333">
        <w:t xml:space="preserve"> </w:t>
      </w:r>
      <w:r>
        <w:t>(</w:t>
      </w:r>
      <w:r w:rsidRPr="00212099">
        <w:t xml:space="preserve"> Berlin,</w:t>
      </w:r>
      <w:r w:rsidR="004C0333">
        <w:t xml:space="preserve"> </w:t>
      </w:r>
      <w:r w:rsidRPr="00212099">
        <w:t>février</w:t>
      </w:r>
      <w:r>
        <w:t>/</w:t>
      </w:r>
      <w:r w:rsidRPr="00212099">
        <w:t>mars 2012</w:t>
      </w:r>
      <w:r>
        <w:t>)</w:t>
      </w:r>
      <w:r w:rsidR="004C0333">
        <w:t xml:space="preserve"> </w:t>
      </w:r>
      <w:r>
        <w:t>ont</w:t>
      </w:r>
      <w:r w:rsidR="004C0333">
        <w:t xml:space="preserve"> </w:t>
      </w:r>
      <w:r w:rsidRPr="00212099">
        <w:t>adopt</w:t>
      </w:r>
      <w:r>
        <w:t>é</w:t>
      </w:r>
      <w:r w:rsidRPr="00CE2B9F">
        <w:t xml:space="preserve"> la Résolution 1</w:t>
      </w:r>
      <w:r>
        <w:t>,</w:t>
      </w:r>
      <w:r w:rsidRPr="00CE2B9F">
        <w:t xml:space="preserve"> concernant </w:t>
      </w:r>
      <w:r>
        <w:t>la création</w:t>
      </w:r>
      <w:r w:rsidR="004C0333">
        <w:t xml:space="preserve"> </w:t>
      </w:r>
      <w:r w:rsidRPr="00CE2B9F">
        <w:t>de la Commission préparatoire pour l'établissement du Registre international pour les biens spatiaux,</w:t>
      </w:r>
      <w:r w:rsidR="004C0333">
        <w:t xml:space="preserve"> </w:t>
      </w:r>
      <w:r>
        <w:t xml:space="preserve">et la </w:t>
      </w:r>
      <w:r w:rsidRPr="00CE2B9F">
        <w:t>Résolution 2</w:t>
      </w:r>
      <w:r>
        <w:t>,</w:t>
      </w:r>
      <w:r w:rsidR="004C0333">
        <w:t xml:space="preserve"> </w:t>
      </w:r>
      <w:r w:rsidRPr="00CE2B9F">
        <w:t>concernant l'établissement de l'Autorité de surveillance</w:t>
      </w:r>
      <w:r>
        <w:t>,</w:t>
      </w:r>
      <w:r w:rsidR="004C0333">
        <w:t xml:space="preserve"> </w:t>
      </w:r>
      <w:r w:rsidRPr="004D35AA">
        <w:t>compte tenu de l'intérêt exprimé lors de la Conférence</w:t>
      </w:r>
      <w:r w:rsidR="004C0333">
        <w:t xml:space="preserve"> </w:t>
      </w:r>
      <w:r w:rsidRPr="004D35AA">
        <w:t xml:space="preserve">par </w:t>
      </w:r>
      <w:r>
        <w:t xml:space="preserve">les </w:t>
      </w:r>
      <w:r w:rsidRPr="004D35AA">
        <w:t>observateur</w:t>
      </w:r>
      <w:r>
        <w:t>s</w:t>
      </w:r>
      <w:r w:rsidR="004C0333">
        <w:t xml:space="preserve"> </w:t>
      </w:r>
      <w:r w:rsidRPr="004D35AA">
        <w:t>de l'UIT afin que l'U</w:t>
      </w:r>
      <w:r>
        <w:t>nion</w:t>
      </w:r>
      <w:r w:rsidR="004C0333">
        <w:t xml:space="preserve"> </w:t>
      </w:r>
      <w:r>
        <w:t>exerce éventuellement</w:t>
      </w:r>
      <w:r w:rsidR="004C0333">
        <w:t xml:space="preserve"> </w:t>
      </w:r>
      <w:r>
        <w:t>les fonctions d</w:t>
      </w:r>
      <w:r w:rsidR="004C0333">
        <w:t>'</w:t>
      </w:r>
      <w:r w:rsidRPr="004D35AA">
        <w:t>Autorité de surveillance</w:t>
      </w:r>
      <w:r>
        <w:t>, sous réserve que</w:t>
      </w:r>
      <w:r w:rsidR="004C0333">
        <w:t xml:space="preserve"> </w:t>
      </w:r>
      <w:r w:rsidRPr="00571A36">
        <w:t>les organes directeurs de l'UIT</w:t>
      </w:r>
      <w:r w:rsidR="004C0333">
        <w:t xml:space="preserve"> </w:t>
      </w:r>
      <w:r w:rsidRPr="00571A36">
        <w:t>examine</w:t>
      </w:r>
      <w:r>
        <w:t>nt</w:t>
      </w:r>
      <w:r w:rsidRPr="00571A36">
        <w:t xml:space="preserve"> la question</w:t>
      </w:r>
      <w:r>
        <w:t>.</w:t>
      </w:r>
      <w:r w:rsidRPr="00571A36">
        <w:t xml:space="preserve"> </w:t>
      </w:r>
      <w:r>
        <w:t>D</w:t>
      </w:r>
      <w:r w:rsidRPr="00571A36">
        <w:t>ans l'attente de l'entrée en vigueur du Protocole</w:t>
      </w:r>
      <w:r w:rsidRPr="00487794">
        <w:t xml:space="preserve"> </w:t>
      </w:r>
      <w:r w:rsidRPr="00212099">
        <w:t>portant sur les biens spatiaux,</w:t>
      </w:r>
      <w:r w:rsidRPr="004D35AA">
        <w:t xml:space="preserve"> </w:t>
      </w:r>
      <w:r>
        <w:t>l</w:t>
      </w:r>
      <w:r w:rsidRPr="00571A36">
        <w:t>a Commission préparatoire</w:t>
      </w:r>
      <w:r w:rsidR="004C0333">
        <w:t xml:space="preserve"> </w:t>
      </w:r>
      <w:r w:rsidRPr="00571A36">
        <w:t>agir</w:t>
      </w:r>
      <w:r>
        <w:t>a</w:t>
      </w:r>
      <w:r w:rsidRPr="00571A36">
        <w:t xml:space="preserve"> en tant qu'</w:t>
      </w:r>
      <w:r>
        <w:t>A</w:t>
      </w:r>
      <w:r w:rsidRPr="00571A36">
        <w:t>utorité de surveillance provisoire</w:t>
      </w:r>
      <w:r>
        <w:t>, et au</w:t>
      </w:r>
      <w:r w:rsidR="004C0333">
        <w:t xml:space="preserve"> </w:t>
      </w:r>
      <w:r w:rsidRPr="00571A36">
        <w:t xml:space="preserve">cas où les organes directeurs de l'UIT décideraient que </w:t>
      </w:r>
      <w:r>
        <w:t>l</w:t>
      </w:r>
      <w:r w:rsidR="004C0333">
        <w:t>'</w:t>
      </w:r>
      <w:r>
        <w:t>Union</w:t>
      </w:r>
      <w:r w:rsidR="004C0333">
        <w:t xml:space="preserve"> </w:t>
      </w:r>
      <w:r w:rsidRPr="00571A36">
        <w:t xml:space="preserve">ne devrait pas être l'Autorité de surveillance, la Commission préparatoire </w:t>
      </w:r>
      <w:r>
        <w:t>désignerait</w:t>
      </w:r>
      <w:r w:rsidR="004C0333">
        <w:t xml:space="preserve"> </w:t>
      </w:r>
      <w:r w:rsidRPr="00571A36">
        <w:t>une autre organisation ou entité internationale</w:t>
      </w:r>
      <w:r w:rsidR="004C0333">
        <w:t xml:space="preserve"> </w:t>
      </w:r>
      <w:r>
        <w:t>pour</w:t>
      </w:r>
      <w:r w:rsidR="004C0333">
        <w:t xml:space="preserve"> </w:t>
      </w:r>
      <w:r w:rsidRPr="00212099">
        <w:t xml:space="preserve">exercer </w:t>
      </w:r>
      <w:r>
        <w:t>c</w:t>
      </w:r>
      <w:r w:rsidRPr="00212099">
        <w:t>es fonctions</w:t>
      </w:r>
      <w:r>
        <w:t>.</w:t>
      </w:r>
    </w:p>
    <w:p w:rsidR="00DE12C7" w:rsidRPr="002C3FAB" w:rsidRDefault="00DE12C7" w:rsidP="002659C3">
      <w:r w:rsidRPr="00C1030C">
        <w:rPr>
          <w:b/>
          <w:bCs/>
        </w:rPr>
        <w:t>Financement</w:t>
      </w:r>
      <w:r w:rsidRPr="00212099">
        <w:t xml:space="preserve"> </w:t>
      </w:r>
      <w:r w:rsidR="00ED77BC">
        <w:t>–</w:t>
      </w:r>
      <w:r w:rsidRPr="00212099">
        <w:t xml:space="preserve"> Le financement de l'Autorité de surveillance proviendra des droits qui seront versés au Registre international. Le futur Registre international pour les biens spatiaux n'est pas censé être exploité dans un but lucratif. Le paragraphe 4 de l'Article XXXI du</w:t>
      </w:r>
      <w:r w:rsidR="004C0333">
        <w:t xml:space="preserve"> </w:t>
      </w:r>
      <w:r w:rsidRPr="00212099">
        <w:t>Protocole portant sur les biens spatiaux dispose que "les tarifs mentionnés à l'alinéa h) du paragraphe 2 de l'Article 17 de la Convention doivent être fixés de façon à couvrir les coûts raisonnables d'établissement, de fonctionnement et de réglementation du Registre international et les coûts raisonnables de l'Autorité de surveillance liés à l'exercice des fonctions, à l'exercice des pouvoirs et à l'exécution des obligations mentionnés au paragraphe 2 de l'</w:t>
      </w:r>
      <w:r w:rsidR="002659C3">
        <w:t>A</w:t>
      </w:r>
      <w:r w:rsidRPr="00212099">
        <w:t>rticle 17 de la Convention". Lorsqu'elle fixera les tarifs qui seront appliqués, l'Autorité de surveillance sera habilitée à déterminer ces tarifs de façon à couvrir les coûts raisonnables d'établissement et les coûts raisonnables liés à l'établissement, au fonctionnement et à la réglementation du futur Registre international ainsi qu'à la surveillance du Registre et à l'exercice des autres fonctions incombant à l'Autorité de surveillance.</w:t>
      </w:r>
      <w:r w:rsidR="004C0333">
        <w:t xml:space="preserve"> </w:t>
      </w:r>
    </w:p>
    <w:p w:rsidR="00DE12C7" w:rsidRPr="00B32AA9" w:rsidRDefault="00DE12C7" w:rsidP="007A1164">
      <w:pPr>
        <w:tabs>
          <w:tab w:val="clear" w:pos="567"/>
          <w:tab w:val="clear" w:pos="1134"/>
          <w:tab w:val="clear" w:pos="1701"/>
          <w:tab w:val="clear" w:pos="2268"/>
          <w:tab w:val="clear" w:pos="2835"/>
        </w:tabs>
        <w:overflowPunct/>
        <w:autoSpaceDE/>
        <w:autoSpaceDN/>
        <w:adjustRightInd/>
        <w:spacing w:before="0" w:after="200"/>
        <w:textAlignment w:val="auto"/>
        <w:rPr>
          <w:rFonts w:asciiTheme="minorHAnsi" w:hAnsiTheme="minorHAnsi" w:cstheme="minorHAnsi"/>
          <w:sz w:val="22"/>
          <w:szCs w:val="22"/>
        </w:rPr>
      </w:pPr>
      <w:r w:rsidRPr="00B32AA9">
        <w:rPr>
          <w:rFonts w:asciiTheme="minorHAnsi" w:hAnsiTheme="minorHAnsi" w:cstheme="minorHAnsi"/>
          <w:sz w:val="22"/>
          <w:szCs w:val="22"/>
        </w:rPr>
        <w:br w:type="page"/>
      </w:r>
    </w:p>
    <w:p w:rsidR="00DE12C7" w:rsidRPr="00C1030C" w:rsidRDefault="00DE12C7" w:rsidP="00C1030C">
      <w:pPr>
        <w:pStyle w:val="AnnexNo"/>
        <w:rPr>
          <w:rFonts w:eastAsiaTheme="minorEastAsia"/>
        </w:rPr>
      </w:pPr>
      <w:r w:rsidRPr="00C1030C">
        <w:t>AnnexE</w:t>
      </w:r>
      <w:r w:rsidRPr="00C1030C">
        <w:rPr>
          <w:rFonts w:eastAsiaTheme="minorEastAsia"/>
        </w:rPr>
        <w:t xml:space="preserve"> 2</w:t>
      </w:r>
    </w:p>
    <w:p w:rsidR="00DE12C7" w:rsidRPr="006E0A2A" w:rsidRDefault="00DE12C7" w:rsidP="00C305BA">
      <w:pPr>
        <w:pStyle w:val="Annextitle"/>
        <w:spacing w:after="0"/>
        <w:rPr>
          <w:rFonts w:eastAsiaTheme="minorEastAsia"/>
        </w:rPr>
      </w:pPr>
      <w:r w:rsidRPr="006E0A2A">
        <w:rPr>
          <w:rFonts w:eastAsiaTheme="minorEastAsia"/>
        </w:rPr>
        <w:t xml:space="preserve">Note précisant le rôle de l'Autorité de surveillance du système international d'inscription pour les biens spatiaux conformément au Protocole portant </w:t>
      </w:r>
      <w:r>
        <w:rPr>
          <w:rFonts w:eastAsiaTheme="minorEastAsia"/>
        </w:rPr>
        <w:br/>
      </w:r>
      <w:r w:rsidRPr="006E0A2A">
        <w:rPr>
          <w:rFonts w:eastAsiaTheme="minorEastAsia"/>
        </w:rPr>
        <w:t xml:space="preserve">sur les biens spatiaux de la Convention du Cap </w:t>
      </w:r>
    </w:p>
    <w:p w:rsidR="00DE12C7" w:rsidRPr="006208F1" w:rsidRDefault="00DE12C7" w:rsidP="007F379C">
      <w:pPr>
        <w:tabs>
          <w:tab w:val="clear" w:pos="567"/>
          <w:tab w:val="clear" w:pos="1134"/>
          <w:tab w:val="clear" w:pos="1701"/>
          <w:tab w:val="clear" w:pos="2268"/>
          <w:tab w:val="clear" w:pos="2835"/>
        </w:tabs>
        <w:overflowPunct/>
        <w:autoSpaceDE/>
        <w:autoSpaceDN/>
        <w:adjustRightInd/>
        <w:spacing w:after="200"/>
        <w:jc w:val="center"/>
        <w:textAlignment w:val="auto"/>
        <w:rPr>
          <w:rFonts w:asciiTheme="minorHAnsi" w:eastAsiaTheme="minorEastAsia" w:hAnsiTheme="minorHAnsi" w:cs="Verdana"/>
          <w:b/>
          <w:bCs/>
          <w:szCs w:val="24"/>
          <w:lang w:val="fr-CH" w:eastAsia="zh-CN"/>
        </w:rPr>
      </w:pPr>
      <w:r w:rsidRPr="006208F1">
        <w:rPr>
          <w:rFonts w:asciiTheme="minorHAnsi" w:eastAsiaTheme="minorEastAsia" w:hAnsiTheme="minorHAnsi" w:cs="Verdana"/>
          <w:b/>
          <w:bCs/>
          <w:szCs w:val="24"/>
          <w:lang w:val="fr-CH" w:eastAsia="zh-CN"/>
        </w:rPr>
        <w:t>(établi par le Secrétariat d'UNIDROIT – 10 février 2014)</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before="360" w:after="200"/>
        <w:textAlignment w:val="auto"/>
        <w:rPr>
          <w:rFonts w:asciiTheme="minorHAnsi" w:eastAsiaTheme="minorEastAsia" w:hAnsiTheme="minorHAnsi" w:cs="Verdana"/>
          <w:szCs w:val="24"/>
          <w:lang w:val="fr-CH" w:eastAsia="zh-CN"/>
        </w:rPr>
      </w:pPr>
      <w:r w:rsidRPr="0075017B">
        <w:rPr>
          <w:rFonts w:asciiTheme="minorHAnsi" w:eastAsiaTheme="minorEastAsia" w:hAnsiTheme="minorHAnsi" w:cs="Verdana"/>
          <w:szCs w:val="24"/>
          <w:lang w:val="fr-CH" w:eastAsia="zh-CN"/>
        </w:rPr>
        <w:t>La présente note succincte vise à donner des renseignements sur les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incidences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aurait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exercice par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des fonctions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du système international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inscription pour les biens spatiaux, qui doit être établi conformément au Protocole portant sur les biens spatiaux de la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Convention du Cap relative aux garanties internationales portant sur des matériels d'équipement mobiles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adoptée en 2001.</w:t>
      </w:r>
      <w:r>
        <w:rPr>
          <w:rFonts w:asciiTheme="minorHAnsi" w:eastAsiaTheme="minorEastAsia" w:hAnsiTheme="minorHAnsi" w:cs="Verdana"/>
          <w:szCs w:val="24"/>
          <w:lang w:val="fr-CH" w:eastAsia="zh-CN"/>
        </w:rPr>
        <w:t xml:space="preserve"> </w:t>
      </w:r>
    </w:p>
    <w:p w:rsidR="00DE12C7" w:rsidRPr="0075017B" w:rsidRDefault="00DE12C7" w:rsidP="00C1030C">
      <w:pPr>
        <w:rPr>
          <w:rFonts w:eastAsiaTheme="minorEastAsia"/>
          <w:lang w:val="fr-CH" w:eastAsia="zh-CN"/>
        </w:rPr>
      </w:pPr>
      <w:r>
        <w:rPr>
          <w:rFonts w:eastAsiaTheme="minorEastAsia"/>
          <w:lang w:val="fr-CH" w:eastAsia="zh-CN"/>
        </w:rPr>
        <w:t>Cette Note</w:t>
      </w:r>
      <w:r w:rsidRPr="0075017B">
        <w:rPr>
          <w:rFonts w:eastAsiaTheme="minorEastAsia"/>
          <w:lang w:val="fr-CH" w:eastAsia="zh-CN"/>
        </w:rPr>
        <w:t xml:space="preserve"> s</w:t>
      </w:r>
      <w:r>
        <w:rPr>
          <w:rFonts w:eastAsiaTheme="minorEastAsia"/>
          <w:lang w:val="fr-CH" w:eastAsia="zh-CN"/>
        </w:rPr>
        <w:t>'</w:t>
      </w:r>
      <w:r w:rsidRPr="0075017B">
        <w:rPr>
          <w:rFonts w:eastAsiaTheme="minorEastAsia"/>
          <w:lang w:val="fr-CH" w:eastAsia="zh-CN"/>
        </w:rPr>
        <w:t>appuie sur les règles de la</w:t>
      </w:r>
      <w:r>
        <w:rPr>
          <w:rFonts w:eastAsiaTheme="minorEastAsia"/>
          <w:lang w:val="fr-CH" w:eastAsia="zh-CN"/>
        </w:rPr>
        <w:t xml:space="preserve"> </w:t>
      </w:r>
      <w:r w:rsidRPr="0075017B">
        <w:rPr>
          <w:rFonts w:eastAsiaTheme="minorEastAsia"/>
          <w:lang w:val="fr-CH" w:eastAsia="zh-CN"/>
        </w:rPr>
        <w:t xml:space="preserve">Convention et du </w:t>
      </w:r>
      <w:r w:rsidRPr="0075017B">
        <w:rPr>
          <w:rFonts w:eastAsiaTheme="minorEastAsia" w:cstheme="minorBidi"/>
          <w:bCs/>
          <w:sz w:val="22"/>
          <w:lang w:val="fr-CH" w:eastAsia="zh-CN"/>
        </w:rPr>
        <w:t>Protocole portant sur les biens spatiaux</w:t>
      </w:r>
      <w:r w:rsidRPr="0075017B">
        <w:rPr>
          <w:rFonts w:eastAsiaTheme="minorEastAsia"/>
          <w:lang w:val="fr-CH" w:eastAsia="zh-CN"/>
        </w:rPr>
        <w:t>, mais fera essentiellement ressortir l</w:t>
      </w:r>
      <w:r>
        <w:rPr>
          <w:rFonts w:eastAsiaTheme="minorEastAsia"/>
          <w:lang w:val="fr-CH" w:eastAsia="zh-CN"/>
        </w:rPr>
        <w:t>'</w:t>
      </w:r>
      <w:r w:rsidRPr="0075017B">
        <w:rPr>
          <w:rFonts w:eastAsiaTheme="minorEastAsia"/>
          <w:lang w:val="fr-CH" w:eastAsia="zh-CN"/>
        </w:rPr>
        <w:t>expérience pratique et les bons résultats obtenus par l'Organisation de l'aviation civile internationale (OACI)</w:t>
      </w:r>
      <w:r>
        <w:rPr>
          <w:rFonts w:eastAsiaTheme="minorEastAsia"/>
          <w:lang w:val="fr-CH" w:eastAsia="zh-CN"/>
        </w:rPr>
        <w:t xml:space="preserve">, </w:t>
      </w:r>
      <w:r w:rsidRPr="0075017B">
        <w:rPr>
          <w:rFonts w:eastAsiaTheme="minorEastAsia"/>
          <w:lang w:val="fr-CH" w:eastAsia="zh-CN"/>
        </w:rPr>
        <w:t>qui exerce les fonctions d</w:t>
      </w:r>
      <w:r>
        <w:rPr>
          <w:rFonts w:eastAsiaTheme="minorEastAsia"/>
          <w:lang w:val="fr-CH" w:eastAsia="zh-CN"/>
        </w:rPr>
        <w:t>'</w:t>
      </w:r>
      <w:r w:rsidRPr="0075017B">
        <w:rPr>
          <w:rFonts w:eastAsiaTheme="minorEastAsia"/>
          <w:lang w:val="fr-CH" w:eastAsia="zh-CN"/>
        </w:rPr>
        <w:t>Autorité de surveillance du Registre international pour les garanties internationales portant sur des biens aéronautiques</w:t>
      </w:r>
      <w:r>
        <w:rPr>
          <w:rFonts w:eastAsiaTheme="minorEastAsia"/>
          <w:lang w:val="fr-CH" w:eastAsia="zh-CN"/>
        </w:rPr>
        <w:t xml:space="preserve"> </w:t>
      </w:r>
      <w:r w:rsidRPr="0075017B">
        <w:rPr>
          <w:rFonts w:eastAsiaTheme="minorEastAsia"/>
          <w:lang w:val="fr-CH" w:eastAsia="zh-CN"/>
        </w:rPr>
        <w:t>conformément au Protocole</w:t>
      </w:r>
      <w:r>
        <w:rPr>
          <w:rFonts w:eastAsiaTheme="minorEastAsia"/>
          <w:lang w:val="fr-CH" w:eastAsia="zh-CN"/>
        </w:rPr>
        <w:t xml:space="preserve"> </w:t>
      </w:r>
      <w:r w:rsidRPr="0075017B">
        <w:rPr>
          <w:rFonts w:eastAsiaTheme="minorEastAsia"/>
          <w:lang w:val="fr-CH" w:eastAsia="zh-CN"/>
        </w:rPr>
        <w:t>aéronautique à la</w:t>
      </w:r>
      <w:r>
        <w:rPr>
          <w:rFonts w:eastAsiaTheme="minorEastAsia"/>
          <w:lang w:val="fr-CH" w:eastAsia="zh-CN"/>
        </w:rPr>
        <w:t xml:space="preserve"> </w:t>
      </w:r>
      <w:r w:rsidRPr="0075017B">
        <w:rPr>
          <w:rFonts w:eastAsiaTheme="minorEastAsia"/>
          <w:lang w:val="fr-CH" w:eastAsia="zh-CN"/>
        </w:rPr>
        <w:t>Convention, depuis que le Registre est devenu opérationnel en mars</w:t>
      </w:r>
      <w:r>
        <w:rPr>
          <w:rFonts w:eastAsiaTheme="minorEastAsia"/>
          <w:lang w:val="fr-CH" w:eastAsia="zh-CN"/>
        </w:rPr>
        <w:t xml:space="preserve"> </w:t>
      </w:r>
      <w:r w:rsidRPr="0075017B">
        <w:rPr>
          <w:rFonts w:eastAsiaTheme="minorEastAsia"/>
          <w:lang w:val="fr-CH" w:eastAsia="zh-CN"/>
        </w:rPr>
        <w:t xml:space="preserve">2006. </w:t>
      </w:r>
    </w:p>
    <w:p w:rsidR="00DE12C7" w:rsidRPr="00953B3C" w:rsidRDefault="00DE12C7" w:rsidP="007A1164">
      <w:pPr>
        <w:pStyle w:val="Headingb"/>
      </w:pPr>
      <w:r w:rsidRPr="00953B3C">
        <w:t>Rôle de l'Autorité de surveillance</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1</w:t>
      </w:r>
      <w:r w:rsidRPr="0075017B">
        <w:rPr>
          <w:rFonts w:asciiTheme="minorHAnsi" w:eastAsiaTheme="minorEastAsia" w:hAnsiTheme="minorHAnsi" w:cs="Verdana"/>
          <w:szCs w:val="24"/>
          <w:lang w:val="fr-CH" w:eastAsia="zh-CN"/>
        </w:rPr>
        <w:tab/>
        <w:t>Le rôle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 surveillance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est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établir ou de faire établir le 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 nommer le Conservateur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et de superviser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theme="minorBidi"/>
          <w:sz w:val="22"/>
          <w:szCs w:val="22"/>
          <w:lang w:val="fr-CH" w:eastAsia="zh-CN"/>
        </w:rPr>
        <w:t>ses</w:t>
      </w:r>
      <w:r w:rsidRPr="0075017B">
        <w:rPr>
          <w:rFonts w:asciiTheme="minorHAnsi" w:eastAsiaTheme="minorEastAsia" w:hAnsiTheme="minorHAnsi" w:cs="Verdana"/>
          <w:szCs w:val="24"/>
          <w:lang w:val="fr-CH" w:eastAsia="zh-CN"/>
        </w:rPr>
        <w:t xml:space="preserve"> activités,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établir ou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approuver un règlement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portant sur le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fonctionnement du</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 fixer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 xml:space="preserve">les </w:t>
      </w:r>
      <w:r>
        <w:rPr>
          <w:rFonts w:asciiTheme="minorHAnsi" w:eastAsiaTheme="minorEastAsia" w:hAnsiTheme="minorHAnsi" w:cs="Verdana"/>
          <w:szCs w:val="24"/>
          <w:lang w:val="fr-CH" w:eastAsia="zh-CN"/>
        </w:rPr>
        <w:t>tarifs</w:t>
      </w:r>
      <w:r w:rsidRPr="0075017B">
        <w:rPr>
          <w:rFonts w:asciiTheme="minorHAnsi" w:eastAsiaTheme="minorEastAsia" w:hAnsiTheme="minorHAnsi" w:cs="Verdana"/>
          <w:szCs w:val="24"/>
          <w:lang w:val="fr-CH" w:eastAsia="zh-CN"/>
        </w:rPr>
        <w:t xml:space="preserve"> et le montant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assurance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contractée par le 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ou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garantie financière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que se procurera le Registre pour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couvrir sa responsabilité</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en vertu de la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Convention (voir le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paragraphe 8 ci</w:t>
      </w:r>
      <w:r>
        <w:rPr>
          <w:rFonts w:asciiTheme="minorHAnsi" w:eastAsiaTheme="minorEastAsia" w:hAnsiTheme="minorHAnsi" w:cs="Verdana"/>
          <w:szCs w:val="24"/>
          <w:lang w:val="fr-CH" w:eastAsia="zh-CN"/>
        </w:rPr>
        <w:noBreakHyphen/>
      </w:r>
      <w:r w:rsidRPr="0075017B">
        <w:rPr>
          <w:rFonts w:asciiTheme="minorHAnsi" w:eastAsiaTheme="minorEastAsia" w:hAnsiTheme="minorHAnsi" w:cs="Verdana"/>
          <w:szCs w:val="24"/>
          <w:lang w:val="fr-CH" w:eastAsia="zh-CN"/>
        </w:rPr>
        <w:t>dessous) et de mener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autres activités énoncées 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Article 17 de la Convention</w:t>
      </w:r>
      <w:r>
        <w:rPr>
          <w:rFonts w:asciiTheme="minorHAnsi" w:eastAsiaTheme="minorEastAsia" w:hAnsiTheme="minorHAnsi" w:cs="Verdana"/>
          <w:szCs w:val="24"/>
          <w:lang w:val="fr-CH" w:eastAsia="zh-CN"/>
        </w:rPr>
        <w:t> </w:t>
      </w:r>
      <w:r w:rsidRPr="0075017B">
        <w:rPr>
          <w:rFonts w:asciiTheme="minorHAnsi" w:eastAsiaTheme="minorEastAsia" w:hAnsiTheme="minorHAnsi" w:cs="Verdana"/>
          <w:szCs w:val="24"/>
          <w:lang w:val="fr-CH" w:eastAsia="zh-CN"/>
        </w:rPr>
        <w:t>du Cap</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Il s</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agit notamment de fa</w:t>
      </w:r>
      <w:r>
        <w:rPr>
          <w:rFonts w:asciiTheme="minorHAnsi" w:eastAsiaTheme="minorEastAsia" w:hAnsiTheme="minorHAnsi" w:cs="Verdana"/>
          <w:szCs w:val="24"/>
          <w:lang w:val="fr-CH" w:eastAsia="zh-CN"/>
        </w:rPr>
        <w:t>ire rapport périodiquement aux E</w:t>
      </w:r>
      <w:r w:rsidRPr="0075017B">
        <w:rPr>
          <w:rFonts w:asciiTheme="minorHAnsi" w:eastAsiaTheme="minorEastAsia" w:hAnsiTheme="minorHAnsi" w:cs="Verdana"/>
          <w:szCs w:val="24"/>
          <w:lang w:val="fr-CH" w:eastAsia="zh-CN"/>
        </w:rPr>
        <w:t>tats contractants sur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exécution de ses obligations en vertu de la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Convention et du Protocole portant sur les biens spatiaux</w:t>
      </w:r>
      <w:r>
        <w:rPr>
          <w:rFonts w:asciiTheme="minorHAnsi" w:eastAsiaTheme="minorEastAsia" w:hAnsiTheme="minorHAnsi" w:cs="Verdana"/>
          <w:szCs w:val="24"/>
          <w:lang w:val="fr-CH" w:eastAsia="zh-CN"/>
        </w:rPr>
        <w:t>.</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before="0"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2</w:t>
      </w:r>
      <w:r w:rsidRPr="0075017B">
        <w:rPr>
          <w:rFonts w:asciiTheme="minorHAnsi" w:eastAsiaTheme="minorEastAsia" w:hAnsiTheme="minorHAnsi" w:cs="Verdana"/>
          <w:szCs w:val="24"/>
          <w:lang w:val="fr-CH" w:eastAsia="zh-CN"/>
        </w:rPr>
        <w:tab/>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est chargée uniquement du 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Elle n</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 aucune responsabilité quant à l</w:t>
      </w:r>
      <w:r>
        <w:rPr>
          <w:rFonts w:asciiTheme="minorHAnsi" w:eastAsiaTheme="minorEastAsia" w:hAnsiTheme="minorHAnsi" w:cs="Verdana"/>
          <w:szCs w:val="24"/>
          <w:lang w:val="fr-CH" w:eastAsia="zh-CN"/>
        </w:rPr>
        <w:t>'interpré</w:t>
      </w:r>
      <w:r w:rsidRPr="0075017B">
        <w:rPr>
          <w:rFonts w:asciiTheme="minorHAnsi" w:eastAsiaTheme="minorEastAsia" w:hAnsiTheme="minorHAnsi" w:cs="Verdana"/>
          <w:szCs w:val="24"/>
          <w:lang w:val="fr-CH" w:eastAsia="zh-CN"/>
        </w:rPr>
        <w:t>tation du Protocole,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 xml:space="preserve">sa mise en </w:t>
      </w:r>
      <w:r>
        <w:rPr>
          <w:rFonts w:asciiTheme="minorHAnsi" w:eastAsiaTheme="minorEastAsia" w:hAnsiTheme="minorHAnsi" w:cs="Verdana"/>
          <w:szCs w:val="24"/>
          <w:lang w:val="fr-CH" w:eastAsia="zh-CN"/>
        </w:rPr>
        <w:t>oe</w:t>
      </w:r>
      <w:r w:rsidRPr="0075017B">
        <w:rPr>
          <w:rFonts w:asciiTheme="minorHAnsi" w:eastAsiaTheme="minorEastAsia" w:hAnsiTheme="minorHAnsi" w:cs="Verdana"/>
          <w:szCs w:val="24"/>
          <w:lang w:val="fr-CH" w:eastAsia="zh-CN"/>
        </w:rPr>
        <w:t xml:space="preserve">uvre pour les questions </w:t>
      </w:r>
      <w:r>
        <w:rPr>
          <w:rFonts w:asciiTheme="minorHAnsi" w:eastAsiaTheme="minorEastAsia" w:hAnsiTheme="minorHAnsi" w:cs="Verdana"/>
          <w:szCs w:val="24"/>
          <w:lang w:val="fr-CH" w:eastAsia="zh-CN"/>
        </w:rPr>
        <w:t xml:space="preserve">qui sont </w:t>
      </w:r>
      <w:r w:rsidRPr="0075017B">
        <w:rPr>
          <w:rFonts w:asciiTheme="minorHAnsi" w:eastAsiaTheme="minorEastAsia" w:hAnsiTheme="minorHAnsi" w:cs="Verdana"/>
          <w:szCs w:val="24"/>
          <w:lang w:val="fr-CH" w:eastAsia="zh-CN"/>
        </w:rPr>
        <w:t>sans rapport avec le Registre ou toute autre fonction ou activité</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ne concernant pas le Registre.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interprétation relève en dernier ressort de la compétence des tribunaux nationaux, qui peuvent à cette fin tenir compte du Commentaire officiel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sur la Convention et le Protocole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portant sur les biens spatiaux. De même,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 surveillance n</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est pas chargée de statuer sur une inscription donnée, ni de donner des instructions au Conservateur pour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il modifie des données relatives à une i</w:t>
      </w:r>
      <w:r>
        <w:rPr>
          <w:rFonts w:asciiTheme="minorHAnsi" w:eastAsiaTheme="minorEastAsia" w:hAnsiTheme="minorHAnsi" w:cs="Verdana"/>
          <w:szCs w:val="24"/>
          <w:lang w:val="fr-CH" w:eastAsia="zh-CN"/>
        </w:rPr>
        <w:t>nscription</w:t>
      </w:r>
      <w:r w:rsidRPr="0075017B">
        <w:rPr>
          <w:rFonts w:asciiTheme="minorHAnsi" w:eastAsiaTheme="minorEastAsia" w:hAnsiTheme="minorHAnsi" w:cs="Verdana"/>
          <w:szCs w:val="24"/>
          <w:lang w:val="fr-CH" w:eastAsia="zh-CN"/>
        </w:rPr>
        <w:t xml:space="preserve"> donnée.</w:t>
      </w:r>
    </w:p>
    <w:p w:rsidR="00DE12C7" w:rsidRPr="00953B3C" w:rsidRDefault="00DE12C7" w:rsidP="007A1164">
      <w:pPr>
        <w:pStyle w:val="Headingb"/>
      </w:pPr>
      <w:r w:rsidRPr="00953B3C">
        <w:t>Commission préparatoire</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3</w:t>
      </w:r>
      <w:r w:rsidRPr="0075017B">
        <w:rPr>
          <w:rFonts w:asciiTheme="minorHAnsi" w:eastAsiaTheme="minorEastAsia" w:hAnsiTheme="minorHAnsi" w:cs="Verdana"/>
          <w:szCs w:val="24"/>
          <w:lang w:val="fr-CH" w:eastAsia="zh-CN"/>
        </w:rPr>
        <w:tab/>
        <w:t>Si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 décide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exercer les fonctions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elle sera en mesure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assumer les responsabilités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 Registre international qui sera déjà pleinement opérationnel.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Tous les travaux préliminaires liés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établissement du Registre international, y compris la négociation du contrat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visant à établir et à tenir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le Registre, à élaborer le premier règlement et à nommer le premier Conservateur, auront été effectués au préalable par la Commission préparatoire établie conformément à la Résolution 1 de la Conférence diplomatique tenue à Berlin en février 2012.</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La Commission préparatoire,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agissant en tant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provisoire, ne transférera la responsabilité 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 moment où le Registre international sera pleinement fonctionnel et où le règlement régissant son fonctionnement aura été élaboré. Bien entendu, il sera loisible 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 de modifier, de compléter ou de remplacer le règlement selon</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elle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estimera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nécessaire.</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before="0"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4</w:t>
      </w:r>
      <w:r w:rsidRPr="0075017B">
        <w:rPr>
          <w:rFonts w:asciiTheme="minorHAnsi" w:eastAsiaTheme="minorEastAsia" w:hAnsiTheme="minorHAnsi" w:cs="Verdana"/>
          <w:szCs w:val="24"/>
          <w:lang w:val="fr-CH" w:eastAsia="zh-CN"/>
        </w:rPr>
        <w:tab/>
        <w:t>La Commission préparatoire a déjà bien avancé</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dans ses travaux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 xml:space="preserve">élaboration du règlement, qui est fondé sur la dernière (sixième) édition du règlement applicable au Registre </w:t>
      </w:r>
      <w:r>
        <w:rPr>
          <w:rFonts w:asciiTheme="minorHAnsi" w:eastAsiaTheme="minorEastAsia" w:hAnsiTheme="minorHAnsi" w:cs="Verdana"/>
          <w:szCs w:val="24"/>
          <w:lang w:val="fr-CH" w:eastAsia="zh-CN"/>
        </w:rPr>
        <w:t>d'aéronefs</w:t>
      </w:r>
      <w:r w:rsidRPr="0075017B">
        <w:rPr>
          <w:rFonts w:asciiTheme="minorHAnsi" w:eastAsiaTheme="minorEastAsia" w:hAnsiTheme="minorHAnsi" w:cs="Verdana"/>
          <w:szCs w:val="24"/>
          <w:lang w:val="fr-CH" w:eastAsia="zh-CN"/>
        </w:rPr>
        <w:t>. Elle 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tenu</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deux réunions et pratiquement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achevé</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élaboration du projet de règlement.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 fait,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il ne lui reste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à examiner la question des critères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identification relatifs aux charges utiles et aux parties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 engin spatial ou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une charge utile</w:t>
      </w:r>
      <w:r>
        <w:rPr>
          <w:rFonts w:asciiTheme="minorHAnsi" w:eastAsiaTheme="minorEastAsia" w:hAnsiTheme="minorHAnsi" w:cs="Verdana"/>
          <w:szCs w:val="24"/>
          <w:lang w:val="fr-CH" w:eastAsia="zh-CN"/>
        </w:rPr>
        <w:t>.</w:t>
      </w:r>
    </w:p>
    <w:p w:rsidR="00DE12C7" w:rsidRPr="0075017B" w:rsidRDefault="00DE12C7" w:rsidP="007A1164">
      <w:pPr>
        <w:pStyle w:val="Headingb"/>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ind w:left="0" w:firstLine="0"/>
        <w:textAlignment w:val="auto"/>
        <w:outlineLvl w:val="9"/>
        <w:rPr>
          <w:rFonts w:asciiTheme="minorHAnsi" w:eastAsiaTheme="minorEastAsia" w:hAnsiTheme="minorHAnsi" w:cs="Verdana"/>
          <w:szCs w:val="24"/>
          <w:lang w:val="fr-CH" w:eastAsia="zh-CN"/>
        </w:rPr>
      </w:pPr>
      <w:r w:rsidRPr="0075017B">
        <w:rPr>
          <w:szCs w:val="24"/>
          <w:lang w:val="fr-CH"/>
        </w:rPr>
        <w:t>Commission</w:t>
      </w:r>
      <w:r w:rsidRPr="0075017B">
        <w:rPr>
          <w:rFonts w:asciiTheme="minorHAnsi" w:eastAsiaTheme="minorEastAsia" w:hAnsiTheme="minorHAnsi" w:cs="Verdana"/>
          <w:szCs w:val="24"/>
          <w:lang w:val="fr-CH" w:eastAsia="zh-CN"/>
        </w:rPr>
        <w:t xml:space="preserve">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experts</w:t>
      </w:r>
      <w:r>
        <w:rPr>
          <w:rFonts w:asciiTheme="minorHAnsi" w:eastAsiaTheme="minorEastAsia" w:hAnsiTheme="minorHAnsi" w:cs="Verdana"/>
          <w:b w:val="0"/>
          <w:szCs w:val="24"/>
          <w:lang w:val="fr-CH" w:eastAsia="zh-CN"/>
        </w:rPr>
        <w:t xml:space="preserve"> </w:t>
      </w:r>
      <w:r w:rsidRPr="0075017B">
        <w:rPr>
          <w:rFonts w:asciiTheme="minorHAnsi" w:eastAsiaTheme="minorEastAsia" w:hAnsiTheme="minorHAnsi" w:cs="Verdana"/>
          <w:szCs w:val="24"/>
          <w:lang w:val="fr-CH" w:eastAsia="zh-CN"/>
        </w:rPr>
        <w:t>et Conseil consultatif du Registre international</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5</w:t>
      </w:r>
      <w:r w:rsidRPr="0075017B">
        <w:rPr>
          <w:rFonts w:asciiTheme="minorHAnsi" w:eastAsiaTheme="minorEastAsia" w:hAnsiTheme="minorHAnsi" w:cs="Verdana"/>
          <w:szCs w:val="24"/>
          <w:lang w:val="fr-CH" w:eastAsia="zh-CN"/>
        </w:rPr>
        <w:tab/>
        <w:t xml:space="preserve">En vertu de la </w:t>
      </w:r>
      <w:r>
        <w:rPr>
          <w:rFonts w:asciiTheme="minorHAnsi" w:eastAsiaTheme="minorEastAsia" w:hAnsiTheme="minorHAnsi" w:cs="Verdana"/>
          <w:szCs w:val="24"/>
          <w:lang w:val="fr-CH" w:eastAsia="zh-CN"/>
        </w:rPr>
        <w:t>Ré</w:t>
      </w:r>
      <w:r w:rsidRPr="0075017B">
        <w:rPr>
          <w:rFonts w:asciiTheme="minorHAnsi" w:eastAsiaTheme="minorEastAsia" w:hAnsiTheme="minorHAnsi" w:cs="Verdana"/>
          <w:szCs w:val="24"/>
          <w:lang w:val="fr-CH" w:eastAsia="zh-CN"/>
        </w:rPr>
        <w:t>solution 3</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est invitée à établir une Commission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experts comprenant un maximum de 20 membres à partir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une liste de personnes nommées par les Etats signataires et les Etats contractants du Protocole et possédant les qualifications et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expérience nécessaires, chargées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assister dans ses fonctions.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Une Commission analogue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(CESAIR)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composée de responsables gouvernementaux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 xml:space="preserve">aviation civile, a été constituée en vue de </w:t>
      </w:r>
      <w:r>
        <w:rPr>
          <w:rFonts w:asciiTheme="minorHAnsi" w:eastAsiaTheme="minorEastAsia" w:hAnsiTheme="minorHAnsi" w:cs="Verdana"/>
          <w:szCs w:val="24"/>
          <w:lang w:val="fr-CH" w:eastAsia="zh-CN"/>
        </w:rPr>
        <w:t>conseiller l'OACI</w:t>
      </w:r>
      <w:r w:rsidRPr="0075017B">
        <w:rPr>
          <w:rFonts w:asciiTheme="minorHAnsi" w:eastAsiaTheme="minorEastAsia" w:hAnsiTheme="minorHAnsi" w:cs="Verdana"/>
          <w:szCs w:val="24"/>
          <w:lang w:val="fr-CH" w:eastAsia="zh-CN"/>
        </w:rPr>
        <w: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en sa qualité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pour les biens aéronautiques.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Le Registre international pour les biens aéronautiques a créé un Conseil consultatif du Registre international (IRAB), qui regroupe des</w:t>
      </w:r>
      <w:r>
        <w:rPr>
          <w:rFonts w:asciiTheme="minorHAnsi" w:eastAsiaTheme="minorEastAsia" w:hAnsiTheme="minorHAnsi" w:cs="Verdana"/>
          <w:szCs w:val="24"/>
          <w:lang w:val="fr-CH" w:eastAsia="zh-CN"/>
        </w:rPr>
        <w:t xml:space="preserve"> experts t</w:t>
      </w:r>
      <w:r w:rsidRPr="0075017B">
        <w:rPr>
          <w:rFonts w:asciiTheme="minorHAnsi" w:eastAsiaTheme="minorEastAsia" w:hAnsiTheme="minorHAnsi" w:cs="Verdana"/>
          <w:szCs w:val="24"/>
          <w:lang w:val="fr-CH" w:eastAsia="zh-CN"/>
        </w:rPr>
        <w:t>echni</w:t>
      </w:r>
      <w:r>
        <w:rPr>
          <w:rFonts w:asciiTheme="minorHAnsi" w:eastAsiaTheme="minorEastAsia" w:hAnsiTheme="minorHAnsi" w:cs="Verdana"/>
          <w:szCs w:val="24"/>
          <w:lang w:val="fr-CH" w:eastAsia="zh-CN"/>
        </w:rPr>
        <w:t>ques</w:t>
      </w:r>
      <w:r w:rsidRPr="0075017B">
        <w:rPr>
          <w:rFonts w:asciiTheme="minorHAnsi" w:eastAsiaTheme="minorEastAsia" w:hAnsiTheme="minorHAnsi" w:cs="Verdana"/>
          <w:szCs w:val="24"/>
          <w:lang w:val="fr-CH" w:eastAsia="zh-CN"/>
        </w:rPr>
        <w:t xml:space="preserve"> et des </w:t>
      </w:r>
      <w:r>
        <w:rPr>
          <w:rFonts w:asciiTheme="minorHAnsi" w:eastAsiaTheme="minorEastAsia" w:hAnsiTheme="minorHAnsi" w:cs="Verdana"/>
          <w:szCs w:val="24"/>
          <w:lang w:val="fr-CH" w:eastAsia="zh-CN"/>
        </w:rPr>
        <w:t>juristes</w:t>
      </w:r>
      <w:r w:rsidRPr="0075017B">
        <w:rPr>
          <w:rFonts w:asciiTheme="minorHAnsi" w:eastAsiaTheme="minorEastAsia" w:hAnsiTheme="minorHAnsi" w:cs="Verdana"/>
          <w:szCs w:val="24"/>
          <w:lang w:val="fr-CH" w:eastAsia="zh-CN"/>
        </w:rPr>
        <w:t xml:space="preserve">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 xml:space="preserve">industrie, en vue de fournir des avis au </w:t>
      </w:r>
      <w:r>
        <w:rPr>
          <w:rFonts w:asciiTheme="minorHAnsi" w:eastAsiaTheme="minorEastAsia" w:hAnsiTheme="minorHAnsi" w:cs="Verdana"/>
          <w:szCs w:val="24"/>
          <w:lang w:val="fr-CH" w:eastAsia="zh-CN"/>
        </w:rPr>
        <w:t>Conservateur</w:t>
      </w:r>
      <w:r w:rsidRPr="0075017B">
        <w:rPr>
          <w:rFonts w:asciiTheme="minorHAnsi" w:eastAsiaTheme="minorEastAsia" w:hAnsiTheme="minorHAnsi" w:cs="Verdana"/>
          <w:szCs w:val="24"/>
          <w:lang w:val="fr-CH" w:eastAsia="zh-CN"/>
        </w:rPr>
        <w:t xml:space="preserve"> en ce qui concerne les besoins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des utilisateurs du système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inscription</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w:t>
      </w:r>
      <w:r>
        <w:rPr>
          <w:rFonts w:asciiTheme="minorHAnsi" w:eastAsiaTheme="minorEastAsia" w:hAnsiTheme="minorHAnsi" w:cs="Verdana"/>
          <w:szCs w:val="24"/>
          <w:lang w:val="fr-CH" w:eastAsia="zh-CN"/>
        </w:rPr>
        <w:t xml:space="preserve">'IRAB </w:t>
      </w:r>
      <w:r w:rsidRPr="0075017B">
        <w:rPr>
          <w:rFonts w:asciiTheme="minorHAnsi" w:eastAsiaTheme="minorEastAsia" w:hAnsiTheme="minorHAnsi" w:cs="Verdana"/>
          <w:szCs w:val="24"/>
          <w:lang w:val="fr-CH" w:eastAsia="zh-CN"/>
        </w:rPr>
        <w:t>soumet des recommandations à la CESAIR, qui les examine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en recommande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application, moyennant les modifications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il estime nécessaires, au Conseil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OACI</w:t>
      </w:r>
      <w:r>
        <w:rPr>
          <w:rFonts w:asciiTheme="minorHAnsi" w:eastAsiaTheme="minorEastAsia" w:hAnsiTheme="minorHAnsi" w:cs="Verdana"/>
          <w:szCs w:val="24"/>
          <w:lang w:val="fr-CH" w:eastAsia="zh-CN"/>
        </w:rPr>
        <w:t xml:space="preserve">. </w:t>
      </w:r>
    </w:p>
    <w:p w:rsidR="00DE12C7" w:rsidRPr="0075017B" w:rsidRDefault="00DE12C7" w:rsidP="007A1164">
      <w:pPr>
        <w:pStyle w:val="Headingb"/>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ind w:left="0" w:firstLine="0"/>
        <w:textAlignment w:val="auto"/>
        <w:outlineLvl w:val="9"/>
        <w:rPr>
          <w:rFonts w:asciiTheme="minorHAnsi" w:eastAsiaTheme="minorEastAsia" w:hAnsiTheme="minorHAnsi" w:cs="Verdana"/>
          <w:bCs/>
          <w:szCs w:val="24"/>
          <w:lang w:val="fr-CH" w:eastAsia="zh-CN"/>
        </w:rPr>
      </w:pPr>
      <w:r w:rsidRPr="0075017B">
        <w:rPr>
          <w:rFonts w:asciiTheme="minorHAnsi" w:eastAsiaTheme="minorEastAsia" w:hAnsiTheme="minorHAnsi" w:cs="Verdana"/>
          <w:szCs w:val="24"/>
          <w:lang w:val="fr-CH" w:eastAsia="zh-CN"/>
        </w:rPr>
        <w:t>Tâches</w:t>
      </w:r>
      <w:r>
        <w:rPr>
          <w:rFonts w:asciiTheme="minorHAnsi" w:eastAsiaTheme="minorEastAsia" w:hAnsiTheme="minorHAnsi" w:cs="Verdana"/>
          <w:b w:val="0"/>
          <w:szCs w:val="24"/>
          <w:lang w:val="fr-CH" w:eastAsia="zh-CN"/>
        </w:rPr>
        <w:t xml:space="preserve"> </w:t>
      </w:r>
      <w:r w:rsidRPr="0075017B">
        <w:rPr>
          <w:rFonts w:asciiTheme="minorHAnsi" w:eastAsiaTheme="minorEastAsia" w:hAnsiTheme="minorHAnsi" w:cs="Verdana"/>
          <w:szCs w:val="24"/>
          <w:lang w:val="fr-CH" w:eastAsia="zh-CN"/>
        </w:rPr>
        <w:t>incombant 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6</w:t>
      </w:r>
      <w:r w:rsidRPr="0075017B">
        <w:rPr>
          <w:rFonts w:asciiTheme="minorHAnsi" w:eastAsiaTheme="minorEastAsia" w:hAnsiTheme="minorHAnsi" w:cs="Verdana"/>
          <w:szCs w:val="24"/>
          <w:lang w:val="fr-CH" w:eastAsia="zh-CN"/>
        </w:rPr>
        <w:tab/>
      </w:r>
      <w:r>
        <w:rPr>
          <w:rFonts w:asciiTheme="minorHAnsi" w:eastAsiaTheme="minorEastAsia" w:hAnsiTheme="minorHAnsi" w:cs="Verdana"/>
          <w:szCs w:val="24"/>
          <w:lang w:val="fr-CH" w:eastAsia="zh-CN"/>
        </w:rPr>
        <w:t>I</w:t>
      </w:r>
      <w:r w:rsidRPr="0075017B">
        <w:rPr>
          <w:rFonts w:asciiTheme="minorHAnsi" w:eastAsiaTheme="minorEastAsia" w:hAnsiTheme="minorHAnsi" w:cs="Verdana"/>
          <w:szCs w:val="24"/>
          <w:lang w:val="fr-CH" w:eastAsia="zh-CN"/>
        </w:rPr>
        <w:t>l ressort des paragraphes qui précèdent que si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 en sa qualité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est responsable du contrôle du Registre international pour les biens spatiaux, la charge que cela représentera</w:t>
      </w:r>
      <w:r>
        <w:rPr>
          <w:rFonts w:asciiTheme="minorHAnsi" w:eastAsiaTheme="minorEastAsia" w:hAnsiTheme="minorHAnsi" w:cs="Verdana"/>
          <w:szCs w:val="24"/>
          <w:lang w:val="fr-CH" w:eastAsia="zh-CN"/>
        </w:rPr>
        <w:t xml:space="preserve"> pour l'U</w:t>
      </w:r>
      <w:r w:rsidRPr="0075017B">
        <w:rPr>
          <w:rFonts w:asciiTheme="minorHAnsi" w:eastAsiaTheme="minorEastAsia" w:hAnsiTheme="minorHAnsi" w:cs="Verdana"/>
          <w:szCs w:val="24"/>
          <w:lang w:val="fr-CH" w:eastAsia="zh-CN"/>
        </w:rPr>
        <w:t>nion sera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relativement négligeable.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Le Registre sera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pleinement opérationnel lorsque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 assumera les fonctions qui lui seront transférés par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la Commission préparatoire</w:t>
      </w:r>
      <w:r>
        <w:rPr>
          <w:rFonts w:asciiTheme="minorHAnsi" w:eastAsiaTheme="minorEastAsia" w:hAnsiTheme="minorHAnsi" w:cs="Verdana"/>
          <w:szCs w:val="24"/>
          <w:lang w:val="fr-CH" w:eastAsia="zh-CN"/>
        </w:rPr>
        <w:t>, l'Union</w:t>
      </w:r>
      <w:r w:rsidRPr="0075017B">
        <w:rPr>
          <w:rFonts w:asciiTheme="minorHAnsi" w:eastAsiaTheme="minorEastAsia" w:hAnsiTheme="minorHAnsi" w:cs="Verdana"/>
          <w:szCs w:val="24"/>
          <w:lang w:val="fr-CH" w:eastAsia="zh-CN"/>
        </w:rPr>
        <w:t xml:space="preserve"> bénéficiera des connaissances spécialisées nécessaires des professionnels du secteur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que lui apportera</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organisme équivalent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IRAB, si un tel organisme est créé par le 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et le Comité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experts gouvernementaux évaluera les propositions éventuelles qui lui seront présentées et les soumettra 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 assorties des modifications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il jugera appropriées. Le Registre fonctionne</w:t>
      </w:r>
      <w:r>
        <w:rPr>
          <w:rFonts w:asciiTheme="minorHAnsi" w:eastAsiaTheme="minorEastAsia" w:hAnsiTheme="minorHAnsi" w:cs="Verdana"/>
          <w:szCs w:val="24"/>
          <w:lang w:val="fr-CH" w:eastAsia="zh-CN"/>
        </w:rPr>
        <w:t xml:space="preserve"> depuis</w:t>
      </w:r>
      <w:r w:rsidRPr="0075017B">
        <w:rPr>
          <w:rFonts w:asciiTheme="minorHAnsi" w:eastAsiaTheme="minorEastAsia" w:hAnsiTheme="minorHAnsi" w:cs="Verdana"/>
          <w:szCs w:val="24"/>
          <w:lang w:val="fr-CH" w:eastAsia="zh-CN"/>
        </w:rPr>
        <w:t xml:space="preserve"> maintenant huit ans et cet arrangement a donné de très bons résultats pour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OACI</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qui n</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 pas jugé nécessaire de recruter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du personnel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supplémentaire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pour s</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acquitter de ces fonctions</w:t>
      </w:r>
      <w:r>
        <w:rPr>
          <w:rFonts w:asciiTheme="minorHAnsi" w:eastAsiaTheme="minorEastAsia" w:hAnsiTheme="minorHAnsi" w:cs="Verdana"/>
          <w:szCs w:val="24"/>
          <w:lang w:val="fr-CH" w:eastAsia="zh-CN"/>
        </w:rPr>
        <w:t>.</w:t>
      </w:r>
    </w:p>
    <w:p w:rsidR="00DE12C7" w:rsidRPr="0075017B" w:rsidRDefault="00DE12C7" w:rsidP="007A1164">
      <w:pPr>
        <w:pStyle w:val="Headingb"/>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ind w:left="0" w:firstLine="0"/>
        <w:textAlignment w:val="auto"/>
        <w:outlineLvl w:val="9"/>
        <w:rPr>
          <w:rFonts w:asciiTheme="minorHAnsi" w:eastAsiaTheme="minorEastAsia" w:hAnsiTheme="minorHAnsi" w:cs="Verdana"/>
          <w:szCs w:val="24"/>
          <w:lang w:val="fr-CH" w:eastAsia="zh-CN"/>
        </w:rPr>
      </w:pPr>
      <w:r w:rsidRPr="00F41155">
        <w:rPr>
          <w:rFonts w:asciiTheme="minorHAnsi" w:eastAsiaTheme="minorEastAsia" w:hAnsiTheme="minorHAnsi" w:cs="Verdana"/>
          <w:szCs w:val="24"/>
          <w:lang w:val="fr-CH" w:eastAsia="zh-CN"/>
        </w:rPr>
        <w:t>La responsabilité de l'</w:t>
      </w:r>
      <w:r w:rsidRPr="0075017B">
        <w:rPr>
          <w:rFonts w:asciiTheme="minorHAnsi" w:eastAsiaTheme="minorEastAsia" w:hAnsiTheme="minorHAnsi" w:cs="Verdana"/>
          <w:szCs w:val="24"/>
          <w:lang w:val="fr-CH" w:eastAsia="zh-CN"/>
        </w:rPr>
        <w:t xml:space="preserve">UIT </w:t>
      </w:r>
      <w:r w:rsidRPr="00F41155">
        <w:rPr>
          <w:rFonts w:asciiTheme="minorHAnsi" w:eastAsiaTheme="minorEastAsia" w:hAnsiTheme="minorHAnsi" w:cs="Verdana"/>
          <w:szCs w:val="24"/>
          <w:lang w:val="fr-CH" w:eastAsia="zh-CN"/>
        </w:rPr>
        <w:t>pourrait</w:t>
      </w:r>
      <w:r w:rsidRPr="0075017B">
        <w:rPr>
          <w:rFonts w:asciiTheme="minorHAnsi" w:eastAsiaTheme="minorEastAsia" w:hAnsiTheme="minorHAnsi" w:cs="Verdana"/>
          <w:szCs w:val="24"/>
          <w:lang w:val="fr-CH" w:eastAsia="zh-CN"/>
        </w:rPr>
        <w:t xml:space="preserve">-elle </w:t>
      </w:r>
      <w:r w:rsidRPr="00F41155">
        <w:rPr>
          <w:rFonts w:asciiTheme="minorHAnsi" w:eastAsiaTheme="minorEastAsia" w:hAnsiTheme="minorHAnsi" w:cs="Verdana"/>
          <w:szCs w:val="24"/>
          <w:lang w:val="fr-CH" w:eastAsia="zh-CN"/>
        </w:rPr>
        <w:t>être engagée</w:t>
      </w:r>
      <w:r w:rsidRPr="0075017B">
        <w:rPr>
          <w:rFonts w:asciiTheme="minorHAnsi" w:eastAsiaTheme="minorEastAsia" w:hAnsiTheme="minorHAnsi" w:cs="Verdana"/>
          <w:szCs w:val="24"/>
          <w:lang w:val="fr-CH" w:eastAsia="zh-CN"/>
        </w:rPr>
        <w:t>?</w:t>
      </w:r>
    </w:p>
    <w:p w:rsidR="00DE12C7" w:rsidRPr="0075017B" w:rsidRDefault="00DE12C7" w:rsidP="002659C3">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7</w:t>
      </w:r>
      <w:r w:rsidRPr="0075017B">
        <w:rPr>
          <w:rFonts w:asciiTheme="minorHAnsi" w:eastAsiaTheme="minorEastAsia" w:hAnsiTheme="minorHAnsi" w:cs="Verdana"/>
          <w:szCs w:val="24"/>
          <w:lang w:val="fr-CH" w:eastAsia="zh-CN"/>
        </w:rPr>
        <w:tab/>
        <w:t>La réponse est négative</w:t>
      </w:r>
      <w:r>
        <w:rPr>
          <w:rFonts w:asciiTheme="minorHAnsi" w:eastAsiaTheme="minorEastAsia" w:hAnsiTheme="minorHAnsi" w:cs="Verdana"/>
          <w:szCs w:val="24"/>
          <w:lang w:val="fr-CH" w:eastAsia="zh-CN"/>
        </w:rPr>
        <w:t>. Conformément à l'A</w:t>
      </w:r>
      <w:r w:rsidRPr="0075017B">
        <w:rPr>
          <w:rFonts w:asciiTheme="minorHAnsi" w:eastAsiaTheme="minorEastAsia" w:hAnsiTheme="minorHAnsi" w:cs="Verdana"/>
          <w:szCs w:val="24"/>
          <w:lang w:val="fr-CH" w:eastAsia="zh-CN"/>
        </w:rPr>
        <w:t>rticle 27(2),</w:t>
      </w:r>
      <w:r w:rsidRPr="0075017B">
        <w:rPr>
          <w:rFonts w:asciiTheme="minorHAnsi" w:eastAsiaTheme="minorEastAsia" w:hAnsiTheme="minorHAnsi" w:cstheme="minorBidi"/>
          <w:sz w:val="22"/>
          <w:szCs w:val="22"/>
          <w:lang w:val="fr-CH" w:eastAsia="zh-CN"/>
        </w:rPr>
        <w:t xml:space="preserve"> </w:t>
      </w:r>
      <w:r w:rsidRPr="0075017B">
        <w:rPr>
          <w:rFonts w:asciiTheme="minorHAnsi" w:eastAsiaTheme="minorEastAsia" w:hAnsiTheme="minorHAnsi" w:cs="Verdana"/>
          <w:szCs w:val="24"/>
          <w:lang w:val="fr-CH" w:eastAsia="zh-CN"/>
        </w:rPr>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ainsi que ses responsables et employés jouissent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immunité contre toute action judiciaire ou administrative conformément aux dispositions du Protocole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Article XXVIII(2) du Protocole portant sur les biens spatiaux dispose que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 ainsi que ses responsables et employés jouissent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immunité contre toute action judiciaire ou administrative conformément aux règles qui leur sont applicables en tant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entité internationale ou à un autre titre.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En sa qualité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institution</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spécialisée</w:t>
      </w:r>
      <w:r>
        <w:rPr>
          <w:rFonts w:asciiTheme="minorHAnsi" w:eastAsiaTheme="minorEastAsia" w:hAnsiTheme="minorHAnsi" w:cs="Verdana"/>
          <w:szCs w:val="24"/>
          <w:lang w:val="fr-CH" w:eastAsia="zh-CN"/>
        </w:rPr>
        <w:t xml:space="preserve"> des Nations U</w:t>
      </w:r>
      <w:r w:rsidRPr="0075017B">
        <w:rPr>
          <w:rFonts w:asciiTheme="minorHAnsi" w:eastAsiaTheme="minorEastAsia" w:hAnsiTheme="minorHAnsi" w:cs="Verdana"/>
          <w:szCs w:val="24"/>
          <w:lang w:val="fr-CH" w:eastAsia="zh-CN"/>
        </w:rPr>
        <w:t>nies,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 xml:space="preserve">jouit déjà, sur le plan du droit international, des </w:t>
      </w:r>
      <w:r>
        <w:rPr>
          <w:rFonts w:asciiTheme="minorHAnsi" w:eastAsiaTheme="minorEastAsia" w:hAnsiTheme="minorHAnsi" w:cs="Verdana"/>
          <w:szCs w:val="24"/>
          <w:lang w:val="fr-CH" w:eastAsia="zh-CN"/>
        </w:rPr>
        <w:t>privilèges et immunités contenu</w:t>
      </w:r>
      <w:r w:rsidRPr="0075017B">
        <w:rPr>
          <w:rFonts w:asciiTheme="minorHAnsi" w:eastAsiaTheme="minorEastAsia" w:hAnsiTheme="minorHAnsi" w:cs="Verdana"/>
          <w:szCs w:val="24"/>
          <w:lang w:val="fr-CH" w:eastAsia="zh-CN"/>
        </w:rPr>
        <w:t xml:space="preserve">s </w:t>
      </w:r>
      <w:r>
        <w:rPr>
          <w:rFonts w:asciiTheme="minorHAnsi" w:eastAsiaTheme="minorEastAsia" w:hAnsiTheme="minorHAnsi" w:cs="Verdana"/>
          <w:szCs w:val="24"/>
          <w:lang w:val="fr-CH" w:eastAsia="zh-CN"/>
        </w:rPr>
        <w:t>dans les clauses</w:t>
      </w:r>
      <w:r w:rsidR="002659C3">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types de la Convention des Nations Unies de 1947 sur les privilèges et immunités des institutions spécialisées, ainsi que</w:t>
      </w:r>
      <w:r>
        <w:rPr>
          <w:rFonts w:asciiTheme="minorHAnsi" w:eastAsiaTheme="minorEastAsia" w:hAnsiTheme="minorHAnsi" w:cs="Verdana"/>
          <w:szCs w:val="24"/>
          <w:lang w:val="fr-CH" w:eastAsia="zh-CN"/>
        </w:rPr>
        <w:t xml:space="preserve"> dans l'</w:t>
      </w:r>
      <w:r w:rsidRPr="0075017B">
        <w:rPr>
          <w:rFonts w:asciiTheme="minorHAnsi" w:eastAsiaTheme="minorEastAsia" w:hAnsiTheme="minorHAnsi" w:cs="Verdana"/>
          <w:szCs w:val="24"/>
          <w:lang w:val="fr-CH" w:eastAsia="zh-CN"/>
        </w:rPr>
        <w:t>Annexe IX</w:t>
      </w:r>
      <w:r>
        <w:rPr>
          <w:rFonts w:asciiTheme="minorHAnsi" w:eastAsiaTheme="minorEastAsia" w:hAnsiTheme="minorHAnsi" w:cs="Verdana"/>
          <w:szCs w:val="24"/>
          <w:lang w:val="fr-CH" w:eastAsia="zh-CN"/>
        </w:rPr>
        <w:t xml:space="preserve"> de ladite Convention</w:t>
      </w:r>
      <w:r w:rsidRPr="0075017B">
        <w:rPr>
          <w:rFonts w:asciiTheme="minorHAnsi" w:eastAsiaTheme="minorEastAsia" w:hAnsiTheme="minorHAnsi" w:cs="Verdana"/>
          <w:szCs w:val="24"/>
          <w:lang w:val="fr-CH" w:eastAsia="zh-CN"/>
        </w:rPr>
        <w: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vis-à-vis des pays qui sont parties à la Convention (</w:t>
      </w:r>
      <w:r>
        <w:rPr>
          <w:rFonts w:asciiTheme="minorHAnsi" w:eastAsiaTheme="minorEastAsia" w:hAnsiTheme="minorHAnsi" w:cs="Verdana"/>
          <w:szCs w:val="24"/>
          <w:lang w:val="fr-CH" w:eastAsia="zh-CN"/>
        </w:rPr>
        <w:t>il y a actuellement</w:t>
      </w:r>
      <w:r w:rsidRPr="0075017B">
        <w:rPr>
          <w:rFonts w:asciiTheme="minorHAnsi" w:eastAsiaTheme="minorEastAsia" w:hAnsiTheme="minorHAnsi" w:cs="Verdana"/>
          <w:szCs w:val="24"/>
          <w:lang w:val="fr-CH" w:eastAsia="zh-CN"/>
        </w:rPr>
        <w:t xml:space="preserve"> 123 parties</w:t>
      </w:r>
      <w:r>
        <w:rPr>
          <w:rFonts w:asciiTheme="minorHAnsi" w:eastAsiaTheme="minorEastAsia" w:hAnsiTheme="minorHAnsi" w:cs="Verdana"/>
          <w:szCs w:val="24"/>
          <w:lang w:val="fr-CH" w:eastAsia="zh-CN"/>
        </w:rPr>
        <w:t xml:space="preserve"> à la Convention</w:t>
      </w:r>
      <w:r w:rsidRPr="0075017B">
        <w:rPr>
          <w:rFonts w:asciiTheme="minorHAnsi" w:eastAsiaTheme="minorEastAsia" w:hAnsiTheme="minorHAnsi" w:cs="Verdana"/>
          <w:szCs w:val="24"/>
          <w:lang w:val="fr-CH" w:eastAsia="zh-CN"/>
        </w:rPr>
        <w: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 xml:space="preserve">UIT elle-même connaît </w:t>
      </w:r>
      <w:r>
        <w:rPr>
          <w:rFonts w:asciiTheme="minorHAnsi" w:eastAsiaTheme="minorEastAsia" w:hAnsiTheme="minorHAnsi" w:cs="Verdana"/>
          <w:szCs w:val="24"/>
          <w:lang w:val="fr-CH" w:eastAsia="zh-CN"/>
        </w:rPr>
        <w:t>déjà</w:t>
      </w:r>
      <w:r w:rsidRPr="0075017B">
        <w:rPr>
          <w:rFonts w:asciiTheme="minorHAnsi" w:eastAsiaTheme="minorEastAsia" w:hAnsiTheme="minorHAnsi" w:cs="Verdana"/>
          <w:szCs w:val="24"/>
          <w:lang w:val="fr-CH" w:eastAsia="zh-CN"/>
        </w:rPr>
        <w:t xml:space="preserve"> les Sections 4 à 6 de l</w:t>
      </w:r>
      <w:r>
        <w:rPr>
          <w:rFonts w:asciiTheme="minorHAnsi" w:eastAsiaTheme="minorEastAsia" w:hAnsiTheme="minorHAnsi" w:cs="Verdana"/>
          <w:szCs w:val="24"/>
          <w:lang w:val="fr-CH" w:eastAsia="zh-CN"/>
        </w:rPr>
        <w:t>'A</w:t>
      </w:r>
      <w:r w:rsidRPr="0075017B">
        <w:rPr>
          <w:rFonts w:asciiTheme="minorHAnsi" w:eastAsiaTheme="minorEastAsia" w:hAnsiTheme="minorHAnsi" w:cs="Verdana"/>
          <w:szCs w:val="24"/>
          <w:lang w:val="fr-CH" w:eastAsia="zh-CN"/>
        </w:rPr>
        <w:t>rticle III de la Convention, qui dispose que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les institutions spécialisées, leurs</w:t>
      </w:r>
      <w:r>
        <w:rPr>
          <w:rFonts w:asciiTheme="minorHAnsi" w:eastAsiaTheme="minorEastAsia" w:hAnsiTheme="minorHAnsi" w:cs="Verdana"/>
          <w:szCs w:val="24"/>
          <w:lang w:val="fr-CH" w:eastAsia="zh-CN"/>
        </w:rPr>
        <w:t xml:space="preserve"> biens et avoirs ainsi que</w:t>
      </w:r>
      <w:r w:rsidRPr="0075017B">
        <w:rPr>
          <w:rFonts w:asciiTheme="minorHAnsi" w:eastAsiaTheme="minorEastAsia" w:hAnsiTheme="minorHAnsi" w:cs="Verdana"/>
          <w:szCs w:val="24"/>
          <w:lang w:val="fr-CH" w:eastAsia="zh-CN"/>
        </w:rPr>
        <w:t xml:space="preserve"> les locaux et les archives sont inviolables et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ils jouissent de l'immunité de juridiction, sauf dans la mesure où ces institutions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y ont expressément renoncé.</w:t>
      </w:r>
      <w:r>
        <w:rPr>
          <w:rFonts w:asciiTheme="minorHAnsi" w:eastAsiaTheme="minorEastAsia" w:hAnsiTheme="minorHAnsi" w:cs="Verdana"/>
          <w:szCs w:val="24"/>
          <w:lang w:val="fr-CH" w:eastAsia="zh-CN"/>
        </w:rPr>
        <w:t xml:space="preserve"> </w:t>
      </w:r>
    </w:p>
    <w:p w:rsidR="00DE12C7" w:rsidRPr="0075017B" w:rsidRDefault="00DE12C7" w:rsidP="007A1164">
      <w:pPr>
        <w:pStyle w:val="Headingb"/>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ind w:left="0" w:firstLine="0"/>
        <w:textAlignment w:val="auto"/>
        <w:outlineLvl w:val="9"/>
        <w:rPr>
          <w:rFonts w:asciiTheme="minorHAnsi" w:eastAsiaTheme="minorEastAsia" w:hAnsiTheme="minorHAnsi" w:cs="Verdana"/>
          <w:bCs/>
          <w:szCs w:val="24"/>
          <w:lang w:val="fr-CH" w:eastAsia="zh-CN"/>
        </w:rPr>
      </w:pPr>
      <w:r w:rsidRPr="0075017B">
        <w:rPr>
          <w:rFonts w:asciiTheme="minorHAnsi" w:eastAsiaTheme="minorEastAsia" w:hAnsiTheme="minorHAnsi" w:cs="Verdana"/>
          <w:szCs w:val="24"/>
          <w:lang w:val="fr-CH" w:eastAsia="zh-CN"/>
        </w:rPr>
        <w:t xml:space="preserve">Responsabilité du Registre </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8</w:t>
      </w:r>
      <w:r w:rsidRPr="0075017B">
        <w:rPr>
          <w:rFonts w:asciiTheme="minorHAnsi" w:eastAsiaTheme="minorEastAsia" w:hAnsiTheme="minorHAnsi" w:cs="Verdana"/>
          <w:szCs w:val="24"/>
          <w:lang w:val="fr-CH" w:eastAsia="zh-CN"/>
        </w:rPr>
        <w:tab/>
        <w:t>A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inverse, conformément 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Article 28 de la Convention du</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Cap,</w:t>
      </w:r>
      <w:r>
        <w:rPr>
          <w:rFonts w:asciiTheme="minorHAnsi" w:eastAsiaTheme="minorEastAsia" w:hAnsiTheme="minorHAnsi" w:cs="Verdana"/>
          <w:szCs w:val="24"/>
          <w:lang w:val="fr-CH" w:eastAsia="zh-CN"/>
        </w:rPr>
        <w:t xml:space="preserve"> </w:t>
      </w:r>
      <w:r w:rsidRPr="00DE72FC">
        <w:rPr>
          <w:rFonts w:asciiTheme="minorHAnsi" w:eastAsiaTheme="minorEastAsia" w:hAnsiTheme="minorHAnsi" w:cs="Verdana"/>
          <w:szCs w:val="24"/>
          <w:lang w:val="fr-CH" w:eastAsia="zh-CN"/>
        </w:rPr>
        <w:t xml:space="preserve">le Conservateur sera soumis à une responsabilité objective et sera tenu au paiement de dommages-intérêts compensatoires </w:t>
      </w:r>
      <w:r w:rsidRPr="0075017B">
        <w:rPr>
          <w:rFonts w:asciiTheme="minorHAnsi" w:eastAsiaTheme="minorEastAsia" w:hAnsiTheme="minorHAnsi" w:cs="Verdana"/>
          <w:szCs w:val="24"/>
          <w:lang w:val="fr-CH" w:eastAsia="zh-CN"/>
        </w:rPr>
        <w:t>pour les pertes subies par une personne lorsque le préjudice découle directement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une erreur ou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une omission du Conservateur ainsi que de ses responsables et employés,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ou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un dysfonctionnement du système international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inscription</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et sera tenu de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contracter une assurance ou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obtenir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une garantie financière couvrant la responsabilité visée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dans la mesure déterminée par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Dans le cas du 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 xml:space="preserve">pour les biens aéronautiques, le </w:t>
      </w:r>
      <w:r>
        <w:rPr>
          <w:rFonts w:asciiTheme="minorHAnsi" w:eastAsiaTheme="minorEastAsia" w:hAnsiTheme="minorHAnsi" w:cs="Verdana"/>
          <w:szCs w:val="24"/>
          <w:lang w:val="fr-CH" w:eastAsia="zh-CN"/>
        </w:rPr>
        <w:t>niveau</w:t>
      </w:r>
      <w:r w:rsidRPr="0075017B">
        <w:rPr>
          <w:rFonts w:asciiTheme="minorHAnsi" w:eastAsiaTheme="minorEastAsia" w:hAnsiTheme="minorHAnsi" w:cs="Verdana"/>
          <w:szCs w:val="24"/>
          <w:lang w:val="fr-CH" w:eastAsia="zh-CN"/>
        </w:rPr>
        <w:t xml:space="preserve"> actuel de </w:t>
      </w:r>
      <w:r>
        <w:rPr>
          <w:rFonts w:asciiTheme="minorHAnsi" w:eastAsiaTheme="minorEastAsia" w:hAnsiTheme="minorHAnsi" w:cs="Verdana"/>
          <w:szCs w:val="24"/>
          <w:lang w:val="fr-CH" w:eastAsia="zh-CN"/>
        </w:rPr>
        <w:t>garantie</w:t>
      </w:r>
      <w:r w:rsidRPr="0075017B">
        <w:rPr>
          <w:rFonts w:asciiTheme="minorHAnsi" w:eastAsiaTheme="minorEastAsia" w:hAnsiTheme="minorHAnsi" w:cs="Verdana"/>
          <w:szCs w:val="24"/>
          <w:lang w:val="fr-CH" w:eastAsia="zh-CN"/>
        </w:rPr>
        <w:t xml:space="preserve"> s</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établit à</w:t>
      </w:r>
      <w:r>
        <w:rPr>
          <w:rFonts w:asciiTheme="minorHAnsi" w:eastAsiaTheme="minorEastAsia" w:hAnsiTheme="minorHAnsi" w:cs="Verdana"/>
          <w:szCs w:val="24"/>
          <w:lang w:val="fr-CH" w:eastAsia="zh-CN"/>
        </w:rPr>
        <w:t> </w:t>
      </w:r>
      <w:r w:rsidRPr="0075017B">
        <w:rPr>
          <w:rFonts w:asciiTheme="minorHAnsi" w:eastAsiaTheme="minorEastAsia" w:hAnsiTheme="minorHAnsi" w:cs="Verdana"/>
          <w:szCs w:val="24"/>
          <w:lang w:val="fr-CH" w:eastAsia="zh-CN"/>
        </w:rPr>
        <w:t>130 millions</w:t>
      </w:r>
      <w:r w:rsidRPr="000C03D0">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USD.</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 xml:space="preserve">Pendant les huit années de son fonctionnement, au cours desquelles environ </w:t>
      </w:r>
      <w:r>
        <w:rPr>
          <w:rFonts w:asciiTheme="minorHAnsi" w:eastAsiaTheme="minorEastAsia" w:hAnsiTheme="minorHAnsi" w:cs="Verdana"/>
          <w:szCs w:val="24"/>
          <w:lang w:val="fr-CH" w:eastAsia="zh-CN"/>
        </w:rPr>
        <w:t>420 </w:t>
      </w:r>
      <w:r w:rsidRPr="0075017B">
        <w:rPr>
          <w:rFonts w:asciiTheme="minorHAnsi" w:eastAsiaTheme="minorEastAsia" w:hAnsiTheme="minorHAnsi" w:cs="Verdana"/>
          <w:szCs w:val="24"/>
          <w:lang w:val="fr-CH" w:eastAsia="zh-CN"/>
        </w:rPr>
        <w:t>000</w:t>
      </w:r>
      <w:r>
        <w:rPr>
          <w:rFonts w:asciiTheme="minorHAnsi" w:eastAsiaTheme="minorEastAsia" w:hAnsiTheme="minorHAnsi" w:cs="Verdana"/>
          <w:szCs w:val="24"/>
          <w:lang w:val="fr-CH" w:eastAsia="zh-CN"/>
        </w:rPr>
        <w:t> </w:t>
      </w:r>
      <w:r w:rsidRPr="0075017B">
        <w:rPr>
          <w:rFonts w:asciiTheme="minorHAnsi" w:eastAsiaTheme="minorEastAsia" w:hAnsiTheme="minorHAnsi" w:cs="Verdana"/>
          <w:szCs w:val="24"/>
          <w:lang w:val="fr-CH" w:eastAsia="zh-CN"/>
        </w:rPr>
        <w:t>inscriptions ont été effectuées, le Registre n</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 été saisi</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aucune réclamation.</w:t>
      </w:r>
      <w:r>
        <w:rPr>
          <w:rFonts w:asciiTheme="minorHAnsi" w:eastAsiaTheme="minorEastAsia" w:hAnsiTheme="minorHAnsi" w:cs="Verdana"/>
          <w:szCs w:val="24"/>
          <w:lang w:val="fr-CH" w:eastAsia="zh-CN"/>
        </w:rPr>
        <w:t xml:space="preserve"> </w:t>
      </w:r>
    </w:p>
    <w:p w:rsidR="00DE12C7" w:rsidRPr="0075017B" w:rsidRDefault="00DE12C7" w:rsidP="007A1164">
      <w:pPr>
        <w:pStyle w:val="Headingb"/>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ind w:left="0" w:firstLine="0"/>
        <w:textAlignment w:val="auto"/>
        <w:outlineLvl w:val="9"/>
        <w:rPr>
          <w:rFonts w:asciiTheme="minorHAnsi" w:eastAsiaTheme="minorEastAsia" w:hAnsiTheme="minorHAnsi" w:cs="Verdana"/>
          <w:szCs w:val="24"/>
          <w:lang w:val="fr-CH" w:eastAsia="zh-CN"/>
        </w:rPr>
      </w:pPr>
      <w:r w:rsidRPr="0075017B">
        <w:rPr>
          <w:rFonts w:asciiTheme="minorHAnsi" w:eastAsiaTheme="minorEastAsia" w:hAnsiTheme="minorHAnsi" w:cs="Verdana"/>
          <w:szCs w:val="24"/>
          <w:lang w:val="fr-CH" w:eastAsia="zh-CN"/>
        </w:rPr>
        <w:t>Immunité des biens du Registre</w:t>
      </w:r>
      <w:r>
        <w:rPr>
          <w:rFonts w:asciiTheme="minorHAnsi" w:eastAsiaTheme="minorEastAsia" w:hAnsiTheme="minorHAnsi" w:cs="Verdana"/>
          <w:b w:val="0"/>
          <w:szCs w:val="24"/>
          <w:lang w:val="fr-CH" w:eastAsia="zh-CN"/>
        </w:rPr>
        <w:t xml:space="preserve"> </w:t>
      </w:r>
    </w:p>
    <w:p w:rsidR="00DE12C7" w:rsidRPr="0075017B" w:rsidRDefault="00DE12C7" w:rsidP="007A1164">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9</w:t>
      </w:r>
      <w:r w:rsidRPr="0075017B">
        <w:rPr>
          <w:rFonts w:asciiTheme="minorHAnsi" w:eastAsiaTheme="minorEastAsia" w:hAnsiTheme="minorHAnsi" w:cs="Verdana"/>
          <w:szCs w:val="24"/>
          <w:lang w:val="fr-CH" w:eastAsia="zh-CN"/>
        </w:rPr>
        <w:tab/>
        <w:t>Les biens, documents, bases de données et archives du 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sont inviolables et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ne peuvent faire l'objet d'une saisie ou d'une autre action judiciaire ou administrative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 xml:space="preserve">mais sont accessibles à tout </w:t>
      </w:r>
      <w:r>
        <w:rPr>
          <w:rFonts w:asciiTheme="minorHAnsi" w:eastAsiaTheme="minorEastAsia" w:hAnsiTheme="minorHAnsi" w:cs="Verdana"/>
          <w:szCs w:val="24"/>
          <w:lang w:val="fr-CH" w:eastAsia="zh-CN"/>
        </w:rPr>
        <w:t>requérant</w:t>
      </w:r>
      <w:r w:rsidRPr="0075017B">
        <w:rPr>
          <w:rFonts w:asciiTheme="minorHAnsi" w:eastAsiaTheme="minorEastAsia" w:hAnsiTheme="minorHAnsi" w:cs="Verdana"/>
          <w:szCs w:val="24"/>
          <w:lang w:val="fr-CH" w:eastAsia="zh-CN"/>
        </w:rPr>
        <w:t xml:space="preserve"> ayant déposé une plainte à l</w:t>
      </w:r>
      <w:r>
        <w:rPr>
          <w:rFonts w:asciiTheme="minorHAnsi" w:eastAsiaTheme="minorEastAsia" w:hAnsiTheme="minorHAnsi" w:cs="Verdana"/>
          <w:szCs w:val="24"/>
          <w:lang w:val="fr-CH" w:eastAsia="zh-CN"/>
        </w:rPr>
        <w:t>'</w:t>
      </w:r>
      <w:r w:rsidR="00503F7E">
        <w:rPr>
          <w:rFonts w:asciiTheme="minorHAnsi" w:eastAsiaTheme="minorEastAsia" w:hAnsiTheme="minorHAnsi" w:cs="Verdana"/>
          <w:szCs w:val="24"/>
          <w:lang w:val="fr-CH" w:eastAsia="zh-CN"/>
        </w:rPr>
        <w:t>encontre du </w:t>
      </w:r>
      <w:r w:rsidRPr="0075017B">
        <w:rPr>
          <w:rFonts w:asciiTheme="minorHAnsi" w:eastAsiaTheme="minorEastAsia" w:hAnsiTheme="minorHAnsi" w:cs="Verdana"/>
          <w:szCs w:val="24"/>
          <w:lang w:val="fr-CH" w:eastAsia="zh-CN"/>
        </w:rPr>
        <w:t>Conservateur</w:t>
      </w:r>
      <w:r>
        <w:rPr>
          <w:rFonts w:asciiTheme="minorHAnsi" w:eastAsiaTheme="minorEastAsia" w:hAnsiTheme="minorHAnsi" w:cs="Verdana"/>
          <w:szCs w:val="24"/>
          <w:lang w:val="fr-CH" w:eastAsia="zh-CN"/>
        </w:rPr>
        <w:t>.</w:t>
      </w:r>
    </w:p>
    <w:p w:rsidR="00DE12C7" w:rsidRPr="0075017B" w:rsidRDefault="00DE12C7" w:rsidP="007A1164">
      <w:pPr>
        <w:pStyle w:val="Headingb"/>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ind w:left="0" w:firstLine="0"/>
        <w:textAlignment w:val="auto"/>
        <w:outlineLvl w:val="9"/>
        <w:rPr>
          <w:rFonts w:asciiTheme="minorHAnsi" w:eastAsiaTheme="minorEastAsia" w:hAnsiTheme="minorHAnsi" w:cs="Verdana"/>
          <w:szCs w:val="24"/>
          <w:lang w:val="fr-CH" w:eastAsia="zh-CN"/>
        </w:rPr>
      </w:pPr>
      <w:r w:rsidRPr="0075017B">
        <w:rPr>
          <w:rFonts w:asciiTheme="minorHAnsi" w:eastAsiaTheme="minorEastAsia" w:hAnsiTheme="minorHAnsi" w:cs="Verdana"/>
          <w:szCs w:val="24"/>
          <w:lang w:val="fr-CH" w:eastAsia="zh-CN"/>
        </w:rPr>
        <w:t>Procédure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amendement/de révision applicable</w:t>
      </w:r>
      <w:r>
        <w:rPr>
          <w:rFonts w:asciiTheme="minorHAnsi" w:eastAsiaTheme="minorEastAsia" w:hAnsiTheme="minorHAnsi" w:cs="Verdana"/>
          <w:b w:val="0"/>
          <w:szCs w:val="24"/>
          <w:lang w:val="fr-CH" w:eastAsia="zh-CN"/>
        </w:rPr>
        <w:t xml:space="preserve"> </w:t>
      </w:r>
      <w:r w:rsidRPr="0075017B">
        <w:rPr>
          <w:rFonts w:asciiTheme="minorHAnsi" w:eastAsiaTheme="minorEastAsia" w:hAnsiTheme="minorHAnsi" w:cs="Verdana"/>
          <w:szCs w:val="24"/>
          <w:lang w:val="fr-CH" w:eastAsia="zh-CN"/>
        </w:rPr>
        <w:t>au Protocole portant sur les objets spatiaux</w:t>
      </w:r>
    </w:p>
    <w:p w:rsidR="00DE12C7" w:rsidRPr="0075017B" w:rsidRDefault="00DE12C7" w:rsidP="007F379C">
      <w:pPr>
        <w:tabs>
          <w:tab w:val="clear" w:pos="567"/>
          <w:tab w:val="clear" w:pos="1134"/>
          <w:tab w:val="clear" w:pos="1701"/>
          <w:tab w:val="clear" w:pos="2268"/>
          <w:tab w:val="clear" w:pos="2835"/>
        </w:tabs>
        <w:overflowPunct/>
        <w:autoSpaceDE/>
        <w:autoSpaceDN/>
        <w:adjustRightInd/>
        <w:spacing w:after="200"/>
        <w:textAlignment w:val="auto"/>
        <w:rPr>
          <w:rFonts w:asciiTheme="minorHAnsi" w:eastAsiaTheme="minorEastAsia" w:hAnsiTheme="minorHAnsi" w:cs="Verdana"/>
          <w:szCs w:val="24"/>
          <w:lang w:val="fr-CH" w:eastAsia="zh-CN"/>
        </w:rPr>
      </w:pPr>
      <w:r>
        <w:rPr>
          <w:rFonts w:asciiTheme="minorHAnsi" w:eastAsiaTheme="minorEastAsia" w:hAnsiTheme="minorHAnsi" w:cs="Verdana"/>
          <w:szCs w:val="24"/>
          <w:lang w:val="fr-CH" w:eastAsia="zh-CN"/>
        </w:rPr>
        <w:t>10</w:t>
      </w:r>
      <w:r w:rsidRPr="0075017B">
        <w:rPr>
          <w:rFonts w:asciiTheme="minorHAnsi" w:eastAsiaTheme="minorEastAsia" w:hAnsiTheme="minorHAnsi" w:cs="Verdana"/>
          <w:szCs w:val="24"/>
          <w:lang w:val="fr-CH" w:eastAsia="zh-CN"/>
        </w:rPr>
        <w:tab/>
        <w:t>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Article XLVII du</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Protocole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dispose qu</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à</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la demande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 xml:space="preserve">au moins </w:t>
      </w:r>
      <w:r w:rsidR="007F379C">
        <w:rPr>
          <w:rFonts w:asciiTheme="minorHAnsi" w:eastAsiaTheme="minorEastAsia" w:hAnsiTheme="minorHAnsi" w:cs="Verdana"/>
          <w:szCs w:val="24"/>
          <w:lang w:val="fr-CH" w:eastAsia="zh-CN"/>
        </w:rPr>
        <w:t>25%</w:t>
      </w:r>
      <w:r w:rsidRPr="0075017B">
        <w:rPr>
          <w:rFonts w:asciiTheme="minorHAnsi" w:eastAsiaTheme="minorEastAsia" w:hAnsiTheme="minorHAnsi" w:cs="Verdana"/>
          <w:szCs w:val="24"/>
          <w:lang w:val="fr-CH" w:eastAsia="zh-CN"/>
        </w:rPr>
        <w:t xml:space="preserve"> des </w:t>
      </w:r>
      <w:r>
        <w:rPr>
          <w:rFonts w:asciiTheme="minorHAnsi" w:eastAsiaTheme="minorEastAsia" w:hAnsiTheme="minorHAnsi" w:cs="Verdana"/>
          <w:szCs w:val="24"/>
          <w:lang w:val="fr-CH" w:eastAsia="zh-CN"/>
        </w:rPr>
        <w:t>E</w:t>
      </w:r>
      <w:r w:rsidRPr="0075017B">
        <w:rPr>
          <w:rFonts w:asciiTheme="minorHAnsi" w:eastAsiaTheme="minorEastAsia" w:hAnsiTheme="minorHAnsi" w:cs="Verdana"/>
          <w:szCs w:val="24"/>
          <w:lang w:val="fr-CH" w:eastAsia="zh-CN"/>
        </w:rPr>
        <w:t>tats parties, des Conférences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 xml:space="preserve">évaluation des </w:t>
      </w:r>
      <w:r>
        <w:rPr>
          <w:rFonts w:asciiTheme="minorHAnsi" w:eastAsiaTheme="minorEastAsia" w:hAnsiTheme="minorHAnsi" w:cs="Verdana"/>
          <w:szCs w:val="24"/>
          <w:lang w:val="fr-CH" w:eastAsia="zh-CN"/>
        </w:rPr>
        <w:t>E</w:t>
      </w:r>
      <w:r w:rsidRPr="0075017B">
        <w:rPr>
          <w:rFonts w:asciiTheme="minorHAnsi" w:eastAsiaTheme="minorEastAsia" w:hAnsiTheme="minorHAnsi" w:cs="Verdana"/>
          <w:szCs w:val="24"/>
          <w:lang w:val="fr-CH" w:eastAsia="zh-CN"/>
        </w:rPr>
        <w:t>tats parties sont organisées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par UNIDROIT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en tant que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Dépositaire, en consultation avec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En conséquence, UNIDROIT serait responsable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organisation de toute Conférence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évaluation, mais agirait bien entendu en étroite collaboration avec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 si cette organisation</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exerçait les fonctions d</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Autorité de surveillance.</w:t>
      </w:r>
    </w:p>
    <w:p w:rsidR="00DE12C7" w:rsidRPr="0075017B" w:rsidRDefault="00DE12C7" w:rsidP="007A1164">
      <w:pPr>
        <w:pStyle w:val="Headingb"/>
        <w:tabs>
          <w:tab w:val="clear" w:pos="567"/>
          <w:tab w:val="clear" w:pos="1134"/>
          <w:tab w:val="clear" w:pos="1701"/>
          <w:tab w:val="clear" w:pos="2268"/>
          <w:tab w:val="clear" w:pos="2835"/>
          <w:tab w:val="left" w:pos="794"/>
          <w:tab w:val="left" w:pos="2127"/>
          <w:tab w:val="left" w:pos="2410"/>
          <w:tab w:val="left" w:pos="2921"/>
          <w:tab w:val="left" w:pos="3261"/>
        </w:tabs>
        <w:overflowPunct/>
        <w:autoSpaceDE/>
        <w:autoSpaceDN/>
        <w:adjustRightInd/>
        <w:ind w:left="0" w:firstLine="0"/>
        <w:textAlignment w:val="auto"/>
        <w:outlineLvl w:val="9"/>
        <w:rPr>
          <w:rFonts w:asciiTheme="minorHAnsi" w:eastAsiaTheme="minorEastAsia" w:hAnsiTheme="minorHAnsi" w:cs="Verdana"/>
          <w:szCs w:val="24"/>
          <w:lang w:val="fr-CH" w:eastAsia="zh-CN"/>
        </w:rPr>
      </w:pPr>
      <w:r w:rsidRPr="0075017B">
        <w:rPr>
          <w:rFonts w:asciiTheme="minorHAnsi" w:eastAsiaTheme="minorEastAsia" w:hAnsiTheme="minorHAnsi" w:cs="Verdana"/>
          <w:szCs w:val="24"/>
          <w:lang w:val="fr-CH" w:eastAsia="zh-CN"/>
        </w:rPr>
        <w:t>Tarifs et coûts</w:t>
      </w:r>
    </w:p>
    <w:p w:rsidR="00C1030C" w:rsidRDefault="00DE12C7" w:rsidP="0032202E">
      <w:pPr>
        <w:pStyle w:val="Reasons"/>
      </w:pPr>
      <w:r>
        <w:rPr>
          <w:rFonts w:asciiTheme="minorHAnsi" w:eastAsiaTheme="minorEastAsia" w:hAnsiTheme="minorHAnsi" w:cs="Verdana"/>
          <w:szCs w:val="24"/>
          <w:lang w:val="fr-CH" w:eastAsia="zh-CN"/>
        </w:rPr>
        <w:t>11</w:t>
      </w:r>
      <w:r w:rsidRPr="0075017B">
        <w:rPr>
          <w:rFonts w:asciiTheme="minorHAnsi" w:eastAsiaTheme="minorEastAsia" w:hAnsiTheme="minorHAnsi" w:cs="Verdana"/>
          <w:szCs w:val="24"/>
          <w:lang w:val="fr-CH" w:eastAsia="zh-CN"/>
        </w:rPr>
        <w:tab/>
        <w:t>En vertu de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Article XXXII du</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Protocole</w:t>
      </w:r>
      <w:r>
        <w:rPr>
          <w:rFonts w:asciiTheme="minorHAnsi" w:eastAsiaTheme="minorEastAsia" w:hAnsiTheme="minorHAnsi" w:cstheme="minorBidi"/>
          <w:sz w:val="22"/>
          <w:szCs w:val="22"/>
          <w:lang w:val="fr-CH" w:eastAsia="zh-CN"/>
        </w:rPr>
        <w:t xml:space="preserve">, </w:t>
      </w:r>
      <w:r w:rsidRPr="0075017B">
        <w:rPr>
          <w:rFonts w:asciiTheme="minorHAnsi" w:eastAsiaTheme="minorEastAsia" w:hAnsiTheme="minorHAnsi" w:cs="Verdana"/>
          <w:szCs w:val="24"/>
          <w:lang w:val="fr-CH" w:eastAsia="zh-CN"/>
        </w:rPr>
        <w:t>les tarifs des services du Registre international</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doivent être fixés de façon à couvrir les coûts raisonnables d'établissement, de fonctionnement et de réglementation du Registre international et les coûts raisonnables de l'Autorité de surveillance lié</w:t>
      </w:r>
      <w:r>
        <w:rPr>
          <w:rFonts w:asciiTheme="minorHAnsi" w:eastAsiaTheme="minorEastAsia" w:hAnsiTheme="minorHAnsi" w:cs="Verdana"/>
          <w:szCs w:val="24"/>
          <w:lang w:val="fr-CH" w:eastAsia="zh-CN"/>
        </w:rPr>
        <w:t>s à l'exercice de ses fonctions</w:t>
      </w:r>
      <w:r w:rsidRPr="0075017B">
        <w:rPr>
          <w:rFonts w:asciiTheme="minorHAnsi" w:eastAsiaTheme="minorEastAsia" w:hAnsiTheme="minorHAnsi" w:cs="Verdana"/>
          <w:szCs w:val="24"/>
          <w:lang w:val="fr-CH" w:eastAsia="zh-CN"/>
        </w:rPr>
        <w:t xml:space="preserve"> mentionné</w:t>
      </w:r>
      <w:r>
        <w:rPr>
          <w:rFonts w:asciiTheme="minorHAnsi" w:eastAsiaTheme="minorEastAsia" w:hAnsiTheme="minorHAnsi" w:cs="Verdana"/>
          <w:szCs w:val="24"/>
          <w:lang w:val="fr-CH" w:eastAsia="zh-CN"/>
        </w:rPr>
        <w:t>e</w:t>
      </w:r>
      <w:r w:rsidRPr="0075017B">
        <w:rPr>
          <w:rFonts w:asciiTheme="minorHAnsi" w:eastAsiaTheme="minorEastAsia" w:hAnsiTheme="minorHAnsi" w:cs="Verdana"/>
          <w:szCs w:val="24"/>
          <w:lang w:val="fr-CH" w:eastAsia="zh-CN"/>
        </w:rPr>
        <w:t>s au paragraphe 2 de l'Article 17 de la Convention. Cette disposition correspond à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Article XX(3) du Protocole aéronautique.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En conséquence,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UIT, comme l</w:t>
      </w:r>
      <w:r>
        <w:rPr>
          <w:rFonts w:asciiTheme="minorHAnsi" w:eastAsiaTheme="minorEastAsia" w:hAnsiTheme="minorHAnsi" w:cs="Verdana"/>
          <w:szCs w:val="24"/>
          <w:lang w:val="fr-CH" w:eastAsia="zh-CN"/>
        </w:rPr>
        <w:t>'</w:t>
      </w:r>
      <w:r w:rsidRPr="0075017B">
        <w:rPr>
          <w:rFonts w:asciiTheme="minorHAnsi" w:eastAsiaTheme="minorEastAsia" w:hAnsiTheme="minorHAnsi" w:cs="Verdana"/>
          <w:szCs w:val="24"/>
          <w:lang w:val="fr-CH" w:eastAsia="zh-CN"/>
        </w:rPr>
        <w:t>OACI, pourrait couvrir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au titre des tarifs du Registre,</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les coûts raisonnables de l'Autorité de surveillance liés à l'exercice de ses fonctions</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et il va sans dire que les tarifs seraient également</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 xml:space="preserve">fixés pour </w:t>
      </w:r>
      <w:r>
        <w:rPr>
          <w:rFonts w:asciiTheme="minorHAnsi" w:eastAsiaTheme="minorEastAsia" w:hAnsiTheme="minorHAnsi" w:cs="Verdana"/>
          <w:szCs w:val="24"/>
          <w:lang w:val="fr-CH" w:eastAsia="zh-CN"/>
        </w:rPr>
        <w:t>couvrir les coûts afférents au C</w:t>
      </w:r>
      <w:r w:rsidRPr="0075017B">
        <w:rPr>
          <w:rFonts w:asciiTheme="minorHAnsi" w:eastAsiaTheme="minorEastAsia" w:hAnsiTheme="minorHAnsi" w:cs="Verdana"/>
          <w:szCs w:val="24"/>
          <w:lang w:val="fr-CH" w:eastAsia="zh-CN"/>
        </w:rPr>
        <w:t>onservateur</w:t>
      </w:r>
      <w:r>
        <w:rPr>
          <w:rFonts w:asciiTheme="minorHAnsi" w:eastAsiaTheme="minorEastAsia" w:hAnsiTheme="minorHAnsi" w:cs="Verdana"/>
          <w:szCs w:val="24"/>
          <w:lang w:val="fr-CH" w:eastAsia="zh-CN"/>
        </w:rPr>
        <w:t xml:space="preserve"> </w:t>
      </w:r>
      <w:r w:rsidRPr="0075017B">
        <w:rPr>
          <w:rFonts w:asciiTheme="minorHAnsi" w:eastAsiaTheme="minorEastAsia" w:hAnsiTheme="minorHAnsi" w:cs="Verdana"/>
          <w:szCs w:val="24"/>
          <w:lang w:val="fr-CH" w:eastAsia="zh-CN"/>
        </w:rPr>
        <w:t>et au personnel du Registre,</w:t>
      </w:r>
      <w:r>
        <w:rPr>
          <w:rFonts w:asciiTheme="minorHAnsi" w:eastAsiaTheme="minorEastAsia" w:hAnsiTheme="minorHAnsi" w:cs="Verdana"/>
          <w:szCs w:val="24"/>
          <w:lang w:val="fr-CH" w:eastAsia="zh-CN"/>
        </w:rPr>
        <w:t xml:space="preserve"> mais </w:t>
      </w:r>
      <w:r w:rsidRPr="0075017B">
        <w:rPr>
          <w:rFonts w:asciiTheme="minorHAnsi" w:eastAsiaTheme="minorEastAsia" w:hAnsiTheme="minorHAnsi" w:cs="Verdana"/>
          <w:szCs w:val="24"/>
          <w:lang w:val="fr-CH" w:eastAsia="zh-CN"/>
        </w:rPr>
        <w:t>sans but lucratif aucun.</w:t>
      </w:r>
    </w:p>
    <w:p w:rsidR="00FB4B31" w:rsidRDefault="00FB4B31" w:rsidP="0032202E">
      <w:pPr>
        <w:pStyle w:val="Reasons"/>
      </w:pPr>
    </w:p>
    <w:p w:rsidR="00FB4B31" w:rsidRDefault="00FB4B31">
      <w:pPr>
        <w:jc w:val="center"/>
      </w:pPr>
      <w:r>
        <w:t>______________</w:t>
      </w:r>
    </w:p>
    <w:sectPr w:rsidR="00FB4B31" w:rsidSect="003A0B7D">
      <w:headerReference w:type="default" r:id="rId50"/>
      <w:footerReference w:type="default" r:id="rId51"/>
      <w:footerReference w:type="first" r:id="rId5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2C7" w:rsidRDefault="00DE12C7">
      <w:r>
        <w:separator/>
      </w:r>
    </w:p>
  </w:endnote>
  <w:endnote w:type="continuationSeparator" w:id="0">
    <w:p w:rsidR="00DE12C7" w:rsidRDefault="00DE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67B" w:rsidRPr="00397D6F" w:rsidRDefault="00397D6F">
    <w:pPr>
      <w:pStyle w:val="Footer"/>
      <w:rPr>
        <w:color w:val="FFFFFF" w:themeColor="background1"/>
      </w:rPr>
    </w:pPr>
    <w:r w:rsidRPr="00397D6F">
      <w:rPr>
        <w:color w:val="FFFFFF" w:themeColor="background1"/>
      </w:rPr>
      <w:fldChar w:fldCharType="begin"/>
    </w:r>
    <w:r w:rsidRPr="00397D6F">
      <w:rPr>
        <w:color w:val="FFFFFF" w:themeColor="background1"/>
      </w:rPr>
      <w:instrText xml:space="preserve"> FILENAME \p \* MERGEFORMAT </w:instrText>
    </w:r>
    <w:r w:rsidRPr="00397D6F">
      <w:rPr>
        <w:color w:val="FFFFFF" w:themeColor="background1"/>
      </w:rPr>
      <w:fldChar w:fldCharType="separate"/>
    </w:r>
    <w:r>
      <w:rPr>
        <w:color w:val="FFFFFF" w:themeColor="background1"/>
      </w:rPr>
      <w:t>R:\REFTXT\REFTXT2014\SG\CONF-SG\PP14\000\062F.DOCX</w:t>
    </w:r>
    <w:r w:rsidRPr="00397D6F">
      <w:rPr>
        <w:color w:val="FFFFFF" w:themeColor="background1"/>
      </w:rPr>
      <w:fldChar w:fldCharType="end"/>
    </w:r>
    <w:r w:rsidR="00BB2A05" w:rsidRPr="00397D6F">
      <w:rPr>
        <w:color w:val="FFFFFF" w:themeColor="background1"/>
      </w:rPr>
      <w:t xml:space="preserve"> (367144)</w:t>
    </w:r>
    <w:r w:rsidR="000C467B" w:rsidRPr="00397D6F">
      <w:rPr>
        <w:color w:val="FFFFFF" w:themeColor="background1"/>
      </w:rPr>
      <w:tab/>
    </w:r>
    <w:r w:rsidR="00575DC7" w:rsidRPr="00397D6F">
      <w:rPr>
        <w:color w:val="FFFFFF" w:themeColor="background1"/>
      </w:rPr>
      <w:fldChar w:fldCharType="begin"/>
    </w:r>
    <w:r w:rsidR="000C467B" w:rsidRPr="00397D6F">
      <w:rPr>
        <w:color w:val="FFFFFF" w:themeColor="background1"/>
      </w:rPr>
      <w:instrText xml:space="preserve"> savedate \@ dd.MM.yy </w:instrText>
    </w:r>
    <w:r w:rsidR="00575DC7" w:rsidRPr="00397D6F">
      <w:rPr>
        <w:color w:val="FFFFFF" w:themeColor="background1"/>
      </w:rPr>
      <w:fldChar w:fldCharType="separate"/>
    </w:r>
    <w:r>
      <w:rPr>
        <w:color w:val="FFFFFF" w:themeColor="background1"/>
      </w:rPr>
      <w:t>01.09.14</w:t>
    </w:r>
    <w:r w:rsidR="00575DC7" w:rsidRPr="00397D6F">
      <w:rPr>
        <w:color w:val="FFFFFF" w:themeColor="background1"/>
      </w:rPr>
      <w:fldChar w:fldCharType="end"/>
    </w:r>
    <w:r w:rsidR="000C467B" w:rsidRPr="00397D6F">
      <w:rPr>
        <w:color w:val="FFFFFF" w:themeColor="background1"/>
      </w:rPr>
      <w:tab/>
    </w:r>
    <w:r w:rsidR="00575DC7" w:rsidRPr="00397D6F">
      <w:rPr>
        <w:color w:val="FFFFFF" w:themeColor="background1"/>
      </w:rPr>
      <w:fldChar w:fldCharType="begin"/>
    </w:r>
    <w:r w:rsidR="000C467B" w:rsidRPr="00397D6F">
      <w:rPr>
        <w:color w:val="FFFFFF" w:themeColor="background1"/>
      </w:rPr>
      <w:instrText xml:space="preserve"> printdate \@ dd.MM.yy </w:instrText>
    </w:r>
    <w:r w:rsidR="00575DC7" w:rsidRPr="00397D6F">
      <w:rPr>
        <w:color w:val="FFFFFF" w:themeColor="background1"/>
      </w:rPr>
      <w:fldChar w:fldCharType="separate"/>
    </w:r>
    <w:r>
      <w:rPr>
        <w:color w:val="FFFFFF" w:themeColor="background1"/>
      </w:rPr>
      <w:t>09.09.14</w:t>
    </w:r>
    <w:r w:rsidR="00575DC7" w:rsidRPr="00397D6F">
      <w:rPr>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FB" w:rsidRDefault="000D15FB"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C467B" w:rsidRDefault="000C467B">
    <w:pPr>
      <w:pStyle w:val="FirstFooter"/>
      <w:jc w:val="center"/>
    </w:pPr>
  </w:p>
  <w:p w:rsidR="00BB2A05" w:rsidRPr="00397D6F" w:rsidRDefault="00397D6F" w:rsidP="00BB2A05">
    <w:pPr>
      <w:pStyle w:val="Footer"/>
      <w:rPr>
        <w:color w:val="FFFFFF" w:themeColor="background1"/>
      </w:rPr>
    </w:pPr>
    <w:r w:rsidRPr="00397D6F">
      <w:rPr>
        <w:color w:val="FFFFFF" w:themeColor="background1"/>
      </w:rPr>
      <w:fldChar w:fldCharType="begin"/>
    </w:r>
    <w:r w:rsidRPr="00397D6F">
      <w:rPr>
        <w:color w:val="FFFFFF" w:themeColor="background1"/>
      </w:rPr>
      <w:instrText xml:space="preserve"> FILENAME \p \* MERGEFORMAT </w:instrText>
    </w:r>
    <w:r w:rsidRPr="00397D6F">
      <w:rPr>
        <w:color w:val="FFFFFF" w:themeColor="background1"/>
      </w:rPr>
      <w:fldChar w:fldCharType="separate"/>
    </w:r>
    <w:r>
      <w:rPr>
        <w:color w:val="FFFFFF" w:themeColor="background1"/>
      </w:rPr>
      <w:t>R:\REFTXT\REFTXT2014\SG\CONF-SG\PP14\000\062F.DOCX</w:t>
    </w:r>
    <w:r w:rsidRPr="00397D6F">
      <w:rPr>
        <w:color w:val="FFFFFF" w:themeColor="background1"/>
      </w:rPr>
      <w:fldChar w:fldCharType="end"/>
    </w:r>
    <w:r w:rsidR="00BB2A05" w:rsidRPr="00397D6F">
      <w:rPr>
        <w:color w:val="FFFFFF" w:themeColor="background1"/>
      </w:rPr>
      <w:t xml:space="preserve"> (367144)</w:t>
    </w:r>
    <w:r w:rsidR="00BB2A05" w:rsidRPr="00397D6F">
      <w:rPr>
        <w:color w:val="FFFFFF" w:themeColor="background1"/>
      </w:rPr>
      <w:tab/>
    </w:r>
    <w:r w:rsidR="00BB2A05" w:rsidRPr="00397D6F">
      <w:rPr>
        <w:color w:val="FFFFFF" w:themeColor="background1"/>
      </w:rPr>
      <w:fldChar w:fldCharType="begin"/>
    </w:r>
    <w:r w:rsidR="00BB2A05" w:rsidRPr="00397D6F">
      <w:rPr>
        <w:color w:val="FFFFFF" w:themeColor="background1"/>
      </w:rPr>
      <w:instrText xml:space="preserve"> savedate \@ dd.MM.yy </w:instrText>
    </w:r>
    <w:r w:rsidR="00BB2A05" w:rsidRPr="00397D6F">
      <w:rPr>
        <w:color w:val="FFFFFF" w:themeColor="background1"/>
      </w:rPr>
      <w:fldChar w:fldCharType="separate"/>
    </w:r>
    <w:r>
      <w:rPr>
        <w:color w:val="FFFFFF" w:themeColor="background1"/>
      </w:rPr>
      <w:t>01.09.14</w:t>
    </w:r>
    <w:r w:rsidR="00BB2A05" w:rsidRPr="00397D6F">
      <w:rPr>
        <w:color w:val="FFFFFF" w:themeColor="background1"/>
      </w:rPr>
      <w:fldChar w:fldCharType="end"/>
    </w:r>
    <w:r w:rsidR="00BB2A05" w:rsidRPr="00397D6F">
      <w:rPr>
        <w:color w:val="FFFFFF" w:themeColor="background1"/>
      </w:rPr>
      <w:tab/>
    </w:r>
    <w:r w:rsidR="00BB2A05" w:rsidRPr="00397D6F">
      <w:rPr>
        <w:color w:val="FFFFFF" w:themeColor="background1"/>
      </w:rPr>
      <w:fldChar w:fldCharType="begin"/>
    </w:r>
    <w:r w:rsidR="00BB2A05" w:rsidRPr="00397D6F">
      <w:rPr>
        <w:color w:val="FFFFFF" w:themeColor="background1"/>
      </w:rPr>
      <w:instrText xml:space="preserve"> printdate \@ dd.MM.yy </w:instrText>
    </w:r>
    <w:r w:rsidR="00BB2A05" w:rsidRPr="00397D6F">
      <w:rPr>
        <w:color w:val="FFFFFF" w:themeColor="background1"/>
      </w:rPr>
      <w:fldChar w:fldCharType="separate"/>
    </w:r>
    <w:r>
      <w:rPr>
        <w:color w:val="FFFFFF" w:themeColor="background1"/>
      </w:rPr>
      <w:t>09.09.14</w:t>
    </w:r>
    <w:r w:rsidR="00BB2A05" w:rsidRPr="00397D6F">
      <w:rPr>
        <w:color w:val="FFFFFF" w:themeColor="background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2C7" w:rsidRDefault="00DE12C7">
      <w:r>
        <w:t>____________________</w:t>
      </w:r>
    </w:p>
  </w:footnote>
  <w:footnote w:type="continuationSeparator" w:id="0">
    <w:p w:rsidR="00DE12C7" w:rsidRDefault="00DE12C7">
      <w:r>
        <w:continuationSeparator/>
      </w:r>
    </w:p>
  </w:footnote>
  <w:footnote w:id="1">
    <w:p w:rsidR="008D4F2D" w:rsidRPr="008D4F2D" w:rsidRDefault="008D4F2D" w:rsidP="008D4F2D">
      <w:pPr>
        <w:pStyle w:val="FootnoteText"/>
        <w:rPr>
          <w:lang w:val="fr-CH"/>
        </w:rPr>
      </w:pPr>
      <w:r>
        <w:rPr>
          <w:rStyle w:val="FootnoteReference"/>
        </w:rPr>
        <w:footnoteRef/>
      </w:r>
      <w:r>
        <w:tab/>
      </w:r>
      <w:r w:rsidRPr="001F53D8">
        <w:rPr>
          <w:color w:val="000000"/>
        </w:rPr>
        <w:t>L'Institut international pour l'unification du droit privé (UNIDROIT) est une organisation intergouvernementale indépendante qui a été créée en 1926 à Rome, en vue d'étudier, conformément à ses objectifs statutaires, les besoins et les méthodes permettant de moderniser, d'harmoniser et de coordonner le droit privé entre Etats et groupes d'Etats et, à cette fin, d'élaborer des instruments, des principes et des règles de droit uniformes.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95" w:rsidRDefault="00407795" w:rsidP="00407795">
    <w:pPr>
      <w:pStyle w:val="Header"/>
    </w:pPr>
    <w:r>
      <w:fldChar w:fldCharType="begin"/>
    </w:r>
    <w:r>
      <w:instrText xml:space="preserve"> PAGE </w:instrText>
    </w:r>
    <w:r>
      <w:fldChar w:fldCharType="separate"/>
    </w:r>
    <w:r w:rsidR="00397D6F">
      <w:rPr>
        <w:noProof/>
      </w:rPr>
      <w:t>2</w:t>
    </w:r>
    <w:r>
      <w:fldChar w:fldCharType="end"/>
    </w:r>
    <w:r w:rsidR="00397D6F">
      <w:t>/</w:t>
    </w:r>
    <w:fldSimple w:instr=" NUMPAGES   \* MERGEFORMAT ">
      <w:r w:rsidR="00397D6F">
        <w:rPr>
          <w:noProof/>
        </w:rPr>
        <w:t>11</w:t>
      </w:r>
    </w:fldSimple>
  </w:p>
  <w:p w:rsidR="00BD1614" w:rsidRPr="00407795" w:rsidRDefault="00407795" w:rsidP="004C0333">
    <w:pPr>
      <w:pStyle w:val="Header"/>
    </w:pPr>
    <w:r>
      <w:t>PP14/</w:t>
    </w:r>
    <w:r w:rsidR="004C0333">
      <w:t>62</w:t>
    </w:r>
    <w:r>
      <w:t>-</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CC0"/>
    <w:multiLevelType w:val="hybridMultilevel"/>
    <w:tmpl w:val="92DC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D5563"/>
    <w:multiLevelType w:val="hybridMultilevel"/>
    <w:tmpl w:val="C6622136"/>
    <w:lvl w:ilvl="0" w:tplc="0D20E2B4">
      <w:start w:val="4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A40377"/>
    <w:multiLevelType w:val="hybridMultilevel"/>
    <w:tmpl w:val="2848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B4646"/>
    <w:multiLevelType w:val="hybridMultilevel"/>
    <w:tmpl w:val="9FEE16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3056EA"/>
    <w:multiLevelType w:val="hybridMultilevel"/>
    <w:tmpl w:val="9EC6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0053A"/>
    <w:multiLevelType w:val="hybridMultilevel"/>
    <w:tmpl w:val="80D4BDBA"/>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B2E605E"/>
    <w:multiLevelType w:val="hybridMultilevel"/>
    <w:tmpl w:val="602856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2263417"/>
    <w:multiLevelType w:val="hybridMultilevel"/>
    <w:tmpl w:val="D274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4043C0"/>
    <w:multiLevelType w:val="hybridMultilevel"/>
    <w:tmpl w:val="AD4A7844"/>
    <w:lvl w:ilvl="0" w:tplc="0409000F">
      <w:start w:val="1"/>
      <w:numFmt w:val="decimal"/>
      <w:lvlText w:val="%1."/>
      <w:lvlJc w:val="left"/>
      <w:pPr>
        <w:ind w:left="786" w:hanging="360"/>
      </w:pPr>
    </w:lvl>
    <w:lvl w:ilvl="1" w:tplc="04090019">
      <w:start w:val="1"/>
      <w:numFmt w:val="lowerLetter"/>
      <w:lvlText w:val="%2."/>
      <w:lvlJc w:val="left"/>
      <w:pPr>
        <w:ind w:left="10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017D82"/>
    <w:multiLevelType w:val="hybridMultilevel"/>
    <w:tmpl w:val="EEB2E2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EA0128"/>
    <w:multiLevelType w:val="hybridMultilevel"/>
    <w:tmpl w:val="3786A0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E172CB9"/>
    <w:multiLevelType w:val="hybridMultilevel"/>
    <w:tmpl w:val="F29A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50187"/>
    <w:multiLevelType w:val="hybridMultilevel"/>
    <w:tmpl w:val="DB70FBF4"/>
    <w:lvl w:ilvl="0" w:tplc="9B082238">
      <w:numFmt w:val="bullet"/>
      <w:lvlText w:val="•"/>
      <w:lvlJc w:val="left"/>
      <w:pPr>
        <w:ind w:left="786" w:hanging="720"/>
      </w:pPr>
      <w:rPr>
        <w:rFonts w:ascii="Calibri" w:eastAsiaTheme="minorEastAsia" w:hAnsi="Calibri" w:cs="Calibri" w:hint="default"/>
        <w:b/>
        <w:i w:val="0"/>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3">
    <w:nsid w:val="7D225086"/>
    <w:multiLevelType w:val="hybridMultilevel"/>
    <w:tmpl w:val="420048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0"/>
  </w:num>
  <w:num w:numId="5">
    <w:abstractNumId w:val="6"/>
  </w:num>
  <w:num w:numId="6">
    <w:abstractNumId w:val="3"/>
  </w:num>
  <w:num w:numId="7">
    <w:abstractNumId w:val="5"/>
  </w:num>
  <w:num w:numId="8">
    <w:abstractNumId w:val="9"/>
  </w:num>
  <w:num w:numId="9">
    <w:abstractNumId w:val="1"/>
  </w:num>
  <w:num w:numId="10">
    <w:abstractNumId w:val="2"/>
  </w:num>
  <w:num w:numId="11">
    <w:abstractNumId w:val="7"/>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C7"/>
    <w:rsid w:val="000054D8"/>
    <w:rsid w:val="00066141"/>
    <w:rsid w:val="00072D5C"/>
    <w:rsid w:val="00084308"/>
    <w:rsid w:val="000B14B6"/>
    <w:rsid w:val="000C467B"/>
    <w:rsid w:val="000D15FB"/>
    <w:rsid w:val="001051E4"/>
    <w:rsid w:val="00133915"/>
    <w:rsid w:val="001354EA"/>
    <w:rsid w:val="00136FCE"/>
    <w:rsid w:val="00153BA4"/>
    <w:rsid w:val="00190BCE"/>
    <w:rsid w:val="001941AD"/>
    <w:rsid w:val="001A0682"/>
    <w:rsid w:val="001E1B9B"/>
    <w:rsid w:val="001F6233"/>
    <w:rsid w:val="00213A1F"/>
    <w:rsid w:val="002659C3"/>
    <w:rsid w:val="002A3E7D"/>
    <w:rsid w:val="002C1059"/>
    <w:rsid w:val="002C2F9C"/>
    <w:rsid w:val="00397D6F"/>
    <w:rsid w:val="003A0B7D"/>
    <w:rsid w:val="003A2F84"/>
    <w:rsid w:val="003A45C2"/>
    <w:rsid w:val="003C4BE2"/>
    <w:rsid w:val="003D147D"/>
    <w:rsid w:val="00407795"/>
    <w:rsid w:val="00430015"/>
    <w:rsid w:val="00464FF7"/>
    <w:rsid w:val="004678D0"/>
    <w:rsid w:val="00471BF7"/>
    <w:rsid w:val="00482954"/>
    <w:rsid w:val="004C0333"/>
    <w:rsid w:val="00503F7E"/>
    <w:rsid w:val="00524001"/>
    <w:rsid w:val="00564B63"/>
    <w:rsid w:val="00575DC7"/>
    <w:rsid w:val="005836C2"/>
    <w:rsid w:val="005A4EFD"/>
    <w:rsid w:val="005A5ABE"/>
    <w:rsid w:val="005C2ECC"/>
    <w:rsid w:val="005E419E"/>
    <w:rsid w:val="00611CF1"/>
    <w:rsid w:val="006201D9"/>
    <w:rsid w:val="006277DB"/>
    <w:rsid w:val="00635B7B"/>
    <w:rsid w:val="006548C0"/>
    <w:rsid w:val="00655B98"/>
    <w:rsid w:val="00686973"/>
    <w:rsid w:val="006A6342"/>
    <w:rsid w:val="006B6C9C"/>
    <w:rsid w:val="006C7AE3"/>
    <w:rsid w:val="006D55E8"/>
    <w:rsid w:val="006E1921"/>
    <w:rsid w:val="006F36F9"/>
    <w:rsid w:val="0070576B"/>
    <w:rsid w:val="00713335"/>
    <w:rsid w:val="00727C2F"/>
    <w:rsid w:val="00735F13"/>
    <w:rsid w:val="007717F2"/>
    <w:rsid w:val="0078134C"/>
    <w:rsid w:val="007A1164"/>
    <w:rsid w:val="007A5830"/>
    <w:rsid w:val="007F379C"/>
    <w:rsid w:val="00801256"/>
    <w:rsid w:val="00853F00"/>
    <w:rsid w:val="008703CB"/>
    <w:rsid w:val="008C33C2"/>
    <w:rsid w:val="008C6137"/>
    <w:rsid w:val="008D4F2D"/>
    <w:rsid w:val="008E2DB4"/>
    <w:rsid w:val="00901DD5"/>
    <w:rsid w:val="0090735B"/>
    <w:rsid w:val="00912D5E"/>
    <w:rsid w:val="00934340"/>
    <w:rsid w:val="00966CD3"/>
    <w:rsid w:val="00987A20"/>
    <w:rsid w:val="009A0E15"/>
    <w:rsid w:val="009C12FF"/>
    <w:rsid w:val="009F0592"/>
    <w:rsid w:val="00A20E72"/>
    <w:rsid w:val="00A246DC"/>
    <w:rsid w:val="00A47BAF"/>
    <w:rsid w:val="00A5784F"/>
    <w:rsid w:val="00A8436E"/>
    <w:rsid w:val="00A95B66"/>
    <w:rsid w:val="00AE0667"/>
    <w:rsid w:val="00B30170"/>
    <w:rsid w:val="00B41E0A"/>
    <w:rsid w:val="00B56DE0"/>
    <w:rsid w:val="00B67BB6"/>
    <w:rsid w:val="00B71F12"/>
    <w:rsid w:val="00B96B1E"/>
    <w:rsid w:val="00BB2A05"/>
    <w:rsid w:val="00BB2A6F"/>
    <w:rsid w:val="00BD1614"/>
    <w:rsid w:val="00BF7D25"/>
    <w:rsid w:val="00C010C0"/>
    <w:rsid w:val="00C1030C"/>
    <w:rsid w:val="00C214BB"/>
    <w:rsid w:val="00C305BA"/>
    <w:rsid w:val="00C54CE6"/>
    <w:rsid w:val="00C575E2"/>
    <w:rsid w:val="00C67534"/>
    <w:rsid w:val="00C70467"/>
    <w:rsid w:val="00C7368B"/>
    <w:rsid w:val="00C92746"/>
    <w:rsid w:val="00CC4DC5"/>
    <w:rsid w:val="00CE1A7C"/>
    <w:rsid w:val="00D12C74"/>
    <w:rsid w:val="00D56483"/>
    <w:rsid w:val="00D56AD6"/>
    <w:rsid w:val="00D70019"/>
    <w:rsid w:val="00D74B58"/>
    <w:rsid w:val="00D82ABE"/>
    <w:rsid w:val="00DA685B"/>
    <w:rsid w:val="00DA742B"/>
    <w:rsid w:val="00DE12C7"/>
    <w:rsid w:val="00DF25C1"/>
    <w:rsid w:val="00DF48F7"/>
    <w:rsid w:val="00DF4964"/>
    <w:rsid w:val="00DF4D73"/>
    <w:rsid w:val="00DF79B0"/>
    <w:rsid w:val="00E1047D"/>
    <w:rsid w:val="00E443FA"/>
    <w:rsid w:val="00E54FCE"/>
    <w:rsid w:val="00E93D35"/>
    <w:rsid w:val="00EA45DB"/>
    <w:rsid w:val="00ED2CD9"/>
    <w:rsid w:val="00ED77BC"/>
    <w:rsid w:val="00F25DE1"/>
    <w:rsid w:val="00F564C1"/>
    <w:rsid w:val="00F77FA2"/>
    <w:rsid w:val="00F8357A"/>
    <w:rsid w:val="00FA1B77"/>
    <w:rsid w:val="00FB4B31"/>
    <w:rsid w:val="00FB4B65"/>
    <w:rsid w:val="00FB74B8"/>
    <w:rsid w:val="00FC49E0"/>
    <w:rsid w:val="00FF0484"/>
    <w:rsid w:val="00FF439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A1164"/>
    <w:pPr>
      <w:keepNext/>
      <w:keepLines/>
      <w:spacing w:before="480"/>
      <w:ind w:left="567" w:hanging="567"/>
      <w:outlineLvl w:val="0"/>
    </w:pPr>
    <w:rPr>
      <w:b/>
      <w:sz w:val="28"/>
    </w:rPr>
  </w:style>
  <w:style w:type="paragraph" w:styleId="Heading2">
    <w:name w:val="heading 2"/>
    <w:basedOn w:val="Heading1"/>
    <w:next w:val="Normal"/>
    <w:qFormat/>
    <w:rsid w:val="007A1164"/>
    <w:pPr>
      <w:spacing w:before="320"/>
      <w:outlineLvl w:val="1"/>
    </w:pPr>
    <w:rPr>
      <w:sz w:val="24"/>
    </w:rPr>
  </w:style>
  <w:style w:type="paragraph" w:styleId="Heading3">
    <w:name w:val="heading 3"/>
    <w:basedOn w:val="Heading1"/>
    <w:next w:val="Normal"/>
    <w:link w:val="Heading3Char"/>
    <w:qFormat/>
    <w:rsid w:val="007A1164"/>
    <w:pPr>
      <w:spacing w:before="200"/>
      <w:outlineLvl w:val="2"/>
    </w:pPr>
    <w:rPr>
      <w:sz w:val="24"/>
    </w:rPr>
  </w:style>
  <w:style w:type="paragraph" w:styleId="Heading4">
    <w:name w:val="heading 4"/>
    <w:basedOn w:val="Heading3"/>
    <w:next w:val="Normal"/>
    <w:qFormat/>
    <w:rsid w:val="007A1164"/>
    <w:pPr>
      <w:ind w:left="1134" w:hanging="1134"/>
      <w:outlineLvl w:val="3"/>
    </w:pPr>
  </w:style>
  <w:style w:type="paragraph" w:styleId="Heading5">
    <w:name w:val="heading 5"/>
    <w:basedOn w:val="Heading4"/>
    <w:next w:val="Normal"/>
    <w:qFormat/>
    <w:rsid w:val="007A1164"/>
    <w:pPr>
      <w:outlineLvl w:val="4"/>
    </w:pPr>
  </w:style>
  <w:style w:type="paragraph" w:styleId="Heading6">
    <w:name w:val="heading 6"/>
    <w:basedOn w:val="Heading4"/>
    <w:next w:val="Normal"/>
    <w:qFormat/>
    <w:rsid w:val="007A1164"/>
    <w:pPr>
      <w:outlineLvl w:val="5"/>
    </w:pPr>
  </w:style>
  <w:style w:type="paragraph" w:styleId="Heading7">
    <w:name w:val="heading 7"/>
    <w:basedOn w:val="Heading4"/>
    <w:next w:val="Normal"/>
    <w:qFormat/>
    <w:rsid w:val="007A1164"/>
    <w:pPr>
      <w:ind w:left="1701" w:hanging="1701"/>
      <w:outlineLvl w:val="6"/>
    </w:pPr>
  </w:style>
  <w:style w:type="paragraph" w:styleId="Heading8">
    <w:name w:val="heading 8"/>
    <w:basedOn w:val="Heading4"/>
    <w:next w:val="Normal"/>
    <w:qFormat/>
    <w:rsid w:val="007A1164"/>
    <w:pPr>
      <w:ind w:left="1701" w:hanging="1701"/>
      <w:outlineLvl w:val="7"/>
    </w:pPr>
  </w:style>
  <w:style w:type="paragraph" w:styleId="Heading9">
    <w:name w:val="heading 9"/>
    <w:basedOn w:val="Heading4"/>
    <w:next w:val="Normal"/>
    <w:qFormat/>
    <w:rsid w:val="007A1164"/>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A1164"/>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A1164"/>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7A1164"/>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link w:val="FooterChar"/>
    <w:rsid w:val="007A1164"/>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A1164"/>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A1164"/>
    <w:rPr>
      <w:rFonts w:ascii="Calibri" w:hAnsi="Calibri"/>
      <w:position w:val="6"/>
      <w:sz w:val="16"/>
    </w:rPr>
  </w:style>
  <w:style w:type="paragraph" w:styleId="FootnoteText">
    <w:name w:val="footnote text"/>
    <w:basedOn w:val="Normal"/>
    <w:link w:val="FootnoteTextChar"/>
    <w:rsid w:val="007A1164"/>
    <w:pPr>
      <w:keepLines/>
      <w:tabs>
        <w:tab w:val="left" w:pos="256"/>
      </w:tabs>
      <w:ind w:left="256" w:hanging="256"/>
    </w:pPr>
  </w:style>
  <w:style w:type="paragraph" w:styleId="NormalIndent">
    <w:name w:val="Normal Indent"/>
    <w:basedOn w:val="Normal"/>
    <w:rsid w:val="007A1164"/>
    <w:pPr>
      <w:ind w:left="567"/>
    </w:pPr>
  </w:style>
  <w:style w:type="paragraph" w:customStyle="1" w:styleId="Tablelegend">
    <w:name w:val="Table_legend"/>
    <w:basedOn w:val="Tabletext"/>
    <w:rsid w:val="007A1164"/>
    <w:pPr>
      <w:spacing w:before="120"/>
    </w:pPr>
  </w:style>
  <w:style w:type="paragraph" w:customStyle="1" w:styleId="Tabletext">
    <w:name w:val="Table_text"/>
    <w:basedOn w:val="Normal"/>
    <w:rsid w:val="007A1164"/>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7A1164"/>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A1164"/>
    <w:pPr>
      <w:keepNext/>
      <w:spacing w:before="560" w:after="120"/>
      <w:jc w:val="center"/>
    </w:pPr>
    <w:rPr>
      <w:caps/>
    </w:rPr>
  </w:style>
  <w:style w:type="paragraph" w:customStyle="1" w:styleId="enumlev1">
    <w:name w:val="enumlev1"/>
    <w:basedOn w:val="Normal"/>
    <w:rsid w:val="007A1164"/>
    <w:pPr>
      <w:spacing w:before="86"/>
      <w:ind w:left="567" w:hanging="567"/>
    </w:pPr>
  </w:style>
  <w:style w:type="paragraph" w:customStyle="1" w:styleId="enumlev2">
    <w:name w:val="enumlev2"/>
    <w:basedOn w:val="enumlev1"/>
    <w:rsid w:val="007A1164"/>
    <w:pPr>
      <w:ind w:left="1134"/>
    </w:pPr>
  </w:style>
  <w:style w:type="paragraph" w:customStyle="1" w:styleId="enumlev3">
    <w:name w:val="enumlev3"/>
    <w:basedOn w:val="enumlev2"/>
    <w:rsid w:val="007A1164"/>
    <w:pPr>
      <w:ind w:left="1701"/>
    </w:pPr>
  </w:style>
  <w:style w:type="paragraph" w:customStyle="1" w:styleId="Tablehead">
    <w:name w:val="Table_head"/>
    <w:basedOn w:val="Tabletext"/>
    <w:rsid w:val="007A1164"/>
    <w:pPr>
      <w:spacing w:before="120" w:after="120"/>
      <w:jc w:val="center"/>
    </w:pPr>
    <w:rPr>
      <w:b/>
    </w:rPr>
  </w:style>
  <w:style w:type="paragraph" w:customStyle="1" w:styleId="Normalaftertitle">
    <w:name w:val="Normal after title"/>
    <w:basedOn w:val="Normal"/>
    <w:next w:val="Normal"/>
    <w:rsid w:val="007A1164"/>
    <w:pPr>
      <w:spacing w:before="240"/>
    </w:pPr>
  </w:style>
  <w:style w:type="paragraph" w:customStyle="1" w:styleId="AnnexNo">
    <w:name w:val="Annex_No"/>
    <w:basedOn w:val="Normal"/>
    <w:next w:val="Annexref"/>
    <w:rsid w:val="007A1164"/>
    <w:pPr>
      <w:spacing w:before="720"/>
      <w:jc w:val="center"/>
    </w:pPr>
    <w:rPr>
      <w:caps/>
      <w:sz w:val="28"/>
    </w:rPr>
  </w:style>
  <w:style w:type="paragraph" w:customStyle="1" w:styleId="Annexref">
    <w:name w:val="Annex_ref"/>
    <w:basedOn w:val="Normal"/>
    <w:next w:val="Annextitle"/>
    <w:rsid w:val="007A1164"/>
    <w:pPr>
      <w:jc w:val="center"/>
    </w:pPr>
    <w:rPr>
      <w:sz w:val="28"/>
    </w:rPr>
  </w:style>
  <w:style w:type="paragraph" w:customStyle="1" w:styleId="Annextitle">
    <w:name w:val="Annex_title"/>
    <w:basedOn w:val="Normal"/>
    <w:next w:val="Normal"/>
    <w:rsid w:val="007A1164"/>
    <w:pPr>
      <w:spacing w:before="240" w:after="240"/>
      <w:jc w:val="center"/>
    </w:pPr>
    <w:rPr>
      <w:b/>
      <w:sz w:val="28"/>
    </w:rPr>
  </w:style>
  <w:style w:type="paragraph" w:customStyle="1" w:styleId="AppendixNo">
    <w:name w:val="Appendix_No"/>
    <w:basedOn w:val="AnnexNo"/>
    <w:next w:val="Appendixref"/>
    <w:rsid w:val="007A1164"/>
  </w:style>
  <w:style w:type="paragraph" w:customStyle="1" w:styleId="Appendixref">
    <w:name w:val="Appendix_ref"/>
    <w:basedOn w:val="Annexref"/>
    <w:next w:val="Appendixtitle"/>
    <w:rsid w:val="007A1164"/>
  </w:style>
  <w:style w:type="paragraph" w:customStyle="1" w:styleId="Appendixtitle">
    <w:name w:val="Appendix_title"/>
    <w:basedOn w:val="Annextitle"/>
    <w:next w:val="Normal"/>
    <w:rsid w:val="007A1164"/>
  </w:style>
  <w:style w:type="paragraph" w:customStyle="1" w:styleId="Reftitle">
    <w:name w:val="Ref_title"/>
    <w:basedOn w:val="Normal"/>
    <w:next w:val="Reftext"/>
    <w:rsid w:val="007A1164"/>
    <w:pPr>
      <w:spacing w:before="480"/>
      <w:jc w:val="center"/>
    </w:pPr>
    <w:rPr>
      <w:caps/>
      <w:sz w:val="28"/>
    </w:rPr>
  </w:style>
  <w:style w:type="paragraph" w:customStyle="1" w:styleId="Reftext">
    <w:name w:val="Ref_text"/>
    <w:basedOn w:val="Normal"/>
    <w:rsid w:val="007A1164"/>
    <w:pPr>
      <w:ind w:left="567" w:hanging="567"/>
    </w:pPr>
  </w:style>
  <w:style w:type="paragraph" w:customStyle="1" w:styleId="Rectitle">
    <w:name w:val="Rec_title"/>
    <w:basedOn w:val="Normal"/>
    <w:next w:val="Heading1"/>
    <w:rsid w:val="007A1164"/>
    <w:pPr>
      <w:spacing w:before="240"/>
      <w:jc w:val="center"/>
    </w:pPr>
    <w:rPr>
      <w:b/>
      <w:sz w:val="28"/>
    </w:rPr>
  </w:style>
  <w:style w:type="paragraph" w:customStyle="1" w:styleId="Call">
    <w:name w:val="Call"/>
    <w:basedOn w:val="Normal"/>
    <w:next w:val="Normal"/>
    <w:rsid w:val="007A1164"/>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7A1164"/>
    <w:pPr>
      <w:spacing w:before="720"/>
      <w:jc w:val="center"/>
    </w:pPr>
    <w:rPr>
      <w:caps/>
      <w:sz w:val="28"/>
    </w:rPr>
  </w:style>
  <w:style w:type="paragraph" w:customStyle="1" w:styleId="toc0">
    <w:name w:val="toc 0"/>
    <w:basedOn w:val="Normal"/>
    <w:next w:val="TOC1"/>
    <w:rsid w:val="007A1164"/>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7A1164"/>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7A1164"/>
    <w:pPr>
      <w:tabs>
        <w:tab w:val="clear" w:pos="567"/>
        <w:tab w:val="left" w:pos="851"/>
      </w:tabs>
    </w:pPr>
  </w:style>
  <w:style w:type="paragraph" w:customStyle="1" w:styleId="MinusFootnote">
    <w:name w:val="MinusFootnote"/>
    <w:basedOn w:val="Normal"/>
    <w:rsid w:val="007A1164"/>
    <w:pPr>
      <w:ind w:left="-1701" w:hanging="284"/>
    </w:pPr>
  </w:style>
  <w:style w:type="paragraph" w:customStyle="1" w:styleId="Title3">
    <w:name w:val="Title 3"/>
    <w:basedOn w:val="Title2"/>
    <w:next w:val="Normalaftertitle"/>
    <w:rsid w:val="007A1164"/>
    <w:rPr>
      <w:caps w:val="0"/>
    </w:rPr>
  </w:style>
  <w:style w:type="paragraph" w:customStyle="1" w:styleId="Title2">
    <w:name w:val="Title 2"/>
    <w:basedOn w:val="Source"/>
    <w:next w:val="Title3"/>
    <w:rsid w:val="007A1164"/>
    <w:pPr>
      <w:spacing w:before="240"/>
    </w:pPr>
    <w:rPr>
      <w:b w:val="0"/>
      <w:caps/>
    </w:rPr>
  </w:style>
  <w:style w:type="paragraph" w:customStyle="1" w:styleId="Source">
    <w:name w:val="Source"/>
    <w:basedOn w:val="Normal"/>
    <w:next w:val="Title1"/>
    <w:rsid w:val="007A1164"/>
    <w:pPr>
      <w:spacing w:before="840"/>
      <w:jc w:val="center"/>
    </w:pPr>
    <w:rPr>
      <w:b/>
      <w:sz w:val="28"/>
    </w:rPr>
  </w:style>
  <w:style w:type="paragraph" w:customStyle="1" w:styleId="Title1">
    <w:name w:val="Title 1"/>
    <w:basedOn w:val="Source"/>
    <w:next w:val="Title2"/>
    <w:rsid w:val="007A1164"/>
    <w:pPr>
      <w:spacing w:before="240"/>
    </w:pPr>
    <w:rPr>
      <w:b w:val="0"/>
      <w:caps/>
    </w:rPr>
  </w:style>
  <w:style w:type="paragraph" w:customStyle="1" w:styleId="ArtNo">
    <w:name w:val="Art_No"/>
    <w:basedOn w:val="Normal"/>
    <w:next w:val="Arttitle"/>
    <w:rsid w:val="007A1164"/>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A1164"/>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A1164"/>
  </w:style>
  <w:style w:type="paragraph" w:customStyle="1" w:styleId="Chaptitle">
    <w:name w:val="Chap_title"/>
    <w:basedOn w:val="Arttitle"/>
    <w:next w:val="Normal"/>
    <w:rsid w:val="007A1164"/>
  </w:style>
  <w:style w:type="paragraph" w:customStyle="1" w:styleId="Reasons">
    <w:name w:val="Reasons"/>
    <w:basedOn w:val="Normal"/>
    <w:qFormat/>
    <w:rsid w:val="007A1164"/>
  </w:style>
  <w:style w:type="paragraph" w:customStyle="1" w:styleId="ResNo">
    <w:name w:val="Res_No"/>
    <w:basedOn w:val="AnnexNo"/>
    <w:next w:val="Restitle"/>
    <w:rsid w:val="007A1164"/>
  </w:style>
  <w:style w:type="paragraph" w:customStyle="1" w:styleId="Restitle">
    <w:name w:val="Res_title"/>
    <w:basedOn w:val="Annextitle"/>
    <w:next w:val="Normal"/>
    <w:rsid w:val="007A1164"/>
  </w:style>
  <w:style w:type="paragraph" w:customStyle="1" w:styleId="AnnexNoS2">
    <w:name w:val="Annex_No_S2"/>
    <w:basedOn w:val="AnnexNo"/>
    <w:next w:val="AnnexrefS2"/>
    <w:rsid w:val="007A1164"/>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7A1164"/>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7A1164"/>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7A1164"/>
    <w:rPr>
      <w:caps w:val="0"/>
    </w:rPr>
  </w:style>
  <w:style w:type="paragraph" w:customStyle="1" w:styleId="Section2">
    <w:name w:val="Section 2"/>
    <w:basedOn w:val="Section1"/>
    <w:next w:val="Normal"/>
    <w:rsid w:val="007A1164"/>
    <w:pPr>
      <w:spacing w:before="240"/>
    </w:pPr>
    <w:rPr>
      <w:b/>
      <w:i/>
    </w:rPr>
  </w:style>
  <w:style w:type="paragraph" w:customStyle="1" w:styleId="AppendixNoS2">
    <w:name w:val="Appendix_No_S2"/>
    <w:basedOn w:val="AppendixNo"/>
    <w:next w:val="AppendixrefS2"/>
    <w:rsid w:val="007A1164"/>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7A1164"/>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7A1164"/>
    <w:pPr>
      <w:tabs>
        <w:tab w:val="left" w:pos="851"/>
      </w:tabs>
      <w:jc w:val="left"/>
    </w:pPr>
    <w:rPr>
      <w:b/>
      <w:sz w:val="24"/>
    </w:rPr>
  </w:style>
  <w:style w:type="paragraph" w:customStyle="1" w:styleId="ArttitleS2">
    <w:name w:val="Art_title_S2"/>
    <w:basedOn w:val="Arttitle"/>
    <w:next w:val="NormalS2"/>
    <w:rsid w:val="007A1164"/>
    <w:pPr>
      <w:tabs>
        <w:tab w:val="left" w:pos="851"/>
      </w:tabs>
      <w:jc w:val="left"/>
    </w:pPr>
    <w:rPr>
      <w:sz w:val="24"/>
    </w:rPr>
  </w:style>
  <w:style w:type="paragraph" w:customStyle="1" w:styleId="ChapNoS2">
    <w:name w:val="Chap_No_S2"/>
    <w:basedOn w:val="ChapNo"/>
    <w:next w:val="ChaptitleS2"/>
    <w:rsid w:val="007A1164"/>
    <w:pPr>
      <w:tabs>
        <w:tab w:val="left" w:pos="851"/>
      </w:tabs>
      <w:jc w:val="left"/>
    </w:pPr>
    <w:rPr>
      <w:b/>
      <w:sz w:val="24"/>
    </w:rPr>
  </w:style>
  <w:style w:type="paragraph" w:customStyle="1" w:styleId="ChaptitleS2">
    <w:name w:val="Chap_title_S2"/>
    <w:basedOn w:val="Chaptitle"/>
    <w:next w:val="NormalS2"/>
    <w:rsid w:val="007A1164"/>
    <w:pPr>
      <w:tabs>
        <w:tab w:val="left" w:pos="851"/>
      </w:tabs>
      <w:jc w:val="left"/>
    </w:pPr>
    <w:rPr>
      <w:sz w:val="24"/>
    </w:rPr>
  </w:style>
  <w:style w:type="paragraph" w:customStyle="1" w:styleId="enumlev1S2">
    <w:name w:val="enumlev1_S2"/>
    <w:basedOn w:val="enumlev1"/>
    <w:rsid w:val="007A1164"/>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7A1164"/>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7A1164"/>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7A1164"/>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7A1164"/>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7A1164"/>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7A1164"/>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7A1164"/>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7A1164"/>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7A1164"/>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7A1164"/>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7A1164"/>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7A1164"/>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7A1164"/>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7A1164"/>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7A1164"/>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7A1164"/>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7A1164"/>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7A1164"/>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7A1164"/>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7A1164"/>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7A1164"/>
    <w:pPr>
      <w:tabs>
        <w:tab w:val="left" w:pos="851"/>
      </w:tabs>
      <w:jc w:val="left"/>
    </w:pPr>
    <w:rPr>
      <w:caps/>
      <w:sz w:val="24"/>
    </w:rPr>
  </w:style>
  <w:style w:type="paragraph" w:customStyle="1" w:styleId="Section2S2">
    <w:name w:val="Section 2_S2"/>
    <w:basedOn w:val="Section2"/>
    <w:next w:val="NormalS2"/>
    <w:rsid w:val="007A1164"/>
    <w:pPr>
      <w:tabs>
        <w:tab w:val="left" w:pos="851"/>
      </w:tabs>
      <w:jc w:val="left"/>
    </w:pPr>
    <w:rPr>
      <w:sz w:val="24"/>
    </w:rPr>
  </w:style>
  <w:style w:type="paragraph" w:customStyle="1" w:styleId="TableNoS2">
    <w:name w:val="Table_No_S2"/>
    <w:basedOn w:val="TableNo"/>
    <w:next w:val="TabletitleS2"/>
    <w:rsid w:val="007A1164"/>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7A1164"/>
    <w:pPr>
      <w:keepNext w:val="0"/>
      <w:tabs>
        <w:tab w:val="clear" w:pos="2948"/>
        <w:tab w:val="clear" w:pos="4082"/>
        <w:tab w:val="left" w:pos="851"/>
      </w:tabs>
      <w:jc w:val="left"/>
    </w:pPr>
  </w:style>
  <w:style w:type="paragraph" w:customStyle="1" w:styleId="TabletextS2">
    <w:name w:val="Table_text_S2"/>
    <w:basedOn w:val="Tabletext"/>
    <w:rsid w:val="007A1164"/>
    <w:pPr>
      <w:tabs>
        <w:tab w:val="left" w:pos="851"/>
      </w:tabs>
    </w:pPr>
    <w:rPr>
      <w:b/>
    </w:rPr>
  </w:style>
  <w:style w:type="paragraph" w:customStyle="1" w:styleId="TablelegendS2">
    <w:name w:val="Table_legend_S2"/>
    <w:basedOn w:val="Tablelegend"/>
    <w:rsid w:val="007A1164"/>
    <w:pPr>
      <w:tabs>
        <w:tab w:val="left" w:pos="851"/>
      </w:tabs>
      <w:spacing w:after="0"/>
    </w:pPr>
    <w:rPr>
      <w:b/>
    </w:rPr>
  </w:style>
  <w:style w:type="paragraph" w:customStyle="1" w:styleId="FooterS2">
    <w:name w:val="Footer_S2"/>
    <w:basedOn w:val="Footer"/>
    <w:rsid w:val="007A1164"/>
    <w:pPr>
      <w:tabs>
        <w:tab w:val="clear" w:pos="5954"/>
        <w:tab w:val="clear" w:pos="9639"/>
        <w:tab w:val="left" w:pos="3686"/>
        <w:tab w:val="right" w:pos="7655"/>
      </w:tabs>
      <w:ind w:left="-1985"/>
    </w:pPr>
  </w:style>
  <w:style w:type="paragraph" w:customStyle="1" w:styleId="HeaderS2">
    <w:name w:val="Header_S2"/>
    <w:basedOn w:val="Normal"/>
    <w:rsid w:val="007A1164"/>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7A1164"/>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7A1164"/>
    <w:pPr>
      <w:tabs>
        <w:tab w:val="left" w:pos="851"/>
      </w:tabs>
      <w:jc w:val="left"/>
    </w:pPr>
  </w:style>
  <w:style w:type="paragraph" w:customStyle="1" w:styleId="NoteS2">
    <w:name w:val="Note_S2"/>
    <w:basedOn w:val="Note"/>
    <w:rsid w:val="007A1164"/>
    <w:pPr>
      <w:tabs>
        <w:tab w:val="clear" w:pos="1134"/>
        <w:tab w:val="clear" w:pos="1701"/>
        <w:tab w:val="clear" w:pos="2268"/>
        <w:tab w:val="clear" w:pos="2835"/>
      </w:tabs>
    </w:pPr>
    <w:rPr>
      <w:b/>
    </w:rPr>
  </w:style>
  <w:style w:type="paragraph" w:customStyle="1" w:styleId="Heading1c">
    <w:name w:val="Heading 1c"/>
    <w:basedOn w:val="Heading1"/>
    <w:next w:val="Normal"/>
    <w:rsid w:val="007A1164"/>
    <w:pPr>
      <w:ind w:left="0" w:firstLine="0"/>
      <w:jc w:val="center"/>
      <w:outlineLvl w:val="9"/>
    </w:pPr>
  </w:style>
  <w:style w:type="paragraph" w:customStyle="1" w:styleId="Heading2i">
    <w:name w:val="Heading 2i"/>
    <w:basedOn w:val="Heading2"/>
    <w:next w:val="Normal"/>
    <w:rsid w:val="007A1164"/>
    <w:rPr>
      <w:b w:val="0"/>
      <w:i/>
    </w:rPr>
  </w:style>
  <w:style w:type="paragraph" w:customStyle="1" w:styleId="Heading1cS2">
    <w:name w:val="Heading 1c_S2"/>
    <w:basedOn w:val="Heading1c"/>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7A1164"/>
    <w:rPr>
      <w:caps w:val="0"/>
    </w:rPr>
  </w:style>
  <w:style w:type="paragraph" w:customStyle="1" w:styleId="Headingb">
    <w:name w:val="Heading_b"/>
    <w:basedOn w:val="Heading3"/>
    <w:next w:val="Normal"/>
    <w:rsid w:val="007A1164"/>
    <w:pPr>
      <w:spacing w:before="160"/>
      <w:outlineLvl w:val="0"/>
    </w:pPr>
  </w:style>
  <w:style w:type="paragraph" w:styleId="TOC9">
    <w:name w:val="toc 9"/>
    <w:basedOn w:val="Normal"/>
    <w:next w:val="Normal"/>
    <w:rsid w:val="007A1164"/>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7A1164"/>
    <w:pPr>
      <w:spacing w:before="160"/>
      <w:outlineLvl w:val="0"/>
    </w:pPr>
    <w:rPr>
      <w:b w:val="0"/>
      <w:i/>
    </w:rPr>
  </w:style>
  <w:style w:type="paragraph" w:customStyle="1" w:styleId="HeadingbS2">
    <w:name w:val="Headingb_S2"/>
    <w:basedOn w:val="Headingb"/>
    <w:next w:val="NormalS2"/>
    <w:rsid w:val="007A1164"/>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7A1164"/>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7A1164"/>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7A1164"/>
    <w:rPr>
      <w:rFonts w:ascii="Calibri" w:hAnsi="Calibri"/>
    </w:rPr>
  </w:style>
  <w:style w:type="character" w:styleId="Hyperlink">
    <w:name w:val="Hyperlink"/>
    <w:basedOn w:val="DefaultParagraphFont"/>
    <w:uiPriority w:val="99"/>
    <w:rsid w:val="007A1164"/>
    <w:rPr>
      <w:rFonts w:ascii="Calibri" w:hAnsi="Calibri"/>
      <w:color w:val="0000FF"/>
      <w:u w:val="single"/>
    </w:rPr>
  </w:style>
  <w:style w:type="paragraph" w:customStyle="1" w:styleId="firstfooter0">
    <w:name w:val="firstfooter"/>
    <w:basedOn w:val="Normal"/>
    <w:rsid w:val="007A116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7A116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7A1164"/>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7A1164"/>
    <w:pPr>
      <w:spacing w:before="320"/>
      <w:outlineLvl w:val="1"/>
    </w:pPr>
    <w:rPr>
      <w:sz w:val="24"/>
    </w:rPr>
  </w:style>
  <w:style w:type="paragraph" w:customStyle="1" w:styleId="Heading3pv">
    <w:name w:val="Heading 3pv"/>
    <w:basedOn w:val="Heading1pv"/>
    <w:next w:val="Normalpv"/>
    <w:rsid w:val="007A1164"/>
    <w:pPr>
      <w:spacing w:before="200"/>
      <w:outlineLvl w:val="2"/>
    </w:pPr>
    <w:rPr>
      <w:sz w:val="24"/>
    </w:rPr>
  </w:style>
  <w:style w:type="paragraph" w:customStyle="1" w:styleId="NormalendS2">
    <w:name w:val="Normal_end_S2"/>
    <w:basedOn w:val="Normal"/>
    <w:qFormat/>
    <w:rsid w:val="007A1164"/>
  </w:style>
  <w:style w:type="paragraph" w:customStyle="1" w:styleId="Dectitle">
    <w:name w:val="Dec_title"/>
    <w:basedOn w:val="Restitle"/>
    <w:next w:val="Normalaftertitle"/>
    <w:qFormat/>
    <w:rsid w:val="007A1164"/>
  </w:style>
  <w:style w:type="paragraph" w:customStyle="1" w:styleId="DecNo">
    <w:name w:val="Dec_No"/>
    <w:basedOn w:val="ResNo"/>
    <w:next w:val="Dectitle"/>
    <w:qFormat/>
    <w:rsid w:val="007A1164"/>
  </w:style>
  <w:style w:type="paragraph" w:customStyle="1" w:styleId="DectitleS2">
    <w:name w:val="Dec_title_S2"/>
    <w:basedOn w:val="RestitleS2"/>
    <w:next w:val="Normal"/>
    <w:qFormat/>
    <w:rsid w:val="007A1164"/>
  </w:style>
  <w:style w:type="paragraph" w:customStyle="1" w:styleId="DecNoS2">
    <w:name w:val="Dec_No_S2"/>
    <w:basedOn w:val="ResNoS2"/>
    <w:next w:val="DectitleS2"/>
    <w:qFormat/>
    <w:rsid w:val="007A1164"/>
  </w:style>
  <w:style w:type="paragraph" w:customStyle="1" w:styleId="SectionNo">
    <w:name w:val="Section_No"/>
    <w:basedOn w:val="ArtNo"/>
    <w:next w:val="Normal"/>
    <w:qFormat/>
    <w:rsid w:val="007A1164"/>
    <w:rPr>
      <w:lang w:val="en-GB"/>
    </w:rPr>
  </w:style>
  <w:style w:type="paragraph" w:customStyle="1" w:styleId="SectionNoS2">
    <w:name w:val="Section_No_S2"/>
    <w:basedOn w:val="ArtNoS2"/>
    <w:next w:val="Normal"/>
    <w:qFormat/>
    <w:rsid w:val="007A1164"/>
    <w:rPr>
      <w:lang w:val="en-GB"/>
    </w:rPr>
  </w:style>
  <w:style w:type="paragraph" w:customStyle="1" w:styleId="Sectiontitle">
    <w:name w:val="Section_title"/>
    <w:basedOn w:val="Arttitle"/>
    <w:next w:val="Normalaftertitle"/>
    <w:qFormat/>
    <w:rsid w:val="007A1164"/>
    <w:rPr>
      <w:lang w:val="en-GB"/>
    </w:rPr>
  </w:style>
  <w:style w:type="paragraph" w:customStyle="1" w:styleId="SectiontitleS2">
    <w:name w:val="Section_title_S2"/>
    <w:basedOn w:val="ArttitleS2"/>
    <w:next w:val="Normal"/>
    <w:qFormat/>
    <w:rsid w:val="007A1164"/>
    <w:rPr>
      <w:lang w:val="en-GB"/>
    </w:rPr>
  </w:style>
  <w:style w:type="paragraph" w:customStyle="1" w:styleId="Proposal">
    <w:name w:val="Proposal"/>
    <w:basedOn w:val="Normal"/>
    <w:next w:val="Normal"/>
    <w:rsid w:val="007A1164"/>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7A116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7A116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7A1164"/>
    <w:rPr>
      <w:rFonts w:ascii="Calibri" w:hAnsi="Calibri"/>
      <w:sz w:val="18"/>
      <w:lang w:val="fr-FR" w:eastAsia="en-US"/>
    </w:rPr>
  </w:style>
  <w:style w:type="paragraph" w:styleId="BalloonText">
    <w:name w:val="Balloon Text"/>
    <w:basedOn w:val="Normal"/>
    <w:link w:val="BalloonTextChar"/>
    <w:rsid w:val="007A1164"/>
    <w:pPr>
      <w:spacing w:before="0"/>
    </w:pPr>
    <w:rPr>
      <w:rFonts w:ascii="Tahoma" w:hAnsi="Tahoma" w:cs="Tahoma"/>
      <w:sz w:val="16"/>
      <w:szCs w:val="16"/>
    </w:rPr>
  </w:style>
  <w:style w:type="character" w:customStyle="1" w:styleId="BalloonTextChar">
    <w:name w:val="Balloon Text Char"/>
    <w:basedOn w:val="DefaultParagraphFont"/>
    <w:link w:val="BalloonText"/>
    <w:rsid w:val="007A1164"/>
    <w:rPr>
      <w:rFonts w:ascii="Tahoma" w:hAnsi="Tahoma" w:cs="Tahoma"/>
      <w:sz w:val="16"/>
      <w:szCs w:val="16"/>
      <w:lang w:val="fr-FR" w:eastAsia="en-US"/>
    </w:rPr>
  </w:style>
  <w:style w:type="paragraph" w:customStyle="1" w:styleId="Table">
    <w:name w:val="Table_#"/>
    <w:basedOn w:val="Normal"/>
    <w:next w:val="Normal"/>
    <w:rsid w:val="00DE12C7"/>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ing3Char">
    <w:name w:val="Heading 3 Char"/>
    <w:basedOn w:val="DefaultParagraphFont"/>
    <w:link w:val="Heading3"/>
    <w:rsid w:val="00DE12C7"/>
    <w:rPr>
      <w:rFonts w:ascii="Calibri" w:hAnsi="Calibri"/>
      <w:b/>
      <w:sz w:val="24"/>
      <w:lang w:val="fr-FR" w:eastAsia="en-US"/>
    </w:rPr>
  </w:style>
  <w:style w:type="character" w:customStyle="1" w:styleId="FooterChar">
    <w:name w:val="Footer Char"/>
    <w:basedOn w:val="DefaultParagraphFont"/>
    <w:link w:val="Footer"/>
    <w:rsid w:val="00DE12C7"/>
    <w:rPr>
      <w:rFonts w:ascii="Calibri" w:hAnsi="Calibri"/>
      <w:caps/>
      <w:noProof/>
      <w:sz w:val="16"/>
      <w:lang w:val="fr-FR" w:eastAsia="en-US"/>
    </w:rPr>
  </w:style>
  <w:style w:type="character" w:customStyle="1" w:styleId="FootnoteTextChar">
    <w:name w:val="Footnote Text Char"/>
    <w:basedOn w:val="DefaultParagraphFont"/>
    <w:link w:val="FootnoteText"/>
    <w:rsid w:val="00DE12C7"/>
    <w:rPr>
      <w:rFonts w:ascii="Calibri" w:hAnsi="Calibri"/>
      <w:sz w:val="24"/>
      <w:lang w:val="fr-FR" w:eastAsia="en-US"/>
    </w:rPr>
  </w:style>
  <w:style w:type="paragraph" w:styleId="ListParagraph">
    <w:name w:val="List Paragraph"/>
    <w:basedOn w:val="Normal"/>
    <w:uiPriority w:val="34"/>
    <w:qFormat/>
    <w:rsid w:val="00DE12C7"/>
    <w:pPr>
      <w:ind w:left="720"/>
      <w:contextualSpacing/>
    </w:pPr>
    <w:rPr>
      <w:lang w:val="en-GB"/>
    </w:rPr>
  </w:style>
  <w:style w:type="paragraph" w:styleId="EndnoteText">
    <w:name w:val="endnote text"/>
    <w:basedOn w:val="Normal"/>
    <w:link w:val="EndnoteTextChar"/>
    <w:uiPriority w:val="99"/>
    <w:semiHidden/>
    <w:unhideWhenUsed/>
    <w:rsid w:val="00DE12C7"/>
    <w:pPr>
      <w:spacing w:before="0"/>
    </w:pPr>
    <w:rPr>
      <w:sz w:val="20"/>
      <w:lang w:val="en-GB"/>
    </w:rPr>
  </w:style>
  <w:style w:type="character" w:customStyle="1" w:styleId="EndnoteTextChar">
    <w:name w:val="Endnote Text Char"/>
    <w:basedOn w:val="DefaultParagraphFont"/>
    <w:link w:val="EndnoteText"/>
    <w:uiPriority w:val="99"/>
    <w:semiHidden/>
    <w:rsid w:val="00DE12C7"/>
    <w:rPr>
      <w:rFonts w:ascii="Calibri" w:hAnsi="Calibri"/>
      <w:lang w:val="en-GB" w:eastAsia="en-US"/>
    </w:rPr>
  </w:style>
  <w:style w:type="character" w:styleId="EndnoteReference">
    <w:name w:val="endnote reference"/>
    <w:basedOn w:val="DefaultParagraphFont"/>
    <w:uiPriority w:val="99"/>
    <w:semiHidden/>
    <w:unhideWhenUsed/>
    <w:rsid w:val="00DE12C7"/>
    <w:rPr>
      <w:vertAlign w:val="superscript"/>
    </w:rPr>
  </w:style>
  <w:style w:type="paragraph" w:customStyle="1" w:styleId="Style1">
    <w:name w:val="Style 1"/>
    <w:uiPriority w:val="99"/>
    <w:rsid w:val="00DE12C7"/>
    <w:pPr>
      <w:widowControl w:val="0"/>
      <w:autoSpaceDE w:val="0"/>
      <w:autoSpaceDN w:val="0"/>
      <w:adjustRightInd w:val="0"/>
    </w:pPr>
    <w:rPr>
      <w:rFonts w:ascii="Times New Roman" w:eastAsia="SimSun" w:hAnsi="Times New Roman"/>
    </w:rPr>
  </w:style>
  <w:style w:type="paragraph" w:customStyle="1" w:styleId="Style3">
    <w:name w:val="Style 3"/>
    <w:uiPriority w:val="99"/>
    <w:rsid w:val="00DE12C7"/>
    <w:pPr>
      <w:widowControl w:val="0"/>
      <w:autoSpaceDE w:val="0"/>
      <w:autoSpaceDN w:val="0"/>
      <w:spacing w:before="324"/>
      <w:ind w:right="72"/>
      <w:jc w:val="both"/>
    </w:pPr>
    <w:rPr>
      <w:rFonts w:ascii="Times New Roman" w:eastAsia="SimSun" w:hAnsi="Times New Roman"/>
      <w:sz w:val="18"/>
      <w:szCs w:val="18"/>
    </w:rPr>
  </w:style>
  <w:style w:type="character" w:styleId="CommentReference">
    <w:name w:val="annotation reference"/>
    <w:basedOn w:val="DefaultParagraphFont"/>
    <w:uiPriority w:val="99"/>
    <w:semiHidden/>
    <w:unhideWhenUsed/>
    <w:rsid w:val="00DE12C7"/>
    <w:rPr>
      <w:sz w:val="16"/>
      <w:szCs w:val="16"/>
    </w:rPr>
  </w:style>
  <w:style w:type="paragraph" w:styleId="CommentText">
    <w:name w:val="annotation text"/>
    <w:basedOn w:val="Normal"/>
    <w:link w:val="CommentTextChar"/>
    <w:uiPriority w:val="99"/>
    <w:semiHidden/>
    <w:unhideWhenUsed/>
    <w:rsid w:val="00DE12C7"/>
    <w:rPr>
      <w:sz w:val="20"/>
      <w:lang w:val="en-GB"/>
    </w:rPr>
  </w:style>
  <w:style w:type="character" w:customStyle="1" w:styleId="CommentTextChar">
    <w:name w:val="Comment Text Char"/>
    <w:basedOn w:val="DefaultParagraphFont"/>
    <w:link w:val="CommentText"/>
    <w:uiPriority w:val="99"/>
    <w:semiHidden/>
    <w:rsid w:val="00DE12C7"/>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DE12C7"/>
    <w:rPr>
      <w:b/>
      <w:bCs/>
    </w:rPr>
  </w:style>
  <w:style w:type="character" w:customStyle="1" w:styleId="CommentSubjectChar">
    <w:name w:val="Comment Subject Char"/>
    <w:basedOn w:val="CommentTextChar"/>
    <w:link w:val="CommentSubject"/>
    <w:uiPriority w:val="99"/>
    <w:semiHidden/>
    <w:rsid w:val="00DE12C7"/>
    <w:rPr>
      <w:rFonts w:ascii="Calibri" w:hAnsi="Calibri"/>
      <w:b/>
      <w:bCs/>
      <w:lang w:val="en-GB" w:eastAsia="en-US"/>
    </w:rPr>
  </w:style>
  <w:style w:type="character" w:styleId="FollowedHyperlink">
    <w:name w:val="FollowedHyperlink"/>
    <w:basedOn w:val="DefaultParagraphFont"/>
    <w:uiPriority w:val="99"/>
    <w:semiHidden/>
    <w:unhideWhenUsed/>
    <w:rsid w:val="00DE12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64"/>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A1164"/>
    <w:pPr>
      <w:keepNext/>
      <w:keepLines/>
      <w:spacing w:before="480"/>
      <w:ind w:left="567" w:hanging="567"/>
      <w:outlineLvl w:val="0"/>
    </w:pPr>
    <w:rPr>
      <w:b/>
      <w:sz w:val="28"/>
    </w:rPr>
  </w:style>
  <w:style w:type="paragraph" w:styleId="Heading2">
    <w:name w:val="heading 2"/>
    <w:basedOn w:val="Heading1"/>
    <w:next w:val="Normal"/>
    <w:qFormat/>
    <w:rsid w:val="007A1164"/>
    <w:pPr>
      <w:spacing w:before="320"/>
      <w:outlineLvl w:val="1"/>
    </w:pPr>
    <w:rPr>
      <w:sz w:val="24"/>
    </w:rPr>
  </w:style>
  <w:style w:type="paragraph" w:styleId="Heading3">
    <w:name w:val="heading 3"/>
    <w:basedOn w:val="Heading1"/>
    <w:next w:val="Normal"/>
    <w:link w:val="Heading3Char"/>
    <w:qFormat/>
    <w:rsid w:val="007A1164"/>
    <w:pPr>
      <w:spacing w:before="200"/>
      <w:outlineLvl w:val="2"/>
    </w:pPr>
    <w:rPr>
      <w:sz w:val="24"/>
    </w:rPr>
  </w:style>
  <w:style w:type="paragraph" w:styleId="Heading4">
    <w:name w:val="heading 4"/>
    <w:basedOn w:val="Heading3"/>
    <w:next w:val="Normal"/>
    <w:qFormat/>
    <w:rsid w:val="007A1164"/>
    <w:pPr>
      <w:ind w:left="1134" w:hanging="1134"/>
      <w:outlineLvl w:val="3"/>
    </w:pPr>
  </w:style>
  <w:style w:type="paragraph" w:styleId="Heading5">
    <w:name w:val="heading 5"/>
    <w:basedOn w:val="Heading4"/>
    <w:next w:val="Normal"/>
    <w:qFormat/>
    <w:rsid w:val="007A1164"/>
    <w:pPr>
      <w:outlineLvl w:val="4"/>
    </w:pPr>
  </w:style>
  <w:style w:type="paragraph" w:styleId="Heading6">
    <w:name w:val="heading 6"/>
    <w:basedOn w:val="Heading4"/>
    <w:next w:val="Normal"/>
    <w:qFormat/>
    <w:rsid w:val="007A1164"/>
    <w:pPr>
      <w:outlineLvl w:val="5"/>
    </w:pPr>
  </w:style>
  <w:style w:type="paragraph" w:styleId="Heading7">
    <w:name w:val="heading 7"/>
    <w:basedOn w:val="Heading4"/>
    <w:next w:val="Normal"/>
    <w:qFormat/>
    <w:rsid w:val="007A1164"/>
    <w:pPr>
      <w:ind w:left="1701" w:hanging="1701"/>
      <w:outlineLvl w:val="6"/>
    </w:pPr>
  </w:style>
  <w:style w:type="paragraph" w:styleId="Heading8">
    <w:name w:val="heading 8"/>
    <w:basedOn w:val="Heading4"/>
    <w:next w:val="Normal"/>
    <w:qFormat/>
    <w:rsid w:val="007A1164"/>
    <w:pPr>
      <w:ind w:left="1701" w:hanging="1701"/>
      <w:outlineLvl w:val="7"/>
    </w:pPr>
  </w:style>
  <w:style w:type="paragraph" w:styleId="Heading9">
    <w:name w:val="heading 9"/>
    <w:basedOn w:val="Heading4"/>
    <w:next w:val="Normal"/>
    <w:qFormat/>
    <w:rsid w:val="007A1164"/>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A1164"/>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A1164"/>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A1164"/>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7A1164"/>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link w:val="FooterChar"/>
    <w:rsid w:val="007A1164"/>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A1164"/>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A1164"/>
    <w:rPr>
      <w:rFonts w:ascii="Calibri" w:hAnsi="Calibri"/>
      <w:position w:val="6"/>
      <w:sz w:val="16"/>
    </w:rPr>
  </w:style>
  <w:style w:type="paragraph" w:styleId="FootnoteText">
    <w:name w:val="footnote text"/>
    <w:basedOn w:val="Normal"/>
    <w:link w:val="FootnoteTextChar"/>
    <w:rsid w:val="007A1164"/>
    <w:pPr>
      <w:keepLines/>
      <w:tabs>
        <w:tab w:val="left" w:pos="256"/>
      </w:tabs>
      <w:ind w:left="256" w:hanging="256"/>
    </w:pPr>
  </w:style>
  <w:style w:type="paragraph" w:styleId="NormalIndent">
    <w:name w:val="Normal Indent"/>
    <w:basedOn w:val="Normal"/>
    <w:rsid w:val="007A1164"/>
    <w:pPr>
      <w:ind w:left="567"/>
    </w:pPr>
  </w:style>
  <w:style w:type="paragraph" w:customStyle="1" w:styleId="Tablelegend">
    <w:name w:val="Table_legend"/>
    <w:basedOn w:val="Tabletext"/>
    <w:rsid w:val="007A1164"/>
    <w:pPr>
      <w:spacing w:before="120"/>
    </w:pPr>
  </w:style>
  <w:style w:type="paragraph" w:customStyle="1" w:styleId="Tabletext">
    <w:name w:val="Table_text"/>
    <w:basedOn w:val="Normal"/>
    <w:rsid w:val="007A1164"/>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7A1164"/>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A1164"/>
    <w:pPr>
      <w:keepNext/>
      <w:spacing w:before="560" w:after="120"/>
      <w:jc w:val="center"/>
    </w:pPr>
    <w:rPr>
      <w:caps/>
    </w:rPr>
  </w:style>
  <w:style w:type="paragraph" w:customStyle="1" w:styleId="enumlev1">
    <w:name w:val="enumlev1"/>
    <w:basedOn w:val="Normal"/>
    <w:rsid w:val="007A1164"/>
    <w:pPr>
      <w:spacing w:before="86"/>
      <w:ind w:left="567" w:hanging="567"/>
    </w:pPr>
  </w:style>
  <w:style w:type="paragraph" w:customStyle="1" w:styleId="enumlev2">
    <w:name w:val="enumlev2"/>
    <w:basedOn w:val="enumlev1"/>
    <w:rsid w:val="007A1164"/>
    <w:pPr>
      <w:ind w:left="1134"/>
    </w:pPr>
  </w:style>
  <w:style w:type="paragraph" w:customStyle="1" w:styleId="enumlev3">
    <w:name w:val="enumlev3"/>
    <w:basedOn w:val="enumlev2"/>
    <w:rsid w:val="007A1164"/>
    <w:pPr>
      <w:ind w:left="1701"/>
    </w:pPr>
  </w:style>
  <w:style w:type="paragraph" w:customStyle="1" w:styleId="Tablehead">
    <w:name w:val="Table_head"/>
    <w:basedOn w:val="Tabletext"/>
    <w:rsid w:val="007A1164"/>
    <w:pPr>
      <w:spacing w:before="120" w:after="120"/>
      <w:jc w:val="center"/>
    </w:pPr>
    <w:rPr>
      <w:b/>
    </w:rPr>
  </w:style>
  <w:style w:type="paragraph" w:customStyle="1" w:styleId="Normalaftertitle">
    <w:name w:val="Normal after title"/>
    <w:basedOn w:val="Normal"/>
    <w:next w:val="Normal"/>
    <w:rsid w:val="007A1164"/>
    <w:pPr>
      <w:spacing w:before="240"/>
    </w:pPr>
  </w:style>
  <w:style w:type="paragraph" w:customStyle="1" w:styleId="AnnexNo">
    <w:name w:val="Annex_No"/>
    <w:basedOn w:val="Normal"/>
    <w:next w:val="Annexref"/>
    <w:rsid w:val="007A1164"/>
    <w:pPr>
      <w:spacing w:before="720"/>
      <w:jc w:val="center"/>
    </w:pPr>
    <w:rPr>
      <w:caps/>
      <w:sz w:val="28"/>
    </w:rPr>
  </w:style>
  <w:style w:type="paragraph" w:customStyle="1" w:styleId="Annexref">
    <w:name w:val="Annex_ref"/>
    <w:basedOn w:val="Normal"/>
    <w:next w:val="Annextitle"/>
    <w:rsid w:val="007A1164"/>
    <w:pPr>
      <w:jc w:val="center"/>
    </w:pPr>
    <w:rPr>
      <w:sz w:val="28"/>
    </w:rPr>
  </w:style>
  <w:style w:type="paragraph" w:customStyle="1" w:styleId="Annextitle">
    <w:name w:val="Annex_title"/>
    <w:basedOn w:val="Normal"/>
    <w:next w:val="Normal"/>
    <w:rsid w:val="007A1164"/>
    <w:pPr>
      <w:spacing w:before="240" w:after="240"/>
      <w:jc w:val="center"/>
    </w:pPr>
    <w:rPr>
      <w:b/>
      <w:sz w:val="28"/>
    </w:rPr>
  </w:style>
  <w:style w:type="paragraph" w:customStyle="1" w:styleId="AppendixNo">
    <w:name w:val="Appendix_No"/>
    <w:basedOn w:val="AnnexNo"/>
    <w:next w:val="Appendixref"/>
    <w:rsid w:val="007A1164"/>
  </w:style>
  <w:style w:type="paragraph" w:customStyle="1" w:styleId="Appendixref">
    <w:name w:val="Appendix_ref"/>
    <w:basedOn w:val="Annexref"/>
    <w:next w:val="Appendixtitle"/>
    <w:rsid w:val="007A1164"/>
  </w:style>
  <w:style w:type="paragraph" w:customStyle="1" w:styleId="Appendixtitle">
    <w:name w:val="Appendix_title"/>
    <w:basedOn w:val="Annextitle"/>
    <w:next w:val="Normal"/>
    <w:rsid w:val="007A1164"/>
  </w:style>
  <w:style w:type="paragraph" w:customStyle="1" w:styleId="Reftitle">
    <w:name w:val="Ref_title"/>
    <w:basedOn w:val="Normal"/>
    <w:next w:val="Reftext"/>
    <w:rsid w:val="007A1164"/>
    <w:pPr>
      <w:spacing w:before="480"/>
      <w:jc w:val="center"/>
    </w:pPr>
    <w:rPr>
      <w:caps/>
      <w:sz w:val="28"/>
    </w:rPr>
  </w:style>
  <w:style w:type="paragraph" w:customStyle="1" w:styleId="Reftext">
    <w:name w:val="Ref_text"/>
    <w:basedOn w:val="Normal"/>
    <w:rsid w:val="007A1164"/>
    <w:pPr>
      <w:ind w:left="567" w:hanging="567"/>
    </w:pPr>
  </w:style>
  <w:style w:type="paragraph" w:customStyle="1" w:styleId="Rectitle">
    <w:name w:val="Rec_title"/>
    <w:basedOn w:val="Normal"/>
    <w:next w:val="Heading1"/>
    <w:rsid w:val="007A1164"/>
    <w:pPr>
      <w:spacing w:before="240"/>
      <w:jc w:val="center"/>
    </w:pPr>
    <w:rPr>
      <w:b/>
      <w:sz w:val="28"/>
    </w:rPr>
  </w:style>
  <w:style w:type="paragraph" w:customStyle="1" w:styleId="Call">
    <w:name w:val="Call"/>
    <w:basedOn w:val="Normal"/>
    <w:next w:val="Normal"/>
    <w:rsid w:val="007A1164"/>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7A1164"/>
    <w:pPr>
      <w:spacing w:before="720"/>
      <w:jc w:val="center"/>
    </w:pPr>
    <w:rPr>
      <w:caps/>
      <w:sz w:val="28"/>
    </w:rPr>
  </w:style>
  <w:style w:type="paragraph" w:customStyle="1" w:styleId="toc0">
    <w:name w:val="toc 0"/>
    <w:basedOn w:val="Normal"/>
    <w:next w:val="TOC1"/>
    <w:rsid w:val="007A1164"/>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7A1164"/>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7A1164"/>
    <w:pPr>
      <w:tabs>
        <w:tab w:val="clear" w:pos="567"/>
        <w:tab w:val="left" w:pos="851"/>
      </w:tabs>
    </w:pPr>
  </w:style>
  <w:style w:type="paragraph" w:customStyle="1" w:styleId="MinusFootnote">
    <w:name w:val="MinusFootnote"/>
    <w:basedOn w:val="Normal"/>
    <w:rsid w:val="007A1164"/>
    <w:pPr>
      <w:ind w:left="-1701" w:hanging="284"/>
    </w:pPr>
  </w:style>
  <w:style w:type="paragraph" w:customStyle="1" w:styleId="Title3">
    <w:name w:val="Title 3"/>
    <w:basedOn w:val="Title2"/>
    <w:next w:val="Normalaftertitle"/>
    <w:rsid w:val="007A1164"/>
    <w:rPr>
      <w:caps w:val="0"/>
    </w:rPr>
  </w:style>
  <w:style w:type="paragraph" w:customStyle="1" w:styleId="Title2">
    <w:name w:val="Title 2"/>
    <w:basedOn w:val="Source"/>
    <w:next w:val="Title3"/>
    <w:rsid w:val="007A1164"/>
    <w:pPr>
      <w:spacing w:before="240"/>
    </w:pPr>
    <w:rPr>
      <w:b w:val="0"/>
      <w:caps/>
    </w:rPr>
  </w:style>
  <w:style w:type="paragraph" w:customStyle="1" w:styleId="Source">
    <w:name w:val="Source"/>
    <w:basedOn w:val="Normal"/>
    <w:next w:val="Title1"/>
    <w:rsid w:val="007A1164"/>
    <w:pPr>
      <w:spacing w:before="840"/>
      <w:jc w:val="center"/>
    </w:pPr>
    <w:rPr>
      <w:b/>
      <w:sz w:val="28"/>
    </w:rPr>
  </w:style>
  <w:style w:type="paragraph" w:customStyle="1" w:styleId="Title1">
    <w:name w:val="Title 1"/>
    <w:basedOn w:val="Source"/>
    <w:next w:val="Title2"/>
    <w:rsid w:val="007A1164"/>
    <w:pPr>
      <w:spacing w:before="240"/>
    </w:pPr>
    <w:rPr>
      <w:b w:val="0"/>
      <w:caps/>
    </w:rPr>
  </w:style>
  <w:style w:type="paragraph" w:customStyle="1" w:styleId="ArtNo">
    <w:name w:val="Art_No"/>
    <w:basedOn w:val="Normal"/>
    <w:next w:val="Arttitle"/>
    <w:rsid w:val="007A1164"/>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A1164"/>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A1164"/>
  </w:style>
  <w:style w:type="paragraph" w:customStyle="1" w:styleId="Chaptitle">
    <w:name w:val="Chap_title"/>
    <w:basedOn w:val="Arttitle"/>
    <w:next w:val="Normal"/>
    <w:rsid w:val="007A1164"/>
  </w:style>
  <w:style w:type="paragraph" w:customStyle="1" w:styleId="Reasons">
    <w:name w:val="Reasons"/>
    <w:basedOn w:val="Normal"/>
    <w:qFormat/>
    <w:rsid w:val="007A1164"/>
  </w:style>
  <w:style w:type="paragraph" w:customStyle="1" w:styleId="ResNo">
    <w:name w:val="Res_No"/>
    <w:basedOn w:val="AnnexNo"/>
    <w:next w:val="Restitle"/>
    <w:rsid w:val="007A1164"/>
  </w:style>
  <w:style w:type="paragraph" w:customStyle="1" w:styleId="Restitle">
    <w:name w:val="Res_title"/>
    <w:basedOn w:val="Annextitle"/>
    <w:next w:val="Normal"/>
    <w:rsid w:val="007A1164"/>
  </w:style>
  <w:style w:type="paragraph" w:customStyle="1" w:styleId="AnnexNoS2">
    <w:name w:val="Annex_No_S2"/>
    <w:basedOn w:val="AnnexNo"/>
    <w:next w:val="AnnexrefS2"/>
    <w:rsid w:val="007A1164"/>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7A1164"/>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7A1164"/>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7A1164"/>
    <w:rPr>
      <w:caps w:val="0"/>
    </w:rPr>
  </w:style>
  <w:style w:type="paragraph" w:customStyle="1" w:styleId="Section2">
    <w:name w:val="Section 2"/>
    <w:basedOn w:val="Section1"/>
    <w:next w:val="Normal"/>
    <w:rsid w:val="007A1164"/>
    <w:pPr>
      <w:spacing w:before="240"/>
    </w:pPr>
    <w:rPr>
      <w:b/>
      <w:i/>
    </w:rPr>
  </w:style>
  <w:style w:type="paragraph" w:customStyle="1" w:styleId="AppendixNoS2">
    <w:name w:val="Appendix_No_S2"/>
    <w:basedOn w:val="AppendixNo"/>
    <w:next w:val="AppendixrefS2"/>
    <w:rsid w:val="007A1164"/>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7A1164"/>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7A1164"/>
    <w:pPr>
      <w:tabs>
        <w:tab w:val="left" w:pos="851"/>
      </w:tabs>
      <w:jc w:val="left"/>
    </w:pPr>
    <w:rPr>
      <w:b/>
      <w:sz w:val="24"/>
    </w:rPr>
  </w:style>
  <w:style w:type="paragraph" w:customStyle="1" w:styleId="ArttitleS2">
    <w:name w:val="Art_title_S2"/>
    <w:basedOn w:val="Arttitle"/>
    <w:next w:val="NormalS2"/>
    <w:rsid w:val="007A1164"/>
    <w:pPr>
      <w:tabs>
        <w:tab w:val="left" w:pos="851"/>
      </w:tabs>
      <w:jc w:val="left"/>
    </w:pPr>
    <w:rPr>
      <w:sz w:val="24"/>
    </w:rPr>
  </w:style>
  <w:style w:type="paragraph" w:customStyle="1" w:styleId="ChapNoS2">
    <w:name w:val="Chap_No_S2"/>
    <w:basedOn w:val="ChapNo"/>
    <w:next w:val="ChaptitleS2"/>
    <w:rsid w:val="007A1164"/>
    <w:pPr>
      <w:tabs>
        <w:tab w:val="left" w:pos="851"/>
      </w:tabs>
      <w:jc w:val="left"/>
    </w:pPr>
    <w:rPr>
      <w:b/>
      <w:sz w:val="24"/>
    </w:rPr>
  </w:style>
  <w:style w:type="paragraph" w:customStyle="1" w:styleId="ChaptitleS2">
    <w:name w:val="Chap_title_S2"/>
    <w:basedOn w:val="Chaptitle"/>
    <w:next w:val="NormalS2"/>
    <w:rsid w:val="007A1164"/>
    <w:pPr>
      <w:tabs>
        <w:tab w:val="left" w:pos="851"/>
      </w:tabs>
      <w:jc w:val="left"/>
    </w:pPr>
    <w:rPr>
      <w:sz w:val="24"/>
    </w:rPr>
  </w:style>
  <w:style w:type="paragraph" w:customStyle="1" w:styleId="enumlev1S2">
    <w:name w:val="enumlev1_S2"/>
    <w:basedOn w:val="enumlev1"/>
    <w:rsid w:val="007A1164"/>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7A1164"/>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7A1164"/>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7A1164"/>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7A1164"/>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7A1164"/>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7A1164"/>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7A1164"/>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7A1164"/>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7A1164"/>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7A1164"/>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7A1164"/>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7A1164"/>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7A1164"/>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7A1164"/>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7A1164"/>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7A1164"/>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7A1164"/>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7A1164"/>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7A1164"/>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7A1164"/>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7A1164"/>
    <w:pPr>
      <w:tabs>
        <w:tab w:val="left" w:pos="851"/>
      </w:tabs>
      <w:jc w:val="left"/>
    </w:pPr>
    <w:rPr>
      <w:caps/>
      <w:sz w:val="24"/>
    </w:rPr>
  </w:style>
  <w:style w:type="paragraph" w:customStyle="1" w:styleId="Section2S2">
    <w:name w:val="Section 2_S2"/>
    <w:basedOn w:val="Section2"/>
    <w:next w:val="NormalS2"/>
    <w:rsid w:val="007A1164"/>
    <w:pPr>
      <w:tabs>
        <w:tab w:val="left" w:pos="851"/>
      </w:tabs>
      <w:jc w:val="left"/>
    </w:pPr>
    <w:rPr>
      <w:sz w:val="24"/>
    </w:rPr>
  </w:style>
  <w:style w:type="paragraph" w:customStyle="1" w:styleId="TableNoS2">
    <w:name w:val="Table_No_S2"/>
    <w:basedOn w:val="TableNo"/>
    <w:next w:val="TabletitleS2"/>
    <w:rsid w:val="007A1164"/>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7A1164"/>
    <w:pPr>
      <w:keepNext w:val="0"/>
      <w:tabs>
        <w:tab w:val="clear" w:pos="2948"/>
        <w:tab w:val="clear" w:pos="4082"/>
        <w:tab w:val="left" w:pos="851"/>
      </w:tabs>
      <w:jc w:val="left"/>
    </w:pPr>
  </w:style>
  <w:style w:type="paragraph" w:customStyle="1" w:styleId="TabletextS2">
    <w:name w:val="Table_text_S2"/>
    <w:basedOn w:val="Tabletext"/>
    <w:rsid w:val="007A1164"/>
    <w:pPr>
      <w:tabs>
        <w:tab w:val="left" w:pos="851"/>
      </w:tabs>
    </w:pPr>
    <w:rPr>
      <w:b/>
    </w:rPr>
  </w:style>
  <w:style w:type="paragraph" w:customStyle="1" w:styleId="TablelegendS2">
    <w:name w:val="Table_legend_S2"/>
    <w:basedOn w:val="Tablelegend"/>
    <w:rsid w:val="007A1164"/>
    <w:pPr>
      <w:tabs>
        <w:tab w:val="left" w:pos="851"/>
      </w:tabs>
      <w:spacing w:after="0"/>
    </w:pPr>
    <w:rPr>
      <w:b/>
    </w:rPr>
  </w:style>
  <w:style w:type="paragraph" w:customStyle="1" w:styleId="FooterS2">
    <w:name w:val="Footer_S2"/>
    <w:basedOn w:val="Footer"/>
    <w:rsid w:val="007A1164"/>
    <w:pPr>
      <w:tabs>
        <w:tab w:val="clear" w:pos="5954"/>
        <w:tab w:val="clear" w:pos="9639"/>
        <w:tab w:val="left" w:pos="3686"/>
        <w:tab w:val="right" w:pos="7655"/>
      </w:tabs>
      <w:ind w:left="-1985"/>
    </w:pPr>
  </w:style>
  <w:style w:type="paragraph" w:customStyle="1" w:styleId="HeaderS2">
    <w:name w:val="Header_S2"/>
    <w:basedOn w:val="Normal"/>
    <w:rsid w:val="007A1164"/>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7A1164"/>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7A1164"/>
    <w:pPr>
      <w:tabs>
        <w:tab w:val="left" w:pos="851"/>
      </w:tabs>
      <w:jc w:val="left"/>
    </w:pPr>
  </w:style>
  <w:style w:type="paragraph" w:customStyle="1" w:styleId="NoteS2">
    <w:name w:val="Note_S2"/>
    <w:basedOn w:val="Note"/>
    <w:rsid w:val="007A1164"/>
    <w:pPr>
      <w:tabs>
        <w:tab w:val="clear" w:pos="1134"/>
        <w:tab w:val="clear" w:pos="1701"/>
        <w:tab w:val="clear" w:pos="2268"/>
        <w:tab w:val="clear" w:pos="2835"/>
      </w:tabs>
    </w:pPr>
    <w:rPr>
      <w:b/>
    </w:rPr>
  </w:style>
  <w:style w:type="paragraph" w:customStyle="1" w:styleId="Heading1c">
    <w:name w:val="Heading 1c"/>
    <w:basedOn w:val="Heading1"/>
    <w:next w:val="Normal"/>
    <w:rsid w:val="007A1164"/>
    <w:pPr>
      <w:ind w:left="0" w:firstLine="0"/>
      <w:jc w:val="center"/>
      <w:outlineLvl w:val="9"/>
    </w:pPr>
  </w:style>
  <w:style w:type="paragraph" w:customStyle="1" w:styleId="Heading2i">
    <w:name w:val="Heading 2i"/>
    <w:basedOn w:val="Heading2"/>
    <w:next w:val="Normal"/>
    <w:rsid w:val="007A1164"/>
    <w:rPr>
      <w:b w:val="0"/>
      <w:i/>
    </w:rPr>
  </w:style>
  <w:style w:type="paragraph" w:customStyle="1" w:styleId="Heading1cS2">
    <w:name w:val="Heading 1c_S2"/>
    <w:basedOn w:val="Heading1c"/>
    <w:next w:val="NormalS2"/>
    <w:rsid w:val="007A1164"/>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7A1164"/>
    <w:rPr>
      <w:caps w:val="0"/>
    </w:rPr>
  </w:style>
  <w:style w:type="paragraph" w:customStyle="1" w:styleId="Headingb">
    <w:name w:val="Heading_b"/>
    <w:basedOn w:val="Heading3"/>
    <w:next w:val="Normal"/>
    <w:rsid w:val="007A1164"/>
    <w:pPr>
      <w:spacing w:before="160"/>
      <w:outlineLvl w:val="0"/>
    </w:pPr>
  </w:style>
  <w:style w:type="paragraph" w:styleId="TOC9">
    <w:name w:val="toc 9"/>
    <w:basedOn w:val="Normal"/>
    <w:next w:val="Normal"/>
    <w:rsid w:val="007A1164"/>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7A1164"/>
    <w:pPr>
      <w:spacing w:before="160"/>
      <w:outlineLvl w:val="0"/>
    </w:pPr>
    <w:rPr>
      <w:b w:val="0"/>
      <w:i/>
    </w:rPr>
  </w:style>
  <w:style w:type="paragraph" w:customStyle="1" w:styleId="HeadingbS2">
    <w:name w:val="Headingb_S2"/>
    <w:basedOn w:val="Headingb"/>
    <w:next w:val="NormalS2"/>
    <w:rsid w:val="007A1164"/>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7A1164"/>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7A1164"/>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7A1164"/>
    <w:rPr>
      <w:rFonts w:ascii="Calibri" w:hAnsi="Calibri"/>
    </w:rPr>
  </w:style>
  <w:style w:type="character" w:styleId="Hyperlink">
    <w:name w:val="Hyperlink"/>
    <w:basedOn w:val="DefaultParagraphFont"/>
    <w:uiPriority w:val="99"/>
    <w:rsid w:val="007A1164"/>
    <w:rPr>
      <w:rFonts w:ascii="Calibri" w:hAnsi="Calibri"/>
      <w:color w:val="0000FF"/>
      <w:u w:val="single"/>
    </w:rPr>
  </w:style>
  <w:style w:type="paragraph" w:customStyle="1" w:styleId="firstfooter0">
    <w:name w:val="firstfooter"/>
    <w:basedOn w:val="Normal"/>
    <w:rsid w:val="007A116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7A116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7A1164"/>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7A1164"/>
    <w:pPr>
      <w:spacing w:before="320"/>
      <w:outlineLvl w:val="1"/>
    </w:pPr>
    <w:rPr>
      <w:sz w:val="24"/>
    </w:rPr>
  </w:style>
  <w:style w:type="paragraph" w:customStyle="1" w:styleId="Heading3pv">
    <w:name w:val="Heading 3pv"/>
    <w:basedOn w:val="Heading1pv"/>
    <w:next w:val="Normalpv"/>
    <w:rsid w:val="007A1164"/>
    <w:pPr>
      <w:spacing w:before="200"/>
      <w:outlineLvl w:val="2"/>
    </w:pPr>
    <w:rPr>
      <w:sz w:val="24"/>
    </w:rPr>
  </w:style>
  <w:style w:type="paragraph" w:customStyle="1" w:styleId="NormalendS2">
    <w:name w:val="Normal_end_S2"/>
    <w:basedOn w:val="Normal"/>
    <w:qFormat/>
    <w:rsid w:val="007A1164"/>
  </w:style>
  <w:style w:type="paragraph" w:customStyle="1" w:styleId="Dectitle">
    <w:name w:val="Dec_title"/>
    <w:basedOn w:val="Restitle"/>
    <w:next w:val="Normalaftertitle"/>
    <w:qFormat/>
    <w:rsid w:val="007A1164"/>
  </w:style>
  <w:style w:type="paragraph" w:customStyle="1" w:styleId="DecNo">
    <w:name w:val="Dec_No"/>
    <w:basedOn w:val="ResNo"/>
    <w:next w:val="Dectitle"/>
    <w:qFormat/>
    <w:rsid w:val="007A1164"/>
  </w:style>
  <w:style w:type="paragraph" w:customStyle="1" w:styleId="DectitleS2">
    <w:name w:val="Dec_title_S2"/>
    <w:basedOn w:val="RestitleS2"/>
    <w:next w:val="Normal"/>
    <w:qFormat/>
    <w:rsid w:val="007A1164"/>
  </w:style>
  <w:style w:type="paragraph" w:customStyle="1" w:styleId="DecNoS2">
    <w:name w:val="Dec_No_S2"/>
    <w:basedOn w:val="ResNoS2"/>
    <w:next w:val="DectitleS2"/>
    <w:qFormat/>
    <w:rsid w:val="007A1164"/>
  </w:style>
  <w:style w:type="paragraph" w:customStyle="1" w:styleId="SectionNo">
    <w:name w:val="Section_No"/>
    <w:basedOn w:val="ArtNo"/>
    <w:next w:val="Normal"/>
    <w:qFormat/>
    <w:rsid w:val="007A1164"/>
    <w:rPr>
      <w:lang w:val="en-GB"/>
    </w:rPr>
  </w:style>
  <w:style w:type="paragraph" w:customStyle="1" w:styleId="SectionNoS2">
    <w:name w:val="Section_No_S2"/>
    <w:basedOn w:val="ArtNoS2"/>
    <w:next w:val="Normal"/>
    <w:qFormat/>
    <w:rsid w:val="007A1164"/>
    <w:rPr>
      <w:lang w:val="en-GB"/>
    </w:rPr>
  </w:style>
  <w:style w:type="paragraph" w:customStyle="1" w:styleId="Sectiontitle">
    <w:name w:val="Section_title"/>
    <w:basedOn w:val="Arttitle"/>
    <w:next w:val="Normalaftertitle"/>
    <w:qFormat/>
    <w:rsid w:val="007A1164"/>
    <w:rPr>
      <w:lang w:val="en-GB"/>
    </w:rPr>
  </w:style>
  <w:style w:type="paragraph" w:customStyle="1" w:styleId="SectiontitleS2">
    <w:name w:val="Section_title_S2"/>
    <w:basedOn w:val="ArttitleS2"/>
    <w:next w:val="Normal"/>
    <w:qFormat/>
    <w:rsid w:val="007A1164"/>
    <w:rPr>
      <w:lang w:val="en-GB"/>
    </w:rPr>
  </w:style>
  <w:style w:type="paragraph" w:customStyle="1" w:styleId="Proposal">
    <w:name w:val="Proposal"/>
    <w:basedOn w:val="Normal"/>
    <w:next w:val="Normal"/>
    <w:rsid w:val="007A1164"/>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7A116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7A116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7A1164"/>
    <w:rPr>
      <w:rFonts w:ascii="Calibri" w:hAnsi="Calibri"/>
      <w:sz w:val="18"/>
      <w:lang w:val="fr-FR" w:eastAsia="en-US"/>
    </w:rPr>
  </w:style>
  <w:style w:type="paragraph" w:styleId="BalloonText">
    <w:name w:val="Balloon Text"/>
    <w:basedOn w:val="Normal"/>
    <w:link w:val="BalloonTextChar"/>
    <w:rsid w:val="007A1164"/>
    <w:pPr>
      <w:spacing w:before="0"/>
    </w:pPr>
    <w:rPr>
      <w:rFonts w:ascii="Tahoma" w:hAnsi="Tahoma" w:cs="Tahoma"/>
      <w:sz w:val="16"/>
      <w:szCs w:val="16"/>
    </w:rPr>
  </w:style>
  <w:style w:type="character" w:customStyle="1" w:styleId="BalloonTextChar">
    <w:name w:val="Balloon Text Char"/>
    <w:basedOn w:val="DefaultParagraphFont"/>
    <w:link w:val="BalloonText"/>
    <w:rsid w:val="007A1164"/>
    <w:rPr>
      <w:rFonts w:ascii="Tahoma" w:hAnsi="Tahoma" w:cs="Tahoma"/>
      <w:sz w:val="16"/>
      <w:szCs w:val="16"/>
      <w:lang w:val="fr-FR" w:eastAsia="en-US"/>
    </w:rPr>
  </w:style>
  <w:style w:type="paragraph" w:customStyle="1" w:styleId="Table">
    <w:name w:val="Table_#"/>
    <w:basedOn w:val="Normal"/>
    <w:next w:val="Normal"/>
    <w:rsid w:val="00DE12C7"/>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ing3Char">
    <w:name w:val="Heading 3 Char"/>
    <w:basedOn w:val="DefaultParagraphFont"/>
    <w:link w:val="Heading3"/>
    <w:rsid w:val="00DE12C7"/>
    <w:rPr>
      <w:rFonts w:ascii="Calibri" w:hAnsi="Calibri"/>
      <w:b/>
      <w:sz w:val="24"/>
      <w:lang w:val="fr-FR" w:eastAsia="en-US"/>
    </w:rPr>
  </w:style>
  <w:style w:type="character" w:customStyle="1" w:styleId="FooterChar">
    <w:name w:val="Footer Char"/>
    <w:basedOn w:val="DefaultParagraphFont"/>
    <w:link w:val="Footer"/>
    <w:rsid w:val="00DE12C7"/>
    <w:rPr>
      <w:rFonts w:ascii="Calibri" w:hAnsi="Calibri"/>
      <w:caps/>
      <w:noProof/>
      <w:sz w:val="16"/>
      <w:lang w:val="fr-FR" w:eastAsia="en-US"/>
    </w:rPr>
  </w:style>
  <w:style w:type="character" w:customStyle="1" w:styleId="FootnoteTextChar">
    <w:name w:val="Footnote Text Char"/>
    <w:basedOn w:val="DefaultParagraphFont"/>
    <w:link w:val="FootnoteText"/>
    <w:rsid w:val="00DE12C7"/>
    <w:rPr>
      <w:rFonts w:ascii="Calibri" w:hAnsi="Calibri"/>
      <w:sz w:val="24"/>
      <w:lang w:val="fr-FR" w:eastAsia="en-US"/>
    </w:rPr>
  </w:style>
  <w:style w:type="paragraph" w:styleId="ListParagraph">
    <w:name w:val="List Paragraph"/>
    <w:basedOn w:val="Normal"/>
    <w:uiPriority w:val="34"/>
    <w:qFormat/>
    <w:rsid w:val="00DE12C7"/>
    <w:pPr>
      <w:ind w:left="720"/>
      <w:contextualSpacing/>
    </w:pPr>
    <w:rPr>
      <w:lang w:val="en-GB"/>
    </w:rPr>
  </w:style>
  <w:style w:type="paragraph" w:styleId="EndnoteText">
    <w:name w:val="endnote text"/>
    <w:basedOn w:val="Normal"/>
    <w:link w:val="EndnoteTextChar"/>
    <w:uiPriority w:val="99"/>
    <w:semiHidden/>
    <w:unhideWhenUsed/>
    <w:rsid w:val="00DE12C7"/>
    <w:pPr>
      <w:spacing w:before="0"/>
    </w:pPr>
    <w:rPr>
      <w:sz w:val="20"/>
      <w:lang w:val="en-GB"/>
    </w:rPr>
  </w:style>
  <w:style w:type="character" w:customStyle="1" w:styleId="EndnoteTextChar">
    <w:name w:val="Endnote Text Char"/>
    <w:basedOn w:val="DefaultParagraphFont"/>
    <w:link w:val="EndnoteText"/>
    <w:uiPriority w:val="99"/>
    <w:semiHidden/>
    <w:rsid w:val="00DE12C7"/>
    <w:rPr>
      <w:rFonts w:ascii="Calibri" w:hAnsi="Calibri"/>
      <w:lang w:val="en-GB" w:eastAsia="en-US"/>
    </w:rPr>
  </w:style>
  <w:style w:type="character" w:styleId="EndnoteReference">
    <w:name w:val="endnote reference"/>
    <w:basedOn w:val="DefaultParagraphFont"/>
    <w:uiPriority w:val="99"/>
    <w:semiHidden/>
    <w:unhideWhenUsed/>
    <w:rsid w:val="00DE12C7"/>
    <w:rPr>
      <w:vertAlign w:val="superscript"/>
    </w:rPr>
  </w:style>
  <w:style w:type="paragraph" w:customStyle="1" w:styleId="Style1">
    <w:name w:val="Style 1"/>
    <w:uiPriority w:val="99"/>
    <w:rsid w:val="00DE12C7"/>
    <w:pPr>
      <w:widowControl w:val="0"/>
      <w:autoSpaceDE w:val="0"/>
      <w:autoSpaceDN w:val="0"/>
      <w:adjustRightInd w:val="0"/>
    </w:pPr>
    <w:rPr>
      <w:rFonts w:ascii="Times New Roman" w:eastAsia="SimSun" w:hAnsi="Times New Roman"/>
    </w:rPr>
  </w:style>
  <w:style w:type="paragraph" w:customStyle="1" w:styleId="Style3">
    <w:name w:val="Style 3"/>
    <w:uiPriority w:val="99"/>
    <w:rsid w:val="00DE12C7"/>
    <w:pPr>
      <w:widowControl w:val="0"/>
      <w:autoSpaceDE w:val="0"/>
      <w:autoSpaceDN w:val="0"/>
      <w:spacing w:before="324"/>
      <w:ind w:right="72"/>
      <w:jc w:val="both"/>
    </w:pPr>
    <w:rPr>
      <w:rFonts w:ascii="Times New Roman" w:eastAsia="SimSun" w:hAnsi="Times New Roman"/>
      <w:sz w:val="18"/>
      <w:szCs w:val="18"/>
    </w:rPr>
  </w:style>
  <w:style w:type="character" w:styleId="CommentReference">
    <w:name w:val="annotation reference"/>
    <w:basedOn w:val="DefaultParagraphFont"/>
    <w:uiPriority w:val="99"/>
    <w:semiHidden/>
    <w:unhideWhenUsed/>
    <w:rsid w:val="00DE12C7"/>
    <w:rPr>
      <w:sz w:val="16"/>
      <w:szCs w:val="16"/>
    </w:rPr>
  </w:style>
  <w:style w:type="paragraph" w:styleId="CommentText">
    <w:name w:val="annotation text"/>
    <w:basedOn w:val="Normal"/>
    <w:link w:val="CommentTextChar"/>
    <w:uiPriority w:val="99"/>
    <w:semiHidden/>
    <w:unhideWhenUsed/>
    <w:rsid w:val="00DE12C7"/>
    <w:rPr>
      <w:sz w:val="20"/>
      <w:lang w:val="en-GB"/>
    </w:rPr>
  </w:style>
  <w:style w:type="character" w:customStyle="1" w:styleId="CommentTextChar">
    <w:name w:val="Comment Text Char"/>
    <w:basedOn w:val="DefaultParagraphFont"/>
    <w:link w:val="CommentText"/>
    <w:uiPriority w:val="99"/>
    <w:semiHidden/>
    <w:rsid w:val="00DE12C7"/>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DE12C7"/>
    <w:rPr>
      <w:b/>
      <w:bCs/>
    </w:rPr>
  </w:style>
  <w:style w:type="character" w:customStyle="1" w:styleId="CommentSubjectChar">
    <w:name w:val="Comment Subject Char"/>
    <w:basedOn w:val="CommentTextChar"/>
    <w:link w:val="CommentSubject"/>
    <w:uiPriority w:val="99"/>
    <w:semiHidden/>
    <w:rsid w:val="00DE12C7"/>
    <w:rPr>
      <w:rFonts w:ascii="Calibri" w:hAnsi="Calibri"/>
      <w:b/>
      <w:bCs/>
      <w:lang w:val="en-GB" w:eastAsia="en-US"/>
    </w:rPr>
  </w:style>
  <w:style w:type="character" w:styleId="FollowedHyperlink">
    <w:name w:val="FollowedHyperlink"/>
    <w:basedOn w:val="DefaultParagraphFont"/>
    <w:uiPriority w:val="99"/>
    <w:semiHidden/>
    <w:unhideWhenUsed/>
    <w:rsid w:val="00DE12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1-CL-C-0120/en" TargetMode="External"/><Relationship Id="rId18" Type="http://schemas.openxmlformats.org/officeDocument/2006/relationships/hyperlink" Target="http://www.itu.int/md/S13-CL-C-0015/en" TargetMode="External"/><Relationship Id="rId26" Type="http://schemas.openxmlformats.org/officeDocument/2006/relationships/hyperlink" Target="http://www.itu.int/md/S14-CL-C-0071/en" TargetMode="External"/><Relationship Id="rId39" Type="http://schemas.openxmlformats.org/officeDocument/2006/relationships/hyperlink" Target="http://www.itu.int/md/S14-CL-INF-0012/en" TargetMode="External"/><Relationship Id="rId3" Type="http://schemas.openxmlformats.org/officeDocument/2006/relationships/styles" Target="styles.xml"/><Relationship Id="rId21" Type="http://schemas.openxmlformats.org/officeDocument/2006/relationships/hyperlink" Target="http://www.itu.int/md/S13-CL-C-0107/en" TargetMode="External"/><Relationship Id="rId34" Type="http://schemas.openxmlformats.org/officeDocument/2006/relationships/hyperlink" Target="http://www.itu.int/en/ITU-R/space/spaceAssets/DCME-SP-Doc43-resolution2-EN.pdf" TargetMode="External"/><Relationship Id="rId42" Type="http://schemas.openxmlformats.org/officeDocument/2006/relationships/hyperlink" Target="http://www.itu.int/md/S14-CL-C-0065/en" TargetMode="External"/><Relationship Id="rId47" Type="http://schemas.openxmlformats.org/officeDocument/2006/relationships/hyperlink" Target="http://www.itu.int/en/ITU-R/space/spaceAssetsProtocol/potocolSpaceAssets09032012-EN.pdf"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md/S11-CL-C-0100/en" TargetMode="External"/><Relationship Id="rId17" Type="http://schemas.openxmlformats.org/officeDocument/2006/relationships/hyperlink" Target="http://www.itu.int/md/S12-CL-C-0094/en" TargetMode="External"/><Relationship Id="rId25" Type="http://schemas.openxmlformats.org/officeDocument/2006/relationships/hyperlink" Target="http://www.itu.int/md/S14-CL-C-0065/en" TargetMode="External"/><Relationship Id="rId33" Type="http://schemas.openxmlformats.org/officeDocument/2006/relationships/hyperlink" Target="http://www.itu.int/en/ITU-R/space/spaceAssets/DCME-SP-Doc43-resolution1-EN.pdf" TargetMode="External"/><Relationship Id="rId38" Type="http://schemas.openxmlformats.org/officeDocument/2006/relationships/hyperlink" Target="http://www.itu.int/md/S14-CL-C-0013/en" TargetMode="External"/><Relationship Id="rId46" Type="http://schemas.openxmlformats.org/officeDocument/2006/relationships/hyperlink" Target="https://extranet.itu.int/ITU-R/space-assets" TargetMode="External"/><Relationship Id="rId2" Type="http://schemas.openxmlformats.org/officeDocument/2006/relationships/numbering" Target="numbering.xml"/><Relationship Id="rId16" Type="http://schemas.openxmlformats.org/officeDocument/2006/relationships/hyperlink" Target="http://www.itu.int/md/S12-CL-C-0077/en" TargetMode="External"/><Relationship Id="rId20" Type="http://schemas.openxmlformats.org/officeDocument/2006/relationships/hyperlink" Target="http://www.itu.int/md/S13-CL-C-0078/en" TargetMode="External"/><Relationship Id="rId29" Type="http://schemas.openxmlformats.org/officeDocument/2006/relationships/hyperlink" Target="http://www.itu.int/md/S11-CL-C-0100/en" TargetMode="External"/><Relationship Id="rId41" Type="http://schemas.openxmlformats.org/officeDocument/2006/relationships/hyperlink" Target="http://www.itu.int/md/S14-CL-C-0051/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S11-CL-C-0092/en" TargetMode="External"/><Relationship Id="rId24" Type="http://schemas.openxmlformats.org/officeDocument/2006/relationships/hyperlink" Target="http://www.itu.int/md/S14-CL-C-0051/en" TargetMode="External"/><Relationship Id="rId32" Type="http://schemas.openxmlformats.org/officeDocument/2006/relationships/hyperlink" Target="http://www.itu.int/en/ITU-R/space/spaceAssets/DCME-SP-Doc43-finalAct-EN.pdf" TargetMode="External"/><Relationship Id="rId37" Type="http://schemas.openxmlformats.org/officeDocument/2006/relationships/hyperlink" Target="http://www.itu.int/md/S13-CL-C-0107/en" TargetMode="External"/><Relationship Id="rId40" Type="http://schemas.openxmlformats.org/officeDocument/2006/relationships/hyperlink" Target="http://www.itu.int/md/S14-CL-C-0071/en" TargetMode="External"/><Relationship Id="rId45" Type="http://schemas.openxmlformats.org/officeDocument/2006/relationships/hyperlink" Target="http://www.itu.int/md/S14-CL-C-0013/en"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md/S12-CL-C-0068/en" TargetMode="External"/><Relationship Id="rId23" Type="http://schemas.openxmlformats.org/officeDocument/2006/relationships/hyperlink" Target="http://www.itu.int/md/S14-CL-INF-0012/en" TargetMode="External"/><Relationship Id="rId28" Type="http://schemas.openxmlformats.org/officeDocument/2006/relationships/hyperlink" Target="http://www.itu.int/md/S14-CL-C-0096/en" TargetMode="External"/><Relationship Id="rId36" Type="http://schemas.openxmlformats.org/officeDocument/2006/relationships/hyperlink" Target="http://www.itu.int/md/S13-CL-C-0055/en" TargetMode="External"/><Relationship Id="rId49" Type="http://schemas.openxmlformats.org/officeDocument/2006/relationships/hyperlink" Target="http://www.unidroit.org/english/conventions/mobile-equipment/main.htm" TargetMode="External"/><Relationship Id="rId10" Type="http://schemas.openxmlformats.org/officeDocument/2006/relationships/hyperlink" Target="http://www.itu.int/md/S11-CL-C-0026/en" TargetMode="External"/><Relationship Id="rId19" Type="http://schemas.openxmlformats.org/officeDocument/2006/relationships/hyperlink" Target="http://www.itu.int/md/S13-CL-C-0055/en" TargetMode="External"/><Relationship Id="rId31" Type="http://schemas.openxmlformats.org/officeDocument/2006/relationships/hyperlink" Target="http://www.itu.int/council/C2011/link/026f_protocol.pdf" TargetMode="External"/><Relationship Id="rId44" Type="http://schemas.openxmlformats.org/officeDocument/2006/relationships/hyperlink" Target="http://www.itu.int/md/S14-CL-C-0096/en"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md/S12-CL-C-0036/en" TargetMode="External"/><Relationship Id="rId22" Type="http://schemas.openxmlformats.org/officeDocument/2006/relationships/hyperlink" Target="http://www.itu.int/md/S14-CL-C-0013/en" TargetMode="External"/><Relationship Id="rId27" Type="http://schemas.openxmlformats.org/officeDocument/2006/relationships/hyperlink" Target="http://www.itu.int/md/S14-CL-C-0094/en" TargetMode="External"/><Relationship Id="rId30" Type="http://schemas.openxmlformats.org/officeDocument/2006/relationships/hyperlink" Target="http://www.itu.int/en/ITU-R/space/spaceAssetsProtocol/potocolSpaceAssets09032012-EN.pdf" TargetMode="External"/><Relationship Id="rId35" Type="http://schemas.openxmlformats.org/officeDocument/2006/relationships/hyperlink" Target="http://www.itu.int/md/S12-CL-C-0036/en" TargetMode="External"/><Relationship Id="rId43" Type="http://schemas.openxmlformats.org/officeDocument/2006/relationships/hyperlink" Target="http://www.itu.int/md/S14-CL-C-0094/en" TargetMode="External"/><Relationship Id="rId48" Type="http://schemas.openxmlformats.org/officeDocument/2006/relationships/hyperlink" Target="http://www.unidroit.org/english/conventions/mobile-equipment/main.htm" TargetMode="External"/><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e\AppData\Roaming\Microsoft\Templates\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852A1-8FC8-434A-AD3C-FC131347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PF_PP14.dotx</Template>
  <TotalTime>0</TotalTime>
  <Pages>11</Pages>
  <Words>5188</Words>
  <Characters>32313</Characters>
  <Application>Microsoft Office Word</Application>
  <DocSecurity>4</DocSecurity>
  <Lines>269</Lines>
  <Paragraphs>74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37427</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Conférence de plénipotentiaires (PP-06)</dc:subject>
  <dc:creator>Sane, Marie Henriette</dc:creator>
  <cp:keywords>PP-06</cp:keywords>
  <dc:description>PF_PP14.dotx  For: _x000d_Document date: _x000d_Saved by ITU51009317 at 10:31:32 on 19/03/2013</dc:description>
  <cp:lastModifiedBy>Brouard, Ricarda</cp:lastModifiedBy>
  <cp:revision>2</cp:revision>
  <cp:lastPrinted>2014-09-09T18:39:00Z</cp:lastPrinted>
  <dcterms:created xsi:type="dcterms:W3CDTF">2014-09-09T18:41:00Z</dcterms:created>
  <dcterms:modified xsi:type="dcterms:W3CDTF">2014-09-09T18:41:00Z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