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23AEE" w:rsidRPr="005434CB" w:rsidTr="00433A2C">
        <w:trPr>
          <w:cantSplit/>
        </w:trPr>
        <w:tc>
          <w:tcPr>
            <w:tcW w:w="6911" w:type="dxa"/>
          </w:tcPr>
          <w:p w:rsidR="00423AEE" w:rsidRPr="005434CB" w:rsidRDefault="005A62DB" w:rsidP="00433A2C">
            <w:pPr>
              <w:spacing w:before="360" w:after="48" w:line="240" w:lineRule="atLeast"/>
              <w:rPr>
                <w:rFonts w:asciiTheme="minorHAnsi" w:hAnsiTheme="minorHAnsi"/>
                <w:position w:val="6"/>
                <w:sz w:val="22"/>
                <w:szCs w:val="22"/>
              </w:rPr>
            </w:pPr>
            <w:r>
              <w:rPr>
                <w:rFonts w:asciiTheme="minorHAnsi" w:hAnsiTheme="minorHAnsi"/>
                <w:b/>
                <w:bCs/>
                <w:position w:val="6"/>
                <w:sz w:val="30"/>
                <w:szCs w:val="30"/>
              </w:rPr>
              <w:t>P</w:t>
            </w:r>
            <w:r w:rsidR="008B264A">
              <w:rPr>
                <w:rFonts w:asciiTheme="minorHAnsi" w:hAnsiTheme="minorHAnsi"/>
                <w:b/>
                <w:bCs/>
                <w:position w:val="6"/>
                <w:sz w:val="30"/>
                <w:szCs w:val="30"/>
              </w:rPr>
              <w:t xml:space="preserve">lenipotentiary </w:t>
            </w:r>
            <w:r>
              <w:rPr>
                <w:rFonts w:asciiTheme="minorHAnsi" w:hAnsiTheme="minorHAnsi"/>
                <w:b/>
                <w:bCs/>
                <w:position w:val="6"/>
                <w:sz w:val="30"/>
                <w:szCs w:val="30"/>
              </w:rPr>
              <w:t>Conference (PP-</w:t>
            </w:r>
            <w:r w:rsidR="00423AEE" w:rsidRPr="001A5C9B">
              <w:rPr>
                <w:rFonts w:asciiTheme="minorHAnsi" w:hAnsiTheme="minorHAnsi"/>
                <w:b/>
                <w:bCs/>
                <w:position w:val="6"/>
                <w:sz w:val="30"/>
                <w:szCs w:val="30"/>
              </w:rPr>
              <w:t>14</w:t>
            </w:r>
            <w:r>
              <w:rPr>
                <w:rFonts w:asciiTheme="minorHAnsi" w:hAnsiTheme="minorHAnsi"/>
                <w:b/>
                <w:bCs/>
                <w:position w:val="6"/>
                <w:sz w:val="30"/>
                <w:szCs w:val="30"/>
              </w:rPr>
              <w:t>)</w:t>
            </w:r>
            <w:r w:rsidR="00423AEE" w:rsidRPr="005434CB">
              <w:rPr>
                <w:rFonts w:asciiTheme="minorHAnsi" w:hAnsiTheme="minorHAnsi" w:cs="Times"/>
                <w:b/>
                <w:position w:val="6"/>
                <w:sz w:val="22"/>
                <w:szCs w:val="22"/>
              </w:rPr>
              <w:br/>
            </w:r>
            <w:r>
              <w:rPr>
                <w:rFonts w:asciiTheme="minorHAnsi" w:hAnsiTheme="minorHAnsi"/>
                <w:b/>
                <w:bCs/>
                <w:position w:val="6"/>
                <w:szCs w:val="24"/>
              </w:rPr>
              <w:t>Busan</w:t>
            </w:r>
            <w:r w:rsidR="001A5C9B">
              <w:rPr>
                <w:rFonts w:asciiTheme="minorHAnsi" w:hAnsiTheme="minorHAnsi"/>
                <w:b/>
                <w:bCs/>
                <w:position w:val="6"/>
                <w:szCs w:val="24"/>
              </w:rPr>
              <w:t xml:space="preserve">, </w:t>
            </w:r>
            <w:r w:rsidR="00307E38">
              <w:rPr>
                <w:rFonts w:asciiTheme="minorHAnsi" w:hAnsiTheme="minorHAnsi"/>
                <w:b/>
                <w:bCs/>
                <w:position w:val="6"/>
                <w:szCs w:val="24"/>
              </w:rPr>
              <w:t xml:space="preserve">20 October-7 November </w:t>
            </w:r>
            <w:r w:rsidR="00423AEE" w:rsidRPr="001A5C9B">
              <w:rPr>
                <w:rFonts w:asciiTheme="minorHAnsi" w:hAnsiTheme="minorHAnsi"/>
                <w:b/>
                <w:bCs/>
                <w:position w:val="6"/>
                <w:szCs w:val="24"/>
              </w:rPr>
              <w:t>2014</w:t>
            </w:r>
          </w:p>
        </w:tc>
        <w:tc>
          <w:tcPr>
            <w:tcW w:w="3120" w:type="dxa"/>
          </w:tcPr>
          <w:p w:rsidR="00423AEE" w:rsidRPr="005434CB" w:rsidRDefault="00423AEE" w:rsidP="00433A2C">
            <w:pPr>
              <w:spacing w:before="0" w:line="240" w:lineRule="atLeast"/>
              <w:rPr>
                <w:rFonts w:asciiTheme="minorHAnsi" w:hAnsiTheme="minorHAnsi"/>
                <w:sz w:val="22"/>
                <w:szCs w:val="22"/>
              </w:rPr>
            </w:pPr>
            <w:bookmarkStart w:id="0" w:name="ditulogo"/>
            <w:bookmarkEnd w:id="0"/>
            <w:r w:rsidRPr="005434CB">
              <w:rPr>
                <w:rFonts w:asciiTheme="minorHAnsi" w:hAnsiTheme="minorHAnsi"/>
                <w:noProof/>
                <w:sz w:val="22"/>
                <w:szCs w:val="22"/>
                <w:lang w:val="en-US" w:eastAsia="zh-CN"/>
              </w:rPr>
              <w:drawing>
                <wp:inline distT="0" distB="0" distL="0" distR="0" wp14:anchorId="55CC31F3" wp14:editId="15A51FCE">
                  <wp:extent cx="17240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742950"/>
                          </a:xfrm>
                          <a:prstGeom prst="rect">
                            <a:avLst/>
                          </a:prstGeom>
                          <a:noFill/>
                          <a:ln>
                            <a:noFill/>
                          </a:ln>
                        </pic:spPr>
                      </pic:pic>
                    </a:graphicData>
                  </a:graphic>
                </wp:inline>
              </w:drawing>
            </w:r>
          </w:p>
        </w:tc>
      </w:tr>
      <w:tr w:rsidR="00423AEE" w:rsidRPr="005434CB" w:rsidTr="00433A2C">
        <w:trPr>
          <w:cantSplit/>
        </w:trPr>
        <w:tc>
          <w:tcPr>
            <w:tcW w:w="6911" w:type="dxa"/>
            <w:tcBorders>
              <w:bottom w:val="single" w:sz="12" w:space="0" w:color="auto"/>
            </w:tcBorders>
          </w:tcPr>
          <w:p w:rsidR="00423AEE" w:rsidRPr="005434CB" w:rsidRDefault="00423AEE" w:rsidP="00433A2C">
            <w:pPr>
              <w:spacing w:before="0" w:after="48" w:line="240" w:lineRule="atLeast"/>
              <w:rPr>
                <w:rFonts w:asciiTheme="minorHAnsi" w:hAnsiTheme="minorHAnsi"/>
                <w:b/>
                <w:smallCaps/>
                <w:sz w:val="22"/>
                <w:szCs w:val="22"/>
              </w:rPr>
            </w:pPr>
          </w:p>
        </w:tc>
        <w:tc>
          <w:tcPr>
            <w:tcW w:w="3120" w:type="dxa"/>
            <w:tcBorders>
              <w:bottom w:val="single" w:sz="12" w:space="0" w:color="auto"/>
            </w:tcBorders>
          </w:tcPr>
          <w:p w:rsidR="00423AEE" w:rsidRPr="005434CB" w:rsidRDefault="00423AEE" w:rsidP="00433A2C">
            <w:pPr>
              <w:spacing w:before="0" w:line="240" w:lineRule="atLeast"/>
              <w:rPr>
                <w:rFonts w:asciiTheme="minorHAnsi" w:hAnsiTheme="minorHAnsi"/>
                <w:sz w:val="22"/>
                <w:szCs w:val="22"/>
              </w:rPr>
            </w:pPr>
          </w:p>
        </w:tc>
      </w:tr>
      <w:tr w:rsidR="00423AEE" w:rsidRPr="005434CB" w:rsidTr="00433A2C">
        <w:trPr>
          <w:cantSplit/>
        </w:trPr>
        <w:tc>
          <w:tcPr>
            <w:tcW w:w="6911" w:type="dxa"/>
            <w:tcBorders>
              <w:top w:val="single" w:sz="12" w:space="0" w:color="auto"/>
            </w:tcBorders>
          </w:tcPr>
          <w:p w:rsidR="00423AEE" w:rsidRPr="005434CB" w:rsidRDefault="00423AEE" w:rsidP="00433A2C">
            <w:pPr>
              <w:spacing w:before="0" w:after="48" w:line="240" w:lineRule="atLeast"/>
              <w:rPr>
                <w:rFonts w:asciiTheme="minorHAnsi" w:hAnsiTheme="minorHAnsi"/>
                <w:b/>
                <w:smallCaps/>
                <w:sz w:val="22"/>
                <w:szCs w:val="22"/>
              </w:rPr>
            </w:pPr>
          </w:p>
        </w:tc>
        <w:tc>
          <w:tcPr>
            <w:tcW w:w="3120" w:type="dxa"/>
            <w:tcBorders>
              <w:top w:val="single" w:sz="12" w:space="0" w:color="auto"/>
            </w:tcBorders>
          </w:tcPr>
          <w:p w:rsidR="00423AEE" w:rsidRPr="005434CB" w:rsidRDefault="00423AEE" w:rsidP="00433A2C">
            <w:pPr>
              <w:spacing w:before="0" w:line="240" w:lineRule="atLeast"/>
              <w:rPr>
                <w:rFonts w:asciiTheme="minorHAnsi" w:hAnsiTheme="minorHAnsi"/>
                <w:sz w:val="22"/>
                <w:szCs w:val="22"/>
              </w:rPr>
            </w:pPr>
          </w:p>
        </w:tc>
      </w:tr>
      <w:tr w:rsidR="00B23869" w:rsidRPr="00B23869" w:rsidTr="00433A2C">
        <w:trPr>
          <w:cantSplit/>
          <w:trHeight w:val="23"/>
        </w:trPr>
        <w:tc>
          <w:tcPr>
            <w:tcW w:w="6911" w:type="dxa"/>
            <w:vMerge w:val="restart"/>
          </w:tcPr>
          <w:p w:rsidR="00B23869" w:rsidRPr="00FA64D9" w:rsidRDefault="00FA64D9" w:rsidP="00B23869">
            <w:pPr>
              <w:tabs>
                <w:tab w:val="left" w:pos="851"/>
              </w:tabs>
              <w:spacing w:before="0" w:line="240" w:lineRule="atLeast"/>
              <w:rPr>
                <w:rFonts w:asciiTheme="minorHAnsi" w:hAnsiTheme="minorHAnsi" w:cs="Calibri"/>
                <w:b/>
                <w:bCs/>
                <w:sz w:val="22"/>
                <w:szCs w:val="22"/>
              </w:rPr>
            </w:pPr>
            <w:bookmarkStart w:id="1" w:name="dmeeting" w:colFirst="0" w:colLast="0"/>
            <w:bookmarkStart w:id="2" w:name="dnum" w:colFirst="1" w:colLast="1"/>
            <w:r w:rsidRPr="00FA64D9">
              <w:rPr>
                <w:b/>
                <w:bCs/>
                <w:szCs w:val="28"/>
              </w:rPr>
              <w:t>PLENARY MEETING</w:t>
            </w:r>
          </w:p>
        </w:tc>
        <w:tc>
          <w:tcPr>
            <w:tcW w:w="3120" w:type="dxa"/>
          </w:tcPr>
          <w:tbl>
            <w:tblPr>
              <w:tblpPr w:leftFromText="180" w:rightFromText="180" w:horzAnchor="margin" w:tblpY="-675"/>
              <w:tblW w:w="10031" w:type="dxa"/>
              <w:tblLayout w:type="fixed"/>
              <w:tblLook w:val="0000" w:firstRow="0" w:lastRow="0" w:firstColumn="0" w:lastColumn="0" w:noHBand="0" w:noVBand="0"/>
            </w:tblPr>
            <w:tblGrid>
              <w:gridCol w:w="10031"/>
            </w:tblGrid>
            <w:tr w:rsidR="00B23869" w:rsidRPr="00F954B8" w:rsidTr="00AC0E12">
              <w:trPr>
                <w:cantSplit/>
                <w:trHeight w:val="23"/>
              </w:trPr>
              <w:tc>
                <w:tcPr>
                  <w:tcW w:w="3120" w:type="dxa"/>
                </w:tcPr>
                <w:p w:rsidR="00B23869" w:rsidRPr="00FA64D9" w:rsidRDefault="00B23869" w:rsidP="007F0483">
                  <w:pPr>
                    <w:tabs>
                      <w:tab w:val="left" w:pos="851"/>
                    </w:tabs>
                    <w:spacing w:before="0" w:line="240" w:lineRule="atLeast"/>
                    <w:rPr>
                      <w:b/>
                    </w:rPr>
                  </w:pPr>
                  <w:r w:rsidRPr="00FA64D9">
                    <w:rPr>
                      <w:b/>
                    </w:rPr>
                    <w:t xml:space="preserve">Document </w:t>
                  </w:r>
                  <w:r w:rsidR="007F0483" w:rsidRPr="00FA64D9">
                    <w:rPr>
                      <w:b/>
                    </w:rPr>
                    <w:t>62</w:t>
                  </w:r>
                  <w:r w:rsidRPr="00FA64D9">
                    <w:rPr>
                      <w:b/>
                    </w:rPr>
                    <w:t>-E</w:t>
                  </w:r>
                </w:p>
              </w:tc>
            </w:tr>
            <w:tr w:rsidR="00B23869" w:rsidRPr="00F954B8" w:rsidTr="00AC0E12">
              <w:trPr>
                <w:cantSplit/>
                <w:trHeight w:val="23"/>
              </w:trPr>
              <w:tc>
                <w:tcPr>
                  <w:tcW w:w="3120" w:type="dxa"/>
                </w:tcPr>
                <w:p w:rsidR="00B23869" w:rsidRPr="00FA64D9" w:rsidRDefault="00B763B1" w:rsidP="00B23869">
                  <w:pPr>
                    <w:tabs>
                      <w:tab w:val="left" w:pos="993"/>
                    </w:tabs>
                    <w:spacing w:before="0"/>
                    <w:rPr>
                      <w:b/>
                    </w:rPr>
                  </w:pPr>
                  <w:r>
                    <w:rPr>
                      <w:b/>
                    </w:rPr>
                    <w:t>8 August</w:t>
                  </w:r>
                  <w:r w:rsidR="00B23869" w:rsidRPr="00FA64D9">
                    <w:rPr>
                      <w:b/>
                    </w:rPr>
                    <w:t xml:space="preserve"> 2014</w:t>
                  </w:r>
                </w:p>
              </w:tc>
            </w:tr>
            <w:tr w:rsidR="00B23869" w:rsidRPr="00F954B8" w:rsidTr="00AC0E12">
              <w:trPr>
                <w:cantSplit/>
                <w:trHeight w:val="23"/>
              </w:trPr>
              <w:tc>
                <w:tcPr>
                  <w:tcW w:w="3120" w:type="dxa"/>
                </w:tcPr>
                <w:p w:rsidR="00B23869" w:rsidRPr="00FA64D9" w:rsidRDefault="00B23869" w:rsidP="00B23869">
                  <w:pPr>
                    <w:tabs>
                      <w:tab w:val="left" w:pos="993"/>
                    </w:tabs>
                    <w:spacing w:before="0"/>
                    <w:rPr>
                      <w:b/>
                    </w:rPr>
                  </w:pPr>
                  <w:r w:rsidRPr="00FA64D9">
                    <w:rPr>
                      <w:b/>
                    </w:rPr>
                    <w:t>Original: English</w:t>
                  </w:r>
                </w:p>
              </w:tc>
            </w:tr>
          </w:tbl>
          <w:p w:rsidR="00B23869" w:rsidRDefault="00B23869" w:rsidP="00B23869"/>
        </w:tc>
      </w:tr>
      <w:tr w:rsidR="00B23869" w:rsidRPr="005434CB" w:rsidTr="00433A2C">
        <w:trPr>
          <w:cantSplit/>
          <w:trHeight w:val="23"/>
        </w:trPr>
        <w:tc>
          <w:tcPr>
            <w:tcW w:w="6911" w:type="dxa"/>
            <w:vMerge/>
          </w:tcPr>
          <w:p w:rsidR="00B23869" w:rsidRPr="000C3107" w:rsidRDefault="00B23869" w:rsidP="00B23869">
            <w:pPr>
              <w:tabs>
                <w:tab w:val="left" w:pos="851"/>
              </w:tabs>
              <w:spacing w:line="240" w:lineRule="atLeast"/>
              <w:rPr>
                <w:rFonts w:asciiTheme="minorHAnsi" w:hAnsiTheme="minorHAnsi"/>
                <w:b/>
                <w:sz w:val="22"/>
                <w:szCs w:val="22"/>
                <w:lang w:val="es-ES_tradnl"/>
              </w:rPr>
            </w:pPr>
            <w:bookmarkStart w:id="3" w:name="ddate" w:colFirst="1" w:colLast="1"/>
            <w:bookmarkEnd w:id="1"/>
            <w:bookmarkEnd w:id="2"/>
          </w:p>
        </w:tc>
        <w:tc>
          <w:tcPr>
            <w:tcW w:w="3120" w:type="dxa"/>
          </w:tcPr>
          <w:p w:rsidR="00B23869" w:rsidRDefault="00B23869" w:rsidP="00B23869"/>
        </w:tc>
      </w:tr>
      <w:tr w:rsidR="00423AEE" w:rsidRPr="005434CB" w:rsidTr="00433A2C">
        <w:trPr>
          <w:cantSplit/>
        </w:trPr>
        <w:tc>
          <w:tcPr>
            <w:tcW w:w="10031" w:type="dxa"/>
            <w:gridSpan w:val="2"/>
          </w:tcPr>
          <w:p w:rsidR="00423AEE" w:rsidRPr="001A5C9B" w:rsidRDefault="00F007A3" w:rsidP="001A5C9B">
            <w:pPr>
              <w:pStyle w:val="Source"/>
              <w:framePr w:hSpace="0" w:wrap="auto" w:hAnchor="text" w:yAlign="inline"/>
            </w:pPr>
            <w:bookmarkStart w:id="4" w:name="dsource" w:colFirst="0" w:colLast="0"/>
            <w:bookmarkEnd w:id="3"/>
            <w:r>
              <w:t xml:space="preserve">Report </w:t>
            </w:r>
            <w:r w:rsidR="00423AEE" w:rsidRPr="001A5C9B">
              <w:t>by the Secretary-General</w:t>
            </w:r>
          </w:p>
        </w:tc>
      </w:tr>
      <w:tr w:rsidR="00423AEE" w:rsidRPr="005434CB" w:rsidTr="00433A2C">
        <w:trPr>
          <w:cantSplit/>
        </w:trPr>
        <w:tc>
          <w:tcPr>
            <w:tcW w:w="10031" w:type="dxa"/>
            <w:gridSpan w:val="2"/>
          </w:tcPr>
          <w:p w:rsidR="00423AEE" w:rsidRPr="005434CB" w:rsidRDefault="001A5C9B" w:rsidP="001A5C9B">
            <w:pPr>
              <w:pStyle w:val="Title1"/>
              <w:framePr w:hSpace="0" w:wrap="auto" w:hAnchor="text" w:yAlign="inline"/>
              <w:rPr>
                <w:sz w:val="22"/>
                <w:szCs w:val="22"/>
              </w:rPr>
            </w:pPr>
            <w:bookmarkStart w:id="5" w:name="dtitle1" w:colFirst="0" w:colLast="0"/>
            <w:bookmarkEnd w:id="4"/>
            <w:r w:rsidRPr="004B316E">
              <w:t>ITU</w:t>
            </w:r>
            <w:r>
              <w:t>’s</w:t>
            </w:r>
            <w:r w:rsidRPr="004B316E">
              <w:t xml:space="preserve"> role as Supervisory Authority of the International</w:t>
            </w:r>
            <w:r>
              <w:t xml:space="preserve"> </w:t>
            </w:r>
            <w:r w:rsidRPr="004B316E">
              <w:t>Registration System for Space Assets under the Space Protocol</w:t>
            </w:r>
          </w:p>
        </w:tc>
      </w:tr>
      <w:bookmarkEnd w:id="5"/>
    </w:tbl>
    <w:p w:rsidR="00423AEE" w:rsidRPr="005434CB" w:rsidRDefault="00423AEE" w:rsidP="00423AEE">
      <w:pPr>
        <w:rPr>
          <w:rFonts w:asciiTheme="minorHAnsi" w:hAnsiTheme="minorHAnsi"/>
          <w:sz w:val="22"/>
          <w:szCs w:val="22"/>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423AEE" w:rsidRPr="00ED603D" w:rsidTr="00433A2C">
        <w:trPr>
          <w:trHeight w:val="3372"/>
        </w:trPr>
        <w:tc>
          <w:tcPr>
            <w:tcW w:w="8080" w:type="dxa"/>
            <w:tcBorders>
              <w:top w:val="single" w:sz="12" w:space="0" w:color="auto"/>
              <w:left w:val="single" w:sz="12" w:space="0" w:color="auto"/>
              <w:bottom w:val="single" w:sz="12" w:space="0" w:color="auto"/>
              <w:right w:val="single" w:sz="12" w:space="0" w:color="auto"/>
            </w:tcBorders>
          </w:tcPr>
          <w:p w:rsidR="00423AEE" w:rsidRPr="001D745F" w:rsidRDefault="00423AEE" w:rsidP="0064669B">
            <w:pPr>
              <w:pStyle w:val="Headingb"/>
              <w:spacing w:before="120" w:after="120"/>
              <w:rPr>
                <w:rFonts w:asciiTheme="minorHAnsi" w:hAnsiTheme="minorHAnsi"/>
                <w:szCs w:val="24"/>
              </w:rPr>
            </w:pPr>
            <w:bookmarkStart w:id="6" w:name="_Toc305764050"/>
            <w:r w:rsidRPr="001D745F">
              <w:rPr>
                <w:rFonts w:asciiTheme="minorHAnsi" w:hAnsiTheme="minorHAnsi"/>
                <w:szCs w:val="24"/>
              </w:rPr>
              <w:t>Summary</w:t>
            </w:r>
            <w:bookmarkEnd w:id="6"/>
          </w:p>
          <w:p w:rsidR="00423AEE" w:rsidRPr="00E70124" w:rsidRDefault="003A46A9" w:rsidP="00FA64D9">
            <w:pPr>
              <w:spacing w:after="120"/>
              <w:jc w:val="both"/>
              <w:rPr>
                <w:rFonts w:asciiTheme="minorHAnsi" w:hAnsiTheme="minorHAnsi"/>
                <w:b/>
                <w:bCs/>
                <w:szCs w:val="24"/>
              </w:rPr>
            </w:pPr>
            <w:r w:rsidRPr="003A46A9">
              <w:rPr>
                <w:rFonts w:asciiTheme="minorHAnsi" w:hAnsiTheme="minorHAnsi"/>
                <w:szCs w:val="24"/>
              </w:rPr>
              <w:t xml:space="preserve">During the last few years, </w:t>
            </w:r>
            <w:r w:rsidR="003C6D07" w:rsidRPr="00E70124">
              <w:rPr>
                <w:rFonts w:cstheme="minorHAnsi"/>
                <w:szCs w:val="24"/>
              </w:rPr>
              <w:t>the International Telecommunication Union</w:t>
            </w:r>
            <w:r w:rsidR="003C6D07" w:rsidRPr="003A46A9">
              <w:rPr>
                <w:rFonts w:asciiTheme="minorHAnsi" w:hAnsiTheme="minorHAnsi"/>
                <w:szCs w:val="24"/>
              </w:rPr>
              <w:t xml:space="preserve"> </w:t>
            </w:r>
            <w:r w:rsidR="003C6D07">
              <w:rPr>
                <w:rFonts w:asciiTheme="minorHAnsi" w:hAnsiTheme="minorHAnsi"/>
                <w:szCs w:val="24"/>
              </w:rPr>
              <w:t>(</w:t>
            </w:r>
            <w:r w:rsidRPr="003A46A9">
              <w:rPr>
                <w:rFonts w:asciiTheme="minorHAnsi" w:hAnsiTheme="minorHAnsi"/>
                <w:szCs w:val="24"/>
              </w:rPr>
              <w:t>ITU</w:t>
            </w:r>
            <w:r w:rsidR="003C6D07">
              <w:rPr>
                <w:rFonts w:asciiTheme="minorHAnsi" w:hAnsiTheme="minorHAnsi"/>
                <w:szCs w:val="24"/>
              </w:rPr>
              <w:t>)</w:t>
            </w:r>
            <w:r w:rsidRPr="003A46A9">
              <w:rPr>
                <w:rFonts w:asciiTheme="minorHAnsi" w:hAnsiTheme="minorHAnsi"/>
                <w:szCs w:val="24"/>
              </w:rPr>
              <w:t xml:space="preserve"> has shown a strong interest in becoming the Supervisory Authority of the future International Registration System for Space</w:t>
            </w:r>
            <w:bookmarkStart w:id="7" w:name="_GoBack"/>
            <w:bookmarkEnd w:id="7"/>
            <w:r w:rsidRPr="003A46A9">
              <w:rPr>
                <w:rFonts w:asciiTheme="minorHAnsi" w:hAnsiTheme="minorHAnsi"/>
                <w:szCs w:val="24"/>
              </w:rPr>
              <w:t xml:space="preserve"> Assets under the Space Protocol. </w:t>
            </w:r>
            <w:r w:rsidR="00423AEE" w:rsidRPr="00E70124">
              <w:rPr>
                <w:rFonts w:asciiTheme="minorHAnsi" w:hAnsiTheme="minorHAnsi"/>
                <w:szCs w:val="24"/>
              </w:rPr>
              <w:t xml:space="preserve">This report is a </w:t>
            </w:r>
            <w:r w:rsidR="00E70124" w:rsidRPr="00E70124">
              <w:rPr>
                <w:rFonts w:asciiTheme="minorHAnsi" w:hAnsiTheme="minorHAnsi"/>
                <w:szCs w:val="24"/>
              </w:rPr>
              <w:t xml:space="preserve">follow-up </w:t>
            </w:r>
            <w:r w:rsidR="00A65E28">
              <w:rPr>
                <w:rFonts w:asciiTheme="minorHAnsi" w:hAnsiTheme="minorHAnsi"/>
                <w:szCs w:val="24"/>
              </w:rPr>
              <w:t xml:space="preserve">to </w:t>
            </w:r>
            <w:r w:rsidR="00423AEE" w:rsidRPr="00E70124">
              <w:rPr>
                <w:rFonts w:cstheme="minorHAnsi"/>
                <w:szCs w:val="24"/>
              </w:rPr>
              <w:t xml:space="preserve">the </w:t>
            </w:r>
            <w:r w:rsidR="00631293" w:rsidRPr="00E70124">
              <w:rPr>
                <w:rFonts w:cstheme="minorHAnsi"/>
                <w:szCs w:val="24"/>
              </w:rPr>
              <w:t xml:space="preserve">2011, 2012, 2013 </w:t>
            </w:r>
            <w:r w:rsidR="0044206B" w:rsidRPr="00E70124">
              <w:rPr>
                <w:rFonts w:cstheme="minorHAnsi"/>
                <w:szCs w:val="24"/>
              </w:rPr>
              <w:t xml:space="preserve">and </w:t>
            </w:r>
            <w:r w:rsidR="00631293" w:rsidRPr="00E70124">
              <w:rPr>
                <w:rFonts w:cstheme="minorHAnsi"/>
                <w:szCs w:val="24"/>
              </w:rPr>
              <w:t xml:space="preserve">2014 Council sessions </w:t>
            </w:r>
            <w:r w:rsidR="0044206B" w:rsidRPr="00E70124">
              <w:rPr>
                <w:rFonts w:cstheme="minorHAnsi"/>
                <w:szCs w:val="24"/>
              </w:rPr>
              <w:t>as well as the 1</w:t>
            </w:r>
            <w:r w:rsidR="0044206B" w:rsidRPr="007F0483">
              <w:rPr>
                <w:rFonts w:cstheme="minorHAnsi"/>
                <w:szCs w:val="24"/>
              </w:rPr>
              <w:t>st</w:t>
            </w:r>
            <w:r w:rsidR="0044206B" w:rsidRPr="00E70124">
              <w:rPr>
                <w:rFonts w:cstheme="minorHAnsi"/>
                <w:szCs w:val="24"/>
              </w:rPr>
              <w:t xml:space="preserve"> and 2</w:t>
            </w:r>
            <w:r w:rsidR="0044206B" w:rsidRPr="007F0483">
              <w:rPr>
                <w:rFonts w:cstheme="minorHAnsi"/>
                <w:szCs w:val="24"/>
              </w:rPr>
              <w:t>nd</w:t>
            </w:r>
            <w:r w:rsidR="0044206B" w:rsidRPr="00E70124">
              <w:rPr>
                <w:rFonts w:cstheme="minorHAnsi"/>
                <w:szCs w:val="24"/>
              </w:rPr>
              <w:t xml:space="preserve"> session of the Preparatory Commission </w:t>
            </w:r>
            <w:r w:rsidR="00423AEE" w:rsidRPr="00E70124">
              <w:rPr>
                <w:rFonts w:cstheme="minorHAnsi"/>
                <w:szCs w:val="24"/>
              </w:rPr>
              <w:t xml:space="preserve">relating to the possible role of ITU as Supervisory Authority of the International Registration System for Space Assets and presents some </w:t>
            </w:r>
            <w:r w:rsidR="00E70124" w:rsidRPr="00E70124">
              <w:rPr>
                <w:rFonts w:cstheme="minorHAnsi"/>
                <w:szCs w:val="24"/>
              </w:rPr>
              <w:t xml:space="preserve">background, </w:t>
            </w:r>
            <w:r w:rsidR="00423AEE" w:rsidRPr="00E70124">
              <w:rPr>
                <w:rFonts w:cstheme="minorHAnsi"/>
                <w:szCs w:val="24"/>
              </w:rPr>
              <w:t xml:space="preserve">clarification and </w:t>
            </w:r>
            <w:r w:rsidR="00E70124" w:rsidRPr="00E70124">
              <w:rPr>
                <w:rFonts w:cstheme="minorHAnsi"/>
                <w:szCs w:val="24"/>
              </w:rPr>
              <w:t xml:space="preserve">information </w:t>
            </w:r>
            <w:r w:rsidR="00311E84" w:rsidRPr="00E70124">
              <w:rPr>
                <w:rFonts w:cstheme="minorHAnsi"/>
                <w:szCs w:val="24"/>
              </w:rPr>
              <w:t>in this regard.</w:t>
            </w:r>
          </w:p>
          <w:p w:rsidR="00423AEE" w:rsidRPr="0013633F" w:rsidRDefault="00423AEE" w:rsidP="0064669B">
            <w:pPr>
              <w:pStyle w:val="Headingb"/>
              <w:spacing w:before="120" w:after="120"/>
              <w:rPr>
                <w:rFonts w:asciiTheme="minorHAnsi" w:hAnsiTheme="minorHAnsi"/>
                <w:szCs w:val="24"/>
              </w:rPr>
            </w:pPr>
            <w:bookmarkStart w:id="8" w:name="_Toc305764051"/>
            <w:r w:rsidRPr="0013633F">
              <w:rPr>
                <w:rFonts w:asciiTheme="minorHAnsi" w:hAnsiTheme="minorHAnsi"/>
                <w:szCs w:val="24"/>
              </w:rPr>
              <w:t>Action required</w:t>
            </w:r>
            <w:bookmarkEnd w:id="8"/>
          </w:p>
          <w:p w:rsidR="00423AEE" w:rsidRPr="0013633F" w:rsidRDefault="00423AEE" w:rsidP="00FA64D9">
            <w:pPr>
              <w:spacing w:after="120"/>
              <w:jc w:val="both"/>
              <w:rPr>
                <w:rFonts w:asciiTheme="minorHAnsi" w:hAnsiTheme="minorHAnsi" w:cs="Calibri"/>
                <w:szCs w:val="24"/>
              </w:rPr>
            </w:pPr>
            <w:r w:rsidRPr="0013633F">
              <w:rPr>
                <w:rFonts w:asciiTheme="minorHAnsi" w:hAnsiTheme="minorHAnsi"/>
                <w:szCs w:val="24"/>
              </w:rPr>
              <w:t xml:space="preserve">This </w:t>
            </w:r>
            <w:r w:rsidR="0013633F" w:rsidRPr="0013633F">
              <w:rPr>
                <w:rFonts w:asciiTheme="minorHAnsi" w:hAnsiTheme="minorHAnsi"/>
                <w:szCs w:val="24"/>
              </w:rPr>
              <w:t>report is transmitted to the Plenipotentiary Conference</w:t>
            </w:r>
            <w:r w:rsidRPr="0013633F">
              <w:rPr>
                <w:rFonts w:asciiTheme="minorHAnsi" w:hAnsiTheme="minorHAnsi"/>
                <w:szCs w:val="24"/>
              </w:rPr>
              <w:t xml:space="preserve"> </w:t>
            </w:r>
            <w:r w:rsidR="00B23869" w:rsidRPr="0013633F">
              <w:rPr>
                <w:rFonts w:asciiTheme="minorHAnsi" w:hAnsiTheme="minorHAnsi"/>
                <w:szCs w:val="24"/>
              </w:rPr>
              <w:t xml:space="preserve">for </w:t>
            </w:r>
            <w:r w:rsidR="00B23869">
              <w:rPr>
                <w:rFonts w:asciiTheme="minorHAnsi" w:hAnsiTheme="minorHAnsi"/>
                <w:szCs w:val="24"/>
              </w:rPr>
              <w:t>consideration</w:t>
            </w:r>
            <w:r w:rsidR="003C6D07">
              <w:rPr>
                <w:rFonts w:asciiTheme="minorHAnsi" w:hAnsiTheme="minorHAnsi"/>
                <w:szCs w:val="24"/>
              </w:rPr>
              <w:t xml:space="preserve"> and appropriate </w:t>
            </w:r>
            <w:r w:rsidR="00B23869">
              <w:rPr>
                <w:rFonts w:asciiTheme="minorHAnsi" w:hAnsiTheme="minorHAnsi"/>
                <w:szCs w:val="24"/>
              </w:rPr>
              <w:t>action.</w:t>
            </w:r>
          </w:p>
          <w:p w:rsidR="00423AEE" w:rsidRPr="00D12FC7" w:rsidRDefault="00423AEE" w:rsidP="0064669B">
            <w:pPr>
              <w:pStyle w:val="Table"/>
              <w:keepNext w:val="0"/>
              <w:spacing w:before="120"/>
              <w:rPr>
                <w:rFonts w:asciiTheme="minorHAnsi" w:hAnsiTheme="minorHAnsi"/>
                <w:caps w:val="0"/>
                <w:szCs w:val="24"/>
                <w:lang w:val="en-US"/>
              </w:rPr>
            </w:pPr>
            <w:r w:rsidRPr="00D12FC7">
              <w:rPr>
                <w:rFonts w:asciiTheme="minorHAnsi" w:hAnsiTheme="minorHAnsi"/>
                <w:caps w:val="0"/>
                <w:szCs w:val="24"/>
                <w:lang w:val="en-US"/>
              </w:rPr>
              <w:t>____________</w:t>
            </w:r>
          </w:p>
          <w:p w:rsidR="00423AEE" w:rsidRPr="00AF6A3A" w:rsidRDefault="00423AEE" w:rsidP="0064669B">
            <w:pPr>
              <w:pStyle w:val="Headingb"/>
              <w:spacing w:before="120" w:after="120"/>
              <w:rPr>
                <w:rFonts w:asciiTheme="minorHAnsi" w:hAnsiTheme="minorHAnsi"/>
                <w:szCs w:val="24"/>
                <w:lang w:val="en-US"/>
              </w:rPr>
            </w:pPr>
            <w:bookmarkStart w:id="9" w:name="_Toc305764052"/>
            <w:r w:rsidRPr="00AF6A3A">
              <w:rPr>
                <w:rFonts w:asciiTheme="minorHAnsi" w:hAnsiTheme="minorHAnsi"/>
                <w:szCs w:val="24"/>
                <w:lang w:val="en-US"/>
              </w:rPr>
              <w:t>References</w:t>
            </w:r>
            <w:bookmarkEnd w:id="9"/>
          </w:p>
          <w:p w:rsidR="00423AEE" w:rsidRPr="00FA07E1" w:rsidRDefault="00311E84" w:rsidP="00A03E7C">
            <w:pPr>
              <w:spacing w:after="120"/>
              <w:jc w:val="both"/>
              <w:rPr>
                <w:rFonts w:asciiTheme="minorHAnsi" w:hAnsiTheme="minorHAnsi"/>
                <w:i/>
                <w:iCs/>
                <w:sz w:val="22"/>
                <w:szCs w:val="22"/>
              </w:rPr>
            </w:pPr>
            <w:r w:rsidRPr="00FA07E1">
              <w:rPr>
                <w:rFonts w:asciiTheme="minorHAnsi" w:hAnsiTheme="minorHAnsi"/>
                <w:i/>
                <w:iCs/>
                <w:szCs w:val="24"/>
              </w:rPr>
              <w:t xml:space="preserve">Documents </w:t>
            </w:r>
            <w:hyperlink r:id="rId10" w:history="1">
              <w:r w:rsidR="00AF6A3A" w:rsidRPr="00FA07E1">
                <w:rPr>
                  <w:rStyle w:val="Hyperlink"/>
                  <w:rFonts w:asciiTheme="minorHAnsi" w:hAnsiTheme="minorHAnsi"/>
                  <w:i/>
                  <w:iCs/>
                  <w:szCs w:val="24"/>
                </w:rPr>
                <w:t>C11/26</w:t>
              </w:r>
            </w:hyperlink>
            <w:r w:rsidR="00AF6A3A" w:rsidRPr="00FA07E1">
              <w:rPr>
                <w:rFonts w:asciiTheme="minorHAnsi" w:hAnsiTheme="minorHAnsi"/>
                <w:i/>
                <w:iCs/>
                <w:szCs w:val="24"/>
              </w:rPr>
              <w:t xml:space="preserve">, </w:t>
            </w:r>
            <w:hyperlink r:id="rId11" w:history="1">
              <w:r w:rsidR="00AF6A3A" w:rsidRPr="00FA07E1">
                <w:rPr>
                  <w:rStyle w:val="Hyperlink"/>
                  <w:rFonts w:asciiTheme="minorHAnsi" w:hAnsiTheme="minorHAnsi"/>
                  <w:i/>
                  <w:iCs/>
                  <w:szCs w:val="24"/>
                </w:rPr>
                <w:t>C11/92</w:t>
              </w:r>
            </w:hyperlink>
            <w:r w:rsidR="00AF6A3A" w:rsidRPr="00FA07E1">
              <w:rPr>
                <w:rFonts w:asciiTheme="minorHAnsi" w:hAnsiTheme="minorHAnsi"/>
                <w:i/>
                <w:iCs/>
                <w:szCs w:val="24"/>
              </w:rPr>
              <w:t xml:space="preserve">, </w:t>
            </w:r>
            <w:hyperlink r:id="rId12" w:history="1">
              <w:r w:rsidR="00AF6A3A" w:rsidRPr="00FA07E1">
                <w:rPr>
                  <w:rStyle w:val="Hyperlink"/>
                  <w:rFonts w:asciiTheme="minorHAnsi" w:hAnsiTheme="minorHAnsi"/>
                  <w:i/>
                  <w:iCs/>
                  <w:szCs w:val="24"/>
                </w:rPr>
                <w:t>C11/100(Rev</w:t>
              </w:r>
              <w:r w:rsidR="00721090" w:rsidRPr="00FA07E1">
                <w:rPr>
                  <w:rStyle w:val="Hyperlink"/>
                  <w:rFonts w:asciiTheme="minorHAnsi" w:hAnsiTheme="minorHAnsi"/>
                  <w:i/>
                  <w:iCs/>
                  <w:szCs w:val="24"/>
                </w:rPr>
                <w:t>.1</w:t>
              </w:r>
              <w:r w:rsidR="00AF6A3A" w:rsidRPr="00FA07E1">
                <w:rPr>
                  <w:rStyle w:val="Hyperlink"/>
                  <w:rFonts w:asciiTheme="minorHAnsi" w:hAnsiTheme="minorHAnsi"/>
                  <w:i/>
                  <w:iCs/>
                  <w:szCs w:val="24"/>
                </w:rPr>
                <w:t>))</w:t>
              </w:r>
            </w:hyperlink>
            <w:r w:rsidRPr="00FA07E1">
              <w:rPr>
                <w:rFonts w:asciiTheme="minorHAnsi" w:hAnsiTheme="minorHAnsi"/>
                <w:i/>
                <w:iCs/>
                <w:szCs w:val="24"/>
              </w:rPr>
              <w:t xml:space="preserve">, </w:t>
            </w:r>
            <w:hyperlink r:id="rId13" w:history="1">
              <w:r w:rsidR="00AF6A3A" w:rsidRPr="00FA07E1">
                <w:rPr>
                  <w:rStyle w:val="Hyperlink"/>
                  <w:rFonts w:asciiTheme="minorHAnsi" w:hAnsiTheme="minorHAnsi"/>
                  <w:i/>
                  <w:iCs/>
                  <w:szCs w:val="24"/>
                </w:rPr>
                <w:t>C11/120</w:t>
              </w:r>
            </w:hyperlink>
            <w:r w:rsidR="00AF6A3A" w:rsidRPr="00FA07E1">
              <w:rPr>
                <w:rFonts w:asciiTheme="minorHAnsi" w:hAnsiTheme="minorHAnsi"/>
                <w:i/>
                <w:iCs/>
                <w:szCs w:val="24"/>
              </w:rPr>
              <w:t xml:space="preserve">, </w:t>
            </w:r>
            <w:hyperlink r:id="rId14" w:history="1">
              <w:r w:rsidR="00AF6A3A" w:rsidRPr="00FA07E1">
                <w:rPr>
                  <w:rStyle w:val="Hyperlink"/>
                  <w:rFonts w:asciiTheme="minorHAnsi" w:hAnsiTheme="minorHAnsi"/>
                  <w:i/>
                  <w:iCs/>
                  <w:szCs w:val="24"/>
                </w:rPr>
                <w:t>C12/36</w:t>
              </w:r>
            </w:hyperlink>
            <w:r w:rsidRPr="00FA07E1">
              <w:rPr>
                <w:rFonts w:asciiTheme="minorHAnsi" w:hAnsiTheme="minorHAnsi"/>
                <w:i/>
                <w:iCs/>
                <w:szCs w:val="24"/>
              </w:rPr>
              <w:t xml:space="preserve">, </w:t>
            </w:r>
            <w:hyperlink r:id="rId15" w:history="1">
              <w:r w:rsidR="00AF6A3A" w:rsidRPr="00FA07E1">
                <w:rPr>
                  <w:rStyle w:val="Hyperlink"/>
                  <w:rFonts w:asciiTheme="minorHAnsi" w:hAnsiTheme="minorHAnsi"/>
                  <w:i/>
                  <w:iCs/>
                  <w:szCs w:val="24"/>
                </w:rPr>
                <w:t>C12/68</w:t>
              </w:r>
            </w:hyperlink>
            <w:r w:rsidR="00AF6A3A" w:rsidRPr="00FA07E1">
              <w:rPr>
                <w:rFonts w:asciiTheme="minorHAnsi" w:hAnsiTheme="minorHAnsi"/>
                <w:i/>
                <w:iCs/>
                <w:szCs w:val="24"/>
              </w:rPr>
              <w:t xml:space="preserve">, </w:t>
            </w:r>
            <w:hyperlink r:id="rId16" w:history="1">
              <w:r w:rsidR="00AF6A3A" w:rsidRPr="00FA07E1">
                <w:rPr>
                  <w:rStyle w:val="Hyperlink"/>
                  <w:rFonts w:asciiTheme="minorHAnsi" w:hAnsiTheme="minorHAnsi"/>
                  <w:i/>
                  <w:iCs/>
                  <w:szCs w:val="24"/>
                </w:rPr>
                <w:t>C12/77</w:t>
              </w:r>
            </w:hyperlink>
            <w:r w:rsidR="00AF6A3A" w:rsidRPr="00FA07E1">
              <w:rPr>
                <w:rFonts w:asciiTheme="minorHAnsi" w:hAnsiTheme="minorHAnsi"/>
                <w:i/>
                <w:iCs/>
                <w:szCs w:val="24"/>
              </w:rPr>
              <w:t xml:space="preserve">, </w:t>
            </w:r>
            <w:hyperlink r:id="rId17" w:history="1">
              <w:r w:rsidR="00AF6A3A" w:rsidRPr="00FA07E1">
                <w:rPr>
                  <w:rStyle w:val="Hyperlink"/>
                  <w:rFonts w:asciiTheme="minorHAnsi" w:hAnsiTheme="minorHAnsi"/>
                  <w:i/>
                  <w:iCs/>
                  <w:szCs w:val="24"/>
                </w:rPr>
                <w:t>C12/94</w:t>
              </w:r>
            </w:hyperlink>
            <w:r w:rsidR="00AF6A3A" w:rsidRPr="00FA07E1">
              <w:rPr>
                <w:rFonts w:asciiTheme="minorHAnsi" w:hAnsiTheme="minorHAnsi"/>
                <w:i/>
                <w:iCs/>
                <w:szCs w:val="24"/>
              </w:rPr>
              <w:t xml:space="preserve">, </w:t>
            </w:r>
            <w:hyperlink r:id="rId18" w:history="1">
              <w:r w:rsidR="00AF6A3A" w:rsidRPr="00FA07E1">
                <w:rPr>
                  <w:rStyle w:val="Hyperlink"/>
                  <w:rFonts w:asciiTheme="minorHAnsi" w:hAnsiTheme="minorHAnsi"/>
                  <w:i/>
                  <w:iCs/>
                  <w:szCs w:val="24"/>
                </w:rPr>
                <w:t>C13</w:t>
              </w:r>
              <w:r w:rsidR="00A03E7C" w:rsidRPr="00FA07E1">
                <w:rPr>
                  <w:rStyle w:val="Hyperlink"/>
                  <w:rFonts w:asciiTheme="minorHAnsi" w:hAnsiTheme="minorHAnsi"/>
                  <w:i/>
                  <w:iCs/>
                  <w:szCs w:val="24"/>
                </w:rPr>
                <w:t>/1</w:t>
              </w:r>
              <w:r w:rsidR="00AF6A3A" w:rsidRPr="00FA07E1">
                <w:rPr>
                  <w:rStyle w:val="Hyperlink"/>
                  <w:rFonts w:asciiTheme="minorHAnsi" w:hAnsiTheme="minorHAnsi"/>
                  <w:i/>
                  <w:iCs/>
                  <w:szCs w:val="24"/>
                </w:rPr>
                <w:t>5</w:t>
              </w:r>
            </w:hyperlink>
            <w:r w:rsidR="00A03E7C" w:rsidRPr="00FA07E1">
              <w:rPr>
                <w:rFonts w:asciiTheme="minorHAnsi" w:hAnsiTheme="minorHAnsi"/>
                <w:i/>
                <w:iCs/>
                <w:szCs w:val="24"/>
              </w:rPr>
              <w:t xml:space="preserve">, </w:t>
            </w:r>
            <w:hyperlink r:id="rId19" w:history="1">
              <w:r w:rsidRPr="00FA07E1">
                <w:rPr>
                  <w:rStyle w:val="Hyperlink"/>
                  <w:rFonts w:asciiTheme="minorHAnsi" w:hAnsiTheme="minorHAnsi"/>
                  <w:i/>
                  <w:iCs/>
                  <w:szCs w:val="24"/>
                </w:rPr>
                <w:t>C13/55</w:t>
              </w:r>
            </w:hyperlink>
            <w:r w:rsidRPr="00FA07E1">
              <w:rPr>
                <w:rFonts w:asciiTheme="minorHAnsi" w:hAnsiTheme="minorHAnsi"/>
                <w:i/>
                <w:iCs/>
                <w:szCs w:val="24"/>
              </w:rPr>
              <w:t xml:space="preserve">, </w:t>
            </w:r>
            <w:hyperlink r:id="rId20" w:history="1">
              <w:r w:rsidRPr="00FA07E1">
                <w:rPr>
                  <w:rStyle w:val="Hyperlink"/>
                  <w:rFonts w:asciiTheme="minorHAnsi" w:hAnsiTheme="minorHAnsi"/>
                  <w:i/>
                  <w:iCs/>
                  <w:szCs w:val="24"/>
                </w:rPr>
                <w:t>C13/78</w:t>
              </w:r>
            </w:hyperlink>
            <w:r w:rsidRPr="00FA07E1">
              <w:rPr>
                <w:rFonts w:asciiTheme="minorHAnsi" w:hAnsiTheme="minorHAnsi"/>
                <w:i/>
                <w:iCs/>
                <w:szCs w:val="24"/>
              </w:rPr>
              <w:t xml:space="preserve">, </w:t>
            </w:r>
            <w:hyperlink r:id="rId21" w:history="1">
              <w:r w:rsidRPr="00FA07E1">
                <w:rPr>
                  <w:rStyle w:val="Hyperlink"/>
                  <w:rFonts w:asciiTheme="minorHAnsi" w:hAnsiTheme="minorHAnsi"/>
                  <w:i/>
                  <w:iCs/>
                  <w:szCs w:val="24"/>
                </w:rPr>
                <w:t>C13/107</w:t>
              </w:r>
            </w:hyperlink>
            <w:r w:rsidR="00D12FC7" w:rsidRPr="00FA07E1">
              <w:rPr>
                <w:rStyle w:val="Hyperlink"/>
                <w:rFonts w:asciiTheme="minorHAnsi" w:hAnsiTheme="minorHAnsi"/>
                <w:i/>
                <w:iCs/>
                <w:color w:val="auto"/>
                <w:szCs w:val="24"/>
                <w:u w:val="none"/>
              </w:rPr>
              <w:t xml:space="preserve">, </w:t>
            </w:r>
            <w:hyperlink r:id="rId22" w:history="1">
              <w:r w:rsidR="00D12FC7" w:rsidRPr="00FA07E1">
                <w:rPr>
                  <w:rStyle w:val="Hyperlink"/>
                  <w:rFonts w:asciiTheme="minorHAnsi" w:hAnsiTheme="minorHAnsi"/>
                  <w:i/>
                  <w:iCs/>
                  <w:szCs w:val="24"/>
                </w:rPr>
                <w:t>C14/13</w:t>
              </w:r>
            </w:hyperlink>
            <w:r w:rsidR="00D12FC7" w:rsidRPr="00FA07E1">
              <w:rPr>
                <w:rStyle w:val="Hyperlink"/>
                <w:rFonts w:asciiTheme="minorHAnsi" w:hAnsiTheme="minorHAnsi"/>
                <w:i/>
                <w:iCs/>
                <w:color w:val="auto"/>
                <w:szCs w:val="24"/>
                <w:u w:val="none"/>
              </w:rPr>
              <w:t xml:space="preserve">, </w:t>
            </w:r>
            <w:hyperlink r:id="rId23" w:history="1">
              <w:r w:rsidR="00D12FC7" w:rsidRPr="00FA07E1">
                <w:rPr>
                  <w:rStyle w:val="Hyperlink"/>
                  <w:rFonts w:asciiTheme="minorHAnsi" w:hAnsiTheme="minorHAnsi"/>
                  <w:i/>
                  <w:iCs/>
                  <w:szCs w:val="24"/>
                </w:rPr>
                <w:t>C14/INF/12</w:t>
              </w:r>
            </w:hyperlink>
            <w:r w:rsidR="00D12FC7" w:rsidRPr="00FA07E1">
              <w:rPr>
                <w:rStyle w:val="Hyperlink"/>
                <w:rFonts w:asciiTheme="minorHAnsi" w:hAnsiTheme="minorHAnsi"/>
                <w:i/>
                <w:iCs/>
                <w:color w:val="auto"/>
                <w:szCs w:val="24"/>
                <w:u w:val="none"/>
              </w:rPr>
              <w:t xml:space="preserve">, </w:t>
            </w:r>
            <w:hyperlink r:id="rId24" w:history="1">
              <w:r w:rsidR="00D12FC7" w:rsidRPr="00FA07E1">
                <w:rPr>
                  <w:rStyle w:val="Hyperlink"/>
                  <w:rFonts w:asciiTheme="minorHAnsi" w:hAnsiTheme="minorHAnsi"/>
                  <w:i/>
                  <w:iCs/>
                  <w:szCs w:val="24"/>
                </w:rPr>
                <w:t>C14/51</w:t>
              </w:r>
            </w:hyperlink>
            <w:r w:rsidR="00D12FC7" w:rsidRPr="00FA07E1">
              <w:rPr>
                <w:rStyle w:val="Hyperlink"/>
                <w:rFonts w:asciiTheme="minorHAnsi" w:hAnsiTheme="minorHAnsi"/>
                <w:i/>
                <w:iCs/>
                <w:color w:val="auto"/>
                <w:szCs w:val="24"/>
                <w:u w:val="none"/>
              </w:rPr>
              <w:t xml:space="preserve">, </w:t>
            </w:r>
            <w:hyperlink r:id="rId25" w:history="1">
              <w:r w:rsidR="00D12FC7" w:rsidRPr="00FA07E1">
                <w:rPr>
                  <w:rStyle w:val="Hyperlink"/>
                  <w:rFonts w:asciiTheme="minorHAnsi" w:hAnsiTheme="minorHAnsi"/>
                  <w:i/>
                  <w:iCs/>
                  <w:szCs w:val="24"/>
                </w:rPr>
                <w:t>C14/</w:t>
              </w:r>
              <w:r w:rsidR="004B704D" w:rsidRPr="00FA07E1">
                <w:rPr>
                  <w:rStyle w:val="Hyperlink"/>
                  <w:rFonts w:asciiTheme="minorHAnsi" w:hAnsiTheme="minorHAnsi"/>
                  <w:i/>
                  <w:iCs/>
                  <w:szCs w:val="24"/>
                </w:rPr>
                <w:t>65</w:t>
              </w:r>
            </w:hyperlink>
            <w:r w:rsidR="004B704D" w:rsidRPr="00FA07E1">
              <w:rPr>
                <w:rStyle w:val="Hyperlink"/>
                <w:rFonts w:asciiTheme="minorHAnsi" w:hAnsiTheme="minorHAnsi"/>
                <w:i/>
                <w:iCs/>
                <w:color w:val="auto"/>
                <w:szCs w:val="24"/>
                <w:u w:val="none"/>
              </w:rPr>
              <w:t xml:space="preserve">, </w:t>
            </w:r>
            <w:hyperlink r:id="rId26" w:history="1">
              <w:r w:rsidR="004B704D" w:rsidRPr="00FA07E1">
                <w:rPr>
                  <w:rStyle w:val="Hyperlink"/>
                  <w:rFonts w:asciiTheme="minorHAnsi" w:hAnsiTheme="minorHAnsi"/>
                  <w:i/>
                  <w:iCs/>
                  <w:szCs w:val="24"/>
                </w:rPr>
                <w:t>C14/71</w:t>
              </w:r>
            </w:hyperlink>
            <w:r w:rsidR="004B704D" w:rsidRPr="00FA07E1">
              <w:rPr>
                <w:rStyle w:val="Hyperlink"/>
                <w:rFonts w:asciiTheme="minorHAnsi" w:hAnsiTheme="minorHAnsi"/>
                <w:i/>
                <w:iCs/>
                <w:color w:val="auto"/>
                <w:szCs w:val="24"/>
                <w:u w:val="none"/>
              </w:rPr>
              <w:t xml:space="preserve">, </w:t>
            </w:r>
            <w:hyperlink r:id="rId27" w:history="1">
              <w:r w:rsidR="004B704D" w:rsidRPr="00FA07E1">
                <w:rPr>
                  <w:rStyle w:val="Hyperlink"/>
                  <w:rFonts w:asciiTheme="minorHAnsi" w:hAnsiTheme="minorHAnsi"/>
                  <w:i/>
                  <w:iCs/>
                  <w:szCs w:val="24"/>
                </w:rPr>
                <w:t>C14/94</w:t>
              </w:r>
            </w:hyperlink>
            <w:r w:rsidR="004B704D" w:rsidRPr="00FA07E1">
              <w:rPr>
                <w:rStyle w:val="Hyperlink"/>
                <w:rFonts w:asciiTheme="minorHAnsi" w:hAnsiTheme="minorHAnsi"/>
                <w:i/>
                <w:iCs/>
                <w:color w:val="auto"/>
                <w:szCs w:val="24"/>
                <w:u w:val="none"/>
              </w:rPr>
              <w:t xml:space="preserve">, </w:t>
            </w:r>
            <w:hyperlink r:id="rId28" w:history="1">
              <w:r w:rsidR="004B704D" w:rsidRPr="00FA07E1">
                <w:rPr>
                  <w:rStyle w:val="Hyperlink"/>
                  <w:rFonts w:asciiTheme="minorHAnsi" w:hAnsiTheme="minorHAnsi"/>
                  <w:i/>
                  <w:iCs/>
                  <w:szCs w:val="24"/>
                </w:rPr>
                <w:t>C14/96</w:t>
              </w:r>
            </w:hyperlink>
            <w:r w:rsidR="004B704D" w:rsidRPr="00FA07E1">
              <w:rPr>
                <w:rStyle w:val="Hyperlink"/>
                <w:rFonts w:asciiTheme="minorHAnsi" w:hAnsiTheme="minorHAnsi"/>
                <w:i/>
                <w:iCs/>
                <w:color w:val="auto"/>
                <w:szCs w:val="24"/>
                <w:u w:val="none"/>
              </w:rPr>
              <w:t>.</w:t>
            </w:r>
          </w:p>
        </w:tc>
      </w:tr>
    </w:tbl>
    <w:p w:rsidR="00423AEE" w:rsidRPr="00FA07E1" w:rsidRDefault="00423AEE" w:rsidP="00423AEE">
      <w:pPr>
        <w:rPr>
          <w:rFonts w:asciiTheme="minorHAnsi" w:hAnsiTheme="minorHAnsi"/>
          <w:sz w:val="22"/>
          <w:szCs w:val="22"/>
        </w:rPr>
      </w:pPr>
    </w:p>
    <w:p w:rsidR="006525C3" w:rsidRPr="004D6689" w:rsidRDefault="00AF5A4C" w:rsidP="004D6689">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hAnsiTheme="minorHAnsi" w:cs="Segoe UI"/>
          <w:szCs w:val="24"/>
          <w:lang w:val="en-US"/>
        </w:rPr>
      </w:pPr>
      <w:r>
        <w:rPr>
          <w:rFonts w:asciiTheme="minorHAnsi" w:eastAsiaTheme="minorEastAsia" w:hAnsiTheme="minorHAnsi" w:cstheme="minorBidi"/>
          <w:b/>
          <w:bCs/>
          <w:szCs w:val="24"/>
          <w:lang w:val="en-US" w:eastAsia="zh-CN"/>
        </w:rPr>
        <w:t>1</w:t>
      </w:r>
      <w:r>
        <w:rPr>
          <w:rFonts w:asciiTheme="minorHAnsi" w:eastAsiaTheme="minorEastAsia" w:hAnsiTheme="minorHAnsi" w:cstheme="minorBidi"/>
          <w:b/>
          <w:bCs/>
          <w:szCs w:val="24"/>
          <w:lang w:val="en-US" w:eastAsia="zh-CN"/>
        </w:rPr>
        <w:tab/>
      </w:r>
      <w:r w:rsidR="006525C3" w:rsidRPr="004D6689">
        <w:rPr>
          <w:rFonts w:asciiTheme="minorHAnsi" w:eastAsiaTheme="minorEastAsia" w:hAnsiTheme="minorHAnsi" w:cstheme="minorBidi"/>
          <w:b/>
          <w:bCs/>
          <w:szCs w:val="24"/>
          <w:lang w:val="en-US" w:eastAsia="zh-CN"/>
        </w:rPr>
        <w:t>Council 2011</w:t>
      </w:r>
    </w:p>
    <w:p w:rsidR="003A46A9" w:rsidRPr="004D6689" w:rsidRDefault="00AF5A4C" w:rsidP="004D6689">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hAnsiTheme="minorHAnsi" w:cs="Segoe UI"/>
          <w:szCs w:val="24"/>
          <w:lang w:val="en-US"/>
        </w:rPr>
      </w:pPr>
      <w:r>
        <w:rPr>
          <w:rFonts w:asciiTheme="minorHAnsi" w:hAnsiTheme="minorHAnsi" w:cs="Segoe UI"/>
          <w:szCs w:val="24"/>
          <w:lang w:val="en-US"/>
        </w:rPr>
        <w:t>1.1</w:t>
      </w:r>
      <w:r>
        <w:rPr>
          <w:rFonts w:asciiTheme="minorHAnsi" w:hAnsiTheme="minorHAnsi" w:cs="Segoe UI"/>
          <w:szCs w:val="24"/>
          <w:lang w:val="en-US"/>
        </w:rPr>
        <w:tab/>
      </w:r>
      <w:r w:rsidR="001A0381" w:rsidRPr="004D6689">
        <w:rPr>
          <w:rFonts w:asciiTheme="minorHAnsi" w:hAnsiTheme="minorHAnsi" w:cs="Segoe UI"/>
          <w:szCs w:val="24"/>
          <w:lang w:val="en-US"/>
        </w:rPr>
        <w:t xml:space="preserve">ITU’s role as Supervisory Authority of the future international registration system for Space Assets under the draft Space Protocol was </w:t>
      </w:r>
      <w:r w:rsidR="003C6D07" w:rsidRPr="004D6689">
        <w:rPr>
          <w:rFonts w:asciiTheme="minorHAnsi" w:hAnsiTheme="minorHAnsi" w:cs="Segoe UI"/>
          <w:szCs w:val="24"/>
          <w:lang w:val="en-US"/>
        </w:rPr>
        <w:t xml:space="preserve">first </w:t>
      </w:r>
      <w:r w:rsidR="001A0381" w:rsidRPr="004D6689">
        <w:rPr>
          <w:rFonts w:asciiTheme="minorHAnsi" w:hAnsiTheme="minorHAnsi" w:cs="Segoe UI"/>
          <w:szCs w:val="24"/>
          <w:lang w:val="en-US"/>
        </w:rPr>
        <w:t xml:space="preserve">discussed at Council 2011. The Secretary-General stated that the adoption of this protocol could be expected to be a landmark for the industry and would have no financial impact on the Supervisory Authority since the latter would be financed out of fees from international registration. He encouraged </w:t>
      </w:r>
      <w:r w:rsidR="003A46A9" w:rsidRPr="004D6689">
        <w:rPr>
          <w:rFonts w:asciiTheme="minorHAnsi" w:hAnsiTheme="minorHAnsi" w:cs="Segoe UI"/>
          <w:szCs w:val="24"/>
          <w:lang w:val="en-US"/>
        </w:rPr>
        <w:t>councilors</w:t>
      </w:r>
      <w:r w:rsidR="001A0381" w:rsidRPr="004D6689">
        <w:rPr>
          <w:rFonts w:asciiTheme="minorHAnsi" w:hAnsiTheme="minorHAnsi" w:cs="Segoe UI"/>
          <w:szCs w:val="24"/>
          <w:lang w:val="en-US"/>
        </w:rPr>
        <w:t xml:space="preserve"> not to le</w:t>
      </w:r>
      <w:r w:rsidR="004D6689">
        <w:rPr>
          <w:rFonts w:asciiTheme="minorHAnsi" w:hAnsiTheme="minorHAnsi" w:cs="Segoe UI"/>
          <w:szCs w:val="24"/>
          <w:lang w:val="en-US"/>
        </w:rPr>
        <w:t>t this opportunity pass ITU by.</w:t>
      </w:r>
    </w:p>
    <w:p w:rsidR="00371AE6" w:rsidRPr="004D6689" w:rsidRDefault="00AF5A4C" w:rsidP="00ED603D">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hAnsiTheme="minorHAnsi" w:cs="Segoe UI"/>
          <w:szCs w:val="24"/>
          <w:lang w:val="en-US"/>
        </w:rPr>
      </w:pPr>
      <w:r>
        <w:rPr>
          <w:rFonts w:asciiTheme="minorHAnsi" w:hAnsiTheme="minorHAnsi" w:cs="Segoe UI"/>
          <w:szCs w:val="24"/>
          <w:lang w:val="en-US"/>
        </w:rPr>
        <w:lastRenderedPageBreak/>
        <w:t>1.2</w:t>
      </w:r>
      <w:r>
        <w:rPr>
          <w:rFonts w:asciiTheme="minorHAnsi" w:hAnsiTheme="minorHAnsi" w:cs="Segoe UI"/>
          <w:szCs w:val="24"/>
          <w:lang w:val="en-US"/>
        </w:rPr>
        <w:tab/>
      </w:r>
      <w:r w:rsidR="001A0381" w:rsidRPr="004D6689">
        <w:rPr>
          <w:rFonts w:asciiTheme="minorHAnsi" w:hAnsiTheme="minorHAnsi" w:cs="Segoe UI"/>
          <w:szCs w:val="24"/>
          <w:lang w:val="en-US"/>
        </w:rPr>
        <w:t xml:space="preserve">The major issues discussed at Council 2011 concerned the scope and obligations of the Supervisory Authority and the extent and definition of enforcement, litigation, liability, dispute resolution, financial implications, accountability and responsibility. The questions raised by Member States were addressed during the Council – and the </w:t>
      </w:r>
      <w:r w:rsidR="003C6D07" w:rsidRPr="004D6689">
        <w:rPr>
          <w:rFonts w:asciiTheme="minorHAnsi" w:hAnsiTheme="minorHAnsi" w:cs="Segoe UI"/>
          <w:szCs w:val="24"/>
          <w:lang w:val="en-US"/>
        </w:rPr>
        <w:t>C</w:t>
      </w:r>
      <w:r w:rsidR="001A0381" w:rsidRPr="004D6689">
        <w:rPr>
          <w:rFonts w:asciiTheme="minorHAnsi" w:hAnsiTheme="minorHAnsi" w:cs="Segoe UI"/>
          <w:szCs w:val="24"/>
          <w:lang w:val="en-US"/>
        </w:rPr>
        <w:t xml:space="preserve">onference in Berlin </w:t>
      </w:r>
      <w:r w:rsidR="00ED603D">
        <w:rPr>
          <w:rFonts w:asciiTheme="minorHAnsi" w:hAnsiTheme="minorHAnsi" w:cs="Segoe UI"/>
          <w:szCs w:val="24"/>
          <w:lang w:val="en-US"/>
        </w:rPr>
        <w:t>in 2012</w:t>
      </w:r>
      <w:r w:rsidR="001A0381" w:rsidRPr="004D6689">
        <w:rPr>
          <w:rFonts w:asciiTheme="minorHAnsi" w:hAnsiTheme="minorHAnsi" w:cs="Segoe UI"/>
          <w:szCs w:val="24"/>
          <w:lang w:val="en-US"/>
        </w:rPr>
        <w:t xml:space="preserve"> was expec</w:t>
      </w:r>
      <w:r w:rsidR="00371AE6" w:rsidRPr="004D6689">
        <w:rPr>
          <w:rFonts w:asciiTheme="minorHAnsi" w:hAnsiTheme="minorHAnsi" w:cs="Segoe UI"/>
          <w:szCs w:val="24"/>
          <w:lang w:val="en-US"/>
        </w:rPr>
        <w:t>ted to clarify certain issues.</w:t>
      </w:r>
    </w:p>
    <w:p w:rsidR="006525C3" w:rsidRPr="004D6689" w:rsidRDefault="00AF5A4C" w:rsidP="004D6689">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hAnsiTheme="minorHAnsi" w:cs="Segoe UI"/>
          <w:szCs w:val="24"/>
          <w:lang w:val="en-US"/>
        </w:rPr>
      </w:pPr>
      <w:r>
        <w:rPr>
          <w:rFonts w:asciiTheme="minorHAnsi" w:hAnsiTheme="minorHAnsi" w:cs="Segoe UI"/>
          <w:szCs w:val="24"/>
          <w:lang w:val="en-US"/>
        </w:rPr>
        <w:t>1.3</w:t>
      </w:r>
      <w:r>
        <w:rPr>
          <w:rFonts w:asciiTheme="minorHAnsi" w:hAnsiTheme="minorHAnsi" w:cs="Segoe UI"/>
          <w:szCs w:val="24"/>
          <w:lang w:val="en-US"/>
        </w:rPr>
        <w:tab/>
      </w:r>
      <w:r w:rsidR="001A0381" w:rsidRPr="004D6689">
        <w:rPr>
          <w:rFonts w:asciiTheme="minorHAnsi" w:hAnsiTheme="minorHAnsi" w:cs="Segoe UI"/>
          <w:szCs w:val="24"/>
          <w:lang w:val="en-US"/>
        </w:rPr>
        <w:t xml:space="preserve">The Council agreed to authorize the Secretary-General to attend the Berlin </w:t>
      </w:r>
      <w:r w:rsidR="003C6D07" w:rsidRPr="004D6689">
        <w:rPr>
          <w:rFonts w:asciiTheme="minorHAnsi" w:hAnsiTheme="minorHAnsi" w:cs="Segoe UI"/>
          <w:szCs w:val="24"/>
          <w:lang w:val="en-US"/>
        </w:rPr>
        <w:t>C</w:t>
      </w:r>
      <w:r w:rsidR="001A0381" w:rsidRPr="004D6689">
        <w:rPr>
          <w:rFonts w:asciiTheme="minorHAnsi" w:hAnsiTheme="minorHAnsi" w:cs="Segoe UI"/>
          <w:szCs w:val="24"/>
          <w:lang w:val="en-US"/>
        </w:rPr>
        <w:t xml:space="preserve">onference as an observer and that the matter of whether or not ITU could become the Supervisory Authority should not be prejudged, but ITU </w:t>
      </w:r>
      <w:r w:rsidR="003C6D07" w:rsidRPr="004D6689">
        <w:rPr>
          <w:rFonts w:asciiTheme="minorHAnsi" w:hAnsiTheme="minorHAnsi" w:cs="Segoe UI"/>
          <w:szCs w:val="24"/>
          <w:lang w:val="en-US"/>
        </w:rPr>
        <w:t>S</w:t>
      </w:r>
      <w:r w:rsidR="001A0381" w:rsidRPr="004D6689">
        <w:rPr>
          <w:rFonts w:asciiTheme="minorHAnsi" w:hAnsiTheme="minorHAnsi" w:cs="Segoe UI"/>
          <w:szCs w:val="24"/>
          <w:lang w:val="en-US"/>
        </w:rPr>
        <w:t xml:space="preserve">ecretary-General could continue to express interest (see Document </w:t>
      </w:r>
      <w:hyperlink r:id="rId29" w:history="1">
        <w:r w:rsidR="001A0381" w:rsidRPr="004D6689">
          <w:rPr>
            <w:rStyle w:val="Hyperlink"/>
            <w:rFonts w:asciiTheme="minorHAnsi" w:hAnsiTheme="minorHAnsi" w:cs="Segoe UI"/>
            <w:color w:val="auto"/>
            <w:szCs w:val="24"/>
            <w:lang w:val="en-US"/>
          </w:rPr>
          <w:t>C11/100 (Rev.1)</w:t>
        </w:r>
      </w:hyperlink>
      <w:r w:rsidR="001A0381" w:rsidRPr="004D6689">
        <w:rPr>
          <w:rFonts w:asciiTheme="minorHAnsi" w:hAnsiTheme="minorHAnsi" w:cs="Segoe UI"/>
          <w:szCs w:val="24"/>
          <w:lang w:val="en-US"/>
        </w:rPr>
        <w:t xml:space="preserve">). The Secretary-General would report back to Council 2012 which would consider the matter further in the light of the output of the diplomatic </w:t>
      </w:r>
      <w:r w:rsidR="003C6D07" w:rsidRPr="004D6689">
        <w:rPr>
          <w:rFonts w:asciiTheme="minorHAnsi" w:hAnsiTheme="minorHAnsi" w:cs="Segoe UI"/>
          <w:szCs w:val="24"/>
          <w:lang w:val="en-US"/>
        </w:rPr>
        <w:t>C</w:t>
      </w:r>
      <w:r w:rsidR="001A0381" w:rsidRPr="004D6689">
        <w:rPr>
          <w:rFonts w:asciiTheme="minorHAnsi" w:hAnsiTheme="minorHAnsi" w:cs="Segoe UI"/>
          <w:szCs w:val="24"/>
          <w:lang w:val="en-US"/>
        </w:rPr>
        <w:t>onference taking into account the financial, juridical and technical implications</w:t>
      </w:r>
      <w:r w:rsidR="003C6D07" w:rsidRPr="004D6689">
        <w:rPr>
          <w:rFonts w:asciiTheme="minorHAnsi" w:hAnsiTheme="minorHAnsi" w:cs="Segoe UI"/>
          <w:szCs w:val="24"/>
          <w:lang w:val="en-US"/>
        </w:rPr>
        <w:t>.</w:t>
      </w:r>
    </w:p>
    <w:p w:rsidR="003A46A9" w:rsidRPr="004D6689" w:rsidRDefault="003A46A9" w:rsidP="00631BA2">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eastAsiaTheme="minorEastAsia" w:hAnsiTheme="minorHAnsi" w:cs="Calibri"/>
          <w:szCs w:val="24"/>
          <w:lang w:val="en-US" w:eastAsia="zh-CN"/>
        </w:rPr>
      </w:pPr>
    </w:p>
    <w:p w:rsidR="006525C3" w:rsidRPr="004D6689" w:rsidRDefault="00AF5A4C" w:rsidP="004D6689">
      <w:pPr>
        <w:tabs>
          <w:tab w:val="clear" w:pos="567"/>
          <w:tab w:val="clear" w:pos="1134"/>
          <w:tab w:val="clear" w:pos="1701"/>
          <w:tab w:val="clear" w:pos="2268"/>
          <w:tab w:val="clear" w:pos="2835"/>
        </w:tabs>
        <w:overflowPunct/>
        <w:autoSpaceDE/>
        <w:autoSpaceDN/>
        <w:adjustRightInd/>
        <w:snapToGrid w:val="0"/>
        <w:spacing w:after="120"/>
        <w:textAlignment w:val="auto"/>
        <w:rPr>
          <w:rFonts w:eastAsiaTheme="minorEastAsia" w:cs="Calibri"/>
          <w:b/>
          <w:bCs/>
          <w:szCs w:val="24"/>
          <w:lang w:val="en-US" w:eastAsia="zh-CN"/>
        </w:rPr>
      </w:pPr>
      <w:r>
        <w:rPr>
          <w:rFonts w:eastAsiaTheme="minorEastAsia" w:cs="Calibri"/>
          <w:b/>
          <w:bCs/>
          <w:szCs w:val="24"/>
          <w:lang w:val="en-US" w:eastAsia="zh-CN"/>
        </w:rPr>
        <w:t>2</w:t>
      </w:r>
      <w:r>
        <w:rPr>
          <w:rFonts w:eastAsiaTheme="minorEastAsia" w:cs="Calibri"/>
          <w:b/>
          <w:bCs/>
          <w:szCs w:val="24"/>
          <w:lang w:val="en-US" w:eastAsia="zh-CN"/>
        </w:rPr>
        <w:tab/>
      </w:r>
      <w:r w:rsidR="000A4BF9" w:rsidRPr="004D6689">
        <w:rPr>
          <w:rFonts w:eastAsiaTheme="minorEastAsia" w:cs="Calibri"/>
          <w:b/>
          <w:bCs/>
          <w:szCs w:val="24"/>
          <w:lang w:val="en-US" w:eastAsia="zh-CN"/>
        </w:rPr>
        <w:t>Diplomatic C</w:t>
      </w:r>
      <w:r w:rsidR="006525C3" w:rsidRPr="004D6689">
        <w:rPr>
          <w:rFonts w:eastAsiaTheme="minorEastAsia" w:cs="Calibri"/>
          <w:b/>
          <w:bCs/>
          <w:szCs w:val="24"/>
          <w:lang w:val="en-US" w:eastAsia="zh-CN"/>
        </w:rPr>
        <w:t>onference (Berlin, 27 February - 9 March 2012)</w:t>
      </w:r>
    </w:p>
    <w:p w:rsidR="001A0381" w:rsidRPr="004D6689" w:rsidRDefault="00AF5A4C" w:rsidP="00ED603D">
      <w:pPr>
        <w:tabs>
          <w:tab w:val="clear" w:pos="567"/>
          <w:tab w:val="clear" w:pos="1134"/>
          <w:tab w:val="clear" w:pos="1701"/>
          <w:tab w:val="clear" w:pos="2268"/>
          <w:tab w:val="clear" w:pos="2835"/>
        </w:tabs>
        <w:overflowPunct/>
        <w:autoSpaceDE/>
        <w:autoSpaceDN/>
        <w:adjustRightInd/>
        <w:snapToGrid w:val="0"/>
        <w:spacing w:after="120"/>
        <w:textAlignment w:val="auto"/>
        <w:rPr>
          <w:rFonts w:eastAsiaTheme="minorEastAsia" w:cs="Calibri"/>
          <w:szCs w:val="24"/>
          <w:lang w:val="en-US" w:eastAsia="zh-CN"/>
        </w:rPr>
      </w:pPr>
      <w:r>
        <w:rPr>
          <w:rFonts w:eastAsiaTheme="minorEastAsia" w:cs="Calibri"/>
          <w:szCs w:val="24"/>
          <w:lang w:val="en-US" w:eastAsia="zh-CN"/>
        </w:rPr>
        <w:t>2.1</w:t>
      </w:r>
      <w:r>
        <w:rPr>
          <w:rFonts w:eastAsiaTheme="minorEastAsia" w:cs="Calibri"/>
          <w:szCs w:val="24"/>
          <w:lang w:val="en-US" w:eastAsia="zh-CN"/>
        </w:rPr>
        <w:tab/>
      </w:r>
      <w:r w:rsidR="001A0381" w:rsidRPr="004D6689">
        <w:rPr>
          <w:rFonts w:eastAsiaTheme="minorEastAsia" w:cs="Calibri"/>
          <w:szCs w:val="24"/>
          <w:lang w:val="en-US" w:eastAsia="zh-CN"/>
        </w:rPr>
        <w:t>The diplomatic Conference to adopt a Protocol to the Convention on International Interests in Mobile Equipment on Matters specific to Space Assets was held, under the auspices of UNIDROIT</w:t>
      </w:r>
      <w:r w:rsidR="00ED603D">
        <w:rPr>
          <w:rFonts w:eastAsiaTheme="minorEastAsia" w:cs="Calibri"/>
          <w:szCs w:val="24"/>
          <w:lang w:val="en-US" w:eastAsia="zh-CN"/>
        </w:rPr>
        <w:t>,</w:t>
      </w:r>
      <w:r w:rsidR="003A46A9" w:rsidRPr="004D6689">
        <w:rPr>
          <w:rStyle w:val="FootnoteReference"/>
          <w:rFonts w:eastAsiaTheme="minorEastAsia" w:cs="Calibri"/>
          <w:szCs w:val="24"/>
          <w:lang w:val="en-US" w:eastAsia="zh-CN"/>
        </w:rPr>
        <w:footnoteReference w:id="1"/>
      </w:r>
      <w:r w:rsidR="001A0381" w:rsidRPr="004D6689">
        <w:rPr>
          <w:rFonts w:eastAsiaTheme="minorEastAsia" w:cs="Calibri"/>
          <w:szCs w:val="24"/>
          <w:lang w:val="en-US" w:eastAsia="zh-CN"/>
        </w:rPr>
        <w:t xml:space="preserve"> at the invitation of the Government of the Federal Republic of Germany, in Berlin, from 27 February to 9 March 2012. Forty States and ten international </w:t>
      </w:r>
      <w:r w:rsidR="003C6D07" w:rsidRPr="004D6689">
        <w:rPr>
          <w:rFonts w:eastAsiaTheme="minorEastAsia" w:cs="Calibri"/>
          <w:szCs w:val="24"/>
          <w:lang w:val="en-US" w:eastAsia="zh-CN"/>
        </w:rPr>
        <w:t>o</w:t>
      </w:r>
      <w:r w:rsidR="001A0381" w:rsidRPr="004D6689">
        <w:rPr>
          <w:rFonts w:eastAsiaTheme="minorEastAsia" w:cs="Calibri"/>
          <w:szCs w:val="24"/>
          <w:lang w:val="en-US" w:eastAsia="zh-CN"/>
        </w:rPr>
        <w:t>rganizations, including ITU, participate</w:t>
      </w:r>
      <w:r w:rsidR="004D6689">
        <w:rPr>
          <w:rFonts w:eastAsiaTheme="minorEastAsia" w:cs="Calibri"/>
          <w:szCs w:val="24"/>
          <w:lang w:val="en-US" w:eastAsia="zh-CN"/>
        </w:rPr>
        <w:t>d in the diplomatic Conference.</w:t>
      </w:r>
    </w:p>
    <w:p w:rsidR="001A0381" w:rsidRPr="004D6689" w:rsidRDefault="00AF5A4C" w:rsidP="004D6689">
      <w:pPr>
        <w:tabs>
          <w:tab w:val="clear" w:pos="567"/>
          <w:tab w:val="clear" w:pos="1134"/>
          <w:tab w:val="clear" w:pos="1701"/>
          <w:tab w:val="clear" w:pos="2268"/>
          <w:tab w:val="clear" w:pos="2835"/>
        </w:tabs>
        <w:overflowPunct/>
        <w:autoSpaceDE/>
        <w:autoSpaceDN/>
        <w:adjustRightInd/>
        <w:snapToGrid w:val="0"/>
        <w:spacing w:after="120"/>
        <w:textAlignment w:val="auto"/>
        <w:rPr>
          <w:rFonts w:eastAsiaTheme="minorEastAsia" w:cs="Calibri"/>
          <w:szCs w:val="24"/>
          <w:lang w:val="en-US" w:eastAsia="zh-CN"/>
        </w:rPr>
      </w:pPr>
      <w:r>
        <w:rPr>
          <w:rFonts w:eastAsiaTheme="minorEastAsia" w:cs="Calibri"/>
          <w:szCs w:val="24"/>
          <w:lang w:val="en-US" w:eastAsia="zh-CN"/>
        </w:rPr>
        <w:t>2.2</w:t>
      </w:r>
      <w:r>
        <w:rPr>
          <w:rFonts w:eastAsiaTheme="minorEastAsia" w:cs="Calibri"/>
          <w:szCs w:val="24"/>
          <w:lang w:val="en-US" w:eastAsia="zh-CN"/>
        </w:rPr>
        <w:tab/>
      </w:r>
      <w:r w:rsidR="001A0381" w:rsidRPr="004D6689">
        <w:rPr>
          <w:rFonts w:eastAsiaTheme="minorEastAsia" w:cs="Calibri"/>
          <w:szCs w:val="24"/>
          <w:lang w:val="en-US" w:eastAsia="zh-CN"/>
        </w:rPr>
        <w:t xml:space="preserve">The Conference adopted the text of the </w:t>
      </w:r>
      <w:hyperlink r:id="rId30" w:history="1">
        <w:r w:rsidR="001A0381" w:rsidRPr="004D6689">
          <w:rPr>
            <w:rStyle w:val="Hyperlink"/>
            <w:rFonts w:eastAsiaTheme="minorEastAsia" w:cs="Calibri"/>
            <w:szCs w:val="24"/>
            <w:lang w:val="en-US" w:eastAsia="zh-CN"/>
          </w:rPr>
          <w:t>Protocol to the Convention on International Interests in Mobile Equipment on Matters specific to Space Assets</w:t>
        </w:r>
      </w:hyperlink>
      <w:r w:rsidR="001A0381" w:rsidRPr="004D6689">
        <w:rPr>
          <w:rFonts w:eastAsiaTheme="minorEastAsia" w:cs="Calibri"/>
          <w:szCs w:val="24"/>
          <w:lang w:val="en-US" w:eastAsia="zh-CN"/>
        </w:rPr>
        <w:t xml:space="preserve"> (Space Protocol) and also by co</w:t>
      </w:r>
      <w:r w:rsidR="004D6689">
        <w:rPr>
          <w:rFonts w:eastAsiaTheme="minorEastAsia" w:cs="Calibri"/>
          <w:szCs w:val="24"/>
          <w:lang w:val="en-US" w:eastAsia="zh-CN"/>
        </w:rPr>
        <w:t>nsensus the</w:t>
      </w:r>
      <w:r w:rsidR="00CD0A67" w:rsidRPr="004D6689">
        <w:rPr>
          <w:rFonts w:eastAsiaTheme="minorEastAsia" w:cs="Calibri"/>
          <w:szCs w:val="24"/>
          <w:lang w:val="en-US" w:eastAsia="zh-CN"/>
        </w:rPr>
        <w:t xml:space="preserve"> </w:t>
      </w:r>
      <w:r w:rsidR="004D6689">
        <w:rPr>
          <w:rFonts w:eastAsiaTheme="minorEastAsia" w:cs="Calibri"/>
          <w:szCs w:val="24"/>
          <w:lang w:val="en-US" w:eastAsia="zh-CN"/>
        </w:rPr>
        <w:t>five</w:t>
      </w:r>
      <w:r w:rsidR="001A0381" w:rsidRPr="004D6689">
        <w:rPr>
          <w:rFonts w:eastAsiaTheme="minorEastAsia" w:cs="Calibri"/>
          <w:szCs w:val="24"/>
          <w:lang w:val="en-US" w:eastAsia="zh-CN"/>
        </w:rPr>
        <w:t xml:space="preserve"> Resolutions that are set out in annexes to </w:t>
      </w:r>
      <w:hyperlink r:id="rId31" w:history="1">
        <w:r w:rsidR="001A0381" w:rsidRPr="004D6689">
          <w:rPr>
            <w:rStyle w:val="Hyperlink"/>
            <w:rFonts w:eastAsiaTheme="minorEastAsia" w:cs="Calibri"/>
            <w:szCs w:val="24"/>
            <w:lang w:val="en-US" w:eastAsia="zh-CN"/>
          </w:rPr>
          <w:t>the Final Act of the diplomatic Conference</w:t>
        </w:r>
      </w:hyperlink>
      <w:r w:rsidR="001A0381" w:rsidRPr="004D6689">
        <w:rPr>
          <w:rFonts w:eastAsiaTheme="minorEastAsia" w:cs="Calibri"/>
          <w:szCs w:val="24"/>
          <w:lang w:val="en-US" w:eastAsia="zh-CN"/>
        </w:rPr>
        <w:t>.</w:t>
      </w:r>
    </w:p>
    <w:p w:rsidR="001A0381" w:rsidRPr="004D6689" w:rsidRDefault="00AF5A4C" w:rsidP="004D6689">
      <w:pPr>
        <w:tabs>
          <w:tab w:val="clear" w:pos="567"/>
          <w:tab w:val="clear" w:pos="1134"/>
          <w:tab w:val="clear" w:pos="1701"/>
          <w:tab w:val="clear" w:pos="2268"/>
          <w:tab w:val="clear" w:pos="2835"/>
        </w:tabs>
        <w:overflowPunct/>
        <w:autoSpaceDE/>
        <w:autoSpaceDN/>
        <w:adjustRightInd/>
        <w:snapToGrid w:val="0"/>
        <w:spacing w:after="120"/>
        <w:textAlignment w:val="auto"/>
        <w:rPr>
          <w:rFonts w:eastAsiaTheme="minorEastAsia" w:cs="Calibri"/>
          <w:szCs w:val="24"/>
          <w:lang w:val="en-US" w:eastAsia="zh-CN"/>
        </w:rPr>
      </w:pPr>
      <w:r>
        <w:rPr>
          <w:rFonts w:eastAsiaTheme="minorEastAsia" w:cs="Calibri"/>
          <w:szCs w:val="24"/>
          <w:lang w:val="en-US" w:eastAsia="zh-CN"/>
        </w:rPr>
        <w:t>2.3</w:t>
      </w:r>
      <w:r>
        <w:rPr>
          <w:rFonts w:eastAsiaTheme="minorEastAsia" w:cs="Calibri"/>
          <w:szCs w:val="24"/>
          <w:lang w:val="en-US" w:eastAsia="zh-CN"/>
        </w:rPr>
        <w:tab/>
      </w:r>
      <w:r w:rsidR="001A0381" w:rsidRPr="004D6689">
        <w:rPr>
          <w:rFonts w:eastAsiaTheme="minorEastAsia" w:cs="Calibri"/>
          <w:szCs w:val="24"/>
          <w:lang w:val="en-US" w:eastAsia="zh-CN"/>
        </w:rPr>
        <w:t xml:space="preserve">As instructed by Council 2011, the observer representing the ITU Secretary-General expressed the interest for ITU to become the Supervisory Authority of the International Registry for </w:t>
      </w:r>
      <w:r w:rsidR="003C6D07" w:rsidRPr="004D6689">
        <w:rPr>
          <w:rFonts w:eastAsiaTheme="minorEastAsia" w:cs="Calibri"/>
          <w:szCs w:val="24"/>
          <w:lang w:val="en-US" w:eastAsia="zh-CN"/>
        </w:rPr>
        <w:t>S</w:t>
      </w:r>
      <w:r w:rsidR="001A0381" w:rsidRPr="004D6689">
        <w:rPr>
          <w:rFonts w:eastAsiaTheme="minorEastAsia" w:cs="Calibri"/>
          <w:szCs w:val="24"/>
          <w:lang w:val="en-US" w:eastAsia="zh-CN"/>
        </w:rPr>
        <w:t xml:space="preserve">pace </w:t>
      </w:r>
      <w:r w:rsidR="003C6D07" w:rsidRPr="004D6689">
        <w:rPr>
          <w:rFonts w:eastAsiaTheme="minorEastAsia" w:cs="Calibri"/>
          <w:szCs w:val="24"/>
          <w:lang w:val="en-US" w:eastAsia="zh-CN"/>
        </w:rPr>
        <w:t>A</w:t>
      </w:r>
      <w:r w:rsidR="001A0381" w:rsidRPr="004D6689">
        <w:rPr>
          <w:rFonts w:eastAsiaTheme="minorEastAsia" w:cs="Calibri"/>
          <w:szCs w:val="24"/>
          <w:lang w:val="en-US" w:eastAsia="zh-CN"/>
        </w:rPr>
        <w:t>ssets, subject to consideration of the matter by the governing bodies of ITU and without prejudice to the decision to be taken by them in this regard, in the light of the outcome of the Conference, taking into account the financial, juridical and technical implications of such a decision.</w:t>
      </w:r>
    </w:p>
    <w:p w:rsidR="001A0381" w:rsidRPr="004D6689" w:rsidRDefault="00AF5A4C" w:rsidP="004D6689">
      <w:pPr>
        <w:tabs>
          <w:tab w:val="clear" w:pos="567"/>
          <w:tab w:val="clear" w:pos="1134"/>
          <w:tab w:val="clear" w:pos="1701"/>
          <w:tab w:val="clear" w:pos="2268"/>
          <w:tab w:val="clear" w:pos="2835"/>
        </w:tabs>
        <w:overflowPunct/>
        <w:autoSpaceDE/>
        <w:autoSpaceDN/>
        <w:adjustRightInd/>
        <w:snapToGrid w:val="0"/>
        <w:spacing w:after="120"/>
        <w:textAlignment w:val="auto"/>
        <w:rPr>
          <w:rFonts w:eastAsiaTheme="minorEastAsia" w:cs="Calibri"/>
          <w:szCs w:val="24"/>
          <w:lang w:val="en-US" w:eastAsia="zh-CN"/>
        </w:rPr>
      </w:pPr>
      <w:r>
        <w:rPr>
          <w:rFonts w:eastAsiaTheme="minorEastAsia" w:cs="Calibri"/>
          <w:szCs w:val="24"/>
          <w:lang w:val="en-US" w:eastAsia="zh-CN"/>
        </w:rPr>
        <w:t>2.4</w:t>
      </w:r>
      <w:r>
        <w:rPr>
          <w:rFonts w:eastAsiaTheme="minorEastAsia" w:cs="Calibri"/>
          <w:szCs w:val="24"/>
          <w:lang w:val="en-US" w:eastAsia="zh-CN"/>
        </w:rPr>
        <w:tab/>
      </w:r>
      <w:r w:rsidR="001A0381" w:rsidRPr="004D6689">
        <w:rPr>
          <w:rFonts w:eastAsiaTheme="minorEastAsia" w:cs="Calibri"/>
          <w:szCs w:val="24"/>
          <w:lang w:val="en-US" w:eastAsia="zh-CN"/>
        </w:rPr>
        <w:t xml:space="preserve">The Conference adopted </w:t>
      </w:r>
      <w:hyperlink r:id="rId32" w:history="1">
        <w:r w:rsidR="001A0381" w:rsidRPr="004D6689">
          <w:rPr>
            <w:rStyle w:val="Hyperlink"/>
            <w:rFonts w:eastAsiaTheme="minorEastAsia" w:cs="Calibri"/>
            <w:szCs w:val="24"/>
            <w:lang w:val="en-US" w:eastAsia="zh-CN"/>
          </w:rPr>
          <w:t>Resolution 1</w:t>
        </w:r>
      </w:hyperlink>
      <w:r w:rsidR="001A0381" w:rsidRPr="004D6689">
        <w:rPr>
          <w:rFonts w:eastAsiaTheme="minorEastAsia" w:cs="Calibri"/>
          <w:szCs w:val="24"/>
          <w:lang w:val="en-US" w:eastAsia="zh-CN"/>
        </w:rPr>
        <w:t xml:space="preserve"> relating to the setting up of the Preparatory Commission for the Establishment of the International Registry for Space Assets, which resolves “to establish, pending the entry into force of the Protocol, a Preparatory Commission to act with full authority as Provisional Supervisory Authority for the establishment of the International Registry for space assets, under the guidance of the General Assembly of UNIDROIT”. Such Preparatory Commission shall be composed of persons, having the necessary qualifications and experience, nominated by one-third of the negotiating States, with ITU, the International Civil Aviation Organization (ICAO), the Intergovernmental organization for Carriage by Rail (OTIF) and representatives of the commercial space, financial and insurance communities and other interested parties being invited to participate in the work of the Preparatory Commission as observers.</w:t>
      </w:r>
    </w:p>
    <w:p w:rsidR="001A0381" w:rsidRPr="004D6689" w:rsidRDefault="00AF5A4C" w:rsidP="004D6689">
      <w:pPr>
        <w:tabs>
          <w:tab w:val="clear" w:pos="567"/>
          <w:tab w:val="clear" w:pos="1134"/>
          <w:tab w:val="clear" w:pos="1701"/>
          <w:tab w:val="clear" w:pos="2268"/>
          <w:tab w:val="clear" w:pos="2835"/>
        </w:tabs>
        <w:overflowPunct/>
        <w:autoSpaceDE/>
        <w:autoSpaceDN/>
        <w:adjustRightInd/>
        <w:snapToGrid w:val="0"/>
        <w:spacing w:after="120"/>
        <w:textAlignment w:val="auto"/>
        <w:rPr>
          <w:rFonts w:eastAsiaTheme="minorEastAsia" w:cs="Calibri"/>
          <w:szCs w:val="24"/>
          <w:lang w:val="en-US" w:eastAsia="zh-CN"/>
        </w:rPr>
      </w:pPr>
      <w:r>
        <w:rPr>
          <w:rFonts w:eastAsiaTheme="minorEastAsia" w:cs="Calibri"/>
          <w:szCs w:val="24"/>
          <w:lang w:val="en-US" w:eastAsia="zh-CN"/>
        </w:rPr>
        <w:lastRenderedPageBreak/>
        <w:t>2.5</w:t>
      </w:r>
      <w:r>
        <w:rPr>
          <w:rFonts w:eastAsiaTheme="minorEastAsia" w:cs="Calibri"/>
          <w:szCs w:val="24"/>
          <w:lang w:val="en-US" w:eastAsia="zh-CN"/>
        </w:rPr>
        <w:tab/>
      </w:r>
      <w:r w:rsidR="001A0381" w:rsidRPr="004D6689">
        <w:rPr>
          <w:rFonts w:eastAsiaTheme="minorEastAsia" w:cs="Calibri"/>
          <w:szCs w:val="24"/>
          <w:lang w:val="en-US" w:eastAsia="zh-CN"/>
        </w:rPr>
        <w:t xml:space="preserve">In its </w:t>
      </w:r>
      <w:hyperlink r:id="rId33" w:history="1">
        <w:r w:rsidR="001A0381" w:rsidRPr="004D6689">
          <w:rPr>
            <w:rStyle w:val="Hyperlink"/>
            <w:rFonts w:eastAsiaTheme="minorEastAsia" w:cs="Calibri"/>
            <w:szCs w:val="24"/>
            <w:lang w:val="en-US" w:eastAsia="zh-CN"/>
          </w:rPr>
          <w:t>Resolution 2</w:t>
        </w:r>
      </w:hyperlink>
      <w:r w:rsidR="001A0381" w:rsidRPr="004D6689">
        <w:rPr>
          <w:rFonts w:eastAsiaTheme="minorEastAsia" w:cs="Calibri"/>
          <w:szCs w:val="24"/>
          <w:lang w:val="en-US" w:eastAsia="zh-CN"/>
        </w:rPr>
        <w:t>, relating to the establishment of the Supervisory Authority for the international registry for Space Assets</w:t>
      </w:r>
      <w:r w:rsidR="00380BA4" w:rsidRPr="004D6689">
        <w:rPr>
          <w:rFonts w:eastAsiaTheme="minorEastAsia" w:cs="Calibri"/>
          <w:szCs w:val="24"/>
          <w:lang w:val="en-US" w:eastAsia="zh-CN"/>
        </w:rPr>
        <w:t>, and</w:t>
      </w:r>
      <w:r w:rsidR="001A0381" w:rsidRPr="004D6689">
        <w:rPr>
          <w:rFonts w:eastAsiaTheme="minorEastAsia" w:cs="Calibri"/>
          <w:szCs w:val="24"/>
          <w:lang w:val="en-US" w:eastAsia="zh-CN"/>
        </w:rPr>
        <w:t xml:space="preserve"> taking account </w:t>
      </w:r>
      <w:r w:rsidR="00E73DCB" w:rsidRPr="004D6689">
        <w:rPr>
          <w:rFonts w:eastAsiaTheme="minorEastAsia" w:cs="Calibri"/>
          <w:szCs w:val="24"/>
          <w:lang w:val="en-US" w:eastAsia="zh-CN"/>
        </w:rPr>
        <w:t>ITU’s interest</w:t>
      </w:r>
      <w:r w:rsidR="001A0381" w:rsidRPr="004D6689">
        <w:rPr>
          <w:rFonts w:eastAsiaTheme="minorEastAsia" w:cs="Calibri"/>
          <w:szCs w:val="24"/>
          <w:lang w:val="en-US" w:eastAsia="zh-CN"/>
        </w:rPr>
        <w:t>, the Conference invites the governing bodies of ITU:</w:t>
      </w:r>
    </w:p>
    <w:p w:rsidR="001A0381" w:rsidRPr="004D6689" w:rsidRDefault="001A0381" w:rsidP="00AF5A4C">
      <w:pPr>
        <w:tabs>
          <w:tab w:val="clear" w:pos="567"/>
          <w:tab w:val="clear" w:pos="1134"/>
          <w:tab w:val="clear" w:pos="1701"/>
          <w:tab w:val="clear" w:pos="2268"/>
          <w:tab w:val="clear" w:pos="2835"/>
        </w:tabs>
        <w:overflowPunct/>
        <w:autoSpaceDE/>
        <w:autoSpaceDN/>
        <w:adjustRightInd/>
        <w:snapToGrid w:val="0"/>
        <w:spacing w:after="120"/>
        <w:ind w:left="1418" w:hanging="851"/>
        <w:textAlignment w:val="auto"/>
        <w:rPr>
          <w:rFonts w:eastAsiaTheme="minorEastAsia" w:cs="Calibri"/>
          <w:szCs w:val="24"/>
          <w:lang w:val="en-US" w:eastAsia="zh-CN"/>
        </w:rPr>
      </w:pPr>
      <w:r w:rsidRPr="004D6689">
        <w:rPr>
          <w:rFonts w:eastAsiaTheme="minorEastAsia" w:cs="Calibri"/>
          <w:szCs w:val="24"/>
          <w:lang w:val="en-US" w:eastAsia="zh-CN"/>
        </w:rPr>
        <w:t>(1)</w:t>
      </w:r>
      <w:r w:rsidR="00AF5A4C">
        <w:rPr>
          <w:rFonts w:eastAsiaTheme="minorEastAsia" w:cs="Calibri"/>
          <w:szCs w:val="24"/>
          <w:lang w:val="en-US" w:eastAsia="zh-CN"/>
        </w:rPr>
        <w:tab/>
      </w:r>
      <w:r w:rsidRPr="004D6689">
        <w:rPr>
          <w:rFonts w:eastAsiaTheme="minorEastAsia" w:cs="Calibri"/>
          <w:szCs w:val="24"/>
          <w:lang w:val="en-US" w:eastAsia="zh-CN"/>
        </w:rPr>
        <w:t>to consider the matter of the ITU becoming Supervisory Authority upon or after the entry into force of the Protocol and take the necessary action, as appropriate; and</w:t>
      </w:r>
    </w:p>
    <w:p w:rsidR="004E0E62" w:rsidRPr="004D6689" w:rsidRDefault="00AF5A4C" w:rsidP="00AF5A4C">
      <w:pPr>
        <w:tabs>
          <w:tab w:val="clear" w:pos="567"/>
          <w:tab w:val="clear" w:pos="1134"/>
          <w:tab w:val="clear" w:pos="1701"/>
          <w:tab w:val="clear" w:pos="2268"/>
          <w:tab w:val="clear" w:pos="2835"/>
        </w:tabs>
        <w:overflowPunct/>
        <w:autoSpaceDE/>
        <w:autoSpaceDN/>
        <w:adjustRightInd/>
        <w:snapToGrid w:val="0"/>
        <w:spacing w:after="120"/>
        <w:ind w:left="567"/>
        <w:textAlignment w:val="auto"/>
        <w:rPr>
          <w:rFonts w:eastAsiaTheme="minorEastAsia" w:cs="Calibri"/>
          <w:szCs w:val="24"/>
          <w:lang w:val="en-US" w:eastAsia="zh-CN"/>
        </w:rPr>
      </w:pPr>
      <w:r>
        <w:rPr>
          <w:rFonts w:eastAsiaTheme="minorEastAsia" w:cs="Calibri"/>
          <w:szCs w:val="24"/>
          <w:lang w:val="en-US" w:eastAsia="zh-CN"/>
        </w:rPr>
        <w:t>(2)</w:t>
      </w:r>
      <w:r>
        <w:rPr>
          <w:rFonts w:eastAsiaTheme="minorEastAsia" w:cs="Calibri"/>
          <w:szCs w:val="24"/>
          <w:lang w:val="en-US" w:eastAsia="zh-CN"/>
        </w:rPr>
        <w:tab/>
      </w:r>
      <w:proofErr w:type="gramStart"/>
      <w:r w:rsidR="001A0381" w:rsidRPr="004D6689">
        <w:rPr>
          <w:rFonts w:eastAsiaTheme="minorEastAsia" w:cs="Calibri"/>
          <w:szCs w:val="24"/>
          <w:lang w:val="en-US" w:eastAsia="zh-CN"/>
        </w:rPr>
        <w:t>to</w:t>
      </w:r>
      <w:proofErr w:type="gramEnd"/>
      <w:r w:rsidR="001A0381" w:rsidRPr="004D6689">
        <w:rPr>
          <w:rFonts w:eastAsiaTheme="minorEastAsia" w:cs="Calibri"/>
          <w:szCs w:val="24"/>
          <w:lang w:val="en-US" w:eastAsia="zh-CN"/>
        </w:rPr>
        <w:t xml:space="preserve"> inform the Secretary-General of UNIDROIT accordingly.</w:t>
      </w:r>
    </w:p>
    <w:p w:rsidR="001A0381" w:rsidRPr="004D6689" w:rsidRDefault="001A0381" w:rsidP="00631BA2">
      <w:pPr>
        <w:tabs>
          <w:tab w:val="clear" w:pos="567"/>
          <w:tab w:val="clear" w:pos="1134"/>
          <w:tab w:val="clear" w:pos="1701"/>
          <w:tab w:val="clear" w:pos="2268"/>
          <w:tab w:val="clear" w:pos="2835"/>
        </w:tabs>
        <w:overflowPunct/>
        <w:autoSpaceDE/>
        <w:autoSpaceDN/>
        <w:adjustRightInd/>
        <w:snapToGrid w:val="0"/>
        <w:spacing w:before="0"/>
        <w:textAlignment w:val="auto"/>
        <w:rPr>
          <w:rFonts w:eastAsiaTheme="minorEastAsia" w:cs="Calibri"/>
          <w:b/>
          <w:bCs/>
          <w:szCs w:val="24"/>
          <w:lang w:val="en-US" w:eastAsia="zh-CN"/>
        </w:rPr>
      </w:pPr>
    </w:p>
    <w:p w:rsidR="006525C3" w:rsidRPr="004D6689" w:rsidRDefault="00AF5A4C" w:rsidP="004D6689">
      <w:pPr>
        <w:tabs>
          <w:tab w:val="clear" w:pos="567"/>
          <w:tab w:val="clear" w:pos="1134"/>
          <w:tab w:val="clear" w:pos="1701"/>
          <w:tab w:val="clear" w:pos="2268"/>
          <w:tab w:val="clear" w:pos="2835"/>
        </w:tabs>
        <w:overflowPunct/>
        <w:autoSpaceDE/>
        <w:autoSpaceDN/>
        <w:adjustRightInd/>
        <w:snapToGrid w:val="0"/>
        <w:spacing w:after="120"/>
        <w:textAlignment w:val="auto"/>
        <w:rPr>
          <w:rFonts w:eastAsiaTheme="minorEastAsia" w:cs="Calibri"/>
          <w:b/>
          <w:bCs/>
          <w:szCs w:val="24"/>
          <w:lang w:val="en-US" w:eastAsia="zh-CN"/>
        </w:rPr>
      </w:pPr>
      <w:r>
        <w:rPr>
          <w:rFonts w:eastAsiaTheme="minorEastAsia" w:cs="Calibri"/>
          <w:b/>
          <w:bCs/>
          <w:szCs w:val="24"/>
          <w:lang w:val="en-US" w:eastAsia="zh-CN"/>
        </w:rPr>
        <w:t>3</w:t>
      </w:r>
      <w:r>
        <w:rPr>
          <w:rFonts w:eastAsiaTheme="minorEastAsia" w:cs="Calibri"/>
          <w:b/>
          <w:bCs/>
          <w:szCs w:val="24"/>
          <w:lang w:val="en-US" w:eastAsia="zh-CN"/>
        </w:rPr>
        <w:tab/>
      </w:r>
      <w:r w:rsidR="006525C3" w:rsidRPr="004D6689">
        <w:rPr>
          <w:rFonts w:eastAsiaTheme="minorEastAsia" w:cs="Calibri"/>
          <w:b/>
          <w:bCs/>
          <w:szCs w:val="24"/>
          <w:lang w:val="en-US" w:eastAsia="zh-CN"/>
        </w:rPr>
        <w:t>Council 2012</w:t>
      </w:r>
    </w:p>
    <w:p w:rsidR="004E74A2" w:rsidRPr="004D6689" w:rsidRDefault="00AF5A4C" w:rsidP="00FA57E5">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eastAsiaTheme="minorEastAsia" w:hAnsiTheme="minorHAnsi" w:cstheme="minorHAnsi"/>
          <w:szCs w:val="24"/>
          <w:lang w:val="en-US" w:eastAsia="zh-CN"/>
        </w:rPr>
      </w:pPr>
      <w:r>
        <w:rPr>
          <w:rFonts w:eastAsiaTheme="minorEastAsia" w:cs="Calibri"/>
          <w:szCs w:val="24"/>
          <w:lang w:val="en-US" w:eastAsia="zh-CN"/>
        </w:rPr>
        <w:t>3.1</w:t>
      </w:r>
      <w:r>
        <w:rPr>
          <w:rFonts w:eastAsiaTheme="minorEastAsia" w:cs="Calibri"/>
          <w:szCs w:val="24"/>
          <w:lang w:val="en-US" w:eastAsia="zh-CN"/>
        </w:rPr>
        <w:tab/>
      </w:r>
      <w:r w:rsidR="003A46A9" w:rsidRPr="004D6689">
        <w:rPr>
          <w:rFonts w:eastAsiaTheme="minorEastAsia" w:cs="Calibri"/>
          <w:szCs w:val="24"/>
          <w:lang w:val="en-US" w:eastAsia="zh-CN"/>
        </w:rPr>
        <w:t xml:space="preserve">Following </w:t>
      </w:r>
      <w:r w:rsidR="00ED603D">
        <w:rPr>
          <w:rFonts w:eastAsiaTheme="minorEastAsia" w:cs="Calibri"/>
          <w:szCs w:val="24"/>
          <w:lang w:val="en-US" w:eastAsia="zh-CN"/>
        </w:rPr>
        <w:t xml:space="preserve">the </w:t>
      </w:r>
      <w:r w:rsidR="003A46A9" w:rsidRPr="004D6689">
        <w:rPr>
          <w:rFonts w:eastAsiaTheme="minorEastAsia" w:cs="Calibri"/>
          <w:szCs w:val="24"/>
          <w:lang w:val="en-US" w:eastAsia="zh-CN"/>
        </w:rPr>
        <w:t xml:space="preserve">Council’s discussions in 2011 on the possible role of ITU as Supervisory Authority of the future international registration system for space assets under the draft Space Protocol, a status report on the diplomatic Conference was presented at Council 2012 (see Document </w:t>
      </w:r>
      <w:hyperlink r:id="rId34" w:history="1">
        <w:r w:rsidR="003A46A9" w:rsidRPr="004D6689">
          <w:rPr>
            <w:rStyle w:val="Hyperlink"/>
            <w:rFonts w:eastAsiaTheme="minorEastAsia" w:cs="Calibri"/>
            <w:color w:val="auto"/>
            <w:szCs w:val="24"/>
            <w:lang w:val="en-US" w:eastAsia="zh-CN"/>
          </w:rPr>
          <w:t>C12/36</w:t>
        </w:r>
      </w:hyperlink>
      <w:r w:rsidR="003A46A9" w:rsidRPr="004D6689">
        <w:rPr>
          <w:rFonts w:eastAsiaTheme="minorEastAsia" w:cs="Calibri"/>
          <w:szCs w:val="24"/>
          <w:lang w:val="en-US" w:eastAsia="zh-CN"/>
        </w:rPr>
        <w:t>) with the suggested follow-up actions. Council</w:t>
      </w:r>
      <w:r w:rsidR="003C6D07" w:rsidRPr="004D6689">
        <w:rPr>
          <w:rFonts w:eastAsiaTheme="minorEastAsia" w:cs="Calibri"/>
          <w:szCs w:val="24"/>
          <w:lang w:val="en-US" w:eastAsia="zh-CN"/>
        </w:rPr>
        <w:t xml:space="preserve"> </w:t>
      </w:r>
      <w:r w:rsidR="003A46A9" w:rsidRPr="004D6689">
        <w:rPr>
          <w:rFonts w:eastAsiaTheme="minorEastAsia" w:cs="Calibri"/>
          <w:szCs w:val="24"/>
          <w:lang w:val="en-US" w:eastAsia="zh-CN"/>
        </w:rPr>
        <w:t xml:space="preserve">2012 agreed to authorize the </w:t>
      </w:r>
      <w:r w:rsidR="00ED603D" w:rsidRPr="004D6689">
        <w:rPr>
          <w:rFonts w:eastAsiaTheme="minorEastAsia" w:cs="Calibri"/>
          <w:szCs w:val="24"/>
          <w:lang w:val="en-US" w:eastAsia="zh-CN"/>
        </w:rPr>
        <w:t>Secretary</w:t>
      </w:r>
      <w:r w:rsidR="00ED603D">
        <w:rPr>
          <w:rFonts w:eastAsiaTheme="minorEastAsia" w:cs="Calibri"/>
          <w:szCs w:val="24"/>
          <w:lang w:val="en-US" w:eastAsia="zh-CN"/>
        </w:rPr>
        <w:t>-</w:t>
      </w:r>
      <w:r w:rsidR="003A46A9" w:rsidRPr="004D6689">
        <w:rPr>
          <w:rFonts w:eastAsiaTheme="minorEastAsia" w:cs="Calibri"/>
          <w:szCs w:val="24"/>
          <w:lang w:val="en-US" w:eastAsia="zh-CN"/>
        </w:rPr>
        <w:t xml:space="preserve">General to continue to express interest in the ITU becoming the Supervisory Authority, noting that the matter of whether or not ITU could </w:t>
      </w:r>
      <w:r w:rsidR="003C6D07" w:rsidRPr="004D6689">
        <w:rPr>
          <w:rFonts w:eastAsiaTheme="minorEastAsia" w:cs="Calibri"/>
          <w:szCs w:val="24"/>
          <w:lang w:val="en-US" w:eastAsia="zh-CN"/>
        </w:rPr>
        <w:t xml:space="preserve">do so </w:t>
      </w:r>
      <w:r w:rsidR="003A46A9" w:rsidRPr="004D6689">
        <w:rPr>
          <w:rFonts w:eastAsiaTheme="minorEastAsia" w:cs="Calibri"/>
          <w:szCs w:val="24"/>
          <w:lang w:val="en-US" w:eastAsia="zh-CN"/>
        </w:rPr>
        <w:t>should not be prejudged at this stage</w:t>
      </w:r>
      <w:r w:rsidR="00ED603D">
        <w:rPr>
          <w:rFonts w:eastAsiaTheme="minorEastAsia" w:cs="Calibri"/>
          <w:szCs w:val="24"/>
          <w:lang w:val="en-US" w:eastAsia="zh-CN"/>
        </w:rPr>
        <w:t>,</w:t>
      </w:r>
      <w:r w:rsidR="003A46A9" w:rsidRPr="004D6689">
        <w:rPr>
          <w:rFonts w:eastAsiaTheme="minorEastAsia" w:cs="Calibri"/>
          <w:szCs w:val="24"/>
          <w:lang w:val="en-US" w:eastAsia="zh-CN"/>
        </w:rPr>
        <w:t xml:space="preserve"> and also authorized the Secretary-General or his representative to participate in the work of the Preparatory Commission as observer once this </w:t>
      </w:r>
      <w:r w:rsidR="00F007A3">
        <w:rPr>
          <w:rFonts w:eastAsiaTheme="minorEastAsia" w:cs="Calibri"/>
          <w:szCs w:val="24"/>
          <w:lang w:val="en-US" w:eastAsia="zh-CN"/>
        </w:rPr>
        <w:t>C</w:t>
      </w:r>
      <w:r w:rsidR="00F007A3" w:rsidRPr="004D6689">
        <w:rPr>
          <w:rFonts w:eastAsiaTheme="minorEastAsia" w:cs="Calibri"/>
          <w:szCs w:val="24"/>
          <w:lang w:val="en-US" w:eastAsia="zh-CN"/>
        </w:rPr>
        <w:t xml:space="preserve">ommission </w:t>
      </w:r>
      <w:r w:rsidR="003C6D07" w:rsidRPr="004D6689">
        <w:rPr>
          <w:rFonts w:eastAsiaTheme="minorEastAsia" w:cs="Calibri"/>
          <w:szCs w:val="24"/>
          <w:lang w:val="en-US" w:eastAsia="zh-CN"/>
        </w:rPr>
        <w:t xml:space="preserve">was </w:t>
      </w:r>
      <w:r w:rsidR="003A46A9" w:rsidRPr="004D6689">
        <w:rPr>
          <w:rFonts w:eastAsiaTheme="minorEastAsia" w:cs="Calibri"/>
          <w:szCs w:val="24"/>
          <w:lang w:val="en-US" w:eastAsia="zh-CN"/>
        </w:rPr>
        <w:t xml:space="preserve">established. The Secretary-General </w:t>
      </w:r>
      <w:r w:rsidR="001978D7" w:rsidRPr="004D6689">
        <w:rPr>
          <w:rFonts w:eastAsiaTheme="minorEastAsia" w:cs="Calibri"/>
          <w:szCs w:val="24"/>
          <w:lang w:val="en-US" w:eastAsia="zh-CN"/>
        </w:rPr>
        <w:t>was invited to</w:t>
      </w:r>
      <w:r w:rsidR="003A46A9" w:rsidRPr="004D6689">
        <w:rPr>
          <w:rFonts w:eastAsiaTheme="minorEastAsia" w:cs="Calibri"/>
          <w:szCs w:val="24"/>
          <w:lang w:val="en-US" w:eastAsia="zh-CN"/>
        </w:rPr>
        <w:t xml:space="preserve"> report</w:t>
      </w:r>
      <w:r w:rsidR="001978D7" w:rsidRPr="004D6689">
        <w:rPr>
          <w:rFonts w:eastAsiaTheme="minorEastAsia" w:cs="Calibri"/>
          <w:szCs w:val="24"/>
          <w:lang w:val="en-US" w:eastAsia="zh-CN"/>
        </w:rPr>
        <w:t xml:space="preserve"> back to Council 2013 which would</w:t>
      </w:r>
      <w:r w:rsidR="003A46A9" w:rsidRPr="004D6689">
        <w:rPr>
          <w:rFonts w:eastAsiaTheme="minorEastAsia" w:cs="Calibri"/>
          <w:szCs w:val="24"/>
          <w:lang w:val="en-US" w:eastAsia="zh-CN"/>
        </w:rPr>
        <w:t xml:space="preserve"> consider the matter further in light of the development on the establishment of the Preparatory Commission and progress if any, taking into account the financial, juridical and technical implications for ITU</w:t>
      </w:r>
      <w:r w:rsidR="004E74A2" w:rsidRPr="004D6689">
        <w:rPr>
          <w:rFonts w:eastAsiaTheme="minorEastAsia" w:cs="Calibri"/>
          <w:szCs w:val="24"/>
          <w:lang w:val="en-US" w:eastAsia="zh-CN"/>
        </w:rPr>
        <w:t>.</w:t>
      </w:r>
    </w:p>
    <w:p w:rsidR="00C213F7" w:rsidRPr="004D6689" w:rsidRDefault="00C213F7" w:rsidP="00631BA2">
      <w:pPr>
        <w:tabs>
          <w:tab w:val="clear" w:pos="567"/>
          <w:tab w:val="clear" w:pos="1134"/>
          <w:tab w:val="clear" w:pos="1701"/>
          <w:tab w:val="clear" w:pos="2268"/>
          <w:tab w:val="clear" w:pos="2835"/>
        </w:tabs>
        <w:overflowPunct/>
        <w:autoSpaceDE/>
        <w:autoSpaceDN/>
        <w:adjustRightInd/>
        <w:snapToGrid w:val="0"/>
        <w:spacing w:before="0"/>
        <w:textAlignment w:val="auto"/>
        <w:rPr>
          <w:rFonts w:eastAsiaTheme="minorEastAsia" w:cs="Calibri"/>
          <w:szCs w:val="24"/>
          <w:lang w:val="en-US" w:eastAsia="zh-CN"/>
        </w:rPr>
      </w:pPr>
    </w:p>
    <w:p w:rsidR="00DD3E75" w:rsidRPr="004D6689" w:rsidRDefault="00AF5A4C" w:rsidP="004D6689">
      <w:pPr>
        <w:tabs>
          <w:tab w:val="clear" w:pos="567"/>
          <w:tab w:val="clear" w:pos="1134"/>
          <w:tab w:val="clear" w:pos="1701"/>
          <w:tab w:val="clear" w:pos="2268"/>
          <w:tab w:val="clear" w:pos="2835"/>
        </w:tabs>
        <w:overflowPunct/>
        <w:autoSpaceDE/>
        <w:autoSpaceDN/>
        <w:adjustRightInd/>
        <w:snapToGrid w:val="0"/>
        <w:spacing w:after="120"/>
        <w:textAlignment w:val="auto"/>
        <w:rPr>
          <w:rFonts w:eastAsiaTheme="minorEastAsia" w:cs="Calibri"/>
          <w:b/>
          <w:bCs/>
          <w:szCs w:val="24"/>
          <w:lang w:val="en-US" w:eastAsia="zh-CN"/>
        </w:rPr>
      </w:pPr>
      <w:r>
        <w:rPr>
          <w:rFonts w:eastAsiaTheme="minorEastAsia" w:cs="Calibri"/>
          <w:b/>
          <w:bCs/>
          <w:szCs w:val="24"/>
          <w:lang w:val="en-US" w:eastAsia="zh-CN"/>
        </w:rPr>
        <w:t>4</w:t>
      </w:r>
      <w:r>
        <w:rPr>
          <w:rFonts w:eastAsiaTheme="minorEastAsia" w:cs="Calibri"/>
          <w:b/>
          <w:bCs/>
          <w:szCs w:val="24"/>
          <w:lang w:val="en-US" w:eastAsia="zh-CN"/>
        </w:rPr>
        <w:tab/>
      </w:r>
      <w:r w:rsidR="00DD3E75" w:rsidRPr="004D6689">
        <w:rPr>
          <w:rFonts w:eastAsiaTheme="minorEastAsia" w:cs="Calibri"/>
          <w:b/>
          <w:bCs/>
          <w:szCs w:val="24"/>
          <w:lang w:val="en-US" w:eastAsia="zh-CN"/>
        </w:rPr>
        <w:t>Preparatory Commission (</w:t>
      </w:r>
      <w:r w:rsidR="00C15C61" w:rsidRPr="004D6689">
        <w:rPr>
          <w:rFonts w:eastAsiaTheme="minorEastAsia" w:cs="Calibri"/>
          <w:b/>
          <w:bCs/>
          <w:szCs w:val="24"/>
          <w:lang w:val="en-US" w:eastAsia="zh-CN"/>
        </w:rPr>
        <w:t xml:space="preserve">Rome, </w:t>
      </w:r>
      <w:r w:rsidR="00DD3E75" w:rsidRPr="004D6689">
        <w:rPr>
          <w:rFonts w:eastAsiaTheme="minorEastAsia" w:cs="Calibri"/>
          <w:b/>
          <w:bCs/>
          <w:szCs w:val="24"/>
          <w:lang w:val="en-US" w:eastAsia="zh-CN"/>
        </w:rPr>
        <w:t>1</w:t>
      </w:r>
      <w:r w:rsidR="00DD3E75" w:rsidRPr="00B67B60">
        <w:rPr>
          <w:rFonts w:eastAsiaTheme="minorEastAsia" w:cs="Calibri"/>
          <w:b/>
          <w:bCs/>
          <w:szCs w:val="24"/>
          <w:lang w:val="en-US" w:eastAsia="zh-CN"/>
        </w:rPr>
        <w:t>st</w:t>
      </w:r>
      <w:r w:rsidR="00DD3E75" w:rsidRPr="004D6689">
        <w:rPr>
          <w:rFonts w:eastAsiaTheme="minorEastAsia" w:cs="Calibri"/>
          <w:b/>
          <w:bCs/>
          <w:szCs w:val="24"/>
          <w:lang w:val="en-US" w:eastAsia="zh-CN"/>
        </w:rPr>
        <w:t xml:space="preserve"> session, 6-7 May 2013)</w:t>
      </w:r>
    </w:p>
    <w:p w:rsidR="003A46A9" w:rsidRPr="004D6689" w:rsidRDefault="00AF5A4C" w:rsidP="004D6689">
      <w:pPr>
        <w:tabs>
          <w:tab w:val="clear" w:pos="567"/>
          <w:tab w:val="clear" w:pos="1134"/>
          <w:tab w:val="clear" w:pos="1701"/>
          <w:tab w:val="clear" w:pos="2268"/>
          <w:tab w:val="clear" w:pos="2835"/>
        </w:tabs>
        <w:overflowPunct/>
        <w:autoSpaceDE/>
        <w:autoSpaceDN/>
        <w:adjustRightInd/>
        <w:snapToGrid w:val="0"/>
        <w:spacing w:after="120"/>
        <w:textAlignment w:val="auto"/>
        <w:rPr>
          <w:rFonts w:eastAsiaTheme="minorEastAsia" w:cs="Calibri"/>
          <w:szCs w:val="24"/>
          <w:lang w:val="en-US" w:eastAsia="zh-CN"/>
        </w:rPr>
      </w:pPr>
      <w:r>
        <w:rPr>
          <w:rFonts w:eastAsiaTheme="minorEastAsia" w:cs="Calibri"/>
          <w:szCs w:val="24"/>
          <w:lang w:val="en-US" w:eastAsia="zh-CN"/>
        </w:rPr>
        <w:t>4.1</w:t>
      </w:r>
      <w:r>
        <w:rPr>
          <w:rFonts w:eastAsiaTheme="minorEastAsia" w:cs="Calibri"/>
          <w:szCs w:val="24"/>
          <w:lang w:val="en-US" w:eastAsia="zh-CN"/>
        </w:rPr>
        <w:tab/>
      </w:r>
      <w:r w:rsidR="003A46A9" w:rsidRPr="004D6689">
        <w:rPr>
          <w:rFonts w:eastAsiaTheme="minorEastAsia" w:cs="Calibri"/>
          <w:szCs w:val="24"/>
          <w:lang w:val="en-US" w:eastAsia="zh-CN"/>
        </w:rPr>
        <w:t>The first session of the Preparatory Commission for the establishment of the International Registry for Space Assets pursuant to the Space Protocol took place at the headquarters of UNIDROIT in Rome on 6 and 7 May 2013. In accordance with Resolution 1 of the diplomatic Conference relating to the setting up of the Preparatory Commission and pending the entry into force of the Protocol, the Commission is currently acting with full authority as the Provisional Supervisory Authority.</w:t>
      </w:r>
    </w:p>
    <w:p w:rsidR="00777384" w:rsidRPr="004D6689" w:rsidRDefault="00AF5A4C">
      <w:pPr>
        <w:tabs>
          <w:tab w:val="clear" w:pos="567"/>
          <w:tab w:val="clear" w:pos="1134"/>
          <w:tab w:val="clear" w:pos="1701"/>
          <w:tab w:val="clear" w:pos="2268"/>
          <w:tab w:val="clear" w:pos="2835"/>
        </w:tabs>
        <w:overflowPunct/>
        <w:autoSpaceDE/>
        <w:autoSpaceDN/>
        <w:adjustRightInd/>
        <w:snapToGrid w:val="0"/>
        <w:spacing w:after="120"/>
        <w:textAlignment w:val="auto"/>
        <w:rPr>
          <w:rFonts w:eastAsiaTheme="minorEastAsia" w:cs="Calibri"/>
          <w:szCs w:val="24"/>
          <w:lang w:val="en-US" w:eastAsia="zh-CN"/>
        </w:rPr>
      </w:pPr>
      <w:r>
        <w:rPr>
          <w:rFonts w:eastAsiaTheme="minorEastAsia" w:cs="Calibri"/>
          <w:szCs w:val="24"/>
          <w:lang w:val="en-US" w:eastAsia="zh-CN"/>
        </w:rPr>
        <w:t>4.2</w:t>
      </w:r>
      <w:r>
        <w:rPr>
          <w:rFonts w:eastAsiaTheme="minorEastAsia" w:cs="Calibri"/>
          <w:szCs w:val="24"/>
          <w:lang w:val="en-US" w:eastAsia="zh-CN"/>
        </w:rPr>
        <w:tab/>
      </w:r>
      <w:r w:rsidR="003A46A9" w:rsidRPr="004D6689">
        <w:rPr>
          <w:rFonts w:eastAsiaTheme="minorEastAsia" w:cs="Calibri"/>
          <w:szCs w:val="24"/>
          <w:lang w:val="en-US" w:eastAsia="zh-CN"/>
        </w:rPr>
        <w:t>The Commission established two working groups</w:t>
      </w:r>
      <w:r w:rsidR="00ED603D">
        <w:rPr>
          <w:rFonts w:eastAsiaTheme="minorEastAsia" w:cs="Calibri"/>
          <w:szCs w:val="24"/>
          <w:lang w:val="en-US" w:eastAsia="zh-CN"/>
        </w:rPr>
        <w:t>:</w:t>
      </w:r>
      <w:r w:rsidR="00ED603D" w:rsidRPr="004D6689">
        <w:rPr>
          <w:rFonts w:eastAsiaTheme="minorEastAsia" w:cs="Calibri"/>
          <w:szCs w:val="24"/>
          <w:lang w:val="en-US" w:eastAsia="zh-CN"/>
        </w:rPr>
        <w:t xml:space="preserve"> </w:t>
      </w:r>
      <w:r w:rsidR="003A46A9" w:rsidRPr="004D6689">
        <w:rPr>
          <w:rFonts w:eastAsiaTheme="minorEastAsia" w:cs="Calibri"/>
          <w:szCs w:val="24"/>
          <w:lang w:val="en-US" w:eastAsia="zh-CN"/>
        </w:rPr>
        <w:t xml:space="preserve">Working Group I to develop draft regulations for the International Registry for space assets to be chaired by </w:t>
      </w:r>
      <w:proofErr w:type="spellStart"/>
      <w:r w:rsidR="003A46A9" w:rsidRPr="004D6689">
        <w:rPr>
          <w:rFonts w:eastAsiaTheme="minorEastAsia" w:cs="Calibri"/>
          <w:szCs w:val="24"/>
          <w:lang w:val="en-US" w:eastAsia="zh-CN"/>
        </w:rPr>
        <w:t>Mr</w:t>
      </w:r>
      <w:proofErr w:type="spellEnd"/>
      <w:r w:rsidR="007A7437" w:rsidRPr="004D6689">
        <w:rPr>
          <w:rFonts w:eastAsiaTheme="minorEastAsia" w:cs="Calibri"/>
          <w:szCs w:val="24"/>
          <w:lang w:val="en-US" w:eastAsia="zh-CN"/>
        </w:rPr>
        <w:t xml:space="preserve"> </w:t>
      </w:r>
      <w:r w:rsidR="003A46A9" w:rsidRPr="004D6689">
        <w:rPr>
          <w:rFonts w:eastAsiaTheme="minorEastAsia" w:cs="Calibri"/>
          <w:szCs w:val="24"/>
          <w:lang w:val="en-US" w:eastAsia="zh-CN"/>
        </w:rPr>
        <w:t xml:space="preserve">Igor </w:t>
      </w:r>
      <w:proofErr w:type="spellStart"/>
      <w:r w:rsidR="003A46A9" w:rsidRPr="004D6689">
        <w:rPr>
          <w:rFonts w:eastAsiaTheme="minorEastAsia" w:cs="Calibri"/>
          <w:szCs w:val="24"/>
          <w:lang w:val="en-US" w:eastAsia="zh-CN"/>
        </w:rPr>
        <w:t>Porokhin</w:t>
      </w:r>
      <w:proofErr w:type="spellEnd"/>
      <w:r w:rsidR="003A46A9" w:rsidRPr="004D6689">
        <w:rPr>
          <w:rFonts w:eastAsiaTheme="minorEastAsia" w:cs="Calibri"/>
          <w:szCs w:val="24"/>
          <w:lang w:val="en-US" w:eastAsia="zh-CN"/>
        </w:rPr>
        <w:t xml:space="preserve"> (Russian Federation) with the participation of the People’s Republic of China, France, Germany, Russian Federation, South Africa,</w:t>
      </w:r>
      <w:r w:rsidR="00ED603D">
        <w:rPr>
          <w:rFonts w:eastAsiaTheme="minorEastAsia" w:cs="Calibri"/>
          <w:szCs w:val="24"/>
          <w:lang w:val="en-US" w:eastAsia="zh-CN"/>
        </w:rPr>
        <w:t xml:space="preserve"> and</w:t>
      </w:r>
      <w:r w:rsidR="003A46A9" w:rsidRPr="004D6689">
        <w:rPr>
          <w:rFonts w:eastAsiaTheme="minorEastAsia" w:cs="Calibri"/>
          <w:szCs w:val="24"/>
          <w:lang w:val="en-US" w:eastAsia="zh-CN"/>
        </w:rPr>
        <w:t xml:space="preserve"> United States of America, as well as ITU, SES and Thales </w:t>
      </w:r>
      <w:proofErr w:type="spellStart"/>
      <w:r w:rsidR="003A46A9" w:rsidRPr="004D6689">
        <w:rPr>
          <w:rFonts w:eastAsiaTheme="minorEastAsia" w:cs="Calibri"/>
          <w:szCs w:val="24"/>
          <w:lang w:val="en-US" w:eastAsia="zh-CN"/>
        </w:rPr>
        <w:t>Alenia</w:t>
      </w:r>
      <w:proofErr w:type="spellEnd"/>
      <w:r w:rsidR="003A46A9" w:rsidRPr="004D6689">
        <w:rPr>
          <w:rFonts w:eastAsiaTheme="minorEastAsia" w:cs="Calibri"/>
          <w:szCs w:val="24"/>
          <w:lang w:val="en-US" w:eastAsia="zh-CN"/>
        </w:rPr>
        <w:t xml:space="preserve"> Space as observers</w:t>
      </w:r>
      <w:r w:rsidR="00ED603D">
        <w:rPr>
          <w:rFonts w:eastAsiaTheme="minorEastAsia" w:cs="Calibri"/>
          <w:szCs w:val="24"/>
          <w:lang w:val="en-US" w:eastAsia="zh-CN"/>
        </w:rPr>
        <w:t>;</w:t>
      </w:r>
      <w:r w:rsidR="00ED603D" w:rsidRPr="004D6689">
        <w:rPr>
          <w:rFonts w:eastAsiaTheme="minorEastAsia" w:cs="Calibri"/>
          <w:szCs w:val="24"/>
          <w:lang w:val="en-US" w:eastAsia="zh-CN"/>
        </w:rPr>
        <w:t xml:space="preserve">  </w:t>
      </w:r>
      <w:r w:rsidR="003A46A9" w:rsidRPr="004D6689">
        <w:rPr>
          <w:rFonts w:eastAsiaTheme="minorEastAsia" w:cs="Calibri"/>
          <w:szCs w:val="24"/>
          <w:lang w:val="en-US" w:eastAsia="zh-CN"/>
        </w:rPr>
        <w:t xml:space="preserve">and Working Group II to draft a request for proposals for the selection of a Registrar for the space registry to be chaired by </w:t>
      </w:r>
      <w:proofErr w:type="spellStart"/>
      <w:r w:rsidR="003A46A9" w:rsidRPr="004D6689">
        <w:rPr>
          <w:rFonts w:eastAsiaTheme="minorEastAsia" w:cs="Calibri"/>
          <w:szCs w:val="24"/>
          <w:lang w:val="en-US" w:eastAsia="zh-CN"/>
        </w:rPr>
        <w:t>Mr</w:t>
      </w:r>
      <w:proofErr w:type="spellEnd"/>
      <w:r w:rsidR="003A46A9" w:rsidRPr="004D6689">
        <w:rPr>
          <w:rFonts w:eastAsiaTheme="minorEastAsia" w:cs="Calibri"/>
          <w:szCs w:val="24"/>
          <w:lang w:val="en-US" w:eastAsia="zh-CN"/>
        </w:rPr>
        <w:t xml:space="preserve"> Bernhard Schmidt-</w:t>
      </w:r>
      <w:proofErr w:type="spellStart"/>
      <w:r w:rsidR="003A46A9" w:rsidRPr="004D6689">
        <w:rPr>
          <w:rFonts w:eastAsiaTheme="minorEastAsia" w:cs="Calibri"/>
          <w:szCs w:val="24"/>
          <w:lang w:val="en-US" w:eastAsia="zh-CN"/>
        </w:rPr>
        <w:t>Tedd</w:t>
      </w:r>
      <w:proofErr w:type="spellEnd"/>
      <w:r w:rsidR="003A46A9" w:rsidRPr="004D6689">
        <w:rPr>
          <w:rFonts w:eastAsiaTheme="minorEastAsia" w:cs="Calibri"/>
          <w:szCs w:val="24"/>
          <w:lang w:val="en-US" w:eastAsia="zh-CN"/>
        </w:rPr>
        <w:t xml:space="preserve"> (Germany) with the participation of the People’s Republic of China, Czech Republic, France, Germany, Italy, </w:t>
      </w:r>
      <w:r w:rsidR="00ED603D">
        <w:rPr>
          <w:rFonts w:eastAsiaTheme="minorEastAsia" w:cs="Calibri"/>
          <w:szCs w:val="24"/>
          <w:lang w:val="en-US" w:eastAsia="zh-CN"/>
        </w:rPr>
        <w:t xml:space="preserve">and </w:t>
      </w:r>
      <w:r w:rsidR="003A46A9" w:rsidRPr="004D6689">
        <w:rPr>
          <w:rFonts w:eastAsiaTheme="minorEastAsia" w:cs="Calibri"/>
          <w:szCs w:val="24"/>
          <w:lang w:val="en-US" w:eastAsia="zh-CN"/>
        </w:rPr>
        <w:t xml:space="preserve">Russian Federation, as well as ITU as observer. The Commission also agreed on a time-frame proposing that a meeting of Working Group </w:t>
      </w:r>
      <w:r w:rsidR="003C6D07" w:rsidRPr="004D6689">
        <w:rPr>
          <w:rFonts w:eastAsiaTheme="minorEastAsia" w:cs="Calibri"/>
          <w:szCs w:val="24"/>
          <w:lang w:val="en-US" w:eastAsia="zh-CN"/>
        </w:rPr>
        <w:t>I</w:t>
      </w:r>
      <w:r w:rsidR="003A46A9" w:rsidRPr="004D6689">
        <w:rPr>
          <w:rFonts w:eastAsiaTheme="minorEastAsia" w:cs="Calibri"/>
          <w:szCs w:val="24"/>
          <w:lang w:val="en-US" w:eastAsia="zh-CN"/>
        </w:rPr>
        <w:t xml:space="preserve"> be organized at the beginning of 2014 depending on the inter-sessional work conducted, followed by a possible meeting of Working Group II by April 2014.</w:t>
      </w:r>
    </w:p>
    <w:p w:rsidR="00380BA4" w:rsidRPr="004D6689" w:rsidRDefault="00380BA4" w:rsidP="004D6689">
      <w:pPr>
        <w:tabs>
          <w:tab w:val="clear" w:pos="567"/>
          <w:tab w:val="clear" w:pos="1134"/>
          <w:tab w:val="clear" w:pos="1701"/>
          <w:tab w:val="clear" w:pos="2268"/>
          <w:tab w:val="clear" w:pos="2835"/>
        </w:tabs>
        <w:overflowPunct/>
        <w:autoSpaceDE/>
        <w:autoSpaceDN/>
        <w:adjustRightInd/>
        <w:snapToGrid w:val="0"/>
        <w:spacing w:after="120"/>
        <w:textAlignment w:val="auto"/>
        <w:rPr>
          <w:rFonts w:eastAsiaTheme="minorEastAsia" w:cs="Calibri"/>
          <w:b/>
          <w:bCs/>
          <w:szCs w:val="24"/>
          <w:lang w:val="en-US" w:eastAsia="zh-CN"/>
        </w:rPr>
      </w:pPr>
    </w:p>
    <w:p w:rsidR="002E06D3" w:rsidRPr="004D6689" w:rsidRDefault="00AF5A4C" w:rsidP="004D6689">
      <w:pPr>
        <w:keepNext/>
        <w:keepLines/>
        <w:tabs>
          <w:tab w:val="clear" w:pos="567"/>
          <w:tab w:val="clear" w:pos="1134"/>
          <w:tab w:val="clear" w:pos="1701"/>
          <w:tab w:val="clear" w:pos="2268"/>
          <w:tab w:val="clear" w:pos="2835"/>
        </w:tabs>
        <w:overflowPunct/>
        <w:autoSpaceDE/>
        <w:autoSpaceDN/>
        <w:adjustRightInd/>
        <w:snapToGrid w:val="0"/>
        <w:spacing w:after="120"/>
        <w:textAlignment w:val="auto"/>
        <w:rPr>
          <w:rFonts w:eastAsiaTheme="minorEastAsia" w:cs="Calibri"/>
          <w:b/>
          <w:bCs/>
          <w:szCs w:val="24"/>
          <w:lang w:val="en-US" w:eastAsia="zh-CN"/>
        </w:rPr>
      </w:pPr>
      <w:r>
        <w:rPr>
          <w:rFonts w:eastAsiaTheme="minorEastAsia" w:cs="Calibri"/>
          <w:b/>
          <w:bCs/>
          <w:szCs w:val="24"/>
          <w:lang w:val="en-US" w:eastAsia="zh-CN"/>
        </w:rPr>
        <w:lastRenderedPageBreak/>
        <w:t>5</w:t>
      </w:r>
      <w:r>
        <w:rPr>
          <w:rFonts w:eastAsiaTheme="minorEastAsia" w:cs="Calibri"/>
          <w:b/>
          <w:bCs/>
          <w:szCs w:val="24"/>
          <w:lang w:val="en-US" w:eastAsia="zh-CN"/>
        </w:rPr>
        <w:tab/>
      </w:r>
      <w:r w:rsidR="00777384" w:rsidRPr="004D6689">
        <w:rPr>
          <w:rFonts w:eastAsiaTheme="minorEastAsia" w:cs="Calibri"/>
          <w:b/>
          <w:bCs/>
          <w:szCs w:val="24"/>
          <w:lang w:val="en-US" w:eastAsia="zh-CN"/>
        </w:rPr>
        <w:t>Council 2013</w:t>
      </w:r>
    </w:p>
    <w:p w:rsidR="003A46A9" w:rsidRPr="004D6689" w:rsidRDefault="00AF5A4C" w:rsidP="004D6689">
      <w:pPr>
        <w:keepNext/>
        <w:keepLines/>
        <w:tabs>
          <w:tab w:val="clear" w:pos="567"/>
          <w:tab w:val="clear" w:pos="1134"/>
          <w:tab w:val="clear" w:pos="1701"/>
          <w:tab w:val="clear" w:pos="2268"/>
          <w:tab w:val="clear" w:pos="2835"/>
        </w:tabs>
        <w:overflowPunct/>
        <w:autoSpaceDE/>
        <w:autoSpaceDN/>
        <w:adjustRightInd/>
        <w:snapToGrid w:val="0"/>
        <w:spacing w:after="120"/>
        <w:textAlignment w:val="auto"/>
        <w:rPr>
          <w:rFonts w:eastAsiaTheme="minorEastAsia" w:cs="Calibri"/>
          <w:szCs w:val="24"/>
          <w:lang w:val="en-US" w:eastAsia="zh-CN"/>
        </w:rPr>
      </w:pPr>
      <w:r>
        <w:rPr>
          <w:rFonts w:eastAsiaTheme="minorEastAsia" w:cs="Calibri"/>
          <w:szCs w:val="24"/>
          <w:lang w:val="en-US" w:eastAsia="zh-CN"/>
        </w:rPr>
        <w:t>5.1</w:t>
      </w:r>
      <w:r>
        <w:rPr>
          <w:rFonts w:eastAsiaTheme="minorEastAsia" w:cs="Calibri"/>
          <w:szCs w:val="24"/>
          <w:lang w:val="en-US" w:eastAsia="zh-CN"/>
        </w:rPr>
        <w:tab/>
      </w:r>
      <w:r w:rsidR="003A46A9" w:rsidRPr="004D6689">
        <w:rPr>
          <w:rFonts w:eastAsiaTheme="minorEastAsia" w:cs="Calibri"/>
          <w:szCs w:val="24"/>
          <w:lang w:val="en-US" w:eastAsia="zh-CN"/>
        </w:rPr>
        <w:t xml:space="preserve">As a follow-up to the discussions that took place at the 2012 session of the Council and the first session of the Preparatory Commission held in Rome, Italy on 6 and 7 May 2013 (see Document </w:t>
      </w:r>
      <w:hyperlink r:id="rId35" w:history="1">
        <w:r w:rsidR="003A46A9" w:rsidRPr="004D6689">
          <w:rPr>
            <w:rStyle w:val="Hyperlink"/>
            <w:rFonts w:eastAsiaTheme="minorEastAsia" w:cs="Calibri"/>
            <w:color w:val="auto"/>
            <w:szCs w:val="24"/>
            <w:lang w:val="en-US" w:eastAsia="zh-CN"/>
          </w:rPr>
          <w:t>C13/55</w:t>
        </w:r>
      </w:hyperlink>
      <w:r w:rsidR="003A46A9" w:rsidRPr="004D6689">
        <w:rPr>
          <w:rFonts w:eastAsiaTheme="minorEastAsia" w:cs="Calibri"/>
          <w:szCs w:val="24"/>
          <w:lang w:val="en-US" w:eastAsia="zh-CN"/>
        </w:rPr>
        <w:t xml:space="preserve">), Council 2013 discussed in depth the issue relating to the possible role of ITU as Supervisory Authority of the international registration system for space assets under the Space Protocol. The major questions and comments raised by the Member States were related to the financial impacts and logistical considerations in the event of ITU assuming the function of Supervisory Authority; the linkage between the purposes of the Union, as laid down in the ITU Constitution, and the Space Protocol; the rights and obligations of the Supervisory Authority; the document that would associate ITU with the Protocol; and the possibility for the Union to set freely the amount of the registration fees. </w:t>
      </w:r>
    </w:p>
    <w:p w:rsidR="00F007A3" w:rsidRDefault="00AF5A4C" w:rsidP="00F007A3">
      <w:pPr>
        <w:tabs>
          <w:tab w:val="clear" w:pos="567"/>
          <w:tab w:val="clear" w:pos="1134"/>
          <w:tab w:val="clear" w:pos="1701"/>
          <w:tab w:val="clear" w:pos="2268"/>
          <w:tab w:val="clear" w:pos="2835"/>
        </w:tabs>
        <w:overflowPunct/>
        <w:autoSpaceDE/>
        <w:autoSpaceDN/>
        <w:adjustRightInd/>
        <w:snapToGrid w:val="0"/>
        <w:spacing w:after="120"/>
        <w:textAlignment w:val="auto"/>
        <w:rPr>
          <w:rFonts w:eastAsiaTheme="minorEastAsia" w:cs="Calibri"/>
          <w:szCs w:val="24"/>
          <w:lang w:val="en-US" w:eastAsia="zh-CN"/>
        </w:rPr>
      </w:pPr>
      <w:r>
        <w:rPr>
          <w:rFonts w:eastAsiaTheme="minorEastAsia" w:cs="Calibri"/>
          <w:szCs w:val="24"/>
          <w:lang w:val="en-US" w:eastAsia="zh-CN"/>
        </w:rPr>
        <w:t>5.2</w:t>
      </w:r>
      <w:r>
        <w:rPr>
          <w:rFonts w:eastAsiaTheme="minorEastAsia" w:cs="Calibri"/>
          <w:szCs w:val="24"/>
          <w:lang w:val="en-US" w:eastAsia="zh-CN"/>
        </w:rPr>
        <w:tab/>
      </w:r>
      <w:r w:rsidR="003A46A9" w:rsidRPr="004D6689">
        <w:rPr>
          <w:rFonts w:eastAsiaTheme="minorEastAsia" w:cs="Calibri"/>
          <w:szCs w:val="24"/>
          <w:lang w:val="en-US" w:eastAsia="zh-CN"/>
        </w:rPr>
        <w:t xml:space="preserve">In line with its previous decisions, Council 2013 </w:t>
      </w:r>
      <w:r w:rsidR="004F1297" w:rsidRPr="004D6689">
        <w:rPr>
          <w:rFonts w:eastAsiaTheme="minorEastAsia" w:cs="Calibri"/>
          <w:szCs w:val="24"/>
          <w:lang w:val="en-US" w:eastAsia="zh-CN"/>
        </w:rPr>
        <w:t xml:space="preserve">adopted </w:t>
      </w:r>
      <w:r w:rsidR="00A83D0B" w:rsidRPr="004D6689">
        <w:rPr>
          <w:rFonts w:eastAsiaTheme="minorEastAsia" w:cs="Calibri"/>
          <w:szCs w:val="24"/>
          <w:lang w:val="en-US" w:eastAsia="zh-CN"/>
        </w:rPr>
        <w:t xml:space="preserve">Decision 576 on Consideration of the possible role of ITU as Supervisory Authority of the International Registration System for Space Assets </w:t>
      </w:r>
      <w:proofErr w:type="gramStart"/>
      <w:r w:rsidR="00A83D0B" w:rsidRPr="004D6689">
        <w:rPr>
          <w:rFonts w:eastAsiaTheme="minorEastAsia" w:cs="Calibri"/>
          <w:szCs w:val="24"/>
          <w:lang w:val="en-US" w:eastAsia="zh-CN"/>
        </w:rPr>
        <w:t>Under</w:t>
      </w:r>
      <w:proofErr w:type="gramEnd"/>
      <w:r w:rsidR="00A83D0B" w:rsidRPr="004D6689">
        <w:rPr>
          <w:rFonts w:eastAsiaTheme="minorEastAsia" w:cs="Calibri"/>
          <w:szCs w:val="24"/>
          <w:lang w:val="en-US" w:eastAsia="zh-CN"/>
        </w:rPr>
        <w:t xml:space="preserve"> the Space Protocol</w:t>
      </w:r>
      <w:r w:rsidR="00F007A3">
        <w:rPr>
          <w:rFonts w:eastAsiaTheme="minorEastAsia" w:cs="Calibri"/>
          <w:szCs w:val="24"/>
          <w:lang w:val="en-US" w:eastAsia="zh-CN"/>
        </w:rPr>
        <w:t>. This Decision</w:t>
      </w:r>
      <w:r w:rsidR="00A83D0B" w:rsidRPr="004D6689">
        <w:rPr>
          <w:rFonts w:eastAsiaTheme="minorEastAsia" w:cs="Calibri"/>
          <w:szCs w:val="24"/>
          <w:lang w:val="en-US" w:eastAsia="zh-CN"/>
        </w:rPr>
        <w:t xml:space="preserve"> instructed the Secretary</w:t>
      </w:r>
      <w:r w:rsidR="00F007A3">
        <w:rPr>
          <w:rFonts w:eastAsiaTheme="minorEastAsia" w:cs="Calibri"/>
          <w:szCs w:val="24"/>
          <w:lang w:val="en-US" w:eastAsia="zh-CN"/>
        </w:rPr>
        <w:t>–</w:t>
      </w:r>
      <w:r w:rsidR="00A83D0B" w:rsidRPr="004D6689">
        <w:rPr>
          <w:rFonts w:eastAsiaTheme="minorEastAsia" w:cs="Calibri"/>
          <w:szCs w:val="24"/>
          <w:lang w:val="en-US" w:eastAsia="zh-CN"/>
        </w:rPr>
        <w:t>General</w:t>
      </w:r>
      <w:r w:rsidR="00F007A3">
        <w:rPr>
          <w:rFonts w:eastAsiaTheme="minorEastAsia" w:cs="Calibri"/>
          <w:szCs w:val="24"/>
          <w:lang w:val="en-US" w:eastAsia="zh-CN"/>
        </w:rPr>
        <w:t>:</w:t>
      </w:r>
    </w:p>
    <w:p w:rsidR="009957FB" w:rsidRDefault="00F007A3" w:rsidP="00FA57E5">
      <w:pPr>
        <w:tabs>
          <w:tab w:val="clear" w:pos="567"/>
          <w:tab w:val="clear" w:pos="1134"/>
          <w:tab w:val="clear" w:pos="1701"/>
          <w:tab w:val="clear" w:pos="2268"/>
          <w:tab w:val="clear" w:pos="2835"/>
        </w:tabs>
        <w:overflowPunct/>
        <w:autoSpaceDE/>
        <w:autoSpaceDN/>
        <w:adjustRightInd/>
        <w:snapToGrid w:val="0"/>
        <w:spacing w:after="120"/>
        <w:textAlignment w:val="auto"/>
        <w:rPr>
          <w:rFonts w:eastAsiaTheme="minorEastAsia" w:cs="Calibri"/>
          <w:szCs w:val="24"/>
          <w:lang w:val="en-US" w:eastAsia="zh-CN"/>
        </w:rPr>
      </w:pPr>
      <w:r>
        <w:rPr>
          <w:rFonts w:eastAsiaTheme="minorEastAsia" w:cs="Calibri"/>
          <w:szCs w:val="24"/>
          <w:lang w:val="en-US" w:eastAsia="zh-CN"/>
        </w:rPr>
        <w:tab/>
        <w:t>1)</w:t>
      </w:r>
      <w:r>
        <w:rPr>
          <w:rFonts w:eastAsiaTheme="minorEastAsia" w:cs="Calibri"/>
          <w:szCs w:val="24"/>
          <w:lang w:val="en-US" w:eastAsia="zh-CN"/>
        </w:rPr>
        <w:tab/>
      </w:r>
      <w:r w:rsidR="00A83D0B" w:rsidRPr="004D6689">
        <w:rPr>
          <w:rFonts w:eastAsiaTheme="minorEastAsia" w:cs="Calibri"/>
          <w:szCs w:val="24"/>
          <w:lang w:val="en-US" w:eastAsia="zh-CN"/>
        </w:rPr>
        <w:t xml:space="preserve">to submit to Council-2014 and the next Plenipotentiary Conference a report on the outcomes of the Preparatory Commission and the financial, juridical and technical implications of the ITU taking on the role of the Supervisory Authority, taking into account developments of the Preparatory Commission up to that time and addressing the clarifications sought by </w:t>
      </w:r>
      <w:r w:rsidR="00ED603D">
        <w:rPr>
          <w:rFonts w:eastAsiaTheme="minorEastAsia" w:cs="Calibri"/>
          <w:szCs w:val="24"/>
          <w:lang w:val="en-US" w:eastAsia="zh-CN"/>
        </w:rPr>
        <w:t xml:space="preserve">the </w:t>
      </w:r>
      <w:r w:rsidR="00A83D0B" w:rsidRPr="004D6689">
        <w:rPr>
          <w:rFonts w:eastAsiaTheme="minorEastAsia" w:cs="Calibri"/>
          <w:szCs w:val="24"/>
          <w:lang w:val="en-US" w:eastAsia="zh-CN"/>
        </w:rPr>
        <w:t>Council,</w:t>
      </w:r>
    </w:p>
    <w:p w:rsidR="009957FB" w:rsidRDefault="009957FB" w:rsidP="00FA57E5">
      <w:pPr>
        <w:tabs>
          <w:tab w:val="clear" w:pos="567"/>
          <w:tab w:val="clear" w:pos="1134"/>
          <w:tab w:val="clear" w:pos="1701"/>
          <w:tab w:val="clear" w:pos="2268"/>
          <w:tab w:val="clear" w:pos="2835"/>
        </w:tabs>
        <w:overflowPunct/>
        <w:autoSpaceDE/>
        <w:autoSpaceDN/>
        <w:adjustRightInd/>
        <w:snapToGrid w:val="0"/>
        <w:spacing w:after="120"/>
        <w:ind w:firstLine="709"/>
        <w:textAlignment w:val="auto"/>
        <w:rPr>
          <w:rFonts w:eastAsiaTheme="minorEastAsia" w:cs="Calibri"/>
          <w:szCs w:val="24"/>
          <w:lang w:val="en-US" w:eastAsia="zh-CN"/>
        </w:rPr>
      </w:pPr>
      <w:r>
        <w:rPr>
          <w:rFonts w:eastAsiaTheme="minorEastAsia" w:cs="Calibri"/>
          <w:szCs w:val="24"/>
          <w:lang w:val="en-US" w:eastAsia="zh-CN"/>
        </w:rPr>
        <w:t>2)</w:t>
      </w:r>
      <w:r>
        <w:rPr>
          <w:rFonts w:eastAsiaTheme="minorEastAsia" w:cs="Calibri"/>
          <w:szCs w:val="24"/>
          <w:lang w:val="en-US" w:eastAsia="zh-CN"/>
        </w:rPr>
        <w:tab/>
      </w:r>
      <w:r w:rsidR="00A83D0B" w:rsidRPr="004D6689">
        <w:rPr>
          <w:rFonts w:eastAsiaTheme="minorEastAsia" w:cs="Calibri"/>
          <w:szCs w:val="24"/>
          <w:lang w:val="en-US" w:eastAsia="zh-CN"/>
        </w:rPr>
        <w:t>to report on financial implications of its participation in the meetings of the Preparatory Commission as well as on any financial implications of the ITU serving as the Supervisory Authority upon or after the entry into force of the Protocol</w:t>
      </w:r>
      <w:r>
        <w:rPr>
          <w:rFonts w:eastAsiaTheme="minorEastAsia" w:cs="Calibri"/>
          <w:szCs w:val="24"/>
          <w:lang w:val="en-US" w:eastAsia="zh-CN"/>
        </w:rPr>
        <w:t>,</w:t>
      </w:r>
      <w:r w:rsidR="00A83D0B" w:rsidRPr="004D6689">
        <w:rPr>
          <w:rFonts w:eastAsiaTheme="minorEastAsia" w:cs="Calibri"/>
          <w:szCs w:val="24"/>
          <w:lang w:val="en-US" w:eastAsia="zh-CN"/>
        </w:rPr>
        <w:t xml:space="preserve"> and</w:t>
      </w:r>
    </w:p>
    <w:p w:rsidR="00A83D0B" w:rsidRPr="004D6689" w:rsidRDefault="009957FB" w:rsidP="00FA57E5">
      <w:pPr>
        <w:tabs>
          <w:tab w:val="clear" w:pos="567"/>
          <w:tab w:val="clear" w:pos="1134"/>
          <w:tab w:val="clear" w:pos="1701"/>
          <w:tab w:val="clear" w:pos="2268"/>
          <w:tab w:val="clear" w:pos="2835"/>
        </w:tabs>
        <w:overflowPunct/>
        <w:autoSpaceDE/>
        <w:autoSpaceDN/>
        <w:adjustRightInd/>
        <w:snapToGrid w:val="0"/>
        <w:spacing w:after="120"/>
        <w:ind w:firstLine="709"/>
        <w:textAlignment w:val="auto"/>
        <w:rPr>
          <w:rFonts w:eastAsiaTheme="minorEastAsia" w:cs="Calibri"/>
          <w:szCs w:val="24"/>
          <w:lang w:val="en-US" w:eastAsia="zh-CN"/>
        </w:rPr>
      </w:pPr>
      <w:r>
        <w:rPr>
          <w:rFonts w:eastAsiaTheme="minorEastAsia" w:cs="Calibri"/>
          <w:szCs w:val="24"/>
          <w:lang w:val="en-US" w:eastAsia="zh-CN"/>
        </w:rPr>
        <w:t>3)</w:t>
      </w:r>
      <w:r>
        <w:rPr>
          <w:rFonts w:eastAsiaTheme="minorEastAsia" w:cs="Calibri"/>
          <w:szCs w:val="24"/>
          <w:lang w:val="en-US" w:eastAsia="zh-CN"/>
        </w:rPr>
        <w:tab/>
      </w:r>
      <w:proofErr w:type="gramStart"/>
      <w:r w:rsidR="00A83D0B" w:rsidRPr="004D6689">
        <w:rPr>
          <w:rFonts w:eastAsiaTheme="minorEastAsia" w:cs="Calibri"/>
          <w:szCs w:val="24"/>
          <w:lang w:val="en-US" w:eastAsia="zh-CN"/>
        </w:rPr>
        <w:t>to</w:t>
      </w:r>
      <w:proofErr w:type="gramEnd"/>
      <w:r w:rsidR="00A83D0B" w:rsidRPr="004D6689">
        <w:rPr>
          <w:rFonts w:eastAsiaTheme="minorEastAsia" w:cs="Calibri"/>
          <w:szCs w:val="24"/>
          <w:lang w:val="en-US" w:eastAsia="zh-CN"/>
        </w:rPr>
        <w:t xml:space="preserve"> identify mechanisms by which ITU Member States and Sector Members can review or provide comment on the ITU role as the Supervisory Authority</w:t>
      </w:r>
      <w:r w:rsidR="00A83D0B" w:rsidRPr="004D6689">
        <w:rPr>
          <w:szCs w:val="24"/>
        </w:rPr>
        <w:t xml:space="preserve"> </w:t>
      </w:r>
      <w:r w:rsidR="00A83D0B" w:rsidRPr="004D6689">
        <w:rPr>
          <w:rFonts w:eastAsiaTheme="minorEastAsia" w:cs="Calibri"/>
          <w:szCs w:val="24"/>
          <w:lang w:val="en-US" w:eastAsia="zh-CN"/>
        </w:rPr>
        <w:t xml:space="preserve">(see Document </w:t>
      </w:r>
      <w:hyperlink r:id="rId36" w:history="1">
        <w:r w:rsidR="00A83D0B" w:rsidRPr="004D6689">
          <w:rPr>
            <w:rStyle w:val="Hyperlink"/>
            <w:rFonts w:eastAsiaTheme="minorEastAsia" w:cs="Calibri"/>
            <w:color w:val="auto"/>
            <w:szCs w:val="24"/>
            <w:lang w:val="en-US" w:eastAsia="zh-CN"/>
          </w:rPr>
          <w:t>C13/107</w:t>
        </w:r>
      </w:hyperlink>
      <w:r w:rsidR="00A83D0B" w:rsidRPr="004D6689">
        <w:rPr>
          <w:rFonts w:eastAsiaTheme="minorEastAsia" w:cs="Calibri"/>
          <w:szCs w:val="24"/>
          <w:lang w:val="en-US" w:eastAsia="zh-CN"/>
        </w:rPr>
        <w:t>).</w:t>
      </w:r>
    </w:p>
    <w:p w:rsidR="00A83D0B" w:rsidRPr="004D6689" w:rsidRDefault="00A83D0B" w:rsidP="00631BA2">
      <w:pPr>
        <w:tabs>
          <w:tab w:val="clear" w:pos="567"/>
          <w:tab w:val="clear" w:pos="1134"/>
          <w:tab w:val="clear" w:pos="1701"/>
          <w:tab w:val="clear" w:pos="2268"/>
          <w:tab w:val="clear" w:pos="2835"/>
        </w:tabs>
        <w:overflowPunct/>
        <w:autoSpaceDE/>
        <w:autoSpaceDN/>
        <w:adjustRightInd/>
        <w:snapToGrid w:val="0"/>
        <w:spacing w:before="0"/>
        <w:textAlignment w:val="auto"/>
        <w:rPr>
          <w:rFonts w:eastAsiaTheme="minorEastAsia" w:cs="Calibri"/>
          <w:szCs w:val="24"/>
          <w:lang w:val="en-US" w:eastAsia="zh-CN"/>
        </w:rPr>
      </w:pPr>
    </w:p>
    <w:p w:rsidR="00777384" w:rsidRPr="004D6689" w:rsidRDefault="00AF5A4C" w:rsidP="004D6689">
      <w:pPr>
        <w:tabs>
          <w:tab w:val="clear" w:pos="567"/>
          <w:tab w:val="clear" w:pos="1134"/>
          <w:tab w:val="clear" w:pos="1701"/>
          <w:tab w:val="clear" w:pos="2268"/>
          <w:tab w:val="clear" w:pos="2835"/>
        </w:tabs>
        <w:overflowPunct/>
        <w:autoSpaceDE/>
        <w:autoSpaceDN/>
        <w:adjustRightInd/>
        <w:snapToGrid w:val="0"/>
        <w:spacing w:after="120"/>
        <w:textAlignment w:val="auto"/>
        <w:rPr>
          <w:rFonts w:eastAsiaTheme="minorEastAsia" w:cs="Calibri"/>
          <w:b/>
          <w:bCs/>
          <w:szCs w:val="24"/>
          <w:lang w:val="en-US" w:eastAsia="zh-CN"/>
        </w:rPr>
      </w:pPr>
      <w:r>
        <w:rPr>
          <w:rFonts w:eastAsiaTheme="minorEastAsia" w:cs="Calibri"/>
          <w:b/>
          <w:bCs/>
          <w:szCs w:val="24"/>
          <w:lang w:val="en-US" w:eastAsia="zh-CN"/>
        </w:rPr>
        <w:t>6</w:t>
      </w:r>
      <w:r>
        <w:rPr>
          <w:rFonts w:eastAsiaTheme="minorEastAsia" w:cs="Calibri"/>
          <w:b/>
          <w:bCs/>
          <w:szCs w:val="24"/>
          <w:lang w:val="en-US" w:eastAsia="zh-CN"/>
        </w:rPr>
        <w:tab/>
      </w:r>
      <w:r w:rsidR="00777384" w:rsidRPr="004D6689">
        <w:rPr>
          <w:rFonts w:eastAsiaTheme="minorEastAsia" w:cs="Calibri"/>
          <w:b/>
          <w:bCs/>
          <w:szCs w:val="24"/>
          <w:lang w:val="en-US" w:eastAsia="zh-CN"/>
        </w:rPr>
        <w:t>Preparatory Commission (</w:t>
      </w:r>
      <w:r w:rsidR="004118D8" w:rsidRPr="004D6689">
        <w:rPr>
          <w:rFonts w:eastAsiaTheme="minorEastAsia" w:cs="Calibri"/>
          <w:b/>
          <w:bCs/>
          <w:szCs w:val="24"/>
          <w:lang w:val="en-US" w:eastAsia="zh-CN"/>
        </w:rPr>
        <w:t xml:space="preserve">Rome, </w:t>
      </w:r>
      <w:r w:rsidR="00777384" w:rsidRPr="004D6689">
        <w:rPr>
          <w:rFonts w:eastAsiaTheme="minorEastAsia" w:cs="Calibri"/>
          <w:b/>
          <w:bCs/>
          <w:szCs w:val="24"/>
          <w:lang w:val="en-US" w:eastAsia="zh-CN"/>
        </w:rPr>
        <w:t>2nd session, 27-28 January 2014)</w:t>
      </w:r>
    </w:p>
    <w:p w:rsidR="003A46A9" w:rsidRPr="004D6689" w:rsidRDefault="00AF5A4C" w:rsidP="004D6689">
      <w:pPr>
        <w:tabs>
          <w:tab w:val="clear" w:pos="567"/>
          <w:tab w:val="clear" w:pos="1134"/>
          <w:tab w:val="clear" w:pos="1701"/>
          <w:tab w:val="clear" w:pos="2268"/>
          <w:tab w:val="clear" w:pos="2835"/>
        </w:tabs>
        <w:overflowPunct/>
        <w:autoSpaceDE/>
        <w:autoSpaceDN/>
        <w:adjustRightInd/>
        <w:snapToGrid w:val="0"/>
        <w:spacing w:after="120"/>
        <w:textAlignment w:val="auto"/>
        <w:rPr>
          <w:rFonts w:eastAsiaTheme="minorEastAsia" w:cs="Calibri"/>
          <w:szCs w:val="24"/>
          <w:lang w:val="en-US" w:eastAsia="zh-CN"/>
        </w:rPr>
      </w:pPr>
      <w:r>
        <w:rPr>
          <w:rFonts w:eastAsiaTheme="minorEastAsia" w:cs="Calibri"/>
          <w:szCs w:val="24"/>
          <w:lang w:val="en-US" w:eastAsia="zh-CN"/>
        </w:rPr>
        <w:t>6.1</w:t>
      </w:r>
      <w:r>
        <w:rPr>
          <w:rFonts w:eastAsiaTheme="minorEastAsia" w:cs="Calibri"/>
          <w:szCs w:val="24"/>
          <w:lang w:val="en-US" w:eastAsia="zh-CN"/>
        </w:rPr>
        <w:tab/>
      </w:r>
      <w:r w:rsidR="003A46A9" w:rsidRPr="004D6689">
        <w:rPr>
          <w:rFonts w:eastAsiaTheme="minorEastAsia" w:cs="Calibri"/>
          <w:szCs w:val="24"/>
          <w:lang w:val="en-US" w:eastAsia="zh-CN"/>
        </w:rPr>
        <w:t>The second session of the Preparatory Commission for the establishment of the International Registry for Space Assets pursuant to the Space Protocol took place at the headquarters of UNIDROIT in Rome on 27 and 28 January 2014. There were no meetings of Working Group I in charge of developing draft regulations for the International Registry for space assets and Working Group II to draft a request for proposals for the selectio</w:t>
      </w:r>
      <w:r w:rsidR="004D6689">
        <w:rPr>
          <w:rFonts w:eastAsiaTheme="minorEastAsia" w:cs="Calibri"/>
          <w:szCs w:val="24"/>
          <w:lang w:val="en-US" w:eastAsia="zh-CN"/>
        </w:rPr>
        <w:t>n of a Registrar for the space.</w:t>
      </w:r>
    </w:p>
    <w:p w:rsidR="003A46A9" w:rsidRPr="004D6689" w:rsidRDefault="00AF5A4C" w:rsidP="004D6689">
      <w:pPr>
        <w:tabs>
          <w:tab w:val="clear" w:pos="567"/>
          <w:tab w:val="clear" w:pos="1134"/>
          <w:tab w:val="clear" w:pos="1701"/>
          <w:tab w:val="clear" w:pos="2268"/>
          <w:tab w:val="clear" w:pos="2835"/>
        </w:tabs>
        <w:overflowPunct/>
        <w:autoSpaceDE/>
        <w:autoSpaceDN/>
        <w:adjustRightInd/>
        <w:snapToGrid w:val="0"/>
        <w:spacing w:after="120"/>
        <w:textAlignment w:val="auto"/>
        <w:rPr>
          <w:rFonts w:eastAsiaTheme="minorEastAsia" w:cs="Calibri"/>
          <w:szCs w:val="24"/>
          <w:lang w:val="en-US" w:eastAsia="zh-CN"/>
        </w:rPr>
      </w:pPr>
      <w:r>
        <w:rPr>
          <w:rFonts w:eastAsiaTheme="minorEastAsia" w:cs="Calibri"/>
          <w:szCs w:val="24"/>
          <w:lang w:val="en-US" w:eastAsia="zh-CN"/>
        </w:rPr>
        <w:t>6.2</w:t>
      </w:r>
      <w:r>
        <w:rPr>
          <w:rFonts w:eastAsiaTheme="minorEastAsia" w:cs="Calibri"/>
          <w:szCs w:val="24"/>
          <w:lang w:val="en-US" w:eastAsia="zh-CN"/>
        </w:rPr>
        <w:tab/>
      </w:r>
      <w:r w:rsidR="003A46A9" w:rsidRPr="004D6689">
        <w:rPr>
          <w:rFonts w:eastAsiaTheme="minorEastAsia" w:cs="Calibri"/>
          <w:szCs w:val="24"/>
          <w:lang w:val="en-US" w:eastAsia="zh-CN"/>
        </w:rPr>
        <w:t>The meeting focused on the consideration of the Explanatory Note to the revised draft Space Regulations prepared by Prof. Roy Goode and consideration of other points concerning the revised text of the draft Space Regulations with most of the time taken to discuss the issue of the identification criteria for registration of space assets, in particular satellites and physically linked assets. The question of the determination of the fees for use of the Registry facilities was deferred for a later stage of the discussions, possibly through inclusion in the Procedural Rules following the Regulations.</w:t>
      </w:r>
    </w:p>
    <w:p w:rsidR="003A46A9" w:rsidRPr="004D6689" w:rsidRDefault="00AF5A4C" w:rsidP="004D6689">
      <w:pPr>
        <w:tabs>
          <w:tab w:val="clear" w:pos="567"/>
          <w:tab w:val="clear" w:pos="1134"/>
          <w:tab w:val="clear" w:pos="1701"/>
          <w:tab w:val="clear" w:pos="2268"/>
          <w:tab w:val="clear" w:pos="2835"/>
        </w:tabs>
        <w:overflowPunct/>
        <w:autoSpaceDE/>
        <w:autoSpaceDN/>
        <w:adjustRightInd/>
        <w:snapToGrid w:val="0"/>
        <w:spacing w:after="120"/>
        <w:textAlignment w:val="auto"/>
        <w:rPr>
          <w:rFonts w:eastAsiaTheme="minorEastAsia" w:cs="Calibri"/>
          <w:szCs w:val="24"/>
          <w:lang w:val="en-US" w:eastAsia="zh-CN"/>
        </w:rPr>
      </w:pPr>
      <w:r>
        <w:rPr>
          <w:rFonts w:eastAsiaTheme="minorEastAsia" w:cs="Calibri"/>
          <w:szCs w:val="24"/>
          <w:lang w:val="en-US" w:eastAsia="zh-CN"/>
        </w:rPr>
        <w:t>6.3</w:t>
      </w:r>
      <w:r>
        <w:rPr>
          <w:rFonts w:eastAsiaTheme="minorEastAsia" w:cs="Calibri"/>
          <w:szCs w:val="24"/>
          <w:lang w:val="en-US" w:eastAsia="zh-CN"/>
        </w:rPr>
        <w:tab/>
      </w:r>
      <w:r w:rsidR="003A46A9" w:rsidRPr="004D6689">
        <w:rPr>
          <w:rFonts w:eastAsiaTheme="minorEastAsia" w:cs="Calibri"/>
          <w:szCs w:val="24"/>
          <w:lang w:val="en-US" w:eastAsia="zh-CN"/>
        </w:rPr>
        <w:t xml:space="preserve">Regarding the pending issues for the selection of a Registrar, as well as the finalization of the draft Regulations, the Preparatory Commission agreed to meet at </w:t>
      </w:r>
      <w:r w:rsidR="00B32AA9" w:rsidRPr="004D6689">
        <w:rPr>
          <w:rFonts w:eastAsiaTheme="minorEastAsia" w:cs="Calibri"/>
          <w:szCs w:val="24"/>
          <w:lang w:val="en-US" w:eastAsia="zh-CN"/>
        </w:rPr>
        <w:lastRenderedPageBreak/>
        <w:t>UNIDROIT headquarters</w:t>
      </w:r>
      <w:r w:rsidR="003A46A9" w:rsidRPr="004D6689">
        <w:rPr>
          <w:rFonts w:eastAsiaTheme="minorEastAsia" w:cs="Calibri"/>
          <w:szCs w:val="24"/>
          <w:lang w:val="en-US" w:eastAsia="zh-CN"/>
        </w:rPr>
        <w:t xml:space="preserve"> on 11-12 September 2014. The </w:t>
      </w:r>
      <w:r w:rsidR="00ED603D">
        <w:rPr>
          <w:rFonts w:eastAsiaTheme="minorEastAsia" w:cs="Calibri"/>
          <w:szCs w:val="24"/>
          <w:lang w:val="en-US" w:eastAsia="zh-CN"/>
        </w:rPr>
        <w:t>i</w:t>
      </w:r>
      <w:r w:rsidR="003A46A9" w:rsidRPr="004D6689">
        <w:rPr>
          <w:rFonts w:eastAsiaTheme="minorEastAsia" w:cs="Calibri"/>
          <w:szCs w:val="24"/>
          <w:lang w:val="en-US" w:eastAsia="zh-CN"/>
        </w:rPr>
        <w:t xml:space="preserve">nter-sessional period would be used to finalize the Regulations and prepare a draft Request for Proposals for the selection of the Registrar. </w:t>
      </w:r>
    </w:p>
    <w:p w:rsidR="0002618D" w:rsidRPr="004D6689" w:rsidRDefault="00AF5A4C">
      <w:pPr>
        <w:tabs>
          <w:tab w:val="clear" w:pos="567"/>
          <w:tab w:val="clear" w:pos="1134"/>
          <w:tab w:val="clear" w:pos="1701"/>
          <w:tab w:val="clear" w:pos="2268"/>
          <w:tab w:val="clear" w:pos="2835"/>
        </w:tabs>
        <w:overflowPunct/>
        <w:autoSpaceDE/>
        <w:autoSpaceDN/>
        <w:adjustRightInd/>
        <w:snapToGrid w:val="0"/>
        <w:spacing w:after="120"/>
        <w:textAlignment w:val="auto"/>
        <w:rPr>
          <w:rFonts w:eastAsiaTheme="minorEastAsia" w:cs="Calibri"/>
          <w:szCs w:val="24"/>
          <w:lang w:val="en-US" w:eastAsia="zh-CN"/>
        </w:rPr>
      </w:pPr>
      <w:r>
        <w:rPr>
          <w:rFonts w:eastAsiaTheme="minorEastAsia" w:cs="Calibri"/>
          <w:szCs w:val="24"/>
          <w:lang w:val="en-US" w:eastAsia="zh-CN"/>
        </w:rPr>
        <w:t>6.4</w:t>
      </w:r>
      <w:r>
        <w:rPr>
          <w:rFonts w:eastAsiaTheme="minorEastAsia" w:cs="Calibri"/>
          <w:szCs w:val="24"/>
          <w:lang w:val="en-US" w:eastAsia="zh-CN"/>
        </w:rPr>
        <w:tab/>
      </w:r>
      <w:r w:rsidR="003A46A9" w:rsidRPr="004D6689">
        <w:rPr>
          <w:rFonts w:eastAsiaTheme="minorEastAsia" w:cs="Calibri"/>
          <w:szCs w:val="24"/>
          <w:lang w:val="en-US" w:eastAsia="zh-CN"/>
        </w:rPr>
        <w:t>The Preparatory Commission indicated that it was working on the assumption that ITU would eventually accept the role of Supervisory Authority, and that it would be premature to speculate on possible alternatives.</w:t>
      </w:r>
      <w:r w:rsidR="00B32AA9" w:rsidRPr="004D6689">
        <w:rPr>
          <w:szCs w:val="24"/>
        </w:rPr>
        <w:t xml:space="preserve"> </w:t>
      </w:r>
      <w:r w:rsidR="00B32AA9" w:rsidRPr="004D6689">
        <w:rPr>
          <w:rFonts w:eastAsiaTheme="minorEastAsia" w:cs="Calibri"/>
          <w:szCs w:val="24"/>
          <w:lang w:val="en-US" w:eastAsia="zh-CN"/>
        </w:rPr>
        <w:t>In response to practical questions asked by the representative of ITU concerning the precise role of the Supervisory Authority and its liabilities, and the experience of ICAO as Supervisory Authority for the Aircraft Registry, the UNIDROIT Secretariat subsequently provided a memorandum clarifying the precise role of the Supervisory Authority (</w:t>
      </w:r>
      <w:r w:rsidR="00ED603D">
        <w:rPr>
          <w:rFonts w:eastAsiaTheme="minorEastAsia" w:cs="Calibri"/>
          <w:szCs w:val="24"/>
          <w:lang w:val="en-US" w:eastAsia="zh-CN"/>
        </w:rPr>
        <w:t>s</w:t>
      </w:r>
      <w:r w:rsidR="00ED603D" w:rsidRPr="004D6689">
        <w:rPr>
          <w:rFonts w:eastAsiaTheme="minorEastAsia" w:cs="Calibri"/>
          <w:szCs w:val="24"/>
          <w:lang w:val="en-US" w:eastAsia="zh-CN"/>
        </w:rPr>
        <w:t xml:space="preserve">ee </w:t>
      </w:r>
      <w:r w:rsidR="00B32AA9" w:rsidRPr="004D6689">
        <w:rPr>
          <w:rFonts w:eastAsiaTheme="minorEastAsia" w:cs="Calibri"/>
          <w:szCs w:val="24"/>
          <w:lang w:val="en-US" w:eastAsia="zh-CN"/>
        </w:rPr>
        <w:t>Annex 2)</w:t>
      </w:r>
      <w:r w:rsidR="00ED603D">
        <w:rPr>
          <w:rFonts w:eastAsiaTheme="minorEastAsia" w:cs="Calibri"/>
          <w:szCs w:val="24"/>
          <w:lang w:val="en-US" w:eastAsia="zh-CN"/>
        </w:rPr>
        <w:t>.</w:t>
      </w:r>
    </w:p>
    <w:p w:rsidR="00C213F7" w:rsidRPr="004D6689" w:rsidRDefault="00C213F7" w:rsidP="00631BA2">
      <w:pPr>
        <w:tabs>
          <w:tab w:val="clear" w:pos="567"/>
          <w:tab w:val="clear" w:pos="1134"/>
          <w:tab w:val="clear" w:pos="1701"/>
          <w:tab w:val="clear" w:pos="2268"/>
          <w:tab w:val="clear" w:pos="2835"/>
        </w:tabs>
        <w:overflowPunct/>
        <w:autoSpaceDE/>
        <w:autoSpaceDN/>
        <w:adjustRightInd/>
        <w:snapToGrid w:val="0"/>
        <w:spacing w:before="0"/>
        <w:textAlignment w:val="auto"/>
        <w:rPr>
          <w:rFonts w:eastAsiaTheme="minorEastAsia" w:cs="Calibri"/>
          <w:b/>
          <w:bCs/>
          <w:szCs w:val="24"/>
          <w:lang w:val="en-US" w:eastAsia="zh-CN"/>
        </w:rPr>
      </w:pPr>
    </w:p>
    <w:p w:rsidR="0002618D" w:rsidRPr="004D6689" w:rsidRDefault="00AF5A4C" w:rsidP="004D6689">
      <w:pPr>
        <w:tabs>
          <w:tab w:val="clear" w:pos="567"/>
          <w:tab w:val="clear" w:pos="1134"/>
          <w:tab w:val="clear" w:pos="1701"/>
          <w:tab w:val="clear" w:pos="2268"/>
          <w:tab w:val="clear" w:pos="2835"/>
        </w:tabs>
        <w:overflowPunct/>
        <w:autoSpaceDE/>
        <w:autoSpaceDN/>
        <w:adjustRightInd/>
        <w:snapToGrid w:val="0"/>
        <w:spacing w:after="120"/>
        <w:textAlignment w:val="auto"/>
        <w:rPr>
          <w:rFonts w:eastAsiaTheme="minorEastAsia" w:cs="Calibri"/>
          <w:b/>
          <w:bCs/>
          <w:szCs w:val="24"/>
          <w:lang w:val="en-US" w:eastAsia="zh-CN"/>
        </w:rPr>
      </w:pPr>
      <w:r>
        <w:rPr>
          <w:rFonts w:eastAsiaTheme="minorEastAsia" w:cs="Calibri"/>
          <w:b/>
          <w:bCs/>
          <w:szCs w:val="24"/>
          <w:lang w:val="en-US" w:eastAsia="zh-CN"/>
        </w:rPr>
        <w:t>7</w:t>
      </w:r>
      <w:r>
        <w:rPr>
          <w:rFonts w:eastAsiaTheme="minorEastAsia" w:cs="Calibri"/>
          <w:b/>
          <w:bCs/>
          <w:szCs w:val="24"/>
          <w:lang w:val="en-US" w:eastAsia="zh-CN"/>
        </w:rPr>
        <w:tab/>
      </w:r>
      <w:r w:rsidR="0002618D" w:rsidRPr="004D6689">
        <w:rPr>
          <w:rFonts w:eastAsiaTheme="minorEastAsia" w:cs="Calibri"/>
          <w:b/>
          <w:bCs/>
          <w:szCs w:val="24"/>
          <w:lang w:val="en-US" w:eastAsia="zh-CN"/>
        </w:rPr>
        <w:t>Council 2014</w:t>
      </w:r>
    </w:p>
    <w:p w:rsidR="00FD0180" w:rsidRPr="004D6689" w:rsidRDefault="00AF5A4C">
      <w:pPr>
        <w:tabs>
          <w:tab w:val="clear" w:pos="567"/>
          <w:tab w:val="clear" w:pos="1134"/>
          <w:tab w:val="clear" w:pos="1701"/>
          <w:tab w:val="clear" w:pos="2268"/>
          <w:tab w:val="clear" w:pos="2835"/>
        </w:tabs>
        <w:overflowPunct/>
        <w:autoSpaceDE/>
        <w:autoSpaceDN/>
        <w:adjustRightInd/>
        <w:snapToGrid w:val="0"/>
        <w:spacing w:after="120"/>
        <w:textAlignment w:val="auto"/>
        <w:rPr>
          <w:rFonts w:eastAsiaTheme="minorEastAsia" w:cs="Calibri"/>
          <w:szCs w:val="24"/>
          <w:lang w:val="en-US" w:eastAsia="zh-CN"/>
        </w:rPr>
      </w:pPr>
      <w:r>
        <w:rPr>
          <w:rFonts w:eastAsiaTheme="minorEastAsia" w:cs="Calibri"/>
          <w:szCs w:val="24"/>
          <w:lang w:val="en-US" w:eastAsia="zh-CN"/>
        </w:rPr>
        <w:t>7.1</w:t>
      </w:r>
      <w:r>
        <w:rPr>
          <w:rFonts w:eastAsiaTheme="minorEastAsia" w:cs="Calibri"/>
          <w:szCs w:val="24"/>
          <w:lang w:val="en-US" w:eastAsia="zh-CN"/>
        </w:rPr>
        <w:tab/>
      </w:r>
      <w:r w:rsidR="001511DE" w:rsidRPr="004D6689">
        <w:rPr>
          <w:rFonts w:eastAsiaTheme="minorEastAsia" w:cs="Calibri"/>
          <w:szCs w:val="24"/>
          <w:lang w:val="en-US" w:eastAsia="zh-CN"/>
        </w:rPr>
        <w:t xml:space="preserve">Keeping in mind the upcoming Plenipotentiary Conference, </w:t>
      </w:r>
      <w:r w:rsidR="00250A0B" w:rsidRPr="004D6689">
        <w:rPr>
          <w:rFonts w:eastAsiaTheme="minorEastAsia" w:cs="Calibri"/>
          <w:szCs w:val="24"/>
          <w:lang w:val="en-US" w:eastAsia="zh-CN"/>
        </w:rPr>
        <w:t xml:space="preserve">Council 2014 </w:t>
      </w:r>
      <w:r w:rsidR="003C6D07" w:rsidRPr="004D6689">
        <w:rPr>
          <w:rFonts w:eastAsiaTheme="minorEastAsia" w:cs="Calibri"/>
          <w:szCs w:val="24"/>
          <w:lang w:val="en-US" w:eastAsia="zh-CN"/>
        </w:rPr>
        <w:t xml:space="preserve">was given </w:t>
      </w:r>
      <w:r w:rsidR="00F12C4C" w:rsidRPr="004D6689">
        <w:rPr>
          <w:rFonts w:eastAsiaTheme="minorEastAsia" w:cs="Calibri"/>
          <w:szCs w:val="24"/>
          <w:lang w:val="en-US" w:eastAsia="zh-CN"/>
        </w:rPr>
        <w:t xml:space="preserve">detailed </w:t>
      </w:r>
      <w:r w:rsidR="00D95383" w:rsidRPr="004D6689">
        <w:rPr>
          <w:rFonts w:eastAsiaTheme="minorEastAsia" w:cs="Calibri"/>
          <w:szCs w:val="24"/>
          <w:lang w:val="en-US" w:eastAsia="zh-CN"/>
        </w:rPr>
        <w:t>information</w:t>
      </w:r>
      <w:r w:rsidR="00250A0B" w:rsidRPr="004D6689">
        <w:rPr>
          <w:rFonts w:eastAsiaTheme="minorEastAsia" w:cs="Calibri"/>
          <w:szCs w:val="24"/>
          <w:lang w:val="en-US" w:eastAsia="zh-CN"/>
        </w:rPr>
        <w:t xml:space="preserve"> relating to the possible role of ITU a</w:t>
      </w:r>
      <w:r w:rsidR="00C618A9" w:rsidRPr="004D6689">
        <w:rPr>
          <w:rFonts w:eastAsiaTheme="minorEastAsia" w:cs="Calibri"/>
          <w:szCs w:val="24"/>
          <w:lang w:val="en-US" w:eastAsia="zh-CN"/>
        </w:rPr>
        <w:t>s Supervisory Authority of the International Registration System for Space A</w:t>
      </w:r>
      <w:r w:rsidR="00250A0B" w:rsidRPr="004D6689">
        <w:rPr>
          <w:rFonts w:eastAsiaTheme="minorEastAsia" w:cs="Calibri"/>
          <w:szCs w:val="24"/>
          <w:lang w:val="en-US" w:eastAsia="zh-CN"/>
        </w:rPr>
        <w:t>ssets under the Space Protocol</w:t>
      </w:r>
      <w:r w:rsidR="00997F36" w:rsidRPr="004D6689">
        <w:rPr>
          <w:rFonts w:eastAsiaTheme="minorEastAsia" w:cs="Calibri"/>
          <w:szCs w:val="24"/>
          <w:lang w:val="en-US" w:eastAsia="zh-CN"/>
        </w:rPr>
        <w:t xml:space="preserve"> (see Documents </w:t>
      </w:r>
      <w:hyperlink r:id="rId37" w:history="1">
        <w:r w:rsidR="00997F36" w:rsidRPr="004D6689">
          <w:rPr>
            <w:rStyle w:val="Hyperlink"/>
            <w:rFonts w:eastAsiaTheme="minorEastAsia" w:cs="Calibri"/>
            <w:b/>
            <w:bCs/>
            <w:color w:val="auto"/>
            <w:szCs w:val="24"/>
            <w:lang w:val="en-US" w:eastAsia="zh-CN"/>
          </w:rPr>
          <w:t>C14</w:t>
        </w:r>
        <w:r w:rsidR="007054A8" w:rsidRPr="004D6689">
          <w:rPr>
            <w:rStyle w:val="Hyperlink"/>
            <w:rFonts w:eastAsiaTheme="minorEastAsia" w:cs="Calibri"/>
            <w:b/>
            <w:bCs/>
            <w:color w:val="auto"/>
            <w:szCs w:val="24"/>
            <w:lang w:val="en-US" w:eastAsia="zh-CN"/>
          </w:rPr>
          <w:t>/13</w:t>
        </w:r>
      </w:hyperlink>
      <w:r w:rsidR="007054A8" w:rsidRPr="004D6689">
        <w:rPr>
          <w:rFonts w:eastAsiaTheme="minorEastAsia" w:cs="Calibri"/>
          <w:b/>
          <w:bCs/>
          <w:szCs w:val="24"/>
          <w:lang w:val="en-US" w:eastAsia="zh-CN"/>
        </w:rPr>
        <w:t xml:space="preserve"> </w:t>
      </w:r>
      <w:r w:rsidR="007054A8" w:rsidRPr="004D6689">
        <w:rPr>
          <w:rFonts w:eastAsiaTheme="minorEastAsia" w:cs="Calibri"/>
          <w:szCs w:val="24"/>
          <w:lang w:val="en-US" w:eastAsia="zh-CN"/>
        </w:rPr>
        <w:t xml:space="preserve">and </w:t>
      </w:r>
      <w:hyperlink r:id="rId38" w:history="1">
        <w:r w:rsidR="007054A8" w:rsidRPr="004D6689">
          <w:rPr>
            <w:rStyle w:val="Hyperlink"/>
            <w:rFonts w:eastAsiaTheme="minorEastAsia" w:cs="Calibri"/>
            <w:b/>
            <w:bCs/>
            <w:color w:val="auto"/>
            <w:szCs w:val="24"/>
            <w:lang w:val="en-US" w:eastAsia="zh-CN"/>
          </w:rPr>
          <w:t>C14/INF/12</w:t>
        </w:r>
      </w:hyperlink>
      <w:r w:rsidR="00997F36" w:rsidRPr="004D6689">
        <w:rPr>
          <w:rFonts w:eastAsiaTheme="minorEastAsia" w:cs="Calibri"/>
          <w:szCs w:val="24"/>
          <w:lang w:val="en-US" w:eastAsia="zh-CN"/>
        </w:rPr>
        <w:t>)</w:t>
      </w:r>
      <w:r w:rsidR="00250A0B" w:rsidRPr="004D6689">
        <w:rPr>
          <w:rFonts w:eastAsiaTheme="minorEastAsia" w:cs="Calibri"/>
          <w:szCs w:val="24"/>
          <w:lang w:val="en-US" w:eastAsia="zh-CN"/>
        </w:rPr>
        <w:t>.</w:t>
      </w:r>
      <w:r w:rsidR="00E97A53" w:rsidRPr="004D6689">
        <w:rPr>
          <w:rFonts w:eastAsiaTheme="minorEastAsia" w:cs="Calibri"/>
          <w:szCs w:val="24"/>
          <w:lang w:val="en-US" w:eastAsia="zh-CN"/>
        </w:rPr>
        <w:t xml:space="preserve"> Nevertheless, some uncertainties </w:t>
      </w:r>
      <w:r w:rsidR="004421D1" w:rsidRPr="004D6689">
        <w:rPr>
          <w:rFonts w:eastAsiaTheme="minorEastAsia" w:cs="Calibri"/>
          <w:szCs w:val="24"/>
          <w:lang w:val="en-US" w:eastAsia="zh-CN"/>
        </w:rPr>
        <w:t xml:space="preserve">still </w:t>
      </w:r>
      <w:r w:rsidR="00E97A53" w:rsidRPr="004D6689">
        <w:rPr>
          <w:rFonts w:eastAsiaTheme="minorEastAsia" w:cs="Calibri"/>
          <w:szCs w:val="24"/>
          <w:lang w:val="en-US" w:eastAsia="zh-CN"/>
        </w:rPr>
        <w:t>have to be clarified before PP-14</w:t>
      </w:r>
      <w:r w:rsidR="00D97F30" w:rsidRPr="004D6689">
        <w:rPr>
          <w:rFonts w:eastAsiaTheme="minorEastAsia" w:cs="Calibri"/>
          <w:szCs w:val="24"/>
          <w:lang w:val="en-US" w:eastAsia="zh-CN"/>
        </w:rPr>
        <w:t xml:space="preserve">. The </w:t>
      </w:r>
      <w:r w:rsidR="00250A0B" w:rsidRPr="004D6689">
        <w:rPr>
          <w:rFonts w:eastAsiaTheme="minorEastAsia" w:cs="Calibri"/>
          <w:szCs w:val="24"/>
          <w:lang w:val="en-US" w:eastAsia="zh-CN"/>
        </w:rPr>
        <w:t xml:space="preserve">question and comments </w:t>
      </w:r>
      <w:r w:rsidR="005A54AD" w:rsidRPr="004D6689">
        <w:rPr>
          <w:rFonts w:eastAsiaTheme="minorEastAsia" w:cs="Calibri"/>
          <w:szCs w:val="24"/>
          <w:lang w:val="en-US" w:eastAsia="zh-CN"/>
        </w:rPr>
        <w:t xml:space="preserve">were </w:t>
      </w:r>
      <w:r w:rsidR="00250A0B" w:rsidRPr="004D6689">
        <w:rPr>
          <w:rFonts w:eastAsiaTheme="minorEastAsia" w:cs="Calibri"/>
          <w:szCs w:val="24"/>
          <w:lang w:val="en-US" w:eastAsia="zh-CN"/>
        </w:rPr>
        <w:t xml:space="preserve">raised </w:t>
      </w:r>
      <w:r w:rsidR="005A54AD" w:rsidRPr="004D6689">
        <w:rPr>
          <w:rFonts w:eastAsiaTheme="minorEastAsia" w:cs="Calibri"/>
          <w:szCs w:val="24"/>
          <w:lang w:val="en-US" w:eastAsia="zh-CN"/>
        </w:rPr>
        <w:t xml:space="preserve">by the </w:t>
      </w:r>
      <w:r w:rsidR="0088512D" w:rsidRPr="004D6689">
        <w:rPr>
          <w:rFonts w:eastAsiaTheme="minorEastAsia" w:cs="Calibri"/>
          <w:szCs w:val="24"/>
          <w:lang w:val="en-US" w:eastAsia="zh-CN"/>
        </w:rPr>
        <w:t>People’s Republic of China</w:t>
      </w:r>
      <w:r w:rsidR="005A54AD" w:rsidRPr="004D6689">
        <w:rPr>
          <w:rFonts w:eastAsiaTheme="minorEastAsia" w:cs="Calibri"/>
          <w:szCs w:val="24"/>
          <w:lang w:val="en-US" w:eastAsia="zh-CN"/>
        </w:rPr>
        <w:t xml:space="preserve"> (</w:t>
      </w:r>
      <w:r w:rsidR="00802298" w:rsidRPr="004D6689">
        <w:rPr>
          <w:rFonts w:eastAsiaTheme="minorEastAsia" w:cs="Calibri"/>
          <w:szCs w:val="24"/>
          <w:lang w:val="en-US" w:eastAsia="zh-CN"/>
        </w:rPr>
        <w:t xml:space="preserve">see </w:t>
      </w:r>
      <w:r w:rsidR="005A54AD" w:rsidRPr="004D6689">
        <w:rPr>
          <w:rFonts w:eastAsiaTheme="minorEastAsia" w:cs="Calibri"/>
          <w:szCs w:val="24"/>
          <w:lang w:val="en-US" w:eastAsia="zh-CN"/>
        </w:rPr>
        <w:t xml:space="preserve">Document </w:t>
      </w:r>
      <w:hyperlink r:id="rId39" w:history="1">
        <w:r w:rsidR="005A54AD" w:rsidRPr="004D6689">
          <w:rPr>
            <w:rStyle w:val="Hyperlink"/>
            <w:rFonts w:eastAsiaTheme="minorEastAsia" w:cs="Calibri"/>
            <w:b/>
            <w:bCs/>
            <w:color w:val="auto"/>
            <w:szCs w:val="24"/>
            <w:lang w:val="en-US" w:eastAsia="zh-CN"/>
          </w:rPr>
          <w:t>C14/71</w:t>
        </w:r>
      </w:hyperlink>
      <w:r w:rsidR="005A54AD" w:rsidRPr="004D6689">
        <w:rPr>
          <w:rFonts w:eastAsiaTheme="minorEastAsia" w:cs="Calibri"/>
          <w:szCs w:val="24"/>
          <w:lang w:val="en-US" w:eastAsia="zh-CN"/>
        </w:rPr>
        <w:t xml:space="preserve">), </w:t>
      </w:r>
      <w:r w:rsidR="00EA1C96" w:rsidRPr="004D6689">
        <w:rPr>
          <w:rFonts w:eastAsiaTheme="minorEastAsia" w:cs="Calibri"/>
          <w:szCs w:val="24"/>
          <w:lang w:val="en-US" w:eastAsia="zh-CN"/>
        </w:rPr>
        <w:t>Japan (</w:t>
      </w:r>
      <w:r w:rsidR="00802298" w:rsidRPr="004D6689">
        <w:rPr>
          <w:rFonts w:eastAsiaTheme="minorEastAsia" w:cs="Calibri"/>
          <w:szCs w:val="24"/>
          <w:lang w:val="en-US" w:eastAsia="zh-CN"/>
        </w:rPr>
        <w:t xml:space="preserve">see </w:t>
      </w:r>
      <w:r w:rsidR="00EA1C96" w:rsidRPr="004D6689">
        <w:rPr>
          <w:rFonts w:eastAsiaTheme="minorEastAsia" w:cs="Calibri"/>
          <w:szCs w:val="24"/>
          <w:lang w:val="en-US" w:eastAsia="zh-CN"/>
        </w:rPr>
        <w:t>Document</w:t>
      </w:r>
      <w:r w:rsidR="00EA1C96" w:rsidRPr="004D6689">
        <w:rPr>
          <w:rFonts w:eastAsiaTheme="minorEastAsia" w:cs="Calibri"/>
          <w:b/>
          <w:bCs/>
          <w:szCs w:val="24"/>
          <w:lang w:val="en-US" w:eastAsia="zh-CN"/>
        </w:rPr>
        <w:t xml:space="preserve"> </w:t>
      </w:r>
      <w:hyperlink r:id="rId40" w:history="1">
        <w:r w:rsidR="00EA1C96" w:rsidRPr="004D6689">
          <w:rPr>
            <w:rStyle w:val="Hyperlink"/>
            <w:rFonts w:eastAsiaTheme="minorEastAsia" w:cs="Calibri"/>
            <w:b/>
            <w:bCs/>
            <w:color w:val="auto"/>
            <w:szCs w:val="24"/>
            <w:lang w:val="en-US" w:eastAsia="zh-CN"/>
          </w:rPr>
          <w:t>C14/51</w:t>
        </w:r>
      </w:hyperlink>
      <w:r w:rsidR="00EA1C96" w:rsidRPr="004D6689">
        <w:rPr>
          <w:rFonts w:eastAsiaTheme="minorEastAsia" w:cs="Calibri"/>
          <w:szCs w:val="24"/>
          <w:lang w:val="en-US" w:eastAsia="zh-CN"/>
        </w:rPr>
        <w:t>)</w:t>
      </w:r>
      <w:r w:rsidR="00FD0180" w:rsidRPr="004D6689">
        <w:rPr>
          <w:rFonts w:eastAsiaTheme="minorEastAsia" w:cs="Calibri"/>
          <w:szCs w:val="24"/>
          <w:lang w:val="en-US" w:eastAsia="zh-CN"/>
        </w:rPr>
        <w:t>, and the</w:t>
      </w:r>
      <w:r w:rsidR="00EA1C96" w:rsidRPr="004D6689">
        <w:rPr>
          <w:rFonts w:eastAsiaTheme="minorEastAsia" w:cs="Calibri"/>
          <w:szCs w:val="24"/>
          <w:lang w:val="en-US" w:eastAsia="zh-CN"/>
        </w:rPr>
        <w:t xml:space="preserve"> United States of America (</w:t>
      </w:r>
      <w:r w:rsidR="00802298" w:rsidRPr="004D6689">
        <w:rPr>
          <w:rFonts w:eastAsiaTheme="minorEastAsia" w:cs="Calibri"/>
          <w:szCs w:val="24"/>
          <w:lang w:val="en-US" w:eastAsia="zh-CN"/>
        </w:rPr>
        <w:t xml:space="preserve">see </w:t>
      </w:r>
      <w:r w:rsidR="00EA1C96" w:rsidRPr="004D6689">
        <w:rPr>
          <w:rFonts w:eastAsiaTheme="minorEastAsia" w:cs="Calibri"/>
          <w:szCs w:val="24"/>
          <w:lang w:val="en-US" w:eastAsia="zh-CN"/>
        </w:rPr>
        <w:t>Document</w:t>
      </w:r>
      <w:r w:rsidR="00EA1C96" w:rsidRPr="004D6689">
        <w:rPr>
          <w:rFonts w:eastAsiaTheme="minorEastAsia" w:cs="Calibri"/>
          <w:b/>
          <w:bCs/>
          <w:szCs w:val="24"/>
          <w:lang w:val="en-US" w:eastAsia="zh-CN"/>
        </w:rPr>
        <w:t xml:space="preserve"> </w:t>
      </w:r>
      <w:hyperlink r:id="rId41" w:history="1">
        <w:r w:rsidR="00EA1C96" w:rsidRPr="004D6689">
          <w:rPr>
            <w:rStyle w:val="Hyperlink"/>
            <w:rFonts w:eastAsiaTheme="minorEastAsia" w:cs="Calibri"/>
            <w:b/>
            <w:bCs/>
            <w:color w:val="auto"/>
            <w:szCs w:val="24"/>
            <w:lang w:val="en-US" w:eastAsia="zh-CN"/>
          </w:rPr>
          <w:t>C14/65</w:t>
        </w:r>
      </w:hyperlink>
      <w:r w:rsidR="00EA1C96" w:rsidRPr="004D6689">
        <w:rPr>
          <w:rFonts w:eastAsiaTheme="minorEastAsia" w:cs="Calibri"/>
          <w:szCs w:val="24"/>
          <w:lang w:val="en-US" w:eastAsia="zh-CN"/>
        </w:rPr>
        <w:t>)</w:t>
      </w:r>
      <w:r w:rsidR="005A54AD" w:rsidRPr="004D6689">
        <w:rPr>
          <w:rFonts w:eastAsiaTheme="minorEastAsia" w:cs="Calibri"/>
          <w:szCs w:val="24"/>
          <w:lang w:val="en-US" w:eastAsia="zh-CN"/>
        </w:rPr>
        <w:t xml:space="preserve"> </w:t>
      </w:r>
      <w:r w:rsidR="00FD0180" w:rsidRPr="004D6689">
        <w:rPr>
          <w:rFonts w:eastAsiaTheme="minorEastAsia" w:cs="Calibri"/>
          <w:szCs w:val="24"/>
          <w:lang w:val="en-US" w:eastAsia="zh-CN"/>
        </w:rPr>
        <w:t xml:space="preserve">as well as </w:t>
      </w:r>
      <w:r w:rsidR="00C36DC4" w:rsidRPr="004D6689">
        <w:rPr>
          <w:rFonts w:eastAsiaTheme="minorEastAsia" w:cs="Calibri"/>
          <w:szCs w:val="24"/>
          <w:lang w:val="en-US" w:eastAsia="zh-CN"/>
        </w:rPr>
        <w:t xml:space="preserve">by </w:t>
      </w:r>
      <w:r w:rsidR="00D95383" w:rsidRPr="004D6689">
        <w:rPr>
          <w:rFonts w:eastAsiaTheme="minorEastAsia" w:cs="Calibri"/>
          <w:szCs w:val="24"/>
          <w:lang w:val="en-US" w:eastAsia="zh-CN"/>
        </w:rPr>
        <w:t>councilors</w:t>
      </w:r>
      <w:r w:rsidR="00F70B22" w:rsidRPr="004D6689">
        <w:rPr>
          <w:rFonts w:eastAsiaTheme="minorEastAsia" w:cs="Calibri"/>
          <w:szCs w:val="24"/>
          <w:lang w:val="en-US" w:eastAsia="zh-CN"/>
        </w:rPr>
        <w:t xml:space="preserve"> </w:t>
      </w:r>
      <w:r w:rsidR="00FD0180" w:rsidRPr="004D6689">
        <w:rPr>
          <w:rFonts w:eastAsiaTheme="minorEastAsia" w:cs="Calibri"/>
          <w:szCs w:val="24"/>
          <w:lang w:val="en-US" w:eastAsia="zh-CN"/>
        </w:rPr>
        <w:t>during the sixth and seventh plenary meetings of the Council</w:t>
      </w:r>
      <w:r w:rsidR="00ED603D">
        <w:rPr>
          <w:rFonts w:eastAsiaTheme="minorEastAsia" w:cs="Calibri"/>
          <w:szCs w:val="24"/>
          <w:lang w:val="en-US" w:eastAsia="zh-CN"/>
        </w:rPr>
        <w:t xml:space="preserve"> (see Documents </w:t>
      </w:r>
      <w:hyperlink r:id="rId42" w:history="1">
        <w:r w:rsidR="00ED603D" w:rsidRPr="006240CA">
          <w:rPr>
            <w:rStyle w:val="Hyperlink"/>
            <w:rFonts w:eastAsiaTheme="minorEastAsia" w:cs="Calibri"/>
            <w:b/>
            <w:bCs/>
            <w:color w:val="auto"/>
            <w:szCs w:val="24"/>
            <w:lang w:val="en-US" w:eastAsia="zh-CN"/>
          </w:rPr>
          <w:t>C14/94</w:t>
        </w:r>
      </w:hyperlink>
      <w:r w:rsidR="00ED603D">
        <w:rPr>
          <w:rFonts w:eastAsiaTheme="minorEastAsia" w:cs="Calibri"/>
          <w:szCs w:val="24"/>
          <w:lang w:val="en-US" w:eastAsia="zh-CN"/>
        </w:rPr>
        <w:t xml:space="preserve"> and </w:t>
      </w:r>
      <w:hyperlink r:id="rId43" w:history="1">
        <w:r w:rsidR="00ED603D" w:rsidRPr="006240CA">
          <w:rPr>
            <w:rStyle w:val="Hyperlink"/>
            <w:rFonts w:eastAsiaTheme="minorEastAsia" w:cs="Calibri"/>
            <w:b/>
            <w:bCs/>
            <w:color w:val="auto"/>
            <w:szCs w:val="24"/>
            <w:lang w:val="en-US" w:eastAsia="zh-CN"/>
          </w:rPr>
          <w:t>C14/96</w:t>
        </w:r>
      </w:hyperlink>
      <w:r w:rsidR="00ED603D">
        <w:rPr>
          <w:rFonts w:eastAsiaTheme="minorEastAsia" w:cs="Calibri"/>
          <w:szCs w:val="24"/>
          <w:lang w:val="en-US" w:eastAsia="zh-CN"/>
        </w:rPr>
        <w:t>)</w:t>
      </w:r>
      <w:r w:rsidR="00FD0180" w:rsidRPr="004D6689">
        <w:rPr>
          <w:rFonts w:eastAsiaTheme="minorEastAsia" w:cs="Calibri"/>
          <w:szCs w:val="24"/>
          <w:lang w:val="en-US" w:eastAsia="zh-CN"/>
        </w:rPr>
        <w:t>.</w:t>
      </w:r>
    </w:p>
    <w:p w:rsidR="00250A0B" w:rsidRPr="004D6689" w:rsidRDefault="00AF5A4C" w:rsidP="004D6689">
      <w:pPr>
        <w:tabs>
          <w:tab w:val="clear" w:pos="567"/>
          <w:tab w:val="clear" w:pos="1134"/>
          <w:tab w:val="clear" w:pos="1701"/>
          <w:tab w:val="clear" w:pos="2268"/>
          <w:tab w:val="clear" w:pos="2835"/>
        </w:tabs>
        <w:overflowPunct/>
        <w:autoSpaceDE/>
        <w:autoSpaceDN/>
        <w:adjustRightInd/>
        <w:snapToGrid w:val="0"/>
        <w:spacing w:after="120"/>
        <w:textAlignment w:val="auto"/>
        <w:rPr>
          <w:rFonts w:eastAsiaTheme="minorEastAsia" w:cs="Calibri"/>
          <w:szCs w:val="24"/>
          <w:lang w:val="en-US" w:eastAsia="zh-CN"/>
        </w:rPr>
      </w:pPr>
      <w:r>
        <w:rPr>
          <w:rFonts w:eastAsiaTheme="minorEastAsia" w:cs="Calibri"/>
          <w:szCs w:val="24"/>
          <w:lang w:val="en-US" w:eastAsia="zh-CN"/>
        </w:rPr>
        <w:t>7.2</w:t>
      </w:r>
      <w:r>
        <w:rPr>
          <w:rFonts w:eastAsiaTheme="minorEastAsia" w:cs="Calibri"/>
          <w:szCs w:val="24"/>
          <w:lang w:val="en-US" w:eastAsia="zh-CN"/>
        </w:rPr>
        <w:tab/>
      </w:r>
      <w:r w:rsidR="00C36DC4" w:rsidRPr="004D6689">
        <w:rPr>
          <w:rFonts w:eastAsiaTheme="minorEastAsia" w:cs="Calibri"/>
          <w:szCs w:val="24"/>
          <w:lang w:val="en-US" w:eastAsia="zh-CN"/>
        </w:rPr>
        <w:t>Th</w:t>
      </w:r>
      <w:r w:rsidR="004A536B" w:rsidRPr="004D6689">
        <w:rPr>
          <w:rFonts w:eastAsiaTheme="minorEastAsia" w:cs="Calibri"/>
          <w:szCs w:val="24"/>
          <w:lang w:val="en-US" w:eastAsia="zh-CN"/>
        </w:rPr>
        <w:t xml:space="preserve">e main concerns </w:t>
      </w:r>
      <w:r w:rsidR="00E21CEB" w:rsidRPr="004D6689">
        <w:rPr>
          <w:rFonts w:eastAsiaTheme="minorEastAsia" w:cs="Calibri"/>
          <w:szCs w:val="24"/>
          <w:lang w:val="en-US" w:eastAsia="zh-CN"/>
        </w:rPr>
        <w:t xml:space="preserve">remain focused on </w:t>
      </w:r>
      <w:r w:rsidR="00250A0B" w:rsidRPr="004D6689">
        <w:rPr>
          <w:rFonts w:eastAsiaTheme="minorEastAsia" w:cs="Calibri"/>
          <w:szCs w:val="24"/>
          <w:lang w:val="en-US" w:eastAsia="zh-CN"/>
        </w:rPr>
        <w:t>the financial</w:t>
      </w:r>
      <w:r w:rsidR="00D95383" w:rsidRPr="004D6689">
        <w:rPr>
          <w:rFonts w:eastAsiaTheme="minorEastAsia" w:cs="Calibri"/>
          <w:szCs w:val="24"/>
          <w:lang w:val="en-US" w:eastAsia="zh-CN"/>
        </w:rPr>
        <w:t xml:space="preserve">, juridical as well as the technical </w:t>
      </w:r>
      <w:r w:rsidR="00D22A9B" w:rsidRPr="004D6689">
        <w:rPr>
          <w:rFonts w:eastAsiaTheme="minorEastAsia" w:cs="Calibri"/>
          <w:szCs w:val="24"/>
          <w:lang w:val="en-US" w:eastAsia="zh-CN"/>
        </w:rPr>
        <w:t>implications</w:t>
      </w:r>
      <w:r w:rsidR="00250A0B" w:rsidRPr="004D6689">
        <w:rPr>
          <w:rFonts w:eastAsiaTheme="minorEastAsia" w:cs="Calibri"/>
          <w:szCs w:val="24"/>
          <w:lang w:val="en-US" w:eastAsia="zh-CN"/>
        </w:rPr>
        <w:t xml:space="preserve"> </w:t>
      </w:r>
      <w:r w:rsidR="00D95383" w:rsidRPr="004D6689">
        <w:rPr>
          <w:rFonts w:eastAsiaTheme="minorEastAsia" w:cs="Calibri"/>
          <w:szCs w:val="24"/>
          <w:lang w:val="en-US" w:eastAsia="zh-CN"/>
        </w:rPr>
        <w:t>on ITU assuming the role of Supervisory Authority</w:t>
      </w:r>
      <w:r w:rsidR="007A7950" w:rsidRPr="004D6689">
        <w:rPr>
          <w:rFonts w:eastAsiaTheme="minorEastAsia" w:cs="Calibri"/>
          <w:szCs w:val="24"/>
          <w:lang w:val="en-US" w:eastAsia="zh-CN"/>
        </w:rPr>
        <w:t xml:space="preserve">; </w:t>
      </w:r>
      <w:r w:rsidR="00D95383" w:rsidRPr="004D6689">
        <w:rPr>
          <w:rFonts w:eastAsiaTheme="minorEastAsia" w:cs="Calibri"/>
          <w:szCs w:val="24"/>
          <w:lang w:val="en-US" w:eastAsia="zh-CN"/>
        </w:rPr>
        <w:t xml:space="preserve">the correlation between the functions of the Supervisory Authority </w:t>
      </w:r>
      <w:r w:rsidR="00E21CEB" w:rsidRPr="004D6689">
        <w:rPr>
          <w:rFonts w:eastAsiaTheme="minorEastAsia" w:cs="Calibri"/>
          <w:szCs w:val="24"/>
          <w:lang w:val="en-US" w:eastAsia="zh-CN"/>
        </w:rPr>
        <w:t xml:space="preserve">and </w:t>
      </w:r>
      <w:r w:rsidR="00D95383" w:rsidRPr="004D6689">
        <w:rPr>
          <w:rFonts w:eastAsiaTheme="minorEastAsia" w:cs="Calibri"/>
          <w:szCs w:val="24"/>
          <w:lang w:val="en-US" w:eastAsia="zh-CN"/>
        </w:rPr>
        <w:t>ITU</w:t>
      </w:r>
      <w:r w:rsidR="003C6D07" w:rsidRPr="004D6689">
        <w:rPr>
          <w:rFonts w:eastAsiaTheme="minorEastAsia" w:cs="Calibri"/>
          <w:szCs w:val="24"/>
          <w:lang w:val="en-US" w:eastAsia="zh-CN"/>
        </w:rPr>
        <w:t>’s</w:t>
      </w:r>
      <w:r w:rsidR="00D95383" w:rsidRPr="004D6689">
        <w:rPr>
          <w:rFonts w:eastAsiaTheme="minorEastAsia" w:cs="Calibri"/>
          <w:szCs w:val="24"/>
          <w:lang w:val="en-US" w:eastAsia="zh-CN"/>
        </w:rPr>
        <w:t xml:space="preserve"> mandate,</w:t>
      </w:r>
      <w:r w:rsidR="00F70B22" w:rsidRPr="004D6689">
        <w:rPr>
          <w:rFonts w:eastAsiaTheme="minorEastAsia" w:cs="Calibri"/>
          <w:szCs w:val="24"/>
          <w:lang w:val="en-US" w:eastAsia="zh-CN"/>
        </w:rPr>
        <w:t xml:space="preserve"> the immunity of ITU</w:t>
      </w:r>
      <w:r w:rsidR="000F77B9" w:rsidRPr="004D6689">
        <w:rPr>
          <w:rFonts w:eastAsiaTheme="minorEastAsia" w:cs="Calibri"/>
          <w:szCs w:val="24"/>
          <w:lang w:val="en-US" w:eastAsia="zh-CN"/>
        </w:rPr>
        <w:t>, the</w:t>
      </w:r>
      <w:r w:rsidR="00FA4BB9" w:rsidRPr="004D6689">
        <w:rPr>
          <w:rFonts w:eastAsiaTheme="minorEastAsia" w:cs="Calibri"/>
          <w:szCs w:val="24"/>
          <w:lang w:val="en-US" w:eastAsia="zh-CN"/>
        </w:rPr>
        <w:t xml:space="preserve"> role of ITU towards the Registrar, the participation of ITU within the Space Protocol, </w:t>
      </w:r>
      <w:r w:rsidR="007A7950" w:rsidRPr="004D6689">
        <w:rPr>
          <w:rFonts w:eastAsiaTheme="minorEastAsia" w:cs="Calibri"/>
          <w:szCs w:val="24"/>
          <w:lang w:val="en-US" w:eastAsia="zh-CN"/>
        </w:rPr>
        <w:t xml:space="preserve">the evaluation of the </w:t>
      </w:r>
      <w:r w:rsidR="00E21CEB" w:rsidRPr="004D6689">
        <w:rPr>
          <w:rFonts w:eastAsiaTheme="minorEastAsia" w:cs="Calibri"/>
          <w:szCs w:val="24"/>
          <w:lang w:val="en-US" w:eastAsia="zh-CN"/>
        </w:rPr>
        <w:t xml:space="preserve">impact </w:t>
      </w:r>
      <w:r w:rsidR="003B51DD" w:rsidRPr="004D6689">
        <w:rPr>
          <w:rFonts w:eastAsiaTheme="minorEastAsia" w:cs="Calibri"/>
          <w:szCs w:val="24"/>
          <w:lang w:val="en-US" w:eastAsia="zh-CN"/>
        </w:rPr>
        <w:t>that the acceptance</w:t>
      </w:r>
      <w:r w:rsidR="007A7950" w:rsidRPr="004D6689">
        <w:rPr>
          <w:rFonts w:eastAsiaTheme="minorEastAsia" w:cs="Calibri"/>
          <w:szCs w:val="24"/>
          <w:lang w:val="en-US" w:eastAsia="zh-CN"/>
        </w:rPr>
        <w:t xml:space="preserve"> </w:t>
      </w:r>
      <w:r w:rsidR="003C6D07" w:rsidRPr="004D6689">
        <w:rPr>
          <w:rFonts w:eastAsiaTheme="minorEastAsia" w:cs="Calibri"/>
          <w:szCs w:val="24"/>
          <w:lang w:val="en-US" w:eastAsia="zh-CN"/>
        </w:rPr>
        <w:t xml:space="preserve">or </w:t>
      </w:r>
      <w:r w:rsidR="007A7950" w:rsidRPr="004D6689">
        <w:rPr>
          <w:rFonts w:eastAsiaTheme="minorEastAsia" w:cs="Calibri"/>
          <w:szCs w:val="24"/>
          <w:lang w:val="en-US" w:eastAsia="zh-CN"/>
        </w:rPr>
        <w:t xml:space="preserve">the refusal </w:t>
      </w:r>
      <w:r w:rsidR="00E21CEB" w:rsidRPr="004D6689">
        <w:rPr>
          <w:rFonts w:eastAsiaTheme="minorEastAsia" w:cs="Calibri"/>
          <w:szCs w:val="24"/>
          <w:lang w:val="en-US" w:eastAsia="zh-CN"/>
        </w:rPr>
        <w:t>of ITU to play the role of Supervisory Authority</w:t>
      </w:r>
      <w:r w:rsidR="007A7950" w:rsidRPr="004D6689">
        <w:rPr>
          <w:rFonts w:eastAsiaTheme="minorEastAsia" w:cs="Calibri"/>
          <w:szCs w:val="24"/>
          <w:lang w:val="en-US" w:eastAsia="zh-CN"/>
        </w:rPr>
        <w:t xml:space="preserve"> could cause.</w:t>
      </w:r>
      <w:r w:rsidR="00561B02" w:rsidRPr="004D6689">
        <w:rPr>
          <w:rFonts w:eastAsiaTheme="minorEastAsia" w:cs="Calibri"/>
          <w:szCs w:val="24"/>
          <w:lang w:val="en-US" w:eastAsia="zh-CN"/>
        </w:rPr>
        <w:t xml:space="preserve"> </w:t>
      </w:r>
    </w:p>
    <w:p w:rsidR="002E3794" w:rsidRPr="004D6689" w:rsidRDefault="00AF5A4C" w:rsidP="004D6689">
      <w:pPr>
        <w:tabs>
          <w:tab w:val="clear" w:pos="567"/>
          <w:tab w:val="clear" w:pos="1134"/>
          <w:tab w:val="clear" w:pos="1701"/>
          <w:tab w:val="clear" w:pos="2268"/>
          <w:tab w:val="clear" w:pos="2835"/>
        </w:tabs>
        <w:overflowPunct/>
        <w:autoSpaceDE/>
        <w:autoSpaceDN/>
        <w:adjustRightInd/>
        <w:snapToGrid w:val="0"/>
        <w:spacing w:after="120"/>
        <w:textAlignment w:val="auto"/>
        <w:rPr>
          <w:rFonts w:eastAsiaTheme="minorEastAsia" w:cs="Calibri"/>
          <w:szCs w:val="24"/>
          <w:lang w:eastAsia="zh-CN"/>
        </w:rPr>
      </w:pPr>
      <w:r>
        <w:rPr>
          <w:rFonts w:eastAsiaTheme="minorEastAsia" w:cs="Calibri"/>
          <w:szCs w:val="24"/>
          <w:lang w:val="en-US" w:eastAsia="zh-CN"/>
        </w:rPr>
        <w:t>7.3</w:t>
      </w:r>
      <w:r>
        <w:rPr>
          <w:rFonts w:eastAsiaTheme="minorEastAsia" w:cs="Calibri"/>
          <w:szCs w:val="24"/>
          <w:lang w:val="en-US" w:eastAsia="zh-CN"/>
        </w:rPr>
        <w:tab/>
      </w:r>
      <w:r w:rsidR="00142185" w:rsidRPr="004D6689">
        <w:rPr>
          <w:rFonts w:eastAsiaTheme="minorEastAsia" w:cs="Calibri"/>
          <w:szCs w:val="24"/>
          <w:lang w:val="en-US" w:eastAsia="zh-CN"/>
        </w:rPr>
        <w:t xml:space="preserve">In line with its previous decisions, Council 2014 </w:t>
      </w:r>
      <w:r w:rsidR="0002618D" w:rsidRPr="00631BA2">
        <w:rPr>
          <w:rFonts w:eastAsiaTheme="minorEastAsia" w:cs="Calibri"/>
          <w:szCs w:val="24"/>
          <w:lang w:val="en-US" w:eastAsia="zh-CN"/>
        </w:rPr>
        <w:t xml:space="preserve">noted </w:t>
      </w:r>
      <w:r w:rsidR="00142185" w:rsidRPr="00631BA2">
        <w:rPr>
          <w:rFonts w:eastAsiaTheme="minorEastAsia" w:cs="Calibri"/>
          <w:szCs w:val="24"/>
          <w:lang w:val="en-US" w:eastAsia="zh-CN"/>
        </w:rPr>
        <w:t>Document</w:t>
      </w:r>
      <w:r w:rsidR="00142185" w:rsidRPr="004D6689">
        <w:rPr>
          <w:rFonts w:eastAsiaTheme="minorEastAsia" w:cs="Calibri"/>
          <w:b/>
          <w:bCs/>
          <w:szCs w:val="24"/>
          <w:lang w:val="en-US" w:eastAsia="zh-CN"/>
        </w:rPr>
        <w:t xml:space="preserve"> </w:t>
      </w:r>
      <w:hyperlink r:id="rId44" w:history="1">
        <w:r w:rsidR="00142185" w:rsidRPr="00631BA2">
          <w:rPr>
            <w:rStyle w:val="Hyperlink"/>
            <w:rFonts w:eastAsiaTheme="minorEastAsia" w:cs="Calibri"/>
            <w:b/>
            <w:bCs/>
            <w:color w:val="auto"/>
            <w:szCs w:val="24"/>
            <w:lang w:val="en-US" w:eastAsia="zh-CN"/>
          </w:rPr>
          <w:t>C14/13</w:t>
        </w:r>
      </w:hyperlink>
      <w:r w:rsidR="00142185" w:rsidRPr="004D6689">
        <w:rPr>
          <w:rFonts w:eastAsiaTheme="minorEastAsia" w:cs="Calibri"/>
          <w:szCs w:val="24"/>
          <w:lang w:val="en-US" w:eastAsia="zh-CN"/>
        </w:rPr>
        <w:t xml:space="preserve"> </w:t>
      </w:r>
      <w:r w:rsidR="0002618D" w:rsidRPr="004D6689">
        <w:rPr>
          <w:rFonts w:eastAsiaTheme="minorEastAsia" w:cs="Calibri"/>
          <w:szCs w:val="24"/>
          <w:lang w:eastAsia="zh-CN"/>
        </w:rPr>
        <w:t xml:space="preserve">and authorized the Secretary-General to continue to express ITU’s </w:t>
      </w:r>
      <w:r w:rsidR="003F3399" w:rsidRPr="004D6689">
        <w:rPr>
          <w:rFonts w:eastAsiaTheme="minorEastAsia" w:cs="Calibri"/>
          <w:szCs w:val="24"/>
          <w:lang w:eastAsia="zh-CN"/>
        </w:rPr>
        <w:t>interest in becoming the Supervisory A</w:t>
      </w:r>
      <w:r w:rsidR="0002618D" w:rsidRPr="004D6689">
        <w:rPr>
          <w:rFonts w:eastAsiaTheme="minorEastAsia" w:cs="Calibri"/>
          <w:szCs w:val="24"/>
          <w:lang w:eastAsia="zh-CN"/>
        </w:rPr>
        <w:t>uthority, noting that the matter of wheth</w:t>
      </w:r>
      <w:r w:rsidR="00B909D4" w:rsidRPr="004D6689">
        <w:rPr>
          <w:rFonts w:eastAsiaTheme="minorEastAsia" w:cs="Calibri"/>
          <w:szCs w:val="24"/>
          <w:lang w:eastAsia="zh-CN"/>
        </w:rPr>
        <w:t>er or not ITU could become the Supervisory A</w:t>
      </w:r>
      <w:r w:rsidR="0002618D" w:rsidRPr="004D6689">
        <w:rPr>
          <w:rFonts w:eastAsiaTheme="minorEastAsia" w:cs="Calibri"/>
          <w:szCs w:val="24"/>
          <w:lang w:eastAsia="zh-CN"/>
        </w:rPr>
        <w:t>uthority should not be prejudged at the current stage. In addition, it authorized the Secretary-General or his representative to continue to participate in the work of the Preparatory Commission and its working groups as an observer. The Council also authorized the Secretary-General to submit a report on the matter to PP-14 and to report on progress to Council</w:t>
      </w:r>
      <w:r w:rsidR="00CD0A67" w:rsidRPr="004D6689">
        <w:rPr>
          <w:rFonts w:eastAsiaTheme="minorEastAsia" w:cs="Calibri"/>
          <w:szCs w:val="24"/>
          <w:lang w:eastAsia="zh-CN"/>
        </w:rPr>
        <w:t xml:space="preserve"> 20</w:t>
      </w:r>
      <w:r w:rsidR="0002618D" w:rsidRPr="004D6689">
        <w:rPr>
          <w:rFonts w:eastAsiaTheme="minorEastAsia" w:cs="Calibri"/>
          <w:szCs w:val="24"/>
          <w:lang w:eastAsia="zh-CN"/>
        </w:rPr>
        <w:t>15.</w:t>
      </w:r>
    </w:p>
    <w:p w:rsidR="00B32AA9" w:rsidRPr="004D6689" w:rsidRDefault="00AF5A4C" w:rsidP="004D6689">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eastAsiaTheme="minorEastAsia" w:hAnsiTheme="minorHAnsi" w:cs="Calibri"/>
          <w:szCs w:val="24"/>
          <w:lang w:eastAsia="zh-CN"/>
        </w:rPr>
      </w:pPr>
      <w:r>
        <w:rPr>
          <w:rFonts w:asciiTheme="minorHAnsi" w:eastAsiaTheme="minorEastAsia" w:hAnsiTheme="minorHAnsi" w:cs="Calibri"/>
          <w:szCs w:val="24"/>
          <w:lang w:eastAsia="zh-CN"/>
        </w:rPr>
        <w:t>7.4</w:t>
      </w:r>
      <w:r>
        <w:rPr>
          <w:rFonts w:asciiTheme="minorHAnsi" w:eastAsiaTheme="minorEastAsia" w:hAnsiTheme="minorHAnsi" w:cs="Calibri"/>
          <w:szCs w:val="24"/>
          <w:lang w:eastAsia="zh-CN"/>
        </w:rPr>
        <w:tab/>
      </w:r>
      <w:r w:rsidR="007765B9" w:rsidRPr="004D6689">
        <w:rPr>
          <w:rFonts w:asciiTheme="minorHAnsi" w:eastAsiaTheme="minorEastAsia" w:hAnsiTheme="minorHAnsi" w:cs="Calibri"/>
          <w:szCs w:val="24"/>
          <w:lang w:eastAsia="zh-CN"/>
        </w:rPr>
        <w:t xml:space="preserve">Following a proposal that </w:t>
      </w:r>
      <w:r w:rsidR="008A462B">
        <w:rPr>
          <w:rFonts w:asciiTheme="minorHAnsi" w:eastAsiaTheme="minorEastAsia" w:hAnsiTheme="minorHAnsi" w:cs="Calibri"/>
          <w:szCs w:val="24"/>
          <w:lang w:eastAsia="zh-CN"/>
        </w:rPr>
        <w:t xml:space="preserve">the </w:t>
      </w:r>
      <w:r w:rsidR="007765B9" w:rsidRPr="004D6689">
        <w:rPr>
          <w:rFonts w:asciiTheme="minorHAnsi" w:eastAsiaTheme="minorEastAsia" w:hAnsiTheme="minorHAnsi" w:cs="Calibri"/>
          <w:szCs w:val="24"/>
          <w:lang w:eastAsia="zh-CN"/>
        </w:rPr>
        <w:t>Council should recommend that PP-14 take a decision on the matter, the Council noted the suggestion by an observer that it would</w:t>
      </w:r>
      <w:r w:rsidR="00CD0A67" w:rsidRPr="004D6689">
        <w:rPr>
          <w:rFonts w:asciiTheme="minorHAnsi" w:eastAsiaTheme="minorEastAsia" w:hAnsiTheme="minorHAnsi" w:cs="Calibri"/>
          <w:szCs w:val="24"/>
          <w:lang w:eastAsia="zh-CN"/>
        </w:rPr>
        <w:t xml:space="preserve"> be</w:t>
      </w:r>
      <w:r w:rsidR="007765B9" w:rsidRPr="004D6689">
        <w:rPr>
          <w:rFonts w:asciiTheme="minorHAnsi" w:eastAsiaTheme="minorEastAsia" w:hAnsiTheme="minorHAnsi" w:cs="Calibri"/>
          <w:szCs w:val="24"/>
          <w:lang w:eastAsia="zh-CN"/>
        </w:rPr>
        <w:t xml:space="preserve"> preferable to recommend that PP-14 consider the matter and take necessary action, as appropriate</w:t>
      </w:r>
      <w:r w:rsidR="00CD0A67" w:rsidRPr="004D6689">
        <w:rPr>
          <w:rFonts w:asciiTheme="minorHAnsi" w:eastAsiaTheme="minorEastAsia" w:hAnsiTheme="minorHAnsi" w:cs="Calibri"/>
          <w:szCs w:val="24"/>
          <w:lang w:eastAsia="zh-CN"/>
        </w:rPr>
        <w:t>.</w:t>
      </w:r>
    </w:p>
    <w:p w:rsidR="002304ED" w:rsidRPr="004D6689" w:rsidRDefault="00AF5A4C">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hAnsiTheme="minorHAnsi" w:cs="Segoe UI"/>
          <w:i/>
          <w:iCs/>
          <w:szCs w:val="24"/>
          <w:lang w:val="en-US"/>
        </w:rPr>
      </w:pPr>
      <w:r>
        <w:rPr>
          <w:rFonts w:asciiTheme="minorHAnsi" w:hAnsiTheme="minorHAnsi" w:cs="Segoe UI"/>
          <w:szCs w:val="24"/>
          <w:lang w:val="en-US"/>
        </w:rPr>
        <w:t>7.5</w:t>
      </w:r>
      <w:r>
        <w:rPr>
          <w:rFonts w:asciiTheme="minorHAnsi" w:hAnsiTheme="minorHAnsi" w:cs="Segoe UI"/>
          <w:szCs w:val="24"/>
          <w:lang w:val="en-US"/>
        </w:rPr>
        <w:tab/>
      </w:r>
      <w:r w:rsidR="002304ED" w:rsidRPr="004D6689">
        <w:rPr>
          <w:rFonts w:asciiTheme="minorHAnsi" w:hAnsiTheme="minorHAnsi" w:cs="Segoe UI"/>
          <w:szCs w:val="24"/>
          <w:lang w:val="en-US"/>
        </w:rPr>
        <w:t xml:space="preserve">Regarding the questions and comments raised by </w:t>
      </w:r>
      <w:r w:rsidR="00104C74" w:rsidRPr="004D6689">
        <w:rPr>
          <w:rFonts w:asciiTheme="minorHAnsi" w:hAnsiTheme="minorHAnsi" w:cs="Segoe UI"/>
          <w:szCs w:val="24"/>
          <w:lang w:val="en-US"/>
        </w:rPr>
        <w:t>various a</w:t>
      </w:r>
      <w:r w:rsidR="002304ED" w:rsidRPr="004D6689">
        <w:rPr>
          <w:rFonts w:asciiTheme="minorHAnsi" w:hAnsiTheme="minorHAnsi" w:cs="Segoe UI"/>
          <w:szCs w:val="24"/>
          <w:lang w:val="en-US"/>
        </w:rPr>
        <w:t>dministrations</w:t>
      </w:r>
      <w:r w:rsidR="00B32AA9" w:rsidRPr="004D6689">
        <w:rPr>
          <w:rFonts w:asciiTheme="minorHAnsi" w:hAnsiTheme="minorHAnsi" w:cs="Segoe UI"/>
          <w:szCs w:val="24"/>
          <w:lang w:val="en-US"/>
        </w:rPr>
        <w:t xml:space="preserve">, </w:t>
      </w:r>
      <w:r w:rsidR="00104C74" w:rsidRPr="004D6689">
        <w:rPr>
          <w:rFonts w:asciiTheme="minorHAnsi" w:hAnsiTheme="minorHAnsi" w:cs="Segoe UI"/>
          <w:szCs w:val="24"/>
          <w:lang w:val="en-US"/>
        </w:rPr>
        <w:t xml:space="preserve">in particular the Administrations </w:t>
      </w:r>
      <w:r w:rsidR="002304ED" w:rsidRPr="004D6689">
        <w:rPr>
          <w:rFonts w:asciiTheme="minorHAnsi" w:hAnsiTheme="minorHAnsi" w:cs="Segoe UI"/>
          <w:szCs w:val="24"/>
          <w:lang w:val="en-US"/>
        </w:rPr>
        <w:t xml:space="preserve">of Japan, Australia, the Philippines, Germany, France, India, </w:t>
      </w:r>
      <w:proofErr w:type="spellStart"/>
      <w:r w:rsidR="002304ED" w:rsidRPr="004D6689">
        <w:rPr>
          <w:rFonts w:asciiTheme="minorHAnsi" w:hAnsiTheme="minorHAnsi" w:cs="Segoe UI"/>
          <w:szCs w:val="24"/>
          <w:lang w:val="en-US"/>
        </w:rPr>
        <w:t>Mali</w:t>
      </w:r>
      <w:proofErr w:type="spellEnd"/>
      <w:r w:rsidR="002304ED" w:rsidRPr="004D6689">
        <w:rPr>
          <w:rFonts w:asciiTheme="minorHAnsi" w:hAnsiTheme="minorHAnsi" w:cs="Segoe UI"/>
          <w:szCs w:val="24"/>
          <w:lang w:val="en-US"/>
        </w:rPr>
        <w:t>, Nigeria, Argentina, Sweden, China, Turkey</w:t>
      </w:r>
      <w:r w:rsidR="008A462B">
        <w:rPr>
          <w:rFonts w:asciiTheme="minorHAnsi" w:hAnsiTheme="minorHAnsi" w:cs="Segoe UI"/>
          <w:szCs w:val="24"/>
          <w:lang w:val="en-US"/>
        </w:rPr>
        <w:t>,</w:t>
      </w:r>
      <w:r w:rsidR="002304ED" w:rsidRPr="004D6689">
        <w:rPr>
          <w:rFonts w:asciiTheme="minorHAnsi" w:hAnsiTheme="minorHAnsi" w:cs="Segoe UI"/>
          <w:szCs w:val="24"/>
          <w:lang w:val="en-US"/>
        </w:rPr>
        <w:t xml:space="preserve"> and the United States o</w:t>
      </w:r>
      <w:r w:rsidR="00104C74" w:rsidRPr="004D6689">
        <w:rPr>
          <w:rFonts w:asciiTheme="minorHAnsi" w:hAnsiTheme="minorHAnsi" w:cs="Segoe UI"/>
          <w:szCs w:val="24"/>
          <w:lang w:val="en-US"/>
        </w:rPr>
        <w:t>f America during Council</w:t>
      </w:r>
      <w:r w:rsidR="00612289" w:rsidRPr="004D6689">
        <w:rPr>
          <w:rFonts w:asciiTheme="minorHAnsi" w:hAnsiTheme="minorHAnsi" w:cs="Segoe UI"/>
          <w:szCs w:val="24"/>
          <w:lang w:val="en-US"/>
        </w:rPr>
        <w:t xml:space="preserve"> 20</w:t>
      </w:r>
      <w:r w:rsidR="00104C74" w:rsidRPr="004D6689">
        <w:rPr>
          <w:rFonts w:asciiTheme="minorHAnsi" w:hAnsiTheme="minorHAnsi" w:cs="Segoe UI"/>
          <w:szCs w:val="24"/>
          <w:lang w:val="en-US"/>
        </w:rPr>
        <w:t xml:space="preserve">12, </w:t>
      </w:r>
      <w:r w:rsidR="002304ED" w:rsidRPr="004D6689">
        <w:rPr>
          <w:rFonts w:asciiTheme="minorHAnsi" w:hAnsiTheme="minorHAnsi" w:cs="Segoe UI"/>
          <w:szCs w:val="24"/>
          <w:lang w:val="en-US"/>
        </w:rPr>
        <w:t>Council</w:t>
      </w:r>
      <w:r w:rsidR="00612289" w:rsidRPr="004D6689">
        <w:rPr>
          <w:rFonts w:asciiTheme="minorHAnsi" w:hAnsiTheme="minorHAnsi" w:cs="Segoe UI"/>
          <w:szCs w:val="24"/>
          <w:lang w:val="en-US"/>
        </w:rPr>
        <w:t xml:space="preserve"> 20</w:t>
      </w:r>
      <w:r w:rsidR="002304ED" w:rsidRPr="004D6689">
        <w:rPr>
          <w:rFonts w:asciiTheme="minorHAnsi" w:hAnsiTheme="minorHAnsi" w:cs="Segoe UI"/>
          <w:szCs w:val="24"/>
          <w:lang w:val="en-US"/>
        </w:rPr>
        <w:t>13</w:t>
      </w:r>
      <w:r w:rsidR="00104C74" w:rsidRPr="004D6689">
        <w:rPr>
          <w:rFonts w:asciiTheme="minorHAnsi" w:hAnsiTheme="minorHAnsi" w:cs="Segoe UI"/>
          <w:szCs w:val="24"/>
          <w:lang w:val="en-US"/>
        </w:rPr>
        <w:t xml:space="preserve"> and Council</w:t>
      </w:r>
      <w:r w:rsidR="00612289" w:rsidRPr="004D6689">
        <w:rPr>
          <w:rFonts w:asciiTheme="minorHAnsi" w:hAnsiTheme="minorHAnsi" w:cs="Segoe UI"/>
          <w:szCs w:val="24"/>
          <w:lang w:val="en-US"/>
        </w:rPr>
        <w:t xml:space="preserve"> 20</w:t>
      </w:r>
      <w:r w:rsidR="00104C74" w:rsidRPr="004D6689">
        <w:rPr>
          <w:rFonts w:asciiTheme="minorHAnsi" w:hAnsiTheme="minorHAnsi" w:cs="Segoe UI"/>
          <w:szCs w:val="24"/>
          <w:lang w:val="en-US"/>
        </w:rPr>
        <w:t>14</w:t>
      </w:r>
      <w:r w:rsidR="002304ED" w:rsidRPr="004D6689">
        <w:rPr>
          <w:rFonts w:asciiTheme="minorHAnsi" w:hAnsiTheme="minorHAnsi" w:cs="Segoe UI"/>
          <w:szCs w:val="24"/>
          <w:lang w:val="en-US"/>
        </w:rPr>
        <w:t xml:space="preserve"> relating to the possible role of ITU as Supervisory Authority of the International Registration System for Space Assets, the </w:t>
      </w:r>
      <w:r w:rsidR="008A462B">
        <w:rPr>
          <w:rFonts w:asciiTheme="minorHAnsi" w:hAnsiTheme="minorHAnsi" w:cs="Segoe UI"/>
          <w:szCs w:val="24"/>
          <w:lang w:val="en-US"/>
        </w:rPr>
        <w:t>s</w:t>
      </w:r>
      <w:r w:rsidR="008A462B" w:rsidRPr="004D6689">
        <w:rPr>
          <w:rFonts w:asciiTheme="minorHAnsi" w:hAnsiTheme="minorHAnsi" w:cs="Segoe UI"/>
          <w:szCs w:val="24"/>
          <w:lang w:val="en-US"/>
        </w:rPr>
        <w:t xml:space="preserve">ecretariat </w:t>
      </w:r>
      <w:r w:rsidR="00104C74" w:rsidRPr="004D6689">
        <w:rPr>
          <w:rFonts w:asciiTheme="minorHAnsi" w:hAnsiTheme="minorHAnsi" w:cs="Segoe UI"/>
          <w:szCs w:val="24"/>
          <w:lang w:val="en-US"/>
        </w:rPr>
        <w:t>has completed</w:t>
      </w:r>
      <w:r w:rsidR="002304ED" w:rsidRPr="004D6689">
        <w:rPr>
          <w:rFonts w:asciiTheme="minorHAnsi" w:hAnsiTheme="minorHAnsi" w:cs="Segoe UI"/>
          <w:szCs w:val="24"/>
          <w:lang w:val="en-US"/>
        </w:rPr>
        <w:t xml:space="preserve"> an information document with all necessary informatio</w:t>
      </w:r>
      <w:r w:rsidR="00104C74" w:rsidRPr="004D6689">
        <w:rPr>
          <w:rFonts w:asciiTheme="minorHAnsi" w:hAnsiTheme="minorHAnsi" w:cs="Segoe UI"/>
          <w:szCs w:val="24"/>
          <w:lang w:val="en-US"/>
        </w:rPr>
        <w:t>n</w:t>
      </w:r>
      <w:r w:rsidR="00B32AA9" w:rsidRPr="004D6689">
        <w:rPr>
          <w:rFonts w:asciiTheme="minorHAnsi" w:hAnsiTheme="minorHAnsi" w:cs="Segoe UI"/>
          <w:szCs w:val="24"/>
          <w:lang w:val="en-US"/>
        </w:rPr>
        <w:t>, clarification and backg</w:t>
      </w:r>
      <w:r w:rsidR="007A7437" w:rsidRPr="004D6689">
        <w:rPr>
          <w:rFonts w:asciiTheme="minorHAnsi" w:hAnsiTheme="minorHAnsi" w:cs="Segoe UI"/>
          <w:szCs w:val="24"/>
          <w:lang w:val="en-US"/>
        </w:rPr>
        <w:t>round.</w:t>
      </w:r>
    </w:p>
    <w:p w:rsidR="00F35CE2" w:rsidRPr="004D6689" w:rsidRDefault="00AF5A4C" w:rsidP="00AF5A4C">
      <w:pPr>
        <w:keepNext/>
        <w:keepLines/>
        <w:snapToGrid w:val="0"/>
        <w:spacing w:after="120"/>
        <w:rPr>
          <w:szCs w:val="24"/>
        </w:rPr>
      </w:pPr>
      <w:r>
        <w:rPr>
          <w:szCs w:val="24"/>
        </w:rPr>
        <w:lastRenderedPageBreak/>
        <w:t>7.6</w:t>
      </w:r>
      <w:r>
        <w:rPr>
          <w:szCs w:val="24"/>
        </w:rPr>
        <w:tab/>
      </w:r>
      <w:r w:rsidR="00F35CE2" w:rsidRPr="004D6689">
        <w:rPr>
          <w:szCs w:val="24"/>
        </w:rPr>
        <w:t>To allow the ITU Secretary-General to carry out</w:t>
      </w:r>
      <w:r w:rsidR="004361BC" w:rsidRPr="004D6689">
        <w:rPr>
          <w:szCs w:val="24"/>
        </w:rPr>
        <w:t xml:space="preserve"> </w:t>
      </w:r>
      <w:r w:rsidR="00FA07E1">
        <w:rPr>
          <w:szCs w:val="24"/>
        </w:rPr>
        <w:t>this</w:t>
      </w:r>
      <w:r w:rsidR="00FA07E1" w:rsidRPr="004D6689">
        <w:rPr>
          <w:szCs w:val="24"/>
        </w:rPr>
        <w:t xml:space="preserve"> </w:t>
      </w:r>
      <w:r w:rsidR="00F35CE2" w:rsidRPr="004D6689">
        <w:rPr>
          <w:szCs w:val="24"/>
        </w:rPr>
        <w:t xml:space="preserve">task in a fully transparent manner, a SharePoint </w:t>
      </w:r>
      <w:r w:rsidR="004361BC" w:rsidRPr="004D6689">
        <w:rPr>
          <w:szCs w:val="24"/>
        </w:rPr>
        <w:t xml:space="preserve">on the space protocol issue </w:t>
      </w:r>
      <w:r w:rsidR="00F35CE2" w:rsidRPr="004D6689">
        <w:rPr>
          <w:szCs w:val="24"/>
        </w:rPr>
        <w:t xml:space="preserve">was </w:t>
      </w:r>
      <w:proofErr w:type="gramStart"/>
      <w:r w:rsidR="00F35CE2" w:rsidRPr="004D6689">
        <w:rPr>
          <w:szCs w:val="24"/>
        </w:rPr>
        <w:t>created,</w:t>
      </w:r>
      <w:proofErr w:type="gramEnd"/>
      <w:r w:rsidR="00F35CE2" w:rsidRPr="004D6689">
        <w:rPr>
          <w:szCs w:val="24"/>
        </w:rPr>
        <w:t xml:space="preserve"> open to Council Member States, to share information and comments online. </w:t>
      </w:r>
      <w:proofErr w:type="gramStart"/>
      <w:r w:rsidR="00F35CE2" w:rsidRPr="004D6689">
        <w:rPr>
          <w:szCs w:val="24"/>
        </w:rPr>
        <w:t>(</w:t>
      </w:r>
      <w:r w:rsidR="004361BC" w:rsidRPr="004D6689">
        <w:rPr>
          <w:szCs w:val="24"/>
        </w:rPr>
        <w:t>Letter</w:t>
      </w:r>
      <w:r w:rsidR="00F35CE2" w:rsidRPr="004D6689">
        <w:rPr>
          <w:szCs w:val="24"/>
        </w:rPr>
        <w:t xml:space="preserve"> DM-12/1031, dated 15 October 2012) at </w:t>
      </w:r>
      <w:hyperlink r:id="rId45" w:history="1">
        <w:r w:rsidR="00F35CE2" w:rsidRPr="004D6689">
          <w:rPr>
            <w:rStyle w:val="Hyperlink"/>
            <w:szCs w:val="24"/>
          </w:rPr>
          <w:t>https://extranet.itu.int/ITU-R/space-assets</w:t>
        </w:r>
      </w:hyperlink>
      <w:r w:rsidR="00F35CE2" w:rsidRPr="004D6689">
        <w:rPr>
          <w:szCs w:val="24"/>
        </w:rPr>
        <w:t>.</w:t>
      </w:r>
      <w:proofErr w:type="gramEnd"/>
      <w:r w:rsidR="00F35CE2" w:rsidRPr="004D6689">
        <w:rPr>
          <w:szCs w:val="24"/>
        </w:rPr>
        <w:t xml:space="preserve"> </w:t>
      </w:r>
    </w:p>
    <w:p w:rsidR="00F35CE2" w:rsidRPr="00F35CE2" w:rsidRDefault="00F35CE2" w:rsidP="00B32AA9">
      <w:pPr>
        <w:tabs>
          <w:tab w:val="clear" w:pos="567"/>
          <w:tab w:val="clear" w:pos="1134"/>
          <w:tab w:val="clear" w:pos="1701"/>
          <w:tab w:val="clear" w:pos="2268"/>
          <w:tab w:val="clear" w:pos="2835"/>
        </w:tabs>
        <w:overflowPunct/>
        <w:autoSpaceDE/>
        <w:autoSpaceDN/>
        <w:adjustRightInd/>
        <w:snapToGrid w:val="0"/>
        <w:textAlignment w:val="auto"/>
        <w:rPr>
          <w:rFonts w:asciiTheme="minorHAnsi" w:hAnsiTheme="minorHAnsi" w:cs="Segoe UI"/>
          <w:sz w:val="22"/>
          <w:szCs w:val="22"/>
        </w:rPr>
      </w:pPr>
    </w:p>
    <w:p w:rsidR="00F867D2" w:rsidRPr="00371AE6" w:rsidRDefault="00AF5A4C" w:rsidP="00CD0A67">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hAnsiTheme="minorHAnsi" w:cs="Segoe UI"/>
          <w:b/>
          <w:bCs/>
          <w:szCs w:val="24"/>
          <w:lang w:val="en-US"/>
        </w:rPr>
      </w:pPr>
      <w:r>
        <w:rPr>
          <w:rFonts w:asciiTheme="minorHAnsi" w:hAnsiTheme="minorHAnsi" w:cs="Segoe UI"/>
          <w:b/>
          <w:bCs/>
          <w:szCs w:val="24"/>
          <w:lang w:val="en-US"/>
        </w:rPr>
        <w:t>8</w:t>
      </w:r>
      <w:r>
        <w:rPr>
          <w:rFonts w:asciiTheme="minorHAnsi" w:hAnsiTheme="minorHAnsi" w:cs="Segoe UI"/>
          <w:b/>
          <w:bCs/>
          <w:szCs w:val="24"/>
          <w:lang w:val="en-US"/>
        </w:rPr>
        <w:tab/>
      </w:r>
      <w:r w:rsidR="00786999" w:rsidRPr="00997D2B">
        <w:rPr>
          <w:rFonts w:asciiTheme="minorHAnsi" w:hAnsiTheme="minorHAnsi" w:cs="Segoe UI"/>
          <w:b/>
          <w:bCs/>
          <w:szCs w:val="24"/>
          <w:lang w:val="en-US"/>
        </w:rPr>
        <w:t xml:space="preserve">The Plenipotentiary Conference is invited to </w:t>
      </w:r>
      <w:r w:rsidR="00CD0A67" w:rsidRPr="00997D2B">
        <w:rPr>
          <w:rFonts w:asciiTheme="minorHAnsi" w:hAnsiTheme="minorHAnsi" w:cs="Segoe UI"/>
          <w:b/>
          <w:bCs/>
          <w:szCs w:val="24"/>
          <w:lang w:val="en-US"/>
        </w:rPr>
        <w:t xml:space="preserve">consider </w:t>
      </w:r>
      <w:r w:rsidR="00786999" w:rsidRPr="00997D2B">
        <w:rPr>
          <w:rFonts w:asciiTheme="minorHAnsi" w:hAnsiTheme="minorHAnsi" w:cs="Segoe UI"/>
          <w:b/>
          <w:bCs/>
          <w:szCs w:val="24"/>
          <w:lang w:val="en-US"/>
        </w:rPr>
        <w:t xml:space="preserve">this </w:t>
      </w:r>
      <w:r w:rsidR="00E73DCB" w:rsidRPr="00997D2B">
        <w:rPr>
          <w:rFonts w:asciiTheme="minorHAnsi" w:hAnsiTheme="minorHAnsi" w:cs="Segoe UI"/>
          <w:b/>
          <w:bCs/>
          <w:szCs w:val="24"/>
          <w:lang w:val="en-US"/>
        </w:rPr>
        <w:t>document and</w:t>
      </w:r>
      <w:r w:rsidR="00786999" w:rsidRPr="00997D2B">
        <w:rPr>
          <w:rFonts w:asciiTheme="minorHAnsi" w:hAnsiTheme="minorHAnsi" w:cs="Segoe UI"/>
          <w:b/>
          <w:bCs/>
          <w:szCs w:val="24"/>
          <w:lang w:val="en-US"/>
        </w:rPr>
        <w:t xml:space="preserve"> </w:t>
      </w:r>
      <w:r w:rsidR="00CD0A67" w:rsidRPr="00997D2B">
        <w:rPr>
          <w:rFonts w:asciiTheme="minorHAnsi" w:hAnsiTheme="minorHAnsi" w:cs="Segoe UI"/>
          <w:b/>
          <w:bCs/>
          <w:szCs w:val="24"/>
          <w:lang w:val="en-US"/>
        </w:rPr>
        <w:t xml:space="preserve">to take appropriate action. </w:t>
      </w:r>
    </w:p>
    <w:p w:rsidR="003A46A9" w:rsidRPr="00371AE6" w:rsidRDefault="003A46A9">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hAnsiTheme="minorHAnsi" w:cs="Segoe UI"/>
          <w:b/>
          <w:bCs/>
          <w:szCs w:val="24"/>
          <w:lang w:val="en-US"/>
        </w:rPr>
      </w:pPr>
      <w:r w:rsidRPr="00371AE6">
        <w:rPr>
          <w:rFonts w:asciiTheme="minorHAnsi" w:hAnsiTheme="minorHAnsi" w:cs="Segoe UI"/>
          <w:b/>
          <w:bCs/>
          <w:szCs w:val="24"/>
          <w:lang w:val="en-US"/>
        </w:rPr>
        <w:br w:type="page"/>
      </w:r>
    </w:p>
    <w:p w:rsidR="00DB4DAB" w:rsidRPr="006E4058" w:rsidRDefault="00E12FE2" w:rsidP="00DB4DAB">
      <w:pPr>
        <w:tabs>
          <w:tab w:val="clear" w:pos="567"/>
          <w:tab w:val="clear" w:pos="1134"/>
          <w:tab w:val="clear" w:pos="1701"/>
          <w:tab w:val="clear" w:pos="2268"/>
          <w:tab w:val="clear" w:pos="2835"/>
        </w:tabs>
        <w:overflowPunct/>
        <w:autoSpaceDE/>
        <w:autoSpaceDN/>
        <w:adjustRightInd/>
        <w:snapToGrid w:val="0"/>
        <w:jc w:val="center"/>
        <w:textAlignment w:val="auto"/>
        <w:rPr>
          <w:rFonts w:asciiTheme="minorHAnsi" w:hAnsiTheme="minorHAnsi" w:cs="Segoe UI"/>
          <w:sz w:val="28"/>
          <w:szCs w:val="28"/>
          <w:lang w:val="en-US"/>
        </w:rPr>
      </w:pPr>
      <w:r w:rsidRPr="006E4058">
        <w:rPr>
          <w:rFonts w:asciiTheme="minorHAnsi" w:hAnsiTheme="minorHAnsi" w:cs="Segoe UI"/>
          <w:sz w:val="28"/>
          <w:szCs w:val="28"/>
          <w:lang w:val="en-US"/>
        </w:rPr>
        <w:lastRenderedPageBreak/>
        <w:t>ANNEX</w:t>
      </w:r>
      <w:r w:rsidR="00DB4DAB" w:rsidRPr="006E4058">
        <w:rPr>
          <w:rFonts w:asciiTheme="minorHAnsi" w:hAnsiTheme="minorHAnsi" w:cs="Segoe UI"/>
          <w:sz w:val="28"/>
          <w:szCs w:val="28"/>
          <w:lang w:val="en-US"/>
        </w:rPr>
        <w:t xml:space="preserve"> 1</w:t>
      </w:r>
    </w:p>
    <w:p w:rsidR="00DB4DAB" w:rsidRPr="00B32AA9" w:rsidRDefault="00DB4DAB" w:rsidP="006E4058">
      <w:pPr>
        <w:tabs>
          <w:tab w:val="clear" w:pos="567"/>
          <w:tab w:val="clear" w:pos="1134"/>
          <w:tab w:val="clear" w:pos="1701"/>
          <w:tab w:val="clear" w:pos="2268"/>
          <w:tab w:val="clear" w:pos="2835"/>
        </w:tabs>
        <w:overflowPunct/>
        <w:autoSpaceDE/>
        <w:autoSpaceDN/>
        <w:adjustRightInd/>
        <w:snapToGrid w:val="0"/>
        <w:spacing w:before="0"/>
        <w:jc w:val="center"/>
        <w:textAlignment w:val="auto"/>
        <w:rPr>
          <w:rFonts w:asciiTheme="minorHAnsi" w:hAnsiTheme="minorHAnsi" w:cs="Segoe UI"/>
          <w:b/>
          <w:bCs/>
          <w:sz w:val="22"/>
          <w:szCs w:val="22"/>
          <w:lang w:val="en-US"/>
        </w:rPr>
      </w:pPr>
    </w:p>
    <w:p w:rsidR="00157958" w:rsidRPr="00631BA2" w:rsidRDefault="00157958" w:rsidP="006E4058">
      <w:pPr>
        <w:tabs>
          <w:tab w:val="clear" w:pos="567"/>
          <w:tab w:val="clear" w:pos="1134"/>
          <w:tab w:val="clear" w:pos="1701"/>
          <w:tab w:val="clear" w:pos="2268"/>
          <w:tab w:val="clear" w:pos="2835"/>
        </w:tabs>
        <w:overflowPunct/>
        <w:autoSpaceDE/>
        <w:autoSpaceDN/>
        <w:adjustRightInd/>
        <w:snapToGrid w:val="0"/>
        <w:spacing w:before="0"/>
        <w:jc w:val="center"/>
        <w:textAlignment w:val="auto"/>
        <w:rPr>
          <w:rFonts w:asciiTheme="minorHAnsi" w:hAnsiTheme="minorHAnsi" w:cs="Segoe UI"/>
          <w:b/>
          <w:bCs/>
          <w:sz w:val="26"/>
          <w:szCs w:val="26"/>
          <w:lang w:val="en-US"/>
        </w:rPr>
      </w:pPr>
      <w:r w:rsidRPr="00631BA2">
        <w:rPr>
          <w:rFonts w:asciiTheme="minorHAnsi" w:hAnsiTheme="minorHAnsi" w:cs="Segoe UI"/>
          <w:b/>
          <w:bCs/>
          <w:sz w:val="26"/>
          <w:szCs w:val="26"/>
          <w:lang w:val="en-US"/>
        </w:rPr>
        <w:t>Supervisory Authority of the international registration system for Space Assets</w:t>
      </w:r>
      <w:r w:rsidR="00DB4DAB" w:rsidRPr="00631BA2">
        <w:rPr>
          <w:rFonts w:asciiTheme="minorHAnsi" w:hAnsiTheme="minorHAnsi" w:cs="Segoe UI"/>
          <w:b/>
          <w:bCs/>
          <w:sz w:val="26"/>
          <w:szCs w:val="26"/>
          <w:lang w:val="en-US"/>
        </w:rPr>
        <w:br/>
      </w:r>
      <w:r w:rsidRPr="00631BA2">
        <w:rPr>
          <w:rFonts w:asciiTheme="minorHAnsi" w:hAnsiTheme="minorHAnsi" w:cs="Segoe UI"/>
          <w:b/>
          <w:bCs/>
          <w:sz w:val="26"/>
          <w:szCs w:val="26"/>
          <w:lang w:val="en-US"/>
        </w:rPr>
        <w:t xml:space="preserve"> under the Space Protocol</w:t>
      </w:r>
    </w:p>
    <w:p w:rsidR="00157958" w:rsidRPr="006E4058" w:rsidRDefault="00157958" w:rsidP="006E4058">
      <w:pPr>
        <w:tabs>
          <w:tab w:val="clear" w:pos="567"/>
          <w:tab w:val="clear" w:pos="1134"/>
          <w:tab w:val="clear" w:pos="1701"/>
          <w:tab w:val="clear" w:pos="2268"/>
          <w:tab w:val="clear" w:pos="2835"/>
          <w:tab w:val="left" w:pos="851"/>
          <w:tab w:val="left" w:pos="1418"/>
        </w:tabs>
        <w:overflowPunct/>
        <w:autoSpaceDE/>
        <w:autoSpaceDN/>
        <w:adjustRightInd/>
        <w:spacing w:before="480" w:after="120"/>
        <w:textAlignment w:val="auto"/>
        <w:rPr>
          <w:rFonts w:asciiTheme="minorHAnsi" w:hAnsiTheme="minorHAnsi" w:cstheme="minorHAnsi"/>
          <w:szCs w:val="24"/>
          <w:u w:val="single"/>
        </w:rPr>
      </w:pPr>
      <w:r w:rsidRPr="006E4058">
        <w:rPr>
          <w:rFonts w:asciiTheme="minorHAnsi" w:hAnsiTheme="minorHAnsi" w:cstheme="minorHAnsi"/>
          <w:b/>
          <w:bCs/>
          <w:szCs w:val="24"/>
        </w:rPr>
        <w:t>Background</w:t>
      </w:r>
      <w:r w:rsidRPr="006E4058">
        <w:rPr>
          <w:rFonts w:asciiTheme="minorHAnsi" w:hAnsiTheme="minorHAnsi" w:cstheme="minorHAnsi"/>
          <w:szCs w:val="24"/>
        </w:rPr>
        <w:t xml:space="preserve"> </w:t>
      </w:r>
      <w:r w:rsidR="00DB4DAB" w:rsidRPr="006E4058">
        <w:rPr>
          <w:rFonts w:asciiTheme="minorHAnsi" w:hAnsiTheme="minorHAnsi" w:cstheme="minorHAnsi"/>
          <w:szCs w:val="24"/>
        </w:rPr>
        <w:t>–</w:t>
      </w:r>
      <w:r w:rsidRPr="006E4058">
        <w:rPr>
          <w:rFonts w:asciiTheme="minorHAnsi" w:hAnsiTheme="minorHAnsi" w:cstheme="minorHAnsi"/>
          <w:szCs w:val="24"/>
        </w:rPr>
        <w:t xml:space="preserve"> The</w:t>
      </w:r>
      <w:r w:rsidR="00DB4DAB" w:rsidRPr="006E4058">
        <w:rPr>
          <w:rFonts w:asciiTheme="minorHAnsi" w:hAnsiTheme="minorHAnsi" w:cstheme="minorHAnsi"/>
          <w:szCs w:val="24"/>
        </w:rPr>
        <w:t xml:space="preserve"> </w:t>
      </w:r>
      <w:hyperlink r:id="rId46" w:history="1">
        <w:r w:rsidR="00DB4DAB" w:rsidRPr="006E4058">
          <w:rPr>
            <w:rStyle w:val="Hyperlink"/>
            <w:rFonts w:asciiTheme="minorHAnsi" w:hAnsiTheme="minorHAnsi" w:cstheme="minorHAnsi"/>
            <w:szCs w:val="24"/>
          </w:rPr>
          <w:t>Space Protocol</w:t>
        </w:r>
        <w:r w:rsidRPr="006E4058">
          <w:rPr>
            <w:rStyle w:val="Hyperlink"/>
            <w:rFonts w:asciiTheme="minorHAnsi" w:hAnsiTheme="minorHAnsi" w:cstheme="minorHAnsi"/>
            <w:szCs w:val="24"/>
            <w:u w:val="none"/>
          </w:rPr>
          <w:t xml:space="preserve"> </w:t>
        </w:r>
      </w:hyperlink>
      <w:r w:rsidRPr="006E4058">
        <w:rPr>
          <w:rFonts w:asciiTheme="minorHAnsi" w:hAnsiTheme="minorHAnsi" w:cstheme="minorHAnsi"/>
          <w:szCs w:val="24"/>
        </w:rPr>
        <w:t xml:space="preserve">is part of a family of international treaties beginning with the </w:t>
      </w:r>
      <w:hyperlink r:id="rId47" w:history="1">
        <w:r w:rsidRPr="006E4058">
          <w:rPr>
            <w:rStyle w:val="Hyperlink"/>
            <w:rFonts w:asciiTheme="minorHAnsi" w:hAnsiTheme="minorHAnsi" w:cstheme="minorHAnsi"/>
            <w:szCs w:val="24"/>
          </w:rPr>
          <w:t>Convention on International Interests in Mobile Equipment</w:t>
        </w:r>
      </w:hyperlink>
      <w:r w:rsidRPr="006E4058">
        <w:rPr>
          <w:rFonts w:asciiTheme="minorHAnsi" w:hAnsiTheme="minorHAnsi" w:cstheme="minorHAnsi"/>
          <w:szCs w:val="24"/>
        </w:rPr>
        <w:t xml:space="preserve"> (hereinafter referred to as the Convention) and </w:t>
      </w:r>
      <w:hyperlink r:id="rId48" w:history="1">
        <w:r w:rsidRPr="006E4058">
          <w:rPr>
            <w:rStyle w:val="Hyperlink"/>
            <w:rFonts w:asciiTheme="minorHAnsi" w:hAnsiTheme="minorHAnsi" w:cstheme="minorHAnsi"/>
            <w:szCs w:val="24"/>
          </w:rPr>
          <w:t>the Protocol on Matters specific to Aircraft Equipment</w:t>
        </w:r>
      </w:hyperlink>
      <w:r w:rsidRPr="006E4058">
        <w:rPr>
          <w:rFonts w:asciiTheme="minorHAnsi" w:hAnsiTheme="minorHAnsi" w:cstheme="minorHAnsi"/>
          <w:szCs w:val="24"/>
        </w:rPr>
        <w:t xml:space="preserve">, both opened to signature in Cape Town on 16 November 2001. The </w:t>
      </w:r>
      <w:r w:rsidR="00DB4DAB" w:rsidRPr="006E4058">
        <w:rPr>
          <w:rFonts w:asciiTheme="minorHAnsi" w:hAnsiTheme="minorHAnsi" w:cstheme="minorHAnsi"/>
          <w:szCs w:val="24"/>
        </w:rPr>
        <w:t xml:space="preserve">Space Protocol </w:t>
      </w:r>
      <w:r w:rsidRPr="006E4058">
        <w:rPr>
          <w:rFonts w:asciiTheme="minorHAnsi" w:hAnsiTheme="minorHAnsi" w:cstheme="minorHAnsi"/>
          <w:szCs w:val="24"/>
        </w:rPr>
        <w:t>is an instrument designed to facilitate asset-based financing for the acquisition and use of space assets, such as satellites and transponders that move beyond frontiers.</w:t>
      </w:r>
    </w:p>
    <w:p w:rsidR="00157958" w:rsidRPr="006E4058" w:rsidRDefault="00157958" w:rsidP="006E4058">
      <w:pPr>
        <w:pStyle w:val="Style3"/>
        <w:tabs>
          <w:tab w:val="left" w:pos="851"/>
          <w:tab w:val="left" w:pos="1418"/>
        </w:tabs>
        <w:spacing w:before="120" w:after="120"/>
        <w:ind w:right="74"/>
        <w:jc w:val="left"/>
        <w:rPr>
          <w:rFonts w:asciiTheme="minorHAnsi" w:eastAsia="Times New Roman" w:hAnsiTheme="minorHAnsi" w:cstheme="minorHAnsi"/>
          <w:sz w:val="24"/>
          <w:szCs w:val="24"/>
          <w:lang w:val="en-GB" w:eastAsia="en-US"/>
        </w:rPr>
      </w:pPr>
      <w:r w:rsidRPr="006E4058">
        <w:rPr>
          <w:rFonts w:asciiTheme="minorHAnsi" w:eastAsia="Times New Roman" w:hAnsiTheme="minorHAnsi" w:cstheme="minorHAnsi"/>
          <w:b/>
          <w:bCs/>
          <w:sz w:val="24"/>
          <w:szCs w:val="24"/>
          <w:lang w:val="en-GB" w:eastAsia="en-US"/>
        </w:rPr>
        <w:t>Asset-Based Financing</w:t>
      </w:r>
      <w:r w:rsidRPr="006E4058">
        <w:rPr>
          <w:rFonts w:asciiTheme="minorHAnsi" w:eastAsia="Times New Roman" w:hAnsiTheme="minorHAnsi" w:cstheme="minorHAnsi"/>
          <w:sz w:val="24"/>
          <w:szCs w:val="24"/>
          <w:lang w:val="en-GB" w:eastAsia="en-US"/>
        </w:rPr>
        <w:t xml:space="preserve"> - Under an international legal framework of asset-based financing, a creditor could enforce its rights against the equipment in the event of default by the debtor. Such financing lends itself to borrowing involving high-value space assets. Under the current legal regime, it is the law governing the location of the equipment that will normally decide questions regarding the validity, priority ranking and enforcement of security and leasing rights in such equipment. However, there </w:t>
      </w:r>
      <w:r w:rsidR="00DB4DAB" w:rsidRPr="006E4058">
        <w:rPr>
          <w:rFonts w:asciiTheme="minorHAnsi" w:eastAsia="Times New Roman" w:hAnsiTheme="minorHAnsi" w:cstheme="minorHAnsi"/>
          <w:sz w:val="24"/>
          <w:szCs w:val="24"/>
          <w:lang w:val="en-GB" w:eastAsia="en-US"/>
        </w:rPr>
        <w:t>was</w:t>
      </w:r>
      <w:r w:rsidRPr="006E4058">
        <w:rPr>
          <w:rFonts w:asciiTheme="minorHAnsi" w:eastAsia="Times New Roman" w:hAnsiTheme="minorHAnsi" w:cstheme="minorHAnsi"/>
          <w:sz w:val="24"/>
          <w:szCs w:val="24"/>
          <w:lang w:val="en-GB" w:eastAsia="en-US"/>
        </w:rPr>
        <w:t xml:space="preserve"> currently no applicable law governing the location of equipment in space. From the viewpoint of a lender, this situation ma</w:t>
      </w:r>
      <w:r w:rsidR="00DB4DAB" w:rsidRPr="006E4058">
        <w:rPr>
          <w:rFonts w:asciiTheme="minorHAnsi" w:eastAsia="Times New Roman" w:hAnsiTheme="minorHAnsi" w:cstheme="minorHAnsi"/>
          <w:sz w:val="24"/>
          <w:szCs w:val="24"/>
          <w:lang w:val="en-GB" w:eastAsia="en-US"/>
        </w:rPr>
        <w:t>de</w:t>
      </w:r>
      <w:r w:rsidRPr="006E4058">
        <w:rPr>
          <w:rFonts w:asciiTheme="minorHAnsi" w:eastAsia="Times New Roman" w:hAnsiTheme="minorHAnsi" w:cstheme="minorHAnsi"/>
          <w:sz w:val="24"/>
          <w:szCs w:val="24"/>
          <w:lang w:val="en-GB" w:eastAsia="en-US"/>
        </w:rPr>
        <w:t xml:space="preserve"> the risks of asset-based financing less acceptable.</w:t>
      </w:r>
    </w:p>
    <w:p w:rsidR="00157958" w:rsidRPr="006E4058" w:rsidRDefault="00157958" w:rsidP="006E4058">
      <w:pPr>
        <w:pStyle w:val="Style3"/>
        <w:tabs>
          <w:tab w:val="left" w:pos="851"/>
          <w:tab w:val="left" w:pos="1418"/>
        </w:tabs>
        <w:spacing w:before="120" w:after="120"/>
        <w:jc w:val="left"/>
        <w:rPr>
          <w:rFonts w:asciiTheme="minorHAnsi" w:eastAsia="Times New Roman" w:hAnsiTheme="minorHAnsi" w:cstheme="minorHAnsi"/>
          <w:sz w:val="24"/>
          <w:szCs w:val="24"/>
          <w:lang w:val="en-GB" w:eastAsia="en-US"/>
        </w:rPr>
      </w:pPr>
      <w:r w:rsidRPr="006E4058">
        <w:rPr>
          <w:rFonts w:asciiTheme="minorHAnsi" w:eastAsia="Times New Roman" w:hAnsiTheme="minorHAnsi" w:cstheme="minorHAnsi"/>
          <w:b/>
          <w:bCs/>
          <w:sz w:val="24"/>
          <w:szCs w:val="24"/>
          <w:lang w:val="en-GB" w:eastAsia="en-US"/>
        </w:rPr>
        <w:t>The International Registry</w:t>
      </w:r>
      <w:r w:rsidRPr="006E4058">
        <w:rPr>
          <w:rFonts w:asciiTheme="minorHAnsi" w:eastAsia="Times New Roman" w:hAnsiTheme="minorHAnsi" w:cstheme="minorHAnsi"/>
          <w:sz w:val="24"/>
          <w:szCs w:val="24"/>
          <w:lang w:val="en-GB" w:eastAsia="en-US"/>
        </w:rPr>
        <w:t xml:space="preserve"> - The Space Protocol</w:t>
      </w:r>
      <w:r w:rsidR="00DB4DAB" w:rsidRPr="006E4058">
        <w:rPr>
          <w:rFonts w:asciiTheme="minorHAnsi" w:eastAsia="Times New Roman" w:hAnsiTheme="minorHAnsi" w:cstheme="minorHAnsi"/>
          <w:sz w:val="24"/>
          <w:szCs w:val="24"/>
          <w:lang w:val="en-GB" w:eastAsia="en-US"/>
        </w:rPr>
        <w:t xml:space="preserve"> has</w:t>
      </w:r>
      <w:r w:rsidRPr="006E4058">
        <w:rPr>
          <w:rFonts w:asciiTheme="minorHAnsi" w:eastAsia="Times New Roman" w:hAnsiTheme="minorHAnsi" w:cstheme="minorHAnsi"/>
          <w:sz w:val="24"/>
          <w:szCs w:val="24"/>
          <w:lang w:val="en-GB" w:eastAsia="en-US"/>
        </w:rPr>
        <w:t xml:space="preserve"> establish</w:t>
      </w:r>
      <w:r w:rsidR="00DB4DAB" w:rsidRPr="006E4058">
        <w:rPr>
          <w:rFonts w:asciiTheme="minorHAnsi" w:eastAsia="Times New Roman" w:hAnsiTheme="minorHAnsi" w:cstheme="minorHAnsi"/>
          <w:sz w:val="24"/>
          <w:szCs w:val="24"/>
          <w:lang w:val="en-GB" w:eastAsia="en-US"/>
        </w:rPr>
        <w:t>ed</w:t>
      </w:r>
      <w:r w:rsidRPr="006E4058">
        <w:rPr>
          <w:rFonts w:asciiTheme="minorHAnsi" w:eastAsia="Times New Roman" w:hAnsiTheme="minorHAnsi" w:cstheme="minorHAnsi"/>
          <w:sz w:val="24"/>
          <w:szCs w:val="24"/>
          <w:lang w:val="en-GB" w:eastAsia="en-US"/>
        </w:rPr>
        <w:t xml:space="preserve"> the legal foundation for the creation, priority ranking and enforcement of security and leasing rights in space-based equipment. One of the key features of the</w:t>
      </w:r>
      <w:r w:rsidR="00DB4DAB" w:rsidRPr="006E4058">
        <w:rPr>
          <w:rFonts w:asciiTheme="minorHAnsi" w:eastAsia="Times New Roman" w:hAnsiTheme="minorHAnsi" w:cstheme="minorHAnsi"/>
          <w:sz w:val="24"/>
          <w:szCs w:val="24"/>
          <w:lang w:val="en-GB" w:eastAsia="en-US"/>
        </w:rPr>
        <w:t xml:space="preserve"> Space protocol is</w:t>
      </w:r>
      <w:r w:rsidRPr="006E4058">
        <w:rPr>
          <w:rFonts w:asciiTheme="minorHAnsi" w:eastAsia="Times New Roman" w:hAnsiTheme="minorHAnsi" w:cstheme="minorHAnsi"/>
          <w:sz w:val="24"/>
          <w:szCs w:val="24"/>
          <w:lang w:val="en-GB" w:eastAsia="en-US"/>
        </w:rPr>
        <w:t xml:space="preserve"> the creation of an international registry for space assets (hereinafter referred to as the Registry) in which those rights may be registered. The Registry would determine priority among rights on the basis of the first-come, first-served principle to give lenders a degree of legal certainty relating to asset-based financing. The Registry would be operated and administered by the Registrar on a twenty-four hour /seven days a week basis.</w:t>
      </w:r>
    </w:p>
    <w:p w:rsidR="00157958" w:rsidRPr="006E4058" w:rsidRDefault="00157958" w:rsidP="006E4058">
      <w:pPr>
        <w:pStyle w:val="Style3"/>
        <w:tabs>
          <w:tab w:val="left" w:pos="851"/>
          <w:tab w:val="left" w:pos="1418"/>
        </w:tabs>
        <w:spacing w:before="120" w:after="120"/>
        <w:jc w:val="left"/>
        <w:rPr>
          <w:rFonts w:asciiTheme="minorHAnsi" w:eastAsia="Times New Roman" w:hAnsiTheme="minorHAnsi" w:cstheme="minorHAnsi"/>
          <w:sz w:val="24"/>
          <w:szCs w:val="24"/>
          <w:lang w:val="en-GB" w:eastAsia="en-US"/>
        </w:rPr>
      </w:pPr>
      <w:r w:rsidRPr="006E4058">
        <w:rPr>
          <w:rFonts w:asciiTheme="minorHAnsi" w:eastAsia="Times New Roman" w:hAnsiTheme="minorHAnsi" w:cstheme="minorHAnsi"/>
          <w:b/>
          <w:bCs/>
          <w:sz w:val="24"/>
          <w:szCs w:val="24"/>
          <w:lang w:val="en-GB" w:eastAsia="en-US"/>
        </w:rPr>
        <w:t>Space Assets</w:t>
      </w:r>
      <w:r w:rsidRPr="006E4058">
        <w:rPr>
          <w:rFonts w:asciiTheme="minorHAnsi" w:eastAsia="Times New Roman" w:hAnsiTheme="minorHAnsi" w:cstheme="minorHAnsi"/>
          <w:sz w:val="24"/>
          <w:szCs w:val="24"/>
          <w:lang w:val="en-GB" w:eastAsia="en-US"/>
        </w:rPr>
        <w:t xml:space="preserve"> </w:t>
      </w:r>
      <w:r w:rsidRPr="006E4058">
        <w:rPr>
          <w:rFonts w:asciiTheme="minorHAnsi" w:eastAsia="Times New Roman" w:hAnsiTheme="minorHAnsi"/>
          <w:sz w:val="24"/>
          <w:szCs w:val="24"/>
          <w:lang w:val="en-GB" w:eastAsia="en-US"/>
        </w:rPr>
        <w:t xml:space="preserve">- </w:t>
      </w:r>
      <w:r w:rsidRPr="006E4058">
        <w:rPr>
          <w:rFonts w:asciiTheme="minorHAnsi" w:eastAsia="Times New Roman" w:hAnsiTheme="minorHAnsi" w:cstheme="minorHAnsi"/>
          <w:sz w:val="24"/>
          <w:szCs w:val="24"/>
          <w:lang w:val="en-GB" w:eastAsia="en-US"/>
        </w:rPr>
        <w:t>“Space asset”, as preliminary defined in the</w:t>
      </w:r>
      <w:r w:rsidR="00DB4DAB" w:rsidRPr="006E4058">
        <w:rPr>
          <w:rFonts w:asciiTheme="minorHAnsi" w:eastAsia="Times New Roman" w:hAnsiTheme="minorHAnsi" w:cstheme="minorHAnsi"/>
          <w:sz w:val="24"/>
          <w:szCs w:val="24"/>
          <w:lang w:val="en-GB" w:eastAsia="en-US"/>
        </w:rPr>
        <w:t xml:space="preserve"> Space protocol</w:t>
      </w:r>
      <w:r w:rsidRPr="006E4058">
        <w:rPr>
          <w:rFonts w:asciiTheme="minorHAnsi" w:eastAsia="Times New Roman" w:hAnsiTheme="minorHAnsi" w:cstheme="minorHAnsi"/>
          <w:sz w:val="24"/>
          <w:szCs w:val="24"/>
          <w:lang w:val="en-GB" w:eastAsia="en-US"/>
        </w:rPr>
        <w:t xml:space="preserve"> means any man-made uniquely identifiable asset in space or designed to be launched into space, and comprising</w:t>
      </w:r>
    </w:p>
    <w:p w:rsidR="00157958" w:rsidRPr="006E4058" w:rsidRDefault="00157958" w:rsidP="006E4058">
      <w:pPr>
        <w:pStyle w:val="Style3"/>
        <w:tabs>
          <w:tab w:val="left" w:pos="851"/>
          <w:tab w:val="left" w:pos="1418"/>
        </w:tabs>
        <w:spacing w:before="120" w:after="120"/>
        <w:ind w:firstLine="720"/>
        <w:jc w:val="left"/>
        <w:rPr>
          <w:rFonts w:asciiTheme="minorHAnsi" w:eastAsia="Times New Roman" w:hAnsiTheme="minorHAnsi" w:cstheme="minorHAnsi"/>
          <w:sz w:val="24"/>
          <w:szCs w:val="24"/>
          <w:lang w:val="en-GB" w:eastAsia="en-US"/>
        </w:rPr>
      </w:pPr>
      <w:r w:rsidRPr="006E4058">
        <w:rPr>
          <w:rFonts w:asciiTheme="minorHAnsi" w:eastAsia="Times New Roman" w:hAnsiTheme="minorHAnsi" w:cstheme="minorHAnsi"/>
          <w:sz w:val="24"/>
          <w:szCs w:val="24"/>
          <w:lang w:val="en-GB" w:eastAsia="en-US"/>
        </w:rPr>
        <w:t>(</w:t>
      </w:r>
      <w:proofErr w:type="spellStart"/>
      <w:r w:rsidRPr="006E4058">
        <w:rPr>
          <w:rFonts w:asciiTheme="minorHAnsi" w:eastAsia="Times New Roman" w:hAnsiTheme="minorHAnsi" w:cstheme="minorHAnsi"/>
          <w:sz w:val="24"/>
          <w:szCs w:val="24"/>
          <w:lang w:val="en-GB" w:eastAsia="en-US"/>
        </w:rPr>
        <w:t>i</w:t>
      </w:r>
      <w:proofErr w:type="spellEnd"/>
      <w:r w:rsidRPr="006E4058">
        <w:rPr>
          <w:rFonts w:asciiTheme="minorHAnsi" w:eastAsia="Times New Roman" w:hAnsiTheme="minorHAnsi" w:cstheme="minorHAnsi"/>
          <w:sz w:val="24"/>
          <w:szCs w:val="24"/>
          <w:lang w:val="en-GB" w:eastAsia="en-US"/>
        </w:rPr>
        <w:t xml:space="preserve">) </w:t>
      </w:r>
      <w:r w:rsidRPr="006E4058">
        <w:rPr>
          <w:rFonts w:asciiTheme="minorHAnsi" w:eastAsia="Times New Roman" w:hAnsiTheme="minorHAnsi" w:cstheme="minorHAnsi"/>
          <w:sz w:val="24"/>
          <w:szCs w:val="24"/>
          <w:lang w:val="en-GB" w:eastAsia="en-US"/>
        </w:rPr>
        <w:tab/>
        <w:t>a spacecraft, such as a satellite, space station, space module, space capsule, space vehicle or reusable launch vehicle [in respect of which a registration may be effected in accordance with the regulations], whether or not including a space asset falling within (ii) or (iii) below;</w:t>
      </w:r>
    </w:p>
    <w:p w:rsidR="00157958" w:rsidRPr="006E4058" w:rsidRDefault="00157958" w:rsidP="006E4058">
      <w:pPr>
        <w:pStyle w:val="Style3"/>
        <w:tabs>
          <w:tab w:val="left" w:pos="851"/>
          <w:tab w:val="left" w:pos="1418"/>
        </w:tabs>
        <w:spacing w:before="120" w:after="120"/>
        <w:ind w:firstLine="720"/>
        <w:jc w:val="left"/>
        <w:rPr>
          <w:rFonts w:asciiTheme="minorHAnsi" w:eastAsia="Times New Roman" w:hAnsiTheme="minorHAnsi" w:cstheme="minorHAnsi"/>
          <w:sz w:val="24"/>
          <w:szCs w:val="24"/>
          <w:lang w:val="en-GB" w:eastAsia="en-US"/>
        </w:rPr>
      </w:pPr>
      <w:r w:rsidRPr="006E4058">
        <w:rPr>
          <w:rFonts w:asciiTheme="minorHAnsi" w:eastAsia="Times New Roman" w:hAnsiTheme="minorHAnsi" w:cstheme="minorHAnsi"/>
          <w:sz w:val="24"/>
          <w:szCs w:val="24"/>
          <w:lang w:val="en-GB" w:eastAsia="en-US"/>
        </w:rPr>
        <w:t>(ii)</w:t>
      </w:r>
      <w:r w:rsidRPr="006E4058">
        <w:rPr>
          <w:rFonts w:asciiTheme="minorHAnsi" w:eastAsia="Times New Roman" w:hAnsiTheme="minorHAnsi" w:cstheme="minorHAnsi"/>
          <w:sz w:val="24"/>
          <w:szCs w:val="24"/>
          <w:lang w:val="en-GB" w:eastAsia="en-US"/>
        </w:rPr>
        <w:tab/>
      </w:r>
      <w:proofErr w:type="gramStart"/>
      <w:r w:rsidRPr="006E4058">
        <w:rPr>
          <w:rFonts w:asciiTheme="minorHAnsi" w:eastAsia="Times New Roman" w:hAnsiTheme="minorHAnsi" w:cstheme="minorHAnsi"/>
          <w:sz w:val="24"/>
          <w:szCs w:val="24"/>
          <w:lang w:val="en-GB" w:eastAsia="en-US"/>
        </w:rPr>
        <w:t>a</w:t>
      </w:r>
      <w:proofErr w:type="gramEnd"/>
      <w:r w:rsidRPr="006E4058">
        <w:rPr>
          <w:rFonts w:asciiTheme="minorHAnsi" w:eastAsia="Times New Roman" w:hAnsiTheme="minorHAnsi" w:cstheme="minorHAnsi"/>
          <w:sz w:val="24"/>
          <w:szCs w:val="24"/>
          <w:lang w:val="en-GB" w:eastAsia="en-US"/>
        </w:rPr>
        <w:t xml:space="preserve"> payload (whether telecommunications, navigation, observation, scientific or otherwise) in respect of which a separate registration may be effected in accordance with the regulations; or</w:t>
      </w:r>
    </w:p>
    <w:p w:rsidR="00157958" w:rsidRPr="006E4058" w:rsidRDefault="00157958" w:rsidP="006E4058">
      <w:pPr>
        <w:pStyle w:val="Style3"/>
        <w:tabs>
          <w:tab w:val="left" w:pos="851"/>
          <w:tab w:val="left" w:pos="1418"/>
        </w:tabs>
        <w:spacing w:before="120" w:after="120"/>
        <w:ind w:firstLine="720"/>
        <w:jc w:val="left"/>
        <w:rPr>
          <w:rFonts w:asciiTheme="minorHAnsi" w:eastAsia="Times New Roman" w:hAnsiTheme="minorHAnsi" w:cstheme="minorHAnsi"/>
          <w:sz w:val="24"/>
          <w:szCs w:val="24"/>
          <w:lang w:val="en-GB" w:eastAsia="en-US"/>
        </w:rPr>
      </w:pPr>
      <w:r w:rsidRPr="006E4058">
        <w:rPr>
          <w:rFonts w:asciiTheme="minorHAnsi" w:eastAsia="Times New Roman" w:hAnsiTheme="minorHAnsi" w:cstheme="minorHAnsi"/>
          <w:sz w:val="24"/>
          <w:szCs w:val="24"/>
          <w:lang w:val="en-GB" w:eastAsia="en-US"/>
        </w:rPr>
        <w:t>(iii)</w:t>
      </w:r>
      <w:r w:rsidRPr="006E4058">
        <w:rPr>
          <w:rFonts w:asciiTheme="minorHAnsi" w:eastAsia="Times New Roman" w:hAnsiTheme="minorHAnsi" w:cstheme="minorHAnsi"/>
          <w:sz w:val="24"/>
          <w:szCs w:val="24"/>
          <w:lang w:val="en-GB" w:eastAsia="en-US"/>
        </w:rPr>
        <w:tab/>
        <w:t xml:space="preserve">a part of a spacecraft or payload such as a transponder, in respect of which a separate registration may be effected in accordance with the regulations, together with all installed, incorporated or attached accessories, parts and equipment and all data, manuals and records relating thereto.  </w:t>
      </w:r>
    </w:p>
    <w:p w:rsidR="00157958" w:rsidRPr="006E4058" w:rsidRDefault="00157958" w:rsidP="006E4058">
      <w:pPr>
        <w:pStyle w:val="Style1"/>
        <w:keepNext/>
        <w:keepLines/>
        <w:tabs>
          <w:tab w:val="left" w:pos="851"/>
          <w:tab w:val="left" w:pos="1418"/>
        </w:tabs>
        <w:adjustRightInd/>
        <w:spacing w:before="120" w:after="120"/>
        <w:rPr>
          <w:rFonts w:asciiTheme="minorHAnsi" w:eastAsia="Times New Roman" w:hAnsiTheme="minorHAnsi" w:cstheme="minorHAnsi"/>
          <w:sz w:val="24"/>
          <w:szCs w:val="24"/>
          <w:lang w:val="en-GB" w:eastAsia="en-US"/>
        </w:rPr>
      </w:pPr>
      <w:r w:rsidRPr="006E4058">
        <w:rPr>
          <w:rFonts w:asciiTheme="minorHAnsi" w:eastAsia="Times New Roman" w:hAnsiTheme="minorHAnsi" w:cstheme="minorHAnsi"/>
          <w:b/>
          <w:bCs/>
          <w:sz w:val="24"/>
          <w:szCs w:val="24"/>
          <w:lang w:val="en-GB" w:eastAsia="en-US"/>
        </w:rPr>
        <w:lastRenderedPageBreak/>
        <w:t>Role and Functions of the Supervisory Authority</w:t>
      </w:r>
      <w:r w:rsidRPr="006E4058">
        <w:rPr>
          <w:rFonts w:asciiTheme="minorHAnsi" w:eastAsia="Times New Roman" w:hAnsiTheme="minorHAnsi" w:cstheme="minorHAnsi"/>
          <w:sz w:val="24"/>
          <w:szCs w:val="24"/>
          <w:lang w:val="en-GB" w:eastAsia="en-US"/>
        </w:rPr>
        <w:t xml:space="preserve"> - The Supervisory Authority would oversee the operation of the Registry by the Registrar. In particular, it would appoint and, where necessary, dismiss the Registrar, monitor its activities, </w:t>
      </w:r>
      <w:r w:rsidR="001A0381" w:rsidRPr="006E4058">
        <w:rPr>
          <w:rFonts w:asciiTheme="minorHAnsi" w:eastAsia="Times New Roman" w:hAnsiTheme="minorHAnsi" w:cstheme="minorHAnsi"/>
          <w:sz w:val="24"/>
          <w:szCs w:val="24"/>
          <w:lang w:val="en-GB" w:eastAsia="en-US"/>
        </w:rPr>
        <w:t>establish regulations</w:t>
      </w:r>
      <w:r w:rsidRPr="006E4058">
        <w:rPr>
          <w:rFonts w:asciiTheme="minorHAnsi" w:eastAsia="Times New Roman" w:hAnsiTheme="minorHAnsi" w:cstheme="minorHAnsi"/>
          <w:sz w:val="24"/>
          <w:szCs w:val="24"/>
          <w:lang w:val="en-GB" w:eastAsia="en-US"/>
        </w:rPr>
        <w:t xml:space="preserve"> in relation </w:t>
      </w:r>
      <w:r w:rsidR="001A0381" w:rsidRPr="006E4058">
        <w:rPr>
          <w:rFonts w:asciiTheme="minorHAnsi" w:eastAsia="Times New Roman" w:hAnsiTheme="minorHAnsi" w:cstheme="minorHAnsi"/>
          <w:sz w:val="24"/>
          <w:szCs w:val="24"/>
          <w:lang w:val="en-GB" w:eastAsia="en-US"/>
        </w:rPr>
        <w:t>to the</w:t>
      </w:r>
      <w:r w:rsidRPr="006E4058">
        <w:rPr>
          <w:rFonts w:asciiTheme="minorHAnsi" w:eastAsia="Times New Roman" w:hAnsiTheme="minorHAnsi" w:cstheme="minorHAnsi"/>
          <w:sz w:val="24"/>
          <w:szCs w:val="24"/>
          <w:lang w:val="en-GB" w:eastAsia="en-US"/>
        </w:rPr>
        <w:t xml:space="preserve"> functioning of the Registry after approval </w:t>
      </w:r>
      <w:r w:rsidR="00371AE6" w:rsidRPr="006E4058">
        <w:rPr>
          <w:rFonts w:asciiTheme="minorHAnsi" w:eastAsia="Times New Roman" w:hAnsiTheme="minorHAnsi" w:cstheme="minorHAnsi"/>
          <w:sz w:val="24"/>
          <w:szCs w:val="24"/>
          <w:lang w:val="en-GB" w:eastAsia="en-US"/>
        </w:rPr>
        <w:t>by Contracting</w:t>
      </w:r>
      <w:r w:rsidRPr="006E4058">
        <w:rPr>
          <w:rFonts w:asciiTheme="minorHAnsi" w:eastAsia="Times New Roman" w:hAnsiTheme="minorHAnsi" w:cstheme="minorHAnsi"/>
          <w:sz w:val="24"/>
          <w:szCs w:val="24"/>
          <w:lang w:val="en-GB" w:eastAsia="en-US"/>
        </w:rPr>
        <w:t xml:space="preserve"> States and could be assisted by a commission of experts nominated by Signatory and Contracting States. It would determine and periodically review the structure of fees for the Registry’s services. </w:t>
      </w:r>
    </w:p>
    <w:p w:rsidR="00157958" w:rsidRPr="006E4058" w:rsidRDefault="00157958" w:rsidP="006E4058">
      <w:pPr>
        <w:pStyle w:val="Style1"/>
        <w:keepNext/>
        <w:keepLines/>
        <w:tabs>
          <w:tab w:val="left" w:pos="426"/>
          <w:tab w:val="left" w:pos="851"/>
          <w:tab w:val="left" w:pos="1418"/>
        </w:tabs>
        <w:adjustRightInd/>
        <w:spacing w:before="120" w:after="120"/>
        <w:rPr>
          <w:rFonts w:asciiTheme="minorHAnsi" w:eastAsia="Times New Roman" w:hAnsiTheme="minorHAnsi" w:cstheme="minorHAnsi"/>
          <w:sz w:val="24"/>
          <w:szCs w:val="24"/>
          <w:lang w:val="en-GB" w:eastAsia="en-US"/>
        </w:rPr>
      </w:pPr>
      <w:r w:rsidRPr="006E4058">
        <w:rPr>
          <w:rFonts w:asciiTheme="minorHAnsi" w:eastAsia="Times New Roman" w:hAnsiTheme="minorHAnsi" w:cstheme="minorHAnsi"/>
          <w:b/>
          <w:bCs/>
          <w:sz w:val="24"/>
          <w:szCs w:val="24"/>
          <w:lang w:val="en-GB" w:eastAsia="en-US"/>
        </w:rPr>
        <w:t>Procedures for Selecting the Supervisory Authority</w:t>
      </w:r>
      <w:r w:rsidRPr="006E4058">
        <w:rPr>
          <w:rFonts w:asciiTheme="minorHAnsi" w:eastAsia="Times New Roman" w:hAnsiTheme="minorHAnsi" w:cstheme="minorHAnsi"/>
          <w:sz w:val="24"/>
          <w:szCs w:val="24"/>
          <w:lang w:val="en-GB" w:eastAsia="en-US"/>
        </w:rPr>
        <w:t xml:space="preserve"> - </w:t>
      </w:r>
      <w:r w:rsidR="001A0381" w:rsidRPr="006E4058">
        <w:rPr>
          <w:rFonts w:asciiTheme="minorHAnsi" w:eastAsia="Times New Roman" w:hAnsiTheme="minorHAnsi" w:cstheme="minorHAnsi"/>
          <w:sz w:val="24"/>
          <w:szCs w:val="24"/>
          <w:lang w:val="en-GB" w:eastAsia="en-US"/>
        </w:rPr>
        <w:t>The States represented at the diplomatic Conference  (Berlin, February/March 2012) adopted Resolution 1 relating to the setting up of the Preparatory Commission for the Establishment of the International Registry for Space Assets and Resolution 2 relating to the Establishment of the Supervisory Authority, taking account of the interest expressed at the Conference by ITU observers for ITU to possibly become the Supervisory Authority, subject to consideration of the matter by the governing bodies of ITU. Pending the entry into force of the Space Protocol, the Preparatory Commission will act as the Provisional Supervisory Authority, and in the event that the governing bodies of ITU deciding that ITU should not become the Supervisory Authority, the Commission will appoint another international organization or entity for such a role.</w:t>
      </w:r>
    </w:p>
    <w:p w:rsidR="00E36B40" w:rsidRPr="006E4058" w:rsidRDefault="00157958" w:rsidP="006E4058">
      <w:pPr>
        <w:pStyle w:val="ListParagraph"/>
        <w:spacing w:after="120"/>
        <w:ind w:left="0"/>
        <w:rPr>
          <w:rFonts w:asciiTheme="minorHAnsi" w:hAnsiTheme="minorHAnsi" w:cstheme="minorHAnsi"/>
          <w:szCs w:val="24"/>
        </w:rPr>
      </w:pPr>
      <w:r w:rsidRPr="006E4058">
        <w:rPr>
          <w:rFonts w:asciiTheme="minorHAnsi" w:hAnsiTheme="minorHAnsi" w:cstheme="minorHAnsi"/>
          <w:b/>
          <w:bCs/>
          <w:szCs w:val="24"/>
        </w:rPr>
        <w:t xml:space="preserve">Financing </w:t>
      </w:r>
      <w:r w:rsidRPr="006E4058">
        <w:rPr>
          <w:rFonts w:asciiTheme="minorHAnsi" w:hAnsiTheme="minorHAnsi" w:cstheme="minorHAnsi"/>
          <w:szCs w:val="24"/>
        </w:rPr>
        <w:t>- The Supervisory Authority will be financed out of the fees to be paid</w:t>
      </w:r>
      <w:r w:rsidRPr="006E4058">
        <w:rPr>
          <w:rFonts w:asciiTheme="minorHAnsi" w:hAnsiTheme="minorHAnsi"/>
          <w:szCs w:val="24"/>
        </w:rPr>
        <w:t xml:space="preserve"> </w:t>
      </w:r>
      <w:r w:rsidRPr="006E4058">
        <w:rPr>
          <w:rFonts w:asciiTheme="minorHAnsi" w:hAnsiTheme="minorHAnsi" w:cstheme="minorHAnsi"/>
          <w:szCs w:val="24"/>
        </w:rPr>
        <w:t>to the international registry. The future International Registry for space assets is not intended to be a for-profit operation. Article XXXI (4) of the</w:t>
      </w:r>
      <w:r w:rsidR="00454813" w:rsidRPr="006E4058">
        <w:rPr>
          <w:rFonts w:asciiTheme="minorHAnsi" w:hAnsiTheme="minorHAnsi" w:cstheme="minorHAnsi"/>
          <w:szCs w:val="24"/>
        </w:rPr>
        <w:t xml:space="preserve"> Space Protocol</w:t>
      </w:r>
      <w:r w:rsidRPr="006E4058">
        <w:rPr>
          <w:rFonts w:asciiTheme="minorHAnsi" w:hAnsiTheme="minorHAnsi" w:cstheme="minorHAnsi"/>
          <w:szCs w:val="24"/>
        </w:rPr>
        <w:t xml:space="preserve"> provides that “the fees referred to in Article 17(2</w:t>
      </w:r>
      <w:proofErr w:type="gramStart"/>
      <w:r w:rsidRPr="006E4058">
        <w:rPr>
          <w:rFonts w:asciiTheme="minorHAnsi" w:hAnsiTheme="minorHAnsi" w:cstheme="minorHAnsi"/>
          <w:szCs w:val="24"/>
        </w:rPr>
        <w:t>)(</w:t>
      </w:r>
      <w:proofErr w:type="gramEnd"/>
      <w:r w:rsidRPr="006E4058">
        <w:rPr>
          <w:rFonts w:asciiTheme="minorHAnsi" w:hAnsiTheme="minorHAnsi" w:cstheme="minorHAnsi"/>
          <w:szCs w:val="24"/>
        </w:rPr>
        <w:t>h) of the Convention shall be determined so as to recover the reasonable costs of establishing, operating and regulating the International Registry and the reasonable costs of the Supervisory Authority associated with the performance of the functions, exercise of the powers and discharge of the duties contemplated by Article 17(2) of the Convention”. The Supervisory Authority, in setting the fees to be charged, will be entitled to charge for reasonable setting-up costs  and the reasonable costs of establishing, operating and regulating the future International Registry and of supervising the Registrar and performing the other functions of the Supervisory Authority</w:t>
      </w:r>
      <w:r w:rsidR="00CD0A67" w:rsidRPr="006E4058">
        <w:rPr>
          <w:rFonts w:asciiTheme="minorHAnsi" w:hAnsiTheme="minorHAnsi" w:cstheme="minorHAnsi"/>
          <w:szCs w:val="24"/>
        </w:rPr>
        <w:t>.</w:t>
      </w:r>
    </w:p>
    <w:p w:rsidR="00F732AB" w:rsidRPr="00B32AA9" w:rsidRDefault="00F732AB">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hAnsiTheme="minorHAnsi" w:cstheme="minorHAnsi"/>
          <w:sz w:val="22"/>
          <w:szCs w:val="22"/>
        </w:rPr>
      </w:pPr>
      <w:r w:rsidRPr="00B32AA9">
        <w:rPr>
          <w:rFonts w:asciiTheme="minorHAnsi" w:hAnsiTheme="minorHAnsi" w:cstheme="minorHAnsi"/>
          <w:sz w:val="22"/>
          <w:szCs w:val="22"/>
        </w:rPr>
        <w:br w:type="page"/>
      </w:r>
    </w:p>
    <w:p w:rsidR="00F732AB" w:rsidRPr="006E4058" w:rsidRDefault="00E12FE2" w:rsidP="00F732AB">
      <w:pPr>
        <w:spacing w:line="240" w:lineRule="exact"/>
        <w:jc w:val="center"/>
        <w:rPr>
          <w:rFonts w:asciiTheme="minorHAnsi" w:hAnsiTheme="minorHAnsi" w:cs="Verdana"/>
          <w:iCs/>
          <w:caps/>
          <w:sz w:val="28"/>
          <w:szCs w:val="28"/>
        </w:rPr>
      </w:pPr>
      <w:r w:rsidRPr="006E4058">
        <w:rPr>
          <w:rFonts w:asciiTheme="minorHAnsi" w:hAnsiTheme="minorHAnsi" w:cs="Verdana"/>
          <w:iCs/>
          <w:caps/>
          <w:sz w:val="28"/>
          <w:szCs w:val="28"/>
        </w:rPr>
        <w:lastRenderedPageBreak/>
        <w:t>Annex 2</w:t>
      </w:r>
    </w:p>
    <w:p w:rsidR="00F732AB" w:rsidRPr="006E4058" w:rsidRDefault="00F732AB" w:rsidP="006E4058">
      <w:pPr>
        <w:spacing w:before="0" w:line="240" w:lineRule="exact"/>
        <w:jc w:val="center"/>
        <w:rPr>
          <w:rFonts w:asciiTheme="minorHAnsi" w:hAnsiTheme="minorHAnsi" w:cs="Verdana"/>
          <w:b/>
          <w:iCs/>
          <w:caps/>
          <w:sz w:val="22"/>
          <w:szCs w:val="22"/>
        </w:rPr>
      </w:pPr>
    </w:p>
    <w:p w:rsidR="00F732AB" w:rsidRPr="006E4058" w:rsidRDefault="00F732AB" w:rsidP="00F732AB">
      <w:pPr>
        <w:spacing w:line="240" w:lineRule="exact"/>
        <w:jc w:val="center"/>
        <w:rPr>
          <w:rFonts w:asciiTheme="minorHAnsi" w:hAnsiTheme="minorHAnsi" w:cs="Verdana"/>
          <w:b/>
          <w:iCs/>
          <w:sz w:val="26"/>
          <w:szCs w:val="26"/>
        </w:rPr>
      </w:pPr>
      <w:r w:rsidRPr="006E4058">
        <w:rPr>
          <w:rFonts w:asciiTheme="minorHAnsi" w:hAnsiTheme="minorHAnsi" w:cs="Verdana"/>
          <w:b/>
          <w:iCs/>
          <w:caps/>
          <w:sz w:val="26"/>
          <w:szCs w:val="26"/>
        </w:rPr>
        <w:t xml:space="preserve">cLARIFICATION NOTE ON the role of the supervisory authority </w:t>
      </w:r>
      <w:r w:rsidRPr="006E4058">
        <w:rPr>
          <w:rFonts w:asciiTheme="minorHAnsi" w:hAnsiTheme="minorHAnsi" w:cs="Verdana"/>
          <w:b/>
          <w:iCs/>
          <w:sz w:val="26"/>
          <w:szCs w:val="26"/>
        </w:rPr>
        <w:t>OF THE INTERNATIONAL REGISTRATION SYSTEM FOR SPACE ASSETS UNDER THE SPACE ASSETS PROTOCOL TO THE CAPE TOWN CONVENTION</w:t>
      </w:r>
    </w:p>
    <w:p w:rsidR="00F732AB" w:rsidRPr="006E4058" w:rsidRDefault="00F732AB" w:rsidP="006E4058">
      <w:pPr>
        <w:spacing w:before="240" w:line="240" w:lineRule="exact"/>
        <w:jc w:val="center"/>
        <w:rPr>
          <w:rFonts w:asciiTheme="minorHAnsi" w:hAnsiTheme="minorHAnsi" w:cs="Verdana"/>
          <w:b/>
          <w:iCs/>
          <w:szCs w:val="24"/>
        </w:rPr>
      </w:pPr>
      <w:r w:rsidRPr="006E4058">
        <w:rPr>
          <w:rFonts w:asciiTheme="minorHAnsi" w:hAnsiTheme="minorHAnsi" w:cs="Verdana"/>
          <w:b/>
          <w:iCs/>
          <w:szCs w:val="24"/>
        </w:rPr>
        <w:t>(</w:t>
      </w:r>
      <w:proofErr w:type="gramStart"/>
      <w:r w:rsidRPr="006E4058">
        <w:rPr>
          <w:rFonts w:asciiTheme="minorHAnsi" w:hAnsiTheme="minorHAnsi" w:cs="Verdana"/>
          <w:b/>
          <w:iCs/>
          <w:szCs w:val="24"/>
        </w:rPr>
        <w:t>prepared</w:t>
      </w:r>
      <w:proofErr w:type="gramEnd"/>
      <w:r w:rsidRPr="006E4058">
        <w:rPr>
          <w:rFonts w:asciiTheme="minorHAnsi" w:hAnsiTheme="minorHAnsi" w:cs="Verdana"/>
          <w:b/>
          <w:iCs/>
          <w:szCs w:val="24"/>
        </w:rPr>
        <w:t xml:space="preserve"> by the </w:t>
      </w:r>
      <w:proofErr w:type="spellStart"/>
      <w:r w:rsidRPr="006E4058">
        <w:rPr>
          <w:rFonts w:asciiTheme="minorHAnsi" w:hAnsiTheme="minorHAnsi" w:cs="Verdana"/>
          <w:b/>
          <w:iCs/>
          <w:szCs w:val="24"/>
        </w:rPr>
        <w:t>U</w:t>
      </w:r>
      <w:r w:rsidRPr="006E4058">
        <w:rPr>
          <w:rFonts w:asciiTheme="minorHAnsi" w:hAnsiTheme="minorHAnsi" w:cs="Verdana"/>
          <w:b/>
          <w:iCs/>
          <w:smallCaps/>
          <w:szCs w:val="24"/>
        </w:rPr>
        <w:t>nidroit</w:t>
      </w:r>
      <w:proofErr w:type="spellEnd"/>
      <w:r w:rsidRPr="006E4058">
        <w:rPr>
          <w:rFonts w:asciiTheme="minorHAnsi" w:hAnsiTheme="minorHAnsi" w:cs="Verdana"/>
          <w:b/>
          <w:iCs/>
          <w:szCs w:val="24"/>
        </w:rPr>
        <w:t xml:space="preserve"> Secretariat - 10 February 2014)</w:t>
      </w:r>
    </w:p>
    <w:p w:rsidR="00F732AB" w:rsidRPr="006E4058" w:rsidRDefault="00F732AB" w:rsidP="006E4058">
      <w:pPr>
        <w:spacing w:before="480" w:after="120"/>
        <w:rPr>
          <w:rFonts w:asciiTheme="minorHAnsi" w:hAnsiTheme="minorHAnsi" w:cs="Verdana"/>
          <w:szCs w:val="24"/>
        </w:rPr>
      </w:pPr>
      <w:r w:rsidRPr="006E4058">
        <w:rPr>
          <w:rFonts w:asciiTheme="minorHAnsi" w:hAnsiTheme="minorHAnsi" w:cs="Verdana"/>
          <w:szCs w:val="24"/>
        </w:rPr>
        <w:t xml:space="preserve">This brief Note is intended to provide information on the implications of ITU acting in the capacity of Supervisory Authority of the international registration system for space </w:t>
      </w:r>
      <w:proofErr w:type="gramStart"/>
      <w:r w:rsidRPr="006E4058">
        <w:rPr>
          <w:rFonts w:asciiTheme="minorHAnsi" w:hAnsiTheme="minorHAnsi" w:cs="Verdana"/>
          <w:szCs w:val="24"/>
        </w:rPr>
        <w:t>assets which is</w:t>
      </w:r>
      <w:proofErr w:type="gramEnd"/>
      <w:r w:rsidRPr="006E4058">
        <w:rPr>
          <w:rFonts w:asciiTheme="minorHAnsi" w:hAnsiTheme="minorHAnsi" w:cs="Verdana"/>
          <w:szCs w:val="24"/>
        </w:rPr>
        <w:t xml:space="preserve"> to be established under the Space Protocol to the 2001 Cape Town Convention on International Interests in Mobile Equipment. </w:t>
      </w:r>
    </w:p>
    <w:p w:rsidR="00F732AB" w:rsidRPr="006E4058" w:rsidRDefault="00F732AB" w:rsidP="006E4058">
      <w:pPr>
        <w:spacing w:after="120"/>
        <w:rPr>
          <w:rFonts w:asciiTheme="minorHAnsi" w:hAnsiTheme="minorHAnsi" w:cs="Verdana"/>
          <w:szCs w:val="24"/>
        </w:rPr>
      </w:pPr>
      <w:r w:rsidRPr="006E4058">
        <w:rPr>
          <w:rFonts w:asciiTheme="minorHAnsi" w:hAnsiTheme="minorHAnsi" w:cs="Verdana"/>
          <w:szCs w:val="24"/>
        </w:rPr>
        <w:t xml:space="preserve">It draws on the rules of the Convention and the Space Protocol but will especially point to the practical and successful experience of the International Civil Aviation Organization (ICAO) that has been acting as Supervisory Authority for the International Registry for aircraft objects under the Aircraft Protocol to the Convention since the Registry entered into operation in March 2006. </w:t>
      </w:r>
    </w:p>
    <w:p w:rsidR="00F732AB" w:rsidRPr="006E4058" w:rsidRDefault="00F732AB" w:rsidP="006E4058">
      <w:pPr>
        <w:spacing w:after="120"/>
        <w:rPr>
          <w:rFonts w:asciiTheme="minorHAnsi" w:hAnsiTheme="minorHAnsi" w:cs="Verdana"/>
          <w:b/>
          <w:szCs w:val="24"/>
        </w:rPr>
      </w:pPr>
      <w:r w:rsidRPr="006E4058">
        <w:rPr>
          <w:rFonts w:asciiTheme="minorHAnsi" w:hAnsiTheme="minorHAnsi" w:cs="Verdana"/>
          <w:b/>
          <w:szCs w:val="24"/>
        </w:rPr>
        <w:t>The role of the Supervisory Authority</w:t>
      </w:r>
    </w:p>
    <w:p w:rsidR="00F732AB" w:rsidRPr="006E4058" w:rsidRDefault="00F732AB" w:rsidP="006E4058">
      <w:pPr>
        <w:spacing w:after="120"/>
        <w:rPr>
          <w:rFonts w:asciiTheme="minorHAnsi" w:hAnsiTheme="minorHAnsi" w:cs="Verdana"/>
          <w:szCs w:val="24"/>
        </w:rPr>
      </w:pPr>
      <w:r w:rsidRPr="006E4058">
        <w:rPr>
          <w:rFonts w:asciiTheme="minorHAnsi" w:hAnsiTheme="minorHAnsi" w:cs="Verdana"/>
          <w:szCs w:val="24"/>
        </w:rPr>
        <w:t>1.</w:t>
      </w:r>
      <w:r w:rsidRPr="006E4058">
        <w:rPr>
          <w:rFonts w:asciiTheme="minorHAnsi" w:hAnsiTheme="minorHAnsi" w:cs="Verdana"/>
          <w:szCs w:val="24"/>
        </w:rPr>
        <w:tab/>
        <w:t>The role of the Supervisory Authority is to provide for the establishment of the International Registry, to appoint and supervise the Registrar, to make or approve regulations for the operation of the International Registry, to set fees and the amount of insurance or a financial guarantee to be procured by the Registrar against its liability under the Convention (see paragraph 8 below) and to perform other activities set out in Article 17 of the Cape Town Convention. These include periodic reports to Contracting States on the discharge of its obligations under the Convention and Space Protocol.</w:t>
      </w:r>
    </w:p>
    <w:p w:rsidR="00F732AB" w:rsidRPr="006E4058" w:rsidRDefault="00F732AB" w:rsidP="006E4058">
      <w:pPr>
        <w:spacing w:after="120"/>
        <w:rPr>
          <w:rFonts w:asciiTheme="minorHAnsi" w:hAnsiTheme="minorHAnsi" w:cs="Verdana"/>
          <w:szCs w:val="24"/>
        </w:rPr>
      </w:pPr>
      <w:r w:rsidRPr="006E4058">
        <w:rPr>
          <w:rFonts w:asciiTheme="minorHAnsi" w:hAnsiTheme="minorHAnsi" w:cs="Verdana"/>
          <w:szCs w:val="24"/>
        </w:rPr>
        <w:t>2.</w:t>
      </w:r>
      <w:r w:rsidRPr="006E4058">
        <w:rPr>
          <w:rFonts w:asciiTheme="minorHAnsi" w:hAnsiTheme="minorHAnsi" w:cs="Verdana"/>
          <w:szCs w:val="24"/>
        </w:rPr>
        <w:tab/>
        <w:t>The Supervisory Authority is concerned solely with the International Registry. It has no responsibility for interpretation of the Protocol, its implementation in matters not pertaining to the Registry or any other functions or activities not related to the Registry. Interpretation is ultimately a matter for national courts, which for this purpose can have regard to the Official Commentary on the Convention and Space Protocol. Similarly, the Supervisory Authority is not responsible for adjudicating on a particular registration, nor does it give instructions to the Register to change any data relating to a particular registration.</w:t>
      </w:r>
    </w:p>
    <w:p w:rsidR="00F732AB" w:rsidRPr="006E4058" w:rsidRDefault="00F732AB" w:rsidP="006E4058">
      <w:pPr>
        <w:spacing w:after="120"/>
        <w:rPr>
          <w:rFonts w:asciiTheme="minorHAnsi" w:hAnsiTheme="minorHAnsi" w:cs="Verdana"/>
          <w:szCs w:val="24"/>
        </w:rPr>
      </w:pPr>
      <w:r w:rsidRPr="006E4058">
        <w:rPr>
          <w:rFonts w:asciiTheme="minorHAnsi" w:hAnsiTheme="minorHAnsi" w:cs="Verdana"/>
          <w:b/>
          <w:szCs w:val="24"/>
        </w:rPr>
        <w:t>The Preparatory Commission</w:t>
      </w:r>
      <w:r w:rsidRPr="006E4058">
        <w:rPr>
          <w:rFonts w:asciiTheme="minorHAnsi" w:hAnsiTheme="minorHAnsi" w:cs="Verdana"/>
          <w:szCs w:val="24"/>
        </w:rPr>
        <w:t xml:space="preserve"> </w:t>
      </w:r>
    </w:p>
    <w:p w:rsidR="00F732AB" w:rsidRPr="006E4058" w:rsidRDefault="00F732AB" w:rsidP="006E4058">
      <w:pPr>
        <w:spacing w:after="120"/>
        <w:rPr>
          <w:rFonts w:asciiTheme="minorHAnsi" w:hAnsiTheme="minorHAnsi" w:cs="Verdana"/>
          <w:szCs w:val="24"/>
        </w:rPr>
      </w:pPr>
      <w:r w:rsidRPr="006E4058">
        <w:rPr>
          <w:rFonts w:asciiTheme="minorHAnsi" w:hAnsiTheme="minorHAnsi" w:cs="Verdana"/>
          <w:szCs w:val="24"/>
        </w:rPr>
        <w:t>3.</w:t>
      </w:r>
      <w:r w:rsidRPr="006E4058">
        <w:rPr>
          <w:rFonts w:asciiTheme="minorHAnsi" w:hAnsiTheme="minorHAnsi" w:cs="Verdana"/>
          <w:szCs w:val="24"/>
        </w:rPr>
        <w:tab/>
        <w:t xml:space="preserve">If ITU decides to assume the office of Supervisory Authority it will be in the position of taking over responsibility for an International Registry that will already be fully operational. All the preliminary work in setting up the International Registry, including negotiation of the contract to establish and maintain the Registry, the preparation of the first regulations and the appointment of the first Registrar, will have been done in advance by the Preparatory Commission established pursuant to Resolution 1 of the diplomatic Conference held in Berlin in February 2012. The Preparatory Commission, acting as provisional Supervisory Authority, would hand over responsibility to ITU only at the point when the International Registry is fully functional and the regulations governing its operations have been established. It would, of course, be open to ITU to amend, add to or replace the regulations as it sees fit. </w:t>
      </w:r>
    </w:p>
    <w:p w:rsidR="00F732AB" w:rsidRPr="006E4058" w:rsidRDefault="00F732AB" w:rsidP="006E4058">
      <w:pPr>
        <w:spacing w:after="120"/>
        <w:rPr>
          <w:rFonts w:asciiTheme="minorHAnsi" w:hAnsiTheme="minorHAnsi" w:cs="Verdana"/>
          <w:szCs w:val="24"/>
        </w:rPr>
      </w:pPr>
      <w:r w:rsidRPr="006E4058">
        <w:rPr>
          <w:rFonts w:asciiTheme="minorHAnsi" w:hAnsiTheme="minorHAnsi" w:cs="Verdana"/>
          <w:szCs w:val="24"/>
        </w:rPr>
        <w:lastRenderedPageBreak/>
        <w:t>4.</w:t>
      </w:r>
      <w:r w:rsidRPr="006E4058">
        <w:rPr>
          <w:rFonts w:asciiTheme="minorHAnsi" w:hAnsiTheme="minorHAnsi" w:cs="Verdana"/>
          <w:szCs w:val="24"/>
        </w:rPr>
        <w:tab/>
        <w:t>The Preparatory Commission is well advanced in the preparation of the regulations, which are based on the latest (6th) edition of the regulations for the aircraft Registry. The Preparatory Commission has held two meetings and the draft regulations are very nearly complete. Indeed, there remains only the question of identification criteria for payloads and parts of a spacecraft or payload.</w:t>
      </w:r>
    </w:p>
    <w:p w:rsidR="00F732AB" w:rsidRPr="006E4058" w:rsidRDefault="00F732AB" w:rsidP="006E4058">
      <w:pPr>
        <w:spacing w:after="120"/>
        <w:rPr>
          <w:rFonts w:asciiTheme="minorHAnsi" w:hAnsiTheme="minorHAnsi" w:cs="Verdana"/>
          <w:szCs w:val="24"/>
        </w:rPr>
      </w:pPr>
      <w:r w:rsidRPr="006E4058">
        <w:rPr>
          <w:rFonts w:asciiTheme="minorHAnsi" w:hAnsiTheme="minorHAnsi" w:cs="Verdana"/>
          <w:b/>
          <w:szCs w:val="24"/>
        </w:rPr>
        <w:t>The Committee of experts and the International Registry Advisory Board</w:t>
      </w:r>
    </w:p>
    <w:p w:rsidR="00F732AB" w:rsidRPr="006E4058" w:rsidRDefault="00F732AB" w:rsidP="006E4058">
      <w:pPr>
        <w:spacing w:after="120"/>
        <w:rPr>
          <w:rFonts w:asciiTheme="minorHAnsi" w:hAnsiTheme="minorHAnsi" w:cs="Verdana"/>
          <w:szCs w:val="24"/>
        </w:rPr>
      </w:pPr>
      <w:r w:rsidRPr="006E4058">
        <w:rPr>
          <w:rFonts w:asciiTheme="minorHAnsi" w:hAnsiTheme="minorHAnsi" w:cs="Verdana"/>
          <w:szCs w:val="24"/>
        </w:rPr>
        <w:t>5.</w:t>
      </w:r>
      <w:r w:rsidRPr="006E4058">
        <w:rPr>
          <w:rFonts w:asciiTheme="minorHAnsi" w:hAnsiTheme="minorHAnsi" w:cs="Verdana"/>
          <w:szCs w:val="24"/>
        </w:rPr>
        <w:tab/>
        <w:t xml:space="preserve">Resolution 3 invites the Supervisory Authority to establish a Commission of Experts, consisting of not more than 20 members nominated by the Signatory and Contracting States to the Protocol, having the necessary qualifications and experience, to assist the Supervisory Authority in the discharge of its functions. A similar committee, CESAIR, a body of governmental civil aviation officials, was set up to </w:t>
      </w:r>
      <w:proofErr w:type="gramStart"/>
      <w:r w:rsidRPr="006E4058">
        <w:rPr>
          <w:rFonts w:asciiTheme="minorHAnsi" w:hAnsiTheme="minorHAnsi" w:cs="Verdana"/>
          <w:szCs w:val="24"/>
        </w:rPr>
        <w:t>advise</w:t>
      </w:r>
      <w:proofErr w:type="gramEnd"/>
      <w:r w:rsidRPr="006E4058">
        <w:rPr>
          <w:rFonts w:asciiTheme="minorHAnsi" w:hAnsiTheme="minorHAnsi" w:cs="Verdana"/>
          <w:szCs w:val="24"/>
        </w:rPr>
        <w:t xml:space="preserve"> ICAO as Supervisory Authority for aircraft objects. The International Registry for aircraft objects set up an International Registry Advisory Board (IRAB), which is a group of industry special legal and technical experts, to advise the Registrar on the needs of users of the registration system. IRAB makes recommendations to CESAIR which considers them and, with such modifications as it considers necessary, recommends them to the Council of ICAO.</w:t>
      </w:r>
    </w:p>
    <w:p w:rsidR="00F732AB" w:rsidRPr="006E4058" w:rsidRDefault="00F732AB" w:rsidP="006E4058">
      <w:pPr>
        <w:spacing w:after="120"/>
        <w:rPr>
          <w:rFonts w:asciiTheme="minorHAnsi" w:hAnsiTheme="minorHAnsi" w:cs="Verdana"/>
          <w:b/>
          <w:szCs w:val="24"/>
        </w:rPr>
      </w:pPr>
      <w:r w:rsidRPr="006E4058">
        <w:rPr>
          <w:rFonts w:asciiTheme="minorHAnsi" w:hAnsiTheme="minorHAnsi" w:cs="Verdana"/>
          <w:b/>
          <w:szCs w:val="24"/>
        </w:rPr>
        <w:t>The work involved for ITU</w:t>
      </w:r>
    </w:p>
    <w:p w:rsidR="00F732AB" w:rsidRPr="006E4058" w:rsidRDefault="00F732AB" w:rsidP="006E4058">
      <w:pPr>
        <w:spacing w:after="120"/>
        <w:rPr>
          <w:rFonts w:asciiTheme="minorHAnsi" w:hAnsiTheme="minorHAnsi" w:cs="Verdana"/>
          <w:szCs w:val="24"/>
        </w:rPr>
      </w:pPr>
      <w:r w:rsidRPr="006E4058">
        <w:rPr>
          <w:rFonts w:asciiTheme="minorHAnsi" w:hAnsiTheme="minorHAnsi" w:cs="Verdana"/>
          <w:szCs w:val="24"/>
        </w:rPr>
        <w:t>6.</w:t>
      </w:r>
      <w:r w:rsidRPr="006E4058">
        <w:rPr>
          <w:rFonts w:asciiTheme="minorHAnsi" w:hAnsiTheme="minorHAnsi" w:cs="Verdana"/>
          <w:szCs w:val="24"/>
        </w:rPr>
        <w:tab/>
        <w:t>It will be apparent from the preceding paragraphs that while ITU as Supervisory Authority would be responsible for the superintendence of the International Registry for space assets the burden on it would be relatively light. The registry would be fully operational when ITU takes over from the Preparatory Commission, the necessary industry expertise will come from the equivalent of IRAB if the International Registry establishes this and the committee of government experts will evaluate any proposals and submit them to ITU with such amendments as it considers appropriate. Over the past eight years of Registry operations, this arrangement has worked extremely well for ICAO, which has not found it necessary to recruit a single extra member of its staff to fulfil its functions.</w:t>
      </w:r>
    </w:p>
    <w:p w:rsidR="00F732AB" w:rsidRPr="006E4058" w:rsidRDefault="00F732AB" w:rsidP="006E4058">
      <w:pPr>
        <w:spacing w:after="120"/>
        <w:rPr>
          <w:rFonts w:asciiTheme="minorHAnsi" w:hAnsiTheme="minorHAnsi" w:cs="Verdana"/>
          <w:b/>
          <w:szCs w:val="24"/>
        </w:rPr>
      </w:pPr>
      <w:r w:rsidRPr="006E4058">
        <w:rPr>
          <w:rFonts w:asciiTheme="minorHAnsi" w:hAnsiTheme="minorHAnsi" w:cs="Verdana"/>
          <w:b/>
          <w:szCs w:val="24"/>
        </w:rPr>
        <w:t>Would ITU incur any potential liability?</w:t>
      </w:r>
    </w:p>
    <w:p w:rsidR="00F732AB" w:rsidRPr="006E4058" w:rsidRDefault="00F732AB" w:rsidP="006E4058">
      <w:pPr>
        <w:spacing w:after="120"/>
        <w:rPr>
          <w:rFonts w:asciiTheme="minorHAnsi" w:hAnsiTheme="minorHAnsi" w:cs="Verdana"/>
          <w:szCs w:val="24"/>
        </w:rPr>
      </w:pPr>
      <w:r w:rsidRPr="006E4058">
        <w:rPr>
          <w:rFonts w:asciiTheme="minorHAnsi" w:hAnsiTheme="minorHAnsi" w:cs="Verdana"/>
          <w:szCs w:val="24"/>
        </w:rPr>
        <w:t>7.</w:t>
      </w:r>
      <w:r w:rsidRPr="006E4058">
        <w:rPr>
          <w:rFonts w:asciiTheme="minorHAnsi" w:hAnsiTheme="minorHAnsi" w:cs="Verdana"/>
          <w:szCs w:val="24"/>
        </w:rPr>
        <w:tab/>
        <w:t xml:space="preserve">The short answer is no. Under Article 27(2) the Supervisory Authority and its officers and employees enjoy such immunity from legal or administrative process as is specified in the Protocol. Article XXVIII(2) of the Space Protocol provides that the Supervisory Authority and its officers and employees shall enjoy such immunity from legal and administrative process as is provided under the rules applicable to them as an international entity or otherwise. As a United Nations specialized agency ITU already enjoys, on the plane of international law, the privileges and immunities set out in the standard clauses in the 1947 United Nations Convention on the Privileges and Immunities of the Specialized Agencies and Annex IX to that Convention with respect to countries that are parties to the Convention (there are currently 123 parties). ITU itself will be familiar with Sections 4-6 of Article III of the Convention, which provide that the specialized agencies, together with their property, assets, premises and archives are inviolable and that they enjoy immunity from every form of legal process except so far as in any particular case they have waived their immunity. </w:t>
      </w:r>
    </w:p>
    <w:p w:rsidR="00F732AB" w:rsidRPr="006E4058" w:rsidRDefault="00F732AB" w:rsidP="006E4058">
      <w:pPr>
        <w:keepNext/>
        <w:keepLines/>
        <w:spacing w:after="120"/>
        <w:rPr>
          <w:rFonts w:asciiTheme="minorHAnsi" w:hAnsiTheme="minorHAnsi" w:cs="Verdana"/>
          <w:szCs w:val="24"/>
        </w:rPr>
      </w:pPr>
      <w:r w:rsidRPr="006E4058">
        <w:rPr>
          <w:rFonts w:asciiTheme="minorHAnsi" w:hAnsiTheme="minorHAnsi" w:cs="Verdana"/>
          <w:b/>
          <w:szCs w:val="24"/>
        </w:rPr>
        <w:lastRenderedPageBreak/>
        <w:t>Liability of the Registrar</w:t>
      </w:r>
    </w:p>
    <w:p w:rsidR="00F732AB" w:rsidRPr="006E4058" w:rsidRDefault="00F732AB" w:rsidP="006E4058">
      <w:pPr>
        <w:keepNext/>
        <w:keepLines/>
        <w:spacing w:after="120"/>
        <w:rPr>
          <w:rFonts w:asciiTheme="minorHAnsi" w:hAnsiTheme="minorHAnsi" w:cs="Verdana"/>
          <w:szCs w:val="24"/>
        </w:rPr>
      </w:pPr>
      <w:r w:rsidRPr="006E4058">
        <w:rPr>
          <w:rFonts w:asciiTheme="minorHAnsi" w:hAnsiTheme="minorHAnsi" w:cs="Verdana"/>
          <w:szCs w:val="24"/>
        </w:rPr>
        <w:t>8.</w:t>
      </w:r>
      <w:r w:rsidRPr="006E4058">
        <w:rPr>
          <w:rFonts w:asciiTheme="minorHAnsi" w:hAnsiTheme="minorHAnsi" w:cs="Verdana"/>
          <w:szCs w:val="24"/>
        </w:rPr>
        <w:tab/>
        <w:t xml:space="preserve">By contrast, under Article 28 of the Cape Town Convention the Registrar is strictly liable for compensatory damages for loss suffered by a person directly resulting from an act or omission of the Registrar and its officers and employees or from a malfunction of the international registry system and is required to cover this liability by insurance or a financial guarantee in an amount determined by the Supervisory Authority. In the case of the International Registry for aircraft objects the current level of cover is USD 130 million. In its eight years of operation, in which it has </w:t>
      </w:r>
      <w:proofErr w:type="gramStart"/>
      <w:r w:rsidRPr="006E4058">
        <w:rPr>
          <w:rFonts w:asciiTheme="minorHAnsi" w:hAnsiTheme="minorHAnsi" w:cs="Verdana"/>
          <w:szCs w:val="24"/>
        </w:rPr>
        <w:t>effected</w:t>
      </w:r>
      <w:proofErr w:type="gramEnd"/>
      <w:r w:rsidRPr="006E4058">
        <w:rPr>
          <w:rFonts w:asciiTheme="minorHAnsi" w:hAnsiTheme="minorHAnsi" w:cs="Verdana"/>
          <w:szCs w:val="24"/>
        </w:rPr>
        <w:t xml:space="preserve"> some 420,000 registrations, the Registry has not received a single claim. </w:t>
      </w:r>
    </w:p>
    <w:p w:rsidR="00F732AB" w:rsidRPr="006E4058" w:rsidRDefault="00F732AB" w:rsidP="006E4058">
      <w:pPr>
        <w:spacing w:after="120"/>
        <w:rPr>
          <w:rFonts w:asciiTheme="minorHAnsi" w:hAnsiTheme="minorHAnsi" w:cs="Verdana"/>
          <w:b/>
          <w:szCs w:val="24"/>
        </w:rPr>
      </w:pPr>
      <w:r w:rsidRPr="006E4058">
        <w:rPr>
          <w:rFonts w:asciiTheme="minorHAnsi" w:hAnsiTheme="minorHAnsi" w:cs="Verdana"/>
          <w:b/>
          <w:szCs w:val="24"/>
        </w:rPr>
        <w:t>Immunity of Registry assets</w:t>
      </w:r>
    </w:p>
    <w:p w:rsidR="00F732AB" w:rsidRPr="006E4058" w:rsidRDefault="00F732AB" w:rsidP="006E4058">
      <w:pPr>
        <w:spacing w:after="120"/>
        <w:rPr>
          <w:rFonts w:asciiTheme="minorHAnsi" w:hAnsiTheme="minorHAnsi" w:cs="Verdana"/>
          <w:szCs w:val="24"/>
        </w:rPr>
      </w:pPr>
      <w:r w:rsidRPr="006E4058">
        <w:rPr>
          <w:rFonts w:asciiTheme="minorHAnsi" w:hAnsiTheme="minorHAnsi" w:cs="Verdana"/>
          <w:szCs w:val="24"/>
        </w:rPr>
        <w:t>9.</w:t>
      </w:r>
      <w:r w:rsidRPr="006E4058">
        <w:rPr>
          <w:rFonts w:asciiTheme="minorHAnsi" w:hAnsiTheme="minorHAnsi" w:cs="Verdana"/>
          <w:szCs w:val="24"/>
        </w:rPr>
        <w:tab/>
        <w:t>The assets, documents, data bases and archives of the International Registry are inviolable and immune from seizure or other legal or administrative process but may be accessed by any claimant pursuing</w:t>
      </w:r>
      <w:r w:rsidR="006E4058">
        <w:rPr>
          <w:rFonts w:asciiTheme="minorHAnsi" w:hAnsiTheme="minorHAnsi" w:cs="Verdana"/>
          <w:szCs w:val="24"/>
        </w:rPr>
        <w:t xml:space="preserve"> a claim against the Registrar.</w:t>
      </w:r>
    </w:p>
    <w:p w:rsidR="00F732AB" w:rsidRPr="006E4058" w:rsidRDefault="00F732AB" w:rsidP="006E4058">
      <w:pPr>
        <w:spacing w:after="120"/>
        <w:rPr>
          <w:rFonts w:asciiTheme="minorHAnsi" w:hAnsiTheme="minorHAnsi" w:cs="Verdana"/>
          <w:b/>
          <w:szCs w:val="24"/>
        </w:rPr>
      </w:pPr>
      <w:r w:rsidRPr="006E4058">
        <w:rPr>
          <w:rFonts w:asciiTheme="minorHAnsi" w:hAnsiTheme="minorHAnsi" w:cs="Verdana"/>
          <w:b/>
          <w:szCs w:val="24"/>
        </w:rPr>
        <w:t>Amending/revision process for the Space Protocol</w:t>
      </w:r>
    </w:p>
    <w:p w:rsidR="00F732AB" w:rsidRPr="006E4058" w:rsidRDefault="00F732AB" w:rsidP="006E4058">
      <w:pPr>
        <w:spacing w:after="120"/>
        <w:rPr>
          <w:rFonts w:asciiTheme="minorHAnsi" w:hAnsiTheme="minorHAnsi" w:cs="Verdana"/>
          <w:szCs w:val="24"/>
        </w:rPr>
      </w:pPr>
      <w:r w:rsidRPr="006E4058">
        <w:rPr>
          <w:rFonts w:asciiTheme="minorHAnsi" w:hAnsiTheme="minorHAnsi" w:cs="Verdana"/>
          <w:szCs w:val="24"/>
        </w:rPr>
        <w:t>10.</w:t>
      </w:r>
      <w:r w:rsidRPr="006E4058">
        <w:rPr>
          <w:rFonts w:asciiTheme="minorHAnsi" w:hAnsiTheme="minorHAnsi" w:cs="Verdana"/>
          <w:szCs w:val="24"/>
        </w:rPr>
        <w:tab/>
        <w:t>Article XLVII of the Protocol provides that at the request of not less than 25 per cent of the States Parties, Review Conferences of the States Parties shall be convened by UNIDROIT as Depositary in consultation with the Supervisory Authority. UNIDROIT would thus be responsible for the organization of any Review Conference but would, of course, act in close collaboration with ITU if it assumed the position of Supervisory Authority.</w:t>
      </w:r>
    </w:p>
    <w:p w:rsidR="00F732AB" w:rsidRPr="006E4058" w:rsidRDefault="00F732AB" w:rsidP="006E4058">
      <w:pPr>
        <w:spacing w:after="120"/>
        <w:rPr>
          <w:rFonts w:asciiTheme="minorHAnsi" w:hAnsiTheme="minorHAnsi" w:cs="Verdana"/>
          <w:szCs w:val="24"/>
        </w:rPr>
      </w:pPr>
      <w:r w:rsidRPr="006E4058">
        <w:rPr>
          <w:rFonts w:asciiTheme="minorHAnsi" w:hAnsiTheme="minorHAnsi" w:cs="Verdana"/>
          <w:b/>
          <w:szCs w:val="24"/>
        </w:rPr>
        <w:t>Fees and costs</w:t>
      </w:r>
    </w:p>
    <w:p w:rsidR="00F732AB" w:rsidRPr="006E4058" w:rsidRDefault="00F732AB" w:rsidP="006E4058">
      <w:pPr>
        <w:spacing w:after="120"/>
        <w:rPr>
          <w:rFonts w:asciiTheme="minorHAnsi" w:hAnsiTheme="minorHAnsi" w:cs="Verdana"/>
          <w:szCs w:val="24"/>
        </w:rPr>
      </w:pPr>
      <w:r w:rsidRPr="006E4058">
        <w:rPr>
          <w:rFonts w:asciiTheme="minorHAnsi" w:hAnsiTheme="minorHAnsi" w:cs="Verdana"/>
          <w:szCs w:val="24"/>
        </w:rPr>
        <w:t>11.</w:t>
      </w:r>
      <w:r w:rsidRPr="006E4058">
        <w:rPr>
          <w:rFonts w:asciiTheme="minorHAnsi" w:hAnsiTheme="minorHAnsi" w:cs="Verdana"/>
          <w:szCs w:val="24"/>
        </w:rPr>
        <w:tab/>
        <w:t xml:space="preserve">Under Article XXXII of the Protocol the fees for the services and facilities of the International Registry are to be determined so as to recover the reasonable costs of establishing, operating and regulating the International Registry and the reasonable costs of the Supervisory Authority associated with its functions under Article 17(2) of the Convention. This corresponds to Article </w:t>
      </w:r>
      <w:proofErr w:type="gramStart"/>
      <w:r w:rsidRPr="006E4058">
        <w:rPr>
          <w:rFonts w:asciiTheme="minorHAnsi" w:hAnsiTheme="minorHAnsi" w:cs="Verdana"/>
          <w:szCs w:val="24"/>
        </w:rPr>
        <w:t>XX(</w:t>
      </w:r>
      <w:proofErr w:type="gramEnd"/>
      <w:r w:rsidRPr="006E4058">
        <w:rPr>
          <w:rFonts w:asciiTheme="minorHAnsi" w:hAnsiTheme="minorHAnsi" w:cs="Verdana"/>
          <w:szCs w:val="24"/>
        </w:rPr>
        <w:t>3) of the Aircraft Protocol. Thus ITU, like ICAO, would be able to recover from Registry fees its reasonable costs in performing its functions, and of course the fees would also be set to cover the costs of the Registrar and Registry staff but not to provide a profit.</w:t>
      </w:r>
    </w:p>
    <w:p w:rsidR="00F732AB" w:rsidRPr="00B32AA9" w:rsidRDefault="00F732AB" w:rsidP="006E4058">
      <w:pPr>
        <w:spacing w:before="840"/>
        <w:jc w:val="center"/>
        <w:rPr>
          <w:rFonts w:asciiTheme="minorHAnsi" w:eastAsia="SimSun" w:hAnsiTheme="minorHAnsi" w:cs="Verdana"/>
          <w:b/>
          <w:bCs/>
          <w:sz w:val="22"/>
          <w:szCs w:val="22"/>
          <w:lang w:eastAsia="zh-CN"/>
        </w:rPr>
      </w:pPr>
      <w:r w:rsidRPr="006E4058">
        <w:rPr>
          <w:rFonts w:asciiTheme="minorHAnsi" w:hAnsiTheme="minorHAnsi" w:cs="Verdana"/>
          <w:szCs w:val="24"/>
        </w:rPr>
        <w:t>________________</w:t>
      </w:r>
    </w:p>
    <w:sectPr w:rsidR="00F732AB" w:rsidRPr="00B32AA9" w:rsidSect="004D6689">
      <w:headerReference w:type="default" r:id="rId49"/>
      <w:footerReference w:type="first" r:id="rId50"/>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F3A" w:rsidRDefault="00CD4F3A" w:rsidP="00780FAF">
      <w:pPr>
        <w:spacing w:before="0"/>
      </w:pPr>
      <w:r>
        <w:separator/>
      </w:r>
    </w:p>
  </w:endnote>
  <w:endnote w:type="continuationSeparator" w:id="0">
    <w:p w:rsidR="00CD4F3A" w:rsidRDefault="00CD4F3A" w:rsidP="00780FA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EFF" w:rsidRPr="00ED0EFF" w:rsidRDefault="00ED0EFF" w:rsidP="00ED0EFF">
    <w:pPr>
      <w:tabs>
        <w:tab w:val="clear" w:pos="567"/>
        <w:tab w:val="clear" w:pos="1134"/>
        <w:tab w:val="clear" w:pos="1701"/>
        <w:tab w:val="clear" w:pos="2268"/>
        <w:tab w:val="clear" w:pos="2835"/>
      </w:tabs>
      <w:overflowPunct/>
      <w:autoSpaceDE/>
      <w:autoSpaceDN/>
      <w:adjustRightInd/>
      <w:spacing w:before="0"/>
      <w:jc w:val="center"/>
      <w:textAlignment w:val="auto"/>
      <w:rPr>
        <w:rFonts w:ascii="Symbol" w:eastAsia="SimSun" w:hAnsi="Symbol"/>
        <w:sz w:val="22"/>
        <w:lang w:eastAsia="zh-CN"/>
      </w:rPr>
    </w:pPr>
    <w:r w:rsidRPr="00ED0EFF">
      <w:rPr>
        <w:rFonts w:ascii="Symbol" w:eastAsia="SimSun" w:hAnsi="Symbol"/>
        <w:sz w:val="22"/>
        <w:lang w:eastAsia="zh-CN"/>
      </w:rPr>
      <w:t></w:t>
    </w:r>
    <w:r w:rsidRPr="00ED0EFF">
      <w:rPr>
        <w:rFonts w:eastAsia="SimSun"/>
        <w:sz w:val="20"/>
        <w:lang w:eastAsia="zh-CN"/>
      </w:rPr>
      <w:t xml:space="preserve"> </w:t>
    </w:r>
    <w:r w:rsidRPr="00ED0EFF">
      <w:rPr>
        <w:rFonts w:eastAsia="SimSun"/>
        <w:color w:val="0000FF"/>
        <w:sz w:val="22"/>
        <w:szCs w:val="22"/>
        <w:u w:val="single"/>
        <w:lang w:eastAsia="zh-CN"/>
      </w:rPr>
      <w:t>www.itu.int/plenipotentiary/</w:t>
    </w:r>
    <w:r w:rsidRPr="00ED0EFF">
      <w:rPr>
        <w:rFonts w:eastAsia="SimSun"/>
        <w:sz w:val="20"/>
        <w:lang w:eastAsia="zh-CN"/>
      </w:rPr>
      <w:t xml:space="preserve"> </w:t>
    </w:r>
    <w:r w:rsidRPr="00ED0EFF">
      <w:rPr>
        <w:rFonts w:ascii="Symbol" w:eastAsia="SimSun" w:hAnsi="Symbol"/>
        <w:sz w:val="22"/>
        <w:lang w:eastAsia="zh-CN"/>
      </w:rPr>
      <w:t></w:t>
    </w:r>
  </w:p>
  <w:p w:rsidR="0064669B" w:rsidRPr="0064669B" w:rsidRDefault="0064669B" w:rsidP="0064669B">
    <w:pPr>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F3A" w:rsidRDefault="00CD4F3A" w:rsidP="00780FAF">
      <w:pPr>
        <w:spacing w:before="0"/>
      </w:pPr>
      <w:r>
        <w:separator/>
      </w:r>
    </w:p>
  </w:footnote>
  <w:footnote w:type="continuationSeparator" w:id="0">
    <w:p w:rsidR="00CD4F3A" w:rsidRDefault="00CD4F3A" w:rsidP="00780FAF">
      <w:pPr>
        <w:spacing w:before="0"/>
      </w:pPr>
      <w:r>
        <w:continuationSeparator/>
      </w:r>
    </w:p>
  </w:footnote>
  <w:footnote w:id="1">
    <w:p w:rsidR="003A46A9" w:rsidRDefault="003A46A9" w:rsidP="00ED603D">
      <w:pPr>
        <w:pStyle w:val="FootnoteText"/>
        <w:spacing w:before="60"/>
      </w:pPr>
      <w:r>
        <w:rPr>
          <w:rStyle w:val="FootnoteReference"/>
        </w:rPr>
        <w:footnoteRef/>
      </w:r>
      <w:r>
        <w:t xml:space="preserve"> </w:t>
      </w:r>
      <w:r w:rsidRPr="003A46A9">
        <w:t xml:space="preserve">The International Institute for the Unification of Private Law (UNIDROIT) is an independent intergovernmental </w:t>
      </w:r>
      <w:r w:rsidR="00ED603D">
        <w:t>o</w:t>
      </w:r>
      <w:r w:rsidR="00ED603D" w:rsidRPr="003A46A9">
        <w:t>rgani</w:t>
      </w:r>
      <w:r w:rsidR="00ED603D">
        <w:t>z</w:t>
      </w:r>
      <w:r w:rsidR="00ED603D" w:rsidRPr="003A46A9">
        <w:t xml:space="preserve">ation </w:t>
      </w:r>
      <w:r w:rsidRPr="003A46A9">
        <w:t xml:space="preserve">which was set up in 1926 in Rome. Its statutory purposes are to study needs and methods for </w:t>
      </w:r>
      <w:r w:rsidR="00ED603D" w:rsidRPr="003A46A9">
        <w:t>moderni</w:t>
      </w:r>
      <w:r w:rsidR="00ED603D">
        <w:t>z</w:t>
      </w:r>
      <w:r w:rsidR="00ED603D" w:rsidRPr="003A46A9">
        <w:t>ing</w:t>
      </w:r>
      <w:r w:rsidRPr="003A46A9">
        <w:t xml:space="preserve">, </w:t>
      </w:r>
      <w:r w:rsidR="00ED603D" w:rsidRPr="003A46A9">
        <w:t>harmoni</w:t>
      </w:r>
      <w:r w:rsidR="00ED603D">
        <w:t>z</w:t>
      </w:r>
      <w:r w:rsidR="00ED603D" w:rsidRPr="003A46A9">
        <w:t xml:space="preserve">ing </w:t>
      </w:r>
      <w:r w:rsidRPr="003A46A9">
        <w:t>and coordinating private law as between States and groups of States as well as to formulate uniform law instruments, principles and rules to achieve those objectives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69B" w:rsidRPr="0064669B" w:rsidRDefault="0064669B" w:rsidP="0064669B">
    <w:pPr>
      <w:pStyle w:val="Header"/>
      <w:jc w:val="center"/>
      <w:rPr>
        <w:sz w:val="18"/>
        <w:szCs w:val="18"/>
      </w:rPr>
    </w:pPr>
    <w:r w:rsidRPr="0064669B">
      <w:rPr>
        <w:sz w:val="18"/>
        <w:szCs w:val="18"/>
      </w:rPr>
      <w:fldChar w:fldCharType="begin"/>
    </w:r>
    <w:r w:rsidRPr="0064669B">
      <w:rPr>
        <w:sz w:val="18"/>
        <w:szCs w:val="18"/>
      </w:rPr>
      <w:instrText>PAGE</w:instrText>
    </w:r>
    <w:r w:rsidRPr="0064669B">
      <w:rPr>
        <w:sz w:val="18"/>
        <w:szCs w:val="18"/>
      </w:rPr>
      <w:fldChar w:fldCharType="separate"/>
    </w:r>
    <w:r w:rsidR="004259DC">
      <w:rPr>
        <w:noProof/>
        <w:sz w:val="18"/>
        <w:szCs w:val="18"/>
      </w:rPr>
      <w:t>2</w:t>
    </w:r>
    <w:r w:rsidRPr="0064669B">
      <w:rPr>
        <w:sz w:val="18"/>
        <w:szCs w:val="18"/>
      </w:rPr>
      <w:fldChar w:fldCharType="end"/>
    </w:r>
    <w:r w:rsidRPr="0064669B">
      <w:rPr>
        <w:sz w:val="18"/>
        <w:szCs w:val="18"/>
      </w:rPr>
      <w:t>/</w:t>
    </w:r>
    <w:r w:rsidRPr="0064669B">
      <w:rPr>
        <w:sz w:val="18"/>
        <w:szCs w:val="18"/>
      </w:rPr>
      <w:fldChar w:fldCharType="begin"/>
    </w:r>
    <w:r w:rsidRPr="0064669B">
      <w:rPr>
        <w:sz w:val="18"/>
        <w:szCs w:val="18"/>
      </w:rPr>
      <w:instrText xml:space="preserve"> NUMPAGES   \* MERGEFORMAT </w:instrText>
    </w:r>
    <w:r w:rsidRPr="0064669B">
      <w:rPr>
        <w:sz w:val="18"/>
        <w:szCs w:val="18"/>
      </w:rPr>
      <w:fldChar w:fldCharType="separate"/>
    </w:r>
    <w:r w:rsidR="004259DC">
      <w:rPr>
        <w:noProof/>
        <w:sz w:val="18"/>
        <w:szCs w:val="18"/>
      </w:rPr>
      <w:t>11</w:t>
    </w:r>
    <w:r w:rsidRPr="0064669B">
      <w:rPr>
        <w:noProof/>
        <w:sz w:val="18"/>
        <w:szCs w:val="18"/>
      </w:rPr>
      <w:fldChar w:fldCharType="end"/>
    </w:r>
  </w:p>
  <w:p w:rsidR="008B264A" w:rsidRPr="008B264A" w:rsidRDefault="008B264A" w:rsidP="007F0483">
    <w:pPr>
      <w:tabs>
        <w:tab w:val="clear" w:pos="567"/>
        <w:tab w:val="clear" w:pos="1134"/>
        <w:tab w:val="clear" w:pos="1701"/>
        <w:tab w:val="clear" w:pos="2268"/>
        <w:tab w:val="clear" w:pos="2835"/>
      </w:tabs>
      <w:spacing w:before="0"/>
      <w:jc w:val="center"/>
      <w:rPr>
        <w:rFonts w:asciiTheme="minorHAnsi" w:hAnsiTheme="minorHAnsi" w:cstheme="minorHAnsi"/>
        <w:sz w:val="20"/>
      </w:rPr>
    </w:pPr>
    <w:r w:rsidRPr="008B264A">
      <w:rPr>
        <w:rFonts w:asciiTheme="minorHAnsi" w:hAnsiTheme="minorHAnsi" w:cstheme="minorHAnsi"/>
        <w:sz w:val="20"/>
      </w:rPr>
      <w:t>PP-14</w:t>
    </w:r>
    <w:r>
      <w:rPr>
        <w:rFonts w:asciiTheme="minorHAnsi" w:hAnsiTheme="minorHAnsi" w:cstheme="minorHAnsi"/>
        <w:sz w:val="20"/>
      </w:rPr>
      <w:t>/</w:t>
    </w:r>
    <w:r w:rsidR="007F0483">
      <w:rPr>
        <w:rFonts w:asciiTheme="minorHAnsi" w:hAnsiTheme="minorHAnsi" w:cstheme="minorHAnsi"/>
        <w:sz w:val="20"/>
      </w:rPr>
      <w:t>62</w:t>
    </w:r>
    <w:r w:rsidR="00FA64D9">
      <w:rPr>
        <w:rFonts w:asciiTheme="minorHAnsi" w:hAnsiTheme="minorHAnsi" w:cstheme="minorHAnsi"/>
        <w:sz w:val="20"/>
      </w:rPr>
      <w:t>-E</w:t>
    </w:r>
  </w:p>
  <w:p w:rsidR="00780FAF" w:rsidRDefault="00780FAF" w:rsidP="0064669B">
    <w:pPr>
      <w:pStyle w:val="Header"/>
      <w:tabs>
        <w:tab w:val="clear" w:pos="9360"/>
        <w:tab w:val="left" w:pos="2580"/>
        <w:tab w:val="left" w:pos="2985"/>
      </w:tabs>
      <w:spacing w:line="276" w:lineRule="auto"/>
      <w:ind w:right="-23"/>
      <w:jc w:val="center"/>
      <w:rPr>
        <w:rFonts w:cstheme="minorHAnsi"/>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3CC0"/>
    <w:multiLevelType w:val="hybridMultilevel"/>
    <w:tmpl w:val="92DC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D5563"/>
    <w:multiLevelType w:val="hybridMultilevel"/>
    <w:tmpl w:val="C6622136"/>
    <w:lvl w:ilvl="0" w:tplc="0D20E2B4">
      <w:start w:val="4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40377"/>
    <w:multiLevelType w:val="hybridMultilevel"/>
    <w:tmpl w:val="2848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2B4646"/>
    <w:multiLevelType w:val="hybridMultilevel"/>
    <w:tmpl w:val="9FEE16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B3056EA"/>
    <w:multiLevelType w:val="hybridMultilevel"/>
    <w:tmpl w:val="9EC6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80053A"/>
    <w:multiLevelType w:val="hybridMultilevel"/>
    <w:tmpl w:val="80D4BDBA"/>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B2E605E"/>
    <w:multiLevelType w:val="hybridMultilevel"/>
    <w:tmpl w:val="602856E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52263417"/>
    <w:multiLevelType w:val="hybridMultilevel"/>
    <w:tmpl w:val="D274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4043C0"/>
    <w:multiLevelType w:val="hybridMultilevel"/>
    <w:tmpl w:val="AD4A7844"/>
    <w:lvl w:ilvl="0" w:tplc="0409000F">
      <w:start w:val="1"/>
      <w:numFmt w:val="decimal"/>
      <w:lvlText w:val="%1."/>
      <w:lvlJc w:val="left"/>
      <w:pPr>
        <w:ind w:left="786" w:hanging="360"/>
      </w:pPr>
    </w:lvl>
    <w:lvl w:ilvl="1" w:tplc="04090019">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017D82"/>
    <w:multiLevelType w:val="hybridMultilevel"/>
    <w:tmpl w:val="EEB2E2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EA0128"/>
    <w:multiLevelType w:val="hybridMultilevel"/>
    <w:tmpl w:val="3786A0E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6E172CB9"/>
    <w:multiLevelType w:val="hybridMultilevel"/>
    <w:tmpl w:val="F29AA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950187"/>
    <w:multiLevelType w:val="hybridMultilevel"/>
    <w:tmpl w:val="DB70FBF4"/>
    <w:lvl w:ilvl="0" w:tplc="9B082238">
      <w:numFmt w:val="bullet"/>
      <w:lvlText w:val="•"/>
      <w:lvlJc w:val="left"/>
      <w:pPr>
        <w:ind w:left="786" w:hanging="720"/>
      </w:pPr>
      <w:rPr>
        <w:rFonts w:ascii="Calibri" w:eastAsiaTheme="minorEastAsia" w:hAnsi="Calibri" w:cs="Calibri" w:hint="default"/>
        <w:b/>
        <w:i w:val="0"/>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num w:numId="1">
    <w:abstractNumId w:val="10"/>
  </w:num>
  <w:num w:numId="2">
    <w:abstractNumId w:val="4"/>
  </w:num>
  <w:num w:numId="3">
    <w:abstractNumId w:val="12"/>
  </w:num>
  <w:num w:numId="4">
    <w:abstractNumId w:val="0"/>
  </w:num>
  <w:num w:numId="5">
    <w:abstractNumId w:val="6"/>
  </w:num>
  <w:num w:numId="6">
    <w:abstractNumId w:val="3"/>
  </w:num>
  <w:num w:numId="7">
    <w:abstractNumId w:val="5"/>
  </w:num>
  <w:num w:numId="8">
    <w:abstractNumId w:val="9"/>
  </w:num>
  <w:num w:numId="9">
    <w:abstractNumId w:val="1"/>
  </w:num>
  <w:num w:numId="10">
    <w:abstractNumId w:val="2"/>
  </w:num>
  <w:num w:numId="11">
    <w:abstractNumId w:val="7"/>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EE"/>
    <w:rsid w:val="00002BF1"/>
    <w:rsid w:val="00016A84"/>
    <w:rsid w:val="00024656"/>
    <w:rsid w:val="0002618D"/>
    <w:rsid w:val="000355F9"/>
    <w:rsid w:val="00053C1F"/>
    <w:rsid w:val="000559BA"/>
    <w:rsid w:val="00057D89"/>
    <w:rsid w:val="00060D4B"/>
    <w:rsid w:val="00067A63"/>
    <w:rsid w:val="00076CDB"/>
    <w:rsid w:val="000843E6"/>
    <w:rsid w:val="00093AB3"/>
    <w:rsid w:val="000945E9"/>
    <w:rsid w:val="00095CEA"/>
    <w:rsid w:val="000A4087"/>
    <w:rsid w:val="000A4BF9"/>
    <w:rsid w:val="000B2874"/>
    <w:rsid w:val="000B6A0E"/>
    <w:rsid w:val="000B7819"/>
    <w:rsid w:val="000C2E3D"/>
    <w:rsid w:val="000C3107"/>
    <w:rsid w:val="000C5593"/>
    <w:rsid w:val="000E0C94"/>
    <w:rsid w:val="000E1DFE"/>
    <w:rsid w:val="000E2B9B"/>
    <w:rsid w:val="000F31DC"/>
    <w:rsid w:val="000F77B9"/>
    <w:rsid w:val="00104C74"/>
    <w:rsid w:val="001060DB"/>
    <w:rsid w:val="0010758D"/>
    <w:rsid w:val="00111ACC"/>
    <w:rsid w:val="00111E15"/>
    <w:rsid w:val="001133DC"/>
    <w:rsid w:val="00121AB7"/>
    <w:rsid w:val="00123C23"/>
    <w:rsid w:val="001326AC"/>
    <w:rsid w:val="001335E8"/>
    <w:rsid w:val="0013633F"/>
    <w:rsid w:val="00137506"/>
    <w:rsid w:val="00142185"/>
    <w:rsid w:val="00145E20"/>
    <w:rsid w:val="001511DE"/>
    <w:rsid w:val="00154784"/>
    <w:rsid w:val="00156CAA"/>
    <w:rsid w:val="00157958"/>
    <w:rsid w:val="00162502"/>
    <w:rsid w:val="00165DAC"/>
    <w:rsid w:val="0017477E"/>
    <w:rsid w:val="00180109"/>
    <w:rsid w:val="001806B6"/>
    <w:rsid w:val="001978D7"/>
    <w:rsid w:val="001A0381"/>
    <w:rsid w:val="001A3331"/>
    <w:rsid w:val="001A5C9B"/>
    <w:rsid w:val="001B7405"/>
    <w:rsid w:val="001C3B9E"/>
    <w:rsid w:val="001C7E10"/>
    <w:rsid w:val="001D745F"/>
    <w:rsid w:val="001E4B3C"/>
    <w:rsid w:val="001F187A"/>
    <w:rsid w:val="001F2F94"/>
    <w:rsid w:val="001F3CD1"/>
    <w:rsid w:val="00205139"/>
    <w:rsid w:val="0021304C"/>
    <w:rsid w:val="002177F0"/>
    <w:rsid w:val="002228BE"/>
    <w:rsid w:val="00224398"/>
    <w:rsid w:val="00230411"/>
    <w:rsid w:val="002304ED"/>
    <w:rsid w:val="0023603D"/>
    <w:rsid w:val="00242F5D"/>
    <w:rsid w:val="00250A0B"/>
    <w:rsid w:val="00274A30"/>
    <w:rsid w:val="002853EF"/>
    <w:rsid w:val="00296CE4"/>
    <w:rsid w:val="002A0587"/>
    <w:rsid w:val="002B440F"/>
    <w:rsid w:val="002B52C2"/>
    <w:rsid w:val="002C08F3"/>
    <w:rsid w:val="002C5370"/>
    <w:rsid w:val="002C7FBD"/>
    <w:rsid w:val="002D2A51"/>
    <w:rsid w:val="002D499C"/>
    <w:rsid w:val="002D5783"/>
    <w:rsid w:val="002D6CA5"/>
    <w:rsid w:val="002E06D3"/>
    <w:rsid w:val="002E3794"/>
    <w:rsid w:val="002F7215"/>
    <w:rsid w:val="003012AF"/>
    <w:rsid w:val="003050D4"/>
    <w:rsid w:val="00307E38"/>
    <w:rsid w:val="00311E84"/>
    <w:rsid w:val="00312A66"/>
    <w:rsid w:val="0033722C"/>
    <w:rsid w:val="00347B8A"/>
    <w:rsid w:val="0035188A"/>
    <w:rsid w:val="003577D5"/>
    <w:rsid w:val="00371AE6"/>
    <w:rsid w:val="00374635"/>
    <w:rsid w:val="00380BA4"/>
    <w:rsid w:val="00382042"/>
    <w:rsid w:val="003A266F"/>
    <w:rsid w:val="003A46A9"/>
    <w:rsid w:val="003A6F25"/>
    <w:rsid w:val="003B51DD"/>
    <w:rsid w:val="003C1D25"/>
    <w:rsid w:val="003C6D07"/>
    <w:rsid w:val="003C79EE"/>
    <w:rsid w:val="003D0396"/>
    <w:rsid w:val="003D1146"/>
    <w:rsid w:val="003D6A9A"/>
    <w:rsid w:val="003E4A8C"/>
    <w:rsid w:val="003E68D2"/>
    <w:rsid w:val="003F3399"/>
    <w:rsid w:val="0041122A"/>
    <w:rsid w:val="004118D8"/>
    <w:rsid w:val="00417539"/>
    <w:rsid w:val="00420250"/>
    <w:rsid w:val="0042381C"/>
    <w:rsid w:val="00423AEE"/>
    <w:rsid w:val="004259DC"/>
    <w:rsid w:val="00432AFD"/>
    <w:rsid w:val="004361BC"/>
    <w:rsid w:val="0044206B"/>
    <w:rsid w:val="004421D1"/>
    <w:rsid w:val="00454813"/>
    <w:rsid w:val="00472BAD"/>
    <w:rsid w:val="00477C74"/>
    <w:rsid w:val="00481D09"/>
    <w:rsid w:val="00484412"/>
    <w:rsid w:val="004A4AFD"/>
    <w:rsid w:val="004A536B"/>
    <w:rsid w:val="004A5637"/>
    <w:rsid w:val="004B2AAF"/>
    <w:rsid w:val="004B704D"/>
    <w:rsid w:val="004D6689"/>
    <w:rsid w:val="004E0E62"/>
    <w:rsid w:val="004E74A2"/>
    <w:rsid w:val="004F1297"/>
    <w:rsid w:val="005011BA"/>
    <w:rsid w:val="00513F04"/>
    <w:rsid w:val="005169CB"/>
    <w:rsid w:val="00524895"/>
    <w:rsid w:val="005321C4"/>
    <w:rsid w:val="00532C1A"/>
    <w:rsid w:val="0055302B"/>
    <w:rsid w:val="0055446D"/>
    <w:rsid w:val="00561B02"/>
    <w:rsid w:val="00563194"/>
    <w:rsid w:val="005635F5"/>
    <w:rsid w:val="00571D14"/>
    <w:rsid w:val="0057677A"/>
    <w:rsid w:val="0057683F"/>
    <w:rsid w:val="00580A4F"/>
    <w:rsid w:val="0059139D"/>
    <w:rsid w:val="005A54AD"/>
    <w:rsid w:val="005A62DB"/>
    <w:rsid w:val="005F021A"/>
    <w:rsid w:val="005F1A7D"/>
    <w:rsid w:val="00612289"/>
    <w:rsid w:val="00614D86"/>
    <w:rsid w:val="006240CA"/>
    <w:rsid w:val="00626DBC"/>
    <w:rsid w:val="00631293"/>
    <w:rsid w:val="00631BA2"/>
    <w:rsid w:val="00641EF8"/>
    <w:rsid w:val="0064355C"/>
    <w:rsid w:val="0064444C"/>
    <w:rsid w:val="0064669B"/>
    <w:rsid w:val="00651E5D"/>
    <w:rsid w:val="006525C3"/>
    <w:rsid w:val="00671A7F"/>
    <w:rsid w:val="00671B2D"/>
    <w:rsid w:val="0067442F"/>
    <w:rsid w:val="00674F4F"/>
    <w:rsid w:val="00680D82"/>
    <w:rsid w:val="006820C3"/>
    <w:rsid w:val="006821D2"/>
    <w:rsid w:val="006B26D5"/>
    <w:rsid w:val="006E4058"/>
    <w:rsid w:val="006E77D4"/>
    <w:rsid w:val="006F3640"/>
    <w:rsid w:val="00701607"/>
    <w:rsid w:val="007054A8"/>
    <w:rsid w:val="00706BBF"/>
    <w:rsid w:val="00715099"/>
    <w:rsid w:val="00721090"/>
    <w:rsid w:val="0072444B"/>
    <w:rsid w:val="0072780A"/>
    <w:rsid w:val="007373B6"/>
    <w:rsid w:val="00744D5B"/>
    <w:rsid w:val="007525E0"/>
    <w:rsid w:val="00753F1B"/>
    <w:rsid w:val="00754CFF"/>
    <w:rsid w:val="007608B7"/>
    <w:rsid w:val="00764899"/>
    <w:rsid w:val="007765B9"/>
    <w:rsid w:val="00777384"/>
    <w:rsid w:val="00780FAF"/>
    <w:rsid w:val="00781D41"/>
    <w:rsid w:val="00783670"/>
    <w:rsid w:val="00786999"/>
    <w:rsid w:val="0079262F"/>
    <w:rsid w:val="007A7437"/>
    <w:rsid w:val="007A7950"/>
    <w:rsid w:val="007B07C8"/>
    <w:rsid w:val="007C0CED"/>
    <w:rsid w:val="007C2F12"/>
    <w:rsid w:val="007C56EE"/>
    <w:rsid w:val="007C7675"/>
    <w:rsid w:val="007E547F"/>
    <w:rsid w:val="007E6ABE"/>
    <w:rsid w:val="007E6FF3"/>
    <w:rsid w:val="007E724E"/>
    <w:rsid w:val="007F02A0"/>
    <w:rsid w:val="007F0483"/>
    <w:rsid w:val="00802298"/>
    <w:rsid w:val="00805408"/>
    <w:rsid w:val="00811B4F"/>
    <w:rsid w:val="00811CD8"/>
    <w:rsid w:val="00814C6E"/>
    <w:rsid w:val="008170F0"/>
    <w:rsid w:val="00827ACD"/>
    <w:rsid w:val="00852E44"/>
    <w:rsid w:val="0087285E"/>
    <w:rsid w:val="00873B5D"/>
    <w:rsid w:val="00877D83"/>
    <w:rsid w:val="0088512D"/>
    <w:rsid w:val="00893E5C"/>
    <w:rsid w:val="0089562A"/>
    <w:rsid w:val="008A462B"/>
    <w:rsid w:val="008A7C3B"/>
    <w:rsid w:val="008B264A"/>
    <w:rsid w:val="008D3C2E"/>
    <w:rsid w:val="008D3CDB"/>
    <w:rsid w:val="008E1F48"/>
    <w:rsid w:val="00907BC2"/>
    <w:rsid w:val="009256F0"/>
    <w:rsid w:val="009343EB"/>
    <w:rsid w:val="00934860"/>
    <w:rsid w:val="00940497"/>
    <w:rsid w:val="00941BD9"/>
    <w:rsid w:val="00943AE4"/>
    <w:rsid w:val="009571B7"/>
    <w:rsid w:val="00976A16"/>
    <w:rsid w:val="0097752A"/>
    <w:rsid w:val="00981DD2"/>
    <w:rsid w:val="00991E7E"/>
    <w:rsid w:val="009957FB"/>
    <w:rsid w:val="00997D2B"/>
    <w:rsid w:val="00997F36"/>
    <w:rsid w:val="009A0E99"/>
    <w:rsid w:val="009A2F96"/>
    <w:rsid w:val="009A4431"/>
    <w:rsid w:val="009B58F9"/>
    <w:rsid w:val="009D3ABB"/>
    <w:rsid w:val="009D484A"/>
    <w:rsid w:val="009D72E1"/>
    <w:rsid w:val="009E5EB8"/>
    <w:rsid w:val="00A0375C"/>
    <w:rsid w:val="00A03E7C"/>
    <w:rsid w:val="00A056FC"/>
    <w:rsid w:val="00A07D27"/>
    <w:rsid w:val="00A13CC6"/>
    <w:rsid w:val="00A355AE"/>
    <w:rsid w:val="00A37B22"/>
    <w:rsid w:val="00A445B3"/>
    <w:rsid w:val="00A65E28"/>
    <w:rsid w:val="00A73C7E"/>
    <w:rsid w:val="00A83D0B"/>
    <w:rsid w:val="00AB12C8"/>
    <w:rsid w:val="00AB146F"/>
    <w:rsid w:val="00AB1822"/>
    <w:rsid w:val="00AB6EDF"/>
    <w:rsid w:val="00AB6F64"/>
    <w:rsid w:val="00AC055C"/>
    <w:rsid w:val="00AD4420"/>
    <w:rsid w:val="00AD6DEA"/>
    <w:rsid w:val="00AE1E35"/>
    <w:rsid w:val="00AF1214"/>
    <w:rsid w:val="00AF5A4C"/>
    <w:rsid w:val="00AF6A3A"/>
    <w:rsid w:val="00B02B76"/>
    <w:rsid w:val="00B038CB"/>
    <w:rsid w:val="00B10B98"/>
    <w:rsid w:val="00B21170"/>
    <w:rsid w:val="00B21DF2"/>
    <w:rsid w:val="00B23869"/>
    <w:rsid w:val="00B26CBE"/>
    <w:rsid w:val="00B27AFC"/>
    <w:rsid w:val="00B31203"/>
    <w:rsid w:val="00B32AA9"/>
    <w:rsid w:val="00B372A8"/>
    <w:rsid w:val="00B41F22"/>
    <w:rsid w:val="00B532CF"/>
    <w:rsid w:val="00B65712"/>
    <w:rsid w:val="00B67B60"/>
    <w:rsid w:val="00B71D7A"/>
    <w:rsid w:val="00B75019"/>
    <w:rsid w:val="00B763B1"/>
    <w:rsid w:val="00B76FFC"/>
    <w:rsid w:val="00B909D4"/>
    <w:rsid w:val="00BA069D"/>
    <w:rsid w:val="00BA1AC5"/>
    <w:rsid w:val="00BA25B6"/>
    <w:rsid w:val="00BA5AAD"/>
    <w:rsid w:val="00BB054A"/>
    <w:rsid w:val="00BD6F3F"/>
    <w:rsid w:val="00BE09F6"/>
    <w:rsid w:val="00BE3D12"/>
    <w:rsid w:val="00BE44C8"/>
    <w:rsid w:val="00BF0E2A"/>
    <w:rsid w:val="00BF7C68"/>
    <w:rsid w:val="00C06BD0"/>
    <w:rsid w:val="00C1119E"/>
    <w:rsid w:val="00C15C61"/>
    <w:rsid w:val="00C213F7"/>
    <w:rsid w:val="00C3144B"/>
    <w:rsid w:val="00C36DC4"/>
    <w:rsid w:val="00C423EE"/>
    <w:rsid w:val="00C61820"/>
    <w:rsid w:val="00C618A9"/>
    <w:rsid w:val="00C77668"/>
    <w:rsid w:val="00C77EC9"/>
    <w:rsid w:val="00C80605"/>
    <w:rsid w:val="00C82405"/>
    <w:rsid w:val="00C82439"/>
    <w:rsid w:val="00C83FC6"/>
    <w:rsid w:val="00C929E3"/>
    <w:rsid w:val="00CA0A5A"/>
    <w:rsid w:val="00CA1D06"/>
    <w:rsid w:val="00CA411C"/>
    <w:rsid w:val="00CA466C"/>
    <w:rsid w:val="00CB2E92"/>
    <w:rsid w:val="00CD0A67"/>
    <w:rsid w:val="00CD2D71"/>
    <w:rsid w:val="00CD4F3A"/>
    <w:rsid w:val="00CD6F26"/>
    <w:rsid w:val="00CE3833"/>
    <w:rsid w:val="00CF0F89"/>
    <w:rsid w:val="00CF551F"/>
    <w:rsid w:val="00D0666B"/>
    <w:rsid w:val="00D07CE8"/>
    <w:rsid w:val="00D12FC7"/>
    <w:rsid w:val="00D22A9B"/>
    <w:rsid w:val="00D2453F"/>
    <w:rsid w:val="00D304BC"/>
    <w:rsid w:val="00D33551"/>
    <w:rsid w:val="00D41286"/>
    <w:rsid w:val="00D459D8"/>
    <w:rsid w:val="00D5661F"/>
    <w:rsid w:val="00D63CE8"/>
    <w:rsid w:val="00D7069B"/>
    <w:rsid w:val="00D94D6E"/>
    <w:rsid w:val="00D95383"/>
    <w:rsid w:val="00D97F30"/>
    <w:rsid w:val="00DA5967"/>
    <w:rsid w:val="00DA65FA"/>
    <w:rsid w:val="00DB0380"/>
    <w:rsid w:val="00DB4DAB"/>
    <w:rsid w:val="00DD3E75"/>
    <w:rsid w:val="00DD61B4"/>
    <w:rsid w:val="00DF3B66"/>
    <w:rsid w:val="00E04249"/>
    <w:rsid w:val="00E12FE2"/>
    <w:rsid w:val="00E21CEB"/>
    <w:rsid w:val="00E34737"/>
    <w:rsid w:val="00E34F19"/>
    <w:rsid w:val="00E36803"/>
    <w:rsid w:val="00E36B40"/>
    <w:rsid w:val="00E375FD"/>
    <w:rsid w:val="00E40970"/>
    <w:rsid w:val="00E66B57"/>
    <w:rsid w:val="00E70124"/>
    <w:rsid w:val="00E727F1"/>
    <w:rsid w:val="00E73DCB"/>
    <w:rsid w:val="00E7610E"/>
    <w:rsid w:val="00E76FD4"/>
    <w:rsid w:val="00E77DA1"/>
    <w:rsid w:val="00E97A53"/>
    <w:rsid w:val="00EA1C96"/>
    <w:rsid w:val="00EA21AE"/>
    <w:rsid w:val="00EA7B90"/>
    <w:rsid w:val="00EB5425"/>
    <w:rsid w:val="00EB57B2"/>
    <w:rsid w:val="00EB7B4D"/>
    <w:rsid w:val="00EB7EA0"/>
    <w:rsid w:val="00EC1F19"/>
    <w:rsid w:val="00ED0EFF"/>
    <w:rsid w:val="00ED5B56"/>
    <w:rsid w:val="00ED603D"/>
    <w:rsid w:val="00EE3D76"/>
    <w:rsid w:val="00EE7EC6"/>
    <w:rsid w:val="00EF7465"/>
    <w:rsid w:val="00F007A3"/>
    <w:rsid w:val="00F01C59"/>
    <w:rsid w:val="00F02085"/>
    <w:rsid w:val="00F06137"/>
    <w:rsid w:val="00F12C4C"/>
    <w:rsid w:val="00F145C2"/>
    <w:rsid w:val="00F15E89"/>
    <w:rsid w:val="00F17B59"/>
    <w:rsid w:val="00F20E19"/>
    <w:rsid w:val="00F213E3"/>
    <w:rsid w:val="00F279C4"/>
    <w:rsid w:val="00F3534D"/>
    <w:rsid w:val="00F35CE2"/>
    <w:rsid w:val="00F368CD"/>
    <w:rsid w:val="00F37AC2"/>
    <w:rsid w:val="00F51115"/>
    <w:rsid w:val="00F5131A"/>
    <w:rsid w:val="00F64415"/>
    <w:rsid w:val="00F70A6A"/>
    <w:rsid w:val="00F70B22"/>
    <w:rsid w:val="00F732AB"/>
    <w:rsid w:val="00F75E57"/>
    <w:rsid w:val="00F823D2"/>
    <w:rsid w:val="00F867D2"/>
    <w:rsid w:val="00F920C0"/>
    <w:rsid w:val="00FA07E1"/>
    <w:rsid w:val="00FA2F8E"/>
    <w:rsid w:val="00FA4BB9"/>
    <w:rsid w:val="00FA57E5"/>
    <w:rsid w:val="00FA64D9"/>
    <w:rsid w:val="00FC5A8B"/>
    <w:rsid w:val="00FD0180"/>
    <w:rsid w:val="00FD0FA9"/>
    <w:rsid w:val="00FD39A8"/>
    <w:rsid w:val="00FD3B41"/>
    <w:rsid w:val="00FE695D"/>
    <w:rsid w:val="00FF51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AEE"/>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eastAsia="en-US"/>
    </w:rPr>
  </w:style>
  <w:style w:type="paragraph" w:styleId="Heading3">
    <w:name w:val="heading 3"/>
    <w:basedOn w:val="Normal"/>
    <w:next w:val="Normal"/>
    <w:link w:val="Heading3Char"/>
    <w:uiPriority w:val="9"/>
    <w:semiHidden/>
    <w:unhideWhenUsed/>
    <w:qFormat/>
    <w:rsid w:val="00423AE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Title1"/>
    <w:autoRedefine/>
    <w:uiPriority w:val="99"/>
    <w:rsid w:val="001A5C9B"/>
    <w:pPr>
      <w:framePr w:hSpace="180" w:wrap="around" w:hAnchor="margin" w:y="-675"/>
      <w:spacing w:before="840"/>
      <w:jc w:val="center"/>
    </w:pPr>
    <w:rPr>
      <w:rFonts w:asciiTheme="minorHAnsi" w:hAnsiTheme="minorHAnsi"/>
      <w:b/>
      <w:sz w:val="28"/>
      <w:szCs w:val="28"/>
    </w:rPr>
  </w:style>
  <w:style w:type="character" w:styleId="Hyperlink">
    <w:name w:val="Hyperlink"/>
    <w:basedOn w:val="DefaultParagraphFont"/>
    <w:uiPriority w:val="99"/>
    <w:rsid w:val="00423AEE"/>
    <w:rPr>
      <w:rFonts w:cs="Times New Roman"/>
      <w:color w:val="0000FF"/>
      <w:u w:val="single"/>
    </w:rPr>
  </w:style>
  <w:style w:type="paragraph" w:customStyle="1" w:styleId="Headingb">
    <w:name w:val="Heading_b"/>
    <w:basedOn w:val="Heading3"/>
    <w:next w:val="Normal"/>
    <w:uiPriority w:val="99"/>
    <w:rsid w:val="00423AEE"/>
    <w:pPr>
      <w:spacing w:before="160"/>
      <w:ind w:left="567" w:hanging="567"/>
      <w:outlineLvl w:val="0"/>
    </w:pPr>
    <w:rPr>
      <w:rFonts w:ascii="Calibri" w:eastAsia="Times New Roman" w:hAnsi="Calibri" w:cs="Times New Roman"/>
      <w:bCs w:val="0"/>
      <w:color w:val="auto"/>
    </w:rPr>
  </w:style>
  <w:style w:type="paragraph" w:customStyle="1" w:styleId="Title1">
    <w:name w:val="Title 1"/>
    <w:basedOn w:val="Source"/>
    <w:next w:val="Normal"/>
    <w:uiPriority w:val="99"/>
    <w:rsid w:val="00423AEE"/>
    <w:pPr>
      <w:framePr w:wrap="around"/>
      <w:spacing w:before="240"/>
    </w:pPr>
    <w:rPr>
      <w:b w:val="0"/>
      <w:caps/>
    </w:rPr>
  </w:style>
  <w:style w:type="paragraph" w:customStyle="1" w:styleId="Table">
    <w:name w:val="Table_#"/>
    <w:basedOn w:val="Normal"/>
    <w:next w:val="Normal"/>
    <w:uiPriority w:val="99"/>
    <w:rsid w:val="00423AEE"/>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ing3Char">
    <w:name w:val="Heading 3 Char"/>
    <w:basedOn w:val="DefaultParagraphFont"/>
    <w:link w:val="Heading3"/>
    <w:uiPriority w:val="9"/>
    <w:semiHidden/>
    <w:rsid w:val="00423AEE"/>
    <w:rPr>
      <w:rFonts w:asciiTheme="majorHAnsi" w:eastAsiaTheme="majorEastAsia" w:hAnsiTheme="majorHAnsi" w:cstheme="majorBidi"/>
      <w:b/>
      <w:bCs/>
      <w:color w:val="4F81BD" w:themeColor="accent1"/>
      <w:sz w:val="24"/>
      <w:szCs w:val="20"/>
      <w:lang w:val="en-GB" w:eastAsia="en-US"/>
    </w:rPr>
  </w:style>
  <w:style w:type="paragraph" w:styleId="Header">
    <w:name w:val="header"/>
    <w:basedOn w:val="Normal"/>
    <w:link w:val="HeaderChar"/>
    <w:uiPriority w:val="99"/>
    <w:unhideWhenUsed/>
    <w:rsid w:val="00780FAF"/>
    <w:pPr>
      <w:tabs>
        <w:tab w:val="clear" w:pos="567"/>
        <w:tab w:val="clear" w:pos="1134"/>
        <w:tab w:val="clear" w:pos="1701"/>
        <w:tab w:val="clear" w:pos="2268"/>
        <w:tab w:val="clear" w:pos="2835"/>
        <w:tab w:val="center" w:pos="4680"/>
        <w:tab w:val="right" w:pos="9360"/>
      </w:tabs>
      <w:overflowPunct/>
      <w:autoSpaceDE/>
      <w:autoSpaceDN/>
      <w:adjustRightInd/>
      <w:spacing w:before="0"/>
      <w:textAlignment w:val="auto"/>
    </w:pPr>
    <w:rPr>
      <w:rFonts w:asciiTheme="minorHAnsi" w:eastAsiaTheme="minorEastAsia" w:hAnsiTheme="minorHAnsi" w:cstheme="minorBidi"/>
      <w:sz w:val="22"/>
      <w:szCs w:val="22"/>
      <w:lang w:val="en-US" w:eastAsia="zh-CN"/>
    </w:rPr>
  </w:style>
  <w:style w:type="character" w:customStyle="1" w:styleId="HeaderChar">
    <w:name w:val="Header Char"/>
    <w:basedOn w:val="DefaultParagraphFont"/>
    <w:link w:val="Header"/>
    <w:uiPriority w:val="99"/>
    <w:rsid w:val="00780FAF"/>
  </w:style>
  <w:style w:type="paragraph" w:styleId="Footer">
    <w:name w:val="footer"/>
    <w:basedOn w:val="Normal"/>
    <w:link w:val="FooterChar"/>
    <w:uiPriority w:val="99"/>
    <w:unhideWhenUsed/>
    <w:rsid w:val="00780FAF"/>
    <w:pPr>
      <w:tabs>
        <w:tab w:val="clear" w:pos="567"/>
        <w:tab w:val="clear" w:pos="1134"/>
        <w:tab w:val="clear" w:pos="1701"/>
        <w:tab w:val="clear" w:pos="2268"/>
        <w:tab w:val="clear" w:pos="2835"/>
        <w:tab w:val="center" w:pos="4680"/>
        <w:tab w:val="right" w:pos="9360"/>
      </w:tabs>
      <w:overflowPunct/>
      <w:autoSpaceDE/>
      <w:autoSpaceDN/>
      <w:adjustRightInd/>
      <w:spacing w:before="0"/>
      <w:textAlignment w:val="auto"/>
    </w:pPr>
    <w:rPr>
      <w:rFonts w:asciiTheme="minorHAnsi" w:eastAsiaTheme="minorEastAsia" w:hAnsiTheme="minorHAnsi" w:cstheme="minorBidi"/>
      <w:sz w:val="22"/>
      <w:szCs w:val="22"/>
      <w:lang w:val="en-US" w:eastAsia="zh-CN"/>
    </w:rPr>
  </w:style>
  <w:style w:type="character" w:customStyle="1" w:styleId="FooterChar">
    <w:name w:val="Footer Char"/>
    <w:basedOn w:val="DefaultParagraphFont"/>
    <w:link w:val="Footer"/>
    <w:uiPriority w:val="99"/>
    <w:rsid w:val="00780FAF"/>
  </w:style>
  <w:style w:type="paragraph" w:styleId="FootnoteText">
    <w:name w:val="footnote text"/>
    <w:basedOn w:val="Normal"/>
    <w:link w:val="FootnoteTextChar"/>
    <w:uiPriority w:val="99"/>
    <w:semiHidden/>
    <w:unhideWhenUsed/>
    <w:rsid w:val="00780FAF"/>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Theme="minorEastAsia" w:hAnsiTheme="minorHAnsi" w:cstheme="minorBidi"/>
      <w:sz w:val="20"/>
      <w:lang w:val="en-US" w:eastAsia="zh-CN"/>
    </w:rPr>
  </w:style>
  <w:style w:type="character" w:customStyle="1" w:styleId="FootnoteTextChar">
    <w:name w:val="Footnote Text Char"/>
    <w:basedOn w:val="DefaultParagraphFont"/>
    <w:link w:val="FootnoteText"/>
    <w:uiPriority w:val="99"/>
    <w:semiHidden/>
    <w:rsid w:val="00780FAF"/>
    <w:rPr>
      <w:sz w:val="20"/>
      <w:szCs w:val="20"/>
    </w:rPr>
  </w:style>
  <w:style w:type="character" w:styleId="FootnoteReference">
    <w:name w:val="footnote reference"/>
    <w:basedOn w:val="DefaultParagraphFont"/>
    <w:uiPriority w:val="99"/>
    <w:semiHidden/>
    <w:unhideWhenUsed/>
    <w:rsid w:val="00780FAF"/>
    <w:rPr>
      <w:vertAlign w:val="superscript"/>
    </w:rPr>
  </w:style>
  <w:style w:type="paragraph" w:styleId="ListParagraph">
    <w:name w:val="List Paragraph"/>
    <w:basedOn w:val="Normal"/>
    <w:uiPriority w:val="34"/>
    <w:qFormat/>
    <w:rsid w:val="007C7675"/>
    <w:pPr>
      <w:ind w:left="720"/>
      <w:contextualSpacing/>
    </w:pPr>
  </w:style>
  <w:style w:type="paragraph" w:styleId="BalloonText">
    <w:name w:val="Balloon Text"/>
    <w:basedOn w:val="Normal"/>
    <w:link w:val="BalloonTextChar"/>
    <w:uiPriority w:val="99"/>
    <w:semiHidden/>
    <w:unhideWhenUsed/>
    <w:rsid w:val="002F721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215"/>
    <w:rPr>
      <w:rFonts w:ascii="Tahoma" w:eastAsia="Times New Roman" w:hAnsi="Tahoma" w:cs="Tahoma"/>
      <w:sz w:val="16"/>
      <w:szCs w:val="16"/>
      <w:lang w:val="en-GB" w:eastAsia="en-US"/>
    </w:rPr>
  </w:style>
  <w:style w:type="paragraph" w:styleId="EndnoteText">
    <w:name w:val="endnote text"/>
    <w:basedOn w:val="Normal"/>
    <w:link w:val="EndnoteTextChar"/>
    <w:uiPriority w:val="99"/>
    <w:semiHidden/>
    <w:unhideWhenUsed/>
    <w:rsid w:val="00F17B59"/>
    <w:pPr>
      <w:spacing w:before="0"/>
    </w:pPr>
    <w:rPr>
      <w:sz w:val="20"/>
    </w:rPr>
  </w:style>
  <w:style w:type="character" w:customStyle="1" w:styleId="EndnoteTextChar">
    <w:name w:val="Endnote Text Char"/>
    <w:basedOn w:val="DefaultParagraphFont"/>
    <w:link w:val="EndnoteText"/>
    <w:uiPriority w:val="99"/>
    <w:semiHidden/>
    <w:rsid w:val="00F17B59"/>
    <w:rPr>
      <w:rFonts w:ascii="Calibri" w:eastAsia="Times New Roman" w:hAnsi="Calibri" w:cs="Times New Roman"/>
      <w:sz w:val="20"/>
      <w:szCs w:val="20"/>
      <w:lang w:val="en-GB" w:eastAsia="en-US"/>
    </w:rPr>
  </w:style>
  <w:style w:type="character" w:styleId="EndnoteReference">
    <w:name w:val="endnote reference"/>
    <w:basedOn w:val="DefaultParagraphFont"/>
    <w:uiPriority w:val="99"/>
    <w:semiHidden/>
    <w:unhideWhenUsed/>
    <w:rsid w:val="00F17B59"/>
    <w:rPr>
      <w:vertAlign w:val="superscript"/>
    </w:rPr>
  </w:style>
  <w:style w:type="paragraph" w:customStyle="1" w:styleId="Style1">
    <w:name w:val="Style 1"/>
    <w:uiPriority w:val="99"/>
    <w:rsid w:val="00157958"/>
    <w:pPr>
      <w:widowControl w:val="0"/>
      <w:autoSpaceDE w:val="0"/>
      <w:autoSpaceDN w:val="0"/>
      <w:adjustRightInd w:val="0"/>
      <w:spacing w:after="0" w:line="240" w:lineRule="auto"/>
    </w:pPr>
    <w:rPr>
      <w:rFonts w:ascii="Times New Roman" w:eastAsia="SimSun" w:hAnsi="Times New Roman" w:cs="Times New Roman"/>
      <w:sz w:val="20"/>
      <w:szCs w:val="20"/>
    </w:rPr>
  </w:style>
  <w:style w:type="paragraph" w:customStyle="1" w:styleId="Style3">
    <w:name w:val="Style 3"/>
    <w:uiPriority w:val="99"/>
    <w:rsid w:val="00157958"/>
    <w:pPr>
      <w:widowControl w:val="0"/>
      <w:autoSpaceDE w:val="0"/>
      <w:autoSpaceDN w:val="0"/>
      <w:spacing w:before="324" w:after="0" w:line="240" w:lineRule="auto"/>
      <w:ind w:right="72"/>
      <w:jc w:val="both"/>
    </w:pPr>
    <w:rPr>
      <w:rFonts w:ascii="Times New Roman" w:eastAsia="SimSun" w:hAnsi="Times New Roman" w:cs="Times New Roman"/>
      <w:sz w:val="18"/>
      <w:szCs w:val="18"/>
    </w:rPr>
  </w:style>
  <w:style w:type="character" w:styleId="CommentReference">
    <w:name w:val="annotation reference"/>
    <w:basedOn w:val="DefaultParagraphFont"/>
    <w:uiPriority w:val="99"/>
    <w:semiHidden/>
    <w:unhideWhenUsed/>
    <w:rsid w:val="003C6D07"/>
    <w:rPr>
      <w:sz w:val="16"/>
      <w:szCs w:val="16"/>
    </w:rPr>
  </w:style>
  <w:style w:type="paragraph" w:styleId="CommentText">
    <w:name w:val="annotation text"/>
    <w:basedOn w:val="Normal"/>
    <w:link w:val="CommentTextChar"/>
    <w:uiPriority w:val="99"/>
    <w:semiHidden/>
    <w:unhideWhenUsed/>
    <w:rsid w:val="003C6D07"/>
    <w:rPr>
      <w:sz w:val="20"/>
    </w:rPr>
  </w:style>
  <w:style w:type="character" w:customStyle="1" w:styleId="CommentTextChar">
    <w:name w:val="Comment Text Char"/>
    <w:basedOn w:val="DefaultParagraphFont"/>
    <w:link w:val="CommentText"/>
    <w:uiPriority w:val="99"/>
    <w:semiHidden/>
    <w:rsid w:val="003C6D07"/>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3C6D07"/>
    <w:rPr>
      <w:b/>
      <w:bCs/>
    </w:rPr>
  </w:style>
  <w:style w:type="character" w:customStyle="1" w:styleId="CommentSubjectChar">
    <w:name w:val="Comment Subject Char"/>
    <w:basedOn w:val="CommentTextChar"/>
    <w:link w:val="CommentSubject"/>
    <w:uiPriority w:val="99"/>
    <w:semiHidden/>
    <w:rsid w:val="003C6D07"/>
    <w:rPr>
      <w:rFonts w:ascii="Calibri" w:eastAsia="Times New Roman" w:hAnsi="Calibri" w:cs="Times New Roman"/>
      <w:b/>
      <w:bCs/>
      <w:sz w:val="20"/>
      <w:szCs w:val="20"/>
      <w:lang w:val="en-GB" w:eastAsia="en-US"/>
    </w:rPr>
  </w:style>
  <w:style w:type="character" w:styleId="FollowedHyperlink">
    <w:name w:val="FollowedHyperlink"/>
    <w:basedOn w:val="DefaultParagraphFont"/>
    <w:uiPriority w:val="99"/>
    <w:semiHidden/>
    <w:unhideWhenUsed/>
    <w:rsid w:val="00ED603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AEE"/>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eastAsia="en-US"/>
    </w:rPr>
  </w:style>
  <w:style w:type="paragraph" w:styleId="Heading3">
    <w:name w:val="heading 3"/>
    <w:basedOn w:val="Normal"/>
    <w:next w:val="Normal"/>
    <w:link w:val="Heading3Char"/>
    <w:uiPriority w:val="9"/>
    <w:semiHidden/>
    <w:unhideWhenUsed/>
    <w:qFormat/>
    <w:rsid w:val="00423AE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Title1"/>
    <w:autoRedefine/>
    <w:uiPriority w:val="99"/>
    <w:rsid w:val="001A5C9B"/>
    <w:pPr>
      <w:framePr w:hSpace="180" w:wrap="around" w:hAnchor="margin" w:y="-675"/>
      <w:spacing w:before="840"/>
      <w:jc w:val="center"/>
    </w:pPr>
    <w:rPr>
      <w:rFonts w:asciiTheme="minorHAnsi" w:hAnsiTheme="minorHAnsi"/>
      <w:b/>
      <w:sz w:val="28"/>
      <w:szCs w:val="28"/>
    </w:rPr>
  </w:style>
  <w:style w:type="character" w:styleId="Hyperlink">
    <w:name w:val="Hyperlink"/>
    <w:basedOn w:val="DefaultParagraphFont"/>
    <w:uiPriority w:val="99"/>
    <w:rsid w:val="00423AEE"/>
    <w:rPr>
      <w:rFonts w:cs="Times New Roman"/>
      <w:color w:val="0000FF"/>
      <w:u w:val="single"/>
    </w:rPr>
  </w:style>
  <w:style w:type="paragraph" w:customStyle="1" w:styleId="Headingb">
    <w:name w:val="Heading_b"/>
    <w:basedOn w:val="Heading3"/>
    <w:next w:val="Normal"/>
    <w:uiPriority w:val="99"/>
    <w:rsid w:val="00423AEE"/>
    <w:pPr>
      <w:spacing w:before="160"/>
      <w:ind w:left="567" w:hanging="567"/>
      <w:outlineLvl w:val="0"/>
    </w:pPr>
    <w:rPr>
      <w:rFonts w:ascii="Calibri" w:eastAsia="Times New Roman" w:hAnsi="Calibri" w:cs="Times New Roman"/>
      <w:bCs w:val="0"/>
      <w:color w:val="auto"/>
    </w:rPr>
  </w:style>
  <w:style w:type="paragraph" w:customStyle="1" w:styleId="Title1">
    <w:name w:val="Title 1"/>
    <w:basedOn w:val="Source"/>
    <w:next w:val="Normal"/>
    <w:uiPriority w:val="99"/>
    <w:rsid w:val="00423AEE"/>
    <w:pPr>
      <w:framePr w:wrap="around"/>
      <w:spacing w:before="240"/>
    </w:pPr>
    <w:rPr>
      <w:b w:val="0"/>
      <w:caps/>
    </w:rPr>
  </w:style>
  <w:style w:type="paragraph" w:customStyle="1" w:styleId="Table">
    <w:name w:val="Table_#"/>
    <w:basedOn w:val="Normal"/>
    <w:next w:val="Normal"/>
    <w:uiPriority w:val="99"/>
    <w:rsid w:val="00423AEE"/>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ing3Char">
    <w:name w:val="Heading 3 Char"/>
    <w:basedOn w:val="DefaultParagraphFont"/>
    <w:link w:val="Heading3"/>
    <w:uiPriority w:val="9"/>
    <w:semiHidden/>
    <w:rsid w:val="00423AEE"/>
    <w:rPr>
      <w:rFonts w:asciiTheme="majorHAnsi" w:eastAsiaTheme="majorEastAsia" w:hAnsiTheme="majorHAnsi" w:cstheme="majorBidi"/>
      <w:b/>
      <w:bCs/>
      <w:color w:val="4F81BD" w:themeColor="accent1"/>
      <w:sz w:val="24"/>
      <w:szCs w:val="20"/>
      <w:lang w:val="en-GB" w:eastAsia="en-US"/>
    </w:rPr>
  </w:style>
  <w:style w:type="paragraph" w:styleId="Header">
    <w:name w:val="header"/>
    <w:basedOn w:val="Normal"/>
    <w:link w:val="HeaderChar"/>
    <w:uiPriority w:val="99"/>
    <w:unhideWhenUsed/>
    <w:rsid w:val="00780FAF"/>
    <w:pPr>
      <w:tabs>
        <w:tab w:val="clear" w:pos="567"/>
        <w:tab w:val="clear" w:pos="1134"/>
        <w:tab w:val="clear" w:pos="1701"/>
        <w:tab w:val="clear" w:pos="2268"/>
        <w:tab w:val="clear" w:pos="2835"/>
        <w:tab w:val="center" w:pos="4680"/>
        <w:tab w:val="right" w:pos="9360"/>
      </w:tabs>
      <w:overflowPunct/>
      <w:autoSpaceDE/>
      <w:autoSpaceDN/>
      <w:adjustRightInd/>
      <w:spacing w:before="0"/>
      <w:textAlignment w:val="auto"/>
    </w:pPr>
    <w:rPr>
      <w:rFonts w:asciiTheme="minorHAnsi" w:eastAsiaTheme="minorEastAsia" w:hAnsiTheme="minorHAnsi" w:cstheme="minorBidi"/>
      <w:sz w:val="22"/>
      <w:szCs w:val="22"/>
      <w:lang w:val="en-US" w:eastAsia="zh-CN"/>
    </w:rPr>
  </w:style>
  <w:style w:type="character" w:customStyle="1" w:styleId="HeaderChar">
    <w:name w:val="Header Char"/>
    <w:basedOn w:val="DefaultParagraphFont"/>
    <w:link w:val="Header"/>
    <w:uiPriority w:val="99"/>
    <w:rsid w:val="00780FAF"/>
  </w:style>
  <w:style w:type="paragraph" w:styleId="Footer">
    <w:name w:val="footer"/>
    <w:basedOn w:val="Normal"/>
    <w:link w:val="FooterChar"/>
    <w:uiPriority w:val="99"/>
    <w:unhideWhenUsed/>
    <w:rsid w:val="00780FAF"/>
    <w:pPr>
      <w:tabs>
        <w:tab w:val="clear" w:pos="567"/>
        <w:tab w:val="clear" w:pos="1134"/>
        <w:tab w:val="clear" w:pos="1701"/>
        <w:tab w:val="clear" w:pos="2268"/>
        <w:tab w:val="clear" w:pos="2835"/>
        <w:tab w:val="center" w:pos="4680"/>
        <w:tab w:val="right" w:pos="9360"/>
      </w:tabs>
      <w:overflowPunct/>
      <w:autoSpaceDE/>
      <w:autoSpaceDN/>
      <w:adjustRightInd/>
      <w:spacing w:before="0"/>
      <w:textAlignment w:val="auto"/>
    </w:pPr>
    <w:rPr>
      <w:rFonts w:asciiTheme="minorHAnsi" w:eastAsiaTheme="minorEastAsia" w:hAnsiTheme="minorHAnsi" w:cstheme="minorBidi"/>
      <w:sz w:val="22"/>
      <w:szCs w:val="22"/>
      <w:lang w:val="en-US" w:eastAsia="zh-CN"/>
    </w:rPr>
  </w:style>
  <w:style w:type="character" w:customStyle="1" w:styleId="FooterChar">
    <w:name w:val="Footer Char"/>
    <w:basedOn w:val="DefaultParagraphFont"/>
    <w:link w:val="Footer"/>
    <w:uiPriority w:val="99"/>
    <w:rsid w:val="00780FAF"/>
  </w:style>
  <w:style w:type="paragraph" w:styleId="FootnoteText">
    <w:name w:val="footnote text"/>
    <w:basedOn w:val="Normal"/>
    <w:link w:val="FootnoteTextChar"/>
    <w:uiPriority w:val="99"/>
    <w:semiHidden/>
    <w:unhideWhenUsed/>
    <w:rsid w:val="00780FAF"/>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Theme="minorEastAsia" w:hAnsiTheme="minorHAnsi" w:cstheme="minorBidi"/>
      <w:sz w:val="20"/>
      <w:lang w:val="en-US" w:eastAsia="zh-CN"/>
    </w:rPr>
  </w:style>
  <w:style w:type="character" w:customStyle="1" w:styleId="FootnoteTextChar">
    <w:name w:val="Footnote Text Char"/>
    <w:basedOn w:val="DefaultParagraphFont"/>
    <w:link w:val="FootnoteText"/>
    <w:uiPriority w:val="99"/>
    <w:semiHidden/>
    <w:rsid w:val="00780FAF"/>
    <w:rPr>
      <w:sz w:val="20"/>
      <w:szCs w:val="20"/>
    </w:rPr>
  </w:style>
  <w:style w:type="character" w:styleId="FootnoteReference">
    <w:name w:val="footnote reference"/>
    <w:basedOn w:val="DefaultParagraphFont"/>
    <w:uiPriority w:val="99"/>
    <w:semiHidden/>
    <w:unhideWhenUsed/>
    <w:rsid w:val="00780FAF"/>
    <w:rPr>
      <w:vertAlign w:val="superscript"/>
    </w:rPr>
  </w:style>
  <w:style w:type="paragraph" w:styleId="ListParagraph">
    <w:name w:val="List Paragraph"/>
    <w:basedOn w:val="Normal"/>
    <w:uiPriority w:val="34"/>
    <w:qFormat/>
    <w:rsid w:val="007C7675"/>
    <w:pPr>
      <w:ind w:left="720"/>
      <w:contextualSpacing/>
    </w:pPr>
  </w:style>
  <w:style w:type="paragraph" w:styleId="BalloonText">
    <w:name w:val="Balloon Text"/>
    <w:basedOn w:val="Normal"/>
    <w:link w:val="BalloonTextChar"/>
    <w:uiPriority w:val="99"/>
    <w:semiHidden/>
    <w:unhideWhenUsed/>
    <w:rsid w:val="002F721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215"/>
    <w:rPr>
      <w:rFonts w:ascii="Tahoma" w:eastAsia="Times New Roman" w:hAnsi="Tahoma" w:cs="Tahoma"/>
      <w:sz w:val="16"/>
      <w:szCs w:val="16"/>
      <w:lang w:val="en-GB" w:eastAsia="en-US"/>
    </w:rPr>
  </w:style>
  <w:style w:type="paragraph" w:styleId="EndnoteText">
    <w:name w:val="endnote text"/>
    <w:basedOn w:val="Normal"/>
    <w:link w:val="EndnoteTextChar"/>
    <w:uiPriority w:val="99"/>
    <w:semiHidden/>
    <w:unhideWhenUsed/>
    <w:rsid w:val="00F17B59"/>
    <w:pPr>
      <w:spacing w:before="0"/>
    </w:pPr>
    <w:rPr>
      <w:sz w:val="20"/>
    </w:rPr>
  </w:style>
  <w:style w:type="character" w:customStyle="1" w:styleId="EndnoteTextChar">
    <w:name w:val="Endnote Text Char"/>
    <w:basedOn w:val="DefaultParagraphFont"/>
    <w:link w:val="EndnoteText"/>
    <w:uiPriority w:val="99"/>
    <w:semiHidden/>
    <w:rsid w:val="00F17B59"/>
    <w:rPr>
      <w:rFonts w:ascii="Calibri" w:eastAsia="Times New Roman" w:hAnsi="Calibri" w:cs="Times New Roman"/>
      <w:sz w:val="20"/>
      <w:szCs w:val="20"/>
      <w:lang w:val="en-GB" w:eastAsia="en-US"/>
    </w:rPr>
  </w:style>
  <w:style w:type="character" w:styleId="EndnoteReference">
    <w:name w:val="endnote reference"/>
    <w:basedOn w:val="DefaultParagraphFont"/>
    <w:uiPriority w:val="99"/>
    <w:semiHidden/>
    <w:unhideWhenUsed/>
    <w:rsid w:val="00F17B59"/>
    <w:rPr>
      <w:vertAlign w:val="superscript"/>
    </w:rPr>
  </w:style>
  <w:style w:type="paragraph" w:customStyle="1" w:styleId="Style1">
    <w:name w:val="Style 1"/>
    <w:uiPriority w:val="99"/>
    <w:rsid w:val="00157958"/>
    <w:pPr>
      <w:widowControl w:val="0"/>
      <w:autoSpaceDE w:val="0"/>
      <w:autoSpaceDN w:val="0"/>
      <w:adjustRightInd w:val="0"/>
      <w:spacing w:after="0" w:line="240" w:lineRule="auto"/>
    </w:pPr>
    <w:rPr>
      <w:rFonts w:ascii="Times New Roman" w:eastAsia="SimSun" w:hAnsi="Times New Roman" w:cs="Times New Roman"/>
      <w:sz w:val="20"/>
      <w:szCs w:val="20"/>
    </w:rPr>
  </w:style>
  <w:style w:type="paragraph" w:customStyle="1" w:styleId="Style3">
    <w:name w:val="Style 3"/>
    <w:uiPriority w:val="99"/>
    <w:rsid w:val="00157958"/>
    <w:pPr>
      <w:widowControl w:val="0"/>
      <w:autoSpaceDE w:val="0"/>
      <w:autoSpaceDN w:val="0"/>
      <w:spacing w:before="324" w:after="0" w:line="240" w:lineRule="auto"/>
      <w:ind w:right="72"/>
      <w:jc w:val="both"/>
    </w:pPr>
    <w:rPr>
      <w:rFonts w:ascii="Times New Roman" w:eastAsia="SimSun" w:hAnsi="Times New Roman" w:cs="Times New Roman"/>
      <w:sz w:val="18"/>
      <w:szCs w:val="18"/>
    </w:rPr>
  </w:style>
  <w:style w:type="character" w:styleId="CommentReference">
    <w:name w:val="annotation reference"/>
    <w:basedOn w:val="DefaultParagraphFont"/>
    <w:uiPriority w:val="99"/>
    <w:semiHidden/>
    <w:unhideWhenUsed/>
    <w:rsid w:val="003C6D07"/>
    <w:rPr>
      <w:sz w:val="16"/>
      <w:szCs w:val="16"/>
    </w:rPr>
  </w:style>
  <w:style w:type="paragraph" w:styleId="CommentText">
    <w:name w:val="annotation text"/>
    <w:basedOn w:val="Normal"/>
    <w:link w:val="CommentTextChar"/>
    <w:uiPriority w:val="99"/>
    <w:semiHidden/>
    <w:unhideWhenUsed/>
    <w:rsid w:val="003C6D07"/>
    <w:rPr>
      <w:sz w:val="20"/>
    </w:rPr>
  </w:style>
  <w:style w:type="character" w:customStyle="1" w:styleId="CommentTextChar">
    <w:name w:val="Comment Text Char"/>
    <w:basedOn w:val="DefaultParagraphFont"/>
    <w:link w:val="CommentText"/>
    <w:uiPriority w:val="99"/>
    <w:semiHidden/>
    <w:rsid w:val="003C6D07"/>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3C6D07"/>
    <w:rPr>
      <w:b/>
      <w:bCs/>
    </w:rPr>
  </w:style>
  <w:style w:type="character" w:customStyle="1" w:styleId="CommentSubjectChar">
    <w:name w:val="Comment Subject Char"/>
    <w:basedOn w:val="CommentTextChar"/>
    <w:link w:val="CommentSubject"/>
    <w:uiPriority w:val="99"/>
    <w:semiHidden/>
    <w:rsid w:val="003C6D07"/>
    <w:rPr>
      <w:rFonts w:ascii="Calibri" w:eastAsia="Times New Roman" w:hAnsi="Calibri" w:cs="Times New Roman"/>
      <w:b/>
      <w:bCs/>
      <w:sz w:val="20"/>
      <w:szCs w:val="20"/>
      <w:lang w:val="en-GB" w:eastAsia="en-US"/>
    </w:rPr>
  </w:style>
  <w:style w:type="character" w:styleId="FollowedHyperlink">
    <w:name w:val="FollowedHyperlink"/>
    <w:basedOn w:val="DefaultParagraphFont"/>
    <w:uiPriority w:val="99"/>
    <w:semiHidden/>
    <w:unhideWhenUsed/>
    <w:rsid w:val="00ED60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1-CL-C-0120/en" TargetMode="External"/><Relationship Id="rId18" Type="http://schemas.openxmlformats.org/officeDocument/2006/relationships/hyperlink" Target="http://www.itu.int/md/S13-CL-C-0015/en" TargetMode="External"/><Relationship Id="rId26" Type="http://schemas.openxmlformats.org/officeDocument/2006/relationships/hyperlink" Target="http://www.itu.int/md/S14-CL-C-0071/en" TargetMode="External"/><Relationship Id="rId39" Type="http://schemas.openxmlformats.org/officeDocument/2006/relationships/hyperlink" Target="http://www.itu.int/md/S14-CL-C-0071/en" TargetMode="External"/><Relationship Id="rId3" Type="http://schemas.openxmlformats.org/officeDocument/2006/relationships/styles" Target="styles.xml"/><Relationship Id="rId21" Type="http://schemas.openxmlformats.org/officeDocument/2006/relationships/hyperlink" Target="http://www.itu.int/md/S13-CL-C-0107/en" TargetMode="External"/><Relationship Id="rId34" Type="http://schemas.openxmlformats.org/officeDocument/2006/relationships/hyperlink" Target="http://www.itu.int/md/S12-CL-C-0036/en" TargetMode="External"/><Relationship Id="rId42" Type="http://schemas.openxmlformats.org/officeDocument/2006/relationships/hyperlink" Target="http://www.itu.int/md/S14-CL-C-0094/en" TargetMode="External"/><Relationship Id="rId47" Type="http://schemas.openxmlformats.org/officeDocument/2006/relationships/hyperlink" Target="http://www.unidroit.org/english/conventions/mobile-equipment/main.htm"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tu.int/md/S11-CL-C-0100/en" TargetMode="External"/><Relationship Id="rId17" Type="http://schemas.openxmlformats.org/officeDocument/2006/relationships/hyperlink" Target="http://www.itu.int/md/S12-CL-C-0094/en" TargetMode="External"/><Relationship Id="rId25" Type="http://schemas.openxmlformats.org/officeDocument/2006/relationships/hyperlink" Target="http://www.itu.int/md/S14-CL-C-0065/en" TargetMode="External"/><Relationship Id="rId33" Type="http://schemas.openxmlformats.org/officeDocument/2006/relationships/hyperlink" Target="http://www.itu.int/en/ITU-R/space/spaceAssets/DCME-SP-Doc43-resolution2-EN.pdf" TargetMode="External"/><Relationship Id="rId38" Type="http://schemas.openxmlformats.org/officeDocument/2006/relationships/hyperlink" Target="http://www.itu.int/md/S14-CL-INF-0012/en" TargetMode="External"/><Relationship Id="rId46" Type="http://schemas.openxmlformats.org/officeDocument/2006/relationships/hyperlink" Target="http://www.itu.int/en/ITU-R/space/spaceAssetsProtocol/potocolSpaceAssets09032012-EN.pdf" TargetMode="External"/><Relationship Id="rId2" Type="http://schemas.openxmlformats.org/officeDocument/2006/relationships/numbering" Target="numbering.xml"/><Relationship Id="rId16" Type="http://schemas.openxmlformats.org/officeDocument/2006/relationships/hyperlink" Target="http://www.itu.int/md/S12-CL-C-0077/en" TargetMode="External"/><Relationship Id="rId20" Type="http://schemas.openxmlformats.org/officeDocument/2006/relationships/hyperlink" Target="http://www.itu.int/md/S13-CL-C-0078/en" TargetMode="External"/><Relationship Id="rId29" Type="http://schemas.openxmlformats.org/officeDocument/2006/relationships/hyperlink" Target="http://www.itu.int/md/S11-CL-C-0100/en" TargetMode="External"/><Relationship Id="rId41" Type="http://schemas.openxmlformats.org/officeDocument/2006/relationships/hyperlink" Target="http://www.itu.int/md/S14-CL-C-0065/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S11-CL-C-0092/en" TargetMode="External"/><Relationship Id="rId24" Type="http://schemas.openxmlformats.org/officeDocument/2006/relationships/hyperlink" Target="http://www.itu.int/md/S14-CL-C-0051/en" TargetMode="External"/><Relationship Id="rId32" Type="http://schemas.openxmlformats.org/officeDocument/2006/relationships/hyperlink" Target="http://www.itu.int/en/ITU-R/space/spaceAssets/DCME-SP-Doc43-resolution1-EN.pdf" TargetMode="External"/><Relationship Id="rId37" Type="http://schemas.openxmlformats.org/officeDocument/2006/relationships/hyperlink" Target="http://www.itu.int/md/S14-CL-C-0013/en" TargetMode="External"/><Relationship Id="rId40" Type="http://schemas.openxmlformats.org/officeDocument/2006/relationships/hyperlink" Target="http://www.itu.int/md/S14-CL-C-0051/en" TargetMode="External"/><Relationship Id="rId45" Type="http://schemas.openxmlformats.org/officeDocument/2006/relationships/hyperlink" Target="https://extranet.itu.int/ITU-R/space-assets" TargetMode="External"/><Relationship Id="rId5" Type="http://schemas.openxmlformats.org/officeDocument/2006/relationships/settings" Target="settings.xml"/><Relationship Id="rId15" Type="http://schemas.openxmlformats.org/officeDocument/2006/relationships/hyperlink" Target="http://www.itu.int/md/S12-CL-C-0068/en" TargetMode="External"/><Relationship Id="rId23" Type="http://schemas.openxmlformats.org/officeDocument/2006/relationships/hyperlink" Target="http://www.itu.int/md/S14-CL-INF-0012/en" TargetMode="External"/><Relationship Id="rId28" Type="http://schemas.openxmlformats.org/officeDocument/2006/relationships/hyperlink" Target="http://www.itu.int/md/S14-CL-C-0096/en" TargetMode="External"/><Relationship Id="rId36" Type="http://schemas.openxmlformats.org/officeDocument/2006/relationships/hyperlink" Target="http://www.itu.int/md/S13-CL-C-0107/en" TargetMode="External"/><Relationship Id="rId49" Type="http://schemas.openxmlformats.org/officeDocument/2006/relationships/header" Target="header1.xml"/><Relationship Id="rId10" Type="http://schemas.openxmlformats.org/officeDocument/2006/relationships/hyperlink" Target="http://www.itu.int/md/S11-CL-C-0026/en" TargetMode="External"/><Relationship Id="rId19" Type="http://schemas.openxmlformats.org/officeDocument/2006/relationships/hyperlink" Target="http://www.itu.int/md/S13-CL-C-0055/en" TargetMode="External"/><Relationship Id="rId31" Type="http://schemas.openxmlformats.org/officeDocument/2006/relationships/hyperlink" Target="http://www.itu.int/en/ITU-R/space/spaceAssets/DCME-SP-Doc43-finalAct-EN.pdf" TargetMode="External"/><Relationship Id="rId44" Type="http://schemas.openxmlformats.org/officeDocument/2006/relationships/hyperlink" Target="http://www.itu.int/md/S14-CL-C-0013/en"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md/S12-CL-C-0036/en" TargetMode="External"/><Relationship Id="rId22" Type="http://schemas.openxmlformats.org/officeDocument/2006/relationships/hyperlink" Target="http://www.itu.int/md/S14-CL-C-0013/en" TargetMode="External"/><Relationship Id="rId27" Type="http://schemas.openxmlformats.org/officeDocument/2006/relationships/hyperlink" Target="http://www.itu.int/md/S14-CL-C-0094/en" TargetMode="External"/><Relationship Id="rId30" Type="http://schemas.openxmlformats.org/officeDocument/2006/relationships/hyperlink" Target="http://www.itu.int/en/ITU-R/space/spaceAssetsProtocol/potocolSpaceAssets09032012-EN.pdf" TargetMode="External"/><Relationship Id="rId35" Type="http://schemas.openxmlformats.org/officeDocument/2006/relationships/hyperlink" Target="http://www.itu.int/md/S13-CL-C-0055/en" TargetMode="External"/><Relationship Id="rId43" Type="http://schemas.openxmlformats.org/officeDocument/2006/relationships/hyperlink" Target="http://www.itu.int/md/S14-CL-C-0096/en" TargetMode="External"/><Relationship Id="rId48" Type="http://schemas.openxmlformats.org/officeDocument/2006/relationships/hyperlink" Target="http://www.unidroit.org/english/conventions/mobile-equipment/main.htm"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71417-E169-44EC-A6D8-3D6659943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4690</Words>
  <Characters>26733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Brouard, Ricarda</cp:lastModifiedBy>
  <cp:revision>5</cp:revision>
  <cp:lastPrinted>2014-08-11T07:11:00Z</cp:lastPrinted>
  <dcterms:created xsi:type="dcterms:W3CDTF">2014-08-11T07:16:00Z</dcterms:created>
  <dcterms:modified xsi:type="dcterms:W3CDTF">2014-08-11T13:24:00Z</dcterms:modified>
</cp:coreProperties>
</file>