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80E5E" w:rsidTr="00381670">
        <w:trPr>
          <w:cantSplit/>
        </w:trPr>
        <w:tc>
          <w:tcPr>
            <w:tcW w:w="6911" w:type="dxa"/>
          </w:tcPr>
          <w:p w:rsidR="00F96AB4" w:rsidRPr="00C80E5E" w:rsidRDefault="00F96AB4" w:rsidP="0038167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80E5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80E5E">
              <w:rPr>
                <w:rFonts w:ascii="Verdana" w:hAnsi="Verdana"/>
                <w:szCs w:val="22"/>
                <w:lang w:val="ru-RU"/>
              </w:rPr>
              <w:br/>
            </w:r>
            <w:r w:rsidRPr="00C80E5E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C80E5E" w:rsidRDefault="00F96AB4" w:rsidP="00381670">
            <w:pPr>
              <w:rPr>
                <w:lang w:val="ru-RU"/>
              </w:rPr>
            </w:pPr>
            <w:bookmarkStart w:id="1" w:name="ditulogo"/>
            <w:bookmarkEnd w:id="1"/>
            <w:r w:rsidRPr="00C80E5E">
              <w:rPr>
                <w:noProof/>
                <w:lang w:val="en-US" w:eastAsia="zh-CN"/>
              </w:rPr>
              <w:drawing>
                <wp:inline distT="0" distB="0" distL="0" distR="0" wp14:anchorId="4D089CC4" wp14:editId="5E72E7B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80E5E" w:rsidTr="0038167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80E5E" w:rsidRDefault="00F96AB4" w:rsidP="00381670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80E5E" w:rsidRDefault="00F96AB4" w:rsidP="00381670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C80E5E" w:rsidTr="0038167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80E5E" w:rsidRDefault="00F96AB4" w:rsidP="00381670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80E5E" w:rsidRDefault="00F96AB4" w:rsidP="00381670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C80E5E" w:rsidTr="00381670">
        <w:trPr>
          <w:cantSplit/>
        </w:trPr>
        <w:tc>
          <w:tcPr>
            <w:tcW w:w="6911" w:type="dxa"/>
          </w:tcPr>
          <w:p w:rsidR="00131286" w:rsidRPr="00C80E5E" w:rsidRDefault="00131286" w:rsidP="00131286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C80E5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C80E5E" w:rsidRDefault="00131286" w:rsidP="003373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C80E5E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33736F" w:rsidRPr="00C80E5E">
              <w:rPr>
                <w:rFonts w:cstheme="minorHAnsi"/>
                <w:b/>
                <w:bCs/>
                <w:szCs w:val="28"/>
                <w:lang w:val="ru-RU"/>
              </w:rPr>
              <w:t>61</w:t>
            </w:r>
            <w:r w:rsidRPr="00C80E5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C80E5E" w:rsidTr="00381670">
        <w:trPr>
          <w:cantSplit/>
        </w:trPr>
        <w:tc>
          <w:tcPr>
            <w:tcW w:w="6911" w:type="dxa"/>
          </w:tcPr>
          <w:p w:rsidR="00131286" w:rsidRPr="00C80E5E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80E5E" w:rsidRDefault="0033736F" w:rsidP="0033736F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C80E5E">
              <w:rPr>
                <w:rFonts w:cstheme="minorHAnsi"/>
                <w:b/>
                <w:bCs/>
                <w:szCs w:val="28"/>
                <w:lang w:val="ru-RU"/>
              </w:rPr>
              <w:t>11 августа</w:t>
            </w:r>
            <w:r w:rsidR="00131286" w:rsidRPr="00C80E5E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Pr="00C80E5E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C80E5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C80E5E" w:rsidTr="00381670">
        <w:trPr>
          <w:cantSplit/>
        </w:trPr>
        <w:tc>
          <w:tcPr>
            <w:tcW w:w="6911" w:type="dxa"/>
          </w:tcPr>
          <w:p w:rsidR="00131286" w:rsidRPr="00C80E5E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80E5E" w:rsidRDefault="00131286" w:rsidP="0013128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C80E5E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C80E5E" w:rsidTr="00381670">
        <w:trPr>
          <w:cantSplit/>
        </w:trPr>
        <w:tc>
          <w:tcPr>
            <w:tcW w:w="10031" w:type="dxa"/>
            <w:gridSpan w:val="2"/>
          </w:tcPr>
          <w:p w:rsidR="00131286" w:rsidRPr="00C80E5E" w:rsidRDefault="0033736F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80E5E">
              <w:rPr>
                <w:lang w:val="ru-RU"/>
              </w:rPr>
              <w:t>Отчет Генерального секретаря</w:t>
            </w:r>
          </w:p>
        </w:tc>
      </w:tr>
      <w:tr w:rsidR="00131286" w:rsidRPr="00C80E5E" w:rsidTr="00381670">
        <w:trPr>
          <w:cantSplit/>
        </w:trPr>
        <w:tc>
          <w:tcPr>
            <w:tcW w:w="10031" w:type="dxa"/>
            <w:gridSpan w:val="2"/>
          </w:tcPr>
          <w:p w:rsidR="00131286" w:rsidRPr="00C80E5E" w:rsidRDefault="00381670" w:rsidP="0038167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80E5E">
              <w:rPr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C80E5E">
              <w:rPr>
                <w:lang w:val="ru-RU"/>
              </w:rPr>
              <w:br/>
              <w:t>связанных с участием в работе мсэ</w:t>
            </w:r>
          </w:p>
        </w:tc>
      </w:tr>
      <w:bookmarkEnd w:id="5"/>
    </w:tbl>
    <w:p w:rsidR="00F96AB4" w:rsidRPr="00C80E5E" w:rsidRDefault="00F96AB4">
      <w:pPr>
        <w:rPr>
          <w:lang w:val="ru-RU"/>
        </w:rPr>
      </w:pP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776552" w:rsidRPr="00C80E5E" w:rsidTr="00BF7335">
        <w:trPr>
          <w:trHeight w:val="679"/>
          <w:jc w:val="center"/>
        </w:trPr>
        <w:tc>
          <w:tcPr>
            <w:tcW w:w="8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552" w:rsidRPr="00C80E5E" w:rsidRDefault="00776552" w:rsidP="00BF7335">
            <w:pPr>
              <w:pStyle w:val="Headingb"/>
              <w:keepNext w:val="0"/>
              <w:keepLines w:val="0"/>
              <w:rPr>
                <w:lang w:val="ru-RU"/>
              </w:rPr>
            </w:pPr>
            <w:r w:rsidRPr="00C80E5E">
              <w:rPr>
                <w:lang w:val="ru-RU"/>
              </w:rPr>
              <w:t>Резюме</w:t>
            </w:r>
          </w:p>
          <w:p w:rsidR="00776552" w:rsidRPr="00C80E5E" w:rsidRDefault="00381670" w:rsidP="00C05FA5">
            <w:pPr>
              <w:snapToGrid w:val="0"/>
              <w:spacing w:after="120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lang w:val="ru-RU"/>
              </w:rPr>
              <w:t xml:space="preserve">Заявки на предоставление освобождения от каких бы то ни было финансовых взносов, полученные от </w:t>
            </w:r>
            <w:r w:rsidR="00651813" w:rsidRPr="00C80E5E">
              <w:rPr>
                <w:lang w:val="ru-RU"/>
              </w:rPr>
              <w:t xml:space="preserve">региональных и </w:t>
            </w:r>
            <w:r w:rsidRPr="00C80E5E">
              <w:rPr>
                <w:lang w:val="ru-RU"/>
              </w:rPr>
              <w:t>международных организаций, были рассмотрены на различных сессиях Совета в соответствии с процедурой, установленной Советом на его сессии 2000 года.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r w:rsidR="00807A5A" w:rsidRPr="00C80E5E">
              <w:rPr>
                <w:rFonts w:asciiTheme="minorHAnsi" w:hAnsiTheme="minorHAnsi"/>
                <w:szCs w:val="24"/>
                <w:lang w:val="ru-RU"/>
              </w:rPr>
              <w:t>Согласно этой процедуре, освобождения, предоставляемые различными сессиями Совета, действительн</w:t>
            </w:r>
            <w:r w:rsidR="00A14325" w:rsidRPr="00C80E5E">
              <w:rPr>
                <w:rFonts w:asciiTheme="minorHAnsi" w:hAnsiTheme="minorHAnsi"/>
                <w:szCs w:val="24"/>
                <w:lang w:val="ru-RU"/>
              </w:rPr>
              <w:t>ы</w:t>
            </w:r>
            <w:r w:rsidR="00807A5A" w:rsidRPr="00C80E5E">
              <w:rPr>
                <w:rFonts w:asciiTheme="minorHAnsi" w:hAnsiTheme="minorHAnsi"/>
                <w:szCs w:val="24"/>
                <w:lang w:val="ru-RU"/>
              </w:rPr>
              <w:t xml:space="preserve"> до следующей Полномочной конференции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. </w:t>
            </w:r>
            <w:r w:rsidR="00807A5A" w:rsidRPr="00C80E5E">
              <w:rPr>
                <w:rFonts w:asciiTheme="minorHAnsi" w:hAnsiTheme="minorHAnsi"/>
                <w:szCs w:val="24"/>
                <w:lang w:val="ru-RU"/>
              </w:rPr>
              <w:t xml:space="preserve">Полномочная конференция 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>2010</w:t>
            </w:r>
            <w:r w:rsidR="00807A5A" w:rsidRPr="00C80E5E">
              <w:rPr>
                <w:rFonts w:asciiTheme="minorHAnsi" w:hAnsiTheme="minorHAnsi"/>
                <w:szCs w:val="24"/>
                <w:lang w:val="ru-RU"/>
              </w:rPr>
              <w:t> года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8C128D" w:rsidRPr="00C80E5E">
              <w:rPr>
                <w:rFonts w:asciiTheme="minorHAnsi" w:hAnsiTheme="minorHAnsi"/>
                <w:szCs w:val="24"/>
                <w:lang w:val="ru-RU"/>
              </w:rPr>
              <w:t>ПК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-10) </w:t>
            </w:r>
            <w:r w:rsidR="00807A5A" w:rsidRPr="00C80E5E">
              <w:rPr>
                <w:rFonts w:asciiTheme="minorHAnsi" w:hAnsiTheme="minorHAnsi"/>
                <w:szCs w:val="24"/>
                <w:lang w:val="ru-RU"/>
              </w:rPr>
              <w:t xml:space="preserve">рассмотрела и утвердила продление освобождений 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до следующей Полномочной конференции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ПК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>-14).</w:t>
            </w:r>
          </w:p>
          <w:p w:rsidR="00BF7335" w:rsidRPr="00C80E5E" w:rsidRDefault="00BF7335" w:rsidP="00BF7335">
            <w:pPr>
              <w:rPr>
                <w:szCs w:val="22"/>
                <w:lang w:val="ru-RU"/>
              </w:rPr>
            </w:pPr>
            <w:r w:rsidRPr="00C80E5E">
              <w:rPr>
                <w:lang w:val="ru-RU"/>
              </w:rPr>
              <w:t xml:space="preserve">Принимая во внимание рекомендацию Рабочей группы Совета по финансовым и людским ресурсам о проведении всестороннего рассмотрения критериев для освобождения от каких бы то ни было финансовых взносов, Совет 2014 года </w:t>
            </w:r>
            <w:r w:rsidRPr="00C80E5E">
              <w:rPr>
                <w:bCs/>
                <w:lang w:val="ru-RU"/>
              </w:rPr>
              <w:t>отложил</w:t>
            </w:r>
            <w:r w:rsidRPr="00C80E5E">
              <w:rPr>
                <w:lang w:val="ru-RU"/>
              </w:rPr>
              <w:t xml:space="preserve"> принятие какого бы то ни было решения относительно новых заявок об освобождении до Полномочной конференции 2014 года</w:t>
            </w:r>
            <w:r w:rsidRPr="00C80E5E">
              <w:rPr>
                <w:rFonts w:asciiTheme="minorHAnsi" w:hAnsiTheme="minorHAnsi" w:cstheme="minorHAnsi"/>
                <w:lang w:val="ru-RU"/>
              </w:rPr>
              <w:t>.</w:t>
            </w:r>
          </w:p>
          <w:p w:rsidR="00776552" w:rsidRPr="00C80E5E" w:rsidRDefault="00776552" w:rsidP="00BF7335">
            <w:pPr>
              <w:pStyle w:val="Headingb"/>
              <w:rPr>
                <w:lang w:val="ru-RU"/>
              </w:rPr>
            </w:pPr>
            <w:r w:rsidRPr="00C80E5E">
              <w:rPr>
                <w:lang w:val="ru-RU"/>
              </w:rPr>
              <w:t>Необходимые действия</w:t>
            </w:r>
          </w:p>
          <w:p w:rsidR="00776552" w:rsidRPr="00C80E5E" w:rsidRDefault="00BF7335" w:rsidP="00381670">
            <w:pPr>
              <w:snapToGrid w:val="0"/>
              <w:spacing w:after="120"/>
              <w:jc w:val="both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rFonts w:asciiTheme="minorHAnsi" w:hAnsiTheme="minorHAnsi"/>
                <w:szCs w:val="24"/>
                <w:lang w:val="ru-RU"/>
              </w:rPr>
              <w:t>Полномочной конференции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>Пусан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>, 2014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 г.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) </w:t>
            </w:r>
            <w:r w:rsidRPr="00C80E5E">
              <w:rPr>
                <w:lang w:val="ru-RU"/>
              </w:rPr>
              <w:t>предлагается</w:t>
            </w:r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>:</w:t>
            </w:r>
          </w:p>
          <w:p w:rsidR="00776552" w:rsidRPr="00C80E5E" w:rsidRDefault="00776552" w:rsidP="006239DA">
            <w:pPr>
              <w:pStyle w:val="enumlev1"/>
              <w:rPr>
                <w:b/>
                <w:bCs/>
                <w:lang w:val="ru-RU"/>
              </w:rPr>
            </w:pPr>
            <w:r w:rsidRPr="00C80E5E">
              <w:rPr>
                <w:bCs/>
                <w:lang w:val="ru-RU"/>
              </w:rPr>
              <w:t>1)</w:t>
            </w:r>
            <w:r w:rsidRPr="00C80E5E">
              <w:rPr>
                <w:b/>
                <w:bCs/>
                <w:lang w:val="ru-RU"/>
              </w:rPr>
              <w:tab/>
            </w:r>
            <w:r w:rsidR="006239DA" w:rsidRPr="00C80E5E">
              <w:rPr>
                <w:b/>
                <w:bCs/>
                <w:lang w:val="ru-RU"/>
              </w:rPr>
              <w:t>рассмотреть</w:t>
            </w:r>
            <w:r w:rsidRPr="00C80E5E">
              <w:rPr>
                <w:lang w:val="ru-RU"/>
              </w:rPr>
              <w:t xml:space="preserve"> </w:t>
            </w:r>
            <w:r w:rsidR="006239DA" w:rsidRPr="00C80E5E">
              <w:rPr>
                <w:lang w:val="ru-RU"/>
              </w:rPr>
              <w:t>список организаций, представленный Совету</w:t>
            </w:r>
            <w:r w:rsidRPr="00C80E5E">
              <w:rPr>
                <w:lang w:val="ru-RU"/>
              </w:rPr>
              <w:t xml:space="preserve"> 2014</w:t>
            </w:r>
            <w:r w:rsidR="006239DA" w:rsidRPr="00C80E5E">
              <w:rPr>
                <w:lang w:val="ru-RU"/>
              </w:rPr>
              <w:t> года</w:t>
            </w:r>
            <w:r w:rsidRPr="00C80E5E">
              <w:rPr>
                <w:lang w:val="ru-RU"/>
              </w:rPr>
              <w:t xml:space="preserve"> (</w:t>
            </w:r>
            <w:r w:rsidR="006239DA" w:rsidRPr="00C80E5E">
              <w:rPr>
                <w:lang w:val="ru-RU"/>
              </w:rPr>
              <w:t>Приложение </w:t>
            </w:r>
            <w:r w:rsidRPr="00C80E5E">
              <w:rPr>
                <w:lang w:val="ru-RU"/>
              </w:rPr>
              <w:t>1)</w:t>
            </w:r>
            <w:r w:rsidR="00651813" w:rsidRPr="00C80E5E">
              <w:rPr>
                <w:lang w:val="ru-RU"/>
              </w:rPr>
              <w:t>,</w:t>
            </w:r>
            <w:r w:rsidRPr="00C80E5E">
              <w:rPr>
                <w:lang w:val="ru-RU"/>
              </w:rPr>
              <w:t xml:space="preserve"> </w:t>
            </w:r>
            <w:r w:rsidR="006239DA" w:rsidRPr="00C80E5E">
              <w:rPr>
                <w:lang w:val="ru-RU"/>
              </w:rPr>
              <w:t xml:space="preserve">и </w:t>
            </w:r>
            <w:r w:rsidR="006239DA" w:rsidRPr="00C80E5E">
              <w:rPr>
                <w:b/>
                <w:bCs/>
                <w:lang w:val="ru-RU"/>
              </w:rPr>
              <w:t xml:space="preserve">утвердить </w:t>
            </w:r>
            <w:r w:rsidR="006239DA" w:rsidRPr="00C80E5E">
              <w:rPr>
                <w:lang w:val="ru-RU"/>
              </w:rPr>
              <w:t>рекомендации Генерального секретаря</w:t>
            </w:r>
            <w:r w:rsidRPr="00C80E5E">
              <w:rPr>
                <w:rFonts w:cs="Calibri"/>
                <w:lang w:val="ru-RU"/>
              </w:rPr>
              <w:t xml:space="preserve">; </w:t>
            </w:r>
          </w:p>
          <w:p w:rsidR="00776552" w:rsidRPr="00C80E5E" w:rsidRDefault="00776552" w:rsidP="006239DA">
            <w:pPr>
              <w:pStyle w:val="enumlev1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rFonts w:asciiTheme="minorHAnsi" w:hAnsiTheme="minorHAnsi"/>
                <w:bCs/>
                <w:szCs w:val="24"/>
                <w:lang w:val="ru-RU"/>
              </w:rPr>
              <w:t>2)</w:t>
            </w:r>
            <w:r w:rsidRPr="00C80E5E">
              <w:rPr>
                <w:rFonts w:asciiTheme="minorHAnsi" w:hAnsiTheme="minorHAnsi"/>
                <w:b/>
                <w:bCs/>
                <w:szCs w:val="24"/>
                <w:lang w:val="ru-RU"/>
              </w:rPr>
              <w:tab/>
            </w:r>
            <w:r w:rsidR="006239DA" w:rsidRPr="00C80E5E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поручить 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Совету рассмотреть критерии освобождения и соответствующим образом скорректировать список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 (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Приложение 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1 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и Приложение 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2); 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>и</w:t>
            </w:r>
          </w:p>
          <w:p w:rsidR="00776552" w:rsidRPr="00C80E5E" w:rsidRDefault="00776552" w:rsidP="000E399D">
            <w:pPr>
              <w:pStyle w:val="enumlev1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rFonts w:asciiTheme="minorHAnsi" w:hAnsiTheme="minorHAnsi"/>
                <w:bCs/>
                <w:szCs w:val="24"/>
                <w:lang w:val="ru-RU"/>
              </w:rPr>
              <w:t>3)</w:t>
            </w:r>
            <w:r w:rsidRPr="00C80E5E">
              <w:rPr>
                <w:rFonts w:asciiTheme="minorHAnsi" w:hAnsiTheme="minorHAnsi"/>
                <w:b/>
                <w:bCs/>
                <w:szCs w:val="24"/>
                <w:lang w:val="ru-RU"/>
              </w:rPr>
              <w:tab/>
            </w:r>
            <w:r w:rsidR="006239DA" w:rsidRPr="00C80E5E">
              <w:rPr>
                <w:rFonts w:asciiTheme="minorHAnsi" w:hAnsiTheme="minorHAnsi"/>
                <w:b/>
                <w:bCs/>
                <w:szCs w:val="24"/>
                <w:lang w:val="ru-RU"/>
              </w:rPr>
              <w:t>утвердить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 </w:t>
            </w:r>
            <w:r w:rsidR="006239DA" w:rsidRPr="00C80E5E">
              <w:rPr>
                <w:rFonts w:asciiTheme="minorHAnsi" w:hAnsiTheme="minorHAnsi"/>
                <w:szCs w:val="24"/>
                <w:lang w:val="ru-RU"/>
              </w:rPr>
              <w:t xml:space="preserve">краткосрочное продление </w:t>
            </w:r>
            <w:r w:rsidR="000E399D" w:rsidRPr="00C80E5E">
              <w:rPr>
                <w:rFonts w:asciiTheme="minorHAnsi" w:hAnsiTheme="minorHAnsi"/>
                <w:szCs w:val="24"/>
                <w:lang w:val="ru-RU"/>
              </w:rPr>
              <w:t xml:space="preserve">действия </w:t>
            </w:r>
            <w:r w:rsidR="00566BD1" w:rsidRPr="00C80E5E">
              <w:rPr>
                <w:rFonts w:asciiTheme="minorHAnsi" w:hAnsiTheme="minorHAnsi"/>
                <w:szCs w:val="24"/>
                <w:lang w:val="ru-RU"/>
              </w:rPr>
              <w:t xml:space="preserve">списка освобожденных объединений до завершения </w:t>
            </w:r>
            <w:r w:rsidR="000E399D" w:rsidRPr="00C80E5E">
              <w:rPr>
                <w:rFonts w:asciiTheme="minorHAnsi" w:hAnsiTheme="minorHAnsi"/>
                <w:szCs w:val="24"/>
                <w:lang w:val="ru-RU"/>
              </w:rPr>
              <w:t xml:space="preserve">Советом </w:t>
            </w:r>
            <w:r w:rsidR="00566BD1" w:rsidRPr="00C80E5E">
              <w:rPr>
                <w:rFonts w:asciiTheme="minorHAnsi" w:hAnsiTheme="minorHAnsi"/>
                <w:szCs w:val="24"/>
                <w:lang w:val="ru-RU"/>
              </w:rPr>
              <w:t>этого рассмотрения и корректировки</w:t>
            </w:r>
            <w:r w:rsidRPr="00C80E5E">
              <w:rPr>
                <w:rFonts w:asciiTheme="minorHAnsi" w:hAnsiTheme="minorHAnsi"/>
                <w:szCs w:val="24"/>
                <w:lang w:val="ru-RU"/>
              </w:rPr>
              <w:t xml:space="preserve">. </w:t>
            </w:r>
          </w:p>
          <w:p w:rsidR="00776552" w:rsidRPr="00C80E5E" w:rsidRDefault="00776552" w:rsidP="0038167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rFonts w:asciiTheme="minorHAnsi" w:hAnsiTheme="minorHAnsi"/>
                <w:szCs w:val="24"/>
                <w:lang w:val="ru-RU"/>
              </w:rPr>
              <w:t>____________</w:t>
            </w:r>
          </w:p>
          <w:p w:rsidR="00776552" w:rsidRPr="00C80E5E" w:rsidRDefault="00BF7335" w:rsidP="00BF7335">
            <w:pPr>
              <w:pStyle w:val="Headingb"/>
              <w:rPr>
                <w:rFonts w:asciiTheme="minorHAnsi" w:hAnsiTheme="minorHAnsi"/>
                <w:szCs w:val="24"/>
                <w:lang w:val="ru-RU"/>
              </w:rPr>
            </w:pPr>
            <w:r w:rsidRPr="00C80E5E">
              <w:rPr>
                <w:lang w:val="ru-RU"/>
              </w:rPr>
              <w:t>Справочные материалы</w:t>
            </w:r>
          </w:p>
          <w:p w:rsidR="00776552" w:rsidRPr="00C80E5E" w:rsidRDefault="008155CF" w:rsidP="00776552">
            <w:pPr>
              <w:snapToGrid w:val="0"/>
              <w:spacing w:after="120"/>
              <w:rPr>
                <w:i/>
                <w:iCs/>
                <w:lang w:val="ru-RU"/>
              </w:rPr>
            </w:pPr>
            <w:hyperlink r:id="rId9" w:anchor="cv231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Пункт 231 Конвенции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0" w:anchor="res110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Резолюция 110 (Марракеш, 2002 г.)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Документы </w:t>
            </w:r>
            <w:hyperlink r:id="rId11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C2000/28(Rev.1)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2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C2001/26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3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C02/94 (§ 2)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4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C03/40 и (Add.1)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5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C03-ADD/3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6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C05/40</w:t>
              </w:r>
            </w:hyperlink>
            <w:r w:rsidR="00776552" w:rsidRPr="00C80E5E">
              <w:rPr>
                <w:rFonts w:asciiTheme="minorHAnsi" w:hAnsiTheme="minorHAnsi"/>
                <w:i/>
                <w:iCs/>
                <w:szCs w:val="24"/>
                <w:lang w:val="ru-RU"/>
              </w:rPr>
              <w:t xml:space="preserve">, </w:t>
            </w:r>
            <w:hyperlink r:id="rId17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C09/62</w:t>
              </w:r>
            </w:hyperlink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18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C10/38</w:t>
              </w:r>
            </w:hyperlink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19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C10/39(Rev.1)</w:t>
              </w:r>
            </w:hyperlink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 xml:space="preserve">, </w:t>
            </w:r>
            <w:hyperlink r:id="rId20" w:history="1">
              <w:r w:rsidR="00776552" w:rsidRPr="00C80E5E">
                <w:rPr>
                  <w:rFonts w:asciiTheme="minorHAnsi" w:hAnsiTheme="minorHAnsi"/>
                  <w:i/>
                  <w:iCs/>
                  <w:color w:val="0000FF"/>
                  <w:szCs w:val="24"/>
                  <w:u w:val="single"/>
                  <w:lang w:val="ru-RU"/>
                </w:rPr>
                <w:t>C10/91</w:t>
              </w:r>
            </w:hyperlink>
            <w:r w:rsidR="00776552" w:rsidRPr="00C80E5E">
              <w:rPr>
                <w:rFonts w:asciiTheme="minorHAnsi" w:hAnsiTheme="minorHAnsi"/>
                <w:szCs w:val="24"/>
                <w:lang w:val="ru-RU"/>
              </w:rPr>
              <w:t>,</w:t>
            </w:r>
            <w:r w:rsidR="00776552" w:rsidRPr="00C80E5E">
              <w:rPr>
                <w:rFonts w:asciiTheme="minorHAnsi" w:eastAsia="Arial Unicode MS" w:hAnsiTheme="minorHAnsi" w:cs="Calibri"/>
                <w:szCs w:val="24"/>
                <w:lang w:val="ru-RU"/>
              </w:rPr>
              <w:t xml:space="preserve"> </w:t>
            </w:r>
            <w:hyperlink r:id="rId21" w:history="1">
              <w:r w:rsidR="00776552" w:rsidRPr="00C80E5E">
                <w:rPr>
                  <w:rStyle w:val="Hyperlink"/>
                  <w:rFonts w:asciiTheme="minorHAnsi" w:eastAsia="Arial Unicode MS" w:hAnsiTheme="minorHAnsi" w:cs="Calibri"/>
                  <w:i/>
                  <w:szCs w:val="24"/>
                  <w:lang w:val="ru-RU"/>
                </w:rPr>
                <w:t>C11/20 и (Add.1)</w:t>
              </w:r>
            </w:hyperlink>
            <w:r w:rsidR="00776552" w:rsidRPr="00C80E5E">
              <w:rPr>
                <w:rFonts w:asciiTheme="minorHAnsi" w:eastAsia="Arial Unicode MS" w:hAnsiTheme="minorHAnsi" w:cs="Calibri"/>
                <w:i/>
                <w:szCs w:val="24"/>
                <w:lang w:val="ru-RU"/>
              </w:rPr>
              <w:t xml:space="preserve">, </w:t>
            </w:r>
            <w:hyperlink r:id="rId22" w:history="1">
              <w:r w:rsidR="00776552" w:rsidRPr="00C80E5E">
                <w:rPr>
                  <w:rStyle w:val="Hyperlink"/>
                  <w:rFonts w:asciiTheme="minorHAnsi" w:eastAsia="Arial Unicode MS" w:hAnsiTheme="minorHAnsi" w:cs="Calibri"/>
                  <w:i/>
                  <w:szCs w:val="24"/>
                  <w:lang w:val="ru-RU"/>
                </w:rPr>
                <w:t>C12/23 и (Add.1) и (Add.2)</w:t>
              </w:r>
            </w:hyperlink>
            <w:r w:rsidR="00776552" w:rsidRPr="00C80E5E">
              <w:rPr>
                <w:rFonts w:asciiTheme="minorHAnsi" w:eastAsia="Arial Unicode MS" w:hAnsiTheme="minorHAnsi" w:cs="Calibri"/>
                <w:i/>
                <w:szCs w:val="24"/>
                <w:lang w:val="ru-RU"/>
              </w:rPr>
              <w:t xml:space="preserve">, </w:t>
            </w:r>
            <w:hyperlink r:id="rId23" w:history="1">
              <w:r w:rsidR="00776552" w:rsidRPr="00C80E5E">
                <w:rPr>
                  <w:rStyle w:val="Hyperlink"/>
                  <w:rFonts w:asciiTheme="minorHAnsi" w:eastAsia="Arial Unicode MS" w:hAnsiTheme="minorHAnsi" w:cs="Calibri"/>
                  <w:i/>
                  <w:szCs w:val="24"/>
                  <w:lang w:val="ru-RU"/>
                </w:rPr>
                <w:t>C13/44 и (Add.1) и (Add. 2) и (Add.3)</w:t>
              </w:r>
              <w:r w:rsidR="00776552" w:rsidRPr="00C80E5E">
                <w:rPr>
                  <w:rStyle w:val="Hyperlink"/>
                  <w:rFonts w:asciiTheme="minorHAnsi" w:eastAsia="Arial Unicode MS" w:hAnsiTheme="minorHAnsi" w:cs="Calibri"/>
                  <w:i/>
                  <w:color w:val="auto"/>
                  <w:szCs w:val="24"/>
                  <w:u w:val="none"/>
                  <w:lang w:val="ru-RU"/>
                </w:rPr>
                <w:t>,</w:t>
              </w:r>
            </w:hyperlink>
            <w:r w:rsidR="00776552" w:rsidRPr="00C80E5E">
              <w:rPr>
                <w:rFonts w:asciiTheme="minorHAnsi" w:eastAsia="Arial Unicode MS" w:hAnsiTheme="minorHAnsi" w:cs="Calibri"/>
                <w:i/>
                <w:szCs w:val="24"/>
                <w:lang w:val="ru-RU"/>
              </w:rPr>
              <w:t xml:space="preserve"> </w:t>
            </w:r>
            <w:hyperlink r:id="rId24" w:history="1">
              <w:r w:rsidR="00776552" w:rsidRPr="00C80E5E">
                <w:rPr>
                  <w:rStyle w:val="Hyperlink"/>
                  <w:rFonts w:asciiTheme="minorHAnsi" w:eastAsia="Arial Unicode MS" w:hAnsiTheme="minorHAnsi" w:cs="Calibri"/>
                  <w:i/>
                  <w:szCs w:val="24"/>
                  <w:lang w:val="ru-RU"/>
                </w:rPr>
                <w:t>C14/8</w:t>
              </w:r>
            </w:hyperlink>
          </w:p>
        </w:tc>
      </w:tr>
    </w:tbl>
    <w:p w:rsidR="00776552" w:rsidRPr="00C80E5E" w:rsidRDefault="00BF7335" w:rsidP="00BF7335">
      <w:pPr>
        <w:pStyle w:val="Heading1"/>
        <w:rPr>
          <w:lang w:val="ru-RU"/>
        </w:rPr>
      </w:pPr>
      <w:r w:rsidRPr="00C80E5E">
        <w:rPr>
          <w:lang w:val="ru-RU"/>
        </w:rPr>
        <w:lastRenderedPageBreak/>
        <w:t>1</w:t>
      </w:r>
      <w:r w:rsidR="00776552" w:rsidRPr="00C80E5E">
        <w:rPr>
          <w:lang w:val="ru-RU"/>
        </w:rPr>
        <w:tab/>
      </w:r>
      <w:r w:rsidRPr="00C80E5E">
        <w:rPr>
          <w:lang w:val="ru-RU"/>
        </w:rPr>
        <w:t>Ситуация</w:t>
      </w:r>
    </w:p>
    <w:p w:rsidR="008E2462" w:rsidRPr="00C80E5E" w:rsidRDefault="00776552" w:rsidP="00C05FA5">
      <w:pPr>
        <w:rPr>
          <w:rFonts w:eastAsiaTheme="minorEastAsia"/>
          <w:szCs w:val="24"/>
          <w:lang w:val="ru-RU" w:eastAsia="zh-CN"/>
        </w:rPr>
      </w:pPr>
      <w:r w:rsidRPr="00C80E5E">
        <w:rPr>
          <w:lang w:val="ru-RU"/>
        </w:rPr>
        <w:t>1.1</w:t>
      </w:r>
      <w:r w:rsidRPr="00C80E5E">
        <w:rPr>
          <w:lang w:val="ru-RU"/>
        </w:rPr>
        <w:tab/>
      </w:r>
      <w:r w:rsidR="00A14325" w:rsidRPr="00C80E5E">
        <w:rPr>
          <w:lang w:val="ru-RU"/>
        </w:rPr>
        <w:t>В настоящее время</w:t>
      </w:r>
      <w:r w:rsidRPr="00C80E5E">
        <w:rPr>
          <w:lang w:val="ru-RU"/>
        </w:rPr>
        <w:t xml:space="preserve"> </w:t>
      </w:r>
      <w:r w:rsidR="00BF7335" w:rsidRPr="00C80E5E">
        <w:rPr>
          <w:lang w:val="ru-RU"/>
        </w:rPr>
        <w:t xml:space="preserve">112 региональных и международных организаций (см. </w:t>
      </w:r>
      <w:r w:rsidR="00A14325" w:rsidRPr="00C80E5E">
        <w:rPr>
          <w:lang w:val="ru-RU"/>
        </w:rPr>
        <w:t xml:space="preserve">полный перечень в </w:t>
      </w:r>
      <w:r w:rsidR="00BF7335" w:rsidRPr="00C80E5E">
        <w:rPr>
          <w:lang w:val="ru-RU"/>
        </w:rPr>
        <w:t>Приложени</w:t>
      </w:r>
      <w:r w:rsidR="00A14325" w:rsidRPr="00C80E5E">
        <w:rPr>
          <w:lang w:val="ru-RU"/>
        </w:rPr>
        <w:t>и</w:t>
      </w:r>
      <w:r w:rsidR="00BF7335" w:rsidRPr="00C80E5E">
        <w:rPr>
          <w:lang w:val="ru-RU"/>
        </w:rPr>
        <w:t xml:space="preserve"> 2), являющихся Членами Секторов МСЭ </w:t>
      </w:r>
      <w:r w:rsidR="00A14325" w:rsidRPr="00C80E5E">
        <w:rPr>
          <w:lang w:val="ru-RU"/>
        </w:rPr>
        <w:t xml:space="preserve">или Ассоциированными членами </w:t>
      </w:r>
      <w:r w:rsidR="00BF7335" w:rsidRPr="00C80E5E">
        <w:rPr>
          <w:lang w:val="ru-RU"/>
        </w:rPr>
        <w:t>согласно пункту 231 Конвенции, были освобождены Советом от каких бы то ни было финансовых взносов в соответствии с пунктом 476 Конвенции и процедурой, установле</w:t>
      </w:r>
      <w:r w:rsidR="00A14325" w:rsidRPr="00C80E5E">
        <w:rPr>
          <w:lang w:val="ru-RU"/>
        </w:rPr>
        <w:t>нной Советом на его сессии 2000 </w:t>
      </w:r>
      <w:r w:rsidR="00BF7335" w:rsidRPr="00C80E5E">
        <w:rPr>
          <w:lang w:val="ru-RU"/>
        </w:rPr>
        <w:t>года</w:t>
      </w:r>
      <w:r w:rsidRPr="00C80E5E">
        <w:rPr>
          <w:rFonts w:eastAsiaTheme="minorEastAsia"/>
          <w:szCs w:val="24"/>
          <w:lang w:val="ru-RU" w:eastAsia="zh-CN"/>
        </w:rPr>
        <w:t xml:space="preserve"> (</w:t>
      </w:r>
      <w:hyperlink r:id="rId25" w:history="1">
        <w:r w:rsidRPr="00C80E5E">
          <w:rPr>
            <w:i/>
            <w:iCs/>
            <w:color w:val="0000FF"/>
            <w:szCs w:val="24"/>
            <w:u w:val="single"/>
            <w:lang w:val="ru-RU"/>
          </w:rPr>
          <w:t>C2000/28(Rev.1)</w:t>
        </w:r>
      </w:hyperlink>
      <w:r w:rsidR="00C05FA5">
        <w:rPr>
          <w:rFonts w:eastAsiaTheme="minorEastAsia"/>
          <w:szCs w:val="24"/>
          <w:lang w:val="ru-RU" w:eastAsia="zh-CN"/>
        </w:rPr>
        <w:t xml:space="preserve">). </w:t>
      </w:r>
      <w:r w:rsidR="008E2462" w:rsidRPr="00C80E5E">
        <w:rPr>
          <w:lang w:val="ru-RU"/>
        </w:rPr>
        <w:t xml:space="preserve">Освобождение от уплаты взносов предоставляется Советом после анализа и рекомендации Генерального секретаря. Основные критерии: объединение должно быть </w:t>
      </w:r>
      <w:r w:rsidR="00A14325" w:rsidRPr="00C80E5E">
        <w:rPr>
          <w:lang w:val="ru-RU"/>
        </w:rPr>
        <w:t xml:space="preserve">некоммерческой </w:t>
      </w:r>
      <w:r w:rsidR="008E2462" w:rsidRPr="00C80E5E">
        <w:rPr>
          <w:lang w:val="ru-RU"/>
        </w:rPr>
        <w:t>региональной или международной организацией и должно предлагать МСЭ ответные преимущества.</w:t>
      </w:r>
    </w:p>
    <w:p w:rsidR="00776552" w:rsidRPr="00C80E5E" w:rsidRDefault="00776552" w:rsidP="00A14325">
      <w:pPr>
        <w:rPr>
          <w:lang w:val="ru-RU"/>
        </w:rPr>
      </w:pPr>
      <w:r w:rsidRPr="00C80E5E">
        <w:rPr>
          <w:lang w:val="ru-RU"/>
        </w:rPr>
        <w:t>1.2</w:t>
      </w:r>
      <w:r w:rsidRPr="00C80E5E">
        <w:rPr>
          <w:lang w:val="ru-RU"/>
        </w:rPr>
        <w:tab/>
      </w:r>
      <w:r w:rsidR="00A14325" w:rsidRPr="00C80E5E">
        <w:rPr>
          <w:lang w:val="ru-RU"/>
        </w:rPr>
        <w:t xml:space="preserve">Процедурой, принятой Советом на сессии 2000 года, предусматривается, что </w:t>
      </w:r>
      <w:r w:rsidR="00A14325" w:rsidRPr="00C80E5E">
        <w:rPr>
          <w:rFonts w:asciiTheme="minorHAnsi" w:hAnsiTheme="minorHAnsi"/>
          <w:szCs w:val="24"/>
          <w:lang w:val="ru-RU"/>
        </w:rPr>
        <w:t>освобождение, предоставляемое Советом, действительно до следующей Полномочной конференции</w:t>
      </w:r>
      <w:r w:rsidRPr="00C80E5E">
        <w:rPr>
          <w:lang w:val="ru-RU"/>
        </w:rPr>
        <w:t xml:space="preserve">. </w:t>
      </w:r>
      <w:r w:rsidR="00A14325" w:rsidRPr="00C80E5E">
        <w:rPr>
          <w:lang w:val="ru-RU"/>
        </w:rPr>
        <w:t>Последняя Полномочная конференция</w:t>
      </w:r>
      <w:r w:rsidRPr="00C80E5E">
        <w:rPr>
          <w:lang w:val="ru-RU"/>
        </w:rPr>
        <w:t xml:space="preserve"> (</w:t>
      </w:r>
      <w:r w:rsidR="008C128D" w:rsidRPr="00C80E5E">
        <w:rPr>
          <w:lang w:val="ru-RU"/>
        </w:rPr>
        <w:t>ПК</w:t>
      </w:r>
      <w:r w:rsidRPr="00C80E5E">
        <w:rPr>
          <w:lang w:val="ru-RU"/>
        </w:rPr>
        <w:t xml:space="preserve">-10) </w:t>
      </w:r>
      <w:r w:rsidR="00A14325" w:rsidRPr="00C80E5E">
        <w:rPr>
          <w:lang w:val="ru-RU"/>
        </w:rPr>
        <w:t>рассмотрела список освобожденных организаций, которые выразили желание сохранить этот статус, и утвердила продление освобождений до следующей Полномочной конференции</w:t>
      </w:r>
      <w:r w:rsidRPr="00C80E5E">
        <w:rPr>
          <w:lang w:val="ru-RU"/>
        </w:rPr>
        <w:t xml:space="preserve"> (</w:t>
      </w:r>
      <w:r w:rsidR="008C128D" w:rsidRPr="00C80E5E">
        <w:rPr>
          <w:lang w:val="ru-RU"/>
        </w:rPr>
        <w:t>ПК</w:t>
      </w:r>
      <w:r w:rsidRPr="00C80E5E">
        <w:rPr>
          <w:lang w:val="ru-RU"/>
        </w:rPr>
        <w:t>-14).</w:t>
      </w:r>
    </w:p>
    <w:p w:rsidR="00776552" w:rsidRPr="00C80E5E" w:rsidRDefault="00776552" w:rsidP="00651813">
      <w:pPr>
        <w:rPr>
          <w:lang w:val="ru-RU"/>
        </w:rPr>
      </w:pPr>
      <w:r w:rsidRPr="00C80E5E">
        <w:rPr>
          <w:lang w:val="ru-RU"/>
        </w:rPr>
        <w:t>1.3</w:t>
      </w:r>
      <w:r w:rsidRPr="00C80E5E">
        <w:rPr>
          <w:lang w:val="ru-RU"/>
        </w:rPr>
        <w:tab/>
      </w:r>
      <w:r w:rsidR="0092142A" w:rsidRPr="00C80E5E">
        <w:rPr>
          <w:lang w:val="ru-RU"/>
        </w:rPr>
        <w:t>За последние несколько лет число освобождений быстро росло: примерно треть из них была предоставлена после ПК</w:t>
      </w:r>
      <w:r w:rsidR="0092142A" w:rsidRPr="00C80E5E">
        <w:rPr>
          <w:lang w:val="ru-RU"/>
        </w:rPr>
        <w:noBreakHyphen/>
        <w:t xml:space="preserve">10. </w:t>
      </w:r>
      <w:r w:rsidR="00451456" w:rsidRPr="00C80E5E">
        <w:rPr>
          <w:lang w:val="ru-RU"/>
        </w:rPr>
        <w:t>На текущий момент примерно каждый пятый Член Сектор</w:t>
      </w:r>
      <w:r w:rsidR="00651813" w:rsidRPr="00C80E5E">
        <w:rPr>
          <w:lang w:val="ru-RU"/>
        </w:rPr>
        <w:t>ов</w:t>
      </w:r>
      <w:r w:rsidR="00451456" w:rsidRPr="00C80E5E">
        <w:rPr>
          <w:lang w:val="ru-RU"/>
        </w:rPr>
        <w:t xml:space="preserve"> освобожден от уплаты взносов</w:t>
      </w:r>
      <w:r w:rsidRPr="00C80E5E">
        <w:rPr>
          <w:lang w:val="ru-RU"/>
        </w:rPr>
        <w:t>.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451456" w:rsidRPr="00C80E5E">
        <w:rPr>
          <w:rFonts w:eastAsiaTheme="minorEastAsia"/>
          <w:szCs w:val="24"/>
          <w:lang w:val="ru-RU" w:eastAsia="zh-CN"/>
        </w:rPr>
        <w:t>Эти освобождения представляют участие 215 Членов Секторов в трех Секторах</w:t>
      </w:r>
      <w:r w:rsidRPr="00C80E5E">
        <w:rPr>
          <w:rFonts w:eastAsiaTheme="minorEastAsia"/>
          <w:szCs w:val="24"/>
          <w:lang w:val="ru-RU" w:eastAsia="zh-CN"/>
        </w:rPr>
        <w:t>: 67 </w:t>
      </w:r>
      <w:r w:rsidR="00451456" w:rsidRPr="00C80E5E">
        <w:rPr>
          <w:rFonts w:eastAsiaTheme="minorEastAsia"/>
          <w:szCs w:val="24"/>
          <w:lang w:val="ru-RU" w:eastAsia="zh-CN"/>
        </w:rPr>
        <w:t>в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8C128D" w:rsidRPr="00C80E5E">
        <w:rPr>
          <w:rFonts w:eastAsiaTheme="minorEastAsia"/>
          <w:szCs w:val="24"/>
          <w:lang w:val="ru-RU" w:eastAsia="zh-CN"/>
        </w:rPr>
        <w:t>МСЭ</w:t>
      </w:r>
      <w:r w:rsidRPr="00C80E5E">
        <w:rPr>
          <w:rFonts w:eastAsiaTheme="minorEastAsia"/>
          <w:szCs w:val="24"/>
          <w:lang w:val="ru-RU" w:eastAsia="zh-CN"/>
        </w:rPr>
        <w:t xml:space="preserve">-R, 63 </w:t>
      </w:r>
      <w:r w:rsidR="00451456" w:rsidRPr="00C80E5E">
        <w:rPr>
          <w:rFonts w:eastAsiaTheme="minorEastAsia"/>
          <w:szCs w:val="24"/>
          <w:lang w:val="ru-RU" w:eastAsia="zh-CN"/>
        </w:rPr>
        <w:t>в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8C128D" w:rsidRPr="00C80E5E">
        <w:rPr>
          <w:rFonts w:eastAsiaTheme="minorEastAsia"/>
          <w:szCs w:val="24"/>
          <w:lang w:val="ru-RU" w:eastAsia="zh-CN"/>
        </w:rPr>
        <w:t>МСЭ</w:t>
      </w:r>
      <w:r w:rsidRPr="00C80E5E">
        <w:rPr>
          <w:rFonts w:eastAsiaTheme="minorEastAsia"/>
          <w:szCs w:val="24"/>
          <w:lang w:val="ru-RU" w:eastAsia="zh-CN"/>
        </w:rPr>
        <w:t>-T</w:t>
      </w:r>
      <w:r w:rsidR="00451456" w:rsidRPr="00C80E5E">
        <w:rPr>
          <w:rFonts w:eastAsiaTheme="minorEastAsia"/>
          <w:szCs w:val="24"/>
          <w:lang w:val="ru-RU" w:eastAsia="zh-CN"/>
        </w:rPr>
        <w:t xml:space="preserve"> и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Pr="00C80E5E">
        <w:rPr>
          <w:lang w:val="ru-RU"/>
        </w:rPr>
        <w:t>85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451456" w:rsidRPr="00C80E5E">
        <w:rPr>
          <w:rFonts w:eastAsiaTheme="minorEastAsia"/>
          <w:szCs w:val="24"/>
          <w:lang w:val="ru-RU" w:eastAsia="zh-CN"/>
        </w:rPr>
        <w:t>в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8C128D" w:rsidRPr="00C80E5E">
        <w:rPr>
          <w:rFonts w:eastAsiaTheme="minorEastAsia"/>
          <w:szCs w:val="24"/>
          <w:lang w:val="ru-RU" w:eastAsia="zh-CN"/>
        </w:rPr>
        <w:t>МСЭ</w:t>
      </w:r>
      <w:r w:rsidRPr="00C80E5E">
        <w:rPr>
          <w:rFonts w:eastAsiaTheme="minorEastAsia"/>
          <w:szCs w:val="24"/>
          <w:lang w:val="ru-RU" w:eastAsia="zh-CN"/>
        </w:rPr>
        <w:t xml:space="preserve">-D; </w:t>
      </w:r>
      <w:r w:rsidR="00451456" w:rsidRPr="00C80E5E">
        <w:rPr>
          <w:rFonts w:eastAsiaTheme="minorEastAsia"/>
          <w:szCs w:val="24"/>
          <w:lang w:val="ru-RU" w:eastAsia="zh-CN"/>
        </w:rPr>
        <w:t>а также участие трех Ассоциированных членов</w:t>
      </w:r>
      <w:r w:rsidRPr="00C80E5E">
        <w:rPr>
          <w:rFonts w:eastAsiaTheme="minorEastAsia"/>
          <w:szCs w:val="24"/>
          <w:lang w:val="ru-RU" w:eastAsia="zh-CN"/>
        </w:rPr>
        <w:t xml:space="preserve">: </w:t>
      </w:r>
      <w:r w:rsidR="00451456" w:rsidRPr="00C80E5E">
        <w:rPr>
          <w:rFonts w:eastAsiaTheme="minorEastAsia"/>
          <w:szCs w:val="24"/>
          <w:lang w:val="ru-RU" w:eastAsia="zh-CN"/>
        </w:rPr>
        <w:t>дв</w:t>
      </w:r>
      <w:r w:rsidR="000E399D" w:rsidRPr="00C80E5E">
        <w:rPr>
          <w:rFonts w:eastAsiaTheme="minorEastAsia"/>
          <w:szCs w:val="24"/>
          <w:lang w:val="ru-RU" w:eastAsia="zh-CN"/>
        </w:rPr>
        <w:t>ух</w:t>
      </w:r>
      <w:r w:rsidR="00451456" w:rsidRPr="00C80E5E">
        <w:rPr>
          <w:rFonts w:eastAsiaTheme="minorEastAsia"/>
          <w:szCs w:val="24"/>
          <w:lang w:val="ru-RU" w:eastAsia="zh-CN"/>
        </w:rPr>
        <w:t xml:space="preserve"> в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451456" w:rsidRPr="00C80E5E">
        <w:rPr>
          <w:rFonts w:eastAsiaTheme="minorEastAsia"/>
          <w:szCs w:val="24"/>
          <w:lang w:val="ru-RU" w:eastAsia="zh-CN"/>
        </w:rPr>
        <w:t>МСЭ</w:t>
      </w:r>
      <w:r w:rsidRPr="00C80E5E">
        <w:rPr>
          <w:rFonts w:eastAsiaTheme="minorEastAsia"/>
          <w:szCs w:val="24"/>
          <w:lang w:val="ru-RU" w:eastAsia="zh-CN"/>
        </w:rPr>
        <w:t xml:space="preserve">-T </w:t>
      </w:r>
      <w:r w:rsidR="00451456" w:rsidRPr="00C80E5E">
        <w:rPr>
          <w:rFonts w:eastAsiaTheme="minorEastAsia"/>
          <w:szCs w:val="24"/>
          <w:lang w:val="ru-RU" w:eastAsia="zh-CN"/>
        </w:rPr>
        <w:t>и од</w:t>
      </w:r>
      <w:r w:rsidR="000E399D" w:rsidRPr="00C80E5E">
        <w:rPr>
          <w:rFonts w:eastAsiaTheme="minorEastAsia"/>
          <w:szCs w:val="24"/>
          <w:lang w:val="ru-RU" w:eastAsia="zh-CN"/>
        </w:rPr>
        <w:t>ного</w:t>
      </w:r>
      <w:r w:rsidRPr="00C80E5E">
        <w:rPr>
          <w:rFonts w:eastAsiaTheme="minorEastAsia"/>
          <w:szCs w:val="24"/>
          <w:lang w:val="ru-RU" w:eastAsia="zh-CN"/>
        </w:rPr>
        <w:t xml:space="preserve"> </w:t>
      </w:r>
      <w:r w:rsidR="00451456" w:rsidRPr="00C80E5E">
        <w:rPr>
          <w:rFonts w:eastAsiaTheme="minorEastAsia"/>
          <w:szCs w:val="24"/>
          <w:lang w:val="ru-RU" w:eastAsia="zh-CN"/>
        </w:rPr>
        <w:t>в МСЭ</w:t>
      </w:r>
      <w:r w:rsidRPr="00C80E5E">
        <w:rPr>
          <w:rFonts w:eastAsiaTheme="minorEastAsia"/>
          <w:szCs w:val="24"/>
          <w:lang w:val="ru-RU" w:eastAsia="zh-CN"/>
        </w:rPr>
        <w:t xml:space="preserve">-D. </w:t>
      </w:r>
      <w:r w:rsidR="00CF56EC" w:rsidRPr="00C80E5E">
        <w:rPr>
          <w:rFonts w:eastAsiaTheme="minorEastAsia"/>
          <w:szCs w:val="24"/>
          <w:lang w:val="ru-RU" w:eastAsia="zh-CN"/>
        </w:rPr>
        <w:t xml:space="preserve">Наряду с этим к числу освобожденных организаций относятся </w:t>
      </w:r>
      <w:r w:rsidR="0092142A" w:rsidRPr="00C80E5E">
        <w:rPr>
          <w:lang w:val="ru-RU"/>
        </w:rPr>
        <w:t>несколько НПО и бизнес-ассоциаций, тогда как другие аналогичные организации являются платящими взносы членами МСЭ</w:t>
      </w:r>
      <w:r w:rsidRPr="00C80E5E">
        <w:rPr>
          <w:lang w:val="ru-RU"/>
        </w:rPr>
        <w:t xml:space="preserve">. </w:t>
      </w:r>
    </w:p>
    <w:p w:rsidR="0092142A" w:rsidRPr="00C80E5E" w:rsidRDefault="00776552" w:rsidP="001A549D">
      <w:pPr>
        <w:rPr>
          <w:lang w:val="ru-RU"/>
        </w:rPr>
      </w:pPr>
      <w:r w:rsidRPr="00C80E5E">
        <w:rPr>
          <w:lang w:val="ru-RU"/>
        </w:rPr>
        <w:t>1.4</w:t>
      </w:r>
      <w:r w:rsidRPr="00C80E5E">
        <w:rPr>
          <w:lang w:val="ru-RU"/>
        </w:rPr>
        <w:tab/>
      </w:r>
      <w:r w:rsidR="00CF56EC" w:rsidRPr="00C80E5E">
        <w:rPr>
          <w:lang w:val="ru-RU"/>
        </w:rPr>
        <w:t>Рабочая группа Совета по финансовым и людским ресурсам призвала к рассмотрению критериев соответствия для освобождения</w:t>
      </w:r>
      <w:r w:rsidR="001A549D" w:rsidRPr="00C80E5E">
        <w:rPr>
          <w:lang w:val="ru-RU"/>
        </w:rPr>
        <w:t xml:space="preserve"> с целью </w:t>
      </w:r>
      <w:r w:rsidR="001A549D" w:rsidRPr="00C80E5E">
        <w:rPr>
          <w:rFonts w:asciiTheme="minorHAnsi" w:hAnsiTheme="minorHAnsi"/>
          <w:szCs w:val="22"/>
          <w:lang w:val="ru-RU"/>
        </w:rPr>
        <w:t xml:space="preserve">содействия </w:t>
      </w:r>
      <w:r w:rsidR="001A549D" w:rsidRPr="00C80E5E">
        <w:rPr>
          <w:rFonts w:asciiTheme="minorHAnsi" w:hAnsiTheme="minorHAnsi" w:cs="Segoe UI"/>
          <w:color w:val="000000"/>
          <w:szCs w:val="22"/>
          <w:lang w:val="ru-RU"/>
        </w:rPr>
        <w:t>большей ясности, последовательности и справедливости в отношении платящих и не платящих взносы членов</w:t>
      </w:r>
      <w:r w:rsidRPr="00C80E5E">
        <w:rPr>
          <w:rFonts w:asciiTheme="minorHAnsi" w:hAnsiTheme="minorHAnsi"/>
          <w:szCs w:val="22"/>
          <w:lang w:val="ru-RU"/>
        </w:rPr>
        <w:t xml:space="preserve">. </w:t>
      </w:r>
      <w:r w:rsidR="0092142A" w:rsidRPr="00C80E5E">
        <w:rPr>
          <w:rFonts w:asciiTheme="minorHAnsi" w:hAnsiTheme="minorHAnsi"/>
          <w:szCs w:val="22"/>
          <w:lang w:val="ru-RU"/>
        </w:rPr>
        <w:t>Принимая</w:t>
      </w:r>
      <w:r w:rsidR="0092142A" w:rsidRPr="00C80E5E">
        <w:rPr>
          <w:lang w:val="ru-RU"/>
        </w:rPr>
        <w:t xml:space="preserve"> во внимание данную рекомендацию</w:t>
      </w:r>
      <w:r w:rsidR="00CF56EC" w:rsidRPr="00C80E5E">
        <w:rPr>
          <w:lang w:val="ru-RU"/>
        </w:rPr>
        <w:t>,</w:t>
      </w:r>
      <w:r w:rsidR="0092142A" w:rsidRPr="00C80E5E">
        <w:rPr>
          <w:lang w:val="ru-RU"/>
        </w:rPr>
        <w:t xml:space="preserve"> Совет 2014 года </w:t>
      </w:r>
      <w:r w:rsidR="0092142A" w:rsidRPr="00C80E5E">
        <w:rPr>
          <w:bCs/>
          <w:lang w:val="ru-RU"/>
        </w:rPr>
        <w:t>отложил</w:t>
      </w:r>
      <w:r w:rsidR="0092142A" w:rsidRPr="00C80E5E">
        <w:rPr>
          <w:lang w:val="ru-RU"/>
        </w:rPr>
        <w:t xml:space="preserve"> принятие какого бы то ни было решения относительно новых заявок об освобождении (см. </w:t>
      </w:r>
      <w:r w:rsidR="00CF56EC" w:rsidRPr="00C80E5E">
        <w:rPr>
          <w:lang w:val="ru-RU"/>
        </w:rPr>
        <w:t xml:space="preserve">полный перечень в </w:t>
      </w:r>
      <w:r w:rsidR="0092142A" w:rsidRPr="00C80E5E">
        <w:rPr>
          <w:lang w:val="ru-RU"/>
        </w:rPr>
        <w:t>П</w:t>
      </w:r>
      <w:r w:rsidR="00CF56EC" w:rsidRPr="00C80E5E">
        <w:rPr>
          <w:lang w:val="ru-RU"/>
        </w:rPr>
        <w:t>риложении</w:t>
      </w:r>
      <w:r w:rsidR="0092142A" w:rsidRPr="00C80E5E">
        <w:rPr>
          <w:lang w:val="ru-RU"/>
        </w:rPr>
        <w:t xml:space="preserve"> 1) до Полномочной конференции 2014 года.</w:t>
      </w:r>
    </w:p>
    <w:p w:rsidR="00776552" w:rsidRPr="00C80E5E" w:rsidRDefault="00776552" w:rsidP="00A236BA">
      <w:pPr>
        <w:pStyle w:val="Heading1"/>
        <w:rPr>
          <w:lang w:val="ru-RU"/>
        </w:rPr>
      </w:pPr>
      <w:r w:rsidRPr="00C80E5E">
        <w:rPr>
          <w:lang w:val="ru-RU"/>
        </w:rPr>
        <w:t>2</w:t>
      </w:r>
      <w:r w:rsidRPr="00C80E5E">
        <w:rPr>
          <w:lang w:val="ru-RU"/>
        </w:rPr>
        <w:tab/>
      </w:r>
      <w:r w:rsidR="00A236BA" w:rsidRPr="00C80E5E">
        <w:rPr>
          <w:lang w:val="ru-RU"/>
        </w:rPr>
        <w:t>Профили и участие освобожденных организаций</w:t>
      </w:r>
    </w:p>
    <w:p w:rsidR="00776552" w:rsidRPr="00C80E5E" w:rsidRDefault="00776552" w:rsidP="000E399D">
      <w:pPr>
        <w:rPr>
          <w:lang w:val="ru-RU"/>
        </w:rPr>
      </w:pPr>
      <w:r w:rsidRPr="00C80E5E">
        <w:rPr>
          <w:lang w:val="ru-RU"/>
        </w:rPr>
        <w:t>2.1</w:t>
      </w:r>
      <w:r w:rsidRPr="00C80E5E">
        <w:rPr>
          <w:lang w:val="ru-RU"/>
        </w:rPr>
        <w:tab/>
      </w:r>
      <w:r w:rsidR="00A236BA" w:rsidRPr="00C80E5E">
        <w:rPr>
          <w:lang w:val="ru-RU"/>
        </w:rPr>
        <w:t>Около</w:t>
      </w:r>
      <w:r w:rsidRPr="00C80E5E">
        <w:rPr>
          <w:lang w:val="ru-RU"/>
        </w:rPr>
        <w:t xml:space="preserve"> 30% </w:t>
      </w:r>
      <w:r w:rsidR="00A236BA" w:rsidRPr="00C80E5E">
        <w:rPr>
          <w:lang w:val="ru-RU"/>
        </w:rPr>
        <w:t>освобожденных объединений являются Членами трех Секторов</w:t>
      </w:r>
      <w:r w:rsidRPr="00C80E5E">
        <w:rPr>
          <w:lang w:val="ru-RU"/>
        </w:rPr>
        <w:t xml:space="preserve"> (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 xml:space="preserve">-R, 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 xml:space="preserve">-T, 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>-D)</w:t>
      </w:r>
      <w:r w:rsidR="00A236BA" w:rsidRPr="00C80E5E">
        <w:rPr>
          <w:lang w:val="ru-RU"/>
        </w:rPr>
        <w:t>, а</w:t>
      </w:r>
      <w:r w:rsidRPr="00C80E5E">
        <w:rPr>
          <w:lang w:val="ru-RU"/>
        </w:rPr>
        <w:t xml:space="preserve"> 42% </w:t>
      </w:r>
      <w:r w:rsidR="00A236BA" w:rsidRPr="00C80E5E">
        <w:rPr>
          <w:lang w:val="ru-RU"/>
        </w:rPr>
        <w:t>являются Членами лишь одного Сектора</w:t>
      </w:r>
      <w:r w:rsidRPr="00C80E5E">
        <w:rPr>
          <w:lang w:val="ru-RU"/>
        </w:rPr>
        <w:t xml:space="preserve">. </w:t>
      </w:r>
      <w:r w:rsidR="000E399D" w:rsidRPr="00C80E5E">
        <w:rPr>
          <w:lang w:val="ru-RU"/>
        </w:rPr>
        <w:t>Что касается</w:t>
      </w:r>
      <w:r w:rsidR="00A236BA" w:rsidRPr="00C80E5E">
        <w:rPr>
          <w:lang w:val="ru-RU"/>
        </w:rPr>
        <w:t xml:space="preserve"> участия</w:t>
      </w:r>
      <w:r w:rsidR="000E399D" w:rsidRPr="00C80E5E">
        <w:rPr>
          <w:lang w:val="ru-RU"/>
        </w:rPr>
        <w:t>,</w:t>
      </w:r>
      <w:r w:rsidR="00A236BA" w:rsidRPr="00C80E5E">
        <w:rPr>
          <w:lang w:val="ru-RU"/>
        </w:rPr>
        <w:t xml:space="preserve"> </w:t>
      </w:r>
      <w:r w:rsidRPr="00C80E5E">
        <w:rPr>
          <w:lang w:val="ru-RU"/>
        </w:rPr>
        <w:t xml:space="preserve">69% </w:t>
      </w:r>
      <w:r w:rsidR="00A236BA" w:rsidRPr="00C80E5E">
        <w:rPr>
          <w:lang w:val="ru-RU"/>
        </w:rPr>
        <w:t>освобожденных объединений зарегистрировались для участия по меньшей мере в одном мероприятии МСЭ за последние четыре года</w:t>
      </w:r>
      <w:r w:rsidRPr="00C80E5E">
        <w:rPr>
          <w:lang w:val="ru-RU"/>
        </w:rPr>
        <w:t xml:space="preserve">. </w:t>
      </w:r>
      <w:r w:rsidR="000E399D" w:rsidRPr="00C80E5E">
        <w:rPr>
          <w:lang w:val="ru-RU"/>
        </w:rPr>
        <w:t>В отношении</w:t>
      </w:r>
      <w:r w:rsidR="00A236BA" w:rsidRPr="00C80E5E">
        <w:rPr>
          <w:lang w:val="ru-RU"/>
        </w:rPr>
        <w:t xml:space="preserve"> остальных</w:t>
      </w:r>
      <w:r w:rsidR="000E399D" w:rsidRPr="00C80E5E">
        <w:rPr>
          <w:lang w:val="ru-RU"/>
        </w:rPr>
        <w:t xml:space="preserve"> 31%</w:t>
      </w:r>
      <w:r w:rsidRPr="00C80E5E">
        <w:rPr>
          <w:lang w:val="ru-RU"/>
        </w:rPr>
        <w:t xml:space="preserve"> </w:t>
      </w:r>
      <w:r w:rsidR="00CC317D" w:rsidRPr="00C80E5E">
        <w:rPr>
          <w:lang w:val="ru-RU"/>
        </w:rPr>
        <w:t>секретариат не располагает сведениями о регистрации для участия в мероприятиях МСЭ за этот период</w:t>
      </w:r>
      <w:r w:rsidRPr="00C80E5E">
        <w:rPr>
          <w:lang w:val="ru-RU"/>
        </w:rPr>
        <w:t xml:space="preserve">. </w:t>
      </w:r>
      <w:r w:rsidR="00E42067" w:rsidRPr="00C80E5E">
        <w:rPr>
          <w:lang w:val="ru-RU"/>
        </w:rPr>
        <w:t>Наряду с этим</w:t>
      </w:r>
      <w:r w:rsidR="00651813" w:rsidRPr="00C80E5E">
        <w:rPr>
          <w:lang w:val="ru-RU"/>
        </w:rPr>
        <w:t xml:space="preserve"> </w:t>
      </w:r>
      <w:r w:rsidRPr="00C80E5E">
        <w:rPr>
          <w:lang w:val="ru-RU"/>
        </w:rPr>
        <w:t xml:space="preserve">18% </w:t>
      </w:r>
      <w:r w:rsidR="00E42067" w:rsidRPr="00C80E5E">
        <w:rPr>
          <w:lang w:val="ru-RU"/>
        </w:rPr>
        <w:t>освобожденных объединений заключили с МСЭ то или иное соглашение или его эквивалент</w:t>
      </w:r>
      <w:r w:rsidRPr="00C80E5E">
        <w:rPr>
          <w:lang w:val="ru-RU"/>
        </w:rPr>
        <w:t xml:space="preserve"> (</w:t>
      </w:r>
      <w:r w:rsidR="00E42067" w:rsidRPr="00C80E5E">
        <w:rPr>
          <w:lang w:val="ru-RU"/>
        </w:rPr>
        <w:t>например, о спонсорстве проекта или мероприятия</w:t>
      </w:r>
      <w:r w:rsidRPr="00C80E5E">
        <w:rPr>
          <w:lang w:val="ru-RU"/>
        </w:rPr>
        <w:t>).</w:t>
      </w:r>
    </w:p>
    <w:p w:rsidR="00776552" w:rsidRPr="00C80E5E" w:rsidRDefault="00776552" w:rsidP="000E399D">
      <w:pPr>
        <w:rPr>
          <w:lang w:val="ru-RU"/>
        </w:rPr>
      </w:pPr>
      <w:r w:rsidRPr="00C80E5E">
        <w:rPr>
          <w:lang w:val="ru-RU"/>
        </w:rPr>
        <w:t>2.2</w:t>
      </w:r>
      <w:r w:rsidRPr="00C80E5E">
        <w:rPr>
          <w:lang w:val="ru-RU"/>
        </w:rPr>
        <w:tab/>
      </w:r>
      <w:r w:rsidR="00123674" w:rsidRPr="00C80E5E">
        <w:rPr>
          <w:lang w:val="ru-RU"/>
        </w:rPr>
        <w:t xml:space="preserve">При подготовке к </w:t>
      </w:r>
      <w:r w:rsidR="008C128D" w:rsidRPr="00C80E5E">
        <w:rPr>
          <w:lang w:val="ru-RU"/>
        </w:rPr>
        <w:t>ПК</w:t>
      </w:r>
      <w:r w:rsidRPr="00C80E5E">
        <w:rPr>
          <w:lang w:val="ru-RU"/>
        </w:rPr>
        <w:t>-14</w:t>
      </w:r>
      <w:r w:rsidR="00123674" w:rsidRPr="00C80E5E">
        <w:rPr>
          <w:lang w:val="ru-RU"/>
        </w:rPr>
        <w:t xml:space="preserve"> всем освобожденным региональными международным организациям было официально предложено </w:t>
      </w:r>
      <w:r w:rsidR="000E399D" w:rsidRPr="00C80E5E">
        <w:rPr>
          <w:lang w:val="ru-RU"/>
        </w:rPr>
        <w:t xml:space="preserve">в </w:t>
      </w:r>
      <w:r w:rsidR="00123674" w:rsidRPr="00C80E5E">
        <w:rPr>
          <w:lang w:val="ru-RU"/>
        </w:rPr>
        <w:t>письм</w:t>
      </w:r>
      <w:r w:rsidR="000E399D" w:rsidRPr="00C80E5E">
        <w:rPr>
          <w:lang w:val="ru-RU"/>
        </w:rPr>
        <w:t>е</w:t>
      </w:r>
      <w:r w:rsidR="00123674" w:rsidRPr="00C80E5E">
        <w:rPr>
          <w:lang w:val="ru-RU"/>
        </w:rPr>
        <w:t xml:space="preserve"> Генерального секретаря от </w:t>
      </w:r>
      <w:r w:rsidRPr="00C80E5E">
        <w:rPr>
          <w:lang w:val="ru-RU"/>
        </w:rPr>
        <w:t>1</w:t>
      </w:r>
      <w:r w:rsidR="00123674" w:rsidRPr="00C80E5E">
        <w:rPr>
          <w:lang w:val="ru-RU"/>
        </w:rPr>
        <w:t> апреля</w:t>
      </w:r>
      <w:r w:rsidRPr="00C80E5E">
        <w:rPr>
          <w:lang w:val="ru-RU"/>
        </w:rPr>
        <w:t xml:space="preserve"> 2014</w:t>
      </w:r>
      <w:r w:rsidR="00123674" w:rsidRPr="00C80E5E">
        <w:rPr>
          <w:lang w:val="ru-RU"/>
        </w:rPr>
        <w:t> года подтвердить свое желание продолжить участие в работе МСЭ в качестве Членов Секторов и ответить на вопросы обследования относительно своего участия в работе МСЭ и внесения взносов за последний четырехгодичный период</w:t>
      </w:r>
      <w:r w:rsidRPr="00C80E5E">
        <w:rPr>
          <w:lang w:val="ru-RU"/>
        </w:rPr>
        <w:t>.</w:t>
      </w:r>
    </w:p>
    <w:p w:rsidR="00776552" w:rsidRPr="00C80E5E" w:rsidRDefault="00776552" w:rsidP="004B47A7">
      <w:pPr>
        <w:rPr>
          <w:lang w:val="ru-RU"/>
        </w:rPr>
      </w:pPr>
      <w:r w:rsidRPr="00C80E5E">
        <w:rPr>
          <w:lang w:val="ru-RU"/>
        </w:rPr>
        <w:t>2.3</w:t>
      </w:r>
      <w:r w:rsidRPr="00C80E5E">
        <w:rPr>
          <w:lang w:val="ru-RU"/>
        </w:rPr>
        <w:tab/>
      </w:r>
      <w:r w:rsidR="00123674" w:rsidRPr="00C80E5E">
        <w:rPr>
          <w:lang w:val="ru-RU"/>
        </w:rPr>
        <w:t>В от</w:t>
      </w:r>
      <w:r w:rsidR="004B47A7" w:rsidRPr="00C80E5E">
        <w:rPr>
          <w:lang w:val="ru-RU"/>
        </w:rPr>
        <w:t>в</w:t>
      </w:r>
      <w:r w:rsidR="00123674" w:rsidRPr="00C80E5E">
        <w:rPr>
          <w:lang w:val="ru-RU"/>
        </w:rPr>
        <w:t>ет на письмо Генерального секретаря</w:t>
      </w:r>
      <w:r w:rsidRPr="00C80E5E">
        <w:rPr>
          <w:lang w:val="ru-RU"/>
        </w:rPr>
        <w:t xml:space="preserve"> 72% (81</w:t>
      </w:r>
      <w:r w:rsidR="008640B9" w:rsidRPr="00C80E5E">
        <w:rPr>
          <w:lang w:val="ru-RU"/>
        </w:rPr>
        <w:t> организация из</w:t>
      </w:r>
      <w:r w:rsidRPr="00C80E5E">
        <w:rPr>
          <w:lang w:val="ru-RU"/>
        </w:rPr>
        <w:t xml:space="preserve"> 112) </w:t>
      </w:r>
      <w:r w:rsidR="008640B9" w:rsidRPr="00C80E5E">
        <w:rPr>
          <w:lang w:val="ru-RU"/>
        </w:rPr>
        <w:t xml:space="preserve">освобожденных региональных и международных организаций </w:t>
      </w:r>
      <w:r w:rsidR="004B47A7" w:rsidRPr="00C80E5E">
        <w:rPr>
          <w:lang w:val="ru-RU"/>
        </w:rPr>
        <w:t>приняли участие в обследовании</w:t>
      </w:r>
      <w:r w:rsidRPr="00C80E5E">
        <w:rPr>
          <w:lang w:val="ru-RU"/>
        </w:rPr>
        <w:t xml:space="preserve">. </w:t>
      </w:r>
      <w:r w:rsidR="004B47A7" w:rsidRPr="00C80E5E">
        <w:rPr>
          <w:lang w:val="ru-RU"/>
        </w:rPr>
        <w:t>Из этой группы</w:t>
      </w:r>
      <w:r w:rsidR="00651813" w:rsidRPr="00C80E5E">
        <w:rPr>
          <w:lang w:val="ru-RU"/>
        </w:rPr>
        <w:t xml:space="preserve"> </w:t>
      </w:r>
      <w:r w:rsidRPr="00C80E5E">
        <w:rPr>
          <w:lang w:val="ru-RU"/>
        </w:rPr>
        <w:t xml:space="preserve">58% </w:t>
      </w:r>
      <w:r w:rsidR="004B47A7" w:rsidRPr="00C80E5E">
        <w:rPr>
          <w:lang w:val="ru-RU"/>
        </w:rPr>
        <w:t>являются Членами</w:t>
      </w:r>
      <w:r w:rsidRPr="00C80E5E">
        <w:rPr>
          <w:lang w:val="ru-RU"/>
        </w:rPr>
        <w:t xml:space="preserve"> 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 xml:space="preserve">-R; 55% </w:t>
      </w:r>
      <w:r w:rsidR="004B47A7" w:rsidRPr="00C80E5E">
        <w:rPr>
          <w:lang w:val="ru-RU"/>
        </w:rPr>
        <w:t>– Членами</w:t>
      </w:r>
      <w:r w:rsidRPr="00C80E5E">
        <w:rPr>
          <w:lang w:val="ru-RU"/>
        </w:rPr>
        <w:t xml:space="preserve"> 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 xml:space="preserve">-T, </w:t>
      </w:r>
      <w:r w:rsidR="004B47A7" w:rsidRPr="00C80E5E">
        <w:rPr>
          <w:lang w:val="ru-RU"/>
        </w:rPr>
        <w:t>а</w:t>
      </w:r>
      <w:r w:rsidRPr="00C80E5E">
        <w:rPr>
          <w:lang w:val="ru-RU"/>
        </w:rPr>
        <w:t xml:space="preserve"> 73% </w:t>
      </w:r>
      <w:r w:rsidR="004B47A7" w:rsidRPr="00C80E5E">
        <w:rPr>
          <w:lang w:val="ru-RU"/>
        </w:rPr>
        <w:t>– Членами</w:t>
      </w:r>
      <w:r w:rsidRPr="00C80E5E">
        <w:rPr>
          <w:lang w:val="ru-RU"/>
        </w:rPr>
        <w:t xml:space="preserve"> </w:t>
      </w:r>
      <w:r w:rsidR="008C128D" w:rsidRPr="00C80E5E">
        <w:rPr>
          <w:lang w:val="ru-RU"/>
        </w:rPr>
        <w:t>МСЭ</w:t>
      </w:r>
      <w:r w:rsidRPr="00C80E5E">
        <w:rPr>
          <w:lang w:val="ru-RU"/>
        </w:rPr>
        <w:t xml:space="preserve">-D. </w:t>
      </w:r>
      <w:r w:rsidR="004B47A7" w:rsidRPr="00C80E5E">
        <w:rPr>
          <w:lang w:val="ru-RU"/>
        </w:rPr>
        <w:t xml:space="preserve">Более </w:t>
      </w:r>
      <w:r w:rsidRPr="00C80E5E">
        <w:rPr>
          <w:lang w:val="ru-RU"/>
        </w:rPr>
        <w:t xml:space="preserve">90% </w:t>
      </w:r>
      <w:r w:rsidR="004B47A7" w:rsidRPr="00C80E5E">
        <w:rPr>
          <w:lang w:val="ru-RU"/>
        </w:rPr>
        <w:t xml:space="preserve">освобожденных членов, которые приняли участие в обследовании, сообщили, что принимали участие в деятельности МСЭ с </w:t>
      </w:r>
      <w:r w:rsidRPr="00C80E5E">
        <w:rPr>
          <w:lang w:val="ru-RU"/>
        </w:rPr>
        <w:t xml:space="preserve">2010 </w:t>
      </w:r>
      <w:r w:rsidR="004B47A7" w:rsidRPr="00C80E5E">
        <w:rPr>
          <w:lang w:val="ru-RU"/>
        </w:rPr>
        <w:t>по</w:t>
      </w:r>
      <w:r w:rsidRPr="00C80E5E">
        <w:rPr>
          <w:lang w:val="ru-RU"/>
        </w:rPr>
        <w:t xml:space="preserve"> 2014</w:t>
      </w:r>
      <w:r w:rsidR="004B47A7" w:rsidRPr="00C80E5E">
        <w:rPr>
          <w:lang w:val="ru-RU"/>
        </w:rPr>
        <w:t> год</w:t>
      </w:r>
      <w:r w:rsidRPr="00C80E5E">
        <w:rPr>
          <w:lang w:val="ru-RU"/>
        </w:rPr>
        <w:t xml:space="preserve">, </w:t>
      </w:r>
      <w:r w:rsidR="004B47A7" w:rsidRPr="00C80E5E">
        <w:rPr>
          <w:lang w:val="ru-RU"/>
        </w:rPr>
        <w:t>в том числе присутствовали на мероприятиях МСЭ</w:t>
      </w:r>
      <w:r w:rsidRPr="00C80E5E">
        <w:rPr>
          <w:lang w:val="ru-RU"/>
        </w:rPr>
        <w:t xml:space="preserve"> </w:t>
      </w:r>
      <w:r w:rsidR="004B47A7" w:rsidRPr="00C80E5E">
        <w:rPr>
          <w:lang w:val="ru-RU"/>
        </w:rPr>
        <w:t>и вносили вклады в работу исследовательских комиссий и рабочих групп</w:t>
      </w:r>
      <w:r w:rsidRPr="00C80E5E">
        <w:rPr>
          <w:lang w:val="ru-RU"/>
        </w:rPr>
        <w:t xml:space="preserve">. </w:t>
      </w:r>
      <w:r w:rsidR="004B47A7" w:rsidRPr="00C80E5E">
        <w:rPr>
          <w:lang w:val="ru-RU"/>
        </w:rPr>
        <w:t xml:space="preserve">Примерно такая же доля ответила, что они </w:t>
      </w:r>
      <w:r w:rsidR="004B47A7" w:rsidRPr="00C80E5E">
        <w:rPr>
          <w:lang w:val="ru-RU"/>
        </w:rPr>
        <w:lastRenderedPageBreak/>
        <w:t>приглашали МСЭ безвозмездно принять участие в их деятельности и получить доступ к их документации</w:t>
      </w:r>
      <w:r w:rsidRPr="00C80E5E">
        <w:rPr>
          <w:lang w:val="ru-RU"/>
        </w:rPr>
        <w:t xml:space="preserve">. </w:t>
      </w:r>
      <w:r w:rsidR="004B47A7" w:rsidRPr="00C80E5E">
        <w:rPr>
          <w:lang w:val="ru-RU"/>
        </w:rPr>
        <w:t>Аналогичным образом свыше</w:t>
      </w:r>
      <w:r w:rsidRPr="00C80E5E">
        <w:rPr>
          <w:lang w:val="ru-RU"/>
        </w:rPr>
        <w:t xml:space="preserve"> 90% </w:t>
      </w:r>
      <w:r w:rsidR="004B47A7" w:rsidRPr="00C80E5E">
        <w:rPr>
          <w:lang w:val="ru-RU"/>
        </w:rPr>
        <w:t>сообщили, что планируют принимать участие в деятельности Союза и предлагают взаимные преимущества на предстоящий четырехгодичный период</w:t>
      </w:r>
      <w:r w:rsidRPr="00C80E5E">
        <w:rPr>
          <w:lang w:val="ru-RU"/>
        </w:rPr>
        <w:t>.</w:t>
      </w:r>
    </w:p>
    <w:p w:rsidR="00776552" w:rsidRPr="00C80E5E" w:rsidRDefault="00776552" w:rsidP="004B47A7">
      <w:pPr>
        <w:rPr>
          <w:lang w:val="ru-RU"/>
        </w:rPr>
      </w:pPr>
      <w:r w:rsidRPr="00C80E5E">
        <w:rPr>
          <w:lang w:val="ru-RU"/>
        </w:rPr>
        <w:t>2.4</w:t>
      </w:r>
      <w:r w:rsidRPr="00C80E5E">
        <w:rPr>
          <w:lang w:val="ru-RU"/>
        </w:rPr>
        <w:tab/>
      </w:r>
      <w:r w:rsidR="004B47A7" w:rsidRPr="00C80E5E">
        <w:rPr>
          <w:lang w:val="ru-RU"/>
        </w:rPr>
        <w:t xml:space="preserve">С дополнительной информацией по освобожденным членам, их участии и ответам на вышеупомянутое обследование можно ознакомиться </w:t>
      </w:r>
      <w:hyperlink r:id="rId26" w:history="1">
        <w:r w:rsidR="0092142A" w:rsidRPr="00C80E5E">
          <w:rPr>
            <w:rStyle w:val="Hyperlink"/>
            <w:lang w:val="ru-RU"/>
          </w:rPr>
          <w:t>здесь</w:t>
        </w:r>
      </w:hyperlink>
      <w:r w:rsidRPr="00C80E5E">
        <w:rPr>
          <w:lang w:val="ru-RU"/>
        </w:rPr>
        <w:t>.</w:t>
      </w:r>
    </w:p>
    <w:p w:rsidR="00776552" w:rsidRPr="00C80E5E" w:rsidRDefault="00776552" w:rsidP="0092142A">
      <w:pPr>
        <w:pStyle w:val="Heading1"/>
        <w:rPr>
          <w:lang w:val="ru-RU"/>
        </w:rPr>
      </w:pPr>
      <w:r w:rsidRPr="00C80E5E">
        <w:rPr>
          <w:lang w:val="ru-RU"/>
        </w:rPr>
        <w:t>3</w:t>
      </w:r>
      <w:r w:rsidRPr="00C80E5E">
        <w:rPr>
          <w:lang w:val="ru-RU"/>
        </w:rPr>
        <w:tab/>
      </w:r>
      <w:r w:rsidR="0092142A" w:rsidRPr="00C80E5E">
        <w:rPr>
          <w:lang w:val="ru-RU"/>
        </w:rPr>
        <w:t>Рекомендация</w:t>
      </w:r>
    </w:p>
    <w:p w:rsidR="00776552" w:rsidRPr="00C80E5E" w:rsidRDefault="00776552" w:rsidP="00651813">
      <w:pPr>
        <w:rPr>
          <w:rFonts w:asciiTheme="minorHAnsi" w:hAnsiTheme="minorHAnsi" w:cs="Calibri"/>
          <w:szCs w:val="24"/>
          <w:lang w:val="ru-RU"/>
        </w:rPr>
      </w:pPr>
      <w:r w:rsidRPr="00C80E5E">
        <w:rPr>
          <w:lang w:val="ru-RU"/>
        </w:rPr>
        <w:t>3.1</w:t>
      </w:r>
      <w:r w:rsidRPr="00C80E5E">
        <w:rPr>
          <w:lang w:val="ru-RU"/>
        </w:rPr>
        <w:tab/>
      </w:r>
      <w:r w:rsidR="008C128D" w:rsidRPr="00C80E5E">
        <w:rPr>
          <w:lang w:val="ru-RU"/>
        </w:rPr>
        <w:t>ПК</w:t>
      </w:r>
      <w:r w:rsidRPr="00C80E5E">
        <w:rPr>
          <w:lang w:val="ru-RU"/>
        </w:rPr>
        <w:t xml:space="preserve">-14 </w:t>
      </w:r>
      <w:r w:rsidR="004B47A7" w:rsidRPr="00C80E5E">
        <w:rPr>
          <w:lang w:val="ru-RU"/>
        </w:rPr>
        <w:t xml:space="preserve">предлагается </w:t>
      </w:r>
      <w:r w:rsidR="004B47A7" w:rsidRPr="00C80E5E">
        <w:rPr>
          <w:b/>
          <w:bCs/>
          <w:lang w:val="ru-RU"/>
        </w:rPr>
        <w:t xml:space="preserve">рассмотреть </w:t>
      </w:r>
      <w:r w:rsidR="004B47A7" w:rsidRPr="00C80E5E">
        <w:rPr>
          <w:lang w:val="ru-RU"/>
        </w:rPr>
        <w:t>список организаций</w:t>
      </w:r>
      <w:r w:rsidRPr="00C80E5E">
        <w:rPr>
          <w:lang w:val="ru-RU"/>
        </w:rPr>
        <w:t xml:space="preserve"> (</w:t>
      </w:r>
      <w:r w:rsidR="008C128D" w:rsidRPr="00C80E5E">
        <w:rPr>
          <w:lang w:val="ru-RU"/>
        </w:rPr>
        <w:t>Приложение</w:t>
      </w:r>
      <w:r w:rsidRPr="00C80E5E">
        <w:rPr>
          <w:lang w:val="ru-RU"/>
        </w:rPr>
        <w:t xml:space="preserve"> 1), </w:t>
      </w:r>
      <w:r w:rsidR="004B47A7" w:rsidRPr="00C80E5E">
        <w:rPr>
          <w:lang w:val="ru-RU"/>
        </w:rPr>
        <w:t>который был представлен Совету</w:t>
      </w:r>
      <w:r w:rsidRPr="00C80E5E">
        <w:rPr>
          <w:lang w:val="ru-RU"/>
        </w:rPr>
        <w:t xml:space="preserve"> 2014</w:t>
      </w:r>
      <w:r w:rsidR="004B47A7" w:rsidRPr="00C80E5E">
        <w:rPr>
          <w:lang w:val="ru-RU"/>
        </w:rPr>
        <w:t xml:space="preserve"> года, и </w:t>
      </w:r>
      <w:r w:rsidR="004B47A7" w:rsidRPr="00C80E5E">
        <w:rPr>
          <w:b/>
          <w:bCs/>
          <w:lang w:val="ru-RU"/>
        </w:rPr>
        <w:t>утвердить</w:t>
      </w:r>
      <w:r w:rsidRPr="00C80E5E">
        <w:rPr>
          <w:rFonts w:asciiTheme="minorHAnsi" w:hAnsiTheme="minorHAnsi" w:cs="Calibri"/>
          <w:b/>
          <w:bCs/>
          <w:szCs w:val="24"/>
          <w:lang w:val="ru-RU"/>
        </w:rPr>
        <w:t xml:space="preserve"> </w:t>
      </w:r>
      <w:r w:rsidR="004B47A7" w:rsidRPr="00C80E5E">
        <w:rPr>
          <w:rFonts w:asciiTheme="minorHAnsi" w:hAnsiTheme="minorHAnsi" w:cs="Calibri"/>
          <w:szCs w:val="24"/>
          <w:lang w:val="ru-RU"/>
        </w:rPr>
        <w:t xml:space="preserve">рекомендации, </w:t>
      </w:r>
      <w:r w:rsidR="00651813" w:rsidRPr="00C80E5E">
        <w:rPr>
          <w:rFonts w:asciiTheme="minorHAnsi" w:hAnsiTheme="minorHAnsi" w:cs="Calibri"/>
          <w:szCs w:val="24"/>
          <w:lang w:val="ru-RU"/>
        </w:rPr>
        <w:t>предоставленные</w:t>
      </w:r>
      <w:r w:rsidR="004B47A7" w:rsidRPr="00C80E5E">
        <w:rPr>
          <w:rFonts w:asciiTheme="minorHAnsi" w:hAnsiTheme="minorHAnsi" w:cs="Calibri"/>
          <w:szCs w:val="24"/>
          <w:lang w:val="ru-RU"/>
        </w:rPr>
        <w:t xml:space="preserve"> Генеральным секретарем</w:t>
      </w:r>
      <w:r w:rsidRPr="00C80E5E">
        <w:rPr>
          <w:rFonts w:asciiTheme="minorHAnsi" w:hAnsiTheme="minorHAnsi" w:cs="Calibri"/>
          <w:szCs w:val="24"/>
          <w:lang w:val="ru-RU"/>
        </w:rPr>
        <w:t>.</w:t>
      </w:r>
    </w:p>
    <w:p w:rsidR="00776552" w:rsidRPr="00C80E5E" w:rsidRDefault="0092142A" w:rsidP="000E399D">
      <w:pPr>
        <w:rPr>
          <w:lang w:val="ru-RU"/>
        </w:rPr>
      </w:pPr>
      <w:r w:rsidRPr="00C80E5E">
        <w:rPr>
          <w:rFonts w:cs="Calibri"/>
          <w:lang w:val="ru-RU"/>
        </w:rPr>
        <w:t>3.2</w:t>
      </w:r>
      <w:r w:rsidRPr="00C80E5E">
        <w:rPr>
          <w:rFonts w:cs="Calibri"/>
          <w:lang w:val="ru-RU"/>
        </w:rPr>
        <w:tab/>
      </w:r>
      <w:r w:rsidR="001C3C22" w:rsidRPr="00C80E5E">
        <w:rPr>
          <w:rFonts w:cs="Calibri"/>
          <w:lang w:val="ru-RU"/>
        </w:rPr>
        <w:t xml:space="preserve">Далее </w:t>
      </w:r>
      <w:r w:rsidR="008C128D" w:rsidRPr="00C80E5E">
        <w:rPr>
          <w:rFonts w:cs="Calibri"/>
          <w:lang w:val="ru-RU"/>
        </w:rPr>
        <w:t>ПК</w:t>
      </w:r>
      <w:r w:rsidR="00776552" w:rsidRPr="00C80E5E">
        <w:rPr>
          <w:rFonts w:cs="Calibri"/>
          <w:lang w:val="ru-RU"/>
        </w:rPr>
        <w:t xml:space="preserve">-14 </w:t>
      </w:r>
      <w:r w:rsidR="001C3C22" w:rsidRPr="00C80E5E">
        <w:rPr>
          <w:rFonts w:cs="Calibri"/>
          <w:lang w:val="ru-RU"/>
        </w:rPr>
        <w:t xml:space="preserve">предлагается </w:t>
      </w:r>
      <w:r w:rsidR="001C3C22" w:rsidRPr="00C80E5E">
        <w:rPr>
          <w:rFonts w:cs="Calibri"/>
          <w:b/>
          <w:bCs/>
          <w:lang w:val="ru-RU"/>
        </w:rPr>
        <w:t>поручить</w:t>
      </w:r>
      <w:r w:rsidR="001C3C22" w:rsidRPr="00C80E5E">
        <w:rPr>
          <w:rFonts w:cs="Calibri"/>
          <w:lang w:val="ru-RU"/>
        </w:rPr>
        <w:t xml:space="preserve"> Совету рассмотреть критерии для исключения и соответствующим образом скорректировать список</w:t>
      </w:r>
      <w:r w:rsidR="00776552" w:rsidRPr="00C80E5E">
        <w:rPr>
          <w:lang w:val="ru-RU"/>
        </w:rPr>
        <w:t xml:space="preserve"> (</w:t>
      </w:r>
      <w:r w:rsidR="008C128D" w:rsidRPr="00C80E5E">
        <w:rPr>
          <w:lang w:val="ru-RU"/>
        </w:rPr>
        <w:t>Приложение 1 и Приложение</w:t>
      </w:r>
      <w:r w:rsidR="00776552" w:rsidRPr="00C80E5E">
        <w:rPr>
          <w:lang w:val="ru-RU"/>
        </w:rPr>
        <w:t xml:space="preserve"> 2), </w:t>
      </w:r>
      <w:r w:rsidR="001C3C22" w:rsidRPr="00C80E5E">
        <w:rPr>
          <w:lang w:val="ru-RU"/>
        </w:rPr>
        <w:t xml:space="preserve">а также </w:t>
      </w:r>
      <w:r w:rsidR="001C3C22" w:rsidRPr="00C80E5E">
        <w:rPr>
          <w:b/>
          <w:bCs/>
          <w:lang w:val="ru-RU"/>
        </w:rPr>
        <w:t>утвердить</w:t>
      </w:r>
      <w:r w:rsidR="00776552" w:rsidRPr="00C80E5E">
        <w:rPr>
          <w:lang w:val="ru-RU"/>
        </w:rPr>
        <w:t xml:space="preserve"> </w:t>
      </w:r>
      <w:r w:rsidR="001C3C22" w:rsidRPr="00C80E5E">
        <w:rPr>
          <w:lang w:val="ru-RU"/>
        </w:rPr>
        <w:t>краткосрочное продление освобождения включенных в список объединений до завершения Советом этого рассмотрения и корректировки</w:t>
      </w:r>
      <w:r w:rsidR="00776552" w:rsidRPr="00C80E5E">
        <w:rPr>
          <w:lang w:val="ru-RU"/>
        </w:rPr>
        <w:t>.</w:t>
      </w:r>
    </w:p>
    <w:p w:rsidR="00776552" w:rsidRPr="00C80E5E" w:rsidRDefault="0092142A" w:rsidP="0092142A">
      <w:pPr>
        <w:spacing w:before="2880"/>
        <w:rPr>
          <w:lang w:val="ru-RU"/>
        </w:rPr>
      </w:pPr>
      <w:r w:rsidRPr="00C80E5E">
        <w:rPr>
          <w:b/>
          <w:lang w:val="ru-RU"/>
        </w:rPr>
        <w:t>Приложения</w:t>
      </w:r>
      <w:r w:rsidR="00776552" w:rsidRPr="00C80E5E">
        <w:rPr>
          <w:lang w:val="ru-RU"/>
        </w:rPr>
        <w:t>: 2</w:t>
      </w:r>
    </w:p>
    <w:p w:rsidR="00776552" w:rsidRPr="00C80E5E" w:rsidRDefault="00776552" w:rsidP="0077655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 w:rsidRPr="00C80E5E">
        <w:rPr>
          <w:b/>
          <w:bCs/>
          <w:lang w:val="ru-RU"/>
        </w:rPr>
        <w:br w:type="page"/>
      </w:r>
    </w:p>
    <w:p w:rsidR="00776552" w:rsidRPr="00C80E5E" w:rsidRDefault="0092142A" w:rsidP="00776552">
      <w:pPr>
        <w:pStyle w:val="AnnexNo"/>
        <w:rPr>
          <w:lang w:val="ru-RU"/>
        </w:rPr>
      </w:pPr>
      <w:r w:rsidRPr="00C80E5E">
        <w:rPr>
          <w:lang w:val="ru-RU"/>
        </w:rPr>
        <w:t>ПРИЛОЖЕНИЕ</w:t>
      </w:r>
      <w:r w:rsidR="00776552" w:rsidRPr="00C80E5E">
        <w:rPr>
          <w:lang w:val="ru-RU"/>
        </w:rPr>
        <w:t xml:space="preserve"> 1</w:t>
      </w:r>
    </w:p>
    <w:p w:rsidR="00776552" w:rsidRPr="00C80E5E" w:rsidRDefault="006D27E9" w:rsidP="006D27E9">
      <w:pPr>
        <w:pStyle w:val="Annextitle"/>
        <w:rPr>
          <w:lang w:val="ru-RU"/>
        </w:rPr>
      </w:pPr>
      <w:r w:rsidRPr="00C80E5E">
        <w:rPr>
          <w:lang w:val="ru-RU"/>
        </w:rPr>
        <w:t>Заявки на освобождение, представленные Совету</w:t>
      </w:r>
      <w:r w:rsidR="00776552" w:rsidRPr="00C80E5E">
        <w:rPr>
          <w:lang w:val="ru-RU"/>
        </w:rPr>
        <w:t xml:space="preserve"> 2014</w:t>
      </w:r>
      <w:r w:rsidRPr="00C80E5E">
        <w:rPr>
          <w:lang w:val="ru-RU"/>
        </w:rPr>
        <w:t> года</w:t>
      </w:r>
    </w:p>
    <w:p w:rsidR="00776552" w:rsidRPr="00C80E5E" w:rsidRDefault="006D27E9" w:rsidP="00651813">
      <w:pPr>
        <w:pStyle w:val="Normalaftertitle"/>
        <w:rPr>
          <w:lang w:val="ru-RU"/>
        </w:rPr>
      </w:pPr>
      <w:r w:rsidRPr="00C80E5E">
        <w:rPr>
          <w:lang w:val="ru-RU"/>
        </w:rPr>
        <w:t>Ниже следует краткое изложение заявок, представленных секретариатом Совету</w:t>
      </w:r>
      <w:r w:rsidR="00776552" w:rsidRPr="00C80E5E">
        <w:rPr>
          <w:lang w:val="ru-RU"/>
        </w:rPr>
        <w:t xml:space="preserve"> 2014</w:t>
      </w:r>
      <w:r w:rsidRPr="00C80E5E">
        <w:rPr>
          <w:lang w:val="ru-RU"/>
        </w:rPr>
        <w:t> года</w:t>
      </w:r>
      <w:r w:rsidR="00776552" w:rsidRPr="00C80E5E">
        <w:rPr>
          <w:lang w:val="ru-RU"/>
        </w:rPr>
        <w:t xml:space="preserve">. </w:t>
      </w:r>
      <w:r w:rsidRPr="00C80E5E">
        <w:rPr>
          <w:lang w:val="ru-RU"/>
        </w:rPr>
        <w:t>Как отмечалось выше</w:t>
      </w:r>
      <w:r w:rsidR="00776552" w:rsidRPr="00C80E5E">
        <w:rPr>
          <w:lang w:val="ru-RU"/>
        </w:rPr>
        <w:t xml:space="preserve">, </w:t>
      </w:r>
      <w:r w:rsidRPr="00C80E5E">
        <w:rPr>
          <w:lang w:val="ru-RU"/>
        </w:rPr>
        <w:t>Совет</w:t>
      </w:r>
      <w:r w:rsidR="00776552" w:rsidRPr="00C80E5E">
        <w:rPr>
          <w:lang w:val="ru-RU"/>
        </w:rPr>
        <w:t xml:space="preserve"> 2014</w:t>
      </w:r>
      <w:r w:rsidRPr="00C80E5E">
        <w:rPr>
          <w:lang w:val="ru-RU"/>
        </w:rPr>
        <w:t> года отложил принятие какого бы то ни было решения относительно новых заявок на освобождение до Полномочной конференции</w:t>
      </w:r>
      <w:r w:rsidR="00776552" w:rsidRPr="00C80E5E">
        <w:rPr>
          <w:lang w:val="ru-RU"/>
        </w:rPr>
        <w:t xml:space="preserve"> 2014</w:t>
      </w:r>
      <w:r w:rsidRPr="00C80E5E">
        <w:rPr>
          <w:lang w:val="ru-RU"/>
        </w:rPr>
        <w:t> года</w:t>
      </w:r>
      <w:r w:rsidR="00776552" w:rsidRPr="00C80E5E">
        <w:rPr>
          <w:lang w:val="ru-RU"/>
        </w:rPr>
        <w:t>.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1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191"/>
        <w:gridCol w:w="2272"/>
      </w:tblGrid>
      <w:tr w:rsidR="009B7E1D" w:rsidRPr="00C80E5E" w:rsidTr="009B7E1D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9B7E1D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9B7E1D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2191" w:type="dxa"/>
            <w:vAlign w:val="center"/>
          </w:tcPr>
          <w:p w:rsidR="009B7E1D" w:rsidRPr="00C80E5E" w:rsidRDefault="009B7E1D" w:rsidP="009B7E1D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272" w:type="dxa"/>
            <w:vAlign w:val="center"/>
          </w:tcPr>
          <w:p w:rsidR="009B7E1D" w:rsidRPr="00C80E5E" w:rsidRDefault="009B7E1D" w:rsidP="009B7E1D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9B7E1D" w:rsidRPr="00C80E5E" w:rsidTr="009B7E1D">
        <w:trPr>
          <w:cantSplit/>
          <w:jc w:val="center"/>
        </w:trPr>
        <w:tc>
          <w:tcPr>
            <w:tcW w:w="3472" w:type="dxa"/>
          </w:tcPr>
          <w:p w:rsidR="009B7E1D" w:rsidRPr="00C80E5E" w:rsidRDefault="009B7E1D" w:rsidP="00720BE8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>AICEP – Международная ассоциация связи португалоязычных стран</w:t>
            </w:r>
          </w:p>
        </w:tc>
        <w:tc>
          <w:tcPr>
            <w:tcW w:w="1559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МСЭ-R</w:t>
            </w:r>
            <w:r w:rsidRPr="00C80E5E">
              <w:rPr>
                <w:lang w:val="ru-RU"/>
              </w:rPr>
              <w:br/>
              <w:t>МСЭ-T</w:t>
            </w:r>
            <w:r w:rsidRPr="00C80E5E">
              <w:rPr>
                <w:lang w:val="ru-RU"/>
              </w:rPr>
              <w:br/>
              <w:t>МСЭ-D</w:t>
            </w:r>
          </w:p>
        </w:tc>
        <w:tc>
          <w:tcPr>
            <w:tcW w:w="2191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ДА</w:t>
            </w:r>
            <w:r w:rsidRPr="00C80E5E">
              <w:rPr>
                <w:lang w:val="ru-RU"/>
              </w:rPr>
              <w:br/>
              <w:t>ДА</w:t>
            </w:r>
          </w:p>
        </w:tc>
        <w:tc>
          <w:tcPr>
            <w:tcW w:w="2272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ДА</w:t>
            </w:r>
            <w:r w:rsidRPr="00C80E5E">
              <w:rPr>
                <w:lang w:val="ru-RU"/>
              </w:rPr>
              <w:br/>
              <w:t>ДА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 xml:space="preserve">Международная ассоциация связи португалоязычных стран (AICEP) представляет собой международную техническую неправительственную и некоммерческую организацию, которая объединяет почтовых операторов и операторов электросвязи португалоязычных стран. 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Главная миссия организации заключается в том, чтобы оказывать поддержку устойчивому развитию средств связи португалоязычных стран посредством совместного использования и осмысления информации, проведения учебных мероприятий и осуществления проектов в области развития.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В настоящее время в ее состав входят 36 членов из девяти португалоязычных стран и территорий, включая почтовых операторов, операторов электросвязи и операторов контента (телевидение), а также шесть из девяти регуляторных органов португалоязычных стран.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 xml:space="preserve">Члены AICEP представляют девять стран и территорий, в которых португальский язык является официальным, а именно: Анголу, Бразилию, Кабо-Верде, Гвинею-Бисау, Макао, Мозамбик, Португалию, Сан-Томе и Принсипи, а также Тимор-Лешти, включая: Члена Сектора МСЭ-T: компанию электросвязи Макао; и Члена Секторов МСЭ-T и МСЭ-D: Portugal Telecom; регуляторные органы Государств – Членов МСЭ: Генеральный регуляторный орган (AGER) Сан-Томе и Принсипи, Национальный орган связи (ANACOM) Португалии, Национальный регуляторный орган информационно-коммуникационных технологий (ARN-TIC) Гвинеи-Бисау, Ангольский институт связи (INACOM), Ангола; Национальный институт связи Мозамбика (INCM). 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2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191"/>
        <w:gridCol w:w="2272"/>
      </w:tblGrid>
      <w:tr w:rsidR="009B7E1D" w:rsidRPr="00C80E5E" w:rsidTr="009B7E1D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2191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2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9B7E1D" w:rsidRPr="00C80E5E" w:rsidTr="009B7E1D">
        <w:trPr>
          <w:cantSplit/>
          <w:jc w:val="center"/>
        </w:trPr>
        <w:tc>
          <w:tcPr>
            <w:tcW w:w="3472" w:type="dxa"/>
          </w:tcPr>
          <w:p w:rsidR="009B7E1D" w:rsidRPr="00C80E5E" w:rsidRDefault="009B7E1D" w:rsidP="00720BE8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>APC − Ассоциация прогрессивных коммуникаций</w:t>
            </w:r>
          </w:p>
        </w:tc>
        <w:tc>
          <w:tcPr>
            <w:tcW w:w="1559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МСЭ-R</w:t>
            </w:r>
            <w:r w:rsidRPr="00C80E5E">
              <w:rPr>
                <w:lang w:val="ru-RU"/>
              </w:rPr>
              <w:br/>
              <w:t>МСЭ-D</w:t>
            </w:r>
          </w:p>
        </w:tc>
        <w:tc>
          <w:tcPr>
            <w:tcW w:w="2191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ДА</w:t>
            </w:r>
          </w:p>
        </w:tc>
        <w:tc>
          <w:tcPr>
            <w:tcW w:w="2272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ДА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Ассоциация прогрессивных коммуникаций (APC) представляет собой международную сеть НПО, основанную в 1990 году путем установления контактов между семью некоммерческими организациями: IGC (США), GreenNet (Соединенное Королевство), NordNet (Швеция), Web Networks (Канада), IBASE (Бразилия), Nicarao/CRIES (Никарагуа) и Pegasus (Австралия). В настоящее время ее членский состав вырос до 48 членов в 35 странах, из которых 12 членов являются НПО из Африки. Их деятельность сосредоточена в таких областях, как исследования, информационно-пропагандистская работа и обучение по проблемам, касающимся использования интернета и интересов гражданского общества, в связи с чем ее члены проводят исследования таких вопросов электросвязи, как управление использованием частот и универсальный доступ.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Исследовательские документы и знания, накопленные APC о позициях гражданского общества по вопросам, касающимся развития ИКТ, могли бы придать дополнительную ценность работе исследовательских комиссий МСЭ, конференций и деятельности в области развития в целом. APC предложила поделиться своими исследовательскими документами, которые могли бы представлять интерес для МСЭ.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Эта организация в основном ориентирована на работу МСЭ-D. Данные, свидетельствующие о соответствующей деятельности, касающейся радио, спектра, спутников или какой-либо иной тематики деятельности МСЭ-R, отсутствуют.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3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191"/>
        <w:gridCol w:w="2272"/>
      </w:tblGrid>
      <w:tr w:rsidR="009B7E1D" w:rsidRPr="00C80E5E" w:rsidTr="009B7E1D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2191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2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6D27E9" w:rsidRPr="00C80E5E" w:rsidTr="009B7E1D">
        <w:trPr>
          <w:cantSplit/>
          <w:jc w:val="center"/>
        </w:trPr>
        <w:tc>
          <w:tcPr>
            <w:tcW w:w="3472" w:type="dxa"/>
          </w:tcPr>
          <w:p w:rsidR="006D27E9" w:rsidRPr="00C80E5E" w:rsidRDefault="006D27E9" w:rsidP="009B7E1D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>ATIS − Альянс по решениям в отрасли электросвязи</w:t>
            </w:r>
          </w:p>
        </w:tc>
        <w:tc>
          <w:tcPr>
            <w:tcW w:w="1559" w:type="dxa"/>
          </w:tcPr>
          <w:p w:rsidR="006D27E9" w:rsidRPr="00C80E5E" w:rsidRDefault="006D27E9" w:rsidP="009B7E1D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МСЭ-R</w:t>
            </w:r>
            <w:r w:rsidRPr="00C80E5E">
              <w:rPr>
                <w:lang w:val="ru-RU"/>
              </w:rPr>
              <w:br/>
              <w:t>МСЭ-T</w:t>
            </w:r>
          </w:p>
        </w:tc>
        <w:tc>
          <w:tcPr>
            <w:tcW w:w="2191" w:type="dxa"/>
          </w:tcPr>
          <w:p w:rsidR="006D27E9" w:rsidRPr="00C80E5E" w:rsidRDefault="006D27E9" w:rsidP="006D27E9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Считать частью рассмотрения Советом критериев</w:t>
            </w:r>
          </w:p>
        </w:tc>
        <w:tc>
          <w:tcPr>
            <w:tcW w:w="2272" w:type="dxa"/>
          </w:tcPr>
          <w:p w:rsidR="006D27E9" w:rsidRPr="00C80E5E" w:rsidRDefault="006D27E9" w:rsidP="00C05FA5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Считать частью рассмотрения Советом критериев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ATIS, который в настоящее время является Членом Секторов МСЭ-T и МСЭ-R, является некоммерческой организацией, созданной в рамках законодательства США (аккредитованной ANSI), которая разрабатывает технические и эксплуатационные стандарты и решения для отрасли ИКТ. ATIS является североамериканской организацией-партнером для 3GPP, партнером-основателем oneM2M, членом и основным участником от США в работе секторов радио и электросвязи МСЭ, а также членом CITEL.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 xml:space="preserve">Членами организации являются более 250 компаний, в том числе поставщики услуг беспроводной и проводной связи, изготовители оборудования, поставщики широкополосной связи, разработчики программного обеспечения, компании потребительского электронного оборудования, агентства США и Канады по вопросам общественной безопасности, компании по регулированию цифровых прав, а также поставщики интернет-услуг. 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 xml:space="preserve">Членский состав ATIS, в который входят региональные и глобальные компании, включает основные заинтересованные стороны из отрасли ИКТ, которыми являются поставщики услуг беспроводной и проводной связи, изготовители оборудования, поставщики услуг широкополосной связи, разработчики программного обеспечения, компании потребительского электронного оборудования, агентства США и Канады по вопросам общественной безопасности, компании по регулированию цифровых прав, а также поставщики интернет-услуг. </w:t>
      </w:r>
    </w:p>
    <w:p w:rsidR="009B7E1D" w:rsidRPr="00C80E5E" w:rsidRDefault="009B7E1D" w:rsidP="006D27E9">
      <w:pPr>
        <w:rPr>
          <w:lang w:val="ru-RU"/>
        </w:rPr>
      </w:pPr>
      <w:r w:rsidRPr="00C80E5E">
        <w:rPr>
          <w:lang w:val="ru-RU"/>
        </w:rPr>
        <w:t>В настоящее время ATIS является Членом Секторов МСЭ-R и МСЭ-T, выплачивающим взносы. Данн</w:t>
      </w:r>
      <w:r w:rsidR="006D27E9" w:rsidRPr="00C80E5E">
        <w:rPr>
          <w:lang w:val="ru-RU"/>
        </w:rPr>
        <w:t>ую заявку на</w:t>
      </w:r>
      <w:r w:rsidRPr="00C80E5E">
        <w:rPr>
          <w:lang w:val="ru-RU"/>
        </w:rPr>
        <w:t xml:space="preserve"> изменени</w:t>
      </w:r>
      <w:r w:rsidR="006D27E9" w:rsidRPr="00C80E5E">
        <w:rPr>
          <w:lang w:val="ru-RU"/>
        </w:rPr>
        <w:t>е</w:t>
      </w:r>
      <w:r w:rsidRPr="00C80E5E">
        <w:rPr>
          <w:lang w:val="ru-RU"/>
        </w:rPr>
        <w:t xml:space="preserve"> его нынешнего статуса на статус члена, освобожденного от уплаты взносов, </w:t>
      </w:r>
      <w:r w:rsidR="006D27E9" w:rsidRPr="00C80E5E">
        <w:rPr>
          <w:lang w:val="ru-RU"/>
        </w:rPr>
        <w:t>следует далее изучить в рамках рассмотрения критериев Советом</w:t>
      </w:r>
      <w:r w:rsidR="006D27E9" w:rsidRPr="00C80E5E">
        <w:rPr>
          <w:rFonts w:cs="Arial"/>
          <w:szCs w:val="24"/>
          <w:lang w:val="ru-RU" w:eastAsia="zh-CN"/>
        </w:rPr>
        <w:t>.</w:t>
      </w:r>
      <w:r w:rsidRPr="00C80E5E">
        <w:rPr>
          <w:lang w:val="ru-RU"/>
        </w:rPr>
        <w:t xml:space="preserve"> 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4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191"/>
        <w:gridCol w:w="2272"/>
      </w:tblGrid>
      <w:tr w:rsidR="009B7E1D" w:rsidRPr="00C80E5E" w:rsidTr="009B7E1D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2191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2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9B7E1D" w:rsidRPr="00C80E5E" w:rsidTr="009B7E1D">
        <w:trPr>
          <w:cantSplit/>
          <w:jc w:val="center"/>
        </w:trPr>
        <w:tc>
          <w:tcPr>
            <w:tcW w:w="3472" w:type="dxa"/>
          </w:tcPr>
          <w:p w:rsidR="009B7E1D" w:rsidRPr="00C80E5E" w:rsidRDefault="009B7E1D" w:rsidP="00720BE8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 xml:space="preserve">ЭСГЦА – Экономическое сообщество государств Центральной Африки </w:t>
            </w:r>
          </w:p>
        </w:tc>
        <w:tc>
          <w:tcPr>
            <w:tcW w:w="1559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МСЭ-R</w:t>
            </w:r>
            <w:r w:rsidRPr="00C80E5E">
              <w:rPr>
                <w:lang w:val="ru-RU"/>
              </w:rPr>
              <w:br/>
              <w:t>МСЭ-T</w:t>
            </w:r>
            <w:r w:rsidRPr="00C80E5E">
              <w:rPr>
                <w:lang w:val="ru-RU"/>
              </w:rPr>
              <w:br/>
              <w:t>МСЭ-D</w:t>
            </w:r>
          </w:p>
        </w:tc>
        <w:tc>
          <w:tcPr>
            <w:tcW w:w="2191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НЕТ</w:t>
            </w:r>
            <w:r w:rsidRPr="00C80E5E">
              <w:rPr>
                <w:lang w:val="ru-RU"/>
              </w:rPr>
              <w:br/>
              <w:t>ДА</w:t>
            </w:r>
          </w:p>
        </w:tc>
        <w:tc>
          <w:tcPr>
            <w:tcW w:w="2272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НЕТ</w:t>
            </w:r>
            <w:r w:rsidRPr="00C80E5E">
              <w:rPr>
                <w:lang w:val="ru-RU"/>
              </w:rPr>
              <w:br/>
              <w:t>НЕТ</w:t>
            </w:r>
            <w:r w:rsidRPr="00C80E5E">
              <w:rPr>
                <w:lang w:val="ru-RU"/>
              </w:rPr>
              <w:br/>
              <w:t>ДА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7345D1">
      <w:pPr>
        <w:rPr>
          <w:lang w:val="ru-RU"/>
        </w:rPr>
      </w:pPr>
      <w:r w:rsidRPr="00C80E5E">
        <w:rPr>
          <w:lang w:val="ru-RU"/>
        </w:rPr>
        <w:t xml:space="preserve">ЭСГЦА представляет собой </w:t>
      </w:r>
      <w:r w:rsidR="007345D1" w:rsidRPr="00C80E5E">
        <w:rPr>
          <w:lang w:val="ru-RU"/>
        </w:rPr>
        <w:t>э</w:t>
      </w:r>
      <w:r w:rsidRPr="00C80E5E">
        <w:rPr>
          <w:lang w:val="ru-RU"/>
        </w:rPr>
        <w:t>кономическое сообщество государств, созданное для содействия региональному экономическому сотрудничеству в Центральной Африке. Его цель заключается в том, чтобы "достичь коллективной самостоятельности, поднять уровень жизни своего населения и поддерживать экономическую стабильность посредством гармоничного сотрудничества".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Задачи ЭСГЦА в области электросвязи/ИКТ поставлены в Статьях 45, 46, 47, 48, 49 и 50 Договора о создании Экономического сообщества государств Центральной Африки.</w:t>
      </w:r>
    </w:p>
    <w:p w:rsidR="009B7E1D" w:rsidRPr="00C80E5E" w:rsidRDefault="009B7E1D" w:rsidP="00651813">
      <w:pPr>
        <w:rPr>
          <w:lang w:val="ru-RU"/>
        </w:rPr>
      </w:pPr>
      <w:r w:rsidRPr="00C80E5E">
        <w:rPr>
          <w:lang w:val="ru-RU"/>
        </w:rPr>
        <w:t>МСЭ является стратегическим партнером ЭСГЦА в разработке и осуществлении видов деятельности в секторе электросвязи/ИКТ в Центральной Африке. МСЭ оказывает поддержку ЭСГЦА в его деятельности, включая согласование национальных регламентов, что привело к разработке проекта типового закона об электросвязи/ИКТ и кибербезопасности, который должен быть принят органами Сообщества, проведение технического и коммерческого исследования по проблемам роуминга в Центральной Африке, а также рассмотрение вопроса о безопасном управлении использованием частот в приграничных регионах.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ЭСГЦА является партнером МСЭ в деятельности в области развития в регионе Центральной Африки. Например, Секретариат ЭСГЦА был координатором стран Центральной Африки в ходе осуществления проекта "Согласование политики в области ИКТ в странах Африки к югу от Сахары" (HIPSSA).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МСЭ всегда получал приглашения принять участие в собраниях ЭСГЦА на всех уровнях, а именно: глав государств, министров и/или на техническом уровне. МСЭ получил свободный доступ ко всей документации, касающейся электросвязи/ИКТ.</w:t>
      </w:r>
    </w:p>
    <w:p w:rsidR="009B7E1D" w:rsidRPr="00C80E5E" w:rsidRDefault="0099095C" w:rsidP="0099095C">
      <w:pPr>
        <w:rPr>
          <w:lang w:val="ru-RU"/>
        </w:rPr>
      </w:pPr>
      <w:r w:rsidRPr="00C80E5E">
        <w:rPr>
          <w:lang w:val="ru-RU"/>
        </w:rPr>
        <w:t>Поскольку с</w:t>
      </w:r>
      <w:r w:rsidR="009B7E1D" w:rsidRPr="00C80E5E">
        <w:rPr>
          <w:lang w:val="ru-RU"/>
        </w:rPr>
        <w:t>отрудничество сосредоточено на вопросах, касающихся МСЭ-D</w:t>
      </w:r>
      <w:r w:rsidRPr="00C80E5E">
        <w:rPr>
          <w:lang w:val="ru-RU"/>
        </w:rPr>
        <w:t>, эта деятельность не входит в</w:t>
      </w:r>
      <w:r w:rsidR="009B7E1D" w:rsidRPr="00C80E5E">
        <w:rPr>
          <w:lang w:val="ru-RU"/>
        </w:rPr>
        <w:t xml:space="preserve"> сферу компетенции МСЭ-R или МСЭ-T.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5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2191"/>
        <w:gridCol w:w="2272"/>
      </w:tblGrid>
      <w:tr w:rsidR="009B7E1D" w:rsidRPr="00C80E5E" w:rsidTr="009B7E1D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2191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2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9B7E1D" w:rsidRPr="00C80E5E" w:rsidTr="009B7E1D">
        <w:trPr>
          <w:cantSplit/>
          <w:jc w:val="center"/>
        </w:trPr>
        <w:tc>
          <w:tcPr>
            <w:tcW w:w="3472" w:type="dxa"/>
          </w:tcPr>
          <w:p w:rsidR="009B7E1D" w:rsidRPr="00C80E5E" w:rsidRDefault="009B7E1D" w:rsidP="00720BE8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 xml:space="preserve">ИМПАКТ − Международное многостороннее партнерство против киберугроз </w:t>
            </w:r>
          </w:p>
        </w:tc>
        <w:tc>
          <w:tcPr>
            <w:tcW w:w="1559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МСЭ-T</w:t>
            </w:r>
          </w:p>
        </w:tc>
        <w:tc>
          <w:tcPr>
            <w:tcW w:w="2191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ДА</w:t>
            </w:r>
          </w:p>
        </w:tc>
        <w:tc>
          <w:tcPr>
            <w:tcW w:w="2272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ДА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ИМПАКТ является альянсом при Организации Объединенных Наций, занимающимся вопросами борьбы с киберугрозами. С 2011 года ИМПАКТ играет основную роль в оказании поддержки мандату МСЭ в области куберугроз и предпринимал разнообразные виды деятельности в области стандартизации ИКТ.</w:t>
      </w:r>
    </w:p>
    <w:p w:rsidR="009B7E1D" w:rsidRPr="00C80E5E" w:rsidRDefault="009B7E1D" w:rsidP="0099095C">
      <w:pPr>
        <w:rPr>
          <w:lang w:val="ru-RU"/>
        </w:rPr>
      </w:pPr>
      <w:r w:rsidRPr="00C80E5E">
        <w:rPr>
          <w:lang w:val="ru-RU"/>
        </w:rPr>
        <w:t xml:space="preserve">В общей сложности 149 стран из </w:t>
      </w:r>
      <w:r w:rsidR="0099095C" w:rsidRPr="00C80E5E">
        <w:rPr>
          <w:lang w:val="ru-RU"/>
        </w:rPr>
        <w:t xml:space="preserve">числа </w:t>
      </w:r>
      <w:r w:rsidRPr="00C80E5E">
        <w:rPr>
          <w:lang w:val="ru-RU"/>
        </w:rPr>
        <w:t>193 Государств – Членов МСЭ входят в состав этого крупн</w:t>
      </w:r>
      <w:r w:rsidR="0099095C" w:rsidRPr="00C80E5E">
        <w:rPr>
          <w:lang w:val="ru-RU"/>
        </w:rPr>
        <w:t>ейше</w:t>
      </w:r>
      <w:r w:rsidRPr="00C80E5E">
        <w:rPr>
          <w:lang w:val="ru-RU"/>
        </w:rPr>
        <w:t>го альянса, действующего в рамках МСЭ.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С 2009 года ИМПАКТ участвует в различных видах деятельности и в проектах, направленных на укрепление кибербезопасности Государств – Членов МСЭ.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Все проводимые альянсом в духе сотрудничества семинары-практикумы, учебные мероприятия и семинары с ключевыми партнерами будут открыты для участия МСЭ и его Государств-Членов на бесплатной основе.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ИМПАКТ свел воедино хранилище ресурсов, касающихся мероприятий в области сотрудничества со своими партнерами. Эти ресурсы включают "белые книги", различные документы, материалы по теме "Защита ребенка в онлайновой среде" и т. п. Все эти ресурсы будут предоставляться МСЭ и его Государствам-Членам бесплатно.</w:t>
      </w:r>
    </w:p>
    <w:p w:rsidR="009B7E1D" w:rsidRPr="00C80E5E" w:rsidRDefault="009B7E1D" w:rsidP="009B7E1D">
      <w:pPr>
        <w:spacing w:after="120"/>
        <w:rPr>
          <w:lang w:val="ru-RU"/>
        </w:rPr>
      </w:pPr>
      <w:r w:rsidRPr="00C80E5E">
        <w:rPr>
          <w:lang w:val="ru-RU"/>
        </w:rPr>
        <w:t>6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1559"/>
        <w:gridCol w:w="1985"/>
        <w:gridCol w:w="2478"/>
      </w:tblGrid>
      <w:tr w:rsidR="009B7E1D" w:rsidRPr="00C80E5E" w:rsidTr="00720BE8">
        <w:trPr>
          <w:cantSplit/>
          <w:jc w:val="center"/>
        </w:trPr>
        <w:tc>
          <w:tcPr>
            <w:tcW w:w="3472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Сектор</w:t>
            </w:r>
          </w:p>
        </w:tc>
        <w:tc>
          <w:tcPr>
            <w:tcW w:w="1985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Соответствие критериям</w:t>
            </w:r>
          </w:p>
        </w:tc>
        <w:tc>
          <w:tcPr>
            <w:tcW w:w="2478" w:type="dxa"/>
            <w:vAlign w:val="center"/>
          </w:tcPr>
          <w:p w:rsidR="009B7E1D" w:rsidRPr="00C80E5E" w:rsidRDefault="009B7E1D" w:rsidP="00720BE8">
            <w:pPr>
              <w:pStyle w:val="Tablehead"/>
              <w:rPr>
                <w:lang w:val="ru-RU"/>
              </w:rPr>
            </w:pPr>
            <w:r w:rsidRPr="00C80E5E">
              <w:rPr>
                <w:lang w:val="ru-RU"/>
              </w:rPr>
              <w:t>Рекомендация Генерального секретаря</w:t>
            </w:r>
          </w:p>
        </w:tc>
      </w:tr>
      <w:tr w:rsidR="009B7E1D" w:rsidRPr="00C80E5E" w:rsidTr="00720BE8">
        <w:trPr>
          <w:cantSplit/>
          <w:jc w:val="center"/>
        </w:trPr>
        <w:tc>
          <w:tcPr>
            <w:tcW w:w="3472" w:type="dxa"/>
          </w:tcPr>
          <w:p w:rsidR="009B7E1D" w:rsidRPr="00C80E5E" w:rsidRDefault="009B7E1D" w:rsidP="00720BE8">
            <w:pPr>
              <w:pStyle w:val="Tabletext"/>
              <w:rPr>
                <w:b/>
                <w:bCs/>
                <w:lang w:val="ru-RU"/>
              </w:rPr>
            </w:pPr>
            <w:r w:rsidRPr="00C80E5E">
              <w:rPr>
                <w:b/>
                <w:bCs/>
                <w:lang w:val="ru-RU"/>
              </w:rPr>
              <w:t>PITA − Ассоциация электросвязи тихоокеанских островных государств</w:t>
            </w:r>
          </w:p>
        </w:tc>
        <w:tc>
          <w:tcPr>
            <w:tcW w:w="1559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МСЭ-R</w:t>
            </w:r>
            <w:r w:rsidRPr="00C80E5E">
              <w:rPr>
                <w:lang w:val="ru-RU"/>
              </w:rPr>
              <w:br/>
              <w:t>МСЭ-D</w:t>
            </w:r>
          </w:p>
        </w:tc>
        <w:tc>
          <w:tcPr>
            <w:tcW w:w="1985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ДА</w:t>
            </w:r>
            <w:r w:rsidRPr="00C80E5E">
              <w:rPr>
                <w:lang w:val="ru-RU"/>
              </w:rPr>
              <w:br/>
              <w:t>ДА</w:t>
            </w:r>
          </w:p>
        </w:tc>
        <w:tc>
          <w:tcPr>
            <w:tcW w:w="2478" w:type="dxa"/>
          </w:tcPr>
          <w:p w:rsidR="009B7E1D" w:rsidRPr="00C80E5E" w:rsidRDefault="009B7E1D" w:rsidP="00720BE8">
            <w:pPr>
              <w:pStyle w:val="Tabletext"/>
              <w:jc w:val="center"/>
              <w:rPr>
                <w:lang w:val="ru-RU"/>
              </w:rPr>
            </w:pPr>
            <w:r w:rsidRPr="00C80E5E">
              <w:rPr>
                <w:lang w:val="ru-RU"/>
              </w:rPr>
              <w:t>ДА</w:t>
            </w:r>
            <w:r w:rsidRPr="00C80E5E">
              <w:rPr>
                <w:lang w:val="ru-RU"/>
              </w:rPr>
              <w:br/>
              <w:t>ДА</w:t>
            </w:r>
          </w:p>
        </w:tc>
      </w:tr>
    </w:tbl>
    <w:p w:rsidR="009B7E1D" w:rsidRPr="00C80E5E" w:rsidRDefault="009B7E1D" w:rsidP="009B7E1D">
      <w:pPr>
        <w:pStyle w:val="Headingb"/>
        <w:rPr>
          <w:lang w:val="ru-RU"/>
        </w:rPr>
      </w:pPr>
      <w:r w:rsidRPr="00C80E5E">
        <w:rPr>
          <w:lang w:val="ru-RU"/>
        </w:rPr>
        <w:t>Комментарии в отношении взаимных преимуществ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Основные виды деятельности Ассоциации электросвязи тихоокеанских островных государств (PITA) состоят в том, чтобы продвигать, укреплять и совершенствовать электросвязь в странах-членах. Эти виды деятельности включают проведение региональных собраний, технических семинаров-практикумов, учебных мероприятий и мероприятий в области технического сотрудничества с целью расширения обмена квалификационными навыками, знаниями и потенциалом между странами-членами и с организациями развитых стран. Ее членами являются объединения электросвязи тихоокеанских островных государств и территорий. Ассоциированными членами являются организации, представляющие отрасль, поставщики и провайдеры решений из различных стран мира. PITA относится к особой категории организаций для правительств и регуляторных органов.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>PITA сотрудничает с МСЭ в организации собраний и осуществлении проектов в тихоокеанском регионе, используя свои собственные источники финансирования для осуществления своих соответствующих обязанностей в соответствии с любыми такими договоренностями, предусмотренными для тихоокеанского региона. PITA направляет приглашения МСЭ без какой-либо регистрационной платы для участия в работе ее собраний и в ее деятельности. Эти виды деятельности предоставляли МСЭ-D ценные и рентабельные возможности для того, чтобы представить отчеты, обменяться информацией и обсудить возможности для осуществления общих видов деятельности с основными участниками, представляющими тихоокеанские острова.</w:t>
      </w:r>
    </w:p>
    <w:p w:rsidR="009B7E1D" w:rsidRPr="00C80E5E" w:rsidRDefault="009B7E1D" w:rsidP="009B7E1D">
      <w:pPr>
        <w:rPr>
          <w:lang w:val="ru-RU"/>
        </w:rPr>
      </w:pPr>
      <w:r w:rsidRPr="00C80E5E">
        <w:rPr>
          <w:lang w:val="ru-RU"/>
        </w:rPr>
        <w:t xml:space="preserve">PITA также оказывала содействие инициативам МСЭ-R, касающимся тихоокеанских островов. В 2013 году МСЭ-R и PITA совместно организовали радиосеминар для Азиатско-Тихоокеанского региона, а также семинар-практикум о будущем полосы C в тихоокеанском регионе. Что касается 2014 года, то в настоящее время МСЭ-R осуществляет подготовку семинара-практикума высокого уровня совместно с PITA, а также будет принимать участие в Ассамблее PITA, как и в предыдущие два года. </w:t>
      </w:r>
    </w:p>
    <w:p w:rsidR="009B7E1D" w:rsidRPr="00C80E5E" w:rsidRDefault="009B7E1D" w:rsidP="0099095C">
      <w:pPr>
        <w:rPr>
          <w:lang w:val="ru-RU"/>
        </w:rPr>
      </w:pPr>
      <w:r w:rsidRPr="00C80E5E">
        <w:rPr>
          <w:lang w:val="ru-RU"/>
        </w:rPr>
        <w:t xml:space="preserve">В этом плане PITA является одним из ценных партнеров для программ </w:t>
      </w:r>
      <w:r w:rsidR="0099095C" w:rsidRPr="00C80E5E">
        <w:rPr>
          <w:lang w:val="ru-RU"/>
        </w:rPr>
        <w:t xml:space="preserve">МСЭ-R и </w:t>
      </w:r>
      <w:r w:rsidRPr="00C80E5E">
        <w:rPr>
          <w:lang w:val="ru-RU"/>
        </w:rPr>
        <w:t>МСЭ-D, касающихся тихоокеанских островов, поскольку такое партнерство обеспечивает общие блага с точки зрения изучения возможностей для продвижения региональных стандартов в области электросвязи и информационно-коммуникационных технологий, осуществления взаимовыгодного сотрудничества в области создания потенциала и передачи квалификационных навыков, знаний и компетентности в регион тихоокеанских островов.</w:t>
      </w:r>
    </w:p>
    <w:p w:rsidR="009B7E1D" w:rsidRPr="00C80E5E" w:rsidRDefault="009B7E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80E5E">
        <w:rPr>
          <w:lang w:val="ru-RU"/>
        </w:rPr>
        <w:br w:type="page"/>
      </w:r>
    </w:p>
    <w:p w:rsidR="00776552" w:rsidRPr="00C80E5E" w:rsidRDefault="00F564FC" w:rsidP="00776552">
      <w:pPr>
        <w:pStyle w:val="AnnexNo"/>
        <w:rPr>
          <w:lang w:val="ru-RU"/>
        </w:rPr>
      </w:pPr>
      <w:r w:rsidRPr="00C80E5E">
        <w:rPr>
          <w:lang w:val="ru-RU"/>
        </w:rPr>
        <w:t>приложение</w:t>
      </w:r>
      <w:r w:rsidR="00776552" w:rsidRPr="00C80E5E">
        <w:rPr>
          <w:lang w:val="ru-RU"/>
        </w:rPr>
        <w:t xml:space="preserve"> 2</w:t>
      </w:r>
    </w:p>
    <w:p w:rsidR="00776552" w:rsidRPr="00C80E5E" w:rsidRDefault="0099095C" w:rsidP="0099095C">
      <w:pPr>
        <w:pStyle w:val="Annextitle"/>
        <w:rPr>
          <w:lang w:val="ru-RU"/>
        </w:rPr>
      </w:pPr>
      <w:r w:rsidRPr="00C80E5E">
        <w:rPr>
          <w:lang w:val="ru-RU"/>
        </w:rPr>
        <w:t>Список освобожденных в настоящее время объединений</w:t>
      </w:r>
    </w:p>
    <w:tbl>
      <w:tblPr>
        <w:tblStyle w:val="TableGri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134"/>
        <w:gridCol w:w="1134"/>
        <w:gridCol w:w="1134"/>
      </w:tblGrid>
      <w:tr w:rsidR="00776552" w:rsidRPr="00C80E5E" w:rsidTr="00C80E5E">
        <w:trPr>
          <w:cantSplit/>
          <w:trHeight w:val="255"/>
          <w:tblHeader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52" w:rsidRPr="00C80E5E" w:rsidRDefault="003C60DB" w:rsidP="00882F3D">
            <w:pPr>
              <w:pStyle w:val="Tablehead"/>
              <w:spacing w:before="80" w:after="8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52" w:rsidRPr="00C80E5E" w:rsidRDefault="00F564FC" w:rsidP="00882F3D">
            <w:pPr>
              <w:pStyle w:val="Tablehead"/>
              <w:spacing w:before="80" w:after="80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МСЭ</w:t>
            </w:r>
            <w:r w:rsidR="00776552" w:rsidRPr="00C80E5E">
              <w:rPr>
                <w:lang w:val="ru-RU" w:eastAsia="zh-CN"/>
              </w:rPr>
              <w:t>-R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552" w:rsidRPr="00C80E5E" w:rsidRDefault="00F564FC" w:rsidP="00882F3D">
            <w:pPr>
              <w:pStyle w:val="Tablehead"/>
              <w:spacing w:before="80" w:after="80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МСЭ</w:t>
            </w:r>
            <w:r w:rsidR="00776552" w:rsidRPr="00C80E5E">
              <w:rPr>
                <w:lang w:val="ru-RU" w:eastAsia="zh-CN"/>
              </w:rPr>
              <w:t>-T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552" w:rsidRPr="00C80E5E" w:rsidRDefault="00F564FC" w:rsidP="00882F3D">
            <w:pPr>
              <w:pStyle w:val="Tablehead"/>
              <w:spacing w:before="80" w:after="80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МСЭ</w:t>
            </w:r>
            <w:r w:rsidR="00776552" w:rsidRPr="00C80E5E">
              <w:rPr>
                <w:lang w:val="ru-RU" w:eastAsia="zh-CN"/>
              </w:rPr>
              <w:t>-D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52" w:rsidRPr="00C80E5E" w:rsidRDefault="0099095C" w:rsidP="00882F3D">
            <w:pPr>
              <w:pStyle w:val="Tablehead"/>
              <w:spacing w:before="80" w:after="80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Участие в обследо</w:t>
            </w:r>
            <w:r w:rsidR="00C80E5E" w:rsidRPr="00C80E5E">
              <w:rPr>
                <w:lang w:val="ru-RU" w:eastAsia="zh-CN"/>
              </w:rPr>
              <w:t>-</w:t>
            </w:r>
            <w:r w:rsidRPr="00C80E5E">
              <w:rPr>
                <w:lang w:val="ru-RU" w:eastAsia="zh-CN"/>
              </w:rPr>
              <w:t>вании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Arial"/>
                <w:bCs/>
                <w:iCs/>
                <w:lang w:val="ru-RU"/>
              </w:rPr>
              <w:t>Организация "Африканское гражданское общество в поддержку информационного общества" (ACSIS)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Arial"/>
                <w:bCs/>
                <w:iCs/>
                <w:lang w:val="ru-RU"/>
              </w:rPr>
              <w:t>Африканская сеть потребителей ИКТ (AICN)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Африканский союз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Африканский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Африканский радиовещательный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8388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Арабский бизнес-форум по информационным и коммуникационным технологиям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Арабская организация по вопросам информационно-коммуникационных технологий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 xml:space="preserve"> (AICTO)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831B58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  <w:bookmarkStart w:id="6" w:name="_GoBack"/>
            <w:bookmarkEnd w:id="6"/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Арабский союз частного радиовещания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Сеть регуляторных органов арабских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Радиовещательный союз арабских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Азиатско-Тихоокеанский радиовещательный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8388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Институт </w:t>
            </w:r>
            <w:r w:rsidR="000D2A4F" w:rsidRPr="00C80E5E">
              <w:rPr>
                <w:rFonts w:asciiTheme="minorHAnsi" w:hAnsiTheme="minorHAnsi"/>
                <w:lang w:val="ru-RU" w:eastAsia="zh-CN"/>
              </w:rPr>
              <w:t>Азиатско</w:t>
            </w:r>
            <w:r w:rsidRPr="00C80E5E">
              <w:rPr>
                <w:rFonts w:asciiTheme="minorHAnsi" w:hAnsiTheme="minorHAnsi"/>
                <w:lang w:val="ru-RU" w:eastAsia="zh-CN"/>
              </w:rPr>
              <w:t>-</w:t>
            </w:r>
            <w:r w:rsidR="000D2A4F" w:rsidRPr="00C80E5E">
              <w:rPr>
                <w:rFonts w:asciiTheme="minorHAnsi" w:hAnsiTheme="minorHAnsi"/>
                <w:lang w:val="ru-RU" w:eastAsia="zh-CN"/>
              </w:rPr>
              <w:t xml:space="preserve">Тихоокеанского </w:t>
            </w:r>
            <w:r w:rsidRPr="00C80E5E">
              <w:rPr>
                <w:rFonts w:asciiTheme="minorHAnsi" w:hAnsiTheme="minorHAnsi"/>
                <w:lang w:val="ru-RU" w:eastAsia="zh-CN"/>
              </w:rPr>
              <w:t>региона по вопросам развития радиовещания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Азиатско-Тихоокеанское сообщество электросвязи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Иберо-американская ассоциация научно-исследовательских центров и предприятий в области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095C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Ассоциация регуляторных органов – Администратор Латиноамериканского форума регуляторных органов в области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241C6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lang w:val="ru-RU"/>
              </w:rPr>
              <w:t>Ассоциация предпринимателей в области связи Португалии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Ассоциация регуляторных органов в области связи и электросвязи португалоязычных стран при Сообществе португалоязычных стран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(ARCTEL-CPLP)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Ассоциация государственных предприятий электросвязи стран – членов Андского субрегионального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241C6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lang w:val="ru-RU"/>
              </w:rPr>
              <w:t>Европейские вещательные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Карибская ассоциация национальных организаций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lang w:val="ru-RU"/>
              </w:rPr>
              <w:t>Карибский телерадиовещательный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Карибский союз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Центр по окружающей среде и развитию региона арабских стран и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 w:eastAsia="zh-CN"/>
              </w:rPr>
              <w:t>Международная линия помощи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Комитет по радиоастрономическим частотам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A70D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Комитет по космическим исследованиям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8276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Группа Содружества МСЭ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О</w:t>
            </w:r>
            <w:r w:rsidR="00CA70D2" w:rsidRPr="00C80E5E">
              <w:rPr>
                <w:rFonts w:asciiTheme="minorHAnsi" w:hAnsiTheme="minorHAnsi"/>
                <w:lang w:val="ru-RU"/>
              </w:rPr>
              <w:t>рганизация</w:t>
            </w:r>
            <w:r w:rsidRPr="00C80E5E">
              <w:rPr>
                <w:rFonts w:asciiTheme="minorHAnsi" w:hAnsiTheme="minorHAnsi"/>
                <w:lang w:val="ru-RU"/>
              </w:rPr>
              <w:t xml:space="preserve"> по электросвязи </w:t>
            </w:r>
            <w:r w:rsidR="00CA70D2" w:rsidRPr="00C80E5E">
              <w:rPr>
                <w:rFonts w:asciiTheme="minorHAnsi" w:hAnsiTheme="minorHAnsi"/>
                <w:lang w:val="ru-RU"/>
              </w:rPr>
              <w:t>Содружества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Консорциум за призыв к действиям по поддержке и развитию Африки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(CAPDA)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453D2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Международный союз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9149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Альянс Continua 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453D2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Совет сотрудничества арабских государств Залива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20BE8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iCs/>
                <w:lang w:val="ru-RU"/>
              </w:rPr>
              <w:t>Африканская диаспора в интересах информационного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Digital Opportunity Trust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Всемирное цифровое радиовещание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E1C6E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Фонд Доминика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E1C6E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Ассо</w:t>
            </w:r>
            <w:r w:rsidR="000E399D" w:rsidRPr="00C80E5E">
              <w:rPr>
                <w:rFonts w:asciiTheme="minorHAnsi" w:hAnsiTheme="minorHAnsi"/>
                <w:lang w:val="ru-RU" w:eastAsia="zh-CN"/>
              </w:rPr>
              <w:t>ци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ация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 xml:space="preserve">EIDQ </w:t>
            </w:r>
            <w:r w:rsidRPr="00C80E5E">
              <w:rPr>
                <w:rFonts w:asciiTheme="minorHAnsi" w:hAnsiTheme="minorHAnsi"/>
                <w:lang w:val="ru-RU" w:eastAsia="zh-CN"/>
              </w:rPr>
              <w:t>–</w:t>
            </w:r>
            <w:r w:rsidR="00720BE8"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Ассоциация справочных служб и поиска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A17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 w:eastAsia="zh-CN"/>
              </w:rPr>
              <w:t>Восточноафриканская организация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20BE8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color w:val="000000"/>
                <w:lang w:val="ru-RU"/>
              </w:rPr>
              <w:t>Восточноафриканское сообщество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E1C6E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Высшая международная школа электросвязи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Экономическое сообщество западноафриканских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 xml:space="preserve">Европейский </w:t>
            </w:r>
            <w:r w:rsidR="003E1C6E" w:rsidRPr="00C80E5E">
              <w:rPr>
                <w:rFonts w:asciiTheme="minorHAnsi" w:hAnsiTheme="minorHAnsi"/>
                <w:lang w:val="ru-RU"/>
              </w:rPr>
              <w:t xml:space="preserve">радиовещательный </w:t>
            </w:r>
            <w:r w:rsidRPr="00C80E5E">
              <w:rPr>
                <w:rFonts w:asciiTheme="minorHAnsi" w:hAnsiTheme="minorHAnsi"/>
                <w:lang w:val="ru-RU"/>
              </w:rPr>
              <w:t xml:space="preserve">союз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20BE8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color w:val="000000"/>
                <w:lang w:val="ru-RU"/>
              </w:rPr>
              <w:t>Европейское бюро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E1C6E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Европейская ассоциация по вопросам конкуренции в области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 xml:space="preserve">Европейская конференция </w:t>
            </w:r>
            <w:r w:rsidR="003E1C6E" w:rsidRPr="00C80E5E">
              <w:rPr>
                <w:rFonts w:asciiTheme="minorHAnsi" w:hAnsiTheme="minorHAnsi"/>
                <w:lang w:val="ru-RU"/>
              </w:rPr>
              <w:t xml:space="preserve">администраций почт и электросвязи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 xml:space="preserve">Европейская ассоциация операторов сетей электросвязи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8388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lang w:val="ru-RU"/>
              </w:rPr>
              <w:t>Европейская организация спутниковой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Европейский институт стандартизации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Совет FTTH Азиатско-Тихоокеанского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C7DE5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Совет Fibre to the Home для Ближнего Востока и Северной Африки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(FTTH MENA)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iCs/>
                <w:lang w:val="ru-RU"/>
              </w:rPr>
              <w:t>Форум групп по реагированию на инциденты и обеспечению безопасности (FIRST)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G3ict </w:t>
            </w:r>
            <w:r w:rsidR="00720BE8" w:rsidRPr="00C80E5E">
              <w:rPr>
                <w:rFonts w:asciiTheme="minorHAnsi" w:hAnsiTheme="minorHAnsi"/>
                <w:lang w:val="ru-RU" w:eastAsia="zh-CN"/>
              </w:rPr>
              <w:t>−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720BE8" w:rsidRPr="00C80E5E">
              <w:rPr>
                <w:rFonts w:asciiTheme="minorHAnsi" w:hAnsiTheme="minorHAnsi"/>
                <w:bCs/>
                <w:lang w:val="ru-RU"/>
              </w:rPr>
              <w:t xml:space="preserve">Глобальная инициатива за расширение охвата </w:t>
            </w:r>
            <w:r w:rsidR="002D7FB4" w:rsidRPr="00C80E5E">
              <w:rPr>
                <w:rFonts w:asciiTheme="minorHAnsi" w:hAnsiTheme="minorHAnsi"/>
                <w:bCs/>
                <w:lang w:val="ru-RU"/>
              </w:rPr>
              <w:t>информационно-коммуникационными технологиями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453D2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Глобальный фонд партнерства во имя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Глобальный форум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 xml:space="preserve">VSAT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C60D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Arial"/>
                <w:lang w:val="ru-RU"/>
              </w:rPr>
              <w:t>Индийский форум по стандартизации ИКТ в глобальном масштабе (GISFI)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C7DE5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Координационная конференция по высоким частотам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IJMA3</w:t>
            </w:r>
            <w:r w:rsidR="007C7DE5" w:rsidRPr="00C80E5E">
              <w:rPr>
                <w:rFonts w:asciiTheme="minorHAnsi" w:hAnsiTheme="minorHAnsi"/>
                <w:lang w:val="ru-RU" w:eastAsia="zh-CN"/>
              </w:rPr>
              <w:t xml:space="preserve"> − </w:t>
            </w:r>
            <w:r w:rsidR="007C7DE5" w:rsidRPr="00C80E5E">
              <w:rPr>
                <w:rFonts w:asciiTheme="minorHAnsi" w:hAnsiTheme="minorHAnsi"/>
                <w:bCs/>
                <w:lang w:val="ru-RU"/>
              </w:rPr>
              <w:t>Арабская организация в области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Индийский фонд МСЭ-АТСЭ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caps/>
                <w:lang w:val="ru-RU" w:eastAsia="zh-CN"/>
              </w:rPr>
            </w:pPr>
            <w:r w:rsidRPr="00C80E5E">
              <w:rPr>
                <w:caps/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Целевая группа по коренным народам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82234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Институт инженеров по электронике и радиоэлектронике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822344" w:rsidP="00882F3D">
            <w:pPr>
              <w:pStyle w:val="Tabletext"/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Межамериканская комиссия электросвязи</w:t>
            </w:r>
            <w:r w:rsidRPr="00C80E5E">
              <w:rPr>
                <w:rFonts w:asciiTheme="minorHAnsi" w:hAnsiTheme="minorHAnsi"/>
                <w:bCs/>
                <w:noProof/>
                <w:lang w:val="en-US" w:eastAsia="zh-CN"/>
              </w:rPr>
              <w:drawing>
                <wp:inline distT="0" distB="0" distL="0" distR="0" wp14:anchorId="785236AE" wp14:editId="0508BB62">
                  <wp:extent cx="95250" cy="102235"/>
                  <wp:effectExtent l="0" t="0" r="0" b="0"/>
                  <wp:docPr id="2" name="Picture 2" descr="http://unterm.un.org/DGAACS/unterm.nsf/blank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nterm.un.org/DGAACS/unterm.nsf/blank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ассоциация воздушного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1155B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союз радиолюбителей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TimesNewRomanPSMT"/>
                <w:lang w:val="ru-RU" w:eastAsia="zh-CN"/>
              </w:rPr>
              <w:t>Международная ассоциация 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Международная ассоциация юристов в области ИТ</w:t>
            </w:r>
            <w:r w:rsidRPr="00C80E5E">
              <w:rPr>
                <w:rFonts w:asciiTheme="minorHAnsi" w:hAnsiTheme="minorHAnsi"/>
                <w:lang w:val="ru-RU"/>
              </w:rPr>
              <w:t xml:space="preserve">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(IAITL)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40" w:after="4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80E5E">
              <w:rPr>
                <w:rFonts w:asciiTheme="minorHAnsi" w:hAnsiTheme="minorHAnsi"/>
                <w:sz w:val="20"/>
                <w:lang w:val="ru-RU"/>
              </w:rPr>
              <w:t xml:space="preserve">Международная ассоциация </w:t>
            </w:r>
            <w:r w:rsidR="002D7FB4" w:rsidRPr="00C80E5E">
              <w:rPr>
                <w:rFonts w:asciiTheme="minorHAnsi" w:hAnsiTheme="minorHAnsi" w:cs="TimesNewRoman"/>
                <w:sz w:val="20"/>
                <w:lang w:val="ru-RU" w:eastAsia="zh-CN"/>
              </w:rPr>
              <w:t>служб навигационного обеспечения и маячных служб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федерация астронавтики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астрономический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Международное бюро мер и 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Международный центр по интернет-ресурсам для лиц с ограниченными возможностями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(ICDRI)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Международный центр содействия предприятиям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комитет Красного Креста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совет научных 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Международный совет по крупным электросистемам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электротехническая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федерация по обработке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ассоциация морской радиосвязи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8388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организация подвижной спутниковой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организация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F31C0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спутниковая система для поиска и спасания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специальный комитет по радиопомехам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академия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A13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A70D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организация спутниковой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Международная группа пользователей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Международный научный радиосоюз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112A5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Сообщество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Консорциум систем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01A4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 w:eastAsia="zh-CN"/>
              </w:rPr>
              <w:t>Лига арабских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Mandat International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NetHope Inc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3144B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Североамериканская ассоциация радиовещательных организаций (НАБА)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 xml:space="preserve">Открытый консорциум геопространственных данных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(OGC)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E87D1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eastAsia="SimSun" w:hAnsiTheme="minorHAnsi"/>
                <w:bCs/>
                <w:lang w:val="ru-RU" w:eastAsia="zh-CN"/>
              </w:rPr>
              <w:t>Ассоциация электросвязи островных государств Тихого океана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C2D58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Региональная африканская организация спутниковой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6568B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Региональное содружество в области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01A4A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Научный комитет по распределению частот для радиоастрономии и исследования космоса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C7DE5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Фонд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Sintesio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596396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Общество инженеров</w:t>
            </w:r>
            <w:r w:rsidR="002D7FB4" w:rsidRPr="00C80E5E">
              <w:rPr>
                <w:rFonts w:asciiTheme="minorHAnsi" w:hAnsiTheme="minorHAnsi"/>
                <w:lang w:val="ru-RU" w:eastAsia="zh-CN"/>
              </w:rPr>
              <w:t xml:space="preserve"> кино и телевидения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Сети электросвязи юга Африки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9112A5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Сообщество по вопросам развития стран юга Африки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D7FB4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Фонд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 xml:space="preserve">Telecentre.org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E399D" w:rsidP="00882F3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spacing w:before="40" w:after="40"/>
              <w:textAlignment w:val="auto"/>
              <w:rPr>
                <w:rFonts w:asciiTheme="minorHAnsi" w:hAnsiTheme="minorHAnsi"/>
                <w:sz w:val="20"/>
                <w:lang w:val="ru-RU" w:eastAsia="zh-CN"/>
              </w:rPr>
            </w:pPr>
            <w:r w:rsidRPr="00C80E5E">
              <w:rPr>
                <w:rFonts w:asciiTheme="minorHAnsi" w:hAnsiTheme="minorHAnsi" w:cs="TimesNewRoman"/>
                <w:sz w:val="20"/>
                <w:lang w:val="ru-RU" w:eastAsia="zh-CN"/>
              </w:rPr>
              <w:t>Региональная техническая комиссия по электросвязи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4557E3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Международный центр теоретической физики им. Абдуса Салама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51C89" w:rsidP="00882F3D">
            <w:pPr>
              <w:pStyle w:val="Tabletext"/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C80E5E">
              <w:rPr>
                <w:rFonts w:asciiTheme="minorHAnsi" w:hAnsiTheme="minorHAnsi"/>
                <w:bCs/>
                <w:lang w:val="ru-RU"/>
              </w:rPr>
              <w:t>Азиатско-</w:t>
            </w:r>
            <w:r w:rsidR="000D2A4F" w:rsidRPr="00C80E5E">
              <w:rPr>
                <w:rFonts w:asciiTheme="minorHAnsi" w:hAnsiTheme="minorHAnsi"/>
                <w:bCs/>
                <w:lang w:val="ru-RU"/>
              </w:rPr>
              <w:t xml:space="preserve">Тихоокеанский </w:t>
            </w:r>
            <w:r w:rsidRPr="00C80E5E">
              <w:rPr>
                <w:rFonts w:asciiTheme="minorHAnsi" w:hAnsiTheme="minorHAnsi"/>
                <w:bCs/>
                <w:lang w:val="ru-RU"/>
              </w:rPr>
              <w:t>совет по спутниковой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51C8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 xml:space="preserve">Форум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 xml:space="preserve">UMTS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251C89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 w:eastAsia="zh-CN"/>
              </w:rPr>
              <w:t>Западноафриканский экономический и валютный союз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E399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Академия электросвязи Соединенного Королевства</w:t>
            </w:r>
            <w:r w:rsidRPr="00C80E5E">
              <w:rPr>
                <w:rFonts w:asciiTheme="minorHAnsi" w:hAnsiTheme="minorHAnsi"/>
                <w:lang w:val="ru-RU" w:eastAsia="zh-CN"/>
              </w:rPr>
              <w:t xml:space="preserve"> </w:t>
            </w:r>
            <w:r w:rsidR="00776552" w:rsidRPr="00C80E5E">
              <w:rPr>
                <w:rFonts w:asciiTheme="minorHAnsi" w:hAnsiTheme="minorHAnsi"/>
                <w:lang w:val="ru-RU" w:eastAsia="zh-CN"/>
              </w:rPr>
              <w:t>(UKTA)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E399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Международная федерация WebForce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CA70D2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Ассоциация рег</w:t>
            </w:r>
            <w:r w:rsidR="000E399D" w:rsidRPr="00C80E5E">
              <w:rPr>
                <w:rFonts w:asciiTheme="minorHAnsi" w:hAnsiTheme="minorHAnsi"/>
                <w:lang w:val="ru-RU"/>
              </w:rPr>
              <w:t>уляторных</w:t>
            </w:r>
            <w:r w:rsidRPr="00C80E5E">
              <w:rPr>
                <w:rFonts w:asciiTheme="minorHAnsi" w:hAnsiTheme="minorHAnsi"/>
                <w:lang w:val="ru-RU"/>
              </w:rPr>
              <w:t xml:space="preserve"> органов стран Западной Африки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E399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Всемирная ассоциация местного радиовещания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0E399D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 w:cs="Segoe UI"/>
                <w:color w:val="000000"/>
                <w:lang w:val="ru-RU"/>
              </w:rPr>
              <w:t>Технический комитет Международных радиовещательных союзов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</w:tr>
      <w:tr w:rsidR="00776552" w:rsidRPr="00C80E5E" w:rsidTr="00C80E5E">
        <w:trPr>
          <w:cantSplit/>
          <w:trHeight w:val="2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FC2D58" w:rsidP="00882F3D">
            <w:pPr>
              <w:pStyle w:val="Tabletext"/>
              <w:spacing w:before="40" w:after="40"/>
              <w:rPr>
                <w:rFonts w:asciiTheme="minorHAnsi" w:hAnsiTheme="minorHAnsi"/>
                <w:lang w:val="ru-RU" w:eastAsia="zh-CN"/>
              </w:rPr>
            </w:pPr>
            <w:r w:rsidRPr="00C80E5E">
              <w:rPr>
                <w:rFonts w:asciiTheme="minorHAnsi" w:hAnsiTheme="minorHAnsi"/>
                <w:lang w:val="ru-RU"/>
              </w:rPr>
              <w:t>Всемирный форум по цифровому звуковому радиовещанию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2" w:rsidRPr="00C80E5E" w:rsidRDefault="00776552" w:rsidP="00882F3D">
            <w:pPr>
              <w:pStyle w:val="Tabletext"/>
              <w:spacing w:before="40" w:after="40"/>
              <w:jc w:val="center"/>
              <w:rPr>
                <w:lang w:val="ru-RU" w:eastAsia="zh-CN"/>
              </w:rPr>
            </w:pPr>
            <w:r w:rsidRPr="00C80E5E">
              <w:rPr>
                <w:lang w:val="ru-RU" w:eastAsia="zh-CN"/>
              </w:rPr>
              <w:t>N</w:t>
            </w:r>
          </w:p>
        </w:tc>
      </w:tr>
    </w:tbl>
    <w:p w:rsidR="00845187" w:rsidRPr="00C80E5E" w:rsidRDefault="00845187" w:rsidP="00882F3D">
      <w:pPr>
        <w:spacing w:before="480"/>
        <w:jc w:val="center"/>
        <w:rPr>
          <w:lang w:val="ru-RU"/>
        </w:rPr>
      </w:pPr>
      <w:r w:rsidRPr="00C80E5E">
        <w:rPr>
          <w:lang w:val="ru-RU"/>
        </w:rPr>
        <w:t>______________</w:t>
      </w:r>
    </w:p>
    <w:sectPr w:rsidR="00845187" w:rsidRPr="00C80E5E" w:rsidSect="0002174D">
      <w:headerReference w:type="default" r:id="rId28"/>
      <w:footerReference w:type="default" r:id="rId29"/>
      <w:footerReference w:type="first" r:id="rId3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A5" w:rsidRDefault="00C05FA5" w:rsidP="0079159C">
      <w:r>
        <w:separator/>
      </w:r>
    </w:p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4B3A6C"/>
    <w:p w:rsidR="00C05FA5" w:rsidRDefault="00C05FA5" w:rsidP="004B3A6C"/>
  </w:endnote>
  <w:endnote w:type="continuationSeparator" w:id="0">
    <w:p w:rsidR="00C05FA5" w:rsidRDefault="00C05FA5" w:rsidP="0079159C">
      <w:r>
        <w:continuationSeparator/>
      </w:r>
    </w:p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4B3A6C"/>
    <w:p w:rsidR="00C05FA5" w:rsidRDefault="00C05FA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A5" w:rsidRPr="008155CF" w:rsidRDefault="008155CF" w:rsidP="0033736F">
    <w:pPr>
      <w:pStyle w:val="Footer"/>
      <w:rPr>
        <w:color w:val="FFFFFF" w:themeColor="background1"/>
        <w:lang w:val="en-US"/>
      </w:rPr>
    </w:pPr>
    <w:r w:rsidRPr="008155CF">
      <w:rPr>
        <w:color w:val="FFFFFF" w:themeColor="background1"/>
      </w:rPr>
      <w:fldChar w:fldCharType="begin"/>
    </w:r>
    <w:r w:rsidRPr="008155CF">
      <w:rPr>
        <w:color w:val="FFFFFF" w:themeColor="background1"/>
      </w:rPr>
      <w:instrText xml:space="preserve"> FILENAME \p  \* MERGEFORMAT </w:instrText>
    </w:r>
    <w:r w:rsidRPr="008155CF">
      <w:rPr>
        <w:color w:val="FFFFFF" w:themeColor="background1"/>
      </w:rPr>
      <w:fldChar w:fldCharType="separate"/>
    </w:r>
    <w:r w:rsidR="00C05FA5" w:rsidRPr="008155CF">
      <w:rPr>
        <w:color w:val="FFFFFF" w:themeColor="background1"/>
        <w:lang w:val="en-US"/>
      </w:rPr>
      <w:t>P:\RUS\SG\CONF-SG\PP14\000\061R.docx</w:t>
    </w:r>
    <w:r w:rsidRPr="008155CF">
      <w:rPr>
        <w:color w:val="FFFFFF" w:themeColor="background1"/>
        <w:lang w:val="en-US"/>
      </w:rPr>
      <w:fldChar w:fldCharType="end"/>
    </w:r>
    <w:r w:rsidR="00C05FA5" w:rsidRPr="008155CF">
      <w:rPr>
        <w:color w:val="FFFFFF" w:themeColor="background1"/>
      </w:rPr>
      <w:t xml:space="preserve"> (</w:t>
    </w:r>
    <w:r w:rsidR="00C05FA5" w:rsidRPr="008155CF">
      <w:rPr>
        <w:color w:val="FFFFFF" w:themeColor="background1"/>
        <w:lang w:val="ru-RU"/>
      </w:rPr>
      <w:t>366566</w:t>
    </w:r>
    <w:r w:rsidR="00C05FA5" w:rsidRPr="008155CF">
      <w:rPr>
        <w:color w:val="FFFFFF" w:themeColor="background1"/>
      </w:rPr>
      <w:t>)</w:t>
    </w:r>
    <w:r w:rsidR="00C05FA5" w:rsidRPr="008155CF">
      <w:rPr>
        <w:color w:val="FFFFFF" w:themeColor="background1"/>
        <w:lang w:val="en-US"/>
      </w:rPr>
      <w:tab/>
    </w:r>
    <w:r w:rsidR="00C05FA5" w:rsidRPr="008155CF">
      <w:rPr>
        <w:color w:val="FFFFFF" w:themeColor="background1"/>
      </w:rPr>
      <w:fldChar w:fldCharType="begin"/>
    </w:r>
    <w:r w:rsidR="00C05FA5" w:rsidRPr="008155CF">
      <w:rPr>
        <w:color w:val="FFFFFF" w:themeColor="background1"/>
      </w:rPr>
      <w:instrText xml:space="preserve"> SAVEDATE \@ DD.MM.YY </w:instrText>
    </w:r>
    <w:r w:rsidR="00C05FA5" w:rsidRPr="008155CF">
      <w:rPr>
        <w:color w:val="FFFFFF" w:themeColor="background1"/>
      </w:rPr>
      <w:fldChar w:fldCharType="separate"/>
    </w:r>
    <w:r w:rsidRPr="008155CF">
      <w:rPr>
        <w:color w:val="FFFFFF" w:themeColor="background1"/>
      </w:rPr>
      <w:t>10.09.14</w:t>
    </w:r>
    <w:r w:rsidR="00C05FA5" w:rsidRPr="008155CF">
      <w:rPr>
        <w:color w:val="FFFFFF" w:themeColor="background1"/>
      </w:rPr>
      <w:fldChar w:fldCharType="end"/>
    </w:r>
    <w:r w:rsidR="00C05FA5" w:rsidRPr="008155CF">
      <w:rPr>
        <w:color w:val="FFFFFF" w:themeColor="background1"/>
        <w:lang w:val="en-US"/>
      </w:rPr>
      <w:tab/>
    </w:r>
    <w:r w:rsidR="00C05FA5" w:rsidRPr="008155CF">
      <w:rPr>
        <w:color w:val="FFFFFF" w:themeColor="background1"/>
      </w:rPr>
      <w:fldChar w:fldCharType="begin"/>
    </w:r>
    <w:r w:rsidR="00C05FA5" w:rsidRPr="008155CF">
      <w:rPr>
        <w:color w:val="FFFFFF" w:themeColor="background1"/>
      </w:rPr>
      <w:instrText xml:space="preserve"> PRINTDATE \@ DD.MM.YY </w:instrText>
    </w:r>
    <w:r w:rsidR="00C05FA5" w:rsidRPr="008155CF">
      <w:rPr>
        <w:color w:val="FFFFFF" w:themeColor="background1"/>
      </w:rPr>
      <w:fldChar w:fldCharType="separate"/>
    </w:r>
    <w:r w:rsidR="00C05FA5" w:rsidRPr="008155CF">
      <w:rPr>
        <w:color w:val="FFFFFF" w:themeColor="background1"/>
      </w:rPr>
      <w:t>10.09.14</w:t>
    </w:r>
    <w:r w:rsidR="00C05FA5" w:rsidRPr="008155C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A5" w:rsidRDefault="00C05FA5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C05FA5" w:rsidRDefault="00C05FA5" w:rsidP="001636BD">
    <w:pPr>
      <w:pStyle w:val="Footer"/>
    </w:pPr>
  </w:p>
  <w:p w:rsidR="00C05FA5" w:rsidRPr="008155CF" w:rsidRDefault="008155CF" w:rsidP="001636BD">
    <w:pPr>
      <w:pStyle w:val="Footer"/>
      <w:rPr>
        <w:color w:val="FFFFFF" w:themeColor="background1"/>
        <w:lang w:val="en-US"/>
      </w:rPr>
    </w:pPr>
    <w:r w:rsidRPr="008155CF">
      <w:rPr>
        <w:color w:val="FFFFFF" w:themeColor="background1"/>
      </w:rPr>
      <w:fldChar w:fldCharType="begin"/>
    </w:r>
    <w:r w:rsidRPr="008155CF">
      <w:rPr>
        <w:color w:val="FFFFFF" w:themeColor="background1"/>
      </w:rPr>
      <w:instrText xml:space="preserve"> FILENAME \p  \* MERGEFORMAT </w:instrText>
    </w:r>
    <w:r w:rsidRPr="008155CF">
      <w:rPr>
        <w:color w:val="FFFFFF" w:themeColor="background1"/>
      </w:rPr>
      <w:fldChar w:fldCharType="separate"/>
    </w:r>
    <w:r w:rsidR="00C05FA5" w:rsidRPr="008155CF">
      <w:rPr>
        <w:color w:val="FFFFFF" w:themeColor="background1"/>
        <w:lang w:val="en-US"/>
      </w:rPr>
      <w:t>P:\RUS\SG\CONF-SG\PP14\000\061R.docx</w:t>
    </w:r>
    <w:r w:rsidRPr="008155CF">
      <w:rPr>
        <w:color w:val="FFFFFF" w:themeColor="background1"/>
        <w:lang w:val="en-US"/>
      </w:rPr>
      <w:fldChar w:fldCharType="end"/>
    </w:r>
    <w:r w:rsidR="00C05FA5" w:rsidRPr="008155CF">
      <w:rPr>
        <w:color w:val="FFFFFF" w:themeColor="background1"/>
      </w:rPr>
      <w:t xml:space="preserve"> (366566)</w:t>
    </w:r>
    <w:r w:rsidR="00C05FA5" w:rsidRPr="008155CF">
      <w:rPr>
        <w:color w:val="FFFFFF" w:themeColor="background1"/>
        <w:lang w:val="en-US"/>
      </w:rPr>
      <w:tab/>
    </w:r>
    <w:r w:rsidR="00C05FA5" w:rsidRPr="008155CF">
      <w:rPr>
        <w:color w:val="FFFFFF" w:themeColor="background1"/>
      </w:rPr>
      <w:fldChar w:fldCharType="begin"/>
    </w:r>
    <w:r w:rsidR="00C05FA5" w:rsidRPr="008155CF">
      <w:rPr>
        <w:color w:val="FFFFFF" w:themeColor="background1"/>
      </w:rPr>
      <w:instrText xml:space="preserve"> SAVEDATE \@ DD.MM.YY </w:instrText>
    </w:r>
    <w:r w:rsidR="00C05FA5" w:rsidRPr="008155CF">
      <w:rPr>
        <w:color w:val="FFFFFF" w:themeColor="background1"/>
      </w:rPr>
      <w:fldChar w:fldCharType="separate"/>
    </w:r>
    <w:r w:rsidRPr="008155CF">
      <w:rPr>
        <w:color w:val="FFFFFF" w:themeColor="background1"/>
      </w:rPr>
      <w:t>10.09.14</w:t>
    </w:r>
    <w:r w:rsidR="00C05FA5" w:rsidRPr="008155CF">
      <w:rPr>
        <w:color w:val="FFFFFF" w:themeColor="background1"/>
      </w:rPr>
      <w:fldChar w:fldCharType="end"/>
    </w:r>
    <w:r w:rsidR="00C05FA5" w:rsidRPr="008155CF">
      <w:rPr>
        <w:color w:val="FFFFFF" w:themeColor="background1"/>
        <w:lang w:val="en-US"/>
      </w:rPr>
      <w:tab/>
    </w:r>
    <w:r w:rsidR="00C05FA5" w:rsidRPr="008155CF">
      <w:rPr>
        <w:color w:val="FFFFFF" w:themeColor="background1"/>
      </w:rPr>
      <w:fldChar w:fldCharType="begin"/>
    </w:r>
    <w:r w:rsidR="00C05FA5" w:rsidRPr="008155CF">
      <w:rPr>
        <w:color w:val="FFFFFF" w:themeColor="background1"/>
      </w:rPr>
      <w:instrText xml:space="preserve"> PRINTDATE \@ DD.MM.YY </w:instrText>
    </w:r>
    <w:r w:rsidR="00C05FA5" w:rsidRPr="008155CF">
      <w:rPr>
        <w:color w:val="FFFFFF" w:themeColor="background1"/>
      </w:rPr>
      <w:fldChar w:fldCharType="separate"/>
    </w:r>
    <w:r w:rsidR="00C05FA5" w:rsidRPr="008155CF">
      <w:rPr>
        <w:color w:val="FFFFFF" w:themeColor="background1"/>
      </w:rPr>
      <w:t>10.09.14</w:t>
    </w:r>
    <w:r w:rsidR="00C05FA5" w:rsidRPr="008155C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A5" w:rsidRDefault="00C05FA5" w:rsidP="0079159C">
      <w:r>
        <w:t>____________________</w:t>
      </w:r>
    </w:p>
  </w:footnote>
  <w:footnote w:type="continuationSeparator" w:id="0">
    <w:p w:rsidR="00C05FA5" w:rsidRDefault="00C05FA5" w:rsidP="0079159C">
      <w:r>
        <w:continuationSeparator/>
      </w:r>
    </w:p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79159C"/>
    <w:p w:rsidR="00C05FA5" w:rsidRDefault="00C05FA5" w:rsidP="004B3A6C"/>
    <w:p w:rsidR="00C05FA5" w:rsidRDefault="00C05FA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A5" w:rsidRPr="00434A7C" w:rsidRDefault="00C05FA5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55CF">
      <w:rPr>
        <w:noProof/>
      </w:rPr>
      <w:t>2</w:t>
    </w:r>
    <w:r>
      <w:fldChar w:fldCharType="end"/>
    </w:r>
    <w:r w:rsidR="008155CF">
      <w:t>/</w:t>
    </w:r>
    <w:fldSimple w:instr=" NUMPAGES   \* MERGEFORMAT ">
      <w:r w:rsidR="008155CF">
        <w:rPr>
          <w:noProof/>
        </w:rPr>
        <w:t>11</w:t>
      </w:r>
    </w:fldSimple>
  </w:p>
  <w:p w:rsidR="00C05FA5" w:rsidRPr="00131286" w:rsidRDefault="00C05FA5" w:rsidP="00131286">
    <w:pPr>
      <w:pStyle w:val="Header"/>
    </w:pPr>
    <w:r>
      <w:t>PP14/</w:t>
    </w:r>
    <w:r>
      <w:rPr>
        <w:lang w:val="ru-RU"/>
      </w:rPr>
      <w:t>61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17907"/>
    <w:multiLevelType w:val="hybridMultilevel"/>
    <w:tmpl w:val="4350CD22"/>
    <w:lvl w:ilvl="0" w:tplc="D8DAE2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53C25FA"/>
    <w:multiLevelType w:val="hybridMultilevel"/>
    <w:tmpl w:val="40FEADB4"/>
    <w:lvl w:ilvl="0" w:tplc="12BC03B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60EFD"/>
    <w:multiLevelType w:val="hybridMultilevel"/>
    <w:tmpl w:val="FF26F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A2282"/>
    <w:multiLevelType w:val="hybridMultilevel"/>
    <w:tmpl w:val="211C7838"/>
    <w:lvl w:ilvl="0" w:tplc="3E2C6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5162DB6"/>
    <w:multiLevelType w:val="multilevel"/>
    <w:tmpl w:val="B2DE6A74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2"/>
      <w:numFmt w:val="decimal"/>
      <w:lvlText w:val="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</w:rPr>
    </w:lvl>
  </w:abstractNum>
  <w:abstractNum w:abstractNumId="19">
    <w:nsid w:val="53AC29FB"/>
    <w:multiLevelType w:val="hybridMultilevel"/>
    <w:tmpl w:val="FF26F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53364"/>
    <w:multiLevelType w:val="hybridMultilevel"/>
    <w:tmpl w:val="F856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  <w:num w:numId="19">
    <w:abstractNumId w:val="22"/>
  </w:num>
  <w:num w:numId="20">
    <w:abstractNumId w:val="10"/>
  </w:num>
  <w:num w:numId="21">
    <w:abstractNumId w:val="1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68B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2A4F"/>
    <w:rsid w:val="000E399D"/>
    <w:rsid w:val="000E3AAE"/>
    <w:rsid w:val="000E4C7A"/>
    <w:rsid w:val="000E63E8"/>
    <w:rsid w:val="00100DF6"/>
    <w:rsid w:val="001155BD"/>
    <w:rsid w:val="00120697"/>
    <w:rsid w:val="00123674"/>
    <w:rsid w:val="00131286"/>
    <w:rsid w:val="00142ED7"/>
    <w:rsid w:val="0014768F"/>
    <w:rsid w:val="001636BD"/>
    <w:rsid w:val="00170AC3"/>
    <w:rsid w:val="00171990"/>
    <w:rsid w:val="00171E2E"/>
    <w:rsid w:val="001A0EEB"/>
    <w:rsid w:val="001A549D"/>
    <w:rsid w:val="001B2BFF"/>
    <w:rsid w:val="001B5341"/>
    <w:rsid w:val="001C3C22"/>
    <w:rsid w:val="00200992"/>
    <w:rsid w:val="00202880"/>
    <w:rsid w:val="0020313F"/>
    <w:rsid w:val="0021516F"/>
    <w:rsid w:val="00232D57"/>
    <w:rsid w:val="002356E7"/>
    <w:rsid w:val="00251C89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2D7FB4"/>
    <w:rsid w:val="003144BA"/>
    <w:rsid w:val="0033736F"/>
    <w:rsid w:val="003429D1"/>
    <w:rsid w:val="00375BBA"/>
    <w:rsid w:val="00381670"/>
    <w:rsid w:val="00395CE4"/>
    <w:rsid w:val="003C60DB"/>
    <w:rsid w:val="003E1C6E"/>
    <w:rsid w:val="003E7EAA"/>
    <w:rsid w:val="004014B0"/>
    <w:rsid w:val="00426AC1"/>
    <w:rsid w:val="00451456"/>
    <w:rsid w:val="00453D20"/>
    <w:rsid w:val="004557E3"/>
    <w:rsid w:val="004676C0"/>
    <w:rsid w:val="00471ABB"/>
    <w:rsid w:val="004B03E9"/>
    <w:rsid w:val="004B3A6C"/>
    <w:rsid w:val="004B47A7"/>
    <w:rsid w:val="004C029D"/>
    <w:rsid w:val="004C79E4"/>
    <w:rsid w:val="0052010F"/>
    <w:rsid w:val="005356FD"/>
    <w:rsid w:val="00554E24"/>
    <w:rsid w:val="00563711"/>
    <w:rsid w:val="005653D6"/>
    <w:rsid w:val="00566BD1"/>
    <w:rsid w:val="00567130"/>
    <w:rsid w:val="00584918"/>
    <w:rsid w:val="00596396"/>
    <w:rsid w:val="005C3DE4"/>
    <w:rsid w:val="005C67E8"/>
    <w:rsid w:val="005D0C15"/>
    <w:rsid w:val="005F526C"/>
    <w:rsid w:val="00600272"/>
    <w:rsid w:val="0061434A"/>
    <w:rsid w:val="00617BE4"/>
    <w:rsid w:val="006239DA"/>
    <w:rsid w:val="006418E6"/>
    <w:rsid w:val="00651813"/>
    <w:rsid w:val="0067722F"/>
    <w:rsid w:val="006B7F84"/>
    <w:rsid w:val="006C1A71"/>
    <w:rsid w:val="006D27E9"/>
    <w:rsid w:val="006E57C8"/>
    <w:rsid w:val="00710760"/>
    <w:rsid w:val="00720BE8"/>
    <w:rsid w:val="007241C6"/>
    <w:rsid w:val="0073319E"/>
    <w:rsid w:val="007340B5"/>
    <w:rsid w:val="007345D1"/>
    <w:rsid w:val="00750829"/>
    <w:rsid w:val="00760830"/>
    <w:rsid w:val="00776552"/>
    <w:rsid w:val="0079159C"/>
    <w:rsid w:val="007C50AF"/>
    <w:rsid w:val="007C7DE5"/>
    <w:rsid w:val="007E4D0F"/>
    <w:rsid w:val="008034F1"/>
    <w:rsid w:val="00807A5A"/>
    <w:rsid w:val="008102A6"/>
    <w:rsid w:val="008155CF"/>
    <w:rsid w:val="00822344"/>
    <w:rsid w:val="00826A7C"/>
    <w:rsid w:val="00831B58"/>
    <w:rsid w:val="00845187"/>
    <w:rsid w:val="00850AEF"/>
    <w:rsid w:val="008640B9"/>
    <w:rsid w:val="00870059"/>
    <w:rsid w:val="00882F3D"/>
    <w:rsid w:val="008A2FB3"/>
    <w:rsid w:val="008C128D"/>
    <w:rsid w:val="008D3134"/>
    <w:rsid w:val="008D3BE2"/>
    <w:rsid w:val="008E2462"/>
    <w:rsid w:val="009112A5"/>
    <w:rsid w:val="009125CE"/>
    <w:rsid w:val="0092142A"/>
    <w:rsid w:val="0093377B"/>
    <w:rsid w:val="00934241"/>
    <w:rsid w:val="00950E0F"/>
    <w:rsid w:val="00962CCF"/>
    <w:rsid w:val="0097690C"/>
    <w:rsid w:val="0099095C"/>
    <w:rsid w:val="00991490"/>
    <w:rsid w:val="00996435"/>
    <w:rsid w:val="009A47A2"/>
    <w:rsid w:val="009A6D9A"/>
    <w:rsid w:val="009B3E77"/>
    <w:rsid w:val="009B7E1D"/>
    <w:rsid w:val="009E4F4B"/>
    <w:rsid w:val="00A14325"/>
    <w:rsid w:val="00A236BA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F720B"/>
    <w:rsid w:val="00BF7335"/>
    <w:rsid w:val="00C01A4A"/>
    <w:rsid w:val="00C04511"/>
    <w:rsid w:val="00C05FA5"/>
    <w:rsid w:val="00C16846"/>
    <w:rsid w:val="00C40979"/>
    <w:rsid w:val="00C46ECA"/>
    <w:rsid w:val="00C62242"/>
    <w:rsid w:val="00C6326D"/>
    <w:rsid w:val="00C80E5E"/>
    <w:rsid w:val="00C82764"/>
    <w:rsid w:val="00CA38C9"/>
    <w:rsid w:val="00CA70D2"/>
    <w:rsid w:val="00CC317D"/>
    <w:rsid w:val="00CC6362"/>
    <w:rsid w:val="00CD163A"/>
    <w:rsid w:val="00CE40BB"/>
    <w:rsid w:val="00CF56EC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42067"/>
    <w:rsid w:val="00E54E66"/>
    <w:rsid w:val="00E56E57"/>
    <w:rsid w:val="00E86DC6"/>
    <w:rsid w:val="00E87D19"/>
    <w:rsid w:val="00E91D24"/>
    <w:rsid w:val="00EC064C"/>
    <w:rsid w:val="00ED279F"/>
    <w:rsid w:val="00EF2642"/>
    <w:rsid w:val="00EF31C0"/>
    <w:rsid w:val="00EF3681"/>
    <w:rsid w:val="00F06FDE"/>
    <w:rsid w:val="00F076D9"/>
    <w:rsid w:val="00F20BC2"/>
    <w:rsid w:val="00F27805"/>
    <w:rsid w:val="00F342E4"/>
    <w:rsid w:val="00F44625"/>
    <w:rsid w:val="00F44B70"/>
    <w:rsid w:val="00F564FC"/>
    <w:rsid w:val="00F649D6"/>
    <w:rsid w:val="00F654DD"/>
    <w:rsid w:val="00F8388D"/>
    <w:rsid w:val="00F96AB4"/>
    <w:rsid w:val="00FC2D58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5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4518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F564F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76552"/>
    <w:pPr>
      <w:ind w:left="720"/>
      <w:contextualSpacing/>
    </w:pPr>
    <w:rPr>
      <w:sz w:val="24"/>
    </w:rPr>
  </w:style>
  <w:style w:type="paragraph" w:customStyle="1" w:styleId="SpecialFooter">
    <w:name w:val="Special Footer"/>
    <w:basedOn w:val="Footer"/>
    <w:rsid w:val="007765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776552"/>
  </w:style>
  <w:style w:type="paragraph" w:customStyle="1" w:styleId="OP">
    <w:name w:val="OP"/>
    <w:basedOn w:val="Normal"/>
    <w:next w:val="Normal"/>
    <w:qFormat/>
    <w:rsid w:val="00776552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776552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77655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character" w:customStyle="1" w:styleId="href">
    <w:name w:val="href"/>
    <w:basedOn w:val="DefaultParagraphFont"/>
    <w:rsid w:val="00776552"/>
    <w:rPr>
      <w:color w:val="auto"/>
    </w:rPr>
  </w:style>
  <w:style w:type="paragraph" w:customStyle="1" w:styleId="tabletext0">
    <w:name w:val="table text"/>
    <w:rsid w:val="00776552"/>
    <w:pPr>
      <w:spacing w:before="40" w:after="40"/>
    </w:pPr>
    <w:rPr>
      <w:rFonts w:ascii="Times New Roman" w:hAnsi="Times New Roman"/>
      <w:noProof/>
      <w:lang w:eastAsia="en-US"/>
    </w:rPr>
  </w:style>
  <w:style w:type="table" w:styleId="TableGrid">
    <w:name w:val="Table Grid"/>
    <w:basedOn w:val="TableNormal"/>
    <w:uiPriority w:val="59"/>
    <w:rsid w:val="0077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7655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776552"/>
  </w:style>
  <w:style w:type="character" w:styleId="Strong">
    <w:name w:val="Strong"/>
    <w:uiPriority w:val="22"/>
    <w:qFormat/>
    <w:rsid w:val="00776552"/>
    <w:rPr>
      <w:b/>
      <w:bCs/>
    </w:rPr>
  </w:style>
  <w:style w:type="paragraph" w:styleId="BodyText2">
    <w:name w:val="Body Text 2"/>
    <w:basedOn w:val="Normal"/>
    <w:link w:val="BodyText2Char"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76552"/>
    <w:rPr>
      <w:rFonts w:ascii="Times New Roman" w:hAnsi="Times New Roman"/>
      <w:sz w:val="24"/>
      <w:szCs w:val="24"/>
      <w:lang w:eastAsia="en-US"/>
    </w:rPr>
  </w:style>
  <w:style w:type="paragraph" w:customStyle="1" w:styleId="TableHead0">
    <w:name w:val="Table_Head"/>
    <w:basedOn w:val="Normal"/>
    <w:rsid w:val="00776552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4"/>
    </w:rPr>
  </w:style>
  <w:style w:type="paragraph" w:customStyle="1" w:styleId="TableText1">
    <w:name w:val="Table_Text"/>
    <w:basedOn w:val="Normal"/>
    <w:rsid w:val="00776552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7765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5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55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6552"/>
    <w:rPr>
      <w:rFonts w:ascii="Calibri" w:hAnsi="Calibri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5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45187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F564F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76552"/>
    <w:pPr>
      <w:ind w:left="720"/>
      <w:contextualSpacing/>
    </w:pPr>
    <w:rPr>
      <w:sz w:val="24"/>
    </w:rPr>
  </w:style>
  <w:style w:type="paragraph" w:customStyle="1" w:styleId="SpecialFooter">
    <w:name w:val="Special Footer"/>
    <w:basedOn w:val="Footer"/>
    <w:rsid w:val="007765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776552"/>
  </w:style>
  <w:style w:type="paragraph" w:customStyle="1" w:styleId="OP">
    <w:name w:val="OP"/>
    <w:basedOn w:val="Normal"/>
    <w:next w:val="Normal"/>
    <w:qFormat/>
    <w:rsid w:val="00776552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776552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77655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character" w:customStyle="1" w:styleId="href">
    <w:name w:val="href"/>
    <w:basedOn w:val="DefaultParagraphFont"/>
    <w:rsid w:val="00776552"/>
    <w:rPr>
      <w:color w:val="auto"/>
    </w:rPr>
  </w:style>
  <w:style w:type="paragraph" w:customStyle="1" w:styleId="tabletext0">
    <w:name w:val="table text"/>
    <w:rsid w:val="00776552"/>
    <w:pPr>
      <w:spacing w:before="40" w:after="40"/>
    </w:pPr>
    <w:rPr>
      <w:rFonts w:ascii="Times New Roman" w:hAnsi="Times New Roman"/>
      <w:noProof/>
      <w:lang w:eastAsia="en-US"/>
    </w:rPr>
  </w:style>
  <w:style w:type="table" w:styleId="TableGrid">
    <w:name w:val="Table Grid"/>
    <w:basedOn w:val="TableNormal"/>
    <w:uiPriority w:val="59"/>
    <w:rsid w:val="0077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7655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776552"/>
  </w:style>
  <w:style w:type="character" w:styleId="Strong">
    <w:name w:val="Strong"/>
    <w:uiPriority w:val="22"/>
    <w:qFormat/>
    <w:rsid w:val="00776552"/>
    <w:rPr>
      <w:b/>
      <w:bCs/>
    </w:rPr>
  </w:style>
  <w:style w:type="paragraph" w:styleId="BodyText2">
    <w:name w:val="Body Text 2"/>
    <w:basedOn w:val="Normal"/>
    <w:link w:val="BodyText2Char"/>
    <w:rsid w:val="007765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76552"/>
    <w:rPr>
      <w:rFonts w:ascii="Times New Roman" w:hAnsi="Times New Roman"/>
      <w:sz w:val="24"/>
      <w:szCs w:val="24"/>
      <w:lang w:eastAsia="en-US"/>
    </w:rPr>
  </w:style>
  <w:style w:type="paragraph" w:customStyle="1" w:styleId="TableHead0">
    <w:name w:val="Table_Head"/>
    <w:basedOn w:val="Normal"/>
    <w:rsid w:val="00776552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4"/>
    </w:rPr>
  </w:style>
  <w:style w:type="paragraph" w:customStyle="1" w:styleId="TableText1">
    <w:name w:val="Table_Text"/>
    <w:basedOn w:val="Normal"/>
    <w:rsid w:val="00776552"/>
    <w:pPr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7765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5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55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6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655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02-CL-C-0094/en" TargetMode="External"/><Relationship Id="rId18" Type="http://schemas.openxmlformats.org/officeDocument/2006/relationships/hyperlink" Target="http://www.itu.int/md/S10-CL-C-0038/en" TargetMode="External"/><Relationship Id="rId26" Type="http://schemas.openxmlformats.org/officeDocument/2006/relationships/hyperlink" Target="http://www.itu.int/en/plenipotentiary/2014/ties/Documents/061e-exemptions-excel-table.xls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S11-CL-C-0020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doc/gs/council/c01/docs/026.html" TargetMode="External"/><Relationship Id="rId17" Type="http://schemas.openxmlformats.org/officeDocument/2006/relationships/hyperlink" Target="http://www.itu.int/md/S09-CL-C-0062/en" TargetMode="External"/><Relationship Id="rId25" Type="http://schemas.openxmlformats.org/officeDocument/2006/relationships/hyperlink" Target="http://www.itu.int/itudoc/gs/council/c00/docs/28rev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05-CL-C-0040/en" TargetMode="External"/><Relationship Id="rId20" Type="http://schemas.openxmlformats.org/officeDocument/2006/relationships/hyperlink" Target="http://www.itu.int/md/S10-CL-C-0091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24" Type="http://schemas.openxmlformats.org/officeDocument/2006/relationships/hyperlink" Target="http://www.itu.int/md/S14-CL-C-0008/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03-ADCL-C-0003/en" TargetMode="External"/><Relationship Id="rId23" Type="http://schemas.openxmlformats.org/officeDocument/2006/relationships/hyperlink" Target="http://www.itu.int/md/S13-CL-C-0044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council/pd/basic-dec-res-rec.doc" TargetMode="External"/><Relationship Id="rId19" Type="http://schemas.openxmlformats.org/officeDocument/2006/relationships/hyperlink" Target="http://www.itu.int/md/S10-CL-C-0039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pd/convention.doc" TargetMode="External"/><Relationship Id="rId14" Type="http://schemas.openxmlformats.org/officeDocument/2006/relationships/hyperlink" Target="http://www.itu.int/md/S03-CL-C-0040/en" TargetMode="External"/><Relationship Id="rId22" Type="http://schemas.openxmlformats.org/officeDocument/2006/relationships/hyperlink" Target="http://www.itu.int/md/S12-CL-C-0023/en" TargetMode="External"/><Relationship Id="rId27" Type="http://schemas.openxmlformats.org/officeDocument/2006/relationships/image" Target="media/image2.gi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3245</Words>
  <Characters>22194</Characters>
  <Application>Microsoft Office Word</Application>
  <DocSecurity>4</DocSecurity>
  <Lines>184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Antipina, Nadezda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2014-09-10T07:29:00Z</cp:lastPrinted>
  <dcterms:created xsi:type="dcterms:W3CDTF">2014-09-18T15:20:00Z</dcterms:created>
  <dcterms:modified xsi:type="dcterms:W3CDTF">2014-09-18T15:20:00Z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