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A6F8F" w14:paraId="094B0345" w14:textId="77777777" w:rsidTr="00063794">
        <w:trPr>
          <w:cantSplit/>
        </w:trPr>
        <w:tc>
          <w:tcPr>
            <w:tcW w:w="6911" w:type="dxa"/>
          </w:tcPr>
          <w:p w14:paraId="1A02DA71" w14:textId="77777777" w:rsidR="00BD1614" w:rsidRPr="00960D89" w:rsidRDefault="00BD1614" w:rsidP="00180F7E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0F6395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 xml:space="preserve"> (PP-1</w:t>
            </w:r>
            <w:r>
              <w:rPr>
                <w:b/>
                <w:smallCaps/>
                <w:sz w:val="30"/>
                <w:szCs w:val="30"/>
                <w:lang w:val="fr-CH"/>
              </w:rPr>
              <w:t>4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>)</w:t>
            </w:r>
            <w:r w:rsidRPr="000F6395">
              <w:rPr>
                <w:b/>
                <w:smallCaps/>
                <w:sz w:val="36"/>
                <w:lang w:val="fr-CH"/>
              </w:rPr>
              <w:br/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Busan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20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octobre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- 7 novembre 2014</w:t>
            </w:r>
          </w:p>
        </w:tc>
        <w:tc>
          <w:tcPr>
            <w:tcW w:w="3120" w:type="dxa"/>
          </w:tcPr>
          <w:p w14:paraId="7A82DC51" w14:textId="77777777" w:rsidR="00BD1614" w:rsidRPr="008C10D9" w:rsidRDefault="00BD1614" w:rsidP="00180F7E">
            <w:pPr>
              <w:spacing w:before="0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8C10D9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036FBC9F" wp14:editId="70A3D0D6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2A6F8F" w14:paraId="52EA7412" w14:textId="77777777" w:rsidTr="0006379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DC91AA7" w14:textId="77777777" w:rsidR="00BD1614" w:rsidRPr="008C10D9" w:rsidRDefault="00BD1614" w:rsidP="00180F7E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7102F11" w14:textId="77777777" w:rsidR="00BD1614" w:rsidRPr="008C10D9" w:rsidRDefault="00BD1614" w:rsidP="00180F7E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14:paraId="37EC0B4C" w14:textId="77777777" w:rsidTr="0006379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773A8AA" w14:textId="77777777" w:rsidR="00BD1614" w:rsidRPr="008C10D9" w:rsidRDefault="00BD1614" w:rsidP="00180F7E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B1A383A" w14:textId="77777777" w:rsidR="00BD1614" w:rsidRPr="008C10D9" w:rsidRDefault="00BD1614" w:rsidP="00180F7E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517396" w:rsidRPr="002A6F8F" w14:paraId="7753635F" w14:textId="77777777" w:rsidTr="00063794">
        <w:trPr>
          <w:cantSplit/>
        </w:trPr>
        <w:tc>
          <w:tcPr>
            <w:tcW w:w="6911" w:type="dxa"/>
          </w:tcPr>
          <w:p w14:paraId="757A30C2" w14:textId="77777777" w:rsidR="00517396" w:rsidRPr="008C10D9" w:rsidRDefault="00517396" w:rsidP="00180F7E">
            <w:pPr>
              <w:pStyle w:val="Committee"/>
              <w:framePr w:hSpace="0" w:wrap="auto" w:hAnchor="text" w:yAlign="inline"/>
              <w:spacing w:line="240" w:lineRule="auto"/>
            </w:pPr>
            <w:r w:rsidRPr="008C10D9">
              <w:t>SÉANCE PLÉNIÈRE</w:t>
            </w:r>
          </w:p>
        </w:tc>
        <w:tc>
          <w:tcPr>
            <w:tcW w:w="3120" w:type="dxa"/>
          </w:tcPr>
          <w:p w14:paraId="6BAD6D9F" w14:textId="77777777" w:rsidR="00517396" w:rsidRPr="008C10D9" w:rsidRDefault="00517396" w:rsidP="00180F7E">
            <w:pPr>
              <w:spacing w:before="0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Document 61-F</w:t>
            </w:r>
          </w:p>
        </w:tc>
      </w:tr>
      <w:tr w:rsidR="00517396" w:rsidRPr="002A6F8F" w14:paraId="03A5843C" w14:textId="77777777" w:rsidTr="00063794">
        <w:trPr>
          <w:cantSplit/>
        </w:trPr>
        <w:tc>
          <w:tcPr>
            <w:tcW w:w="6911" w:type="dxa"/>
          </w:tcPr>
          <w:p w14:paraId="55182208" w14:textId="77777777" w:rsidR="00517396" w:rsidRPr="008C10D9" w:rsidRDefault="00517396" w:rsidP="00180F7E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19DE63C0" w14:textId="77777777" w:rsidR="00517396" w:rsidRPr="008C10D9" w:rsidRDefault="00517396" w:rsidP="00180F7E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 xml:space="preserve">11 </w:t>
            </w:r>
            <w:r w:rsidRPr="00310CC0">
              <w:rPr>
                <w:rFonts w:cstheme="minorHAnsi"/>
                <w:b/>
                <w:szCs w:val="24"/>
                <w:lang w:val="fr-CH"/>
              </w:rPr>
              <w:t>août</w:t>
            </w:r>
            <w:r>
              <w:rPr>
                <w:rFonts w:cstheme="minorHAnsi"/>
                <w:b/>
                <w:szCs w:val="24"/>
                <w:lang w:val="en-US"/>
              </w:rPr>
              <w:t xml:space="preserve"> </w:t>
            </w:r>
            <w:r w:rsidRPr="008C10D9">
              <w:rPr>
                <w:rFonts w:cstheme="minorHAnsi"/>
                <w:b/>
                <w:szCs w:val="24"/>
                <w:lang w:val="en-US"/>
              </w:rPr>
              <w:t>201</w:t>
            </w:r>
            <w:r>
              <w:rPr>
                <w:rFonts w:cstheme="minorHAnsi"/>
                <w:b/>
                <w:szCs w:val="24"/>
                <w:lang w:val="en-US"/>
              </w:rPr>
              <w:t>4</w:t>
            </w:r>
          </w:p>
        </w:tc>
      </w:tr>
      <w:tr w:rsidR="00517396" w:rsidRPr="002A6F8F" w14:paraId="507B62DF" w14:textId="77777777" w:rsidTr="00063794">
        <w:trPr>
          <w:cantSplit/>
        </w:trPr>
        <w:tc>
          <w:tcPr>
            <w:tcW w:w="6911" w:type="dxa"/>
          </w:tcPr>
          <w:p w14:paraId="7FCEB035" w14:textId="77777777" w:rsidR="00517396" w:rsidRPr="008C10D9" w:rsidRDefault="00517396" w:rsidP="00180F7E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374AED39" w14:textId="77777777" w:rsidR="00517396" w:rsidRPr="008C10D9" w:rsidRDefault="00517396" w:rsidP="00180F7E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>Original: anglais</w:t>
            </w:r>
          </w:p>
        </w:tc>
      </w:tr>
      <w:tr w:rsidR="00BD1614" w:rsidRPr="002A6F8F" w14:paraId="40033AB8" w14:textId="77777777" w:rsidTr="00063794">
        <w:trPr>
          <w:cantSplit/>
        </w:trPr>
        <w:tc>
          <w:tcPr>
            <w:tcW w:w="10031" w:type="dxa"/>
            <w:gridSpan w:val="2"/>
          </w:tcPr>
          <w:p w14:paraId="288CE393" w14:textId="77777777" w:rsidR="00BD1614" w:rsidRPr="008C10D9" w:rsidRDefault="00BD1614" w:rsidP="00180F7E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517396" w:rsidRPr="002A6F8F" w14:paraId="647DA2A1" w14:textId="77777777" w:rsidTr="00063794">
        <w:trPr>
          <w:cantSplit/>
        </w:trPr>
        <w:tc>
          <w:tcPr>
            <w:tcW w:w="10031" w:type="dxa"/>
            <w:gridSpan w:val="2"/>
          </w:tcPr>
          <w:p w14:paraId="56F08726" w14:textId="77777777" w:rsidR="00517396" w:rsidRPr="002A6F8F" w:rsidRDefault="00517396" w:rsidP="00063794">
            <w:pPr>
              <w:pStyle w:val="Source"/>
              <w:spacing w:before="360"/>
              <w:rPr>
                <w:lang w:val="en-US"/>
              </w:rPr>
            </w:pPr>
            <w:bookmarkStart w:id="4" w:name="dsource" w:colFirst="0" w:colLast="0"/>
            <w:bookmarkEnd w:id="3"/>
            <w:r>
              <w:rPr>
                <w:lang w:val="en-US"/>
              </w:rPr>
              <w:t>Rapport du Secrétaire général</w:t>
            </w:r>
          </w:p>
        </w:tc>
      </w:tr>
      <w:tr w:rsidR="00517396" w:rsidRPr="002A6F8F" w14:paraId="7EC4D3ED" w14:textId="77777777" w:rsidTr="00063794">
        <w:trPr>
          <w:cantSplit/>
        </w:trPr>
        <w:tc>
          <w:tcPr>
            <w:tcW w:w="10031" w:type="dxa"/>
            <w:gridSpan w:val="2"/>
          </w:tcPr>
          <w:p w14:paraId="42D4F4EC" w14:textId="77777777" w:rsidR="00517396" w:rsidRPr="001125CD" w:rsidRDefault="00517396" w:rsidP="00180F7E">
            <w:pPr>
              <w:pStyle w:val="Title1"/>
              <w:rPr>
                <w:lang w:val="fr-CH"/>
              </w:rPr>
            </w:pPr>
            <w:bookmarkStart w:id="5" w:name="OLE_LINK3"/>
            <w:bookmarkStart w:id="6" w:name="dtitle1" w:colFirst="0" w:colLast="0"/>
            <w:bookmarkEnd w:id="4"/>
            <w:r>
              <w:t>DEMANDES d'exonération de toute contribution au financement des dépenses relatives à la participation aux travaux de l'UIT</w:t>
            </w:r>
            <w:bookmarkEnd w:id="5"/>
          </w:p>
        </w:tc>
      </w:tr>
      <w:tr w:rsidR="00BD1614" w14:paraId="332DE739" w14:textId="77777777" w:rsidTr="00063794">
        <w:trPr>
          <w:cantSplit/>
        </w:trPr>
        <w:tc>
          <w:tcPr>
            <w:tcW w:w="10031" w:type="dxa"/>
            <w:gridSpan w:val="2"/>
          </w:tcPr>
          <w:p w14:paraId="295168CA" w14:textId="77777777" w:rsidR="00BD1614" w:rsidRPr="00063794" w:rsidRDefault="00BD1614" w:rsidP="003116CA">
            <w:pPr>
              <w:pStyle w:val="Agendaitem"/>
              <w:spacing w:before="120"/>
              <w:rPr>
                <w:sz w:val="10"/>
                <w:szCs w:val="10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1F51AE20" w14:textId="1B91BC26" w:rsidR="00063794" w:rsidRPr="00063794" w:rsidRDefault="00063794">
      <w:pPr>
        <w:rPr>
          <w:sz w:val="2"/>
          <w:szCs w:val="2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6"/>
      </w:tblGrid>
      <w:tr w:rsidR="00517396" w:rsidRPr="001125CD" w14:paraId="60878736" w14:textId="77777777" w:rsidTr="00063794">
        <w:trPr>
          <w:trHeight w:val="898"/>
          <w:jc w:val="center"/>
        </w:trPr>
        <w:tc>
          <w:tcPr>
            <w:tcW w:w="9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0C4762" w14:textId="4EAB5E68" w:rsidR="00517396" w:rsidRPr="001125CD" w:rsidRDefault="00517396" w:rsidP="00063794">
            <w:pPr>
              <w:snapToGrid w:val="0"/>
              <w:spacing w:after="120"/>
              <w:ind w:left="567" w:hanging="567"/>
              <w:outlineLvl w:val="0"/>
              <w:rPr>
                <w:rFonts w:asciiTheme="minorHAnsi" w:hAnsiTheme="minorHAnsi"/>
                <w:b/>
                <w:szCs w:val="24"/>
                <w:lang w:val="fr-CH"/>
              </w:rPr>
            </w:pPr>
            <w:r w:rsidRPr="001125CD">
              <w:rPr>
                <w:rFonts w:asciiTheme="minorHAnsi" w:hAnsiTheme="minorHAnsi"/>
                <w:b/>
                <w:szCs w:val="24"/>
                <w:lang w:val="fr-CH"/>
              </w:rPr>
              <w:t>Résumé</w:t>
            </w:r>
          </w:p>
          <w:p w14:paraId="091B2DA2" w14:textId="629ADCCA" w:rsidR="00517396" w:rsidRPr="001125CD" w:rsidRDefault="00517396" w:rsidP="00063794">
            <w:pPr>
              <w:snapToGrid w:val="0"/>
              <w:spacing w:after="120"/>
              <w:rPr>
                <w:lang w:val="fr-CH"/>
              </w:rPr>
            </w:pPr>
            <w:r>
              <w:rPr>
                <w:szCs w:val="24"/>
              </w:rPr>
              <w:t>Les demandes d'</w:t>
            </w:r>
            <w:r w:rsidRPr="006D58BB">
              <w:rPr>
                <w:szCs w:val="24"/>
              </w:rPr>
              <w:t xml:space="preserve">exonération de toute contribution financière des organisations ayant un caractère </w:t>
            </w:r>
            <w:r>
              <w:rPr>
                <w:szCs w:val="24"/>
              </w:rPr>
              <w:t xml:space="preserve">régional ou </w:t>
            </w:r>
            <w:r w:rsidRPr="006D58BB">
              <w:rPr>
                <w:szCs w:val="24"/>
              </w:rPr>
              <w:t xml:space="preserve">international </w:t>
            </w:r>
            <w:r>
              <w:rPr>
                <w:szCs w:val="24"/>
              </w:rPr>
              <w:t xml:space="preserve">ont été examinées par le </w:t>
            </w:r>
            <w:r w:rsidRPr="00A0340E">
              <w:rPr>
                <w:szCs w:val="24"/>
              </w:rPr>
              <w:t>Conseil</w:t>
            </w:r>
            <w:r>
              <w:rPr>
                <w:szCs w:val="24"/>
              </w:rPr>
              <w:t xml:space="preserve"> à ses différentes sessions</w:t>
            </w:r>
            <w:r w:rsidRPr="006D58BB">
              <w:rPr>
                <w:szCs w:val="24"/>
              </w:rPr>
              <w:t xml:space="preserve"> suivant la procédure établie par le Conseil à sa session de 2000.</w:t>
            </w:r>
            <w:r w:rsidRPr="001125CD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>
              <w:rPr>
                <w:rFonts w:asciiTheme="minorHAnsi" w:hAnsiTheme="minorHAnsi"/>
                <w:szCs w:val="24"/>
                <w:lang w:val="fr-CH"/>
              </w:rPr>
              <w:t>Conformément à cette procédure, les exonérations accordées par le Conseil à ses différentes sessions sont valables jusqu'à la Conférence de plénipotentiaires suivante. La Conférence de plénipotentiaires de 2010 (PP-10) a examiné et approuvé une prolongation des exonérations jusqu'à la prochaine Conférence de plénipotentiaires, en 2014 (PP-14).</w:t>
            </w:r>
          </w:p>
          <w:p w14:paraId="72B247B7" w14:textId="77777777" w:rsidR="00517396" w:rsidRPr="001125CD" w:rsidRDefault="00517396" w:rsidP="00063794">
            <w:pPr>
              <w:snapToGrid w:val="0"/>
              <w:spacing w:after="120"/>
              <w:rPr>
                <w:rFonts w:asciiTheme="minorHAnsi" w:hAnsiTheme="minorHAnsi"/>
                <w:szCs w:val="24"/>
                <w:lang w:val="fr-CH"/>
              </w:rPr>
            </w:pPr>
            <w:r w:rsidRPr="008D47FA">
              <w:rPr>
                <w:lang w:val="fr-CH"/>
              </w:rPr>
              <w:t xml:space="preserve">Compte tenu de la recommandation </w:t>
            </w:r>
            <w:r>
              <w:rPr>
                <w:lang w:val="fr-CH"/>
              </w:rPr>
              <w:t xml:space="preserve">du </w:t>
            </w:r>
            <w:r w:rsidRPr="008D47FA">
              <w:rPr>
                <w:lang w:val="fr-CH"/>
              </w:rPr>
              <w:t>Groupe de travail du Conseil sur les ressources financières et les ressources humaines visant à mener un examen exhaustif des critères d</w:t>
            </w:r>
            <w:r>
              <w:rPr>
                <w:lang w:val="fr-CH"/>
              </w:rPr>
              <w:t>'</w:t>
            </w:r>
            <w:r w:rsidRPr="008D47FA">
              <w:rPr>
                <w:lang w:val="fr-CH"/>
              </w:rPr>
              <w:t xml:space="preserve">exonération </w:t>
            </w:r>
            <w:r>
              <w:rPr>
                <w:lang w:val="fr-CH"/>
              </w:rPr>
              <w:t xml:space="preserve">du paiement </w:t>
            </w:r>
            <w:r w:rsidRPr="008D47FA">
              <w:rPr>
                <w:lang w:val="fr-CH"/>
              </w:rPr>
              <w:t xml:space="preserve">de </w:t>
            </w:r>
            <w:r>
              <w:rPr>
                <w:lang w:val="fr-CH"/>
              </w:rPr>
              <w:t>droits</w:t>
            </w:r>
            <w:r w:rsidRPr="008D47FA">
              <w:rPr>
                <w:lang w:val="fr-CH"/>
              </w:rPr>
              <w:t>, le Conseil</w:t>
            </w:r>
            <w:r>
              <w:rPr>
                <w:lang w:val="fr-CH"/>
              </w:rPr>
              <w:t>, à sa session de 2014,</w:t>
            </w:r>
            <w:r w:rsidRPr="008D47FA">
              <w:rPr>
                <w:lang w:val="fr-CH"/>
              </w:rPr>
              <w:t xml:space="preserve"> </w:t>
            </w:r>
            <w:r>
              <w:rPr>
                <w:lang w:val="fr-CH"/>
              </w:rPr>
              <w:t>a</w:t>
            </w:r>
            <w:r w:rsidRPr="008D47FA">
              <w:rPr>
                <w:lang w:val="fr-CH"/>
              </w:rPr>
              <w:t xml:space="preserve"> </w:t>
            </w:r>
            <w:r w:rsidRPr="008D47FA">
              <w:rPr>
                <w:b/>
                <w:bCs/>
                <w:lang w:val="fr-CH"/>
              </w:rPr>
              <w:t>report</w:t>
            </w:r>
            <w:r>
              <w:rPr>
                <w:b/>
                <w:bCs/>
                <w:lang w:val="fr-CH"/>
              </w:rPr>
              <w:t>é</w:t>
            </w:r>
            <w:r w:rsidRPr="008D47FA">
              <w:rPr>
                <w:lang w:val="fr-CH"/>
              </w:rPr>
              <w:t xml:space="preserve"> toute décision concernant de nouvelles demandes d</w:t>
            </w:r>
            <w:r>
              <w:rPr>
                <w:lang w:val="fr-CH"/>
              </w:rPr>
              <w:t>'</w:t>
            </w:r>
            <w:r w:rsidRPr="008D47FA">
              <w:rPr>
                <w:lang w:val="fr-CH"/>
              </w:rPr>
              <w:t>exonération à la Conférence de plénipotentiaires de 2014.</w:t>
            </w:r>
          </w:p>
          <w:p w14:paraId="3C761A3A" w14:textId="77777777" w:rsidR="00517396" w:rsidRPr="001125CD" w:rsidRDefault="00517396" w:rsidP="00063794">
            <w:pPr>
              <w:snapToGrid w:val="0"/>
              <w:spacing w:after="120"/>
              <w:ind w:left="567" w:hanging="567"/>
              <w:jc w:val="both"/>
              <w:outlineLvl w:val="0"/>
              <w:rPr>
                <w:rFonts w:asciiTheme="minorHAnsi" w:hAnsiTheme="minorHAnsi"/>
                <w:b/>
                <w:szCs w:val="24"/>
                <w:lang w:val="fr-CH"/>
              </w:rPr>
            </w:pPr>
            <w:r w:rsidRPr="001125CD">
              <w:rPr>
                <w:rFonts w:asciiTheme="minorHAnsi" w:hAnsiTheme="minorHAnsi"/>
                <w:b/>
                <w:szCs w:val="24"/>
                <w:lang w:val="fr-CH"/>
              </w:rPr>
              <w:t>Suite à donner</w:t>
            </w:r>
          </w:p>
          <w:p w14:paraId="19D8FD36" w14:textId="77777777" w:rsidR="00517396" w:rsidRDefault="00517396" w:rsidP="00063794">
            <w:pPr>
              <w:snapToGrid w:val="0"/>
              <w:spacing w:after="120"/>
              <w:jc w:val="both"/>
              <w:rPr>
                <w:rFonts w:asciiTheme="minorHAnsi" w:hAnsiTheme="minorHAnsi"/>
                <w:szCs w:val="24"/>
                <w:lang w:val="fr-CH"/>
              </w:rPr>
            </w:pPr>
            <w:r w:rsidRPr="001125CD">
              <w:rPr>
                <w:rFonts w:asciiTheme="minorHAnsi" w:hAnsiTheme="minorHAnsi"/>
                <w:szCs w:val="24"/>
                <w:lang w:val="fr-CH"/>
              </w:rPr>
              <w:t xml:space="preserve">La Conférence de plénipotentiaires (Busan, 2014) </w:t>
            </w:r>
            <w:r>
              <w:rPr>
                <w:rFonts w:asciiTheme="minorHAnsi" w:hAnsiTheme="minorHAnsi"/>
                <w:szCs w:val="24"/>
                <w:lang w:val="fr-CH"/>
              </w:rPr>
              <w:t>est invitée à</w:t>
            </w:r>
            <w:r w:rsidRPr="001125CD">
              <w:rPr>
                <w:rFonts w:asciiTheme="minorHAnsi" w:hAnsiTheme="minorHAnsi"/>
                <w:szCs w:val="24"/>
                <w:lang w:val="fr-CH"/>
              </w:rPr>
              <w:t>:</w:t>
            </w:r>
          </w:p>
          <w:p w14:paraId="3476C7CD" w14:textId="77777777" w:rsidR="00517396" w:rsidRPr="009D4261" w:rsidRDefault="00517396" w:rsidP="00063794">
            <w:pPr>
              <w:pStyle w:val="enumlev1"/>
              <w:rPr>
                <w:lang w:val="fr-CH"/>
              </w:rPr>
            </w:pPr>
            <w:r>
              <w:rPr>
                <w:lang w:val="fr-CH"/>
              </w:rPr>
              <w:t>1)</w:t>
            </w:r>
            <w:r>
              <w:rPr>
                <w:lang w:val="fr-CH"/>
              </w:rPr>
              <w:tab/>
            </w:r>
            <w:r>
              <w:rPr>
                <w:b/>
                <w:bCs/>
                <w:lang w:val="fr-CH"/>
              </w:rPr>
              <w:t>examiner</w:t>
            </w:r>
            <w:r>
              <w:rPr>
                <w:lang w:val="fr-CH"/>
              </w:rPr>
              <w:t xml:space="preserve"> la liste d'organisations soumise au Conseil (Annexe 1), à sa session de 2014, et à </w:t>
            </w:r>
            <w:r>
              <w:rPr>
                <w:b/>
                <w:bCs/>
                <w:lang w:val="fr-CH"/>
              </w:rPr>
              <w:t>approuver</w:t>
            </w:r>
            <w:r>
              <w:rPr>
                <w:lang w:val="fr-CH"/>
              </w:rPr>
              <w:t xml:space="preserve"> les recommandations du Secrétaire général;</w:t>
            </w:r>
          </w:p>
          <w:p w14:paraId="4BDBCC61" w14:textId="77777777" w:rsidR="00517396" w:rsidRPr="009D4261" w:rsidRDefault="00517396" w:rsidP="00063794">
            <w:pPr>
              <w:pStyle w:val="enumlev1"/>
              <w:rPr>
                <w:lang w:val="fr-CH"/>
              </w:rPr>
            </w:pPr>
            <w:r>
              <w:rPr>
                <w:lang w:val="fr-CH"/>
              </w:rPr>
              <w:t>2)</w:t>
            </w:r>
            <w:r>
              <w:rPr>
                <w:lang w:val="fr-CH"/>
              </w:rPr>
              <w:tab/>
            </w:r>
            <w:r>
              <w:rPr>
                <w:b/>
                <w:bCs/>
                <w:lang w:val="fr-CH"/>
              </w:rPr>
              <w:t xml:space="preserve">charger </w:t>
            </w:r>
            <w:r>
              <w:rPr>
                <w:lang w:val="fr-CH"/>
              </w:rPr>
              <w:t>le Conseil d'examiner les critères d'exonération et de réviser la liste en conséquence (Annexes 1 et 2); et</w:t>
            </w:r>
          </w:p>
          <w:p w14:paraId="4A3C74F6" w14:textId="77777777" w:rsidR="00517396" w:rsidRPr="009D4261" w:rsidRDefault="00517396" w:rsidP="00063794">
            <w:pPr>
              <w:pStyle w:val="enumlev1"/>
              <w:rPr>
                <w:lang w:val="fr-CH"/>
              </w:rPr>
            </w:pPr>
            <w:r>
              <w:rPr>
                <w:lang w:val="fr-CH"/>
              </w:rPr>
              <w:t>3)</w:t>
            </w:r>
            <w:r>
              <w:rPr>
                <w:lang w:val="fr-CH"/>
              </w:rPr>
              <w:tab/>
            </w:r>
            <w:r>
              <w:rPr>
                <w:b/>
                <w:bCs/>
                <w:lang w:val="fr-CH"/>
              </w:rPr>
              <w:t>approuver</w:t>
            </w:r>
            <w:r>
              <w:rPr>
                <w:lang w:val="fr-CH"/>
              </w:rPr>
              <w:t xml:space="preserve"> une prolongation de courte durée de la validité de la liste d'entités exonérées jusqu'à ce que le Conseil ait mené à bien cet examen et cette révision.</w:t>
            </w:r>
          </w:p>
          <w:p w14:paraId="0C5FE566" w14:textId="77777777" w:rsidR="00517396" w:rsidRPr="00425C07" w:rsidRDefault="00517396" w:rsidP="0006379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rFonts w:asciiTheme="minorHAnsi" w:hAnsiTheme="minorHAnsi"/>
                <w:szCs w:val="24"/>
                <w:lang w:val="fr-CH"/>
              </w:rPr>
            </w:pPr>
            <w:r w:rsidRPr="00425C07">
              <w:rPr>
                <w:rFonts w:asciiTheme="minorHAnsi" w:hAnsiTheme="minorHAnsi"/>
                <w:szCs w:val="24"/>
                <w:lang w:val="fr-CH"/>
              </w:rPr>
              <w:t>____________</w:t>
            </w:r>
          </w:p>
          <w:p w14:paraId="55F04056" w14:textId="77777777" w:rsidR="00517396" w:rsidRPr="00425C07" w:rsidRDefault="00517396" w:rsidP="00063794">
            <w:pPr>
              <w:snapToGrid w:val="0"/>
              <w:spacing w:after="120"/>
              <w:ind w:left="567" w:hanging="567"/>
              <w:outlineLvl w:val="0"/>
              <w:rPr>
                <w:rFonts w:asciiTheme="minorHAnsi" w:hAnsiTheme="minorHAnsi"/>
                <w:b/>
                <w:szCs w:val="24"/>
                <w:lang w:val="fr-CH"/>
              </w:rPr>
            </w:pPr>
            <w:r w:rsidRPr="00425C07">
              <w:rPr>
                <w:rFonts w:asciiTheme="minorHAnsi" w:hAnsiTheme="minorHAnsi"/>
                <w:b/>
                <w:szCs w:val="24"/>
                <w:lang w:val="fr-CH"/>
              </w:rPr>
              <w:t>Références</w:t>
            </w:r>
          </w:p>
          <w:p w14:paraId="7CE10B9D" w14:textId="56B67EA2" w:rsidR="00517396" w:rsidRPr="001125CD" w:rsidRDefault="005B4865" w:rsidP="00063794">
            <w:pPr>
              <w:snapToGrid w:val="0"/>
              <w:spacing w:after="120"/>
              <w:rPr>
                <w:i/>
                <w:iCs/>
                <w:lang w:val="fr-CH"/>
              </w:rPr>
            </w:pPr>
            <w:hyperlink r:id="rId9" w:anchor="cv231" w:history="1">
              <w:r w:rsidR="00517396" w:rsidRPr="001125CD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  <w:lang w:val="fr-CH"/>
                </w:rPr>
                <w:t>Numéro 231 de la Convention</w:t>
              </w:r>
            </w:hyperlink>
            <w:r w:rsidR="00517396" w:rsidRPr="001125CD">
              <w:rPr>
                <w:rFonts w:asciiTheme="minorHAnsi" w:hAnsiTheme="minorHAnsi"/>
                <w:i/>
                <w:iCs/>
                <w:szCs w:val="24"/>
                <w:lang w:val="fr-CH"/>
              </w:rPr>
              <w:t xml:space="preserve">, </w:t>
            </w:r>
            <w:hyperlink r:id="rId10" w:anchor="res110" w:history="1">
              <w:r w:rsidR="00517396" w:rsidRPr="001125CD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  <w:lang w:val="fr-CH"/>
                </w:rPr>
                <w:t>Ré</w:t>
              </w:r>
              <w:r w:rsidR="00517396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  <w:lang w:val="fr-CH"/>
                </w:rPr>
                <w:t>solution 110 (Marrakec</w:t>
              </w:r>
              <w:r w:rsidR="00517396" w:rsidRPr="001125CD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  <w:lang w:val="fr-CH"/>
                </w:rPr>
                <w:t>h, 2002)</w:t>
              </w:r>
            </w:hyperlink>
            <w:r w:rsidR="00517396">
              <w:rPr>
                <w:rFonts w:asciiTheme="minorHAnsi" w:hAnsiTheme="minorHAnsi"/>
                <w:i/>
                <w:iCs/>
                <w:color w:val="0000FF"/>
                <w:szCs w:val="24"/>
              </w:rPr>
              <w:t xml:space="preserve"> </w:t>
            </w:r>
            <w:r w:rsidR="00517396" w:rsidRPr="001125CD">
              <w:rPr>
                <w:rFonts w:asciiTheme="minorHAnsi" w:hAnsiTheme="minorHAnsi"/>
                <w:i/>
                <w:iCs/>
                <w:szCs w:val="24"/>
              </w:rPr>
              <w:t>de la Conférence de plénipotentiaires</w:t>
            </w:r>
            <w:r w:rsidR="00517396" w:rsidRPr="001125CD">
              <w:rPr>
                <w:rFonts w:asciiTheme="minorHAnsi" w:hAnsiTheme="minorHAnsi"/>
                <w:i/>
                <w:iCs/>
                <w:szCs w:val="24"/>
                <w:lang w:val="fr-CH"/>
              </w:rPr>
              <w:t>, Documents </w:t>
            </w:r>
            <w:hyperlink r:id="rId11" w:history="1">
              <w:r w:rsidR="00517396" w:rsidRPr="001125CD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  <w:lang w:val="fr-CH"/>
                </w:rPr>
                <w:t>C2000/28(Rév.1)</w:t>
              </w:r>
            </w:hyperlink>
            <w:r w:rsidR="00517396" w:rsidRPr="001125CD">
              <w:rPr>
                <w:rFonts w:asciiTheme="minorHAnsi" w:hAnsiTheme="minorHAnsi"/>
                <w:i/>
                <w:iCs/>
                <w:szCs w:val="24"/>
                <w:lang w:val="fr-CH"/>
              </w:rPr>
              <w:t xml:space="preserve">, </w:t>
            </w:r>
            <w:hyperlink r:id="rId12" w:history="1">
              <w:r w:rsidR="00517396" w:rsidRPr="001125CD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  <w:lang w:val="fr-CH"/>
                </w:rPr>
                <w:t>C2001/26</w:t>
              </w:r>
            </w:hyperlink>
            <w:r w:rsidR="00517396" w:rsidRPr="001125CD">
              <w:rPr>
                <w:rFonts w:asciiTheme="minorHAnsi" w:hAnsiTheme="minorHAnsi"/>
                <w:i/>
                <w:iCs/>
                <w:szCs w:val="24"/>
                <w:lang w:val="fr-CH"/>
              </w:rPr>
              <w:t xml:space="preserve">, </w:t>
            </w:r>
            <w:hyperlink r:id="rId13" w:history="1">
              <w:r w:rsidR="00517396" w:rsidRPr="001125CD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  <w:lang w:val="fr-CH"/>
                </w:rPr>
                <w:t>C02/94 (§ 2)</w:t>
              </w:r>
            </w:hyperlink>
            <w:r w:rsidR="00517396" w:rsidRPr="001125CD">
              <w:rPr>
                <w:rFonts w:asciiTheme="minorHAnsi" w:hAnsiTheme="minorHAnsi"/>
                <w:i/>
                <w:iCs/>
                <w:szCs w:val="24"/>
                <w:lang w:val="fr-CH"/>
              </w:rPr>
              <w:t xml:space="preserve">, </w:t>
            </w:r>
            <w:hyperlink r:id="rId14" w:history="1">
              <w:r w:rsidR="00517396" w:rsidRPr="001125CD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  <w:lang w:val="fr-CH"/>
                </w:rPr>
                <w:t>C03/40 et (Add.1)</w:t>
              </w:r>
            </w:hyperlink>
            <w:r w:rsidR="00517396" w:rsidRPr="001125CD">
              <w:rPr>
                <w:rFonts w:asciiTheme="minorHAnsi" w:hAnsiTheme="minorHAnsi"/>
                <w:i/>
                <w:iCs/>
                <w:szCs w:val="24"/>
                <w:lang w:val="fr-CH"/>
              </w:rPr>
              <w:t xml:space="preserve">, </w:t>
            </w:r>
            <w:hyperlink r:id="rId15" w:history="1">
              <w:r w:rsidR="00063794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  <w:lang w:val="fr-CH"/>
                </w:rPr>
                <w:t>C03</w:t>
              </w:r>
              <w:r w:rsidR="00063794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  <w:lang w:val="fr-CH"/>
                </w:rPr>
                <w:noBreakHyphen/>
              </w:r>
              <w:r w:rsidR="00517396" w:rsidRPr="001125CD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  <w:lang w:val="fr-CH"/>
                </w:rPr>
                <w:t>ADD/3</w:t>
              </w:r>
            </w:hyperlink>
            <w:r w:rsidR="00517396" w:rsidRPr="001125CD">
              <w:rPr>
                <w:rFonts w:asciiTheme="minorHAnsi" w:hAnsiTheme="minorHAnsi"/>
                <w:i/>
                <w:iCs/>
                <w:szCs w:val="24"/>
                <w:lang w:val="fr-CH"/>
              </w:rPr>
              <w:t xml:space="preserve">, </w:t>
            </w:r>
            <w:hyperlink r:id="rId16" w:history="1">
              <w:r w:rsidR="00517396" w:rsidRPr="001125CD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  <w:lang w:val="fr-CH"/>
                </w:rPr>
                <w:t>C05/40</w:t>
              </w:r>
            </w:hyperlink>
            <w:r w:rsidR="00517396" w:rsidRPr="001125CD">
              <w:rPr>
                <w:rFonts w:asciiTheme="minorHAnsi" w:hAnsiTheme="minorHAnsi"/>
                <w:i/>
                <w:iCs/>
                <w:szCs w:val="24"/>
                <w:lang w:val="fr-CH"/>
              </w:rPr>
              <w:t xml:space="preserve">, </w:t>
            </w:r>
            <w:hyperlink r:id="rId17" w:history="1">
              <w:r w:rsidR="00517396" w:rsidRPr="001125CD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  <w:lang w:val="fr-CH"/>
                </w:rPr>
                <w:t>C09/62</w:t>
              </w:r>
            </w:hyperlink>
            <w:r w:rsidR="00517396" w:rsidRPr="001125CD">
              <w:rPr>
                <w:rFonts w:asciiTheme="minorHAnsi" w:hAnsiTheme="minorHAnsi"/>
                <w:szCs w:val="24"/>
                <w:lang w:val="fr-CH"/>
              </w:rPr>
              <w:t xml:space="preserve">, </w:t>
            </w:r>
            <w:hyperlink r:id="rId18" w:history="1">
              <w:r w:rsidR="00517396" w:rsidRPr="001125CD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  <w:lang w:val="fr-CH"/>
                </w:rPr>
                <w:t>C10/38</w:t>
              </w:r>
            </w:hyperlink>
            <w:r w:rsidR="00517396" w:rsidRPr="001125CD">
              <w:rPr>
                <w:rFonts w:asciiTheme="minorHAnsi" w:hAnsiTheme="minorHAnsi"/>
                <w:szCs w:val="24"/>
                <w:lang w:val="fr-CH"/>
              </w:rPr>
              <w:t xml:space="preserve">, </w:t>
            </w:r>
            <w:hyperlink r:id="rId19" w:history="1">
              <w:r w:rsidR="00517396" w:rsidRPr="001125CD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  <w:lang w:val="fr-CH"/>
                </w:rPr>
                <w:t>C10/39(Rév.1)</w:t>
              </w:r>
            </w:hyperlink>
            <w:r w:rsidR="00517396" w:rsidRPr="001125CD">
              <w:rPr>
                <w:rFonts w:asciiTheme="minorHAnsi" w:hAnsiTheme="minorHAnsi"/>
                <w:szCs w:val="24"/>
                <w:lang w:val="fr-CH"/>
              </w:rPr>
              <w:t xml:space="preserve">, </w:t>
            </w:r>
            <w:hyperlink r:id="rId20" w:history="1">
              <w:r w:rsidR="00517396" w:rsidRPr="001125CD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  <w:lang w:val="fr-CH"/>
                </w:rPr>
                <w:t>C10/91</w:t>
              </w:r>
            </w:hyperlink>
            <w:r w:rsidR="00517396" w:rsidRPr="001125CD">
              <w:rPr>
                <w:rFonts w:asciiTheme="minorHAnsi" w:hAnsiTheme="minorHAnsi"/>
                <w:szCs w:val="24"/>
                <w:lang w:val="fr-CH"/>
              </w:rPr>
              <w:t xml:space="preserve">, </w:t>
            </w:r>
            <w:hyperlink r:id="rId21" w:history="1">
              <w:r w:rsidR="00517396" w:rsidRPr="001125CD">
                <w:rPr>
                  <w:rStyle w:val="Hyperlink"/>
                  <w:rFonts w:asciiTheme="minorHAnsi" w:eastAsia="Arial Unicode MS" w:hAnsiTheme="minorHAnsi" w:cs="Calibri"/>
                  <w:szCs w:val="24"/>
                  <w:lang w:val="fr-CH"/>
                </w:rPr>
                <w:t>C11/20 et (Add.1)</w:t>
              </w:r>
            </w:hyperlink>
            <w:r w:rsidR="00517396" w:rsidRPr="001125CD">
              <w:rPr>
                <w:rFonts w:asciiTheme="minorHAnsi" w:eastAsia="Arial Unicode MS" w:hAnsiTheme="minorHAnsi" w:cs="Calibri"/>
                <w:szCs w:val="24"/>
                <w:lang w:val="fr-CH"/>
              </w:rPr>
              <w:t xml:space="preserve">, </w:t>
            </w:r>
            <w:hyperlink r:id="rId22" w:history="1">
              <w:r w:rsidR="00566D8C">
                <w:rPr>
                  <w:rStyle w:val="Hyperlink"/>
                  <w:rFonts w:asciiTheme="minorHAnsi" w:eastAsia="Arial Unicode MS" w:hAnsiTheme="minorHAnsi" w:cs="Calibri"/>
                  <w:szCs w:val="24"/>
                  <w:lang w:val="fr-CH"/>
                </w:rPr>
                <w:t>C12/23 </w:t>
              </w:r>
              <w:r w:rsidR="00063794">
                <w:rPr>
                  <w:rStyle w:val="Hyperlink"/>
                  <w:rFonts w:asciiTheme="minorHAnsi" w:eastAsia="Arial Unicode MS" w:hAnsiTheme="minorHAnsi" w:cs="Calibri"/>
                  <w:szCs w:val="24"/>
                  <w:lang w:val="fr-CH"/>
                </w:rPr>
                <w:t>et </w:t>
              </w:r>
              <w:r w:rsidR="00517396" w:rsidRPr="001125CD">
                <w:rPr>
                  <w:rStyle w:val="Hyperlink"/>
                  <w:rFonts w:asciiTheme="minorHAnsi" w:eastAsia="Arial Unicode MS" w:hAnsiTheme="minorHAnsi" w:cs="Calibri"/>
                  <w:szCs w:val="24"/>
                  <w:lang w:val="fr-CH"/>
                </w:rPr>
                <w:t>(Add.1) et (Add.2)</w:t>
              </w:r>
            </w:hyperlink>
            <w:r w:rsidR="00517396" w:rsidRPr="001125CD">
              <w:rPr>
                <w:rFonts w:asciiTheme="minorHAnsi" w:eastAsia="Arial Unicode MS" w:hAnsiTheme="minorHAnsi" w:cs="Calibri"/>
                <w:szCs w:val="24"/>
                <w:lang w:val="fr-CH"/>
              </w:rPr>
              <w:t xml:space="preserve">, </w:t>
            </w:r>
            <w:hyperlink r:id="rId23" w:history="1">
              <w:r w:rsidR="00517396" w:rsidRPr="001125CD">
                <w:rPr>
                  <w:rStyle w:val="Hyperlink"/>
                  <w:rFonts w:asciiTheme="minorHAnsi" w:eastAsia="Arial Unicode MS" w:hAnsiTheme="minorHAnsi" w:cs="Calibri"/>
                  <w:szCs w:val="24"/>
                  <w:lang w:val="fr-CH"/>
                </w:rPr>
                <w:t xml:space="preserve">C13/44 et (Add.1) et (Add. 2) </w:t>
              </w:r>
              <w:r w:rsidR="00517396">
                <w:rPr>
                  <w:rStyle w:val="Hyperlink"/>
                  <w:rFonts w:asciiTheme="minorHAnsi" w:eastAsia="Arial Unicode MS" w:hAnsiTheme="minorHAnsi" w:cs="Calibri"/>
                  <w:szCs w:val="24"/>
                  <w:lang w:val="fr-CH"/>
                </w:rPr>
                <w:t>et</w:t>
              </w:r>
              <w:r w:rsidR="00517396" w:rsidRPr="001125CD">
                <w:rPr>
                  <w:rStyle w:val="Hyperlink"/>
                  <w:rFonts w:asciiTheme="minorHAnsi" w:eastAsia="Arial Unicode MS" w:hAnsiTheme="minorHAnsi" w:cs="Calibri"/>
                  <w:szCs w:val="24"/>
                  <w:lang w:val="fr-CH"/>
                </w:rPr>
                <w:t xml:space="preserve"> (Add.3)</w:t>
              </w:r>
              <w:r w:rsidR="00517396" w:rsidRPr="001125CD">
                <w:rPr>
                  <w:rStyle w:val="Hyperlink"/>
                  <w:rFonts w:asciiTheme="minorHAnsi" w:eastAsia="Arial Unicode MS" w:hAnsiTheme="minorHAnsi" w:cs="Calibri"/>
                  <w:szCs w:val="24"/>
                  <w:u w:val="none"/>
                  <w:lang w:val="fr-CH"/>
                </w:rPr>
                <w:t>,</w:t>
              </w:r>
            </w:hyperlink>
            <w:r w:rsidR="00517396" w:rsidRPr="001125CD">
              <w:rPr>
                <w:rFonts w:asciiTheme="minorHAnsi" w:eastAsia="Arial Unicode MS" w:hAnsiTheme="minorHAnsi" w:cs="Calibri"/>
                <w:szCs w:val="24"/>
                <w:lang w:val="fr-CH"/>
              </w:rPr>
              <w:t xml:space="preserve"> </w:t>
            </w:r>
            <w:hyperlink r:id="rId24" w:history="1">
              <w:r w:rsidR="00517396" w:rsidRPr="001125CD">
                <w:rPr>
                  <w:rStyle w:val="Hyperlink"/>
                  <w:rFonts w:asciiTheme="minorHAnsi" w:eastAsia="Arial Unicode MS" w:hAnsiTheme="minorHAnsi" w:cs="Calibri"/>
                  <w:szCs w:val="24"/>
                  <w:lang w:val="fr-CH"/>
                </w:rPr>
                <w:t>C14/8</w:t>
              </w:r>
            </w:hyperlink>
          </w:p>
        </w:tc>
      </w:tr>
    </w:tbl>
    <w:p w14:paraId="44D9956D" w14:textId="16388358" w:rsidR="00517396" w:rsidRPr="00D82171" w:rsidRDefault="00517396" w:rsidP="00A0340E">
      <w:pPr>
        <w:pStyle w:val="Heading1"/>
        <w:tabs>
          <w:tab w:val="clear" w:pos="2268"/>
          <w:tab w:val="clear" w:pos="2835"/>
          <w:tab w:val="center" w:pos="4822"/>
        </w:tabs>
        <w:rPr>
          <w:lang w:val="fr-CH"/>
        </w:rPr>
      </w:pPr>
      <w:r w:rsidRPr="00D82171">
        <w:rPr>
          <w:lang w:val="fr-CH"/>
        </w:rPr>
        <w:lastRenderedPageBreak/>
        <w:t>1</w:t>
      </w:r>
      <w:r w:rsidRPr="00D82171">
        <w:rPr>
          <w:lang w:val="fr-CH"/>
        </w:rPr>
        <w:tab/>
        <w:t>Situation</w:t>
      </w:r>
    </w:p>
    <w:p w14:paraId="6A46614B" w14:textId="5A888D4F" w:rsidR="00517396" w:rsidRPr="007717C0" w:rsidRDefault="00517396" w:rsidP="00435D55">
      <w:pPr>
        <w:rPr>
          <w:rFonts w:eastAsiaTheme="minorEastAsia"/>
          <w:szCs w:val="24"/>
          <w:lang w:val="fr-CH" w:eastAsia="zh-CN"/>
        </w:rPr>
      </w:pPr>
      <w:r w:rsidRPr="00C22EA9">
        <w:rPr>
          <w:lang w:val="fr-CH"/>
        </w:rPr>
        <w:t>1.1</w:t>
      </w:r>
      <w:r w:rsidRPr="00C22EA9">
        <w:rPr>
          <w:lang w:val="fr-CH"/>
        </w:rPr>
        <w:tab/>
        <w:t xml:space="preserve">Actuellement, 112 organisations </w:t>
      </w:r>
      <w:r>
        <w:rPr>
          <w:lang w:val="fr-CH"/>
        </w:rPr>
        <w:t>ayant un</w:t>
      </w:r>
      <w:r w:rsidRPr="00C22EA9">
        <w:rPr>
          <w:lang w:val="fr-CH"/>
        </w:rPr>
        <w:t xml:space="preserve"> caractère régional </w:t>
      </w:r>
      <w:r w:rsidR="00063794">
        <w:rPr>
          <w:lang w:val="fr-CH"/>
        </w:rPr>
        <w:t>ou international (voir l'Annexe </w:t>
      </w:r>
      <w:r w:rsidRPr="00C22EA9">
        <w:rPr>
          <w:lang w:val="fr-CH"/>
        </w:rPr>
        <w:t xml:space="preserve">2 pour la liste complète), </w:t>
      </w:r>
      <w:r>
        <w:rPr>
          <w:lang w:val="fr-CH"/>
        </w:rPr>
        <w:t xml:space="preserve">qui sont </w:t>
      </w:r>
      <w:r w:rsidRPr="00C22EA9">
        <w:rPr>
          <w:lang w:val="fr-CH"/>
        </w:rPr>
        <w:t>Membres de</w:t>
      </w:r>
      <w:r>
        <w:rPr>
          <w:lang w:val="fr-CH"/>
        </w:rPr>
        <w:t>s</w:t>
      </w:r>
      <w:r w:rsidRPr="00C22EA9">
        <w:rPr>
          <w:lang w:val="fr-CH"/>
        </w:rPr>
        <w:t xml:space="preserve"> Secteur</w:t>
      </w:r>
      <w:r>
        <w:rPr>
          <w:lang w:val="fr-CH"/>
        </w:rPr>
        <w:t>s</w:t>
      </w:r>
      <w:r w:rsidRPr="00C22EA9">
        <w:rPr>
          <w:lang w:val="fr-CH"/>
        </w:rPr>
        <w:t xml:space="preserve"> de l'UIT ou Associés au titre du numéro 231 de la Convention, </w:t>
      </w:r>
      <w:r w:rsidR="00310CC0">
        <w:rPr>
          <w:lang w:val="fr-CH"/>
        </w:rPr>
        <w:t>s</w:t>
      </w:r>
      <w:r w:rsidRPr="00ED759A">
        <w:rPr>
          <w:szCs w:val="24"/>
          <w:lang w:val="fr-CH"/>
        </w:rPr>
        <w:t>ont exonérées de toute contribution financière par le Conseil</w:t>
      </w:r>
      <w:r>
        <w:rPr>
          <w:lang w:val="fr-CH"/>
        </w:rPr>
        <w:t xml:space="preserve">, </w:t>
      </w:r>
      <w:r w:rsidRPr="00ED759A">
        <w:rPr>
          <w:szCs w:val="24"/>
          <w:lang w:val="fr-CH"/>
        </w:rPr>
        <w:t xml:space="preserve">conformément au numéro 476 de la Convention et à la procédure </w:t>
      </w:r>
      <w:r>
        <w:rPr>
          <w:szCs w:val="24"/>
          <w:lang w:val="fr-CH"/>
        </w:rPr>
        <w:t>adoptée</w:t>
      </w:r>
      <w:r w:rsidRPr="00ED759A">
        <w:rPr>
          <w:szCs w:val="24"/>
          <w:lang w:val="fr-CH"/>
        </w:rPr>
        <w:t xml:space="preserve"> par le Conseil à sa session de 2000 </w:t>
      </w:r>
      <w:r w:rsidRPr="00C22EA9">
        <w:rPr>
          <w:rFonts w:eastAsiaTheme="minorEastAsia"/>
          <w:szCs w:val="24"/>
          <w:lang w:val="fr-CH" w:eastAsia="zh-CN"/>
        </w:rPr>
        <w:t>(</w:t>
      </w:r>
      <w:r>
        <w:rPr>
          <w:rFonts w:eastAsiaTheme="minorEastAsia"/>
          <w:szCs w:val="24"/>
          <w:lang w:val="fr-CH" w:eastAsia="zh-CN"/>
        </w:rPr>
        <w:t>Doc</w:t>
      </w:r>
      <w:r w:rsidR="00063794">
        <w:rPr>
          <w:rFonts w:eastAsiaTheme="minorEastAsia"/>
          <w:szCs w:val="24"/>
          <w:lang w:val="fr-CH" w:eastAsia="zh-CN"/>
        </w:rPr>
        <w:t>ument</w:t>
      </w:r>
      <w:r>
        <w:rPr>
          <w:rFonts w:eastAsiaTheme="minorEastAsia"/>
          <w:szCs w:val="24"/>
          <w:lang w:val="fr-CH" w:eastAsia="zh-CN"/>
        </w:rPr>
        <w:t xml:space="preserve"> </w:t>
      </w:r>
      <w:hyperlink r:id="rId25" w:history="1">
        <w:r w:rsidRPr="00063794">
          <w:rPr>
            <w:color w:val="0000FF"/>
            <w:szCs w:val="24"/>
            <w:u w:val="single"/>
            <w:lang w:val="fr-CH"/>
          </w:rPr>
          <w:t>C2000/28(Rév.1)</w:t>
        </w:r>
      </w:hyperlink>
      <w:r w:rsidRPr="00C22EA9">
        <w:rPr>
          <w:rFonts w:eastAsiaTheme="minorEastAsia"/>
          <w:szCs w:val="24"/>
          <w:lang w:val="fr-CH" w:eastAsia="zh-CN"/>
        </w:rPr>
        <w:t xml:space="preserve">). </w:t>
      </w:r>
      <w:r w:rsidRPr="00055E97">
        <w:t>Les exonérations d</w:t>
      </w:r>
      <w:r>
        <w:t>e paiement des</w:t>
      </w:r>
      <w:r w:rsidRPr="00055E97">
        <w:t xml:space="preserve"> droits sont accordées par le Conseil à la suite d</w:t>
      </w:r>
      <w:r>
        <w:t>'</w:t>
      </w:r>
      <w:r w:rsidRPr="00055E97">
        <w:t>une analyse et d</w:t>
      </w:r>
      <w:r>
        <w:t>'</w:t>
      </w:r>
      <w:r w:rsidRPr="00055E97">
        <w:t>une recomm</w:t>
      </w:r>
      <w:r>
        <w:t>andation du Secrétaire gé</w:t>
      </w:r>
      <w:r w:rsidRPr="00055E97">
        <w:t>n</w:t>
      </w:r>
      <w:r>
        <w:t>é</w:t>
      </w:r>
      <w:r w:rsidRPr="00055E97">
        <w:t>ral. Les principaux critères sont</w:t>
      </w:r>
      <w:r>
        <w:t xml:space="preserve"> les suivants:</w:t>
      </w:r>
      <w:r w:rsidRPr="00055E97">
        <w:t xml:space="preserve"> l</w:t>
      </w:r>
      <w:r>
        <w:t>'</w:t>
      </w:r>
      <w:r w:rsidRPr="00055E97">
        <w:t>entité doit être une organi</w:t>
      </w:r>
      <w:r>
        <w:t>s</w:t>
      </w:r>
      <w:r w:rsidRPr="00055E97">
        <w:t>ation régionale</w:t>
      </w:r>
      <w:r>
        <w:t xml:space="preserve"> </w:t>
      </w:r>
      <w:r w:rsidRPr="00055E97">
        <w:t>ou internationale</w:t>
      </w:r>
      <w:r>
        <w:t xml:space="preserve"> à but non lucratif et</w:t>
      </w:r>
      <w:r w:rsidR="00310CC0">
        <w:t xml:space="preserve"> doit</w:t>
      </w:r>
      <w:r>
        <w:t xml:space="preserve"> offrir des avantages à l'UIT en échange de l'exonération.</w:t>
      </w:r>
    </w:p>
    <w:p w14:paraId="290F6D43" w14:textId="77777777" w:rsidR="00517396" w:rsidRDefault="00517396" w:rsidP="00435D55">
      <w:r w:rsidRPr="00DF172A">
        <w:rPr>
          <w:lang w:val="fr-CH"/>
        </w:rPr>
        <w:t>1.2</w:t>
      </w:r>
      <w:r w:rsidRPr="00DF172A">
        <w:rPr>
          <w:lang w:val="fr-CH"/>
        </w:rPr>
        <w:tab/>
      </w:r>
      <w:r>
        <w:rPr>
          <w:bCs/>
        </w:rPr>
        <w:t xml:space="preserve">La procédure adoptée par le Conseil à sa session de 2000 prévoit que </w:t>
      </w:r>
      <w:r w:rsidRPr="00DA2AB0">
        <w:t xml:space="preserve">toute exonération que le </w:t>
      </w:r>
      <w:r w:rsidRPr="00DA2AB0">
        <w:rPr>
          <w:lang w:val="fr-CH"/>
        </w:rPr>
        <w:t>Conseil</w:t>
      </w:r>
      <w:r w:rsidRPr="00DA2AB0">
        <w:t xml:space="preserve"> est susceptible d'accorder n'est valable que jusqu'à </w:t>
      </w:r>
      <w:r>
        <w:t xml:space="preserve">la </w:t>
      </w:r>
      <w:r w:rsidRPr="00DA2AB0">
        <w:t>Conférence de plénipotentiaires</w:t>
      </w:r>
      <w:r>
        <w:t xml:space="preserve"> suivante. La dernière Conférence de plénipotentiaires (PP-10) a examiné la liste des organisations qui souhaitaient continuer à bénéficier d'une exonération et a approuvé la prolongation de ces exonérations jusqu'à la prochaine Conférence de plénipotentiaires (PP-14).</w:t>
      </w:r>
    </w:p>
    <w:p w14:paraId="4FDF7636" w14:textId="3595E5C5" w:rsidR="00517396" w:rsidRPr="00F45C79" w:rsidRDefault="00517396" w:rsidP="00435D55">
      <w:pPr>
        <w:rPr>
          <w:rFonts w:eastAsiaTheme="minorEastAsia"/>
          <w:szCs w:val="24"/>
          <w:lang w:val="fr-CH" w:eastAsia="zh-CN"/>
        </w:rPr>
      </w:pPr>
      <w:r w:rsidRPr="007717C0">
        <w:rPr>
          <w:lang w:val="fr-CH"/>
        </w:rPr>
        <w:t>1.3</w:t>
      </w:r>
      <w:r w:rsidRPr="007717C0">
        <w:rPr>
          <w:lang w:val="fr-CH"/>
        </w:rPr>
        <w:tab/>
      </w:r>
      <w:r w:rsidRPr="00055E97">
        <w:t>Ces dernières années, le nombre</w:t>
      </w:r>
      <w:r>
        <w:t xml:space="preserve"> </w:t>
      </w:r>
      <w:r w:rsidRPr="00055E97">
        <w:t>d</w:t>
      </w:r>
      <w:r>
        <w:t>'</w:t>
      </w:r>
      <w:r w:rsidRPr="00055E97">
        <w:t xml:space="preserve">exonérations a connu une </w:t>
      </w:r>
      <w:r>
        <w:t>augmentation</w:t>
      </w:r>
      <w:r w:rsidRPr="00055E97">
        <w:t xml:space="preserve"> </w:t>
      </w:r>
      <w:r w:rsidR="00435D55">
        <w:t>relativement </w:t>
      </w:r>
      <w:r w:rsidRPr="00055E97">
        <w:t>rapide</w:t>
      </w:r>
      <w:r>
        <w:t>: près d'un tiers du nombre total d'exonérations a été accordé depuis la PP</w:t>
      </w:r>
      <w:r>
        <w:noBreakHyphen/>
      </w:r>
      <w:r w:rsidRPr="00055E97">
        <w:t>10.</w:t>
      </w:r>
      <w:r w:rsidRPr="007717C0">
        <w:rPr>
          <w:lang w:val="fr-CH"/>
        </w:rPr>
        <w:t xml:space="preserve"> </w:t>
      </w:r>
      <w:r>
        <w:rPr>
          <w:lang w:val="fr-CH"/>
        </w:rPr>
        <w:t xml:space="preserve">Aujourd'hui, environ un Membre de Secteur sur cinq est exonéré de droits. Ces exonérations concernent 215 Membres de Secteur dans les trois Secteurs (67 Membres de l'UIT-R, 63 Membres de l'UIT-T et 85 Membres de l'UIT-D) et trois Associés (deux Associés participant aux travaux de l'UIT-T et un Associé participant aux travaux de l'UIT-D). En outre, selon les critères généraux appliqués actuellement, </w:t>
      </w:r>
      <w:r w:rsidRPr="00F45C79">
        <w:rPr>
          <w:lang w:val="fr-CH"/>
        </w:rPr>
        <w:t>un certain nombre d'organisations non-gouvernementales et d'associations professionnelles figurent parmi les organisations exonérées du paiement de droits, alors que d'autres organisations de même nature acquittent des contributions en leur qualité de Membres de l'UIT.</w:t>
      </w:r>
    </w:p>
    <w:p w14:paraId="4AC6CB69" w14:textId="77777777" w:rsidR="00517396" w:rsidRPr="007717C0" w:rsidRDefault="00517396" w:rsidP="00435D55">
      <w:pPr>
        <w:rPr>
          <w:lang w:val="fr-CH"/>
        </w:rPr>
      </w:pPr>
      <w:r w:rsidRPr="007717C0">
        <w:rPr>
          <w:lang w:val="fr-CH"/>
        </w:rPr>
        <w:t>1.4</w:t>
      </w:r>
      <w:r w:rsidRPr="007717C0">
        <w:rPr>
          <w:lang w:val="fr-CH"/>
        </w:rPr>
        <w:tab/>
      </w:r>
      <w:r>
        <w:rPr>
          <w:lang w:val="fr-CH"/>
        </w:rPr>
        <w:t xml:space="preserve">Le </w:t>
      </w:r>
      <w:r w:rsidRPr="008D47FA">
        <w:rPr>
          <w:lang w:val="fr-CH"/>
        </w:rPr>
        <w:t xml:space="preserve">Groupe de travail du Conseil sur les ressources financières et les ressources humaines </w:t>
      </w:r>
      <w:r>
        <w:rPr>
          <w:lang w:val="fr-CH"/>
        </w:rPr>
        <w:t>a demandé qu'</w:t>
      </w:r>
      <w:r w:rsidRPr="008D47FA">
        <w:rPr>
          <w:lang w:val="fr-CH"/>
        </w:rPr>
        <w:t xml:space="preserve">un </w:t>
      </w:r>
      <w:r>
        <w:rPr>
          <w:lang w:val="fr-CH"/>
        </w:rPr>
        <w:t>ré</w:t>
      </w:r>
      <w:r w:rsidRPr="008D47FA">
        <w:rPr>
          <w:lang w:val="fr-CH"/>
        </w:rPr>
        <w:t xml:space="preserve">examen </w:t>
      </w:r>
      <w:r>
        <w:rPr>
          <w:lang w:val="fr-CH"/>
        </w:rPr>
        <w:t xml:space="preserve">des conditions à remplir pour être admis au bénéfice </w:t>
      </w:r>
      <w:r w:rsidRPr="008D47FA">
        <w:rPr>
          <w:lang w:val="fr-CH"/>
        </w:rPr>
        <w:t>d</w:t>
      </w:r>
      <w:r>
        <w:rPr>
          <w:lang w:val="fr-CH"/>
        </w:rPr>
        <w:t>'</w:t>
      </w:r>
      <w:r w:rsidRPr="008D47FA">
        <w:rPr>
          <w:lang w:val="fr-CH"/>
        </w:rPr>
        <w:t>exonération</w:t>
      </w:r>
      <w:r>
        <w:rPr>
          <w:lang w:val="fr-CH"/>
        </w:rPr>
        <w:t>s</w:t>
      </w:r>
      <w:r w:rsidRPr="008D47FA">
        <w:rPr>
          <w:lang w:val="fr-CH"/>
        </w:rPr>
        <w:t xml:space="preserve"> </w:t>
      </w:r>
      <w:r>
        <w:rPr>
          <w:lang w:val="fr-CH"/>
        </w:rPr>
        <w:t xml:space="preserve">du paiement </w:t>
      </w:r>
      <w:r w:rsidRPr="008D47FA">
        <w:rPr>
          <w:lang w:val="fr-CH"/>
        </w:rPr>
        <w:t xml:space="preserve">de </w:t>
      </w:r>
      <w:r>
        <w:rPr>
          <w:lang w:val="fr-CH"/>
        </w:rPr>
        <w:t>droits soit mené en vue d'</w:t>
      </w:r>
      <w:r w:rsidRPr="002B4911">
        <w:rPr>
          <w:lang w:val="fr-CH"/>
        </w:rPr>
        <w:t>améliorer la clarté, l'homogénéité et l'équité entre les Membres qui payent des contributions et ceux qui n'en acquittent aucune</w:t>
      </w:r>
      <w:r>
        <w:rPr>
          <w:lang w:val="fr-CH"/>
        </w:rPr>
        <w:t>. Compte tenu de cette recommandation</w:t>
      </w:r>
      <w:r w:rsidRPr="008D47FA">
        <w:rPr>
          <w:lang w:val="fr-CH"/>
        </w:rPr>
        <w:t>, le Conseil</w:t>
      </w:r>
      <w:r>
        <w:rPr>
          <w:lang w:val="fr-CH"/>
        </w:rPr>
        <w:t>, à sa session de 2014,</w:t>
      </w:r>
      <w:r w:rsidRPr="008D47FA">
        <w:rPr>
          <w:lang w:val="fr-CH"/>
        </w:rPr>
        <w:t xml:space="preserve"> </w:t>
      </w:r>
      <w:r>
        <w:rPr>
          <w:lang w:val="fr-CH"/>
        </w:rPr>
        <w:t>a reporté</w:t>
      </w:r>
      <w:r w:rsidRPr="008D47FA">
        <w:rPr>
          <w:lang w:val="fr-CH"/>
        </w:rPr>
        <w:t xml:space="preserve"> toute décision concernant de nouvelles demandes d</w:t>
      </w:r>
      <w:r>
        <w:rPr>
          <w:lang w:val="fr-CH"/>
        </w:rPr>
        <w:t>'</w:t>
      </w:r>
      <w:r w:rsidRPr="008D47FA">
        <w:rPr>
          <w:lang w:val="fr-CH"/>
        </w:rPr>
        <w:t xml:space="preserve">exonération </w:t>
      </w:r>
      <w:r>
        <w:rPr>
          <w:lang w:val="fr-CH"/>
        </w:rPr>
        <w:t xml:space="preserve">(voir l'Annexe 1 pour la liste complète) </w:t>
      </w:r>
      <w:r w:rsidRPr="008D47FA">
        <w:rPr>
          <w:lang w:val="fr-CH"/>
        </w:rPr>
        <w:t>à la Conférence de plénipotentiaires de 2014.</w:t>
      </w:r>
    </w:p>
    <w:p w14:paraId="47765429" w14:textId="57ADE1DF" w:rsidR="00517396" w:rsidRPr="000213F5" w:rsidRDefault="00A941B4" w:rsidP="00435D55">
      <w:pPr>
        <w:pStyle w:val="Heading1"/>
        <w:rPr>
          <w:lang w:val="fr-CH"/>
        </w:rPr>
      </w:pPr>
      <w:r>
        <w:rPr>
          <w:lang w:val="fr-CH"/>
        </w:rPr>
        <w:t>2</w:t>
      </w:r>
      <w:r w:rsidR="00517396" w:rsidRPr="000213F5">
        <w:rPr>
          <w:lang w:val="fr-CH"/>
        </w:rPr>
        <w:tab/>
        <w:t xml:space="preserve">Profil et participation des organisations </w:t>
      </w:r>
      <w:r w:rsidR="00435D55">
        <w:rPr>
          <w:lang w:val="fr-CH"/>
        </w:rPr>
        <w:t>bénéficiant d'une exonération</w:t>
      </w:r>
    </w:p>
    <w:p w14:paraId="21877AA5" w14:textId="39C972E4" w:rsidR="00517396" w:rsidRPr="004D3171" w:rsidRDefault="00517396" w:rsidP="00435D55">
      <w:pPr>
        <w:rPr>
          <w:lang w:val="fr-CH"/>
        </w:rPr>
      </w:pPr>
      <w:r w:rsidRPr="000213F5">
        <w:rPr>
          <w:lang w:val="fr-CH"/>
        </w:rPr>
        <w:t>2.1</w:t>
      </w:r>
      <w:r w:rsidRPr="000213F5">
        <w:rPr>
          <w:lang w:val="fr-CH"/>
        </w:rPr>
        <w:tab/>
      </w:r>
      <w:r>
        <w:rPr>
          <w:lang w:val="fr-CH"/>
        </w:rPr>
        <w:t>Environ</w:t>
      </w:r>
      <w:r w:rsidRPr="000213F5">
        <w:rPr>
          <w:lang w:val="fr-CH"/>
        </w:rPr>
        <w:t xml:space="preserve"> 30% des entités exonérées sont Membres</w:t>
      </w:r>
      <w:r>
        <w:rPr>
          <w:lang w:val="fr-CH"/>
        </w:rPr>
        <w:t xml:space="preserve"> des trois Secteurs (UIT-R, UIT-R et UIT-D) et 42% d'entre elles sont Membres d'un seul Secteur. En ce qui c</w:t>
      </w:r>
      <w:r w:rsidR="00435D55">
        <w:rPr>
          <w:lang w:val="fr-CH"/>
        </w:rPr>
        <w:t>oncerne leur participation, 69% </w:t>
      </w:r>
      <w:r>
        <w:rPr>
          <w:lang w:val="fr-CH"/>
        </w:rPr>
        <w:t xml:space="preserve">des entités exonérées se sont inscrites à au moins une </w:t>
      </w:r>
      <w:r w:rsidR="00A941B4">
        <w:rPr>
          <w:lang w:val="fr-CH"/>
        </w:rPr>
        <w:t>réunion ou conférence</w:t>
      </w:r>
      <w:r>
        <w:rPr>
          <w:lang w:val="fr-CH"/>
        </w:rPr>
        <w:t xml:space="preserve"> de l'UIT au cours des quatre dernières années. Pour les 31%</w:t>
      </w:r>
      <w:r w:rsidR="00A941B4">
        <w:rPr>
          <w:lang w:val="fr-CH"/>
        </w:rPr>
        <w:t xml:space="preserve"> restantes</w:t>
      </w:r>
      <w:r>
        <w:rPr>
          <w:lang w:val="fr-CH"/>
        </w:rPr>
        <w:t xml:space="preserve">, le secrétariat n'a trace d'aucune inscription à des </w:t>
      </w:r>
      <w:r w:rsidR="00A941B4">
        <w:rPr>
          <w:lang w:val="fr-CH"/>
        </w:rPr>
        <w:t>réunions ou conférences</w:t>
      </w:r>
      <w:r>
        <w:rPr>
          <w:lang w:val="fr-CH"/>
        </w:rPr>
        <w:t xml:space="preserve"> de l'UIT pour cette période. En outre, 18% des entités exonérées ont conclu un accord, ou l'équivalent, avec l'UIT (par exemple, pour le financement d'un projet ou d'une manifestation). </w:t>
      </w:r>
    </w:p>
    <w:p w14:paraId="25E64F9D" w14:textId="77777777" w:rsidR="00435D55" w:rsidRDefault="00435D55" w:rsidP="00435D55">
      <w:pPr>
        <w:rPr>
          <w:lang w:val="fr-CH"/>
        </w:rPr>
      </w:pPr>
      <w:r>
        <w:rPr>
          <w:lang w:val="fr-CH"/>
        </w:rPr>
        <w:br w:type="page"/>
      </w:r>
    </w:p>
    <w:p w14:paraId="6578C5EF" w14:textId="1E044C0D" w:rsidR="00517396" w:rsidRPr="00090F73" w:rsidRDefault="00517396" w:rsidP="00435D55">
      <w:pPr>
        <w:rPr>
          <w:lang w:val="fr-CH"/>
        </w:rPr>
      </w:pPr>
      <w:r w:rsidRPr="00090F73">
        <w:rPr>
          <w:lang w:val="fr-CH"/>
        </w:rPr>
        <w:t>2.2</w:t>
      </w:r>
      <w:r w:rsidRPr="00090F73">
        <w:rPr>
          <w:lang w:val="fr-CH"/>
        </w:rPr>
        <w:tab/>
      </w:r>
      <w:r>
        <w:rPr>
          <w:lang w:val="fr-CH"/>
        </w:rPr>
        <w:t xml:space="preserve">Dans le cadre de la préparation </w:t>
      </w:r>
      <w:r w:rsidRPr="00090F73">
        <w:rPr>
          <w:lang w:val="fr-CH"/>
        </w:rPr>
        <w:t xml:space="preserve">de la PP-14, toutes les </w:t>
      </w:r>
      <w:r>
        <w:rPr>
          <w:lang w:val="fr-CH"/>
        </w:rPr>
        <w:t xml:space="preserve">organisations exonérées ayant </w:t>
      </w:r>
      <w:r w:rsidR="00D478CE">
        <w:rPr>
          <w:lang w:val="fr-CH"/>
        </w:rPr>
        <w:t xml:space="preserve">un </w:t>
      </w:r>
      <w:r>
        <w:rPr>
          <w:lang w:val="fr-CH"/>
        </w:rPr>
        <w:t>caractère régional ou international ont été officiellement invitées, par une lettre du Secrétaire général en date du 1</w:t>
      </w:r>
      <w:r w:rsidRPr="00D478CE">
        <w:rPr>
          <w:lang w:val="fr-CH"/>
        </w:rPr>
        <w:t>er</w:t>
      </w:r>
      <w:r>
        <w:rPr>
          <w:lang w:val="fr-CH"/>
        </w:rPr>
        <w:t xml:space="preserve"> avril 2014, à confirmer leur volonté de continuer à participer aux travaux de l'UIT en tant que Membres de Secteur et à remplir un questionnaire concernant leur participation et leur contribution aux travaux de l'UIT au cours des quatre dernières années.</w:t>
      </w:r>
    </w:p>
    <w:p w14:paraId="654E524A" w14:textId="33FE5E75" w:rsidR="00517396" w:rsidRPr="00090F73" w:rsidRDefault="00517396" w:rsidP="00435D55">
      <w:pPr>
        <w:rPr>
          <w:lang w:val="fr-CH"/>
        </w:rPr>
      </w:pPr>
      <w:r w:rsidRPr="00090F73">
        <w:rPr>
          <w:lang w:val="fr-CH"/>
        </w:rPr>
        <w:t>2.3</w:t>
      </w:r>
      <w:r w:rsidRPr="00090F73">
        <w:rPr>
          <w:lang w:val="fr-CH"/>
        </w:rPr>
        <w:tab/>
        <w:t xml:space="preserve">En réponse à la lettre du Secrétaire général, 72%  </w:t>
      </w:r>
      <w:r>
        <w:rPr>
          <w:lang w:val="fr-CH"/>
        </w:rPr>
        <w:t xml:space="preserve">des organisations exonérées ayant un caractère régional ou international </w:t>
      </w:r>
      <w:r w:rsidRPr="00090F73">
        <w:rPr>
          <w:lang w:val="fr-CH"/>
        </w:rPr>
        <w:t>(</w:t>
      </w:r>
      <w:r>
        <w:rPr>
          <w:lang w:val="fr-CH"/>
        </w:rPr>
        <w:t xml:space="preserve">soit </w:t>
      </w:r>
      <w:r w:rsidRPr="00090F73">
        <w:rPr>
          <w:lang w:val="fr-CH"/>
        </w:rPr>
        <w:t>81 entités sur 112)</w:t>
      </w:r>
      <w:r>
        <w:rPr>
          <w:lang w:val="fr-CH"/>
        </w:rPr>
        <w:t xml:space="preserve"> ont rempli le questionnaire. Dans ce groupe, 58% des entités sont Membres de l'UIT-R, 55% sont Membres de l'UIT-T et 73% sont Membres de l'UIT</w:t>
      </w:r>
      <w:r>
        <w:rPr>
          <w:lang w:val="fr-CH"/>
        </w:rPr>
        <w:noBreakHyphen/>
        <w:t xml:space="preserve">D. Plus de 90% des Membres exonérés qui ont rempli le questionnaire ont déclaré qu'ils avaient participé aux activités de l'UIT entre 2010 et 2014, notamment en assistant à des </w:t>
      </w:r>
      <w:r w:rsidR="00A941B4">
        <w:rPr>
          <w:lang w:val="fr-CH"/>
        </w:rPr>
        <w:t>réunions ou conférences</w:t>
      </w:r>
      <w:r>
        <w:rPr>
          <w:lang w:val="fr-CH"/>
        </w:rPr>
        <w:t xml:space="preserve"> de l'UIT et en soumettant des contributions aux commissions d'études et aux groupes de travail. Environ le même pourcentage d'entités exonérées ont dit avoir invité l'UIT à participer aux activités qu'elles avaient organisées et à consulter gratuitement leur documentation. Parallèlement, plus de 90% de ces entités ont signalé qu'elles envisageaient de participer aux travaux de l'Union et qu'il en résulterait des avantages réciproques au cours des quatre ans à venir. </w:t>
      </w:r>
    </w:p>
    <w:p w14:paraId="08B7D360" w14:textId="77777777" w:rsidR="00517396" w:rsidRPr="00C519BA" w:rsidRDefault="00517396" w:rsidP="00435D55">
      <w:pPr>
        <w:rPr>
          <w:lang w:val="fr-CH"/>
        </w:rPr>
      </w:pPr>
      <w:r w:rsidRPr="00C519BA">
        <w:rPr>
          <w:lang w:val="fr-CH"/>
        </w:rPr>
        <w:t>2.4</w:t>
      </w:r>
      <w:r w:rsidRPr="00C519BA">
        <w:rPr>
          <w:lang w:val="fr-CH"/>
        </w:rPr>
        <w:tab/>
      </w:r>
      <w:r>
        <w:rPr>
          <w:lang w:val="fr-CH"/>
        </w:rPr>
        <w:t xml:space="preserve">De plus amples détails concernant les profils des </w:t>
      </w:r>
      <w:r w:rsidRPr="00C519BA">
        <w:rPr>
          <w:lang w:val="fr-CH"/>
        </w:rPr>
        <w:t xml:space="preserve">Membres exonérés, </w:t>
      </w:r>
      <w:r>
        <w:rPr>
          <w:lang w:val="fr-CH"/>
        </w:rPr>
        <w:t xml:space="preserve">leur </w:t>
      </w:r>
      <w:r w:rsidRPr="00C519BA">
        <w:rPr>
          <w:lang w:val="fr-CH"/>
        </w:rPr>
        <w:t xml:space="preserve">participation </w:t>
      </w:r>
      <w:r>
        <w:rPr>
          <w:lang w:val="fr-CH"/>
        </w:rPr>
        <w:t>et leurs</w:t>
      </w:r>
      <w:r w:rsidRPr="00C519BA">
        <w:rPr>
          <w:lang w:val="fr-CH"/>
        </w:rPr>
        <w:t xml:space="preserve"> réponses au questionnaire </w:t>
      </w:r>
      <w:r>
        <w:rPr>
          <w:lang w:val="fr-CH"/>
        </w:rPr>
        <w:t>sus</w:t>
      </w:r>
      <w:r w:rsidRPr="00C519BA">
        <w:rPr>
          <w:lang w:val="fr-CH"/>
        </w:rPr>
        <w:t>mentionné</w:t>
      </w:r>
      <w:r>
        <w:rPr>
          <w:lang w:val="fr-CH"/>
        </w:rPr>
        <w:t xml:space="preserve"> sont disponibles</w:t>
      </w:r>
      <w:r w:rsidRPr="00C519BA">
        <w:rPr>
          <w:lang w:val="fr-CH"/>
        </w:rPr>
        <w:t xml:space="preserve"> </w:t>
      </w:r>
      <w:hyperlink r:id="rId26" w:history="1">
        <w:r w:rsidRPr="00C519BA">
          <w:rPr>
            <w:rStyle w:val="Hyperlink"/>
            <w:lang w:val="fr-CH"/>
          </w:rPr>
          <w:t>ici</w:t>
        </w:r>
      </w:hyperlink>
      <w:r w:rsidRPr="00C519BA">
        <w:rPr>
          <w:lang w:val="fr-CH"/>
        </w:rPr>
        <w:t>.</w:t>
      </w:r>
    </w:p>
    <w:p w14:paraId="0F34D255" w14:textId="77777777" w:rsidR="00517396" w:rsidRPr="00D27E92" w:rsidRDefault="00517396" w:rsidP="00180F7E">
      <w:pPr>
        <w:pStyle w:val="Heading1"/>
        <w:rPr>
          <w:lang w:val="fr-CH"/>
        </w:rPr>
      </w:pPr>
      <w:r w:rsidRPr="00D27E92">
        <w:rPr>
          <w:lang w:val="fr-CH"/>
        </w:rPr>
        <w:t>3</w:t>
      </w:r>
      <w:r w:rsidRPr="00D27E92">
        <w:rPr>
          <w:lang w:val="fr-CH"/>
        </w:rPr>
        <w:tab/>
        <w:t>Recommandation</w:t>
      </w:r>
    </w:p>
    <w:p w14:paraId="7875D327" w14:textId="77777777" w:rsidR="00517396" w:rsidRPr="007D66E7" w:rsidRDefault="00517396" w:rsidP="00435D55">
      <w:pPr>
        <w:rPr>
          <w:rFonts w:asciiTheme="minorHAnsi" w:hAnsiTheme="minorHAnsi" w:cs="Calibri"/>
          <w:szCs w:val="24"/>
          <w:lang w:val="fr-CH"/>
        </w:rPr>
      </w:pPr>
      <w:r w:rsidRPr="007D66E7">
        <w:rPr>
          <w:lang w:val="fr-CH"/>
        </w:rPr>
        <w:t>3.1</w:t>
      </w:r>
      <w:r w:rsidRPr="007D66E7">
        <w:rPr>
          <w:lang w:val="fr-CH"/>
        </w:rPr>
        <w:tab/>
        <w:t xml:space="preserve">La PP-14 est invitée à </w:t>
      </w:r>
      <w:r w:rsidRPr="007D66E7">
        <w:rPr>
          <w:b/>
          <w:bCs/>
          <w:lang w:val="fr-CH"/>
        </w:rPr>
        <w:t>examiner</w:t>
      </w:r>
      <w:r w:rsidRPr="007D66E7">
        <w:rPr>
          <w:lang w:val="fr-CH"/>
        </w:rPr>
        <w:t xml:space="preserve"> la list</w:t>
      </w:r>
      <w:r>
        <w:rPr>
          <w:lang w:val="fr-CH"/>
        </w:rPr>
        <w:t>e d'</w:t>
      </w:r>
      <w:r w:rsidRPr="007D66E7">
        <w:rPr>
          <w:lang w:val="fr-CH"/>
        </w:rPr>
        <w:t xml:space="preserve">organisations (Annexe 1) qui a été soumise au Conseil, à sa session de 2014, et à </w:t>
      </w:r>
      <w:r>
        <w:rPr>
          <w:rFonts w:asciiTheme="minorHAnsi" w:hAnsiTheme="minorHAnsi" w:cs="Calibri"/>
          <w:b/>
          <w:bCs/>
          <w:szCs w:val="24"/>
          <w:lang w:val="fr-CH"/>
        </w:rPr>
        <w:t>approuver</w:t>
      </w:r>
      <w:r w:rsidRPr="007D66E7">
        <w:rPr>
          <w:rFonts w:asciiTheme="minorHAnsi" w:hAnsiTheme="minorHAnsi" w:cs="Calibri"/>
          <w:b/>
          <w:bCs/>
          <w:szCs w:val="24"/>
          <w:lang w:val="fr-CH"/>
        </w:rPr>
        <w:t xml:space="preserve"> </w:t>
      </w:r>
      <w:r>
        <w:rPr>
          <w:rFonts w:asciiTheme="minorHAnsi" w:hAnsiTheme="minorHAnsi" w:cs="Calibri"/>
          <w:szCs w:val="24"/>
          <w:lang w:val="fr-CH"/>
        </w:rPr>
        <w:t xml:space="preserve">les </w:t>
      </w:r>
      <w:r w:rsidRPr="007D66E7">
        <w:rPr>
          <w:rFonts w:asciiTheme="minorHAnsi" w:hAnsiTheme="minorHAnsi" w:cs="Calibri"/>
          <w:szCs w:val="24"/>
          <w:lang w:val="fr-CH"/>
        </w:rPr>
        <w:t xml:space="preserve">recommandations </w:t>
      </w:r>
      <w:r>
        <w:rPr>
          <w:rFonts w:asciiTheme="minorHAnsi" w:hAnsiTheme="minorHAnsi" w:cs="Calibri"/>
          <w:szCs w:val="24"/>
          <w:lang w:val="fr-CH"/>
        </w:rPr>
        <w:t>du Secrétaire général</w:t>
      </w:r>
      <w:r w:rsidRPr="007D66E7">
        <w:rPr>
          <w:rFonts w:asciiTheme="minorHAnsi" w:hAnsiTheme="minorHAnsi" w:cs="Calibri"/>
          <w:szCs w:val="24"/>
          <w:lang w:val="fr-CH"/>
        </w:rPr>
        <w:t>.</w:t>
      </w:r>
    </w:p>
    <w:p w14:paraId="5B327BEC" w14:textId="6FFE8B1F" w:rsidR="00517396" w:rsidRPr="007D66E7" w:rsidRDefault="00435D55" w:rsidP="00435D55">
      <w:pPr>
        <w:rPr>
          <w:lang w:val="fr-CH"/>
        </w:rPr>
      </w:pPr>
      <w:r>
        <w:rPr>
          <w:rFonts w:cs="Calibri"/>
          <w:lang w:val="fr-CH"/>
        </w:rPr>
        <w:t>3.2</w:t>
      </w:r>
      <w:r>
        <w:rPr>
          <w:rFonts w:cs="Calibri"/>
          <w:lang w:val="fr-CH"/>
        </w:rPr>
        <w:tab/>
      </w:r>
      <w:r w:rsidR="00517396" w:rsidRPr="007D66E7">
        <w:rPr>
          <w:rFonts w:cs="Calibri"/>
          <w:lang w:val="fr-CH"/>
        </w:rPr>
        <w:t xml:space="preserve">La PP-14 est en outre invitée à </w:t>
      </w:r>
      <w:r w:rsidR="00517396" w:rsidRPr="007D66E7">
        <w:rPr>
          <w:b/>
          <w:bCs/>
          <w:lang w:val="fr-CH"/>
        </w:rPr>
        <w:t xml:space="preserve">charger </w:t>
      </w:r>
      <w:r w:rsidR="00517396" w:rsidRPr="007D66E7">
        <w:rPr>
          <w:lang w:val="fr-CH"/>
        </w:rPr>
        <w:t>le Conseil d</w:t>
      </w:r>
      <w:r w:rsidR="00517396">
        <w:rPr>
          <w:lang w:val="fr-CH"/>
        </w:rPr>
        <w:t>'</w:t>
      </w:r>
      <w:r w:rsidR="00517396" w:rsidRPr="007D66E7">
        <w:rPr>
          <w:lang w:val="fr-CH"/>
        </w:rPr>
        <w:t>examiner les critères d'exonération e</w:t>
      </w:r>
      <w:r w:rsidR="00517396">
        <w:rPr>
          <w:lang w:val="fr-CH"/>
        </w:rPr>
        <w:t>t de réviser</w:t>
      </w:r>
      <w:r w:rsidR="00517396" w:rsidRPr="007D66E7">
        <w:rPr>
          <w:lang w:val="fr-CH"/>
        </w:rPr>
        <w:t xml:space="preserve"> la liste </w:t>
      </w:r>
      <w:r w:rsidR="00517396">
        <w:rPr>
          <w:lang w:val="fr-CH"/>
        </w:rPr>
        <w:t xml:space="preserve">en conséquence </w:t>
      </w:r>
      <w:r w:rsidR="00517396" w:rsidRPr="007D66E7">
        <w:rPr>
          <w:lang w:val="fr-CH"/>
        </w:rPr>
        <w:t>(Annexe</w:t>
      </w:r>
      <w:r w:rsidR="00D478CE">
        <w:rPr>
          <w:lang w:val="fr-CH"/>
        </w:rPr>
        <w:t>s</w:t>
      </w:r>
      <w:r w:rsidR="00517396" w:rsidRPr="007D66E7">
        <w:rPr>
          <w:lang w:val="fr-CH"/>
        </w:rPr>
        <w:t xml:space="preserve"> 1 et 2), </w:t>
      </w:r>
      <w:r w:rsidR="00517396">
        <w:rPr>
          <w:lang w:val="fr-CH"/>
        </w:rPr>
        <w:t xml:space="preserve">et à </w:t>
      </w:r>
      <w:r w:rsidR="00517396" w:rsidRPr="007D66E7">
        <w:rPr>
          <w:b/>
          <w:bCs/>
          <w:lang w:val="fr-CH"/>
        </w:rPr>
        <w:t>appr</w:t>
      </w:r>
      <w:r w:rsidR="00517396">
        <w:rPr>
          <w:b/>
          <w:bCs/>
          <w:lang w:val="fr-CH"/>
        </w:rPr>
        <w:t>ouver</w:t>
      </w:r>
      <w:r w:rsidR="00517396" w:rsidRPr="007D66E7">
        <w:rPr>
          <w:lang w:val="fr-CH"/>
        </w:rPr>
        <w:t xml:space="preserve"> </w:t>
      </w:r>
      <w:r w:rsidR="00517396">
        <w:rPr>
          <w:lang w:val="fr-CH"/>
        </w:rPr>
        <w:t>une prolongation de courte durée de la validité de la liste d'entités exonérées jusqu'à ce que le Conseil ait mené à bien l'examen des critères et la révision de la liste</w:t>
      </w:r>
      <w:r w:rsidR="00517396" w:rsidRPr="007D66E7">
        <w:rPr>
          <w:lang w:val="fr-CH"/>
        </w:rPr>
        <w:t>.</w:t>
      </w:r>
    </w:p>
    <w:p w14:paraId="3AC8F735" w14:textId="77777777" w:rsidR="00517396" w:rsidRPr="00D27E92" w:rsidRDefault="00517396" w:rsidP="00180F7E">
      <w:pPr>
        <w:spacing w:before="2760"/>
        <w:rPr>
          <w:lang w:val="fr-CH"/>
        </w:rPr>
      </w:pPr>
      <w:r w:rsidRPr="00D27E92">
        <w:rPr>
          <w:b/>
          <w:bCs/>
          <w:lang w:val="fr-CH"/>
        </w:rPr>
        <w:t>Annexes</w:t>
      </w:r>
      <w:r w:rsidRPr="00D27E92">
        <w:rPr>
          <w:lang w:val="fr-CH"/>
        </w:rPr>
        <w:t>: 2</w:t>
      </w:r>
    </w:p>
    <w:p w14:paraId="4AC08A5D" w14:textId="77777777" w:rsidR="00517396" w:rsidRPr="00D27E92" w:rsidRDefault="00517396" w:rsidP="00180F7E">
      <w:pPr>
        <w:pStyle w:val="Heading1"/>
        <w:rPr>
          <w:bCs/>
          <w:lang w:val="fr-CH"/>
        </w:rPr>
      </w:pPr>
      <w:r w:rsidRPr="00D27E92">
        <w:rPr>
          <w:bCs/>
          <w:lang w:val="fr-CH"/>
        </w:rPr>
        <w:br w:type="page"/>
      </w:r>
    </w:p>
    <w:p w14:paraId="5788F105" w14:textId="77777777" w:rsidR="00517396" w:rsidRPr="00D27E92" w:rsidRDefault="00517396" w:rsidP="00180F7E">
      <w:pPr>
        <w:pStyle w:val="AnnexNo"/>
        <w:rPr>
          <w:lang w:val="fr-CH"/>
        </w:rPr>
      </w:pPr>
      <w:r w:rsidRPr="00D27E92">
        <w:rPr>
          <w:lang w:val="fr-CH"/>
        </w:rPr>
        <w:t>ANNEXe 1</w:t>
      </w:r>
    </w:p>
    <w:p w14:paraId="3B93217C" w14:textId="77777777" w:rsidR="00517396" w:rsidRDefault="00517396" w:rsidP="00180F7E">
      <w:pPr>
        <w:pStyle w:val="Annextitle"/>
        <w:rPr>
          <w:lang w:val="fr-CH"/>
        </w:rPr>
      </w:pPr>
      <w:r w:rsidRPr="00FD42E3">
        <w:rPr>
          <w:lang w:val="fr-CH"/>
        </w:rPr>
        <w:t>Demandes d'exonérations soumises au Conseil à sa session de 2014</w:t>
      </w:r>
    </w:p>
    <w:p w14:paraId="167875A1" w14:textId="77777777" w:rsidR="00517396" w:rsidRPr="00FD42E3" w:rsidRDefault="00517396" w:rsidP="00180F7E">
      <w:pPr>
        <w:rPr>
          <w:lang w:val="fr-CH"/>
        </w:rPr>
      </w:pPr>
      <w:r>
        <w:rPr>
          <w:lang w:val="fr-CH"/>
        </w:rPr>
        <w:t xml:space="preserve">Les demandes soumises par le secrétariat au Conseil, à sa session de 2014, sont résumées ci-après. Comme indiqué plus haut, le Conseil, à sa session de 2014, a reporté toute décision </w:t>
      </w:r>
      <w:r w:rsidRPr="008D47FA">
        <w:rPr>
          <w:lang w:val="fr-CH"/>
        </w:rPr>
        <w:t>concernant de nouvelles demandes d</w:t>
      </w:r>
      <w:r>
        <w:rPr>
          <w:lang w:val="fr-CH"/>
        </w:rPr>
        <w:t>'</w:t>
      </w:r>
      <w:r w:rsidRPr="008D47FA">
        <w:rPr>
          <w:lang w:val="fr-CH"/>
        </w:rPr>
        <w:t xml:space="preserve">exonération à la Conférence de plénipotentiaires </w:t>
      </w:r>
      <w:r>
        <w:rPr>
          <w:lang w:val="fr-CH"/>
        </w:rPr>
        <w:t xml:space="preserve">de 2014. </w:t>
      </w:r>
    </w:p>
    <w:p w14:paraId="26456454" w14:textId="77777777" w:rsidR="00517396" w:rsidRPr="00553548" w:rsidRDefault="00517396" w:rsidP="00180F7E">
      <w:pPr>
        <w:spacing w:after="120"/>
        <w:rPr>
          <w:lang w:val="en-US"/>
        </w:rPr>
      </w:pPr>
      <w:r>
        <w:rPr>
          <w:lang w:val="en-US"/>
        </w:rPr>
        <w:t>1</w:t>
      </w:r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72"/>
        <w:gridCol w:w="1559"/>
        <w:gridCol w:w="2213"/>
        <w:gridCol w:w="2250"/>
      </w:tblGrid>
      <w:tr w:rsidR="00517396" w:rsidRPr="008D47FA" w14:paraId="26B6957F" w14:textId="77777777" w:rsidTr="00D478CE">
        <w:trPr>
          <w:cantSplit/>
          <w:jc w:val="center"/>
        </w:trPr>
        <w:tc>
          <w:tcPr>
            <w:tcW w:w="3472" w:type="dxa"/>
          </w:tcPr>
          <w:p w14:paraId="4F269EE4" w14:textId="77777777" w:rsidR="00517396" w:rsidRPr="008D47FA" w:rsidRDefault="00517396" w:rsidP="00180F7E">
            <w:pPr>
              <w:pStyle w:val="Tablehead"/>
              <w:rPr>
                <w:lang w:val="fr-CH"/>
              </w:rPr>
            </w:pPr>
            <w:r w:rsidRPr="008D47FA">
              <w:rPr>
                <w:lang w:val="fr-CH"/>
              </w:rPr>
              <w:t>Organisation</w:t>
            </w:r>
          </w:p>
        </w:tc>
        <w:tc>
          <w:tcPr>
            <w:tcW w:w="1559" w:type="dxa"/>
          </w:tcPr>
          <w:p w14:paraId="17AA6965" w14:textId="77777777" w:rsidR="00517396" w:rsidRPr="008D47FA" w:rsidRDefault="00517396" w:rsidP="00180F7E">
            <w:pPr>
              <w:pStyle w:val="Tablehead"/>
            </w:pPr>
            <w:r w:rsidRPr="008D47FA">
              <w:t>Secteur</w:t>
            </w:r>
          </w:p>
        </w:tc>
        <w:tc>
          <w:tcPr>
            <w:tcW w:w="2213" w:type="dxa"/>
          </w:tcPr>
          <w:p w14:paraId="7F9A15FD" w14:textId="77777777" w:rsidR="00517396" w:rsidRPr="008D47FA" w:rsidRDefault="00517396" w:rsidP="00180F7E">
            <w:pPr>
              <w:pStyle w:val="Tablehead"/>
            </w:pPr>
            <w:r w:rsidRPr="008D47FA">
              <w:t>Respecte les critères</w:t>
            </w:r>
          </w:p>
        </w:tc>
        <w:tc>
          <w:tcPr>
            <w:tcW w:w="2250" w:type="dxa"/>
          </w:tcPr>
          <w:p w14:paraId="554A83FE" w14:textId="77777777" w:rsidR="00517396" w:rsidRPr="008D47FA" w:rsidRDefault="00517396" w:rsidP="00180F7E">
            <w:pPr>
              <w:pStyle w:val="Tablehead"/>
            </w:pPr>
            <w:r w:rsidRPr="008D47FA">
              <w:t>Recommandation du Secrétaire général</w:t>
            </w:r>
          </w:p>
        </w:tc>
      </w:tr>
      <w:tr w:rsidR="00517396" w:rsidRPr="008D47FA" w14:paraId="3607F9FF" w14:textId="77777777" w:rsidTr="00D478CE">
        <w:trPr>
          <w:cantSplit/>
          <w:jc w:val="center"/>
        </w:trPr>
        <w:tc>
          <w:tcPr>
            <w:tcW w:w="3472" w:type="dxa"/>
          </w:tcPr>
          <w:p w14:paraId="4591E408" w14:textId="77777777" w:rsidR="00517396" w:rsidRPr="002069BA" w:rsidRDefault="00517396" w:rsidP="00180F7E">
            <w:pPr>
              <w:pStyle w:val="Tabletext"/>
              <w:rPr>
                <w:b/>
                <w:bCs/>
                <w:lang w:val="es-ES_tradnl"/>
              </w:rPr>
            </w:pPr>
            <w:r w:rsidRPr="002069BA">
              <w:rPr>
                <w:b/>
                <w:bCs/>
                <w:lang w:val="es-ES_tradnl"/>
              </w:rPr>
              <w:t xml:space="preserve">AICEP </w:t>
            </w:r>
            <w:r>
              <w:rPr>
                <w:b/>
                <w:bCs/>
                <w:lang w:val="es-ES_tradnl"/>
              </w:rPr>
              <w:t>–</w:t>
            </w:r>
            <w:r w:rsidRPr="002069BA">
              <w:rPr>
                <w:b/>
                <w:bCs/>
                <w:lang w:val="es-ES_tradnl"/>
              </w:rPr>
              <w:t xml:space="preserve"> Associação Internacional das Comunicações de Expressão Portuguesa</w:t>
            </w:r>
          </w:p>
        </w:tc>
        <w:tc>
          <w:tcPr>
            <w:tcW w:w="1559" w:type="dxa"/>
          </w:tcPr>
          <w:p w14:paraId="08E5D7E8" w14:textId="77777777" w:rsidR="00517396" w:rsidRPr="008D47FA" w:rsidRDefault="00517396" w:rsidP="00180F7E">
            <w:pPr>
              <w:pStyle w:val="Tabletext"/>
              <w:jc w:val="center"/>
            </w:pPr>
            <w:r w:rsidRPr="008D47FA">
              <w:t>UIT-R</w:t>
            </w:r>
          </w:p>
          <w:p w14:paraId="7498A051" w14:textId="77777777" w:rsidR="00517396" w:rsidRDefault="00517396" w:rsidP="00180F7E">
            <w:pPr>
              <w:pStyle w:val="Tabletext"/>
              <w:jc w:val="center"/>
            </w:pPr>
            <w:r w:rsidRPr="008D47FA">
              <w:t>UIT-T</w:t>
            </w:r>
          </w:p>
          <w:p w14:paraId="1E4B36BE" w14:textId="77777777" w:rsidR="00517396" w:rsidRPr="008D47FA" w:rsidRDefault="00517396" w:rsidP="00180F7E">
            <w:pPr>
              <w:pStyle w:val="Tabletext"/>
              <w:jc w:val="center"/>
            </w:pPr>
            <w:r w:rsidRPr="008D47FA">
              <w:t>UIT-D</w:t>
            </w:r>
          </w:p>
        </w:tc>
        <w:tc>
          <w:tcPr>
            <w:tcW w:w="2213" w:type="dxa"/>
          </w:tcPr>
          <w:p w14:paraId="467FDF7B" w14:textId="77777777" w:rsidR="00517396" w:rsidRDefault="00517396" w:rsidP="00180F7E">
            <w:pPr>
              <w:pStyle w:val="Tabletext"/>
              <w:jc w:val="center"/>
            </w:pPr>
            <w:r w:rsidRPr="008D47FA">
              <w:t>NON</w:t>
            </w:r>
          </w:p>
          <w:p w14:paraId="32AD3DF6" w14:textId="77777777" w:rsidR="00517396" w:rsidRDefault="00517396" w:rsidP="00180F7E">
            <w:pPr>
              <w:pStyle w:val="Tabletext"/>
              <w:jc w:val="center"/>
            </w:pPr>
            <w:r>
              <w:t>OUI</w:t>
            </w:r>
          </w:p>
          <w:p w14:paraId="3B2EDCC3" w14:textId="77777777" w:rsidR="00517396" w:rsidRPr="008D47FA" w:rsidRDefault="00517396" w:rsidP="00180F7E">
            <w:pPr>
              <w:pStyle w:val="Tabletext"/>
              <w:jc w:val="center"/>
            </w:pPr>
            <w:r w:rsidRPr="008D47FA">
              <w:t>OUI</w:t>
            </w:r>
          </w:p>
        </w:tc>
        <w:tc>
          <w:tcPr>
            <w:tcW w:w="2250" w:type="dxa"/>
          </w:tcPr>
          <w:p w14:paraId="0FD7E8E1" w14:textId="77777777" w:rsidR="00517396" w:rsidRPr="008D47FA" w:rsidRDefault="00517396" w:rsidP="00180F7E">
            <w:pPr>
              <w:pStyle w:val="Tabletext"/>
              <w:jc w:val="center"/>
            </w:pPr>
            <w:r w:rsidRPr="008D47FA">
              <w:t>NON</w:t>
            </w:r>
          </w:p>
          <w:p w14:paraId="690DB084" w14:textId="77777777" w:rsidR="00517396" w:rsidRDefault="00517396" w:rsidP="00180F7E">
            <w:pPr>
              <w:pStyle w:val="Tabletext"/>
              <w:jc w:val="center"/>
            </w:pPr>
            <w:r>
              <w:t>OUI</w:t>
            </w:r>
          </w:p>
          <w:p w14:paraId="4D399B4F" w14:textId="77777777" w:rsidR="00517396" w:rsidRPr="008D47FA" w:rsidRDefault="00517396" w:rsidP="00180F7E">
            <w:pPr>
              <w:pStyle w:val="Tabletext"/>
              <w:jc w:val="center"/>
            </w:pPr>
            <w:r w:rsidRPr="008D47FA">
              <w:t>OUI</w:t>
            </w:r>
          </w:p>
        </w:tc>
      </w:tr>
    </w:tbl>
    <w:p w14:paraId="6B0E6C5F" w14:textId="77777777" w:rsidR="00517396" w:rsidRPr="008D47FA" w:rsidRDefault="00517396" w:rsidP="00180F7E">
      <w:pPr>
        <w:pStyle w:val="Headingb"/>
        <w:spacing w:before="360"/>
        <w:rPr>
          <w:lang w:val="fr-CH"/>
        </w:rPr>
      </w:pPr>
      <w:r w:rsidRPr="008D47FA">
        <w:rPr>
          <w:lang w:val="fr-CH"/>
        </w:rPr>
        <w:t>Observations r</w:t>
      </w:r>
      <w:r>
        <w:rPr>
          <w:lang w:val="fr-CH"/>
        </w:rPr>
        <w:t>elatives aux avantages mutuels</w:t>
      </w:r>
    </w:p>
    <w:p w14:paraId="23607652" w14:textId="77777777" w:rsidR="00517396" w:rsidRPr="008D47FA" w:rsidRDefault="00517396" w:rsidP="00180F7E">
      <w:pPr>
        <w:rPr>
          <w:lang w:val="fr-CH"/>
        </w:rPr>
      </w:pPr>
      <w:r>
        <w:rPr>
          <w:lang w:val="fr-CH"/>
        </w:rPr>
        <w:t>L'</w:t>
      </w:r>
      <w:r w:rsidRPr="008D47FA">
        <w:rPr>
          <w:lang w:val="fr-CH"/>
        </w:rPr>
        <w:t xml:space="preserve">AICEP (Association internationale des communications des pays </w:t>
      </w:r>
      <w:r>
        <w:rPr>
          <w:lang w:val="fr-CH"/>
        </w:rPr>
        <w:t>lusophones</w:t>
      </w:r>
      <w:r w:rsidRPr="008D47FA">
        <w:rPr>
          <w:lang w:val="fr-CH"/>
        </w:rPr>
        <w:t xml:space="preserve">) est une organisation internationale, technique, non gouvernementale et à but non lucratif, qui rassemble les opérateurs </w:t>
      </w:r>
      <w:r>
        <w:rPr>
          <w:lang w:val="fr-CH"/>
        </w:rPr>
        <w:t xml:space="preserve">postaux </w:t>
      </w:r>
      <w:r w:rsidRPr="008D47FA">
        <w:rPr>
          <w:lang w:val="fr-CH"/>
        </w:rPr>
        <w:t xml:space="preserve">et </w:t>
      </w:r>
      <w:r>
        <w:rPr>
          <w:lang w:val="fr-CH"/>
        </w:rPr>
        <w:t>les opérateurs de télécommunication</w:t>
      </w:r>
      <w:r w:rsidRPr="008D47FA">
        <w:rPr>
          <w:lang w:val="fr-CH"/>
        </w:rPr>
        <w:t xml:space="preserve"> des pays lusophones.</w:t>
      </w:r>
    </w:p>
    <w:p w14:paraId="46A7DA5E" w14:textId="77777777" w:rsidR="00517396" w:rsidRPr="008D47FA" w:rsidRDefault="00517396" w:rsidP="00180F7E">
      <w:pPr>
        <w:rPr>
          <w:lang w:val="fr-CH"/>
        </w:rPr>
      </w:pPr>
      <w:r w:rsidRPr="008D47FA">
        <w:rPr>
          <w:lang w:val="fr-CH"/>
        </w:rPr>
        <w:t>La mission principale de cette organisation est de soutenir le développement durable des communications dans les pays lusophones moyennant l</w:t>
      </w:r>
      <w:r>
        <w:rPr>
          <w:lang w:val="fr-CH"/>
        </w:rPr>
        <w:t>'</w:t>
      </w:r>
      <w:r w:rsidRPr="008D47FA">
        <w:rPr>
          <w:lang w:val="fr-CH"/>
        </w:rPr>
        <w:t>échange d</w:t>
      </w:r>
      <w:r>
        <w:rPr>
          <w:lang w:val="fr-CH"/>
        </w:rPr>
        <w:t>'</w:t>
      </w:r>
      <w:r w:rsidRPr="008D47FA">
        <w:rPr>
          <w:lang w:val="fr-CH"/>
        </w:rPr>
        <w:t xml:space="preserve">informations, la réflexion, </w:t>
      </w:r>
      <w:r>
        <w:rPr>
          <w:lang w:val="fr-CH"/>
        </w:rPr>
        <w:t>d</w:t>
      </w:r>
      <w:r w:rsidRPr="008D47FA">
        <w:rPr>
          <w:lang w:val="fr-CH"/>
        </w:rPr>
        <w:t xml:space="preserve">es programmes de formation et </w:t>
      </w:r>
      <w:r>
        <w:rPr>
          <w:lang w:val="fr-CH"/>
        </w:rPr>
        <w:t>d</w:t>
      </w:r>
      <w:r w:rsidRPr="008D47FA">
        <w:rPr>
          <w:lang w:val="fr-CH"/>
        </w:rPr>
        <w:t>es projets de développement.</w:t>
      </w:r>
    </w:p>
    <w:p w14:paraId="307112EE" w14:textId="77777777" w:rsidR="00517396" w:rsidRPr="008D47FA" w:rsidRDefault="00517396" w:rsidP="00180F7E">
      <w:pPr>
        <w:rPr>
          <w:lang w:val="fr-CH"/>
        </w:rPr>
      </w:pPr>
      <w:r w:rsidRPr="008D47FA">
        <w:rPr>
          <w:lang w:val="fr-CH"/>
        </w:rPr>
        <w:t>Actuellement, cette organisation compte 36 membres de neuf pays et territoires</w:t>
      </w:r>
      <w:r>
        <w:rPr>
          <w:lang w:val="fr-CH"/>
        </w:rPr>
        <w:t xml:space="preserve"> lusophones, </w:t>
      </w:r>
      <w:r w:rsidRPr="008D47FA">
        <w:rPr>
          <w:lang w:val="fr-CH"/>
        </w:rPr>
        <w:t>compr</w:t>
      </w:r>
      <w:r>
        <w:rPr>
          <w:lang w:val="fr-CH"/>
        </w:rPr>
        <w:t>enant</w:t>
      </w:r>
      <w:r w:rsidRPr="008D47FA">
        <w:rPr>
          <w:lang w:val="fr-CH"/>
        </w:rPr>
        <w:t xml:space="preserve"> des opérateurs </w:t>
      </w:r>
      <w:r>
        <w:rPr>
          <w:lang w:val="fr-CH"/>
        </w:rPr>
        <w:t>postaux</w:t>
      </w:r>
      <w:r w:rsidRPr="008D47FA">
        <w:rPr>
          <w:lang w:val="fr-CH"/>
        </w:rPr>
        <w:t xml:space="preserve">, des </w:t>
      </w:r>
      <w:r>
        <w:rPr>
          <w:lang w:val="fr-CH"/>
        </w:rPr>
        <w:t>opérateurs de télécommunication</w:t>
      </w:r>
      <w:r w:rsidRPr="008D47FA">
        <w:rPr>
          <w:lang w:val="fr-CH"/>
        </w:rPr>
        <w:t xml:space="preserve"> et des opérateurs de contenus (télévision) ainsi que six des neuf régulateurs des communications des pays lusophones.</w:t>
      </w:r>
    </w:p>
    <w:p w14:paraId="7CEFF293" w14:textId="1A04C453" w:rsidR="00517396" w:rsidRPr="008D47FA" w:rsidRDefault="00517396" w:rsidP="00180F7E">
      <w:pPr>
        <w:rPr>
          <w:bCs/>
          <w:lang w:val="fr-CH"/>
        </w:rPr>
      </w:pPr>
      <w:r w:rsidRPr="008D47FA">
        <w:rPr>
          <w:lang w:val="fr-CH"/>
        </w:rPr>
        <w:t>Les membres de l</w:t>
      </w:r>
      <w:r>
        <w:rPr>
          <w:lang w:val="fr-CH"/>
        </w:rPr>
        <w:t>'</w:t>
      </w:r>
      <w:r w:rsidRPr="008D47FA">
        <w:rPr>
          <w:lang w:val="fr-CH"/>
        </w:rPr>
        <w:t>AICEP représentent neuf pays et territoires de langue officielle portugaise (Angola, Brésil, Cabo Verde, Guinée-Bissau, M</w:t>
      </w:r>
      <w:r>
        <w:rPr>
          <w:lang w:val="fr-CH"/>
        </w:rPr>
        <w:t>acao, Mozambique, Portugal, Sao </w:t>
      </w:r>
      <w:r w:rsidRPr="008D47FA">
        <w:rPr>
          <w:lang w:val="fr-CH"/>
        </w:rPr>
        <w:t>T</w:t>
      </w:r>
      <w:r>
        <w:rPr>
          <w:lang w:val="fr-CH"/>
        </w:rPr>
        <w:t>omé</w:t>
      </w:r>
      <w:r>
        <w:rPr>
          <w:lang w:val="fr-CH"/>
        </w:rPr>
        <w:noBreakHyphen/>
        <w:t>et</w:t>
      </w:r>
      <w:r>
        <w:rPr>
          <w:lang w:val="fr-CH"/>
        </w:rPr>
        <w:noBreakHyphen/>
        <w:t>Principe et Timor</w:t>
      </w:r>
      <w:r>
        <w:rPr>
          <w:lang w:val="fr-CH"/>
        </w:rPr>
        <w:noBreakHyphen/>
      </w:r>
      <w:r w:rsidRPr="008D47FA">
        <w:rPr>
          <w:lang w:val="fr-CH"/>
        </w:rPr>
        <w:t xml:space="preserve">Leste) et comprennent un </w:t>
      </w:r>
      <w:r w:rsidR="00566D8C" w:rsidRPr="008D47FA">
        <w:rPr>
          <w:lang w:val="fr-CH"/>
        </w:rPr>
        <w:t>M</w:t>
      </w:r>
      <w:r w:rsidRPr="008D47FA">
        <w:rPr>
          <w:lang w:val="fr-CH"/>
        </w:rPr>
        <w:t>embre du Secteur de l</w:t>
      </w:r>
      <w:r>
        <w:rPr>
          <w:lang w:val="fr-CH"/>
        </w:rPr>
        <w:t>'</w:t>
      </w:r>
      <w:r w:rsidRPr="008D47FA">
        <w:rPr>
          <w:lang w:val="fr-CH"/>
        </w:rPr>
        <w:t xml:space="preserve">UIT-T (Compagnie des télécommunications de Macao), un </w:t>
      </w:r>
      <w:r w:rsidR="00566D8C" w:rsidRPr="008D47FA">
        <w:rPr>
          <w:lang w:val="fr-CH"/>
        </w:rPr>
        <w:t>M</w:t>
      </w:r>
      <w:r w:rsidRPr="008D47FA">
        <w:rPr>
          <w:lang w:val="fr-CH"/>
        </w:rPr>
        <w:t>embre des Secteurs de l</w:t>
      </w:r>
      <w:r>
        <w:rPr>
          <w:lang w:val="fr-CH"/>
        </w:rPr>
        <w:t>'</w:t>
      </w:r>
      <w:r w:rsidRPr="008D47FA">
        <w:rPr>
          <w:lang w:val="fr-CH"/>
        </w:rPr>
        <w:t>UIT-T et de l</w:t>
      </w:r>
      <w:r>
        <w:rPr>
          <w:lang w:val="fr-CH"/>
        </w:rPr>
        <w:t>'</w:t>
      </w:r>
      <w:r w:rsidRPr="008D47FA">
        <w:rPr>
          <w:lang w:val="fr-CH"/>
        </w:rPr>
        <w:t xml:space="preserve">UIT-D (Portugal Telecom) et les régulateurs suivants </w:t>
      </w:r>
      <w:r>
        <w:rPr>
          <w:lang w:val="fr-CH"/>
        </w:rPr>
        <w:t>des E</w:t>
      </w:r>
      <w:r w:rsidRPr="008D47FA">
        <w:rPr>
          <w:lang w:val="fr-CH"/>
        </w:rPr>
        <w:t>tats Membres de l</w:t>
      </w:r>
      <w:r>
        <w:rPr>
          <w:lang w:val="fr-CH"/>
        </w:rPr>
        <w:t>'</w:t>
      </w:r>
      <w:r w:rsidRPr="008D47FA">
        <w:rPr>
          <w:lang w:val="fr-CH"/>
        </w:rPr>
        <w:t xml:space="preserve">UIT: </w:t>
      </w:r>
      <w:r w:rsidRPr="008D47FA">
        <w:rPr>
          <w:bCs/>
          <w:i/>
          <w:iCs/>
          <w:lang w:val="fr-CH"/>
        </w:rPr>
        <w:t>Autoridade Geral de Regulação</w:t>
      </w:r>
      <w:r w:rsidRPr="008D47FA">
        <w:rPr>
          <w:bCs/>
          <w:lang w:val="fr-CH"/>
        </w:rPr>
        <w:t xml:space="preserve"> (AGER, Sao Tomé-et-Principe), </w:t>
      </w:r>
      <w:r w:rsidRPr="008D47FA">
        <w:rPr>
          <w:bCs/>
          <w:i/>
          <w:iCs/>
          <w:lang w:val="fr-CH"/>
        </w:rPr>
        <w:t>Autoridade Nacional de Comunicações</w:t>
      </w:r>
      <w:r w:rsidRPr="008D47FA">
        <w:rPr>
          <w:bCs/>
          <w:lang w:val="fr-CH"/>
        </w:rPr>
        <w:t xml:space="preserve"> (ANACOM, Portugal), </w:t>
      </w:r>
      <w:r w:rsidRPr="008D47FA">
        <w:rPr>
          <w:bCs/>
          <w:i/>
          <w:iCs/>
          <w:lang w:val="fr-CH"/>
        </w:rPr>
        <w:t>Autoridade Reguladora Nacional das Tecnologias de Informação e Comunicação</w:t>
      </w:r>
      <w:r w:rsidRPr="008D47FA">
        <w:rPr>
          <w:bCs/>
          <w:lang w:val="fr-CH"/>
        </w:rPr>
        <w:t xml:space="preserve"> (ARN-TIC, </w:t>
      </w:r>
      <w:r>
        <w:rPr>
          <w:bCs/>
          <w:lang w:val="fr-CH"/>
        </w:rPr>
        <w:t>Guinée</w:t>
      </w:r>
      <w:r>
        <w:rPr>
          <w:bCs/>
          <w:lang w:val="fr-CH"/>
        </w:rPr>
        <w:noBreakHyphen/>
      </w:r>
      <w:r w:rsidRPr="008D47FA">
        <w:rPr>
          <w:bCs/>
          <w:lang w:val="fr-CH"/>
        </w:rPr>
        <w:t xml:space="preserve">Bissau), </w:t>
      </w:r>
      <w:r w:rsidRPr="008D47FA">
        <w:rPr>
          <w:bCs/>
          <w:i/>
          <w:iCs/>
          <w:lang w:val="fr-CH"/>
        </w:rPr>
        <w:t>Instituto Angolano das Comunicações</w:t>
      </w:r>
      <w:r w:rsidRPr="008D47FA">
        <w:rPr>
          <w:bCs/>
          <w:lang w:val="fr-CH"/>
        </w:rPr>
        <w:t xml:space="preserve"> (INACOM, Angola) et </w:t>
      </w:r>
      <w:r w:rsidRPr="008D47FA">
        <w:rPr>
          <w:bCs/>
          <w:i/>
          <w:iCs/>
          <w:lang w:val="fr-CH"/>
        </w:rPr>
        <w:t>Instituto Nacional das Comunicações de Moçambique</w:t>
      </w:r>
      <w:r w:rsidRPr="008D47FA">
        <w:rPr>
          <w:bCs/>
          <w:lang w:val="fr-CH"/>
        </w:rPr>
        <w:t xml:space="preserve"> (INCM, Mozambique).</w:t>
      </w:r>
    </w:p>
    <w:p w14:paraId="5681DD0B" w14:textId="77777777" w:rsidR="00D478CE" w:rsidRPr="00063794" w:rsidRDefault="00D478CE" w:rsidP="00180F7E">
      <w:pPr>
        <w:spacing w:before="240" w:after="240"/>
        <w:rPr>
          <w:rFonts w:asciiTheme="minorHAnsi" w:hAnsiTheme="minorHAnsi" w:cs="Calibri"/>
          <w:szCs w:val="24"/>
          <w:lang w:val="fr-CH"/>
        </w:rPr>
      </w:pPr>
      <w:r w:rsidRPr="00063794">
        <w:rPr>
          <w:rFonts w:asciiTheme="minorHAnsi" w:hAnsiTheme="minorHAnsi" w:cs="Calibri"/>
          <w:szCs w:val="24"/>
          <w:lang w:val="fr-CH"/>
        </w:rPr>
        <w:br w:type="page"/>
      </w:r>
    </w:p>
    <w:p w14:paraId="1C39E17F" w14:textId="684E97C8" w:rsidR="00517396" w:rsidRPr="008D47FA" w:rsidRDefault="003116CA" w:rsidP="00180F7E">
      <w:pPr>
        <w:spacing w:before="240" w:after="240"/>
        <w:rPr>
          <w:rFonts w:asciiTheme="minorHAnsi" w:hAnsiTheme="minorHAnsi" w:cs="Calibri"/>
          <w:szCs w:val="24"/>
          <w:lang w:val="en-US"/>
        </w:rPr>
      </w:pPr>
      <w:r>
        <w:rPr>
          <w:rFonts w:asciiTheme="minorHAnsi" w:hAnsiTheme="minorHAnsi" w:cs="Calibri"/>
          <w:szCs w:val="24"/>
          <w:lang w:val="en-US"/>
        </w:rPr>
        <w:t>2</w:t>
      </w:r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72"/>
        <w:gridCol w:w="1559"/>
        <w:gridCol w:w="2213"/>
        <w:gridCol w:w="2250"/>
      </w:tblGrid>
      <w:tr w:rsidR="00517396" w:rsidRPr="008D47FA" w14:paraId="2D75F845" w14:textId="77777777" w:rsidTr="00D478CE">
        <w:trPr>
          <w:cantSplit/>
          <w:jc w:val="center"/>
        </w:trPr>
        <w:tc>
          <w:tcPr>
            <w:tcW w:w="3472" w:type="dxa"/>
          </w:tcPr>
          <w:p w14:paraId="738C94C8" w14:textId="77777777" w:rsidR="00517396" w:rsidRPr="008D47FA" w:rsidRDefault="00517396" w:rsidP="00180F7E">
            <w:pPr>
              <w:pStyle w:val="Tablehead"/>
              <w:rPr>
                <w:lang w:val="fr-CH"/>
              </w:rPr>
            </w:pPr>
            <w:r w:rsidRPr="008D47FA">
              <w:rPr>
                <w:lang w:val="fr-CH"/>
              </w:rPr>
              <w:t>Organisation</w:t>
            </w:r>
          </w:p>
        </w:tc>
        <w:tc>
          <w:tcPr>
            <w:tcW w:w="1559" w:type="dxa"/>
          </w:tcPr>
          <w:p w14:paraId="7334C014" w14:textId="77777777" w:rsidR="00517396" w:rsidRPr="008D47FA" w:rsidRDefault="00517396" w:rsidP="00180F7E">
            <w:pPr>
              <w:pStyle w:val="Tablehead"/>
            </w:pPr>
            <w:r w:rsidRPr="008D47FA">
              <w:t>Secteur</w:t>
            </w:r>
          </w:p>
        </w:tc>
        <w:tc>
          <w:tcPr>
            <w:tcW w:w="2213" w:type="dxa"/>
          </w:tcPr>
          <w:p w14:paraId="49B9B02F" w14:textId="77777777" w:rsidR="00517396" w:rsidRPr="008D47FA" w:rsidRDefault="00517396" w:rsidP="00180F7E">
            <w:pPr>
              <w:pStyle w:val="Tablehead"/>
            </w:pPr>
            <w:r w:rsidRPr="008D47FA">
              <w:t>Respecte les critères</w:t>
            </w:r>
          </w:p>
        </w:tc>
        <w:tc>
          <w:tcPr>
            <w:tcW w:w="2250" w:type="dxa"/>
          </w:tcPr>
          <w:p w14:paraId="73A8CAB8" w14:textId="77777777" w:rsidR="00517396" w:rsidRPr="008D47FA" w:rsidRDefault="00517396" w:rsidP="00180F7E">
            <w:pPr>
              <w:pStyle w:val="Tablehead"/>
            </w:pPr>
            <w:r w:rsidRPr="008D47FA">
              <w:t>Recommandation du Secrétaire général</w:t>
            </w:r>
          </w:p>
        </w:tc>
      </w:tr>
      <w:tr w:rsidR="00517396" w:rsidRPr="008D47FA" w14:paraId="5EE1F41F" w14:textId="77777777" w:rsidTr="00D478CE">
        <w:trPr>
          <w:cantSplit/>
          <w:jc w:val="center"/>
        </w:trPr>
        <w:tc>
          <w:tcPr>
            <w:tcW w:w="3472" w:type="dxa"/>
            <w:vAlign w:val="center"/>
          </w:tcPr>
          <w:p w14:paraId="21C2399F" w14:textId="77777777" w:rsidR="00517396" w:rsidRPr="00B741C0" w:rsidRDefault="00517396" w:rsidP="00180F7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APC –</w:t>
            </w:r>
            <w:r w:rsidRPr="00B741C0">
              <w:rPr>
                <w:b/>
                <w:bCs/>
              </w:rPr>
              <w:t xml:space="preserve"> Association pour le progrès des communications </w:t>
            </w:r>
          </w:p>
        </w:tc>
        <w:tc>
          <w:tcPr>
            <w:tcW w:w="1559" w:type="dxa"/>
            <w:vAlign w:val="center"/>
          </w:tcPr>
          <w:p w14:paraId="33295856" w14:textId="77777777" w:rsidR="00517396" w:rsidRDefault="00517396" w:rsidP="00180F7E">
            <w:pPr>
              <w:pStyle w:val="Tabletext"/>
              <w:jc w:val="center"/>
            </w:pPr>
            <w:r w:rsidRPr="008D47FA">
              <w:t>UIT</w:t>
            </w:r>
            <w:r>
              <w:t>-R</w:t>
            </w:r>
          </w:p>
          <w:p w14:paraId="542EB155" w14:textId="77777777" w:rsidR="00517396" w:rsidRPr="008D47FA" w:rsidRDefault="00517396" w:rsidP="00180F7E">
            <w:pPr>
              <w:pStyle w:val="Tabletext"/>
              <w:jc w:val="center"/>
            </w:pPr>
            <w:r w:rsidRPr="008D47FA">
              <w:t>UIT-D</w:t>
            </w:r>
          </w:p>
        </w:tc>
        <w:tc>
          <w:tcPr>
            <w:tcW w:w="2213" w:type="dxa"/>
            <w:vAlign w:val="center"/>
          </w:tcPr>
          <w:p w14:paraId="1E55FEC5" w14:textId="77777777" w:rsidR="00517396" w:rsidRDefault="00517396" w:rsidP="00180F7E">
            <w:pPr>
              <w:pStyle w:val="Tabletext"/>
              <w:jc w:val="center"/>
            </w:pPr>
            <w:r w:rsidRPr="008D47FA">
              <w:t>NON</w:t>
            </w:r>
          </w:p>
          <w:p w14:paraId="641B8CD4" w14:textId="77777777" w:rsidR="00517396" w:rsidRPr="008D47FA" w:rsidRDefault="00517396" w:rsidP="00180F7E">
            <w:pPr>
              <w:pStyle w:val="Tabletext"/>
              <w:jc w:val="center"/>
            </w:pPr>
            <w:r w:rsidRPr="008D47FA">
              <w:t>OUI</w:t>
            </w:r>
          </w:p>
        </w:tc>
        <w:tc>
          <w:tcPr>
            <w:tcW w:w="2250" w:type="dxa"/>
            <w:vAlign w:val="center"/>
          </w:tcPr>
          <w:p w14:paraId="0FF682E0" w14:textId="77777777" w:rsidR="00517396" w:rsidRDefault="00517396" w:rsidP="00180F7E">
            <w:pPr>
              <w:pStyle w:val="Tabletext"/>
              <w:jc w:val="center"/>
            </w:pPr>
            <w:r w:rsidRPr="008D47FA">
              <w:t>NON</w:t>
            </w:r>
          </w:p>
          <w:p w14:paraId="7F078764" w14:textId="77777777" w:rsidR="00517396" w:rsidRPr="008D47FA" w:rsidRDefault="00517396" w:rsidP="00180F7E">
            <w:pPr>
              <w:pStyle w:val="Tabletext"/>
              <w:jc w:val="center"/>
            </w:pPr>
            <w:r w:rsidRPr="008D47FA">
              <w:t>OUI</w:t>
            </w:r>
          </w:p>
        </w:tc>
      </w:tr>
    </w:tbl>
    <w:p w14:paraId="1D5F3F93" w14:textId="77777777" w:rsidR="00517396" w:rsidRPr="008D47FA" w:rsidRDefault="00517396" w:rsidP="00180F7E">
      <w:pPr>
        <w:pStyle w:val="Headingb"/>
        <w:rPr>
          <w:lang w:val="fr-CH"/>
        </w:rPr>
      </w:pPr>
      <w:r w:rsidRPr="008D47FA">
        <w:rPr>
          <w:lang w:val="fr-CH"/>
        </w:rPr>
        <w:t>Observations r</w:t>
      </w:r>
      <w:r>
        <w:rPr>
          <w:lang w:val="fr-CH"/>
        </w:rPr>
        <w:t>elatives aux avantages mutuels</w:t>
      </w:r>
    </w:p>
    <w:p w14:paraId="6A16BCF9" w14:textId="77777777" w:rsidR="00517396" w:rsidRPr="008D47FA" w:rsidRDefault="00517396" w:rsidP="00D478CE">
      <w:pPr>
        <w:rPr>
          <w:lang w:val="fr-CH"/>
        </w:rPr>
      </w:pPr>
      <w:r w:rsidRPr="008D47FA">
        <w:rPr>
          <w:lang w:val="fr-CH"/>
        </w:rPr>
        <w:t>L</w:t>
      </w:r>
      <w:r>
        <w:rPr>
          <w:lang w:val="fr-CH"/>
        </w:rPr>
        <w:t>'</w:t>
      </w:r>
      <w:r w:rsidRPr="008D47FA">
        <w:rPr>
          <w:lang w:val="fr-CH"/>
        </w:rPr>
        <w:t>Association pour le progrès des communications (APC) est un réseau international d</w:t>
      </w:r>
      <w:r>
        <w:rPr>
          <w:lang w:val="fr-CH"/>
        </w:rPr>
        <w:t>'</w:t>
      </w:r>
      <w:r w:rsidRPr="008D47FA">
        <w:rPr>
          <w:lang w:val="fr-CH"/>
        </w:rPr>
        <w:t xml:space="preserve">organisations non gouvernementales (ONG) fondé en 1990, qui </w:t>
      </w:r>
      <w:r>
        <w:rPr>
          <w:lang w:val="fr-CH"/>
        </w:rPr>
        <w:t>regroupait</w:t>
      </w:r>
      <w:r w:rsidRPr="008D47FA">
        <w:rPr>
          <w:lang w:val="fr-CH"/>
        </w:rPr>
        <w:t xml:space="preserve"> initialement sept organisations à but non lucratif: IGC (</w:t>
      </w:r>
      <w:r>
        <w:rPr>
          <w:lang w:val="fr-CH"/>
        </w:rPr>
        <w:t>E</w:t>
      </w:r>
      <w:r w:rsidRPr="008D47FA">
        <w:rPr>
          <w:lang w:val="fr-CH"/>
        </w:rPr>
        <w:t>tats-Unis), GreenNet (Royaume-Uni), NordNet (Suède</w:t>
      </w:r>
      <w:r>
        <w:rPr>
          <w:lang w:val="fr-CH"/>
        </w:rPr>
        <w:t>), Web </w:t>
      </w:r>
      <w:r w:rsidRPr="008D47FA">
        <w:rPr>
          <w:lang w:val="fr-CH"/>
        </w:rPr>
        <w:t>Networks (Canada), IBASE (Brésil), Nicarao/CRIES (Nicaragua) et Pegasus (Australie). Depuis, ce réseau s</w:t>
      </w:r>
      <w:r>
        <w:rPr>
          <w:lang w:val="fr-CH"/>
        </w:rPr>
        <w:t>'</w:t>
      </w:r>
      <w:r w:rsidRPr="008D47FA">
        <w:rPr>
          <w:lang w:val="fr-CH"/>
        </w:rPr>
        <w:t>est élargi et compte aujourd</w:t>
      </w:r>
      <w:r>
        <w:rPr>
          <w:lang w:val="fr-CH"/>
        </w:rPr>
        <w:t>'</w:t>
      </w:r>
      <w:r w:rsidRPr="008D47FA">
        <w:rPr>
          <w:lang w:val="fr-CH"/>
        </w:rPr>
        <w:t>hui 48 membres de 35</w:t>
      </w:r>
      <w:r>
        <w:rPr>
          <w:lang w:val="fr-CH"/>
        </w:rPr>
        <w:t xml:space="preserve"> pays, dont 12 membres sont des </w:t>
      </w:r>
      <w:r w:rsidRPr="008D47FA">
        <w:rPr>
          <w:lang w:val="fr-CH"/>
        </w:rPr>
        <w:t xml:space="preserve">ONG africaines. Ses activités sont axées sur </w:t>
      </w:r>
      <w:r>
        <w:rPr>
          <w:lang w:val="fr-CH"/>
        </w:rPr>
        <w:t xml:space="preserve">des études et des actions de sensibilisation </w:t>
      </w:r>
      <w:r w:rsidRPr="008D47FA">
        <w:rPr>
          <w:lang w:val="fr-CH"/>
        </w:rPr>
        <w:t>concernant des questions liées à l</w:t>
      </w:r>
      <w:r>
        <w:rPr>
          <w:lang w:val="fr-CH"/>
        </w:rPr>
        <w:t>'</w:t>
      </w:r>
      <w:r w:rsidRPr="008D47FA">
        <w:rPr>
          <w:lang w:val="fr-CH"/>
        </w:rPr>
        <w:t>utilisation de l</w:t>
      </w:r>
      <w:r>
        <w:rPr>
          <w:lang w:val="fr-CH"/>
        </w:rPr>
        <w:t>'</w:t>
      </w:r>
      <w:r w:rsidRPr="008D47FA">
        <w:rPr>
          <w:lang w:val="fr-CH"/>
        </w:rPr>
        <w:t xml:space="preserve">Internet et aux intérêts de la société civile. </w:t>
      </w:r>
      <w:r>
        <w:rPr>
          <w:lang w:val="fr-CH"/>
        </w:rPr>
        <w:t>A ce </w:t>
      </w:r>
      <w:r w:rsidRPr="008D47FA">
        <w:rPr>
          <w:lang w:val="fr-CH"/>
        </w:rPr>
        <w:t xml:space="preserve">titre, ses membres mènent des </w:t>
      </w:r>
      <w:r>
        <w:rPr>
          <w:lang w:val="fr-CH"/>
        </w:rPr>
        <w:t>études</w:t>
      </w:r>
      <w:r w:rsidRPr="008D47FA">
        <w:rPr>
          <w:lang w:val="fr-CH"/>
        </w:rPr>
        <w:t xml:space="preserve"> sur des questions de télécommunication telles que la gestion des fréquences ou l</w:t>
      </w:r>
      <w:r>
        <w:rPr>
          <w:lang w:val="fr-CH"/>
        </w:rPr>
        <w:t>'</w:t>
      </w:r>
      <w:r w:rsidRPr="008D47FA">
        <w:rPr>
          <w:lang w:val="fr-CH"/>
        </w:rPr>
        <w:t>accès universel.</w:t>
      </w:r>
    </w:p>
    <w:p w14:paraId="055C7CBE" w14:textId="77777777" w:rsidR="00517396" w:rsidRPr="008D47FA" w:rsidRDefault="00517396" w:rsidP="00180F7E">
      <w:pPr>
        <w:rPr>
          <w:szCs w:val="22"/>
          <w:lang w:val="fr-CH"/>
        </w:rPr>
      </w:pPr>
      <w:r w:rsidRPr="008D47FA">
        <w:rPr>
          <w:lang w:val="fr-CH"/>
        </w:rPr>
        <w:t xml:space="preserve">Les documents et les connaissances accumulés dans le cadre des </w:t>
      </w:r>
      <w:r>
        <w:rPr>
          <w:lang w:val="fr-CH"/>
        </w:rPr>
        <w:t xml:space="preserve">études réalisées par </w:t>
      </w:r>
      <w:r w:rsidRPr="008D47FA">
        <w:rPr>
          <w:lang w:val="fr-CH"/>
        </w:rPr>
        <w:t>l</w:t>
      </w:r>
      <w:r>
        <w:rPr>
          <w:lang w:val="fr-CH"/>
        </w:rPr>
        <w:t>'</w:t>
      </w:r>
      <w:r w:rsidRPr="008D47FA">
        <w:rPr>
          <w:lang w:val="fr-CH"/>
        </w:rPr>
        <w:t>APC concernant le point de vue de la société civile sur des questions liées au développement des TIC pourraient être utiles pour les commissions d</w:t>
      </w:r>
      <w:r>
        <w:rPr>
          <w:lang w:val="fr-CH"/>
        </w:rPr>
        <w:t>'</w:t>
      </w:r>
      <w:r w:rsidRPr="008D47FA">
        <w:rPr>
          <w:lang w:val="fr-CH"/>
        </w:rPr>
        <w:t>études et les conférences de l</w:t>
      </w:r>
      <w:r>
        <w:rPr>
          <w:lang w:val="fr-CH"/>
        </w:rPr>
        <w:t>'</w:t>
      </w:r>
      <w:r w:rsidRPr="008D47FA">
        <w:rPr>
          <w:lang w:val="fr-CH"/>
        </w:rPr>
        <w:t>UIT et, de manière générale, pour les travaux menés par l</w:t>
      </w:r>
      <w:r>
        <w:rPr>
          <w:lang w:val="fr-CH"/>
        </w:rPr>
        <w:t>'</w:t>
      </w:r>
      <w:r w:rsidRPr="008D47FA">
        <w:rPr>
          <w:lang w:val="fr-CH"/>
        </w:rPr>
        <w:t>Union en matière de développement. L</w:t>
      </w:r>
      <w:r>
        <w:rPr>
          <w:lang w:val="fr-CH"/>
        </w:rPr>
        <w:t>'</w:t>
      </w:r>
      <w:r w:rsidRPr="008D47FA">
        <w:rPr>
          <w:lang w:val="fr-CH"/>
        </w:rPr>
        <w:t xml:space="preserve">APC a proposé de partager les documents issus de ses </w:t>
      </w:r>
      <w:r>
        <w:rPr>
          <w:lang w:val="fr-CH"/>
        </w:rPr>
        <w:t xml:space="preserve">études </w:t>
      </w:r>
      <w:r w:rsidRPr="008D47FA">
        <w:rPr>
          <w:lang w:val="fr-CH"/>
        </w:rPr>
        <w:t>qui pourraient présenter un intérêt pour l</w:t>
      </w:r>
      <w:r>
        <w:rPr>
          <w:lang w:val="fr-CH"/>
        </w:rPr>
        <w:t>'</w:t>
      </w:r>
      <w:r w:rsidRPr="008D47FA">
        <w:rPr>
          <w:lang w:val="fr-CH"/>
        </w:rPr>
        <w:t>UIT.</w:t>
      </w:r>
    </w:p>
    <w:p w14:paraId="482A4829" w14:textId="77777777" w:rsidR="00517396" w:rsidRPr="008D47FA" w:rsidRDefault="00517396" w:rsidP="00180F7E">
      <w:pPr>
        <w:rPr>
          <w:szCs w:val="22"/>
          <w:lang w:val="fr-CH"/>
        </w:rPr>
      </w:pPr>
      <w:r w:rsidRPr="008D47FA">
        <w:rPr>
          <w:szCs w:val="22"/>
          <w:lang w:val="fr-CH"/>
        </w:rPr>
        <w:t>Les travaux de cette organisation sont principalement liés au domaine d</w:t>
      </w:r>
      <w:r>
        <w:rPr>
          <w:szCs w:val="22"/>
          <w:lang w:val="fr-CH"/>
        </w:rPr>
        <w:t>'</w:t>
      </w:r>
      <w:r w:rsidRPr="008D47FA">
        <w:rPr>
          <w:szCs w:val="22"/>
          <w:lang w:val="fr-CH"/>
        </w:rPr>
        <w:t>activité de</w:t>
      </w:r>
      <w:r>
        <w:rPr>
          <w:szCs w:val="22"/>
          <w:lang w:val="fr-CH"/>
        </w:rPr>
        <w:t xml:space="preserve"> l'UIT</w:t>
      </w:r>
      <w:r>
        <w:rPr>
          <w:szCs w:val="22"/>
          <w:lang w:val="fr-CH"/>
        </w:rPr>
        <w:noBreakHyphen/>
      </w:r>
      <w:r w:rsidRPr="008D47FA">
        <w:rPr>
          <w:szCs w:val="22"/>
          <w:lang w:val="fr-CH"/>
        </w:rPr>
        <w:t>D. Aucune information ne montre que des activités ont porté sur la radiodiffusion, le spectre, les satellites ou tout autre thème relevant de l</w:t>
      </w:r>
      <w:r>
        <w:rPr>
          <w:szCs w:val="22"/>
          <w:lang w:val="fr-CH"/>
        </w:rPr>
        <w:t>'</w:t>
      </w:r>
      <w:r w:rsidRPr="008D47FA">
        <w:rPr>
          <w:szCs w:val="22"/>
          <w:lang w:val="fr-CH"/>
        </w:rPr>
        <w:t>UIT-R.</w:t>
      </w:r>
    </w:p>
    <w:p w14:paraId="191F1D25" w14:textId="77777777" w:rsidR="00517396" w:rsidRPr="008D47FA" w:rsidRDefault="00517396" w:rsidP="00180F7E">
      <w:pPr>
        <w:spacing w:before="360" w:after="240"/>
        <w:rPr>
          <w:rFonts w:asciiTheme="minorHAnsi" w:hAnsiTheme="minorHAnsi" w:cs="Calibri"/>
          <w:szCs w:val="24"/>
          <w:lang w:val="en-US"/>
        </w:rPr>
      </w:pPr>
      <w:r w:rsidRPr="008D47FA">
        <w:rPr>
          <w:rFonts w:asciiTheme="minorHAnsi" w:hAnsiTheme="minorHAnsi" w:cs="Calibri"/>
          <w:szCs w:val="24"/>
          <w:lang w:val="en-US"/>
        </w:rPr>
        <w:t>3</w:t>
      </w:r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72"/>
        <w:gridCol w:w="1559"/>
        <w:gridCol w:w="2213"/>
        <w:gridCol w:w="2250"/>
      </w:tblGrid>
      <w:tr w:rsidR="00517396" w:rsidRPr="008D47FA" w14:paraId="5C4B6D07" w14:textId="77777777" w:rsidTr="00D478CE">
        <w:trPr>
          <w:cantSplit/>
          <w:jc w:val="center"/>
        </w:trPr>
        <w:tc>
          <w:tcPr>
            <w:tcW w:w="3472" w:type="dxa"/>
          </w:tcPr>
          <w:p w14:paraId="59ADDC85" w14:textId="77777777" w:rsidR="00517396" w:rsidRPr="008D47FA" w:rsidRDefault="00517396" w:rsidP="00180F7E">
            <w:pPr>
              <w:pStyle w:val="Tablehead"/>
              <w:rPr>
                <w:lang w:val="fr-CH"/>
              </w:rPr>
            </w:pPr>
            <w:r w:rsidRPr="008D47FA">
              <w:rPr>
                <w:lang w:val="fr-CH"/>
              </w:rPr>
              <w:t>Organisation</w:t>
            </w:r>
          </w:p>
        </w:tc>
        <w:tc>
          <w:tcPr>
            <w:tcW w:w="1559" w:type="dxa"/>
          </w:tcPr>
          <w:p w14:paraId="7DF1D07A" w14:textId="77777777" w:rsidR="00517396" w:rsidRPr="008D47FA" w:rsidRDefault="00517396" w:rsidP="00180F7E">
            <w:pPr>
              <w:pStyle w:val="Tablehead"/>
            </w:pPr>
            <w:r w:rsidRPr="008D47FA">
              <w:t>Secteur</w:t>
            </w:r>
          </w:p>
        </w:tc>
        <w:tc>
          <w:tcPr>
            <w:tcW w:w="2213" w:type="dxa"/>
          </w:tcPr>
          <w:p w14:paraId="40D7C351" w14:textId="77777777" w:rsidR="00517396" w:rsidRPr="008D47FA" w:rsidRDefault="00517396" w:rsidP="00180F7E">
            <w:pPr>
              <w:pStyle w:val="Tablehead"/>
            </w:pPr>
            <w:r w:rsidRPr="008D47FA">
              <w:t>Respecte les critères</w:t>
            </w:r>
          </w:p>
        </w:tc>
        <w:tc>
          <w:tcPr>
            <w:tcW w:w="2250" w:type="dxa"/>
          </w:tcPr>
          <w:p w14:paraId="306CE2F4" w14:textId="77777777" w:rsidR="00517396" w:rsidRPr="008D47FA" w:rsidRDefault="00517396" w:rsidP="00180F7E">
            <w:pPr>
              <w:pStyle w:val="Tablehead"/>
            </w:pPr>
            <w:r w:rsidRPr="008D47FA">
              <w:t>Recommandation du Secrétaire général</w:t>
            </w:r>
          </w:p>
        </w:tc>
      </w:tr>
      <w:tr w:rsidR="00517396" w:rsidRPr="008D47FA" w14:paraId="06250109" w14:textId="77777777" w:rsidTr="00D478CE">
        <w:trPr>
          <w:cantSplit/>
          <w:jc w:val="center"/>
        </w:trPr>
        <w:tc>
          <w:tcPr>
            <w:tcW w:w="3472" w:type="dxa"/>
            <w:vAlign w:val="center"/>
          </w:tcPr>
          <w:p w14:paraId="54A27CD5" w14:textId="77777777" w:rsidR="00517396" w:rsidRPr="00B741C0" w:rsidRDefault="00517396" w:rsidP="00180F7E">
            <w:pPr>
              <w:pStyle w:val="Tabletext"/>
              <w:rPr>
                <w:b/>
                <w:bCs/>
                <w:iCs/>
                <w:szCs w:val="24"/>
              </w:rPr>
            </w:pPr>
            <w:r w:rsidRPr="00B741C0">
              <w:rPr>
                <w:b/>
                <w:bCs/>
              </w:rPr>
              <w:t xml:space="preserve">ATIS </w:t>
            </w:r>
            <w:r>
              <w:rPr>
                <w:b/>
                <w:bCs/>
              </w:rPr>
              <w:t>–</w:t>
            </w:r>
            <w:r w:rsidRPr="00B741C0">
              <w:rPr>
                <w:b/>
                <w:bCs/>
              </w:rPr>
              <w:t xml:space="preserve"> Alliance for Telecommunications Industry Solutions</w:t>
            </w:r>
          </w:p>
        </w:tc>
        <w:tc>
          <w:tcPr>
            <w:tcW w:w="1559" w:type="dxa"/>
            <w:vAlign w:val="center"/>
          </w:tcPr>
          <w:p w14:paraId="789BE8AB" w14:textId="77777777" w:rsidR="00517396" w:rsidRPr="008D47FA" w:rsidRDefault="00517396" w:rsidP="00180F7E">
            <w:pPr>
              <w:pStyle w:val="Tabletext"/>
              <w:jc w:val="center"/>
              <w:rPr>
                <w:szCs w:val="24"/>
                <w:lang w:val="fr-CH"/>
              </w:rPr>
            </w:pPr>
            <w:r w:rsidRPr="008D47FA">
              <w:rPr>
                <w:szCs w:val="24"/>
                <w:lang w:val="fr-CH"/>
              </w:rPr>
              <w:t>UIT-R</w:t>
            </w:r>
            <w:r w:rsidRPr="008D47FA">
              <w:rPr>
                <w:szCs w:val="24"/>
                <w:lang w:val="fr-CH"/>
              </w:rPr>
              <w:br/>
              <w:t>UIT-T</w:t>
            </w:r>
          </w:p>
        </w:tc>
        <w:tc>
          <w:tcPr>
            <w:tcW w:w="2213" w:type="dxa"/>
            <w:vAlign w:val="center"/>
          </w:tcPr>
          <w:p w14:paraId="1039DA8A" w14:textId="77777777" w:rsidR="00517396" w:rsidRPr="00D478CE" w:rsidRDefault="00517396" w:rsidP="00435D55">
            <w:pPr>
              <w:pStyle w:val="Tabletext"/>
              <w:rPr>
                <w:szCs w:val="24"/>
                <w:lang w:val="fr-CH"/>
              </w:rPr>
            </w:pPr>
            <w:r w:rsidRPr="00D478CE">
              <w:rPr>
                <w:szCs w:val="24"/>
                <w:lang w:val="fr-CH"/>
              </w:rPr>
              <w:t>Examiner dans le cadre de l'examen des critères par le Conseil</w:t>
            </w:r>
          </w:p>
        </w:tc>
        <w:tc>
          <w:tcPr>
            <w:tcW w:w="2250" w:type="dxa"/>
            <w:vAlign w:val="center"/>
          </w:tcPr>
          <w:p w14:paraId="1681A1B3" w14:textId="77777777" w:rsidR="00517396" w:rsidRPr="00D478CE" w:rsidRDefault="00517396" w:rsidP="00435D55">
            <w:pPr>
              <w:pStyle w:val="Tabletext"/>
              <w:rPr>
                <w:szCs w:val="24"/>
                <w:lang w:val="fr-CH"/>
              </w:rPr>
            </w:pPr>
            <w:r w:rsidRPr="00D478CE">
              <w:rPr>
                <w:szCs w:val="24"/>
                <w:lang w:val="fr-CH"/>
              </w:rPr>
              <w:t>Examiner dans le cadre de l'examen des critères par le Conseil</w:t>
            </w:r>
          </w:p>
        </w:tc>
      </w:tr>
    </w:tbl>
    <w:p w14:paraId="54A561CD" w14:textId="77777777" w:rsidR="00517396" w:rsidRPr="008D47FA" w:rsidRDefault="00517396" w:rsidP="00180F7E">
      <w:pPr>
        <w:pStyle w:val="Headingb"/>
        <w:spacing w:before="240"/>
        <w:rPr>
          <w:lang w:val="fr-CH"/>
        </w:rPr>
      </w:pPr>
      <w:r w:rsidRPr="008D47FA">
        <w:rPr>
          <w:lang w:val="fr-CH"/>
        </w:rPr>
        <w:t>Observations r</w:t>
      </w:r>
      <w:r>
        <w:rPr>
          <w:lang w:val="fr-CH"/>
        </w:rPr>
        <w:t>elatives aux avantages mutuels</w:t>
      </w:r>
    </w:p>
    <w:p w14:paraId="67A5E3C4" w14:textId="77777777" w:rsidR="00517396" w:rsidRPr="008D47FA" w:rsidRDefault="00517396" w:rsidP="00180F7E">
      <w:pPr>
        <w:rPr>
          <w:lang w:val="fr-CH"/>
        </w:rPr>
      </w:pPr>
      <w:r w:rsidRPr="008D47FA">
        <w:rPr>
          <w:lang w:val="fr-CH"/>
        </w:rPr>
        <w:t>L</w:t>
      </w:r>
      <w:r>
        <w:rPr>
          <w:lang w:val="fr-CH"/>
        </w:rPr>
        <w:t>'</w:t>
      </w:r>
      <w:r w:rsidRPr="008D47FA">
        <w:rPr>
          <w:i/>
          <w:iCs/>
          <w:lang w:val="fr-CH"/>
        </w:rPr>
        <w:t xml:space="preserve">Alliance for Telecommunications Industry Solutions </w:t>
      </w:r>
      <w:r w:rsidRPr="008D47FA">
        <w:rPr>
          <w:lang w:val="fr-CH"/>
        </w:rPr>
        <w:t>(ATIS), membre actuel des Secteurs de l</w:t>
      </w:r>
      <w:r>
        <w:rPr>
          <w:lang w:val="fr-CH"/>
        </w:rPr>
        <w:t>'</w:t>
      </w:r>
      <w:r w:rsidRPr="008D47FA">
        <w:rPr>
          <w:lang w:val="fr-CH"/>
        </w:rPr>
        <w:t>UIT</w:t>
      </w:r>
      <w:r>
        <w:rPr>
          <w:lang w:val="fr-CH"/>
        </w:rPr>
        <w:noBreakHyphen/>
      </w:r>
      <w:r w:rsidRPr="008D47FA">
        <w:rPr>
          <w:lang w:val="fr-CH"/>
        </w:rPr>
        <w:t>T et de l</w:t>
      </w:r>
      <w:r>
        <w:rPr>
          <w:lang w:val="fr-CH"/>
        </w:rPr>
        <w:t>'</w:t>
      </w:r>
      <w:r w:rsidRPr="008D47FA">
        <w:rPr>
          <w:lang w:val="fr-CH"/>
        </w:rPr>
        <w:t xml:space="preserve">UIT-R, est une organisation à but non lucratif constituée en vertu du droit </w:t>
      </w:r>
      <w:r>
        <w:rPr>
          <w:lang w:val="fr-CH"/>
        </w:rPr>
        <w:t>des E</w:t>
      </w:r>
      <w:r w:rsidRPr="008D47FA">
        <w:rPr>
          <w:lang w:val="fr-CH"/>
        </w:rPr>
        <w:t>tats-Unis (accréditée par l</w:t>
      </w:r>
      <w:r>
        <w:rPr>
          <w:lang w:val="fr-CH"/>
        </w:rPr>
        <w:t>'</w:t>
      </w:r>
      <w:r w:rsidRPr="008D47FA">
        <w:rPr>
          <w:lang w:val="fr-CH"/>
        </w:rPr>
        <w:t>Institut national américain de normalisation, ANSI), qui élabore des normes techniques et</w:t>
      </w:r>
      <w:r>
        <w:rPr>
          <w:lang w:val="fr-CH"/>
        </w:rPr>
        <w:t xml:space="preserve"> </w:t>
      </w:r>
      <w:r w:rsidRPr="008D47FA">
        <w:rPr>
          <w:lang w:val="fr-CH"/>
        </w:rPr>
        <w:t>opérationnelles et des solutions pour le secteur des TIC. L</w:t>
      </w:r>
      <w:r>
        <w:rPr>
          <w:lang w:val="fr-CH"/>
        </w:rPr>
        <w:t>'</w:t>
      </w:r>
      <w:r w:rsidRPr="008D47FA">
        <w:rPr>
          <w:lang w:val="fr-CH"/>
        </w:rPr>
        <w:t>ATIS est l</w:t>
      </w:r>
      <w:r>
        <w:rPr>
          <w:lang w:val="fr-CH"/>
        </w:rPr>
        <w:t>'</w:t>
      </w:r>
      <w:r w:rsidRPr="008D47FA">
        <w:rPr>
          <w:lang w:val="fr-CH"/>
        </w:rPr>
        <w:t>organisation partenaire nord-américaine du projet 3GPP, l</w:t>
      </w:r>
      <w:r>
        <w:rPr>
          <w:lang w:val="fr-CH"/>
        </w:rPr>
        <w:t>'</w:t>
      </w:r>
      <w:r w:rsidRPr="008D47FA">
        <w:rPr>
          <w:lang w:val="fr-CH"/>
        </w:rPr>
        <w:t>un des partenaires fondateurs de oneM2M et</w:t>
      </w:r>
      <w:r>
        <w:rPr>
          <w:lang w:val="fr-CH"/>
        </w:rPr>
        <w:t xml:space="preserve"> membre des </w:t>
      </w:r>
      <w:r w:rsidRPr="008D47FA">
        <w:rPr>
          <w:lang w:val="fr-CH"/>
        </w:rPr>
        <w:t>Secteurs des télécommunications et des radiocommunications de l</w:t>
      </w:r>
      <w:r>
        <w:rPr>
          <w:lang w:val="fr-CH"/>
        </w:rPr>
        <w:t>'</w:t>
      </w:r>
      <w:r w:rsidRPr="008D47FA">
        <w:rPr>
          <w:lang w:val="fr-CH"/>
        </w:rPr>
        <w:t xml:space="preserve">UIT </w:t>
      </w:r>
      <w:r>
        <w:rPr>
          <w:lang w:val="fr-CH"/>
        </w:rPr>
        <w:t xml:space="preserve">et est, à ce titre, l'entité des Etats-Unis qui leur verse la contribution la plus importante. Elle est également </w:t>
      </w:r>
      <w:r w:rsidRPr="008D47FA">
        <w:rPr>
          <w:lang w:val="fr-CH"/>
        </w:rPr>
        <w:t>membre de la CITEL.</w:t>
      </w:r>
    </w:p>
    <w:p w14:paraId="621FBE6D" w14:textId="77777777" w:rsidR="00517396" w:rsidRPr="008D47FA" w:rsidRDefault="00517396" w:rsidP="00180F7E">
      <w:pPr>
        <w:rPr>
          <w:lang w:val="fr-CH"/>
        </w:rPr>
      </w:pPr>
      <w:r w:rsidRPr="008D47FA">
        <w:rPr>
          <w:lang w:val="fr-CH"/>
        </w:rPr>
        <w:t>L</w:t>
      </w:r>
      <w:r>
        <w:rPr>
          <w:lang w:val="fr-CH"/>
        </w:rPr>
        <w:t>'</w:t>
      </w:r>
      <w:r w:rsidRPr="008D47FA">
        <w:rPr>
          <w:lang w:val="fr-CH"/>
        </w:rPr>
        <w:t>organisation compte plus de 250 entités membres, qui comprennent des fournisseurs de services hertziens et de services filaires, des fabricants d</w:t>
      </w:r>
      <w:r>
        <w:rPr>
          <w:lang w:val="fr-CH"/>
        </w:rPr>
        <w:t>'</w:t>
      </w:r>
      <w:r w:rsidRPr="008D47FA">
        <w:rPr>
          <w:lang w:val="fr-CH"/>
        </w:rPr>
        <w:t>équipements, des fournisseurs de large bande, des concepteurs de logiciels, des entreprises du secteur de l</w:t>
      </w:r>
      <w:r>
        <w:rPr>
          <w:lang w:val="fr-CH"/>
        </w:rPr>
        <w:t>'</w:t>
      </w:r>
      <w:r w:rsidRPr="008D47FA">
        <w:rPr>
          <w:lang w:val="fr-CH"/>
        </w:rPr>
        <w:t>électronique grand public, les organismes chargés de la sécurité publique</w:t>
      </w:r>
      <w:r>
        <w:rPr>
          <w:lang w:val="fr-CH"/>
        </w:rPr>
        <w:t xml:space="preserve"> aux E</w:t>
      </w:r>
      <w:r w:rsidRPr="008D47FA">
        <w:rPr>
          <w:lang w:val="fr-CH"/>
        </w:rPr>
        <w:t>tats-Unis et au Canada, des entreprises de gestion des droits numériques et des fournisseurs de services Internet.</w:t>
      </w:r>
    </w:p>
    <w:p w14:paraId="76D94ED6" w14:textId="77777777" w:rsidR="00517396" w:rsidRPr="008D47FA" w:rsidRDefault="00517396" w:rsidP="00180F7E">
      <w:pPr>
        <w:keepNext/>
        <w:keepLines/>
        <w:rPr>
          <w:rFonts w:cs="Calibri"/>
          <w:lang w:val="fr-CH"/>
        </w:rPr>
      </w:pPr>
      <w:r w:rsidRPr="008D47FA">
        <w:rPr>
          <w:rFonts w:cs="Calibri"/>
          <w:lang w:val="fr-CH"/>
        </w:rPr>
        <w:t>L</w:t>
      </w:r>
      <w:r>
        <w:rPr>
          <w:rFonts w:cs="Calibri"/>
          <w:lang w:val="fr-CH"/>
        </w:rPr>
        <w:t>'</w:t>
      </w:r>
      <w:r w:rsidRPr="008D47FA">
        <w:rPr>
          <w:rFonts w:cs="Calibri"/>
          <w:lang w:val="fr-CH"/>
        </w:rPr>
        <w:t>ATIS est composée d</w:t>
      </w:r>
      <w:r>
        <w:rPr>
          <w:rFonts w:cs="Calibri"/>
          <w:lang w:val="fr-CH"/>
        </w:rPr>
        <w:t>'</w:t>
      </w:r>
      <w:r w:rsidRPr="008D47FA">
        <w:rPr>
          <w:rFonts w:cs="Calibri"/>
          <w:lang w:val="fr-CH"/>
        </w:rPr>
        <w:t xml:space="preserve">entités régionales et internationales, y compris </w:t>
      </w:r>
      <w:r>
        <w:rPr>
          <w:rFonts w:cs="Calibri"/>
          <w:lang w:val="fr-CH"/>
        </w:rPr>
        <w:t>d</w:t>
      </w:r>
      <w:r w:rsidRPr="008D47FA">
        <w:rPr>
          <w:rFonts w:cs="Calibri"/>
          <w:lang w:val="fr-CH"/>
        </w:rPr>
        <w:t xml:space="preserve">es parties prenantes </w:t>
      </w:r>
      <w:r>
        <w:rPr>
          <w:rFonts w:cs="Calibri"/>
          <w:lang w:val="fr-CH"/>
        </w:rPr>
        <w:t xml:space="preserve">de premier plan </w:t>
      </w:r>
      <w:r w:rsidRPr="008D47FA">
        <w:rPr>
          <w:rFonts w:cs="Calibri"/>
          <w:lang w:val="fr-CH"/>
        </w:rPr>
        <w:t>du secteur des TIC (</w:t>
      </w:r>
      <w:r w:rsidRPr="008D47FA">
        <w:rPr>
          <w:lang w:val="fr-CH"/>
        </w:rPr>
        <w:t>fournisseurs de services hertziens et de services filaires, fabricants d</w:t>
      </w:r>
      <w:r>
        <w:rPr>
          <w:lang w:val="fr-CH"/>
        </w:rPr>
        <w:t>'</w:t>
      </w:r>
      <w:r w:rsidRPr="008D47FA">
        <w:rPr>
          <w:lang w:val="fr-CH"/>
        </w:rPr>
        <w:t>équipements, fournisseurs de large bande, concepteurs de logiciels, entreprises du secteur de l</w:t>
      </w:r>
      <w:r>
        <w:rPr>
          <w:lang w:val="fr-CH"/>
        </w:rPr>
        <w:t>'</w:t>
      </w:r>
      <w:r w:rsidRPr="008D47FA">
        <w:rPr>
          <w:lang w:val="fr-CH"/>
        </w:rPr>
        <w:t xml:space="preserve">électronique grand public, organismes chargés de la sécurité publique </w:t>
      </w:r>
      <w:r>
        <w:rPr>
          <w:lang w:val="fr-CH"/>
        </w:rPr>
        <w:t>aux Etats</w:t>
      </w:r>
      <w:r>
        <w:rPr>
          <w:lang w:val="fr-CH"/>
        </w:rPr>
        <w:noBreakHyphen/>
      </w:r>
      <w:r w:rsidRPr="008D47FA">
        <w:rPr>
          <w:lang w:val="fr-CH"/>
        </w:rPr>
        <w:t>Unis et au Canada, entreprises de gestion des droits numériques et fournisseurs de services Internet).</w:t>
      </w:r>
    </w:p>
    <w:p w14:paraId="09B24F86" w14:textId="77777777" w:rsidR="00517396" w:rsidRPr="008D47FA" w:rsidRDefault="00517396" w:rsidP="00180F7E">
      <w:pPr>
        <w:rPr>
          <w:lang w:val="fr-CH" w:eastAsia="zh-CN"/>
        </w:rPr>
      </w:pPr>
      <w:r w:rsidRPr="008D47FA">
        <w:rPr>
          <w:lang w:val="fr-CH" w:eastAsia="zh-CN"/>
        </w:rPr>
        <w:t>L</w:t>
      </w:r>
      <w:r>
        <w:rPr>
          <w:lang w:val="fr-CH" w:eastAsia="zh-CN"/>
        </w:rPr>
        <w:t>'</w:t>
      </w:r>
      <w:r w:rsidRPr="008D47FA">
        <w:rPr>
          <w:lang w:val="fr-CH" w:eastAsia="zh-CN"/>
        </w:rPr>
        <w:t xml:space="preserve">ATIS </w:t>
      </w:r>
      <w:r>
        <w:rPr>
          <w:lang w:val="fr-CH" w:eastAsia="zh-CN"/>
        </w:rPr>
        <w:t xml:space="preserve">est </w:t>
      </w:r>
      <w:r w:rsidRPr="008D47FA">
        <w:rPr>
          <w:lang w:val="fr-CH" w:eastAsia="zh-CN"/>
        </w:rPr>
        <w:t xml:space="preserve">actuellement </w:t>
      </w:r>
      <w:r>
        <w:rPr>
          <w:lang w:val="fr-CH" w:eastAsia="zh-CN"/>
        </w:rPr>
        <w:t xml:space="preserve">un </w:t>
      </w:r>
      <w:r w:rsidRPr="008D47FA">
        <w:rPr>
          <w:lang w:val="fr-CH" w:eastAsia="zh-CN"/>
        </w:rPr>
        <w:t>membre de l</w:t>
      </w:r>
      <w:r>
        <w:rPr>
          <w:lang w:val="fr-CH" w:eastAsia="zh-CN"/>
        </w:rPr>
        <w:t>'</w:t>
      </w:r>
      <w:r w:rsidRPr="008D47FA">
        <w:rPr>
          <w:lang w:val="fr-CH" w:eastAsia="zh-CN"/>
        </w:rPr>
        <w:t>UIT-R et de l</w:t>
      </w:r>
      <w:r>
        <w:rPr>
          <w:lang w:val="fr-CH" w:eastAsia="zh-CN"/>
        </w:rPr>
        <w:t>'</w:t>
      </w:r>
      <w:r w:rsidRPr="008D47FA">
        <w:rPr>
          <w:lang w:val="fr-CH" w:eastAsia="zh-CN"/>
        </w:rPr>
        <w:t>UIT-T</w:t>
      </w:r>
      <w:r>
        <w:rPr>
          <w:lang w:val="fr-CH" w:eastAsia="zh-CN"/>
        </w:rPr>
        <w:t xml:space="preserve"> qui acquitte des contributions. I</w:t>
      </w:r>
      <w:r w:rsidRPr="008D47FA">
        <w:rPr>
          <w:lang w:val="fr-CH" w:eastAsia="zh-CN"/>
        </w:rPr>
        <w:t>l conviendrait de poursuivre l</w:t>
      </w:r>
      <w:r>
        <w:rPr>
          <w:lang w:val="fr-CH" w:eastAsia="zh-CN"/>
        </w:rPr>
        <w:t xml:space="preserve">'examen de cette </w:t>
      </w:r>
      <w:r w:rsidRPr="00857FDC">
        <w:t>demande</w:t>
      </w:r>
      <w:r>
        <w:t xml:space="preserve">, </w:t>
      </w:r>
      <w:r w:rsidRPr="00857FDC">
        <w:t>qui</w:t>
      </w:r>
      <w:r w:rsidRPr="008D47FA">
        <w:rPr>
          <w:lang w:val="fr-CH" w:eastAsia="zh-CN"/>
        </w:rPr>
        <w:t xml:space="preserve"> consiste à modifier le statut actuel de cette organisation pour qu</w:t>
      </w:r>
      <w:r>
        <w:rPr>
          <w:lang w:val="fr-CH" w:eastAsia="zh-CN"/>
        </w:rPr>
        <w:t>'</w:t>
      </w:r>
      <w:r w:rsidRPr="008D47FA">
        <w:rPr>
          <w:lang w:val="fr-CH" w:eastAsia="zh-CN"/>
        </w:rPr>
        <w:t xml:space="preserve">elle devienne membre exonéré </w:t>
      </w:r>
      <w:r>
        <w:rPr>
          <w:lang w:val="fr-CH" w:eastAsia="zh-CN"/>
        </w:rPr>
        <w:t>du paiement de droits,</w:t>
      </w:r>
      <w:r w:rsidRPr="00857FDC">
        <w:rPr>
          <w:lang w:val="fr-CH" w:eastAsia="zh-CN"/>
        </w:rPr>
        <w:t xml:space="preserve"> </w:t>
      </w:r>
      <w:r>
        <w:rPr>
          <w:lang w:val="fr-CH" w:eastAsia="zh-CN"/>
        </w:rPr>
        <w:t>d</w:t>
      </w:r>
      <w:r w:rsidRPr="00D478CE">
        <w:rPr>
          <w:lang w:val="fr-CH" w:eastAsia="zh-CN"/>
        </w:rPr>
        <w:t>ans le cadre de l'examen des critères par le Conseil</w:t>
      </w:r>
      <w:r>
        <w:rPr>
          <w:lang w:val="fr-CH" w:eastAsia="zh-CN"/>
        </w:rPr>
        <w:t>.</w:t>
      </w:r>
    </w:p>
    <w:p w14:paraId="18A16AD3" w14:textId="77777777" w:rsidR="00517396" w:rsidRPr="008D47FA" w:rsidRDefault="00517396" w:rsidP="00180F7E">
      <w:pPr>
        <w:keepNext/>
        <w:keepLines/>
        <w:widowControl w:val="0"/>
        <w:spacing w:before="360" w:after="240"/>
        <w:rPr>
          <w:rFonts w:asciiTheme="minorHAnsi" w:hAnsiTheme="minorHAnsi" w:cs="Calibri"/>
          <w:szCs w:val="24"/>
          <w:lang w:val="en-US"/>
        </w:rPr>
      </w:pPr>
      <w:r w:rsidRPr="008D47FA">
        <w:rPr>
          <w:rFonts w:asciiTheme="minorHAnsi" w:hAnsiTheme="minorHAnsi" w:cs="Calibri"/>
          <w:szCs w:val="24"/>
          <w:lang w:val="en-US"/>
        </w:rPr>
        <w:t>4</w:t>
      </w:r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72"/>
        <w:gridCol w:w="1559"/>
        <w:gridCol w:w="2213"/>
        <w:gridCol w:w="2250"/>
      </w:tblGrid>
      <w:tr w:rsidR="00517396" w:rsidRPr="008D47FA" w14:paraId="77675F6E" w14:textId="77777777" w:rsidTr="00D478CE">
        <w:trPr>
          <w:cantSplit/>
          <w:jc w:val="center"/>
        </w:trPr>
        <w:tc>
          <w:tcPr>
            <w:tcW w:w="3472" w:type="dxa"/>
          </w:tcPr>
          <w:p w14:paraId="038BDB66" w14:textId="77777777" w:rsidR="00517396" w:rsidRPr="008D47FA" w:rsidRDefault="00517396" w:rsidP="00180F7E">
            <w:pPr>
              <w:pStyle w:val="Tablehead"/>
              <w:rPr>
                <w:lang w:val="fr-CH"/>
              </w:rPr>
            </w:pPr>
            <w:r w:rsidRPr="008D47FA">
              <w:rPr>
                <w:lang w:val="fr-CH"/>
              </w:rPr>
              <w:t>Organisation</w:t>
            </w:r>
          </w:p>
        </w:tc>
        <w:tc>
          <w:tcPr>
            <w:tcW w:w="1559" w:type="dxa"/>
          </w:tcPr>
          <w:p w14:paraId="276C9B1E" w14:textId="77777777" w:rsidR="00517396" w:rsidRPr="008D47FA" w:rsidRDefault="00517396" w:rsidP="00180F7E">
            <w:pPr>
              <w:pStyle w:val="Tablehead"/>
            </w:pPr>
            <w:r w:rsidRPr="008D47FA">
              <w:t>Secteur</w:t>
            </w:r>
          </w:p>
        </w:tc>
        <w:tc>
          <w:tcPr>
            <w:tcW w:w="2213" w:type="dxa"/>
          </w:tcPr>
          <w:p w14:paraId="0C87972F" w14:textId="77777777" w:rsidR="00517396" w:rsidRPr="008D47FA" w:rsidRDefault="00517396" w:rsidP="00180F7E">
            <w:pPr>
              <w:pStyle w:val="Tablehead"/>
            </w:pPr>
            <w:r w:rsidRPr="008D47FA">
              <w:t>Respecte les critères</w:t>
            </w:r>
          </w:p>
        </w:tc>
        <w:tc>
          <w:tcPr>
            <w:tcW w:w="2250" w:type="dxa"/>
          </w:tcPr>
          <w:p w14:paraId="48BF8BEA" w14:textId="77777777" w:rsidR="00517396" w:rsidRPr="008D47FA" w:rsidRDefault="00517396" w:rsidP="00180F7E">
            <w:pPr>
              <w:pStyle w:val="Tablehead"/>
            </w:pPr>
            <w:r w:rsidRPr="008D47FA">
              <w:t>Recommandation du Secrétaire général</w:t>
            </w:r>
          </w:p>
        </w:tc>
      </w:tr>
      <w:tr w:rsidR="00517396" w:rsidRPr="008D47FA" w14:paraId="44B33092" w14:textId="77777777" w:rsidTr="00D478CE">
        <w:trPr>
          <w:cantSplit/>
          <w:jc w:val="center"/>
        </w:trPr>
        <w:tc>
          <w:tcPr>
            <w:tcW w:w="3472" w:type="dxa"/>
            <w:vAlign w:val="center"/>
          </w:tcPr>
          <w:p w14:paraId="53C4ED7B" w14:textId="77777777" w:rsidR="00517396" w:rsidRPr="00B741C0" w:rsidRDefault="00517396" w:rsidP="00180F7E">
            <w:pPr>
              <w:pStyle w:val="Tabletext"/>
              <w:rPr>
                <w:b/>
                <w:bCs/>
                <w:iCs/>
                <w:szCs w:val="24"/>
              </w:rPr>
            </w:pPr>
            <w:r w:rsidRPr="00B741C0">
              <w:rPr>
                <w:b/>
                <w:bCs/>
              </w:rPr>
              <w:t>CEEAC – Communauté économique des Etats de l</w:t>
            </w:r>
            <w:r>
              <w:rPr>
                <w:b/>
                <w:bCs/>
              </w:rPr>
              <w:t>'</w:t>
            </w:r>
            <w:r w:rsidRPr="00B741C0">
              <w:rPr>
                <w:b/>
                <w:bCs/>
              </w:rPr>
              <w:t>Afrique centrale</w:t>
            </w:r>
          </w:p>
        </w:tc>
        <w:tc>
          <w:tcPr>
            <w:tcW w:w="1559" w:type="dxa"/>
            <w:vAlign w:val="center"/>
          </w:tcPr>
          <w:p w14:paraId="44D75E87" w14:textId="77777777" w:rsidR="00517396" w:rsidRDefault="00517396" w:rsidP="00180F7E">
            <w:pPr>
              <w:pStyle w:val="Tabletext"/>
              <w:jc w:val="center"/>
              <w:rPr>
                <w:szCs w:val="24"/>
              </w:rPr>
            </w:pPr>
            <w:r w:rsidRPr="008D47FA">
              <w:rPr>
                <w:szCs w:val="24"/>
              </w:rPr>
              <w:t>UIT</w:t>
            </w:r>
            <w:r>
              <w:rPr>
                <w:szCs w:val="24"/>
              </w:rPr>
              <w:t>-R</w:t>
            </w:r>
          </w:p>
          <w:p w14:paraId="15522887" w14:textId="77777777" w:rsidR="00517396" w:rsidRDefault="00517396" w:rsidP="00180F7E">
            <w:pPr>
              <w:pStyle w:val="Tabletext"/>
              <w:jc w:val="center"/>
              <w:rPr>
                <w:szCs w:val="24"/>
              </w:rPr>
            </w:pPr>
            <w:r w:rsidRPr="008D47FA">
              <w:rPr>
                <w:szCs w:val="24"/>
              </w:rPr>
              <w:t>UIT</w:t>
            </w:r>
            <w:r>
              <w:rPr>
                <w:szCs w:val="24"/>
              </w:rPr>
              <w:t>-T</w:t>
            </w:r>
          </w:p>
          <w:p w14:paraId="0BE98176" w14:textId="77777777" w:rsidR="00517396" w:rsidRPr="008D47FA" w:rsidRDefault="00517396" w:rsidP="00180F7E">
            <w:pPr>
              <w:pStyle w:val="Tabletext"/>
              <w:jc w:val="center"/>
              <w:rPr>
                <w:szCs w:val="24"/>
              </w:rPr>
            </w:pPr>
            <w:r w:rsidRPr="008D47FA">
              <w:rPr>
                <w:szCs w:val="24"/>
              </w:rPr>
              <w:t>UIT-D</w:t>
            </w:r>
          </w:p>
        </w:tc>
        <w:tc>
          <w:tcPr>
            <w:tcW w:w="2213" w:type="dxa"/>
            <w:vAlign w:val="center"/>
          </w:tcPr>
          <w:p w14:paraId="18184B1C" w14:textId="77777777" w:rsidR="00517396" w:rsidRDefault="00517396" w:rsidP="00180F7E">
            <w:pPr>
              <w:pStyle w:val="Tabletext"/>
              <w:jc w:val="center"/>
              <w:rPr>
                <w:szCs w:val="24"/>
                <w:lang w:val="en-US"/>
              </w:rPr>
            </w:pPr>
            <w:r w:rsidRPr="008D47FA">
              <w:rPr>
                <w:szCs w:val="24"/>
                <w:lang w:val="en-US"/>
              </w:rPr>
              <w:t>NON</w:t>
            </w:r>
          </w:p>
          <w:p w14:paraId="77063055" w14:textId="77777777" w:rsidR="00517396" w:rsidRDefault="00517396" w:rsidP="00180F7E">
            <w:pPr>
              <w:pStyle w:val="Tabletext"/>
              <w:jc w:val="center"/>
              <w:rPr>
                <w:szCs w:val="24"/>
                <w:lang w:val="en-US"/>
              </w:rPr>
            </w:pPr>
            <w:r w:rsidRPr="008D47FA">
              <w:rPr>
                <w:szCs w:val="24"/>
                <w:lang w:val="en-US"/>
              </w:rPr>
              <w:t>NON</w:t>
            </w:r>
          </w:p>
          <w:p w14:paraId="437931CD" w14:textId="77777777" w:rsidR="00517396" w:rsidRPr="008D47FA" w:rsidRDefault="00517396" w:rsidP="00180F7E">
            <w:pPr>
              <w:pStyle w:val="Tabletext"/>
              <w:jc w:val="center"/>
              <w:rPr>
                <w:szCs w:val="24"/>
                <w:lang w:val="en-US"/>
              </w:rPr>
            </w:pPr>
            <w:r w:rsidRPr="008D47FA">
              <w:rPr>
                <w:rFonts w:cstheme="minorHAnsi"/>
                <w:szCs w:val="24"/>
              </w:rPr>
              <w:t>OUI</w:t>
            </w:r>
          </w:p>
        </w:tc>
        <w:tc>
          <w:tcPr>
            <w:tcW w:w="2250" w:type="dxa"/>
            <w:vAlign w:val="center"/>
          </w:tcPr>
          <w:p w14:paraId="1B78684E" w14:textId="77777777" w:rsidR="00517396" w:rsidRDefault="00517396" w:rsidP="00180F7E">
            <w:pPr>
              <w:pStyle w:val="Tabletext"/>
              <w:jc w:val="center"/>
              <w:rPr>
                <w:szCs w:val="24"/>
                <w:lang w:val="en-US"/>
              </w:rPr>
            </w:pPr>
            <w:r w:rsidRPr="008D47FA">
              <w:rPr>
                <w:szCs w:val="24"/>
                <w:lang w:val="en-US"/>
              </w:rPr>
              <w:t>NON</w:t>
            </w:r>
          </w:p>
          <w:p w14:paraId="75464236" w14:textId="77777777" w:rsidR="00517396" w:rsidRDefault="00517396" w:rsidP="00180F7E">
            <w:pPr>
              <w:pStyle w:val="Tabletext"/>
              <w:jc w:val="center"/>
              <w:rPr>
                <w:szCs w:val="24"/>
                <w:lang w:val="en-US"/>
              </w:rPr>
            </w:pPr>
            <w:r w:rsidRPr="008D47FA">
              <w:rPr>
                <w:szCs w:val="24"/>
                <w:lang w:val="en-US"/>
              </w:rPr>
              <w:t>NON</w:t>
            </w:r>
          </w:p>
          <w:p w14:paraId="23671591" w14:textId="77777777" w:rsidR="00517396" w:rsidRPr="008D47FA" w:rsidRDefault="00517396" w:rsidP="00180F7E">
            <w:pPr>
              <w:pStyle w:val="Tabletext"/>
              <w:jc w:val="center"/>
              <w:rPr>
                <w:szCs w:val="24"/>
                <w:lang w:val="en-US"/>
              </w:rPr>
            </w:pPr>
            <w:r w:rsidRPr="008D47FA">
              <w:rPr>
                <w:rFonts w:cstheme="minorHAnsi"/>
                <w:szCs w:val="24"/>
              </w:rPr>
              <w:t>OUI</w:t>
            </w:r>
          </w:p>
        </w:tc>
      </w:tr>
    </w:tbl>
    <w:p w14:paraId="295B232A" w14:textId="77777777" w:rsidR="00517396" w:rsidRPr="008D47FA" w:rsidRDefault="00517396" w:rsidP="00180F7E">
      <w:pPr>
        <w:pStyle w:val="Headingb"/>
        <w:spacing w:before="240"/>
        <w:rPr>
          <w:lang w:val="fr-CH"/>
        </w:rPr>
      </w:pPr>
      <w:r w:rsidRPr="008D47FA">
        <w:rPr>
          <w:lang w:val="fr-CH"/>
        </w:rPr>
        <w:t>Observations r</w:t>
      </w:r>
      <w:r>
        <w:rPr>
          <w:lang w:val="fr-CH"/>
        </w:rPr>
        <w:t>elatives aux avantages mutuels</w:t>
      </w:r>
    </w:p>
    <w:p w14:paraId="2860B8BC" w14:textId="77777777" w:rsidR="00517396" w:rsidRPr="008D47FA" w:rsidRDefault="00517396" w:rsidP="00180F7E">
      <w:pPr>
        <w:rPr>
          <w:lang w:val="fr-CH"/>
        </w:rPr>
      </w:pPr>
      <w:r w:rsidRPr="008D47FA">
        <w:rPr>
          <w:lang w:val="fr-CH"/>
        </w:rPr>
        <w:t>La Co</w:t>
      </w:r>
      <w:r>
        <w:rPr>
          <w:lang w:val="fr-CH"/>
        </w:rPr>
        <w:t>mmunauté économique des Etats de l'</w:t>
      </w:r>
      <w:r w:rsidRPr="008D47FA">
        <w:rPr>
          <w:lang w:val="fr-CH"/>
        </w:rPr>
        <w:t>Afrique centrale (CEEAC) e</w:t>
      </w:r>
      <w:r>
        <w:rPr>
          <w:lang w:val="fr-CH"/>
        </w:rPr>
        <w:t xml:space="preserve">st une communauté économique </w:t>
      </w:r>
      <w:r w:rsidRPr="008D47FA">
        <w:rPr>
          <w:lang w:val="fr-CH"/>
        </w:rPr>
        <w:t>dont la mission est de promouvoir la coopération économique régionale en Afrique centrale. Elle a pour but de "réaliser l</w:t>
      </w:r>
      <w:r>
        <w:rPr>
          <w:lang w:val="fr-CH"/>
        </w:rPr>
        <w:t>'</w:t>
      </w:r>
      <w:r w:rsidRPr="008D47FA">
        <w:rPr>
          <w:lang w:val="fr-CH"/>
        </w:rPr>
        <w:t>autonomie collective, d</w:t>
      </w:r>
      <w:r>
        <w:rPr>
          <w:lang w:val="fr-CH"/>
        </w:rPr>
        <w:t>'</w:t>
      </w:r>
      <w:r w:rsidRPr="008D47FA">
        <w:rPr>
          <w:lang w:val="fr-CH"/>
        </w:rPr>
        <w:t xml:space="preserve">élever le niveau de vie des populations et de maintenir la stabilité économique" grâce à une coopération harmonieuse. </w:t>
      </w:r>
    </w:p>
    <w:p w14:paraId="219BB9CC" w14:textId="77777777" w:rsidR="00517396" w:rsidRPr="008D47FA" w:rsidRDefault="00517396" w:rsidP="00180F7E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="Arial"/>
          <w:szCs w:val="24"/>
          <w:lang w:val="fr-CH"/>
        </w:rPr>
      </w:pPr>
      <w:r w:rsidRPr="008D47FA">
        <w:rPr>
          <w:rFonts w:asciiTheme="minorHAnsi" w:hAnsiTheme="minorHAnsi" w:cs="Arial"/>
          <w:szCs w:val="24"/>
          <w:lang w:val="fr-CH"/>
        </w:rPr>
        <w:t>Les objectifs de la CEEAC dans le domaine des télécommunications/TIC</w:t>
      </w:r>
      <w:r>
        <w:rPr>
          <w:rFonts w:asciiTheme="minorHAnsi" w:hAnsiTheme="minorHAnsi" w:cs="Arial"/>
          <w:szCs w:val="24"/>
          <w:lang w:val="fr-CH"/>
        </w:rPr>
        <w:t xml:space="preserve"> sont définis dans les Articles </w:t>
      </w:r>
      <w:r w:rsidRPr="008D47FA">
        <w:rPr>
          <w:rFonts w:asciiTheme="minorHAnsi" w:hAnsiTheme="minorHAnsi" w:cs="Arial"/>
          <w:szCs w:val="24"/>
          <w:lang w:val="fr-CH"/>
        </w:rPr>
        <w:t xml:space="preserve">45 à 50 du Traité instituant la Communauté économique des </w:t>
      </w:r>
      <w:r>
        <w:rPr>
          <w:rFonts w:asciiTheme="minorHAnsi" w:hAnsiTheme="minorHAnsi" w:cs="Arial"/>
          <w:szCs w:val="24"/>
          <w:lang w:val="fr-CH"/>
        </w:rPr>
        <w:t>Etats</w:t>
      </w:r>
      <w:r w:rsidRPr="008D47FA">
        <w:rPr>
          <w:rFonts w:asciiTheme="minorHAnsi" w:hAnsiTheme="minorHAnsi" w:cs="Arial"/>
          <w:szCs w:val="24"/>
          <w:lang w:val="fr-CH"/>
        </w:rPr>
        <w:t xml:space="preserve"> de l</w:t>
      </w:r>
      <w:r>
        <w:rPr>
          <w:rFonts w:asciiTheme="minorHAnsi" w:hAnsiTheme="minorHAnsi" w:cs="Arial"/>
          <w:szCs w:val="24"/>
          <w:lang w:val="fr-CH"/>
        </w:rPr>
        <w:t>'</w:t>
      </w:r>
      <w:r w:rsidRPr="008D47FA">
        <w:rPr>
          <w:rFonts w:asciiTheme="minorHAnsi" w:hAnsiTheme="minorHAnsi" w:cs="Arial"/>
          <w:szCs w:val="24"/>
          <w:lang w:val="fr-CH"/>
        </w:rPr>
        <w:t xml:space="preserve">Afrique centrale. </w:t>
      </w:r>
    </w:p>
    <w:p w14:paraId="6E33951B" w14:textId="2DF02F3C" w:rsidR="00517396" w:rsidRPr="008D47FA" w:rsidRDefault="00517396" w:rsidP="00180F7E">
      <w:pPr>
        <w:overflowPunct/>
        <w:autoSpaceDE/>
        <w:autoSpaceDN/>
        <w:adjustRightInd/>
        <w:textAlignment w:val="auto"/>
        <w:rPr>
          <w:rFonts w:asciiTheme="minorHAnsi" w:hAnsiTheme="minorHAnsi" w:cs="Arial"/>
          <w:szCs w:val="24"/>
          <w:lang w:val="fr-CH"/>
        </w:rPr>
      </w:pPr>
      <w:r w:rsidRPr="008D47FA">
        <w:rPr>
          <w:rFonts w:asciiTheme="minorHAnsi" w:hAnsiTheme="minorHAnsi" w:cs="Arial"/>
          <w:szCs w:val="24"/>
          <w:lang w:val="fr-CH"/>
        </w:rPr>
        <w:t>L</w:t>
      </w:r>
      <w:r>
        <w:rPr>
          <w:rFonts w:asciiTheme="minorHAnsi" w:hAnsiTheme="minorHAnsi" w:cs="Arial"/>
          <w:szCs w:val="24"/>
          <w:lang w:val="fr-CH"/>
        </w:rPr>
        <w:t>'</w:t>
      </w:r>
      <w:r w:rsidRPr="008D47FA">
        <w:rPr>
          <w:rFonts w:asciiTheme="minorHAnsi" w:hAnsiTheme="minorHAnsi" w:cs="Arial"/>
          <w:szCs w:val="24"/>
          <w:lang w:val="fr-CH"/>
        </w:rPr>
        <w:t xml:space="preserve">UIT est un partenaire stratégique de la CEEAC pour le développement et la mise en </w:t>
      </w:r>
      <w:r>
        <w:rPr>
          <w:rFonts w:asciiTheme="minorHAnsi" w:hAnsiTheme="minorHAnsi" w:cs="Arial"/>
          <w:szCs w:val="24"/>
          <w:lang w:val="fr-CH"/>
        </w:rPr>
        <w:t>oe</w:t>
      </w:r>
      <w:r w:rsidRPr="008D47FA">
        <w:rPr>
          <w:rFonts w:asciiTheme="minorHAnsi" w:hAnsiTheme="minorHAnsi" w:cs="Arial"/>
          <w:szCs w:val="24"/>
          <w:lang w:val="fr-CH"/>
        </w:rPr>
        <w:t>uvre d</w:t>
      </w:r>
      <w:r>
        <w:rPr>
          <w:rFonts w:asciiTheme="minorHAnsi" w:hAnsiTheme="minorHAnsi" w:cs="Arial"/>
          <w:szCs w:val="24"/>
          <w:lang w:val="fr-CH"/>
        </w:rPr>
        <w:t>'</w:t>
      </w:r>
      <w:r w:rsidRPr="008D47FA">
        <w:rPr>
          <w:rFonts w:asciiTheme="minorHAnsi" w:hAnsiTheme="minorHAnsi" w:cs="Arial"/>
          <w:szCs w:val="24"/>
          <w:lang w:val="fr-CH"/>
        </w:rPr>
        <w:t xml:space="preserve">activités dans le secteur des télécommunications/TIC en Afrique centrale. Elle fournit un appui </w:t>
      </w:r>
      <w:r w:rsidR="00D478CE">
        <w:rPr>
          <w:rFonts w:asciiTheme="minorHAnsi" w:hAnsiTheme="minorHAnsi" w:cs="Arial"/>
          <w:szCs w:val="24"/>
          <w:lang w:val="fr-CH"/>
        </w:rPr>
        <w:t>à la CEEAC dans d</w:t>
      </w:r>
      <w:r w:rsidRPr="008D47FA">
        <w:rPr>
          <w:rFonts w:asciiTheme="minorHAnsi" w:hAnsiTheme="minorHAnsi" w:cs="Arial"/>
          <w:szCs w:val="24"/>
          <w:lang w:val="fr-CH"/>
        </w:rPr>
        <w:t xml:space="preserve">es activités </w:t>
      </w:r>
      <w:r w:rsidRPr="00D478CE">
        <w:rPr>
          <w:rFonts w:asciiTheme="minorHAnsi" w:hAnsiTheme="minorHAnsi" w:cs="Arial"/>
          <w:szCs w:val="24"/>
          <w:lang w:val="fr-CH"/>
        </w:rPr>
        <w:t>qui comprennent</w:t>
      </w:r>
      <w:r w:rsidRPr="008D47FA">
        <w:rPr>
          <w:rFonts w:asciiTheme="minorHAnsi" w:hAnsiTheme="minorHAnsi" w:cs="Arial"/>
          <w:szCs w:val="24"/>
          <w:lang w:val="fr-CH"/>
        </w:rPr>
        <w:t xml:space="preserve"> l</w:t>
      </w:r>
      <w:r>
        <w:rPr>
          <w:rFonts w:asciiTheme="minorHAnsi" w:hAnsiTheme="minorHAnsi" w:cs="Arial"/>
          <w:szCs w:val="24"/>
          <w:lang w:val="fr-CH"/>
        </w:rPr>
        <w:t>'</w:t>
      </w:r>
      <w:r w:rsidRPr="008D47FA">
        <w:rPr>
          <w:rFonts w:asciiTheme="minorHAnsi" w:hAnsiTheme="minorHAnsi" w:cs="Arial"/>
          <w:szCs w:val="24"/>
          <w:lang w:val="fr-CH"/>
        </w:rPr>
        <w:t>harmonisation des réglementations nationales, lesquelles ont débouché sur l</w:t>
      </w:r>
      <w:r>
        <w:rPr>
          <w:rFonts w:asciiTheme="minorHAnsi" w:hAnsiTheme="minorHAnsi" w:cs="Arial"/>
          <w:szCs w:val="24"/>
          <w:lang w:val="fr-CH"/>
        </w:rPr>
        <w:t>'</w:t>
      </w:r>
      <w:r w:rsidRPr="008D47FA">
        <w:rPr>
          <w:rFonts w:asciiTheme="minorHAnsi" w:hAnsiTheme="minorHAnsi" w:cs="Arial"/>
          <w:szCs w:val="24"/>
          <w:lang w:val="fr-CH"/>
        </w:rPr>
        <w:t>élaboration de projets de loi-type sur les télécommunications/TIC et la cybersécurité qui sont en cours d</w:t>
      </w:r>
      <w:r>
        <w:rPr>
          <w:rFonts w:asciiTheme="minorHAnsi" w:hAnsiTheme="minorHAnsi" w:cs="Arial"/>
          <w:szCs w:val="24"/>
          <w:lang w:val="fr-CH"/>
        </w:rPr>
        <w:t>'</w:t>
      </w:r>
      <w:r w:rsidRPr="008D47FA">
        <w:rPr>
          <w:rFonts w:asciiTheme="minorHAnsi" w:hAnsiTheme="minorHAnsi" w:cs="Arial"/>
          <w:szCs w:val="24"/>
          <w:lang w:val="fr-CH"/>
        </w:rPr>
        <w:t xml:space="preserve">adoption par les organes de la Communauté, </w:t>
      </w:r>
      <w:r>
        <w:rPr>
          <w:rFonts w:asciiTheme="minorHAnsi" w:hAnsiTheme="minorHAnsi" w:cs="Arial"/>
          <w:szCs w:val="24"/>
          <w:lang w:val="fr-CH"/>
        </w:rPr>
        <w:t>l'</w:t>
      </w:r>
      <w:r w:rsidRPr="008D47FA">
        <w:rPr>
          <w:rFonts w:asciiTheme="minorHAnsi" w:hAnsiTheme="minorHAnsi" w:cs="Arial"/>
          <w:szCs w:val="24"/>
          <w:lang w:val="fr-CH"/>
        </w:rPr>
        <w:t>étude technologique et commerciale concernant l</w:t>
      </w:r>
      <w:r>
        <w:rPr>
          <w:rFonts w:asciiTheme="minorHAnsi" w:hAnsiTheme="minorHAnsi" w:cs="Arial"/>
          <w:szCs w:val="24"/>
          <w:lang w:val="fr-CH"/>
        </w:rPr>
        <w:t>'</w:t>
      </w:r>
      <w:r w:rsidRPr="008D47FA">
        <w:rPr>
          <w:rFonts w:asciiTheme="minorHAnsi" w:hAnsiTheme="minorHAnsi" w:cs="Arial"/>
          <w:szCs w:val="24"/>
          <w:lang w:val="fr-CH"/>
        </w:rPr>
        <w:t xml:space="preserve">itinérance en Afrique centrale et </w:t>
      </w:r>
      <w:r>
        <w:rPr>
          <w:rFonts w:asciiTheme="minorHAnsi" w:hAnsiTheme="minorHAnsi" w:cs="Arial"/>
          <w:szCs w:val="24"/>
          <w:lang w:val="fr-CH"/>
        </w:rPr>
        <w:t>l'</w:t>
      </w:r>
      <w:r w:rsidRPr="008D47FA">
        <w:rPr>
          <w:rFonts w:asciiTheme="minorHAnsi" w:hAnsiTheme="minorHAnsi" w:cs="Arial"/>
          <w:szCs w:val="24"/>
          <w:lang w:val="fr-CH"/>
        </w:rPr>
        <w:t>examen de questions liées à la gestion sûre des fréquences aux frontières.</w:t>
      </w:r>
    </w:p>
    <w:p w14:paraId="4BEC3062" w14:textId="77777777" w:rsidR="00517396" w:rsidRPr="008D47FA" w:rsidRDefault="00517396" w:rsidP="00180F7E">
      <w:pPr>
        <w:jc w:val="both"/>
        <w:rPr>
          <w:rFonts w:asciiTheme="minorHAnsi" w:hAnsiTheme="minorHAnsi" w:cs="Calibri"/>
          <w:szCs w:val="24"/>
          <w:lang w:val="fr-CH"/>
        </w:rPr>
      </w:pPr>
      <w:r w:rsidRPr="008D47FA">
        <w:rPr>
          <w:rFonts w:asciiTheme="minorHAnsi" w:hAnsiTheme="minorHAnsi" w:cs="Calibri"/>
          <w:szCs w:val="24"/>
          <w:lang w:val="fr-CH"/>
        </w:rPr>
        <w:t>La CEEAC est un partenaire de l</w:t>
      </w:r>
      <w:r>
        <w:rPr>
          <w:rFonts w:asciiTheme="minorHAnsi" w:hAnsiTheme="minorHAnsi" w:cs="Calibri"/>
          <w:szCs w:val="24"/>
          <w:lang w:val="fr-CH"/>
        </w:rPr>
        <w:t>'</w:t>
      </w:r>
      <w:r w:rsidRPr="008D47FA">
        <w:rPr>
          <w:rFonts w:asciiTheme="minorHAnsi" w:hAnsiTheme="minorHAnsi" w:cs="Calibri"/>
          <w:szCs w:val="24"/>
          <w:lang w:val="fr-CH"/>
        </w:rPr>
        <w:t>UIT pour les activités de développement dans la région d</w:t>
      </w:r>
      <w:r>
        <w:rPr>
          <w:rFonts w:asciiTheme="minorHAnsi" w:hAnsiTheme="minorHAnsi" w:cs="Calibri"/>
          <w:szCs w:val="24"/>
          <w:lang w:val="fr-CH"/>
        </w:rPr>
        <w:t>'</w:t>
      </w:r>
      <w:r w:rsidRPr="008D47FA">
        <w:rPr>
          <w:rFonts w:asciiTheme="minorHAnsi" w:hAnsiTheme="minorHAnsi" w:cs="Calibri"/>
          <w:szCs w:val="24"/>
          <w:lang w:val="fr-CH"/>
        </w:rPr>
        <w:t>Afrique centrale. Par exemple, le Secrétariat de la CEEAC a été le coordonnateur des pays d</w:t>
      </w:r>
      <w:r>
        <w:rPr>
          <w:rFonts w:asciiTheme="minorHAnsi" w:hAnsiTheme="minorHAnsi" w:cs="Calibri"/>
          <w:szCs w:val="24"/>
          <w:lang w:val="fr-CH"/>
        </w:rPr>
        <w:t>'</w:t>
      </w:r>
      <w:r w:rsidRPr="008D47FA">
        <w:rPr>
          <w:rFonts w:asciiTheme="minorHAnsi" w:hAnsiTheme="minorHAnsi" w:cs="Calibri"/>
          <w:szCs w:val="24"/>
          <w:lang w:val="fr-CH"/>
        </w:rPr>
        <w:t xml:space="preserve">Afrique centrale pendant la mise en </w:t>
      </w:r>
      <w:r>
        <w:rPr>
          <w:rFonts w:asciiTheme="minorHAnsi" w:hAnsiTheme="minorHAnsi" w:cs="Calibri"/>
          <w:szCs w:val="24"/>
          <w:lang w:val="fr-CH"/>
        </w:rPr>
        <w:t>oe</w:t>
      </w:r>
      <w:r w:rsidRPr="008D47FA">
        <w:rPr>
          <w:rFonts w:asciiTheme="minorHAnsi" w:hAnsiTheme="minorHAnsi" w:cs="Calibri"/>
          <w:szCs w:val="24"/>
          <w:lang w:val="fr-CH"/>
        </w:rPr>
        <w:t>uvre du projet HIPSSA.</w:t>
      </w:r>
    </w:p>
    <w:p w14:paraId="3F08F7F1" w14:textId="77777777" w:rsidR="00517396" w:rsidRPr="008D47FA" w:rsidRDefault="00517396" w:rsidP="00180F7E">
      <w:pPr>
        <w:jc w:val="both"/>
        <w:rPr>
          <w:rFonts w:asciiTheme="minorHAnsi" w:hAnsiTheme="minorHAnsi" w:cs="Calibri"/>
          <w:szCs w:val="22"/>
          <w:lang w:val="fr-CH"/>
        </w:rPr>
      </w:pPr>
      <w:r w:rsidRPr="008D47FA">
        <w:rPr>
          <w:rFonts w:asciiTheme="minorHAnsi" w:hAnsiTheme="minorHAnsi" w:cs="Calibri"/>
          <w:szCs w:val="24"/>
          <w:lang w:val="fr-CH"/>
        </w:rPr>
        <w:t>L</w:t>
      </w:r>
      <w:r>
        <w:rPr>
          <w:rFonts w:asciiTheme="minorHAnsi" w:hAnsiTheme="minorHAnsi" w:cs="Calibri"/>
          <w:szCs w:val="24"/>
          <w:lang w:val="fr-CH"/>
        </w:rPr>
        <w:t>'</w:t>
      </w:r>
      <w:r w:rsidRPr="008D47FA">
        <w:rPr>
          <w:rFonts w:asciiTheme="minorHAnsi" w:hAnsiTheme="minorHAnsi" w:cs="Calibri"/>
          <w:szCs w:val="24"/>
          <w:lang w:val="fr-CH"/>
        </w:rPr>
        <w:t>UIT est systématiquement invitée à participer aux réunions de la CEEAC à tous les niveaux (réunions des chefs d</w:t>
      </w:r>
      <w:r>
        <w:rPr>
          <w:rFonts w:asciiTheme="minorHAnsi" w:hAnsiTheme="minorHAnsi" w:cs="Calibri"/>
          <w:szCs w:val="24"/>
          <w:lang w:val="fr-CH"/>
        </w:rPr>
        <w:t>'Etat</w:t>
      </w:r>
      <w:r w:rsidRPr="008D47FA">
        <w:rPr>
          <w:rFonts w:asciiTheme="minorHAnsi" w:hAnsiTheme="minorHAnsi" w:cs="Calibri"/>
          <w:szCs w:val="24"/>
          <w:lang w:val="fr-CH"/>
        </w:rPr>
        <w:t>, réunions ministérielles et/ou techniques). Elle a accès gratuitement à tous les documents de la CEEAC relatifs aux télécommunications/TIC.</w:t>
      </w:r>
    </w:p>
    <w:p w14:paraId="561CB84F" w14:textId="77777777" w:rsidR="00517396" w:rsidRPr="008D47FA" w:rsidRDefault="00517396" w:rsidP="00435D55">
      <w:pPr>
        <w:rPr>
          <w:rFonts w:asciiTheme="minorHAnsi" w:hAnsiTheme="minorHAnsi" w:cs="Calibri"/>
          <w:szCs w:val="24"/>
          <w:lang w:val="fr-CH"/>
        </w:rPr>
      </w:pPr>
      <w:r w:rsidRPr="00D478CE">
        <w:rPr>
          <w:rFonts w:asciiTheme="minorHAnsi" w:hAnsiTheme="minorHAnsi" w:cs="Calibri"/>
          <w:szCs w:val="22"/>
          <w:lang w:val="fr-CH"/>
        </w:rPr>
        <w:t>La</w:t>
      </w:r>
      <w:r>
        <w:rPr>
          <w:rFonts w:asciiTheme="minorHAnsi" w:hAnsiTheme="minorHAnsi" w:cs="Calibri"/>
          <w:szCs w:val="22"/>
          <w:lang w:val="fr-CH"/>
        </w:rPr>
        <w:t xml:space="preserve"> </w:t>
      </w:r>
      <w:r w:rsidRPr="008D47FA">
        <w:rPr>
          <w:rFonts w:asciiTheme="minorHAnsi" w:hAnsiTheme="minorHAnsi" w:cs="Calibri"/>
          <w:szCs w:val="22"/>
          <w:lang w:val="fr-CH"/>
        </w:rPr>
        <w:t>collaboration a</w:t>
      </w:r>
      <w:r>
        <w:rPr>
          <w:rFonts w:asciiTheme="minorHAnsi" w:hAnsiTheme="minorHAnsi" w:cs="Calibri"/>
          <w:szCs w:val="22"/>
          <w:lang w:val="fr-CH"/>
        </w:rPr>
        <w:t>yant</w:t>
      </w:r>
      <w:r w:rsidRPr="008D47FA">
        <w:rPr>
          <w:rFonts w:asciiTheme="minorHAnsi" w:hAnsiTheme="minorHAnsi" w:cs="Calibri"/>
          <w:szCs w:val="22"/>
          <w:lang w:val="fr-CH"/>
        </w:rPr>
        <w:t xml:space="preserve"> </w:t>
      </w:r>
      <w:r>
        <w:rPr>
          <w:rFonts w:asciiTheme="minorHAnsi" w:hAnsiTheme="minorHAnsi" w:cs="Calibri"/>
          <w:szCs w:val="22"/>
          <w:lang w:val="fr-CH"/>
        </w:rPr>
        <w:t xml:space="preserve">essentiellement </w:t>
      </w:r>
      <w:r w:rsidRPr="008D47FA">
        <w:rPr>
          <w:rFonts w:asciiTheme="minorHAnsi" w:hAnsiTheme="minorHAnsi" w:cs="Calibri"/>
          <w:szCs w:val="22"/>
          <w:lang w:val="fr-CH"/>
        </w:rPr>
        <w:t>porté sur des questions liées au domaine d</w:t>
      </w:r>
      <w:r>
        <w:rPr>
          <w:rFonts w:asciiTheme="minorHAnsi" w:hAnsiTheme="minorHAnsi" w:cs="Calibri"/>
          <w:szCs w:val="22"/>
          <w:lang w:val="fr-CH"/>
        </w:rPr>
        <w:t>'</w:t>
      </w:r>
      <w:r w:rsidRPr="008D47FA">
        <w:rPr>
          <w:rFonts w:asciiTheme="minorHAnsi" w:hAnsiTheme="minorHAnsi" w:cs="Calibri"/>
          <w:szCs w:val="22"/>
          <w:lang w:val="fr-CH"/>
        </w:rPr>
        <w:t>activité de l</w:t>
      </w:r>
      <w:r>
        <w:rPr>
          <w:rFonts w:asciiTheme="minorHAnsi" w:hAnsiTheme="minorHAnsi" w:cs="Calibri"/>
          <w:szCs w:val="22"/>
          <w:lang w:val="fr-CH"/>
        </w:rPr>
        <w:t>'</w:t>
      </w:r>
      <w:r w:rsidRPr="008D47FA">
        <w:rPr>
          <w:rFonts w:asciiTheme="minorHAnsi" w:hAnsiTheme="minorHAnsi" w:cs="Calibri"/>
          <w:szCs w:val="22"/>
          <w:lang w:val="fr-CH"/>
        </w:rPr>
        <w:t>UIT</w:t>
      </w:r>
      <w:r>
        <w:rPr>
          <w:rFonts w:asciiTheme="minorHAnsi" w:hAnsiTheme="minorHAnsi" w:cs="Calibri"/>
          <w:szCs w:val="22"/>
          <w:lang w:val="fr-CH"/>
        </w:rPr>
        <w:noBreakHyphen/>
        <w:t>D, l</w:t>
      </w:r>
      <w:r w:rsidRPr="008D47FA">
        <w:rPr>
          <w:rFonts w:asciiTheme="minorHAnsi" w:hAnsiTheme="minorHAnsi" w:cs="Calibri"/>
          <w:szCs w:val="22"/>
          <w:lang w:val="fr-CH"/>
        </w:rPr>
        <w:t>es activités de la CEEAC n</w:t>
      </w:r>
      <w:r>
        <w:rPr>
          <w:rFonts w:asciiTheme="minorHAnsi" w:hAnsiTheme="minorHAnsi" w:cs="Calibri"/>
          <w:szCs w:val="22"/>
          <w:lang w:val="fr-CH"/>
        </w:rPr>
        <w:t>'</w:t>
      </w:r>
      <w:r w:rsidRPr="008D47FA">
        <w:rPr>
          <w:rFonts w:asciiTheme="minorHAnsi" w:hAnsiTheme="minorHAnsi" w:cs="Calibri"/>
          <w:szCs w:val="22"/>
          <w:lang w:val="fr-CH"/>
        </w:rPr>
        <w:t>ont jusqu</w:t>
      </w:r>
      <w:r>
        <w:rPr>
          <w:rFonts w:asciiTheme="minorHAnsi" w:hAnsiTheme="minorHAnsi" w:cs="Calibri"/>
          <w:szCs w:val="22"/>
          <w:lang w:val="fr-CH"/>
        </w:rPr>
        <w:t>'</w:t>
      </w:r>
      <w:r w:rsidRPr="008D47FA">
        <w:rPr>
          <w:rFonts w:asciiTheme="minorHAnsi" w:hAnsiTheme="minorHAnsi" w:cs="Calibri"/>
          <w:szCs w:val="22"/>
          <w:lang w:val="fr-CH"/>
        </w:rPr>
        <w:t>à présent pas relevé du domaine de compétence de l</w:t>
      </w:r>
      <w:r>
        <w:rPr>
          <w:rFonts w:asciiTheme="minorHAnsi" w:hAnsiTheme="minorHAnsi" w:cs="Calibri"/>
          <w:szCs w:val="22"/>
          <w:lang w:val="fr-CH"/>
        </w:rPr>
        <w:t>'</w:t>
      </w:r>
      <w:r w:rsidRPr="008D47FA">
        <w:rPr>
          <w:rFonts w:asciiTheme="minorHAnsi" w:hAnsiTheme="minorHAnsi" w:cs="Calibri"/>
          <w:szCs w:val="22"/>
          <w:lang w:val="fr-CH"/>
        </w:rPr>
        <w:t>UIT</w:t>
      </w:r>
      <w:r>
        <w:rPr>
          <w:rFonts w:asciiTheme="minorHAnsi" w:hAnsiTheme="minorHAnsi" w:cs="Calibri"/>
          <w:szCs w:val="22"/>
          <w:lang w:val="fr-CH"/>
        </w:rPr>
        <w:noBreakHyphen/>
      </w:r>
      <w:r w:rsidRPr="008D47FA">
        <w:rPr>
          <w:rFonts w:asciiTheme="minorHAnsi" w:hAnsiTheme="minorHAnsi" w:cs="Calibri"/>
          <w:szCs w:val="22"/>
          <w:lang w:val="fr-CH"/>
        </w:rPr>
        <w:t>R ou de l</w:t>
      </w:r>
      <w:r>
        <w:rPr>
          <w:rFonts w:asciiTheme="minorHAnsi" w:hAnsiTheme="minorHAnsi" w:cs="Calibri"/>
          <w:szCs w:val="22"/>
          <w:lang w:val="fr-CH"/>
        </w:rPr>
        <w:t>'</w:t>
      </w:r>
      <w:r w:rsidRPr="008D47FA">
        <w:rPr>
          <w:rFonts w:asciiTheme="minorHAnsi" w:hAnsiTheme="minorHAnsi" w:cs="Calibri"/>
          <w:szCs w:val="22"/>
          <w:lang w:val="fr-CH"/>
        </w:rPr>
        <w:t>UIT-T.</w:t>
      </w:r>
    </w:p>
    <w:p w14:paraId="26D78DC9" w14:textId="77777777" w:rsidR="00517396" w:rsidRPr="008D47FA" w:rsidRDefault="00517396" w:rsidP="00D478CE">
      <w:pPr>
        <w:keepNext/>
        <w:keepLines/>
        <w:spacing w:after="120"/>
        <w:jc w:val="both"/>
        <w:rPr>
          <w:rFonts w:asciiTheme="minorHAnsi" w:hAnsiTheme="minorHAnsi" w:cs="Calibri"/>
          <w:szCs w:val="24"/>
          <w:lang w:val="fr-CH"/>
        </w:rPr>
      </w:pPr>
      <w:r w:rsidRPr="008D47FA">
        <w:rPr>
          <w:rFonts w:asciiTheme="minorHAnsi" w:hAnsiTheme="minorHAnsi" w:cstheme="minorHAnsi"/>
          <w:szCs w:val="24"/>
          <w:lang w:val="en-US"/>
        </w:rPr>
        <w:t>5</w:t>
      </w:r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72"/>
        <w:gridCol w:w="1559"/>
        <w:gridCol w:w="2213"/>
        <w:gridCol w:w="2250"/>
      </w:tblGrid>
      <w:tr w:rsidR="00517396" w:rsidRPr="008D47FA" w14:paraId="3EED0037" w14:textId="77777777" w:rsidTr="00D478CE">
        <w:trPr>
          <w:cantSplit/>
          <w:jc w:val="center"/>
        </w:trPr>
        <w:tc>
          <w:tcPr>
            <w:tcW w:w="3472" w:type="dxa"/>
          </w:tcPr>
          <w:p w14:paraId="36671EC1" w14:textId="77777777" w:rsidR="00517396" w:rsidRPr="008D47FA" w:rsidRDefault="00517396" w:rsidP="00180F7E">
            <w:pPr>
              <w:pStyle w:val="Tablehead"/>
              <w:keepNext/>
              <w:keepLines/>
              <w:rPr>
                <w:lang w:val="fr-CH"/>
              </w:rPr>
            </w:pPr>
            <w:r w:rsidRPr="008D47FA">
              <w:rPr>
                <w:lang w:val="fr-CH"/>
              </w:rPr>
              <w:t>Organisation</w:t>
            </w:r>
          </w:p>
        </w:tc>
        <w:tc>
          <w:tcPr>
            <w:tcW w:w="1559" w:type="dxa"/>
          </w:tcPr>
          <w:p w14:paraId="2D139793" w14:textId="77777777" w:rsidR="00517396" w:rsidRPr="008D47FA" w:rsidRDefault="00517396" w:rsidP="00180F7E">
            <w:pPr>
              <w:pStyle w:val="Tablehead"/>
              <w:keepNext/>
              <w:keepLines/>
            </w:pPr>
            <w:r w:rsidRPr="008D47FA">
              <w:t>Secteur</w:t>
            </w:r>
          </w:p>
        </w:tc>
        <w:tc>
          <w:tcPr>
            <w:tcW w:w="2213" w:type="dxa"/>
          </w:tcPr>
          <w:p w14:paraId="63AAA47D" w14:textId="77777777" w:rsidR="00517396" w:rsidRPr="008D47FA" w:rsidRDefault="00517396" w:rsidP="00180F7E">
            <w:pPr>
              <w:pStyle w:val="Tablehead"/>
              <w:keepNext/>
              <w:keepLines/>
            </w:pPr>
            <w:r w:rsidRPr="008D47FA">
              <w:t>Respecte les critères</w:t>
            </w:r>
          </w:p>
        </w:tc>
        <w:tc>
          <w:tcPr>
            <w:tcW w:w="2250" w:type="dxa"/>
          </w:tcPr>
          <w:p w14:paraId="24753132" w14:textId="77777777" w:rsidR="00517396" w:rsidRPr="008D47FA" w:rsidRDefault="00517396" w:rsidP="00180F7E">
            <w:pPr>
              <w:pStyle w:val="Tablehead"/>
              <w:keepNext/>
              <w:keepLines/>
            </w:pPr>
            <w:r w:rsidRPr="008D47FA">
              <w:t>Recommandation du Secrétaire général</w:t>
            </w:r>
          </w:p>
        </w:tc>
      </w:tr>
      <w:tr w:rsidR="00517396" w:rsidRPr="008D47FA" w14:paraId="51A27FBD" w14:textId="77777777" w:rsidTr="00D478CE">
        <w:trPr>
          <w:cantSplit/>
          <w:jc w:val="center"/>
        </w:trPr>
        <w:tc>
          <w:tcPr>
            <w:tcW w:w="3472" w:type="dxa"/>
            <w:vAlign w:val="center"/>
          </w:tcPr>
          <w:p w14:paraId="252E0889" w14:textId="77777777" w:rsidR="00517396" w:rsidRPr="00DC10A4" w:rsidRDefault="00517396" w:rsidP="00180F7E">
            <w:pPr>
              <w:pStyle w:val="Tabletext"/>
              <w:keepNext/>
              <w:keepLines/>
              <w:rPr>
                <w:b/>
                <w:bCs/>
              </w:rPr>
            </w:pPr>
            <w:r w:rsidRPr="00DC10A4">
              <w:rPr>
                <w:b/>
                <w:bCs/>
              </w:rPr>
              <w:t xml:space="preserve">IMPACT </w:t>
            </w:r>
            <w:r>
              <w:rPr>
                <w:b/>
                <w:bCs/>
              </w:rPr>
              <w:t>–</w:t>
            </w:r>
            <w:r w:rsidRPr="00DC10A4">
              <w:rPr>
                <w:b/>
                <w:bCs/>
              </w:rPr>
              <w:t xml:space="preserve"> Partenariat international multilatéral contre les cybermenaces</w:t>
            </w:r>
          </w:p>
        </w:tc>
        <w:tc>
          <w:tcPr>
            <w:tcW w:w="1559" w:type="dxa"/>
            <w:vAlign w:val="center"/>
          </w:tcPr>
          <w:p w14:paraId="720A3F57" w14:textId="77777777" w:rsidR="00517396" w:rsidRPr="00DC10A4" w:rsidRDefault="00517396" w:rsidP="00180F7E">
            <w:pPr>
              <w:pStyle w:val="Tabletext"/>
              <w:keepNext/>
              <w:keepLines/>
              <w:jc w:val="center"/>
            </w:pPr>
            <w:r w:rsidRPr="00DC10A4">
              <w:t>UIT-T</w:t>
            </w:r>
          </w:p>
        </w:tc>
        <w:tc>
          <w:tcPr>
            <w:tcW w:w="2213" w:type="dxa"/>
            <w:vAlign w:val="center"/>
          </w:tcPr>
          <w:p w14:paraId="0E2CE911" w14:textId="77777777" w:rsidR="00517396" w:rsidRPr="00DC10A4" w:rsidRDefault="00517396" w:rsidP="00180F7E">
            <w:pPr>
              <w:pStyle w:val="Tabletext"/>
              <w:keepNext/>
              <w:keepLines/>
              <w:jc w:val="center"/>
            </w:pPr>
            <w:r w:rsidRPr="00DC10A4">
              <w:t>OUI</w:t>
            </w:r>
          </w:p>
        </w:tc>
        <w:tc>
          <w:tcPr>
            <w:tcW w:w="2250" w:type="dxa"/>
            <w:vAlign w:val="center"/>
          </w:tcPr>
          <w:p w14:paraId="6BF5D969" w14:textId="77777777" w:rsidR="00517396" w:rsidRPr="00DC10A4" w:rsidRDefault="00517396" w:rsidP="00180F7E">
            <w:pPr>
              <w:pStyle w:val="Tabletext"/>
              <w:keepNext/>
              <w:keepLines/>
              <w:jc w:val="center"/>
            </w:pPr>
            <w:r w:rsidRPr="00DC10A4">
              <w:t>OUI</w:t>
            </w:r>
          </w:p>
        </w:tc>
      </w:tr>
    </w:tbl>
    <w:p w14:paraId="620B5365" w14:textId="77777777" w:rsidR="00517396" w:rsidRPr="008D47FA" w:rsidRDefault="00517396" w:rsidP="00D478CE">
      <w:pPr>
        <w:pStyle w:val="Headingb"/>
        <w:rPr>
          <w:lang w:val="fr-CH"/>
        </w:rPr>
      </w:pPr>
      <w:r w:rsidRPr="008D47FA">
        <w:rPr>
          <w:lang w:val="fr-CH"/>
        </w:rPr>
        <w:t>Observations r</w:t>
      </w:r>
      <w:r>
        <w:rPr>
          <w:lang w:val="fr-CH"/>
        </w:rPr>
        <w:t>elatives aux avantages mutuels</w:t>
      </w:r>
    </w:p>
    <w:p w14:paraId="678B2C72" w14:textId="77777777" w:rsidR="00517396" w:rsidRPr="008D47FA" w:rsidRDefault="00517396" w:rsidP="00D478CE">
      <w:pPr>
        <w:rPr>
          <w:lang w:val="fr-CH"/>
        </w:rPr>
      </w:pPr>
      <w:r w:rsidRPr="008D47FA">
        <w:rPr>
          <w:lang w:val="fr-CH"/>
        </w:rPr>
        <w:t>IMPACT est une alliance au service de la cybersécurité rattachée aux Nations Unies. Depuis 2011, IMPACT joue un rôle de premier plan pour promouvoir les objectifs de l</w:t>
      </w:r>
      <w:r>
        <w:rPr>
          <w:lang w:val="fr-CH"/>
        </w:rPr>
        <w:t>'</w:t>
      </w:r>
      <w:r w:rsidRPr="008D47FA">
        <w:rPr>
          <w:lang w:val="fr-CH"/>
        </w:rPr>
        <w:t>UIT en matière de cybersécurité et mène diverses activités dans le domaine de la normalisation des TIC.</w:t>
      </w:r>
    </w:p>
    <w:p w14:paraId="6134FAB0" w14:textId="77777777" w:rsidR="00517396" w:rsidRPr="008D47FA" w:rsidRDefault="00517396" w:rsidP="00180F7E">
      <w:pPr>
        <w:rPr>
          <w:bCs/>
          <w:lang w:val="fr-CH"/>
        </w:rPr>
      </w:pPr>
      <w:r w:rsidRPr="008D47FA">
        <w:rPr>
          <w:bCs/>
          <w:lang w:val="fr-CH"/>
        </w:rPr>
        <w:t>Sur les 193 membres de l</w:t>
      </w:r>
      <w:r>
        <w:rPr>
          <w:bCs/>
          <w:lang w:val="fr-CH"/>
        </w:rPr>
        <w:t>'</w:t>
      </w:r>
      <w:r w:rsidRPr="008D47FA">
        <w:rPr>
          <w:bCs/>
          <w:lang w:val="fr-CH"/>
        </w:rPr>
        <w:t>UIT, au total 149 pays font partie de cette alliance créée sous les auspices de l</w:t>
      </w:r>
      <w:r>
        <w:rPr>
          <w:bCs/>
          <w:lang w:val="fr-CH"/>
        </w:rPr>
        <w:t>'</w:t>
      </w:r>
      <w:r w:rsidRPr="008D47FA">
        <w:rPr>
          <w:bCs/>
          <w:lang w:val="fr-CH"/>
        </w:rPr>
        <w:t>UIT, qui est l</w:t>
      </w:r>
      <w:r>
        <w:rPr>
          <w:bCs/>
          <w:lang w:val="fr-CH"/>
        </w:rPr>
        <w:t>'</w:t>
      </w:r>
      <w:r w:rsidRPr="008D47FA">
        <w:rPr>
          <w:bCs/>
          <w:lang w:val="fr-CH"/>
        </w:rPr>
        <w:t>une des plus importantes dans le domaine de la cybersécurité.</w:t>
      </w:r>
    </w:p>
    <w:p w14:paraId="488213A5" w14:textId="77777777" w:rsidR="00517396" w:rsidRPr="008D47FA" w:rsidRDefault="00517396" w:rsidP="00180F7E">
      <w:pPr>
        <w:rPr>
          <w:lang w:val="fr-CH"/>
        </w:rPr>
      </w:pPr>
      <w:r w:rsidRPr="008D47FA">
        <w:rPr>
          <w:lang w:val="fr-CH"/>
        </w:rPr>
        <w:t>Depuis 2009, IMPACT a participé à un certain nombre d</w:t>
      </w:r>
      <w:r>
        <w:rPr>
          <w:lang w:val="fr-CH"/>
        </w:rPr>
        <w:t>'</w:t>
      </w:r>
      <w:r w:rsidRPr="008D47FA">
        <w:rPr>
          <w:lang w:val="fr-CH"/>
        </w:rPr>
        <w:t xml:space="preserve">activités et de projets visant à renforcer la cybersécurité dans les </w:t>
      </w:r>
      <w:r>
        <w:rPr>
          <w:lang w:val="fr-CH"/>
        </w:rPr>
        <w:t>Etats</w:t>
      </w:r>
      <w:r w:rsidRPr="008D47FA">
        <w:rPr>
          <w:lang w:val="fr-CH"/>
        </w:rPr>
        <w:t xml:space="preserve"> Membres de l</w:t>
      </w:r>
      <w:r>
        <w:rPr>
          <w:lang w:val="fr-CH"/>
        </w:rPr>
        <w:t>'</w:t>
      </w:r>
      <w:r w:rsidRPr="008D47FA">
        <w:rPr>
          <w:lang w:val="fr-CH"/>
        </w:rPr>
        <w:t>UIT.</w:t>
      </w:r>
    </w:p>
    <w:p w14:paraId="41387563" w14:textId="77777777" w:rsidR="00517396" w:rsidRPr="008D47FA" w:rsidRDefault="00517396" w:rsidP="00180F7E">
      <w:pPr>
        <w:rPr>
          <w:lang w:val="fr-CH"/>
        </w:rPr>
      </w:pPr>
      <w:r>
        <w:rPr>
          <w:lang w:val="fr-CH"/>
        </w:rPr>
        <w:t>La participation à t</w:t>
      </w:r>
      <w:r w:rsidRPr="008D47FA">
        <w:rPr>
          <w:lang w:val="fr-CH"/>
        </w:rPr>
        <w:t xml:space="preserve">ous les </w:t>
      </w:r>
      <w:r>
        <w:rPr>
          <w:lang w:val="fr-CH"/>
        </w:rPr>
        <w:t>ateliers</w:t>
      </w:r>
      <w:r w:rsidRPr="008D47FA">
        <w:rPr>
          <w:lang w:val="fr-CH"/>
        </w:rPr>
        <w:t xml:space="preserve">, formations et séminaires organisés par IMPACT </w:t>
      </w:r>
      <w:r>
        <w:rPr>
          <w:lang w:val="fr-CH"/>
        </w:rPr>
        <w:t xml:space="preserve">en collaboration avec </w:t>
      </w:r>
      <w:r w:rsidRPr="008D47FA">
        <w:rPr>
          <w:lang w:val="fr-CH"/>
        </w:rPr>
        <w:t xml:space="preserve">ses partenaires principaux </w:t>
      </w:r>
      <w:r>
        <w:rPr>
          <w:lang w:val="fr-CH"/>
        </w:rPr>
        <w:t xml:space="preserve">est ouverte </w:t>
      </w:r>
      <w:r w:rsidRPr="008D47FA">
        <w:rPr>
          <w:lang w:val="fr-CH"/>
        </w:rPr>
        <w:t xml:space="preserve">gratuitement </w:t>
      </w:r>
      <w:r>
        <w:rPr>
          <w:lang w:val="fr-CH"/>
        </w:rPr>
        <w:t>à</w:t>
      </w:r>
      <w:r w:rsidRPr="008D47FA">
        <w:rPr>
          <w:lang w:val="fr-CH"/>
        </w:rPr>
        <w:t xml:space="preserve"> l</w:t>
      </w:r>
      <w:r>
        <w:rPr>
          <w:lang w:val="fr-CH"/>
        </w:rPr>
        <w:t>'</w:t>
      </w:r>
      <w:r w:rsidRPr="008D47FA">
        <w:rPr>
          <w:lang w:val="fr-CH"/>
        </w:rPr>
        <w:t xml:space="preserve">UIT et </w:t>
      </w:r>
      <w:r>
        <w:rPr>
          <w:lang w:val="fr-CH"/>
        </w:rPr>
        <w:t xml:space="preserve">à </w:t>
      </w:r>
      <w:r w:rsidRPr="008D47FA">
        <w:rPr>
          <w:lang w:val="fr-CH"/>
        </w:rPr>
        <w:t xml:space="preserve">ses </w:t>
      </w:r>
      <w:r>
        <w:rPr>
          <w:lang w:val="fr-CH"/>
        </w:rPr>
        <w:t>Etats</w:t>
      </w:r>
      <w:r w:rsidRPr="008D47FA">
        <w:rPr>
          <w:lang w:val="fr-CH"/>
        </w:rPr>
        <w:t xml:space="preserve"> Membres.</w:t>
      </w:r>
    </w:p>
    <w:p w14:paraId="2DFC25A4" w14:textId="77777777" w:rsidR="00517396" w:rsidRPr="008D47FA" w:rsidRDefault="00517396" w:rsidP="00180F7E">
      <w:pPr>
        <w:rPr>
          <w:lang w:val="fr-CH"/>
        </w:rPr>
      </w:pPr>
      <w:r w:rsidRPr="008D47FA">
        <w:rPr>
          <w:lang w:val="fr-CH"/>
        </w:rPr>
        <w:t>IMPACT a créé un répertoire qui rassemble les ressources concernant les activités collaboratives menées avec ses partenaires, telles que des livres blancs, des outils et des documents relatifs à la protection en ligne des enfants. Toutes ces ressources seront mises à la disposition de l</w:t>
      </w:r>
      <w:r>
        <w:rPr>
          <w:lang w:val="fr-CH"/>
        </w:rPr>
        <w:t>'</w:t>
      </w:r>
      <w:r w:rsidRPr="008D47FA">
        <w:rPr>
          <w:lang w:val="fr-CH"/>
        </w:rPr>
        <w:t xml:space="preserve">UIT et de ses </w:t>
      </w:r>
      <w:r>
        <w:rPr>
          <w:lang w:val="fr-CH"/>
        </w:rPr>
        <w:t>Etats</w:t>
      </w:r>
      <w:r w:rsidRPr="008D47FA">
        <w:rPr>
          <w:lang w:val="fr-CH"/>
        </w:rPr>
        <w:t xml:space="preserve"> Membres gratuitement.</w:t>
      </w:r>
    </w:p>
    <w:p w14:paraId="3D3CD3C7" w14:textId="77777777" w:rsidR="00517396" w:rsidRPr="008D47FA" w:rsidRDefault="00517396" w:rsidP="00D478CE">
      <w:pPr>
        <w:spacing w:after="120"/>
        <w:rPr>
          <w:rFonts w:asciiTheme="minorHAnsi" w:hAnsiTheme="minorHAnsi" w:cs="Calibri"/>
          <w:szCs w:val="24"/>
          <w:lang w:val="en-US"/>
        </w:rPr>
      </w:pPr>
      <w:r w:rsidRPr="008D47FA">
        <w:rPr>
          <w:rFonts w:asciiTheme="minorHAnsi" w:hAnsiTheme="minorHAnsi" w:cs="Calibri"/>
          <w:szCs w:val="24"/>
          <w:lang w:val="en-US"/>
        </w:rPr>
        <w:t>6</w:t>
      </w:r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72"/>
        <w:gridCol w:w="1559"/>
        <w:gridCol w:w="2213"/>
        <w:gridCol w:w="2250"/>
      </w:tblGrid>
      <w:tr w:rsidR="00517396" w:rsidRPr="008D47FA" w14:paraId="710D5559" w14:textId="77777777" w:rsidTr="00D478CE">
        <w:trPr>
          <w:cantSplit/>
          <w:jc w:val="center"/>
        </w:trPr>
        <w:tc>
          <w:tcPr>
            <w:tcW w:w="3472" w:type="dxa"/>
          </w:tcPr>
          <w:p w14:paraId="619552E8" w14:textId="77777777" w:rsidR="00517396" w:rsidRPr="008D47FA" w:rsidRDefault="00517396" w:rsidP="00180F7E">
            <w:pPr>
              <w:pStyle w:val="Tablehead"/>
              <w:rPr>
                <w:lang w:val="fr-CH"/>
              </w:rPr>
            </w:pPr>
            <w:r w:rsidRPr="008D47FA">
              <w:rPr>
                <w:lang w:val="fr-CH"/>
              </w:rPr>
              <w:t>Organisation</w:t>
            </w:r>
          </w:p>
        </w:tc>
        <w:tc>
          <w:tcPr>
            <w:tcW w:w="1559" w:type="dxa"/>
          </w:tcPr>
          <w:p w14:paraId="389A716A" w14:textId="77777777" w:rsidR="00517396" w:rsidRPr="008D47FA" w:rsidRDefault="00517396" w:rsidP="00180F7E">
            <w:pPr>
              <w:pStyle w:val="Tablehead"/>
            </w:pPr>
            <w:r w:rsidRPr="008D47FA">
              <w:t>Secteur</w:t>
            </w:r>
          </w:p>
        </w:tc>
        <w:tc>
          <w:tcPr>
            <w:tcW w:w="2213" w:type="dxa"/>
          </w:tcPr>
          <w:p w14:paraId="17FDAEE6" w14:textId="77777777" w:rsidR="00517396" w:rsidRPr="008D47FA" w:rsidRDefault="00517396" w:rsidP="00180F7E">
            <w:pPr>
              <w:pStyle w:val="Tablehead"/>
            </w:pPr>
            <w:r w:rsidRPr="008D47FA">
              <w:t>Respecte les critères</w:t>
            </w:r>
          </w:p>
        </w:tc>
        <w:tc>
          <w:tcPr>
            <w:tcW w:w="2250" w:type="dxa"/>
          </w:tcPr>
          <w:p w14:paraId="7A2B7AA7" w14:textId="77777777" w:rsidR="00517396" w:rsidRPr="008D47FA" w:rsidRDefault="00517396" w:rsidP="00180F7E">
            <w:pPr>
              <w:pStyle w:val="Tablehead"/>
            </w:pPr>
            <w:r w:rsidRPr="008D47FA">
              <w:t>Recommandation du Secrétaire général</w:t>
            </w:r>
          </w:p>
        </w:tc>
      </w:tr>
      <w:tr w:rsidR="00517396" w:rsidRPr="008D47FA" w14:paraId="32F96054" w14:textId="77777777" w:rsidTr="00D478CE">
        <w:trPr>
          <w:cantSplit/>
          <w:jc w:val="center"/>
        </w:trPr>
        <w:tc>
          <w:tcPr>
            <w:tcW w:w="3472" w:type="dxa"/>
            <w:vAlign w:val="center"/>
          </w:tcPr>
          <w:p w14:paraId="27901AC4" w14:textId="77777777" w:rsidR="00517396" w:rsidRPr="00DC10A4" w:rsidRDefault="00517396" w:rsidP="00180F7E">
            <w:pPr>
              <w:pStyle w:val="Tabletext"/>
              <w:rPr>
                <w:b/>
                <w:bCs/>
                <w:iCs/>
                <w:lang w:val="en-US"/>
              </w:rPr>
            </w:pPr>
            <w:r w:rsidRPr="00DC10A4">
              <w:rPr>
                <w:b/>
                <w:bCs/>
              </w:rPr>
              <w:t xml:space="preserve">PITA </w:t>
            </w:r>
            <w:r>
              <w:rPr>
                <w:b/>
                <w:bCs/>
              </w:rPr>
              <w:t xml:space="preserve">– </w:t>
            </w:r>
            <w:r w:rsidRPr="00DC10A4">
              <w:rPr>
                <w:b/>
                <w:bCs/>
              </w:rPr>
              <w:t>Pacific Islands Telecommunications Association </w:t>
            </w:r>
          </w:p>
        </w:tc>
        <w:tc>
          <w:tcPr>
            <w:tcW w:w="1559" w:type="dxa"/>
            <w:vAlign w:val="center"/>
          </w:tcPr>
          <w:p w14:paraId="5E5F862D" w14:textId="77777777" w:rsidR="00517396" w:rsidRDefault="00517396" w:rsidP="00180F7E">
            <w:pPr>
              <w:pStyle w:val="Tabletext"/>
              <w:jc w:val="center"/>
              <w:rPr>
                <w:szCs w:val="24"/>
                <w:lang w:val="fr-CH"/>
              </w:rPr>
            </w:pPr>
            <w:r w:rsidRPr="008D47FA">
              <w:rPr>
                <w:szCs w:val="24"/>
                <w:lang w:val="fr-CH"/>
              </w:rPr>
              <w:t>UIT</w:t>
            </w:r>
            <w:r>
              <w:rPr>
                <w:szCs w:val="24"/>
                <w:lang w:val="fr-CH"/>
              </w:rPr>
              <w:t>-R</w:t>
            </w:r>
          </w:p>
          <w:p w14:paraId="11AB564D" w14:textId="77777777" w:rsidR="00517396" w:rsidRPr="008D47FA" w:rsidRDefault="00517396" w:rsidP="00180F7E">
            <w:pPr>
              <w:pStyle w:val="Tabletext"/>
              <w:jc w:val="center"/>
              <w:rPr>
                <w:szCs w:val="24"/>
                <w:lang w:val="fr-CH"/>
              </w:rPr>
            </w:pPr>
            <w:r w:rsidRPr="008D47FA">
              <w:rPr>
                <w:szCs w:val="24"/>
                <w:lang w:val="fr-CH"/>
              </w:rPr>
              <w:t>UIT-D</w:t>
            </w:r>
          </w:p>
        </w:tc>
        <w:tc>
          <w:tcPr>
            <w:tcW w:w="2213" w:type="dxa"/>
            <w:vAlign w:val="center"/>
          </w:tcPr>
          <w:p w14:paraId="751A754D" w14:textId="77777777" w:rsidR="00517396" w:rsidRDefault="00517396" w:rsidP="00180F7E">
            <w:pPr>
              <w:pStyle w:val="Tabletext"/>
              <w:jc w:val="center"/>
              <w:rPr>
                <w:szCs w:val="24"/>
                <w:lang w:val="fr-CH"/>
              </w:rPr>
            </w:pPr>
            <w:r w:rsidRPr="008D47FA">
              <w:rPr>
                <w:rFonts w:cstheme="minorHAnsi"/>
                <w:szCs w:val="24"/>
                <w:lang w:val="fr-CH"/>
              </w:rPr>
              <w:t>OUI</w:t>
            </w:r>
          </w:p>
          <w:p w14:paraId="1313070F" w14:textId="77777777" w:rsidR="00517396" w:rsidRPr="008D47FA" w:rsidRDefault="00517396" w:rsidP="00180F7E">
            <w:pPr>
              <w:pStyle w:val="Tabletext"/>
              <w:jc w:val="center"/>
              <w:rPr>
                <w:szCs w:val="24"/>
                <w:lang w:val="fr-CH"/>
              </w:rPr>
            </w:pPr>
            <w:r w:rsidRPr="008D47FA">
              <w:rPr>
                <w:rFonts w:cstheme="minorHAnsi"/>
                <w:szCs w:val="24"/>
                <w:lang w:val="fr-CH"/>
              </w:rPr>
              <w:t>OUI</w:t>
            </w:r>
          </w:p>
        </w:tc>
        <w:tc>
          <w:tcPr>
            <w:tcW w:w="2250" w:type="dxa"/>
            <w:vAlign w:val="center"/>
          </w:tcPr>
          <w:p w14:paraId="5C027622" w14:textId="77777777" w:rsidR="00517396" w:rsidRDefault="00517396" w:rsidP="00180F7E">
            <w:pPr>
              <w:pStyle w:val="Tabletext"/>
              <w:jc w:val="center"/>
              <w:rPr>
                <w:szCs w:val="24"/>
                <w:lang w:val="fr-CH"/>
              </w:rPr>
            </w:pPr>
            <w:r w:rsidRPr="008D47FA">
              <w:rPr>
                <w:rFonts w:cstheme="minorHAnsi"/>
                <w:szCs w:val="24"/>
                <w:lang w:val="fr-CH"/>
              </w:rPr>
              <w:t>OUI</w:t>
            </w:r>
          </w:p>
          <w:p w14:paraId="657ACC38" w14:textId="77777777" w:rsidR="00517396" w:rsidRPr="008D47FA" w:rsidRDefault="00517396" w:rsidP="00180F7E">
            <w:pPr>
              <w:pStyle w:val="Tabletext"/>
              <w:jc w:val="center"/>
              <w:rPr>
                <w:szCs w:val="24"/>
                <w:lang w:val="fr-CH"/>
              </w:rPr>
            </w:pPr>
            <w:r w:rsidRPr="008D47FA">
              <w:rPr>
                <w:rFonts w:cstheme="minorHAnsi"/>
                <w:szCs w:val="24"/>
                <w:lang w:val="fr-CH"/>
              </w:rPr>
              <w:t>OUI</w:t>
            </w:r>
          </w:p>
        </w:tc>
      </w:tr>
    </w:tbl>
    <w:p w14:paraId="23F14425" w14:textId="77777777" w:rsidR="00517396" w:rsidRPr="008D47FA" w:rsidRDefault="00517396" w:rsidP="00180F7E">
      <w:pPr>
        <w:pStyle w:val="Headingb"/>
        <w:spacing w:before="240"/>
        <w:rPr>
          <w:lang w:val="fr-CH"/>
        </w:rPr>
      </w:pPr>
      <w:r w:rsidRPr="008D47FA">
        <w:rPr>
          <w:lang w:val="fr-CH"/>
        </w:rPr>
        <w:t>Observations r</w:t>
      </w:r>
      <w:r>
        <w:rPr>
          <w:lang w:val="fr-CH"/>
        </w:rPr>
        <w:t>elatives aux avantages mutuels</w:t>
      </w:r>
    </w:p>
    <w:p w14:paraId="79CFF9CF" w14:textId="77777777" w:rsidR="00517396" w:rsidRPr="008D47FA" w:rsidRDefault="00517396" w:rsidP="00180F7E">
      <w:pPr>
        <w:rPr>
          <w:lang w:val="fr-CH"/>
        </w:rPr>
      </w:pPr>
      <w:r w:rsidRPr="008D47FA">
        <w:rPr>
          <w:lang w:val="fr-CH"/>
        </w:rPr>
        <w:t xml:space="preserve">Les activités principales de la </w:t>
      </w:r>
      <w:r w:rsidRPr="008D47FA">
        <w:rPr>
          <w:i/>
          <w:iCs/>
          <w:lang w:val="fr-CH"/>
        </w:rPr>
        <w:t>Pacific Islands Telecommunications Association</w:t>
      </w:r>
      <w:r w:rsidRPr="008D47FA">
        <w:rPr>
          <w:lang w:val="fr-CH"/>
        </w:rPr>
        <w:t xml:space="preserve"> (PITA) consistent à promouvoir, à renforcer et à améliorer les télécommunications </w:t>
      </w:r>
      <w:r>
        <w:rPr>
          <w:lang w:val="fr-CH"/>
        </w:rPr>
        <w:t xml:space="preserve">dans </w:t>
      </w:r>
      <w:r w:rsidRPr="008D47FA">
        <w:rPr>
          <w:lang w:val="fr-CH"/>
        </w:rPr>
        <w:t>ses pays membres. Elles comprennent des réunions au niveau régional, des ateliers techniques, des formations et des activités de coopération technique, qui visent à encourager l</w:t>
      </w:r>
      <w:r>
        <w:rPr>
          <w:lang w:val="fr-CH"/>
        </w:rPr>
        <w:t>'</w:t>
      </w:r>
      <w:r w:rsidRPr="008D47FA">
        <w:rPr>
          <w:lang w:val="fr-CH"/>
        </w:rPr>
        <w:t xml:space="preserve">échange de </w:t>
      </w:r>
      <w:r>
        <w:rPr>
          <w:lang w:val="fr-CH"/>
        </w:rPr>
        <w:t>savoir</w:t>
      </w:r>
      <w:r>
        <w:rPr>
          <w:lang w:val="fr-CH"/>
        </w:rPr>
        <w:noBreakHyphen/>
        <w:t>faire</w:t>
      </w:r>
      <w:r w:rsidRPr="008D47FA">
        <w:rPr>
          <w:lang w:val="fr-CH"/>
        </w:rPr>
        <w:t xml:space="preserve">, de connaissances et de capacités </w:t>
      </w:r>
      <w:r>
        <w:rPr>
          <w:lang w:val="fr-CH"/>
        </w:rPr>
        <w:t>entre les pays membres et avec d</w:t>
      </w:r>
      <w:r w:rsidRPr="008D47FA">
        <w:rPr>
          <w:lang w:val="fr-CH"/>
        </w:rPr>
        <w:t xml:space="preserve">es organisations des pays développés. Les membres de la PITA sont des entités du secteur des télécommunications des </w:t>
      </w:r>
      <w:r>
        <w:rPr>
          <w:lang w:val="fr-CH"/>
        </w:rPr>
        <w:t>Etats</w:t>
      </w:r>
      <w:r w:rsidRPr="008D47FA">
        <w:rPr>
          <w:lang w:val="fr-CH"/>
        </w:rPr>
        <w:t xml:space="preserve"> ou des territoires insulaires du Pacifique. Les membres associés sont des organisations professionnelles, des </w:t>
      </w:r>
      <w:r>
        <w:rPr>
          <w:lang w:val="fr-CH"/>
        </w:rPr>
        <w:t xml:space="preserve">équipementiers </w:t>
      </w:r>
      <w:r w:rsidRPr="008D47FA">
        <w:rPr>
          <w:lang w:val="fr-CH"/>
        </w:rPr>
        <w:t>et des fournisseurs de solutions issus du monde entier. Une catégorie spéciale de membre existe pour les gouvernements et les organes régulateurs.</w:t>
      </w:r>
    </w:p>
    <w:p w14:paraId="3AAF6725" w14:textId="77777777" w:rsidR="00517396" w:rsidRPr="008D47FA" w:rsidRDefault="00517396" w:rsidP="00D478CE">
      <w:pPr>
        <w:rPr>
          <w:lang w:val="fr-CH"/>
        </w:rPr>
      </w:pPr>
      <w:r w:rsidRPr="008D47FA">
        <w:rPr>
          <w:lang w:val="fr-CH"/>
        </w:rPr>
        <w:t>La PITA a collaboré avec l</w:t>
      </w:r>
      <w:r>
        <w:rPr>
          <w:lang w:val="fr-CH"/>
        </w:rPr>
        <w:t>'</w:t>
      </w:r>
      <w:r w:rsidRPr="008D47FA">
        <w:rPr>
          <w:lang w:val="fr-CH"/>
        </w:rPr>
        <w:t>UIT pour organiser des réunions et des projets dans la région du Pacifique et utilisé ses propres financements pour s</w:t>
      </w:r>
      <w:r>
        <w:rPr>
          <w:lang w:val="fr-CH"/>
        </w:rPr>
        <w:t>'</w:t>
      </w:r>
      <w:r w:rsidRPr="008D47FA">
        <w:rPr>
          <w:lang w:val="fr-CH"/>
        </w:rPr>
        <w:t>acquitter de ses responsabilités au titre des accords conclus concernant ces activités. La PITA invite l</w:t>
      </w:r>
      <w:r>
        <w:rPr>
          <w:lang w:val="fr-CH"/>
        </w:rPr>
        <w:t>'</w:t>
      </w:r>
      <w:r w:rsidRPr="008D47FA">
        <w:rPr>
          <w:lang w:val="fr-CH"/>
        </w:rPr>
        <w:t>UIT à participer, sans frais d</w:t>
      </w:r>
      <w:r>
        <w:rPr>
          <w:lang w:val="fr-CH"/>
        </w:rPr>
        <w:t>'</w:t>
      </w:r>
      <w:r w:rsidRPr="008D47FA">
        <w:rPr>
          <w:lang w:val="fr-CH"/>
        </w:rPr>
        <w:t>inscription, à ses réunions et activités. Ces activités ont représenté des occasions intéressantes et rentables pour l</w:t>
      </w:r>
      <w:r>
        <w:rPr>
          <w:lang w:val="fr-CH"/>
        </w:rPr>
        <w:t>'</w:t>
      </w:r>
      <w:r w:rsidRPr="008D47FA">
        <w:rPr>
          <w:lang w:val="fr-CH"/>
        </w:rPr>
        <w:t>UIT-D, qui lui ont permis d</w:t>
      </w:r>
      <w:r>
        <w:rPr>
          <w:lang w:val="fr-CH"/>
        </w:rPr>
        <w:t>'</w:t>
      </w:r>
      <w:r w:rsidRPr="008D47FA">
        <w:rPr>
          <w:lang w:val="fr-CH"/>
        </w:rPr>
        <w:t>élaborer des rapports, d</w:t>
      </w:r>
      <w:r>
        <w:rPr>
          <w:lang w:val="fr-CH"/>
        </w:rPr>
        <w:t>'</w:t>
      </w:r>
      <w:r w:rsidRPr="008D47FA">
        <w:rPr>
          <w:lang w:val="fr-CH"/>
        </w:rPr>
        <w:t>échanger et de débattre sur les activités communes qui pourraient être mises en place avec les principaux partenaires des îles du Pacifique.</w:t>
      </w:r>
    </w:p>
    <w:p w14:paraId="7614D479" w14:textId="77777777" w:rsidR="00517396" w:rsidRPr="008D47FA" w:rsidRDefault="00517396" w:rsidP="00180F7E">
      <w:pPr>
        <w:rPr>
          <w:lang w:val="fr-CH"/>
        </w:rPr>
      </w:pPr>
      <w:r w:rsidRPr="008D47FA">
        <w:rPr>
          <w:szCs w:val="22"/>
          <w:lang w:val="fr-CH"/>
        </w:rPr>
        <w:t>La PITA fournit également un appui au Secteur de l</w:t>
      </w:r>
      <w:r>
        <w:rPr>
          <w:szCs w:val="22"/>
          <w:lang w:val="fr-CH"/>
        </w:rPr>
        <w:t>'</w:t>
      </w:r>
      <w:r w:rsidRPr="008D47FA">
        <w:rPr>
          <w:szCs w:val="22"/>
          <w:lang w:val="fr-CH"/>
        </w:rPr>
        <w:t xml:space="preserve">UIT-R pour les initiatives menées dans les </w:t>
      </w:r>
      <w:r>
        <w:rPr>
          <w:szCs w:val="22"/>
          <w:lang w:val="fr-CH"/>
        </w:rPr>
        <w:t>îles du </w:t>
      </w:r>
      <w:r w:rsidRPr="008D47FA">
        <w:rPr>
          <w:szCs w:val="22"/>
          <w:lang w:val="fr-CH"/>
        </w:rPr>
        <w:t>Pacifique. En 2013, l</w:t>
      </w:r>
      <w:r>
        <w:rPr>
          <w:szCs w:val="22"/>
          <w:lang w:val="fr-CH"/>
        </w:rPr>
        <w:t>'</w:t>
      </w:r>
      <w:r w:rsidRPr="008D47FA">
        <w:rPr>
          <w:szCs w:val="22"/>
          <w:lang w:val="fr-CH"/>
        </w:rPr>
        <w:t>UIT-R</w:t>
      </w:r>
      <w:r>
        <w:rPr>
          <w:szCs w:val="22"/>
          <w:lang w:val="fr-CH"/>
        </w:rPr>
        <w:t xml:space="preserve"> et </w:t>
      </w:r>
      <w:r w:rsidRPr="008D47FA">
        <w:rPr>
          <w:szCs w:val="22"/>
          <w:lang w:val="fr-CH"/>
        </w:rPr>
        <w:t>la PITA</w:t>
      </w:r>
      <w:r>
        <w:rPr>
          <w:szCs w:val="22"/>
          <w:lang w:val="fr-CH"/>
        </w:rPr>
        <w:t xml:space="preserve"> ont</w:t>
      </w:r>
      <w:r w:rsidRPr="008D47FA">
        <w:rPr>
          <w:szCs w:val="22"/>
          <w:lang w:val="fr-CH"/>
        </w:rPr>
        <w:t xml:space="preserve"> organisé </w:t>
      </w:r>
      <w:r>
        <w:rPr>
          <w:szCs w:val="22"/>
          <w:lang w:val="fr-CH"/>
        </w:rPr>
        <w:t xml:space="preserve">en partenariat </w:t>
      </w:r>
      <w:r w:rsidRPr="008D47FA">
        <w:rPr>
          <w:szCs w:val="22"/>
          <w:lang w:val="fr-CH"/>
        </w:rPr>
        <w:t>un séminaire sur les radiocommunications pour la région Asie-Pacifique, ainsi qu</w:t>
      </w:r>
      <w:r>
        <w:rPr>
          <w:szCs w:val="22"/>
          <w:lang w:val="fr-CH"/>
        </w:rPr>
        <w:t>'</w:t>
      </w:r>
      <w:r w:rsidRPr="008D47FA">
        <w:rPr>
          <w:szCs w:val="22"/>
          <w:lang w:val="fr-CH"/>
        </w:rPr>
        <w:t>un atelier concernant l</w:t>
      </w:r>
      <w:r>
        <w:rPr>
          <w:szCs w:val="22"/>
          <w:lang w:val="fr-CH"/>
        </w:rPr>
        <w:t>'</w:t>
      </w:r>
      <w:r w:rsidRPr="008D47FA">
        <w:rPr>
          <w:szCs w:val="22"/>
          <w:lang w:val="fr-CH"/>
        </w:rPr>
        <w:t>avenir de la bande C dans la région du Pacifique. L</w:t>
      </w:r>
      <w:r>
        <w:rPr>
          <w:szCs w:val="22"/>
          <w:lang w:val="fr-CH"/>
        </w:rPr>
        <w:t>'</w:t>
      </w:r>
      <w:r w:rsidRPr="008D47FA">
        <w:rPr>
          <w:szCs w:val="22"/>
          <w:lang w:val="fr-CH"/>
        </w:rPr>
        <w:t>UIT-R prépare actuellement avec la PITA un atelier de haut niveau qui se tiendra en 2014, et participera à son Assemblée, comme il l</w:t>
      </w:r>
      <w:r>
        <w:rPr>
          <w:szCs w:val="22"/>
          <w:lang w:val="fr-CH"/>
        </w:rPr>
        <w:t>'</w:t>
      </w:r>
      <w:r w:rsidRPr="008D47FA">
        <w:rPr>
          <w:szCs w:val="22"/>
          <w:lang w:val="fr-CH"/>
        </w:rPr>
        <w:t>a fait ces deux dernières années.</w:t>
      </w:r>
    </w:p>
    <w:p w14:paraId="18282497" w14:textId="77777777" w:rsidR="00517396" w:rsidRPr="00553548" w:rsidRDefault="00517396" w:rsidP="00180F7E">
      <w:pPr>
        <w:rPr>
          <w:lang w:val="fr-CH"/>
        </w:rPr>
      </w:pPr>
      <w:r w:rsidRPr="008D47FA">
        <w:rPr>
          <w:lang w:val="fr-CH"/>
        </w:rPr>
        <w:t>Par conséquent, la PITA compte parmi les partenaires importants des programmes de l</w:t>
      </w:r>
      <w:r>
        <w:rPr>
          <w:lang w:val="fr-CH"/>
        </w:rPr>
        <w:t>'</w:t>
      </w:r>
      <w:r w:rsidRPr="008D47FA">
        <w:rPr>
          <w:lang w:val="fr-CH"/>
        </w:rPr>
        <w:t>UIT-R et de l</w:t>
      </w:r>
      <w:r>
        <w:rPr>
          <w:lang w:val="fr-CH"/>
        </w:rPr>
        <w:t>'</w:t>
      </w:r>
      <w:r w:rsidRPr="008D47FA">
        <w:rPr>
          <w:lang w:val="fr-CH"/>
        </w:rPr>
        <w:t xml:space="preserve">UIT-D </w:t>
      </w:r>
      <w:r>
        <w:rPr>
          <w:lang w:val="fr-CH"/>
        </w:rPr>
        <w:t xml:space="preserve">destinés aux </w:t>
      </w:r>
      <w:r w:rsidRPr="008D47FA">
        <w:rPr>
          <w:lang w:val="fr-CH"/>
        </w:rPr>
        <w:t xml:space="preserve">îles du Pacifique. Cette collaboration permet de tirer des bénéfices mutuels des possibilités envisagées pour promouvoir les </w:t>
      </w:r>
      <w:r>
        <w:rPr>
          <w:lang w:val="fr-CH"/>
        </w:rPr>
        <w:t xml:space="preserve">normes relatives aux </w:t>
      </w:r>
      <w:r w:rsidRPr="008D47FA">
        <w:rPr>
          <w:lang w:val="fr-CH"/>
        </w:rPr>
        <w:t xml:space="preserve">télécommunications et </w:t>
      </w:r>
      <w:r>
        <w:rPr>
          <w:lang w:val="fr-CH"/>
        </w:rPr>
        <w:t xml:space="preserve">aux </w:t>
      </w:r>
      <w:r w:rsidRPr="008D47FA">
        <w:rPr>
          <w:lang w:val="fr-CH"/>
        </w:rPr>
        <w:t>technologies de l</w:t>
      </w:r>
      <w:r>
        <w:rPr>
          <w:lang w:val="fr-CH"/>
        </w:rPr>
        <w:t>'</w:t>
      </w:r>
      <w:r w:rsidRPr="008D47FA">
        <w:rPr>
          <w:lang w:val="fr-CH"/>
        </w:rPr>
        <w:t>information au niveau régional et pour coopérer en vue de renforcer les capacités et de trans</w:t>
      </w:r>
      <w:r>
        <w:rPr>
          <w:lang w:val="fr-CH"/>
        </w:rPr>
        <w:t>férer un savoir-faire</w:t>
      </w:r>
      <w:r w:rsidRPr="008D47FA">
        <w:rPr>
          <w:lang w:val="fr-CH"/>
        </w:rPr>
        <w:t>, des connaissances et des compétences à la région des îles du Pacifique.</w:t>
      </w:r>
    </w:p>
    <w:p w14:paraId="5710676E" w14:textId="77777777" w:rsidR="00517396" w:rsidRPr="00425C07" w:rsidRDefault="00517396" w:rsidP="00180F7E">
      <w:pPr>
        <w:pStyle w:val="AnnexNo"/>
        <w:rPr>
          <w:lang w:val="fr-CH"/>
        </w:rPr>
      </w:pPr>
      <w:r w:rsidRPr="00425C07">
        <w:rPr>
          <w:lang w:val="fr-CH"/>
        </w:rPr>
        <w:br w:type="page"/>
      </w:r>
    </w:p>
    <w:p w14:paraId="2B5CD81B" w14:textId="77777777" w:rsidR="00517396" w:rsidRPr="00627FE4" w:rsidRDefault="00517396" w:rsidP="00180F7E">
      <w:pPr>
        <w:pStyle w:val="AnnexNo"/>
        <w:rPr>
          <w:lang w:val="fr-CH"/>
        </w:rPr>
      </w:pPr>
      <w:r w:rsidRPr="00627FE4">
        <w:rPr>
          <w:lang w:val="fr-CH"/>
        </w:rPr>
        <w:t>ANNEXe 2</w:t>
      </w:r>
    </w:p>
    <w:p w14:paraId="23DB41ED" w14:textId="23832707" w:rsidR="00517396" w:rsidRPr="00627FE4" w:rsidRDefault="00517396" w:rsidP="00180F7E">
      <w:pPr>
        <w:pStyle w:val="Annextitle"/>
        <w:spacing w:after="480"/>
        <w:rPr>
          <w:lang w:val="fr-CH"/>
        </w:rPr>
      </w:pPr>
      <w:r w:rsidRPr="00627FE4">
        <w:rPr>
          <w:lang w:val="fr-CH"/>
        </w:rPr>
        <w:t xml:space="preserve">Liste </w:t>
      </w:r>
      <w:r w:rsidR="00566D8C">
        <w:rPr>
          <w:lang w:val="fr-CH"/>
        </w:rPr>
        <w:t>actuelle des entités exonérées</w:t>
      </w:r>
    </w:p>
    <w:tbl>
      <w:tblPr>
        <w:tblStyle w:val="TableGri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5353"/>
        <w:gridCol w:w="1021"/>
        <w:gridCol w:w="992"/>
        <w:gridCol w:w="993"/>
        <w:gridCol w:w="1530"/>
      </w:tblGrid>
      <w:tr w:rsidR="00517396" w:rsidRPr="000F233D" w14:paraId="692D2879" w14:textId="77777777" w:rsidTr="00971218">
        <w:trPr>
          <w:trHeight w:val="255"/>
          <w:tblHeader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CEAD4" w14:textId="77777777" w:rsidR="00517396" w:rsidRPr="000F233D" w:rsidRDefault="00517396" w:rsidP="003F3B26">
            <w:pPr>
              <w:pStyle w:val="Tablehead"/>
              <w:rPr>
                <w:lang w:val="en-US" w:eastAsia="zh-CN"/>
              </w:rPr>
            </w:pPr>
            <w:r>
              <w:rPr>
                <w:lang w:val="en-US" w:eastAsia="zh-CN"/>
              </w:rPr>
              <w:t>ENTITÉ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96AA" w14:textId="77777777" w:rsidR="00517396" w:rsidRPr="000F233D" w:rsidRDefault="00517396" w:rsidP="003F3B26">
            <w:pPr>
              <w:pStyle w:val="Tablehead"/>
              <w:rPr>
                <w:lang w:val="en-US" w:eastAsia="zh-CN"/>
              </w:rPr>
            </w:pPr>
            <w:r>
              <w:rPr>
                <w:lang w:val="en-US" w:eastAsia="zh-CN"/>
              </w:rPr>
              <w:t>UIT</w:t>
            </w:r>
            <w:r w:rsidRPr="000F233D">
              <w:rPr>
                <w:lang w:val="en-US" w:eastAsia="zh-CN"/>
              </w:rPr>
              <w:t>-R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D4D2" w14:textId="77777777" w:rsidR="00517396" w:rsidRPr="000F233D" w:rsidRDefault="00517396" w:rsidP="003F3B26">
            <w:pPr>
              <w:pStyle w:val="Tablehead"/>
              <w:rPr>
                <w:lang w:val="en-US" w:eastAsia="zh-CN"/>
              </w:rPr>
            </w:pPr>
            <w:r>
              <w:rPr>
                <w:lang w:val="en-US" w:eastAsia="zh-CN"/>
              </w:rPr>
              <w:t>UIT</w:t>
            </w:r>
            <w:r w:rsidRPr="000F233D">
              <w:rPr>
                <w:lang w:val="en-US" w:eastAsia="zh-CN"/>
              </w:rPr>
              <w:t>-T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246B2" w14:textId="77777777" w:rsidR="00517396" w:rsidRPr="000F233D" w:rsidRDefault="00517396" w:rsidP="003F3B26">
            <w:pPr>
              <w:pStyle w:val="Tablehead"/>
              <w:rPr>
                <w:lang w:val="en-US" w:eastAsia="zh-CN"/>
              </w:rPr>
            </w:pPr>
            <w:r>
              <w:rPr>
                <w:lang w:val="en-US" w:eastAsia="zh-CN"/>
              </w:rPr>
              <w:t>UIT</w:t>
            </w:r>
            <w:r w:rsidRPr="000F233D">
              <w:rPr>
                <w:lang w:val="en-US" w:eastAsia="zh-CN"/>
              </w:rPr>
              <w:t>-D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544E" w14:textId="060A9074" w:rsidR="00517396" w:rsidRPr="000F233D" w:rsidRDefault="00517396" w:rsidP="003F3B26">
            <w:pPr>
              <w:pStyle w:val="Tablehead"/>
              <w:rPr>
                <w:lang w:val="en-US" w:eastAsia="zh-CN"/>
              </w:rPr>
            </w:pPr>
            <w:r>
              <w:rPr>
                <w:lang w:val="en-US" w:eastAsia="zh-CN"/>
              </w:rPr>
              <w:t>Réponse au questionnaire</w:t>
            </w:r>
          </w:p>
        </w:tc>
      </w:tr>
      <w:tr w:rsidR="00517396" w:rsidRPr="00F71BD3" w14:paraId="185EF6AC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698C8" w14:textId="77777777" w:rsidR="00517396" w:rsidRPr="00F71BD3" w:rsidRDefault="00517396" w:rsidP="00180F7E">
            <w:pPr>
              <w:pStyle w:val="Tabletext"/>
              <w:rPr>
                <w:rFonts w:asciiTheme="minorHAnsi" w:hAnsiTheme="minorHAnsi" w:cstheme="minorHAnsi"/>
                <w:lang w:val="fr-CH" w:eastAsia="zh-CN"/>
              </w:rPr>
            </w:pPr>
            <w:r w:rsidRPr="00F71BD3">
              <w:t xml:space="preserve">Société civile africaine pour la société de l'information </w:t>
            </w:r>
            <w:r w:rsidRPr="00F71BD3">
              <w:rPr>
                <w:rFonts w:asciiTheme="minorHAnsi" w:hAnsiTheme="minorHAnsi" w:cstheme="minorHAnsi"/>
                <w:lang w:val="fr-CH" w:eastAsia="zh-CN"/>
              </w:rPr>
              <w:t>(ACSIS)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D692" w14:textId="77777777" w:rsidR="00517396" w:rsidRPr="00F71BD3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F71BD3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756E" w14:textId="77777777" w:rsidR="00517396" w:rsidRPr="00F71BD3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F71BD3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10E75C" w14:textId="77777777" w:rsidR="00517396" w:rsidRPr="00F71BD3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F71BD3"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8B91" w14:textId="77777777" w:rsidR="00517396" w:rsidRPr="00F71BD3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F71BD3"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F71BD3" w14:paraId="749C9E8F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9D26B" w14:textId="77777777" w:rsidR="00517396" w:rsidRPr="00F71BD3" w:rsidRDefault="00517396" w:rsidP="00180F7E">
            <w:pPr>
              <w:pStyle w:val="Tabletext"/>
              <w:rPr>
                <w:rFonts w:asciiTheme="minorHAnsi" w:hAnsiTheme="minorHAnsi" w:cstheme="minorHAnsi"/>
                <w:lang w:val="fr-CH" w:eastAsia="zh-CN"/>
              </w:rPr>
            </w:pPr>
            <w:r w:rsidRPr="00F71BD3">
              <w:t>Réseau de consommateurs africains des </w:t>
            </w:r>
            <w:r>
              <w:t xml:space="preserve">TIC </w:t>
            </w:r>
            <w:r w:rsidRPr="00F71BD3">
              <w:rPr>
                <w:rFonts w:asciiTheme="minorHAnsi" w:hAnsiTheme="minorHAnsi" w:cstheme="minorHAnsi"/>
                <w:lang w:val="fr-CH" w:eastAsia="zh-CN"/>
              </w:rPr>
              <w:t>(AICN)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139B" w14:textId="77777777" w:rsidR="00517396" w:rsidRPr="00F71BD3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F71BD3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1F1C" w14:textId="77777777" w:rsidR="00517396" w:rsidRPr="00F71BD3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F71BD3"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97479" w14:textId="77777777" w:rsidR="00517396" w:rsidRPr="00F71BD3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F71BD3"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371A" w14:textId="77777777" w:rsidR="00517396" w:rsidRPr="00F71BD3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F71BD3"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766BD039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BC40B" w14:textId="77777777" w:rsidR="00517396" w:rsidRPr="000F233D" w:rsidRDefault="00517396" w:rsidP="00180F7E">
            <w:pPr>
              <w:pStyle w:val="Tabletext"/>
              <w:rPr>
                <w:rFonts w:asciiTheme="minorHAnsi" w:hAnsiTheme="minorHAnsi" w:cstheme="minorHAnsi"/>
                <w:lang w:val="en-US" w:eastAsia="zh-CN"/>
              </w:rPr>
            </w:pPr>
            <w:r w:rsidRPr="0007727F">
              <w:rPr>
                <w:lang w:val="fr-CH"/>
              </w:rPr>
              <w:t>Union africaine des télécommunications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A9A6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FC01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647CC5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5333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55ED010D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200EEC" w14:textId="77777777" w:rsidR="00517396" w:rsidRPr="000F233D" w:rsidRDefault="00517396" w:rsidP="00180F7E">
            <w:pPr>
              <w:pStyle w:val="Tabletext"/>
              <w:rPr>
                <w:rFonts w:asciiTheme="minorHAnsi" w:hAnsiTheme="minorHAnsi" w:cstheme="minorHAnsi"/>
                <w:lang w:val="en-US" w:eastAsia="zh-CN"/>
              </w:rPr>
            </w:pPr>
            <w:r w:rsidRPr="0007727F">
              <w:rPr>
                <w:lang w:val="fr-CH"/>
              </w:rPr>
              <w:t>Union africaine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4315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642E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3139A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BB16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06FC4327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4E2332" w14:textId="77777777" w:rsidR="00517396" w:rsidRPr="000F233D" w:rsidRDefault="00517396" w:rsidP="00180F7E">
            <w:pPr>
              <w:pStyle w:val="Tabletext"/>
              <w:rPr>
                <w:rFonts w:asciiTheme="minorHAnsi" w:hAnsiTheme="minorHAnsi" w:cstheme="minorHAnsi"/>
                <w:lang w:val="en-US" w:eastAsia="zh-CN"/>
              </w:rPr>
            </w:pPr>
            <w:r w:rsidRPr="0007727F">
              <w:rPr>
                <w:lang w:val="fr-CH"/>
              </w:rPr>
              <w:t>Union africaine de</w:t>
            </w:r>
            <w:r>
              <w:rPr>
                <w:lang w:val="fr-CH"/>
              </w:rPr>
              <w:t xml:space="preserve"> radiodiffusion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8F5FA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563A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5F890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9225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</w:tr>
      <w:tr w:rsidR="00517396" w:rsidRPr="000F233D" w14:paraId="768E4B60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A8DB01" w14:textId="1EC77A8F" w:rsidR="00517396" w:rsidRPr="000F233D" w:rsidRDefault="00517396" w:rsidP="00180F7E">
            <w:pPr>
              <w:pStyle w:val="Tabletext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Arab Bus</w:t>
            </w:r>
            <w:r w:rsidR="00566D8C">
              <w:rPr>
                <w:rFonts w:asciiTheme="minorHAnsi" w:hAnsiTheme="minorHAnsi" w:cstheme="minorHAnsi"/>
                <w:lang w:val="en-US" w:eastAsia="zh-CN"/>
              </w:rPr>
              <w:t xml:space="preserve">iness Forum for Information and </w:t>
            </w:r>
            <w:r w:rsidRPr="000F233D">
              <w:rPr>
                <w:rFonts w:asciiTheme="minorHAnsi" w:hAnsiTheme="minorHAnsi" w:cstheme="minorHAnsi"/>
                <w:lang w:val="en-US" w:eastAsia="zh-CN"/>
              </w:rPr>
              <w:t>Communication Technology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72CD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2094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219C23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EAC5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</w:tr>
      <w:tr w:rsidR="00517396" w:rsidRPr="000F233D" w14:paraId="10125DFF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EE8A79" w14:textId="3D99964F" w:rsidR="00517396" w:rsidRPr="00A4179C" w:rsidRDefault="00517396" w:rsidP="00180F7E">
            <w:pPr>
              <w:pStyle w:val="Tabletext"/>
              <w:rPr>
                <w:rFonts w:asciiTheme="minorHAnsi" w:hAnsiTheme="minorHAnsi" w:cstheme="minorHAnsi"/>
                <w:lang w:val="fr-CH" w:eastAsia="zh-CN"/>
              </w:rPr>
            </w:pPr>
            <w:r w:rsidRPr="00A4179C">
              <w:rPr>
                <w:rFonts w:asciiTheme="minorHAnsi" w:hAnsiTheme="minorHAnsi" w:cstheme="minorHAnsi"/>
                <w:lang w:val="fr-CH" w:eastAsia="zh-CN"/>
              </w:rPr>
              <w:t>Organisation arabe des t</w:t>
            </w:r>
            <w:r w:rsidR="00566D8C">
              <w:rPr>
                <w:rFonts w:asciiTheme="minorHAnsi" w:hAnsiTheme="minorHAnsi" w:cstheme="minorHAnsi"/>
                <w:lang w:val="fr-CH" w:eastAsia="zh-CN"/>
              </w:rPr>
              <w:t>echnologies de l'information et </w:t>
            </w:r>
            <w:r w:rsidRPr="00A4179C">
              <w:rPr>
                <w:rFonts w:asciiTheme="minorHAnsi" w:hAnsiTheme="minorHAnsi" w:cstheme="minorHAnsi"/>
                <w:lang w:val="fr-CH" w:eastAsia="zh-CN"/>
              </w:rPr>
              <w:t>de la communication (AICTO)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33AE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4705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0B561F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ABCB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3F3B26"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2A24AD4E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CAB8C" w14:textId="77777777" w:rsidR="00517396" w:rsidRPr="000F233D" w:rsidRDefault="00517396" w:rsidP="00180F7E">
            <w:pPr>
              <w:pStyle w:val="Tabletext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Arab Private Broadcasting Union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DE46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D0B0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6BEB0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3C1B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</w:tr>
      <w:tr w:rsidR="00517396" w:rsidRPr="000F233D" w14:paraId="4A49B87F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19467A" w14:textId="77777777" w:rsidR="00517396" w:rsidRPr="000F233D" w:rsidRDefault="00517396" w:rsidP="00180F7E">
            <w:pPr>
              <w:pStyle w:val="Tabletext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Réseau des régulateurs arabes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988D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3815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1255D1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2B1C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0F1D4758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7CC7D" w14:textId="77777777" w:rsidR="00517396" w:rsidRPr="00183D5F" w:rsidRDefault="00517396" w:rsidP="00180F7E">
            <w:pPr>
              <w:pStyle w:val="Tabletext"/>
              <w:rPr>
                <w:rFonts w:asciiTheme="minorHAnsi" w:hAnsiTheme="minorHAnsi" w:cstheme="minorHAnsi"/>
                <w:lang w:val="fr-CH" w:eastAsia="zh-CN"/>
              </w:rPr>
            </w:pPr>
            <w:r>
              <w:t>Union de radiodiffusion des Etats arabes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7D8D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4F28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E8F91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85F1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</w:tr>
      <w:tr w:rsidR="00517396" w:rsidRPr="000F233D" w14:paraId="049E280F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46B7CF" w14:textId="77777777" w:rsidR="00517396" w:rsidRPr="00183D5F" w:rsidRDefault="00517396" w:rsidP="00180F7E">
            <w:pPr>
              <w:pStyle w:val="Tabletext"/>
              <w:rPr>
                <w:rFonts w:asciiTheme="minorHAnsi" w:hAnsiTheme="minorHAnsi" w:cstheme="minorHAnsi"/>
                <w:lang w:val="fr-CH" w:eastAsia="zh-CN"/>
              </w:rPr>
            </w:pPr>
            <w:r>
              <w:t>Union de radiodiffusion pour l'Asie et le Pacifique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6CEC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62CA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3BD0C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2AC8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7397205E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36798" w14:textId="77777777" w:rsidR="00517396" w:rsidRPr="008755F7" w:rsidRDefault="00517396" w:rsidP="00180F7E">
            <w:pPr>
              <w:pStyle w:val="Tabletext"/>
              <w:rPr>
                <w:rFonts w:asciiTheme="minorHAnsi" w:hAnsiTheme="minorHAnsi" w:cstheme="minorHAnsi"/>
                <w:lang w:val="fr-CH" w:eastAsia="zh-CN"/>
              </w:rPr>
            </w:pPr>
            <w:r w:rsidRPr="008755F7">
              <w:rPr>
                <w:rFonts w:asciiTheme="minorHAnsi" w:hAnsiTheme="minorHAnsi" w:cstheme="minorHAnsi"/>
                <w:lang w:val="fr-CH" w:eastAsia="zh-CN"/>
              </w:rPr>
              <w:t>Institut de l'Asie et du Pacifique pour le développement des émissions radiophoniques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0922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5229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5F5EA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F823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628FB37C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1A532" w14:textId="77777777" w:rsidR="00517396" w:rsidRPr="000F233D" w:rsidRDefault="00517396" w:rsidP="00180F7E">
            <w:pPr>
              <w:pStyle w:val="Tabletext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Télécommunauté Asie-Pacifique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2A22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3252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330B5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5D14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4664F0B7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5997A" w14:textId="77777777" w:rsidR="00517396" w:rsidRPr="003570B2" w:rsidRDefault="00517396" w:rsidP="00180F7E">
            <w:pPr>
              <w:pStyle w:val="Tabletext"/>
              <w:rPr>
                <w:rFonts w:asciiTheme="minorHAnsi" w:hAnsiTheme="minorHAnsi" w:cstheme="minorHAnsi"/>
                <w:lang w:val="es-ES_tradnl" w:eastAsia="zh-CN"/>
              </w:rPr>
            </w:pPr>
            <w:r w:rsidRPr="003570B2">
              <w:rPr>
                <w:lang w:val="es-ES_tradnl"/>
              </w:rPr>
              <w:t>Asociación Iberoamericana de Centros de Investigación y Empresas de Telecomunicaciones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B9B5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2D2B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3B159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7E4C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5AF927DC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7384C8" w14:textId="77777777" w:rsidR="00517396" w:rsidRPr="000F233D" w:rsidRDefault="00517396" w:rsidP="00180F7E">
            <w:pPr>
              <w:pStyle w:val="Tabletext"/>
              <w:rPr>
                <w:rFonts w:asciiTheme="minorHAnsi" w:hAnsiTheme="minorHAnsi" w:cstheme="minorHAnsi"/>
                <w:lang w:val="es-ES_tradnl" w:eastAsia="zh-CN"/>
              </w:rPr>
            </w:pPr>
            <w:r w:rsidRPr="000F233D">
              <w:rPr>
                <w:rFonts w:asciiTheme="minorHAnsi" w:hAnsiTheme="minorHAnsi" w:cstheme="minorHAnsi"/>
                <w:lang w:val="es-ES_tradnl" w:eastAsia="zh-CN"/>
              </w:rPr>
              <w:t>Asociación de Reguladores Administrador del Foro Latinoamericano de Entes Reguladores de Telecomunicaciones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C080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D228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FD1256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43DD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4B9C716F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B1411" w14:textId="77777777" w:rsidR="00517396" w:rsidRPr="000F233D" w:rsidRDefault="00517396" w:rsidP="00180F7E">
            <w:pPr>
              <w:pStyle w:val="Tabletext"/>
              <w:rPr>
                <w:rFonts w:asciiTheme="minorHAnsi" w:hAnsiTheme="minorHAnsi" w:cstheme="minorHAnsi"/>
                <w:lang w:val="es-ES_tradnl" w:eastAsia="zh-CN"/>
              </w:rPr>
            </w:pPr>
            <w:r w:rsidRPr="000F233D">
              <w:rPr>
                <w:rFonts w:asciiTheme="minorHAnsi" w:hAnsiTheme="minorHAnsi" w:cstheme="minorHAnsi"/>
                <w:lang w:val="es-ES_tradnl" w:eastAsia="zh-CN"/>
              </w:rPr>
              <w:t>Associação Empresarial de Comunicações de Portugal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D8E4B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9CF9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AF279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C2A7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53F92E34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89753" w14:textId="77777777" w:rsidR="00517396" w:rsidRPr="000F233D" w:rsidRDefault="00517396" w:rsidP="00180F7E">
            <w:pPr>
              <w:pStyle w:val="Tabletext"/>
              <w:rPr>
                <w:rFonts w:asciiTheme="minorHAnsi" w:hAnsiTheme="minorHAnsi" w:cstheme="minorHAnsi"/>
                <w:lang w:val="es-ES_tradnl" w:eastAsia="zh-CN"/>
              </w:rPr>
            </w:pPr>
            <w:r w:rsidRPr="000F233D">
              <w:rPr>
                <w:rFonts w:asciiTheme="minorHAnsi" w:hAnsiTheme="minorHAnsi" w:cstheme="minorHAnsi"/>
                <w:lang w:val="es-ES_tradnl" w:eastAsia="zh-CN"/>
              </w:rPr>
              <w:t>Associação de Reguladores de Comunicações e Telecomunicações da Comunidade dos Países de Língua Portuguesa (ARCTEL-CPLP)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297E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6E30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E5EFBE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30BA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458A8463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E6A8B" w14:textId="77777777" w:rsidR="00517396" w:rsidRPr="003570B2" w:rsidRDefault="00517396" w:rsidP="00180F7E">
            <w:pPr>
              <w:pStyle w:val="Tabletext"/>
              <w:rPr>
                <w:rFonts w:asciiTheme="minorHAnsi" w:hAnsiTheme="minorHAnsi" w:cstheme="minorHAnsi"/>
                <w:lang w:val="fr-CH" w:eastAsia="zh-CN"/>
              </w:rPr>
            </w:pPr>
            <w:r w:rsidRPr="003570B2">
              <w:rPr>
                <w:rFonts w:asciiTheme="minorHAnsi" w:hAnsiTheme="minorHAnsi" w:cstheme="minorHAnsi"/>
                <w:lang w:val="fr-CH" w:eastAsia="zh-CN"/>
              </w:rPr>
              <w:t>Association andine d'entreprises de télécommunications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A0E51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1FA2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3E3409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2139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</w:tr>
      <w:tr w:rsidR="00517396" w:rsidRPr="000F233D" w14:paraId="28E4610A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05AD64" w14:textId="77777777" w:rsidR="00517396" w:rsidRPr="000F233D" w:rsidRDefault="00517396" w:rsidP="00180F7E">
            <w:pPr>
              <w:pStyle w:val="Tabletext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Broadcast Networks Europe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D6F4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31C5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A3865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4EC4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3F50117C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B7A13" w14:textId="77777777" w:rsidR="00517396" w:rsidRPr="000F233D" w:rsidRDefault="00517396" w:rsidP="00180F7E">
            <w:pPr>
              <w:pStyle w:val="Tabletext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Caribbean Association of National Telecommunication Organizations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02A5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4251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95F71E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FDA2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</w:tr>
      <w:tr w:rsidR="00517396" w:rsidRPr="000F233D" w14:paraId="4DD71CD5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B9B22" w14:textId="77777777" w:rsidR="00517396" w:rsidRPr="00931EB5" w:rsidRDefault="00517396" w:rsidP="00180F7E">
            <w:pPr>
              <w:pStyle w:val="Tabletext"/>
              <w:rPr>
                <w:rFonts w:asciiTheme="minorHAnsi" w:hAnsiTheme="minorHAnsi" w:cstheme="minorHAnsi"/>
                <w:lang w:val="fr-CH" w:eastAsia="zh-CN"/>
              </w:rPr>
            </w:pPr>
            <w:r w:rsidRPr="00931EB5">
              <w:rPr>
                <w:rFonts w:asciiTheme="minorHAnsi" w:hAnsiTheme="minorHAnsi" w:cs="Arial"/>
                <w:color w:val="000000"/>
                <w:shd w:val="clear" w:color="auto" w:fill="FFFFFF"/>
              </w:rPr>
              <w:t>Union des radiodiffusions des Caraïbes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666F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6632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E7D01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7E7C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18001ABA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A03A6" w14:textId="77777777" w:rsidR="00517396" w:rsidRPr="0033385E" w:rsidRDefault="00517396" w:rsidP="00180F7E">
            <w:pPr>
              <w:pStyle w:val="Tabletext"/>
              <w:rPr>
                <w:rFonts w:asciiTheme="minorHAnsi" w:hAnsiTheme="minorHAnsi" w:cstheme="minorHAnsi"/>
                <w:lang w:val="fr-CH" w:eastAsia="zh-CN"/>
              </w:rPr>
            </w:pPr>
            <w:r w:rsidRPr="0007727F">
              <w:rPr>
                <w:lang w:val="fr-CH"/>
              </w:rPr>
              <w:t>Union des télécommunications des Caraïbes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E333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B0AF3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FC3A6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9A0F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6D24E24A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E0CEA" w14:textId="77777777" w:rsidR="00517396" w:rsidRPr="00931EB5" w:rsidRDefault="00517396" w:rsidP="00180F7E">
            <w:pPr>
              <w:pStyle w:val="Tabletext"/>
              <w:rPr>
                <w:rFonts w:asciiTheme="minorHAnsi" w:hAnsiTheme="minorHAnsi" w:cstheme="minorHAnsi"/>
                <w:lang w:val="fr-CH" w:eastAsia="zh-CN"/>
              </w:rPr>
            </w:pPr>
            <w:r w:rsidRPr="00931EB5">
              <w:rPr>
                <w:rFonts w:asciiTheme="minorHAnsi" w:hAnsiTheme="minorHAnsi" w:cs="Arial"/>
                <w:color w:val="000000"/>
                <w:shd w:val="clear" w:color="auto" w:fill="FFFFFF"/>
              </w:rPr>
              <w:t>Centre pour l'environnement et le développement de la région arabe et l'Europe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4174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CDD1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59A21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973D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2D0AFB23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A16A3" w14:textId="77777777" w:rsidR="00517396" w:rsidRPr="000F233D" w:rsidRDefault="00517396" w:rsidP="00180F7E">
            <w:pPr>
              <w:pStyle w:val="Tabletext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Child Helpline International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3878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117C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D9D3C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2D0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4CB47E8C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5142B0" w14:textId="77777777" w:rsidR="00517396" w:rsidRPr="000F233D" w:rsidRDefault="00517396" w:rsidP="00180F7E">
            <w:pPr>
              <w:pStyle w:val="Tabletext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Committee on Radio Astronomy Frequencies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0CAA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AE79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543432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2CA4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3917C309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79B13" w14:textId="77777777" w:rsidR="00517396" w:rsidRPr="001D0B7E" w:rsidRDefault="00517396" w:rsidP="00180F7E">
            <w:pPr>
              <w:pStyle w:val="Tabletext"/>
              <w:rPr>
                <w:rFonts w:asciiTheme="minorHAnsi" w:hAnsiTheme="minorHAnsi" w:cstheme="minorHAnsi"/>
                <w:lang w:val="fr-CH" w:eastAsia="zh-CN"/>
              </w:rPr>
            </w:pPr>
            <w:r w:rsidRPr="001D0B7E">
              <w:rPr>
                <w:rFonts w:asciiTheme="minorHAnsi" w:hAnsiTheme="minorHAnsi" w:cstheme="minorHAnsi"/>
                <w:lang w:val="fr-CH" w:eastAsia="zh-CN"/>
              </w:rPr>
              <w:t>Comité de la recherche spatiale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4F60D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3BDF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5AA43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946B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202E2D50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A1F4FA" w14:textId="77777777" w:rsidR="00517396" w:rsidRPr="000F233D" w:rsidRDefault="00517396" w:rsidP="00180F7E">
            <w:pPr>
              <w:pStyle w:val="Tabletext"/>
              <w:rPr>
                <w:rFonts w:asciiTheme="minorHAnsi" w:hAnsiTheme="minorHAnsi" w:cstheme="minorHAnsi"/>
                <w:lang w:val="en-US" w:eastAsia="zh-CN"/>
              </w:rPr>
            </w:pPr>
            <w:r w:rsidRPr="001D0B7E">
              <w:rPr>
                <w:rFonts w:asciiTheme="minorHAnsi" w:hAnsiTheme="minorHAnsi" w:cstheme="minorHAnsi"/>
                <w:lang w:val="en-US" w:eastAsia="zh-CN"/>
              </w:rPr>
              <w:t>Groupe Commonwealth de l'UIT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00A50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83B1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0F4F7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9581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1B6A89EE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D196D" w14:textId="77777777" w:rsidR="00517396" w:rsidRPr="00931EB5" w:rsidRDefault="00517396" w:rsidP="00180F7E">
            <w:pPr>
              <w:pStyle w:val="Tabletext"/>
              <w:rPr>
                <w:rFonts w:asciiTheme="minorHAnsi" w:hAnsiTheme="minorHAnsi" w:cstheme="minorHAnsi"/>
                <w:lang w:val="fr-CH" w:eastAsia="zh-CN"/>
              </w:rPr>
            </w:pPr>
            <w:r w:rsidRPr="00931EB5">
              <w:t>Organisation des télécommunications du Commonwealth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2964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9D0B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52A648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F897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3E6A298F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A3777" w14:textId="77777777" w:rsidR="00517396" w:rsidRPr="00931EB5" w:rsidRDefault="00517396" w:rsidP="00180F7E">
            <w:pPr>
              <w:pStyle w:val="Tabletext"/>
              <w:rPr>
                <w:rFonts w:asciiTheme="minorHAnsi" w:hAnsiTheme="minorHAnsi" w:cstheme="minorHAnsi"/>
                <w:lang w:val="fr-CH" w:eastAsia="zh-CN"/>
              </w:rPr>
            </w:pPr>
            <w:r w:rsidRPr="00931EB5">
              <w:rPr>
                <w:rFonts w:asciiTheme="minorHAnsi" w:hAnsiTheme="minorHAnsi" w:cstheme="minorHAnsi"/>
                <w:lang w:val="fr-CH" w:eastAsia="zh-CN"/>
              </w:rPr>
              <w:t>Consortium d'Appui aux Actions pour la Promotion et le Développement de l'Afrique (CAPDA)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BF6D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815A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941D9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E7BD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</w:tr>
      <w:tr w:rsidR="00517396" w:rsidRPr="000F233D" w14:paraId="0EC2B145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91C02" w14:textId="77777777" w:rsidR="00517396" w:rsidRPr="000F233D" w:rsidRDefault="00517396" w:rsidP="00180F7E">
            <w:pPr>
              <w:pStyle w:val="Tabletext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Consumers International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3007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31F7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0BE21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C9F6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2778C2BE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761CE" w14:textId="77777777" w:rsidR="00517396" w:rsidRPr="000F233D" w:rsidRDefault="00517396" w:rsidP="00180F7E">
            <w:pPr>
              <w:pStyle w:val="Tabletext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Continua Health Alliance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0F73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9307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E7518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F5CF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</w:tr>
      <w:tr w:rsidR="00517396" w:rsidRPr="000F233D" w14:paraId="0B6FF6B9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3C3DF" w14:textId="77777777" w:rsidR="00517396" w:rsidRPr="00316466" w:rsidRDefault="00517396" w:rsidP="00180F7E">
            <w:pPr>
              <w:pStyle w:val="Tabletext"/>
              <w:rPr>
                <w:rFonts w:asciiTheme="minorHAnsi" w:hAnsiTheme="minorHAnsi" w:cstheme="minorHAnsi"/>
                <w:lang w:val="fr-CH" w:eastAsia="zh-CN"/>
              </w:rPr>
            </w:pPr>
            <w:r w:rsidRPr="00316466">
              <w:rPr>
                <w:rFonts w:asciiTheme="minorHAnsi" w:hAnsiTheme="minorHAnsi" w:cs="Arial"/>
                <w:color w:val="000000"/>
                <w:shd w:val="clear" w:color="auto" w:fill="FFFFFF"/>
              </w:rPr>
              <w:t>Conseil de coopération des Etats arabes du Golfe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E1B79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EC84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BE4BA9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65B6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3FA8CE05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8D77E" w14:textId="77777777" w:rsidR="00517396" w:rsidRPr="000F233D" w:rsidRDefault="00517396" w:rsidP="00180F7E">
            <w:pPr>
              <w:pStyle w:val="Tabletext"/>
              <w:rPr>
                <w:rFonts w:asciiTheme="minorHAnsi" w:hAnsiTheme="minorHAnsi" w:cstheme="minorHAnsi"/>
                <w:lang w:val="fr-CH" w:eastAsia="zh-CN"/>
              </w:rPr>
            </w:pPr>
            <w:r w:rsidRPr="000F233D">
              <w:rPr>
                <w:rFonts w:asciiTheme="minorHAnsi" w:hAnsiTheme="minorHAnsi" w:cstheme="minorHAnsi"/>
                <w:lang w:val="fr-CH" w:eastAsia="zh-CN"/>
              </w:rPr>
              <w:t>Diaspora africaine pour la société de l'information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F722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89E95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87BB2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0CAB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4B611CC4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F45DBF" w14:textId="77777777" w:rsidR="00517396" w:rsidRPr="000F233D" w:rsidRDefault="00517396" w:rsidP="00180F7E">
            <w:pPr>
              <w:pStyle w:val="Tabletext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Digital Opportunity Trust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509D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63E8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7C96C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FDBD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3822F0BB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974A0" w14:textId="77777777" w:rsidR="00517396" w:rsidRPr="000F233D" w:rsidRDefault="00517396" w:rsidP="00180F7E">
            <w:pPr>
              <w:pStyle w:val="Tabletext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Digital Radio Mondiale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C0DC6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>
              <w:rPr>
                <w:rFonts w:asciiTheme="minorHAnsi" w:hAnsiTheme="minorHAnsi" w:cstheme="minorHAnsi"/>
                <w:caps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0AC5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 w:rsidRPr="00617A0C">
              <w:rPr>
                <w:rFonts w:asciiTheme="minorHAnsi" w:hAnsiTheme="minorHAnsi" w:cstheme="minorHAnsi"/>
                <w:caps/>
                <w:lang w:val="en-US" w:eastAsia="zh-CN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EF6FE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>
              <w:rPr>
                <w:rFonts w:asciiTheme="minorHAnsi" w:hAnsiTheme="minorHAnsi" w:cstheme="minorHAnsi"/>
                <w:caps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366D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>
              <w:rPr>
                <w:rFonts w:asciiTheme="minorHAnsi" w:hAnsiTheme="minorHAnsi" w:cstheme="minorHAnsi"/>
                <w:caps/>
                <w:lang w:val="en-US" w:eastAsia="zh-CN"/>
              </w:rPr>
              <w:t>N</w:t>
            </w:r>
          </w:p>
        </w:tc>
      </w:tr>
      <w:tr w:rsidR="00517396" w:rsidRPr="000F233D" w14:paraId="5B9490A2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9F699" w14:textId="77777777" w:rsidR="00517396" w:rsidRPr="000F233D" w:rsidRDefault="00517396" w:rsidP="00180F7E">
            <w:pPr>
              <w:pStyle w:val="Tabletext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Dominic Foundation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1C0D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 w:rsidRPr="00617A0C">
              <w:rPr>
                <w:rFonts w:asciiTheme="minorHAnsi" w:hAnsiTheme="minorHAnsi" w:cstheme="minorHAnsi"/>
                <w:caps/>
                <w:lang w:val="en-US" w:eastAsia="zh-CN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2213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>
              <w:rPr>
                <w:rFonts w:asciiTheme="minorHAnsi" w:hAnsiTheme="minorHAnsi" w:cstheme="minorHAnsi"/>
                <w:caps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AF66A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>
              <w:rPr>
                <w:rFonts w:asciiTheme="minorHAnsi" w:hAnsiTheme="minorHAnsi" w:cstheme="minorHAnsi"/>
                <w:caps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0D3C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>
              <w:rPr>
                <w:rFonts w:asciiTheme="minorHAnsi" w:hAnsiTheme="minorHAnsi" w:cstheme="minorHAnsi"/>
                <w:caps/>
                <w:lang w:val="en-US" w:eastAsia="zh-CN"/>
              </w:rPr>
              <w:t>O</w:t>
            </w:r>
          </w:p>
        </w:tc>
      </w:tr>
      <w:tr w:rsidR="00517396" w:rsidRPr="000F233D" w14:paraId="5ED4E85D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D8EE2" w14:textId="77777777" w:rsidR="00517396" w:rsidRPr="000F233D" w:rsidRDefault="00517396" w:rsidP="00180F7E">
            <w:pPr>
              <w:pStyle w:val="Tabletext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EIDQ Association -The Association for the Directory Information and Related Search Industry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73DC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 w:rsidRPr="00617A0C">
              <w:rPr>
                <w:rFonts w:asciiTheme="minorHAnsi" w:hAnsiTheme="minorHAnsi" w:cstheme="minorHAnsi"/>
                <w:caps/>
                <w:lang w:val="en-US" w:eastAsia="zh-CN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66DD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 w:rsidRPr="00617A0C">
              <w:rPr>
                <w:rFonts w:asciiTheme="minorHAnsi" w:hAnsiTheme="minorHAnsi" w:cstheme="minorHAnsi"/>
                <w:caps/>
                <w:lang w:val="en-US" w:eastAsia="zh-CN"/>
              </w:rPr>
              <w:t>A17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B2D8A4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 w:rsidRPr="00617A0C">
              <w:rPr>
                <w:rFonts w:asciiTheme="minorHAnsi" w:hAnsiTheme="minorHAnsi" w:cstheme="minorHAnsi"/>
                <w:caps/>
                <w:lang w:val="en-US" w:eastAsia="zh-CN"/>
              </w:rPr>
              <w:t>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F9CC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>
              <w:rPr>
                <w:rFonts w:asciiTheme="minorHAnsi" w:hAnsiTheme="minorHAnsi" w:cstheme="minorHAnsi"/>
                <w:caps/>
                <w:lang w:val="en-US" w:eastAsia="zh-CN"/>
              </w:rPr>
              <w:t>N</w:t>
            </w:r>
          </w:p>
        </w:tc>
      </w:tr>
      <w:tr w:rsidR="00517396" w:rsidRPr="000F233D" w14:paraId="00A7BF45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E32F26" w14:textId="77777777" w:rsidR="00517396" w:rsidRPr="00316466" w:rsidRDefault="00517396" w:rsidP="00180F7E">
            <w:pPr>
              <w:pStyle w:val="Tabletext"/>
              <w:rPr>
                <w:rFonts w:asciiTheme="minorHAnsi" w:hAnsiTheme="minorHAnsi" w:cstheme="minorHAnsi"/>
                <w:lang w:val="fr-CH" w:eastAsia="zh-CN"/>
              </w:rPr>
            </w:pPr>
            <w:r w:rsidRPr="00316466">
              <w:t>Organisation des communications de l</w:t>
            </w:r>
            <w:r>
              <w:t>'</w:t>
            </w:r>
            <w:r w:rsidRPr="00316466">
              <w:t>Afrique de l</w:t>
            </w:r>
            <w:r>
              <w:t>'</w:t>
            </w:r>
            <w:r w:rsidRPr="00316466">
              <w:t>Est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85D8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>
              <w:rPr>
                <w:rFonts w:asciiTheme="minorHAnsi" w:hAnsiTheme="minorHAnsi" w:cstheme="minorHAnsi"/>
                <w:caps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7C6C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>
              <w:rPr>
                <w:rFonts w:asciiTheme="minorHAnsi" w:hAnsiTheme="minorHAnsi" w:cstheme="minorHAnsi"/>
                <w:caps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B5039E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 w:rsidRPr="00617A0C">
              <w:rPr>
                <w:rFonts w:asciiTheme="minorHAnsi" w:hAnsiTheme="minorHAnsi" w:cstheme="minorHAnsi"/>
                <w:caps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89B6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>
              <w:rPr>
                <w:rFonts w:asciiTheme="minorHAnsi" w:hAnsiTheme="minorHAnsi" w:cstheme="minorHAnsi"/>
                <w:caps/>
                <w:lang w:val="en-US" w:eastAsia="zh-CN"/>
              </w:rPr>
              <w:t>O</w:t>
            </w:r>
          </w:p>
        </w:tc>
      </w:tr>
      <w:tr w:rsidR="00517396" w:rsidRPr="000F233D" w14:paraId="785ED580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17DBA" w14:textId="77777777" w:rsidR="00517396" w:rsidRPr="000F233D" w:rsidRDefault="00517396" w:rsidP="00180F7E">
            <w:pPr>
              <w:pStyle w:val="Tabletext"/>
              <w:rPr>
                <w:rFonts w:asciiTheme="minorHAnsi" w:hAnsiTheme="minorHAnsi" w:cstheme="minorHAnsi"/>
                <w:lang w:val="en-US" w:eastAsia="zh-CN"/>
              </w:rPr>
            </w:pPr>
            <w:r w:rsidRPr="00B77422">
              <w:rPr>
                <w:rFonts w:asciiTheme="minorHAnsi" w:hAnsiTheme="minorHAnsi" w:cstheme="minorHAnsi"/>
                <w:lang w:val="en-US" w:eastAsia="zh-CN"/>
              </w:rPr>
              <w:t>Communauté d'Afrique de l'Est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233C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 w:rsidRPr="00617A0C">
              <w:rPr>
                <w:rFonts w:asciiTheme="minorHAnsi" w:hAnsiTheme="minorHAnsi" w:cstheme="minorHAnsi"/>
                <w:caps/>
                <w:lang w:val="en-US" w:eastAsia="zh-CN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91DC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 w:rsidRPr="00617A0C">
              <w:rPr>
                <w:rFonts w:asciiTheme="minorHAnsi" w:hAnsiTheme="minorHAnsi" w:cstheme="minorHAnsi"/>
                <w:caps/>
                <w:lang w:val="en-US" w:eastAsia="zh-CN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556F53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 w:rsidRPr="00617A0C">
              <w:rPr>
                <w:rFonts w:asciiTheme="minorHAnsi" w:hAnsiTheme="minorHAnsi" w:cstheme="minorHAnsi"/>
                <w:caps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AB27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>
              <w:rPr>
                <w:rFonts w:asciiTheme="minorHAnsi" w:hAnsiTheme="minorHAnsi" w:cstheme="minorHAnsi"/>
                <w:caps/>
                <w:lang w:val="en-US" w:eastAsia="zh-CN"/>
              </w:rPr>
              <w:t>N</w:t>
            </w:r>
          </w:p>
        </w:tc>
      </w:tr>
      <w:tr w:rsidR="00517396" w:rsidRPr="000F233D" w14:paraId="0B0FC973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3183A3" w14:textId="77777777" w:rsidR="00517396" w:rsidRPr="000F233D" w:rsidRDefault="00517396" w:rsidP="00180F7E">
            <w:pPr>
              <w:pStyle w:val="Tabletext"/>
              <w:rPr>
                <w:rFonts w:asciiTheme="minorHAnsi" w:hAnsiTheme="minorHAnsi" w:cstheme="minorHAnsi"/>
                <w:lang w:val="fr-CH" w:eastAsia="zh-CN"/>
              </w:rPr>
            </w:pPr>
            <w:r w:rsidRPr="000F233D">
              <w:rPr>
                <w:rFonts w:asciiTheme="minorHAnsi" w:hAnsiTheme="minorHAnsi" w:cstheme="minorHAnsi"/>
                <w:lang w:val="fr-CH" w:eastAsia="zh-CN"/>
              </w:rPr>
              <w:t>Ecole Supérieure Multinationale des Télécommunications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F309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>
              <w:rPr>
                <w:rFonts w:asciiTheme="minorHAnsi" w:hAnsiTheme="minorHAnsi" w:cstheme="minorHAnsi"/>
                <w:caps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6C8B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>
              <w:rPr>
                <w:rFonts w:asciiTheme="minorHAnsi" w:hAnsiTheme="minorHAnsi" w:cstheme="minorHAnsi"/>
                <w:caps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540D40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 w:rsidRPr="00617A0C">
              <w:rPr>
                <w:rFonts w:asciiTheme="minorHAnsi" w:hAnsiTheme="minorHAnsi" w:cstheme="minorHAnsi"/>
                <w:caps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3AA5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>
              <w:rPr>
                <w:rFonts w:asciiTheme="minorHAnsi" w:hAnsiTheme="minorHAnsi" w:cstheme="minorHAnsi"/>
                <w:caps/>
                <w:lang w:val="en-US" w:eastAsia="zh-CN"/>
              </w:rPr>
              <w:t>O</w:t>
            </w:r>
          </w:p>
        </w:tc>
      </w:tr>
      <w:tr w:rsidR="00517396" w:rsidRPr="000F233D" w14:paraId="2188E59D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AFFDD7" w14:textId="32C64096" w:rsidR="00517396" w:rsidRPr="00B77422" w:rsidRDefault="00517396" w:rsidP="003F3B26">
            <w:pPr>
              <w:pStyle w:val="Tabletext"/>
              <w:rPr>
                <w:rFonts w:asciiTheme="minorHAnsi" w:hAnsiTheme="minorHAnsi" w:cstheme="minorHAnsi"/>
                <w:lang w:val="fr-CH" w:eastAsia="zh-CN"/>
              </w:rPr>
            </w:pPr>
            <w:r w:rsidRPr="00B77422">
              <w:rPr>
                <w:rFonts w:asciiTheme="minorHAnsi" w:hAnsiTheme="minorHAnsi" w:cstheme="minorHAnsi"/>
                <w:lang w:val="fr-CH" w:eastAsia="zh-CN"/>
              </w:rPr>
              <w:t xml:space="preserve">Communauté économique des </w:t>
            </w:r>
            <w:r w:rsidR="003F3B26">
              <w:rPr>
                <w:rFonts w:asciiTheme="minorHAnsi" w:hAnsiTheme="minorHAnsi" w:cstheme="minorHAnsi"/>
                <w:lang w:val="fr-CH" w:eastAsia="zh-CN"/>
              </w:rPr>
              <w:t>E</w:t>
            </w:r>
            <w:r w:rsidR="00566D8C">
              <w:rPr>
                <w:rFonts w:asciiTheme="minorHAnsi" w:hAnsiTheme="minorHAnsi" w:cstheme="minorHAnsi"/>
                <w:lang w:val="fr-CH" w:eastAsia="zh-CN"/>
              </w:rPr>
              <w:t>tats de l'Afrique de </w:t>
            </w:r>
            <w:r w:rsidRPr="00B77422">
              <w:rPr>
                <w:rFonts w:asciiTheme="minorHAnsi" w:hAnsiTheme="minorHAnsi" w:cstheme="minorHAnsi"/>
                <w:lang w:val="fr-CH" w:eastAsia="zh-CN"/>
              </w:rPr>
              <w:t>l'Ouest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22BB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>
              <w:rPr>
                <w:rFonts w:asciiTheme="minorHAnsi" w:hAnsiTheme="minorHAnsi" w:cstheme="minorHAnsi"/>
                <w:caps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4310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>
              <w:rPr>
                <w:rFonts w:asciiTheme="minorHAnsi" w:hAnsiTheme="minorHAnsi" w:cstheme="minorHAnsi"/>
                <w:caps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0A291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 w:rsidRPr="00617A0C">
              <w:rPr>
                <w:rFonts w:asciiTheme="minorHAnsi" w:hAnsiTheme="minorHAnsi" w:cstheme="minorHAnsi"/>
                <w:caps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61C8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>
              <w:rPr>
                <w:rFonts w:asciiTheme="minorHAnsi" w:hAnsiTheme="minorHAnsi" w:cstheme="minorHAnsi"/>
                <w:caps/>
                <w:lang w:val="en-US" w:eastAsia="zh-CN"/>
              </w:rPr>
              <w:t>O</w:t>
            </w:r>
          </w:p>
        </w:tc>
      </w:tr>
      <w:tr w:rsidR="00517396" w:rsidRPr="000F233D" w14:paraId="4D78254E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D751B" w14:textId="77777777" w:rsidR="00517396" w:rsidRPr="00715162" w:rsidRDefault="00517396" w:rsidP="00180F7E">
            <w:pPr>
              <w:pStyle w:val="Tabletext"/>
              <w:rPr>
                <w:rFonts w:asciiTheme="minorHAnsi" w:hAnsiTheme="minorHAnsi" w:cstheme="minorHAnsi"/>
                <w:lang w:val="fr-CH" w:eastAsia="zh-CN"/>
              </w:rPr>
            </w:pPr>
            <w:r w:rsidRPr="00083C38">
              <w:t>Union européenne de radiodiffusion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41B6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>
              <w:rPr>
                <w:rFonts w:asciiTheme="minorHAnsi" w:hAnsiTheme="minorHAnsi" w:cstheme="minorHAnsi"/>
                <w:caps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F9FBD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>
              <w:rPr>
                <w:rFonts w:asciiTheme="minorHAnsi" w:hAnsiTheme="minorHAnsi" w:cstheme="minorHAnsi"/>
                <w:caps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FC71D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 w:rsidRPr="00617A0C">
              <w:rPr>
                <w:rFonts w:asciiTheme="minorHAnsi" w:hAnsiTheme="minorHAnsi" w:cstheme="minorHAnsi"/>
                <w:caps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78E1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>
              <w:rPr>
                <w:rFonts w:asciiTheme="minorHAnsi" w:hAnsiTheme="minorHAnsi" w:cstheme="minorHAnsi"/>
                <w:caps/>
                <w:lang w:val="en-US" w:eastAsia="zh-CN"/>
              </w:rPr>
              <w:t>y</w:t>
            </w:r>
          </w:p>
        </w:tc>
      </w:tr>
      <w:tr w:rsidR="00517396" w:rsidRPr="000F233D" w14:paraId="009C8EE6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C0BD0" w14:textId="77777777" w:rsidR="00517396" w:rsidRPr="000F233D" w:rsidRDefault="00517396" w:rsidP="00180F7E">
            <w:pPr>
              <w:pStyle w:val="Tabletext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Bureau européen des c</w:t>
            </w:r>
            <w:r w:rsidRPr="000F233D">
              <w:rPr>
                <w:rFonts w:asciiTheme="minorHAnsi" w:hAnsiTheme="minorHAnsi" w:cstheme="minorHAnsi"/>
                <w:lang w:val="en-US" w:eastAsia="zh-CN"/>
              </w:rPr>
              <w:t xml:space="preserve">ommunications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E24F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>
              <w:rPr>
                <w:rFonts w:asciiTheme="minorHAnsi" w:hAnsiTheme="minorHAnsi" w:cstheme="minorHAnsi"/>
                <w:caps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CFEF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>
              <w:rPr>
                <w:rFonts w:asciiTheme="minorHAnsi" w:hAnsiTheme="minorHAnsi" w:cstheme="minorHAnsi"/>
                <w:caps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8D87F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 w:rsidRPr="00617A0C">
              <w:rPr>
                <w:rFonts w:asciiTheme="minorHAnsi" w:hAnsiTheme="minorHAnsi" w:cstheme="minorHAnsi"/>
                <w:caps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3D5B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>
              <w:rPr>
                <w:rFonts w:asciiTheme="minorHAnsi" w:hAnsiTheme="minorHAnsi" w:cstheme="minorHAnsi"/>
                <w:caps/>
                <w:lang w:val="en-US" w:eastAsia="zh-CN"/>
              </w:rPr>
              <w:t>O</w:t>
            </w:r>
          </w:p>
        </w:tc>
      </w:tr>
      <w:tr w:rsidR="00517396" w:rsidRPr="000F233D" w14:paraId="40316240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2C1EF" w14:textId="77777777" w:rsidR="00517396" w:rsidRPr="000F233D" w:rsidRDefault="00517396" w:rsidP="00180F7E">
            <w:pPr>
              <w:pStyle w:val="Tabletext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European Competitive Telecommunications Association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A006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>
              <w:rPr>
                <w:rFonts w:asciiTheme="minorHAnsi" w:hAnsiTheme="minorHAnsi" w:cstheme="minorHAnsi"/>
                <w:caps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0658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>
              <w:rPr>
                <w:rFonts w:asciiTheme="minorHAnsi" w:hAnsiTheme="minorHAnsi" w:cstheme="minorHAnsi"/>
                <w:caps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E3F73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 w:rsidRPr="00617A0C">
              <w:rPr>
                <w:rFonts w:asciiTheme="minorHAnsi" w:hAnsiTheme="minorHAnsi" w:cstheme="minorHAnsi"/>
                <w:caps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04AD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>
              <w:rPr>
                <w:rFonts w:asciiTheme="minorHAnsi" w:hAnsiTheme="minorHAnsi" w:cstheme="minorHAnsi"/>
                <w:caps/>
                <w:lang w:val="en-US" w:eastAsia="zh-CN"/>
              </w:rPr>
              <w:t>N</w:t>
            </w:r>
          </w:p>
        </w:tc>
      </w:tr>
      <w:tr w:rsidR="00517396" w:rsidRPr="000F233D" w14:paraId="50F357E4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2FF67" w14:textId="77777777" w:rsidR="00517396" w:rsidRPr="00B659BA" w:rsidRDefault="00517396" w:rsidP="00180F7E">
            <w:pPr>
              <w:pStyle w:val="Tabletext"/>
              <w:rPr>
                <w:rFonts w:asciiTheme="minorHAnsi" w:hAnsiTheme="minorHAnsi" w:cstheme="minorHAnsi"/>
                <w:lang w:val="fr-CH" w:eastAsia="zh-CN"/>
              </w:rPr>
            </w:pPr>
            <w:r w:rsidRPr="0007727F">
              <w:rPr>
                <w:lang w:val="fr-CH"/>
              </w:rPr>
              <w:t>Conférence européenne des administrations des postes et des télécommunications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CD734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>
              <w:rPr>
                <w:rFonts w:asciiTheme="minorHAnsi" w:hAnsiTheme="minorHAnsi" w:cstheme="minorHAnsi"/>
                <w:caps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B5FD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>
              <w:rPr>
                <w:rFonts w:asciiTheme="minorHAnsi" w:hAnsiTheme="minorHAnsi" w:cstheme="minorHAnsi"/>
                <w:caps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2A8B6B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 w:rsidRPr="00617A0C">
              <w:rPr>
                <w:rFonts w:asciiTheme="minorHAnsi" w:hAnsiTheme="minorHAnsi" w:cstheme="minorHAnsi"/>
                <w:caps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5FE9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>
              <w:rPr>
                <w:rFonts w:asciiTheme="minorHAnsi" w:hAnsiTheme="minorHAnsi" w:cstheme="minorHAnsi"/>
                <w:caps/>
                <w:lang w:val="en-US" w:eastAsia="zh-CN"/>
              </w:rPr>
              <w:t>O</w:t>
            </w:r>
          </w:p>
        </w:tc>
      </w:tr>
      <w:tr w:rsidR="00517396" w:rsidRPr="000F233D" w14:paraId="7BD6252D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FB566" w14:textId="77777777" w:rsidR="00517396" w:rsidRPr="00083C38" w:rsidRDefault="00517396" w:rsidP="00180F7E">
            <w:pPr>
              <w:pStyle w:val="Tabletext"/>
              <w:rPr>
                <w:rFonts w:asciiTheme="minorHAnsi" w:hAnsiTheme="minorHAnsi" w:cstheme="minorHAnsi"/>
                <w:lang w:val="fr-CH" w:eastAsia="zh-CN"/>
              </w:rPr>
            </w:pPr>
            <w:r w:rsidRPr="00083C38">
              <w:rPr>
                <w:rFonts w:asciiTheme="minorHAnsi" w:hAnsiTheme="minorHAnsi" w:cstheme="minorHAnsi"/>
                <w:lang w:val="fr-CH" w:eastAsia="zh-CN"/>
              </w:rPr>
              <w:t xml:space="preserve">Association européenne des exploitants de réseaux de télécommunication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CF4B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>
              <w:rPr>
                <w:rFonts w:asciiTheme="minorHAnsi" w:hAnsiTheme="minorHAnsi" w:cstheme="minorHAnsi"/>
                <w:caps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1D6E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>
              <w:rPr>
                <w:rFonts w:asciiTheme="minorHAnsi" w:hAnsiTheme="minorHAnsi" w:cstheme="minorHAnsi"/>
                <w:caps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CCCCBF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 w:rsidRPr="00617A0C">
              <w:rPr>
                <w:rFonts w:asciiTheme="minorHAnsi" w:hAnsiTheme="minorHAnsi" w:cstheme="minorHAnsi"/>
                <w:caps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6F4F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>
              <w:rPr>
                <w:rFonts w:asciiTheme="minorHAnsi" w:hAnsiTheme="minorHAnsi" w:cstheme="minorHAnsi"/>
                <w:caps/>
                <w:lang w:val="en-US" w:eastAsia="zh-CN"/>
              </w:rPr>
              <w:t>O</w:t>
            </w:r>
          </w:p>
        </w:tc>
      </w:tr>
      <w:tr w:rsidR="00517396" w:rsidRPr="000F233D" w14:paraId="5B515D71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D3CBC" w14:textId="77777777" w:rsidR="00517396" w:rsidRPr="00715162" w:rsidRDefault="00517396" w:rsidP="00180F7E">
            <w:pPr>
              <w:pStyle w:val="Tabletext"/>
              <w:rPr>
                <w:rFonts w:asciiTheme="minorHAnsi" w:hAnsiTheme="minorHAnsi" w:cstheme="minorHAnsi"/>
                <w:lang w:val="fr-CH" w:eastAsia="zh-CN"/>
              </w:rPr>
            </w:pPr>
            <w:r w:rsidRPr="00AC3D72">
              <w:rPr>
                <w:rFonts w:asciiTheme="minorHAnsi" w:hAnsiTheme="minorHAnsi" w:cstheme="minorHAnsi"/>
                <w:lang w:val="fr-CH" w:eastAsia="zh-CN"/>
              </w:rPr>
              <w:t>Organisation européenne de télécommunications par satellite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EF35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>
              <w:rPr>
                <w:rFonts w:asciiTheme="minorHAnsi" w:hAnsiTheme="minorHAnsi" w:cstheme="minorHAnsi"/>
                <w:caps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A836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>
              <w:rPr>
                <w:rFonts w:asciiTheme="minorHAnsi" w:hAnsiTheme="minorHAnsi" w:cstheme="minorHAnsi"/>
                <w:caps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9DEEF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 w:rsidRPr="00617A0C">
              <w:rPr>
                <w:rFonts w:asciiTheme="minorHAnsi" w:hAnsiTheme="minorHAnsi" w:cstheme="minorHAnsi"/>
                <w:caps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3CF6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>
              <w:rPr>
                <w:rFonts w:asciiTheme="minorHAnsi" w:hAnsiTheme="minorHAnsi" w:cstheme="minorHAnsi"/>
                <w:caps/>
                <w:lang w:val="en-US" w:eastAsia="zh-CN"/>
              </w:rPr>
              <w:t>O</w:t>
            </w:r>
          </w:p>
        </w:tc>
      </w:tr>
      <w:tr w:rsidR="00517396" w:rsidRPr="000F233D" w14:paraId="67157A72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A9B1B" w14:textId="77777777" w:rsidR="00517396" w:rsidRPr="00B659BA" w:rsidRDefault="00517396" w:rsidP="00180F7E">
            <w:pPr>
              <w:pStyle w:val="Tabletext"/>
              <w:rPr>
                <w:rFonts w:asciiTheme="minorHAnsi" w:hAnsiTheme="minorHAnsi" w:cstheme="minorHAnsi"/>
                <w:lang w:val="fr-CH" w:eastAsia="zh-CN"/>
              </w:rPr>
            </w:pPr>
            <w:r w:rsidRPr="0007727F">
              <w:rPr>
                <w:lang w:val="fr-CH"/>
              </w:rPr>
              <w:t>Institut européen des normes de télécommunication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3999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>
              <w:rPr>
                <w:rFonts w:asciiTheme="minorHAnsi" w:hAnsiTheme="minorHAnsi" w:cstheme="minorHAnsi"/>
                <w:caps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74D70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>
              <w:rPr>
                <w:rFonts w:asciiTheme="minorHAnsi" w:hAnsiTheme="minorHAnsi" w:cstheme="minorHAnsi"/>
                <w:caps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2BDFE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 w:rsidRPr="00617A0C">
              <w:rPr>
                <w:rFonts w:asciiTheme="minorHAnsi" w:hAnsiTheme="minorHAnsi" w:cstheme="minorHAnsi"/>
                <w:caps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A04C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>
              <w:rPr>
                <w:rFonts w:asciiTheme="minorHAnsi" w:hAnsiTheme="minorHAnsi" w:cstheme="minorHAnsi"/>
                <w:caps/>
                <w:lang w:val="en-US" w:eastAsia="zh-CN"/>
              </w:rPr>
              <w:t>N</w:t>
            </w:r>
          </w:p>
        </w:tc>
      </w:tr>
      <w:tr w:rsidR="00517396" w:rsidRPr="000F233D" w14:paraId="59F9D3FE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74467" w14:textId="77777777" w:rsidR="00517396" w:rsidRPr="00715162" w:rsidRDefault="00517396" w:rsidP="00180F7E">
            <w:pPr>
              <w:pStyle w:val="Tabletext"/>
              <w:rPr>
                <w:rFonts w:asciiTheme="minorHAnsi" w:hAnsiTheme="minorHAnsi" w:cstheme="minorHAnsi"/>
                <w:lang w:val="fr-CH" w:eastAsia="zh-CN"/>
              </w:rPr>
            </w:pPr>
            <w:r w:rsidRPr="00715162">
              <w:t>FTTH</w:t>
            </w:r>
            <w:r>
              <w:t xml:space="preserve"> Council Asie-Pacifique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E6DB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 w:rsidRPr="00617A0C">
              <w:rPr>
                <w:rFonts w:asciiTheme="minorHAnsi" w:hAnsiTheme="minorHAnsi" w:cstheme="minorHAnsi"/>
                <w:caps/>
                <w:lang w:val="en-US" w:eastAsia="zh-CN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2550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 w:rsidRPr="00617A0C">
              <w:rPr>
                <w:rFonts w:asciiTheme="minorHAnsi" w:hAnsiTheme="minorHAnsi" w:cstheme="minorHAnsi"/>
                <w:caps/>
                <w:lang w:val="en-US" w:eastAsia="zh-CN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47264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 w:rsidRPr="00617A0C">
              <w:rPr>
                <w:rFonts w:asciiTheme="minorHAnsi" w:hAnsiTheme="minorHAnsi" w:cstheme="minorHAnsi"/>
                <w:caps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116A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>
              <w:rPr>
                <w:rFonts w:asciiTheme="minorHAnsi" w:hAnsiTheme="minorHAnsi" w:cstheme="minorHAnsi"/>
                <w:caps/>
                <w:lang w:val="en-US" w:eastAsia="zh-CN"/>
              </w:rPr>
              <w:t>O</w:t>
            </w:r>
          </w:p>
        </w:tc>
      </w:tr>
      <w:tr w:rsidR="00517396" w:rsidRPr="000F233D" w14:paraId="23F635FE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4691DC" w14:textId="77777777" w:rsidR="00517396" w:rsidRPr="00715162" w:rsidRDefault="00517396" w:rsidP="00180F7E">
            <w:pPr>
              <w:pStyle w:val="Tabletext"/>
              <w:rPr>
                <w:rFonts w:asciiTheme="minorHAnsi" w:hAnsiTheme="minorHAnsi" w:cstheme="minorHAnsi"/>
                <w:lang w:val="fr-CH" w:eastAsia="zh-CN"/>
              </w:rPr>
            </w:pPr>
            <w:r w:rsidRPr="00715162">
              <w:rPr>
                <w:rFonts w:asciiTheme="minorHAnsi" w:hAnsiTheme="minorHAnsi" w:cstheme="minorHAnsi"/>
                <w:color w:val="000000"/>
                <w:lang w:val="fr-CH"/>
              </w:rPr>
              <w:t>Fibre to the Home Council Moyen-Orient et Afrique du Nord</w:t>
            </w:r>
            <w:r w:rsidRPr="00715162">
              <w:rPr>
                <w:rFonts w:asciiTheme="minorHAnsi" w:hAnsiTheme="minorHAnsi" w:cstheme="minorHAnsi"/>
                <w:lang w:val="fr-CH" w:eastAsia="zh-CN"/>
              </w:rPr>
              <w:t xml:space="preserve"> (FTTH MENA)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95EB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 w:rsidRPr="00617A0C">
              <w:rPr>
                <w:rFonts w:asciiTheme="minorHAnsi" w:hAnsiTheme="minorHAnsi" w:cstheme="minorHAnsi"/>
                <w:caps/>
                <w:lang w:val="en-US" w:eastAsia="zh-CN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2088D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 w:rsidRPr="00617A0C">
              <w:rPr>
                <w:rFonts w:asciiTheme="minorHAnsi" w:hAnsiTheme="minorHAnsi" w:cstheme="minorHAnsi"/>
                <w:caps/>
                <w:lang w:val="en-US" w:eastAsia="zh-CN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EDB31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 w:rsidRPr="00617A0C">
              <w:rPr>
                <w:rFonts w:asciiTheme="minorHAnsi" w:hAnsiTheme="minorHAnsi" w:cstheme="minorHAnsi"/>
                <w:caps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DC10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>
              <w:rPr>
                <w:rFonts w:asciiTheme="minorHAnsi" w:hAnsiTheme="minorHAnsi" w:cstheme="minorHAnsi"/>
                <w:caps/>
                <w:lang w:val="en-US" w:eastAsia="zh-CN"/>
              </w:rPr>
              <w:t>O</w:t>
            </w:r>
          </w:p>
        </w:tc>
      </w:tr>
      <w:tr w:rsidR="00517396" w:rsidRPr="000F233D" w14:paraId="4D4A70BD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2257E" w14:textId="77777777" w:rsidR="00517396" w:rsidRPr="00715162" w:rsidRDefault="00517396" w:rsidP="00180F7E">
            <w:pPr>
              <w:pStyle w:val="Tabletext"/>
              <w:rPr>
                <w:rFonts w:asciiTheme="minorHAnsi" w:hAnsiTheme="minorHAnsi" w:cstheme="minorHAnsi"/>
                <w:szCs w:val="22"/>
                <w:lang w:val="fr-CH" w:eastAsia="zh-CN"/>
              </w:rPr>
            </w:pPr>
            <w:r w:rsidRPr="00715162">
              <w:rPr>
                <w:rFonts w:asciiTheme="minorHAnsi" w:hAnsiTheme="minorHAnsi" w:cs="Arial"/>
                <w:color w:val="000000"/>
                <w:szCs w:val="22"/>
              </w:rPr>
              <w:t>Forum des équipes d'intervention et de sécurité en cas d'incident</w:t>
            </w:r>
            <w:r w:rsidRPr="00715162">
              <w:rPr>
                <w:rFonts w:asciiTheme="minorHAnsi" w:hAnsiTheme="minorHAnsi" w:cstheme="minorHAnsi"/>
                <w:szCs w:val="22"/>
                <w:lang w:val="fr-CH" w:eastAsia="zh-CN"/>
              </w:rPr>
              <w:t xml:space="preserve"> (FIRST)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32E9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 w:rsidRPr="00617A0C">
              <w:rPr>
                <w:rFonts w:asciiTheme="minorHAnsi" w:hAnsiTheme="minorHAnsi" w:cstheme="minorHAnsi"/>
                <w:caps/>
                <w:lang w:val="en-US" w:eastAsia="zh-CN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C9D7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>
              <w:rPr>
                <w:rFonts w:asciiTheme="minorHAnsi" w:hAnsiTheme="minorHAnsi" w:cstheme="minorHAnsi"/>
                <w:caps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F23BF6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 w:rsidRPr="00617A0C">
              <w:rPr>
                <w:rFonts w:asciiTheme="minorHAnsi" w:hAnsiTheme="minorHAnsi" w:cstheme="minorHAnsi"/>
                <w:caps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13C7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>
              <w:rPr>
                <w:rFonts w:asciiTheme="minorHAnsi" w:hAnsiTheme="minorHAnsi" w:cstheme="minorHAnsi"/>
                <w:caps/>
                <w:lang w:val="en-US" w:eastAsia="zh-CN"/>
              </w:rPr>
              <w:t>O</w:t>
            </w:r>
          </w:p>
        </w:tc>
      </w:tr>
      <w:tr w:rsidR="00517396" w:rsidRPr="000F233D" w14:paraId="2A1C7FBF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3EC62" w14:textId="77777777" w:rsidR="00517396" w:rsidRPr="00A00D1E" w:rsidRDefault="00517396" w:rsidP="00180F7E">
            <w:pPr>
              <w:pStyle w:val="Tabletext"/>
              <w:rPr>
                <w:rFonts w:asciiTheme="minorHAnsi" w:hAnsiTheme="minorHAnsi" w:cstheme="minorHAnsi"/>
                <w:szCs w:val="22"/>
                <w:lang w:val="fr-CH" w:eastAsia="zh-CN"/>
              </w:rPr>
            </w:pPr>
            <w:r w:rsidRPr="00A00D1E">
              <w:rPr>
                <w:rFonts w:asciiTheme="minorHAnsi" w:hAnsiTheme="minorHAnsi" w:cstheme="minorHAnsi"/>
                <w:szCs w:val="22"/>
                <w:lang w:val="fr-CH" w:eastAsia="zh-CN"/>
              </w:rPr>
              <w:t>G3ict - I</w:t>
            </w:r>
            <w:r w:rsidRPr="00A00D1E">
              <w:rPr>
                <w:rFonts w:asciiTheme="minorHAnsi" w:hAnsiTheme="minorHAnsi" w:cs="Arial"/>
                <w:color w:val="000000"/>
                <w:szCs w:val="22"/>
              </w:rPr>
              <w:t xml:space="preserve">nitiative mondiale pour des </w:t>
            </w:r>
            <w:r>
              <w:rPr>
                <w:rFonts w:asciiTheme="minorHAnsi" w:hAnsiTheme="minorHAnsi" w:cs="Arial"/>
                <w:color w:val="000000"/>
                <w:szCs w:val="22"/>
              </w:rPr>
              <w:t>technologies de l'information et de la c</w:t>
            </w:r>
            <w:r w:rsidRPr="00A00D1E">
              <w:rPr>
                <w:rFonts w:asciiTheme="minorHAnsi" w:hAnsiTheme="minorHAnsi" w:cstheme="minorHAnsi"/>
                <w:szCs w:val="22"/>
                <w:lang w:val="fr-CH" w:eastAsia="zh-CN"/>
              </w:rPr>
              <w:t>ommunication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50C1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 w:rsidRPr="00617A0C">
              <w:rPr>
                <w:rFonts w:asciiTheme="minorHAnsi" w:hAnsiTheme="minorHAnsi" w:cstheme="minorHAnsi"/>
                <w:caps/>
                <w:lang w:val="en-US" w:eastAsia="zh-CN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DE33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>
              <w:rPr>
                <w:rFonts w:asciiTheme="minorHAnsi" w:hAnsiTheme="minorHAnsi" w:cstheme="minorHAnsi"/>
                <w:caps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46F515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 w:rsidRPr="00617A0C">
              <w:rPr>
                <w:rFonts w:asciiTheme="minorHAnsi" w:hAnsiTheme="minorHAnsi" w:cstheme="minorHAnsi"/>
                <w:caps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2D6E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>
              <w:rPr>
                <w:rFonts w:asciiTheme="minorHAnsi" w:hAnsiTheme="minorHAnsi" w:cstheme="minorHAnsi"/>
                <w:caps/>
                <w:lang w:val="en-US" w:eastAsia="zh-CN"/>
              </w:rPr>
              <w:t>O</w:t>
            </w:r>
          </w:p>
        </w:tc>
      </w:tr>
      <w:tr w:rsidR="00517396" w:rsidRPr="000F233D" w14:paraId="3568F971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5D915E" w14:textId="77777777" w:rsidR="00517396" w:rsidRPr="000F233D" w:rsidRDefault="00517396" w:rsidP="00180F7E">
            <w:pPr>
              <w:pStyle w:val="Tabletext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Global Knowledge Partnership Foundation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787E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 w:rsidRPr="00617A0C">
              <w:rPr>
                <w:rFonts w:asciiTheme="minorHAnsi" w:hAnsiTheme="minorHAnsi" w:cstheme="minorHAnsi"/>
                <w:caps/>
                <w:lang w:val="en-US" w:eastAsia="zh-CN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8691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 w:rsidRPr="00617A0C">
              <w:rPr>
                <w:rFonts w:asciiTheme="minorHAnsi" w:hAnsiTheme="minorHAnsi" w:cstheme="minorHAnsi"/>
                <w:caps/>
                <w:lang w:val="en-US" w:eastAsia="zh-CN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427D8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 w:rsidRPr="00617A0C">
              <w:rPr>
                <w:rFonts w:asciiTheme="minorHAnsi" w:hAnsiTheme="minorHAnsi" w:cstheme="minorHAnsi"/>
                <w:caps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41AB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>
              <w:rPr>
                <w:rFonts w:asciiTheme="minorHAnsi" w:hAnsiTheme="minorHAnsi" w:cstheme="minorHAnsi"/>
                <w:caps/>
                <w:lang w:val="en-US" w:eastAsia="zh-CN"/>
              </w:rPr>
              <w:t>N</w:t>
            </w:r>
          </w:p>
        </w:tc>
      </w:tr>
      <w:tr w:rsidR="00517396" w:rsidRPr="000F233D" w14:paraId="464FFA63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62DA2" w14:textId="77777777" w:rsidR="00517396" w:rsidRPr="000F233D" w:rsidRDefault="00517396" w:rsidP="00180F7E">
            <w:pPr>
              <w:pStyle w:val="Tabletext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Global VSAT Forum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16191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 w:rsidRPr="00617A0C">
              <w:rPr>
                <w:rFonts w:asciiTheme="minorHAnsi" w:hAnsiTheme="minorHAnsi" w:cstheme="minorHAnsi"/>
                <w:caps/>
                <w:lang w:val="en-US" w:eastAsia="zh-CN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B69E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 w:rsidRPr="00617A0C">
              <w:rPr>
                <w:rFonts w:asciiTheme="minorHAnsi" w:hAnsiTheme="minorHAnsi" w:cstheme="minorHAnsi"/>
                <w:caps/>
                <w:lang w:val="en-US" w:eastAsia="zh-CN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D2950E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 w:rsidRPr="00617A0C">
              <w:rPr>
                <w:rFonts w:asciiTheme="minorHAnsi" w:hAnsiTheme="minorHAnsi" w:cstheme="minorHAnsi"/>
                <w:caps/>
                <w:lang w:val="en-US" w:eastAsia="zh-CN"/>
              </w:rPr>
              <w:t>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02C4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>
              <w:rPr>
                <w:rFonts w:asciiTheme="minorHAnsi" w:hAnsiTheme="minorHAnsi" w:cstheme="minorHAnsi"/>
                <w:caps/>
                <w:lang w:val="en-US" w:eastAsia="zh-CN"/>
              </w:rPr>
              <w:t>O</w:t>
            </w:r>
          </w:p>
        </w:tc>
      </w:tr>
      <w:tr w:rsidR="00517396" w:rsidRPr="000F233D" w14:paraId="25C34375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571FF" w14:textId="77777777" w:rsidR="00517396" w:rsidRPr="00B80269" w:rsidRDefault="00517396" w:rsidP="00180F7E">
            <w:pPr>
              <w:pStyle w:val="Tabletext"/>
              <w:rPr>
                <w:rFonts w:asciiTheme="minorHAnsi" w:hAnsiTheme="minorHAnsi" w:cstheme="minorHAnsi"/>
                <w:lang w:val="en-US" w:eastAsia="zh-CN"/>
              </w:rPr>
            </w:pPr>
            <w:r w:rsidRPr="00B80269">
              <w:rPr>
                <w:rFonts w:asciiTheme="minorHAnsi" w:hAnsiTheme="minorHAnsi" w:cs="Arial"/>
                <w:szCs w:val="24"/>
                <w:lang w:val="en-US"/>
              </w:rPr>
              <w:t xml:space="preserve">Global ICT Standardization Forum for India </w:t>
            </w:r>
            <w:r w:rsidRPr="00B80269">
              <w:rPr>
                <w:rFonts w:asciiTheme="minorHAnsi" w:hAnsiTheme="minorHAnsi" w:cstheme="minorHAnsi"/>
                <w:lang w:val="en-US" w:eastAsia="zh-CN"/>
              </w:rPr>
              <w:t>(GISFI)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08CB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 w:rsidRPr="00617A0C">
              <w:rPr>
                <w:rFonts w:asciiTheme="minorHAnsi" w:hAnsiTheme="minorHAnsi" w:cstheme="minorHAnsi"/>
                <w:caps/>
                <w:lang w:val="en-US" w:eastAsia="zh-CN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46B0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>
              <w:rPr>
                <w:rFonts w:asciiTheme="minorHAnsi" w:hAnsiTheme="minorHAnsi" w:cstheme="minorHAnsi"/>
                <w:caps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599D7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 w:rsidRPr="00617A0C">
              <w:rPr>
                <w:rFonts w:asciiTheme="minorHAnsi" w:hAnsiTheme="minorHAnsi" w:cstheme="minorHAnsi"/>
                <w:caps/>
                <w:lang w:val="en-US" w:eastAsia="zh-CN"/>
              </w:rPr>
              <w:t>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A705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>
              <w:rPr>
                <w:rFonts w:asciiTheme="minorHAnsi" w:hAnsiTheme="minorHAnsi" w:cstheme="minorHAnsi"/>
                <w:caps/>
                <w:lang w:val="en-US" w:eastAsia="zh-CN"/>
              </w:rPr>
              <w:t>O</w:t>
            </w:r>
          </w:p>
        </w:tc>
      </w:tr>
      <w:tr w:rsidR="00517396" w:rsidRPr="000F233D" w14:paraId="5DA93A2E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FB4C6" w14:textId="77777777" w:rsidR="00517396" w:rsidRPr="00A00D1E" w:rsidRDefault="00517396" w:rsidP="00180F7E">
            <w:pPr>
              <w:pStyle w:val="Tabletext"/>
              <w:rPr>
                <w:rFonts w:asciiTheme="minorHAnsi" w:hAnsiTheme="minorHAnsi" w:cstheme="minorHAnsi"/>
                <w:szCs w:val="22"/>
                <w:lang w:val="fr-CH" w:eastAsia="zh-CN"/>
              </w:rPr>
            </w:pPr>
            <w:r w:rsidRPr="00A00D1E">
              <w:rPr>
                <w:szCs w:val="22"/>
                <w:lang w:val="fr-CH"/>
              </w:rPr>
              <w:t>Conférence sur la coordination des fréquences dans les bandes d'ondes décamétriques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DE88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>
              <w:rPr>
                <w:rFonts w:asciiTheme="minorHAnsi" w:hAnsiTheme="minorHAnsi" w:cstheme="minorHAnsi"/>
                <w:caps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CFA3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 w:rsidRPr="00617A0C">
              <w:rPr>
                <w:rFonts w:asciiTheme="minorHAnsi" w:hAnsiTheme="minorHAnsi" w:cstheme="minorHAnsi"/>
                <w:caps/>
                <w:lang w:val="en-US" w:eastAsia="zh-CN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517DF3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 w:rsidRPr="00617A0C">
              <w:rPr>
                <w:rFonts w:asciiTheme="minorHAnsi" w:hAnsiTheme="minorHAnsi" w:cstheme="minorHAnsi"/>
                <w:caps/>
                <w:lang w:val="en-US" w:eastAsia="zh-CN"/>
              </w:rPr>
              <w:t>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B609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>
              <w:rPr>
                <w:rFonts w:asciiTheme="minorHAnsi" w:hAnsiTheme="minorHAnsi" w:cstheme="minorHAnsi"/>
                <w:caps/>
                <w:lang w:val="en-US" w:eastAsia="zh-CN"/>
              </w:rPr>
              <w:t>O</w:t>
            </w:r>
          </w:p>
        </w:tc>
      </w:tr>
      <w:tr w:rsidR="00517396" w:rsidRPr="000F233D" w14:paraId="380104B8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9D86B" w14:textId="77777777" w:rsidR="00517396" w:rsidRPr="00A00D1E" w:rsidRDefault="00517396" w:rsidP="00180F7E">
            <w:pPr>
              <w:pStyle w:val="Tabletext"/>
              <w:rPr>
                <w:rFonts w:asciiTheme="minorHAnsi" w:hAnsiTheme="minorHAnsi" w:cstheme="minorHAnsi"/>
                <w:lang w:val="fr-CH" w:eastAsia="zh-CN"/>
              </w:rPr>
            </w:pPr>
            <w:r w:rsidRPr="00A00D1E">
              <w:rPr>
                <w:rFonts w:asciiTheme="minorHAnsi" w:hAnsiTheme="minorHAnsi" w:cstheme="minorHAnsi"/>
                <w:lang w:val="fr-CH" w:eastAsia="zh-CN"/>
              </w:rPr>
              <w:t>IJMA3</w:t>
            </w:r>
            <w:r>
              <w:rPr>
                <w:rFonts w:asciiTheme="minorHAnsi" w:hAnsiTheme="minorHAnsi" w:cstheme="minorHAnsi"/>
                <w:lang w:val="fr-CH" w:eastAsia="zh-CN"/>
              </w:rPr>
              <w:t xml:space="preserve"> </w:t>
            </w:r>
            <w:r w:rsidRPr="00A00D1E">
              <w:rPr>
                <w:rFonts w:asciiTheme="minorHAnsi" w:hAnsiTheme="minorHAnsi" w:cstheme="minorHAnsi"/>
                <w:lang w:val="fr-CH" w:eastAsia="zh-CN"/>
              </w:rPr>
              <w:t>-</w:t>
            </w:r>
            <w:r w:rsidRPr="00A00D1E">
              <w:rPr>
                <w:lang w:val="fr-CH"/>
              </w:rPr>
              <w:t xml:space="preserve"> Organisation arabe pour les TIC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5551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 w:rsidRPr="00617A0C">
              <w:rPr>
                <w:rFonts w:asciiTheme="minorHAnsi" w:hAnsiTheme="minorHAnsi" w:cstheme="minorHAnsi"/>
                <w:caps/>
                <w:lang w:val="en-US" w:eastAsia="zh-CN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D31A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>
              <w:rPr>
                <w:rFonts w:asciiTheme="minorHAnsi" w:hAnsiTheme="minorHAnsi" w:cstheme="minorHAnsi"/>
                <w:caps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05BA6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>
              <w:rPr>
                <w:rFonts w:asciiTheme="minorHAnsi" w:hAnsiTheme="minorHAnsi" w:cstheme="minorHAnsi"/>
                <w:caps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A28F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>
              <w:rPr>
                <w:rFonts w:asciiTheme="minorHAnsi" w:hAnsiTheme="minorHAnsi" w:cstheme="minorHAnsi"/>
                <w:caps/>
                <w:lang w:val="en-US" w:eastAsia="zh-CN"/>
              </w:rPr>
              <w:t>N</w:t>
            </w:r>
          </w:p>
        </w:tc>
      </w:tr>
      <w:tr w:rsidR="00517396" w:rsidRPr="000F233D" w14:paraId="09E2390C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1EC63C" w14:textId="77777777" w:rsidR="00517396" w:rsidRPr="000F233D" w:rsidRDefault="00517396" w:rsidP="00180F7E">
            <w:pPr>
              <w:pStyle w:val="Tabletext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ITU-APT Foundation of India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7B8E6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 w:rsidRPr="00617A0C">
              <w:rPr>
                <w:rFonts w:asciiTheme="minorHAnsi" w:hAnsiTheme="minorHAnsi" w:cstheme="minorHAnsi"/>
                <w:caps/>
                <w:lang w:val="en-US" w:eastAsia="zh-CN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25E0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>
              <w:rPr>
                <w:rFonts w:asciiTheme="minorHAnsi" w:hAnsiTheme="minorHAnsi" w:cstheme="minorHAnsi"/>
                <w:caps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52BF71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>
              <w:rPr>
                <w:rFonts w:asciiTheme="minorHAnsi" w:hAnsiTheme="minorHAnsi" w:cstheme="minorHAnsi"/>
                <w:caps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2D51" w14:textId="77777777" w:rsidR="00517396" w:rsidRPr="00617A0C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caps/>
                <w:lang w:val="en-US" w:eastAsia="zh-CN"/>
              </w:rPr>
            </w:pPr>
            <w:r>
              <w:rPr>
                <w:rFonts w:asciiTheme="minorHAnsi" w:hAnsiTheme="minorHAnsi" w:cstheme="minorHAnsi"/>
                <w:caps/>
                <w:lang w:val="en-US" w:eastAsia="zh-CN"/>
              </w:rPr>
              <w:t>O</w:t>
            </w:r>
          </w:p>
        </w:tc>
      </w:tr>
      <w:tr w:rsidR="00517396" w:rsidRPr="000F233D" w14:paraId="08BBF8A7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332D0" w14:textId="77777777" w:rsidR="00517396" w:rsidRPr="000F233D" w:rsidRDefault="00517396" w:rsidP="00180F7E">
            <w:pPr>
              <w:pStyle w:val="Tabletext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Indigenous Peoples ICT Task Force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2AE7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DBDA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9FE4D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D472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</w:tr>
      <w:tr w:rsidR="00517396" w:rsidRPr="000F233D" w14:paraId="066DA4B8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ECCFA" w14:textId="77777777" w:rsidR="00517396" w:rsidRPr="000F233D" w:rsidRDefault="00517396" w:rsidP="00180F7E">
            <w:pPr>
              <w:pStyle w:val="Tabletext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Institute of Electrical and Electronics Engineers, Inc.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500A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5278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1A055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B572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3F0A56AE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4D334" w14:textId="77777777" w:rsidR="00517396" w:rsidRPr="00A00D1E" w:rsidRDefault="00517396" w:rsidP="00180F7E">
            <w:pPr>
              <w:pStyle w:val="Tabletext"/>
              <w:rPr>
                <w:rFonts w:asciiTheme="minorHAnsi" w:hAnsiTheme="minorHAnsi" w:cstheme="minorHAnsi"/>
                <w:lang w:val="en-US" w:eastAsia="zh-CN"/>
              </w:rPr>
            </w:pPr>
            <w:r w:rsidRPr="00A00D1E">
              <w:rPr>
                <w:rFonts w:asciiTheme="minorHAnsi" w:hAnsiTheme="minorHAnsi" w:cs="Arial"/>
                <w:color w:val="000000"/>
                <w:shd w:val="clear" w:color="auto" w:fill="FFFFFF"/>
              </w:rPr>
              <w:t>Commission interaméricaine des télécommunications</w:t>
            </w:r>
            <w:r w:rsidRPr="00A00D1E">
              <w:rPr>
                <w:rFonts w:asciiTheme="minorHAnsi" w:hAnsiTheme="minorHAnsi" w:cstheme="minorHAnsi"/>
                <w:lang w:val="en-US" w:eastAsia="zh-CN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39BF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F35A4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9CBF0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9DAA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</w:tr>
      <w:tr w:rsidR="00517396" w:rsidRPr="000F233D" w14:paraId="4B28170F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AC1579" w14:textId="77777777" w:rsidR="00517396" w:rsidRPr="00B659BA" w:rsidRDefault="00517396" w:rsidP="00180F7E">
            <w:pPr>
              <w:pStyle w:val="Tabletext"/>
              <w:rPr>
                <w:rFonts w:asciiTheme="minorHAnsi" w:hAnsiTheme="minorHAnsi" w:cstheme="minorHAnsi"/>
                <w:lang w:val="fr-CH" w:eastAsia="zh-CN"/>
              </w:rPr>
            </w:pPr>
            <w:r>
              <w:t>Association du transport aérien international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88A5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D292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90074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650A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2DB97803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97FE7" w14:textId="77777777" w:rsidR="00517396" w:rsidRPr="00B659BA" w:rsidRDefault="00517396" w:rsidP="00180F7E">
            <w:pPr>
              <w:pStyle w:val="Tabletext"/>
              <w:rPr>
                <w:rFonts w:asciiTheme="minorHAnsi" w:hAnsiTheme="minorHAnsi" w:cstheme="minorHAnsi"/>
                <w:lang w:val="fr-CH" w:eastAsia="zh-CN"/>
              </w:rPr>
            </w:pPr>
            <w:r>
              <w:t>Union internationale des radio</w:t>
            </w:r>
            <w:r>
              <w:noBreakHyphen/>
              <w:t>amateurs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9882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9A08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8E079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6B4F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7AD35C17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DDB6A" w14:textId="77777777" w:rsidR="00517396" w:rsidRPr="000F233D" w:rsidRDefault="00517396" w:rsidP="00180F7E">
            <w:pPr>
              <w:pStyle w:val="Tabletext"/>
              <w:rPr>
                <w:rFonts w:asciiTheme="minorHAnsi" w:hAnsiTheme="minorHAnsi" w:cstheme="minorHAnsi"/>
                <w:lang w:val="en-US" w:eastAsia="zh-CN"/>
              </w:rPr>
            </w:pPr>
            <w:r w:rsidRPr="00463A71">
              <w:rPr>
                <w:rFonts w:asciiTheme="minorHAnsi" w:hAnsiTheme="minorHAnsi" w:cstheme="minorHAnsi"/>
                <w:lang w:val="en-US" w:eastAsia="zh-CN"/>
              </w:rPr>
              <w:t>Association internationale de radiodiffusion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408F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79A0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ADA80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1F37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7AE9F487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0D9C4" w14:textId="77777777" w:rsidR="00517396" w:rsidRPr="000F233D" w:rsidRDefault="00517396" w:rsidP="00180F7E">
            <w:pPr>
              <w:pStyle w:val="Tabletext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International Association of IT Lawyers (IAITL)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EDF8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4505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0A975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C2C6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0EF9CB85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56CDA2" w14:textId="77777777" w:rsidR="00517396" w:rsidRPr="000F233D" w:rsidRDefault="00517396" w:rsidP="00180F7E">
            <w:pPr>
              <w:pStyle w:val="Tabletext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International Association of Marine Aids to Navigation and Lighthouse Authorities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C3F4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241C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2B100E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A04E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2332A544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17879" w14:textId="77777777" w:rsidR="00517396" w:rsidRPr="000F233D" w:rsidRDefault="00517396" w:rsidP="00180F7E">
            <w:pPr>
              <w:pStyle w:val="Tabletext"/>
              <w:rPr>
                <w:rFonts w:asciiTheme="minorHAnsi" w:hAnsiTheme="minorHAnsi" w:cstheme="minorHAnsi"/>
                <w:lang w:val="en-US" w:eastAsia="zh-CN"/>
              </w:rPr>
            </w:pPr>
            <w:r>
              <w:t>Fédération internationale d'astronautique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748C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20B6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6B7B6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B9E8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0CD277C0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AED14" w14:textId="77777777" w:rsidR="00517396" w:rsidRPr="000F233D" w:rsidRDefault="00517396" w:rsidP="00180F7E">
            <w:pPr>
              <w:pStyle w:val="Tabletext"/>
              <w:rPr>
                <w:rFonts w:asciiTheme="minorHAnsi" w:hAnsiTheme="minorHAnsi" w:cstheme="minorHAnsi"/>
                <w:lang w:val="en-US" w:eastAsia="zh-CN"/>
              </w:rPr>
            </w:pPr>
            <w:r>
              <w:t>Union astronomique internationale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60E20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D71D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1462E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39F7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4A648A7B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48AB04" w14:textId="77777777" w:rsidR="00517396" w:rsidRPr="00415955" w:rsidRDefault="00517396" w:rsidP="00180F7E">
            <w:pPr>
              <w:pStyle w:val="Tabletext"/>
              <w:rPr>
                <w:rFonts w:asciiTheme="minorHAnsi" w:hAnsiTheme="minorHAnsi" w:cstheme="minorHAnsi"/>
                <w:lang w:val="fr-CH" w:eastAsia="zh-CN"/>
              </w:rPr>
            </w:pPr>
            <w:r>
              <w:t>Bureau international des poids et mesures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556A6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FFDD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99341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19E0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667E12C6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15DF0" w14:textId="77777777" w:rsidR="00517396" w:rsidRPr="000F233D" w:rsidRDefault="00517396" w:rsidP="00180F7E">
            <w:pPr>
              <w:pStyle w:val="Tabletext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International Center for Disability Resources on the Internet (ICDRI)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7E14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A074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A5E28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DA1A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72536D6A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33563" w14:textId="77777777" w:rsidR="00517396" w:rsidRPr="00646E99" w:rsidRDefault="00517396" w:rsidP="00180F7E">
            <w:pPr>
              <w:pStyle w:val="Tabletext"/>
              <w:rPr>
                <w:rFonts w:asciiTheme="minorHAnsi" w:hAnsiTheme="minorHAnsi" w:cstheme="minorHAnsi"/>
                <w:lang w:val="fr-CH" w:eastAsia="zh-CN"/>
              </w:rPr>
            </w:pPr>
            <w:r w:rsidRPr="00646E99">
              <w:t>Centre international pour la promotion des entreprises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C951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04AA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B2B83D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C4C4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77513675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97006" w14:textId="77777777" w:rsidR="00517396" w:rsidRPr="00415955" w:rsidRDefault="00517396" w:rsidP="00180F7E">
            <w:pPr>
              <w:pStyle w:val="Tabletext"/>
              <w:rPr>
                <w:rFonts w:asciiTheme="minorHAnsi" w:hAnsiTheme="minorHAnsi" w:cstheme="minorHAnsi"/>
                <w:lang w:val="fr-CH" w:eastAsia="zh-CN"/>
              </w:rPr>
            </w:pPr>
            <w:r>
              <w:t>Comité international de la Croix-Rouge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5B09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65B3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9A606A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9AEC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1777E3F1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A327D6" w14:textId="77777777" w:rsidR="00517396" w:rsidRPr="00415955" w:rsidRDefault="00517396" w:rsidP="00180F7E">
            <w:pPr>
              <w:pStyle w:val="Tabletext"/>
              <w:rPr>
                <w:rFonts w:asciiTheme="minorHAnsi" w:hAnsiTheme="minorHAnsi" w:cstheme="minorHAnsi"/>
                <w:lang w:val="fr-CH" w:eastAsia="zh-CN"/>
              </w:rPr>
            </w:pPr>
            <w:r>
              <w:t>Conseil international pour la science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DDA2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8616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EF77F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A691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</w:tr>
      <w:tr w:rsidR="00517396" w:rsidRPr="000F233D" w14:paraId="5FB1AA25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0512A" w14:textId="77777777" w:rsidR="00517396" w:rsidRPr="001E6F37" w:rsidRDefault="00517396" w:rsidP="00180F7E">
            <w:pPr>
              <w:pStyle w:val="Tabletext"/>
              <w:rPr>
                <w:rFonts w:asciiTheme="minorHAnsi" w:hAnsiTheme="minorHAnsi" w:cstheme="minorHAnsi"/>
                <w:lang w:val="fr-CH" w:eastAsia="zh-CN"/>
              </w:rPr>
            </w:pPr>
            <w:r>
              <w:rPr>
                <w:rFonts w:asciiTheme="minorHAnsi" w:hAnsiTheme="minorHAnsi" w:cstheme="minorHAnsi"/>
                <w:lang w:val="fr-CH" w:eastAsia="zh-CN"/>
              </w:rPr>
              <w:t>Conseil i</w:t>
            </w:r>
            <w:r w:rsidRPr="001E6F37">
              <w:rPr>
                <w:rFonts w:asciiTheme="minorHAnsi" w:hAnsiTheme="minorHAnsi" w:cstheme="minorHAnsi"/>
                <w:lang w:val="fr-CH" w:eastAsia="zh-CN"/>
              </w:rPr>
              <w:t xml:space="preserve">nternational des </w:t>
            </w:r>
            <w:r>
              <w:rPr>
                <w:rFonts w:asciiTheme="minorHAnsi" w:hAnsiTheme="minorHAnsi" w:cstheme="minorHAnsi"/>
                <w:lang w:val="fr-CH" w:eastAsia="zh-CN"/>
              </w:rPr>
              <w:t>g</w:t>
            </w:r>
            <w:r w:rsidRPr="001E6F37">
              <w:rPr>
                <w:rFonts w:asciiTheme="minorHAnsi" w:hAnsiTheme="minorHAnsi" w:cstheme="minorHAnsi"/>
                <w:lang w:val="fr-CH" w:eastAsia="zh-CN"/>
              </w:rPr>
              <w:t xml:space="preserve">rands </w:t>
            </w:r>
            <w:r>
              <w:rPr>
                <w:rFonts w:asciiTheme="minorHAnsi" w:hAnsiTheme="minorHAnsi" w:cstheme="minorHAnsi"/>
                <w:lang w:val="fr-CH" w:eastAsia="zh-CN"/>
              </w:rPr>
              <w:t>r</w:t>
            </w:r>
            <w:r w:rsidRPr="001E6F37">
              <w:rPr>
                <w:rFonts w:asciiTheme="minorHAnsi" w:hAnsiTheme="minorHAnsi" w:cstheme="minorHAnsi"/>
                <w:lang w:val="fr-CH" w:eastAsia="zh-CN"/>
              </w:rPr>
              <w:t xml:space="preserve">éseaux </w:t>
            </w:r>
            <w:r>
              <w:rPr>
                <w:rFonts w:asciiTheme="minorHAnsi" w:hAnsiTheme="minorHAnsi" w:cstheme="minorHAnsi"/>
                <w:lang w:val="fr-CH" w:eastAsia="zh-CN"/>
              </w:rPr>
              <w:t>é</w:t>
            </w:r>
            <w:r w:rsidRPr="001E6F37">
              <w:rPr>
                <w:rFonts w:asciiTheme="minorHAnsi" w:hAnsiTheme="minorHAnsi" w:cstheme="minorHAnsi"/>
                <w:lang w:val="fr-CH" w:eastAsia="zh-CN"/>
              </w:rPr>
              <w:t>lectriques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B671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BC09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75479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906D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</w:tr>
      <w:tr w:rsidR="00517396" w:rsidRPr="000F233D" w14:paraId="058354E0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933B8" w14:textId="77777777" w:rsidR="00517396" w:rsidRPr="000F233D" w:rsidRDefault="00517396" w:rsidP="00180F7E">
            <w:pPr>
              <w:pStyle w:val="Tabletext"/>
              <w:rPr>
                <w:rFonts w:asciiTheme="minorHAnsi" w:hAnsiTheme="minorHAnsi" w:cstheme="minorHAnsi"/>
                <w:lang w:val="en-US" w:eastAsia="zh-CN"/>
              </w:rPr>
            </w:pPr>
            <w:r>
              <w:t>Commission électrotechnique internationale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1F15C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3641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F41AB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FFE3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</w:tr>
      <w:tr w:rsidR="00517396" w:rsidRPr="000F233D" w14:paraId="492EED45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BCBB3" w14:textId="77777777" w:rsidR="00517396" w:rsidRPr="00415955" w:rsidRDefault="00517396" w:rsidP="00180F7E">
            <w:pPr>
              <w:pStyle w:val="Tabletext"/>
              <w:rPr>
                <w:rFonts w:asciiTheme="minorHAnsi" w:hAnsiTheme="minorHAnsi" w:cstheme="minorHAnsi"/>
                <w:lang w:val="fr-CH" w:eastAsia="zh-CN"/>
              </w:rPr>
            </w:pPr>
            <w:r>
              <w:t>Fédération internationale pour le traitement de l'information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5FF4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E9E2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45F90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F6B3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2E90FAEB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14B68" w14:textId="77777777" w:rsidR="00517396" w:rsidRPr="00415955" w:rsidRDefault="00517396" w:rsidP="00180F7E">
            <w:pPr>
              <w:pStyle w:val="Tabletext"/>
              <w:rPr>
                <w:rFonts w:asciiTheme="minorHAnsi" w:hAnsiTheme="minorHAnsi" w:cstheme="minorHAnsi"/>
                <w:lang w:val="fr-CH" w:eastAsia="zh-CN"/>
              </w:rPr>
            </w:pPr>
            <w:r>
              <w:t>Association internationale de signalisation maritime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85E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21D8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AF3130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D07C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5BB7943A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F6C2FF" w14:textId="77777777" w:rsidR="00517396" w:rsidRPr="001E6F37" w:rsidRDefault="00517396" w:rsidP="00180F7E">
            <w:pPr>
              <w:pStyle w:val="Tabletext"/>
              <w:rPr>
                <w:rFonts w:asciiTheme="minorHAnsi" w:hAnsiTheme="minorHAnsi" w:cstheme="minorHAnsi"/>
                <w:lang w:val="fr-CH" w:eastAsia="zh-CN"/>
              </w:rPr>
            </w:pPr>
            <w:r w:rsidRPr="001E6F37">
              <w:rPr>
                <w:rFonts w:asciiTheme="minorHAnsi" w:hAnsiTheme="minorHAnsi" w:cstheme="minorHAnsi"/>
                <w:lang w:val="fr-CH" w:eastAsia="zh-CN"/>
              </w:rPr>
              <w:t>Organisation internationale de télécommunications mobiles par satellite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57E6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F34A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52477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C71D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7D3535BA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E561B" w14:textId="77777777" w:rsidR="00517396" w:rsidRPr="000F233D" w:rsidRDefault="00517396" w:rsidP="00180F7E">
            <w:pPr>
              <w:pStyle w:val="Tabletext"/>
              <w:rPr>
                <w:rFonts w:asciiTheme="minorHAnsi" w:hAnsiTheme="minorHAnsi" w:cstheme="minorHAnsi"/>
                <w:lang w:val="en-US" w:eastAsia="zh-CN"/>
              </w:rPr>
            </w:pPr>
            <w:r>
              <w:t>Organisation internationale de normalisation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A05E7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3C52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3E19F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3D58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</w:tr>
      <w:tr w:rsidR="00517396" w:rsidRPr="000F233D" w14:paraId="42EE9C0E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5B1BD3" w14:textId="77777777" w:rsidR="00517396" w:rsidRPr="0084540D" w:rsidRDefault="00517396" w:rsidP="00180F7E">
            <w:pPr>
              <w:pStyle w:val="Tabletext"/>
              <w:rPr>
                <w:rFonts w:asciiTheme="minorHAnsi" w:hAnsiTheme="minorHAnsi" w:cstheme="minorHAnsi"/>
                <w:lang w:val="fr-CH" w:eastAsia="zh-CN"/>
              </w:rPr>
            </w:pPr>
            <w:r w:rsidRPr="0084540D">
              <w:rPr>
                <w:rFonts w:asciiTheme="minorHAnsi" w:hAnsiTheme="minorHAnsi" w:cstheme="minorHAnsi"/>
                <w:lang w:val="fr-CH" w:eastAsia="zh-CN"/>
              </w:rPr>
              <w:t>Système international de satellites pour les recherches et le sauvetage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6637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097F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E2BD8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EE15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36A49083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5ABA9" w14:textId="6F0A5B63" w:rsidR="00517396" w:rsidRPr="0084540D" w:rsidRDefault="00517396" w:rsidP="003F3B26">
            <w:pPr>
              <w:pStyle w:val="Tabletext"/>
              <w:rPr>
                <w:rFonts w:asciiTheme="minorHAnsi" w:hAnsiTheme="minorHAnsi" w:cstheme="minorHAnsi"/>
                <w:lang w:val="fr-CH" w:eastAsia="zh-CN"/>
              </w:rPr>
            </w:pPr>
            <w:r w:rsidRPr="0084540D">
              <w:rPr>
                <w:rFonts w:asciiTheme="minorHAnsi" w:hAnsiTheme="minorHAnsi" w:cstheme="minorHAnsi"/>
                <w:lang w:val="fr-CH" w:eastAsia="zh-CN"/>
              </w:rPr>
              <w:t>Comité international spécial des perturbations radioélectriques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65C9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9F5F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D6C0B3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6DEA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5974128A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8B7A5" w14:textId="77777777" w:rsidR="00517396" w:rsidRPr="000F233D" w:rsidRDefault="00517396" w:rsidP="00180F7E">
            <w:pPr>
              <w:pStyle w:val="Tabletext"/>
              <w:rPr>
                <w:rFonts w:asciiTheme="minorHAnsi" w:hAnsiTheme="minorHAnsi" w:cstheme="minorHAnsi"/>
                <w:lang w:val="en-US" w:eastAsia="zh-CN"/>
              </w:rPr>
            </w:pPr>
            <w:r w:rsidRPr="0084540D">
              <w:rPr>
                <w:rFonts w:asciiTheme="minorHAnsi" w:hAnsiTheme="minorHAnsi" w:cstheme="minorHAnsi"/>
                <w:lang w:val="en-US" w:eastAsia="zh-CN"/>
              </w:rPr>
              <w:t>Académie internationale des télécommunications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2EC7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491A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A13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7E6F39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A2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8C16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1060A87E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F81D36" w14:textId="77777777" w:rsidR="00517396" w:rsidRPr="00646E99" w:rsidRDefault="00517396" w:rsidP="00180F7E">
            <w:pPr>
              <w:pStyle w:val="Tabletext"/>
              <w:rPr>
                <w:rFonts w:asciiTheme="minorHAnsi" w:hAnsiTheme="minorHAnsi" w:cstheme="minorHAnsi"/>
                <w:lang w:val="fr-CH" w:eastAsia="zh-CN"/>
              </w:rPr>
            </w:pPr>
            <w:r w:rsidRPr="00646E99">
              <w:rPr>
                <w:rFonts w:asciiTheme="minorHAnsi" w:hAnsiTheme="minorHAnsi" w:cstheme="minorHAnsi"/>
                <w:lang w:val="fr-CH" w:eastAsia="zh-CN"/>
              </w:rPr>
              <w:t>Organisation internationale de télécommunications par satellite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7BBB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89FB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021BE1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5B55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4E807CEE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2CB0BA" w14:textId="77777777" w:rsidR="00517396" w:rsidRPr="0084540D" w:rsidRDefault="00517396" w:rsidP="00180F7E">
            <w:pPr>
              <w:pStyle w:val="Tabletext"/>
              <w:rPr>
                <w:rFonts w:asciiTheme="minorHAnsi" w:hAnsiTheme="minorHAnsi" w:cstheme="minorHAnsi"/>
                <w:lang w:val="fr-CH" w:eastAsia="zh-CN"/>
              </w:rPr>
            </w:pPr>
            <w:r w:rsidRPr="0084540D">
              <w:rPr>
                <w:rFonts w:asciiTheme="minorHAnsi" w:hAnsiTheme="minorHAnsi" w:cstheme="minorHAnsi"/>
                <w:lang w:val="fr-CH" w:eastAsia="zh-CN"/>
              </w:rPr>
              <w:t>Association internationale des usagers des télécommunications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D04C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CFB2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7C292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2BE3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164CE418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58BA8" w14:textId="77777777" w:rsidR="00517396" w:rsidRPr="000F233D" w:rsidRDefault="00517396" w:rsidP="00180F7E">
            <w:pPr>
              <w:pStyle w:val="Tabletext"/>
              <w:rPr>
                <w:rFonts w:asciiTheme="minorHAnsi" w:hAnsiTheme="minorHAnsi" w:cstheme="minorHAnsi"/>
                <w:lang w:val="en-US" w:eastAsia="zh-CN"/>
              </w:rPr>
            </w:pPr>
            <w:r w:rsidRPr="0084540D">
              <w:rPr>
                <w:rFonts w:asciiTheme="minorHAnsi" w:hAnsiTheme="minorHAnsi" w:cstheme="minorHAnsi"/>
                <w:lang w:val="en-US" w:eastAsia="zh-CN"/>
              </w:rPr>
              <w:t>Union radio-scientifique internationale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73AA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0D1D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0C888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EFAE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1A1A63D0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D72631" w14:textId="77777777" w:rsidR="00517396" w:rsidRPr="000F233D" w:rsidRDefault="00517396" w:rsidP="00180F7E">
            <w:pPr>
              <w:pStyle w:val="Tabletext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Internet Society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E57D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D562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96FCCC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030A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3609C33B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3D97D" w14:textId="77777777" w:rsidR="00517396" w:rsidRPr="000F233D" w:rsidRDefault="00517396" w:rsidP="00180F7E">
            <w:pPr>
              <w:pStyle w:val="Tabletext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Internet Systems Consortium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495B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03B3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9CAE96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920C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</w:tr>
      <w:tr w:rsidR="00517396" w:rsidRPr="000F233D" w14:paraId="1F045476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3855A" w14:textId="77777777" w:rsidR="00517396" w:rsidRPr="000F233D" w:rsidRDefault="00517396" w:rsidP="00180F7E">
            <w:pPr>
              <w:pStyle w:val="Tabletext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Ligue des Etats arabes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9C25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1819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975D10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EA75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195413F8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8F110" w14:textId="77777777" w:rsidR="00517396" w:rsidRPr="000F233D" w:rsidRDefault="00517396" w:rsidP="00180F7E">
            <w:pPr>
              <w:pStyle w:val="Tabletext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Mandat International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9D26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8654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74851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1262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7820BF1A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EC6D1" w14:textId="77777777" w:rsidR="00517396" w:rsidRPr="000F233D" w:rsidRDefault="00517396" w:rsidP="00180F7E">
            <w:pPr>
              <w:pStyle w:val="Tabletext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NetHope Inc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22D6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1639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0888A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C51C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130264BA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503312" w14:textId="77777777" w:rsidR="00517396" w:rsidRPr="000F233D" w:rsidRDefault="00517396" w:rsidP="00180F7E">
            <w:pPr>
              <w:pStyle w:val="Tabletext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North American Broadcasters Association (NABA)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FF4B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E491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BE867C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2DF8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2F295BA6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DF010B" w14:textId="77777777" w:rsidR="00517396" w:rsidRPr="000F233D" w:rsidRDefault="00517396" w:rsidP="00180F7E">
            <w:pPr>
              <w:pStyle w:val="Tabletext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Open Geospatial Consortium (OGC)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FC28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595B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5DD532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B089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44799815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ADCE16" w14:textId="77777777" w:rsidR="00517396" w:rsidRPr="000F233D" w:rsidRDefault="00517396" w:rsidP="00180F7E">
            <w:pPr>
              <w:pStyle w:val="Tabletext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Pacific Islands Telecommunications Association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1995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18B5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2BEB4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EF42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0CCDCBA4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C470F" w14:textId="77777777" w:rsidR="00517396" w:rsidRPr="00A21F7C" w:rsidRDefault="00517396" w:rsidP="00180F7E">
            <w:pPr>
              <w:pStyle w:val="Tabletext"/>
              <w:rPr>
                <w:rFonts w:asciiTheme="minorHAnsi" w:hAnsiTheme="minorHAnsi" w:cstheme="minorHAnsi"/>
                <w:lang w:val="fr-CH" w:eastAsia="zh-CN"/>
              </w:rPr>
            </w:pPr>
            <w:r w:rsidRPr="0007727F">
              <w:rPr>
                <w:lang w:val="fr-CH"/>
              </w:rPr>
              <w:t>Organisation</w:t>
            </w:r>
            <w:r>
              <w:t xml:space="preserve"> régionale africaine de communication par satellite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AD5E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BB5B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693B1F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DC6A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592E4163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A133E" w14:textId="77777777" w:rsidR="00517396" w:rsidRPr="000F233D" w:rsidRDefault="00517396" w:rsidP="00180F7E">
            <w:pPr>
              <w:pStyle w:val="Tabletext"/>
              <w:rPr>
                <w:rFonts w:asciiTheme="minorHAnsi" w:hAnsiTheme="minorHAnsi" w:cstheme="minorHAnsi"/>
                <w:lang w:val="en-US" w:eastAsia="zh-CN"/>
              </w:rPr>
            </w:pPr>
            <w:r w:rsidRPr="0007727F">
              <w:rPr>
                <w:lang w:val="fr-CH"/>
              </w:rPr>
              <w:t>Communauté régionale des communications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01FE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70A0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B6DA3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D2F2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1F6CAB03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F6B00" w14:textId="77777777" w:rsidR="00517396" w:rsidRPr="006A7262" w:rsidRDefault="00517396" w:rsidP="00180F7E">
            <w:pPr>
              <w:pStyle w:val="Tabletext"/>
              <w:rPr>
                <w:rFonts w:asciiTheme="minorHAnsi" w:hAnsiTheme="minorHAnsi" w:cstheme="minorHAnsi"/>
                <w:lang w:val="fr-CH" w:eastAsia="zh-CN"/>
              </w:rPr>
            </w:pPr>
            <w:r w:rsidRPr="006A7262">
              <w:rPr>
                <w:rFonts w:asciiTheme="minorHAnsi" w:hAnsiTheme="minorHAnsi" w:cstheme="minorHAnsi"/>
                <w:lang w:val="fr-CH" w:eastAsia="zh-CN"/>
              </w:rPr>
              <w:t>Comité inter-unions pour l'attribution de fréquences à la radioastronomie et à la science spatiale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B864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6A28E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6ED57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EE95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041F19FD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9669C" w14:textId="77777777" w:rsidR="00517396" w:rsidRPr="000F233D" w:rsidRDefault="00517396" w:rsidP="00180F7E">
            <w:pPr>
              <w:pStyle w:val="Tabletext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 xml:space="preserve">Fondation </w:t>
            </w:r>
            <w:r w:rsidRPr="000F233D">
              <w:rPr>
                <w:rFonts w:asciiTheme="minorHAnsi" w:hAnsiTheme="minorHAnsi" w:cstheme="minorHAnsi"/>
                <w:lang w:val="en-US" w:eastAsia="zh-CN"/>
              </w:rPr>
              <w:t>Sintesio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4450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A281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0E08DB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72CE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</w:tr>
      <w:tr w:rsidR="00517396" w:rsidRPr="000F233D" w14:paraId="7986C917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34A786" w14:textId="77777777" w:rsidR="00517396" w:rsidRPr="003A1867" w:rsidRDefault="00517396" w:rsidP="00180F7E">
            <w:pPr>
              <w:pStyle w:val="Tabletext"/>
              <w:rPr>
                <w:rFonts w:asciiTheme="minorHAnsi" w:hAnsiTheme="minorHAnsi" w:cstheme="minorHAnsi"/>
                <w:szCs w:val="22"/>
                <w:lang w:val="en-US" w:eastAsia="zh-CN"/>
              </w:rPr>
            </w:pPr>
            <w:r w:rsidRPr="003A1867">
              <w:rPr>
                <w:rFonts w:asciiTheme="minorHAnsi" w:hAnsiTheme="minorHAnsi" w:cs="Arial"/>
                <w:color w:val="000000"/>
                <w:szCs w:val="22"/>
                <w:lang w:val="en-US"/>
              </w:rPr>
              <w:t>Society of Motion Picture and Television Engineers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8463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B975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F1A221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CA18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7039D9D1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DD7768" w14:textId="77777777" w:rsidR="00517396" w:rsidRPr="000F233D" w:rsidRDefault="00517396" w:rsidP="00180F7E">
            <w:pPr>
              <w:pStyle w:val="Tabletext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Southern Africa Telecentre Networks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BAF4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0B3D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312E1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14FB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1FC6D2F6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611B2" w14:textId="77777777" w:rsidR="00517396" w:rsidRPr="006A7262" w:rsidRDefault="00517396" w:rsidP="00180F7E">
            <w:pPr>
              <w:pStyle w:val="Tabletext"/>
              <w:rPr>
                <w:rFonts w:asciiTheme="minorHAnsi" w:hAnsiTheme="minorHAnsi" w:cstheme="minorHAnsi"/>
                <w:lang w:val="fr-CH" w:eastAsia="zh-CN"/>
              </w:rPr>
            </w:pPr>
            <w:r w:rsidRPr="006A7262">
              <w:rPr>
                <w:rFonts w:asciiTheme="minorHAnsi" w:hAnsiTheme="minorHAnsi" w:cstheme="minorHAnsi"/>
                <w:lang w:val="fr-CH" w:eastAsia="zh-CN"/>
              </w:rPr>
              <w:t>Communauté de développement de l'Afrique australe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1D3B9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3600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87703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A632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</w:tr>
      <w:tr w:rsidR="00517396" w:rsidRPr="000F233D" w14:paraId="78A7ADEC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97F884" w14:textId="77777777" w:rsidR="00517396" w:rsidRPr="000F233D" w:rsidRDefault="00517396" w:rsidP="00180F7E">
            <w:pPr>
              <w:pStyle w:val="Tabletext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 xml:space="preserve">Fondation Telecentre.org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AEED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A52C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1521D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0729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</w:tr>
      <w:tr w:rsidR="00517396" w:rsidRPr="000F233D" w14:paraId="42582EE4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824A7" w14:textId="77777777" w:rsidR="00517396" w:rsidRPr="00EC3F3B" w:rsidRDefault="00517396" w:rsidP="00180F7E">
            <w:pPr>
              <w:pStyle w:val="Tabletext"/>
              <w:rPr>
                <w:rFonts w:asciiTheme="minorHAnsi" w:hAnsiTheme="minorHAnsi" w:cstheme="minorHAnsi"/>
                <w:lang w:val="fr-CH" w:eastAsia="zh-CN"/>
              </w:rPr>
            </w:pPr>
            <w:r w:rsidRPr="00EC3F3B">
              <w:rPr>
                <w:rFonts w:asciiTheme="minorHAnsi" w:hAnsiTheme="minorHAnsi" w:cstheme="minorHAnsi"/>
                <w:lang w:val="fr-CH" w:eastAsia="zh-CN"/>
              </w:rPr>
              <w:t>Commission technique régionale des télécommunications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3067D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D1DD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BC6B4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C2CF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22DBA18C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BBF0D" w14:textId="77777777" w:rsidR="00517396" w:rsidRPr="00EC3F3B" w:rsidRDefault="00517396" w:rsidP="00180F7E">
            <w:pPr>
              <w:pStyle w:val="Tabletext"/>
              <w:rPr>
                <w:rFonts w:asciiTheme="minorHAnsi" w:hAnsiTheme="minorHAnsi" w:cstheme="minorHAnsi"/>
                <w:lang w:val="fr-CH" w:eastAsia="zh-CN"/>
              </w:rPr>
            </w:pPr>
            <w:r w:rsidRPr="00EC3F3B">
              <w:rPr>
                <w:rFonts w:asciiTheme="minorHAnsi" w:hAnsiTheme="minorHAnsi" w:cstheme="minorHAnsi"/>
                <w:lang w:val="fr-CH" w:eastAsia="zh-CN"/>
              </w:rPr>
              <w:t xml:space="preserve">Centre international Abdus Salam de physique théorique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2C30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1ECF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FB97EF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7028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0AA7BD6D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14ABA" w14:textId="77777777" w:rsidR="00517396" w:rsidRPr="00267106" w:rsidRDefault="00517396" w:rsidP="00180F7E">
            <w:pPr>
              <w:pStyle w:val="Tabletext"/>
              <w:rPr>
                <w:rFonts w:asciiTheme="minorHAnsi" w:hAnsiTheme="minorHAnsi" w:cstheme="minorHAnsi"/>
                <w:lang w:val="fr-CH" w:eastAsia="zh-CN"/>
              </w:rPr>
            </w:pPr>
            <w:r w:rsidRPr="00267106">
              <w:rPr>
                <w:rFonts w:asciiTheme="minorHAnsi" w:hAnsiTheme="minorHAnsi" w:cstheme="minorHAnsi"/>
                <w:lang w:val="fr-CH" w:eastAsia="zh-CN"/>
              </w:rPr>
              <w:t>Conseil des communications par satellite Asie-Pacifique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BDBB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6196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7893D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C985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6835C47F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AA45C" w14:textId="77777777" w:rsidR="00517396" w:rsidRPr="000F233D" w:rsidRDefault="00517396" w:rsidP="00180F7E">
            <w:pPr>
              <w:pStyle w:val="Tabletext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 xml:space="preserve">Forum </w:t>
            </w:r>
            <w:r w:rsidRPr="000F233D">
              <w:rPr>
                <w:rFonts w:asciiTheme="minorHAnsi" w:hAnsiTheme="minorHAnsi" w:cstheme="minorHAnsi"/>
                <w:lang w:val="en-US" w:eastAsia="zh-CN"/>
              </w:rPr>
              <w:t>UMTS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4C3D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B2CC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ED3903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206D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</w:tr>
      <w:tr w:rsidR="00517396" w:rsidRPr="000F233D" w14:paraId="568C6DBA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0203D" w14:textId="77777777" w:rsidR="00517396" w:rsidRPr="000F233D" w:rsidRDefault="00517396" w:rsidP="00180F7E">
            <w:pPr>
              <w:pStyle w:val="Tabletext"/>
              <w:rPr>
                <w:rFonts w:asciiTheme="minorHAnsi" w:hAnsiTheme="minorHAnsi" w:cstheme="minorHAnsi"/>
                <w:lang w:val="fr-CH" w:eastAsia="zh-CN"/>
              </w:rPr>
            </w:pPr>
            <w:r w:rsidRPr="000F233D">
              <w:rPr>
                <w:rFonts w:asciiTheme="minorHAnsi" w:hAnsiTheme="minorHAnsi" w:cstheme="minorHAnsi"/>
                <w:lang w:val="fr-CH" w:eastAsia="zh-CN"/>
              </w:rPr>
              <w:t>Union Economique et Monétaire Ouest Africaine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B7C6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0B42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00C535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611C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</w:tr>
      <w:tr w:rsidR="00517396" w:rsidRPr="000F233D" w14:paraId="39CC1205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A4A77" w14:textId="77777777" w:rsidR="00517396" w:rsidRPr="000F233D" w:rsidRDefault="00517396" w:rsidP="00180F7E">
            <w:pPr>
              <w:pStyle w:val="Tabletext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United Kingdom Telecommunications Academy (UKTA)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A586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EDE8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4AA3B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882F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</w:tr>
      <w:tr w:rsidR="00517396" w:rsidRPr="000F233D" w14:paraId="2C4F0C53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C2454" w14:textId="77777777" w:rsidR="00517396" w:rsidRPr="000F233D" w:rsidRDefault="00517396" w:rsidP="00180F7E">
            <w:pPr>
              <w:pStyle w:val="Tabletext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WebForce International Federation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A2EC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33F7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4B6ADD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7BD9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40D9EB77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8937B" w14:textId="77777777" w:rsidR="00517396" w:rsidRPr="006A7262" w:rsidRDefault="00517396" w:rsidP="00180F7E">
            <w:pPr>
              <w:pStyle w:val="Tabletext"/>
              <w:rPr>
                <w:rFonts w:asciiTheme="minorHAnsi" w:hAnsiTheme="minorHAnsi" w:cstheme="minorHAnsi"/>
                <w:lang w:val="fr-CH" w:eastAsia="zh-CN"/>
              </w:rPr>
            </w:pPr>
            <w:r w:rsidRPr="006A7262">
              <w:rPr>
                <w:rFonts w:asciiTheme="minorHAnsi" w:hAnsiTheme="minorHAnsi" w:cstheme="minorHAnsi"/>
                <w:lang w:val="fr-CH" w:eastAsia="zh-CN"/>
              </w:rPr>
              <w:t>Assemblée des régulateurs des télécommunications de l'Afrique de l'Ouest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D2E3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3C63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926759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A2D0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519E5E9B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B0F46" w14:textId="77777777" w:rsidR="00517396" w:rsidRPr="00EC3F3B" w:rsidRDefault="00517396" w:rsidP="00180F7E">
            <w:pPr>
              <w:pStyle w:val="Tabletext"/>
              <w:rPr>
                <w:rFonts w:asciiTheme="minorHAnsi" w:hAnsiTheme="minorHAnsi" w:cstheme="minorHAnsi"/>
                <w:lang w:val="fr-CH" w:eastAsia="zh-CN"/>
              </w:rPr>
            </w:pPr>
            <w:r w:rsidRPr="00EC3F3B">
              <w:rPr>
                <w:rFonts w:asciiTheme="minorHAnsi" w:hAnsiTheme="minorHAnsi" w:cstheme="minorHAnsi"/>
                <w:lang w:val="fr-CH" w:eastAsia="zh-CN"/>
              </w:rPr>
              <w:t>Association mondiale des radiodiffuseurs communautaires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9825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A8142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9DAC33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F797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</w:tr>
      <w:tr w:rsidR="00517396" w:rsidRPr="000F233D" w14:paraId="264F67C3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A038CD" w14:textId="77777777" w:rsidR="00517396" w:rsidRPr="003A1867" w:rsidRDefault="00517396" w:rsidP="00180F7E">
            <w:pPr>
              <w:pStyle w:val="Tabletext"/>
              <w:rPr>
                <w:rFonts w:asciiTheme="minorHAnsi" w:hAnsiTheme="minorHAnsi" w:cstheme="minorHAnsi"/>
                <w:lang w:val="en-US" w:eastAsia="zh-CN"/>
              </w:rPr>
            </w:pPr>
            <w:r w:rsidRPr="003A1867">
              <w:rPr>
                <w:lang w:val="en-US"/>
              </w:rPr>
              <w:t>World Broadcasting Unions – Technical Committee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D7CD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D0AE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06AC4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CCF3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</w:tr>
      <w:tr w:rsidR="00517396" w:rsidRPr="000F233D" w14:paraId="49865AEE" w14:textId="77777777" w:rsidTr="00971218">
        <w:trPr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C6361" w14:textId="77777777" w:rsidR="00517396" w:rsidRPr="000F233D" w:rsidRDefault="00517396" w:rsidP="00180F7E">
            <w:pPr>
              <w:pStyle w:val="Tabletext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World Forum for Digital Audio Broadcasting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5B47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80DF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3A8D3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0F233D"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A13C" w14:textId="77777777" w:rsidR="00517396" w:rsidRPr="000F233D" w:rsidRDefault="00517396" w:rsidP="00180F7E">
            <w:pPr>
              <w:pStyle w:val="Tabletext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N</w:t>
            </w:r>
          </w:p>
        </w:tc>
      </w:tr>
    </w:tbl>
    <w:p w14:paraId="7B60E397" w14:textId="77777777" w:rsidR="003F3B26" w:rsidRDefault="003F3B26" w:rsidP="00566D8C">
      <w:pPr>
        <w:pStyle w:val="Reasons"/>
      </w:pPr>
    </w:p>
    <w:p w14:paraId="4F081728" w14:textId="77777777" w:rsidR="003F3B26" w:rsidRDefault="003F3B26">
      <w:pPr>
        <w:jc w:val="center"/>
      </w:pPr>
      <w:r>
        <w:t>______________</w:t>
      </w:r>
    </w:p>
    <w:p w14:paraId="425B3806" w14:textId="77777777" w:rsidR="00BD1614" w:rsidRPr="00BD1614" w:rsidRDefault="00BD1614" w:rsidP="00BD1614">
      <w:bookmarkStart w:id="8" w:name="_GoBack"/>
      <w:bookmarkEnd w:id="8"/>
    </w:p>
    <w:sectPr w:rsidR="00BD1614" w:rsidRPr="00BD1614" w:rsidSect="003A0B7D">
      <w:headerReference w:type="default" r:id="rId27"/>
      <w:footerReference w:type="default" r:id="rId28"/>
      <w:footerReference w:type="first" r:id="rId29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871D2" w14:textId="77777777" w:rsidR="00566D8C" w:rsidRDefault="00566D8C">
      <w:r>
        <w:separator/>
      </w:r>
    </w:p>
  </w:endnote>
  <w:endnote w:type="continuationSeparator" w:id="0">
    <w:p w14:paraId="03265A61" w14:textId="77777777" w:rsidR="00566D8C" w:rsidRDefault="0056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EE29E" w14:textId="77777777" w:rsidR="00566D8C" w:rsidRPr="005B4865" w:rsidRDefault="005B4865" w:rsidP="00180F7E">
    <w:pPr>
      <w:pStyle w:val="Footer"/>
      <w:rPr>
        <w:color w:val="FFFFFF" w:themeColor="background1"/>
      </w:rPr>
    </w:pPr>
    <w:r w:rsidRPr="005B4865">
      <w:rPr>
        <w:color w:val="FFFFFF" w:themeColor="background1"/>
      </w:rPr>
      <w:fldChar w:fldCharType="begin"/>
    </w:r>
    <w:r w:rsidRPr="005B4865">
      <w:rPr>
        <w:color w:val="FFFFFF" w:themeColor="background1"/>
      </w:rPr>
      <w:instrText xml:space="preserve"> FILENAME \p \* MERGEFORMAT </w:instrText>
    </w:r>
    <w:r w:rsidRPr="005B4865">
      <w:rPr>
        <w:color w:val="FFFFFF" w:themeColor="background1"/>
      </w:rPr>
      <w:fldChar w:fldCharType="separate"/>
    </w:r>
    <w:r w:rsidR="00EB5CDE" w:rsidRPr="005B4865">
      <w:rPr>
        <w:color w:val="FFFFFF" w:themeColor="background1"/>
      </w:rPr>
      <w:t>P:\FRA\SG\CONF-SG\PP14\000\061F.docx</w:t>
    </w:r>
    <w:r w:rsidRPr="005B4865">
      <w:rPr>
        <w:color w:val="FFFFFF" w:themeColor="background1"/>
      </w:rPr>
      <w:fldChar w:fldCharType="end"/>
    </w:r>
    <w:r w:rsidR="00566D8C" w:rsidRPr="005B4865">
      <w:rPr>
        <w:color w:val="FFFFFF" w:themeColor="background1"/>
      </w:rPr>
      <w:t xml:space="preserve"> (366566)</w:t>
    </w:r>
    <w:r w:rsidR="00566D8C" w:rsidRPr="005B4865">
      <w:rPr>
        <w:color w:val="FFFFFF" w:themeColor="background1"/>
      </w:rPr>
      <w:tab/>
    </w:r>
    <w:r w:rsidR="00566D8C" w:rsidRPr="005B4865">
      <w:rPr>
        <w:color w:val="FFFFFF" w:themeColor="background1"/>
      </w:rPr>
      <w:fldChar w:fldCharType="begin"/>
    </w:r>
    <w:r w:rsidR="00566D8C" w:rsidRPr="005B4865">
      <w:rPr>
        <w:color w:val="FFFFFF" w:themeColor="background1"/>
      </w:rPr>
      <w:instrText xml:space="preserve"> savedate \@ dd.MM.yy </w:instrText>
    </w:r>
    <w:r w:rsidR="00566D8C" w:rsidRPr="005B4865">
      <w:rPr>
        <w:color w:val="FFFFFF" w:themeColor="background1"/>
      </w:rPr>
      <w:fldChar w:fldCharType="separate"/>
    </w:r>
    <w:r w:rsidRPr="005B4865">
      <w:rPr>
        <w:color w:val="FFFFFF" w:themeColor="background1"/>
      </w:rPr>
      <w:t>10.09.14</w:t>
    </w:r>
    <w:r w:rsidR="00566D8C" w:rsidRPr="005B4865">
      <w:rPr>
        <w:color w:val="FFFFFF" w:themeColor="background1"/>
      </w:rPr>
      <w:fldChar w:fldCharType="end"/>
    </w:r>
    <w:r w:rsidR="00566D8C" w:rsidRPr="005B4865">
      <w:rPr>
        <w:color w:val="FFFFFF" w:themeColor="background1"/>
      </w:rPr>
      <w:tab/>
    </w:r>
    <w:r w:rsidR="00566D8C" w:rsidRPr="005B4865">
      <w:rPr>
        <w:color w:val="FFFFFF" w:themeColor="background1"/>
      </w:rPr>
      <w:fldChar w:fldCharType="begin"/>
    </w:r>
    <w:r w:rsidR="00566D8C" w:rsidRPr="005B4865">
      <w:rPr>
        <w:color w:val="FFFFFF" w:themeColor="background1"/>
      </w:rPr>
      <w:instrText xml:space="preserve"> printdate \@ dd.MM.yy </w:instrText>
    </w:r>
    <w:r w:rsidR="00566D8C" w:rsidRPr="005B4865">
      <w:rPr>
        <w:color w:val="FFFFFF" w:themeColor="background1"/>
      </w:rPr>
      <w:fldChar w:fldCharType="separate"/>
    </w:r>
    <w:r w:rsidR="00EB5CDE" w:rsidRPr="005B4865">
      <w:rPr>
        <w:color w:val="FFFFFF" w:themeColor="background1"/>
      </w:rPr>
      <w:t>10.09.14</w:t>
    </w:r>
    <w:r w:rsidR="00566D8C" w:rsidRPr="005B4865">
      <w:rPr>
        <w:color w:val="FFFFFF" w:themeColor="background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4B758" w14:textId="77777777" w:rsidR="00566D8C" w:rsidRDefault="00566D8C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173AA4CE" w14:textId="77777777" w:rsidR="00566D8C" w:rsidRPr="005B4865" w:rsidRDefault="00566D8C">
    <w:pPr>
      <w:pStyle w:val="FirstFooter"/>
      <w:jc w:val="center"/>
      <w:rPr>
        <w:color w:val="FFFFFF" w:themeColor="background1"/>
      </w:rPr>
    </w:pPr>
  </w:p>
  <w:p w14:paraId="3FD133CD" w14:textId="3B6A5158" w:rsidR="00566D8C" w:rsidRPr="005B4865" w:rsidRDefault="005B4865">
    <w:pPr>
      <w:pStyle w:val="Footer"/>
      <w:rPr>
        <w:color w:val="FFFFFF" w:themeColor="background1"/>
      </w:rPr>
    </w:pPr>
    <w:r w:rsidRPr="005B4865">
      <w:rPr>
        <w:color w:val="FFFFFF" w:themeColor="background1"/>
      </w:rPr>
      <w:fldChar w:fldCharType="begin"/>
    </w:r>
    <w:r w:rsidRPr="005B4865">
      <w:rPr>
        <w:color w:val="FFFFFF" w:themeColor="background1"/>
      </w:rPr>
      <w:instrText xml:space="preserve"> FILENAME \p \* MERGEFORMAT </w:instrText>
    </w:r>
    <w:r w:rsidRPr="005B4865">
      <w:rPr>
        <w:color w:val="FFFFFF" w:themeColor="background1"/>
      </w:rPr>
      <w:fldChar w:fldCharType="separate"/>
    </w:r>
    <w:r w:rsidR="00EB5CDE" w:rsidRPr="005B4865">
      <w:rPr>
        <w:color w:val="FFFFFF" w:themeColor="background1"/>
      </w:rPr>
      <w:t>P:\FRA\SG\CONF-SG\PP14\000\061F.docx</w:t>
    </w:r>
    <w:r w:rsidRPr="005B4865">
      <w:rPr>
        <w:color w:val="FFFFFF" w:themeColor="background1"/>
      </w:rPr>
      <w:fldChar w:fldCharType="end"/>
    </w:r>
    <w:r w:rsidR="00566D8C" w:rsidRPr="005B4865">
      <w:rPr>
        <w:color w:val="FFFFFF" w:themeColor="background1"/>
      </w:rPr>
      <w:t xml:space="preserve"> (366566)</w:t>
    </w:r>
    <w:r w:rsidR="00566D8C" w:rsidRPr="005B4865">
      <w:rPr>
        <w:color w:val="FFFFFF" w:themeColor="background1"/>
      </w:rPr>
      <w:tab/>
    </w:r>
    <w:r w:rsidR="00566D8C" w:rsidRPr="005B4865">
      <w:rPr>
        <w:color w:val="FFFFFF" w:themeColor="background1"/>
      </w:rPr>
      <w:fldChar w:fldCharType="begin"/>
    </w:r>
    <w:r w:rsidR="00566D8C" w:rsidRPr="005B4865">
      <w:rPr>
        <w:color w:val="FFFFFF" w:themeColor="background1"/>
      </w:rPr>
      <w:instrText xml:space="preserve"> savedate \@ dd.MM.yy </w:instrText>
    </w:r>
    <w:r w:rsidR="00566D8C" w:rsidRPr="005B4865">
      <w:rPr>
        <w:color w:val="FFFFFF" w:themeColor="background1"/>
      </w:rPr>
      <w:fldChar w:fldCharType="separate"/>
    </w:r>
    <w:r w:rsidRPr="005B4865">
      <w:rPr>
        <w:color w:val="FFFFFF" w:themeColor="background1"/>
      </w:rPr>
      <w:t>10.09.14</w:t>
    </w:r>
    <w:r w:rsidR="00566D8C" w:rsidRPr="005B4865">
      <w:rPr>
        <w:color w:val="FFFFFF" w:themeColor="background1"/>
      </w:rPr>
      <w:fldChar w:fldCharType="end"/>
    </w:r>
    <w:r w:rsidR="00566D8C" w:rsidRPr="005B4865">
      <w:rPr>
        <w:color w:val="FFFFFF" w:themeColor="background1"/>
      </w:rPr>
      <w:tab/>
    </w:r>
    <w:r w:rsidR="00566D8C" w:rsidRPr="005B4865">
      <w:rPr>
        <w:color w:val="FFFFFF" w:themeColor="background1"/>
      </w:rPr>
      <w:fldChar w:fldCharType="begin"/>
    </w:r>
    <w:r w:rsidR="00566D8C" w:rsidRPr="005B4865">
      <w:rPr>
        <w:color w:val="FFFFFF" w:themeColor="background1"/>
      </w:rPr>
      <w:instrText xml:space="preserve"> printdate \@ dd.MM.yy </w:instrText>
    </w:r>
    <w:r w:rsidR="00566D8C" w:rsidRPr="005B4865">
      <w:rPr>
        <w:color w:val="FFFFFF" w:themeColor="background1"/>
      </w:rPr>
      <w:fldChar w:fldCharType="separate"/>
    </w:r>
    <w:r w:rsidR="00EB5CDE" w:rsidRPr="005B4865">
      <w:rPr>
        <w:color w:val="FFFFFF" w:themeColor="background1"/>
      </w:rPr>
      <w:t>10.09.14</w:t>
    </w:r>
    <w:r w:rsidR="00566D8C" w:rsidRPr="005B4865">
      <w:rPr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25856" w14:textId="77777777" w:rsidR="00566D8C" w:rsidRDefault="00566D8C">
      <w:r>
        <w:t>____________________</w:t>
      </w:r>
    </w:p>
  </w:footnote>
  <w:footnote w:type="continuationSeparator" w:id="0">
    <w:p w14:paraId="0D1273DA" w14:textId="77777777" w:rsidR="00566D8C" w:rsidRDefault="00566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4A282" w14:textId="32357DEC" w:rsidR="00566D8C" w:rsidRDefault="00566D8C" w:rsidP="0040779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5B4865">
      <w:rPr>
        <w:noProof/>
      </w:rPr>
      <w:t>2</w:t>
    </w:r>
    <w:r>
      <w:fldChar w:fldCharType="end"/>
    </w:r>
    <w:r w:rsidR="005B4865">
      <w:t>/</w:t>
    </w:r>
    <w:fldSimple w:instr=" NUMPAGES   \* MERGEFORMAT ">
      <w:r w:rsidR="005B4865">
        <w:rPr>
          <w:noProof/>
        </w:rPr>
        <w:t>13</w:t>
      </w:r>
    </w:fldSimple>
  </w:p>
  <w:p w14:paraId="7D1B42B2" w14:textId="3E44F6BC" w:rsidR="00566D8C" w:rsidRPr="00407795" w:rsidRDefault="00566D8C" w:rsidP="00A0340E">
    <w:pPr>
      <w:pStyle w:val="Header"/>
    </w:pPr>
    <w:r>
      <w:t>PP14/61-</w:t>
    </w:r>
    <w:r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A8C05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1B4B2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F075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3585B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AF0A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5AAC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447E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A6CD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5E1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D873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F17907"/>
    <w:multiLevelType w:val="hybridMultilevel"/>
    <w:tmpl w:val="4350CD22"/>
    <w:lvl w:ilvl="0" w:tplc="D8DAE2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A22B32"/>
    <w:multiLevelType w:val="singleLevel"/>
    <w:tmpl w:val="BB1461B2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253C25FA"/>
    <w:multiLevelType w:val="hybridMultilevel"/>
    <w:tmpl w:val="40FEADB4"/>
    <w:lvl w:ilvl="0" w:tplc="12BC03BC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860EFD"/>
    <w:multiLevelType w:val="hybridMultilevel"/>
    <w:tmpl w:val="FF26F3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6A2282"/>
    <w:multiLevelType w:val="hybridMultilevel"/>
    <w:tmpl w:val="211C7838"/>
    <w:lvl w:ilvl="0" w:tplc="3E2C6A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64E79"/>
    <w:multiLevelType w:val="hybridMultilevel"/>
    <w:tmpl w:val="09ECE444"/>
    <w:lvl w:ilvl="0" w:tplc="D77E798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B04B5"/>
    <w:multiLevelType w:val="hybridMultilevel"/>
    <w:tmpl w:val="171865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6028CD"/>
    <w:multiLevelType w:val="singleLevel"/>
    <w:tmpl w:val="0470A0E6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>
    <w:nsid w:val="45162DB6"/>
    <w:multiLevelType w:val="multilevel"/>
    <w:tmpl w:val="52C6E8F2"/>
    <w:lvl w:ilvl="0">
      <w:start w:val="3"/>
      <w:numFmt w:val="decimal"/>
      <w:lvlText w:val="%1"/>
      <w:lvlJc w:val="left"/>
      <w:pPr>
        <w:ind w:left="360" w:hanging="360"/>
      </w:pPr>
      <w:rPr>
        <w:rFonts w:cs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Calibri" w:hint="default"/>
      </w:rPr>
    </w:lvl>
    <w:lvl w:ilvl="2">
      <w:start w:val="2"/>
      <w:numFmt w:val="decimal"/>
      <w:lvlText w:val="3.%3"/>
      <w:lvlJc w:val="left"/>
      <w:pPr>
        <w:ind w:left="720" w:hanging="720"/>
      </w:pPr>
      <w:rPr>
        <w:rFonts w:hint="default"/>
        <w:lang w:val="fr-CH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Calibri" w:hint="default"/>
      </w:rPr>
    </w:lvl>
  </w:abstractNum>
  <w:abstractNum w:abstractNumId="19">
    <w:nsid w:val="53AC29FB"/>
    <w:multiLevelType w:val="hybridMultilevel"/>
    <w:tmpl w:val="FF26F3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3165FB"/>
    <w:multiLevelType w:val="hybridMultilevel"/>
    <w:tmpl w:val="6682E37A"/>
    <w:lvl w:ilvl="0" w:tplc="0C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4F30E1"/>
    <w:multiLevelType w:val="hybridMultilevel"/>
    <w:tmpl w:val="ACFCC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753364"/>
    <w:multiLevelType w:val="hybridMultilevel"/>
    <w:tmpl w:val="F856A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21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0"/>
  </w:num>
  <w:num w:numId="16">
    <w:abstractNumId w:val="16"/>
  </w:num>
  <w:num w:numId="17">
    <w:abstractNumId w:val="17"/>
  </w:num>
  <w:num w:numId="18">
    <w:abstractNumId w:val="11"/>
  </w:num>
  <w:num w:numId="19">
    <w:abstractNumId w:val="12"/>
  </w:num>
  <w:num w:numId="20">
    <w:abstractNumId w:val="22"/>
  </w:num>
  <w:num w:numId="21">
    <w:abstractNumId w:val="10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5E"/>
    <w:rsid w:val="000054D8"/>
    <w:rsid w:val="00063794"/>
    <w:rsid w:val="00072D5C"/>
    <w:rsid w:val="00084308"/>
    <w:rsid w:val="000B14B6"/>
    <w:rsid w:val="000C467B"/>
    <w:rsid w:val="000D15FB"/>
    <w:rsid w:val="001051E4"/>
    <w:rsid w:val="001354EA"/>
    <w:rsid w:val="00136FCE"/>
    <w:rsid w:val="00153BA4"/>
    <w:rsid w:val="00180F7E"/>
    <w:rsid w:val="00190BCE"/>
    <w:rsid w:val="001941AD"/>
    <w:rsid w:val="001A0682"/>
    <w:rsid w:val="001E1B9B"/>
    <w:rsid w:val="001F6233"/>
    <w:rsid w:val="002C1059"/>
    <w:rsid w:val="002C2F9C"/>
    <w:rsid w:val="00310CC0"/>
    <w:rsid w:val="003116CA"/>
    <w:rsid w:val="003A0B7D"/>
    <w:rsid w:val="003A45C2"/>
    <w:rsid w:val="003C4BE2"/>
    <w:rsid w:val="003D147D"/>
    <w:rsid w:val="003F3B26"/>
    <w:rsid w:val="00407795"/>
    <w:rsid w:val="00430015"/>
    <w:rsid w:val="00435D55"/>
    <w:rsid w:val="004678D0"/>
    <w:rsid w:val="00471BF7"/>
    <w:rsid w:val="00482954"/>
    <w:rsid w:val="00517396"/>
    <w:rsid w:val="00524001"/>
    <w:rsid w:val="00564B63"/>
    <w:rsid w:val="00566D8C"/>
    <w:rsid w:val="00575DC7"/>
    <w:rsid w:val="005836C2"/>
    <w:rsid w:val="005A4EFD"/>
    <w:rsid w:val="005A5ABE"/>
    <w:rsid w:val="005B4865"/>
    <w:rsid w:val="005C2ECC"/>
    <w:rsid w:val="005E419E"/>
    <w:rsid w:val="00611CF1"/>
    <w:rsid w:val="006201D9"/>
    <w:rsid w:val="006277DB"/>
    <w:rsid w:val="00635B7B"/>
    <w:rsid w:val="006548C0"/>
    <w:rsid w:val="00655B98"/>
    <w:rsid w:val="00686973"/>
    <w:rsid w:val="006A6342"/>
    <w:rsid w:val="006B6C9C"/>
    <w:rsid w:val="006C7AE3"/>
    <w:rsid w:val="006D55E8"/>
    <w:rsid w:val="006E1921"/>
    <w:rsid w:val="006F36F9"/>
    <w:rsid w:val="0070576B"/>
    <w:rsid w:val="00713335"/>
    <w:rsid w:val="00727C2F"/>
    <w:rsid w:val="00735F13"/>
    <w:rsid w:val="007717F2"/>
    <w:rsid w:val="0078134C"/>
    <w:rsid w:val="007A5830"/>
    <w:rsid w:val="00801256"/>
    <w:rsid w:val="008146E3"/>
    <w:rsid w:val="008703CB"/>
    <w:rsid w:val="008C33C2"/>
    <w:rsid w:val="008C6137"/>
    <w:rsid w:val="008E2DB4"/>
    <w:rsid w:val="00901DD5"/>
    <w:rsid w:val="0090735B"/>
    <w:rsid w:val="00912D5E"/>
    <w:rsid w:val="00934340"/>
    <w:rsid w:val="00966CD3"/>
    <w:rsid w:val="00971218"/>
    <w:rsid w:val="00987A20"/>
    <w:rsid w:val="009A0E15"/>
    <w:rsid w:val="009F0592"/>
    <w:rsid w:val="009F5DE2"/>
    <w:rsid w:val="00A0340E"/>
    <w:rsid w:val="00A20E72"/>
    <w:rsid w:val="00A246DC"/>
    <w:rsid w:val="00A47BAF"/>
    <w:rsid w:val="00A5784F"/>
    <w:rsid w:val="00A8436E"/>
    <w:rsid w:val="00A941B4"/>
    <w:rsid w:val="00A95B66"/>
    <w:rsid w:val="00AE0667"/>
    <w:rsid w:val="00B41E0A"/>
    <w:rsid w:val="00B56DE0"/>
    <w:rsid w:val="00B71F12"/>
    <w:rsid w:val="00B96B1E"/>
    <w:rsid w:val="00BB2A6F"/>
    <w:rsid w:val="00BD1614"/>
    <w:rsid w:val="00BF7D25"/>
    <w:rsid w:val="00C010C0"/>
    <w:rsid w:val="00C54CE6"/>
    <w:rsid w:val="00C575E2"/>
    <w:rsid w:val="00C7368B"/>
    <w:rsid w:val="00C92746"/>
    <w:rsid w:val="00CC4DC5"/>
    <w:rsid w:val="00CE1A7C"/>
    <w:rsid w:val="00D12C74"/>
    <w:rsid w:val="00D478CE"/>
    <w:rsid w:val="00D56483"/>
    <w:rsid w:val="00D56AD6"/>
    <w:rsid w:val="00D70019"/>
    <w:rsid w:val="00D74B58"/>
    <w:rsid w:val="00D82ABE"/>
    <w:rsid w:val="00DA685B"/>
    <w:rsid w:val="00DA742B"/>
    <w:rsid w:val="00DF25C1"/>
    <w:rsid w:val="00DF48F7"/>
    <w:rsid w:val="00DF4964"/>
    <w:rsid w:val="00DF4D73"/>
    <w:rsid w:val="00DF79B0"/>
    <w:rsid w:val="00E1047D"/>
    <w:rsid w:val="00E443FA"/>
    <w:rsid w:val="00E54FCE"/>
    <w:rsid w:val="00E93D35"/>
    <w:rsid w:val="00EA45DB"/>
    <w:rsid w:val="00EB5CDE"/>
    <w:rsid w:val="00ED2CD9"/>
    <w:rsid w:val="00F564C1"/>
    <w:rsid w:val="00F77FA2"/>
    <w:rsid w:val="00F8357A"/>
    <w:rsid w:val="00FA1B77"/>
    <w:rsid w:val="00FB13DC"/>
    <w:rsid w:val="00FB4B6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2B260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1B4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A941B4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941B4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A941B4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941B4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941B4"/>
    <w:pPr>
      <w:outlineLvl w:val="4"/>
    </w:pPr>
  </w:style>
  <w:style w:type="paragraph" w:styleId="Heading6">
    <w:name w:val="heading 6"/>
    <w:basedOn w:val="Heading4"/>
    <w:next w:val="Normal"/>
    <w:qFormat/>
    <w:rsid w:val="00A941B4"/>
    <w:pPr>
      <w:outlineLvl w:val="5"/>
    </w:pPr>
  </w:style>
  <w:style w:type="paragraph" w:styleId="Heading7">
    <w:name w:val="heading 7"/>
    <w:basedOn w:val="Heading4"/>
    <w:next w:val="Normal"/>
    <w:qFormat/>
    <w:rsid w:val="00A941B4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941B4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941B4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A941B4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941B4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941B4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941B4"/>
    <w:pPr>
      <w:ind w:left="567"/>
    </w:pPr>
  </w:style>
  <w:style w:type="paragraph" w:customStyle="1" w:styleId="Tablelegend">
    <w:name w:val="Table_legend"/>
    <w:basedOn w:val="Tabletext"/>
    <w:rsid w:val="00A941B4"/>
    <w:pPr>
      <w:spacing w:before="120"/>
    </w:pPr>
  </w:style>
  <w:style w:type="paragraph" w:customStyle="1" w:styleId="Tabletext">
    <w:name w:val="Table_text"/>
    <w:basedOn w:val="Normal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941B4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941B4"/>
    <w:pPr>
      <w:spacing w:before="86"/>
      <w:ind w:left="567" w:hanging="567"/>
    </w:pPr>
  </w:style>
  <w:style w:type="paragraph" w:customStyle="1" w:styleId="enumlev2">
    <w:name w:val="enumlev2"/>
    <w:basedOn w:val="enumlev1"/>
    <w:rsid w:val="00A941B4"/>
    <w:pPr>
      <w:ind w:left="1134"/>
    </w:pPr>
  </w:style>
  <w:style w:type="paragraph" w:customStyle="1" w:styleId="enumlev3">
    <w:name w:val="enumlev3"/>
    <w:basedOn w:val="enumlev2"/>
    <w:rsid w:val="00A941B4"/>
    <w:pPr>
      <w:ind w:left="1701"/>
    </w:pPr>
  </w:style>
  <w:style w:type="paragraph" w:customStyle="1" w:styleId="Tablehead">
    <w:name w:val="Table_head"/>
    <w:basedOn w:val="Tabletext"/>
    <w:rsid w:val="00A941B4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941B4"/>
    <w:pPr>
      <w:spacing w:before="240"/>
    </w:pPr>
  </w:style>
  <w:style w:type="paragraph" w:customStyle="1" w:styleId="AnnexNo">
    <w:name w:val="Annex_No"/>
    <w:basedOn w:val="Normal"/>
    <w:next w:val="Annexref"/>
    <w:rsid w:val="00A941B4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941B4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A941B4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941B4"/>
  </w:style>
  <w:style w:type="paragraph" w:customStyle="1" w:styleId="Appendixref">
    <w:name w:val="Appendix_ref"/>
    <w:basedOn w:val="Annexref"/>
    <w:next w:val="Appendixtitle"/>
    <w:rsid w:val="00A941B4"/>
  </w:style>
  <w:style w:type="paragraph" w:customStyle="1" w:styleId="Appendixtitle">
    <w:name w:val="Appendix_title"/>
    <w:basedOn w:val="Annextitle"/>
    <w:next w:val="Normal"/>
    <w:rsid w:val="00A941B4"/>
  </w:style>
  <w:style w:type="paragraph" w:customStyle="1" w:styleId="Reftitle">
    <w:name w:val="Ref_title"/>
    <w:basedOn w:val="Normal"/>
    <w:next w:val="Reftext"/>
    <w:rsid w:val="00A941B4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941B4"/>
    <w:pPr>
      <w:ind w:left="567" w:hanging="567"/>
    </w:pPr>
  </w:style>
  <w:style w:type="paragraph" w:customStyle="1" w:styleId="Rectitle">
    <w:name w:val="Rec_title"/>
    <w:basedOn w:val="Normal"/>
    <w:next w:val="Heading1"/>
    <w:rsid w:val="00A941B4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941B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A941B4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941B4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941B4"/>
    <w:pPr>
      <w:ind w:left="-1701" w:hanging="284"/>
    </w:pPr>
  </w:style>
  <w:style w:type="paragraph" w:customStyle="1" w:styleId="Title3">
    <w:name w:val="Title 3"/>
    <w:basedOn w:val="Title2"/>
    <w:next w:val="Normalaftertitle"/>
    <w:rsid w:val="00A941B4"/>
    <w:rPr>
      <w:caps w:val="0"/>
    </w:rPr>
  </w:style>
  <w:style w:type="paragraph" w:customStyle="1" w:styleId="Title2">
    <w:name w:val="Title 2"/>
    <w:basedOn w:val="Source"/>
    <w:next w:val="Title3"/>
    <w:rsid w:val="00A941B4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A941B4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941B4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941B4"/>
  </w:style>
  <w:style w:type="paragraph" w:customStyle="1" w:styleId="Chaptitle">
    <w:name w:val="Chap_title"/>
    <w:basedOn w:val="Arttitle"/>
    <w:next w:val="Normal"/>
    <w:rsid w:val="00A941B4"/>
  </w:style>
  <w:style w:type="paragraph" w:customStyle="1" w:styleId="Reasons">
    <w:name w:val="Reasons"/>
    <w:basedOn w:val="Normal"/>
    <w:qFormat/>
    <w:rsid w:val="00A941B4"/>
  </w:style>
  <w:style w:type="paragraph" w:customStyle="1" w:styleId="ResNo">
    <w:name w:val="Res_No"/>
    <w:basedOn w:val="AnnexNo"/>
    <w:next w:val="Restitle"/>
    <w:rsid w:val="00A941B4"/>
  </w:style>
  <w:style w:type="paragraph" w:customStyle="1" w:styleId="Restitle">
    <w:name w:val="Res_title"/>
    <w:basedOn w:val="Annextitle"/>
    <w:next w:val="Normal"/>
    <w:rsid w:val="00A941B4"/>
  </w:style>
  <w:style w:type="paragraph" w:customStyle="1" w:styleId="AnnexNoS2">
    <w:name w:val="Annex_No_S2"/>
    <w:basedOn w:val="AnnexNo"/>
    <w:next w:val="AnnexrefS2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941B4"/>
    <w:rPr>
      <w:caps w:val="0"/>
    </w:rPr>
  </w:style>
  <w:style w:type="paragraph" w:customStyle="1" w:styleId="Section2">
    <w:name w:val="Section 2"/>
    <w:basedOn w:val="Section1"/>
    <w:next w:val="Normal"/>
    <w:rsid w:val="00A941B4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A941B4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A941B4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941B4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A941B4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941B4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941B4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A941B4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941B4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941B4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941B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941B4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941B4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941B4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941B4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941B4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A941B4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A941B4"/>
    <w:rPr>
      <w:b w:val="0"/>
      <w:i/>
    </w:rPr>
  </w:style>
  <w:style w:type="paragraph" w:customStyle="1" w:styleId="Heading1cS2">
    <w:name w:val="Heading 1c_S2"/>
    <w:basedOn w:val="Heading1c"/>
    <w:next w:val="NormalS2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A941B4"/>
    <w:rPr>
      <w:caps w:val="0"/>
    </w:rPr>
  </w:style>
  <w:style w:type="paragraph" w:customStyle="1" w:styleId="Headingb">
    <w:name w:val="Heading_b"/>
    <w:basedOn w:val="Heading3"/>
    <w:next w:val="Normal"/>
    <w:rsid w:val="00A941B4"/>
    <w:pPr>
      <w:spacing w:before="160"/>
      <w:outlineLvl w:val="0"/>
    </w:pPr>
  </w:style>
  <w:style w:type="paragraph" w:styleId="TOC9">
    <w:name w:val="toc 9"/>
    <w:basedOn w:val="Normal"/>
    <w:next w:val="Normal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A941B4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A941B4"/>
    <w:rPr>
      <w:rFonts w:ascii="Calibri" w:hAnsi="Calibri"/>
    </w:rPr>
  </w:style>
  <w:style w:type="character" w:styleId="Hyperlink">
    <w:name w:val="Hyperlink"/>
    <w:basedOn w:val="DefaultParagraphFont"/>
    <w:uiPriority w:val="99"/>
    <w:rsid w:val="00A941B4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A941B4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A941B4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A941B4"/>
  </w:style>
  <w:style w:type="paragraph" w:customStyle="1" w:styleId="Dectitle">
    <w:name w:val="Dec_title"/>
    <w:basedOn w:val="Restitle"/>
    <w:next w:val="Normalaftertitle"/>
    <w:qFormat/>
    <w:rsid w:val="00A941B4"/>
  </w:style>
  <w:style w:type="paragraph" w:customStyle="1" w:styleId="DecNo">
    <w:name w:val="Dec_No"/>
    <w:basedOn w:val="ResNo"/>
    <w:next w:val="Dectitle"/>
    <w:qFormat/>
    <w:rsid w:val="00A941B4"/>
  </w:style>
  <w:style w:type="paragraph" w:customStyle="1" w:styleId="DectitleS2">
    <w:name w:val="Dec_title_S2"/>
    <w:basedOn w:val="RestitleS2"/>
    <w:next w:val="Normal"/>
    <w:qFormat/>
    <w:rsid w:val="00A941B4"/>
  </w:style>
  <w:style w:type="paragraph" w:customStyle="1" w:styleId="DecNoS2">
    <w:name w:val="Dec_No_S2"/>
    <w:basedOn w:val="ResNoS2"/>
    <w:next w:val="DectitleS2"/>
    <w:qFormat/>
    <w:rsid w:val="00A941B4"/>
  </w:style>
  <w:style w:type="paragraph" w:customStyle="1" w:styleId="SectionNo">
    <w:name w:val="Section_No"/>
    <w:basedOn w:val="ArtNo"/>
    <w:next w:val="Normal"/>
    <w:qFormat/>
    <w:rsid w:val="00A941B4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A941B4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A941B4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A941B4"/>
    <w:rPr>
      <w:lang w:val="en-GB"/>
    </w:rPr>
  </w:style>
  <w:style w:type="paragraph" w:customStyle="1" w:styleId="Proposal">
    <w:name w:val="Proposal"/>
    <w:basedOn w:val="Normal"/>
    <w:next w:val="Normal"/>
    <w:rsid w:val="00A941B4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A941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A941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A941B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941B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41B4"/>
    <w:rPr>
      <w:rFonts w:ascii="Tahoma" w:hAnsi="Tahoma" w:cs="Tahoma"/>
      <w:sz w:val="16"/>
      <w:szCs w:val="16"/>
      <w:lang w:val="fr-FR" w:eastAsia="en-US"/>
    </w:rPr>
  </w:style>
  <w:style w:type="character" w:styleId="CommentReference">
    <w:name w:val="annotation reference"/>
    <w:basedOn w:val="DefaultParagraphFont"/>
    <w:rsid w:val="005173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7396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517396"/>
    <w:rPr>
      <w:rFonts w:ascii="Calibri" w:hAnsi="Calibri"/>
      <w:lang w:val="en-GB" w:eastAsia="en-US"/>
    </w:rPr>
  </w:style>
  <w:style w:type="paragraph" w:styleId="ListParagraph">
    <w:name w:val="List Paragraph"/>
    <w:basedOn w:val="Normal"/>
    <w:uiPriority w:val="34"/>
    <w:qFormat/>
    <w:rsid w:val="00517396"/>
    <w:pPr>
      <w:ind w:left="720"/>
      <w:contextualSpacing/>
    </w:pPr>
    <w:rPr>
      <w:lang w:val="en-GB"/>
    </w:rPr>
  </w:style>
  <w:style w:type="character" w:styleId="FollowedHyperlink">
    <w:name w:val="FollowedHyperlink"/>
    <w:basedOn w:val="DefaultParagraphFont"/>
    <w:rsid w:val="00517396"/>
    <w:rPr>
      <w:color w:val="800080"/>
      <w:u w:val="single"/>
    </w:rPr>
  </w:style>
  <w:style w:type="paragraph" w:customStyle="1" w:styleId="SpecialFooter">
    <w:name w:val="Special Footer"/>
    <w:basedOn w:val="Footer"/>
    <w:rsid w:val="0051739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  <w:lang w:val="en-GB"/>
    </w:rPr>
  </w:style>
  <w:style w:type="paragraph" w:customStyle="1" w:styleId="VolumeTitle">
    <w:name w:val="VolumeTitle"/>
    <w:basedOn w:val="Normal"/>
    <w:next w:val="Normal"/>
    <w:rsid w:val="0051739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17396"/>
  </w:style>
  <w:style w:type="paragraph" w:customStyle="1" w:styleId="OP">
    <w:name w:val="OP"/>
    <w:basedOn w:val="Normal"/>
    <w:next w:val="Normal"/>
    <w:qFormat/>
    <w:rsid w:val="0051739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17396"/>
    <w:pPr>
      <w:jc w:val="center"/>
    </w:pPr>
    <w:rPr>
      <w:b/>
      <w:bCs/>
      <w:lang w:val="en-GB"/>
    </w:rPr>
  </w:style>
  <w:style w:type="paragraph" w:customStyle="1" w:styleId="StyleCommitteeAfter0ptLinespacingsingle">
    <w:name w:val="Style Committee + After:  0 pt Line spacing:  single"/>
    <w:basedOn w:val="Committee"/>
    <w:rsid w:val="00517396"/>
    <w:pPr>
      <w:framePr w:hSpace="0" w:wrap="around" w:hAnchor="text" w:yAlign="inline"/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after="0" w:line="240" w:lineRule="auto"/>
      <w:textAlignment w:val="auto"/>
    </w:pPr>
    <w:rPr>
      <w:rFonts w:cs="Times New Roman"/>
      <w:bCs/>
      <w:szCs w:val="20"/>
      <w:lang w:eastAsia="zh-CN"/>
    </w:rPr>
  </w:style>
  <w:style w:type="character" w:customStyle="1" w:styleId="href">
    <w:name w:val="href"/>
    <w:basedOn w:val="DefaultParagraphFont"/>
    <w:rsid w:val="00517396"/>
    <w:rPr>
      <w:color w:val="auto"/>
    </w:rPr>
  </w:style>
  <w:style w:type="paragraph" w:customStyle="1" w:styleId="tabletext0">
    <w:name w:val="table text"/>
    <w:rsid w:val="00517396"/>
    <w:pPr>
      <w:spacing w:before="40" w:after="40"/>
    </w:pPr>
    <w:rPr>
      <w:rFonts w:ascii="Times New Roman" w:hAnsi="Times New Roman"/>
      <w:noProof/>
      <w:lang w:eastAsia="en-US"/>
    </w:rPr>
  </w:style>
  <w:style w:type="table" w:styleId="TableGrid">
    <w:name w:val="Table Grid"/>
    <w:basedOn w:val="TableNormal"/>
    <w:uiPriority w:val="59"/>
    <w:rsid w:val="00517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51739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517396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ms-rtestyle-ituxcommuquicklinks">
    <w:name w:val="ms-rtestyle-ituxcommuquicklinks"/>
    <w:basedOn w:val="DefaultParagraphFont"/>
    <w:rsid w:val="00517396"/>
  </w:style>
  <w:style w:type="character" w:styleId="Strong">
    <w:name w:val="Strong"/>
    <w:uiPriority w:val="22"/>
    <w:qFormat/>
    <w:rsid w:val="00517396"/>
    <w:rPr>
      <w:b/>
      <w:bCs/>
    </w:rPr>
  </w:style>
  <w:style w:type="paragraph" w:styleId="BodyText2">
    <w:name w:val="Body Text 2"/>
    <w:basedOn w:val="Normal"/>
    <w:link w:val="BodyText2Char"/>
    <w:rsid w:val="0051739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517396"/>
    <w:rPr>
      <w:rFonts w:ascii="Times New Roman" w:hAnsi="Times New Roman"/>
      <w:sz w:val="24"/>
      <w:szCs w:val="24"/>
      <w:lang w:eastAsia="en-US"/>
    </w:rPr>
  </w:style>
  <w:style w:type="paragraph" w:customStyle="1" w:styleId="TableHead0">
    <w:name w:val="Table_Head"/>
    <w:basedOn w:val="Normal"/>
    <w:rsid w:val="00517396"/>
    <w:pPr>
      <w:keepNext/>
      <w:tabs>
        <w:tab w:val="left" w:pos="284"/>
        <w:tab w:val="left" w:pos="794"/>
        <w:tab w:val="left" w:pos="851"/>
        <w:tab w:val="left" w:pos="1191"/>
        <w:tab w:val="left" w:pos="1418"/>
        <w:tab w:val="left" w:pos="158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="Times New Roman" w:hAnsi="Times New Roman"/>
      <w:b/>
      <w:lang w:val="en-GB"/>
    </w:rPr>
  </w:style>
  <w:style w:type="paragraph" w:customStyle="1" w:styleId="TableText1">
    <w:name w:val="Table_Text"/>
    <w:basedOn w:val="Normal"/>
    <w:rsid w:val="00517396"/>
    <w:pPr>
      <w:tabs>
        <w:tab w:val="left" w:pos="284"/>
        <w:tab w:val="left" w:pos="794"/>
        <w:tab w:val="left" w:pos="851"/>
        <w:tab w:val="left" w:pos="1191"/>
        <w:tab w:val="left" w:pos="1418"/>
        <w:tab w:val="left" w:pos="158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173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7396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17396"/>
    <w:rPr>
      <w:rFonts w:ascii="Calibri" w:hAnsi="Calibri"/>
      <w:sz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1B4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A941B4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941B4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A941B4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941B4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941B4"/>
    <w:pPr>
      <w:outlineLvl w:val="4"/>
    </w:pPr>
  </w:style>
  <w:style w:type="paragraph" w:styleId="Heading6">
    <w:name w:val="heading 6"/>
    <w:basedOn w:val="Heading4"/>
    <w:next w:val="Normal"/>
    <w:qFormat/>
    <w:rsid w:val="00A941B4"/>
    <w:pPr>
      <w:outlineLvl w:val="5"/>
    </w:pPr>
  </w:style>
  <w:style w:type="paragraph" w:styleId="Heading7">
    <w:name w:val="heading 7"/>
    <w:basedOn w:val="Heading4"/>
    <w:next w:val="Normal"/>
    <w:qFormat/>
    <w:rsid w:val="00A941B4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941B4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941B4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A941B4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941B4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941B4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941B4"/>
    <w:pPr>
      <w:ind w:left="567"/>
    </w:pPr>
  </w:style>
  <w:style w:type="paragraph" w:customStyle="1" w:styleId="Tablelegend">
    <w:name w:val="Table_legend"/>
    <w:basedOn w:val="Tabletext"/>
    <w:rsid w:val="00A941B4"/>
    <w:pPr>
      <w:spacing w:before="120"/>
    </w:pPr>
  </w:style>
  <w:style w:type="paragraph" w:customStyle="1" w:styleId="Tabletext">
    <w:name w:val="Table_text"/>
    <w:basedOn w:val="Normal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941B4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941B4"/>
    <w:pPr>
      <w:spacing w:before="86"/>
      <w:ind w:left="567" w:hanging="567"/>
    </w:pPr>
  </w:style>
  <w:style w:type="paragraph" w:customStyle="1" w:styleId="enumlev2">
    <w:name w:val="enumlev2"/>
    <w:basedOn w:val="enumlev1"/>
    <w:rsid w:val="00A941B4"/>
    <w:pPr>
      <w:ind w:left="1134"/>
    </w:pPr>
  </w:style>
  <w:style w:type="paragraph" w:customStyle="1" w:styleId="enumlev3">
    <w:name w:val="enumlev3"/>
    <w:basedOn w:val="enumlev2"/>
    <w:rsid w:val="00A941B4"/>
    <w:pPr>
      <w:ind w:left="1701"/>
    </w:pPr>
  </w:style>
  <w:style w:type="paragraph" w:customStyle="1" w:styleId="Tablehead">
    <w:name w:val="Table_head"/>
    <w:basedOn w:val="Tabletext"/>
    <w:rsid w:val="00A941B4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941B4"/>
    <w:pPr>
      <w:spacing w:before="240"/>
    </w:pPr>
  </w:style>
  <w:style w:type="paragraph" w:customStyle="1" w:styleId="AnnexNo">
    <w:name w:val="Annex_No"/>
    <w:basedOn w:val="Normal"/>
    <w:next w:val="Annexref"/>
    <w:rsid w:val="00A941B4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941B4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A941B4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941B4"/>
  </w:style>
  <w:style w:type="paragraph" w:customStyle="1" w:styleId="Appendixref">
    <w:name w:val="Appendix_ref"/>
    <w:basedOn w:val="Annexref"/>
    <w:next w:val="Appendixtitle"/>
    <w:rsid w:val="00A941B4"/>
  </w:style>
  <w:style w:type="paragraph" w:customStyle="1" w:styleId="Appendixtitle">
    <w:name w:val="Appendix_title"/>
    <w:basedOn w:val="Annextitle"/>
    <w:next w:val="Normal"/>
    <w:rsid w:val="00A941B4"/>
  </w:style>
  <w:style w:type="paragraph" w:customStyle="1" w:styleId="Reftitle">
    <w:name w:val="Ref_title"/>
    <w:basedOn w:val="Normal"/>
    <w:next w:val="Reftext"/>
    <w:rsid w:val="00A941B4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941B4"/>
    <w:pPr>
      <w:ind w:left="567" w:hanging="567"/>
    </w:pPr>
  </w:style>
  <w:style w:type="paragraph" w:customStyle="1" w:styleId="Rectitle">
    <w:name w:val="Rec_title"/>
    <w:basedOn w:val="Normal"/>
    <w:next w:val="Heading1"/>
    <w:rsid w:val="00A941B4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941B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A941B4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941B4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941B4"/>
    <w:pPr>
      <w:ind w:left="-1701" w:hanging="284"/>
    </w:pPr>
  </w:style>
  <w:style w:type="paragraph" w:customStyle="1" w:styleId="Title3">
    <w:name w:val="Title 3"/>
    <w:basedOn w:val="Title2"/>
    <w:next w:val="Normalaftertitle"/>
    <w:rsid w:val="00A941B4"/>
    <w:rPr>
      <w:caps w:val="0"/>
    </w:rPr>
  </w:style>
  <w:style w:type="paragraph" w:customStyle="1" w:styleId="Title2">
    <w:name w:val="Title 2"/>
    <w:basedOn w:val="Source"/>
    <w:next w:val="Title3"/>
    <w:rsid w:val="00A941B4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A941B4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941B4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941B4"/>
  </w:style>
  <w:style w:type="paragraph" w:customStyle="1" w:styleId="Chaptitle">
    <w:name w:val="Chap_title"/>
    <w:basedOn w:val="Arttitle"/>
    <w:next w:val="Normal"/>
    <w:rsid w:val="00A941B4"/>
  </w:style>
  <w:style w:type="paragraph" w:customStyle="1" w:styleId="Reasons">
    <w:name w:val="Reasons"/>
    <w:basedOn w:val="Normal"/>
    <w:qFormat/>
    <w:rsid w:val="00A941B4"/>
  </w:style>
  <w:style w:type="paragraph" w:customStyle="1" w:styleId="ResNo">
    <w:name w:val="Res_No"/>
    <w:basedOn w:val="AnnexNo"/>
    <w:next w:val="Restitle"/>
    <w:rsid w:val="00A941B4"/>
  </w:style>
  <w:style w:type="paragraph" w:customStyle="1" w:styleId="Restitle">
    <w:name w:val="Res_title"/>
    <w:basedOn w:val="Annextitle"/>
    <w:next w:val="Normal"/>
    <w:rsid w:val="00A941B4"/>
  </w:style>
  <w:style w:type="paragraph" w:customStyle="1" w:styleId="AnnexNoS2">
    <w:name w:val="Annex_No_S2"/>
    <w:basedOn w:val="AnnexNo"/>
    <w:next w:val="AnnexrefS2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941B4"/>
    <w:rPr>
      <w:caps w:val="0"/>
    </w:rPr>
  </w:style>
  <w:style w:type="paragraph" w:customStyle="1" w:styleId="Section2">
    <w:name w:val="Section 2"/>
    <w:basedOn w:val="Section1"/>
    <w:next w:val="Normal"/>
    <w:rsid w:val="00A941B4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A941B4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A941B4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941B4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A941B4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941B4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941B4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A941B4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941B4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941B4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941B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941B4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941B4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941B4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941B4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941B4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A941B4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A941B4"/>
    <w:rPr>
      <w:b w:val="0"/>
      <w:i/>
    </w:rPr>
  </w:style>
  <w:style w:type="paragraph" w:customStyle="1" w:styleId="Heading1cS2">
    <w:name w:val="Heading 1c_S2"/>
    <w:basedOn w:val="Heading1c"/>
    <w:next w:val="NormalS2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A941B4"/>
    <w:rPr>
      <w:caps w:val="0"/>
    </w:rPr>
  </w:style>
  <w:style w:type="paragraph" w:customStyle="1" w:styleId="Headingb">
    <w:name w:val="Heading_b"/>
    <w:basedOn w:val="Heading3"/>
    <w:next w:val="Normal"/>
    <w:rsid w:val="00A941B4"/>
    <w:pPr>
      <w:spacing w:before="160"/>
      <w:outlineLvl w:val="0"/>
    </w:pPr>
  </w:style>
  <w:style w:type="paragraph" w:styleId="TOC9">
    <w:name w:val="toc 9"/>
    <w:basedOn w:val="Normal"/>
    <w:next w:val="Normal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A941B4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A941B4"/>
    <w:rPr>
      <w:rFonts w:ascii="Calibri" w:hAnsi="Calibri"/>
    </w:rPr>
  </w:style>
  <w:style w:type="character" w:styleId="Hyperlink">
    <w:name w:val="Hyperlink"/>
    <w:basedOn w:val="DefaultParagraphFont"/>
    <w:uiPriority w:val="99"/>
    <w:rsid w:val="00A941B4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941B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A941B4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A941B4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A941B4"/>
  </w:style>
  <w:style w:type="paragraph" w:customStyle="1" w:styleId="Dectitle">
    <w:name w:val="Dec_title"/>
    <w:basedOn w:val="Restitle"/>
    <w:next w:val="Normalaftertitle"/>
    <w:qFormat/>
    <w:rsid w:val="00A941B4"/>
  </w:style>
  <w:style w:type="paragraph" w:customStyle="1" w:styleId="DecNo">
    <w:name w:val="Dec_No"/>
    <w:basedOn w:val="ResNo"/>
    <w:next w:val="Dectitle"/>
    <w:qFormat/>
    <w:rsid w:val="00A941B4"/>
  </w:style>
  <w:style w:type="paragraph" w:customStyle="1" w:styleId="DectitleS2">
    <w:name w:val="Dec_title_S2"/>
    <w:basedOn w:val="RestitleS2"/>
    <w:next w:val="Normal"/>
    <w:qFormat/>
    <w:rsid w:val="00A941B4"/>
  </w:style>
  <w:style w:type="paragraph" w:customStyle="1" w:styleId="DecNoS2">
    <w:name w:val="Dec_No_S2"/>
    <w:basedOn w:val="ResNoS2"/>
    <w:next w:val="DectitleS2"/>
    <w:qFormat/>
    <w:rsid w:val="00A941B4"/>
  </w:style>
  <w:style w:type="paragraph" w:customStyle="1" w:styleId="SectionNo">
    <w:name w:val="Section_No"/>
    <w:basedOn w:val="ArtNo"/>
    <w:next w:val="Normal"/>
    <w:qFormat/>
    <w:rsid w:val="00A941B4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A941B4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A941B4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A941B4"/>
    <w:rPr>
      <w:lang w:val="en-GB"/>
    </w:rPr>
  </w:style>
  <w:style w:type="paragraph" w:customStyle="1" w:styleId="Proposal">
    <w:name w:val="Proposal"/>
    <w:basedOn w:val="Normal"/>
    <w:next w:val="Normal"/>
    <w:rsid w:val="00A941B4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A941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A941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A941B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941B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41B4"/>
    <w:rPr>
      <w:rFonts w:ascii="Tahoma" w:hAnsi="Tahoma" w:cs="Tahoma"/>
      <w:sz w:val="16"/>
      <w:szCs w:val="16"/>
      <w:lang w:val="fr-FR" w:eastAsia="en-US"/>
    </w:rPr>
  </w:style>
  <w:style w:type="character" w:styleId="CommentReference">
    <w:name w:val="annotation reference"/>
    <w:basedOn w:val="DefaultParagraphFont"/>
    <w:rsid w:val="005173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7396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517396"/>
    <w:rPr>
      <w:rFonts w:ascii="Calibri" w:hAnsi="Calibri"/>
      <w:lang w:val="en-GB" w:eastAsia="en-US"/>
    </w:rPr>
  </w:style>
  <w:style w:type="paragraph" w:styleId="ListParagraph">
    <w:name w:val="List Paragraph"/>
    <w:basedOn w:val="Normal"/>
    <w:uiPriority w:val="34"/>
    <w:qFormat/>
    <w:rsid w:val="00517396"/>
    <w:pPr>
      <w:ind w:left="720"/>
      <w:contextualSpacing/>
    </w:pPr>
    <w:rPr>
      <w:lang w:val="en-GB"/>
    </w:rPr>
  </w:style>
  <w:style w:type="character" w:styleId="FollowedHyperlink">
    <w:name w:val="FollowedHyperlink"/>
    <w:basedOn w:val="DefaultParagraphFont"/>
    <w:rsid w:val="00517396"/>
    <w:rPr>
      <w:color w:val="800080"/>
      <w:u w:val="single"/>
    </w:rPr>
  </w:style>
  <w:style w:type="paragraph" w:customStyle="1" w:styleId="SpecialFooter">
    <w:name w:val="Special Footer"/>
    <w:basedOn w:val="Footer"/>
    <w:rsid w:val="0051739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  <w:lang w:val="en-GB"/>
    </w:rPr>
  </w:style>
  <w:style w:type="paragraph" w:customStyle="1" w:styleId="VolumeTitle">
    <w:name w:val="VolumeTitle"/>
    <w:basedOn w:val="Normal"/>
    <w:next w:val="Normal"/>
    <w:rsid w:val="0051739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17396"/>
  </w:style>
  <w:style w:type="paragraph" w:customStyle="1" w:styleId="OP">
    <w:name w:val="OP"/>
    <w:basedOn w:val="Normal"/>
    <w:next w:val="Normal"/>
    <w:qFormat/>
    <w:rsid w:val="0051739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17396"/>
    <w:pPr>
      <w:jc w:val="center"/>
    </w:pPr>
    <w:rPr>
      <w:b/>
      <w:bCs/>
      <w:lang w:val="en-GB"/>
    </w:rPr>
  </w:style>
  <w:style w:type="paragraph" w:customStyle="1" w:styleId="StyleCommitteeAfter0ptLinespacingsingle">
    <w:name w:val="Style Committee + After:  0 pt Line spacing:  single"/>
    <w:basedOn w:val="Committee"/>
    <w:rsid w:val="00517396"/>
    <w:pPr>
      <w:framePr w:hSpace="0" w:wrap="around" w:hAnchor="text" w:yAlign="inline"/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after="0" w:line="240" w:lineRule="auto"/>
      <w:textAlignment w:val="auto"/>
    </w:pPr>
    <w:rPr>
      <w:rFonts w:cs="Times New Roman"/>
      <w:bCs/>
      <w:szCs w:val="20"/>
      <w:lang w:eastAsia="zh-CN"/>
    </w:rPr>
  </w:style>
  <w:style w:type="character" w:customStyle="1" w:styleId="href">
    <w:name w:val="href"/>
    <w:basedOn w:val="DefaultParagraphFont"/>
    <w:rsid w:val="00517396"/>
    <w:rPr>
      <w:color w:val="auto"/>
    </w:rPr>
  </w:style>
  <w:style w:type="paragraph" w:customStyle="1" w:styleId="tabletext0">
    <w:name w:val="table text"/>
    <w:rsid w:val="00517396"/>
    <w:pPr>
      <w:spacing w:before="40" w:after="40"/>
    </w:pPr>
    <w:rPr>
      <w:rFonts w:ascii="Times New Roman" w:hAnsi="Times New Roman"/>
      <w:noProof/>
      <w:lang w:eastAsia="en-US"/>
    </w:rPr>
  </w:style>
  <w:style w:type="table" w:styleId="TableGrid">
    <w:name w:val="Table Grid"/>
    <w:basedOn w:val="TableNormal"/>
    <w:uiPriority w:val="59"/>
    <w:rsid w:val="00517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51739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517396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ms-rtestyle-ituxcommuquicklinks">
    <w:name w:val="ms-rtestyle-ituxcommuquicklinks"/>
    <w:basedOn w:val="DefaultParagraphFont"/>
    <w:rsid w:val="00517396"/>
  </w:style>
  <w:style w:type="character" w:styleId="Strong">
    <w:name w:val="Strong"/>
    <w:uiPriority w:val="22"/>
    <w:qFormat/>
    <w:rsid w:val="00517396"/>
    <w:rPr>
      <w:b/>
      <w:bCs/>
    </w:rPr>
  </w:style>
  <w:style w:type="paragraph" w:styleId="BodyText2">
    <w:name w:val="Body Text 2"/>
    <w:basedOn w:val="Normal"/>
    <w:link w:val="BodyText2Char"/>
    <w:rsid w:val="0051739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517396"/>
    <w:rPr>
      <w:rFonts w:ascii="Times New Roman" w:hAnsi="Times New Roman"/>
      <w:sz w:val="24"/>
      <w:szCs w:val="24"/>
      <w:lang w:eastAsia="en-US"/>
    </w:rPr>
  </w:style>
  <w:style w:type="paragraph" w:customStyle="1" w:styleId="TableHead0">
    <w:name w:val="Table_Head"/>
    <w:basedOn w:val="Normal"/>
    <w:rsid w:val="00517396"/>
    <w:pPr>
      <w:keepNext/>
      <w:tabs>
        <w:tab w:val="left" w:pos="284"/>
        <w:tab w:val="left" w:pos="794"/>
        <w:tab w:val="left" w:pos="851"/>
        <w:tab w:val="left" w:pos="1191"/>
        <w:tab w:val="left" w:pos="1418"/>
        <w:tab w:val="left" w:pos="158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="Times New Roman" w:hAnsi="Times New Roman"/>
      <w:b/>
      <w:lang w:val="en-GB"/>
    </w:rPr>
  </w:style>
  <w:style w:type="paragraph" w:customStyle="1" w:styleId="TableText1">
    <w:name w:val="Table_Text"/>
    <w:basedOn w:val="Normal"/>
    <w:rsid w:val="00517396"/>
    <w:pPr>
      <w:tabs>
        <w:tab w:val="left" w:pos="284"/>
        <w:tab w:val="left" w:pos="794"/>
        <w:tab w:val="left" w:pos="851"/>
        <w:tab w:val="left" w:pos="1191"/>
        <w:tab w:val="left" w:pos="1418"/>
        <w:tab w:val="left" w:pos="158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173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7396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17396"/>
    <w:rPr>
      <w:rFonts w:ascii="Calibri" w:hAnsi="Calibr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md/S02-CL-C-0094/en" TargetMode="External"/><Relationship Id="rId18" Type="http://schemas.openxmlformats.org/officeDocument/2006/relationships/hyperlink" Target="http://www.itu.int/md/S10-CL-C-0038/en" TargetMode="External"/><Relationship Id="rId26" Type="http://schemas.openxmlformats.org/officeDocument/2006/relationships/hyperlink" Target="http://www.itu.int/en/plenipotentiary/2014/ties/Documents/061e-exemptions-excel-table.xls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tu.int/md/S11-CL-C-0020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doc/gs/council/c01/docs/026.html" TargetMode="External"/><Relationship Id="rId17" Type="http://schemas.openxmlformats.org/officeDocument/2006/relationships/hyperlink" Target="http://www.itu.int/md/S09-CL-C-0062/en" TargetMode="External"/><Relationship Id="rId25" Type="http://schemas.openxmlformats.org/officeDocument/2006/relationships/hyperlink" Target="http://www.itu.int/itudoc/gs/council/c00/docs/28rev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md/S05-CL-C-0040/en" TargetMode="External"/><Relationship Id="rId20" Type="http://schemas.openxmlformats.org/officeDocument/2006/relationships/hyperlink" Target="http://www.itu.int/md/S10-CL-C-0091/en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doc/gs/council/c00/docs/28rev1.html" TargetMode="External"/><Relationship Id="rId24" Type="http://schemas.openxmlformats.org/officeDocument/2006/relationships/hyperlink" Target="http://www.itu.int/md/S14-CL-C-0008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S03-ADCL-C-0003/en" TargetMode="External"/><Relationship Id="rId23" Type="http://schemas.openxmlformats.org/officeDocument/2006/relationships/hyperlink" Target="http://www.itu.int/md/S13-CL-C-0044/en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itu.int/council/pd/basic-dec-res-rec.doc" TargetMode="External"/><Relationship Id="rId19" Type="http://schemas.openxmlformats.org/officeDocument/2006/relationships/hyperlink" Target="http://www.itu.int/md/S10-CL-C-0039/e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council/pd/convention.doc" TargetMode="External"/><Relationship Id="rId14" Type="http://schemas.openxmlformats.org/officeDocument/2006/relationships/hyperlink" Target="http://www.itu.int/md/S03-CL-C-0040/en" TargetMode="External"/><Relationship Id="rId22" Type="http://schemas.openxmlformats.org/officeDocument/2006/relationships/hyperlink" Target="http://www.itu.int/md/S12-CL-C-0023/en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e\AppData\Roaming\Microsoft\Templates\POOL%20F%20-%20ITU\PF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PF_PP14.dotx</Template>
  <TotalTime>0</TotalTime>
  <Pages>13</Pages>
  <Words>4039</Words>
  <Characters>23567</Characters>
  <Application>Microsoft Office Word</Application>
  <DocSecurity>4</DocSecurity>
  <Lines>196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27551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Conférence de plénipotentiaires (PP-06)</dc:subject>
  <dc:creator>Sane, Marie Henriette</dc:creator>
  <cp:keywords>PP-06</cp:keywords>
  <dc:description>PF_PP14.dotx  For: _x000d_Document date: _x000d_Saved by ITU51009317 at 10:31:32 on 19/03/2013</dc:description>
  <cp:lastModifiedBy>Brouard, Ricarda</cp:lastModifiedBy>
  <cp:revision>2</cp:revision>
  <cp:lastPrinted>2014-09-10T08:53:00Z</cp:lastPrinted>
  <dcterms:created xsi:type="dcterms:W3CDTF">2014-09-10T13:54:00Z</dcterms:created>
  <dcterms:modified xsi:type="dcterms:W3CDTF">2014-09-10T13:54:00Z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