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6A046E">
        <w:trPr>
          <w:cantSplit/>
        </w:trPr>
        <w:tc>
          <w:tcPr>
            <w:tcW w:w="6911"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571019C5" wp14:editId="1FB9735C">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6A046E">
        <w:trPr>
          <w:cantSplit/>
        </w:trPr>
        <w:tc>
          <w:tcPr>
            <w:tcW w:w="6911" w:type="dxa"/>
            <w:tcBorders>
              <w:bottom w:val="single" w:sz="12" w:space="0" w:color="auto"/>
            </w:tcBorders>
          </w:tcPr>
          <w:p w:rsidR="001A16ED" w:rsidRPr="00D96B4B" w:rsidRDefault="001A16ED" w:rsidP="006A046E">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D96B4B" w:rsidRDefault="001A16ED" w:rsidP="006A046E">
            <w:pPr>
              <w:spacing w:line="240" w:lineRule="atLeast"/>
              <w:rPr>
                <w:rFonts w:cstheme="minorHAnsi"/>
                <w:szCs w:val="24"/>
              </w:rPr>
            </w:pPr>
          </w:p>
        </w:tc>
      </w:tr>
      <w:tr w:rsidR="001A16ED" w:rsidRPr="00C324A8" w:rsidTr="006A046E">
        <w:trPr>
          <w:cantSplit/>
        </w:trPr>
        <w:tc>
          <w:tcPr>
            <w:tcW w:w="6911" w:type="dxa"/>
            <w:tcBorders>
              <w:top w:val="single" w:sz="12" w:space="0" w:color="auto"/>
            </w:tcBorders>
          </w:tcPr>
          <w:p w:rsidR="001A16ED" w:rsidRPr="00D96B4B" w:rsidRDefault="001A16ED" w:rsidP="006A046E">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6A046E">
            <w:pPr>
              <w:spacing w:line="240" w:lineRule="atLeast"/>
              <w:rPr>
                <w:rFonts w:cstheme="minorHAnsi"/>
                <w:sz w:val="20"/>
              </w:rPr>
            </w:pPr>
          </w:p>
        </w:tc>
      </w:tr>
      <w:tr w:rsidR="008263C6" w:rsidRPr="00C324A8" w:rsidTr="006A046E">
        <w:trPr>
          <w:cantSplit/>
          <w:trHeight w:val="23"/>
        </w:trPr>
        <w:tc>
          <w:tcPr>
            <w:tcW w:w="6911" w:type="dxa"/>
            <w:shd w:val="clear" w:color="auto" w:fill="auto"/>
          </w:tcPr>
          <w:p w:rsidR="008263C6" w:rsidRPr="00F7207D" w:rsidRDefault="008263C6" w:rsidP="008263C6">
            <w:pPr>
              <w:pStyle w:val="Committee"/>
              <w:framePr w:hSpace="0" w:wrap="auto" w:hAnchor="text" w:yAlign="inline"/>
              <w:spacing w:after="0"/>
              <w:rPr>
                <w:sz w:val="24"/>
                <w:szCs w:val="28"/>
              </w:rPr>
            </w:pPr>
            <w:bookmarkStart w:id="3" w:name="dnum" w:colFirst="1" w:colLast="1"/>
            <w:bookmarkStart w:id="4" w:name="dmeeting" w:colFirst="0" w:colLast="0"/>
            <w:bookmarkEnd w:id="2"/>
            <w:r w:rsidRPr="00F7207D">
              <w:rPr>
                <w:sz w:val="24"/>
                <w:szCs w:val="28"/>
              </w:rPr>
              <w:t>PLENARY MEETING</w:t>
            </w:r>
          </w:p>
        </w:tc>
        <w:tc>
          <w:tcPr>
            <w:tcW w:w="3120" w:type="dxa"/>
          </w:tcPr>
          <w:p w:rsidR="008263C6" w:rsidRPr="00D96B4B" w:rsidRDefault="008263C6" w:rsidP="00F7207D">
            <w:pPr>
              <w:tabs>
                <w:tab w:val="left" w:pos="851"/>
              </w:tabs>
              <w:spacing w:before="0" w:line="240" w:lineRule="atLeast"/>
              <w:rPr>
                <w:rFonts w:cstheme="minorHAnsi"/>
                <w:szCs w:val="24"/>
              </w:rPr>
            </w:pPr>
            <w:r>
              <w:rPr>
                <w:rFonts w:cstheme="minorHAnsi"/>
                <w:b/>
                <w:szCs w:val="24"/>
              </w:rPr>
              <w:t xml:space="preserve">Document </w:t>
            </w:r>
            <w:r w:rsidR="00F7207D">
              <w:rPr>
                <w:rFonts w:cstheme="minorHAnsi"/>
                <w:b/>
                <w:szCs w:val="24"/>
              </w:rPr>
              <w:t>59</w:t>
            </w:r>
            <w:r>
              <w:rPr>
                <w:rFonts w:cstheme="minorHAnsi"/>
                <w:b/>
                <w:szCs w:val="24"/>
              </w:rPr>
              <w:t>-E</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D96B4B" w:rsidRDefault="009A16AE" w:rsidP="00F7207D">
            <w:pPr>
              <w:spacing w:before="0" w:line="240" w:lineRule="atLeast"/>
              <w:rPr>
                <w:rFonts w:cstheme="minorHAnsi"/>
                <w:szCs w:val="24"/>
              </w:rPr>
            </w:pPr>
            <w:r>
              <w:rPr>
                <w:rFonts w:cstheme="minorHAnsi"/>
                <w:b/>
                <w:szCs w:val="24"/>
              </w:rPr>
              <w:t>31</w:t>
            </w:r>
            <w:bookmarkStart w:id="7" w:name="_GoBack"/>
            <w:bookmarkEnd w:id="7"/>
            <w:r w:rsidR="00F7207D">
              <w:rPr>
                <w:rFonts w:cstheme="minorHAnsi"/>
                <w:b/>
                <w:szCs w:val="24"/>
              </w:rPr>
              <w:t xml:space="preserve"> July</w:t>
            </w:r>
            <w:r w:rsidR="006A481B">
              <w:rPr>
                <w:rFonts w:cstheme="minorHAnsi"/>
                <w:b/>
                <w:szCs w:val="24"/>
              </w:rPr>
              <w:t xml:space="preserve"> 2014</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8" w:name="dbluepink" w:colFirst="0" w:colLast="0"/>
            <w:bookmarkStart w:id="9" w:name="dorlang" w:colFirst="1" w:colLast="1"/>
            <w:bookmarkEnd w:id="5"/>
            <w:bookmarkEnd w:id="6"/>
          </w:p>
        </w:tc>
        <w:tc>
          <w:tcPr>
            <w:tcW w:w="3120" w:type="dxa"/>
          </w:tcPr>
          <w:p w:rsidR="008263C6" w:rsidRPr="00D96B4B" w:rsidRDefault="008263C6" w:rsidP="008263C6">
            <w:pPr>
              <w:tabs>
                <w:tab w:val="left" w:pos="993"/>
              </w:tabs>
              <w:spacing w:before="0"/>
              <w:rPr>
                <w:rFonts w:cstheme="minorHAnsi"/>
                <w:b/>
                <w:szCs w:val="24"/>
              </w:rPr>
            </w:pPr>
            <w:r w:rsidRPr="00D96B4B">
              <w:rPr>
                <w:rFonts w:cstheme="minorHAnsi"/>
                <w:b/>
                <w:szCs w:val="24"/>
              </w:rPr>
              <w:t>Original: English</w:t>
            </w:r>
          </w:p>
        </w:tc>
      </w:tr>
      <w:tr w:rsidR="008263C6" w:rsidRPr="00C324A8" w:rsidTr="006A046E">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8263C6" w:rsidRPr="00C324A8" w:rsidTr="006A046E">
        <w:trPr>
          <w:cantSplit/>
          <w:trHeight w:val="23"/>
        </w:trPr>
        <w:tc>
          <w:tcPr>
            <w:tcW w:w="10031" w:type="dxa"/>
            <w:gridSpan w:val="2"/>
            <w:shd w:val="clear" w:color="auto" w:fill="auto"/>
          </w:tcPr>
          <w:p w:rsidR="008263C6" w:rsidRDefault="006A481B" w:rsidP="008263C6">
            <w:pPr>
              <w:pStyle w:val="Source"/>
            </w:pPr>
            <w:r>
              <w:t>Note by the Secretary-General</w:t>
            </w:r>
          </w:p>
        </w:tc>
      </w:tr>
      <w:tr w:rsidR="008263C6" w:rsidRPr="00C324A8" w:rsidTr="006A046E">
        <w:trPr>
          <w:cantSplit/>
          <w:trHeight w:val="23"/>
        </w:trPr>
        <w:tc>
          <w:tcPr>
            <w:tcW w:w="10031" w:type="dxa"/>
            <w:gridSpan w:val="2"/>
            <w:shd w:val="clear" w:color="auto" w:fill="auto"/>
          </w:tcPr>
          <w:p w:rsidR="008263C6" w:rsidRDefault="00073AF1" w:rsidP="000C7EC0">
            <w:pPr>
              <w:pStyle w:val="Title1"/>
            </w:pPr>
            <w:r>
              <w:t xml:space="preserve">FURTHER </w:t>
            </w:r>
            <w:r w:rsidR="004A2FBC">
              <w:t>STUDY ON INFORMATION</w:t>
            </w:r>
            <w:r w:rsidR="003D567A">
              <w:t>/DOCUMENT</w:t>
            </w:r>
            <w:r w:rsidR="004A2FBC">
              <w:t xml:space="preserve"> ACCESS IN ITU</w:t>
            </w:r>
          </w:p>
        </w:tc>
      </w:tr>
      <w:tr w:rsidR="008263C6" w:rsidRPr="00C324A8" w:rsidTr="006A046E">
        <w:trPr>
          <w:cantSplit/>
          <w:trHeight w:val="23"/>
        </w:trPr>
        <w:tc>
          <w:tcPr>
            <w:tcW w:w="10031" w:type="dxa"/>
            <w:gridSpan w:val="2"/>
            <w:shd w:val="clear" w:color="auto" w:fill="auto"/>
          </w:tcPr>
          <w:p w:rsidR="008263C6" w:rsidRDefault="008263C6" w:rsidP="00F73FB7">
            <w:pPr>
              <w:pStyle w:val="Title2"/>
            </w:pPr>
          </w:p>
        </w:tc>
      </w:tr>
      <w:bookmarkEnd w:id="8"/>
      <w:bookmarkEnd w:id="9"/>
    </w:tbl>
    <w:p w:rsidR="00742240" w:rsidRDefault="00742240" w:rsidP="00742240">
      <w:pPr>
        <w:overflowPunct/>
        <w:autoSpaceDE/>
        <w:autoSpaceDN/>
        <w:adjustRightInd/>
        <w:spacing w:before="0" w:after="200" w:line="276" w:lineRule="auto"/>
        <w:jc w:val="center"/>
        <w:textAlignment w:val="auto"/>
        <w:rPr>
          <w:rFonts w:asciiTheme="minorHAnsi" w:eastAsiaTheme="minorEastAsia" w:hAnsiTheme="minorHAnsi" w:cstheme="minorBidi"/>
          <w:b/>
          <w:sz w:val="22"/>
          <w:szCs w:val="22"/>
          <w:lang w:val="en-US"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42240" w:rsidRPr="00B90876" w:rsidTr="008242DA">
        <w:trPr>
          <w:trHeight w:val="2677"/>
        </w:trPr>
        <w:tc>
          <w:tcPr>
            <w:tcW w:w="8080" w:type="dxa"/>
            <w:tcBorders>
              <w:top w:val="single" w:sz="12" w:space="0" w:color="auto"/>
              <w:left w:val="single" w:sz="12" w:space="0" w:color="auto"/>
              <w:bottom w:val="single" w:sz="12" w:space="0" w:color="auto"/>
              <w:right w:val="single" w:sz="12" w:space="0" w:color="auto"/>
            </w:tcBorders>
          </w:tcPr>
          <w:p w:rsidR="00742240" w:rsidRPr="002E6F58" w:rsidRDefault="00742240" w:rsidP="000C739A">
            <w:pPr>
              <w:pStyle w:val="Headingb"/>
              <w:spacing w:before="120" w:after="120"/>
              <w:rPr>
                <w:rFonts w:asciiTheme="minorHAnsi" w:hAnsiTheme="minorHAnsi" w:cstheme="minorHAnsi"/>
                <w:sz w:val="22"/>
                <w:szCs w:val="22"/>
              </w:rPr>
            </w:pPr>
            <w:r w:rsidRPr="002E6F58">
              <w:rPr>
                <w:rFonts w:asciiTheme="minorHAnsi" w:hAnsiTheme="minorHAnsi" w:cstheme="minorHAnsi"/>
                <w:sz w:val="22"/>
                <w:szCs w:val="22"/>
              </w:rPr>
              <w:t>Summary</w:t>
            </w:r>
          </w:p>
          <w:p w:rsidR="00742240" w:rsidRPr="00687D92" w:rsidRDefault="00742240" w:rsidP="000C739A">
            <w:pPr>
              <w:spacing w:after="120"/>
              <w:rPr>
                <w:szCs w:val="24"/>
              </w:rPr>
            </w:pPr>
            <w:r w:rsidRPr="00687D92">
              <w:rPr>
                <w:szCs w:val="24"/>
              </w:rPr>
              <w:t>The Council</w:t>
            </w:r>
            <w:r w:rsidR="00687D92" w:rsidRPr="00687D92">
              <w:rPr>
                <w:szCs w:val="24"/>
              </w:rPr>
              <w:t xml:space="preserve"> 2014 </w:t>
            </w:r>
            <w:r w:rsidRPr="00687D92">
              <w:rPr>
                <w:szCs w:val="24"/>
              </w:rPr>
              <w:t>requested the secretariat to further study the issue of access to ITU document</w:t>
            </w:r>
            <w:r w:rsidR="00687D92" w:rsidRPr="00687D92">
              <w:rPr>
                <w:szCs w:val="24"/>
              </w:rPr>
              <w:t>s</w:t>
            </w:r>
            <w:r w:rsidRPr="00687D92">
              <w:rPr>
                <w:szCs w:val="24"/>
              </w:rPr>
              <w:t xml:space="preserve"> and </w:t>
            </w:r>
            <w:r w:rsidR="00AF599F">
              <w:rPr>
                <w:szCs w:val="24"/>
              </w:rPr>
              <w:t xml:space="preserve">to </w:t>
            </w:r>
            <w:r w:rsidRPr="00687D92">
              <w:rPr>
                <w:szCs w:val="24"/>
              </w:rPr>
              <w:t>present appropriate documentation and a summary of the discussion of this item by the Council to the Plenipote</w:t>
            </w:r>
            <w:r w:rsidR="00D41507">
              <w:rPr>
                <w:szCs w:val="24"/>
              </w:rPr>
              <w:t>ntiary Conference for decision.</w:t>
            </w:r>
          </w:p>
          <w:p w:rsidR="00742240" w:rsidRPr="00B90876" w:rsidRDefault="00742240" w:rsidP="000C739A">
            <w:pPr>
              <w:pStyle w:val="Headingb"/>
              <w:spacing w:before="120" w:after="120"/>
              <w:ind w:left="0" w:firstLine="0"/>
              <w:rPr>
                <w:rFonts w:asciiTheme="minorHAnsi" w:hAnsiTheme="minorHAnsi" w:cstheme="minorHAnsi"/>
                <w:szCs w:val="24"/>
              </w:rPr>
            </w:pPr>
            <w:r w:rsidRPr="00687D92">
              <w:rPr>
                <w:rFonts w:asciiTheme="minorHAnsi" w:hAnsiTheme="minorHAnsi" w:cstheme="minorHAnsi"/>
                <w:b w:val="0"/>
                <w:bCs/>
                <w:szCs w:val="24"/>
              </w:rPr>
              <w:t xml:space="preserve">This document presents further elements on practices </w:t>
            </w:r>
            <w:r w:rsidR="005911CA" w:rsidRPr="00687D92">
              <w:rPr>
                <w:rFonts w:asciiTheme="minorHAnsi" w:hAnsiTheme="minorHAnsi" w:cstheme="minorHAnsi"/>
                <w:b w:val="0"/>
                <w:bCs/>
                <w:szCs w:val="24"/>
              </w:rPr>
              <w:t>at the international level regarding access to information polic</w:t>
            </w:r>
            <w:r w:rsidR="00D41507">
              <w:rPr>
                <w:rFonts w:asciiTheme="minorHAnsi" w:hAnsiTheme="minorHAnsi" w:cstheme="minorHAnsi"/>
                <w:b w:val="0"/>
                <w:bCs/>
                <w:szCs w:val="24"/>
              </w:rPr>
              <w:t>i</w:t>
            </w:r>
            <w:r w:rsidR="005911CA" w:rsidRPr="00687D92">
              <w:rPr>
                <w:rFonts w:asciiTheme="minorHAnsi" w:hAnsiTheme="minorHAnsi" w:cstheme="minorHAnsi"/>
                <w:b w:val="0"/>
                <w:bCs/>
                <w:szCs w:val="24"/>
              </w:rPr>
              <w:t xml:space="preserve">es. </w:t>
            </w:r>
            <w:r w:rsidR="00687D92" w:rsidRPr="00687D92">
              <w:rPr>
                <w:rFonts w:asciiTheme="minorHAnsi" w:hAnsiTheme="minorHAnsi" w:cstheme="minorHAnsi"/>
                <w:b w:val="0"/>
                <w:bCs/>
                <w:szCs w:val="24"/>
              </w:rPr>
              <w:t>T</w:t>
            </w:r>
            <w:r w:rsidR="005911CA" w:rsidRPr="00687D92">
              <w:rPr>
                <w:rFonts w:asciiTheme="minorHAnsi" w:hAnsiTheme="minorHAnsi" w:cstheme="minorHAnsi"/>
                <w:b w:val="0"/>
                <w:bCs/>
                <w:szCs w:val="24"/>
              </w:rPr>
              <w:t xml:space="preserve">he document does not present any view from the </w:t>
            </w:r>
            <w:r w:rsidR="007333DE">
              <w:rPr>
                <w:rFonts w:asciiTheme="minorHAnsi" w:hAnsiTheme="minorHAnsi" w:cstheme="minorHAnsi"/>
                <w:b w:val="0"/>
                <w:bCs/>
                <w:szCs w:val="24"/>
              </w:rPr>
              <w:t>s</w:t>
            </w:r>
            <w:r w:rsidR="005911CA" w:rsidRPr="00687D92">
              <w:rPr>
                <w:rFonts w:asciiTheme="minorHAnsi" w:hAnsiTheme="minorHAnsi" w:cstheme="minorHAnsi"/>
                <w:b w:val="0"/>
                <w:bCs/>
                <w:szCs w:val="24"/>
              </w:rPr>
              <w:t>ecretariat on a possible way forward. It is a factual document presented to the Plenipotentiary Conference to assist in the discussions on the issue.</w:t>
            </w:r>
          </w:p>
        </w:tc>
      </w:tr>
    </w:tbl>
    <w:p w:rsidR="00742240" w:rsidRDefault="00742240" w:rsidP="00742240">
      <w:pPr>
        <w:overflowPunct/>
        <w:autoSpaceDE/>
        <w:autoSpaceDN/>
        <w:adjustRightInd/>
        <w:spacing w:before="0" w:after="200" w:line="276" w:lineRule="auto"/>
        <w:jc w:val="center"/>
        <w:textAlignment w:val="auto"/>
        <w:rPr>
          <w:rFonts w:asciiTheme="minorHAnsi" w:eastAsiaTheme="minorEastAsia" w:hAnsiTheme="minorHAnsi" w:cstheme="minorBidi"/>
          <w:b/>
          <w:sz w:val="22"/>
          <w:szCs w:val="22"/>
          <w:lang w:val="en-US" w:eastAsia="zh-CN"/>
        </w:rPr>
      </w:pPr>
    </w:p>
    <w:p w:rsidR="004A2FBC" w:rsidRDefault="004A2FBC" w:rsidP="00AF599F">
      <w:pPr>
        <w:tabs>
          <w:tab w:val="clear" w:pos="567"/>
          <w:tab w:val="clear" w:pos="1134"/>
          <w:tab w:val="clear" w:pos="1701"/>
          <w:tab w:val="clear" w:pos="2268"/>
          <w:tab w:val="clear" w:pos="2835"/>
        </w:tabs>
        <w:snapToGrid w:val="0"/>
        <w:spacing w:after="120"/>
      </w:pPr>
      <w:r w:rsidRPr="00817129">
        <w:rPr>
          <w:b/>
          <w:bCs/>
        </w:rPr>
        <w:t>1.</w:t>
      </w:r>
      <w:r>
        <w:tab/>
      </w:r>
      <w:r w:rsidRPr="008D4BC0">
        <w:rPr>
          <w:b/>
          <w:bCs/>
        </w:rPr>
        <w:t xml:space="preserve">BACKGROUND </w:t>
      </w:r>
    </w:p>
    <w:p w:rsidR="00687D92" w:rsidRDefault="00687D92" w:rsidP="00AF599F">
      <w:pPr>
        <w:tabs>
          <w:tab w:val="clear" w:pos="567"/>
          <w:tab w:val="clear" w:pos="1134"/>
          <w:tab w:val="clear" w:pos="1701"/>
          <w:tab w:val="clear" w:pos="2268"/>
          <w:tab w:val="clear" w:pos="2835"/>
        </w:tabs>
        <w:snapToGrid w:val="0"/>
        <w:spacing w:after="120"/>
        <w:rPr>
          <w:szCs w:val="24"/>
        </w:rPr>
      </w:pPr>
      <w:r w:rsidRPr="00687D92">
        <w:rPr>
          <w:szCs w:val="24"/>
        </w:rPr>
        <w:t xml:space="preserve">1.1 </w:t>
      </w:r>
      <w:r w:rsidR="00AF599F">
        <w:rPr>
          <w:szCs w:val="24"/>
        </w:rPr>
        <w:tab/>
      </w:r>
      <w:r w:rsidRPr="00687D92">
        <w:rPr>
          <w:szCs w:val="24"/>
        </w:rPr>
        <w:t xml:space="preserve">At its 2014 session, the Council considered a background document prepared by the secretariat on access to ITU documents (Document </w:t>
      </w:r>
      <w:hyperlink r:id="rId10" w:history="1">
        <w:r w:rsidRPr="009506E7">
          <w:rPr>
            <w:rStyle w:val="Hyperlink"/>
            <w:szCs w:val="24"/>
          </w:rPr>
          <w:t>C14/INF/20</w:t>
        </w:r>
      </w:hyperlink>
      <w:r w:rsidRPr="00687D92">
        <w:rPr>
          <w:szCs w:val="24"/>
        </w:rPr>
        <w:t>). The document defined the key terms such as documentation, publications, and information, and presented a review of practices in the UN and the Specialized Agencies as well as an overview of practices in ITU</w:t>
      </w:r>
      <w:r>
        <w:rPr>
          <w:szCs w:val="24"/>
        </w:rPr>
        <w:t>.</w:t>
      </w:r>
    </w:p>
    <w:p w:rsidR="00687D92" w:rsidRDefault="00687D92" w:rsidP="00AF599F">
      <w:pPr>
        <w:tabs>
          <w:tab w:val="clear" w:pos="567"/>
          <w:tab w:val="clear" w:pos="1134"/>
          <w:tab w:val="clear" w:pos="1701"/>
          <w:tab w:val="clear" w:pos="2268"/>
          <w:tab w:val="clear" w:pos="2835"/>
        </w:tabs>
        <w:snapToGrid w:val="0"/>
        <w:spacing w:after="120"/>
        <w:rPr>
          <w:szCs w:val="24"/>
        </w:rPr>
      </w:pPr>
      <w:r w:rsidRPr="00687D92">
        <w:rPr>
          <w:szCs w:val="24"/>
        </w:rPr>
        <w:t>The Council requested the secretariat to further study the issue and present appropriate documentation and a summary of the discussion of this item by the Council to the Plenipotentiary Conference for decision.</w:t>
      </w:r>
    </w:p>
    <w:p w:rsidR="00C74872" w:rsidRDefault="00C74872" w:rsidP="00AF599F">
      <w:pPr>
        <w:tabs>
          <w:tab w:val="clear" w:pos="567"/>
          <w:tab w:val="clear" w:pos="1134"/>
          <w:tab w:val="clear" w:pos="1701"/>
          <w:tab w:val="clear" w:pos="2268"/>
          <w:tab w:val="clear" w:pos="2835"/>
        </w:tabs>
        <w:snapToGrid w:val="0"/>
        <w:spacing w:after="120"/>
        <w:rPr>
          <w:szCs w:val="24"/>
        </w:rPr>
      </w:pPr>
      <w:r>
        <w:rPr>
          <w:szCs w:val="24"/>
        </w:rPr>
        <w:t>1.</w:t>
      </w:r>
      <w:r w:rsidR="00687D92">
        <w:rPr>
          <w:szCs w:val="24"/>
        </w:rPr>
        <w:t>2</w:t>
      </w:r>
      <w:r>
        <w:rPr>
          <w:szCs w:val="24"/>
        </w:rPr>
        <w:t xml:space="preserve"> </w:t>
      </w:r>
      <w:r w:rsidR="00AF599F">
        <w:rPr>
          <w:szCs w:val="24"/>
        </w:rPr>
        <w:tab/>
      </w:r>
      <w:r>
        <w:rPr>
          <w:szCs w:val="24"/>
        </w:rPr>
        <w:t>The summary of the discussion</w:t>
      </w:r>
      <w:r w:rsidR="00742240">
        <w:rPr>
          <w:szCs w:val="24"/>
        </w:rPr>
        <w:t>s</w:t>
      </w:r>
      <w:r>
        <w:rPr>
          <w:szCs w:val="24"/>
        </w:rPr>
        <w:t xml:space="preserve"> </w:t>
      </w:r>
      <w:r w:rsidR="00742240">
        <w:rPr>
          <w:szCs w:val="24"/>
        </w:rPr>
        <w:t>during</w:t>
      </w:r>
      <w:r w:rsidR="007333DE">
        <w:rPr>
          <w:szCs w:val="24"/>
        </w:rPr>
        <w:t xml:space="preserve"> the</w:t>
      </w:r>
      <w:r w:rsidR="00742240">
        <w:rPr>
          <w:szCs w:val="24"/>
        </w:rPr>
        <w:t xml:space="preserve"> Council </w:t>
      </w:r>
      <w:r>
        <w:rPr>
          <w:szCs w:val="24"/>
        </w:rPr>
        <w:t xml:space="preserve">on this item </w:t>
      </w:r>
      <w:r w:rsidR="00AF599F">
        <w:rPr>
          <w:szCs w:val="24"/>
        </w:rPr>
        <w:t>is</w:t>
      </w:r>
      <w:r>
        <w:rPr>
          <w:szCs w:val="24"/>
        </w:rPr>
        <w:t xml:space="preserve"> reproduced in </w:t>
      </w:r>
      <w:hyperlink w:anchor="Annex1" w:history="1">
        <w:r w:rsidRPr="005527D2">
          <w:rPr>
            <w:rStyle w:val="Hyperlink"/>
            <w:szCs w:val="24"/>
          </w:rPr>
          <w:t>Annex 1</w:t>
        </w:r>
      </w:hyperlink>
      <w:r>
        <w:rPr>
          <w:szCs w:val="24"/>
        </w:rPr>
        <w:t xml:space="preserve">. </w:t>
      </w:r>
    </w:p>
    <w:p w:rsidR="00EF3122" w:rsidRPr="00EF3122" w:rsidRDefault="00C77963" w:rsidP="00512B34">
      <w:pPr>
        <w:keepNext/>
        <w:keepLines/>
        <w:tabs>
          <w:tab w:val="clear" w:pos="567"/>
          <w:tab w:val="clear" w:pos="1134"/>
          <w:tab w:val="clear" w:pos="1701"/>
          <w:tab w:val="clear" w:pos="2268"/>
          <w:tab w:val="clear" w:pos="2835"/>
        </w:tabs>
        <w:snapToGrid w:val="0"/>
        <w:spacing w:after="120"/>
        <w:jc w:val="both"/>
        <w:rPr>
          <w:b/>
          <w:bCs/>
        </w:rPr>
      </w:pPr>
      <w:r>
        <w:rPr>
          <w:b/>
          <w:bCs/>
        </w:rPr>
        <w:lastRenderedPageBreak/>
        <w:t>2</w:t>
      </w:r>
      <w:r w:rsidRPr="00C77963">
        <w:rPr>
          <w:b/>
          <w:bCs/>
        </w:rPr>
        <w:t xml:space="preserve">. </w:t>
      </w:r>
      <w:r w:rsidR="00821874">
        <w:rPr>
          <w:b/>
          <w:bCs/>
        </w:rPr>
        <w:tab/>
      </w:r>
      <w:r w:rsidRPr="00C77963">
        <w:rPr>
          <w:b/>
          <w:bCs/>
        </w:rPr>
        <w:t>CURRENT SITUATION AT ITU</w:t>
      </w:r>
    </w:p>
    <w:p w:rsidR="00EF3122" w:rsidRDefault="00C8447B" w:rsidP="00512B34">
      <w:pPr>
        <w:keepNext/>
        <w:keepLines/>
        <w:tabs>
          <w:tab w:val="clear" w:pos="567"/>
          <w:tab w:val="clear" w:pos="1134"/>
          <w:tab w:val="clear" w:pos="1701"/>
          <w:tab w:val="clear" w:pos="2268"/>
          <w:tab w:val="clear" w:pos="2835"/>
        </w:tabs>
        <w:snapToGrid w:val="0"/>
        <w:spacing w:before="160" w:after="120"/>
        <w:rPr>
          <w:szCs w:val="24"/>
        </w:rPr>
      </w:pPr>
      <w:r>
        <w:rPr>
          <w:szCs w:val="24"/>
        </w:rPr>
        <w:t>2.1</w:t>
      </w:r>
      <w:r w:rsidR="00EF3122">
        <w:rPr>
          <w:szCs w:val="24"/>
        </w:rPr>
        <w:tab/>
        <w:t>From the creation of the International Telecommunication Union, collecting and communicating information has been at the heart of its activities. Information is defined as a communication or representation of knowledge such as facts, data or opinions, and can be captured in databases, documents, publications, sound recordings, email, images, etc.</w:t>
      </w:r>
    </w:p>
    <w:p w:rsidR="00C77963" w:rsidRPr="00C8447B" w:rsidRDefault="00EF3122" w:rsidP="00EF3122">
      <w:pPr>
        <w:keepNext/>
        <w:tabs>
          <w:tab w:val="clear" w:pos="567"/>
          <w:tab w:val="clear" w:pos="1134"/>
          <w:tab w:val="clear" w:pos="1701"/>
          <w:tab w:val="clear" w:pos="2268"/>
          <w:tab w:val="clear" w:pos="2835"/>
        </w:tabs>
        <w:snapToGrid w:val="0"/>
        <w:spacing w:before="160" w:after="120"/>
        <w:rPr>
          <w:szCs w:val="24"/>
        </w:rPr>
      </w:pPr>
      <w:r>
        <w:rPr>
          <w:szCs w:val="24"/>
        </w:rPr>
        <w:t>2.2</w:t>
      </w:r>
      <w:r w:rsidR="00C8447B">
        <w:rPr>
          <w:szCs w:val="24"/>
        </w:rPr>
        <w:t xml:space="preserve"> </w:t>
      </w:r>
      <w:r w:rsidR="00F7207D">
        <w:rPr>
          <w:szCs w:val="24"/>
        </w:rPr>
        <w:tab/>
      </w:r>
      <w:r w:rsidR="00C77963" w:rsidRPr="00C8447B">
        <w:rPr>
          <w:szCs w:val="24"/>
        </w:rPr>
        <w:t>Currently, ITU policy regarding the accessibility and availability of this information is reflected in the following two documents, approved by the Secretary-General at the time:</w:t>
      </w:r>
    </w:p>
    <w:p w:rsidR="00C77963" w:rsidRPr="00C8447B" w:rsidRDefault="00C77963" w:rsidP="00AF599F">
      <w:pPr>
        <w:pStyle w:val="ListParagraph"/>
        <w:keepNext/>
        <w:numPr>
          <w:ilvl w:val="0"/>
          <w:numId w:val="26"/>
        </w:numPr>
        <w:snapToGrid w:val="0"/>
        <w:spacing w:before="120" w:after="120" w:line="240" w:lineRule="auto"/>
        <w:ind w:left="714" w:hanging="357"/>
        <w:contextualSpacing w:val="0"/>
        <w:rPr>
          <w:sz w:val="24"/>
          <w:szCs w:val="24"/>
        </w:rPr>
      </w:pPr>
      <w:r w:rsidRPr="00C8447B">
        <w:rPr>
          <w:sz w:val="24"/>
          <w:szCs w:val="24"/>
        </w:rPr>
        <w:t>Information Circular (4 November 1982) - internal, “Archives of the Union: description and access”</w:t>
      </w:r>
      <w:r w:rsidR="00F35A51" w:rsidRPr="00C8447B">
        <w:rPr>
          <w:sz w:val="24"/>
          <w:szCs w:val="24"/>
        </w:rPr>
        <w:t xml:space="preserve">. </w:t>
      </w:r>
      <w:r w:rsidRPr="00C8447B">
        <w:rPr>
          <w:sz w:val="24"/>
          <w:szCs w:val="24"/>
        </w:rPr>
        <w:t>This document covers public access to historic records held by ITU’s Archives Service.</w:t>
      </w:r>
    </w:p>
    <w:p w:rsidR="00C77963" w:rsidRPr="00C8447B" w:rsidRDefault="00C77963" w:rsidP="00AF599F">
      <w:pPr>
        <w:pStyle w:val="ListParagraph"/>
        <w:numPr>
          <w:ilvl w:val="0"/>
          <w:numId w:val="26"/>
        </w:numPr>
        <w:snapToGrid w:val="0"/>
        <w:spacing w:before="120" w:after="120" w:line="240" w:lineRule="auto"/>
        <w:contextualSpacing w:val="0"/>
        <w:rPr>
          <w:sz w:val="24"/>
          <w:szCs w:val="24"/>
        </w:rPr>
      </w:pPr>
      <w:r w:rsidRPr="00C8447B">
        <w:rPr>
          <w:sz w:val="24"/>
          <w:szCs w:val="24"/>
        </w:rPr>
        <w:t>Multiple-destination letter DM-1013 (27 January 2000), “Guidelines for TIES access”</w:t>
      </w:r>
      <w:r w:rsidR="00F35A51" w:rsidRPr="00C8447B">
        <w:rPr>
          <w:sz w:val="24"/>
          <w:szCs w:val="24"/>
        </w:rPr>
        <w:t xml:space="preserve">. </w:t>
      </w:r>
      <w:r w:rsidRPr="00C8447B">
        <w:rPr>
          <w:sz w:val="24"/>
          <w:szCs w:val="24"/>
        </w:rPr>
        <w:t>This document covers electronic access by Member States, Sector Members and Permanent Missions to ITU working documents</w:t>
      </w:r>
      <w:r w:rsidR="00D41507">
        <w:rPr>
          <w:sz w:val="24"/>
          <w:szCs w:val="24"/>
        </w:rPr>
        <w:t xml:space="preserve"> for conferences and meetings.</w:t>
      </w:r>
    </w:p>
    <w:p w:rsidR="00195AC0" w:rsidRDefault="00C77963" w:rsidP="00AF599F">
      <w:pPr>
        <w:tabs>
          <w:tab w:val="clear" w:pos="567"/>
          <w:tab w:val="clear" w:pos="1134"/>
          <w:tab w:val="clear" w:pos="1701"/>
          <w:tab w:val="clear" w:pos="2268"/>
          <w:tab w:val="clear" w:pos="2835"/>
        </w:tabs>
        <w:snapToGrid w:val="0"/>
        <w:spacing w:after="120"/>
        <w:rPr>
          <w:szCs w:val="24"/>
        </w:rPr>
      </w:pPr>
      <w:r w:rsidRPr="00C8447B">
        <w:rPr>
          <w:szCs w:val="24"/>
        </w:rPr>
        <w:t>These documents address only certain types of information and certain types of access. They have neither been r</w:t>
      </w:r>
      <w:r w:rsidR="00D41507">
        <w:rPr>
          <w:szCs w:val="24"/>
        </w:rPr>
        <w:t>eviewed nor updated since 2000.</w:t>
      </w:r>
    </w:p>
    <w:p w:rsidR="00195AC0" w:rsidRPr="007333DE" w:rsidRDefault="00195AC0">
      <w:pPr>
        <w:tabs>
          <w:tab w:val="clear" w:pos="567"/>
          <w:tab w:val="clear" w:pos="1134"/>
          <w:tab w:val="clear" w:pos="1701"/>
          <w:tab w:val="clear" w:pos="2268"/>
          <w:tab w:val="clear" w:pos="2835"/>
        </w:tabs>
        <w:snapToGrid w:val="0"/>
        <w:spacing w:before="160" w:after="120"/>
        <w:rPr>
          <w:szCs w:val="24"/>
        </w:rPr>
      </w:pPr>
      <w:r w:rsidRPr="007333DE">
        <w:rPr>
          <w:szCs w:val="24"/>
        </w:rPr>
        <w:t>2.</w:t>
      </w:r>
      <w:r w:rsidR="00BA2C68">
        <w:rPr>
          <w:szCs w:val="24"/>
        </w:rPr>
        <w:t>3</w:t>
      </w:r>
      <w:r w:rsidR="00BA2C68" w:rsidRPr="007333DE">
        <w:rPr>
          <w:szCs w:val="24"/>
        </w:rPr>
        <w:t xml:space="preserve"> </w:t>
      </w:r>
      <w:r w:rsidR="00F7207D">
        <w:rPr>
          <w:szCs w:val="24"/>
        </w:rPr>
        <w:tab/>
      </w:r>
      <w:r w:rsidRPr="007333DE">
        <w:rPr>
          <w:szCs w:val="24"/>
        </w:rPr>
        <w:t xml:space="preserve">Information </w:t>
      </w:r>
      <w:r w:rsidR="00D00A13">
        <w:rPr>
          <w:szCs w:val="24"/>
        </w:rPr>
        <w:t>made available to the general public</w:t>
      </w:r>
    </w:p>
    <w:p w:rsidR="00195AC0" w:rsidRPr="007333DE" w:rsidRDefault="00195AC0" w:rsidP="00AF599F">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szCs w:val="24"/>
          <w:lang w:val="en-US" w:eastAsia="zh-CN"/>
        </w:rPr>
      </w:pPr>
      <w:r w:rsidRPr="007333DE">
        <w:rPr>
          <w:rFonts w:asciiTheme="minorHAnsi" w:eastAsiaTheme="minorEastAsia" w:hAnsiTheme="minorHAnsi" w:cstheme="minorBidi"/>
          <w:szCs w:val="24"/>
          <w:lang w:val="en-US" w:eastAsia="zh-CN"/>
        </w:rPr>
        <w:t>ITU has traditionally made a variety of information available to the public and continues to do so today. Information that is regularly provided to the public – for sale or for free – includes the following</w:t>
      </w:r>
      <w:r w:rsidR="003B0F90">
        <w:rPr>
          <w:rStyle w:val="FootnoteReference"/>
          <w:rFonts w:eastAsiaTheme="minorEastAsia" w:cstheme="minorBidi"/>
          <w:szCs w:val="24"/>
          <w:lang w:val="en-US" w:eastAsia="zh-CN"/>
        </w:rPr>
        <w:footnoteReference w:id="2"/>
      </w:r>
      <w:r w:rsidRPr="007333DE">
        <w:rPr>
          <w:rFonts w:asciiTheme="minorHAnsi" w:eastAsiaTheme="minorEastAsia" w:hAnsiTheme="minorHAnsi" w:cstheme="minorBidi"/>
          <w:szCs w:val="24"/>
          <w:lang w:val="en-US" w:eastAsia="zh-CN"/>
        </w:rPr>
        <w:t>:</w:t>
      </w:r>
    </w:p>
    <w:p w:rsidR="00195AC0" w:rsidRPr="007333DE" w:rsidRDefault="00195AC0" w:rsidP="00250780">
      <w:pPr>
        <w:numPr>
          <w:ilvl w:val="0"/>
          <w:numId w:val="7"/>
        </w:numPr>
        <w:tabs>
          <w:tab w:val="clear" w:pos="567"/>
          <w:tab w:val="clear" w:pos="1134"/>
          <w:tab w:val="clear" w:pos="1701"/>
          <w:tab w:val="clear" w:pos="2268"/>
          <w:tab w:val="clear" w:pos="2835"/>
        </w:tabs>
        <w:overflowPunct/>
        <w:autoSpaceDE/>
        <w:autoSpaceDN/>
        <w:adjustRightInd/>
        <w:snapToGrid w:val="0"/>
        <w:spacing w:after="60"/>
        <w:ind w:left="1134" w:hanging="425"/>
        <w:textAlignment w:val="auto"/>
        <w:rPr>
          <w:rFonts w:asciiTheme="minorHAnsi" w:eastAsiaTheme="minorEastAsia" w:hAnsiTheme="minorHAnsi" w:cstheme="minorBidi"/>
          <w:szCs w:val="24"/>
          <w:lang w:val="en-US" w:eastAsia="zh-CN"/>
        </w:rPr>
      </w:pPr>
      <w:r w:rsidRPr="007333DE">
        <w:rPr>
          <w:rFonts w:asciiTheme="minorHAnsi" w:eastAsiaTheme="minorEastAsia" w:hAnsiTheme="minorHAnsi" w:cstheme="minorBidi"/>
          <w:szCs w:val="24"/>
          <w:lang w:val="en-US" w:eastAsia="zh-CN"/>
        </w:rPr>
        <w:t>Press releases</w:t>
      </w:r>
    </w:p>
    <w:p w:rsidR="00195AC0" w:rsidRPr="007333DE" w:rsidRDefault="00195AC0" w:rsidP="00250780">
      <w:pPr>
        <w:numPr>
          <w:ilvl w:val="0"/>
          <w:numId w:val="7"/>
        </w:numPr>
        <w:tabs>
          <w:tab w:val="clear" w:pos="567"/>
          <w:tab w:val="clear" w:pos="1134"/>
          <w:tab w:val="clear" w:pos="1701"/>
          <w:tab w:val="clear" w:pos="2268"/>
          <w:tab w:val="clear" w:pos="2835"/>
        </w:tabs>
        <w:overflowPunct/>
        <w:autoSpaceDE/>
        <w:autoSpaceDN/>
        <w:adjustRightInd/>
        <w:snapToGrid w:val="0"/>
        <w:spacing w:before="60" w:after="60"/>
        <w:ind w:left="1134" w:hanging="425"/>
        <w:textAlignment w:val="auto"/>
        <w:rPr>
          <w:rFonts w:asciiTheme="minorHAnsi" w:eastAsiaTheme="minorEastAsia" w:hAnsiTheme="minorHAnsi" w:cstheme="minorBidi"/>
          <w:szCs w:val="24"/>
          <w:lang w:val="en-US" w:eastAsia="zh-CN"/>
        </w:rPr>
      </w:pPr>
      <w:r w:rsidRPr="007333DE">
        <w:rPr>
          <w:rFonts w:asciiTheme="minorHAnsi" w:eastAsiaTheme="minorEastAsia" w:hAnsiTheme="minorHAnsi" w:cstheme="minorBidi"/>
          <w:szCs w:val="24"/>
          <w:lang w:val="en-US" w:eastAsia="zh-CN"/>
        </w:rPr>
        <w:t>Speeches</w:t>
      </w:r>
    </w:p>
    <w:p w:rsidR="00195AC0" w:rsidRPr="007333DE" w:rsidRDefault="00195AC0" w:rsidP="00250780">
      <w:pPr>
        <w:numPr>
          <w:ilvl w:val="0"/>
          <w:numId w:val="7"/>
        </w:numPr>
        <w:tabs>
          <w:tab w:val="clear" w:pos="567"/>
          <w:tab w:val="clear" w:pos="1134"/>
          <w:tab w:val="clear" w:pos="1701"/>
          <w:tab w:val="clear" w:pos="2268"/>
          <w:tab w:val="clear" w:pos="2835"/>
        </w:tabs>
        <w:overflowPunct/>
        <w:autoSpaceDE/>
        <w:autoSpaceDN/>
        <w:adjustRightInd/>
        <w:snapToGrid w:val="0"/>
        <w:spacing w:before="60" w:after="60"/>
        <w:ind w:left="1134" w:hanging="425"/>
        <w:textAlignment w:val="auto"/>
        <w:rPr>
          <w:rFonts w:asciiTheme="minorHAnsi" w:eastAsiaTheme="minorEastAsia" w:hAnsiTheme="minorHAnsi" w:cstheme="minorBidi"/>
          <w:szCs w:val="24"/>
          <w:lang w:val="en-US" w:eastAsia="zh-CN"/>
        </w:rPr>
      </w:pPr>
      <w:r w:rsidRPr="007333DE">
        <w:rPr>
          <w:rFonts w:asciiTheme="minorHAnsi" w:eastAsiaTheme="minorEastAsia" w:hAnsiTheme="minorHAnsi" w:cstheme="minorBidi"/>
          <w:szCs w:val="24"/>
          <w:lang w:val="en-US" w:eastAsia="zh-CN"/>
        </w:rPr>
        <w:t>Statements</w:t>
      </w:r>
    </w:p>
    <w:p w:rsidR="00195AC0" w:rsidRPr="007333DE" w:rsidRDefault="00195AC0" w:rsidP="00250780">
      <w:pPr>
        <w:numPr>
          <w:ilvl w:val="0"/>
          <w:numId w:val="7"/>
        </w:numPr>
        <w:tabs>
          <w:tab w:val="clear" w:pos="567"/>
          <w:tab w:val="clear" w:pos="1134"/>
          <w:tab w:val="clear" w:pos="1701"/>
          <w:tab w:val="clear" w:pos="2268"/>
          <w:tab w:val="clear" w:pos="2835"/>
        </w:tabs>
        <w:overflowPunct/>
        <w:autoSpaceDE/>
        <w:autoSpaceDN/>
        <w:adjustRightInd/>
        <w:snapToGrid w:val="0"/>
        <w:spacing w:before="60" w:after="60"/>
        <w:ind w:left="1134" w:hanging="425"/>
        <w:textAlignment w:val="auto"/>
        <w:rPr>
          <w:rFonts w:asciiTheme="minorHAnsi" w:eastAsiaTheme="minorEastAsia" w:hAnsiTheme="minorHAnsi" w:cstheme="minorBidi"/>
          <w:szCs w:val="24"/>
          <w:lang w:val="en-US" w:eastAsia="zh-CN"/>
        </w:rPr>
      </w:pPr>
      <w:r w:rsidRPr="007333DE">
        <w:rPr>
          <w:rFonts w:asciiTheme="minorHAnsi" w:eastAsiaTheme="minorEastAsia" w:hAnsiTheme="minorHAnsi" w:cstheme="minorBidi"/>
          <w:szCs w:val="24"/>
          <w:lang w:val="en-US" w:eastAsia="zh-CN"/>
        </w:rPr>
        <w:t>Circulars/Circular letters</w:t>
      </w:r>
      <w:r w:rsidRPr="007333DE">
        <w:rPr>
          <w:rFonts w:asciiTheme="minorHAnsi" w:eastAsiaTheme="minorEastAsia" w:hAnsiTheme="minorHAnsi" w:cstheme="minorBidi"/>
          <w:szCs w:val="24"/>
          <w:vertAlign w:val="superscript"/>
          <w:lang w:val="en-US" w:eastAsia="zh-CN"/>
        </w:rPr>
        <w:footnoteReference w:id="3"/>
      </w:r>
    </w:p>
    <w:p w:rsidR="00195AC0" w:rsidRPr="007333DE" w:rsidRDefault="00195AC0" w:rsidP="00250780">
      <w:pPr>
        <w:numPr>
          <w:ilvl w:val="0"/>
          <w:numId w:val="7"/>
        </w:numPr>
        <w:tabs>
          <w:tab w:val="clear" w:pos="567"/>
          <w:tab w:val="clear" w:pos="1134"/>
          <w:tab w:val="clear" w:pos="1701"/>
          <w:tab w:val="clear" w:pos="2268"/>
          <w:tab w:val="clear" w:pos="2835"/>
        </w:tabs>
        <w:overflowPunct/>
        <w:autoSpaceDE/>
        <w:autoSpaceDN/>
        <w:adjustRightInd/>
        <w:snapToGrid w:val="0"/>
        <w:spacing w:before="60" w:after="60"/>
        <w:ind w:left="1134" w:hanging="425"/>
        <w:textAlignment w:val="auto"/>
        <w:rPr>
          <w:rFonts w:asciiTheme="minorHAnsi" w:eastAsiaTheme="minorEastAsia" w:hAnsiTheme="minorHAnsi" w:cstheme="minorBidi"/>
          <w:szCs w:val="24"/>
          <w:lang w:val="en-US" w:eastAsia="zh-CN"/>
        </w:rPr>
      </w:pPr>
      <w:r w:rsidRPr="007333DE">
        <w:rPr>
          <w:rFonts w:asciiTheme="minorHAnsi" w:eastAsiaTheme="minorEastAsia" w:hAnsiTheme="minorHAnsi" w:cstheme="minorBidi"/>
          <w:szCs w:val="24"/>
          <w:lang w:val="en-US" w:eastAsia="zh-CN"/>
        </w:rPr>
        <w:t>General information about the organization’s activities (brochures, flyers, webpages, social media platforms)</w:t>
      </w:r>
    </w:p>
    <w:p w:rsidR="00195AC0" w:rsidRPr="007333DE" w:rsidRDefault="00195AC0" w:rsidP="00250780">
      <w:pPr>
        <w:numPr>
          <w:ilvl w:val="0"/>
          <w:numId w:val="7"/>
        </w:numPr>
        <w:tabs>
          <w:tab w:val="clear" w:pos="567"/>
          <w:tab w:val="clear" w:pos="1134"/>
          <w:tab w:val="clear" w:pos="1701"/>
          <w:tab w:val="clear" w:pos="2268"/>
          <w:tab w:val="clear" w:pos="2835"/>
        </w:tabs>
        <w:overflowPunct/>
        <w:autoSpaceDE/>
        <w:autoSpaceDN/>
        <w:adjustRightInd/>
        <w:snapToGrid w:val="0"/>
        <w:spacing w:before="60" w:after="60"/>
        <w:ind w:left="1134" w:hanging="425"/>
        <w:textAlignment w:val="auto"/>
        <w:rPr>
          <w:rFonts w:asciiTheme="minorHAnsi" w:eastAsiaTheme="minorEastAsia" w:hAnsiTheme="minorHAnsi" w:cstheme="minorBidi"/>
          <w:szCs w:val="24"/>
          <w:lang w:val="en-US" w:eastAsia="zh-CN"/>
        </w:rPr>
      </w:pPr>
      <w:r w:rsidRPr="007333DE">
        <w:rPr>
          <w:rFonts w:asciiTheme="minorHAnsi" w:eastAsiaTheme="minorEastAsia" w:hAnsiTheme="minorHAnsi" w:cstheme="minorBidi"/>
          <w:szCs w:val="24"/>
          <w:lang w:val="en-US" w:eastAsia="zh-CN"/>
        </w:rPr>
        <w:t>Photographs and videos of ITU events and activities</w:t>
      </w:r>
    </w:p>
    <w:p w:rsidR="00195AC0" w:rsidRPr="007333DE" w:rsidRDefault="00195AC0" w:rsidP="00250780">
      <w:pPr>
        <w:numPr>
          <w:ilvl w:val="0"/>
          <w:numId w:val="7"/>
        </w:numPr>
        <w:tabs>
          <w:tab w:val="clear" w:pos="567"/>
          <w:tab w:val="clear" w:pos="1134"/>
          <w:tab w:val="clear" w:pos="1701"/>
          <w:tab w:val="clear" w:pos="2268"/>
          <w:tab w:val="clear" w:pos="2835"/>
        </w:tabs>
        <w:overflowPunct/>
        <w:autoSpaceDE/>
        <w:autoSpaceDN/>
        <w:adjustRightInd/>
        <w:snapToGrid w:val="0"/>
        <w:spacing w:before="60" w:after="60"/>
        <w:ind w:left="1134" w:hanging="425"/>
        <w:textAlignment w:val="auto"/>
        <w:rPr>
          <w:rFonts w:asciiTheme="minorHAnsi" w:eastAsiaTheme="minorEastAsia" w:hAnsiTheme="minorHAnsi" w:cstheme="minorBidi"/>
          <w:szCs w:val="24"/>
          <w:lang w:val="en-US" w:eastAsia="zh-CN"/>
        </w:rPr>
      </w:pPr>
      <w:r w:rsidRPr="007333DE">
        <w:rPr>
          <w:rFonts w:asciiTheme="minorHAnsi" w:eastAsiaTheme="minorEastAsia" w:hAnsiTheme="minorHAnsi" w:cstheme="minorBidi"/>
          <w:szCs w:val="24"/>
          <w:lang w:val="en-US" w:eastAsia="zh-CN"/>
        </w:rPr>
        <w:t>Documents and information related to the history of the organization (History of ITU Portal)</w:t>
      </w:r>
    </w:p>
    <w:p w:rsidR="00195AC0" w:rsidRPr="007333DE" w:rsidRDefault="00195AC0" w:rsidP="00250780">
      <w:pPr>
        <w:numPr>
          <w:ilvl w:val="0"/>
          <w:numId w:val="7"/>
        </w:numPr>
        <w:tabs>
          <w:tab w:val="clear" w:pos="567"/>
          <w:tab w:val="clear" w:pos="1134"/>
          <w:tab w:val="clear" w:pos="1701"/>
          <w:tab w:val="clear" w:pos="2268"/>
          <w:tab w:val="clear" w:pos="2835"/>
        </w:tabs>
        <w:overflowPunct/>
        <w:autoSpaceDE/>
        <w:autoSpaceDN/>
        <w:adjustRightInd/>
        <w:snapToGrid w:val="0"/>
        <w:spacing w:before="60" w:after="120"/>
        <w:ind w:left="1134" w:hanging="425"/>
        <w:textAlignment w:val="auto"/>
        <w:rPr>
          <w:rFonts w:asciiTheme="minorHAnsi" w:eastAsiaTheme="minorEastAsia" w:hAnsiTheme="minorHAnsi" w:cstheme="minorBidi"/>
          <w:szCs w:val="24"/>
          <w:lang w:val="en-US" w:eastAsia="zh-CN"/>
        </w:rPr>
      </w:pPr>
      <w:r w:rsidRPr="007333DE">
        <w:rPr>
          <w:rFonts w:asciiTheme="minorHAnsi" w:eastAsiaTheme="minorEastAsia" w:hAnsiTheme="minorHAnsi" w:cstheme="minorBidi"/>
          <w:szCs w:val="24"/>
          <w:lang w:val="en-US" w:eastAsia="zh-CN"/>
        </w:rPr>
        <w:t>Publications, including:</w:t>
      </w:r>
    </w:p>
    <w:p w:rsidR="00195AC0" w:rsidRPr="007333DE" w:rsidRDefault="00195AC0" w:rsidP="00F5530D">
      <w:pPr>
        <w:numPr>
          <w:ilvl w:val="0"/>
          <w:numId w:val="32"/>
        </w:numPr>
        <w:tabs>
          <w:tab w:val="clear" w:pos="567"/>
          <w:tab w:val="clear" w:pos="1134"/>
          <w:tab w:val="clear" w:pos="1701"/>
          <w:tab w:val="clear" w:pos="2268"/>
          <w:tab w:val="clear" w:pos="2835"/>
        </w:tabs>
        <w:overflowPunct/>
        <w:autoSpaceDE/>
        <w:autoSpaceDN/>
        <w:adjustRightInd/>
        <w:snapToGrid w:val="0"/>
        <w:spacing w:after="40"/>
        <w:ind w:left="1560" w:hanging="426"/>
        <w:textAlignment w:val="auto"/>
        <w:rPr>
          <w:rFonts w:asciiTheme="minorHAnsi" w:eastAsiaTheme="minorEastAsia" w:hAnsiTheme="minorHAnsi" w:cstheme="minorBidi"/>
          <w:szCs w:val="24"/>
          <w:lang w:val="en-US" w:eastAsia="zh-CN"/>
        </w:rPr>
      </w:pPr>
      <w:r w:rsidRPr="007333DE">
        <w:rPr>
          <w:rFonts w:asciiTheme="minorHAnsi" w:eastAsiaTheme="minorEastAsia" w:hAnsiTheme="minorHAnsi" w:cstheme="minorBidi"/>
          <w:szCs w:val="24"/>
          <w:lang w:val="en-US" w:eastAsia="zh-CN"/>
        </w:rPr>
        <w:t>Basic texts of the organization</w:t>
      </w:r>
    </w:p>
    <w:p w:rsidR="00195AC0" w:rsidRPr="007333DE" w:rsidRDefault="00195AC0" w:rsidP="00F5530D">
      <w:pPr>
        <w:numPr>
          <w:ilvl w:val="0"/>
          <w:numId w:val="32"/>
        </w:numPr>
        <w:tabs>
          <w:tab w:val="clear" w:pos="567"/>
          <w:tab w:val="clear" w:pos="1134"/>
          <w:tab w:val="clear" w:pos="1701"/>
          <w:tab w:val="clear" w:pos="2268"/>
          <w:tab w:val="clear" w:pos="2835"/>
        </w:tabs>
        <w:overflowPunct/>
        <w:autoSpaceDE/>
        <w:autoSpaceDN/>
        <w:adjustRightInd/>
        <w:snapToGrid w:val="0"/>
        <w:spacing w:before="40" w:after="40"/>
        <w:ind w:left="1560" w:hanging="426"/>
        <w:textAlignment w:val="auto"/>
        <w:rPr>
          <w:rFonts w:asciiTheme="minorHAnsi" w:eastAsiaTheme="minorEastAsia" w:hAnsiTheme="minorHAnsi" w:cstheme="minorBidi"/>
          <w:szCs w:val="24"/>
          <w:lang w:val="en-US" w:eastAsia="zh-CN"/>
        </w:rPr>
      </w:pPr>
      <w:r w:rsidRPr="007333DE">
        <w:rPr>
          <w:rFonts w:asciiTheme="minorHAnsi" w:eastAsiaTheme="minorEastAsia" w:hAnsiTheme="minorHAnsi" w:cstheme="minorBidi"/>
          <w:szCs w:val="24"/>
          <w:lang w:val="en-US" w:eastAsia="zh-CN"/>
        </w:rPr>
        <w:t>Administrative Regulations</w:t>
      </w:r>
    </w:p>
    <w:p w:rsidR="005527D2" w:rsidRDefault="00195AC0" w:rsidP="00F5530D">
      <w:pPr>
        <w:numPr>
          <w:ilvl w:val="0"/>
          <w:numId w:val="32"/>
        </w:numPr>
        <w:tabs>
          <w:tab w:val="clear" w:pos="567"/>
          <w:tab w:val="clear" w:pos="1134"/>
          <w:tab w:val="clear" w:pos="1701"/>
          <w:tab w:val="clear" w:pos="2268"/>
          <w:tab w:val="clear" w:pos="2835"/>
        </w:tabs>
        <w:overflowPunct/>
        <w:autoSpaceDE/>
        <w:autoSpaceDN/>
        <w:adjustRightInd/>
        <w:snapToGrid w:val="0"/>
        <w:spacing w:before="40" w:after="40"/>
        <w:ind w:left="1560" w:hanging="426"/>
        <w:textAlignment w:val="auto"/>
        <w:rPr>
          <w:rFonts w:asciiTheme="minorHAnsi" w:eastAsiaTheme="minorEastAsia" w:hAnsiTheme="minorHAnsi" w:cstheme="minorBidi"/>
          <w:szCs w:val="24"/>
          <w:lang w:val="en-US" w:eastAsia="zh-CN"/>
        </w:rPr>
      </w:pPr>
      <w:r w:rsidRPr="007333DE">
        <w:rPr>
          <w:rFonts w:asciiTheme="minorHAnsi" w:eastAsiaTheme="minorEastAsia" w:hAnsiTheme="minorHAnsi" w:cstheme="minorBidi"/>
          <w:szCs w:val="24"/>
          <w:lang w:val="en-US" w:eastAsia="zh-CN"/>
        </w:rPr>
        <w:t>Final Acts of ITU conferences</w:t>
      </w:r>
    </w:p>
    <w:p w:rsidR="00195AC0" w:rsidRPr="007333DE" w:rsidRDefault="005527D2" w:rsidP="00512B34">
      <w:pPr>
        <w:numPr>
          <w:ilvl w:val="0"/>
          <w:numId w:val="32"/>
        </w:numPr>
        <w:tabs>
          <w:tab w:val="clear" w:pos="567"/>
          <w:tab w:val="clear" w:pos="1134"/>
          <w:tab w:val="clear" w:pos="1701"/>
          <w:tab w:val="clear" w:pos="2268"/>
          <w:tab w:val="clear" w:pos="2835"/>
        </w:tabs>
        <w:overflowPunct/>
        <w:autoSpaceDE/>
        <w:autoSpaceDN/>
        <w:adjustRightInd/>
        <w:snapToGrid w:val="0"/>
        <w:spacing w:before="40" w:after="40"/>
        <w:ind w:left="1560" w:hanging="426"/>
        <w:textAlignment w:val="auto"/>
        <w:rPr>
          <w:rFonts w:asciiTheme="minorHAnsi" w:eastAsiaTheme="minorEastAsia" w:hAnsiTheme="minorHAnsi" w:cstheme="minorBidi"/>
          <w:szCs w:val="24"/>
          <w:lang w:val="en-US" w:eastAsia="zh-CN"/>
        </w:rPr>
      </w:pPr>
      <w:r>
        <w:rPr>
          <w:rFonts w:asciiTheme="minorHAnsi" w:eastAsiaTheme="minorEastAsia" w:hAnsiTheme="minorHAnsi" w:cstheme="minorBidi"/>
          <w:szCs w:val="24"/>
          <w:lang w:val="en-US" w:eastAsia="zh-CN"/>
        </w:rPr>
        <w:t xml:space="preserve">Council </w:t>
      </w:r>
      <w:r w:rsidR="00882E3A">
        <w:rPr>
          <w:rFonts w:asciiTheme="minorHAnsi" w:eastAsiaTheme="minorEastAsia" w:hAnsiTheme="minorHAnsi" w:cstheme="minorBidi"/>
          <w:szCs w:val="24"/>
          <w:lang w:val="en-US" w:eastAsia="zh-CN"/>
        </w:rPr>
        <w:t>Resolutions and Decisions</w:t>
      </w:r>
    </w:p>
    <w:p w:rsidR="00195AC0" w:rsidRPr="007333DE" w:rsidRDefault="00195AC0" w:rsidP="00F5530D">
      <w:pPr>
        <w:numPr>
          <w:ilvl w:val="0"/>
          <w:numId w:val="32"/>
        </w:numPr>
        <w:tabs>
          <w:tab w:val="clear" w:pos="567"/>
          <w:tab w:val="clear" w:pos="1134"/>
          <w:tab w:val="clear" w:pos="1701"/>
          <w:tab w:val="clear" w:pos="2268"/>
          <w:tab w:val="clear" w:pos="2835"/>
        </w:tabs>
        <w:overflowPunct/>
        <w:autoSpaceDE/>
        <w:autoSpaceDN/>
        <w:adjustRightInd/>
        <w:snapToGrid w:val="0"/>
        <w:spacing w:before="40" w:after="40"/>
        <w:ind w:left="1560" w:hanging="426"/>
        <w:textAlignment w:val="auto"/>
        <w:rPr>
          <w:rFonts w:asciiTheme="minorHAnsi" w:eastAsiaTheme="minorEastAsia" w:hAnsiTheme="minorHAnsi" w:cstheme="minorBidi"/>
          <w:szCs w:val="24"/>
          <w:lang w:val="en-US" w:eastAsia="zh-CN"/>
        </w:rPr>
      </w:pPr>
      <w:r w:rsidRPr="007333DE">
        <w:rPr>
          <w:rFonts w:asciiTheme="minorHAnsi" w:eastAsiaTheme="minorEastAsia" w:hAnsiTheme="minorHAnsi" w:cstheme="minorBidi"/>
          <w:szCs w:val="24"/>
          <w:lang w:val="en-US" w:eastAsia="zh-CN"/>
        </w:rPr>
        <w:t>ITU Recommendations</w:t>
      </w:r>
    </w:p>
    <w:p w:rsidR="00195AC0" w:rsidRPr="007333DE" w:rsidRDefault="00195AC0" w:rsidP="00512B34">
      <w:pPr>
        <w:numPr>
          <w:ilvl w:val="0"/>
          <w:numId w:val="32"/>
        </w:numPr>
        <w:tabs>
          <w:tab w:val="clear" w:pos="567"/>
          <w:tab w:val="clear" w:pos="1134"/>
          <w:tab w:val="clear" w:pos="1701"/>
          <w:tab w:val="clear" w:pos="2268"/>
          <w:tab w:val="clear" w:pos="2835"/>
        </w:tabs>
        <w:overflowPunct/>
        <w:autoSpaceDE/>
        <w:autoSpaceDN/>
        <w:adjustRightInd/>
        <w:snapToGrid w:val="0"/>
        <w:spacing w:before="40" w:after="40"/>
        <w:ind w:left="1560" w:hanging="426"/>
        <w:textAlignment w:val="auto"/>
        <w:rPr>
          <w:rFonts w:asciiTheme="minorHAnsi" w:eastAsiaTheme="minorEastAsia" w:hAnsiTheme="minorHAnsi" w:cstheme="minorBidi"/>
          <w:szCs w:val="24"/>
          <w:lang w:val="en-US" w:eastAsia="zh-CN"/>
        </w:rPr>
      </w:pPr>
      <w:r w:rsidRPr="007333DE">
        <w:rPr>
          <w:rFonts w:asciiTheme="minorHAnsi" w:eastAsiaTheme="minorEastAsia" w:hAnsiTheme="minorHAnsi" w:cstheme="minorBidi"/>
          <w:szCs w:val="24"/>
          <w:lang w:val="en-US" w:eastAsia="zh-CN"/>
        </w:rPr>
        <w:t>Handbooks, guidelines, manuals</w:t>
      </w:r>
      <w:r w:rsidR="003B0F90">
        <w:rPr>
          <w:rFonts w:asciiTheme="minorHAnsi" w:eastAsiaTheme="minorEastAsia" w:hAnsiTheme="minorHAnsi" w:cstheme="minorBidi"/>
          <w:szCs w:val="24"/>
          <w:lang w:val="en-US" w:eastAsia="zh-CN"/>
        </w:rPr>
        <w:t>, toolkits</w:t>
      </w:r>
    </w:p>
    <w:p w:rsidR="00195AC0" w:rsidRPr="007333DE" w:rsidRDefault="00195AC0" w:rsidP="00F5530D">
      <w:pPr>
        <w:numPr>
          <w:ilvl w:val="0"/>
          <w:numId w:val="32"/>
        </w:numPr>
        <w:tabs>
          <w:tab w:val="clear" w:pos="567"/>
          <w:tab w:val="clear" w:pos="1134"/>
          <w:tab w:val="clear" w:pos="1701"/>
          <w:tab w:val="clear" w:pos="2268"/>
          <w:tab w:val="clear" w:pos="2835"/>
        </w:tabs>
        <w:overflowPunct/>
        <w:autoSpaceDE/>
        <w:autoSpaceDN/>
        <w:adjustRightInd/>
        <w:snapToGrid w:val="0"/>
        <w:spacing w:before="40" w:after="40"/>
        <w:ind w:left="1560" w:hanging="426"/>
        <w:textAlignment w:val="auto"/>
        <w:rPr>
          <w:rFonts w:asciiTheme="minorHAnsi" w:eastAsiaTheme="minorEastAsia" w:hAnsiTheme="minorHAnsi" w:cstheme="minorBidi"/>
          <w:szCs w:val="24"/>
          <w:lang w:val="en-US" w:eastAsia="zh-CN"/>
        </w:rPr>
      </w:pPr>
      <w:r w:rsidRPr="007333DE">
        <w:rPr>
          <w:rFonts w:asciiTheme="minorHAnsi" w:eastAsiaTheme="minorEastAsia" w:hAnsiTheme="minorHAnsi" w:cstheme="minorBidi"/>
          <w:szCs w:val="24"/>
          <w:lang w:val="en-US" w:eastAsia="zh-CN"/>
        </w:rPr>
        <w:lastRenderedPageBreak/>
        <w:t xml:space="preserve">Service publications (e.g. </w:t>
      </w:r>
      <w:r w:rsidRPr="007333DE">
        <w:rPr>
          <w:rFonts w:asciiTheme="minorHAnsi" w:eastAsiaTheme="minorEastAsia" w:hAnsiTheme="minorHAnsi" w:cstheme="minorBidi"/>
          <w:i/>
          <w:iCs/>
          <w:szCs w:val="24"/>
          <w:lang w:val="en-US" w:eastAsia="zh-CN"/>
        </w:rPr>
        <w:t>International Frequency List</w:t>
      </w:r>
      <w:r w:rsidRPr="007333DE">
        <w:rPr>
          <w:rFonts w:asciiTheme="minorHAnsi" w:eastAsiaTheme="minorEastAsia" w:hAnsiTheme="minorHAnsi" w:cstheme="minorBidi"/>
          <w:szCs w:val="24"/>
          <w:lang w:val="en-US" w:eastAsia="zh-CN"/>
        </w:rPr>
        <w:t>, lists of radio and telegraph stations)</w:t>
      </w:r>
    </w:p>
    <w:p w:rsidR="00195AC0" w:rsidRPr="007333DE" w:rsidRDefault="00195AC0" w:rsidP="00F5530D">
      <w:pPr>
        <w:numPr>
          <w:ilvl w:val="0"/>
          <w:numId w:val="32"/>
        </w:numPr>
        <w:tabs>
          <w:tab w:val="clear" w:pos="567"/>
          <w:tab w:val="clear" w:pos="1134"/>
          <w:tab w:val="clear" w:pos="1701"/>
          <w:tab w:val="clear" w:pos="2268"/>
          <w:tab w:val="clear" w:pos="2835"/>
        </w:tabs>
        <w:overflowPunct/>
        <w:autoSpaceDE/>
        <w:autoSpaceDN/>
        <w:adjustRightInd/>
        <w:snapToGrid w:val="0"/>
        <w:spacing w:before="40" w:after="40"/>
        <w:ind w:left="1560" w:hanging="426"/>
        <w:jc w:val="both"/>
        <w:textAlignment w:val="auto"/>
        <w:rPr>
          <w:rFonts w:asciiTheme="minorHAnsi" w:eastAsiaTheme="minorEastAsia" w:hAnsiTheme="minorHAnsi" w:cstheme="minorBidi"/>
          <w:szCs w:val="24"/>
          <w:lang w:val="en-US" w:eastAsia="zh-CN"/>
        </w:rPr>
      </w:pPr>
      <w:r w:rsidRPr="007333DE">
        <w:rPr>
          <w:rFonts w:asciiTheme="minorHAnsi" w:eastAsiaTheme="minorEastAsia" w:hAnsiTheme="minorHAnsi" w:cstheme="minorBidi"/>
          <w:szCs w:val="24"/>
          <w:lang w:val="en-US" w:eastAsia="zh-CN"/>
        </w:rPr>
        <w:t>Software and databases, especially related to management of the radio-frequency spectrum and satellite orbits as well as some ITU-T databases</w:t>
      </w:r>
      <w:r w:rsidR="00A639E2">
        <w:rPr>
          <w:rFonts w:asciiTheme="minorHAnsi" w:eastAsiaTheme="minorEastAsia" w:hAnsiTheme="minorHAnsi" w:cstheme="minorBidi"/>
          <w:szCs w:val="24"/>
          <w:lang w:val="en-US" w:eastAsia="zh-CN"/>
        </w:rPr>
        <w:t xml:space="preserve"> (e.g., International Numbering Resources)</w:t>
      </w:r>
    </w:p>
    <w:p w:rsidR="00195AC0" w:rsidRPr="007333DE" w:rsidRDefault="00195AC0" w:rsidP="00512B34">
      <w:pPr>
        <w:numPr>
          <w:ilvl w:val="0"/>
          <w:numId w:val="32"/>
        </w:numPr>
        <w:tabs>
          <w:tab w:val="clear" w:pos="567"/>
          <w:tab w:val="clear" w:pos="1134"/>
          <w:tab w:val="clear" w:pos="1701"/>
          <w:tab w:val="clear" w:pos="2268"/>
          <w:tab w:val="clear" w:pos="2835"/>
        </w:tabs>
        <w:overflowPunct/>
        <w:autoSpaceDE/>
        <w:autoSpaceDN/>
        <w:adjustRightInd/>
        <w:snapToGrid w:val="0"/>
        <w:spacing w:before="40" w:after="40"/>
        <w:ind w:left="1560" w:hanging="426"/>
        <w:jc w:val="both"/>
        <w:textAlignment w:val="auto"/>
        <w:rPr>
          <w:rFonts w:asciiTheme="minorHAnsi" w:eastAsiaTheme="minorEastAsia" w:hAnsiTheme="minorHAnsi" w:cstheme="minorBidi"/>
          <w:szCs w:val="24"/>
          <w:lang w:val="en-US" w:eastAsia="zh-CN"/>
        </w:rPr>
      </w:pPr>
      <w:r w:rsidRPr="007333DE">
        <w:rPr>
          <w:rFonts w:asciiTheme="minorHAnsi" w:eastAsiaTheme="minorEastAsia" w:hAnsiTheme="minorHAnsi" w:cstheme="minorBidi"/>
          <w:szCs w:val="24"/>
          <w:lang w:val="en-US" w:eastAsia="zh-CN"/>
        </w:rPr>
        <w:t xml:space="preserve">Various reports and analyses, including reports on </w:t>
      </w:r>
      <w:r w:rsidR="00882E3A">
        <w:rPr>
          <w:rFonts w:asciiTheme="minorHAnsi" w:eastAsiaTheme="minorEastAsia" w:hAnsiTheme="minorHAnsi" w:cstheme="minorBidi"/>
          <w:szCs w:val="24"/>
          <w:lang w:val="en-US" w:eastAsia="zh-CN"/>
        </w:rPr>
        <w:t xml:space="preserve">industry and ICT </w:t>
      </w:r>
      <w:r w:rsidRPr="007333DE">
        <w:rPr>
          <w:rFonts w:asciiTheme="minorHAnsi" w:eastAsiaTheme="minorEastAsia" w:hAnsiTheme="minorHAnsi" w:cstheme="minorBidi"/>
          <w:szCs w:val="24"/>
          <w:lang w:val="en-US" w:eastAsia="zh-CN"/>
        </w:rPr>
        <w:t>trends</w:t>
      </w:r>
    </w:p>
    <w:p w:rsidR="00195AC0" w:rsidRPr="007333DE" w:rsidRDefault="00195AC0" w:rsidP="00F5530D">
      <w:pPr>
        <w:numPr>
          <w:ilvl w:val="0"/>
          <w:numId w:val="32"/>
        </w:numPr>
        <w:tabs>
          <w:tab w:val="clear" w:pos="567"/>
          <w:tab w:val="clear" w:pos="1134"/>
          <w:tab w:val="clear" w:pos="1701"/>
          <w:tab w:val="clear" w:pos="2268"/>
          <w:tab w:val="clear" w:pos="2835"/>
        </w:tabs>
        <w:overflowPunct/>
        <w:autoSpaceDE/>
        <w:autoSpaceDN/>
        <w:adjustRightInd/>
        <w:snapToGrid w:val="0"/>
        <w:spacing w:before="40" w:after="40"/>
        <w:ind w:left="1560" w:hanging="426"/>
        <w:jc w:val="both"/>
        <w:textAlignment w:val="auto"/>
        <w:rPr>
          <w:rFonts w:asciiTheme="minorHAnsi" w:eastAsiaTheme="minorEastAsia" w:hAnsiTheme="minorHAnsi" w:cstheme="minorBidi"/>
          <w:szCs w:val="24"/>
          <w:lang w:val="en-US" w:eastAsia="zh-CN"/>
        </w:rPr>
      </w:pPr>
      <w:r w:rsidRPr="007333DE">
        <w:rPr>
          <w:rFonts w:asciiTheme="minorHAnsi" w:eastAsiaTheme="minorEastAsia" w:hAnsiTheme="minorHAnsi" w:cstheme="minorBidi"/>
          <w:szCs w:val="24"/>
          <w:lang w:val="en-US" w:eastAsia="zh-CN"/>
        </w:rPr>
        <w:t>Proceedings of workshops, seminars and colloquia</w:t>
      </w:r>
    </w:p>
    <w:p w:rsidR="00195AC0" w:rsidRPr="007333DE" w:rsidRDefault="00A639E2" w:rsidP="00512B34">
      <w:pPr>
        <w:numPr>
          <w:ilvl w:val="0"/>
          <w:numId w:val="32"/>
        </w:numPr>
        <w:tabs>
          <w:tab w:val="clear" w:pos="567"/>
          <w:tab w:val="clear" w:pos="1134"/>
          <w:tab w:val="clear" w:pos="1701"/>
          <w:tab w:val="clear" w:pos="2268"/>
          <w:tab w:val="clear" w:pos="2835"/>
        </w:tabs>
        <w:overflowPunct/>
        <w:autoSpaceDE/>
        <w:autoSpaceDN/>
        <w:adjustRightInd/>
        <w:snapToGrid w:val="0"/>
        <w:spacing w:before="40" w:after="40"/>
        <w:ind w:left="1560" w:hanging="426"/>
        <w:jc w:val="both"/>
        <w:textAlignment w:val="auto"/>
        <w:rPr>
          <w:rFonts w:asciiTheme="minorHAnsi" w:eastAsiaTheme="minorEastAsia" w:hAnsiTheme="minorHAnsi" w:cstheme="minorBidi"/>
          <w:szCs w:val="24"/>
          <w:lang w:val="en-US" w:eastAsia="zh-CN"/>
        </w:rPr>
      </w:pPr>
      <w:r>
        <w:rPr>
          <w:rFonts w:asciiTheme="minorHAnsi" w:eastAsiaTheme="minorEastAsia" w:hAnsiTheme="minorHAnsi" w:cstheme="minorBidi"/>
          <w:szCs w:val="24"/>
          <w:lang w:val="en-US" w:eastAsia="zh-CN"/>
        </w:rPr>
        <w:t>ICT data, s</w:t>
      </w:r>
      <w:r w:rsidR="00195AC0" w:rsidRPr="007333DE">
        <w:rPr>
          <w:rFonts w:asciiTheme="minorHAnsi" w:eastAsiaTheme="minorEastAsia" w:hAnsiTheme="minorHAnsi" w:cstheme="minorBidi"/>
          <w:szCs w:val="24"/>
          <w:lang w:val="en-US" w:eastAsia="zh-CN"/>
        </w:rPr>
        <w:t>tatistics and statistical interpretations</w:t>
      </w:r>
    </w:p>
    <w:p w:rsidR="00195AC0" w:rsidRPr="007333DE" w:rsidRDefault="00195AC0" w:rsidP="00F5530D">
      <w:pPr>
        <w:numPr>
          <w:ilvl w:val="0"/>
          <w:numId w:val="32"/>
        </w:numPr>
        <w:tabs>
          <w:tab w:val="clear" w:pos="567"/>
          <w:tab w:val="clear" w:pos="1134"/>
          <w:tab w:val="clear" w:pos="1701"/>
          <w:tab w:val="clear" w:pos="2268"/>
          <w:tab w:val="clear" w:pos="2835"/>
        </w:tabs>
        <w:overflowPunct/>
        <w:autoSpaceDE/>
        <w:autoSpaceDN/>
        <w:adjustRightInd/>
        <w:snapToGrid w:val="0"/>
        <w:spacing w:before="40" w:after="40"/>
        <w:ind w:left="1560" w:hanging="426"/>
        <w:jc w:val="both"/>
        <w:textAlignment w:val="auto"/>
        <w:rPr>
          <w:rFonts w:asciiTheme="minorHAnsi" w:eastAsiaTheme="minorEastAsia" w:hAnsiTheme="minorHAnsi" w:cstheme="minorBidi"/>
          <w:szCs w:val="24"/>
          <w:lang w:val="en-US" w:eastAsia="zh-CN"/>
        </w:rPr>
      </w:pPr>
      <w:r w:rsidRPr="007333DE">
        <w:rPr>
          <w:rFonts w:asciiTheme="minorHAnsi" w:eastAsiaTheme="minorEastAsia" w:hAnsiTheme="minorHAnsi" w:cstheme="minorBidi"/>
          <w:szCs w:val="24"/>
          <w:lang w:val="en-US" w:eastAsia="zh-CN"/>
        </w:rPr>
        <w:t>Terminology lists and glossaries</w:t>
      </w:r>
    </w:p>
    <w:p w:rsidR="00195AC0" w:rsidRPr="007333DE" w:rsidRDefault="00195AC0" w:rsidP="00F5530D">
      <w:pPr>
        <w:numPr>
          <w:ilvl w:val="0"/>
          <w:numId w:val="32"/>
        </w:numPr>
        <w:tabs>
          <w:tab w:val="clear" w:pos="567"/>
          <w:tab w:val="clear" w:pos="1134"/>
          <w:tab w:val="clear" w:pos="1701"/>
          <w:tab w:val="clear" w:pos="2268"/>
          <w:tab w:val="clear" w:pos="2835"/>
        </w:tabs>
        <w:overflowPunct/>
        <w:autoSpaceDE/>
        <w:autoSpaceDN/>
        <w:adjustRightInd/>
        <w:snapToGrid w:val="0"/>
        <w:spacing w:before="40" w:after="120"/>
        <w:ind w:left="1560" w:hanging="426"/>
        <w:jc w:val="both"/>
        <w:textAlignment w:val="auto"/>
        <w:rPr>
          <w:rFonts w:asciiTheme="minorHAnsi" w:eastAsiaTheme="minorEastAsia" w:hAnsiTheme="minorHAnsi" w:cstheme="minorBidi"/>
          <w:szCs w:val="24"/>
          <w:lang w:val="en-US" w:eastAsia="zh-CN"/>
        </w:rPr>
      </w:pPr>
      <w:r w:rsidRPr="007333DE">
        <w:rPr>
          <w:rFonts w:asciiTheme="minorHAnsi" w:eastAsiaTheme="minorEastAsia" w:hAnsiTheme="minorHAnsi" w:cstheme="minorBidi"/>
          <w:i/>
          <w:iCs/>
          <w:szCs w:val="24"/>
          <w:lang w:val="en-US" w:eastAsia="zh-CN"/>
        </w:rPr>
        <w:t>ITU News</w:t>
      </w:r>
      <w:r w:rsidRPr="007333DE">
        <w:rPr>
          <w:rFonts w:asciiTheme="minorHAnsi" w:eastAsiaTheme="minorEastAsia" w:hAnsiTheme="minorHAnsi" w:cstheme="minorBidi"/>
          <w:szCs w:val="24"/>
          <w:lang w:val="en-US" w:eastAsia="zh-CN"/>
        </w:rPr>
        <w:t xml:space="preserve"> (formerly </w:t>
      </w:r>
      <w:r w:rsidRPr="007333DE">
        <w:rPr>
          <w:rFonts w:asciiTheme="minorHAnsi" w:eastAsiaTheme="minorEastAsia" w:hAnsiTheme="minorHAnsi" w:cstheme="minorBidi"/>
          <w:i/>
          <w:iCs/>
          <w:szCs w:val="24"/>
          <w:lang w:val="en-US" w:eastAsia="zh-CN"/>
        </w:rPr>
        <w:t xml:space="preserve">Journal </w:t>
      </w:r>
      <w:proofErr w:type="spellStart"/>
      <w:r w:rsidRPr="007333DE">
        <w:rPr>
          <w:rFonts w:asciiTheme="minorHAnsi" w:eastAsiaTheme="minorEastAsia" w:hAnsiTheme="minorHAnsi" w:cstheme="minorBidi"/>
          <w:i/>
          <w:iCs/>
          <w:szCs w:val="24"/>
          <w:lang w:val="en-US" w:eastAsia="zh-CN"/>
        </w:rPr>
        <w:t>télégraphique</w:t>
      </w:r>
      <w:proofErr w:type="spellEnd"/>
      <w:r w:rsidRPr="007333DE">
        <w:rPr>
          <w:rFonts w:asciiTheme="minorHAnsi" w:eastAsiaTheme="minorEastAsia" w:hAnsiTheme="minorHAnsi" w:cstheme="minorBidi"/>
          <w:szCs w:val="24"/>
          <w:lang w:val="en-US" w:eastAsia="zh-CN"/>
        </w:rPr>
        <w:t xml:space="preserve">, 1869-1933, and </w:t>
      </w:r>
      <w:r w:rsidRPr="007333DE">
        <w:rPr>
          <w:rFonts w:asciiTheme="minorHAnsi" w:eastAsiaTheme="minorEastAsia" w:hAnsiTheme="minorHAnsi" w:cstheme="minorBidi"/>
          <w:i/>
          <w:iCs/>
          <w:szCs w:val="24"/>
          <w:lang w:val="en-US" w:eastAsia="zh-CN"/>
        </w:rPr>
        <w:t>Telecommunication Journal</w:t>
      </w:r>
      <w:r w:rsidRPr="007333DE">
        <w:rPr>
          <w:rFonts w:asciiTheme="minorHAnsi" w:eastAsiaTheme="minorEastAsia" w:hAnsiTheme="minorHAnsi" w:cstheme="minorBidi"/>
          <w:szCs w:val="24"/>
          <w:lang w:val="en-US" w:eastAsia="zh-CN"/>
        </w:rPr>
        <w:t>, 1934-1993)</w:t>
      </w:r>
    </w:p>
    <w:p w:rsidR="00195AC0" w:rsidRPr="007333DE" w:rsidRDefault="00195AC0">
      <w:pPr>
        <w:tabs>
          <w:tab w:val="clear" w:pos="567"/>
          <w:tab w:val="clear" w:pos="1134"/>
          <w:tab w:val="clear" w:pos="1701"/>
          <w:tab w:val="clear" w:pos="2268"/>
          <w:tab w:val="clear" w:pos="2835"/>
        </w:tabs>
        <w:snapToGrid w:val="0"/>
        <w:spacing w:before="160" w:after="120"/>
        <w:rPr>
          <w:szCs w:val="24"/>
        </w:rPr>
      </w:pPr>
      <w:r w:rsidRPr="007333DE">
        <w:rPr>
          <w:szCs w:val="24"/>
        </w:rPr>
        <w:t>2.</w:t>
      </w:r>
      <w:r w:rsidR="00BA2C68">
        <w:rPr>
          <w:szCs w:val="24"/>
        </w:rPr>
        <w:t>4</w:t>
      </w:r>
      <w:r w:rsidR="00F7207D">
        <w:rPr>
          <w:szCs w:val="24"/>
        </w:rPr>
        <w:tab/>
      </w:r>
      <w:r w:rsidRPr="007333DE">
        <w:rPr>
          <w:szCs w:val="24"/>
        </w:rPr>
        <w:t>Access to ITU confe</w:t>
      </w:r>
      <w:r w:rsidR="0000545E">
        <w:rPr>
          <w:szCs w:val="24"/>
        </w:rPr>
        <w:t>rence and meeting information</w:t>
      </w:r>
    </w:p>
    <w:p w:rsidR="00195AC0" w:rsidRPr="00AB457D" w:rsidRDefault="00195AC0" w:rsidP="00AF599F">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szCs w:val="24"/>
          <w:lang w:val="en-US" w:eastAsia="zh-CN"/>
        </w:rPr>
      </w:pPr>
      <w:r w:rsidRPr="00AB457D">
        <w:rPr>
          <w:rFonts w:asciiTheme="minorHAnsi" w:eastAsiaTheme="minorEastAsia" w:hAnsiTheme="minorHAnsi" w:cstheme="minorBidi"/>
          <w:i/>
          <w:iCs/>
          <w:szCs w:val="24"/>
          <w:lang w:val="en-US" w:eastAsia="zh-CN"/>
        </w:rPr>
        <w:t>ITU</w:t>
      </w:r>
      <w:r w:rsidR="00F7207D">
        <w:rPr>
          <w:rFonts w:asciiTheme="minorHAnsi" w:eastAsiaTheme="minorEastAsia" w:hAnsiTheme="minorHAnsi" w:cstheme="minorBidi"/>
          <w:i/>
          <w:iCs/>
          <w:szCs w:val="24"/>
          <w:lang w:val="en-US" w:eastAsia="zh-CN"/>
        </w:rPr>
        <w:t xml:space="preserve"> </w:t>
      </w:r>
      <w:r w:rsidRPr="00AB457D">
        <w:rPr>
          <w:rFonts w:asciiTheme="minorHAnsi" w:eastAsiaTheme="minorEastAsia" w:hAnsiTheme="minorHAnsi" w:cstheme="minorBidi"/>
          <w:i/>
          <w:iCs/>
          <w:szCs w:val="24"/>
          <w:lang w:val="en-US" w:eastAsia="zh-CN"/>
        </w:rPr>
        <w:t>conferences</w:t>
      </w:r>
      <w:r w:rsidRPr="00AB457D">
        <w:rPr>
          <w:rFonts w:asciiTheme="minorHAnsi" w:eastAsiaTheme="minorEastAsia" w:hAnsiTheme="minorHAnsi" w:cstheme="minorBidi"/>
          <w:szCs w:val="24"/>
          <w:lang w:val="en-US" w:eastAsia="zh-CN"/>
        </w:rPr>
        <w:t xml:space="preserve"> include: Plenipotentiary Conferences, world conferences on international telecommunications, world and regional radiocommunication conferences, world and regional telecommunication development conferences.</w:t>
      </w:r>
    </w:p>
    <w:p w:rsidR="00195AC0" w:rsidRPr="00AB457D" w:rsidRDefault="00195AC0" w:rsidP="00AF599F">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szCs w:val="24"/>
          <w:lang w:val="en-US" w:eastAsia="zh-CN"/>
        </w:rPr>
      </w:pPr>
      <w:r w:rsidRPr="00AB457D">
        <w:rPr>
          <w:rFonts w:asciiTheme="minorHAnsi" w:eastAsiaTheme="minorEastAsia" w:hAnsiTheme="minorHAnsi" w:cstheme="minorBidi"/>
          <w:i/>
          <w:iCs/>
          <w:szCs w:val="24"/>
          <w:lang w:val="en-US" w:eastAsia="zh-CN"/>
        </w:rPr>
        <w:t>ITU meetings</w:t>
      </w:r>
      <w:r w:rsidRPr="00AB457D">
        <w:rPr>
          <w:rFonts w:asciiTheme="minorHAnsi" w:eastAsiaTheme="minorEastAsia" w:hAnsiTheme="minorHAnsi" w:cstheme="minorBidi"/>
          <w:szCs w:val="24"/>
          <w:lang w:val="en-US" w:eastAsia="zh-CN"/>
        </w:rPr>
        <w:t xml:space="preserve"> include</w:t>
      </w:r>
      <w:r w:rsidR="00250780">
        <w:rPr>
          <w:rFonts w:asciiTheme="minorHAnsi" w:eastAsiaTheme="minorEastAsia" w:hAnsiTheme="minorHAnsi" w:cstheme="minorBidi"/>
          <w:szCs w:val="24"/>
          <w:lang w:val="en-US" w:eastAsia="zh-CN"/>
        </w:rPr>
        <w:t xml:space="preserve">, </w:t>
      </w:r>
      <w:r w:rsidR="00250780" w:rsidRPr="00250780">
        <w:rPr>
          <w:rFonts w:asciiTheme="minorHAnsi" w:eastAsiaTheme="minorEastAsia" w:hAnsiTheme="minorHAnsi" w:cstheme="minorBidi"/>
          <w:i/>
          <w:iCs/>
          <w:szCs w:val="24"/>
          <w:lang w:val="en-US" w:eastAsia="zh-CN"/>
        </w:rPr>
        <w:t>inter alia</w:t>
      </w:r>
      <w:r w:rsidRPr="00AB457D">
        <w:rPr>
          <w:rFonts w:asciiTheme="minorHAnsi" w:eastAsiaTheme="minorEastAsia" w:hAnsiTheme="minorHAnsi" w:cstheme="minorBidi"/>
          <w:szCs w:val="24"/>
          <w:lang w:val="en-US" w:eastAsia="zh-CN"/>
        </w:rPr>
        <w:t>: Council meetings, the Assemblies of the ITU-T and ITU-R Sectors, Study Group meetings, meetings of the Sector Advisory Groups, and RRB meetings.</w:t>
      </w:r>
    </w:p>
    <w:p w:rsidR="00195AC0" w:rsidRPr="00F5530D" w:rsidRDefault="00BA2C68" w:rsidP="00F5530D">
      <w:pPr>
        <w:tabs>
          <w:tab w:val="clear" w:pos="567"/>
          <w:tab w:val="clear" w:pos="1134"/>
          <w:tab w:val="clear" w:pos="1701"/>
          <w:tab w:val="clear" w:pos="2268"/>
          <w:tab w:val="clear" w:pos="2835"/>
        </w:tabs>
        <w:snapToGrid w:val="0"/>
        <w:spacing w:before="160" w:after="120"/>
        <w:ind w:left="1560" w:hanging="851"/>
        <w:rPr>
          <w:i/>
          <w:iCs/>
          <w:szCs w:val="24"/>
          <w:u w:val="single"/>
        </w:rPr>
      </w:pPr>
      <w:r w:rsidRPr="00F5530D">
        <w:rPr>
          <w:i/>
          <w:iCs/>
          <w:szCs w:val="24"/>
        </w:rPr>
        <w:t>2.4.1</w:t>
      </w:r>
      <w:r w:rsidRPr="00F5530D">
        <w:rPr>
          <w:i/>
          <w:iCs/>
          <w:szCs w:val="24"/>
        </w:rPr>
        <w:tab/>
      </w:r>
      <w:r w:rsidR="00195AC0" w:rsidRPr="00F5530D">
        <w:rPr>
          <w:i/>
          <w:iCs/>
          <w:szCs w:val="24"/>
          <w:u w:val="single"/>
        </w:rPr>
        <w:t>Access by type of information</w:t>
      </w:r>
    </w:p>
    <w:p w:rsidR="00195AC0" w:rsidRPr="00AB457D" w:rsidRDefault="00195AC0" w:rsidP="00250780">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szCs w:val="24"/>
          <w:lang w:val="en-US" w:eastAsia="zh-CN"/>
        </w:rPr>
      </w:pPr>
      <w:r w:rsidRPr="00AB457D">
        <w:rPr>
          <w:rFonts w:asciiTheme="minorHAnsi" w:eastAsiaTheme="minorEastAsia" w:hAnsiTheme="minorHAnsi" w:cstheme="minorBidi"/>
          <w:szCs w:val="24"/>
          <w:lang w:val="en-US" w:eastAsia="zh-CN"/>
        </w:rPr>
        <w:t xml:space="preserve">In ITU, all conference and meeting documents have the same status </w:t>
      </w:r>
      <w:r w:rsidR="00250780">
        <w:rPr>
          <w:rFonts w:asciiTheme="minorHAnsi" w:eastAsiaTheme="minorEastAsia" w:hAnsiTheme="minorHAnsi" w:cstheme="minorBidi"/>
          <w:szCs w:val="24"/>
          <w:lang w:val="en-US" w:eastAsia="zh-CN"/>
        </w:rPr>
        <w:t xml:space="preserve">when it comes to access. </w:t>
      </w:r>
      <w:r w:rsidRPr="00AB457D">
        <w:rPr>
          <w:rFonts w:asciiTheme="minorHAnsi" w:eastAsiaTheme="minorEastAsia" w:hAnsiTheme="minorHAnsi" w:cstheme="minorBidi"/>
          <w:szCs w:val="24"/>
          <w:lang w:val="en-US" w:eastAsia="zh-CN"/>
        </w:rPr>
        <w:t>No distinction is made between agenda, Member State contributions, General Secretariat contributions, minutes of meetings, etc. Access is restricted to ITU members only; no public access is provided. An exception to ITU practice was made for WCIT-12. It was decided during the conference that contributions from Member States would be made accessible to the public. All other documents of the Conference remained restricted to TIES users.</w:t>
      </w:r>
    </w:p>
    <w:p w:rsidR="00195AC0" w:rsidRPr="00A1056E" w:rsidRDefault="00BA2C68" w:rsidP="00F5530D">
      <w:pPr>
        <w:tabs>
          <w:tab w:val="clear" w:pos="567"/>
          <w:tab w:val="clear" w:pos="1134"/>
          <w:tab w:val="clear" w:pos="1701"/>
          <w:tab w:val="clear" w:pos="2268"/>
          <w:tab w:val="clear" w:pos="2835"/>
        </w:tabs>
        <w:overflowPunct/>
        <w:autoSpaceDE/>
        <w:autoSpaceDN/>
        <w:adjustRightInd/>
        <w:snapToGrid w:val="0"/>
        <w:spacing w:before="160" w:after="120"/>
        <w:ind w:left="1560" w:hanging="851"/>
        <w:textAlignment w:val="auto"/>
        <w:rPr>
          <w:rFonts w:asciiTheme="minorHAnsi" w:eastAsiaTheme="minorEastAsia" w:hAnsiTheme="minorHAnsi" w:cstheme="minorBidi"/>
          <w:szCs w:val="24"/>
          <w:u w:val="single"/>
          <w:lang w:val="en-US" w:eastAsia="zh-CN"/>
        </w:rPr>
      </w:pPr>
      <w:r>
        <w:rPr>
          <w:rFonts w:asciiTheme="minorHAnsi" w:eastAsiaTheme="minorEastAsia" w:hAnsiTheme="minorHAnsi" w:cstheme="minorBidi"/>
          <w:i/>
          <w:iCs/>
          <w:szCs w:val="24"/>
          <w:lang w:val="en-US" w:eastAsia="zh-CN"/>
        </w:rPr>
        <w:t>2.4.2</w:t>
      </w:r>
      <w:r>
        <w:rPr>
          <w:rFonts w:asciiTheme="minorHAnsi" w:eastAsiaTheme="minorEastAsia" w:hAnsiTheme="minorHAnsi" w:cstheme="minorBidi"/>
          <w:i/>
          <w:iCs/>
          <w:szCs w:val="24"/>
          <w:lang w:val="en-US" w:eastAsia="zh-CN"/>
        </w:rPr>
        <w:tab/>
      </w:r>
      <w:r w:rsidR="00195AC0" w:rsidRPr="00A1056E">
        <w:rPr>
          <w:rFonts w:asciiTheme="minorHAnsi" w:eastAsiaTheme="minorEastAsia" w:hAnsiTheme="minorHAnsi" w:cstheme="minorBidi"/>
          <w:i/>
          <w:iCs/>
          <w:szCs w:val="24"/>
          <w:u w:val="single"/>
          <w:lang w:val="en-US" w:eastAsia="zh-CN"/>
        </w:rPr>
        <w:t>Access by time period</w:t>
      </w:r>
    </w:p>
    <w:p w:rsidR="00195AC0" w:rsidRPr="00A1056E" w:rsidRDefault="00250780" w:rsidP="00250780">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szCs w:val="24"/>
          <w:lang w:val="en-US" w:eastAsia="zh-CN"/>
        </w:rPr>
      </w:pPr>
      <w:r>
        <w:rPr>
          <w:rFonts w:asciiTheme="minorHAnsi" w:eastAsiaTheme="minorEastAsia" w:hAnsiTheme="minorHAnsi" w:cstheme="minorBidi"/>
          <w:szCs w:val="24"/>
          <w:lang w:val="en-US" w:eastAsia="zh-CN"/>
        </w:rPr>
        <w:t>P</w:t>
      </w:r>
      <w:r w:rsidR="00195AC0" w:rsidRPr="00A1056E">
        <w:rPr>
          <w:rFonts w:asciiTheme="minorHAnsi" w:eastAsiaTheme="minorEastAsia" w:hAnsiTheme="minorHAnsi" w:cstheme="minorBidi"/>
          <w:szCs w:val="24"/>
          <w:lang w:val="en-US" w:eastAsia="zh-CN"/>
        </w:rPr>
        <w:t xml:space="preserve">ublic access to conference and meeting documents </w:t>
      </w:r>
      <w:r>
        <w:rPr>
          <w:rFonts w:asciiTheme="minorHAnsi" w:eastAsiaTheme="minorEastAsia" w:hAnsiTheme="minorHAnsi" w:cstheme="minorBidi"/>
          <w:szCs w:val="24"/>
          <w:lang w:val="en-US" w:eastAsia="zh-CN"/>
        </w:rPr>
        <w:t xml:space="preserve">is not provided </w:t>
      </w:r>
      <w:r w:rsidR="00195AC0" w:rsidRPr="00A1056E">
        <w:rPr>
          <w:rFonts w:asciiTheme="minorHAnsi" w:eastAsiaTheme="minorEastAsia" w:hAnsiTheme="minorHAnsi" w:cstheme="minorBidi"/>
          <w:i/>
          <w:iCs/>
          <w:szCs w:val="24"/>
          <w:lang w:val="en-US" w:eastAsia="zh-CN"/>
        </w:rPr>
        <w:t>before and during</w:t>
      </w:r>
      <w:r w:rsidR="00195AC0" w:rsidRPr="00A1056E">
        <w:rPr>
          <w:rFonts w:asciiTheme="minorHAnsi" w:eastAsiaTheme="minorEastAsia" w:hAnsiTheme="minorHAnsi" w:cstheme="minorBidi"/>
          <w:szCs w:val="24"/>
          <w:lang w:val="en-US" w:eastAsia="zh-CN"/>
        </w:rPr>
        <w:t xml:space="preserve"> meetings, but has often </w:t>
      </w:r>
      <w:r>
        <w:rPr>
          <w:rFonts w:asciiTheme="minorHAnsi" w:eastAsiaTheme="minorEastAsia" w:hAnsiTheme="minorHAnsi" w:cstheme="minorBidi"/>
          <w:szCs w:val="24"/>
          <w:lang w:val="en-US" w:eastAsia="zh-CN"/>
        </w:rPr>
        <w:t xml:space="preserve">been </w:t>
      </w:r>
      <w:r w:rsidR="00195AC0" w:rsidRPr="00A1056E">
        <w:rPr>
          <w:rFonts w:asciiTheme="minorHAnsi" w:eastAsiaTheme="minorEastAsia" w:hAnsiTheme="minorHAnsi" w:cstheme="minorBidi"/>
          <w:szCs w:val="24"/>
          <w:lang w:val="en-US" w:eastAsia="zh-CN"/>
        </w:rPr>
        <w:t xml:space="preserve">provided to all or part of the documents </w:t>
      </w:r>
      <w:r w:rsidR="00195AC0" w:rsidRPr="00A1056E">
        <w:rPr>
          <w:rFonts w:asciiTheme="minorHAnsi" w:eastAsiaTheme="minorEastAsia" w:hAnsiTheme="minorHAnsi" w:cstheme="minorBidi"/>
          <w:i/>
          <w:iCs/>
          <w:szCs w:val="24"/>
          <w:lang w:val="en-US" w:eastAsia="zh-CN"/>
        </w:rPr>
        <w:t>after</w:t>
      </w:r>
      <w:r w:rsidR="00195AC0" w:rsidRPr="00A1056E">
        <w:rPr>
          <w:rFonts w:asciiTheme="minorHAnsi" w:eastAsiaTheme="minorEastAsia" w:hAnsiTheme="minorHAnsi" w:cstheme="minorBidi"/>
          <w:szCs w:val="24"/>
          <w:lang w:val="en-US" w:eastAsia="zh-CN"/>
        </w:rPr>
        <w:t xml:space="preserve"> a meeting has concluded. This practice was common in the past, but has gradual</w:t>
      </w:r>
      <w:r w:rsidR="00F7207D">
        <w:rPr>
          <w:rFonts w:asciiTheme="minorHAnsi" w:eastAsiaTheme="minorEastAsia" w:hAnsiTheme="minorHAnsi" w:cstheme="minorBidi"/>
          <w:szCs w:val="24"/>
          <w:lang w:val="en-US" w:eastAsia="zh-CN"/>
        </w:rPr>
        <w:t>ly become more restricted since </w:t>
      </w:r>
      <w:r w:rsidR="00195AC0" w:rsidRPr="00A1056E">
        <w:rPr>
          <w:rFonts w:asciiTheme="minorHAnsi" w:eastAsiaTheme="minorEastAsia" w:hAnsiTheme="minorHAnsi" w:cstheme="minorBidi"/>
          <w:szCs w:val="24"/>
          <w:lang w:val="en-US" w:eastAsia="zh-CN"/>
        </w:rPr>
        <w:t xml:space="preserve">1992. There </w:t>
      </w:r>
      <w:r w:rsidR="00195A49" w:rsidRPr="00A1056E">
        <w:rPr>
          <w:rFonts w:asciiTheme="minorHAnsi" w:eastAsiaTheme="minorEastAsia" w:hAnsiTheme="minorHAnsi" w:cstheme="minorBidi"/>
          <w:szCs w:val="24"/>
          <w:lang w:val="en-US" w:eastAsia="zh-CN"/>
        </w:rPr>
        <w:t xml:space="preserve">is </w:t>
      </w:r>
      <w:r w:rsidR="00195AC0" w:rsidRPr="00A1056E">
        <w:rPr>
          <w:rFonts w:asciiTheme="minorHAnsi" w:eastAsiaTheme="minorEastAsia" w:hAnsiTheme="minorHAnsi" w:cstheme="minorBidi"/>
          <w:szCs w:val="24"/>
          <w:lang w:val="en-US" w:eastAsia="zh-CN"/>
        </w:rPr>
        <w:t>still a variety of cases today where documents for conferences and meetings are made available after a certain time period has elapsed.</w:t>
      </w:r>
    </w:p>
    <w:p w:rsidR="00195AC0" w:rsidRPr="00A1056E" w:rsidRDefault="00250780" w:rsidP="00250780">
      <w:pPr>
        <w:numPr>
          <w:ilvl w:val="0"/>
          <w:numId w:val="7"/>
        </w:numPr>
        <w:tabs>
          <w:tab w:val="clear" w:pos="567"/>
          <w:tab w:val="clear" w:pos="1134"/>
          <w:tab w:val="clear" w:pos="1701"/>
          <w:tab w:val="clear" w:pos="2268"/>
          <w:tab w:val="clear" w:pos="2835"/>
        </w:tabs>
        <w:overflowPunct/>
        <w:autoSpaceDE/>
        <w:autoSpaceDN/>
        <w:adjustRightInd/>
        <w:snapToGrid w:val="0"/>
        <w:spacing w:after="120"/>
        <w:ind w:left="1134" w:hanging="425"/>
        <w:jc w:val="both"/>
        <w:textAlignment w:val="auto"/>
        <w:rPr>
          <w:rFonts w:asciiTheme="minorHAnsi" w:eastAsiaTheme="minorEastAsia" w:hAnsiTheme="minorHAnsi" w:cstheme="minorBidi"/>
          <w:szCs w:val="24"/>
          <w:lang w:val="en-US" w:eastAsia="zh-CN"/>
        </w:rPr>
      </w:pPr>
      <w:r>
        <w:rPr>
          <w:rFonts w:asciiTheme="minorHAnsi" w:eastAsiaTheme="minorEastAsia" w:hAnsiTheme="minorHAnsi" w:cstheme="minorBidi"/>
          <w:szCs w:val="24"/>
          <w:lang w:val="en-US" w:eastAsia="zh-CN"/>
        </w:rPr>
        <w:t>Two exceptions to this</w:t>
      </w:r>
      <w:r w:rsidR="00195AC0" w:rsidRPr="00A1056E">
        <w:rPr>
          <w:rFonts w:asciiTheme="minorHAnsi" w:eastAsiaTheme="minorEastAsia" w:hAnsiTheme="minorHAnsi" w:cstheme="minorBidi"/>
          <w:szCs w:val="24"/>
          <w:lang w:val="en-US" w:eastAsia="zh-CN"/>
        </w:rPr>
        <w:t xml:space="preserve"> practice are: </w:t>
      </w:r>
    </w:p>
    <w:p w:rsidR="00195AC0" w:rsidRPr="00A1056E" w:rsidRDefault="00195AC0" w:rsidP="00F5530D">
      <w:pPr>
        <w:numPr>
          <w:ilvl w:val="0"/>
          <w:numId w:val="33"/>
        </w:numPr>
        <w:tabs>
          <w:tab w:val="clear" w:pos="567"/>
          <w:tab w:val="clear" w:pos="1134"/>
          <w:tab w:val="clear" w:pos="1701"/>
          <w:tab w:val="clear" w:pos="2268"/>
          <w:tab w:val="clear" w:pos="2835"/>
        </w:tabs>
        <w:overflowPunct/>
        <w:autoSpaceDE/>
        <w:autoSpaceDN/>
        <w:adjustRightInd/>
        <w:snapToGrid w:val="0"/>
        <w:spacing w:after="40"/>
        <w:ind w:left="1560" w:hanging="426"/>
        <w:jc w:val="both"/>
        <w:textAlignment w:val="auto"/>
        <w:rPr>
          <w:rFonts w:asciiTheme="minorHAnsi" w:eastAsiaTheme="minorEastAsia" w:hAnsiTheme="minorHAnsi" w:cstheme="minorBidi"/>
          <w:szCs w:val="24"/>
          <w:lang w:val="en-US" w:eastAsia="zh-CN"/>
        </w:rPr>
      </w:pPr>
      <w:r w:rsidRPr="00A1056E">
        <w:rPr>
          <w:rFonts w:asciiTheme="minorHAnsi" w:eastAsiaTheme="minorEastAsia" w:hAnsiTheme="minorHAnsi" w:cstheme="minorBidi"/>
          <w:szCs w:val="24"/>
          <w:lang w:val="en-US" w:eastAsia="zh-CN"/>
        </w:rPr>
        <w:t>WCIT-12: It was decided during the conference that contributions from Member States would be made accessible to the public immediately.</w:t>
      </w:r>
    </w:p>
    <w:p w:rsidR="00195AC0" w:rsidRPr="00A1056E" w:rsidRDefault="00195AC0" w:rsidP="00F5530D">
      <w:pPr>
        <w:numPr>
          <w:ilvl w:val="0"/>
          <w:numId w:val="33"/>
        </w:numPr>
        <w:tabs>
          <w:tab w:val="clear" w:pos="567"/>
          <w:tab w:val="clear" w:pos="1134"/>
          <w:tab w:val="clear" w:pos="1701"/>
          <w:tab w:val="clear" w:pos="2268"/>
          <w:tab w:val="clear" w:pos="2835"/>
        </w:tabs>
        <w:overflowPunct/>
        <w:autoSpaceDE/>
        <w:autoSpaceDN/>
        <w:adjustRightInd/>
        <w:snapToGrid w:val="0"/>
        <w:spacing w:before="40" w:after="120"/>
        <w:ind w:left="1560" w:hanging="426"/>
        <w:jc w:val="both"/>
        <w:textAlignment w:val="auto"/>
        <w:rPr>
          <w:rFonts w:asciiTheme="minorHAnsi" w:eastAsiaTheme="minorEastAsia" w:hAnsiTheme="minorHAnsi" w:cstheme="minorBidi"/>
          <w:szCs w:val="24"/>
          <w:lang w:val="en-US" w:eastAsia="zh-CN"/>
        </w:rPr>
      </w:pPr>
      <w:r w:rsidRPr="00A1056E">
        <w:rPr>
          <w:rFonts w:asciiTheme="minorHAnsi" w:eastAsiaTheme="minorEastAsia" w:hAnsiTheme="minorHAnsi" w:cstheme="minorBidi"/>
          <w:szCs w:val="24"/>
          <w:lang w:val="en-US" w:eastAsia="zh-CN"/>
        </w:rPr>
        <w:t>All RAG meetings: All documents are immediately available to the public.</w:t>
      </w:r>
    </w:p>
    <w:p w:rsidR="00831D94" w:rsidRDefault="005527D2" w:rsidP="00512B34">
      <w:pPr>
        <w:tabs>
          <w:tab w:val="clear" w:pos="567"/>
          <w:tab w:val="clear" w:pos="1134"/>
          <w:tab w:val="clear" w:pos="1701"/>
          <w:tab w:val="clear" w:pos="2268"/>
          <w:tab w:val="clear" w:pos="2835"/>
        </w:tabs>
        <w:snapToGrid w:val="0"/>
        <w:spacing w:before="160" w:after="120"/>
        <w:rPr>
          <w:szCs w:val="24"/>
        </w:rPr>
      </w:pPr>
      <w:r w:rsidRPr="00A1056E">
        <w:rPr>
          <w:szCs w:val="24"/>
        </w:rPr>
        <w:t>2.</w:t>
      </w:r>
      <w:r w:rsidR="00BA2C68">
        <w:rPr>
          <w:szCs w:val="24"/>
        </w:rPr>
        <w:t>5</w:t>
      </w:r>
      <w:r w:rsidR="00831D94">
        <w:rPr>
          <w:szCs w:val="24"/>
        </w:rPr>
        <w:tab/>
        <w:t>New public consultations</w:t>
      </w:r>
    </w:p>
    <w:p w:rsidR="00831D94" w:rsidRDefault="009D61FA" w:rsidP="00512B34">
      <w:pPr>
        <w:tabs>
          <w:tab w:val="clear" w:pos="567"/>
          <w:tab w:val="clear" w:pos="1134"/>
          <w:tab w:val="clear" w:pos="1701"/>
          <w:tab w:val="clear" w:pos="2268"/>
          <w:tab w:val="clear" w:pos="2835"/>
        </w:tabs>
        <w:snapToGrid w:val="0"/>
        <w:spacing w:after="120"/>
        <w:rPr>
          <w:szCs w:val="24"/>
        </w:rPr>
      </w:pPr>
      <w:r>
        <w:rPr>
          <w:szCs w:val="24"/>
        </w:rPr>
        <w:t xml:space="preserve">As a new initiative, public consultations were held in 2013 as part of the process of elaborating the draft Strategic Plan for the Union for 2016-2019. Three public consultations took place: one informal public consultation launched by the Secretary-General via an innovative crowdsourcing platform, and two public consultations held by the </w:t>
      </w:r>
      <w:hyperlink r:id="rId11" w:history="1">
        <w:r>
          <w:rPr>
            <w:rStyle w:val="Hyperlink"/>
            <w:rFonts w:cs="Segoe UI"/>
          </w:rPr>
          <w:t>Council Working Group for the Elaboration of the Draft Strategic Plan and the draft Financial Plan for the Union for 2016-2019</w:t>
        </w:r>
      </w:hyperlink>
      <w:r w:rsidR="00370587">
        <w:rPr>
          <w:rFonts w:cs="Segoe UI"/>
          <w:color w:val="000000"/>
        </w:rPr>
        <w:t xml:space="preserve"> on the proposed strategic framework and the draft text of the 2016-2019 strategic plan.</w:t>
      </w:r>
    </w:p>
    <w:p w:rsidR="004A2FBC" w:rsidRPr="00A1056E" w:rsidRDefault="00370587">
      <w:pPr>
        <w:tabs>
          <w:tab w:val="clear" w:pos="567"/>
          <w:tab w:val="clear" w:pos="1134"/>
          <w:tab w:val="clear" w:pos="1701"/>
          <w:tab w:val="clear" w:pos="2268"/>
          <w:tab w:val="clear" w:pos="2835"/>
        </w:tabs>
        <w:snapToGrid w:val="0"/>
        <w:spacing w:before="160" w:after="120"/>
        <w:rPr>
          <w:szCs w:val="24"/>
        </w:rPr>
      </w:pPr>
      <w:r>
        <w:rPr>
          <w:szCs w:val="24"/>
        </w:rPr>
        <w:lastRenderedPageBreak/>
        <w:t>2.</w:t>
      </w:r>
      <w:r w:rsidR="00BA2C68">
        <w:rPr>
          <w:szCs w:val="24"/>
        </w:rPr>
        <w:t>6</w:t>
      </w:r>
      <w:r w:rsidR="00F7207D">
        <w:rPr>
          <w:szCs w:val="24"/>
        </w:rPr>
        <w:tab/>
      </w:r>
      <w:r w:rsidR="009903E2" w:rsidRPr="00A1056E">
        <w:rPr>
          <w:szCs w:val="24"/>
        </w:rPr>
        <w:t xml:space="preserve">For further details on ITU practice, please refer to </w:t>
      </w:r>
      <w:r w:rsidR="00F7207D">
        <w:rPr>
          <w:szCs w:val="24"/>
        </w:rPr>
        <w:t xml:space="preserve">Document </w:t>
      </w:r>
      <w:hyperlink r:id="rId12" w:history="1">
        <w:r w:rsidR="009903E2" w:rsidRPr="00F7207D">
          <w:rPr>
            <w:rStyle w:val="Hyperlink"/>
            <w:szCs w:val="24"/>
          </w:rPr>
          <w:t>C14/INF/20</w:t>
        </w:r>
      </w:hyperlink>
      <w:r w:rsidR="009903E2" w:rsidRPr="00A1056E">
        <w:rPr>
          <w:szCs w:val="24"/>
        </w:rPr>
        <w:t>.</w:t>
      </w:r>
    </w:p>
    <w:p w:rsidR="004A2FBC" w:rsidRPr="00A1056E" w:rsidRDefault="00742240" w:rsidP="009506E7">
      <w:pPr>
        <w:tabs>
          <w:tab w:val="clear" w:pos="567"/>
          <w:tab w:val="clear" w:pos="1134"/>
          <w:tab w:val="clear" w:pos="1701"/>
          <w:tab w:val="clear" w:pos="2268"/>
          <w:tab w:val="clear" w:pos="2835"/>
        </w:tabs>
        <w:snapToGrid w:val="0"/>
        <w:spacing w:before="360" w:after="120"/>
        <w:rPr>
          <w:b/>
          <w:bCs/>
          <w:szCs w:val="24"/>
        </w:rPr>
      </w:pPr>
      <w:r w:rsidRPr="00A1056E">
        <w:rPr>
          <w:b/>
          <w:bCs/>
          <w:szCs w:val="24"/>
        </w:rPr>
        <w:t>3</w:t>
      </w:r>
      <w:r w:rsidR="004A2FBC" w:rsidRPr="00A1056E">
        <w:rPr>
          <w:b/>
          <w:bCs/>
          <w:szCs w:val="24"/>
        </w:rPr>
        <w:t>.</w:t>
      </w:r>
      <w:r w:rsidR="004A2FBC" w:rsidRPr="00A1056E">
        <w:rPr>
          <w:b/>
          <w:bCs/>
          <w:szCs w:val="24"/>
        </w:rPr>
        <w:tab/>
      </w:r>
      <w:r w:rsidR="000258EB" w:rsidRPr="00A1056E">
        <w:rPr>
          <w:b/>
          <w:bCs/>
          <w:szCs w:val="24"/>
        </w:rPr>
        <w:t>EXISTING POLICIES AND PRACTICES</w:t>
      </w:r>
      <w:r w:rsidR="0000545E">
        <w:rPr>
          <w:b/>
          <w:bCs/>
          <w:szCs w:val="24"/>
        </w:rPr>
        <w:t xml:space="preserve"> AT INTERNATIONAL LEVEL</w:t>
      </w:r>
    </w:p>
    <w:p w:rsidR="00370587" w:rsidRDefault="00021BF9">
      <w:pPr>
        <w:keepNext/>
        <w:tabs>
          <w:tab w:val="clear" w:pos="567"/>
          <w:tab w:val="clear" w:pos="1134"/>
          <w:tab w:val="clear" w:pos="1701"/>
          <w:tab w:val="clear" w:pos="2268"/>
          <w:tab w:val="clear" w:pos="2835"/>
        </w:tabs>
        <w:overflowPunct/>
        <w:autoSpaceDE/>
        <w:autoSpaceDN/>
        <w:adjustRightInd/>
        <w:snapToGrid w:val="0"/>
        <w:spacing w:before="160" w:after="120"/>
        <w:textAlignment w:val="auto"/>
        <w:rPr>
          <w:rFonts w:cs="Calibri"/>
          <w:szCs w:val="24"/>
        </w:rPr>
      </w:pPr>
      <w:r w:rsidRPr="00A1056E">
        <w:rPr>
          <w:rFonts w:cs="Calibri"/>
          <w:szCs w:val="24"/>
        </w:rPr>
        <w:t>3</w:t>
      </w:r>
      <w:r w:rsidR="000258EB" w:rsidRPr="00A1056E">
        <w:rPr>
          <w:rFonts w:cs="Calibri"/>
          <w:szCs w:val="24"/>
        </w:rPr>
        <w:t>.1</w:t>
      </w:r>
      <w:r w:rsidR="00370587">
        <w:rPr>
          <w:rFonts w:cs="Calibri"/>
          <w:szCs w:val="24"/>
        </w:rPr>
        <w:tab/>
      </w:r>
      <w:r w:rsidR="00BA2C68">
        <w:rPr>
          <w:rFonts w:cs="Calibri"/>
          <w:szCs w:val="24"/>
        </w:rPr>
        <w:t xml:space="preserve">Since 2008, </w:t>
      </w:r>
      <w:r w:rsidR="005A3E59">
        <w:rPr>
          <w:rFonts w:cs="Calibri"/>
          <w:szCs w:val="24"/>
        </w:rPr>
        <w:t xml:space="preserve">a growing number of international and intergovernmental institutions have recognized the right to information through </w:t>
      </w:r>
      <w:r w:rsidR="001F1DC8">
        <w:rPr>
          <w:rFonts w:cs="Calibri"/>
          <w:szCs w:val="24"/>
        </w:rPr>
        <w:t xml:space="preserve">broad </w:t>
      </w:r>
      <w:r w:rsidR="00BA2C68">
        <w:rPr>
          <w:rFonts w:cs="Calibri"/>
          <w:szCs w:val="24"/>
        </w:rPr>
        <w:t xml:space="preserve">information disclosure </w:t>
      </w:r>
      <w:r w:rsidR="005A3E59">
        <w:rPr>
          <w:rFonts w:cs="Calibri"/>
          <w:szCs w:val="24"/>
        </w:rPr>
        <w:t>policies giving individuals a right to request and receive information from them.</w:t>
      </w:r>
    </w:p>
    <w:p w:rsidR="005911CA" w:rsidRPr="00A1056E" w:rsidRDefault="00BA2C68">
      <w:pPr>
        <w:keepNext/>
        <w:tabs>
          <w:tab w:val="clear" w:pos="567"/>
          <w:tab w:val="clear" w:pos="1134"/>
          <w:tab w:val="clear" w:pos="1701"/>
          <w:tab w:val="clear" w:pos="2268"/>
          <w:tab w:val="clear" w:pos="2835"/>
        </w:tabs>
        <w:overflowPunct/>
        <w:autoSpaceDE/>
        <w:autoSpaceDN/>
        <w:adjustRightInd/>
        <w:snapToGrid w:val="0"/>
        <w:spacing w:before="160" w:after="120"/>
        <w:textAlignment w:val="auto"/>
        <w:rPr>
          <w:rFonts w:asciiTheme="minorHAnsi" w:eastAsiaTheme="minorEastAsia" w:hAnsiTheme="minorHAnsi" w:cstheme="minorBidi"/>
          <w:szCs w:val="24"/>
          <w:lang w:val="en-US" w:eastAsia="zh-CN"/>
        </w:rPr>
      </w:pPr>
      <w:r>
        <w:rPr>
          <w:rFonts w:asciiTheme="minorHAnsi" w:eastAsiaTheme="minorEastAsia" w:hAnsiTheme="minorHAnsi" w:cstheme="minorBidi"/>
          <w:szCs w:val="24"/>
          <w:lang w:val="en-US" w:eastAsia="zh-CN"/>
        </w:rPr>
        <w:t>3.2</w:t>
      </w:r>
      <w:r w:rsidR="005911CA" w:rsidRPr="00A1056E">
        <w:rPr>
          <w:rFonts w:asciiTheme="minorHAnsi" w:eastAsiaTheme="minorEastAsia" w:hAnsiTheme="minorHAnsi" w:cstheme="minorBidi"/>
          <w:szCs w:val="24"/>
          <w:lang w:val="en-US" w:eastAsia="zh-CN"/>
        </w:rPr>
        <w:tab/>
      </w:r>
      <w:r>
        <w:rPr>
          <w:rFonts w:asciiTheme="minorHAnsi" w:eastAsiaTheme="minorEastAsia" w:hAnsiTheme="minorHAnsi" w:cstheme="minorBidi"/>
          <w:szCs w:val="24"/>
          <w:lang w:val="en-US" w:eastAsia="zh-CN"/>
        </w:rPr>
        <w:t>In 2013, t</w:t>
      </w:r>
      <w:r w:rsidR="005911CA" w:rsidRPr="00A1056E">
        <w:rPr>
          <w:rFonts w:asciiTheme="minorHAnsi" w:eastAsiaTheme="minorEastAsia" w:hAnsiTheme="minorHAnsi" w:cstheme="minorBidi"/>
          <w:szCs w:val="24"/>
          <w:lang w:val="en-US" w:eastAsia="zh-CN"/>
        </w:rPr>
        <w:t xml:space="preserve">he </w:t>
      </w:r>
      <w:r w:rsidR="00195A49" w:rsidRPr="00A1056E">
        <w:rPr>
          <w:rFonts w:asciiTheme="minorHAnsi" w:eastAsiaTheme="minorEastAsia" w:hAnsiTheme="minorHAnsi" w:cstheme="minorBidi"/>
          <w:szCs w:val="24"/>
          <w:lang w:val="en-US" w:eastAsia="zh-CN"/>
        </w:rPr>
        <w:t>s</w:t>
      </w:r>
      <w:r w:rsidR="005911CA" w:rsidRPr="00A1056E">
        <w:rPr>
          <w:rFonts w:asciiTheme="minorHAnsi" w:eastAsiaTheme="minorEastAsia" w:hAnsiTheme="minorHAnsi" w:cstheme="minorBidi"/>
          <w:szCs w:val="24"/>
          <w:lang w:val="en-US" w:eastAsia="zh-CN"/>
        </w:rPr>
        <w:t xml:space="preserve">ecretariat </w:t>
      </w:r>
      <w:r w:rsidR="00195A49" w:rsidRPr="00A1056E">
        <w:rPr>
          <w:rFonts w:asciiTheme="minorHAnsi" w:eastAsiaTheme="minorEastAsia" w:hAnsiTheme="minorHAnsi" w:cstheme="minorBidi"/>
          <w:szCs w:val="24"/>
          <w:lang w:val="en-US" w:eastAsia="zh-CN"/>
        </w:rPr>
        <w:t xml:space="preserve">conducted </w:t>
      </w:r>
      <w:r w:rsidR="005911CA" w:rsidRPr="00A1056E">
        <w:rPr>
          <w:rFonts w:asciiTheme="minorHAnsi" w:eastAsiaTheme="minorEastAsia" w:hAnsiTheme="minorHAnsi" w:cstheme="minorBidi"/>
          <w:szCs w:val="24"/>
          <w:lang w:val="en-US" w:eastAsia="zh-CN"/>
        </w:rPr>
        <w:t xml:space="preserve">a survey of 14 UN Agencies, Funds and </w:t>
      </w:r>
      <w:proofErr w:type="spellStart"/>
      <w:r w:rsidR="005911CA" w:rsidRPr="00A1056E">
        <w:rPr>
          <w:rFonts w:asciiTheme="minorHAnsi" w:eastAsiaTheme="minorEastAsia" w:hAnsiTheme="minorHAnsi" w:cstheme="minorBidi"/>
          <w:szCs w:val="24"/>
          <w:lang w:val="en-US" w:eastAsia="zh-CN"/>
        </w:rPr>
        <w:t>Programmes</w:t>
      </w:r>
      <w:proofErr w:type="spellEnd"/>
      <w:r w:rsidR="005911CA" w:rsidRPr="00A1056E">
        <w:rPr>
          <w:rFonts w:asciiTheme="minorHAnsi" w:eastAsiaTheme="minorEastAsia" w:hAnsiTheme="minorHAnsi" w:cstheme="minorBidi"/>
          <w:szCs w:val="24"/>
          <w:lang w:val="en-US" w:eastAsia="zh-CN"/>
        </w:rPr>
        <w:t xml:space="preserve"> including FAO, ICAO, IAEA, IFAD, ILO, UNDP, UNESCO, UNIDO, UNICEF, UPU, WHO, WMO, WIPO</w:t>
      </w:r>
      <w:r w:rsidR="00195A49" w:rsidRPr="00A1056E">
        <w:rPr>
          <w:rFonts w:asciiTheme="minorHAnsi" w:eastAsiaTheme="minorEastAsia" w:hAnsiTheme="minorHAnsi" w:cstheme="minorBidi"/>
          <w:szCs w:val="24"/>
          <w:lang w:val="en-US" w:eastAsia="zh-CN"/>
        </w:rPr>
        <w:t>,</w:t>
      </w:r>
      <w:r w:rsidR="005911CA" w:rsidRPr="00A1056E">
        <w:rPr>
          <w:rFonts w:asciiTheme="minorHAnsi" w:eastAsiaTheme="minorEastAsia" w:hAnsiTheme="minorHAnsi" w:cstheme="minorBidi"/>
          <w:szCs w:val="24"/>
          <w:lang w:val="en-US" w:eastAsia="zh-CN"/>
        </w:rPr>
        <w:t xml:space="preserve"> and the World Bank. Preliminary </w:t>
      </w:r>
      <w:r w:rsidR="00D00A13">
        <w:rPr>
          <w:rFonts w:asciiTheme="minorHAnsi" w:eastAsiaTheme="minorEastAsia" w:hAnsiTheme="minorHAnsi" w:cstheme="minorBidi"/>
          <w:szCs w:val="24"/>
          <w:lang w:val="en-US" w:eastAsia="zh-CN"/>
        </w:rPr>
        <w:t>r</w:t>
      </w:r>
      <w:r w:rsidR="005911CA" w:rsidRPr="00A1056E">
        <w:rPr>
          <w:rFonts w:asciiTheme="minorHAnsi" w:eastAsiaTheme="minorEastAsia" w:hAnsiTheme="minorHAnsi" w:cstheme="minorBidi"/>
          <w:szCs w:val="24"/>
          <w:lang w:val="en-US" w:eastAsia="zh-CN"/>
        </w:rPr>
        <w:t>esearch has been made through Internet</w:t>
      </w:r>
      <w:r w:rsidR="00195A49" w:rsidRPr="00A1056E">
        <w:rPr>
          <w:rFonts w:asciiTheme="minorHAnsi" w:eastAsiaTheme="minorEastAsia" w:hAnsiTheme="minorHAnsi" w:cstheme="minorBidi"/>
          <w:szCs w:val="24"/>
          <w:lang w:val="en-US" w:eastAsia="zh-CN"/>
        </w:rPr>
        <w:t>, and r</w:t>
      </w:r>
      <w:r w:rsidR="005911CA" w:rsidRPr="00A1056E">
        <w:rPr>
          <w:rFonts w:asciiTheme="minorHAnsi" w:eastAsiaTheme="minorEastAsia" w:hAnsiTheme="minorHAnsi" w:cstheme="minorBidi"/>
          <w:szCs w:val="24"/>
          <w:lang w:val="en-US" w:eastAsia="zh-CN"/>
        </w:rPr>
        <w:t xml:space="preserve">esults </w:t>
      </w:r>
      <w:r w:rsidR="00195A49" w:rsidRPr="00A1056E">
        <w:rPr>
          <w:rFonts w:asciiTheme="minorHAnsi" w:eastAsiaTheme="minorEastAsia" w:hAnsiTheme="minorHAnsi" w:cstheme="minorBidi"/>
          <w:szCs w:val="24"/>
          <w:lang w:val="en-US" w:eastAsia="zh-CN"/>
        </w:rPr>
        <w:t>were</w:t>
      </w:r>
      <w:r w:rsidR="005911CA" w:rsidRPr="00A1056E">
        <w:rPr>
          <w:rFonts w:asciiTheme="minorHAnsi" w:eastAsiaTheme="minorEastAsia" w:hAnsiTheme="minorHAnsi" w:cstheme="minorBidi"/>
          <w:szCs w:val="24"/>
          <w:lang w:val="en-US" w:eastAsia="zh-CN"/>
        </w:rPr>
        <w:t xml:space="preserve"> communicated to the Agencies through the UN Governing Bodies Secretariat Group. The following Agencies have validated the information: FAO, IFAD, UNESCO, UNIDO, WIPO and WMO.</w:t>
      </w:r>
    </w:p>
    <w:p w:rsidR="005911CA" w:rsidRPr="00A1056E" w:rsidRDefault="005911CA">
      <w:pPr>
        <w:tabs>
          <w:tab w:val="clear" w:pos="567"/>
          <w:tab w:val="clear" w:pos="1134"/>
          <w:tab w:val="clear" w:pos="1701"/>
          <w:tab w:val="clear" w:pos="2268"/>
          <w:tab w:val="clear" w:pos="2835"/>
        </w:tabs>
        <w:overflowPunct/>
        <w:autoSpaceDE/>
        <w:autoSpaceDN/>
        <w:adjustRightInd/>
        <w:snapToGrid w:val="0"/>
        <w:spacing w:before="160" w:after="120"/>
        <w:textAlignment w:val="auto"/>
        <w:rPr>
          <w:rFonts w:asciiTheme="minorHAnsi" w:eastAsiaTheme="minorEastAsia" w:hAnsiTheme="minorHAnsi" w:cstheme="minorBidi"/>
          <w:szCs w:val="24"/>
          <w:lang w:val="en-US" w:eastAsia="zh-CN"/>
        </w:rPr>
      </w:pPr>
      <w:r w:rsidRPr="00A1056E">
        <w:rPr>
          <w:rFonts w:asciiTheme="minorHAnsi" w:eastAsiaTheme="minorEastAsia" w:hAnsiTheme="minorHAnsi" w:cstheme="minorBidi"/>
          <w:szCs w:val="24"/>
          <w:lang w:val="en-US" w:eastAsia="zh-CN"/>
        </w:rPr>
        <w:t>3.</w:t>
      </w:r>
      <w:r w:rsidR="00BA2C68">
        <w:rPr>
          <w:rFonts w:asciiTheme="minorHAnsi" w:eastAsiaTheme="minorEastAsia" w:hAnsiTheme="minorHAnsi" w:cstheme="minorBidi"/>
          <w:szCs w:val="24"/>
          <w:lang w:val="en-US" w:eastAsia="zh-CN"/>
        </w:rPr>
        <w:t>3</w:t>
      </w:r>
      <w:r w:rsidRPr="00A1056E">
        <w:rPr>
          <w:rFonts w:asciiTheme="minorHAnsi" w:eastAsiaTheme="minorEastAsia" w:hAnsiTheme="minorHAnsi" w:cstheme="minorBidi"/>
          <w:szCs w:val="24"/>
          <w:lang w:val="en-US" w:eastAsia="zh-CN"/>
        </w:rPr>
        <w:tab/>
        <w:t xml:space="preserve">With a view to promoting transparency and accountability and to providing accurate and timely information to partners and stakeholders – including the public – several Agencies have adopted Information Disclosure policies </w:t>
      </w:r>
      <w:r w:rsidR="00250780">
        <w:rPr>
          <w:rFonts w:asciiTheme="minorHAnsi" w:eastAsiaTheme="minorEastAsia" w:hAnsiTheme="minorHAnsi" w:cstheme="minorBidi"/>
          <w:szCs w:val="24"/>
          <w:lang w:val="en-US" w:eastAsia="zh-CN"/>
        </w:rPr>
        <w:t>over</w:t>
      </w:r>
      <w:r w:rsidRPr="00A1056E">
        <w:rPr>
          <w:rFonts w:asciiTheme="minorHAnsi" w:eastAsiaTheme="minorEastAsia" w:hAnsiTheme="minorHAnsi" w:cstheme="minorBidi"/>
          <w:szCs w:val="24"/>
          <w:lang w:val="en-US" w:eastAsia="zh-CN"/>
        </w:rPr>
        <w:t xml:space="preserve"> the past few years.</w:t>
      </w:r>
    </w:p>
    <w:p w:rsidR="005911CA" w:rsidRPr="00A1056E" w:rsidRDefault="005911CA" w:rsidP="00AF599F">
      <w:pPr>
        <w:numPr>
          <w:ilvl w:val="0"/>
          <w:numId w:val="7"/>
        </w:numPr>
        <w:tabs>
          <w:tab w:val="clear" w:pos="567"/>
          <w:tab w:val="clear" w:pos="1134"/>
          <w:tab w:val="clear" w:pos="1701"/>
          <w:tab w:val="clear" w:pos="2268"/>
          <w:tab w:val="clear" w:pos="2835"/>
        </w:tabs>
        <w:overflowPunct/>
        <w:autoSpaceDE/>
        <w:autoSpaceDN/>
        <w:adjustRightInd/>
        <w:snapToGrid w:val="0"/>
        <w:spacing w:after="120"/>
        <w:ind w:left="1134" w:hanging="425"/>
        <w:textAlignment w:val="auto"/>
        <w:rPr>
          <w:rFonts w:asciiTheme="minorHAnsi" w:eastAsiaTheme="minorEastAsia" w:hAnsiTheme="minorHAnsi" w:cstheme="minorBidi"/>
          <w:szCs w:val="24"/>
          <w:lang w:val="en-US" w:eastAsia="zh-CN"/>
        </w:rPr>
      </w:pPr>
      <w:r w:rsidRPr="00A1056E">
        <w:rPr>
          <w:rFonts w:asciiTheme="minorHAnsi" w:eastAsiaTheme="minorEastAsia" w:hAnsiTheme="minorHAnsi" w:cstheme="minorBidi"/>
          <w:szCs w:val="24"/>
          <w:lang w:val="en-US" w:eastAsia="zh-CN"/>
        </w:rPr>
        <w:t xml:space="preserve">Examples: </w:t>
      </w:r>
      <w:hyperlink r:id="rId13" w:history="1">
        <w:r w:rsidRPr="00A1056E">
          <w:rPr>
            <w:rFonts w:asciiTheme="minorHAnsi" w:eastAsiaTheme="minorEastAsia" w:hAnsiTheme="minorHAnsi" w:cstheme="minorBidi"/>
            <w:szCs w:val="24"/>
            <w:lang w:val="en-US" w:eastAsia="zh-CN"/>
          </w:rPr>
          <w:t>ILO</w:t>
        </w:r>
      </w:hyperlink>
      <w:r w:rsidRPr="00A1056E">
        <w:rPr>
          <w:rFonts w:asciiTheme="minorHAnsi" w:eastAsiaTheme="minorEastAsia" w:hAnsiTheme="minorHAnsi" w:cstheme="minorBidi"/>
          <w:szCs w:val="24"/>
          <w:lang w:val="en-US" w:eastAsia="zh-CN"/>
        </w:rPr>
        <w:t xml:space="preserve"> (2008), </w:t>
      </w:r>
      <w:hyperlink r:id="rId14" w:history="1">
        <w:r w:rsidRPr="00A1056E">
          <w:rPr>
            <w:rFonts w:asciiTheme="minorHAnsi" w:eastAsiaTheme="minorEastAsia" w:hAnsiTheme="minorHAnsi" w:cstheme="minorBidi"/>
            <w:szCs w:val="24"/>
            <w:lang w:val="en-US" w:eastAsia="zh-CN"/>
          </w:rPr>
          <w:t>UNDP</w:t>
        </w:r>
      </w:hyperlink>
      <w:r w:rsidRPr="00A1056E">
        <w:rPr>
          <w:rFonts w:asciiTheme="minorHAnsi" w:eastAsiaTheme="minorEastAsia" w:hAnsiTheme="minorHAnsi" w:cstheme="minorBidi"/>
          <w:szCs w:val="24"/>
          <w:lang w:val="en-US" w:eastAsia="zh-CN"/>
        </w:rPr>
        <w:t xml:space="preserve"> (2008, revised 2013), </w:t>
      </w:r>
      <w:hyperlink r:id="rId15" w:history="1">
        <w:r w:rsidRPr="00A1056E">
          <w:rPr>
            <w:rFonts w:asciiTheme="minorHAnsi" w:eastAsiaTheme="minorEastAsia" w:hAnsiTheme="minorHAnsi" w:cstheme="minorBidi"/>
            <w:szCs w:val="24"/>
            <w:lang w:val="en-US" w:eastAsia="zh-CN"/>
          </w:rPr>
          <w:t>IFAD</w:t>
        </w:r>
      </w:hyperlink>
      <w:r w:rsidRPr="00A1056E">
        <w:rPr>
          <w:rFonts w:asciiTheme="minorHAnsi" w:eastAsiaTheme="minorEastAsia" w:hAnsiTheme="minorHAnsi" w:cstheme="minorBidi"/>
          <w:szCs w:val="24"/>
          <w:lang w:val="en-US" w:eastAsia="zh-CN"/>
        </w:rPr>
        <w:t xml:space="preserve"> (2010), </w:t>
      </w:r>
      <w:hyperlink r:id="rId16" w:history="1">
        <w:r w:rsidRPr="00A1056E">
          <w:rPr>
            <w:rFonts w:asciiTheme="minorHAnsi" w:eastAsiaTheme="minorEastAsia" w:hAnsiTheme="minorHAnsi" w:cstheme="minorBidi"/>
            <w:szCs w:val="24"/>
            <w:lang w:val="en-US" w:eastAsia="zh-CN"/>
          </w:rPr>
          <w:t>UNICEF</w:t>
        </w:r>
      </w:hyperlink>
      <w:r w:rsidRPr="00A1056E">
        <w:rPr>
          <w:rFonts w:asciiTheme="minorHAnsi" w:eastAsiaTheme="minorEastAsia" w:hAnsiTheme="minorHAnsi" w:cstheme="minorBidi"/>
          <w:szCs w:val="24"/>
          <w:lang w:val="en-US" w:eastAsia="zh-CN"/>
        </w:rPr>
        <w:t xml:space="preserve"> (2010, updated 2011), </w:t>
      </w:r>
      <w:hyperlink r:id="rId17" w:history="1">
        <w:r w:rsidRPr="00A1056E">
          <w:rPr>
            <w:rFonts w:asciiTheme="minorHAnsi" w:eastAsiaTheme="minorEastAsia" w:hAnsiTheme="minorHAnsi" w:cstheme="minorBidi"/>
            <w:szCs w:val="24"/>
            <w:lang w:val="en-US" w:eastAsia="zh-CN"/>
          </w:rPr>
          <w:t>World Bank</w:t>
        </w:r>
      </w:hyperlink>
      <w:r w:rsidRPr="00A1056E">
        <w:rPr>
          <w:rFonts w:asciiTheme="minorHAnsi" w:eastAsiaTheme="minorEastAsia" w:hAnsiTheme="minorHAnsi" w:cstheme="minorBidi"/>
          <w:szCs w:val="24"/>
          <w:lang w:val="en-US" w:eastAsia="zh-CN"/>
        </w:rPr>
        <w:t xml:space="preserve"> (2010, revised 2013)</w:t>
      </w:r>
      <w:r w:rsidR="00482659">
        <w:rPr>
          <w:rFonts w:asciiTheme="minorHAnsi" w:eastAsiaTheme="minorEastAsia" w:hAnsiTheme="minorHAnsi" w:cstheme="minorBidi"/>
          <w:szCs w:val="24"/>
          <w:lang w:val="en-US" w:eastAsia="zh-CN"/>
        </w:rPr>
        <w:t>, WFP (2010), UNOPS (2012)</w:t>
      </w:r>
      <w:r w:rsidRPr="00A1056E">
        <w:rPr>
          <w:rFonts w:asciiTheme="minorHAnsi" w:eastAsiaTheme="minorEastAsia" w:hAnsiTheme="minorHAnsi" w:cstheme="minorBidi"/>
          <w:szCs w:val="24"/>
          <w:lang w:val="en-US" w:eastAsia="zh-CN"/>
        </w:rPr>
        <w:t>.</w:t>
      </w:r>
      <w:r w:rsidR="00482659">
        <w:rPr>
          <w:rStyle w:val="FootnoteReference"/>
          <w:rFonts w:eastAsiaTheme="minorEastAsia" w:cstheme="minorBidi"/>
          <w:szCs w:val="24"/>
          <w:lang w:val="en-US" w:eastAsia="zh-CN"/>
        </w:rPr>
        <w:footnoteReference w:id="4"/>
      </w:r>
      <w:r w:rsidRPr="00A1056E">
        <w:rPr>
          <w:rFonts w:asciiTheme="minorHAnsi" w:eastAsiaTheme="minorEastAsia" w:hAnsiTheme="minorHAnsi" w:cstheme="minorBidi"/>
          <w:szCs w:val="24"/>
          <w:lang w:val="en-US" w:eastAsia="zh-CN"/>
        </w:rPr>
        <w:t xml:space="preserve"> </w:t>
      </w:r>
    </w:p>
    <w:p w:rsidR="005911CA" w:rsidRPr="00A1056E" w:rsidRDefault="005911CA" w:rsidP="00AF599F">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szCs w:val="24"/>
          <w:lang w:val="en-US" w:eastAsia="zh-CN"/>
        </w:rPr>
      </w:pPr>
      <w:r w:rsidRPr="00A1056E">
        <w:rPr>
          <w:rFonts w:asciiTheme="minorHAnsi" w:eastAsiaTheme="minorEastAsia" w:hAnsiTheme="minorHAnsi" w:cstheme="minorBidi"/>
          <w:szCs w:val="24"/>
          <w:lang w:val="en-US" w:eastAsia="zh-CN"/>
        </w:rPr>
        <w:t xml:space="preserve">These policies are based on a presumption of full disclosure of all information and documents generated by the organization. In all cases, however, this presumption is subject to exceptions for information falling into well-defined categories deemed to be confidential and therefore not available to the public. </w:t>
      </w:r>
    </w:p>
    <w:p w:rsidR="005911CA" w:rsidRPr="00A1056E" w:rsidRDefault="005911CA">
      <w:pPr>
        <w:tabs>
          <w:tab w:val="clear" w:pos="567"/>
          <w:tab w:val="clear" w:pos="1134"/>
          <w:tab w:val="clear" w:pos="1701"/>
          <w:tab w:val="clear" w:pos="2268"/>
          <w:tab w:val="clear" w:pos="2835"/>
        </w:tabs>
        <w:overflowPunct/>
        <w:autoSpaceDE/>
        <w:autoSpaceDN/>
        <w:adjustRightInd/>
        <w:snapToGrid w:val="0"/>
        <w:spacing w:before="160" w:after="120"/>
        <w:textAlignment w:val="auto"/>
        <w:rPr>
          <w:rFonts w:asciiTheme="minorHAnsi" w:eastAsiaTheme="minorEastAsia" w:hAnsiTheme="minorHAnsi" w:cstheme="minorBidi"/>
          <w:szCs w:val="24"/>
          <w:lang w:val="en-US" w:eastAsia="zh-CN"/>
        </w:rPr>
      </w:pPr>
      <w:r w:rsidRPr="00A1056E">
        <w:rPr>
          <w:rFonts w:asciiTheme="minorHAnsi" w:eastAsiaTheme="minorEastAsia" w:hAnsiTheme="minorHAnsi" w:cstheme="minorBidi"/>
          <w:szCs w:val="24"/>
          <w:lang w:val="en-US" w:eastAsia="zh-CN"/>
        </w:rPr>
        <w:t>3.</w:t>
      </w:r>
      <w:r w:rsidR="00BA2C68">
        <w:rPr>
          <w:rFonts w:asciiTheme="minorHAnsi" w:eastAsiaTheme="minorEastAsia" w:hAnsiTheme="minorHAnsi" w:cstheme="minorBidi"/>
          <w:szCs w:val="24"/>
          <w:lang w:val="en-US" w:eastAsia="zh-CN"/>
        </w:rPr>
        <w:t>4</w:t>
      </w:r>
      <w:r w:rsidRPr="00A1056E">
        <w:rPr>
          <w:rFonts w:asciiTheme="minorHAnsi" w:eastAsiaTheme="minorEastAsia" w:hAnsiTheme="minorHAnsi" w:cstheme="minorBidi"/>
          <w:szCs w:val="24"/>
          <w:lang w:val="en-US" w:eastAsia="zh-CN"/>
        </w:rPr>
        <w:tab/>
        <w:t>Other organizations do not have a formal access/disclosure policy, but regularly provide information related to their operations and governance to the public. In all cases, the same exceptions to access as those found in the formal access/disclosure policies described in point 3.2 above are followed.</w:t>
      </w:r>
    </w:p>
    <w:p w:rsidR="00482659" w:rsidRDefault="005911CA">
      <w:pPr>
        <w:numPr>
          <w:ilvl w:val="0"/>
          <w:numId w:val="7"/>
        </w:numPr>
        <w:tabs>
          <w:tab w:val="clear" w:pos="567"/>
          <w:tab w:val="clear" w:pos="1134"/>
          <w:tab w:val="clear" w:pos="1701"/>
          <w:tab w:val="clear" w:pos="2268"/>
          <w:tab w:val="clear" w:pos="2835"/>
        </w:tabs>
        <w:overflowPunct/>
        <w:autoSpaceDE/>
        <w:autoSpaceDN/>
        <w:adjustRightInd/>
        <w:snapToGrid w:val="0"/>
        <w:spacing w:after="120"/>
        <w:ind w:left="1134" w:hanging="425"/>
        <w:textAlignment w:val="auto"/>
        <w:rPr>
          <w:rFonts w:asciiTheme="minorHAnsi" w:eastAsiaTheme="minorEastAsia" w:hAnsiTheme="minorHAnsi" w:cstheme="minorBidi"/>
          <w:szCs w:val="24"/>
          <w:lang w:val="en-US" w:eastAsia="zh-CN"/>
        </w:rPr>
      </w:pPr>
      <w:r w:rsidRPr="00A1056E">
        <w:rPr>
          <w:rFonts w:asciiTheme="minorHAnsi" w:eastAsiaTheme="minorEastAsia" w:hAnsiTheme="minorHAnsi" w:cstheme="minorBidi"/>
          <w:szCs w:val="24"/>
          <w:lang w:val="en-US" w:eastAsia="zh-CN"/>
        </w:rPr>
        <w:t xml:space="preserve">Examples: WIPO, UNESCO, WHO, IAEA, FAO </w:t>
      </w:r>
    </w:p>
    <w:p w:rsidR="00482659" w:rsidRPr="00482659" w:rsidRDefault="00482659" w:rsidP="00512B34">
      <w:pPr>
        <w:tabs>
          <w:tab w:val="clear" w:pos="567"/>
          <w:tab w:val="clear" w:pos="1134"/>
          <w:tab w:val="clear" w:pos="1701"/>
          <w:tab w:val="clear" w:pos="2268"/>
          <w:tab w:val="clear" w:pos="2835"/>
        </w:tabs>
        <w:overflowPunct/>
        <w:autoSpaceDE/>
        <w:autoSpaceDN/>
        <w:adjustRightInd/>
        <w:snapToGrid w:val="0"/>
        <w:spacing w:before="160" w:after="120"/>
        <w:textAlignment w:val="auto"/>
        <w:rPr>
          <w:rFonts w:asciiTheme="minorHAnsi" w:eastAsiaTheme="minorEastAsia" w:hAnsiTheme="minorHAnsi" w:cstheme="minorBidi"/>
          <w:szCs w:val="24"/>
          <w:lang w:val="en-US" w:eastAsia="zh-CN"/>
        </w:rPr>
      </w:pPr>
      <w:r>
        <w:rPr>
          <w:rFonts w:asciiTheme="minorHAnsi" w:eastAsiaTheme="minorEastAsia" w:hAnsiTheme="minorHAnsi" w:cstheme="minorBidi"/>
          <w:szCs w:val="24"/>
          <w:lang w:val="en-US" w:eastAsia="zh-CN"/>
        </w:rPr>
        <w:t>3.5</w:t>
      </w:r>
      <w:r>
        <w:rPr>
          <w:rFonts w:asciiTheme="minorHAnsi" w:eastAsiaTheme="minorEastAsia" w:hAnsiTheme="minorHAnsi" w:cstheme="minorBidi"/>
          <w:szCs w:val="24"/>
          <w:lang w:val="en-US" w:eastAsia="zh-CN"/>
        </w:rPr>
        <w:tab/>
      </w:r>
      <w:r w:rsidR="0064629A">
        <w:rPr>
          <w:rFonts w:asciiTheme="minorHAnsi" w:eastAsiaTheme="minorEastAsia" w:hAnsiTheme="minorHAnsi" w:cstheme="minorBidi"/>
          <w:szCs w:val="24"/>
          <w:lang w:val="en-US" w:eastAsia="zh-CN"/>
        </w:rPr>
        <w:t xml:space="preserve">In 2014, the secretariat conducted a survey of information disclosure </w:t>
      </w:r>
      <w:r w:rsidR="00EF0608">
        <w:rPr>
          <w:rFonts w:asciiTheme="minorHAnsi" w:eastAsiaTheme="minorEastAsia" w:hAnsiTheme="minorHAnsi" w:cstheme="minorBidi"/>
          <w:szCs w:val="24"/>
          <w:lang w:val="en-US" w:eastAsia="zh-CN"/>
        </w:rPr>
        <w:t xml:space="preserve">policies and </w:t>
      </w:r>
      <w:r w:rsidR="0064629A">
        <w:rPr>
          <w:rFonts w:asciiTheme="minorHAnsi" w:eastAsiaTheme="minorEastAsia" w:hAnsiTheme="minorHAnsi" w:cstheme="minorBidi"/>
          <w:szCs w:val="24"/>
          <w:lang w:val="en-US" w:eastAsia="zh-CN"/>
        </w:rPr>
        <w:t>practices in 5 standardization bodies including ETSI, IEEE, IETF, ISC and ISO. None of these organizations has a</w:t>
      </w:r>
      <w:r w:rsidR="00190248">
        <w:rPr>
          <w:rFonts w:asciiTheme="minorHAnsi" w:eastAsiaTheme="minorEastAsia" w:hAnsiTheme="minorHAnsi" w:cstheme="minorBidi"/>
          <w:szCs w:val="24"/>
          <w:lang w:val="en-US" w:eastAsia="zh-CN"/>
        </w:rPr>
        <w:t xml:space="preserve"> formal access/disclosure </w:t>
      </w:r>
      <w:r w:rsidR="0064629A">
        <w:rPr>
          <w:rFonts w:asciiTheme="minorHAnsi" w:eastAsiaTheme="minorEastAsia" w:hAnsiTheme="minorHAnsi" w:cstheme="minorBidi"/>
          <w:szCs w:val="24"/>
          <w:lang w:val="en-US" w:eastAsia="zh-CN"/>
        </w:rPr>
        <w:t>policy</w:t>
      </w:r>
      <w:r w:rsidR="00190248">
        <w:rPr>
          <w:rFonts w:asciiTheme="minorHAnsi" w:eastAsiaTheme="minorEastAsia" w:hAnsiTheme="minorHAnsi" w:cstheme="minorBidi"/>
          <w:szCs w:val="24"/>
          <w:lang w:val="en-US" w:eastAsia="zh-CN"/>
        </w:rPr>
        <w:t xml:space="preserve"> but all of them regularly post a wide variety of information about the organization and its activities on their web site</w:t>
      </w:r>
      <w:r w:rsidR="0064629A">
        <w:rPr>
          <w:rFonts w:asciiTheme="minorHAnsi" w:eastAsiaTheme="minorEastAsia" w:hAnsiTheme="minorHAnsi" w:cstheme="minorBidi"/>
          <w:szCs w:val="24"/>
          <w:lang w:val="en-US" w:eastAsia="zh-CN"/>
        </w:rPr>
        <w:t xml:space="preserve">. </w:t>
      </w:r>
      <w:r w:rsidR="00EF0608">
        <w:rPr>
          <w:rFonts w:asciiTheme="minorHAnsi" w:eastAsiaTheme="minorEastAsia" w:hAnsiTheme="minorHAnsi" w:cstheme="minorBidi"/>
          <w:szCs w:val="24"/>
          <w:lang w:val="en-US" w:eastAsia="zh-CN"/>
        </w:rPr>
        <w:t xml:space="preserve">With respect to information related </w:t>
      </w:r>
      <w:r w:rsidR="0064629A">
        <w:rPr>
          <w:rFonts w:asciiTheme="minorHAnsi" w:eastAsiaTheme="minorEastAsia" w:hAnsiTheme="minorHAnsi" w:cstheme="minorBidi"/>
          <w:szCs w:val="24"/>
          <w:lang w:val="en-US" w:eastAsia="zh-CN"/>
        </w:rPr>
        <w:t xml:space="preserve">to </w:t>
      </w:r>
      <w:r w:rsidR="00190248">
        <w:rPr>
          <w:rFonts w:asciiTheme="minorHAnsi" w:eastAsiaTheme="minorEastAsia" w:hAnsiTheme="minorHAnsi" w:cstheme="minorBidi"/>
          <w:szCs w:val="24"/>
          <w:lang w:val="en-US" w:eastAsia="zh-CN"/>
        </w:rPr>
        <w:t xml:space="preserve">standards </w:t>
      </w:r>
      <w:r w:rsidR="0064629A">
        <w:rPr>
          <w:rFonts w:asciiTheme="minorHAnsi" w:eastAsiaTheme="minorEastAsia" w:hAnsiTheme="minorHAnsi" w:cstheme="minorBidi"/>
          <w:szCs w:val="24"/>
          <w:lang w:val="en-US" w:eastAsia="zh-CN"/>
        </w:rPr>
        <w:t xml:space="preserve">development </w:t>
      </w:r>
      <w:r w:rsidR="00190248">
        <w:rPr>
          <w:rFonts w:asciiTheme="minorHAnsi" w:eastAsiaTheme="minorEastAsia" w:hAnsiTheme="minorHAnsi" w:cstheme="minorBidi"/>
          <w:szCs w:val="24"/>
          <w:lang w:val="en-US" w:eastAsia="zh-CN"/>
        </w:rPr>
        <w:t xml:space="preserve">and documents of standards development working groups, </w:t>
      </w:r>
      <w:r w:rsidR="00EF0608">
        <w:rPr>
          <w:rFonts w:asciiTheme="minorHAnsi" w:eastAsiaTheme="minorEastAsia" w:hAnsiTheme="minorHAnsi" w:cstheme="minorBidi"/>
          <w:szCs w:val="24"/>
          <w:lang w:val="en-US" w:eastAsia="zh-CN"/>
        </w:rPr>
        <w:t>the amount and type of information made available to the public varies widely</w:t>
      </w:r>
      <w:r w:rsidR="00190248">
        <w:rPr>
          <w:rFonts w:asciiTheme="minorHAnsi" w:eastAsiaTheme="minorEastAsia" w:hAnsiTheme="minorHAnsi" w:cstheme="minorBidi"/>
          <w:szCs w:val="24"/>
          <w:lang w:val="en-US" w:eastAsia="zh-CN"/>
        </w:rPr>
        <w:t>, depending on the composition, role and functions of the standards development working groups and on the degree of public participation in the standards development process.</w:t>
      </w:r>
    </w:p>
    <w:p w:rsidR="00021BF9" w:rsidRDefault="00021BF9" w:rsidP="00F5530D">
      <w:pPr>
        <w:keepNext/>
        <w:keepLines/>
        <w:tabs>
          <w:tab w:val="clear" w:pos="567"/>
          <w:tab w:val="clear" w:pos="1134"/>
          <w:tab w:val="clear" w:pos="1701"/>
          <w:tab w:val="clear" w:pos="2268"/>
          <w:tab w:val="clear" w:pos="2835"/>
        </w:tabs>
        <w:snapToGrid w:val="0"/>
        <w:spacing w:before="360" w:after="120"/>
        <w:rPr>
          <w:b/>
          <w:bCs/>
        </w:rPr>
      </w:pPr>
      <w:r w:rsidRPr="00021BF9">
        <w:rPr>
          <w:b/>
          <w:bCs/>
        </w:rPr>
        <w:lastRenderedPageBreak/>
        <w:t xml:space="preserve">4. </w:t>
      </w:r>
      <w:r w:rsidR="00821874">
        <w:rPr>
          <w:b/>
          <w:bCs/>
        </w:rPr>
        <w:tab/>
      </w:r>
      <w:r w:rsidRPr="00021BF9">
        <w:rPr>
          <w:b/>
          <w:bCs/>
        </w:rPr>
        <w:t>COMMON ELEMENTS FOR AN ACCESS TO INFORMAT</w:t>
      </w:r>
      <w:r w:rsidR="002E37EF">
        <w:rPr>
          <w:b/>
          <w:bCs/>
        </w:rPr>
        <w:t>I</w:t>
      </w:r>
      <w:r w:rsidR="00250780">
        <w:rPr>
          <w:b/>
          <w:bCs/>
        </w:rPr>
        <w:t>ON POLICY</w:t>
      </w:r>
    </w:p>
    <w:p w:rsidR="00687D92" w:rsidRPr="00687D92" w:rsidRDefault="00687D92" w:rsidP="00512B34">
      <w:pPr>
        <w:keepNext/>
        <w:keepLines/>
        <w:tabs>
          <w:tab w:val="clear" w:pos="567"/>
          <w:tab w:val="clear" w:pos="1134"/>
          <w:tab w:val="clear" w:pos="1701"/>
          <w:tab w:val="clear" w:pos="2268"/>
          <w:tab w:val="clear" w:pos="2835"/>
        </w:tabs>
        <w:snapToGrid w:val="0"/>
        <w:spacing w:after="120"/>
      </w:pPr>
      <w:r w:rsidRPr="00687D92">
        <w:t>Base</w:t>
      </w:r>
      <w:r>
        <w:t xml:space="preserve">d on the review of practices in other UN </w:t>
      </w:r>
      <w:r w:rsidR="00190248">
        <w:t xml:space="preserve">and international </w:t>
      </w:r>
      <w:r>
        <w:t xml:space="preserve">agencies, the following common elements can be </w:t>
      </w:r>
      <w:r w:rsidR="00F43F9C">
        <w:t xml:space="preserve">noted: </w:t>
      </w:r>
    </w:p>
    <w:p w:rsidR="004A2FBC" w:rsidRPr="002B584C" w:rsidRDefault="004A2FBC" w:rsidP="00F5530D">
      <w:pPr>
        <w:pStyle w:val="ListParagraph"/>
        <w:keepNext/>
        <w:keepLines/>
        <w:numPr>
          <w:ilvl w:val="0"/>
          <w:numId w:val="1"/>
        </w:numPr>
        <w:snapToGrid w:val="0"/>
        <w:spacing w:before="160" w:after="120" w:line="240" w:lineRule="auto"/>
        <w:ind w:left="1134" w:hanging="414"/>
        <w:contextualSpacing w:val="0"/>
        <w:rPr>
          <w:rFonts w:cs="Calibri"/>
          <w:sz w:val="24"/>
          <w:szCs w:val="24"/>
        </w:rPr>
      </w:pPr>
      <w:r w:rsidRPr="002B584C">
        <w:rPr>
          <w:rFonts w:cs="Calibri"/>
          <w:sz w:val="24"/>
          <w:szCs w:val="24"/>
        </w:rPr>
        <w:t>Definition of key terms</w:t>
      </w:r>
    </w:p>
    <w:p w:rsidR="004A2FBC" w:rsidRPr="002B584C" w:rsidRDefault="004A2FBC" w:rsidP="00F5530D">
      <w:pPr>
        <w:pStyle w:val="ListParagraph"/>
        <w:keepNext/>
        <w:keepLines/>
        <w:numPr>
          <w:ilvl w:val="0"/>
          <w:numId w:val="2"/>
        </w:numPr>
        <w:snapToGrid w:val="0"/>
        <w:spacing w:before="120" w:after="60" w:line="240" w:lineRule="auto"/>
        <w:ind w:left="1560" w:hanging="426"/>
        <w:contextualSpacing w:val="0"/>
        <w:rPr>
          <w:sz w:val="24"/>
          <w:szCs w:val="24"/>
        </w:rPr>
      </w:pPr>
      <w:r w:rsidRPr="002B584C">
        <w:rPr>
          <w:sz w:val="24"/>
          <w:szCs w:val="24"/>
        </w:rPr>
        <w:t>Information</w:t>
      </w:r>
    </w:p>
    <w:p w:rsidR="004A2FBC" w:rsidRPr="002B584C" w:rsidRDefault="004A2FBC" w:rsidP="00F5530D">
      <w:pPr>
        <w:pStyle w:val="ListParagraph"/>
        <w:keepNext/>
        <w:keepLines/>
        <w:numPr>
          <w:ilvl w:val="0"/>
          <w:numId w:val="2"/>
        </w:numPr>
        <w:snapToGrid w:val="0"/>
        <w:spacing w:before="60" w:after="60" w:line="240" w:lineRule="auto"/>
        <w:ind w:left="1560" w:hanging="426"/>
        <w:contextualSpacing w:val="0"/>
        <w:rPr>
          <w:sz w:val="24"/>
          <w:szCs w:val="24"/>
        </w:rPr>
      </w:pPr>
      <w:r w:rsidRPr="002B584C">
        <w:rPr>
          <w:sz w:val="24"/>
          <w:szCs w:val="24"/>
        </w:rPr>
        <w:t>Document</w:t>
      </w:r>
    </w:p>
    <w:p w:rsidR="004A2FBC" w:rsidRPr="002B584C" w:rsidRDefault="004A2FBC" w:rsidP="00F5530D">
      <w:pPr>
        <w:pStyle w:val="ListParagraph"/>
        <w:keepNext/>
        <w:keepLines/>
        <w:numPr>
          <w:ilvl w:val="0"/>
          <w:numId w:val="2"/>
        </w:numPr>
        <w:snapToGrid w:val="0"/>
        <w:spacing w:before="60" w:after="60" w:line="240" w:lineRule="auto"/>
        <w:ind w:left="1560" w:hanging="426"/>
        <w:contextualSpacing w:val="0"/>
        <w:rPr>
          <w:sz w:val="24"/>
          <w:szCs w:val="24"/>
        </w:rPr>
      </w:pPr>
      <w:r w:rsidRPr="002B584C">
        <w:rPr>
          <w:sz w:val="24"/>
          <w:szCs w:val="24"/>
        </w:rPr>
        <w:t>Publication</w:t>
      </w:r>
    </w:p>
    <w:p w:rsidR="004A2FBC" w:rsidRPr="002B584C" w:rsidRDefault="004A2FBC" w:rsidP="00250780">
      <w:pPr>
        <w:pStyle w:val="ListParagraph"/>
        <w:numPr>
          <w:ilvl w:val="0"/>
          <w:numId w:val="2"/>
        </w:numPr>
        <w:snapToGrid w:val="0"/>
        <w:spacing w:before="60" w:after="120" w:line="240" w:lineRule="auto"/>
        <w:ind w:left="1560" w:hanging="426"/>
        <w:contextualSpacing w:val="0"/>
        <w:rPr>
          <w:sz w:val="24"/>
          <w:szCs w:val="24"/>
        </w:rPr>
      </w:pPr>
      <w:r w:rsidRPr="002B584C">
        <w:rPr>
          <w:sz w:val="24"/>
          <w:szCs w:val="24"/>
        </w:rPr>
        <w:t>Access/Information disclosure</w:t>
      </w:r>
    </w:p>
    <w:p w:rsidR="004A2FBC" w:rsidRPr="002B584C" w:rsidRDefault="004A2FBC" w:rsidP="009506E7">
      <w:pPr>
        <w:pStyle w:val="ListParagraph"/>
        <w:numPr>
          <w:ilvl w:val="0"/>
          <w:numId w:val="1"/>
        </w:numPr>
        <w:snapToGrid w:val="0"/>
        <w:spacing w:before="160" w:after="120" w:line="240" w:lineRule="auto"/>
        <w:ind w:left="1134" w:hanging="414"/>
        <w:contextualSpacing w:val="0"/>
        <w:rPr>
          <w:rFonts w:cs="Calibri"/>
          <w:sz w:val="24"/>
          <w:szCs w:val="24"/>
        </w:rPr>
      </w:pPr>
      <w:r w:rsidRPr="002B584C">
        <w:rPr>
          <w:rFonts w:cs="Calibri"/>
          <w:sz w:val="24"/>
          <w:szCs w:val="24"/>
        </w:rPr>
        <w:t>Statement of principles</w:t>
      </w:r>
    </w:p>
    <w:p w:rsidR="004A2FBC" w:rsidRPr="002B584C" w:rsidRDefault="004321A0" w:rsidP="0000545E">
      <w:pPr>
        <w:pStyle w:val="ListParagraph"/>
        <w:numPr>
          <w:ilvl w:val="0"/>
          <w:numId w:val="2"/>
        </w:numPr>
        <w:snapToGrid w:val="0"/>
        <w:spacing w:before="120" w:after="60" w:line="240" w:lineRule="auto"/>
        <w:ind w:left="1560" w:hanging="426"/>
        <w:contextualSpacing w:val="0"/>
        <w:rPr>
          <w:sz w:val="24"/>
          <w:szCs w:val="24"/>
        </w:rPr>
      </w:pPr>
      <w:r w:rsidRPr="0000545E">
        <w:rPr>
          <w:sz w:val="24"/>
          <w:szCs w:val="24"/>
        </w:rPr>
        <w:t xml:space="preserve">General principle: The organization’s position with respect to openness and transparency and disclosure of information (most organizations are moving to a presumption </w:t>
      </w:r>
      <w:r w:rsidR="004A2FBC" w:rsidRPr="0000545E">
        <w:rPr>
          <w:sz w:val="24"/>
          <w:szCs w:val="24"/>
        </w:rPr>
        <w:t>in</w:t>
      </w:r>
      <w:r w:rsidR="004A2FBC" w:rsidRPr="002B584C">
        <w:rPr>
          <w:sz w:val="24"/>
          <w:szCs w:val="24"/>
        </w:rPr>
        <w:t xml:space="preserve"> </w:t>
      </w:r>
      <w:proofErr w:type="spellStart"/>
      <w:r w:rsidR="004A2FBC" w:rsidRPr="002B584C">
        <w:rPr>
          <w:sz w:val="24"/>
          <w:szCs w:val="24"/>
        </w:rPr>
        <w:t>favour</w:t>
      </w:r>
      <w:proofErr w:type="spellEnd"/>
      <w:r w:rsidR="004A2FBC" w:rsidRPr="002B584C">
        <w:rPr>
          <w:sz w:val="24"/>
          <w:szCs w:val="24"/>
        </w:rPr>
        <w:t xml:space="preserve"> of disclosure subject to specific exceptions</w:t>
      </w:r>
      <w:r>
        <w:rPr>
          <w:sz w:val="24"/>
          <w:szCs w:val="24"/>
        </w:rPr>
        <w:t>)</w:t>
      </w:r>
    </w:p>
    <w:p w:rsidR="004A2FBC" w:rsidRPr="002B584C" w:rsidRDefault="004A2FBC" w:rsidP="00250780">
      <w:pPr>
        <w:pStyle w:val="ListParagraph"/>
        <w:numPr>
          <w:ilvl w:val="0"/>
          <w:numId w:val="2"/>
        </w:numPr>
        <w:snapToGrid w:val="0"/>
        <w:spacing w:before="60" w:after="60" w:line="240" w:lineRule="auto"/>
        <w:ind w:left="1560" w:hanging="426"/>
        <w:contextualSpacing w:val="0"/>
        <w:rPr>
          <w:sz w:val="24"/>
          <w:szCs w:val="24"/>
        </w:rPr>
      </w:pPr>
      <w:r w:rsidRPr="002B584C">
        <w:rPr>
          <w:sz w:val="24"/>
          <w:szCs w:val="24"/>
        </w:rPr>
        <w:t xml:space="preserve">Scope: An access policy should establish basic principles governing access to </w:t>
      </w:r>
      <w:r w:rsidRPr="002B584C">
        <w:rPr>
          <w:i/>
          <w:iCs/>
          <w:sz w:val="24"/>
          <w:szCs w:val="24"/>
        </w:rPr>
        <w:t>all</w:t>
      </w:r>
      <w:r w:rsidRPr="002B584C">
        <w:rPr>
          <w:sz w:val="24"/>
          <w:szCs w:val="24"/>
        </w:rPr>
        <w:t xml:space="preserve"> types of information – and in </w:t>
      </w:r>
      <w:r w:rsidRPr="002B584C">
        <w:rPr>
          <w:i/>
          <w:iCs/>
          <w:sz w:val="24"/>
          <w:szCs w:val="24"/>
        </w:rPr>
        <w:t>all</w:t>
      </w:r>
      <w:r w:rsidRPr="002B584C">
        <w:rPr>
          <w:sz w:val="24"/>
          <w:szCs w:val="24"/>
        </w:rPr>
        <w:t xml:space="preserve"> formats and media – created, received and used by the organization.</w:t>
      </w:r>
    </w:p>
    <w:p w:rsidR="004A2FBC" w:rsidRPr="002B584C" w:rsidRDefault="004A2FBC" w:rsidP="00F5530D">
      <w:pPr>
        <w:pStyle w:val="ListParagraph"/>
        <w:numPr>
          <w:ilvl w:val="0"/>
          <w:numId w:val="2"/>
        </w:numPr>
        <w:snapToGrid w:val="0"/>
        <w:spacing w:before="60" w:after="120" w:line="240" w:lineRule="auto"/>
        <w:ind w:left="1559" w:hanging="425"/>
        <w:contextualSpacing w:val="0"/>
        <w:rPr>
          <w:sz w:val="24"/>
          <w:szCs w:val="24"/>
        </w:rPr>
      </w:pPr>
      <w:r w:rsidRPr="002B584C">
        <w:rPr>
          <w:sz w:val="24"/>
          <w:szCs w:val="24"/>
        </w:rPr>
        <w:t>Objective: What is the objective for the organization?</w:t>
      </w:r>
    </w:p>
    <w:p w:rsidR="004321A0" w:rsidRPr="000C739A" w:rsidRDefault="004321A0" w:rsidP="00512B34">
      <w:pPr>
        <w:pStyle w:val="ListParagraph"/>
        <w:numPr>
          <w:ilvl w:val="0"/>
          <w:numId w:val="2"/>
        </w:numPr>
        <w:ind w:left="1560" w:hanging="426"/>
        <w:rPr>
          <w:sz w:val="24"/>
          <w:szCs w:val="24"/>
        </w:rPr>
      </w:pPr>
      <w:r w:rsidRPr="000C739A">
        <w:rPr>
          <w:sz w:val="24"/>
          <w:szCs w:val="24"/>
        </w:rPr>
        <w:t>Objectives commonly seen in the policies of other international organizations include:</w:t>
      </w:r>
    </w:p>
    <w:p w:rsidR="004A2FBC" w:rsidRPr="002B584C" w:rsidRDefault="004A2FBC" w:rsidP="00F5530D">
      <w:pPr>
        <w:pStyle w:val="ListParagraph"/>
        <w:numPr>
          <w:ilvl w:val="1"/>
          <w:numId w:val="2"/>
        </w:numPr>
        <w:snapToGrid w:val="0"/>
        <w:spacing w:before="120" w:after="40" w:line="240" w:lineRule="auto"/>
        <w:ind w:left="2126" w:hanging="567"/>
        <w:contextualSpacing w:val="0"/>
        <w:rPr>
          <w:sz w:val="24"/>
          <w:szCs w:val="24"/>
        </w:rPr>
      </w:pPr>
      <w:r w:rsidRPr="002B584C">
        <w:rPr>
          <w:sz w:val="24"/>
          <w:szCs w:val="24"/>
        </w:rPr>
        <w:t xml:space="preserve">To facilitate effective participation of all stakeholders, including the general public, in the work of the organization </w:t>
      </w:r>
    </w:p>
    <w:p w:rsidR="004A2FBC" w:rsidRPr="002B584C" w:rsidRDefault="004A2FBC" w:rsidP="00F5530D">
      <w:pPr>
        <w:pStyle w:val="ListParagraph"/>
        <w:numPr>
          <w:ilvl w:val="1"/>
          <w:numId w:val="2"/>
        </w:numPr>
        <w:snapToGrid w:val="0"/>
        <w:spacing w:before="40" w:after="40" w:line="240" w:lineRule="auto"/>
        <w:ind w:left="2127" w:hanging="567"/>
        <w:contextualSpacing w:val="0"/>
        <w:rPr>
          <w:sz w:val="24"/>
          <w:szCs w:val="24"/>
        </w:rPr>
      </w:pPr>
      <w:r w:rsidRPr="002B584C">
        <w:rPr>
          <w:sz w:val="24"/>
          <w:szCs w:val="24"/>
        </w:rPr>
        <w:t>Information sharing: operating in an open and transparent manner in order to demonstrate results that matter and inspire confidence in stakeholders and the public</w:t>
      </w:r>
    </w:p>
    <w:p w:rsidR="004A2FBC" w:rsidRPr="002B584C" w:rsidRDefault="004A2FBC" w:rsidP="00F5530D">
      <w:pPr>
        <w:pStyle w:val="ListParagraph"/>
        <w:numPr>
          <w:ilvl w:val="1"/>
          <w:numId w:val="2"/>
        </w:numPr>
        <w:snapToGrid w:val="0"/>
        <w:spacing w:before="40" w:after="60" w:line="240" w:lineRule="auto"/>
        <w:ind w:left="2127" w:hanging="567"/>
        <w:contextualSpacing w:val="0"/>
        <w:rPr>
          <w:rFonts w:cs="Calibri"/>
          <w:sz w:val="24"/>
          <w:szCs w:val="24"/>
        </w:rPr>
      </w:pPr>
      <w:r w:rsidRPr="002B584C">
        <w:rPr>
          <w:sz w:val="24"/>
          <w:szCs w:val="24"/>
        </w:rPr>
        <w:t>Public access to information contributes to a better understanding of the</w:t>
      </w:r>
      <w:r w:rsidRPr="002B584C">
        <w:rPr>
          <w:rFonts w:cs="Calibri"/>
          <w:sz w:val="24"/>
          <w:szCs w:val="24"/>
        </w:rPr>
        <w:t xml:space="preserve"> organization’s mission and work</w:t>
      </w:r>
    </w:p>
    <w:p w:rsidR="004A2FBC" w:rsidRPr="000C739A" w:rsidRDefault="004321A0" w:rsidP="000C739A">
      <w:pPr>
        <w:pStyle w:val="ListParagraph"/>
        <w:numPr>
          <w:ilvl w:val="0"/>
          <w:numId w:val="2"/>
        </w:numPr>
        <w:snapToGrid w:val="0"/>
        <w:spacing w:before="60" w:after="120" w:line="240" w:lineRule="auto"/>
        <w:ind w:left="1560" w:hanging="426"/>
        <w:contextualSpacing w:val="0"/>
        <w:rPr>
          <w:sz w:val="24"/>
          <w:szCs w:val="24"/>
        </w:rPr>
      </w:pPr>
      <w:r w:rsidRPr="000C739A">
        <w:rPr>
          <w:sz w:val="24"/>
          <w:szCs w:val="24"/>
        </w:rPr>
        <w:t>Benefits of membership: Is access to information a benefit of membership and does that benefit take priority over the public’s right to information?</w:t>
      </w:r>
    </w:p>
    <w:p w:rsidR="004A2FBC" w:rsidRPr="002B584C" w:rsidRDefault="004A2FBC" w:rsidP="009506E7">
      <w:pPr>
        <w:pStyle w:val="ListParagraph"/>
        <w:numPr>
          <w:ilvl w:val="0"/>
          <w:numId w:val="1"/>
        </w:numPr>
        <w:snapToGrid w:val="0"/>
        <w:spacing w:before="160" w:after="120" w:line="240" w:lineRule="auto"/>
        <w:ind w:left="1134" w:hanging="414"/>
        <w:contextualSpacing w:val="0"/>
        <w:rPr>
          <w:rFonts w:cs="Calibri"/>
          <w:sz w:val="24"/>
          <w:szCs w:val="24"/>
        </w:rPr>
      </w:pPr>
      <w:r w:rsidRPr="002B584C">
        <w:rPr>
          <w:rFonts w:cs="Calibri"/>
          <w:sz w:val="24"/>
          <w:szCs w:val="24"/>
        </w:rPr>
        <w:t>Exceptions</w:t>
      </w:r>
    </w:p>
    <w:p w:rsidR="004A2FBC" w:rsidRPr="002B584C" w:rsidRDefault="004A2FBC" w:rsidP="00250780">
      <w:pPr>
        <w:pStyle w:val="ListParagraph"/>
        <w:numPr>
          <w:ilvl w:val="0"/>
          <w:numId w:val="2"/>
        </w:numPr>
        <w:snapToGrid w:val="0"/>
        <w:spacing w:before="120" w:after="60" w:line="240" w:lineRule="auto"/>
        <w:ind w:left="1560" w:hanging="426"/>
        <w:contextualSpacing w:val="0"/>
        <w:rPr>
          <w:sz w:val="24"/>
          <w:szCs w:val="24"/>
        </w:rPr>
      </w:pPr>
      <w:r w:rsidRPr="002B584C">
        <w:rPr>
          <w:sz w:val="24"/>
          <w:szCs w:val="24"/>
        </w:rPr>
        <w:t>The grounds for withholding information should be clearly and specifically established. Any exceptions/restrictions on access should concern categories of information where disclosure would cause potential harm to a legitimate private or public interest that outweighs the benefits of accessibility.</w:t>
      </w:r>
    </w:p>
    <w:p w:rsidR="004A2FBC" w:rsidRPr="002B584C" w:rsidRDefault="004A2FBC" w:rsidP="00250780">
      <w:pPr>
        <w:pStyle w:val="ListParagraph"/>
        <w:numPr>
          <w:ilvl w:val="0"/>
          <w:numId w:val="2"/>
        </w:numPr>
        <w:snapToGrid w:val="0"/>
        <w:spacing w:before="60" w:after="60" w:line="240" w:lineRule="auto"/>
        <w:ind w:left="1560" w:hanging="426"/>
        <w:contextualSpacing w:val="0"/>
        <w:rPr>
          <w:sz w:val="24"/>
          <w:szCs w:val="24"/>
        </w:rPr>
      </w:pPr>
      <w:r w:rsidRPr="002B584C">
        <w:rPr>
          <w:sz w:val="24"/>
          <w:szCs w:val="24"/>
        </w:rPr>
        <w:t xml:space="preserve">Exceptions should be based on the </w:t>
      </w:r>
      <w:r w:rsidRPr="002B584C">
        <w:rPr>
          <w:i/>
          <w:iCs/>
          <w:sz w:val="24"/>
          <w:szCs w:val="24"/>
        </w:rPr>
        <w:t>content</w:t>
      </w:r>
      <w:r w:rsidRPr="002B584C">
        <w:rPr>
          <w:sz w:val="24"/>
          <w:szCs w:val="24"/>
        </w:rPr>
        <w:t xml:space="preserve">, rather than the </w:t>
      </w:r>
      <w:r w:rsidRPr="002B584C">
        <w:rPr>
          <w:i/>
          <w:iCs/>
          <w:sz w:val="24"/>
          <w:szCs w:val="24"/>
        </w:rPr>
        <w:t>types</w:t>
      </w:r>
      <w:r w:rsidR="000C739A">
        <w:rPr>
          <w:sz w:val="24"/>
          <w:szCs w:val="24"/>
        </w:rPr>
        <w:t>, of documents.</w:t>
      </w:r>
    </w:p>
    <w:p w:rsidR="004A2FBC" w:rsidRPr="002B584C" w:rsidRDefault="004A2FBC" w:rsidP="00250780">
      <w:pPr>
        <w:pStyle w:val="ListParagraph"/>
        <w:numPr>
          <w:ilvl w:val="0"/>
          <w:numId w:val="2"/>
        </w:numPr>
        <w:snapToGrid w:val="0"/>
        <w:spacing w:before="60" w:after="60" w:line="240" w:lineRule="auto"/>
        <w:ind w:left="1560" w:hanging="426"/>
        <w:contextualSpacing w:val="0"/>
        <w:rPr>
          <w:sz w:val="24"/>
          <w:szCs w:val="24"/>
        </w:rPr>
      </w:pPr>
      <w:r w:rsidRPr="002B584C">
        <w:rPr>
          <w:sz w:val="24"/>
          <w:szCs w:val="24"/>
        </w:rPr>
        <w:t>Exceptions should describe categories of content in a general way. The statements/criteria can then be used to evaluate any document anywhere in the organization to determine whether it is open or restricted/confidential. Separate procedures can be developed that map the organization’s current types of documents</w:t>
      </w:r>
      <w:r w:rsidR="004321A0">
        <w:rPr>
          <w:sz w:val="24"/>
          <w:szCs w:val="24"/>
        </w:rPr>
        <w:t xml:space="preserve"> to the restricted categories</w:t>
      </w:r>
      <w:r w:rsidR="00A1056E">
        <w:rPr>
          <w:sz w:val="24"/>
          <w:szCs w:val="24"/>
        </w:rPr>
        <w:t>.</w:t>
      </w:r>
    </w:p>
    <w:p w:rsidR="004A2FBC" w:rsidRPr="002B584C" w:rsidRDefault="004A2FBC" w:rsidP="00250780">
      <w:pPr>
        <w:pStyle w:val="ListParagraph"/>
        <w:numPr>
          <w:ilvl w:val="0"/>
          <w:numId w:val="2"/>
        </w:numPr>
        <w:snapToGrid w:val="0"/>
        <w:spacing w:before="60" w:after="60" w:line="240" w:lineRule="auto"/>
        <w:ind w:left="1560" w:hanging="426"/>
        <w:contextualSpacing w:val="0"/>
        <w:rPr>
          <w:sz w:val="24"/>
          <w:szCs w:val="24"/>
        </w:rPr>
      </w:pPr>
      <w:r w:rsidRPr="002B584C">
        <w:rPr>
          <w:sz w:val="24"/>
          <w:szCs w:val="24"/>
        </w:rPr>
        <w:t>Exceptions should, wherever possible, be time-limited. An access policy should include a clear statement on the scope and duration of restrictions (either for a specified period of time or until a specified condition has occurred).</w:t>
      </w:r>
    </w:p>
    <w:p w:rsidR="004A2FBC" w:rsidRPr="002B584C" w:rsidRDefault="004A2FBC" w:rsidP="00250780">
      <w:pPr>
        <w:pStyle w:val="ListParagraph"/>
        <w:numPr>
          <w:ilvl w:val="0"/>
          <w:numId w:val="2"/>
        </w:numPr>
        <w:snapToGrid w:val="0"/>
        <w:spacing w:before="60" w:after="120" w:line="240" w:lineRule="auto"/>
        <w:ind w:left="1560" w:hanging="426"/>
        <w:contextualSpacing w:val="0"/>
        <w:rPr>
          <w:sz w:val="24"/>
          <w:szCs w:val="24"/>
        </w:rPr>
      </w:pPr>
      <w:r w:rsidRPr="002B584C">
        <w:rPr>
          <w:sz w:val="24"/>
          <w:szCs w:val="24"/>
        </w:rPr>
        <w:lastRenderedPageBreak/>
        <w:t>Common categories of exceptions include:</w:t>
      </w:r>
    </w:p>
    <w:p w:rsidR="004A2FBC" w:rsidRPr="002B584C" w:rsidRDefault="004A2FBC" w:rsidP="00250780">
      <w:pPr>
        <w:pStyle w:val="ListParagraph"/>
        <w:numPr>
          <w:ilvl w:val="2"/>
          <w:numId w:val="1"/>
        </w:numPr>
        <w:snapToGrid w:val="0"/>
        <w:spacing w:before="120" w:after="60" w:line="240" w:lineRule="auto"/>
        <w:ind w:left="2520" w:hanging="393"/>
        <w:contextualSpacing w:val="0"/>
        <w:rPr>
          <w:rFonts w:cs="Calibri"/>
          <w:sz w:val="24"/>
          <w:szCs w:val="24"/>
        </w:rPr>
      </w:pPr>
      <w:r w:rsidRPr="002B584C">
        <w:rPr>
          <w:rFonts w:cs="Calibri"/>
          <w:sz w:val="24"/>
          <w:szCs w:val="24"/>
        </w:rPr>
        <w:t>personal information;</w:t>
      </w:r>
    </w:p>
    <w:p w:rsidR="004A2FBC" w:rsidRPr="002B584C" w:rsidRDefault="004A2FBC" w:rsidP="00250780">
      <w:pPr>
        <w:pStyle w:val="ListParagraph"/>
        <w:numPr>
          <w:ilvl w:val="2"/>
          <w:numId w:val="1"/>
        </w:numPr>
        <w:snapToGrid w:val="0"/>
        <w:spacing w:before="60" w:after="60" w:line="240" w:lineRule="auto"/>
        <w:ind w:left="2520" w:hanging="393"/>
        <w:contextualSpacing w:val="0"/>
        <w:rPr>
          <w:rFonts w:cs="Calibri"/>
          <w:sz w:val="24"/>
          <w:szCs w:val="24"/>
        </w:rPr>
      </w:pPr>
      <w:r w:rsidRPr="002B584C">
        <w:rPr>
          <w:rFonts w:cs="Calibri"/>
          <w:sz w:val="24"/>
          <w:szCs w:val="24"/>
        </w:rPr>
        <w:t>information related to legal, disciplinary or investigative matters;</w:t>
      </w:r>
    </w:p>
    <w:p w:rsidR="004A2FBC" w:rsidRPr="002B584C" w:rsidRDefault="004A2FBC" w:rsidP="00250780">
      <w:pPr>
        <w:pStyle w:val="ListParagraph"/>
        <w:numPr>
          <w:ilvl w:val="2"/>
          <w:numId w:val="1"/>
        </w:numPr>
        <w:snapToGrid w:val="0"/>
        <w:spacing w:before="60" w:after="60" w:line="240" w:lineRule="auto"/>
        <w:ind w:left="2520" w:hanging="393"/>
        <w:contextualSpacing w:val="0"/>
        <w:rPr>
          <w:rFonts w:cs="Calibri"/>
          <w:sz w:val="24"/>
          <w:szCs w:val="24"/>
        </w:rPr>
      </w:pPr>
      <w:r w:rsidRPr="002B584C">
        <w:rPr>
          <w:rFonts w:cs="Calibri"/>
          <w:sz w:val="24"/>
          <w:szCs w:val="24"/>
        </w:rPr>
        <w:t xml:space="preserve">information that would compromise safety and security; </w:t>
      </w:r>
    </w:p>
    <w:p w:rsidR="004A2FBC" w:rsidRPr="002B584C" w:rsidRDefault="004A2FBC">
      <w:pPr>
        <w:pStyle w:val="ListParagraph"/>
        <w:numPr>
          <w:ilvl w:val="2"/>
          <w:numId w:val="1"/>
        </w:numPr>
        <w:snapToGrid w:val="0"/>
        <w:spacing w:before="60" w:after="60" w:line="240" w:lineRule="auto"/>
        <w:ind w:left="2520" w:hanging="393"/>
        <w:contextualSpacing w:val="0"/>
        <w:rPr>
          <w:rFonts w:cs="Calibri"/>
          <w:sz w:val="24"/>
          <w:szCs w:val="24"/>
        </w:rPr>
      </w:pPr>
      <w:r w:rsidRPr="002B584C">
        <w:rPr>
          <w:rFonts w:cs="Calibri"/>
          <w:sz w:val="24"/>
          <w:szCs w:val="24"/>
        </w:rPr>
        <w:t xml:space="preserve">information provided by </w:t>
      </w:r>
      <w:r w:rsidR="004321A0">
        <w:rPr>
          <w:rFonts w:cs="Calibri"/>
          <w:sz w:val="24"/>
          <w:szCs w:val="24"/>
        </w:rPr>
        <w:t>M</w:t>
      </w:r>
      <w:r w:rsidR="004321A0" w:rsidRPr="002B584C">
        <w:rPr>
          <w:rFonts w:cs="Calibri"/>
          <w:sz w:val="24"/>
          <w:szCs w:val="24"/>
        </w:rPr>
        <w:t xml:space="preserve">ember </w:t>
      </w:r>
      <w:r w:rsidR="004321A0">
        <w:rPr>
          <w:rFonts w:cs="Calibri"/>
          <w:sz w:val="24"/>
          <w:szCs w:val="24"/>
        </w:rPr>
        <w:t>S</w:t>
      </w:r>
      <w:r w:rsidRPr="002B584C">
        <w:rPr>
          <w:rFonts w:cs="Calibri"/>
          <w:sz w:val="24"/>
          <w:szCs w:val="24"/>
        </w:rPr>
        <w:t>tates</w:t>
      </w:r>
      <w:r w:rsidR="002B584C">
        <w:rPr>
          <w:rFonts w:cs="Calibri"/>
          <w:sz w:val="24"/>
          <w:szCs w:val="24"/>
        </w:rPr>
        <w:t>/</w:t>
      </w:r>
      <w:r w:rsidR="004321A0">
        <w:rPr>
          <w:rFonts w:cs="Calibri"/>
          <w:sz w:val="24"/>
          <w:szCs w:val="24"/>
        </w:rPr>
        <w:t>m</w:t>
      </w:r>
      <w:r w:rsidR="002B584C">
        <w:rPr>
          <w:rFonts w:cs="Calibri"/>
          <w:sz w:val="24"/>
          <w:szCs w:val="24"/>
        </w:rPr>
        <w:t>embership</w:t>
      </w:r>
      <w:r w:rsidRPr="002B584C">
        <w:rPr>
          <w:rFonts w:cs="Calibri"/>
          <w:sz w:val="24"/>
          <w:szCs w:val="24"/>
        </w:rPr>
        <w:t xml:space="preserve"> or third parties in confidence;</w:t>
      </w:r>
    </w:p>
    <w:p w:rsidR="004A2FBC" w:rsidRPr="002B584C" w:rsidRDefault="004A2FBC" w:rsidP="00250780">
      <w:pPr>
        <w:pStyle w:val="ListParagraph"/>
        <w:numPr>
          <w:ilvl w:val="2"/>
          <w:numId w:val="1"/>
        </w:numPr>
        <w:snapToGrid w:val="0"/>
        <w:spacing w:before="60" w:after="60" w:line="240" w:lineRule="auto"/>
        <w:ind w:left="2520" w:hanging="393"/>
        <w:contextualSpacing w:val="0"/>
        <w:rPr>
          <w:rFonts w:cs="Calibri"/>
          <w:sz w:val="24"/>
          <w:szCs w:val="24"/>
        </w:rPr>
      </w:pPr>
      <w:r w:rsidRPr="002B584C">
        <w:rPr>
          <w:rFonts w:cs="Calibri"/>
          <w:sz w:val="24"/>
          <w:szCs w:val="24"/>
        </w:rPr>
        <w:t>commercial information;</w:t>
      </w:r>
    </w:p>
    <w:p w:rsidR="004A2FBC" w:rsidRPr="002B584C" w:rsidRDefault="004A2FBC" w:rsidP="00250780">
      <w:pPr>
        <w:pStyle w:val="ListParagraph"/>
        <w:numPr>
          <w:ilvl w:val="2"/>
          <w:numId w:val="1"/>
        </w:numPr>
        <w:snapToGrid w:val="0"/>
        <w:spacing w:before="60" w:after="60" w:line="240" w:lineRule="auto"/>
        <w:ind w:left="2520" w:hanging="393"/>
        <w:contextualSpacing w:val="0"/>
        <w:rPr>
          <w:rFonts w:cs="Calibri"/>
          <w:sz w:val="24"/>
          <w:szCs w:val="24"/>
        </w:rPr>
      </w:pPr>
      <w:r w:rsidRPr="002B584C">
        <w:rPr>
          <w:rFonts w:cs="Calibri"/>
          <w:sz w:val="24"/>
          <w:szCs w:val="24"/>
        </w:rPr>
        <w:t>financial information;</w:t>
      </w:r>
    </w:p>
    <w:p w:rsidR="004A2FBC" w:rsidRPr="002B584C" w:rsidRDefault="004A2FBC" w:rsidP="00250780">
      <w:pPr>
        <w:pStyle w:val="ListParagraph"/>
        <w:numPr>
          <w:ilvl w:val="2"/>
          <w:numId w:val="1"/>
        </w:numPr>
        <w:snapToGrid w:val="0"/>
        <w:spacing w:before="60" w:after="120" w:line="240" w:lineRule="auto"/>
        <w:ind w:left="2523" w:hanging="393"/>
        <w:contextualSpacing w:val="0"/>
        <w:rPr>
          <w:rFonts w:cs="Calibri"/>
          <w:sz w:val="24"/>
          <w:szCs w:val="24"/>
        </w:rPr>
      </w:pPr>
      <w:proofErr w:type="gramStart"/>
      <w:r w:rsidRPr="002B584C">
        <w:rPr>
          <w:rFonts w:cs="Calibri"/>
          <w:sz w:val="24"/>
          <w:szCs w:val="24"/>
        </w:rPr>
        <w:t>information</w:t>
      </w:r>
      <w:proofErr w:type="gramEnd"/>
      <w:r w:rsidRPr="002B584C">
        <w:rPr>
          <w:rFonts w:cs="Calibri"/>
          <w:sz w:val="24"/>
          <w:szCs w:val="24"/>
        </w:rPr>
        <w:t xml:space="preserve"> required for deliberative and internal decision-making processes</w:t>
      </w:r>
      <w:r w:rsidR="00A1056E">
        <w:rPr>
          <w:rFonts w:cs="Calibri"/>
          <w:sz w:val="24"/>
          <w:szCs w:val="24"/>
        </w:rPr>
        <w:t>.</w:t>
      </w:r>
    </w:p>
    <w:p w:rsidR="004A2FBC" w:rsidRPr="002B584C" w:rsidRDefault="004321A0" w:rsidP="009506E7">
      <w:pPr>
        <w:pStyle w:val="ListParagraph"/>
        <w:keepNext/>
        <w:keepLines/>
        <w:numPr>
          <w:ilvl w:val="0"/>
          <w:numId w:val="1"/>
        </w:numPr>
        <w:snapToGrid w:val="0"/>
        <w:spacing w:before="160" w:after="120" w:line="240" w:lineRule="auto"/>
        <w:ind w:left="1134" w:hanging="425"/>
        <w:contextualSpacing w:val="0"/>
        <w:rPr>
          <w:rFonts w:cs="Calibri"/>
          <w:sz w:val="24"/>
          <w:szCs w:val="24"/>
        </w:rPr>
      </w:pPr>
      <w:r>
        <w:rPr>
          <w:rFonts w:cs="Calibri"/>
          <w:sz w:val="24"/>
          <w:szCs w:val="24"/>
        </w:rPr>
        <w:t>Implementation aspects</w:t>
      </w:r>
    </w:p>
    <w:p w:rsidR="004A2FBC" w:rsidRPr="002B584C" w:rsidRDefault="004A2FBC" w:rsidP="00AF599F">
      <w:pPr>
        <w:pStyle w:val="ListParagraph"/>
        <w:keepNext/>
        <w:keepLines/>
        <w:numPr>
          <w:ilvl w:val="0"/>
          <w:numId w:val="2"/>
        </w:numPr>
        <w:snapToGrid w:val="0"/>
        <w:spacing w:before="120" w:after="120" w:line="240" w:lineRule="auto"/>
        <w:ind w:left="1560" w:hanging="426"/>
        <w:contextualSpacing w:val="0"/>
        <w:rPr>
          <w:sz w:val="24"/>
          <w:szCs w:val="24"/>
        </w:rPr>
      </w:pPr>
      <w:r w:rsidRPr="002B584C">
        <w:rPr>
          <w:sz w:val="24"/>
          <w:szCs w:val="24"/>
        </w:rPr>
        <w:t>How will information be made available and accessible to the public?</w:t>
      </w:r>
    </w:p>
    <w:p w:rsidR="004A2FBC" w:rsidRPr="002B584C" w:rsidRDefault="004321A0" w:rsidP="00512B34">
      <w:pPr>
        <w:pStyle w:val="ListParagraph"/>
        <w:numPr>
          <w:ilvl w:val="1"/>
          <w:numId w:val="2"/>
        </w:numPr>
        <w:snapToGrid w:val="0"/>
        <w:spacing w:before="120" w:after="40" w:line="240" w:lineRule="auto"/>
        <w:ind w:left="2520"/>
        <w:contextualSpacing w:val="0"/>
        <w:rPr>
          <w:sz w:val="24"/>
          <w:szCs w:val="24"/>
        </w:rPr>
      </w:pPr>
      <w:r>
        <w:rPr>
          <w:sz w:val="24"/>
          <w:szCs w:val="24"/>
        </w:rPr>
        <w:t>Proactive p</w:t>
      </w:r>
      <w:r w:rsidR="004A2FBC" w:rsidRPr="002B584C">
        <w:rPr>
          <w:sz w:val="24"/>
          <w:szCs w:val="24"/>
        </w:rPr>
        <w:t xml:space="preserve">osting of information on </w:t>
      </w:r>
      <w:r>
        <w:rPr>
          <w:sz w:val="24"/>
          <w:szCs w:val="24"/>
        </w:rPr>
        <w:t xml:space="preserve">the </w:t>
      </w:r>
      <w:r w:rsidR="004A2FBC" w:rsidRPr="002B584C">
        <w:rPr>
          <w:sz w:val="24"/>
          <w:szCs w:val="24"/>
        </w:rPr>
        <w:t>organization’s website</w:t>
      </w:r>
    </w:p>
    <w:p w:rsidR="004A2FBC" w:rsidRDefault="004A2FBC" w:rsidP="00512B34">
      <w:pPr>
        <w:pStyle w:val="ListParagraph"/>
        <w:numPr>
          <w:ilvl w:val="1"/>
          <w:numId w:val="2"/>
        </w:numPr>
        <w:snapToGrid w:val="0"/>
        <w:spacing w:before="40" w:after="40" w:line="240" w:lineRule="auto"/>
        <w:ind w:left="2520"/>
        <w:contextualSpacing w:val="0"/>
        <w:rPr>
          <w:sz w:val="24"/>
          <w:szCs w:val="24"/>
        </w:rPr>
      </w:pPr>
      <w:r w:rsidRPr="002B584C">
        <w:rPr>
          <w:sz w:val="24"/>
          <w:szCs w:val="24"/>
        </w:rPr>
        <w:t>Dissemination of information to regional information points</w:t>
      </w:r>
    </w:p>
    <w:p w:rsidR="004321A0" w:rsidRPr="002B584C" w:rsidRDefault="004321A0" w:rsidP="00512B34">
      <w:pPr>
        <w:pStyle w:val="ListParagraph"/>
        <w:numPr>
          <w:ilvl w:val="1"/>
          <w:numId w:val="2"/>
        </w:numPr>
        <w:snapToGrid w:val="0"/>
        <w:spacing w:before="40" w:after="120" w:line="240" w:lineRule="auto"/>
        <w:ind w:left="2520"/>
        <w:contextualSpacing w:val="0"/>
        <w:rPr>
          <w:sz w:val="24"/>
          <w:szCs w:val="24"/>
        </w:rPr>
      </w:pPr>
      <w:r>
        <w:rPr>
          <w:sz w:val="24"/>
          <w:szCs w:val="24"/>
        </w:rPr>
        <w:t>Accepting individual requests for information</w:t>
      </w:r>
    </w:p>
    <w:p w:rsidR="004A2FBC" w:rsidRDefault="004A2FBC">
      <w:pPr>
        <w:pStyle w:val="ListParagraph"/>
        <w:numPr>
          <w:ilvl w:val="0"/>
          <w:numId w:val="2"/>
        </w:numPr>
        <w:snapToGrid w:val="0"/>
        <w:spacing w:before="120" w:after="120" w:line="240" w:lineRule="auto"/>
        <w:ind w:left="1560" w:hanging="426"/>
        <w:contextualSpacing w:val="0"/>
        <w:rPr>
          <w:sz w:val="24"/>
          <w:szCs w:val="24"/>
        </w:rPr>
      </w:pPr>
      <w:r w:rsidRPr="002B584C">
        <w:rPr>
          <w:sz w:val="24"/>
          <w:szCs w:val="24"/>
        </w:rPr>
        <w:t>Who is responsible for handling requests for information? What is the process for handling requests for information?</w:t>
      </w:r>
    </w:p>
    <w:p w:rsidR="004321A0" w:rsidRPr="000C739A" w:rsidRDefault="004321A0" w:rsidP="00512B34">
      <w:pPr>
        <w:pStyle w:val="ListParagraph"/>
        <w:numPr>
          <w:ilvl w:val="0"/>
          <w:numId w:val="2"/>
        </w:numPr>
        <w:snapToGrid w:val="0"/>
        <w:spacing w:before="120" w:after="120" w:line="240" w:lineRule="auto"/>
        <w:ind w:left="1560" w:hanging="426"/>
        <w:contextualSpacing w:val="0"/>
        <w:rPr>
          <w:sz w:val="24"/>
          <w:szCs w:val="24"/>
        </w:rPr>
      </w:pPr>
      <w:r w:rsidRPr="00512B34">
        <w:rPr>
          <w:sz w:val="24"/>
          <w:szCs w:val="24"/>
        </w:rPr>
        <w:t>Creation</w:t>
      </w:r>
      <w:r w:rsidRPr="000C739A">
        <w:rPr>
          <w:sz w:val="24"/>
          <w:szCs w:val="24"/>
        </w:rPr>
        <w:t xml:space="preserve"> of an Oversight Committee/Access to Information Committee</w:t>
      </w:r>
      <w:r w:rsidRPr="000C739A">
        <w:rPr>
          <w:rStyle w:val="FootnoteReference"/>
          <w:szCs w:val="16"/>
        </w:rPr>
        <w:footnoteReference w:id="5"/>
      </w:r>
      <w:r w:rsidRPr="000C739A">
        <w:rPr>
          <w:sz w:val="24"/>
          <w:szCs w:val="24"/>
        </w:rPr>
        <w:t xml:space="preserve"> with responsibility for overseeing the implementation of the policy, including the following:</w:t>
      </w:r>
    </w:p>
    <w:p w:rsidR="004321A0" w:rsidRPr="00512B34" w:rsidRDefault="004321A0" w:rsidP="00512B34">
      <w:pPr>
        <w:pStyle w:val="ListParagraph"/>
        <w:numPr>
          <w:ilvl w:val="1"/>
          <w:numId w:val="2"/>
        </w:numPr>
        <w:snapToGrid w:val="0"/>
        <w:spacing w:before="120" w:after="40" w:line="240" w:lineRule="auto"/>
        <w:ind w:left="2520"/>
        <w:contextualSpacing w:val="0"/>
        <w:rPr>
          <w:sz w:val="24"/>
          <w:szCs w:val="24"/>
        </w:rPr>
      </w:pPr>
      <w:r w:rsidRPr="00512B34">
        <w:rPr>
          <w:sz w:val="24"/>
          <w:szCs w:val="24"/>
        </w:rPr>
        <w:t>Advising management on the application of the policy</w:t>
      </w:r>
    </w:p>
    <w:p w:rsidR="004321A0" w:rsidRPr="00512B34" w:rsidRDefault="004321A0" w:rsidP="00512B34">
      <w:pPr>
        <w:pStyle w:val="ListParagraph"/>
        <w:numPr>
          <w:ilvl w:val="1"/>
          <w:numId w:val="2"/>
        </w:numPr>
        <w:snapToGrid w:val="0"/>
        <w:spacing w:before="40" w:after="40" w:line="240" w:lineRule="auto"/>
        <w:ind w:left="2520"/>
        <w:contextualSpacing w:val="0"/>
        <w:rPr>
          <w:sz w:val="24"/>
          <w:szCs w:val="24"/>
        </w:rPr>
      </w:pPr>
      <w:r w:rsidRPr="00512B34">
        <w:rPr>
          <w:sz w:val="24"/>
          <w:szCs w:val="24"/>
        </w:rPr>
        <w:t>Reviewing proposals to disclose information that is on the list of exceptions</w:t>
      </w:r>
    </w:p>
    <w:p w:rsidR="004321A0" w:rsidRPr="00512B34" w:rsidRDefault="004321A0" w:rsidP="00512B34">
      <w:pPr>
        <w:pStyle w:val="ListParagraph"/>
        <w:numPr>
          <w:ilvl w:val="1"/>
          <w:numId w:val="2"/>
        </w:numPr>
        <w:snapToGrid w:val="0"/>
        <w:spacing w:before="40" w:after="40" w:line="240" w:lineRule="auto"/>
        <w:ind w:left="2520"/>
        <w:contextualSpacing w:val="0"/>
        <w:rPr>
          <w:sz w:val="24"/>
          <w:szCs w:val="24"/>
        </w:rPr>
      </w:pPr>
      <w:r w:rsidRPr="00512B34">
        <w:rPr>
          <w:sz w:val="24"/>
          <w:szCs w:val="24"/>
        </w:rPr>
        <w:t>Ensuring consistency in the implementation and application of the policy</w:t>
      </w:r>
    </w:p>
    <w:p w:rsidR="004321A0" w:rsidRPr="00512B34" w:rsidRDefault="004321A0" w:rsidP="00512B34">
      <w:pPr>
        <w:pStyle w:val="ListParagraph"/>
        <w:numPr>
          <w:ilvl w:val="1"/>
          <w:numId w:val="2"/>
        </w:numPr>
        <w:snapToGrid w:val="0"/>
        <w:spacing w:before="40" w:after="40" w:line="240" w:lineRule="auto"/>
        <w:ind w:left="2520"/>
        <w:contextualSpacing w:val="0"/>
        <w:rPr>
          <w:sz w:val="24"/>
          <w:szCs w:val="24"/>
        </w:rPr>
      </w:pPr>
      <w:r w:rsidRPr="00512B34">
        <w:rPr>
          <w:sz w:val="24"/>
          <w:szCs w:val="24"/>
        </w:rPr>
        <w:t>Receiving and ruling on appeals</w:t>
      </w:r>
    </w:p>
    <w:p w:rsidR="004321A0" w:rsidRPr="000C739A" w:rsidRDefault="004321A0" w:rsidP="00512B34">
      <w:pPr>
        <w:pStyle w:val="ListParagraph"/>
        <w:numPr>
          <w:ilvl w:val="1"/>
          <w:numId w:val="2"/>
        </w:numPr>
        <w:snapToGrid w:val="0"/>
        <w:spacing w:before="40" w:after="40" w:line="240" w:lineRule="auto"/>
        <w:ind w:left="2520"/>
        <w:contextualSpacing w:val="0"/>
        <w:rPr>
          <w:sz w:val="24"/>
          <w:szCs w:val="24"/>
        </w:rPr>
      </w:pPr>
      <w:r w:rsidRPr="00512B34">
        <w:rPr>
          <w:sz w:val="24"/>
          <w:szCs w:val="24"/>
        </w:rPr>
        <w:t>Issuing guidelines to staff on policy implementation, including developing procedures</w:t>
      </w:r>
      <w:r w:rsidRPr="000C739A">
        <w:rPr>
          <w:sz w:val="24"/>
          <w:szCs w:val="24"/>
        </w:rPr>
        <w:t xml:space="preserve"> and guidelines that map the organization’s current types of documents to the restricted categories</w:t>
      </w:r>
    </w:p>
    <w:p w:rsidR="004321A0" w:rsidRPr="000C739A" w:rsidRDefault="004321A0" w:rsidP="00512B34">
      <w:pPr>
        <w:pStyle w:val="ListParagraph"/>
        <w:numPr>
          <w:ilvl w:val="1"/>
          <w:numId w:val="2"/>
        </w:numPr>
        <w:snapToGrid w:val="0"/>
        <w:spacing w:before="40" w:after="60" w:line="240" w:lineRule="auto"/>
        <w:ind w:left="2520"/>
        <w:contextualSpacing w:val="0"/>
        <w:rPr>
          <w:sz w:val="24"/>
          <w:szCs w:val="24"/>
        </w:rPr>
      </w:pPr>
      <w:r w:rsidRPr="00512B34">
        <w:rPr>
          <w:sz w:val="24"/>
          <w:szCs w:val="24"/>
        </w:rPr>
        <w:t>Regularly</w:t>
      </w:r>
      <w:r w:rsidRPr="000C739A">
        <w:rPr>
          <w:sz w:val="24"/>
          <w:szCs w:val="24"/>
        </w:rPr>
        <w:t xml:space="preserve"> reviewing the policy and procedures and making recommendations on changes which should be made.</w:t>
      </w:r>
    </w:p>
    <w:p w:rsidR="004A2FBC" w:rsidRPr="002B584C" w:rsidRDefault="004A2FBC" w:rsidP="009506E7">
      <w:pPr>
        <w:pStyle w:val="ListParagraph"/>
        <w:numPr>
          <w:ilvl w:val="0"/>
          <w:numId w:val="1"/>
        </w:numPr>
        <w:snapToGrid w:val="0"/>
        <w:spacing w:before="160" w:after="120" w:line="240" w:lineRule="auto"/>
        <w:ind w:left="1134" w:hanging="425"/>
        <w:contextualSpacing w:val="0"/>
        <w:rPr>
          <w:rFonts w:cs="Calibri"/>
          <w:sz w:val="24"/>
          <w:szCs w:val="24"/>
        </w:rPr>
      </w:pPr>
      <w:r w:rsidRPr="002B584C">
        <w:rPr>
          <w:rFonts w:cs="Calibri"/>
          <w:sz w:val="24"/>
          <w:szCs w:val="24"/>
        </w:rPr>
        <w:t>Appeals Process</w:t>
      </w:r>
    </w:p>
    <w:p w:rsidR="004A2FBC" w:rsidRPr="002B584C" w:rsidRDefault="002E289E">
      <w:pPr>
        <w:pStyle w:val="ListParagraph"/>
        <w:numPr>
          <w:ilvl w:val="0"/>
          <w:numId w:val="2"/>
        </w:numPr>
        <w:snapToGrid w:val="0"/>
        <w:spacing w:before="120" w:after="120" w:line="240" w:lineRule="auto"/>
        <w:ind w:left="1560" w:hanging="426"/>
        <w:contextualSpacing w:val="0"/>
        <w:rPr>
          <w:sz w:val="24"/>
          <w:szCs w:val="24"/>
        </w:rPr>
      </w:pPr>
      <w:r>
        <w:rPr>
          <w:sz w:val="24"/>
          <w:szCs w:val="24"/>
        </w:rPr>
        <w:t>What right do individuals have to appeal a decision to deny access to requested information? What is the process? Who is responsible for handling the appeal?</w:t>
      </w:r>
    </w:p>
    <w:p w:rsidR="00F43F9C" w:rsidRDefault="00F43F9C" w:rsidP="00F7207D">
      <w:pPr>
        <w:tabs>
          <w:tab w:val="clear" w:pos="567"/>
          <w:tab w:val="clear" w:pos="1134"/>
          <w:tab w:val="clear" w:pos="1701"/>
          <w:tab w:val="clear" w:pos="2268"/>
          <w:tab w:val="clear" w:pos="2835"/>
        </w:tabs>
        <w:overflowPunct/>
        <w:autoSpaceDE/>
        <w:autoSpaceDN/>
        <w:adjustRightInd/>
        <w:spacing w:before="0"/>
        <w:jc w:val="both"/>
        <w:textAlignment w:val="auto"/>
      </w:pPr>
      <w:r>
        <w:br w:type="page"/>
      </w:r>
    </w:p>
    <w:p w:rsidR="00F7207D" w:rsidRDefault="00426AE1" w:rsidP="00F7207D">
      <w:pPr>
        <w:pStyle w:val="AnnexNo"/>
      </w:pPr>
      <w:bookmarkStart w:id="10" w:name="Annex1"/>
      <w:r w:rsidRPr="00426AE1">
        <w:lastRenderedPageBreak/>
        <w:t>ANNEX 1</w:t>
      </w:r>
    </w:p>
    <w:bookmarkEnd w:id="10"/>
    <w:p w:rsidR="00F7207D" w:rsidRDefault="00742240" w:rsidP="00F7207D">
      <w:pPr>
        <w:pStyle w:val="Annextitle"/>
      </w:pPr>
      <w:r>
        <w:t>E</w:t>
      </w:r>
      <w:r w:rsidR="00F7207D">
        <w:t>xtracts from</w:t>
      </w:r>
    </w:p>
    <w:p w:rsidR="00742240" w:rsidRPr="00D44E43" w:rsidRDefault="00F43F9C" w:rsidP="00F7207D">
      <w:pPr>
        <w:pStyle w:val="Annextitle"/>
        <w:rPr>
          <w:b w:val="0"/>
          <w:bCs/>
        </w:rPr>
      </w:pPr>
      <w:r>
        <w:t>D</w:t>
      </w:r>
      <w:r w:rsidR="00F7207D">
        <w:t>ocument</w:t>
      </w:r>
      <w:r w:rsidR="00D44E43" w:rsidRPr="00D44E43">
        <w:t xml:space="preserve"> </w:t>
      </w:r>
      <w:r w:rsidR="00D44E43">
        <w:t>C14/</w:t>
      </w:r>
      <w:r>
        <w:t>92</w:t>
      </w:r>
      <w:r w:rsidR="00F7207D">
        <w:t>:</w:t>
      </w:r>
      <w:r>
        <w:t xml:space="preserve"> </w:t>
      </w:r>
      <w:r w:rsidRPr="00F43F9C">
        <w:t>R</w:t>
      </w:r>
      <w:r w:rsidR="00F7207D">
        <w:t xml:space="preserve">eport by the Chairman of the Standing Committee on Administration and Management, and </w:t>
      </w:r>
      <w:r w:rsidR="00F7207D">
        <w:br/>
        <w:t xml:space="preserve">Document C14/99: Summary Record of the ninth Plenary Meeting </w:t>
      </w:r>
    </w:p>
    <w:p w:rsidR="00F7207D" w:rsidRDefault="00B24D03" w:rsidP="00B24D03">
      <w:pPr>
        <w:rPr>
          <w:rFonts w:asciiTheme="minorHAnsi" w:hAnsiTheme="minorHAnsi"/>
          <w:b/>
          <w:bCs/>
          <w:szCs w:val="24"/>
        </w:rPr>
      </w:pPr>
      <w:r>
        <w:rPr>
          <w:rFonts w:asciiTheme="minorHAnsi" w:hAnsiTheme="minorHAnsi"/>
          <w:b/>
          <w:bCs/>
          <w:szCs w:val="24"/>
        </w:rPr>
        <w:t xml:space="preserve">Extract of </w:t>
      </w:r>
      <w:r w:rsidR="00F7207D">
        <w:rPr>
          <w:rFonts w:asciiTheme="minorHAnsi" w:hAnsiTheme="minorHAnsi"/>
          <w:b/>
          <w:bCs/>
          <w:szCs w:val="24"/>
        </w:rPr>
        <w:t>Document C14/92:</w:t>
      </w:r>
      <w:r>
        <w:rPr>
          <w:rFonts w:asciiTheme="minorHAnsi" w:hAnsiTheme="minorHAnsi"/>
          <w:b/>
          <w:bCs/>
          <w:szCs w:val="24"/>
        </w:rPr>
        <w:t xml:space="preserve"> </w:t>
      </w:r>
      <w:r w:rsidRPr="00B24D03">
        <w:rPr>
          <w:bCs/>
        </w:rPr>
        <w:t>R</w:t>
      </w:r>
      <w:r>
        <w:t>eport by the Chairman of the Standing Committee on Administration and Management</w:t>
      </w:r>
    </w:p>
    <w:p w:rsidR="00F7207D" w:rsidRDefault="00F7207D" w:rsidP="00F7207D">
      <w:pPr>
        <w:jc w:val="both"/>
        <w:rPr>
          <w:rFonts w:asciiTheme="minorHAnsi" w:hAnsiTheme="minorHAnsi"/>
          <w:b/>
          <w:bCs/>
          <w:szCs w:val="24"/>
        </w:rPr>
      </w:pPr>
      <w:r>
        <w:rPr>
          <w:rFonts w:asciiTheme="minorHAnsi" w:hAnsiTheme="minorHAnsi"/>
          <w:b/>
          <w:bCs/>
          <w:szCs w:val="24"/>
        </w:rPr>
        <w:t>……..</w:t>
      </w:r>
    </w:p>
    <w:p w:rsidR="00D44E43" w:rsidRDefault="00D44E43" w:rsidP="00F7207D">
      <w:pPr>
        <w:jc w:val="both"/>
        <w:rPr>
          <w:rFonts w:asciiTheme="minorHAnsi" w:hAnsiTheme="minorHAnsi"/>
          <w:b/>
          <w:bCs/>
          <w:szCs w:val="24"/>
        </w:rPr>
      </w:pPr>
      <w:r>
        <w:rPr>
          <w:rFonts w:asciiTheme="minorHAnsi" w:hAnsiTheme="minorHAnsi"/>
          <w:b/>
          <w:bCs/>
          <w:szCs w:val="24"/>
        </w:rPr>
        <w:t xml:space="preserve">General policy regarding access to ITU documents (Documents </w:t>
      </w:r>
      <w:hyperlink r:id="rId18" w:history="1">
        <w:r>
          <w:rPr>
            <w:rStyle w:val="Hyperlink"/>
            <w:rFonts w:asciiTheme="minorHAnsi" w:hAnsiTheme="minorHAnsi"/>
            <w:b/>
            <w:bCs/>
            <w:szCs w:val="24"/>
          </w:rPr>
          <w:t>C14/INF/20</w:t>
        </w:r>
      </w:hyperlink>
      <w:r>
        <w:rPr>
          <w:rFonts w:asciiTheme="minorHAnsi" w:hAnsiTheme="minorHAnsi"/>
          <w:b/>
          <w:bCs/>
          <w:szCs w:val="24"/>
        </w:rPr>
        <w:t xml:space="preserve"> and </w:t>
      </w:r>
      <w:hyperlink r:id="rId19" w:history="1">
        <w:r>
          <w:rPr>
            <w:rStyle w:val="Hyperlink"/>
            <w:rFonts w:asciiTheme="minorHAnsi" w:hAnsiTheme="minorHAnsi"/>
            <w:b/>
            <w:bCs/>
            <w:szCs w:val="24"/>
          </w:rPr>
          <w:t>C14/64</w:t>
        </w:r>
      </w:hyperlink>
      <w:r>
        <w:rPr>
          <w:rFonts w:asciiTheme="minorHAnsi" w:hAnsiTheme="minorHAnsi"/>
          <w:b/>
          <w:bCs/>
          <w:szCs w:val="24"/>
        </w:rPr>
        <w:t>)</w:t>
      </w:r>
    </w:p>
    <w:p w:rsidR="00D44E43" w:rsidRDefault="00D44E43" w:rsidP="00AF599F">
      <w:pPr>
        <w:pStyle w:val="ListParagraph"/>
        <w:adjustRightInd w:val="0"/>
        <w:spacing w:before="120" w:after="120" w:line="240" w:lineRule="auto"/>
        <w:ind w:left="0"/>
        <w:rPr>
          <w:rFonts w:ascii="Calibri" w:hAnsi="Calibri" w:cs="Calibri"/>
          <w:sz w:val="24"/>
          <w:szCs w:val="24"/>
        </w:rPr>
      </w:pPr>
      <w:r>
        <w:rPr>
          <w:rFonts w:ascii="Calibri" w:hAnsi="Calibri" w:cs="Calibri"/>
          <w:sz w:val="24"/>
          <w:szCs w:val="24"/>
        </w:rPr>
        <w:t>7.9</w:t>
      </w:r>
      <w:r>
        <w:rPr>
          <w:rFonts w:ascii="Calibri" w:hAnsi="Calibri" w:cs="Calibri"/>
          <w:sz w:val="24"/>
          <w:szCs w:val="24"/>
        </w:rPr>
        <w:tab/>
        <w:t>The delegate from the United States of America presented the document on Access to ITU documents with a view of enhancing transparency of ITU decisions, improving decision-making and ensuring accountability.</w:t>
      </w:r>
    </w:p>
    <w:p w:rsidR="00D44E43" w:rsidRDefault="00D44E43" w:rsidP="00AF599F">
      <w:pPr>
        <w:pStyle w:val="ListParagraph"/>
        <w:adjustRightInd w:val="0"/>
        <w:spacing w:before="120" w:after="120" w:line="240" w:lineRule="auto"/>
        <w:ind w:left="0"/>
        <w:rPr>
          <w:rFonts w:ascii="Calibri" w:hAnsi="Calibri" w:cs="Calibri"/>
          <w:sz w:val="24"/>
          <w:szCs w:val="24"/>
        </w:rPr>
      </w:pPr>
      <w:r>
        <w:rPr>
          <w:rFonts w:ascii="Calibri" w:hAnsi="Calibri" w:cs="Calibri"/>
          <w:sz w:val="24"/>
          <w:szCs w:val="24"/>
        </w:rPr>
        <w:t>7.10</w:t>
      </w:r>
      <w:r>
        <w:rPr>
          <w:rFonts w:ascii="Calibri" w:hAnsi="Calibri" w:cs="Calibri"/>
          <w:sz w:val="24"/>
          <w:szCs w:val="24"/>
        </w:rPr>
        <w:tab/>
        <w:t>The document proposed making the Plenipotentiary Conference (PP-14) documents accessible to the public.</w:t>
      </w:r>
    </w:p>
    <w:p w:rsidR="00D44E43" w:rsidRDefault="00D44E43" w:rsidP="00AF599F">
      <w:pPr>
        <w:pStyle w:val="ListParagraph"/>
        <w:adjustRightInd w:val="0"/>
        <w:spacing w:before="120" w:after="120" w:line="240" w:lineRule="auto"/>
        <w:ind w:left="0"/>
        <w:rPr>
          <w:rFonts w:ascii="Calibri" w:hAnsi="Calibri" w:cs="Calibri"/>
          <w:sz w:val="24"/>
          <w:szCs w:val="24"/>
        </w:rPr>
      </w:pPr>
      <w:r>
        <w:rPr>
          <w:rFonts w:ascii="Calibri" w:hAnsi="Calibri" w:cs="Calibri"/>
          <w:sz w:val="24"/>
          <w:szCs w:val="24"/>
        </w:rPr>
        <w:t xml:space="preserve">7.11 </w:t>
      </w:r>
      <w:r>
        <w:rPr>
          <w:rFonts w:ascii="Calibri" w:hAnsi="Calibri" w:cs="Calibri"/>
          <w:sz w:val="24"/>
          <w:szCs w:val="24"/>
        </w:rPr>
        <w:tab/>
        <w:t>The protection of privacy of individuals and third parties, legal privilege, contractual, proprietary or commercial information, and certain governance matters should be carefully taking into account in the document access policy.</w:t>
      </w:r>
    </w:p>
    <w:p w:rsidR="00D44E43" w:rsidRDefault="00D44E43" w:rsidP="00AF599F">
      <w:pPr>
        <w:tabs>
          <w:tab w:val="clear" w:pos="567"/>
          <w:tab w:val="clear" w:pos="1134"/>
          <w:tab w:val="clear" w:pos="1701"/>
          <w:tab w:val="clear" w:pos="2268"/>
          <w:tab w:val="clear" w:pos="2835"/>
        </w:tabs>
        <w:spacing w:after="120"/>
        <w:rPr>
          <w:rFonts w:asciiTheme="minorHAnsi" w:hAnsiTheme="minorHAnsi"/>
          <w:szCs w:val="24"/>
        </w:rPr>
      </w:pPr>
      <w:r>
        <w:rPr>
          <w:rFonts w:cs="Calibri"/>
          <w:szCs w:val="24"/>
        </w:rPr>
        <w:t>7.12</w:t>
      </w:r>
      <w:r>
        <w:rPr>
          <w:rFonts w:cs="Calibri"/>
          <w:szCs w:val="24"/>
        </w:rPr>
        <w:tab/>
        <w:t xml:space="preserve">While a number of delegates expressed their support of the proposal, some delegates reminded the Committee to exercise caution in providing access of documents to the public. </w:t>
      </w:r>
      <w:r>
        <w:rPr>
          <w:rFonts w:asciiTheme="minorHAnsi" w:hAnsiTheme="minorHAnsi"/>
          <w:szCs w:val="24"/>
        </w:rPr>
        <w:t>A significant number of delegates expressed the desire for transparency.  While a number of delegates supported the public disclosure of documents to enhance transparency of ITU decisions, improve decision-making and help ensure accountability, some delegates believe that caution must be applied in public disclosure of information.</w:t>
      </w:r>
    </w:p>
    <w:p w:rsidR="00D44E43" w:rsidRDefault="00D44E43" w:rsidP="00511FDA">
      <w:pPr>
        <w:tabs>
          <w:tab w:val="clear" w:pos="567"/>
          <w:tab w:val="clear" w:pos="1134"/>
          <w:tab w:val="clear" w:pos="1701"/>
          <w:tab w:val="clear" w:pos="2268"/>
          <w:tab w:val="clear" w:pos="2835"/>
        </w:tabs>
        <w:spacing w:after="160"/>
        <w:rPr>
          <w:rFonts w:asciiTheme="minorHAnsi" w:hAnsiTheme="minorHAnsi"/>
          <w:szCs w:val="24"/>
        </w:rPr>
      </w:pPr>
      <w:r>
        <w:rPr>
          <w:rFonts w:asciiTheme="minorHAnsi" w:hAnsiTheme="minorHAnsi"/>
          <w:szCs w:val="24"/>
        </w:rPr>
        <w:t>7.13</w:t>
      </w:r>
      <w:r>
        <w:rPr>
          <w:rFonts w:asciiTheme="minorHAnsi" w:hAnsiTheme="minorHAnsi"/>
          <w:szCs w:val="24"/>
        </w:rPr>
        <w:tab/>
        <w:t>The ITU Legal Advisor confirmed that a decision on the general policy of access to ITU documents has to be taken by the Plenipotentiary Conference.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D44E43" w:rsidTr="00D44E43">
        <w:tc>
          <w:tcPr>
            <w:tcW w:w="9287" w:type="dxa"/>
            <w:tcBorders>
              <w:top w:val="single" w:sz="4" w:space="0" w:color="auto"/>
              <w:left w:val="single" w:sz="4" w:space="0" w:color="auto"/>
              <w:bottom w:val="single" w:sz="4" w:space="0" w:color="auto"/>
              <w:right w:val="single" w:sz="4" w:space="0" w:color="auto"/>
            </w:tcBorders>
            <w:hideMark/>
          </w:tcPr>
          <w:p w:rsidR="00D44E43" w:rsidRDefault="00D44E43" w:rsidP="00511FDA">
            <w:pPr>
              <w:spacing w:before="60" w:after="120"/>
              <w:rPr>
                <w:b/>
                <w:bCs/>
                <w:i/>
                <w:iCs/>
                <w:szCs w:val="24"/>
              </w:rPr>
            </w:pPr>
            <w:r>
              <w:rPr>
                <w:b/>
                <w:bCs/>
                <w:i/>
                <w:iCs/>
                <w:szCs w:val="24"/>
              </w:rPr>
              <w:t>Recommendation</w:t>
            </w:r>
          </w:p>
          <w:p w:rsidR="00D44E43" w:rsidRDefault="00D44E43" w:rsidP="00511FDA">
            <w:pPr>
              <w:spacing w:after="60"/>
              <w:rPr>
                <w:szCs w:val="24"/>
              </w:rPr>
            </w:pPr>
            <w:r>
              <w:rPr>
                <w:szCs w:val="24"/>
              </w:rPr>
              <w:t>7.14</w:t>
            </w:r>
            <w:r>
              <w:rPr>
                <w:szCs w:val="24"/>
              </w:rPr>
              <w:tab/>
              <w:t>The Committee recommends that t</w:t>
            </w:r>
            <w:r>
              <w:rPr>
                <w:rFonts w:cs="Calibri"/>
                <w:szCs w:val="24"/>
              </w:rPr>
              <w:t>he Secretariat further study the issue and present appropriate documentation and a summary of the discussion of this item by the Council to the Plenipotentiary Conference for decision.</w:t>
            </w:r>
          </w:p>
        </w:tc>
      </w:tr>
    </w:tbl>
    <w:p w:rsidR="00EF35FF" w:rsidRDefault="00EF35FF" w:rsidP="00EF35FF">
      <w:pPr>
        <w:spacing w:before="480"/>
        <w:rPr>
          <w:rFonts w:asciiTheme="minorHAnsi" w:hAnsiTheme="minorHAnsi"/>
          <w:b/>
          <w:bCs/>
          <w:i/>
          <w:iCs/>
          <w:szCs w:val="24"/>
        </w:rPr>
      </w:pPr>
      <w:r>
        <w:rPr>
          <w:rFonts w:asciiTheme="minorHAnsi" w:hAnsiTheme="minorHAnsi"/>
          <w:b/>
          <w:bCs/>
          <w:i/>
          <w:iCs/>
          <w:szCs w:val="24"/>
        </w:rPr>
        <w:t>---</w:t>
      </w:r>
    </w:p>
    <w:p w:rsidR="00EF35FF" w:rsidRDefault="00EF35FF" w:rsidP="00EF35FF">
      <w:pPr>
        <w:spacing w:before="480"/>
        <w:rPr>
          <w:rFonts w:asciiTheme="minorHAnsi" w:hAnsiTheme="minorHAnsi"/>
          <w:b/>
          <w:bCs/>
          <w:szCs w:val="24"/>
        </w:rPr>
      </w:pPr>
      <w:r>
        <w:rPr>
          <w:rFonts w:asciiTheme="minorHAnsi" w:hAnsiTheme="minorHAnsi"/>
          <w:b/>
          <w:bCs/>
          <w:szCs w:val="24"/>
        </w:rPr>
        <w:t>Access to Internal Auditor’s, IMAC and External Auditor’s reports (Documents </w:t>
      </w:r>
      <w:hyperlink r:id="rId20" w:history="1">
        <w:r>
          <w:rPr>
            <w:rStyle w:val="Hyperlink"/>
            <w:rFonts w:asciiTheme="minorHAnsi" w:hAnsiTheme="minorHAnsi"/>
            <w:b/>
            <w:bCs/>
            <w:szCs w:val="24"/>
          </w:rPr>
          <w:t>C14/61</w:t>
        </w:r>
      </w:hyperlink>
      <w:r>
        <w:rPr>
          <w:rFonts w:asciiTheme="minorHAnsi" w:hAnsiTheme="minorHAnsi"/>
          <w:b/>
          <w:bCs/>
          <w:szCs w:val="24"/>
        </w:rPr>
        <w:t xml:space="preserve"> and </w:t>
      </w:r>
      <w:hyperlink r:id="rId21" w:history="1">
        <w:r>
          <w:rPr>
            <w:rStyle w:val="Hyperlink"/>
            <w:rFonts w:asciiTheme="minorHAnsi" w:hAnsiTheme="minorHAnsi"/>
            <w:b/>
            <w:bCs/>
            <w:szCs w:val="24"/>
          </w:rPr>
          <w:t>C14/62</w:t>
        </w:r>
      </w:hyperlink>
      <w:r>
        <w:rPr>
          <w:rFonts w:asciiTheme="minorHAnsi" w:hAnsiTheme="minorHAnsi"/>
          <w:b/>
          <w:bCs/>
          <w:szCs w:val="24"/>
        </w:rPr>
        <w:t>)</w:t>
      </w:r>
    </w:p>
    <w:p w:rsidR="00EF35FF" w:rsidRDefault="00EF35FF" w:rsidP="00EF35FF">
      <w:pPr>
        <w:spacing w:after="240"/>
        <w:rPr>
          <w:rFonts w:asciiTheme="minorHAnsi" w:hAnsiTheme="minorHAnsi"/>
          <w:szCs w:val="24"/>
        </w:rPr>
      </w:pPr>
      <w:r>
        <w:rPr>
          <w:rFonts w:asciiTheme="minorHAnsi" w:hAnsiTheme="minorHAnsi"/>
          <w:szCs w:val="24"/>
        </w:rPr>
        <w:t>7.15</w:t>
      </w:r>
      <w:r>
        <w:rPr>
          <w:rFonts w:asciiTheme="minorHAnsi" w:hAnsiTheme="minorHAnsi"/>
          <w:szCs w:val="24"/>
        </w:rPr>
        <w:tab/>
        <w:t>The issue of access to ITU documents and public disclosure of reports of the Internal Auditor, External Auditor and IMAC was the subject of lengthy and serious debates and generated numerous interventions from delegates.</w:t>
      </w:r>
    </w:p>
    <w:p w:rsidR="00EF35FF" w:rsidRDefault="00EF35FF" w:rsidP="00EF35FF">
      <w:pPr>
        <w:spacing w:after="240"/>
        <w:rPr>
          <w:rFonts w:asciiTheme="minorHAnsi" w:hAnsiTheme="minorHAnsi"/>
          <w:szCs w:val="24"/>
        </w:rPr>
      </w:pPr>
      <w:r>
        <w:rPr>
          <w:rFonts w:asciiTheme="minorHAnsi" w:hAnsiTheme="minorHAnsi"/>
          <w:szCs w:val="24"/>
        </w:rPr>
        <w:lastRenderedPageBreak/>
        <w:t>7.16</w:t>
      </w:r>
      <w:r>
        <w:rPr>
          <w:rFonts w:asciiTheme="minorHAnsi" w:hAnsiTheme="minorHAnsi"/>
          <w:szCs w:val="24"/>
        </w:rPr>
        <w:tab/>
        <w:t>A significant number of delegates expressed the desire for transparency.  While a number of delegates supported the public disclosure of documents to enhance transparency of ITU decisions, improve decision-making and help ensure accountability, some delegates believe that caution must be applied in public disclosure of information.  They felt that documents must be sufficiently examined and verified to avoid incorrect conclusions.</w:t>
      </w:r>
    </w:p>
    <w:p w:rsidR="00EF35FF" w:rsidRDefault="00EF35FF" w:rsidP="00EF35FF">
      <w:pPr>
        <w:spacing w:after="240"/>
        <w:rPr>
          <w:rFonts w:asciiTheme="minorHAnsi" w:hAnsiTheme="minorHAnsi"/>
          <w:bCs/>
          <w:szCs w:val="24"/>
        </w:rPr>
      </w:pPr>
      <w:r>
        <w:rPr>
          <w:rFonts w:asciiTheme="minorHAnsi" w:hAnsiTheme="minorHAnsi"/>
          <w:bCs/>
          <w:szCs w:val="24"/>
        </w:rPr>
        <w:t>7.17</w:t>
      </w:r>
      <w:r>
        <w:rPr>
          <w:rFonts w:asciiTheme="minorHAnsi" w:hAnsiTheme="minorHAnsi"/>
          <w:bCs/>
          <w:szCs w:val="24"/>
        </w:rPr>
        <w:tab/>
      </w:r>
      <w:r>
        <w:rPr>
          <w:rFonts w:asciiTheme="minorHAnsi" w:hAnsiTheme="minorHAnsi"/>
          <w:szCs w:val="24"/>
        </w:rPr>
        <w:t>A proposal was presented by the United States to the Committee to recommend to the Council that the reports of the Internal Auditor and IMAC be made publicly accessible.</w:t>
      </w:r>
    </w:p>
    <w:p w:rsidR="00EF35FF" w:rsidRDefault="00EF35FF" w:rsidP="00EF35FF">
      <w:pPr>
        <w:spacing w:after="240"/>
        <w:rPr>
          <w:rFonts w:asciiTheme="minorHAnsi" w:hAnsiTheme="minorHAnsi"/>
          <w:b/>
          <w:bCs/>
          <w:szCs w:val="24"/>
        </w:rPr>
      </w:pPr>
      <w:r>
        <w:rPr>
          <w:rFonts w:asciiTheme="minorHAnsi" w:hAnsiTheme="minorHAnsi"/>
          <w:szCs w:val="24"/>
        </w:rPr>
        <w:t>7.18</w:t>
      </w:r>
      <w:r>
        <w:rPr>
          <w:rFonts w:asciiTheme="minorHAnsi" w:hAnsiTheme="minorHAnsi"/>
          <w:szCs w:val="24"/>
        </w:rPr>
        <w:tab/>
        <w:t>The Secretariat presented during the March 2014 session of the Council Working Group on Financial and Human Resources (CWG-FHR) a comprehensive report on access to ITU documents, during which time it was requested that Council should further consider that the reports of the Internal and External Auditors as well as those of the Independent Management Advisory Committee (IMAC) be made accessible to the public.</w:t>
      </w:r>
    </w:p>
    <w:p w:rsidR="00EF35FF" w:rsidRDefault="00EF35FF" w:rsidP="00EF35FF">
      <w:pPr>
        <w:spacing w:after="240"/>
        <w:rPr>
          <w:rFonts w:asciiTheme="minorHAnsi" w:hAnsiTheme="minorHAnsi"/>
          <w:szCs w:val="24"/>
        </w:rPr>
      </w:pPr>
      <w:r>
        <w:rPr>
          <w:rFonts w:asciiTheme="minorHAnsi" w:hAnsiTheme="minorHAnsi"/>
          <w:szCs w:val="24"/>
        </w:rPr>
        <w:t>7.19</w:t>
      </w:r>
      <w:r>
        <w:rPr>
          <w:rFonts w:asciiTheme="minorHAnsi" w:hAnsiTheme="minorHAnsi"/>
          <w:szCs w:val="24"/>
        </w:rPr>
        <w:tab/>
        <w:t>The accessibility to internal audit reports is already being practiced in the UN and in some UN agencies.  The document highlights the importance of public disclosure of internal audit reports to enhance ITU’s credibility, transparency and accountability.</w:t>
      </w:r>
    </w:p>
    <w:p w:rsidR="00EF35FF" w:rsidRDefault="00EF35FF" w:rsidP="00EF35FF">
      <w:pPr>
        <w:spacing w:after="240"/>
        <w:rPr>
          <w:rFonts w:asciiTheme="minorHAnsi" w:hAnsiTheme="minorHAnsi"/>
          <w:b/>
          <w:bCs/>
          <w:szCs w:val="24"/>
        </w:rPr>
      </w:pPr>
      <w:r>
        <w:rPr>
          <w:rFonts w:asciiTheme="minorHAnsi" w:hAnsiTheme="minorHAnsi"/>
          <w:szCs w:val="24"/>
        </w:rPr>
        <w:t>7.20</w:t>
      </w:r>
      <w:r>
        <w:rPr>
          <w:rFonts w:asciiTheme="minorHAnsi" w:hAnsiTheme="minorHAnsi"/>
          <w:szCs w:val="24"/>
        </w:rPr>
        <w:tab/>
        <w:t>On exceptional cases where information could endanger the safety and security of any individual, violate his/her due process rights or compromise pending legal action, confidentiality measures may be taken e.g., the internal audit report may be revised for such purpose.</w:t>
      </w:r>
    </w:p>
    <w:p w:rsidR="00EF35FF" w:rsidRDefault="00EF35FF" w:rsidP="00EF35FF">
      <w:pPr>
        <w:spacing w:after="240"/>
        <w:rPr>
          <w:rFonts w:asciiTheme="minorHAnsi" w:hAnsiTheme="minorHAnsi"/>
          <w:b/>
          <w:bCs/>
          <w:szCs w:val="24"/>
        </w:rPr>
      </w:pPr>
      <w:r>
        <w:rPr>
          <w:rFonts w:asciiTheme="minorHAnsi" w:hAnsiTheme="minorHAnsi"/>
          <w:szCs w:val="24"/>
        </w:rPr>
        <w:t>7.21</w:t>
      </w:r>
      <w:r>
        <w:rPr>
          <w:rFonts w:asciiTheme="minorHAnsi" w:hAnsiTheme="minorHAnsi"/>
          <w:szCs w:val="24"/>
        </w:rPr>
        <w:tab/>
        <w:t>Some delegates supported the proposal, others expressed some reservation and a number would like to defer the discussion to allow ample time for analysis and study of the issue.</w:t>
      </w:r>
    </w:p>
    <w:p w:rsidR="00EF35FF" w:rsidRDefault="00EF35FF" w:rsidP="00EF35FF">
      <w:pPr>
        <w:spacing w:after="240"/>
        <w:rPr>
          <w:rFonts w:asciiTheme="minorHAnsi" w:hAnsiTheme="minorHAnsi"/>
          <w:szCs w:val="24"/>
        </w:rPr>
      </w:pPr>
      <w:r>
        <w:rPr>
          <w:rFonts w:asciiTheme="minorHAnsi" w:hAnsiTheme="minorHAnsi"/>
          <w:szCs w:val="24"/>
        </w:rPr>
        <w:t>7.22</w:t>
      </w:r>
      <w:r>
        <w:rPr>
          <w:rFonts w:asciiTheme="minorHAnsi" w:hAnsiTheme="minorHAnsi"/>
          <w:szCs w:val="24"/>
        </w:rPr>
        <w:tab/>
        <w:t>The United States presented its proposal on the publication of annual reports of the External Auditor on ITU’s publicly accessible website, in line with the best practice in the United Nations system.</w:t>
      </w:r>
    </w:p>
    <w:p w:rsidR="00EF35FF" w:rsidRDefault="00EF35FF" w:rsidP="00EF35FF">
      <w:pPr>
        <w:spacing w:after="240"/>
        <w:rPr>
          <w:rFonts w:asciiTheme="minorHAnsi" w:hAnsiTheme="minorHAnsi"/>
          <w:szCs w:val="24"/>
        </w:rPr>
      </w:pPr>
      <w:r>
        <w:rPr>
          <w:rFonts w:asciiTheme="minorHAnsi" w:hAnsiTheme="minorHAnsi"/>
          <w:szCs w:val="24"/>
        </w:rPr>
        <w:t>7.23</w:t>
      </w:r>
      <w:r>
        <w:rPr>
          <w:rFonts w:asciiTheme="minorHAnsi" w:hAnsiTheme="minorHAnsi"/>
          <w:szCs w:val="24"/>
        </w:rPr>
        <w:tab/>
        <w:t>The proposal highlights the importance of transparency of financial management practices to build confidence among all stakeholders and to ensure continued support of the organization and its mandates.</w:t>
      </w:r>
    </w:p>
    <w:p w:rsidR="00EF35FF" w:rsidRDefault="00EF35FF" w:rsidP="00EF35FF">
      <w:pPr>
        <w:spacing w:after="240"/>
        <w:rPr>
          <w:rFonts w:asciiTheme="minorHAnsi" w:hAnsiTheme="minorHAnsi"/>
          <w:b/>
          <w:bCs/>
          <w:szCs w:val="24"/>
          <w:u w:val="single"/>
        </w:rPr>
      </w:pPr>
      <w:r>
        <w:rPr>
          <w:rFonts w:asciiTheme="minorHAnsi" w:hAnsiTheme="minorHAnsi"/>
          <w:szCs w:val="24"/>
        </w:rPr>
        <w:t>7.24</w:t>
      </w:r>
      <w:r>
        <w:rPr>
          <w:rFonts w:asciiTheme="minorHAnsi" w:hAnsiTheme="minorHAnsi"/>
          <w:szCs w:val="24"/>
        </w:rPr>
        <w:tab/>
        <w:t>Some delegates proposed a text which reflects the various concerns with a view of arriving at a consensus i.e., the recommendation to the Council to make publicly available the IMAC and External Auditor’s report, and the summary of the annual report of the Internal Auditor, on a temporary and exceptional basis until PP-14 decides on the general policy on access to ITU documents and public disclosure.  Such temporary arrangement should in no way create any precedence for future action on this regard until the PP-14 decides on the matter, as appropriate.</w:t>
      </w:r>
    </w:p>
    <w:p w:rsidR="00EF35FF" w:rsidRDefault="00EF35FF" w:rsidP="00EF35FF">
      <w:pPr>
        <w:spacing w:after="240"/>
        <w:rPr>
          <w:szCs w:val="24"/>
        </w:rPr>
      </w:pPr>
      <w:r>
        <w:rPr>
          <w:szCs w:val="24"/>
        </w:rPr>
        <w:t>7.25</w:t>
      </w:r>
      <w:r>
        <w:rPr>
          <w:szCs w:val="24"/>
        </w:rPr>
        <w:tab/>
        <w:t>The ITU Legal Advisor confirmed that the ITU Council has the power to decide on this issue.</w:t>
      </w:r>
    </w:p>
    <w:p w:rsidR="00EF35FF" w:rsidRDefault="00EF35FF" w:rsidP="00EF35FF">
      <w:pPr>
        <w:pStyle w:val="Heading1"/>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EF35FF" w:rsidTr="00EF35FF">
        <w:tc>
          <w:tcPr>
            <w:tcW w:w="9287" w:type="dxa"/>
            <w:tcBorders>
              <w:top w:val="single" w:sz="4" w:space="0" w:color="auto"/>
              <w:left w:val="single" w:sz="4" w:space="0" w:color="auto"/>
              <w:bottom w:val="single" w:sz="4" w:space="0" w:color="auto"/>
              <w:right w:val="single" w:sz="4" w:space="0" w:color="auto"/>
            </w:tcBorders>
            <w:hideMark/>
          </w:tcPr>
          <w:p w:rsidR="00EF35FF" w:rsidRDefault="00EF35FF">
            <w:pPr>
              <w:spacing w:after="120"/>
              <w:rPr>
                <w:b/>
                <w:bCs/>
                <w:i/>
                <w:iCs/>
                <w:szCs w:val="24"/>
              </w:rPr>
            </w:pPr>
            <w:r>
              <w:rPr>
                <w:b/>
                <w:bCs/>
                <w:i/>
                <w:iCs/>
                <w:szCs w:val="24"/>
              </w:rPr>
              <w:t>Recommendation</w:t>
            </w:r>
          </w:p>
          <w:p w:rsidR="00EF35FF" w:rsidRDefault="00EF35FF">
            <w:pPr>
              <w:pStyle w:val="PlainText"/>
              <w:jc w:val="left"/>
              <w:rPr>
                <w:rFonts w:asciiTheme="minorHAnsi" w:hAnsiTheme="minorHAnsi"/>
                <w:sz w:val="24"/>
                <w:szCs w:val="24"/>
              </w:rPr>
            </w:pPr>
            <w:r>
              <w:rPr>
                <w:rFonts w:asciiTheme="minorHAnsi" w:hAnsiTheme="minorHAnsi"/>
                <w:sz w:val="24"/>
                <w:szCs w:val="24"/>
              </w:rPr>
              <w:t>7.26</w:t>
            </w:r>
            <w:r>
              <w:rPr>
                <w:rFonts w:asciiTheme="minorHAnsi" w:hAnsiTheme="minorHAnsi"/>
                <w:sz w:val="24"/>
                <w:szCs w:val="24"/>
              </w:rPr>
              <w:tab/>
              <w:t xml:space="preserve">The Committee recommends that the Council approve the publication on a temporary and on exceptional basis until the PP-14 decides on the general policy of accessing ITU information and documents of: </w:t>
            </w:r>
          </w:p>
          <w:p w:rsidR="00EF35FF" w:rsidRDefault="00EF35FF">
            <w:pPr>
              <w:pStyle w:val="PlainText"/>
              <w:jc w:val="left"/>
              <w:rPr>
                <w:rFonts w:asciiTheme="minorHAnsi" w:hAnsiTheme="minorHAnsi"/>
                <w:sz w:val="24"/>
                <w:szCs w:val="24"/>
              </w:rPr>
            </w:pPr>
            <w:r>
              <w:rPr>
                <w:rFonts w:asciiTheme="minorHAnsi" w:hAnsiTheme="minorHAnsi"/>
                <w:sz w:val="24"/>
                <w:szCs w:val="24"/>
              </w:rPr>
              <w:lastRenderedPageBreak/>
              <w:tab/>
              <w:t>- the report of the IMAC;</w:t>
            </w:r>
          </w:p>
          <w:p w:rsidR="00EF35FF" w:rsidRDefault="00EF35FF">
            <w:pPr>
              <w:pStyle w:val="PlainText"/>
              <w:rPr>
                <w:rFonts w:asciiTheme="minorHAnsi" w:hAnsiTheme="minorHAnsi"/>
                <w:sz w:val="24"/>
                <w:szCs w:val="24"/>
              </w:rPr>
            </w:pPr>
            <w:r>
              <w:rPr>
                <w:rFonts w:asciiTheme="minorHAnsi" w:hAnsiTheme="minorHAnsi"/>
                <w:sz w:val="24"/>
                <w:szCs w:val="24"/>
              </w:rPr>
              <w:tab/>
              <w:t>- the report of the external audit; and</w:t>
            </w:r>
          </w:p>
          <w:p w:rsidR="00EF35FF" w:rsidRDefault="00EF35FF">
            <w:pPr>
              <w:pStyle w:val="PlainText"/>
              <w:rPr>
                <w:rFonts w:asciiTheme="minorHAnsi" w:hAnsiTheme="minorHAnsi"/>
                <w:sz w:val="24"/>
                <w:szCs w:val="24"/>
              </w:rPr>
            </w:pPr>
            <w:r>
              <w:rPr>
                <w:rFonts w:asciiTheme="minorHAnsi" w:hAnsiTheme="minorHAnsi"/>
                <w:sz w:val="24"/>
                <w:szCs w:val="24"/>
              </w:rPr>
              <w:tab/>
              <w:t xml:space="preserve">- </w:t>
            </w:r>
            <w:proofErr w:type="gramStart"/>
            <w:r>
              <w:rPr>
                <w:rFonts w:asciiTheme="minorHAnsi" w:hAnsiTheme="minorHAnsi"/>
                <w:sz w:val="24"/>
                <w:szCs w:val="24"/>
              </w:rPr>
              <w:t>summary</w:t>
            </w:r>
            <w:proofErr w:type="gramEnd"/>
            <w:r>
              <w:rPr>
                <w:rFonts w:asciiTheme="minorHAnsi" w:hAnsiTheme="minorHAnsi"/>
                <w:sz w:val="24"/>
                <w:szCs w:val="24"/>
              </w:rPr>
              <w:t xml:space="preserve"> of internal audit report.</w:t>
            </w:r>
          </w:p>
          <w:p w:rsidR="00EF35FF" w:rsidRDefault="00EF35FF">
            <w:pPr>
              <w:pStyle w:val="PlainText"/>
              <w:rPr>
                <w:rFonts w:ascii="Calibri" w:hAnsi="Calibri"/>
                <w:sz w:val="24"/>
                <w:szCs w:val="24"/>
              </w:rPr>
            </w:pPr>
            <w:r>
              <w:rPr>
                <w:rFonts w:asciiTheme="minorHAnsi" w:hAnsiTheme="minorHAnsi"/>
                <w:sz w:val="24"/>
                <w:szCs w:val="24"/>
              </w:rPr>
              <w:t>Such temporary arrangements should in no way create any precedence for future actions in this regard until PP-14 decides on the matter, as appropriate.</w:t>
            </w:r>
          </w:p>
        </w:tc>
      </w:tr>
    </w:tbl>
    <w:p w:rsidR="002E289E" w:rsidRDefault="002E289E" w:rsidP="00512B34">
      <w:pPr>
        <w:spacing w:before="480"/>
        <w:rPr>
          <w:rFonts w:asciiTheme="minorHAnsi" w:hAnsiTheme="minorHAnsi"/>
          <w:b/>
          <w:bCs/>
          <w:szCs w:val="24"/>
        </w:rPr>
      </w:pPr>
      <w:r w:rsidRPr="00512B34">
        <w:rPr>
          <w:rFonts w:asciiTheme="minorHAnsi" w:hAnsiTheme="minorHAnsi"/>
          <w:b/>
          <w:bCs/>
          <w:i/>
          <w:iCs/>
          <w:szCs w:val="24"/>
        </w:rPr>
        <w:lastRenderedPageBreak/>
        <w:t xml:space="preserve"> </w:t>
      </w:r>
    </w:p>
    <w:p w:rsidR="00B24D03" w:rsidRDefault="00B24D03" w:rsidP="00511FDA">
      <w:pPr>
        <w:spacing w:before="160"/>
        <w:jc w:val="both"/>
        <w:rPr>
          <w:rFonts w:asciiTheme="minorHAnsi" w:hAnsiTheme="minorHAnsi"/>
          <w:b/>
          <w:bCs/>
          <w:szCs w:val="24"/>
        </w:rPr>
      </w:pPr>
      <w:r>
        <w:rPr>
          <w:rFonts w:asciiTheme="minorHAnsi" w:hAnsiTheme="minorHAnsi"/>
          <w:b/>
          <w:bCs/>
          <w:szCs w:val="24"/>
        </w:rPr>
        <w:t>……..</w:t>
      </w:r>
    </w:p>
    <w:p w:rsidR="00B24D03" w:rsidRDefault="00B24D03" w:rsidP="00B24D03">
      <w:pPr>
        <w:jc w:val="both"/>
        <w:rPr>
          <w:rFonts w:asciiTheme="minorHAnsi" w:hAnsiTheme="minorHAnsi"/>
          <w:b/>
          <w:bCs/>
          <w:szCs w:val="24"/>
        </w:rPr>
      </w:pPr>
      <w:r>
        <w:rPr>
          <w:rFonts w:asciiTheme="minorHAnsi" w:hAnsiTheme="minorHAnsi"/>
          <w:b/>
          <w:bCs/>
          <w:szCs w:val="24"/>
        </w:rPr>
        <w:t>Document C14/99:</w:t>
      </w:r>
      <w:r w:rsidRPr="00B24D03">
        <w:t xml:space="preserve"> </w:t>
      </w:r>
      <w:r>
        <w:t>Summary Record of the ninth Plenary Meeting</w:t>
      </w:r>
    </w:p>
    <w:p w:rsidR="00B24D03" w:rsidRDefault="00B24D03" w:rsidP="00B24D03">
      <w:pPr>
        <w:jc w:val="both"/>
        <w:rPr>
          <w:rFonts w:asciiTheme="minorHAnsi" w:hAnsiTheme="minorHAnsi"/>
          <w:b/>
          <w:bCs/>
          <w:szCs w:val="24"/>
        </w:rPr>
      </w:pPr>
      <w:r>
        <w:rPr>
          <w:rFonts w:asciiTheme="minorHAnsi" w:hAnsiTheme="minorHAnsi"/>
          <w:b/>
          <w:bCs/>
          <w:szCs w:val="24"/>
        </w:rPr>
        <w:t>……..</w:t>
      </w:r>
    </w:p>
    <w:p w:rsidR="00D44E43" w:rsidRDefault="00D44E43" w:rsidP="00511FDA">
      <w:pPr>
        <w:pStyle w:val="ListParagraph"/>
        <w:adjustRightInd w:val="0"/>
        <w:spacing w:before="240" w:after="120" w:line="240" w:lineRule="auto"/>
        <w:ind w:left="0"/>
        <w:rPr>
          <w:rFonts w:ascii="Calibri" w:hAnsi="Calibri" w:cs="Calibri"/>
          <w:sz w:val="24"/>
          <w:szCs w:val="24"/>
        </w:rPr>
      </w:pPr>
      <w:r>
        <w:rPr>
          <w:rFonts w:ascii="Calibri" w:hAnsi="Calibri" w:cs="Calibri"/>
          <w:sz w:val="24"/>
          <w:szCs w:val="24"/>
        </w:rPr>
        <w:t>“..</w:t>
      </w:r>
      <w:r w:rsidRPr="00D44E43">
        <w:rPr>
          <w:rFonts w:ascii="Calibri" w:hAnsi="Calibri" w:cs="Calibri"/>
          <w:sz w:val="24"/>
          <w:szCs w:val="24"/>
        </w:rPr>
        <w:t>1.6</w:t>
      </w:r>
      <w:r w:rsidRPr="00D44E43">
        <w:rPr>
          <w:rFonts w:ascii="Calibri" w:hAnsi="Calibri" w:cs="Calibri"/>
          <w:sz w:val="24"/>
          <w:szCs w:val="24"/>
        </w:rPr>
        <w:tab/>
        <w:t>A councillor said that the recommendation in § 7.14 should refer explicitly to PP-14</w:t>
      </w:r>
      <w:r>
        <w:rPr>
          <w:rFonts w:ascii="Calibri" w:hAnsi="Calibri" w:cs="Calibri"/>
          <w:sz w:val="24"/>
          <w:szCs w:val="24"/>
        </w:rPr>
        <w:t>….”</w:t>
      </w:r>
    </w:p>
    <w:p w:rsidR="00B24D03" w:rsidRDefault="00D44E43" w:rsidP="00AF599F">
      <w:pPr>
        <w:tabs>
          <w:tab w:val="clear" w:pos="567"/>
          <w:tab w:val="clear" w:pos="1134"/>
          <w:tab w:val="clear" w:pos="1701"/>
          <w:tab w:val="clear" w:pos="2268"/>
          <w:tab w:val="clear" w:pos="2835"/>
        </w:tabs>
      </w:pPr>
      <w:r>
        <w:t>..”</w:t>
      </w:r>
      <w:r w:rsidRPr="00250780">
        <w:rPr>
          <w:spacing w:val="-6"/>
        </w:rPr>
        <w:t>1.25</w:t>
      </w:r>
      <w:r>
        <w:tab/>
        <w:t xml:space="preserve">Subject to the amendments agreed to in the course of the discussion, the Council </w:t>
      </w:r>
      <w:r>
        <w:rPr>
          <w:b/>
          <w:bCs/>
        </w:rPr>
        <w:t xml:space="preserve">approved </w:t>
      </w:r>
      <w:r>
        <w:t xml:space="preserve">the recommendations set out in §§ 1.7, 2.7, 3.5, 4.7, 5.2, 6.4, 7.8, 7.14, 7.26, 7.35, 7.37, 7.43, 8.2, 9.8, 10.7, 11.5, 12.8, 13.5, 14.6, 15.4, 15.5, 18.9 and 19.14, thereby </w:t>
      </w:r>
      <w:r>
        <w:rPr>
          <w:b/>
          <w:bCs/>
        </w:rPr>
        <w:t>approving, adopting, endorsing</w:t>
      </w:r>
      <w:r>
        <w:t xml:space="preserve"> or </w:t>
      </w:r>
      <w:r>
        <w:rPr>
          <w:b/>
          <w:bCs/>
        </w:rPr>
        <w:t>noting</w:t>
      </w:r>
      <w:r>
        <w:t>, as ap</w:t>
      </w:r>
      <w:r w:rsidR="00B24D03">
        <w:t>propriate, the following texts”.</w:t>
      </w:r>
    </w:p>
    <w:p w:rsidR="00D44E43" w:rsidRPr="00B24D03" w:rsidRDefault="00B24D03" w:rsidP="00511FDA">
      <w:pPr>
        <w:jc w:val="center"/>
        <w:rPr>
          <w:b/>
          <w:u w:val="single"/>
        </w:rPr>
      </w:pPr>
      <w:r>
        <w:rPr>
          <w:b/>
          <w:u w:val="single"/>
        </w:rPr>
        <w:t>                        </w:t>
      </w:r>
    </w:p>
    <w:sectPr w:rsidR="00D44E43" w:rsidRPr="00B24D03" w:rsidSect="00361097">
      <w:headerReference w:type="default" r:id="rId22"/>
      <w:footerReference w:type="first" r:id="rId2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A6B" w:rsidRDefault="00641A6B">
      <w:r>
        <w:separator/>
      </w:r>
    </w:p>
  </w:endnote>
  <w:endnote w:type="continuationSeparator" w:id="0">
    <w:p w:rsidR="00641A6B" w:rsidRDefault="0064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C6" w:rsidRPr="00250780" w:rsidRDefault="008263C6" w:rsidP="00250780">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A6B" w:rsidRDefault="00641A6B">
      <w:r>
        <w:t>____________________</w:t>
      </w:r>
    </w:p>
  </w:footnote>
  <w:footnote w:type="continuationSeparator" w:id="0">
    <w:p w:rsidR="00641A6B" w:rsidRDefault="00641A6B">
      <w:r>
        <w:continuationSeparator/>
      </w:r>
    </w:p>
  </w:footnote>
  <w:footnote w:type="continuationNotice" w:id="1">
    <w:p w:rsidR="009506E7" w:rsidRDefault="009506E7">
      <w:pPr>
        <w:spacing w:before="0"/>
      </w:pPr>
    </w:p>
  </w:footnote>
  <w:footnote w:id="2">
    <w:p w:rsidR="003B0F90" w:rsidRPr="00512B34" w:rsidRDefault="003B0F90" w:rsidP="005527D2">
      <w:pPr>
        <w:pStyle w:val="FootnoteText"/>
        <w:tabs>
          <w:tab w:val="clear" w:pos="256"/>
        </w:tabs>
        <w:ind w:left="284" w:hanging="284"/>
        <w:rPr>
          <w:sz w:val="20"/>
        </w:rPr>
      </w:pPr>
      <w:r>
        <w:rPr>
          <w:rStyle w:val="FootnoteReference"/>
        </w:rPr>
        <w:footnoteRef/>
      </w:r>
      <w:r>
        <w:t xml:space="preserve"> </w:t>
      </w:r>
      <w:r w:rsidR="005527D2">
        <w:tab/>
      </w:r>
      <w:r w:rsidRPr="00512B34">
        <w:rPr>
          <w:sz w:val="20"/>
        </w:rPr>
        <w:t xml:space="preserve">Note that the question of the </w:t>
      </w:r>
      <w:r w:rsidRPr="00512B34">
        <w:rPr>
          <w:i/>
          <w:iCs/>
          <w:sz w:val="20"/>
        </w:rPr>
        <w:t>right</w:t>
      </w:r>
      <w:r w:rsidRPr="00512B34">
        <w:rPr>
          <w:sz w:val="20"/>
        </w:rPr>
        <w:t xml:space="preserve"> to access information is separate from the question of the </w:t>
      </w:r>
      <w:r w:rsidRPr="00512B34">
        <w:rPr>
          <w:i/>
          <w:iCs/>
          <w:sz w:val="20"/>
        </w:rPr>
        <w:t>cost</w:t>
      </w:r>
      <w:r w:rsidRPr="00512B34">
        <w:rPr>
          <w:sz w:val="20"/>
        </w:rPr>
        <w:t xml:space="preserve"> of that access.</w:t>
      </w:r>
    </w:p>
  </w:footnote>
  <w:footnote w:id="3">
    <w:p w:rsidR="00195AC0" w:rsidRPr="005244F5" w:rsidRDefault="00195AC0" w:rsidP="005527D2">
      <w:pPr>
        <w:pStyle w:val="FootnoteText"/>
        <w:tabs>
          <w:tab w:val="clear" w:pos="256"/>
        </w:tabs>
        <w:spacing w:before="0"/>
        <w:ind w:left="284" w:hanging="284"/>
        <w:rPr>
          <w:rFonts w:asciiTheme="minorHAnsi" w:hAnsiTheme="minorHAnsi"/>
          <w:sz w:val="16"/>
          <w:szCs w:val="16"/>
        </w:rPr>
      </w:pPr>
      <w:r>
        <w:rPr>
          <w:rStyle w:val="FootnoteReference"/>
        </w:rPr>
        <w:footnoteRef/>
      </w:r>
      <w:r>
        <w:t xml:space="preserve"> </w:t>
      </w:r>
      <w:r w:rsidR="005527D2">
        <w:tab/>
      </w:r>
      <w:r w:rsidRPr="00F5530D">
        <w:rPr>
          <w:rFonts w:asciiTheme="minorHAnsi" w:hAnsiTheme="minorHAnsi"/>
          <w:sz w:val="20"/>
        </w:rPr>
        <w:t xml:space="preserve">Access to SG Circular letters is restricted to TIES users, but access to all types of Circular letters in the </w:t>
      </w:r>
      <w:r w:rsidR="007333DE" w:rsidRPr="00F5530D">
        <w:rPr>
          <w:rFonts w:asciiTheme="minorHAnsi" w:hAnsiTheme="minorHAnsi"/>
          <w:sz w:val="20"/>
        </w:rPr>
        <w:t>three</w:t>
      </w:r>
      <w:r w:rsidRPr="00F5530D">
        <w:rPr>
          <w:rFonts w:asciiTheme="minorHAnsi" w:hAnsiTheme="minorHAnsi"/>
          <w:sz w:val="20"/>
        </w:rPr>
        <w:t xml:space="preserve"> Sectors is open to the public.</w:t>
      </w:r>
    </w:p>
  </w:footnote>
  <w:footnote w:id="4">
    <w:p w:rsidR="00482659" w:rsidRPr="00512B34" w:rsidRDefault="00482659" w:rsidP="00F5530D">
      <w:pPr>
        <w:pStyle w:val="FootnoteText"/>
        <w:tabs>
          <w:tab w:val="clear" w:pos="256"/>
          <w:tab w:val="clear" w:pos="567"/>
          <w:tab w:val="clear" w:pos="1134"/>
          <w:tab w:val="clear" w:pos="1701"/>
          <w:tab w:val="clear" w:pos="2268"/>
          <w:tab w:val="clear" w:pos="2835"/>
        </w:tabs>
        <w:ind w:left="284" w:hanging="284"/>
        <w:rPr>
          <w:lang w:val="en-US"/>
        </w:rPr>
      </w:pPr>
      <w:r>
        <w:rPr>
          <w:rStyle w:val="FootnoteReference"/>
        </w:rPr>
        <w:footnoteRef/>
      </w:r>
      <w:r>
        <w:t xml:space="preserve"> </w:t>
      </w:r>
      <w:r w:rsidR="00F5530D">
        <w:tab/>
      </w:r>
      <w:r w:rsidRPr="00512B34">
        <w:rPr>
          <w:sz w:val="20"/>
          <w:lang w:val="en-US"/>
        </w:rPr>
        <w:t xml:space="preserve">Other international/inter-governmental organizations that have adopted official Access to Information or Information Disclosure Policies include: Inter-American Development Bank (IADB) (2010), </w:t>
      </w:r>
      <w:r w:rsidRPr="00512B34">
        <w:rPr>
          <w:sz w:val="20"/>
        </w:rPr>
        <w:t xml:space="preserve">Asian Development Bank (2011), </w:t>
      </w:r>
      <w:r w:rsidR="00F5530D">
        <w:rPr>
          <w:sz w:val="20"/>
        </w:rPr>
        <w:t xml:space="preserve">and </w:t>
      </w:r>
      <w:r w:rsidRPr="00512B34">
        <w:rPr>
          <w:sz w:val="20"/>
        </w:rPr>
        <w:t>African Development Bank Group (2013).</w:t>
      </w:r>
    </w:p>
  </w:footnote>
  <w:footnote w:id="5">
    <w:p w:rsidR="004321A0" w:rsidRDefault="004321A0" w:rsidP="00512B34">
      <w:pPr>
        <w:pStyle w:val="FootnoteText"/>
        <w:tabs>
          <w:tab w:val="clear" w:pos="256"/>
          <w:tab w:val="clear" w:pos="567"/>
          <w:tab w:val="clear" w:pos="1134"/>
          <w:tab w:val="clear" w:pos="1701"/>
          <w:tab w:val="clear" w:pos="2268"/>
          <w:tab w:val="clear" w:pos="2835"/>
        </w:tabs>
        <w:ind w:left="284" w:hanging="284"/>
      </w:pPr>
      <w:r>
        <w:rPr>
          <w:rStyle w:val="FootnoteReference"/>
        </w:rPr>
        <w:footnoteRef/>
      </w:r>
      <w:r>
        <w:t xml:space="preserve"> </w:t>
      </w:r>
      <w:r w:rsidR="00F5530D">
        <w:tab/>
      </w:r>
      <w:r w:rsidRPr="00512B34">
        <w:rPr>
          <w:sz w:val="20"/>
        </w:rPr>
        <w:t xml:space="preserve">International organizations that have established such an Oversight Committee include the World Bank, UNDP, UNOPS, WFP, </w:t>
      </w:r>
      <w:proofErr w:type="gramStart"/>
      <w:r w:rsidRPr="00512B34">
        <w:rPr>
          <w:sz w:val="20"/>
        </w:rPr>
        <w:t>IADB</w:t>
      </w:r>
      <w:proofErr w:type="gramEnd"/>
      <w:r w:rsidRPr="00512B34">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C6" w:rsidRDefault="008263C6" w:rsidP="008263C6">
    <w:pPr>
      <w:pStyle w:val="Header"/>
      <w:ind w:left="567" w:hanging="567"/>
    </w:pPr>
    <w:r>
      <w:fldChar w:fldCharType="begin"/>
    </w:r>
    <w:r>
      <w:instrText xml:space="preserve"> PAGE   \* MERGEFORMAT </w:instrText>
    </w:r>
    <w:r>
      <w:fldChar w:fldCharType="separate"/>
    </w:r>
    <w:r w:rsidR="009A16AE">
      <w:rPr>
        <w:noProof/>
      </w:rPr>
      <w:t>9</w:t>
    </w:r>
    <w:r>
      <w:fldChar w:fldCharType="end"/>
    </w:r>
    <w:r w:rsidR="00F5530D">
      <w:t>/</w:t>
    </w:r>
    <w:r w:rsidR="009A16AE">
      <w:fldChar w:fldCharType="begin"/>
    </w:r>
    <w:r w:rsidR="009A16AE">
      <w:instrText xml:space="preserve"> NUMPAGES   \* MERGEFORMAT </w:instrText>
    </w:r>
    <w:r w:rsidR="009A16AE">
      <w:fldChar w:fldCharType="separate"/>
    </w:r>
    <w:r w:rsidR="009A16AE">
      <w:rPr>
        <w:noProof/>
      </w:rPr>
      <w:t>9</w:t>
    </w:r>
    <w:r w:rsidR="009A16AE">
      <w:rPr>
        <w:noProof/>
      </w:rPr>
      <w:fldChar w:fldCharType="end"/>
    </w:r>
  </w:p>
  <w:p w:rsidR="008263C6" w:rsidRPr="001A16ED" w:rsidRDefault="008263C6" w:rsidP="00F7207D">
    <w:pPr>
      <w:pStyle w:val="Header"/>
      <w:ind w:left="567" w:hanging="567"/>
    </w:pPr>
    <w:r>
      <w:t>PP14/</w:t>
    </w:r>
    <w:r w:rsidR="00F7207D">
      <w:t>59</w:t>
    </w:r>
    <w:r>
      <w:t>-</w:t>
    </w:r>
    <w:r w:rsidRPr="004A26C4">
      <w:t>E</w:t>
    </w:r>
  </w:p>
  <w:p w:rsidR="002F5FA2" w:rsidRPr="008263C6" w:rsidRDefault="002F5FA2" w:rsidP="008263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C87BA6"/>
    <w:lvl w:ilvl="0">
      <w:start w:val="1"/>
      <w:numFmt w:val="decimal"/>
      <w:lvlText w:val="%1."/>
      <w:lvlJc w:val="left"/>
      <w:pPr>
        <w:tabs>
          <w:tab w:val="num" w:pos="1492"/>
        </w:tabs>
        <w:ind w:left="1492" w:hanging="360"/>
      </w:pPr>
    </w:lvl>
  </w:abstractNum>
  <w:abstractNum w:abstractNumId="1">
    <w:nsid w:val="FFFFFF7D"/>
    <w:multiLevelType w:val="singleLevel"/>
    <w:tmpl w:val="6EBA5780"/>
    <w:lvl w:ilvl="0">
      <w:start w:val="1"/>
      <w:numFmt w:val="decimal"/>
      <w:lvlText w:val="%1."/>
      <w:lvlJc w:val="left"/>
      <w:pPr>
        <w:tabs>
          <w:tab w:val="num" w:pos="1209"/>
        </w:tabs>
        <w:ind w:left="1209" w:hanging="360"/>
      </w:pPr>
    </w:lvl>
  </w:abstractNum>
  <w:abstractNum w:abstractNumId="2">
    <w:nsid w:val="FFFFFF7E"/>
    <w:multiLevelType w:val="singleLevel"/>
    <w:tmpl w:val="987C5C18"/>
    <w:lvl w:ilvl="0">
      <w:start w:val="1"/>
      <w:numFmt w:val="decimal"/>
      <w:lvlText w:val="%1."/>
      <w:lvlJc w:val="left"/>
      <w:pPr>
        <w:tabs>
          <w:tab w:val="num" w:pos="926"/>
        </w:tabs>
        <w:ind w:left="926" w:hanging="360"/>
      </w:pPr>
    </w:lvl>
  </w:abstractNum>
  <w:abstractNum w:abstractNumId="3">
    <w:nsid w:val="FFFFFF7F"/>
    <w:multiLevelType w:val="singleLevel"/>
    <w:tmpl w:val="B6684BAC"/>
    <w:lvl w:ilvl="0">
      <w:start w:val="1"/>
      <w:numFmt w:val="decimal"/>
      <w:lvlText w:val="%1."/>
      <w:lvlJc w:val="left"/>
      <w:pPr>
        <w:tabs>
          <w:tab w:val="num" w:pos="643"/>
        </w:tabs>
        <w:ind w:left="643" w:hanging="360"/>
      </w:pPr>
    </w:lvl>
  </w:abstractNum>
  <w:abstractNum w:abstractNumId="4">
    <w:nsid w:val="FFFFFF80"/>
    <w:multiLevelType w:val="singleLevel"/>
    <w:tmpl w:val="106ECD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EE50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27CA7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8465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DA01DC"/>
    <w:lvl w:ilvl="0">
      <w:start w:val="1"/>
      <w:numFmt w:val="decimal"/>
      <w:lvlText w:val="%1."/>
      <w:lvlJc w:val="left"/>
      <w:pPr>
        <w:tabs>
          <w:tab w:val="num" w:pos="360"/>
        </w:tabs>
        <w:ind w:left="360" w:hanging="360"/>
      </w:pPr>
    </w:lvl>
  </w:abstractNum>
  <w:abstractNum w:abstractNumId="9">
    <w:nsid w:val="FFFFFF89"/>
    <w:multiLevelType w:val="singleLevel"/>
    <w:tmpl w:val="A3F2EB7E"/>
    <w:lvl w:ilvl="0">
      <w:start w:val="1"/>
      <w:numFmt w:val="bullet"/>
      <w:lvlText w:val=""/>
      <w:lvlJc w:val="left"/>
      <w:pPr>
        <w:tabs>
          <w:tab w:val="num" w:pos="360"/>
        </w:tabs>
        <w:ind w:left="360" w:hanging="360"/>
      </w:pPr>
      <w:rPr>
        <w:rFonts w:ascii="Symbol" w:hAnsi="Symbol" w:hint="default"/>
      </w:rPr>
    </w:lvl>
  </w:abstractNum>
  <w:abstractNum w:abstractNumId="10">
    <w:nsid w:val="01AA789F"/>
    <w:multiLevelType w:val="hybridMultilevel"/>
    <w:tmpl w:val="5B3807EC"/>
    <w:lvl w:ilvl="0" w:tplc="A532EC9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7627A6"/>
    <w:multiLevelType w:val="multilevel"/>
    <w:tmpl w:val="587847E8"/>
    <w:lvl w:ilvl="0">
      <w:start w:val="4"/>
      <w:numFmt w:val="decimal"/>
      <w:lvlText w:val="%1"/>
      <w:lvlJc w:val="left"/>
      <w:pPr>
        <w:ind w:left="360" w:hanging="360"/>
      </w:pPr>
      <w:rPr>
        <w:rFonts w:hint="default"/>
      </w:rPr>
    </w:lvl>
    <w:lvl w:ilvl="1">
      <w:start w:val="1"/>
      <w:numFmt w:val="bullet"/>
      <w:lvlText w:val="-"/>
      <w:lvlJc w:val="left"/>
      <w:pPr>
        <w:ind w:left="717" w:hanging="360"/>
      </w:pPr>
      <w:rPr>
        <w:rFonts w:ascii="Calibri" w:eastAsia="Times New Roman" w:hAnsi="Calibri" w:cs="Times New Roman"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2">
    <w:nsid w:val="0A005827"/>
    <w:multiLevelType w:val="hybridMultilevel"/>
    <w:tmpl w:val="47F04366"/>
    <w:lvl w:ilvl="0" w:tplc="A532EC9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6247E3"/>
    <w:multiLevelType w:val="hybridMultilevel"/>
    <w:tmpl w:val="B332FA70"/>
    <w:lvl w:ilvl="0" w:tplc="A73C3F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D52858"/>
    <w:multiLevelType w:val="hybridMultilevel"/>
    <w:tmpl w:val="CFBE5FDA"/>
    <w:lvl w:ilvl="0" w:tplc="A532EC9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6B40D1"/>
    <w:multiLevelType w:val="multilevel"/>
    <w:tmpl w:val="587847E8"/>
    <w:lvl w:ilvl="0">
      <w:start w:val="4"/>
      <w:numFmt w:val="decimal"/>
      <w:lvlText w:val="%1"/>
      <w:lvlJc w:val="left"/>
      <w:pPr>
        <w:ind w:left="360" w:hanging="360"/>
      </w:pPr>
      <w:rPr>
        <w:rFonts w:hint="default"/>
      </w:rPr>
    </w:lvl>
    <w:lvl w:ilvl="1">
      <w:start w:val="1"/>
      <w:numFmt w:val="bullet"/>
      <w:lvlText w:val="-"/>
      <w:lvlJc w:val="left"/>
      <w:pPr>
        <w:ind w:left="717" w:hanging="360"/>
      </w:pPr>
      <w:rPr>
        <w:rFonts w:ascii="Calibri" w:eastAsia="Times New Roman" w:hAnsi="Calibri" w:cs="Times New Roman"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6">
    <w:nsid w:val="0FFC76AB"/>
    <w:multiLevelType w:val="hybridMultilevel"/>
    <w:tmpl w:val="CD7221C8"/>
    <w:lvl w:ilvl="0" w:tplc="AAFABC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964643"/>
    <w:multiLevelType w:val="multilevel"/>
    <w:tmpl w:val="7E72405C"/>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1A6712D0"/>
    <w:multiLevelType w:val="hybridMultilevel"/>
    <w:tmpl w:val="B086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462E24"/>
    <w:multiLevelType w:val="hybridMultilevel"/>
    <w:tmpl w:val="A7B2034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1D52FAE"/>
    <w:multiLevelType w:val="hybridMultilevel"/>
    <w:tmpl w:val="034863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5265F53"/>
    <w:multiLevelType w:val="multilevel"/>
    <w:tmpl w:val="587847E8"/>
    <w:lvl w:ilvl="0">
      <w:start w:val="4"/>
      <w:numFmt w:val="decimal"/>
      <w:lvlText w:val="%1"/>
      <w:lvlJc w:val="left"/>
      <w:pPr>
        <w:ind w:left="720" w:hanging="360"/>
      </w:pPr>
      <w:rPr>
        <w:rFonts w:hint="default"/>
      </w:rPr>
    </w:lvl>
    <w:lvl w:ilvl="1">
      <w:start w:val="1"/>
      <w:numFmt w:val="bullet"/>
      <w:lvlText w:val="-"/>
      <w:lvlJc w:val="left"/>
      <w:pPr>
        <w:ind w:left="1077" w:hanging="360"/>
      </w:pPr>
      <w:rPr>
        <w:rFonts w:ascii="Calibri" w:eastAsia="Times New Roman" w:hAnsi="Calibri" w:cs="Times New Roman" w:hint="default"/>
      </w:rPr>
    </w:lvl>
    <w:lvl w:ilvl="2">
      <w:start w:val="1"/>
      <w:numFmt w:val="decimal"/>
      <w:lvlText w:val="%1.%2.%3"/>
      <w:lvlJc w:val="left"/>
      <w:pPr>
        <w:ind w:left="179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868"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299" w:hanging="1440"/>
      </w:pPr>
      <w:rPr>
        <w:rFonts w:hint="default"/>
      </w:rPr>
    </w:lvl>
    <w:lvl w:ilvl="8">
      <w:start w:val="1"/>
      <w:numFmt w:val="decimal"/>
      <w:lvlText w:val="%1.%2.%3.%4.%5.%6.%7.%8.%9"/>
      <w:lvlJc w:val="left"/>
      <w:pPr>
        <w:ind w:left="5016" w:hanging="1800"/>
      </w:pPr>
      <w:rPr>
        <w:rFonts w:hint="default"/>
      </w:rPr>
    </w:lvl>
  </w:abstractNum>
  <w:abstractNum w:abstractNumId="22">
    <w:nsid w:val="2658374A"/>
    <w:multiLevelType w:val="multilevel"/>
    <w:tmpl w:val="7E72405C"/>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28852079"/>
    <w:multiLevelType w:val="hybridMultilevel"/>
    <w:tmpl w:val="A3267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863D7E"/>
    <w:multiLevelType w:val="hybridMultilevel"/>
    <w:tmpl w:val="9EE2AAB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60E7B58"/>
    <w:multiLevelType w:val="multilevel"/>
    <w:tmpl w:val="587847E8"/>
    <w:lvl w:ilvl="0">
      <w:start w:val="4"/>
      <w:numFmt w:val="decimal"/>
      <w:lvlText w:val="%1"/>
      <w:lvlJc w:val="left"/>
      <w:pPr>
        <w:ind w:left="720" w:hanging="360"/>
      </w:pPr>
      <w:rPr>
        <w:rFonts w:hint="default"/>
      </w:rPr>
    </w:lvl>
    <w:lvl w:ilvl="1">
      <w:start w:val="1"/>
      <w:numFmt w:val="bullet"/>
      <w:lvlText w:val="-"/>
      <w:lvlJc w:val="left"/>
      <w:pPr>
        <w:ind w:left="1077" w:hanging="360"/>
      </w:pPr>
      <w:rPr>
        <w:rFonts w:ascii="Calibri" w:eastAsia="Times New Roman" w:hAnsi="Calibri" w:cs="Times New Roman" w:hint="default"/>
      </w:rPr>
    </w:lvl>
    <w:lvl w:ilvl="2">
      <w:start w:val="1"/>
      <w:numFmt w:val="decimal"/>
      <w:lvlText w:val="%1.%2.%3"/>
      <w:lvlJc w:val="left"/>
      <w:pPr>
        <w:ind w:left="179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868"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299" w:hanging="1440"/>
      </w:pPr>
      <w:rPr>
        <w:rFonts w:hint="default"/>
      </w:rPr>
    </w:lvl>
    <w:lvl w:ilvl="8">
      <w:start w:val="1"/>
      <w:numFmt w:val="decimal"/>
      <w:lvlText w:val="%1.%2.%3.%4.%5.%6.%7.%8.%9"/>
      <w:lvlJc w:val="left"/>
      <w:pPr>
        <w:ind w:left="5016" w:hanging="1800"/>
      </w:pPr>
      <w:rPr>
        <w:rFonts w:hint="default"/>
      </w:rPr>
    </w:lvl>
  </w:abstractNum>
  <w:abstractNum w:abstractNumId="26">
    <w:nsid w:val="3A4C3534"/>
    <w:multiLevelType w:val="hybridMultilevel"/>
    <w:tmpl w:val="8350F8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A714245"/>
    <w:multiLevelType w:val="multilevel"/>
    <w:tmpl w:val="587847E8"/>
    <w:lvl w:ilvl="0">
      <w:start w:val="4"/>
      <w:numFmt w:val="decimal"/>
      <w:lvlText w:val="%1"/>
      <w:lvlJc w:val="left"/>
      <w:pPr>
        <w:ind w:left="360" w:hanging="360"/>
      </w:pPr>
      <w:rPr>
        <w:rFonts w:hint="default"/>
      </w:rPr>
    </w:lvl>
    <w:lvl w:ilvl="1">
      <w:start w:val="1"/>
      <w:numFmt w:val="bullet"/>
      <w:lvlText w:val="-"/>
      <w:lvlJc w:val="left"/>
      <w:pPr>
        <w:ind w:left="717" w:hanging="360"/>
      </w:pPr>
      <w:rPr>
        <w:rFonts w:ascii="Calibri" w:eastAsia="Times New Roman" w:hAnsi="Calibri" w:cs="Times New Roman"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8">
    <w:nsid w:val="40583F0B"/>
    <w:multiLevelType w:val="hybridMultilevel"/>
    <w:tmpl w:val="85F0C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BC7C45"/>
    <w:multiLevelType w:val="hybridMultilevel"/>
    <w:tmpl w:val="4B9E58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2673E8D"/>
    <w:multiLevelType w:val="hybridMultilevel"/>
    <w:tmpl w:val="489CF56C"/>
    <w:lvl w:ilvl="0" w:tplc="E4E6C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E83DA1"/>
    <w:multiLevelType w:val="hybridMultilevel"/>
    <w:tmpl w:val="0C1ABC38"/>
    <w:lvl w:ilvl="0" w:tplc="233C0986">
      <w:numFmt w:val="bullet"/>
      <w:lvlText w:val="•"/>
      <w:lvlJc w:val="left"/>
      <w:pPr>
        <w:ind w:left="1437" w:hanging="720"/>
      </w:pPr>
      <w:rPr>
        <w:rFonts w:ascii="Calibri" w:eastAsiaTheme="minorEastAsia" w:hAnsi="Calibri"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2">
    <w:nsid w:val="500214A5"/>
    <w:multiLevelType w:val="hybridMultilevel"/>
    <w:tmpl w:val="683A0DEE"/>
    <w:lvl w:ilvl="0" w:tplc="6EE4A2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B4438B"/>
    <w:multiLevelType w:val="hybridMultilevel"/>
    <w:tmpl w:val="F996A5E6"/>
    <w:lvl w:ilvl="0" w:tplc="A532EC9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D136EF"/>
    <w:multiLevelType w:val="hybridMultilevel"/>
    <w:tmpl w:val="511AD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11028FD"/>
    <w:multiLevelType w:val="hybridMultilevel"/>
    <w:tmpl w:val="820690A2"/>
    <w:lvl w:ilvl="0" w:tplc="A532EC9A">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8F26C7"/>
    <w:multiLevelType w:val="hybridMultilevel"/>
    <w:tmpl w:val="746CE0F2"/>
    <w:lvl w:ilvl="0" w:tplc="A532EC9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AE7CF1"/>
    <w:multiLevelType w:val="hybridMultilevel"/>
    <w:tmpl w:val="EB2C85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942E16"/>
    <w:multiLevelType w:val="hybridMultilevel"/>
    <w:tmpl w:val="65247A48"/>
    <w:lvl w:ilvl="0" w:tplc="233C0986">
      <w:numFmt w:val="bullet"/>
      <w:lvlText w:val="•"/>
      <w:lvlJc w:val="left"/>
      <w:pPr>
        <w:ind w:left="1077" w:hanging="720"/>
      </w:pPr>
      <w:rPr>
        <w:rFonts w:ascii="Calibri" w:eastAsiaTheme="minorEastAsia" w:hAnsi="Calibri"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9">
    <w:nsid w:val="6B393F64"/>
    <w:multiLevelType w:val="hybridMultilevel"/>
    <w:tmpl w:val="1DC09820"/>
    <w:lvl w:ilvl="0" w:tplc="A532EC9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55080B"/>
    <w:multiLevelType w:val="hybridMultilevel"/>
    <w:tmpl w:val="5D6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475A01"/>
    <w:multiLevelType w:val="hybridMultilevel"/>
    <w:tmpl w:val="1FFEDC24"/>
    <w:lvl w:ilvl="0" w:tplc="A532EC9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587D98"/>
    <w:multiLevelType w:val="hybridMultilevel"/>
    <w:tmpl w:val="9B987E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C9B06DE"/>
    <w:multiLevelType w:val="hybridMultilevel"/>
    <w:tmpl w:val="1CF41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DF731BE"/>
    <w:multiLevelType w:val="hybridMultilevel"/>
    <w:tmpl w:val="186A1FB0"/>
    <w:lvl w:ilvl="0" w:tplc="A532EC9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2"/>
  </w:num>
  <w:num w:numId="3">
    <w:abstractNumId w:val="32"/>
  </w:num>
  <w:num w:numId="4">
    <w:abstractNumId w:val="28"/>
  </w:num>
  <w:num w:numId="5">
    <w:abstractNumId w:val="18"/>
  </w:num>
  <w:num w:numId="6">
    <w:abstractNumId w:val="20"/>
  </w:num>
  <w:num w:numId="7">
    <w:abstractNumId w:val="37"/>
  </w:num>
  <w:num w:numId="8">
    <w:abstractNumId w:val="38"/>
  </w:num>
  <w:num w:numId="9">
    <w:abstractNumId w:val="31"/>
  </w:num>
  <w:num w:numId="10">
    <w:abstractNumId w:val="13"/>
  </w:num>
  <w:num w:numId="11">
    <w:abstractNumId w:val="43"/>
  </w:num>
  <w:num w:numId="12">
    <w:abstractNumId w:val="34"/>
  </w:num>
  <w:num w:numId="13">
    <w:abstractNumId w:val="35"/>
  </w:num>
  <w:num w:numId="14">
    <w:abstractNumId w:val="11"/>
  </w:num>
  <w:num w:numId="15">
    <w:abstractNumId w:val="24"/>
  </w:num>
  <w:num w:numId="16">
    <w:abstractNumId w:val="27"/>
  </w:num>
  <w:num w:numId="17">
    <w:abstractNumId w:val="15"/>
  </w:num>
  <w:num w:numId="18">
    <w:abstractNumId w:val="21"/>
  </w:num>
  <w:num w:numId="19">
    <w:abstractNumId w:val="25"/>
  </w:num>
  <w:num w:numId="20">
    <w:abstractNumId w:val="36"/>
  </w:num>
  <w:num w:numId="21">
    <w:abstractNumId w:val="39"/>
  </w:num>
  <w:num w:numId="22">
    <w:abstractNumId w:val="41"/>
  </w:num>
  <w:num w:numId="23">
    <w:abstractNumId w:val="33"/>
  </w:num>
  <w:num w:numId="24">
    <w:abstractNumId w:val="40"/>
  </w:num>
  <w:num w:numId="25">
    <w:abstractNumId w:val="14"/>
  </w:num>
  <w:num w:numId="26">
    <w:abstractNumId w:val="10"/>
  </w:num>
  <w:num w:numId="27">
    <w:abstractNumId w:val="16"/>
  </w:num>
  <w:num w:numId="28">
    <w:abstractNumId w:val="12"/>
  </w:num>
  <w:num w:numId="29">
    <w:abstractNumId w:val="44"/>
  </w:num>
  <w:num w:numId="30">
    <w:abstractNumId w:val="30"/>
  </w:num>
  <w:num w:numId="31">
    <w:abstractNumId w:val="23"/>
  </w:num>
  <w:num w:numId="32">
    <w:abstractNumId w:val="26"/>
  </w:num>
  <w:num w:numId="33">
    <w:abstractNumId w:val="29"/>
  </w:num>
  <w:num w:numId="34">
    <w:abstractNumId w:val="17"/>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chenbrener, Elizabeth">
    <w15:presenceInfo w15:providerId="AD" w15:userId="S-1-5-21-8740799-900759487-1415713722-29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1E1E"/>
    <w:rsid w:val="000048E4"/>
    <w:rsid w:val="0000545E"/>
    <w:rsid w:val="00007CCC"/>
    <w:rsid w:val="00010B2A"/>
    <w:rsid w:val="00011208"/>
    <w:rsid w:val="000143FA"/>
    <w:rsid w:val="00014808"/>
    <w:rsid w:val="00015E97"/>
    <w:rsid w:val="00021BF9"/>
    <w:rsid w:val="000258EB"/>
    <w:rsid w:val="000565F0"/>
    <w:rsid w:val="00073AF1"/>
    <w:rsid w:val="00082EB9"/>
    <w:rsid w:val="0008540E"/>
    <w:rsid w:val="00094B4F"/>
    <w:rsid w:val="000A1015"/>
    <w:rsid w:val="000B03F9"/>
    <w:rsid w:val="000B0A77"/>
    <w:rsid w:val="000B0D6C"/>
    <w:rsid w:val="000B5BB9"/>
    <w:rsid w:val="000B7152"/>
    <w:rsid w:val="000C4701"/>
    <w:rsid w:val="000C739A"/>
    <w:rsid w:val="000C7EC0"/>
    <w:rsid w:val="000E4C7A"/>
    <w:rsid w:val="000E5E15"/>
    <w:rsid w:val="000F5A9A"/>
    <w:rsid w:val="000F73D1"/>
    <w:rsid w:val="001001C5"/>
    <w:rsid w:val="00105EFE"/>
    <w:rsid w:val="00106777"/>
    <w:rsid w:val="00113EC9"/>
    <w:rsid w:val="0011489E"/>
    <w:rsid w:val="00114BA3"/>
    <w:rsid w:val="00115DEC"/>
    <w:rsid w:val="00123F09"/>
    <w:rsid w:val="00136175"/>
    <w:rsid w:val="00140FF0"/>
    <w:rsid w:val="00146057"/>
    <w:rsid w:val="0016633C"/>
    <w:rsid w:val="00171990"/>
    <w:rsid w:val="00190248"/>
    <w:rsid w:val="00195A49"/>
    <w:rsid w:val="00195AC0"/>
    <w:rsid w:val="00195B70"/>
    <w:rsid w:val="001961C1"/>
    <w:rsid w:val="001A0EEB"/>
    <w:rsid w:val="001A16ED"/>
    <w:rsid w:val="001B18AB"/>
    <w:rsid w:val="001B70D1"/>
    <w:rsid w:val="001C3804"/>
    <w:rsid w:val="001D3322"/>
    <w:rsid w:val="001D474A"/>
    <w:rsid w:val="001E01A5"/>
    <w:rsid w:val="001E18AB"/>
    <w:rsid w:val="001E1C8F"/>
    <w:rsid w:val="001F1DC8"/>
    <w:rsid w:val="002115E0"/>
    <w:rsid w:val="00232B31"/>
    <w:rsid w:val="00235A3B"/>
    <w:rsid w:val="00243BE4"/>
    <w:rsid w:val="00250780"/>
    <w:rsid w:val="0025101F"/>
    <w:rsid w:val="00257188"/>
    <w:rsid w:val="002578B4"/>
    <w:rsid w:val="00267D12"/>
    <w:rsid w:val="00281792"/>
    <w:rsid w:val="0028799E"/>
    <w:rsid w:val="002962A8"/>
    <w:rsid w:val="002A56C0"/>
    <w:rsid w:val="002B584C"/>
    <w:rsid w:val="002E289E"/>
    <w:rsid w:val="002E37EF"/>
    <w:rsid w:val="002F36B9"/>
    <w:rsid w:val="002F5FA2"/>
    <w:rsid w:val="003126B0"/>
    <w:rsid w:val="00314127"/>
    <w:rsid w:val="00314C12"/>
    <w:rsid w:val="00323EF7"/>
    <w:rsid w:val="003261C3"/>
    <w:rsid w:val="003453DA"/>
    <w:rsid w:val="00354303"/>
    <w:rsid w:val="00357754"/>
    <w:rsid w:val="003578E4"/>
    <w:rsid w:val="00361097"/>
    <w:rsid w:val="003658A7"/>
    <w:rsid w:val="00370587"/>
    <w:rsid w:val="00373A0D"/>
    <w:rsid w:val="00375076"/>
    <w:rsid w:val="00375BBA"/>
    <w:rsid w:val="00395CE4"/>
    <w:rsid w:val="003A5FFB"/>
    <w:rsid w:val="003A7FB6"/>
    <w:rsid w:val="003B0F90"/>
    <w:rsid w:val="003B3751"/>
    <w:rsid w:val="003D567A"/>
    <w:rsid w:val="003E27C4"/>
    <w:rsid w:val="003F0763"/>
    <w:rsid w:val="003F5771"/>
    <w:rsid w:val="004014B0"/>
    <w:rsid w:val="004059B0"/>
    <w:rsid w:val="004107B5"/>
    <w:rsid w:val="00426AC1"/>
    <w:rsid w:val="00426AE1"/>
    <w:rsid w:val="004321A0"/>
    <w:rsid w:val="004321DC"/>
    <w:rsid w:val="00435AA4"/>
    <w:rsid w:val="00435EA8"/>
    <w:rsid w:val="004360BB"/>
    <w:rsid w:val="0045533C"/>
    <w:rsid w:val="004606DA"/>
    <w:rsid w:val="00463092"/>
    <w:rsid w:val="004676C0"/>
    <w:rsid w:val="00474E00"/>
    <w:rsid w:val="00482659"/>
    <w:rsid w:val="004835DB"/>
    <w:rsid w:val="00484694"/>
    <w:rsid w:val="00491D2D"/>
    <w:rsid w:val="00494797"/>
    <w:rsid w:val="004A2FBC"/>
    <w:rsid w:val="004B0C10"/>
    <w:rsid w:val="004C19D7"/>
    <w:rsid w:val="004C297B"/>
    <w:rsid w:val="004C73C9"/>
    <w:rsid w:val="004D192A"/>
    <w:rsid w:val="004E01FA"/>
    <w:rsid w:val="004E2238"/>
    <w:rsid w:val="004E6764"/>
    <w:rsid w:val="004F041D"/>
    <w:rsid w:val="004F1C55"/>
    <w:rsid w:val="00504FE5"/>
    <w:rsid w:val="00507348"/>
    <w:rsid w:val="00511FDA"/>
    <w:rsid w:val="00512B34"/>
    <w:rsid w:val="0051414E"/>
    <w:rsid w:val="005200D4"/>
    <w:rsid w:val="00522C97"/>
    <w:rsid w:val="005356FD"/>
    <w:rsid w:val="00547D75"/>
    <w:rsid w:val="00551C8B"/>
    <w:rsid w:val="005527D2"/>
    <w:rsid w:val="00554E24"/>
    <w:rsid w:val="00555A0F"/>
    <w:rsid w:val="00567130"/>
    <w:rsid w:val="0057034B"/>
    <w:rsid w:val="00581E8F"/>
    <w:rsid w:val="00586A98"/>
    <w:rsid w:val="005911CA"/>
    <w:rsid w:val="005927A4"/>
    <w:rsid w:val="00596B48"/>
    <w:rsid w:val="005A3E59"/>
    <w:rsid w:val="005B10E8"/>
    <w:rsid w:val="005B5026"/>
    <w:rsid w:val="005C3315"/>
    <w:rsid w:val="005E1CC3"/>
    <w:rsid w:val="005E2C79"/>
    <w:rsid w:val="005F05C8"/>
    <w:rsid w:val="00600D7C"/>
    <w:rsid w:val="00604079"/>
    <w:rsid w:val="00617BE4"/>
    <w:rsid w:val="00620233"/>
    <w:rsid w:val="006404B0"/>
    <w:rsid w:val="00641A6B"/>
    <w:rsid w:val="006461BA"/>
    <w:rsid w:val="0064629A"/>
    <w:rsid w:val="0066499C"/>
    <w:rsid w:val="00687D92"/>
    <w:rsid w:val="00693F4A"/>
    <w:rsid w:val="006A481B"/>
    <w:rsid w:val="006A7108"/>
    <w:rsid w:val="006B40DA"/>
    <w:rsid w:val="006B79B6"/>
    <w:rsid w:val="006C5D5D"/>
    <w:rsid w:val="006E215D"/>
    <w:rsid w:val="006E57C8"/>
    <w:rsid w:val="006E70E1"/>
    <w:rsid w:val="006F565E"/>
    <w:rsid w:val="00701ABB"/>
    <w:rsid w:val="00711035"/>
    <w:rsid w:val="007130ED"/>
    <w:rsid w:val="007140CF"/>
    <w:rsid w:val="0071582A"/>
    <w:rsid w:val="00722595"/>
    <w:rsid w:val="0073319E"/>
    <w:rsid w:val="007333DE"/>
    <w:rsid w:val="00733C8A"/>
    <w:rsid w:val="00737F2E"/>
    <w:rsid w:val="00742240"/>
    <w:rsid w:val="00745A37"/>
    <w:rsid w:val="00750829"/>
    <w:rsid w:val="007538C9"/>
    <w:rsid w:val="00753F63"/>
    <w:rsid w:val="007542C4"/>
    <w:rsid w:val="00755067"/>
    <w:rsid w:val="007561B6"/>
    <w:rsid w:val="007649DA"/>
    <w:rsid w:val="00765553"/>
    <w:rsid w:val="00771FB4"/>
    <w:rsid w:val="00777B8B"/>
    <w:rsid w:val="00790060"/>
    <w:rsid w:val="00794795"/>
    <w:rsid w:val="007949EA"/>
    <w:rsid w:val="00796849"/>
    <w:rsid w:val="007A59C3"/>
    <w:rsid w:val="007B0E06"/>
    <w:rsid w:val="007B30FC"/>
    <w:rsid w:val="007C3643"/>
    <w:rsid w:val="007E00D2"/>
    <w:rsid w:val="007E2AD4"/>
    <w:rsid w:val="007F007D"/>
    <w:rsid w:val="00817129"/>
    <w:rsid w:val="00821874"/>
    <w:rsid w:val="008263C6"/>
    <w:rsid w:val="0082780C"/>
    <w:rsid w:val="00831D94"/>
    <w:rsid w:val="008333C7"/>
    <w:rsid w:val="00833E0F"/>
    <w:rsid w:val="008404FD"/>
    <w:rsid w:val="00846DBA"/>
    <w:rsid w:val="00850AEF"/>
    <w:rsid w:val="00860C6A"/>
    <w:rsid w:val="00862891"/>
    <w:rsid w:val="00875048"/>
    <w:rsid w:val="00875BE1"/>
    <w:rsid w:val="00877715"/>
    <w:rsid w:val="00881377"/>
    <w:rsid w:val="00882E3A"/>
    <w:rsid w:val="00895CE3"/>
    <w:rsid w:val="0089603F"/>
    <w:rsid w:val="00897970"/>
    <w:rsid w:val="008B5A71"/>
    <w:rsid w:val="008D3BE2"/>
    <w:rsid w:val="008D4BC0"/>
    <w:rsid w:val="008D4D98"/>
    <w:rsid w:val="008E2A7B"/>
    <w:rsid w:val="008E6E9B"/>
    <w:rsid w:val="008F2C56"/>
    <w:rsid w:val="008F3C99"/>
    <w:rsid w:val="00900D5B"/>
    <w:rsid w:val="009236FE"/>
    <w:rsid w:val="0092633E"/>
    <w:rsid w:val="00940E00"/>
    <w:rsid w:val="00945D4B"/>
    <w:rsid w:val="009506E7"/>
    <w:rsid w:val="00950E0F"/>
    <w:rsid w:val="009630FA"/>
    <w:rsid w:val="00967103"/>
    <w:rsid w:val="00967670"/>
    <w:rsid w:val="00970996"/>
    <w:rsid w:val="009800CC"/>
    <w:rsid w:val="009903E2"/>
    <w:rsid w:val="009A078E"/>
    <w:rsid w:val="009A16AE"/>
    <w:rsid w:val="009A2B30"/>
    <w:rsid w:val="009A4211"/>
    <w:rsid w:val="009A47A2"/>
    <w:rsid w:val="009D61FA"/>
    <w:rsid w:val="009E425E"/>
    <w:rsid w:val="009E4322"/>
    <w:rsid w:val="009F4384"/>
    <w:rsid w:val="009F442D"/>
    <w:rsid w:val="009F50DA"/>
    <w:rsid w:val="009F6958"/>
    <w:rsid w:val="00A06D56"/>
    <w:rsid w:val="00A1056E"/>
    <w:rsid w:val="00A15DB4"/>
    <w:rsid w:val="00A30958"/>
    <w:rsid w:val="00A314A2"/>
    <w:rsid w:val="00A33FA7"/>
    <w:rsid w:val="00A46ECA"/>
    <w:rsid w:val="00A619C5"/>
    <w:rsid w:val="00A639E2"/>
    <w:rsid w:val="00A808E1"/>
    <w:rsid w:val="00A815CD"/>
    <w:rsid w:val="00A8262F"/>
    <w:rsid w:val="00A84B32"/>
    <w:rsid w:val="00A84B3A"/>
    <w:rsid w:val="00A93B71"/>
    <w:rsid w:val="00AA1343"/>
    <w:rsid w:val="00AB0B32"/>
    <w:rsid w:val="00AB457D"/>
    <w:rsid w:val="00AB5C39"/>
    <w:rsid w:val="00AB75A9"/>
    <w:rsid w:val="00AD1C5C"/>
    <w:rsid w:val="00AD566F"/>
    <w:rsid w:val="00AF0CF3"/>
    <w:rsid w:val="00AF39F2"/>
    <w:rsid w:val="00AF599F"/>
    <w:rsid w:val="00B1733E"/>
    <w:rsid w:val="00B24D03"/>
    <w:rsid w:val="00B25A86"/>
    <w:rsid w:val="00B304B9"/>
    <w:rsid w:val="00B55E1A"/>
    <w:rsid w:val="00B57988"/>
    <w:rsid w:val="00B62032"/>
    <w:rsid w:val="00B65F8C"/>
    <w:rsid w:val="00B7263B"/>
    <w:rsid w:val="00B73F47"/>
    <w:rsid w:val="00B7638A"/>
    <w:rsid w:val="00B80DF9"/>
    <w:rsid w:val="00B840D8"/>
    <w:rsid w:val="00B96467"/>
    <w:rsid w:val="00BA154E"/>
    <w:rsid w:val="00BA2C68"/>
    <w:rsid w:val="00BA37CE"/>
    <w:rsid w:val="00BA4692"/>
    <w:rsid w:val="00BC00DC"/>
    <w:rsid w:val="00BC6FDB"/>
    <w:rsid w:val="00BC7DE8"/>
    <w:rsid w:val="00BE0966"/>
    <w:rsid w:val="00BF43BA"/>
    <w:rsid w:val="00BF5722"/>
    <w:rsid w:val="00BF6268"/>
    <w:rsid w:val="00BF720B"/>
    <w:rsid w:val="00C04511"/>
    <w:rsid w:val="00C16846"/>
    <w:rsid w:val="00C34851"/>
    <w:rsid w:val="00C40866"/>
    <w:rsid w:val="00C42A5B"/>
    <w:rsid w:val="00C56038"/>
    <w:rsid w:val="00C72664"/>
    <w:rsid w:val="00C74872"/>
    <w:rsid w:val="00C77963"/>
    <w:rsid w:val="00C8447B"/>
    <w:rsid w:val="00C86F24"/>
    <w:rsid w:val="00CA38C9"/>
    <w:rsid w:val="00CB4984"/>
    <w:rsid w:val="00CB5DD7"/>
    <w:rsid w:val="00CB77D5"/>
    <w:rsid w:val="00CC14F0"/>
    <w:rsid w:val="00CC404A"/>
    <w:rsid w:val="00CD66C0"/>
    <w:rsid w:val="00CE3B0F"/>
    <w:rsid w:val="00CE40BB"/>
    <w:rsid w:val="00CF1C71"/>
    <w:rsid w:val="00D00A13"/>
    <w:rsid w:val="00D07696"/>
    <w:rsid w:val="00D11956"/>
    <w:rsid w:val="00D15A98"/>
    <w:rsid w:val="00D41507"/>
    <w:rsid w:val="00D44E43"/>
    <w:rsid w:val="00D500DC"/>
    <w:rsid w:val="00D54B39"/>
    <w:rsid w:val="00D64FF3"/>
    <w:rsid w:val="00D657A2"/>
    <w:rsid w:val="00D760C8"/>
    <w:rsid w:val="00D83FFD"/>
    <w:rsid w:val="00D8617D"/>
    <w:rsid w:val="00D92563"/>
    <w:rsid w:val="00DC7C10"/>
    <w:rsid w:val="00DD26B1"/>
    <w:rsid w:val="00DD3050"/>
    <w:rsid w:val="00DD5177"/>
    <w:rsid w:val="00DE16B8"/>
    <w:rsid w:val="00DE4CC2"/>
    <w:rsid w:val="00DF23FC"/>
    <w:rsid w:val="00DF39CD"/>
    <w:rsid w:val="00E002D8"/>
    <w:rsid w:val="00E0094D"/>
    <w:rsid w:val="00E016D9"/>
    <w:rsid w:val="00E13427"/>
    <w:rsid w:val="00E1374D"/>
    <w:rsid w:val="00E20134"/>
    <w:rsid w:val="00E22B27"/>
    <w:rsid w:val="00E22DF2"/>
    <w:rsid w:val="00E24CB2"/>
    <w:rsid w:val="00E3536D"/>
    <w:rsid w:val="00E44456"/>
    <w:rsid w:val="00E553B9"/>
    <w:rsid w:val="00E56E57"/>
    <w:rsid w:val="00E6599B"/>
    <w:rsid w:val="00E664F5"/>
    <w:rsid w:val="00E726DE"/>
    <w:rsid w:val="00E811F2"/>
    <w:rsid w:val="00E871C2"/>
    <w:rsid w:val="00EA1BAA"/>
    <w:rsid w:val="00EA5A48"/>
    <w:rsid w:val="00ED401C"/>
    <w:rsid w:val="00EE333B"/>
    <w:rsid w:val="00EE6CDC"/>
    <w:rsid w:val="00EF0608"/>
    <w:rsid w:val="00EF2642"/>
    <w:rsid w:val="00EF3122"/>
    <w:rsid w:val="00EF35FF"/>
    <w:rsid w:val="00EF3681"/>
    <w:rsid w:val="00F10790"/>
    <w:rsid w:val="00F10E7C"/>
    <w:rsid w:val="00F11F8B"/>
    <w:rsid w:val="00F13C1E"/>
    <w:rsid w:val="00F16F17"/>
    <w:rsid w:val="00F2099D"/>
    <w:rsid w:val="00F20BC2"/>
    <w:rsid w:val="00F342E4"/>
    <w:rsid w:val="00F35330"/>
    <w:rsid w:val="00F35A51"/>
    <w:rsid w:val="00F41C91"/>
    <w:rsid w:val="00F42F73"/>
    <w:rsid w:val="00F433A4"/>
    <w:rsid w:val="00F43F9C"/>
    <w:rsid w:val="00F4421A"/>
    <w:rsid w:val="00F47316"/>
    <w:rsid w:val="00F5530D"/>
    <w:rsid w:val="00F55DA5"/>
    <w:rsid w:val="00F70854"/>
    <w:rsid w:val="00F7207D"/>
    <w:rsid w:val="00F73FB7"/>
    <w:rsid w:val="00F95ABE"/>
    <w:rsid w:val="00F9756D"/>
    <w:rsid w:val="00FB5F12"/>
    <w:rsid w:val="00FB6C57"/>
    <w:rsid w:val="00FD417F"/>
    <w:rsid w:val="00FD7B1D"/>
    <w:rsid w:val="00FE1E22"/>
    <w:rsid w:val="00FE4B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2F5FA2"/>
    <w:rPr>
      <w:rFonts w:ascii="Calibri" w:hAnsi="Calibri"/>
      <w:position w:val="6"/>
      <w:sz w:val="16"/>
    </w:rPr>
  </w:style>
  <w:style w:type="paragraph" w:styleId="FootnoteText">
    <w:name w:val="footnote text"/>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styleId="ListParagraph">
    <w:name w:val="List Paragraph"/>
    <w:basedOn w:val="Normal"/>
    <w:uiPriority w:val="34"/>
    <w:qFormat/>
    <w:rsid w:val="004A2FBC"/>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FootnoteTextChar">
    <w:name w:val="Footnote Text Char"/>
    <w:basedOn w:val="DefaultParagraphFont"/>
    <w:link w:val="FootnoteText"/>
    <w:uiPriority w:val="99"/>
    <w:rsid w:val="004A2FBC"/>
    <w:rPr>
      <w:rFonts w:ascii="Calibri" w:hAnsi="Calibri"/>
      <w:sz w:val="24"/>
      <w:lang w:val="en-GB" w:eastAsia="en-US"/>
    </w:rPr>
  </w:style>
  <w:style w:type="character" w:styleId="CommentReference">
    <w:name w:val="annotation reference"/>
    <w:basedOn w:val="DefaultParagraphFont"/>
    <w:semiHidden/>
    <w:unhideWhenUsed/>
    <w:rsid w:val="00CD66C0"/>
    <w:rPr>
      <w:sz w:val="16"/>
      <w:szCs w:val="16"/>
    </w:rPr>
  </w:style>
  <w:style w:type="paragraph" w:styleId="CommentText">
    <w:name w:val="annotation text"/>
    <w:basedOn w:val="Normal"/>
    <w:link w:val="CommentTextChar"/>
    <w:semiHidden/>
    <w:unhideWhenUsed/>
    <w:rsid w:val="00CD66C0"/>
    <w:rPr>
      <w:sz w:val="20"/>
    </w:rPr>
  </w:style>
  <w:style w:type="character" w:customStyle="1" w:styleId="CommentTextChar">
    <w:name w:val="Comment Text Char"/>
    <w:basedOn w:val="DefaultParagraphFont"/>
    <w:link w:val="CommentText"/>
    <w:semiHidden/>
    <w:rsid w:val="00CD66C0"/>
    <w:rPr>
      <w:rFonts w:ascii="Calibri" w:hAnsi="Calibri"/>
      <w:lang w:val="en-GB" w:eastAsia="en-US"/>
    </w:rPr>
  </w:style>
  <w:style w:type="paragraph" w:styleId="CommentSubject">
    <w:name w:val="annotation subject"/>
    <w:basedOn w:val="CommentText"/>
    <w:next w:val="CommentText"/>
    <w:link w:val="CommentSubjectChar"/>
    <w:semiHidden/>
    <w:unhideWhenUsed/>
    <w:rsid w:val="00CD66C0"/>
    <w:rPr>
      <w:b/>
      <w:bCs/>
    </w:rPr>
  </w:style>
  <w:style w:type="character" w:customStyle="1" w:styleId="CommentSubjectChar">
    <w:name w:val="Comment Subject Char"/>
    <w:basedOn w:val="CommentTextChar"/>
    <w:link w:val="CommentSubject"/>
    <w:semiHidden/>
    <w:rsid w:val="00CD66C0"/>
    <w:rPr>
      <w:rFonts w:ascii="Calibri" w:hAnsi="Calibri"/>
      <w:b/>
      <w:bCs/>
      <w:lang w:val="en-GB" w:eastAsia="en-US"/>
    </w:rPr>
  </w:style>
  <w:style w:type="paragraph" w:styleId="PlainText">
    <w:name w:val="Plain Text"/>
    <w:basedOn w:val="Normal"/>
    <w:link w:val="PlainTextChar"/>
    <w:uiPriority w:val="99"/>
    <w:unhideWhenUsed/>
    <w:rsid w:val="00EF35FF"/>
    <w:pPr>
      <w:tabs>
        <w:tab w:val="clear" w:pos="567"/>
        <w:tab w:val="clear" w:pos="1134"/>
        <w:tab w:val="clear" w:pos="1701"/>
        <w:tab w:val="clear" w:pos="2268"/>
        <w:tab w:val="clear" w:pos="2835"/>
        <w:tab w:val="left" w:pos="794"/>
        <w:tab w:val="left" w:pos="1191"/>
        <w:tab w:val="left" w:pos="1588"/>
        <w:tab w:val="left" w:pos="1985"/>
      </w:tabs>
      <w:jc w:val="both"/>
      <w:textAlignment w:val="auto"/>
    </w:pPr>
    <w:rPr>
      <w:rFonts w:ascii="Courier New" w:hAnsi="Courier New" w:cs="Courier New"/>
      <w:sz w:val="20"/>
    </w:rPr>
  </w:style>
  <w:style w:type="character" w:customStyle="1" w:styleId="PlainTextChar">
    <w:name w:val="Plain Text Char"/>
    <w:basedOn w:val="DefaultParagraphFont"/>
    <w:link w:val="PlainText"/>
    <w:uiPriority w:val="99"/>
    <w:rsid w:val="00EF35FF"/>
    <w:rPr>
      <w:rFonts w:ascii="Courier New" w:hAnsi="Courier New" w:cs="Courier New"/>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2F5FA2"/>
    <w:rPr>
      <w:rFonts w:ascii="Calibri" w:hAnsi="Calibri"/>
      <w:position w:val="6"/>
      <w:sz w:val="16"/>
    </w:rPr>
  </w:style>
  <w:style w:type="paragraph" w:styleId="FootnoteText">
    <w:name w:val="footnote text"/>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styleId="ListParagraph">
    <w:name w:val="List Paragraph"/>
    <w:basedOn w:val="Normal"/>
    <w:uiPriority w:val="34"/>
    <w:qFormat/>
    <w:rsid w:val="004A2FBC"/>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FootnoteTextChar">
    <w:name w:val="Footnote Text Char"/>
    <w:basedOn w:val="DefaultParagraphFont"/>
    <w:link w:val="FootnoteText"/>
    <w:uiPriority w:val="99"/>
    <w:rsid w:val="004A2FBC"/>
    <w:rPr>
      <w:rFonts w:ascii="Calibri" w:hAnsi="Calibri"/>
      <w:sz w:val="24"/>
      <w:lang w:val="en-GB" w:eastAsia="en-US"/>
    </w:rPr>
  </w:style>
  <w:style w:type="character" w:styleId="CommentReference">
    <w:name w:val="annotation reference"/>
    <w:basedOn w:val="DefaultParagraphFont"/>
    <w:semiHidden/>
    <w:unhideWhenUsed/>
    <w:rsid w:val="00CD66C0"/>
    <w:rPr>
      <w:sz w:val="16"/>
      <w:szCs w:val="16"/>
    </w:rPr>
  </w:style>
  <w:style w:type="paragraph" w:styleId="CommentText">
    <w:name w:val="annotation text"/>
    <w:basedOn w:val="Normal"/>
    <w:link w:val="CommentTextChar"/>
    <w:semiHidden/>
    <w:unhideWhenUsed/>
    <w:rsid w:val="00CD66C0"/>
    <w:rPr>
      <w:sz w:val="20"/>
    </w:rPr>
  </w:style>
  <w:style w:type="character" w:customStyle="1" w:styleId="CommentTextChar">
    <w:name w:val="Comment Text Char"/>
    <w:basedOn w:val="DefaultParagraphFont"/>
    <w:link w:val="CommentText"/>
    <w:semiHidden/>
    <w:rsid w:val="00CD66C0"/>
    <w:rPr>
      <w:rFonts w:ascii="Calibri" w:hAnsi="Calibri"/>
      <w:lang w:val="en-GB" w:eastAsia="en-US"/>
    </w:rPr>
  </w:style>
  <w:style w:type="paragraph" w:styleId="CommentSubject">
    <w:name w:val="annotation subject"/>
    <w:basedOn w:val="CommentText"/>
    <w:next w:val="CommentText"/>
    <w:link w:val="CommentSubjectChar"/>
    <w:semiHidden/>
    <w:unhideWhenUsed/>
    <w:rsid w:val="00CD66C0"/>
    <w:rPr>
      <w:b/>
      <w:bCs/>
    </w:rPr>
  </w:style>
  <w:style w:type="character" w:customStyle="1" w:styleId="CommentSubjectChar">
    <w:name w:val="Comment Subject Char"/>
    <w:basedOn w:val="CommentTextChar"/>
    <w:link w:val="CommentSubject"/>
    <w:semiHidden/>
    <w:rsid w:val="00CD66C0"/>
    <w:rPr>
      <w:rFonts w:ascii="Calibri" w:hAnsi="Calibri"/>
      <w:b/>
      <w:bCs/>
      <w:lang w:val="en-GB" w:eastAsia="en-US"/>
    </w:rPr>
  </w:style>
  <w:style w:type="paragraph" w:styleId="PlainText">
    <w:name w:val="Plain Text"/>
    <w:basedOn w:val="Normal"/>
    <w:link w:val="PlainTextChar"/>
    <w:uiPriority w:val="99"/>
    <w:unhideWhenUsed/>
    <w:rsid w:val="00EF35FF"/>
    <w:pPr>
      <w:tabs>
        <w:tab w:val="clear" w:pos="567"/>
        <w:tab w:val="clear" w:pos="1134"/>
        <w:tab w:val="clear" w:pos="1701"/>
        <w:tab w:val="clear" w:pos="2268"/>
        <w:tab w:val="clear" w:pos="2835"/>
        <w:tab w:val="left" w:pos="794"/>
        <w:tab w:val="left" w:pos="1191"/>
        <w:tab w:val="left" w:pos="1588"/>
        <w:tab w:val="left" w:pos="1985"/>
      </w:tabs>
      <w:jc w:val="both"/>
      <w:textAlignment w:val="auto"/>
    </w:pPr>
    <w:rPr>
      <w:rFonts w:ascii="Courier New" w:hAnsi="Courier New" w:cs="Courier New"/>
      <w:sz w:val="20"/>
    </w:rPr>
  </w:style>
  <w:style w:type="character" w:customStyle="1" w:styleId="PlainTextChar">
    <w:name w:val="Plain Text Char"/>
    <w:basedOn w:val="DefaultParagraphFont"/>
    <w:link w:val="PlainText"/>
    <w:uiPriority w:val="99"/>
    <w:rsid w:val="00EF35FF"/>
    <w:rPr>
      <w:rFonts w:ascii="Courier New" w:hAnsi="Courier New" w:cs="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6236">
      <w:bodyDiv w:val="1"/>
      <w:marLeft w:val="0"/>
      <w:marRight w:val="0"/>
      <w:marTop w:val="0"/>
      <w:marBottom w:val="0"/>
      <w:divBdr>
        <w:top w:val="none" w:sz="0" w:space="0" w:color="auto"/>
        <w:left w:val="none" w:sz="0" w:space="0" w:color="auto"/>
        <w:bottom w:val="none" w:sz="0" w:space="0" w:color="auto"/>
        <w:right w:val="none" w:sz="0" w:space="0" w:color="auto"/>
      </w:divBdr>
    </w:div>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748311658">
      <w:bodyDiv w:val="1"/>
      <w:marLeft w:val="0"/>
      <w:marRight w:val="0"/>
      <w:marTop w:val="0"/>
      <w:marBottom w:val="0"/>
      <w:divBdr>
        <w:top w:val="none" w:sz="0" w:space="0" w:color="auto"/>
        <w:left w:val="none" w:sz="0" w:space="0" w:color="auto"/>
        <w:bottom w:val="none" w:sz="0" w:space="0" w:color="auto"/>
        <w:right w:val="none" w:sz="0" w:space="0" w:color="auto"/>
      </w:divBdr>
    </w:div>
    <w:div w:id="1089157659">
      <w:bodyDiv w:val="1"/>
      <w:marLeft w:val="0"/>
      <w:marRight w:val="0"/>
      <w:marTop w:val="0"/>
      <w:marBottom w:val="0"/>
      <w:divBdr>
        <w:top w:val="none" w:sz="0" w:space="0" w:color="auto"/>
        <w:left w:val="none" w:sz="0" w:space="0" w:color="auto"/>
        <w:bottom w:val="none" w:sz="0" w:space="0" w:color="auto"/>
        <w:right w:val="none" w:sz="0" w:space="0" w:color="auto"/>
      </w:divBdr>
    </w:div>
    <w:div w:id="1146750475">
      <w:bodyDiv w:val="1"/>
      <w:marLeft w:val="0"/>
      <w:marRight w:val="0"/>
      <w:marTop w:val="0"/>
      <w:marBottom w:val="0"/>
      <w:divBdr>
        <w:top w:val="none" w:sz="0" w:space="0" w:color="auto"/>
        <w:left w:val="none" w:sz="0" w:space="0" w:color="auto"/>
        <w:bottom w:val="none" w:sz="0" w:space="0" w:color="auto"/>
        <w:right w:val="none" w:sz="0" w:space="0" w:color="auto"/>
      </w:divBdr>
    </w:div>
    <w:div w:id="180692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lo.org/pardev/information-resources/publications/WCMS_191019/lang--en/index.htm" TargetMode="External"/><Relationship Id="rId18" Type="http://schemas.openxmlformats.org/officeDocument/2006/relationships/hyperlink" Target="http://www.itu.int/md/S14-CL-INF-0020/en"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itu.int/md/S14-CL-C-0062/en" TargetMode="External"/><Relationship Id="rId7" Type="http://schemas.openxmlformats.org/officeDocument/2006/relationships/footnotes" Target="footnotes.xml"/><Relationship Id="rId12" Type="http://schemas.openxmlformats.org/officeDocument/2006/relationships/hyperlink" Target="http://www.itu.int/md/S14-CL-INF-0020/en" TargetMode="External"/><Relationship Id="rId17" Type="http://schemas.openxmlformats.org/officeDocument/2006/relationships/hyperlink" Target="http://www1.worldbank.org/operations/disclosure/policy.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icef.org/about/legal_disclosure.html" TargetMode="External"/><Relationship Id="rId20" Type="http://schemas.openxmlformats.org/officeDocument/2006/relationships/hyperlink" Target="http://www.itu.int/md/S14-CL-C-0061/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council/wg-sfp/Pages/default.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fad.org/gbdocs/" TargetMode="External"/><Relationship Id="rId23" Type="http://schemas.openxmlformats.org/officeDocument/2006/relationships/footer" Target="footer1.xml"/><Relationship Id="rId10" Type="http://schemas.openxmlformats.org/officeDocument/2006/relationships/hyperlink" Target="http://www.itu.int/md/S14-CL-INF-0020/en" TargetMode="External"/><Relationship Id="rId19" Type="http://schemas.openxmlformats.org/officeDocument/2006/relationships/hyperlink" Target="http://www.itu.int/md/S14-CL-C-0064/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ndp.org/content/undp/en/home/operations/transparency/information_disclosurepolicy/"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8036C-446C-41FE-B926-EB99FCEE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2810</Words>
  <Characters>16937</Characters>
  <Application>Microsoft Office Word</Application>
  <DocSecurity>0</DocSecurity>
  <Lines>141</Lines>
  <Paragraphs>39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19708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unknown</dc:creator>
  <cp:keywords>PP-10</cp:keywords>
  <cp:lastModifiedBy>unknown</cp:lastModifiedBy>
  <cp:revision>5</cp:revision>
  <cp:lastPrinted>2014-08-05T15:39:00Z</cp:lastPrinted>
  <dcterms:created xsi:type="dcterms:W3CDTF">2014-08-05T15:38:00Z</dcterms:created>
  <dcterms:modified xsi:type="dcterms:W3CDTF">2014-08-07T06:18:00Z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