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7088"/>
        <w:gridCol w:w="2943"/>
      </w:tblGrid>
      <w:tr w:rsidR="00F96AB4" w:rsidRPr="007F5899" w:rsidTr="002F3223">
        <w:trPr>
          <w:cantSplit/>
        </w:trPr>
        <w:tc>
          <w:tcPr>
            <w:tcW w:w="7088" w:type="dxa"/>
          </w:tcPr>
          <w:p w:rsidR="00F96AB4" w:rsidRPr="007F5899" w:rsidRDefault="00F96AB4" w:rsidP="003E6310">
            <w:pPr>
              <w:spacing w:before="240" w:after="48" w:line="240" w:lineRule="atLeast"/>
              <w:rPr>
                <w:rFonts w:cstheme="minorHAnsi"/>
                <w:b/>
                <w:bCs/>
                <w:position w:val="6"/>
                <w:lang w:val="ru-RU"/>
              </w:rPr>
            </w:pPr>
            <w:bookmarkStart w:id="0" w:name="dbreak"/>
            <w:bookmarkEnd w:id="0"/>
            <w:r w:rsidRPr="007F5899">
              <w:rPr>
                <w:b/>
                <w:bCs/>
                <w:sz w:val="28"/>
                <w:szCs w:val="28"/>
                <w:lang w:val="ru-RU"/>
              </w:rPr>
              <w:t>Полномочная конференция (ПК-</w:t>
            </w:r>
            <w:proofErr w:type="gramStart"/>
            <w:r w:rsidRPr="007F5899">
              <w:rPr>
                <w:b/>
                <w:bCs/>
                <w:sz w:val="28"/>
                <w:szCs w:val="28"/>
                <w:lang w:val="ru-RU"/>
              </w:rPr>
              <w:t>14)</w:t>
            </w:r>
            <w:r w:rsidRPr="007F5899">
              <w:rPr>
                <w:rFonts w:ascii="Verdana" w:hAnsi="Verdana"/>
                <w:szCs w:val="22"/>
                <w:lang w:val="ru-RU"/>
              </w:rPr>
              <w:br/>
            </w:r>
            <w:proofErr w:type="spellStart"/>
            <w:r w:rsidRPr="007F5899">
              <w:rPr>
                <w:b/>
                <w:bCs/>
                <w:lang w:val="ru-RU"/>
              </w:rPr>
              <w:t>Пусан</w:t>
            </w:r>
            <w:proofErr w:type="spellEnd"/>
            <w:proofErr w:type="gramEnd"/>
            <w:r w:rsidRPr="007F5899">
              <w:rPr>
                <w:b/>
                <w:bCs/>
                <w:lang w:val="ru-RU"/>
              </w:rPr>
              <w:t>, 20 октября – 7 ноября 2014 г.</w:t>
            </w:r>
          </w:p>
        </w:tc>
        <w:tc>
          <w:tcPr>
            <w:tcW w:w="2943" w:type="dxa"/>
          </w:tcPr>
          <w:p w:rsidR="00F96AB4" w:rsidRPr="007F5899" w:rsidRDefault="00F96AB4" w:rsidP="003E6310">
            <w:pPr>
              <w:rPr>
                <w:lang w:val="ru-RU"/>
              </w:rPr>
            </w:pPr>
            <w:bookmarkStart w:id="1" w:name="ditulogo"/>
            <w:bookmarkEnd w:id="1"/>
            <w:r w:rsidRPr="007F5899">
              <w:rPr>
                <w:lang w:val="ru-RU" w:eastAsia="zh-CN"/>
              </w:rPr>
              <w:drawing>
                <wp:inline distT="0" distB="0" distL="0" distR="0" wp14:anchorId="52F64962" wp14:editId="4D6A0C58">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7F5899" w:rsidTr="002F3223">
        <w:trPr>
          <w:cantSplit/>
        </w:trPr>
        <w:tc>
          <w:tcPr>
            <w:tcW w:w="7088" w:type="dxa"/>
            <w:tcBorders>
              <w:bottom w:val="single" w:sz="12" w:space="0" w:color="auto"/>
            </w:tcBorders>
          </w:tcPr>
          <w:p w:rsidR="00F96AB4" w:rsidRPr="007F5899" w:rsidRDefault="00F96AB4" w:rsidP="003E6310">
            <w:pPr>
              <w:spacing w:after="48" w:line="240" w:lineRule="atLeast"/>
              <w:rPr>
                <w:rFonts w:cstheme="minorHAnsi"/>
                <w:b/>
                <w:smallCaps/>
                <w:szCs w:val="22"/>
                <w:lang w:val="ru-RU"/>
              </w:rPr>
            </w:pPr>
            <w:bookmarkStart w:id="2" w:name="dhead"/>
          </w:p>
        </w:tc>
        <w:tc>
          <w:tcPr>
            <w:tcW w:w="2943" w:type="dxa"/>
            <w:tcBorders>
              <w:bottom w:val="single" w:sz="12" w:space="0" w:color="auto"/>
            </w:tcBorders>
          </w:tcPr>
          <w:p w:rsidR="00F96AB4" w:rsidRPr="007F5899" w:rsidRDefault="00F96AB4" w:rsidP="003E6310">
            <w:pPr>
              <w:spacing w:line="240" w:lineRule="atLeast"/>
              <w:rPr>
                <w:rFonts w:cstheme="minorHAnsi"/>
                <w:szCs w:val="22"/>
                <w:lang w:val="ru-RU"/>
              </w:rPr>
            </w:pPr>
          </w:p>
        </w:tc>
      </w:tr>
      <w:tr w:rsidR="00F96AB4" w:rsidRPr="007F5899" w:rsidTr="002F3223">
        <w:trPr>
          <w:cantSplit/>
        </w:trPr>
        <w:tc>
          <w:tcPr>
            <w:tcW w:w="7088" w:type="dxa"/>
            <w:tcBorders>
              <w:top w:val="single" w:sz="12" w:space="0" w:color="auto"/>
            </w:tcBorders>
          </w:tcPr>
          <w:p w:rsidR="00F96AB4" w:rsidRPr="007F5899" w:rsidRDefault="00F96AB4" w:rsidP="003E6310">
            <w:pPr>
              <w:spacing w:before="0" w:after="48" w:line="240" w:lineRule="atLeast"/>
              <w:rPr>
                <w:rFonts w:cstheme="minorHAnsi"/>
                <w:b/>
                <w:smallCaps/>
                <w:sz w:val="18"/>
                <w:szCs w:val="22"/>
                <w:lang w:val="ru-RU"/>
              </w:rPr>
            </w:pPr>
            <w:bookmarkStart w:id="3" w:name="dspace"/>
          </w:p>
        </w:tc>
        <w:tc>
          <w:tcPr>
            <w:tcW w:w="2943" w:type="dxa"/>
            <w:tcBorders>
              <w:top w:val="single" w:sz="12" w:space="0" w:color="auto"/>
            </w:tcBorders>
          </w:tcPr>
          <w:p w:rsidR="00F96AB4" w:rsidRPr="007F5899" w:rsidRDefault="00F96AB4" w:rsidP="003E6310">
            <w:pPr>
              <w:spacing w:before="0" w:line="240" w:lineRule="atLeast"/>
              <w:rPr>
                <w:rFonts w:cstheme="minorHAnsi"/>
                <w:sz w:val="18"/>
                <w:szCs w:val="22"/>
                <w:lang w:val="ru-RU"/>
              </w:rPr>
            </w:pPr>
          </w:p>
        </w:tc>
      </w:tr>
      <w:bookmarkEnd w:id="2"/>
      <w:bookmarkEnd w:id="3"/>
      <w:tr w:rsidR="00131286" w:rsidRPr="007F5899" w:rsidTr="002F3223">
        <w:trPr>
          <w:cantSplit/>
        </w:trPr>
        <w:tc>
          <w:tcPr>
            <w:tcW w:w="7088" w:type="dxa"/>
          </w:tcPr>
          <w:p w:rsidR="00131286" w:rsidRPr="007F5899" w:rsidRDefault="00131286" w:rsidP="00356558">
            <w:pPr>
              <w:pStyle w:val="Committee"/>
              <w:framePr w:hSpace="0" w:wrap="auto" w:hAnchor="text" w:yAlign="inline"/>
              <w:spacing w:after="0"/>
              <w:rPr>
                <w:lang w:val="ru-RU"/>
              </w:rPr>
            </w:pPr>
            <w:r w:rsidRPr="007F5899">
              <w:rPr>
                <w:lang w:val="ru-RU"/>
              </w:rPr>
              <w:t>ПЛЕНАРНОЕ ЗАСЕДАНИЕ</w:t>
            </w:r>
          </w:p>
        </w:tc>
        <w:tc>
          <w:tcPr>
            <w:tcW w:w="2943" w:type="dxa"/>
          </w:tcPr>
          <w:p w:rsidR="00131286" w:rsidRPr="007F5899" w:rsidRDefault="00221DA0" w:rsidP="00356558">
            <w:pPr>
              <w:tabs>
                <w:tab w:val="left" w:pos="851"/>
              </w:tabs>
              <w:spacing w:before="0" w:line="240" w:lineRule="atLeast"/>
              <w:rPr>
                <w:rFonts w:cstheme="minorHAnsi"/>
                <w:b/>
                <w:szCs w:val="28"/>
                <w:lang w:val="ru-RU"/>
              </w:rPr>
            </w:pPr>
            <w:r w:rsidRPr="007F5899">
              <w:rPr>
                <w:rFonts w:cstheme="minorHAnsi"/>
                <w:b/>
                <w:szCs w:val="24"/>
                <w:lang w:val="ru-RU"/>
              </w:rPr>
              <w:t xml:space="preserve">Пересмотр 1 </w:t>
            </w:r>
            <w:r w:rsidR="002F3223" w:rsidRPr="007F5899">
              <w:rPr>
                <w:rFonts w:cstheme="minorHAnsi"/>
                <w:b/>
                <w:szCs w:val="24"/>
                <w:lang w:val="ru-RU"/>
              </w:rPr>
              <w:br/>
            </w:r>
            <w:r w:rsidR="00131286" w:rsidRPr="007F5899">
              <w:rPr>
                <w:rFonts w:cstheme="minorHAnsi"/>
                <w:b/>
                <w:bCs/>
                <w:szCs w:val="28"/>
                <w:lang w:val="ru-RU"/>
              </w:rPr>
              <w:t>Документ</w:t>
            </w:r>
            <w:r w:rsidR="00084345" w:rsidRPr="007F5899">
              <w:rPr>
                <w:rFonts w:cstheme="minorHAnsi"/>
                <w:b/>
                <w:bCs/>
                <w:szCs w:val="28"/>
                <w:lang w:val="ru-RU"/>
              </w:rPr>
              <w:t>а</w:t>
            </w:r>
            <w:r w:rsidR="00131286" w:rsidRPr="007F5899">
              <w:rPr>
                <w:rFonts w:cstheme="minorHAnsi"/>
                <w:b/>
                <w:bCs/>
                <w:szCs w:val="28"/>
                <w:lang w:val="ru-RU"/>
              </w:rPr>
              <w:t xml:space="preserve"> </w:t>
            </w:r>
            <w:r w:rsidR="00084345" w:rsidRPr="007F5899">
              <w:rPr>
                <w:rFonts w:cstheme="minorHAnsi"/>
                <w:b/>
                <w:bCs/>
                <w:szCs w:val="28"/>
                <w:lang w:val="ru-RU"/>
              </w:rPr>
              <w:t>57</w:t>
            </w:r>
            <w:r w:rsidR="00131286" w:rsidRPr="007F5899">
              <w:rPr>
                <w:rFonts w:cstheme="minorHAnsi"/>
                <w:b/>
                <w:bCs/>
                <w:szCs w:val="28"/>
                <w:lang w:val="ru-RU"/>
              </w:rPr>
              <w:t>-R</w:t>
            </w:r>
          </w:p>
        </w:tc>
      </w:tr>
      <w:tr w:rsidR="00131286" w:rsidRPr="007F5899" w:rsidTr="002F3223">
        <w:trPr>
          <w:cantSplit/>
        </w:trPr>
        <w:tc>
          <w:tcPr>
            <w:tcW w:w="7088" w:type="dxa"/>
          </w:tcPr>
          <w:p w:rsidR="00131286" w:rsidRPr="007F5899" w:rsidRDefault="00131286" w:rsidP="00356558">
            <w:pPr>
              <w:spacing w:before="0" w:line="240" w:lineRule="atLeast"/>
              <w:rPr>
                <w:rFonts w:cstheme="minorHAnsi"/>
                <w:b/>
                <w:smallCaps/>
                <w:szCs w:val="28"/>
                <w:lang w:val="ru-RU"/>
              </w:rPr>
            </w:pPr>
          </w:p>
        </w:tc>
        <w:tc>
          <w:tcPr>
            <w:tcW w:w="2943" w:type="dxa"/>
          </w:tcPr>
          <w:p w:rsidR="00131286" w:rsidRPr="007F5899" w:rsidRDefault="00282C17" w:rsidP="00356558">
            <w:pPr>
              <w:spacing w:before="0" w:line="240" w:lineRule="atLeast"/>
              <w:rPr>
                <w:rFonts w:cstheme="minorHAnsi"/>
                <w:szCs w:val="28"/>
                <w:lang w:val="ru-RU"/>
              </w:rPr>
            </w:pPr>
            <w:r w:rsidRPr="007F5899">
              <w:rPr>
                <w:rFonts w:cstheme="minorHAnsi"/>
                <w:b/>
                <w:bCs/>
                <w:szCs w:val="28"/>
                <w:lang w:val="ru-RU"/>
              </w:rPr>
              <w:t>24 июля</w:t>
            </w:r>
            <w:r w:rsidR="00131286" w:rsidRPr="007F5899">
              <w:rPr>
                <w:rFonts w:cstheme="minorHAnsi"/>
                <w:b/>
                <w:bCs/>
                <w:szCs w:val="28"/>
                <w:lang w:val="ru-RU"/>
              </w:rPr>
              <w:t xml:space="preserve"> 201</w:t>
            </w:r>
            <w:r w:rsidRPr="007F5899">
              <w:rPr>
                <w:rFonts w:cstheme="minorHAnsi"/>
                <w:b/>
                <w:bCs/>
                <w:szCs w:val="28"/>
                <w:lang w:val="ru-RU"/>
              </w:rPr>
              <w:t>4</w:t>
            </w:r>
            <w:r w:rsidR="00131286" w:rsidRPr="007F5899">
              <w:rPr>
                <w:rFonts w:cstheme="minorHAnsi"/>
                <w:b/>
                <w:bCs/>
                <w:szCs w:val="28"/>
                <w:lang w:val="ru-RU"/>
              </w:rPr>
              <w:t xml:space="preserve"> года</w:t>
            </w:r>
          </w:p>
        </w:tc>
      </w:tr>
      <w:tr w:rsidR="00131286" w:rsidRPr="007F5899" w:rsidTr="002F3223">
        <w:trPr>
          <w:cantSplit/>
        </w:trPr>
        <w:tc>
          <w:tcPr>
            <w:tcW w:w="7088" w:type="dxa"/>
          </w:tcPr>
          <w:p w:rsidR="00131286" w:rsidRPr="007F5899" w:rsidRDefault="00131286" w:rsidP="00356558">
            <w:pPr>
              <w:spacing w:before="0" w:line="240" w:lineRule="atLeast"/>
              <w:rPr>
                <w:rFonts w:cstheme="minorHAnsi"/>
                <w:b/>
                <w:smallCaps/>
                <w:szCs w:val="28"/>
                <w:lang w:val="ru-RU"/>
              </w:rPr>
            </w:pPr>
          </w:p>
        </w:tc>
        <w:tc>
          <w:tcPr>
            <w:tcW w:w="2943" w:type="dxa"/>
          </w:tcPr>
          <w:p w:rsidR="00131286" w:rsidRPr="007F5899" w:rsidRDefault="00131286" w:rsidP="00356558">
            <w:pPr>
              <w:spacing w:before="0" w:line="240" w:lineRule="atLeast"/>
              <w:rPr>
                <w:rFonts w:cstheme="minorHAnsi"/>
                <w:szCs w:val="28"/>
                <w:lang w:val="ru-RU"/>
              </w:rPr>
            </w:pPr>
            <w:r w:rsidRPr="007F5899">
              <w:rPr>
                <w:rFonts w:cstheme="minorHAnsi"/>
                <w:b/>
                <w:bCs/>
                <w:szCs w:val="28"/>
                <w:lang w:val="ru-RU"/>
              </w:rPr>
              <w:t>Оригинал: английский</w:t>
            </w:r>
          </w:p>
        </w:tc>
      </w:tr>
      <w:tr w:rsidR="00131286" w:rsidRPr="007F5899" w:rsidTr="003E6310">
        <w:trPr>
          <w:cantSplit/>
        </w:trPr>
        <w:tc>
          <w:tcPr>
            <w:tcW w:w="10031" w:type="dxa"/>
            <w:gridSpan w:val="2"/>
          </w:tcPr>
          <w:p w:rsidR="00131286" w:rsidRPr="007F5899" w:rsidRDefault="00131286" w:rsidP="00131286">
            <w:pPr>
              <w:spacing w:before="0" w:line="240" w:lineRule="atLeast"/>
              <w:rPr>
                <w:rFonts w:ascii="Verdana" w:hAnsi="Verdana"/>
                <w:b/>
                <w:bCs/>
                <w:sz w:val="18"/>
                <w:szCs w:val="22"/>
                <w:lang w:val="ru-RU"/>
              </w:rPr>
            </w:pPr>
          </w:p>
        </w:tc>
      </w:tr>
      <w:tr w:rsidR="00131286" w:rsidRPr="007F5899" w:rsidTr="003E6310">
        <w:trPr>
          <w:cantSplit/>
        </w:trPr>
        <w:tc>
          <w:tcPr>
            <w:tcW w:w="10031" w:type="dxa"/>
            <w:gridSpan w:val="2"/>
          </w:tcPr>
          <w:p w:rsidR="00131286" w:rsidRPr="007F5899" w:rsidRDefault="00084345" w:rsidP="00131286">
            <w:pPr>
              <w:pStyle w:val="Source"/>
              <w:rPr>
                <w:lang w:val="ru-RU"/>
              </w:rPr>
            </w:pPr>
            <w:bookmarkStart w:id="4" w:name="dsource" w:colFirst="0" w:colLast="0"/>
            <w:r w:rsidRPr="007F5899">
              <w:rPr>
                <w:lang w:val="ru-RU"/>
              </w:rPr>
              <w:t>Отчет Генерального секретаря</w:t>
            </w:r>
          </w:p>
        </w:tc>
      </w:tr>
      <w:tr w:rsidR="00131286" w:rsidRPr="007F5899" w:rsidTr="003E6310">
        <w:trPr>
          <w:cantSplit/>
        </w:trPr>
        <w:tc>
          <w:tcPr>
            <w:tcW w:w="10031" w:type="dxa"/>
            <w:gridSpan w:val="2"/>
          </w:tcPr>
          <w:p w:rsidR="00131286" w:rsidRPr="007F5899" w:rsidRDefault="00084345" w:rsidP="00084345">
            <w:pPr>
              <w:pStyle w:val="Title1"/>
              <w:rPr>
                <w:lang w:val="ru-RU"/>
              </w:rPr>
            </w:pPr>
            <w:bookmarkStart w:id="5" w:name="dtitle1" w:colFirst="0" w:colLast="0"/>
            <w:bookmarkEnd w:id="4"/>
            <w:r w:rsidRPr="007F5899">
              <w:rPr>
                <w:lang w:val="ru-RU"/>
              </w:rPr>
              <w:t>Варианты помещений штаб-квартиры Союза в долгосрочной перспективе</w:t>
            </w:r>
          </w:p>
        </w:tc>
      </w:tr>
      <w:tr w:rsidR="00131286" w:rsidRPr="007F5899" w:rsidTr="003E6310">
        <w:trPr>
          <w:cantSplit/>
        </w:trPr>
        <w:tc>
          <w:tcPr>
            <w:tcW w:w="10031" w:type="dxa"/>
            <w:gridSpan w:val="2"/>
          </w:tcPr>
          <w:p w:rsidR="00131286" w:rsidRPr="007F5899" w:rsidRDefault="00131286" w:rsidP="00131286">
            <w:pPr>
              <w:pStyle w:val="Title2"/>
              <w:rPr>
                <w:lang w:val="ru-RU"/>
              </w:rPr>
            </w:pPr>
            <w:bookmarkStart w:id="6" w:name="dtitle2" w:colFirst="0" w:colLast="0"/>
            <w:bookmarkEnd w:id="5"/>
          </w:p>
        </w:tc>
      </w:tr>
      <w:tr w:rsidR="00131286" w:rsidRPr="007F5899" w:rsidTr="003E6310">
        <w:trPr>
          <w:cantSplit/>
        </w:trPr>
        <w:tc>
          <w:tcPr>
            <w:tcW w:w="10031" w:type="dxa"/>
            <w:gridSpan w:val="2"/>
          </w:tcPr>
          <w:p w:rsidR="00131286" w:rsidRPr="007F5899" w:rsidRDefault="00131286" w:rsidP="00131286">
            <w:pPr>
              <w:pStyle w:val="Agendaitem"/>
              <w:rPr>
                <w:lang w:val="ru-RU"/>
              </w:rPr>
            </w:pPr>
            <w:bookmarkStart w:id="7" w:name="dtitle3" w:colFirst="0" w:colLast="0"/>
            <w:bookmarkEnd w:id="6"/>
          </w:p>
        </w:tc>
      </w:tr>
      <w:bookmarkEnd w:id="7"/>
    </w:tbl>
    <w:p w:rsidR="00F96AB4" w:rsidRPr="007F5899" w:rsidRDefault="00F96AB4">
      <w:pPr>
        <w:rPr>
          <w:lang w:val="ru-RU"/>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282C17" w:rsidRPr="007F5899" w:rsidTr="003E6310">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rsidR="00282C17" w:rsidRPr="007F5899" w:rsidRDefault="00282C17" w:rsidP="00221DA0">
            <w:pPr>
              <w:pStyle w:val="Headingb"/>
              <w:rPr>
                <w:szCs w:val="24"/>
                <w:lang w:val="ru-RU"/>
              </w:rPr>
            </w:pPr>
            <w:r w:rsidRPr="007F5899">
              <w:rPr>
                <w:lang w:val="ru-RU"/>
              </w:rPr>
              <w:t>Резюме</w:t>
            </w:r>
          </w:p>
          <w:p w:rsidR="00282C17" w:rsidRPr="007F5899" w:rsidRDefault="00282C17" w:rsidP="0083597E">
            <w:pPr>
              <w:rPr>
                <w:lang w:val="ru-RU"/>
              </w:rPr>
            </w:pPr>
            <w:r w:rsidRPr="007F5899">
              <w:rPr>
                <w:lang w:val="ru-RU"/>
              </w:rPr>
              <w:t>Настоящий отчет составлен на основании выданной Советом МСЭ 2014 г</w:t>
            </w:r>
            <w:r w:rsidR="0083597E" w:rsidRPr="007F5899">
              <w:rPr>
                <w:lang w:val="ru-RU"/>
              </w:rPr>
              <w:t>ода</w:t>
            </w:r>
            <w:r w:rsidRPr="007F5899">
              <w:rPr>
                <w:lang w:val="ru-RU"/>
              </w:rPr>
              <w:t xml:space="preserve"> рекомендации 14.6 представить Полномочной конференции отчет для принятия решения по четырем возможным вариантам, рассмотренным в Документе C14/50, а именно: по замене здания "</w:t>
            </w:r>
            <w:proofErr w:type="spellStart"/>
            <w:r w:rsidRPr="007F5899">
              <w:rPr>
                <w:lang w:val="ru-RU"/>
              </w:rPr>
              <w:t>Варембе</w:t>
            </w:r>
            <w:proofErr w:type="spellEnd"/>
            <w:r w:rsidRPr="007F5899">
              <w:rPr>
                <w:lang w:val="ru-RU"/>
              </w:rPr>
              <w:t>", ремонту здания "</w:t>
            </w:r>
            <w:proofErr w:type="spellStart"/>
            <w:r w:rsidRPr="007F5899">
              <w:rPr>
                <w:lang w:val="ru-RU"/>
              </w:rPr>
              <w:t>Варембе</w:t>
            </w:r>
            <w:proofErr w:type="spellEnd"/>
            <w:r w:rsidRPr="007F5899">
              <w:rPr>
                <w:lang w:val="ru-RU"/>
              </w:rPr>
              <w:t>", аренде помещений на местной основе или переносу штаб-квартиры Союза. В нем рассмотрена общая ситуация с помещениями штаб-квартиры и представлены сроки принятия мер и финансовый анализ затрат и выгод по каждому варианту.</w:t>
            </w:r>
          </w:p>
          <w:p w:rsidR="00282C17" w:rsidRPr="007F5899" w:rsidRDefault="00282C17" w:rsidP="00221DA0">
            <w:pPr>
              <w:rPr>
                <w:rFonts w:cs="Calibri"/>
                <w:lang w:val="ru-RU"/>
              </w:rPr>
            </w:pPr>
            <w:r w:rsidRPr="007F5899">
              <w:rPr>
                <w:lang w:val="ru-RU"/>
              </w:rPr>
              <w:t>Кроме того, по варианту переноса здания в отчет включен анализ вопросов, поднятых в Документе C14/75, а также аспект качества жизни.</w:t>
            </w:r>
          </w:p>
          <w:p w:rsidR="00282C17" w:rsidRPr="007F5899" w:rsidRDefault="00282C17" w:rsidP="00221DA0">
            <w:pPr>
              <w:pStyle w:val="Headingb"/>
              <w:rPr>
                <w:szCs w:val="24"/>
                <w:lang w:val="ru-RU"/>
              </w:rPr>
            </w:pPr>
            <w:r w:rsidRPr="007F5899">
              <w:rPr>
                <w:lang w:val="ru-RU"/>
              </w:rPr>
              <w:t>Необходимые действия</w:t>
            </w:r>
          </w:p>
          <w:p w:rsidR="00282C17" w:rsidRPr="007F5899" w:rsidRDefault="00282C17" w:rsidP="00221DA0">
            <w:pPr>
              <w:rPr>
                <w:lang w:val="ru-RU"/>
              </w:rPr>
            </w:pPr>
            <w:r w:rsidRPr="007F5899">
              <w:rPr>
                <w:lang w:val="ru-RU"/>
              </w:rPr>
              <w:t xml:space="preserve">Полномочной конференции предлагается </w:t>
            </w:r>
            <w:r w:rsidRPr="007F5899">
              <w:rPr>
                <w:b/>
                <w:bCs/>
                <w:lang w:val="ru-RU"/>
              </w:rPr>
              <w:t>принять решение</w:t>
            </w:r>
            <w:r w:rsidRPr="007F5899">
              <w:rPr>
                <w:lang w:val="ru-RU"/>
              </w:rPr>
              <w:t xml:space="preserve"> по одному из четырех вариантов, рассмотренных в настоящем документе.</w:t>
            </w:r>
          </w:p>
          <w:p w:rsidR="00282C17" w:rsidRPr="007F5899" w:rsidRDefault="00282C17" w:rsidP="00221DA0">
            <w:pPr>
              <w:jc w:val="center"/>
              <w:rPr>
                <w:lang w:val="ru-RU"/>
              </w:rPr>
            </w:pPr>
            <w:r w:rsidRPr="007F5899">
              <w:rPr>
                <w:lang w:val="ru-RU"/>
              </w:rPr>
              <w:t>_________________</w:t>
            </w:r>
          </w:p>
          <w:p w:rsidR="00282C17" w:rsidRPr="007F5899" w:rsidRDefault="00282C17" w:rsidP="00221DA0">
            <w:pPr>
              <w:pStyle w:val="Headingb"/>
              <w:rPr>
                <w:szCs w:val="24"/>
                <w:lang w:val="ru-RU"/>
              </w:rPr>
            </w:pPr>
            <w:r w:rsidRPr="007F5899">
              <w:rPr>
                <w:lang w:val="ru-RU"/>
              </w:rPr>
              <w:t>Справочные документы</w:t>
            </w:r>
          </w:p>
          <w:p w:rsidR="00282C17" w:rsidRPr="007F5899" w:rsidRDefault="007F5899" w:rsidP="00221DA0">
            <w:pPr>
              <w:spacing w:after="120"/>
              <w:rPr>
                <w:i/>
                <w:iCs/>
                <w:lang w:val="ru-RU"/>
              </w:rPr>
            </w:pPr>
            <w:hyperlink r:id="rId9">
              <w:r w:rsidR="00282C17" w:rsidRPr="007F5899">
                <w:rPr>
                  <w:rStyle w:val="Hyperlink"/>
                  <w:i/>
                  <w:iCs/>
                  <w:lang w:val="ru-RU"/>
                </w:rPr>
                <w:t>C13/</w:t>
              </w:r>
              <w:proofErr w:type="spellStart"/>
              <w:r w:rsidR="00282C17" w:rsidRPr="007F5899">
                <w:rPr>
                  <w:rStyle w:val="Hyperlink"/>
                  <w:i/>
                  <w:iCs/>
                  <w:lang w:val="ru-RU"/>
                </w:rPr>
                <w:t>INF</w:t>
              </w:r>
              <w:proofErr w:type="spellEnd"/>
              <w:r w:rsidR="00282C17" w:rsidRPr="007F5899">
                <w:rPr>
                  <w:rStyle w:val="Hyperlink"/>
                  <w:i/>
                  <w:iCs/>
                  <w:lang w:val="ru-RU"/>
                </w:rPr>
                <w:t>/18</w:t>
              </w:r>
            </w:hyperlink>
            <w:r w:rsidR="00282C17" w:rsidRPr="007F5899">
              <w:rPr>
                <w:i/>
                <w:iCs/>
                <w:lang w:val="ru-RU"/>
              </w:rPr>
              <w:t xml:space="preserve">, </w:t>
            </w:r>
            <w:hyperlink r:id="rId10">
              <w:r w:rsidR="00282C17" w:rsidRPr="007F5899">
                <w:rPr>
                  <w:rStyle w:val="Hyperlink"/>
                  <w:i/>
                  <w:iCs/>
                  <w:lang w:val="ru-RU"/>
                </w:rPr>
                <w:t>C14/92</w:t>
              </w:r>
            </w:hyperlink>
            <w:r w:rsidR="00282C17" w:rsidRPr="007F5899">
              <w:rPr>
                <w:i/>
                <w:iCs/>
                <w:lang w:val="ru-RU"/>
              </w:rPr>
              <w:t xml:space="preserve">, </w:t>
            </w:r>
            <w:hyperlink r:id="rId11">
              <w:r w:rsidR="00282C17" w:rsidRPr="007F5899">
                <w:rPr>
                  <w:rStyle w:val="Hyperlink"/>
                  <w:i/>
                  <w:iCs/>
                  <w:lang w:val="ru-RU"/>
                </w:rPr>
                <w:t>C14/50</w:t>
              </w:r>
            </w:hyperlink>
            <w:r w:rsidR="00282C17" w:rsidRPr="007F5899">
              <w:rPr>
                <w:i/>
                <w:iCs/>
                <w:lang w:val="ru-RU"/>
              </w:rPr>
              <w:t xml:space="preserve">, </w:t>
            </w:r>
            <w:hyperlink r:id="rId12">
              <w:r w:rsidR="00282C17" w:rsidRPr="007F5899">
                <w:rPr>
                  <w:rStyle w:val="Hyperlink"/>
                  <w:i/>
                  <w:iCs/>
                  <w:lang w:val="ru-RU"/>
                </w:rPr>
                <w:t>C14/75</w:t>
              </w:r>
            </w:hyperlink>
          </w:p>
        </w:tc>
      </w:tr>
    </w:tbl>
    <w:p w:rsidR="00221DA0" w:rsidRPr="007F5899" w:rsidRDefault="00221DA0" w:rsidP="00221DA0">
      <w:pPr>
        <w:rPr>
          <w:lang w:val="ru-RU"/>
        </w:rPr>
      </w:pPr>
      <w:r w:rsidRPr="007F5899">
        <w:rPr>
          <w:lang w:val="ru-RU"/>
        </w:rPr>
        <w:br w:type="page"/>
      </w:r>
    </w:p>
    <w:p w:rsidR="00282C17" w:rsidRPr="007F5899" w:rsidRDefault="00282C17" w:rsidP="00282C17">
      <w:pPr>
        <w:pStyle w:val="Heading1"/>
        <w:rPr>
          <w:lang w:val="ru-RU"/>
        </w:rPr>
      </w:pPr>
      <w:r w:rsidRPr="007F5899">
        <w:rPr>
          <w:lang w:val="ru-RU"/>
        </w:rPr>
        <w:lastRenderedPageBreak/>
        <w:t>1</w:t>
      </w:r>
      <w:r w:rsidRPr="007F5899">
        <w:rPr>
          <w:lang w:val="ru-RU"/>
        </w:rPr>
        <w:tab/>
        <w:t>Базовая информация и введение</w:t>
      </w:r>
    </w:p>
    <w:p w:rsidR="00282C17" w:rsidRPr="007F5899" w:rsidRDefault="00257D76" w:rsidP="00221DA0">
      <w:pPr>
        <w:rPr>
          <w:lang w:val="ru-RU"/>
        </w:rPr>
      </w:pPr>
      <w:r w:rsidRPr="007F5899">
        <w:rPr>
          <w:lang w:val="ru-RU"/>
        </w:rPr>
        <w:t>1.1</w:t>
      </w:r>
      <w:r w:rsidRPr="007F5899">
        <w:rPr>
          <w:lang w:val="ru-RU"/>
        </w:rPr>
        <w:tab/>
      </w:r>
      <w:r w:rsidR="00282C17" w:rsidRPr="007F5899">
        <w:rPr>
          <w:lang w:val="ru-RU"/>
        </w:rPr>
        <w:t>В настоящем документе рассматриваются варианты помещений штаб-квартиры Союза на предстоящие несколько десятков лет. Штаб-квартира Союза находится по нынешнему адресу на Площади Наций в Женеве со времени завершения строительства здания "</w:t>
      </w:r>
      <w:proofErr w:type="spellStart"/>
      <w:r w:rsidR="00282C17" w:rsidRPr="007F5899">
        <w:rPr>
          <w:lang w:val="ru-RU"/>
        </w:rPr>
        <w:t>Варембе</w:t>
      </w:r>
      <w:proofErr w:type="spellEnd"/>
      <w:r w:rsidR="00282C17" w:rsidRPr="007F5899">
        <w:rPr>
          <w:lang w:val="ru-RU"/>
        </w:rPr>
        <w:t>" (сдано в эксплуатацию в 1962 году). Статья 30 Устава МСЭ гласит: "</w:t>
      </w:r>
      <w:r w:rsidR="00282C17" w:rsidRPr="007F5899">
        <w:rPr>
          <w:i/>
          <w:iCs/>
          <w:lang w:val="ru-RU"/>
        </w:rPr>
        <w:t>Местопребыванием Союза является Женева</w:t>
      </w:r>
      <w:r w:rsidR="00282C17" w:rsidRPr="007F5899">
        <w:rPr>
          <w:lang w:val="ru-RU"/>
        </w:rPr>
        <w:t>".</w:t>
      </w:r>
    </w:p>
    <w:p w:rsidR="00282C17" w:rsidRPr="007F5899" w:rsidRDefault="00282C17" w:rsidP="006B0060">
      <w:pPr>
        <w:rPr>
          <w:lang w:val="ru-RU"/>
        </w:rPr>
      </w:pPr>
      <w:r w:rsidRPr="007F5899">
        <w:rPr>
          <w:lang w:val="ru-RU"/>
        </w:rPr>
        <w:t>1.</w:t>
      </w:r>
      <w:r w:rsidR="00257D76" w:rsidRPr="007F5899">
        <w:rPr>
          <w:lang w:val="ru-RU"/>
        </w:rPr>
        <w:t>2</w:t>
      </w:r>
      <w:r w:rsidR="00257D76" w:rsidRPr="007F5899">
        <w:rPr>
          <w:lang w:val="ru-RU"/>
        </w:rPr>
        <w:tab/>
      </w:r>
      <w:r w:rsidRPr="007F5899">
        <w:rPr>
          <w:lang w:val="ru-RU"/>
        </w:rPr>
        <w:t>Штаб-квартира МСЭ размещается в трех расположенных рядом зданиях: "</w:t>
      </w:r>
      <w:proofErr w:type="spellStart"/>
      <w:r w:rsidRPr="007F5899">
        <w:rPr>
          <w:lang w:val="ru-RU"/>
        </w:rPr>
        <w:t>Варембе</w:t>
      </w:r>
      <w:proofErr w:type="spellEnd"/>
      <w:r w:rsidRPr="007F5899">
        <w:rPr>
          <w:lang w:val="ru-RU"/>
        </w:rPr>
        <w:t>" (сдано в эксплуатацию в 1962 г.), "Башня" (1973 г.) и "</w:t>
      </w:r>
      <w:proofErr w:type="spellStart"/>
      <w:r w:rsidRPr="007F5899">
        <w:rPr>
          <w:lang w:val="ru-RU"/>
        </w:rPr>
        <w:t>Монбрийан</w:t>
      </w:r>
      <w:proofErr w:type="spellEnd"/>
      <w:r w:rsidRPr="007F5899">
        <w:rPr>
          <w:lang w:val="ru-RU"/>
        </w:rPr>
        <w:t xml:space="preserve">" (1999 г.). Здания принадлежат Союзу, а земельный участок под зданиями используется на основании "права </w:t>
      </w:r>
      <w:proofErr w:type="spellStart"/>
      <w:r w:rsidRPr="007F5899">
        <w:rPr>
          <w:lang w:val="ru-RU"/>
        </w:rPr>
        <w:t>суперфиции</w:t>
      </w:r>
      <w:proofErr w:type="spellEnd"/>
      <w:r w:rsidRPr="007F5899">
        <w:rPr>
          <w:lang w:val="ru-RU"/>
        </w:rPr>
        <w:t>"</w:t>
      </w:r>
      <w:r w:rsidRPr="007F5899">
        <w:rPr>
          <w:rStyle w:val="FootnoteReference"/>
          <w:lang w:val="ru-RU"/>
        </w:rPr>
        <w:footnoteReference w:id="1"/>
      </w:r>
      <w:r w:rsidRPr="007F5899">
        <w:rPr>
          <w:lang w:val="ru-RU"/>
        </w:rPr>
        <w:t xml:space="preserve">, предоставленного страной пребывания. </w:t>
      </w:r>
    </w:p>
    <w:p w:rsidR="00282C17" w:rsidRPr="007F5899" w:rsidRDefault="00257D76" w:rsidP="0083597E">
      <w:pPr>
        <w:rPr>
          <w:lang w:val="ru-RU"/>
        </w:rPr>
      </w:pPr>
      <w:r w:rsidRPr="007F5899">
        <w:rPr>
          <w:lang w:val="ru-RU"/>
        </w:rPr>
        <w:t>1.3</w:t>
      </w:r>
      <w:r w:rsidRPr="007F5899">
        <w:rPr>
          <w:lang w:val="ru-RU"/>
        </w:rPr>
        <w:tab/>
      </w:r>
      <w:r w:rsidR="00282C17" w:rsidRPr="007F5899">
        <w:rPr>
          <w:lang w:val="ru-RU"/>
        </w:rPr>
        <w:t>Поскольку здание "</w:t>
      </w:r>
      <w:proofErr w:type="spellStart"/>
      <w:r w:rsidR="00282C17" w:rsidRPr="007F5899">
        <w:rPr>
          <w:lang w:val="ru-RU"/>
        </w:rPr>
        <w:t>Варембе</w:t>
      </w:r>
      <w:proofErr w:type="spellEnd"/>
      <w:r w:rsidR="00282C17" w:rsidRPr="007F5899">
        <w:rPr>
          <w:lang w:val="ru-RU"/>
        </w:rPr>
        <w:t>" было построено согласно стандартам, действовавшим 50 лет назад, оно имеет ряд недостатков в сравнении с современными строительными нормами и правилами, в частности, в области теплоизоляции</w:t>
      </w:r>
      <w:r w:rsidR="00282C17" w:rsidRPr="007F5899">
        <w:rPr>
          <w:rStyle w:val="FootnoteReference"/>
          <w:lang w:val="ru-RU"/>
        </w:rPr>
        <w:footnoteReference w:id="2"/>
      </w:r>
      <w:r w:rsidR="00282C17" w:rsidRPr="007F5899">
        <w:rPr>
          <w:lang w:val="ru-RU"/>
        </w:rPr>
        <w:t xml:space="preserve">, доступности для лиц с ограниченными возможностями, противопожарной безопасности и </w:t>
      </w:r>
      <w:proofErr w:type="spellStart"/>
      <w:r w:rsidR="00282C17" w:rsidRPr="007F5899">
        <w:rPr>
          <w:lang w:val="ru-RU"/>
        </w:rPr>
        <w:t>сейсмоустойчивости</w:t>
      </w:r>
      <w:proofErr w:type="spellEnd"/>
      <w:r w:rsidR="00282C17" w:rsidRPr="007F5899">
        <w:rPr>
          <w:lang w:val="ru-RU"/>
        </w:rPr>
        <w:t xml:space="preserve">. В своей </w:t>
      </w:r>
      <w:r w:rsidR="00931FE4" w:rsidRPr="007F5899">
        <w:rPr>
          <w:lang w:val="ru-RU"/>
        </w:rPr>
        <w:fldChar w:fldCharType="begin"/>
      </w:r>
      <w:r w:rsidR="00931FE4" w:rsidRPr="007F5899">
        <w:rPr>
          <w:lang w:val="ru-RU"/>
          <w:rPrChange w:id="8" w:author="Khokhlova, Yustiniya" w:date="2014-10-17T14:06:00Z">
            <w:rPr/>
          </w:rPrChange>
        </w:rPr>
        <w:instrText xml:space="preserve"> </w:instrText>
      </w:r>
      <w:r w:rsidR="00931FE4" w:rsidRPr="007F5899">
        <w:rPr>
          <w:lang w:val="ru-RU"/>
        </w:rPr>
        <w:instrText>HYPERLINK</w:instrText>
      </w:r>
      <w:r w:rsidR="00931FE4" w:rsidRPr="007F5899">
        <w:rPr>
          <w:lang w:val="ru-RU"/>
          <w:rPrChange w:id="9" w:author="Khokhlova, Yustiniya" w:date="2014-10-17T14:06:00Z">
            <w:rPr/>
          </w:rPrChange>
        </w:rPr>
        <w:instrText xml:space="preserve"> "</w:instrText>
      </w:r>
      <w:r w:rsidR="00931FE4" w:rsidRPr="007F5899">
        <w:rPr>
          <w:lang w:val="ru-RU"/>
        </w:rPr>
        <w:instrText>http</w:instrText>
      </w:r>
      <w:r w:rsidR="00931FE4" w:rsidRPr="007F5899">
        <w:rPr>
          <w:lang w:val="ru-RU"/>
          <w:rPrChange w:id="10" w:author="Khokhlova, Yustiniya" w:date="2014-10-17T14:06:00Z">
            <w:rPr/>
          </w:rPrChange>
        </w:rPr>
        <w:instrText>://</w:instrText>
      </w:r>
      <w:r w:rsidR="00931FE4" w:rsidRPr="007F5899">
        <w:rPr>
          <w:lang w:val="ru-RU"/>
        </w:rPr>
        <w:instrText>www</w:instrText>
      </w:r>
      <w:r w:rsidR="00931FE4" w:rsidRPr="007F5899">
        <w:rPr>
          <w:lang w:val="ru-RU"/>
          <w:rPrChange w:id="11" w:author="Khokhlova, Yustiniya" w:date="2014-10-17T14:06:00Z">
            <w:rPr/>
          </w:rPrChange>
        </w:rPr>
        <w:instrText>.</w:instrText>
      </w:r>
      <w:r w:rsidR="00931FE4" w:rsidRPr="007F5899">
        <w:rPr>
          <w:lang w:val="ru-RU"/>
        </w:rPr>
        <w:instrText>itu</w:instrText>
      </w:r>
      <w:r w:rsidR="00931FE4" w:rsidRPr="007F5899">
        <w:rPr>
          <w:lang w:val="ru-RU"/>
          <w:rPrChange w:id="12" w:author="Khokhlova, Yustiniya" w:date="2014-10-17T14:06:00Z">
            <w:rPr/>
          </w:rPrChange>
        </w:rPr>
        <w:instrText>.</w:instrText>
      </w:r>
      <w:r w:rsidR="00931FE4" w:rsidRPr="007F5899">
        <w:rPr>
          <w:lang w:val="ru-RU"/>
        </w:rPr>
        <w:instrText>int</w:instrText>
      </w:r>
      <w:r w:rsidR="00931FE4" w:rsidRPr="007F5899">
        <w:rPr>
          <w:lang w:val="ru-RU"/>
          <w:rPrChange w:id="13" w:author="Khokhlova, Yustiniya" w:date="2014-10-17T14:06:00Z">
            <w:rPr/>
          </w:rPrChange>
        </w:rPr>
        <w:instrText>/</w:instrText>
      </w:r>
      <w:r w:rsidR="00931FE4" w:rsidRPr="007F5899">
        <w:rPr>
          <w:lang w:val="ru-RU"/>
        </w:rPr>
        <w:instrText>itudoc</w:instrText>
      </w:r>
      <w:r w:rsidR="00931FE4" w:rsidRPr="007F5899">
        <w:rPr>
          <w:lang w:val="ru-RU"/>
          <w:rPrChange w:id="14" w:author="Khokhlova, Yustiniya" w:date="2014-10-17T14:06:00Z">
            <w:rPr/>
          </w:rPrChange>
        </w:rPr>
        <w:instrText>/</w:instrText>
      </w:r>
      <w:r w:rsidR="00931FE4" w:rsidRPr="007F5899">
        <w:rPr>
          <w:lang w:val="ru-RU"/>
        </w:rPr>
        <w:instrText>gs</w:instrText>
      </w:r>
      <w:r w:rsidR="00931FE4" w:rsidRPr="007F5899">
        <w:rPr>
          <w:lang w:val="ru-RU"/>
          <w:rPrChange w:id="15" w:author="Khokhlova, Yustiniya" w:date="2014-10-17T14:06:00Z">
            <w:rPr/>
          </w:rPrChange>
        </w:rPr>
        <w:instrText>/</w:instrText>
      </w:r>
      <w:r w:rsidR="00931FE4" w:rsidRPr="007F5899">
        <w:rPr>
          <w:lang w:val="ru-RU"/>
        </w:rPr>
        <w:instrText>council</w:instrText>
      </w:r>
      <w:r w:rsidR="00931FE4" w:rsidRPr="007F5899">
        <w:rPr>
          <w:lang w:val="ru-RU"/>
          <w:rPrChange w:id="16" w:author="Khokhlova, Yustiniya" w:date="2014-10-17T14:06:00Z">
            <w:rPr/>
          </w:rPrChange>
        </w:rPr>
        <w:instrText>/</w:instrText>
      </w:r>
      <w:r w:rsidR="00931FE4" w:rsidRPr="007F5899">
        <w:rPr>
          <w:lang w:val="ru-RU"/>
        </w:rPr>
        <w:instrText>c</w:instrText>
      </w:r>
      <w:r w:rsidR="00931FE4" w:rsidRPr="007F5899">
        <w:rPr>
          <w:lang w:val="ru-RU"/>
          <w:rPrChange w:id="17" w:author="Khokhlova, Yustiniya" w:date="2014-10-17T14:06:00Z">
            <w:rPr/>
          </w:rPrChange>
        </w:rPr>
        <w:instrText>99/</w:instrText>
      </w:r>
      <w:r w:rsidR="00931FE4" w:rsidRPr="007F5899">
        <w:rPr>
          <w:lang w:val="ru-RU"/>
        </w:rPr>
        <w:instrText>docs</w:instrText>
      </w:r>
      <w:r w:rsidR="00931FE4" w:rsidRPr="007F5899">
        <w:rPr>
          <w:lang w:val="ru-RU"/>
          <w:rPrChange w:id="18" w:author="Khokhlova, Yustiniya" w:date="2014-10-17T14:06:00Z">
            <w:rPr/>
          </w:rPrChange>
        </w:rPr>
        <w:instrText>/</w:instrText>
      </w:r>
      <w:r w:rsidR="00931FE4" w:rsidRPr="007F5899">
        <w:rPr>
          <w:lang w:val="ru-RU"/>
        </w:rPr>
        <w:instrText>outd</w:instrText>
      </w:r>
      <w:r w:rsidR="00931FE4" w:rsidRPr="007F5899">
        <w:rPr>
          <w:lang w:val="ru-RU"/>
          <w:rPrChange w:id="19" w:author="Khokhlova, Yustiniya" w:date="2014-10-17T14:06:00Z">
            <w:rPr/>
          </w:rPrChange>
        </w:rPr>
        <w:instrText>/</w:instrText>
      </w:r>
      <w:r w:rsidR="00931FE4" w:rsidRPr="007F5899">
        <w:rPr>
          <w:lang w:val="ru-RU"/>
        </w:rPr>
        <w:instrText>res</w:instrText>
      </w:r>
      <w:r w:rsidR="00931FE4" w:rsidRPr="007F5899">
        <w:rPr>
          <w:lang w:val="ru-RU"/>
          <w:rPrChange w:id="20" w:author="Khokhlova, Yustiniya" w:date="2014-10-17T14:06:00Z">
            <w:rPr/>
          </w:rPrChange>
        </w:rPr>
        <w:instrText>/117.</w:instrText>
      </w:r>
      <w:r w:rsidR="00931FE4" w:rsidRPr="007F5899">
        <w:rPr>
          <w:lang w:val="ru-RU"/>
        </w:rPr>
        <w:instrText>html</w:instrText>
      </w:r>
      <w:r w:rsidR="00931FE4" w:rsidRPr="007F5899">
        <w:rPr>
          <w:lang w:val="ru-RU"/>
          <w:rPrChange w:id="21" w:author="Khokhlova, Yustiniya" w:date="2014-10-17T14:06:00Z">
            <w:rPr/>
          </w:rPrChange>
        </w:rPr>
        <w:instrText>" \</w:instrText>
      </w:r>
      <w:r w:rsidR="00931FE4" w:rsidRPr="007F5899">
        <w:rPr>
          <w:lang w:val="ru-RU"/>
        </w:rPr>
        <w:instrText>h</w:instrText>
      </w:r>
      <w:r w:rsidR="00931FE4" w:rsidRPr="007F5899">
        <w:rPr>
          <w:lang w:val="ru-RU"/>
          <w:rPrChange w:id="22" w:author="Khokhlova, Yustiniya" w:date="2014-10-17T14:06:00Z">
            <w:rPr/>
          </w:rPrChange>
        </w:rPr>
        <w:instrText xml:space="preserve"> </w:instrText>
      </w:r>
      <w:r w:rsidR="00931FE4" w:rsidRPr="007F5899">
        <w:rPr>
          <w:lang w:val="ru-RU"/>
        </w:rPr>
        <w:fldChar w:fldCharType="separate"/>
      </w:r>
      <w:r w:rsidR="00282C17" w:rsidRPr="007F5899">
        <w:rPr>
          <w:lang w:val="ru-RU"/>
        </w:rPr>
        <w:t>Резолюции 1142</w:t>
      </w:r>
      <w:r w:rsidR="00931FE4" w:rsidRPr="007F5899">
        <w:rPr>
          <w:lang w:val="ru-RU"/>
        </w:rPr>
        <w:fldChar w:fldCharType="end"/>
      </w:r>
      <w:r w:rsidR="00282C17" w:rsidRPr="007F5899">
        <w:rPr>
          <w:lang w:val="ru-RU"/>
        </w:rPr>
        <w:t xml:space="preserve"> (C</w:t>
      </w:r>
      <w:r w:rsidR="0083597E" w:rsidRPr="007F5899">
        <w:rPr>
          <w:lang w:val="ru-RU"/>
        </w:rPr>
        <w:noBreakHyphen/>
      </w:r>
      <w:r w:rsidR="00282C17" w:rsidRPr="007F5899">
        <w:rPr>
          <w:lang w:val="ru-RU"/>
        </w:rPr>
        <w:t xml:space="preserve">99) Совет </w:t>
      </w:r>
      <w:r w:rsidR="00282C17" w:rsidRPr="007F5899">
        <w:rPr>
          <w:i/>
          <w:iCs/>
          <w:lang w:val="ru-RU"/>
        </w:rPr>
        <w:t>поручает Генеральному секретарю, среди прочего</w:t>
      </w:r>
      <w:r w:rsidR="00282C17" w:rsidRPr="007F5899">
        <w:rPr>
          <w:lang w:val="ru-RU"/>
        </w:rPr>
        <w:t>, "обеспечить применение в МСЭ действующих в стране пребывания Союза норм в отношении безопасности, здравоохранения и экологических норм ...". Несмотря на то, что здания штаб-квартиры на данный момент отвечают требованиям законодательства страны пребывания по качеству их внешней оболочки, с 2017 года "Башня" и "</w:t>
      </w:r>
      <w:proofErr w:type="spellStart"/>
      <w:r w:rsidR="00282C17" w:rsidRPr="007F5899">
        <w:rPr>
          <w:lang w:val="ru-RU"/>
        </w:rPr>
        <w:t>Варембе</w:t>
      </w:r>
      <w:proofErr w:type="spellEnd"/>
      <w:r w:rsidR="00282C17" w:rsidRPr="007F5899">
        <w:rPr>
          <w:lang w:val="ru-RU"/>
        </w:rPr>
        <w:t>" окажутся в числе несоответствующих стандартам. Таким образом, принятие мер по исправлению ситуации является обязательным.</w:t>
      </w:r>
    </w:p>
    <w:p w:rsidR="00282C17" w:rsidRPr="007F5899" w:rsidRDefault="00257D76" w:rsidP="006B0060">
      <w:pPr>
        <w:rPr>
          <w:lang w:val="ru-RU"/>
        </w:rPr>
      </w:pPr>
      <w:r w:rsidRPr="007F5899">
        <w:rPr>
          <w:lang w:val="ru-RU"/>
        </w:rPr>
        <w:t>1.4</w:t>
      </w:r>
      <w:r w:rsidRPr="007F5899">
        <w:rPr>
          <w:lang w:val="ru-RU"/>
        </w:rPr>
        <w:tab/>
      </w:r>
      <w:r w:rsidR="00282C17" w:rsidRPr="007F5899">
        <w:rPr>
          <w:lang w:val="ru-RU"/>
        </w:rPr>
        <w:t>На практике было бы невозможно отремонтировать здание "</w:t>
      </w:r>
      <w:proofErr w:type="spellStart"/>
      <w:r w:rsidR="00282C17" w:rsidRPr="007F5899">
        <w:rPr>
          <w:lang w:val="ru-RU"/>
        </w:rPr>
        <w:t>Варембе</w:t>
      </w:r>
      <w:proofErr w:type="spellEnd"/>
      <w:r w:rsidR="00282C17" w:rsidRPr="007F5899">
        <w:rPr>
          <w:lang w:val="ru-RU"/>
        </w:rPr>
        <w:t xml:space="preserve">" таким образом, чтобы оно полностью соответствовало требованиям доступности, противопожарной безопасности и </w:t>
      </w:r>
      <w:proofErr w:type="spellStart"/>
      <w:r w:rsidR="00282C17" w:rsidRPr="007F5899">
        <w:rPr>
          <w:lang w:val="ru-RU"/>
        </w:rPr>
        <w:t>сейсмоустойчивости</w:t>
      </w:r>
      <w:proofErr w:type="spellEnd"/>
      <w:r w:rsidR="00282C17" w:rsidRPr="007F5899">
        <w:rPr>
          <w:lang w:val="ru-RU"/>
        </w:rPr>
        <w:t>, поскольку это включало бы создание дополнительных лестничных клеток, расширение лифтов и коридоров и укрепление конструкций. Таким образом, хотя улучшить изоляцию и провести другой ремонт технически возможно, в целом такое решение не было бы эффективным. Здание "Башня" также имеет ряд недостатков (в меньшем количестве), свойственных зданиям его возраста. Политика МСЭ заключалась и заключается в том, чтобы сохранить свои здания в максимально возможном объеме в рамках ресурсов, выделенных на решение данной задачи Государствами-Членами.</w:t>
      </w:r>
    </w:p>
    <w:p w:rsidR="00F96AB4" w:rsidRPr="007F5899" w:rsidRDefault="00282C17" w:rsidP="00B154A1">
      <w:pPr>
        <w:rPr>
          <w:lang w:val="ru-RU"/>
          <w:rPrChange w:id="23" w:author="Khokhlova, Yustiniya" w:date="2014-10-17T11:31:00Z">
            <w:rPr/>
          </w:rPrChange>
        </w:rPr>
      </w:pPr>
      <w:r w:rsidRPr="007F5899">
        <w:rPr>
          <w:lang w:val="ru-RU"/>
        </w:rPr>
        <w:t>1.5</w:t>
      </w:r>
      <w:r w:rsidR="00257D76" w:rsidRPr="007F5899">
        <w:rPr>
          <w:lang w:val="ru-RU"/>
        </w:rPr>
        <w:tab/>
      </w:r>
      <w:r w:rsidR="0026481B" w:rsidRPr="007F5899">
        <w:rPr>
          <w:lang w:val="ru-RU"/>
        </w:rPr>
        <w:t>Генеральный секретарь МСЭ принял решение изучить, совместно с представителями страны пребывания, возможность строительства нового здания вместо существующего здания "</w:t>
      </w:r>
      <w:proofErr w:type="spellStart"/>
      <w:r w:rsidR="0026481B" w:rsidRPr="007F5899">
        <w:rPr>
          <w:lang w:val="ru-RU"/>
        </w:rPr>
        <w:t>Варембе</w:t>
      </w:r>
      <w:proofErr w:type="spellEnd"/>
      <w:r w:rsidR="0026481B" w:rsidRPr="007F5899">
        <w:rPr>
          <w:lang w:val="ru-RU"/>
        </w:rPr>
        <w:t>", снос которого может быть запланирован либо до начала строитель</w:t>
      </w:r>
      <w:r w:rsidR="007F5899">
        <w:rPr>
          <w:lang w:val="ru-RU"/>
        </w:rPr>
        <w:t>ства, либо по его завершении (в </w:t>
      </w:r>
      <w:bookmarkStart w:id="24" w:name="_GoBack"/>
      <w:bookmarkEnd w:id="24"/>
      <w:r w:rsidR="0026481B" w:rsidRPr="007F5899">
        <w:rPr>
          <w:lang w:val="ru-RU"/>
        </w:rPr>
        <w:t>зависимости от того, что будет являться наиболее оптимальным решением с технической и финансовой точек зрения). В настоящем документе предлагаемое на замену здание именуется "</w:t>
      </w:r>
      <w:proofErr w:type="spellStart"/>
      <w:r w:rsidR="0026481B" w:rsidRPr="007F5899">
        <w:rPr>
          <w:lang w:val="ru-RU"/>
        </w:rPr>
        <w:t>Варембе</w:t>
      </w:r>
      <w:proofErr w:type="spellEnd"/>
      <w:r w:rsidR="0026481B" w:rsidRPr="007F5899">
        <w:rPr>
          <w:lang w:val="ru-RU"/>
        </w:rPr>
        <w:t xml:space="preserve"> </w:t>
      </w:r>
      <w:proofErr w:type="spellStart"/>
      <w:r w:rsidR="0026481B" w:rsidRPr="007F5899">
        <w:rPr>
          <w:lang w:val="ru-RU"/>
        </w:rPr>
        <w:t>II</w:t>
      </w:r>
      <w:proofErr w:type="spellEnd"/>
      <w:r w:rsidR="0026481B" w:rsidRPr="007F5899">
        <w:rPr>
          <w:lang w:val="ru-RU"/>
        </w:rPr>
        <w:t xml:space="preserve">". </w:t>
      </w:r>
      <w:r w:rsidR="00406577" w:rsidRPr="007F5899">
        <w:rPr>
          <w:lang w:val="ru-RU"/>
        </w:rPr>
        <w:t xml:space="preserve">Согласно швейцарскому закону о </w:t>
      </w:r>
      <w:r w:rsidR="003B2638" w:rsidRPr="007F5899">
        <w:rPr>
          <w:lang w:val="ru-RU"/>
        </w:rPr>
        <w:t xml:space="preserve">государстве пребывания, страна пребывания </w:t>
      </w:r>
      <w:r w:rsidR="00406577" w:rsidRPr="007F5899">
        <w:rPr>
          <w:lang w:val="ru-RU"/>
        </w:rPr>
        <w:t>может предост</w:t>
      </w:r>
      <w:r w:rsidR="00B154A1" w:rsidRPr="007F5899">
        <w:rPr>
          <w:lang w:val="ru-RU"/>
        </w:rPr>
        <w:t>а</w:t>
      </w:r>
      <w:r w:rsidR="00406577" w:rsidRPr="007F5899">
        <w:rPr>
          <w:lang w:val="ru-RU"/>
        </w:rPr>
        <w:t xml:space="preserve">влять международным организациям </w:t>
      </w:r>
      <w:r w:rsidR="00F03BD5" w:rsidRPr="007F5899">
        <w:rPr>
          <w:lang w:val="ru-RU"/>
        </w:rPr>
        <w:t>ссуды</w:t>
      </w:r>
      <w:r w:rsidR="00406577" w:rsidRPr="007F5899">
        <w:rPr>
          <w:lang w:val="ru-RU"/>
        </w:rPr>
        <w:t xml:space="preserve"> на </w:t>
      </w:r>
      <w:r w:rsidR="00F03BD5" w:rsidRPr="007F5899">
        <w:rPr>
          <w:lang w:val="ru-RU"/>
        </w:rPr>
        <w:t>цели строительства</w:t>
      </w:r>
      <w:r w:rsidR="00406577" w:rsidRPr="007F5899">
        <w:rPr>
          <w:lang w:val="ru-RU"/>
        </w:rPr>
        <w:t xml:space="preserve"> для поддержки строительства новых зданий. Это беспроцентные </w:t>
      </w:r>
      <w:r w:rsidR="00F03BD5" w:rsidRPr="007F5899">
        <w:rPr>
          <w:lang w:val="ru-RU"/>
        </w:rPr>
        <w:t>ссуды</w:t>
      </w:r>
      <w:r w:rsidR="00FB0022" w:rsidRPr="007F5899">
        <w:rPr>
          <w:lang w:val="ru-RU"/>
        </w:rPr>
        <w:t xml:space="preserve"> со сроком погашения</w:t>
      </w:r>
      <w:r w:rsidR="00406577" w:rsidRPr="007F5899">
        <w:rPr>
          <w:lang w:val="ru-RU"/>
        </w:rPr>
        <w:t xml:space="preserve"> 50 лет. </w:t>
      </w:r>
      <w:r w:rsidR="003B2638" w:rsidRPr="007F5899">
        <w:rPr>
          <w:lang w:val="ru-RU"/>
        </w:rPr>
        <w:t xml:space="preserve">Страна пребывания </w:t>
      </w:r>
      <w:r w:rsidR="00406577" w:rsidRPr="007F5899">
        <w:rPr>
          <w:lang w:val="ru-RU"/>
        </w:rPr>
        <w:t>неоднократно</w:t>
      </w:r>
      <w:r w:rsidR="00406577" w:rsidRPr="007F5899">
        <w:rPr>
          <w:lang w:val="ru-RU"/>
          <w:rPrChange w:id="25" w:author="Khokhlova, Yustiniya" w:date="2014-10-17T11:31:00Z">
            <w:rPr>
              <w:lang w:val="en-US"/>
            </w:rPr>
          </w:rPrChange>
        </w:rPr>
        <w:t xml:space="preserve"> </w:t>
      </w:r>
      <w:r w:rsidR="00406577" w:rsidRPr="007F5899">
        <w:rPr>
          <w:lang w:val="ru-RU"/>
        </w:rPr>
        <w:t>применял</w:t>
      </w:r>
      <w:r w:rsidR="003B2638" w:rsidRPr="007F5899">
        <w:rPr>
          <w:lang w:val="ru-RU"/>
        </w:rPr>
        <w:t>а</w:t>
      </w:r>
      <w:r w:rsidR="00406577" w:rsidRPr="007F5899">
        <w:rPr>
          <w:lang w:val="ru-RU"/>
          <w:rPrChange w:id="26" w:author="Khokhlova, Yustiniya" w:date="2014-10-17T11:31:00Z">
            <w:rPr>
              <w:lang w:val="en-US"/>
            </w:rPr>
          </w:rPrChange>
        </w:rPr>
        <w:t xml:space="preserve"> </w:t>
      </w:r>
      <w:r w:rsidR="00406577" w:rsidRPr="007F5899">
        <w:rPr>
          <w:lang w:val="ru-RU"/>
        </w:rPr>
        <w:t>данный</w:t>
      </w:r>
      <w:r w:rsidR="00406577" w:rsidRPr="007F5899">
        <w:rPr>
          <w:lang w:val="ru-RU"/>
          <w:rPrChange w:id="27" w:author="Khokhlova, Yustiniya" w:date="2014-10-17T11:31:00Z">
            <w:rPr>
              <w:lang w:val="en-US"/>
            </w:rPr>
          </w:rPrChange>
        </w:rPr>
        <w:t xml:space="preserve"> </w:t>
      </w:r>
      <w:r w:rsidR="00406577" w:rsidRPr="007F5899">
        <w:rPr>
          <w:lang w:val="ru-RU"/>
        </w:rPr>
        <w:t>механизм</w:t>
      </w:r>
      <w:r w:rsidR="00406577" w:rsidRPr="007F5899">
        <w:rPr>
          <w:lang w:val="ru-RU"/>
          <w:rPrChange w:id="28" w:author="Khokhlova, Yustiniya" w:date="2014-10-17T11:31:00Z">
            <w:rPr>
              <w:lang w:val="en-US"/>
            </w:rPr>
          </w:rPrChange>
        </w:rPr>
        <w:t xml:space="preserve"> </w:t>
      </w:r>
      <w:r w:rsidR="00406577" w:rsidRPr="007F5899">
        <w:rPr>
          <w:lang w:val="ru-RU"/>
        </w:rPr>
        <w:t>в</w:t>
      </w:r>
      <w:r w:rsidR="00406577" w:rsidRPr="007F5899">
        <w:rPr>
          <w:lang w:val="ru-RU"/>
          <w:rPrChange w:id="29" w:author="Khokhlova, Yustiniya" w:date="2014-10-17T11:31:00Z">
            <w:rPr>
              <w:lang w:val="en-US"/>
            </w:rPr>
          </w:rPrChange>
        </w:rPr>
        <w:t xml:space="preserve"> </w:t>
      </w:r>
      <w:r w:rsidR="00406577" w:rsidRPr="007F5899">
        <w:rPr>
          <w:lang w:val="ru-RU"/>
        </w:rPr>
        <w:t>прошлом</w:t>
      </w:r>
      <w:r w:rsidR="00406577" w:rsidRPr="007F5899">
        <w:rPr>
          <w:lang w:val="ru-RU"/>
          <w:rPrChange w:id="30" w:author="Khokhlova, Yustiniya" w:date="2014-10-17T11:31:00Z">
            <w:rPr>
              <w:lang w:val="en-US"/>
            </w:rPr>
          </w:rPrChange>
        </w:rPr>
        <w:t xml:space="preserve">. </w:t>
      </w:r>
      <w:r w:rsidR="00406577" w:rsidRPr="007F5899">
        <w:rPr>
          <w:lang w:val="ru-RU"/>
        </w:rPr>
        <w:t>В</w:t>
      </w:r>
      <w:r w:rsidR="00406577" w:rsidRPr="007F5899">
        <w:rPr>
          <w:lang w:val="ru-RU"/>
          <w:rPrChange w:id="31" w:author="Khokhlova, Yustiniya" w:date="2014-10-17T11:31:00Z">
            <w:rPr>
              <w:lang w:val="en-US"/>
            </w:rPr>
          </w:rPrChange>
        </w:rPr>
        <w:t xml:space="preserve"> </w:t>
      </w:r>
      <w:r w:rsidR="00406577" w:rsidRPr="007F5899">
        <w:rPr>
          <w:lang w:val="ru-RU"/>
        </w:rPr>
        <w:t>июне</w:t>
      </w:r>
      <w:r w:rsidR="00406577" w:rsidRPr="007F5899">
        <w:rPr>
          <w:lang w:val="ru-RU"/>
          <w:rPrChange w:id="32" w:author="Khokhlova, Yustiniya" w:date="2014-10-17T11:31:00Z">
            <w:rPr>
              <w:lang w:val="en-US"/>
            </w:rPr>
          </w:rPrChange>
        </w:rPr>
        <w:t xml:space="preserve"> 2013 </w:t>
      </w:r>
      <w:r w:rsidR="00406577" w:rsidRPr="007F5899">
        <w:rPr>
          <w:lang w:val="ru-RU"/>
        </w:rPr>
        <w:t>года</w:t>
      </w:r>
      <w:r w:rsidR="00406577" w:rsidRPr="007F5899">
        <w:rPr>
          <w:lang w:val="ru-RU"/>
          <w:rPrChange w:id="33" w:author="Khokhlova, Yustiniya" w:date="2014-10-17T11:31:00Z">
            <w:rPr>
              <w:lang w:val="en-US"/>
            </w:rPr>
          </w:rPrChange>
        </w:rPr>
        <w:t xml:space="preserve"> </w:t>
      </w:r>
      <w:r w:rsidR="00406577" w:rsidRPr="007F5899">
        <w:rPr>
          <w:lang w:val="ru-RU"/>
        </w:rPr>
        <w:t>правительство</w:t>
      </w:r>
      <w:r w:rsidR="00406577" w:rsidRPr="007F5899">
        <w:rPr>
          <w:lang w:val="ru-RU"/>
          <w:rPrChange w:id="34" w:author="Khokhlova, Yustiniya" w:date="2014-10-17T11:31:00Z">
            <w:rPr>
              <w:lang w:val="en-US"/>
            </w:rPr>
          </w:rPrChange>
        </w:rPr>
        <w:t xml:space="preserve"> </w:t>
      </w:r>
      <w:r w:rsidR="00406577" w:rsidRPr="007F5899">
        <w:rPr>
          <w:lang w:val="ru-RU"/>
        </w:rPr>
        <w:t>Швейцарии утвердило в дополнение к существующей политике новую</w:t>
      </w:r>
      <w:r w:rsidR="00A13A1D" w:rsidRPr="007F5899">
        <w:rPr>
          <w:lang w:val="ru-RU"/>
        </w:rPr>
        <w:t xml:space="preserve"> политику</w:t>
      </w:r>
      <w:r w:rsidR="00406577" w:rsidRPr="007F5899">
        <w:rPr>
          <w:lang w:val="ru-RU"/>
        </w:rPr>
        <w:t xml:space="preserve">, которая </w:t>
      </w:r>
      <w:r w:rsidR="00A13A1D" w:rsidRPr="007F5899">
        <w:rPr>
          <w:lang w:val="ru-RU"/>
        </w:rPr>
        <w:t>сделала</w:t>
      </w:r>
      <w:r w:rsidR="00406577" w:rsidRPr="007F5899">
        <w:rPr>
          <w:lang w:val="ru-RU"/>
        </w:rPr>
        <w:t xml:space="preserve"> возможной </w:t>
      </w:r>
      <w:r w:rsidR="00F03BD5" w:rsidRPr="007F5899">
        <w:rPr>
          <w:lang w:val="ru-RU"/>
        </w:rPr>
        <w:t xml:space="preserve">также </w:t>
      </w:r>
      <w:r w:rsidR="00406577" w:rsidRPr="007F5899">
        <w:rPr>
          <w:lang w:val="ru-RU"/>
        </w:rPr>
        <w:t xml:space="preserve">выдачу </w:t>
      </w:r>
      <w:r w:rsidR="00A13A1D" w:rsidRPr="007F5899">
        <w:rPr>
          <w:lang w:val="ru-RU"/>
        </w:rPr>
        <w:t>ссуд</w:t>
      </w:r>
      <w:r w:rsidR="00406577" w:rsidRPr="007F5899">
        <w:rPr>
          <w:lang w:val="ru-RU"/>
        </w:rPr>
        <w:t xml:space="preserve"> на проекты по</w:t>
      </w:r>
      <w:r w:rsidR="00E0677E" w:rsidRPr="007F5899">
        <w:rPr>
          <w:lang w:val="ru-RU"/>
        </w:rPr>
        <w:t xml:space="preserve"> ремонту</w:t>
      </w:r>
      <w:r w:rsidR="0016787A" w:rsidRPr="007F5899">
        <w:rPr>
          <w:lang w:val="ru-RU"/>
        </w:rPr>
        <w:t xml:space="preserve"> зданий. </w:t>
      </w:r>
      <w:r w:rsidR="00F03BD5" w:rsidRPr="007F5899">
        <w:rPr>
          <w:lang w:val="ru-RU"/>
        </w:rPr>
        <w:t>Ссуды</w:t>
      </w:r>
      <w:r w:rsidR="007772BF" w:rsidRPr="007F5899">
        <w:rPr>
          <w:lang w:val="ru-RU"/>
        </w:rPr>
        <w:t xml:space="preserve"> на </w:t>
      </w:r>
      <w:r w:rsidR="00FB0022" w:rsidRPr="007F5899">
        <w:rPr>
          <w:lang w:val="ru-RU"/>
        </w:rPr>
        <w:t xml:space="preserve">цели ремонта </w:t>
      </w:r>
      <w:r w:rsidR="007772BF" w:rsidRPr="007F5899">
        <w:rPr>
          <w:lang w:val="ru-RU"/>
        </w:rPr>
        <w:t xml:space="preserve">имеют </w:t>
      </w:r>
      <w:r w:rsidR="003B131C" w:rsidRPr="007F5899">
        <w:rPr>
          <w:lang w:val="ru-RU"/>
        </w:rPr>
        <w:t xml:space="preserve">преференциальную </w:t>
      </w:r>
      <w:r w:rsidR="007772BF" w:rsidRPr="007F5899">
        <w:rPr>
          <w:lang w:val="ru-RU"/>
        </w:rPr>
        <w:t>процентную ставк</w:t>
      </w:r>
      <w:r w:rsidR="003B131C" w:rsidRPr="007F5899">
        <w:rPr>
          <w:lang w:val="ru-RU"/>
        </w:rPr>
        <w:t>у ниже рыночной</w:t>
      </w:r>
      <w:r w:rsidR="003B2638" w:rsidRPr="007F5899">
        <w:rPr>
          <w:lang w:val="ru-RU"/>
        </w:rPr>
        <w:t xml:space="preserve">, а </w:t>
      </w:r>
      <w:r w:rsidR="003B131C" w:rsidRPr="007F5899">
        <w:rPr>
          <w:lang w:val="ru-RU"/>
        </w:rPr>
        <w:t xml:space="preserve">срок их погашения составляет 30 лет. </w:t>
      </w:r>
      <w:r w:rsidR="00F56A2E" w:rsidRPr="007F5899">
        <w:rPr>
          <w:lang w:val="ru-RU"/>
        </w:rPr>
        <w:t xml:space="preserve">Процентная ставка по </w:t>
      </w:r>
      <w:r w:rsidR="00F03BD5" w:rsidRPr="007F5899">
        <w:rPr>
          <w:lang w:val="ru-RU"/>
        </w:rPr>
        <w:t>ссудам</w:t>
      </w:r>
      <w:r w:rsidR="00F56A2E" w:rsidRPr="007F5899">
        <w:rPr>
          <w:lang w:val="ru-RU"/>
        </w:rPr>
        <w:t xml:space="preserve"> на </w:t>
      </w:r>
      <w:r w:rsidR="00FB0022" w:rsidRPr="007F5899">
        <w:rPr>
          <w:lang w:val="ru-RU"/>
        </w:rPr>
        <w:t>цели ремонта</w:t>
      </w:r>
      <w:r w:rsidR="00F56A2E" w:rsidRPr="007F5899">
        <w:rPr>
          <w:lang w:val="ru-RU"/>
        </w:rPr>
        <w:t xml:space="preserve"> основывается на ставке рефинансирования Швейцарской Конфедерации по </w:t>
      </w:r>
      <w:r w:rsidR="0028497A" w:rsidRPr="007F5899">
        <w:rPr>
          <w:lang w:val="ru-RU"/>
        </w:rPr>
        <w:t>ссудам</w:t>
      </w:r>
      <w:r w:rsidR="00FB0022" w:rsidRPr="007F5899">
        <w:rPr>
          <w:lang w:val="ru-RU"/>
        </w:rPr>
        <w:t xml:space="preserve"> сроком</w:t>
      </w:r>
      <w:r w:rsidR="00F56A2E" w:rsidRPr="007F5899">
        <w:rPr>
          <w:lang w:val="ru-RU"/>
        </w:rPr>
        <w:t xml:space="preserve"> на 30 лет, которая в 2014 году </w:t>
      </w:r>
      <w:r w:rsidR="00FB0022" w:rsidRPr="007F5899">
        <w:rPr>
          <w:lang w:val="ru-RU"/>
        </w:rPr>
        <w:lastRenderedPageBreak/>
        <w:t>составляет</w:t>
      </w:r>
      <w:r w:rsidR="00F56A2E" w:rsidRPr="007F5899">
        <w:rPr>
          <w:lang w:val="ru-RU"/>
        </w:rPr>
        <w:t xml:space="preserve"> в среднем 1,5%. </w:t>
      </w:r>
      <w:r w:rsidR="008E00EB" w:rsidRPr="007F5899">
        <w:rPr>
          <w:lang w:val="ru-RU"/>
        </w:rPr>
        <w:t xml:space="preserve">Следует отметить, что </w:t>
      </w:r>
      <w:r w:rsidR="00553F9F" w:rsidRPr="007F5899">
        <w:rPr>
          <w:lang w:val="ru-RU"/>
        </w:rPr>
        <w:t xml:space="preserve">эта ставка может изменяться в результате колебаний на рынке, но фиксируется в момент заключения договоренности по </w:t>
      </w:r>
      <w:r w:rsidR="00F03BD5" w:rsidRPr="007F5899">
        <w:rPr>
          <w:lang w:val="ru-RU"/>
        </w:rPr>
        <w:t>ссуде</w:t>
      </w:r>
      <w:r w:rsidR="00553F9F" w:rsidRPr="007F5899">
        <w:rPr>
          <w:lang w:val="ru-RU"/>
        </w:rPr>
        <w:t xml:space="preserve"> и более не меняется в течение всего срока </w:t>
      </w:r>
      <w:r w:rsidR="00F03BD5" w:rsidRPr="007F5899">
        <w:rPr>
          <w:lang w:val="ru-RU"/>
        </w:rPr>
        <w:t xml:space="preserve">ее </w:t>
      </w:r>
      <w:r w:rsidR="00553F9F" w:rsidRPr="007F5899">
        <w:rPr>
          <w:lang w:val="ru-RU"/>
        </w:rPr>
        <w:t xml:space="preserve">действия. </w:t>
      </w:r>
      <w:r w:rsidR="00104406" w:rsidRPr="007F5899">
        <w:rPr>
          <w:lang w:val="ru-RU"/>
        </w:rPr>
        <w:t xml:space="preserve">Существующие на данный момент в Швейцарии фиксированные ставки по ипотеке сроком на 10 лет составляют от 2,5% до 3,0%. </w:t>
      </w:r>
      <w:r w:rsidR="00EB23F9" w:rsidRPr="007F5899">
        <w:rPr>
          <w:lang w:val="ru-RU"/>
        </w:rPr>
        <w:t>Ссуды</w:t>
      </w:r>
      <w:r w:rsidR="00156811" w:rsidRPr="007F5899">
        <w:rPr>
          <w:lang w:val="ru-RU"/>
        </w:rPr>
        <w:t xml:space="preserve"> с ф</w:t>
      </w:r>
      <w:r w:rsidR="003B2638" w:rsidRPr="007F5899">
        <w:rPr>
          <w:lang w:val="ru-RU"/>
        </w:rPr>
        <w:t>иксированными процентными ставками</w:t>
      </w:r>
      <w:r w:rsidR="00156811" w:rsidRPr="007F5899">
        <w:rPr>
          <w:lang w:val="ru-RU"/>
        </w:rPr>
        <w:t xml:space="preserve"> сроком на 30 лет недоступны на открытом рынке. </w:t>
      </w:r>
    </w:p>
    <w:p w:rsidR="0026481B" w:rsidRPr="007F5899" w:rsidRDefault="0026481B">
      <w:pPr>
        <w:rPr>
          <w:lang w:val="ru-RU"/>
        </w:rPr>
        <w:pPrChange w:id="35" w:author="Khokhlova, Yustiniya" w:date="2014-10-17T14:33:00Z">
          <w:pPr>
            <w:tabs>
              <w:tab w:val="clear" w:pos="567"/>
              <w:tab w:val="clear" w:pos="1134"/>
              <w:tab w:val="clear" w:pos="1701"/>
              <w:tab w:val="clear" w:pos="2268"/>
              <w:tab w:val="clear" w:pos="2835"/>
            </w:tabs>
            <w:overflowPunct/>
            <w:autoSpaceDE/>
            <w:autoSpaceDN/>
            <w:adjustRightInd/>
            <w:spacing w:before="0"/>
            <w:textAlignment w:val="auto"/>
          </w:pPr>
        </w:pPrChange>
      </w:pPr>
      <w:r w:rsidRPr="007F5899">
        <w:rPr>
          <w:lang w:val="ru-RU"/>
        </w:rPr>
        <w:t>1.6</w:t>
      </w:r>
      <w:r w:rsidR="00257D76" w:rsidRPr="007F5899">
        <w:rPr>
          <w:lang w:val="ru-RU"/>
          <w:rPrChange w:id="36" w:author="Khokhlova, Yustiniya" w:date="2014-10-17T11:50:00Z">
            <w:rPr>
              <w:lang w:val="en-US"/>
            </w:rPr>
          </w:rPrChange>
        </w:rPr>
        <w:tab/>
      </w:r>
      <w:r w:rsidR="00742393" w:rsidRPr="007F5899">
        <w:rPr>
          <w:lang w:val="ru-RU"/>
        </w:rPr>
        <w:t>Ссуды на цели строительства и ремонта</w:t>
      </w:r>
      <w:r w:rsidR="00B072D4" w:rsidRPr="007F5899">
        <w:rPr>
          <w:lang w:val="ru-RU"/>
        </w:rPr>
        <w:t xml:space="preserve">, а также </w:t>
      </w:r>
      <w:r w:rsidR="003B25DA" w:rsidRPr="007F5899">
        <w:rPr>
          <w:lang w:val="ru-RU"/>
        </w:rPr>
        <w:t>техническая поддержка</w:t>
      </w:r>
      <w:r w:rsidR="00B072D4" w:rsidRPr="007F5899">
        <w:rPr>
          <w:lang w:val="ru-RU"/>
        </w:rPr>
        <w:t xml:space="preserve"> до и в течение процесса строительства будут предоставляться </w:t>
      </w:r>
      <w:proofErr w:type="spellStart"/>
      <w:r w:rsidR="003B25DA" w:rsidRPr="007F5899">
        <w:rPr>
          <w:lang w:val="ru-RU"/>
        </w:rPr>
        <w:t>ФИПОИ</w:t>
      </w:r>
      <w:proofErr w:type="spellEnd"/>
      <w:r w:rsidR="00837F3D" w:rsidRPr="007F5899">
        <w:rPr>
          <w:rStyle w:val="FootnoteReference"/>
          <w:lang w:val="ru-RU"/>
        </w:rPr>
        <w:footnoteReference w:id="3"/>
      </w:r>
      <w:r w:rsidR="00B072D4" w:rsidRPr="007F5899">
        <w:rPr>
          <w:lang w:val="ru-RU"/>
          <w:rPrChange w:id="37" w:author="Khokhlova, Yustiniya" w:date="2014-10-17T11:48:00Z">
            <w:rPr>
              <w:lang w:val="fr-CA"/>
            </w:rPr>
          </w:rPrChange>
        </w:rPr>
        <w:t xml:space="preserve"> – </w:t>
      </w:r>
      <w:r w:rsidR="00837F3D" w:rsidRPr="007F5899">
        <w:rPr>
          <w:lang w:val="ru-RU"/>
        </w:rPr>
        <w:t xml:space="preserve">некоммерческим </w:t>
      </w:r>
      <w:r w:rsidR="00490ADC" w:rsidRPr="007F5899">
        <w:rPr>
          <w:lang w:val="ru-RU"/>
        </w:rPr>
        <w:t xml:space="preserve">государственным </w:t>
      </w:r>
      <w:r w:rsidR="00837F3D" w:rsidRPr="007F5899">
        <w:rPr>
          <w:lang w:val="ru-RU"/>
        </w:rPr>
        <w:t>фо</w:t>
      </w:r>
      <w:r w:rsidR="00490ADC" w:rsidRPr="007F5899">
        <w:rPr>
          <w:lang w:val="ru-RU"/>
        </w:rPr>
        <w:t>ндом страны</w:t>
      </w:r>
      <w:r w:rsidR="001901EF" w:rsidRPr="007F5899">
        <w:rPr>
          <w:lang w:val="ru-RU"/>
        </w:rPr>
        <w:t xml:space="preserve"> пребывания</w:t>
      </w:r>
      <w:r w:rsidR="00742393" w:rsidRPr="007F5899">
        <w:rPr>
          <w:lang w:val="ru-RU"/>
        </w:rPr>
        <w:t>.</w:t>
      </w:r>
      <w:r w:rsidR="00933094" w:rsidRPr="007F5899">
        <w:rPr>
          <w:color w:val="000000"/>
          <w:lang w:val="ru-RU"/>
        </w:rPr>
        <w:t xml:space="preserve"> Следует отметить, что, </w:t>
      </w:r>
      <w:r w:rsidRPr="007F5899">
        <w:rPr>
          <w:lang w:val="ru-RU"/>
        </w:rPr>
        <w:t>прежде чем принимать такое решение, страна пребыв</w:t>
      </w:r>
      <w:r w:rsidR="00933094" w:rsidRPr="007F5899">
        <w:rPr>
          <w:lang w:val="ru-RU"/>
        </w:rPr>
        <w:t>ания рассмотрела все варианты (ремонт</w:t>
      </w:r>
      <w:r w:rsidRPr="007F5899">
        <w:rPr>
          <w:lang w:val="ru-RU"/>
        </w:rPr>
        <w:t xml:space="preserve">, модернизация и </w:t>
      </w:r>
      <w:r w:rsidR="000442A6" w:rsidRPr="007F5899">
        <w:rPr>
          <w:lang w:val="ru-RU"/>
        </w:rPr>
        <w:t>строительство нового здания</w:t>
      </w:r>
      <w:r w:rsidRPr="007F5899">
        <w:rPr>
          <w:lang w:val="ru-RU"/>
        </w:rPr>
        <w:t xml:space="preserve">) и пришла к выводу, что </w:t>
      </w:r>
      <w:r w:rsidR="00933094" w:rsidRPr="007F5899">
        <w:rPr>
          <w:lang w:val="ru-RU"/>
        </w:rPr>
        <w:t xml:space="preserve">абсолютно новое здание является </w:t>
      </w:r>
      <w:r w:rsidRPr="007F5899">
        <w:rPr>
          <w:lang w:val="ru-RU"/>
        </w:rPr>
        <w:t xml:space="preserve">лучшим из них с точки зрения </w:t>
      </w:r>
      <w:proofErr w:type="spellStart"/>
      <w:r w:rsidRPr="007F5899">
        <w:rPr>
          <w:lang w:val="ru-RU"/>
        </w:rPr>
        <w:t>энергоэффективности</w:t>
      </w:r>
      <w:proofErr w:type="spellEnd"/>
      <w:r w:rsidRPr="007F5899">
        <w:rPr>
          <w:lang w:val="ru-RU"/>
        </w:rPr>
        <w:t xml:space="preserve">, </w:t>
      </w:r>
      <w:r w:rsidR="00933094" w:rsidRPr="007F5899">
        <w:rPr>
          <w:lang w:val="ru-RU"/>
        </w:rPr>
        <w:t>эффективного использования пространства</w:t>
      </w:r>
      <w:r w:rsidR="00742393" w:rsidRPr="007F5899">
        <w:rPr>
          <w:lang w:val="ru-RU"/>
        </w:rPr>
        <w:t xml:space="preserve">, эстетики, удобства </w:t>
      </w:r>
      <w:r w:rsidR="00933094" w:rsidRPr="007F5899">
        <w:rPr>
          <w:lang w:val="ru-RU"/>
        </w:rPr>
        <w:t xml:space="preserve">и в особенности потому, что будет соответствовать последним </w:t>
      </w:r>
      <w:r w:rsidRPr="007F5899">
        <w:rPr>
          <w:lang w:val="ru-RU"/>
        </w:rPr>
        <w:t>строительным нормам Швейцари</w:t>
      </w:r>
      <w:r w:rsidR="00933094" w:rsidRPr="007F5899">
        <w:rPr>
          <w:lang w:val="ru-RU"/>
        </w:rPr>
        <w:t xml:space="preserve">и и </w:t>
      </w:r>
      <w:r w:rsidR="0024716F" w:rsidRPr="007F5899">
        <w:rPr>
          <w:lang w:val="ru-RU"/>
        </w:rPr>
        <w:t>может быть</w:t>
      </w:r>
      <w:r w:rsidR="00933094" w:rsidRPr="007F5899">
        <w:rPr>
          <w:lang w:val="ru-RU"/>
        </w:rPr>
        <w:t xml:space="preserve"> профинансировано за счет указанно</w:t>
      </w:r>
      <w:r w:rsidR="00742393" w:rsidRPr="007F5899">
        <w:rPr>
          <w:lang w:val="ru-RU"/>
        </w:rPr>
        <w:t>й</w:t>
      </w:r>
      <w:r w:rsidR="00933094" w:rsidRPr="007F5899">
        <w:rPr>
          <w:lang w:val="ru-RU"/>
        </w:rPr>
        <w:t xml:space="preserve"> выше беспроцентно</w:t>
      </w:r>
      <w:r w:rsidR="00742393" w:rsidRPr="007F5899">
        <w:rPr>
          <w:lang w:val="ru-RU"/>
        </w:rPr>
        <w:t>й</w:t>
      </w:r>
      <w:r w:rsidR="00933094" w:rsidRPr="007F5899">
        <w:rPr>
          <w:lang w:val="ru-RU"/>
        </w:rPr>
        <w:t xml:space="preserve"> </w:t>
      </w:r>
      <w:r w:rsidR="00742393" w:rsidRPr="007F5899">
        <w:rPr>
          <w:lang w:val="ru-RU"/>
        </w:rPr>
        <w:t>ссуды</w:t>
      </w:r>
      <w:r w:rsidR="00933094" w:rsidRPr="007F5899">
        <w:rPr>
          <w:lang w:val="ru-RU"/>
        </w:rPr>
        <w:t xml:space="preserve"> </w:t>
      </w:r>
      <w:r w:rsidR="00EA0C45" w:rsidRPr="007F5899">
        <w:rPr>
          <w:lang w:val="ru-RU"/>
        </w:rPr>
        <w:t xml:space="preserve">сроком </w:t>
      </w:r>
      <w:r w:rsidR="00933094" w:rsidRPr="007F5899">
        <w:rPr>
          <w:lang w:val="ru-RU"/>
        </w:rPr>
        <w:t>на 50 лет</w:t>
      </w:r>
      <w:r w:rsidRPr="007F5899">
        <w:rPr>
          <w:lang w:val="ru-RU"/>
        </w:rPr>
        <w:t>.</w:t>
      </w:r>
    </w:p>
    <w:p w:rsidR="0026481B" w:rsidRPr="007F5899" w:rsidRDefault="006B0060" w:rsidP="00B154A1">
      <w:pPr>
        <w:rPr>
          <w:lang w:val="ru-RU"/>
        </w:rPr>
      </w:pPr>
      <w:r w:rsidRPr="007F5899">
        <w:rPr>
          <w:lang w:val="ru-RU"/>
        </w:rPr>
        <w:t>1.7</w:t>
      </w:r>
      <w:r w:rsidR="00257D76" w:rsidRPr="007F5899">
        <w:rPr>
          <w:lang w:val="ru-RU"/>
        </w:rPr>
        <w:tab/>
      </w:r>
      <w:r w:rsidR="0026481B" w:rsidRPr="007F5899">
        <w:rPr>
          <w:lang w:val="ru-RU"/>
        </w:rPr>
        <w:t>Генеральный секретарь представил Совету МСЭ 2014 года документ по данному проекту и другим вариантам решения проблемы со зданием "</w:t>
      </w:r>
      <w:proofErr w:type="spellStart"/>
      <w:r w:rsidR="0026481B" w:rsidRPr="007F5899">
        <w:rPr>
          <w:lang w:val="ru-RU"/>
        </w:rPr>
        <w:t>Варембе</w:t>
      </w:r>
      <w:proofErr w:type="spellEnd"/>
      <w:r w:rsidR="0026481B" w:rsidRPr="007F5899">
        <w:rPr>
          <w:lang w:val="ru-RU"/>
        </w:rPr>
        <w:t>" (Документ C14/50). На Совете Государства-Члены высказали мнение о том, что необходимо более детально рассмотреть вопрос по всем помещениям штаб-квартиры Союза в целом, и поручили предоставить четыре варианта на предстоящей Полномочной конференции (ПК-14) для принятия решения (рекомендация 14.6 в</w:t>
      </w:r>
      <w:r w:rsidR="00B154A1" w:rsidRPr="007F5899">
        <w:rPr>
          <w:lang w:val="ru-RU"/>
        </w:rPr>
        <w:t> Документе C14/92):</w:t>
      </w:r>
    </w:p>
    <w:p w:rsidR="0026481B" w:rsidRPr="007F5899" w:rsidRDefault="0026481B" w:rsidP="0026481B">
      <w:pPr>
        <w:pStyle w:val="enumlev1"/>
        <w:rPr>
          <w:lang w:val="ru-RU"/>
        </w:rPr>
      </w:pPr>
      <w:r w:rsidRPr="007F5899">
        <w:rPr>
          <w:lang w:val="ru-RU"/>
        </w:rPr>
        <w:t>–</w:t>
      </w:r>
      <w:r w:rsidRPr="007F5899">
        <w:rPr>
          <w:lang w:val="ru-RU"/>
        </w:rPr>
        <w:tab/>
        <w:t>замена здания "</w:t>
      </w:r>
      <w:proofErr w:type="spellStart"/>
      <w:r w:rsidRPr="007F5899">
        <w:rPr>
          <w:lang w:val="ru-RU"/>
        </w:rPr>
        <w:t>Варембе</w:t>
      </w:r>
      <w:proofErr w:type="spellEnd"/>
      <w:r w:rsidRPr="007F5899">
        <w:rPr>
          <w:lang w:val="ru-RU"/>
        </w:rPr>
        <w:t xml:space="preserve">" и соответствующий ремонт остальных зданий; </w:t>
      </w:r>
    </w:p>
    <w:p w:rsidR="0026481B" w:rsidRPr="007F5899" w:rsidRDefault="0026481B" w:rsidP="0026481B">
      <w:pPr>
        <w:pStyle w:val="enumlev1"/>
        <w:rPr>
          <w:lang w:val="ru-RU"/>
        </w:rPr>
      </w:pPr>
      <w:r w:rsidRPr="007F5899">
        <w:rPr>
          <w:lang w:val="ru-RU"/>
        </w:rPr>
        <w:t>–</w:t>
      </w:r>
      <w:r w:rsidRPr="007F5899">
        <w:rPr>
          <w:lang w:val="ru-RU"/>
        </w:rPr>
        <w:tab/>
        <w:t>соответствующий ремонт всех трех зданий без замены здания "</w:t>
      </w:r>
      <w:proofErr w:type="spellStart"/>
      <w:r w:rsidRPr="007F5899">
        <w:rPr>
          <w:lang w:val="ru-RU"/>
        </w:rPr>
        <w:t>Варембе</w:t>
      </w:r>
      <w:proofErr w:type="spellEnd"/>
      <w:r w:rsidRPr="007F5899">
        <w:rPr>
          <w:lang w:val="ru-RU"/>
        </w:rPr>
        <w:t xml:space="preserve">"; </w:t>
      </w:r>
    </w:p>
    <w:p w:rsidR="0026481B" w:rsidRPr="007F5899" w:rsidRDefault="0026481B" w:rsidP="0026481B">
      <w:pPr>
        <w:pStyle w:val="enumlev1"/>
        <w:rPr>
          <w:lang w:val="ru-RU"/>
        </w:rPr>
      </w:pPr>
      <w:r w:rsidRPr="007F5899">
        <w:rPr>
          <w:lang w:val="ru-RU"/>
        </w:rPr>
        <w:t>–</w:t>
      </w:r>
      <w:r w:rsidRPr="007F5899">
        <w:rPr>
          <w:lang w:val="ru-RU"/>
        </w:rPr>
        <w:tab/>
        <w:t>аренда помещений в Женеве вместо здания "</w:t>
      </w:r>
      <w:proofErr w:type="spellStart"/>
      <w:r w:rsidRPr="007F5899">
        <w:rPr>
          <w:lang w:val="ru-RU"/>
        </w:rPr>
        <w:t>Варембе</w:t>
      </w:r>
      <w:proofErr w:type="spellEnd"/>
      <w:r w:rsidRPr="007F5899">
        <w:rPr>
          <w:lang w:val="ru-RU"/>
        </w:rPr>
        <w:t>" с последующим выводом здания "</w:t>
      </w:r>
      <w:proofErr w:type="spellStart"/>
      <w:r w:rsidRPr="007F5899">
        <w:rPr>
          <w:lang w:val="ru-RU"/>
        </w:rPr>
        <w:t>Варембе</w:t>
      </w:r>
      <w:proofErr w:type="spellEnd"/>
      <w:r w:rsidRPr="007F5899">
        <w:rPr>
          <w:lang w:val="ru-RU"/>
        </w:rPr>
        <w:t xml:space="preserve">" из эксплуатации и соответствующим ремонтом остальных зданий; </w:t>
      </w:r>
    </w:p>
    <w:p w:rsidR="0026481B" w:rsidRPr="007F5899" w:rsidRDefault="0026481B" w:rsidP="00B154A1">
      <w:pPr>
        <w:pStyle w:val="enumlev1"/>
        <w:rPr>
          <w:lang w:val="ru-RU"/>
        </w:rPr>
      </w:pPr>
      <w:r w:rsidRPr="007F5899">
        <w:rPr>
          <w:lang w:val="ru-RU"/>
        </w:rPr>
        <w:t>–</w:t>
      </w:r>
      <w:r w:rsidRPr="007F5899">
        <w:rPr>
          <w:lang w:val="ru-RU"/>
        </w:rPr>
        <w:tab/>
        <w:t>перенос штаб-квартиры Союза из Женевы при условии получения развернутого приемлемого предложения от Государства</w:t>
      </w:r>
      <w:r w:rsidR="00B154A1" w:rsidRPr="007F5899">
        <w:rPr>
          <w:lang w:val="ru-RU"/>
        </w:rPr>
        <w:t xml:space="preserve"> − </w:t>
      </w:r>
      <w:r w:rsidRPr="007F5899">
        <w:rPr>
          <w:lang w:val="ru-RU"/>
        </w:rPr>
        <w:t>Члена Союза.</w:t>
      </w:r>
    </w:p>
    <w:p w:rsidR="0026481B" w:rsidRPr="007F5899" w:rsidRDefault="006B0060">
      <w:pPr>
        <w:rPr>
          <w:lang w:val="ru-RU"/>
        </w:rPr>
      </w:pPr>
      <w:r w:rsidRPr="007F5899">
        <w:rPr>
          <w:lang w:val="ru-RU"/>
        </w:rPr>
        <w:t>1.8</w:t>
      </w:r>
      <w:r w:rsidR="00257D76" w:rsidRPr="007F5899">
        <w:rPr>
          <w:lang w:val="ru-RU"/>
        </w:rPr>
        <w:tab/>
      </w:r>
      <w:r w:rsidR="0026481B" w:rsidRPr="007F5899">
        <w:rPr>
          <w:lang w:val="ru-RU"/>
        </w:rPr>
        <w:t xml:space="preserve">Наряду со сравнением финансовых аспектов Совет также поручил учесть в материалах, которые будут представлены ПК-14, ряд других факторов, указанных в Документе C14/75. </w:t>
      </w:r>
    </w:p>
    <w:p w:rsidR="0026481B" w:rsidRPr="007F5899" w:rsidRDefault="006B0060">
      <w:pPr>
        <w:rPr>
          <w:lang w:val="ru-RU"/>
        </w:rPr>
      </w:pPr>
      <w:r w:rsidRPr="007F5899">
        <w:rPr>
          <w:lang w:val="ru-RU"/>
        </w:rPr>
        <w:t>1.9</w:t>
      </w:r>
      <w:r w:rsidR="00257D76" w:rsidRPr="007F5899">
        <w:rPr>
          <w:lang w:val="ru-RU"/>
        </w:rPr>
        <w:tab/>
      </w:r>
      <w:r w:rsidR="0026481B" w:rsidRPr="007F5899">
        <w:rPr>
          <w:lang w:val="ru-RU"/>
        </w:rPr>
        <w:t xml:space="preserve">Настоящий документ является ответом на запрос Совета: в нем рассматриваются все четыре варианта таким образом, чтобы предоставить ПК-14 достаточный объем информации для принятия решения о приемлемом варианте для дальнейшей разработки. Рассматриваются все здания штаб-квартиры МСЭ. </w:t>
      </w:r>
    </w:p>
    <w:p w:rsidR="0026481B" w:rsidRPr="007F5899" w:rsidRDefault="006B0060">
      <w:pPr>
        <w:rPr>
          <w:lang w:val="ru-RU"/>
        </w:rPr>
      </w:pPr>
      <w:r w:rsidRPr="007F5899">
        <w:rPr>
          <w:lang w:val="ru-RU"/>
        </w:rPr>
        <w:t>1.10</w:t>
      </w:r>
      <w:r w:rsidR="00257D76" w:rsidRPr="007F5899">
        <w:rPr>
          <w:lang w:val="ru-RU"/>
        </w:rPr>
        <w:tab/>
      </w:r>
      <w:r w:rsidR="0026481B" w:rsidRPr="007F5899">
        <w:rPr>
          <w:lang w:val="ru-RU"/>
        </w:rPr>
        <w:t>Финансовые данные, использованные в настоящем документе, являются примерными оценками на основе имеющихся у руководства сведений, доступных документов и рыночной информации. Эти данные представляют оценки возможных затрат в первом приближении и подлежат дальнейшему уточнению в зависимости от будущих решений и разработок.</w:t>
      </w:r>
    </w:p>
    <w:p w:rsidR="006B0060" w:rsidRPr="007F5899" w:rsidRDefault="006B0060" w:rsidP="006B0060">
      <w:pPr>
        <w:pStyle w:val="Heading1"/>
        <w:rPr>
          <w:lang w:val="ru-RU"/>
        </w:rPr>
      </w:pPr>
      <w:r w:rsidRPr="007F5899">
        <w:rPr>
          <w:lang w:val="ru-RU"/>
        </w:rPr>
        <w:t>2</w:t>
      </w:r>
      <w:r w:rsidRPr="007F5899">
        <w:rPr>
          <w:lang w:val="ru-RU"/>
        </w:rPr>
        <w:tab/>
        <w:t>Критерии оценки</w:t>
      </w:r>
    </w:p>
    <w:p w:rsidR="006B0060" w:rsidRPr="007F5899" w:rsidRDefault="006B0060" w:rsidP="006B0060">
      <w:pPr>
        <w:rPr>
          <w:lang w:val="ru-RU"/>
        </w:rPr>
      </w:pPr>
      <w:r w:rsidRPr="007F5899">
        <w:rPr>
          <w:lang w:val="ru-RU"/>
        </w:rPr>
        <w:t>2.1</w:t>
      </w:r>
      <w:r w:rsidRPr="007F5899">
        <w:rPr>
          <w:lang w:val="ru-RU"/>
        </w:rPr>
        <w:tab/>
        <w:t xml:space="preserve">Помимо финансовых аспектов, в число критериев, указанных в Документе C14/75 (ОАЭ) и затребованных Советом-14 к рассмотрению в случае переноса штаб-квартиры за пределы нынешней страны пребывания, входят: </w:t>
      </w:r>
    </w:p>
    <w:p w:rsidR="006B0060" w:rsidRPr="007F5899" w:rsidRDefault="006B0060" w:rsidP="006B0060">
      <w:pPr>
        <w:pStyle w:val="enumlev1"/>
        <w:rPr>
          <w:lang w:val="ru-RU"/>
        </w:rPr>
      </w:pPr>
      <w:r w:rsidRPr="007F5899">
        <w:rPr>
          <w:lang w:val="ru-RU"/>
        </w:rPr>
        <w:t>–</w:t>
      </w:r>
      <w:r w:rsidRPr="007F5899">
        <w:rPr>
          <w:lang w:val="ru-RU"/>
        </w:rPr>
        <w:tab/>
        <w:t>иммунитеты, привилегии и льготы, предоставляемые сотрудникам МСЭ;</w:t>
      </w:r>
    </w:p>
    <w:p w:rsidR="006B0060" w:rsidRPr="007F5899" w:rsidRDefault="006B0060" w:rsidP="006B0060">
      <w:pPr>
        <w:pStyle w:val="enumlev1"/>
        <w:rPr>
          <w:lang w:val="ru-RU"/>
        </w:rPr>
      </w:pPr>
      <w:r w:rsidRPr="007F5899">
        <w:rPr>
          <w:lang w:val="ru-RU"/>
        </w:rPr>
        <w:lastRenderedPageBreak/>
        <w:t>–</w:t>
      </w:r>
      <w:r w:rsidRPr="007F5899">
        <w:rPr>
          <w:lang w:val="ru-RU"/>
        </w:rPr>
        <w:tab/>
        <w:t>освобождение от уплаты налогов на доходы и имущество, таможенных пошлин и налогов на товары и услуги;</w:t>
      </w:r>
    </w:p>
    <w:p w:rsidR="006B0060" w:rsidRPr="007F5899" w:rsidRDefault="006B0060" w:rsidP="006B0060">
      <w:pPr>
        <w:pStyle w:val="enumlev1"/>
        <w:rPr>
          <w:lang w:val="ru-RU"/>
        </w:rPr>
      </w:pPr>
      <w:r w:rsidRPr="007F5899">
        <w:rPr>
          <w:lang w:val="ru-RU"/>
        </w:rPr>
        <w:t>–</w:t>
      </w:r>
      <w:r w:rsidRPr="007F5899">
        <w:rPr>
          <w:lang w:val="ru-RU"/>
        </w:rPr>
        <w:tab/>
        <w:t>потребности и ожидания относительно затрат, связанных с перемещением/выплатой выходных пособий/наймом персонала, наличие средств, необходимых коммунальных услуг, помещений и т. д., необходимых для переноса местонахождения;</w:t>
      </w:r>
    </w:p>
    <w:p w:rsidR="006B0060" w:rsidRPr="007F5899" w:rsidRDefault="006B0060" w:rsidP="006B0060">
      <w:pPr>
        <w:pStyle w:val="enumlev1"/>
        <w:rPr>
          <w:lang w:val="ru-RU"/>
        </w:rPr>
      </w:pPr>
      <w:r w:rsidRPr="007F5899">
        <w:rPr>
          <w:lang w:val="ru-RU"/>
        </w:rPr>
        <w:t>–</w:t>
      </w:r>
      <w:r w:rsidRPr="007F5899">
        <w:rPr>
          <w:lang w:val="ru-RU"/>
        </w:rPr>
        <w:tab/>
        <w:t>предлагаемые временные рамки и будущий механизм принятия решения о переносе местонахождения;</w:t>
      </w:r>
    </w:p>
    <w:p w:rsidR="006B0060" w:rsidRPr="007F5899" w:rsidRDefault="006B0060" w:rsidP="006B0060">
      <w:pPr>
        <w:pStyle w:val="enumlev1"/>
        <w:rPr>
          <w:lang w:val="ru-RU"/>
        </w:rPr>
      </w:pPr>
      <w:r w:rsidRPr="007F5899">
        <w:rPr>
          <w:lang w:val="ru-RU"/>
        </w:rPr>
        <w:t>–</w:t>
      </w:r>
      <w:r w:rsidRPr="007F5899">
        <w:rPr>
          <w:lang w:val="ru-RU"/>
        </w:rPr>
        <w:tab/>
        <w:t>финансовые и другие ограничения, а также возможная экономия для МСЭ в случае переноса местонахождения его штаб-квартиры;</w:t>
      </w:r>
    </w:p>
    <w:p w:rsidR="006B0060" w:rsidRPr="007F5899" w:rsidRDefault="006B0060" w:rsidP="006B0060">
      <w:pPr>
        <w:pStyle w:val="enumlev1"/>
        <w:rPr>
          <w:lang w:val="ru-RU"/>
        </w:rPr>
      </w:pPr>
      <w:r w:rsidRPr="007F5899">
        <w:rPr>
          <w:lang w:val="ru-RU"/>
        </w:rPr>
        <w:t>–</w:t>
      </w:r>
      <w:r w:rsidRPr="007F5899">
        <w:rPr>
          <w:lang w:val="ru-RU"/>
        </w:rPr>
        <w:tab/>
        <w:t>правовые концепции, определяющие отношения между международными организациями и странами пребывания;</w:t>
      </w:r>
    </w:p>
    <w:p w:rsidR="006B0060" w:rsidRPr="007F5899" w:rsidRDefault="006B0060" w:rsidP="006B0060">
      <w:pPr>
        <w:pStyle w:val="enumlev1"/>
        <w:rPr>
          <w:lang w:val="ru-RU"/>
        </w:rPr>
      </w:pPr>
      <w:r w:rsidRPr="007F5899">
        <w:rPr>
          <w:lang w:val="ru-RU"/>
        </w:rPr>
        <w:t>–</w:t>
      </w:r>
      <w:r w:rsidRPr="007F5899">
        <w:rPr>
          <w:lang w:val="ru-RU"/>
        </w:rPr>
        <w:tab/>
        <w:t>состояние текущих активов МСЭ и их будущее использование в случае переноса местонахождения.</w:t>
      </w:r>
    </w:p>
    <w:p w:rsidR="006B0060" w:rsidRPr="007F5899" w:rsidRDefault="006B0060" w:rsidP="006B0060">
      <w:pPr>
        <w:rPr>
          <w:lang w:val="ru-RU"/>
        </w:rPr>
      </w:pPr>
      <w:r w:rsidRPr="007F5899">
        <w:rPr>
          <w:lang w:val="ru-RU"/>
        </w:rPr>
        <w:t>2.2</w:t>
      </w:r>
      <w:r w:rsidRPr="007F5899">
        <w:rPr>
          <w:lang w:val="ru-RU"/>
        </w:rPr>
        <w:tab/>
        <w:t>Совет-14 также поручил рассмотреть аспект "качества жизни" в документе, представленном ПК</w:t>
      </w:r>
      <w:r w:rsidRPr="007F5899">
        <w:rPr>
          <w:lang w:val="ru-RU"/>
        </w:rPr>
        <w:noBreakHyphen/>
        <w:t xml:space="preserve">14. </w:t>
      </w:r>
    </w:p>
    <w:p w:rsidR="006B0060" w:rsidRPr="007F5899" w:rsidRDefault="006B0060" w:rsidP="006B0060">
      <w:pPr>
        <w:pStyle w:val="Heading1"/>
        <w:rPr>
          <w:lang w:val="ru-RU"/>
        </w:rPr>
      </w:pPr>
      <w:r w:rsidRPr="007F5899">
        <w:rPr>
          <w:lang w:val="ru-RU"/>
        </w:rPr>
        <w:t>3</w:t>
      </w:r>
      <w:r w:rsidRPr="007F5899">
        <w:rPr>
          <w:lang w:val="ru-RU"/>
        </w:rPr>
        <w:tab/>
        <w:t>Площади и статус помещений</w:t>
      </w:r>
    </w:p>
    <w:p w:rsidR="006B0060" w:rsidRPr="007F5899" w:rsidRDefault="006B0060" w:rsidP="006B0060">
      <w:pPr>
        <w:rPr>
          <w:lang w:val="ru-RU"/>
        </w:rPr>
      </w:pPr>
      <w:r w:rsidRPr="007F5899">
        <w:rPr>
          <w:lang w:val="ru-RU"/>
        </w:rPr>
        <w:t>3.1</w:t>
      </w:r>
      <w:r w:rsidRPr="007F5899">
        <w:rPr>
          <w:lang w:val="ru-RU"/>
        </w:rPr>
        <w:tab/>
        <w:t>Помещения штаб-квартиры занимают следующие площади:</w:t>
      </w:r>
    </w:p>
    <w:p w:rsidR="00221DA0" w:rsidRPr="007F5899" w:rsidRDefault="00221DA0" w:rsidP="006B0060">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1276"/>
        <w:gridCol w:w="1559"/>
        <w:gridCol w:w="1981"/>
      </w:tblGrid>
      <w:tr w:rsidR="006B0060" w:rsidRPr="007F5899" w:rsidTr="00356558">
        <w:trPr>
          <w:jc w:val="center"/>
        </w:trPr>
        <w:tc>
          <w:tcPr>
            <w:tcW w:w="3119" w:type="dxa"/>
            <w:tcBorders>
              <w:bottom w:val="single" w:sz="4" w:space="0" w:color="auto"/>
            </w:tcBorders>
            <w:vAlign w:val="center"/>
          </w:tcPr>
          <w:p w:rsidR="006B0060" w:rsidRPr="007F5899" w:rsidRDefault="006B0060" w:rsidP="008E31E9">
            <w:pPr>
              <w:pStyle w:val="Tablehead"/>
              <w:rPr>
                <w:lang w:val="ru-RU"/>
              </w:rPr>
            </w:pPr>
          </w:p>
        </w:tc>
        <w:tc>
          <w:tcPr>
            <w:tcW w:w="1276" w:type="dxa"/>
            <w:tcBorders>
              <w:bottom w:val="single" w:sz="4" w:space="0" w:color="auto"/>
            </w:tcBorders>
            <w:vAlign w:val="center"/>
          </w:tcPr>
          <w:p w:rsidR="006B0060" w:rsidRPr="007F5899" w:rsidRDefault="006B0060" w:rsidP="008E31E9">
            <w:pPr>
              <w:pStyle w:val="Tablehead"/>
              <w:rPr>
                <w:i/>
                <w:iCs/>
                <w:lang w:val="ru-RU"/>
              </w:rPr>
            </w:pPr>
            <w:proofErr w:type="gramStart"/>
            <w:r w:rsidRPr="007F5899">
              <w:rPr>
                <w:lang w:val="ru-RU"/>
              </w:rPr>
              <w:t>Объем</w:t>
            </w:r>
            <w:r w:rsidRPr="007F5899">
              <w:rPr>
                <w:lang w:val="ru-RU"/>
              </w:rPr>
              <w:br/>
              <w:t>(</w:t>
            </w:r>
            <w:proofErr w:type="gramEnd"/>
            <w:r w:rsidRPr="007F5899">
              <w:rPr>
                <w:lang w:val="ru-RU"/>
              </w:rPr>
              <w:t xml:space="preserve">см. </w:t>
            </w:r>
            <w:proofErr w:type="spellStart"/>
            <w:r w:rsidRPr="007F5899">
              <w:rPr>
                <w:lang w:val="ru-RU"/>
              </w:rPr>
              <w:t>SIA</w:t>
            </w:r>
            <w:proofErr w:type="spellEnd"/>
            <w:r w:rsidRPr="007F5899">
              <w:rPr>
                <w:lang w:val="ru-RU"/>
              </w:rPr>
              <w:t xml:space="preserve"> 416)</w:t>
            </w:r>
            <w:r w:rsidR="008E31E9" w:rsidRPr="007F5899">
              <w:rPr>
                <w:lang w:val="ru-RU"/>
              </w:rPr>
              <w:br/>
            </w:r>
            <w:r w:rsidRPr="007F5899">
              <w:rPr>
                <w:lang w:val="ru-RU"/>
              </w:rPr>
              <w:t>(м</w:t>
            </w:r>
            <w:r w:rsidRPr="007F5899">
              <w:rPr>
                <w:b w:val="0"/>
                <w:bCs/>
                <w:vertAlign w:val="superscript"/>
                <w:lang w:val="ru-RU"/>
              </w:rPr>
              <w:t>3</w:t>
            </w:r>
            <w:r w:rsidRPr="007F5899">
              <w:rPr>
                <w:lang w:val="ru-RU"/>
              </w:rPr>
              <w:t>)</w:t>
            </w:r>
          </w:p>
        </w:tc>
        <w:tc>
          <w:tcPr>
            <w:tcW w:w="1276" w:type="dxa"/>
            <w:tcBorders>
              <w:bottom w:val="single" w:sz="4" w:space="0" w:color="auto"/>
            </w:tcBorders>
            <w:vAlign w:val="center"/>
          </w:tcPr>
          <w:p w:rsidR="006B0060" w:rsidRPr="007F5899" w:rsidRDefault="006B0060" w:rsidP="008E31E9">
            <w:pPr>
              <w:pStyle w:val="Tablehead"/>
              <w:rPr>
                <w:i/>
                <w:iCs/>
                <w:lang w:val="ru-RU"/>
              </w:rPr>
            </w:pPr>
            <w:r w:rsidRPr="007F5899">
              <w:rPr>
                <w:lang w:val="ru-RU"/>
              </w:rPr>
              <w:t>Общая площадь</w:t>
            </w:r>
            <w:r w:rsidR="008E31E9" w:rsidRPr="007F5899">
              <w:rPr>
                <w:lang w:val="ru-RU"/>
              </w:rPr>
              <w:br/>
            </w:r>
            <w:r w:rsidRPr="007F5899">
              <w:rPr>
                <w:lang w:val="ru-RU"/>
              </w:rPr>
              <w:t>(м</w:t>
            </w:r>
            <w:r w:rsidRPr="007F5899">
              <w:rPr>
                <w:b w:val="0"/>
                <w:bCs/>
                <w:vertAlign w:val="superscript"/>
                <w:lang w:val="ru-RU"/>
              </w:rPr>
              <w:t>2</w:t>
            </w:r>
            <w:r w:rsidRPr="007F5899">
              <w:rPr>
                <w:lang w:val="ru-RU"/>
              </w:rPr>
              <w:t>)</w:t>
            </w:r>
          </w:p>
        </w:tc>
        <w:tc>
          <w:tcPr>
            <w:tcW w:w="1559" w:type="dxa"/>
            <w:tcBorders>
              <w:bottom w:val="single" w:sz="4" w:space="0" w:color="auto"/>
            </w:tcBorders>
            <w:vAlign w:val="center"/>
          </w:tcPr>
          <w:p w:rsidR="006B0060" w:rsidRPr="007F5899" w:rsidRDefault="006B0060" w:rsidP="008E31E9">
            <w:pPr>
              <w:pStyle w:val="Tablehead"/>
              <w:rPr>
                <w:lang w:val="ru-RU"/>
              </w:rPr>
            </w:pPr>
            <w:r w:rsidRPr="007F5899">
              <w:rPr>
                <w:lang w:val="ru-RU"/>
              </w:rPr>
              <w:t xml:space="preserve">Год </w:t>
            </w:r>
            <w:proofErr w:type="gramStart"/>
            <w:r w:rsidRPr="007F5899">
              <w:rPr>
                <w:lang w:val="ru-RU"/>
              </w:rPr>
              <w:t>строительства</w:t>
            </w:r>
            <w:r w:rsidRPr="007F5899">
              <w:rPr>
                <w:i/>
                <w:iCs/>
                <w:lang w:val="ru-RU"/>
              </w:rPr>
              <w:br/>
            </w:r>
            <w:r w:rsidRPr="007F5899">
              <w:rPr>
                <w:lang w:val="ru-RU"/>
              </w:rPr>
              <w:t>(</w:t>
            </w:r>
            <w:proofErr w:type="gramEnd"/>
            <w:r w:rsidRPr="007F5899">
              <w:rPr>
                <w:lang w:val="ru-RU"/>
              </w:rPr>
              <w:t>завершение строительства)</w:t>
            </w:r>
          </w:p>
        </w:tc>
        <w:tc>
          <w:tcPr>
            <w:tcW w:w="1981" w:type="dxa"/>
            <w:tcBorders>
              <w:bottom w:val="single" w:sz="4" w:space="0" w:color="auto"/>
            </w:tcBorders>
            <w:vAlign w:val="center"/>
          </w:tcPr>
          <w:p w:rsidR="006B0060" w:rsidRPr="007F5899" w:rsidRDefault="006B0060" w:rsidP="008E31E9">
            <w:pPr>
              <w:pStyle w:val="Tablehead"/>
              <w:rPr>
                <w:lang w:val="ru-RU"/>
              </w:rPr>
            </w:pPr>
            <w:r w:rsidRPr="007F5899">
              <w:rPr>
                <w:lang w:val="ru-RU"/>
              </w:rPr>
              <w:t xml:space="preserve">% объема, занимаемый штаб-квартирой без учета </w:t>
            </w:r>
            <w:proofErr w:type="gramStart"/>
            <w:r w:rsidRPr="007F5899">
              <w:rPr>
                <w:lang w:val="ru-RU"/>
              </w:rPr>
              <w:t>парковки</w:t>
            </w:r>
            <w:r w:rsidRPr="007F5899">
              <w:rPr>
                <w:lang w:val="ru-RU"/>
              </w:rPr>
              <w:br/>
              <w:t>(</w:t>
            </w:r>
            <w:proofErr w:type="gramEnd"/>
            <w:r w:rsidRPr="007F5899">
              <w:rPr>
                <w:lang w:val="ru-RU"/>
              </w:rPr>
              <w:t>%)</w:t>
            </w:r>
          </w:p>
        </w:tc>
      </w:tr>
      <w:tr w:rsidR="006B0060" w:rsidRPr="007F5899" w:rsidTr="00356558">
        <w:trPr>
          <w:jc w:val="center"/>
        </w:trPr>
        <w:tc>
          <w:tcPr>
            <w:tcW w:w="3119" w:type="dxa"/>
            <w:tcBorders>
              <w:top w:val="single" w:sz="4" w:space="0" w:color="auto"/>
              <w:left w:val="single" w:sz="4" w:space="0" w:color="auto"/>
              <w:bottom w:val="nil"/>
              <w:right w:val="single" w:sz="4" w:space="0" w:color="auto"/>
            </w:tcBorders>
          </w:tcPr>
          <w:p w:rsidR="006B0060" w:rsidRPr="007F5899" w:rsidRDefault="006B0060" w:rsidP="006B0060">
            <w:pPr>
              <w:pStyle w:val="Tabletext"/>
              <w:rPr>
                <w:lang w:val="ru-RU"/>
              </w:rPr>
            </w:pPr>
            <w:r w:rsidRPr="007F5899">
              <w:rPr>
                <w:lang w:val="ru-RU"/>
              </w:rPr>
              <w:t>"</w:t>
            </w:r>
            <w:proofErr w:type="spellStart"/>
            <w:r w:rsidRPr="007F5899">
              <w:rPr>
                <w:lang w:val="ru-RU"/>
              </w:rPr>
              <w:t>Варембе</w:t>
            </w:r>
            <w:proofErr w:type="spellEnd"/>
            <w:r w:rsidRPr="007F5899">
              <w:rPr>
                <w:lang w:val="ru-RU"/>
              </w:rPr>
              <w:t>"</w:t>
            </w:r>
          </w:p>
        </w:tc>
        <w:tc>
          <w:tcPr>
            <w:tcW w:w="1276" w:type="dxa"/>
            <w:tcBorders>
              <w:top w:val="single" w:sz="4" w:space="0" w:color="auto"/>
              <w:left w:val="single" w:sz="4" w:space="0" w:color="auto"/>
              <w:bottom w:val="nil"/>
              <w:right w:val="single" w:sz="4" w:space="0" w:color="auto"/>
            </w:tcBorders>
          </w:tcPr>
          <w:p w:rsidR="006B0060" w:rsidRPr="007F5899" w:rsidRDefault="006B0060" w:rsidP="009810A9">
            <w:pPr>
              <w:pStyle w:val="Tabletext"/>
              <w:jc w:val="center"/>
              <w:rPr>
                <w:lang w:val="ru-RU"/>
              </w:rPr>
            </w:pPr>
            <w:r w:rsidRPr="007F5899">
              <w:rPr>
                <w:lang w:val="ru-RU"/>
              </w:rPr>
              <w:t>42 900</w:t>
            </w:r>
          </w:p>
        </w:tc>
        <w:tc>
          <w:tcPr>
            <w:tcW w:w="1276" w:type="dxa"/>
            <w:tcBorders>
              <w:top w:val="single" w:sz="4" w:space="0" w:color="auto"/>
              <w:left w:val="single" w:sz="4" w:space="0" w:color="auto"/>
              <w:bottom w:val="nil"/>
              <w:right w:val="single" w:sz="4" w:space="0" w:color="auto"/>
            </w:tcBorders>
          </w:tcPr>
          <w:p w:rsidR="006B0060" w:rsidRPr="007F5899" w:rsidRDefault="006B0060" w:rsidP="009810A9">
            <w:pPr>
              <w:pStyle w:val="Tabletext"/>
              <w:jc w:val="center"/>
              <w:rPr>
                <w:i/>
                <w:iCs/>
                <w:lang w:val="ru-RU"/>
              </w:rPr>
            </w:pPr>
            <w:r w:rsidRPr="007F5899">
              <w:rPr>
                <w:lang w:val="ru-RU"/>
              </w:rPr>
              <w:t>13 101</w:t>
            </w:r>
          </w:p>
        </w:tc>
        <w:tc>
          <w:tcPr>
            <w:tcW w:w="1559" w:type="dxa"/>
            <w:tcBorders>
              <w:top w:val="single" w:sz="4" w:space="0" w:color="auto"/>
              <w:left w:val="single" w:sz="4" w:space="0" w:color="auto"/>
              <w:bottom w:val="nil"/>
              <w:right w:val="single" w:sz="4" w:space="0" w:color="auto"/>
            </w:tcBorders>
          </w:tcPr>
          <w:p w:rsidR="006B0060" w:rsidRPr="007F5899" w:rsidRDefault="006B0060" w:rsidP="009810A9">
            <w:pPr>
              <w:pStyle w:val="Tabletext"/>
              <w:jc w:val="center"/>
              <w:rPr>
                <w:lang w:val="ru-RU"/>
              </w:rPr>
            </w:pPr>
            <w:r w:rsidRPr="007F5899">
              <w:rPr>
                <w:lang w:val="ru-RU"/>
              </w:rPr>
              <w:t>1962</w:t>
            </w:r>
          </w:p>
        </w:tc>
        <w:tc>
          <w:tcPr>
            <w:tcW w:w="1981" w:type="dxa"/>
            <w:tcBorders>
              <w:top w:val="single" w:sz="4" w:space="0" w:color="auto"/>
              <w:left w:val="single" w:sz="4" w:space="0" w:color="auto"/>
              <w:bottom w:val="nil"/>
              <w:right w:val="single" w:sz="4" w:space="0" w:color="auto"/>
            </w:tcBorders>
          </w:tcPr>
          <w:p w:rsidR="006B0060" w:rsidRPr="007F5899" w:rsidRDefault="006B0060" w:rsidP="009810A9">
            <w:pPr>
              <w:pStyle w:val="Tabletext"/>
              <w:jc w:val="center"/>
              <w:rPr>
                <w:lang w:val="ru-RU"/>
              </w:rPr>
            </w:pPr>
            <w:r w:rsidRPr="007F5899">
              <w:rPr>
                <w:lang w:val="ru-RU"/>
              </w:rPr>
              <w:t>28 (совместно)</w:t>
            </w:r>
          </w:p>
        </w:tc>
      </w:tr>
      <w:tr w:rsidR="006B0060" w:rsidRPr="007F5899" w:rsidTr="00356558">
        <w:trPr>
          <w:jc w:val="center"/>
        </w:trPr>
        <w:tc>
          <w:tcPr>
            <w:tcW w:w="3119" w:type="dxa"/>
            <w:tcBorders>
              <w:top w:val="nil"/>
              <w:left w:val="single" w:sz="4" w:space="0" w:color="auto"/>
              <w:bottom w:val="single" w:sz="4" w:space="0" w:color="auto"/>
              <w:right w:val="single" w:sz="4" w:space="0" w:color="auto"/>
            </w:tcBorders>
          </w:tcPr>
          <w:p w:rsidR="006B0060" w:rsidRPr="007F5899" w:rsidRDefault="006B0060" w:rsidP="006B0060">
            <w:pPr>
              <w:pStyle w:val="Tabletext"/>
              <w:rPr>
                <w:lang w:val="ru-RU"/>
              </w:rPr>
            </w:pPr>
            <w:r w:rsidRPr="007F5899">
              <w:rPr>
                <w:lang w:val="ru-RU"/>
              </w:rPr>
              <w:t>Пристройка С, кафетерий</w:t>
            </w:r>
          </w:p>
        </w:tc>
        <w:tc>
          <w:tcPr>
            <w:tcW w:w="1276" w:type="dxa"/>
            <w:tcBorders>
              <w:top w:val="nil"/>
              <w:left w:val="single" w:sz="4" w:space="0" w:color="auto"/>
              <w:bottom w:val="single" w:sz="4" w:space="0" w:color="auto"/>
              <w:right w:val="single" w:sz="4" w:space="0" w:color="auto"/>
            </w:tcBorders>
          </w:tcPr>
          <w:p w:rsidR="006B0060" w:rsidRPr="007F5899" w:rsidRDefault="006B0060" w:rsidP="009810A9">
            <w:pPr>
              <w:pStyle w:val="Tabletext"/>
              <w:jc w:val="center"/>
              <w:rPr>
                <w:lang w:val="ru-RU"/>
              </w:rPr>
            </w:pPr>
            <w:r w:rsidRPr="007F5899">
              <w:rPr>
                <w:lang w:val="ru-RU"/>
              </w:rPr>
              <w:t>9350</w:t>
            </w:r>
          </w:p>
        </w:tc>
        <w:tc>
          <w:tcPr>
            <w:tcW w:w="1276" w:type="dxa"/>
            <w:tcBorders>
              <w:top w:val="nil"/>
              <w:left w:val="single" w:sz="4" w:space="0" w:color="auto"/>
              <w:bottom w:val="single" w:sz="4" w:space="0" w:color="auto"/>
              <w:right w:val="single" w:sz="4" w:space="0" w:color="auto"/>
            </w:tcBorders>
          </w:tcPr>
          <w:p w:rsidR="006B0060" w:rsidRPr="007F5899" w:rsidRDefault="006B0060" w:rsidP="009810A9">
            <w:pPr>
              <w:pStyle w:val="Tabletext"/>
              <w:jc w:val="center"/>
              <w:rPr>
                <w:lang w:val="ru-RU"/>
              </w:rPr>
            </w:pPr>
            <w:r w:rsidRPr="007F5899">
              <w:rPr>
                <w:lang w:val="ru-RU"/>
              </w:rPr>
              <w:t>2240</w:t>
            </w:r>
          </w:p>
        </w:tc>
        <w:tc>
          <w:tcPr>
            <w:tcW w:w="1559" w:type="dxa"/>
            <w:tcBorders>
              <w:top w:val="nil"/>
              <w:left w:val="single" w:sz="4" w:space="0" w:color="auto"/>
              <w:bottom w:val="single" w:sz="4" w:space="0" w:color="auto"/>
              <w:right w:val="single" w:sz="4" w:space="0" w:color="auto"/>
            </w:tcBorders>
          </w:tcPr>
          <w:p w:rsidR="006B0060" w:rsidRPr="007F5899" w:rsidRDefault="006B0060" w:rsidP="009810A9">
            <w:pPr>
              <w:pStyle w:val="Tabletext"/>
              <w:jc w:val="center"/>
              <w:rPr>
                <w:lang w:val="ru-RU"/>
              </w:rPr>
            </w:pPr>
            <w:r w:rsidRPr="007F5899">
              <w:rPr>
                <w:lang w:val="ru-RU"/>
              </w:rPr>
              <w:t>1999</w:t>
            </w:r>
          </w:p>
        </w:tc>
        <w:tc>
          <w:tcPr>
            <w:tcW w:w="1981" w:type="dxa"/>
            <w:tcBorders>
              <w:top w:val="nil"/>
              <w:left w:val="single" w:sz="4" w:space="0" w:color="auto"/>
              <w:bottom w:val="single" w:sz="4" w:space="0" w:color="auto"/>
              <w:right w:val="single" w:sz="4" w:space="0" w:color="auto"/>
            </w:tcBorders>
          </w:tcPr>
          <w:p w:rsidR="006B0060" w:rsidRPr="007F5899" w:rsidRDefault="006B0060" w:rsidP="009810A9">
            <w:pPr>
              <w:pStyle w:val="Tabletext"/>
              <w:jc w:val="center"/>
              <w:rPr>
                <w:lang w:val="ru-RU"/>
              </w:rPr>
            </w:pPr>
          </w:p>
        </w:tc>
      </w:tr>
      <w:tr w:rsidR="006B0060" w:rsidRPr="007F5899" w:rsidTr="00356558">
        <w:trPr>
          <w:jc w:val="center"/>
        </w:trPr>
        <w:tc>
          <w:tcPr>
            <w:tcW w:w="3119" w:type="dxa"/>
            <w:tcBorders>
              <w:top w:val="single" w:sz="4" w:space="0" w:color="auto"/>
            </w:tcBorders>
          </w:tcPr>
          <w:p w:rsidR="006B0060" w:rsidRPr="007F5899" w:rsidRDefault="006B0060" w:rsidP="006B0060">
            <w:pPr>
              <w:pStyle w:val="Tabletext"/>
              <w:rPr>
                <w:lang w:val="ru-RU"/>
              </w:rPr>
            </w:pPr>
            <w:r w:rsidRPr="007F5899">
              <w:rPr>
                <w:lang w:val="ru-RU"/>
              </w:rPr>
              <w:t>"Башня"</w:t>
            </w:r>
          </w:p>
          <w:p w:rsidR="006B0060" w:rsidRPr="007F5899" w:rsidRDefault="006B0060" w:rsidP="006B0060">
            <w:pPr>
              <w:pStyle w:val="Tabletext"/>
              <w:rPr>
                <w:lang w:val="ru-RU"/>
              </w:rPr>
            </w:pPr>
            <w:r w:rsidRPr="007F5899">
              <w:rPr>
                <w:lang w:val="ru-RU"/>
              </w:rPr>
              <w:t>Пристройки здания "Башня"</w:t>
            </w:r>
          </w:p>
        </w:tc>
        <w:tc>
          <w:tcPr>
            <w:tcW w:w="1276" w:type="dxa"/>
            <w:tcBorders>
              <w:top w:val="single" w:sz="4" w:space="0" w:color="auto"/>
            </w:tcBorders>
          </w:tcPr>
          <w:p w:rsidR="006B0060" w:rsidRPr="007F5899" w:rsidRDefault="006B0060" w:rsidP="009810A9">
            <w:pPr>
              <w:pStyle w:val="Tabletext"/>
              <w:jc w:val="center"/>
              <w:rPr>
                <w:i/>
                <w:iCs/>
                <w:lang w:val="ru-RU"/>
              </w:rPr>
            </w:pPr>
            <w:r w:rsidRPr="007F5899">
              <w:rPr>
                <w:lang w:val="ru-RU"/>
              </w:rPr>
              <w:t>85 580</w:t>
            </w:r>
          </w:p>
        </w:tc>
        <w:tc>
          <w:tcPr>
            <w:tcW w:w="1276" w:type="dxa"/>
            <w:tcBorders>
              <w:top w:val="single" w:sz="4" w:space="0" w:color="auto"/>
            </w:tcBorders>
          </w:tcPr>
          <w:p w:rsidR="006B0060" w:rsidRPr="007F5899" w:rsidRDefault="006B0060" w:rsidP="009810A9">
            <w:pPr>
              <w:pStyle w:val="Tabletext"/>
              <w:jc w:val="center"/>
              <w:rPr>
                <w:i/>
                <w:iCs/>
                <w:lang w:val="ru-RU"/>
              </w:rPr>
            </w:pPr>
            <w:r w:rsidRPr="007F5899">
              <w:rPr>
                <w:lang w:val="ru-RU"/>
              </w:rPr>
              <w:t>19 710</w:t>
            </w:r>
          </w:p>
        </w:tc>
        <w:tc>
          <w:tcPr>
            <w:tcW w:w="1559" w:type="dxa"/>
            <w:tcBorders>
              <w:top w:val="single" w:sz="4" w:space="0" w:color="auto"/>
            </w:tcBorders>
          </w:tcPr>
          <w:p w:rsidR="006B0060" w:rsidRPr="007F5899" w:rsidRDefault="006B0060" w:rsidP="009810A9">
            <w:pPr>
              <w:pStyle w:val="Tabletext"/>
              <w:jc w:val="center"/>
              <w:rPr>
                <w:lang w:val="ru-RU"/>
              </w:rPr>
            </w:pPr>
            <w:r w:rsidRPr="007F5899">
              <w:rPr>
                <w:lang w:val="ru-RU"/>
              </w:rPr>
              <w:t>1973</w:t>
            </w:r>
          </w:p>
          <w:p w:rsidR="006B0060" w:rsidRPr="007F5899" w:rsidRDefault="006B0060" w:rsidP="009810A9">
            <w:pPr>
              <w:pStyle w:val="Tabletext"/>
              <w:jc w:val="center"/>
              <w:rPr>
                <w:i/>
                <w:iCs/>
                <w:lang w:val="ru-RU"/>
              </w:rPr>
            </w:pPr>
            <w:r w:rsidRPr="007F5899">
              <w:rPr>
                <w:lang w:val="ru-RU"/>
              </w:rPr>
              <w:t>1989</w:t>
            </w:r>
          </w:p>
        </w:tc>
        <w:tc>
          <w:tcPr>
            <w:tcW w:w="1981" w:type="dxa"/>
            <w:tcBorders>
              <w:top w:val="single" w:sz="4" w:space="0" w:color="auto"/>
            </w:tcBorders>
          </w:tcPr>
          <w:p w:rsidR="006B0060" w:rsidRPr="007F5899" w:rsidRDefault="006B0060" w:rsidP="009810A9">
            <w:pPr>
              <w:pStyle w:val="Tabletext"/>
              <w:jc w:val="center"/>
              <w:rPr>
                <w:lang w:val="ru-RU"/>
              </w:rPr>
            </w:pPr>
            <w:r w:rsidRPr="007F5899">
              <w:rPr>
                <w:lang w:val="ru-RU"/>
              </w:rPr>
              <w:t>47</w:t>
            </w:r>
          </w:p>
        </w:tc>
      </w:tr>
      <w:tr w:rsidR="006B0060" w:rsidRPr="007F5899" w:rsidTr="00356558">
        <w:trPr>
          <w:jc w:val="center"/>
        </w:trPr>
        <w:tc>
          <w:tcPr>
            <w:tcW w:w="3119" w:type="dxa"/>
          </w:tcPr>
          <w:p w:rsidR="006B0060" w:rsidRPr="007F5899" w:rsidRDefault="006B0060" w:rsidP="006B0060">
            <w:pPr>
              <w:pStyle w:val="Tabletext"/>
              <w:rPr>
                <w:i/>
                <w:iCs/>
                <w:lang w:val="ru-RU"/>
              </w:rPr>
            </w:pPr>
            <w:r w:rsidRPr="007F5899">
              <w:rPr>
                <w:lang w:val="ru-RU"/>
              </w:rPr>
              <w:t>"</w:t>
            </w:r>
            <w:proofErr w:type="spellStart"/>
            <w:r w:rsidRPr="007F5899">
              <w:rPr>
                <w:lang w:val="ru-RU"/>
              </w:rPr>
              <w:t>Монбрийан</w:t>
            </w:r>
            <w:proofErr w:type="spellEnd"/>
            <w:r w:rsidRPr="007F5899">
              <w:rPr>
                <w:lang w:val="ru-RU"/>
              </w:rPr>
              <w:t>"</w:t>
            </w:r>
            <w:r w:rsidRPr="007F5899">
              <w:rPr>
                <w:lang w:val="ru-RU"/>
              </w:rPr>
              <w:br/>
              <w:t>(в расчете 70% без площади парковки)</w:t>
            </w:r>
          </w:p>
        </w:tc>
        <w:tc>
          <w:tcPr>
            <w:tcW w:w="1276" w:type="dxa"/>
          </w:tcPr>
          <w:p w:rsidR="006B0060" w:rsidRPr="007F5899" w:rsidRDefault="006B0060" w:rsidP="00356558">
            <w:pPr>
              <w:pStyle w:val="Tabletext"/>
              <w:jc w:val="center"/>
              <w:rPr>
                <w:iCs/>
                <w:lang w:val="ru-RU"/>
              </w:rPr>
            </w:pPr>
            <w:r w:rsidRPr="007F5899">
              <w:rPr>
                <w:i/>
                <w:lang w:val="ru-RU"/>
              </w:rPr>
              <w:t>(64 700)</w:t>
            </w:r>
            <w:r w:rsidR="00356558" w:rsidRPr="007F5899">
              <w:rPr>
                <w:i/>
                <w:lang w:val="ru-RU"/>
              </w:rPr>
              <w:br/>
            </w:r>
            <w:r w:rsidRPr="007F5899">
              <w:rPr>
                <w:lang w:val="ru-RU"/>
              </w:rPr>
              <w:t>45 290</w:t>
            </w:r>
          </w:p>
        </w:tc>
        <w:tc>
          <w:tcPr>
            <w:tcW w:w="1276" w:type="dxa"/>
          </w:tcPr>
          <w:p w:rsidR="006B0060" w:rsidRPr="007F5899" w:rsidRDefault="006B0060" w:rsidP="00356558">
            <w:pPr>
              <w:pStyle w:val="Tabletext"/>
              <w:jc w:val="center"/>
              <w:rPr>
                <w:i/>
                <w:iCs/>
                <w:lang w:val="ru-RU"/>
              </w:rPr>
            </w:pPr>
            <w:r w:rsidRPr="007F5899">
              <w:rPr>
                <w:i/>
                <w:lang w:val="ru-RU"/>
              </w:rPr>
              <w:t>(17 390)</w:t>
            </w:r>
            <w:r w:rsidR="00356558" w:rsidRPr="007F5899">
              <w:rPr>
                <w:i/>
                <w:lang w:val="ru-RU"/>
              </w:rPr>
              <w:br/>
            </w:r>
            <w:r w:rsidRPr="007F5899">
              <w:rPr>
                <w:lang w:val="ru-RU"/>
              </w:rPr>
              <w:t>12 173</w:t>
            </w:r>
          </w:p>
        </w:tc>
        <w:tc>
          <w:tcPr>
            <w:tcW w:w="1559" w:type="dxa"/>
          </w:tcPr>
          <w:p w:rsidR="006B0060" w:rsidRPr="007F5899" w:rsidRDefault="006B0060" w:rsidP="009810A9">
            <w:pPr>
              <w:pStyle w:val="Tabletext"/>
              <w:jc w:val="center"/>
              <w:rPr>
                <w:i/>
                <w:iCs/>
                <w:lang w:val="ru-RU"/>
              </w:rPr>
            </w:pPr>
            <w:r w:rsidRPr="007F5899">
              <w:rPr>
                <w:lang w:val="ru-RU"/>
              </w:rPr>
              <w:t>1999</w:t>
            </w:r>
          </w:p>
        </w:tc>
        <w:tc>
          <w:tcPr>
            <w:tcW w:w="1981" w:type="dxa"/>
          </w:tcPr>
          <w:p w:rsidR="006B0060" w:rsidRPr="007F5899" w:rsidRDefault="006B0060" w:rsidP="009810A9">
            <w:pPr>
              <w:pStyle w:val="Tabletext"/>
              <w:jc w:val="center"/>
              <w:rPr>
                <w:lang w:val="ru-RU"/>
              </w:rPr>
            </w:pPr>
          </w:p>
          <w:p w:rsidR="006B0060" w:rsidRPr="007F5899" w:rsidRDefault="006B0060" w:rsidP="009810A9">
            <w:pPr>
              <w:pStyle w:val="Tabletext"/>
              <w:jc w:val="center"/>
              <w:rPr>
                <w:lang w:val="ru-RU"/>
              </w:rPr>
            </w:pPr>
            <w:r w:rsidRPr="007F5899">
              <w:rPr>
                <w:lang w:val="ru-RU"/>
              </w:rPr>
              <w:t>25 (без парковки)</w:t>
            </w:r>
          </w:p>
        </w:tc>
      </w:tr>
      <w:tr w:rsidR="006B0060" w:rsidRPr="007F5899" w:rsidTr="00356558">
        <w:trPr>
          <w:jc w:val="center"/>
        </w:trPr>
        <w:tc>
          <w:tcPr>
            <w:tcW w:w="3119" w:type="dxa"/>
          </w:tcPr>
          <w:p w:rsidR="006B0060" w:rsidRPr="007F5899" w:rsidRDefault="006B0060" w:rsidP="006B0060">
            <w:pPr>
              <w:pStyle w:val="Tabletext"/>
              <w:rPr>
                <w:lang w:val="ru-RU"/>
              </w:rPr>
            </w:pPr>
            <w:r w:rsidRPr="007F5899">
              <w:rPr>
                <w:lang w:val="ru-RU"/>
              </w:rPr>
              <w:t>ВСЕГО</w:t>
            </w:r>
          </w:p>
        </w:tc>
        <w:tc>
          <w:tcPr>
            <w:tcW w:w="1276" w:type="dxa"/>
          </w:tcPr>
          <w:p w:rsidR="006B0060" w:rsidRPr="007F5899" w:rsidRDefault="006B0060" w:rsidP="00A40036">
            <w:pPr>
              <w:pStyle w:val="Tabletext"/>
              <w:jc w:val="center"/>
              <w:rPr>
                <w:i/>
                <w:iCs/>
                <w:lang w:val="ru-RU"/>
              </w:rPr>
            </w:pPr>
            <w:r w:rsidRPr="007F5899">
              <w:rPr>
                <w:i/>
                <w:iCs/>
                <w:lang w:val="ru-RU"/>
              </w:rPr>
              <w:t>(202 530)</w:t>
            </w:r>
          </w:p>
        </w:tc>
        <w:tc>
          <w:tcPr>
            <w:tcW w:w="1276" w:type="dxa"/>
          </w:tcPr>
          <w:p w:rsidR="006B0060" w:rsidRPr="007F5899" w:rsidRDefault="006B0060" w:rsidP="00A40036">
            <w:pPr>
              <w:pStyle w:val="Tabletext"/>
              <w:jc w:val="center"/>
              <w:rPr>
                <w:i/>
                <w:iCs/>
                <w:lang w:val="ru-RU"/>
              </w:rPr>
            </w:pPr>
            <w:r w:rsidRPr="007F5899">
              <w:rPr>
                <w:i/>
                <w:iCs/>
                <w:lang w:val="ru-RU"/>
              </w:rPr>
              <w:t>(52 441)</w:t>
            </w:r>
          </w:p>
        </w:tc>
        <w:tc>
          <w:tcPr>
            <w:tcW w:w="1559" w:type="dxa"/>
          </w:tcPr>
          <w:p w:rsidR="006B0060" w:rsidRPr="007F5899" w:rsidRDefault="006B0060" w:rsidP="00A40036">
            <w:pPr>
              <w:pStyle w:val="Tabletext"/>
              <w:jc w:val="center"/>
              <w:rPr>
                <w:i/>
                <w:iCs/>
                <w:lang w:val="ru-RU"/>
              </w:rPr>
            </w:pPr>
          </w:p>
        </w:tc>
        <w:tc>
          <w:tcPr>
            <w:tcW w:w="1981" w:type="dxa"/>
          </w:tcPr>
          <w:p w:rsidR="006B0060" w:rsidRPr="007F5899" w:rsidRDefault="006B0060" w:rsidP="00A40036">
            <w:pPr>
              <w:pStyle w:val="Tabletext"/>
              <w:jc w:val="center"/>
              <w:rPr>
                <w:i/>
                <w:iCs/>
                <w:lang w:val="ru-RU"/>
              </w:rPr>
            </w:pPr>
          </w:p>
        </w:tc>
      </w:tr>
      <w:tr w:rsidR="006B0060" w:rsidRPr="007F5899" w:rsidTr="00356558">
        <w:trPr>
          <w:jc w:val="center"/>
        </w:trPr>
        <w:tc>
          <w:tcPr>
            <w:tcW w:w="3119" w:type="dxa"/>
          </w:tcPr>
          <w:p w:rsidR="006B0060" w:rsidRPr="007F5899" w:rsidRDefault="006B0060" w:rsidP="00A40036">
            <w:pPr>
              <w:pStyle w:val="Tabletext"/>
              <w:rPr>
                <w:lang w:val="ru-RU"/>
              </w:rPr>
            </w:pPr>
            <w:r w:rsidRPr="007F5899">
              <w:rPr>
                <w:b/>
                <w:bCs/>
                <w:lang w:val="ru-RU"/>
              </w:rPr>
              <w:t>ВСЕГО</w:t>
            </w:r>
            <w:r w:rsidRPr="007F5899">
              <w:rPr>
                <w:lang w:val="ru-RU"/>
              </w:rPr>
              <w:t xml:space="preserve"> ("М" без учета площади парковки)</w:t>
            </w:r>
          </w:p>
        </w:tc>
        <w:tc>
          <w:tcPr>
            <w:tcW w:w="1276" w:type="dxa"/>
          </w:tcPr>
          <w:p w:rsidR="006B0060" w:rsidRPr="007F5899" w:rsidRDefault="006B0060" w:rsidP="00A40036">
            <w:pPr>
              <w:pStyle w:val="Tabletext"/>
              <w:jc w:val="center"/>
              <w:rPr>
                <w:b/>
                <w:bCs/>
                <w:lang w:val="ru-RU"/>
              </w:rPr>
            </w:pPr>
            <w:r w:rsidRPr="007F5899">
              <w:rPr>
                <w:b/>
                <w:bCs/>
                <w:lang w:val="ru-RU"/>
              </w:rPr>
              <w:t>183 120</w:t>
            </w:r>
          </w:p>
        </w:tc>
        <w:tc>
          <w:tcPr>
            <w:tcW w:w="1276" w:type="dxa"/>
          </w:tcPr>
          <w:p w:rsidR="006B0060" w:rsidRPr="007F5899" w:rsidRDefault="006B0060" w:rsidP="00A40036">
            <w:pPr>
              <w:pStyle w:val="Tabletext"/>
              <w:jc w:val="center"/>
              <w:rPr>
                <w:b/>
                <w:bCs/>
                <w:lang w:val="ru-RU"/>
              </w:rPr>
            </w:pPr>
            <w:r w:rsidRPr="007F5899">
              <w:rPr>
                <w:b/>
                <w:bCs/>
                <w:lang w:val="ru-RU"/>
              </w:rPr>
              <w:t>47 224</w:t>
            </w:r>
          </w:p>
        </w:tc>
        <w:tc>
          <w:tcPr>
            <w:tcW w:w="1559" w:type="dxa"/>
          </w:tcPr>
          <w:p w:rsidR="006B0060" w:rsidRPr="007F5899" w:rsidRDefault="006B0060" w:rsidP="00A40036">
            <w:pPr>
              <w:pStyle w:val="Tabletext"/>
              <w:jc w:val="center"/>
              <w:rPr>
                <w:b/>
                <w:bCs/>
                <w:lang w:val="ru-RU"/>
              </w:rPr>
            </w:pPr>
          </w:p>
        </w:tc>
        <w:tc>
          <w:tcPr>
            <w:tcW w:w="1981" w:type="dxa"/>
          </w:tcPr>
          <w:p w:rsidR="006B0060" w:rsidRPr="007F5899" w:rsidRDefault="006B0060" w:rsidP="00A40036">
            <w:pPr>
              <w:pStyle w:val="Tabletext"/>
              <w:jc w:val="center"/>
              <w:rPr>
                <w:b/>
                <w:bCs/>
                <w:lang w:val="ru-RU"/>
              </w:rPr>
            </w:pPr>
            <w:r w:rsidRPr="007F5899">
              <w:rPr>
                <w:b/>
                <w:bCs/>
                <w:lang w:val="ru-RU"/>
              </w:rPr>
              <w:t>100</w:t>
            </w:r>
          </w:p>
        </w:tc>
      </w:tr>
    </w:tbl>
    <w:p w:rsidR="006B0060" w:rsidRPr="007F5899" w:rsidRDefault="006B0060" w:rsidP="006B0060">
      <w:pPr>
        <w:rPr>
          <w:lang w:val="ru-RU"/>
        </w:rPr>
      </w:pPr>
      <w:r w:rsidRPr="007F5899">
        <w:rPr>
          <w:lang w:val="ru-RU"/>
        </w:rPr>
        <w:t>3.2</w:t>
      </w:r>
      <w:r w:rsidRPr="007F5899">
        <w:rPr>
          <w:lang w:val="ru-RU"/>
        </w:rPr>
        <w:tab/>
        <w:t xml:space="preserve">Помещения используются для работы сотрудников, проведения встреч, как места общего пользования и вспомогательные помещения (например, склады, мастерские, кафетерий). Между зданиями устроены безопасные закрытые переходы, что обеспечивает гибкое использование и планирование пространства штаб-квартиры при любых погодных условиях в пределах охраняемой оболочки МСЭ. Физическое разделение помещений штаб-квартиры МСЭ (независимо от расстояния) повлекло бы за собой дополнительные затраты на обеспечение безопасности и ежедневные накладные расходы для секретариата, делегатов и посетителей. </w:t>
      </w:r>
    </w:p>
    <w:p w:rsidR="006B0060" w:rsidRPr="007F5899" w:rsidRDefault="006B0060" w:rsidP="006B0060">
      <w:pPr>
        <w:rPr>
          <w:lang w:val="ru-RU"/>
        </w:rPr>
      </w:pPr>
      <w:r w:rsidRPr="007F5899">
        <w:rPr>
          <w:lang w:val="ru-RU"/>
        </w:rPr>
        <w:t>3.3</w:t>
      </w:r>
      <w:r w:rsidRPr="007F5899">
        <w:rPr>
          <w:lang w:val="ru-RU"/>
        </w:rPr>
        <w:tab/>
        <w:t xml:space="preserve">Преимуществами совместного расположения и физического объединения зданий являются: максимальное взаимодействие между всеми (как внутренними, так и внешними) заинтересованными сторонами; экономия эксплуатационных затрат; упрощение организации системы охраны; более гибкое распределение помещений; совместимость с централизованными </w:t>
      </w:r>
      <w:r w:rsidRPr="007F5899">
        <w:rPr>
          <w:lang w:val="ru-RU"/>
        </w:rPr>
        <w:lastRenderedPageBreak/>
        <w:t xml:space="preserve">местами общего пользования и коммунальными службами; эффективность с точки зрения ежедневного перемещения персонала и посетителей. </w:t>
      </w:r>
    </w:p>
    <w:p w:rsidR="006B0060" w:rsidRPr="007F5899" w:rsidRDefault="006B0060" w:rsidP="006B0060">
      <w:pPr>
        <w:rPr>
          <w:lang w:val="ru-RU"/>
        </w:rPr>
      </w:pPr>
      <w:r w:rsidRPr="007F5899">
        <w:rPr>
          <w:lang w:val="ru-RU"/>
        </w:rPr>
        <w:t>3.4</w:t>
      </w:r>
      <w:r w:rsidRPr="007F5899">
        <w:rPr>
          <w:lang w:val="ru-RU"/>
        </w:rPr>
        <w:tab/>
        <w:t xml:space="preserve">Согласно осмотрительному расчету долгосрочные затраты на ремонт относительно давно построенных зданий составляют 1,5% от их оценочной стоимости по страхованию от огня (т. е. их замены). В рамках данной суммы можно сохранить полную функциональность помещений благодаря программе профилактического обслуживания. Ввиду финансовых ограничений МСЭ с недавнего времени и в настоящий момент делает совокупные отчисления в фонд ремонта и обслуживания в размере около 0,5% от оценочной стоимости здания по страхованию от огня, поскольку ухудшение состояния помещений является неизбежным. Приемлемой суммой для сохранения критически важных функций можно считать отчисления в размере не менее 1%. В свете финансового положения Союза при сравнении вариантов в рамках настоящего документа рассматриваются ежегодные отчисления в размере 1% на долгосрочный ремонт. В случае со строительством нового здания в краткосрочной перспективе затраты на техническое обслуживание могут быть значительно снижены в течение первых лет эксплуатации, так как на начальном этапе будет действовать гарантия застройщика, по истечении срока действия которой заменяемые системы (статистически) не выходят из строя в течение некоторого дальнейшего периода. </w:t>
      </w:r>
    </w:p>
    <w:p w:rsidR="006B0060" w:rsidRPr="007F5899" w:rsidRDefault="006B0060" w:rsidP="006B0060">
      <w:pPr>
        <w:pStyle w:val="Heading1"/>
        <w:rPr>
          <w:lang w:val="ru-RU"/>
        </w:rPr>
      </w:pPr>
      <w:r w:rsidRPr="007F5899">
        <w:rPr>
          <w:lang w:val="ru-RU"/>
        </w:rPr>
        <w:t>4</w:t>
      </w:r>
      <w:r w:rsidRPr="007F5899">
        <w:rPr>
          <w:lang w:val="ru-RU"/>
        </w:rPr>
        <w:tab/>
        <w:t>Риски, связанные с непринятием какого-либо решения</w:t>
      </w:r>
    </w:p>
    <w:p w:rsidR="006B0060" w:rsidRPr="007F5899" w:rsidRDefault="006B0060" w:rsidP="006B0060">
      <w:pPr>
        <w:rPr>
          <w:lang w:val="ru-RU"/>
        </w:rPr>
      </w:pPr>
      <w:r w:rsidRPr="007F5899">
        <w:rPr>
          <w:lang w:val="ru-RU"/>
        </w:rPr>
        <w:t>4.1</w:t>
      </w:r>
      <w:r w:rsidRPr="007F5899">
        <w:rPr>
          <w:lang w:val="ru-RU"/>
        </w:rPr>
        <w:tab/>
        <w:t xml:space="preserve">ПК-14 предлагается оценить и принять решение о том, какой из четырех заявленных Советом вариантов секретариату следует принять в разработку. </w:t>
      </w:r>
    </w:p>
    <w:p w:rsidR="006B0060" w:rsidRPr="007F5899" w:rsidRDefault="006B0060" w:rsidP="006B0060">
      <w:pPr>
        <w:rPr>
          <w:lang w:val="ru-RU"/>
        </w:rPr>
      </w:pPr>
      <w:r w:rsidRPr="007F5899">
        <w:rPr>
          <w:lang w:val="ru-RU"/>
        </w:rPr>
        <w:t>4.2</w:t>
      </w:r>
      <w:r w:rsidRPr="007F5899">
        <w:rPr>
          <w:lang w:val="ru-RU"/>
        </w:rPr>
        <w:tab/>
        <w:t>Если ни один из четырех вариантов, указанных в п. 1 выше, не будет принят, состояние помещений штаб-квартиры продолжит ухудшаться. Секретариат будет предпринимать шаги по оптимизации помещений в рамках выделенных на соответствующие цели ресурсов. В частности, ремонт (главным образом, здания "</w:t>
      </w:r>
      <w:proofErr w:type="spellStart"/>
      <w:r w:rsidRPr="007F5899">
        <w:rPr>
          <w:lang w:val="ru-RU"/>
        </w:rPr>
        <w:t>Варембе</w:t>
      </w:r>
      <w:proofErr w:type="spellEnd"/>
      <w:r w:rsidRPr="007F5899">
        <w:rPr>
          <w:lang w:val="ru-RU"/>
        </w:rPr>
        <w:t xml:space="preserve">") будет являться приоритетным, в рамках выделенных ресурсов, подходом к решению вопросов безопасности и охраны помимо тех вопросов, которые связаны с техническим обслуживанием, эффективностью и комфортом лиц, пользующихся зданием. Эксплуатационные свойства коммунальных систем помещений будут ухудшаться, что будет вести к снижению их надежности и работоспособности с риском серьезных повреждений основных систем здания. </w:t>
      </w:r>
    </w:p>
    <w:p w:rsidR="00613DB9" w:rsidRPr="007F5899" w:rsidRDefault="006B0060">
      <w:pPr>
        <w:rPr>
          <w:color w:val="000000"/>
          <w:lang w:val="ru-RU"/>
        </w:rPr>
        <w:pPrChange w:id="38" w:author="Khokhlova, Yustiniya" w:date="2014-10-17T14:45:00Z">
          <w:pPr>
            <w:pStyle w:val="Heading1"/>
          </w:pPr>
        </w:pPrChange>
      </w:pPr>
      <w:r w:rsidRPr="007F5899">
        <w:rPr>
          <w:lang w:val="ru-RU"/>
        </w:rPr>
        <w:t>4.3</w:t>
      </w:r>
      <w:r w:rsidRPr="007F5899">
        <w:rPr>
          <w:lang w:val="ru-RU"/>
        </w:rPr>
        <w:tab/>
        <w:t>Если ПК-14 поддержит вариант "замены" здания "</w:t>
      </w:r>
      <w:proofErr w:type="spellStart"/>
      <w:r w:rsidRPr="007F5899">
        <w:rPr>
          <w:lang w:val="ru-RU"/>
        </w:rPr>
        <w:t>Варембе</w:t>
      </w:r>
      <w:proofErr w:type="spellEnd"/>
      <w:r w:rsidRPr="007F5899">
        <w:rPr>
          <w:lang w:val="ru-RU"/>
        </w:rPr>
        <w:t xml:space="preserve">", заявка на предоставление финансирования будет направлена стране пребывания </w:t>
      </w:r>
      <w:r w:rsidR="00DB25E0" w:rsidRPr="007F5899">
        <w:rPr>
          <w:lang w:val="ru-RU"/>
        </w:rPr>
        <w:t>после конференции</w:t>
      </w:r>
      <w:r w:rsidRPr="007F5899">
        <w:rPr>
          <w:lang w:val="ru-RU"/>
        </w:rPr>
        <w:t xml:space="preserve">. Власти Швейцарии отметили, что </w:t>
      </w:r>
      <w:r w:rsidR="00DB25E0" w:rsidRPr="007F5899">
        <w:rPr>
          <w:lang w:val="ru-RU"/>
        </w:rPr>
        <w:t xml:space="preserve">заявка на получение финансирования может быть подана в Федеральный совет в начале 2015 года, что сделает возможным </w:t>
      </w:r>
      <w:r w:rsidR="0028112C" w:rsidRPr="007F5899">
        <w:rPr>
          <w:lang w:val="ru-RU"/>
        </w:rPr>
        <w:t>выделение</w:t>
      </w:r>
      <w:r w:rsidR="00DB25E0" w:rsidRPr="007F5899">
        <w:rPr>
          <w:lang w:val="ru-RU"/>
        </w:rPr>
        <w:t xml:space="preserve">, в случае </w:t>
      </w:r>
      <w:r w:rsidR="00221DA0" w:rsidRPr="007F5899">
        <w:rPr>
          <w:lang w:val="ru-RU"/>
        </w:rPr>
        <w:t>утвержд</w:t>
      </w:r>
      <w:r w:rsidR="00DB25E0" w:rsidRPr="007F5899">
        <w:rPr>
          <w:lang w:val="ru-RU"/>
        </w:rPr>
        <w:t xml:space="preserve">ения заявки Федеральным советом и Парламентом Швейцарии, 10% средств по проекту в </w:t>
      </w:r>
      <w:r w:rsidR="003E0685" w:rsidRPr="007F5899">
        <w:rPr>
          <w:lang w:val="ru-RU"/>
        </w:rPr>
        <w:t>июн</w:t>
      </w:r>
      <w:r w:rsidR="00DB25E0" w:rsidRPr="007F5899">
        <w:rPr>
          <w:lang w:val="ru-RU"/>
        </w:rPr>
        <w:t xml:space="preserve">е </w:t>
      </w:r>
      <w:r w:rsidRPr="007F5899">
        <w:rPr>
          <w:lang w:val="ru-RU"/>
        </w:rPr>
        <w:t xml:space="preserve">2015 года, которые </w:t>
      </w:r>
      <w:r w:rsidR="00DB25E0" w:rsidRPr="007F5899">
        <w:rPr>
          <w:lang w:val="ru-RU"/>
        </w:rPr>
        <w:t xml:space="preserve">смогут </w:t>
      </w:r>
      <w:r w:rsidR="00E0677E" w:rsidRPr="007F5899">
        <w:rPr>
          <w:lang w:val="ru-RU"/>
        </w:rPr>
        <w:t xml:space="preserve">пойти </w:t>
      </w:r>
      <w:r w:rsidRPr="007F5899">
        <w:rPr>
          <w:lang w:val="ru-RU"/>
        </w:rPr>
        <w:t xml:space="preserve">на оплату </w:t>
      </w:r>
      <w:r w:rsidR="00E0677E" w:rsidRPr="007F5899">
        <w:rPr>
          <w:lang w:val="ru-RU"/>
        </w:rPr>
        <w:t xml:space="preserve">подробных </w:t>
      </w:r>
      <w:r w:rsidR="00DB25E0" w:rsidRPr="007F5899">
        <w:rPr>
          <w:lang w:val="ru-RU"/>
        </w:rPr>
        <w:t xml:space="preserve">подготовительных </w:t>
      </w:r>
      <w:r w:rsidRPr="007F5899">
        <w:rPr>
          <w:lang w:val="ru-RU"/>
        </w:rPr>
        <w:t xml:space="preserve">исследовательских работ и организацию международного архитектурного конкурса. </w:t>
      </w:r>
      <w:r w:rsidR="00821913" w:rsidRPr="007F5899">
        <w:rPr>
          <w:lang w:val="ru-RU"/>
        </w:rPr>
        <w:t xml:space="preserve">Согласно практике государства </w:t>
      </w:r>
      <w:r w:rsidR="00E0677E" w:rsidRPr="007F5899">
        <w:rPr>
          <w:lang w:val="ru-RU"/>
        </w:rPr>
        <w:t>пребывания</w:t>
      </w:r>
      <w:r w:rsidR="0057480E" w:rsidRPr="007F5899">
        <w:rPr>
          <w:lang w:val="ru-RU"/>
        </w:rPr>
        <w:t>,</w:t>
      </w:r>
      <w:r w:rsidR="00E0677E" w:rsidRPr="007F5899">
        <w:rPr>
          <w:lang w:val="ru-RU"/>
        </w:rPr>
        <w:t xml:space="preserve"> </w:t>
      </w:r>
      <w:r w:rsidR="00821913" w:rsidRPr="007F5899">
        <w:rPr>
          <w:lang w:val="ru-RU"/>
        </w:rPr>
        <w:t xml:space="preserve">выдача </w:t>
      </w:r>
      <w:r w:rsidR="00613DB9" w:rsidRPr="007F5899">
        <w:rPr>
          <w:lang w:val="ru-RU"/>
        </w:rPr>
        <w:t>ссуд</w:t>
      </w:r>
      <w:r w:rsidR="00821913" w:rsidRPr="007F5899">
        <w:rPr>
          <w:lang w:val="ru-RU"/>
        </w:rPr>
        <w:t xml:space="preserve"> на </w:t>
      </w:r>
      <w:r w:rsidR="0057480E" w:rsidRPr="007F5899">
        <w:rPr>
          <w:lang w:val="ru-RU"/>
        </w:rPr>
        <w:t>цели строительства</w:t>
      </w:r>
      <w:r w:rsidR="00821913" w:rsidRPr="007F5899">
        <w:rPr>
          <w:lang w:val="ru-RU"/>
        </w:rPr>
        <w:t xml:space="preserve"> и </w:t>
      </w:r>
      <w:r w:rsidR="00E0677E" w:rsidRPr="007F5899">
        <w:rPr>
          <w:lang w:val="ru-RU"/>
        </w:rPr>
        <w:t>ремонт</w:t>
      </w:r>
      <w:r w:rsidR="0057480E" w:rsidRPr="007F5899">
        <w:rPr>
          <w:lang w:val="ru-RU"/>
        </w:rPr>
        <w:t>а</w:t>
      </w:r>
      <w:r w:rsidR="00821913" w:rsidRPr="007F5899">
        <w:rPr>
          <w:lang w:val="ru-RU"/>
        </w:rPr>
        <w:t xml:space="preserve"> </w:t>
      </w:r>
      <w:r w:rsidR="00E0677E" w:rsidRPr="007F5899">
        <w:rPr>
          <w:lang w:val="ru-RU"/>
        </w:rPr>
        <w:t>должна</w:t>
      </w:r>
      <w:r w:rsidR="00821913" w:rsidRPr="007F5899">
        <w:rPr>
          <w:lang w:val="ru-RU"/>
        </w:rPr>
        <w:t xml:space="preserve"> быть одобрена Парламентом Швейцарии. На основании подробной оценки расходов, произведенной по результатам предварительных исследовательских рабо</w:t>
      </w:r>
      <w:r w:rsidR="00E0677E" w:rsidRPr="007F5899">
        <w:rPr>
          <w:lang w:val="ru-RU"/>
        </w:rPr>
        <w:t>т</w:t>
      </w:r>
      <w:r w:rsidR="00821913" w:rsidRPr="007F5899">
        <w:rPr>
          <w:lang w:val="ru-RU"/>
        </w:rPr>
        <w:t xml:space="preserve">, на </w:t>
      </w:r>
      <w:r w:rsidR="00221DA0" w:rsidRPr="007F5899">
        <w:rPr>
          <w:lang w:val="ru-RU"/>
        </w:rPr>
        <w:t>утвержде</w:t>
      </w:r>
      <w:r w:rsidR="00821913" w:rsidRPr="007F5899">
        <w:rPr>
          <w:lang w:val="ru-RU"/>
        </w:rPr>
        <w:t xml:space="preserve">ние Парламента Швейцарии может быть представлен запрос о предоставлении оставшихся 90% </w:t>
      </w:r>
      <w:r w:rsidR="00411DAC" w:rsidRPr="007F5899">
        <w:rPr>
          <w:lang w:val="ru-RU"/>
        </w:rPr>
        <w:t xml:space="preserve">сметной </w:t>
      </w:r>
      <w:r w:rsidR="00E0677E" w:rsidRPr="007F5899">
        <w:rPr>
          <w:lang w:val="ru-RU"/>
        </w:rPr>
        <w:t>стоимости строительных или ремонтных работ</w:t>
      </w:r>
      <w:r w:rsidR="00411DAC" w:rsidRPr="007F5899">
        <w:rPr>
          <w:lang w:val="ru-RU"/>
        </w:rPr>
        <w:t xml:space="preserve">. Процесс </w:t>
      </w:r>
      <w:r w:rsidR="00221DA0" w:rsidRPr="007F5899">
        <w:rPr>
          <w:lang w:val="ru-RU"/>
        </w:rPr>
        <w:t>утвержде</w:t>
      </w:r>
      <w:r w:rsidR="00411DAC" w:rsidRPr="007F5899">
        <w:rPr>
          <w:lang w:val="ru-RU"/>
        </w:rPr>
        <w:t xml:space="preserve">ния заявки Парламентом может занимать до одного года. </w:t>
      </w:r>
      <w:r w:rsidR="00D15BBE" w:rsidRPr="007F5899">
        <w:rPr>
          <w:lang w:val="ru-RU"/>
        </w:rPr>
        <w:t>В течение осени 2016 года в отношении финансовых средств будет действовать планирование деятельности МСЭ</w:t>
      </w:r>
      <w:r w:rsidR="00EA622C" w:rsidRPr="007F5899">
        <w:rPr>
          <w:lang w:val="ru-RU"/>
        </w:rPr>
        <w:t>, что обеспечит возможность финансирования строительных и ремонтных работ с начала 2018 года.</w:t>
      </w:r>
      <w:r w:rsidR="005D0250" w:rsidRPr="007F5899">
        <w:rPr>
          <w:lang w:val="ru-RU"/>
        </w:rPr>
        <w:t xml:space="preserve"> </w:t>
      </w:r>
    </w:p>
    <w:p w:rsidR="003E0685" w:rsidRPr="007F5899" w:rsidRDefault="003E0685" w:rsidP="009810A9">
      <w:pPr>
        <w:pStyle w:val="Heading1"/>
        <w:rPr>
          <w:lang w:val="ru-RU"/>
        </w:rPr>
      </w:pPr>
      <w:r w:rsidRPr="007F5899">
        <w:rPr>
          <w:lang w:val="ru-RU"/>
        </w:rPr>
        <w:lastRenderedPageBreak/>
        <w:t>5</w:t>
      </w:r>
      <w:r w:rsidRPr="007F5899">
        <w:rPr>
          <w:lang w:val="ru-RU"/>
        </w:rPr>
        <w:tab/>
        <w:t>Вариант 1: замена здания "</w:t>
      </w:r>
      <w:proofErr w:type="spellStart"/>
      <w:r w:rsidRPr="007F5899">
        <w:rPr>
          <w:lang w:val="ru-RU"/>
        </w:rPr>
        <w:t>Варембе</w:t>
      </w:r>
      <w:proofErr w:type="spellEnd"/>
      <w:r w:rsidRPr="007F5899">
        <w:rPr>
          <w:lang w:val="ru-RU"/>
        </w:rPr>
        <w:t>" с ремонтом остальных зданий штаб</w:t>
      </w:r>
      <w:r w:rsidR="009810A9" w:rsidRPr="007F5899">
        <w:rPr>
          <w:lang w:val="ru-RU"/>
        </w:rPr>
        <w:noBreakHyphen/>
      </w:r>
      <w:r w:rsidRPr="007F5899">
        <w:rPr>
          <w:lang w:val="ru-RU"/>
        </w:rPr>
        <w:t>квартиры</w:t>
      </w:r>
    </w:p>
    <w:p w:rsidR="003E0685" w:rsidRPr="007F5899" w:rsidRDefault="003E0685" w:rsidP="003E0685">
      <w:pPr>
        <w:rPr>
          <w:lang w:val="ru-RU"/>
        </w:rPr>
      </w:pPr>
      <w:r w:rsidRPr="007F5899">
        <w:rPr>
          <w:lang w:val="ru-RU"/>
        </w:rPr>
        <w:t>5.1</w:t>
      </w:r>
      <w:r w:rsidRPr="007F5899">
        <w:rPr>
          <w:lang w:val="ru-RU"/>
        </w:rPr>
        <w:tab/>
        <w:t>В данном варианте описано исследование, проведенное секретариатом МСЭ и представителями страны пребывания по проекту замены здания "</w:t>
      </w:r>
      <w:proofErr w:type="spellStart"/>
      <w:r w:rsidRPr="007F5899">
        <w:rPr>
          <w:lang w:val="ru-RU"/>
        </w:rPr>
        <w:t>Варембе</w:t>
      </w:r>
      <w:proofErr w:type="spellEnd"/>
      <w:r w:rsidRPr="007F5899">
        <w:rPr>
          <w:lang w:val="ru-RU"/>
        </w:rPr>
        <w:t>". Кроме того, расчет примерных затрат по данному варианту, по мере возможности, включает средства на ремонт нового здания и зданий "Башня" и "</w:t>
      </w:r>
      <w:proofErr w:type="spellStart"/>
      <w:r w:rsidRPr="007F5899">
        <w:rPr>
          <w:lang w:val="ru-RU"/>
        </w:rPr>
        <w:t>Монбрийан</w:t>
      </w:r>
      <w:proofErr w:type="spellEnd"/>
      <w:r w:rsidRPr="007F5899">
        <w:rPr>
          <w:lang w:val="ru-RU"/>
        </w:rPr>
        <w:t xml:space="preserve">". </w:t>
      </w:r>
    </w:p>
    <w:p w:rsidR="003E0685" w:rsidRPr="007F5899" w:rsidRDefault="003E0685" w:rsidP="003E0685">
      <w:pPr>
        <w:rPr>
          <w:lang w:val="ru-RU"/>
        </w:rPr>
      </w:pPr>
      <w:r w:rsidRPr="007F5899">
        <w:rPr>
          <w:lang w:val="ru-RU"/>
        </w:rPr>
        <w:t>5.2</w:t>
      </w:r>
      <w:r w:rsidRPr="007F5899">
        <w:rPr>
          <w:lang w:val="ru-RU"/>
        </w:rPr>
        <w:tab/>
        <w:t xml:space="preserve">Секретариат тесно взаимодействует с представительством страны пребывания, министерством иностранных дел и соответствующими федеральными и кантональными органами, чтобы изучить различные варианты обеспечения полезных площадей штаб-квартиры, исходя из существующих требований роста и наличия помещений для Союза. В 2012 году </w:t>
      </w:r>
      <w:proofErr w:type="spellStart"/>
      <w:r w:rsidRPr="007F5899">
        <w:rPr>
          <w:lang w:val="ru-RU"/>
        </w:rPr>
        <w:t>ФИПОИ</w:t>
      </w:r>
      <w:proofErr w:type="spellEnd"/>
      <w:r w:rsidRPr="007F5899">
        <w:rPr>
          <w:lang w:val="ru-RU"/>
        </w:rPr>
        <w:t xml:space="preserve"> (швейцарский федеральный экспертный орган в этой области) провел </w:t>
      </w:r>
      <w:r w:rsidR="00043990" w:rsidRPr="007F5899">
        <w:rPr>
          <w:lang w:val="ru-RU"/>
        </w:rPr>
        <w:t xml:space="preserve">предварительный </w:t>
      </w:r>
      <w:r w:rsidRPr="007F5899">
        <w:rPr>
          <w:lang w:val="ru-RU"/>
        </w:rPr>
        <w:t>технический анализ рациональных мер и вариантов улучшения здания "</w:t>
      </w:r>
      <w:proofErr w:type="spellStart"/>
      <w:r w:rsidRPr="007F5899">
        <w:rPr>
          <w:lang w:val="ru-RU"/>
        </w:rPr>
        <w:t>Варембе</w:t>
      </w:r>
      <w:proofErr w:type="spellEnd"/>
      <w:r w:rsidRPr="007F5899">
        <w:rPr>
          <w:lang w:val="ru-RU"/>
        </w:rPr>
        <w:t xml:space="preserve">" и пришел к выводу, что разумным вариантом является снос и замена, а не ремонт этого здания. </w:t>
      </w:r>
    </w:p>
    <w:p w:rsidR="003E0685" w:rsidRPr="007F5899" w:rsidRDefault="003E0685" w:rsidP="003E0685">
      <w:pPr>
        <w:rPr>
          <w:lang w:val="ru-RU"/>
        </w:rPr>
      </w:pPr>
      <w:r w:rsidRPr="007F5899">
        <w:rPr>
          <w:lang w:val="ru-RU"/>
        </w:rPr>
        <w:t>5.3</w:t>
      </w:r>
      <w:r w:rsidRPr="007F5899">
        <w:rPr>
          <w:lang w:val="ru-RU"/>
        </w:rPr>
        <w:tab/>
        <w:t>Общая цель проекта состоит в том, чтобы заменить сильно устаревший строительный объект (здание "</w:t>
      </w:r>
      <w:proofErr w:type="spellStart"/>
      <w:r w:rsidRPr="007F5899">
        <w:rPr>
          <w:lang w:val="ru-RU"/>
        </w:rPr>
        <w:t>Варембе</w:t>
      </w:r>
      <w:proofErr w:type="spellEnd"/>
      <w:r w:rsidRPr="007F5899">
        <w:rPr>
          <w:lang w:val="ru-RU"/>
        </w:rPr>
        <w:t xml:space="preserve">") экономичным решением, допускающим гибкое развитие Союза на протяжении оставшейся части </w:t>
      </w:r>
      <w:proofErr w:type="spellStart"/>
      <w:r w:rsidRPr="007F5899">
        <w:rPr>
          <w:lang w:val="ru-RU"/>
        </w:rPr>
        <w:t>XXI</w:t>
      </w:r>
      <w:proofErr w:type="spellEnd"/>
      <w:r w:rsidRPr="007F5899">
        <w:rPr>
          <w:lang w:val="ru-RU"/>
        </w:rPr>
        <w:t xml:space="preserve"> столетия в условиях приемлемого риска. По мере продвижения проекта риски будут более четко определены и снижены: например, диапазоны затрат сузятся, а юридические и технические риски будут устранены. Информация, представленная в настоящем документе, является последней по времени из имеющейся в распоряжении.</w:t>
      </w:r>
    </w:p>
    <w:p w:rsidR="003E0685" w:rsidRPr="007F5899" w:rsidRDefault="003E0685" w:rsidP="008E31E9">
      <w:pPr>
        <w:pStyle w:val="Headingb"/>
        <w:rPr>
          <w:szCs w:val="26"/>
          <w:lang w:val="ru-RU"/>
        </w:rPr>
      </w:pPr>
      <w:r w:rsidRPr="007F5899">
        <w:rPr>
          <w:lang w:val="ru-RU"/>
        </w:rPr>
        <w:t>А</w:t>
      </w:r>
      <w:r w:rsidRPr="007F5899">
        <w:rPr>
          <w:lang w:val="ru-RU"/>
        </w:rPr>
        <w:tab/>
        <w:t>Проект "</w:t>
      </w:r>
      <w:proofErr w:type="spellStart"/>
      <w:r w:rsidRPr="007F5899">
        <w:rPr>
          <w:lang w:val="ru-RU"/>
        </w:rPr>
        <w:t>Варембе</w:t>
      </w:r>
      <w:proofErr w:type="spellEnd"/>
      <w:r w:rsidRPr="007F5899">
        <w:rPr>
          <w:lang w:val="ru-RU"/>
        </w:rPr>
        <w:t xml:space="preserve"> </w:t>
      </w:r>
      <w:proofErr w:type="spellStart"/>
      <w:r w:rsidRPr="007F5899">
        <w:rPr>
          <w:lang w:val="ru-RU"/>
        </w:rPr>
        <w:t>II</w:t>
      </w:r>
      <w:proofErr w:type="spellEnd"/>
      <w:r w:rsidRPr="007F5899">
        <w:rPr>
          <w:lang w:val="ru-RU"/>
        </w:rPr>
        <w:t>"</w:t>
      </w:r>
    </w:p>
    <w:p w:rsidR="003E0685" w:rsidRPr="007F5899" w:rsidRDefault="003E0685" w:rsidP="003E0685">
      <w:pPr>
        <w:rPr>
          <w:lang w:val="ru-RU"/>
        </w:rPr>
      </w:pPr>
      <w:r w:rsidRPr="007F5899">
        <w:rPr>
          <w:lang w:val="ru-RU"/>
        </w:rPr>
        <w:t>5.4</w:t>
      </w:r>
      <w:r w:rsidRPr="007F5899">
        <w:rPr>
          <w:lang w:val="ru-RU"/>
        </w:rPr>
        <w:tab/>
        <w:t>Данный проект будет развиваться в соответствии с местными профессиональными методами строительства под руководством секретариата и в тесном сотрудничестве со страной пребывания. На настоящий момент предварительный проект находится на стадии технического исследования в местном архитектурном бюро, и отчет о результатах будет представлен в октябре 2014 года. Результатом исследования будет общая оценка затрат по проекту (предположительно в пределах ±15%), подтверждение возможности его реализации (юридическое, геотехническое обоснование) и выбор площадки под строительство нового здания (с учетом последствий, связанных с временным перемещением лиц, в настоящее время занимающих здание "</w:t>
      </w:r>
      <w:proofErr w:type="spellStart"/>
      <w:r w:rsidRPr="007F5899">
        <w:rPr>
          <w:lang w:val="ru-RU"/>
        </w:rPr>
        <w:t>Варембе</w:t>
      </w:r>
      <w:proofErr w:type="spellEnd"/>
      <w:r w:rsidRPr="007F5899">
        <w:rPr>
          <w:lang w:val="ru-RU"/>
        </w:rPr>
        <w:t xml:space="preserve">"). </w:t>
      </w:r>
    </w:p>
    <w:p w:rsidR="003E0685" w:rsidRPr="007F5899" w:rsidRDefault="003E0685" w:rsidP="003E0685">
      <w:pPr>
        <w:rPr>
          <w:lang w:val="ru-RU"/>
        </w:rPr>
      </w:pPr>
      <w:r w:rsidRPr="007F5899">
        <w:rPr>
          <w:lang w:val="ru-RU"/>
        </w:rPr>
        <w:t>5.5</w:t>
      </w:r>
      <w:r w:rsidRPr="007F5899">
        <w:rPr>
          <w:lang w:val="ru-RU"/>
        </w:rPr>
        <w:tab/>
        <w:t xml:space="preserve">В основе концепции лежит здание, отвечающее высоким стандартам устойчивого развития, эффективного использования коммунальных систем, удобства обслуживания, организации рабочего пространства и доступности. Разработка проекта здания предполагается после проведения международного архитектурного конкурса. </w:t>
      </w:r>
    </w:p>
    <w:p w:rsidR="003E0685" w:rsidRPr="007F5899" w:rsidRDefault="003E0685" w:rsidP="00356558">
      <w:pPr>
        <w:rPr>
          <w:lang w:val="ru-RU"/>
        </w:rPr>
      </w:pPr>
      <w:r w:rsidRPr="007F5899">
        <w:rPr>
          <w:lang w:val="ru-RU"/>
        </w:rPr>
        <w:t>5.6</w:t>
      </w:r>
      <w:r w:rsidRPr="007F5899">
        <w:rPr>
          <w:lang w:val="ru-RU"/>
        </w:rPr>
        <w:tab/>
        <w:t>Проектный объем здания должен быть на 30% больше нынешнего здания "</w:t>
      </w:r>
      <w:proofErr w:type="spellStart"/>
      <w:r w:rsidRPr="007F5899">
        <w:rPr>
          <w:lang w:val="ru-RU"/>
        </w:rPr>
        <w:t>Варембе</w:t>
      </w:r>
      <w:proofErr w:type="spellEnd"/>
      <w:r w:rsidRPr="007F5899">
        <w:rPr>
          <w:lang w:val="ru-RU"/>
        </w:rPr>
        <w:t>", что означает увеличение строительного объема всего объекта на 8%. Это позвол</w:t>
      </w:r>
      <w:r w:rsidR="00356558" w:rsidRPr="007F5899">
        <w:rPr>
          <w:lang w:val="ru-RU"/>
        </w:rPr>
        <w:t>и</w:t>
      </w:r>
      <w:r w:rsidRPr="007F5899">
        <w:rPr>
          <w:lang w:val="ru-RU"/>
        </w:rPr>
        <w:t>т физически и гармонично связать данное здание со зданиями "Башня" и "</w:t>
      </w:r>
      <w:proofErr w:type="spellStart"/>
      <w:r w:rsidRPr="007F5899">
        <w:rPr>
          <w:lang w:val="ru-RU"/>
        </w:rPr>
        <w:t>Монбрийан</w:t>
      </w:r>
      <w:proofErr w:type="spellEnd"/>
      <w:r w:rsidRPr="007F5899">
        <w:rPr>
          <w:lang w:val="ru-RU"/>
        </w:rPr>
        <w:t>". Детализация увеличения объема представлена в Документе C13/</w:t>
      </w:r>
      <w:proofErr w:type="spellStart"/>
      <w:r w:rsidRPr="007F5899">
        <w:rPr>
          <w:lang w:val="ru-RU"/>
        </w:rPr>
        <w:t>INF</w:t>
      </w:r>
      <w:proofErr w:type="spellEnd"/>
      <w:r w:rsidRPr="007F5899">
        <w:rPr>
          <w:lang w:val="ru-RU"/>
        </w:rPr>
        <w:t>/18.</w:t>
      </w:r>
    </w:p>
    <w:p w:rsidR="003E0685" w:rsidRPr="007F5899" w:rsidRDefault="003E0685" w:rsidP="003E0685">
      <w:pPr>
        <w:rPr>
          <w:lang w:val="ru-RU"/>
        </w:rPr>
      </w:pPr>
      <w:r w:rsidRPr="007F5899">
        <w:rPr>
          <w:lang w:val="ru-RU"/>
        </w:rPr>
        <w:t>5.7</w:t>
      </w:r>
      <w:r w:rsidRPr="007F5899">
        <w:rPr>
          <w:lang w:val="ru-RU"/>
        </w:rPr>
        <w:tab/>
        <w:t>В проекте здания будет учтен вопрос о недостаточных площадях для совещаний делегатов в пределах помещений Союза за счет расширения конференц-зала примерно на 400 мест, что составляет увеличение общего количества мест для делегатов в границах объекта более чем на 30%.</w:t>
      </w:r>
    </w:p>
    <w:p w:rsidR="003E0685" w:rsidRPr="007F5899" w:rsidRDefault="003E0685" w:rsidP="00AB45D7">
      <w:pPr>
        <w:rPr>
          <w:lang w:val="ru-RU"/>
        </w:rPr>
      </w:pPr>
      <w:r w:rsidRPr="007F5899">
        <w:rPr>
          <w:lang w:val="ru-RU"/>
        </w:rPr>
        <w:t>5.8</w:t>
      </w:r>
      <w:r w:rsidRPr="007F5899">
        <w:rPr>
          <w:lang w:val="ru-RU"/>
        </w:rPr>
        <w:tab/>
        <w:t>Текущая смета проекта</w:t>
      </w:r>
      <w:r w:rsidR="00043990" w:rsidRPr="007F5899">
        <w:rPr>
          <w:lang w:val="ru-RU"/>
        </w:rPr>
        <w:t>, составленная МСЭ,</w:t>
      </w:r>
      <w:r w:rsidRPr="007F5899">
        <w:rPr>
          <w:lang w:val="ru-RU"/>
        </w:rPr>
        <w:t xml:space="preserve"> предусматривает общие затраты в размере 150</w:t>
      </w:r>
      <w:r w:rsidR="00A40036" w:rsidRPr="007F5899">
        <w:rPr>
          <w:lang w:val="ru-RU"/>
        </w:rPr>
        <w:t> </w:t>
      </w:r>
      <w:r w:rsidRPr="007F5899">
        <w:rPr>
          <w:lang w:val="ru-RU"/>
        </w:rPr>
        <w:t xml:space="preserve">миллионов швейцарских франков, которые полностью будут финансироваться за счет ссуды на </w:t>
      </w:r>
      <w:r w:rsidR="00043990" w:rsidRPr="007F5899">
        <w:rPr>
          <w:lang w:val="ru-RU"/>
        </w:rPr>
        <w:t xml:space="preserve">строительство </w:t>
      </w:r>
      <w:r w:rsidR="0057480E" w:rsidRPr="007F5899">
        <w:rPr>
          <w:lang w:val="ru-RU"/>
        </w:rPr>
        <w:t xml:space="preserve">на </w:t>
      </w:r>
      <w:r w:rsidRPr="007F5899">
        <w:rPr>
          <w:lang w:val="ru-RU"/>
        </w:rPr>
        <w:t>сумму 150 миллионов швейцарских франков, предоставленной страной пребывания и погашаемой ежегодными выплатами в течение 50 лет без начисления процентов; первая выплата по ссуде планируется в конце года</w:t>
      </w:r>
      <w:r w:rsidR="002C4513" w:rsidRPr="007F5899">
        <w:rPr>
          <w:lang w:val="ru-RU"/>
        </w:rPr>
        <w:t xml:space="preserve"> завершения строительных работ</w:t>
      </w:r>
      <w:r w:rsidRPr="007F5899">
        <w:rPr>
          <w:lang w:val="ru-RU"/>
        </w:rPr>
        <w:t xml:space="preserve">. С учетом данных сроков дополнительных затрат на период </w:t>
      </w:r>
      <w:r w:rsidR="00AB45D7" w:rsidRPr="007F5899">
        <w:rPr>
          <w:lang w:val="ru-RU"/>
        </w:rPr>
        <w:t xml:space="preserve">Финансового </w:t>
      </w:r>
      <w:r w:rsidRPr="007F5899">
        <w:rPr>
          <w:lang w:val="ru-RU"/>
        </w:rPr>
        <w:t xml:space="preserve">плана </w:t>
      </w:r>
      <w:r w:rsidR="00AB45D7" w:rsidRPr="007F5899">
        <w:rPr>
          <w:lang w:val="ru-RU"/>
        </w:rPr>
        <w:t xml:space="preserve">на период </w:t>
      </w:r>
      <w:r w:rsidRPr="007F5899">
        <w:rPr>
          <w:lang w:val="ru-RU"/>
        </w:rPr>
        <w:t>2016</w:t>
      </w:r>
      <w:r w:rsidR="00A40036" w:rsidRPr="007F5899">
        <w:rPr>
          <w:lang w:val="ru-RU"/>
        </w:rPr>
        <w:t>−</w:t>
      </w:r>
      <w:r w:rsidRPr="007F5899">
        <w:rPr>
          <w:lang w:val="ru-RU"/>
        </w:rPr>
        <w:t xml:space="preserve">2019 </w:t>
      </w:r>
      <w:r w:rsidR="00AB45D7" w:rsidRPr="007F5899">
        <w:rPr>
          <w:lang w:val="ru-RU"/>
        </w:rPr>
        <w:t>годов</w:t>
      </w:r>
      <w:r w:rsidRPr="007F5899">
        <w:rPr>
          <w:lang w:val="ru-RU"/>
        </w:rPr>
        <w:t xml:space="preserve"> не предвидится, так как выплата взносов по кредиту начнется только в 2021 году. </w:t>
      </w:r>
    </w:p>
    <w:p w:rsidR="003E0685" w:rsidRPr="007F5899" w:rsidRDefault="003E0685" w:rsidP="00A40036">
      <w:pPr>
        <w:rPr>
          <w:lang w:val="ru-RU"/>
        </w:rPr>
      </w:pPr>
      <w:r w:rsidRPr="007F5899">
        <w:rPr>
          <w:lang w:val="ru-RU"/>
        </w:rPr>
        <w:lastRenderedPageBreak/>
        <w:t>5.9</w:t>
      </w:r>
      <w:r w:rsidRPr="007F5899">
        <w:rPr>
          <w:lang w:val="ru-RU"/>
        </w:rPr>
        <w:tab/>
        <w:t>Средства будут выделяться МСЭ по мере реализации отдельных стадий проекта, и затраты на строительство будут капитализироваться по факту поставки соответствующих товаров и услуг в соответствии с требованиями Международных стандартов учета в государственном секторе (</w:t>
      </w:r>
      <w:proofErr w:type="spellStart"/>
      <w:r w:rsidRPr="007F5899">
        <w:rPr>
          <w:lang w:val="ru-RU"/>
        </w:rPr>
        <w:t>IPSAS</w:t>
      </w:r>
      <w:proofErr w:type="spellEnd"/>
      <w:r w:rsidRPr="007F5899">
        <w:rPr>
          <w:lang w:val="ru-RU"/>
        </w:rPr>
        <w:t>). Амортизация нового здания начнется с момента его ввода в эксплуатацию (ориентировочно в 2021</w:t>
      </w:r>
      <w:r w:rsidR="00A40036" w:rsidRPr="007F5899">
        <w:rPr>
          <w:lang w:val="ru-RU"/>
        </w:rPr>
        <w:t> </w:t>
      </w:r>
      <w:r w:rsidR="00356558" w:rsidRPr="007F5899">
        <w:rPr>
          <w:lang w:val="ru-RU"/>
        </w:rPr>
        <w:t xml:space="preserve">году, </w:t>
      </w:r>
      <w:proofErr w:type="gramStart"/>
      <w:r w:rsidR="00356558" w:rsidRPr="007F5899">
        <w:rPr>
          <w:lang w:val="ru-RU"/>
        </w:rPr>
        <w:t>при условии</w:t>
      </w:r>
      <w:r w:rsidRPr="007F5899">
        <w:rPr>
          <w:lang w:val="ru-RU"/>
        </w:rPr>
        <w:t xml:space="preserve"> что</w:t>
      </w:r>
      <w:proofErr w:type="gramEnd"/>
      <w:r w:rsidRPr="007F5899">
        <w:rPr>
          <w:lang w:val="ru-RU"/>
        </w:rPr>
        <w:t xml:space="preserve"> ПК-14 будет принято решение в пользу данного варианта).</w:t>
      </w:r>
    </w:p>
    <w:p w:rsidR="003E0685" w:rsidRPr="007F5899" w:rsidRDefault="003E0685" w:rsidP="003E0685">
      <w:pPr>
        <w:rPr>
          <w:lang w:val="ru-RU"/>
        </w:rPr>
      </w:pPr>
      <w:r w:rsidRPr="007F5899">
        <w:rPr>
          <w:lang w:val="ru-RU"/>
        </w:rPr>
        <w:t>5.10</w:t>
      </w:r>
      <w:r w:rsidRPr="007F5899">
        <w:rPr>
          <w:lang w:val="ru-RU"/>
        </w:rPr>
        <w:tab/>
        <w:t>Соответственно, это отразится в отчетах о финансовом состоянии Союза в части активов в виде сумм полученного финансирования и капитализированных расходов, а в части пассивов – в виде задолженности перед страной пребывания.</w:t>
      </w:r>
    </w:p>
    <w:p w:rsidR="003E0685" w:rsidRPr="007F5899" w:rsidRDefault="003E0685" w:rsidP="003E0685">
      <w:pPr>
        <w:rPr>
          <w:lang w:val="ru-RU"/>
        </w:rPr>
      </w:pPr>
      <w:r w:rsidRPr="007F5899">
        <w:rPr>
          <w:lang w:val="ru-RU"/>
        </w:rPr>
        <w:t>5.11</w:t>
      </w:r>
      <w:r w:rsidRPr="007F5899">
        <w:rPr>
          <w:lang w:val="ru-RU"/>
        </w:rPr>
        <w:tab/>
        <w:t>Кроме того, с момента принятия решения о строительстве нового здания чистая балансовая стоимость старого здания по бухгалтерскому учету (13 миллионов швейцарских франков по состоянию на 31 декабря 2013 г.) будет амортизироваться в течение оставшегося срока его службы. При условии принятия решения на ПК-14 оставшийся срок службы будет сокращен до семи лет. Это приведет к начислению ежегодной амортизации в размере 1,9 миллиона швейцарских франков вместо текущей суммы 0,7 миллиона швейцарских франков. Необходимо отметить, что затраты на амортизацию в настоящее время не учтены в бюджете и являются статистическими статьями, не предполагающими фактического оттока денежных средств.</w:t>
      </w:r>
    </w:p>
    <w:p w:rsidR="003E0685" w:rsidRPr="007F5899" w:rsidRDefault="003E0685" w:rsidP="00A40036">
      <w:pPr>
        <w:rPr>
          <w:lang w:val="ru-RU"/>
        </w:rPr>
      </w:pPr>
      <w:r w:rsidRPr="007F5899">
        <w:rPr>
          <w:lang w:val="ru-RU"/>
        </w:rPr>
        <w:t>5.12</w:t>
      </w:r>
      <w:r w:rsidRPr="007F5899">
        <w:rPr>
          <w:lang w:val="ru-RU"/>
        </w:rPr>
        <w:tab/>
        <w:t xml:space="preserve">Поскольку данный проект предусматривает строительство высококачественного здания в престижном районе Женевы, возможна переоценка здания по истечении пяти–десяти лет с консолидацией стоимости активов Союза и, потенциально, согласно развитию рынка недвижимости в части зданий данной категории в </w:t>
      </w:r>
      <w:r w:rsidR="00356558" w:rsidRPr="007F5899">
        <w:rPr>
          <w:lang w:val="ru-RU"/>
        </w:rPr>
        <w:t xml:space="preserve">кантоне </w:t>
      </w:r>
      <w:r w:rsidRPr="007F5899">
        <w:rPr>
          <w:lang w:val="ru-RU"/>
        </w:rPr>
        <w:t xml:space="preserve">Женева, что может существенно повысить чистую балансовую стоимость нового здания. </w:t>
      </w:r>
    </w:p>
    <w:p w:rsidR="003E0685" w:rsidRPr="007F5899" w:rsidRDefault="003E0685" w:rsidP="003E0685">
      <w:pPr>
        <w:rPr>
          <w:lang w:val="ru-RU"/>
        </w:rPr>
      </w:pPr>
      <w:r w:rsidRPr="007F5899">
        <w:rPr>
          <w:lang w:val="ru-RU"/>
        </w:rPr>
        <w:t>5.13</w:t>
      </w:r>
      <w:r w:rsidRPr="007F5899">
        <w:rPr>
          <w:lang w:val="ru-RU"/>
        </w:rPr>
        <w:tab/>
        <w:t>Ввиду степени устаревания здания "Башня" может возникнуть необходимость в проведении ремонтных работ по примерной смете 45 миллионов швейцарских франков. С проектом замены здания "</w:t>
      </w:r>
      <w:proofErr w:type="spellStart"/>
      <w:r w:rsidRPr="007F5899">
        <w:rPr>
          <w:lang w:val="ru-RU"/>
        </w:rPr>
        <w:t>Варембе</w:t>
      </w:r>
      <w:proofErr w:type="spellEnd"/>
      <w:r w:rsidRPr="007F5899">
        <w:rPr>
          <w:lang w:val="ru-RU"/>
        </w:rPr>
        <w:t>" часть сотрудников, которые в настоящее время находятся в здании "Башня", может быть перемещена в новое здание на период ремонта "Башни" без дополнительных затрат.</w:t>
      </w:r>
    </w:p>
    <w:p w:rsidR="003E0685" w:rsidRPr="007F5899" w:rsidRDefault="003E0685" w:rsidP="003E0685">
      <w:pPr>
        <w:rPr>
          <w:lang w:val="ru-RU"/>
        </w:rPr>
      </w:pPr>
      <w:r w:rsidRPr="007F5899">
        <w:rPr>
          <w:lang w:val="ru-RU"/>
        </w:rPr>
        <w:t>5.14</w:t>
      </w:r>
      <w:r w:rsidRPr="007F5899">
        <w:rPr>
          <w:lang w:val="ru-RU"/>
        </w:rPr>
        <w:tab/>
        <w:t>Помимо всего сказанного, необходимо учитывать затраты на ремонт здания "</w:t>
      </w:r>
      <w:proofErr w:type="spellStart"/>
      <w:r w:rsidRPr="007F5899">
        <w:rPr>
          <w:lang w:val="ru-RU"/>
        </w:rPr>
        <w:t>Монбрийан</w:t>
      </w:r>
      <w:proofErr w:type="spellEnd"/>
      <w:r w:rsidRPr="007F5899">
        <w:rPr>
          <w:lang w:val="ru-RU"/>
        </w:rPr>
        <w:t>" (общие затраты по зданиям "Башня" и "</w:t>
      </w:r>
      <w:proofErr w:type="spellStart"/>
      <w:r w:rsidRPr="007F5899">
        <w:rPr>
          <w:lang w:val="ru-RU"/>
        </w:rPr>
        <w:t>Монбрийан</w:t>
      </w:r>
      <w:proofErr w:type="spellEnd"/>
      <w:r w:rsidRPr="007F5899">
        <w:rPr>
          <w:lang w:val="ru-RU"/>
        </w:rPr>
        <w:t xml:space="preserve">" составляют 49 миллионов швейцарских франков), а также затраты на обслуживание всех зданий. </w:t>
      </w:r>
    </w:p>
    <w:p w:rsidR="003E0685" w:rsidRPr="007F5899" w:rsidRDefault="008E31E9" w:rsidP="008E31E9">
      <w:pPr>
        <w:pStyle w:val="Headingb"/>
        <w:rPr>
          <w:szCs w:val="26"/>
          <w:lang w:val="ru-RU"/>
        </w:rPr>
      </w:pPr>
      <w:r w:rsidRPr="007F5899">
        <w:rPr>
          <w:lang w:val="ru-RU"/>
        </w:rPr>
        <w:t>В</w:t>
      </w:r>
      <w:r w:rsidR="003E0685" w:rsidRPr="007F5899">
        <w:rPr>
          <w:lang w:val="ru-RU"/>
        </w:rPr>
        <w:tab/>
        <w:t>Ремонт зданий "Башня" и "</w:t>
      </w:r>
      <w:proofErr w:type="spellStart"/>
      <w:r w:rsidR="003E0685" w:rsidRPr="007F5899">
        <w:rPr>
          <w:lang w:val="ru-RU"/>
        </w:rPr>
        <w:t>Монбрийан</w:t>
      </w:r>
      <w:proofErr w:type="spellEnd"/>
      <w:r w:rsidR="003E0685" w:rsidRPr="007F5899">
        <w:rPr>
          <w:lang w:val="ru-RU"/>
        </w:rPr>
        <w:t>"</w:t>
      </w:r>
    </w:p>
    <w:p w:rsidR="003E0685" w:rsidRPr="007F5899" w:rsidRDefault="003E0685" w:rsidP="00A40036">
      <w:pPr>
        <w:rPr>
          <w:lang w:val="ru-RU"/>
        </w:rPr>
      </w:pPr>
      <w:r w:rsidRPr="007F5899">
        <w:rPr>
          <w:lang w:val="ru-RU"/>
        </w:rPr>
        <w:t>5.15</w:t>
      </w:r>
      <w:r w:rsidRPr="007F5899">
        <w:rPr>
          <w:lang w:val="ru-RU"/>
        </w:rPr>
        <w:tab/>
        <w:t>Предположения: устранение существующих недостатков и дефектов по мере возможности; последующее обслуживание коммунальных систем со средним бюджетом в размере 1% от оценочной стоимости здания по страхованию от огня в год (в расчете по данным 2014 года (211</w:t>
      </w:r>
      <w:r w:rsidR="00A40036" w:rsidRPr="007F5899">
        <w:rPr>
          <w:lang w:val="ru-RU"/>
        </w:rPr>
        <w:t> </w:t>
      </w:r>
      <w:r w:rsidRPr="007F5899">
        <w:rPr>
          <w:lang w:val="ru-RU"/>
        </w:rPr>
        <w:t>миллионов швейцарских франков) с учетом объемного коэффициента).</w:t>
      </w:r>
    </w:p>
    <w:p w:rsidR="003E0685" w:rsidRPr="007F5899" w:rsidRDefault="003E0685" w:rsidP="00A40036">
      <w:pPr>
        <w:rPr>
          <w:lang w:val="ru-RU"/>
        </w:rPr>
      </w:pPr>
      <w:r w:rsidRPr="007F5899">
        <w:rPr>
          <w:lang w:val="ru-RU"/>
        </w:rPr>
        <w:t>5.16</w:t>
      </w:r>
      <w:r w:rsidRPr="007F5899">
        <w:rPr>
          <w:lang w:val="ru-RU"/>
        </w:rPr>
        <w:tab/>
        <w:t>Цены 2014 года</w:t>
      </w:r>
      <w:r w:rsidR="00A40036" w:rsidRPr="007F5899">
        <w:rPr>
          <w:lang w:val="ru-RU"/>
        </w:rPr>
        <w:t xml:space="preserve"> −</w:t>
      </w:r>
      <w:r w:rsidRPr="007F5899">
        <w:rPr>
          <w:lang w:val="ru-RU"/>
        </w:rPr>
        <w:t xml:space="preserve"> без учета инфляции. </w:t>
      </w:r>
    </w:p>
    <w:p w:rsidR="003E0685" w:rsidRPr="007F5899" w:rsidRDefault="003E0685" w:rsidP="009810A9">
      <w:pPr>
        <w:pStyle w:val="Headingb"/>
        <w:spacing w:before="120" w:after="120"/>
        <w:rPr>
          <w:lang w:val="ru-RU"/>
        </w:rPr>
      </w:pPr>
      <w:r w:rsidRPr="007F5899">
        <w:rPr>
          <w:lang w:val="ru-RU"/>
        </w:rPr>
        <w:t>Неотложный ремонт здания "</w:t>
      </w:r>
      <w:proofErr w:type="spellStart"/>
      <w:r w:rsidRPr="007F5899">
        <w:rPr>
          <w:lang w:val="ru-RU"/>
        </w:rPr>
        <w:t>Монбрий</w:t>
      </w:r>
      <w:r w:rsidR="009810A9" w:rsidRPr="007F5899">
        <w:rPr>
          <w:lang w:val="ru-RU"/>
        </w:rPr>
        <w:t>ан</w:t>
      </w:r>
      <w:proofErr w:type="spellEnd"/>
      <w:r w:rsidR="009810A9" w:rsidRPr="007F5899">
        <w:rPr>
          <w:lang w:val="ru-RU"/>
        </w:rPr>
        <w:t>" (в течение 2015−2024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3E0685" w:rsidRPr="007F5899" w:rsidTr="008E31E9">
        <w:trPr>
          <w:jc w:val="center"/>
        </w:trPr>
        <w:tc>
          <w:tcPr>
            <w:tcW w:w="2552" w:type="dxa"/>
            <w:vAlign w:val="center"/>
          </w:tcPr>
          <w:p w:rsidR="003E0685" w:rsidRPr="007F5899" w:rsidRDefault="003E0685" w:rsidP="008E31E9">
            <w:pPr>
              <w:pStyle w:val="Tablehead"/>
              <w:rPr>
                <w:lang w:val="ru-RU"/>
              </w:rPr>
            </w:pPr>
            <w:r w:rsidRPr="007F5899">
              <w:rPr>
                <w:lang w:val="ru-RU"/>
              </w:rPr>
              <w:t>Проект</w:t>
            </w:r>
          </w:p>
        </w:tc>
        <w:tc>
          <w:tcPr>
            <w:tcW w:w="1588" w:type="dxa"/>
            <w:vAlign w:val="center"/>
          </w:tcPr>
          <w:p w:rsidR="003E0685" w:rsidRPr="007F5899" w:rsidRDefault="003E0685" w:rsidP="008E31E9">
            <w:pPr>
              <w:pStyle w:val="Tablehead"/>
              <w:rPr>
                <w:lang w:val="ru-RU"/>
              </w:rPr>
            </w:pPr>
            <w:proofErr w:type="gramStart"/>
            <w:r w:rsidRPr="007F5899">
              <w:rPr>
                <w:lang w:val="ru-RU"/>
              </w:rPr>
              <w:t>Затраты</w:t>
            </w:r>
            <w:r w:rsidR="009810A9" w:rsidRPr="007F5899">
              <w:rPr>
                <w:lang w:val="ru-RU"/>
              </w:rPr>
              <w:br/>
            </w:r>
            <w:r w:rsidRPr="007F5899">
              <w:rPr>
                <w:lang w:val="ru-RU"/>
              </w:rPr>
              <w:t>(</w:t>
            </w:r>
            <w:proofErr w:type="gramEnd"/>
            <w:r w:rsidRPr="007F5899">
              <w:rPr>
                <w:lang w:val="ru-RU"/>
              </w:rPr>
              <w:t xml:space="preserve">млн. </w:t>
            </w:r>
            <w:proofErr w:type="spellStart"/>
            <w:r w:rsidRPr="007F5899">
              <w:rPr>
                <w:lang w:val="ru-RU"/>
              </w:rPr>
              <w:t>шв</w:t>
            </w:r>
            <w:proofErr w:type="spellEnd"/>
            <w:r w:rsidRPr="007F5899">
              <w:rPr>
                <w:lang w:val="ru-RU"/>
              </w:rPr>
              <w:t>. фр.)</w:t>
            </w:r>
          </w:p>
        </w:tc>
        <w:tc>
          <w:tcPr>
            <w:tcW w:w="4423" w:type="dxa"/>
            <w:vAlign w:val="center"/>
          </w:tcPr>
          <w:p w:rsidR="003E0685" w:rsidRPr="007F5899" w:rsidRDefault="003E0685" w:rsidP="008E31E9">
            <w:pPr>
              <w:pStyle w:val="Tablehead"/>
              <w:rPr>
                <w:lang w:val="ru-RU"/>
              </w:rPr>
            </w:pPr>
            <w:r w:rsidRPr="007F5899">
              <w:rPr>
                <w:lang w:val="ru-RU"/>
              </w:rPr>
              <w:t>Комментарии</w:t>
            </w:r>
          </w:p>
        </w:tc>
      </w:tr>
      <w:tr w:rsidR="003E0685" w:rsidRPr="007F5899" w:rsidTr="003E6310">
        <w:trPr>
          <w:jc w:val="center"/>
        </w:trPr>
        <w:tc>
          <w:tcPr>
            <w:tcW w:w="2552" w:type="dxa"/>
          </w:tcPr>
          <w:p w:rsidR="003E0685" w:rsidRPr="007F5899" w:rsidRDefault="003E0685" w:rsidP="009810A9">
            <w:pPr>
              <w:pStyle w:val="Tabletext"/>
              <w:rPr>
                <w:lang w:val="ru-RU"/>
              </w:rPr>
            </w:pPr>
            <w:r w:rsidRPr="007F5899">
              <w:rPr>
                <w:lang w:val="ru-RU"/>
              </w:rPr>
              <w:t xml:space="preserve">Замена зала заседаний </w:t>
            </w:r>
          </w:p>
        </w:tc>
        <w:tc>
          <w:tcPr>
            <w:tcW w:w="1588" w:type="dxa"/>
          </w:tcPr>
          <w:p w:rsidR="003E0685" w:rsidRPr="007F5899" w:rsidRDefault="003E0685" w:rsidP="00B50704">
            <w:pPr>
              <w:pStyle w:val="Tabletext"/>
              <w:jc w:val="center"/>
              <w:rPr>
                <w:lang w:val="ru-RU"/>
              </w:rPr>
            </w:pPr>
            <w:r w:rsidRPr="007F5899">
              <w:rPr>
                <w:lang w:val="ru-RU"/>
              </w:rPr>
              <w:t>3</w:t>
            </w:r>
          </w:p>
        </w:tc>
        <w:tc>
          <w:tcPr>
            <w:tcW w:w="4423" w:type="dxa"/>
          </w:tcPr>
          <w:p w:rsidR="003E0685" w:rsidRPr="007F5899" w:rsidRDefault="003E0685" w:rsidP="009810A9">
            <w:pPr>
              <w:pStyle w:val="Tabletext"/>
              <w:rPr>
                <w:lang w:val="ru-RU"/>
              </w:rPr>
            </w:pPr>
            <w:r w:rsidRPr="007F5899">
              <w:rPr>
                <w:lang w:val="ru-RU"/>
              </w:rPr>
              <w:t xml:space="preserve">316 мест по 10 000 </w:t>
            </w:r>
            <w:proofErr w:type="spellStart"/>
            <w:r w:rsidRPr="007F5899">
              <w:rPr>
                <w:lang w:val="ru-RU"/>
              </w:rPr>
              <w:t>шв</w:t>
            </w:r>
            <w:proofErr w:type="spellEnd"/>
            <w:r w:rsidRPr="007F5899">
              <w:rPr>
                <w:lang w:val="ru-RU"/>
              </w:rPr>
              <w:t>. фр. за место, включая аудиовизуальные средства.</w:t>
            </w:r>
          </w:p>
        </w:tc>
      </w:tr>
      <w:tr w:rsidR="003E0685" w:rsidRPr="007F5899" w:rsidTr="003E6310">
        <w:trPr>
          <w:jc w:val="center"/>
        </w:trPr>
        <w:tc>
          <w:tcPr>
            <w:tcW w:w="2552" w:type="dxa"/>
          </w:tcPr>
          <w:p w:rsidR="003E0685" w:rsidRPr="007F5899" w:rsidRDefault="003E0685" w:rsidP="009810A9">
            <w:pPr>
              <w:pStyle w:val="Tabletext"/>
              <w:rPr>
                <w:lang w:val="ru-RU"/>
              </w:rPr>
            </w:pPr>
            <w:r w:rsidRPr="007F5899">
              <w:rPr>
                <w:lang w:val="ru-RU"/>
              </w:rPr>
              <w:t>Системы охлаждения и</w:t>
            </w:r>
            <w:r w:rsidR="009810A9" w:rsidRPr="007F5899">
              <w:rPr>
                <w:lang w:val="ru-RU"/>
              </w:rPr>
              <w:t> </w:t>
            </w:r>
            <w:r w:rsidRPr="007F5899">
              <w:rPr>
                <w:lang w:val="ru-RU"/>
              </w:rPr>
              <w:t>отопления</w:t>
            </w:r>
          </w:p>
        </w:tc>
        <w:tc>
          <w:tcPr>
            <w:tcW w:w="1588" w:type="dxa"/>
          </w:tcPr>
          <w:p w:rsidR="003E0685" w:rsidRPr="007F5899" w:rsidRDefault="003E0685" w:rsidP="00B50704">
            <w:pPr>
              <w:pStyle w:val="Tabletext"/>
              <w:jc w:val="center"/>
              <w:rPr>
                <w:lang w:val="ru-RU"/>
              </w:rPr>
            </w:pPr>
            <w:r w:rsidRPr="007F5899">
              <w:rPr>
                <w:lang w:val="ru-RU"/>
              </w:rPr>
              <w:t>0,6</w:t>
            </w:r>
          </w:p>
        </w:tc>
        <w:tc>
          <w:tcPr>
            <w:tcW w:w="4423" w:type="dxa"/>
          </w:tcPr>
          <w:p w:rsidR="003E0685" w:rsidRPr="007F5899" w:rsidRDefault="003E0685" w:rsidP="009810A9">
            <w:pPr>
              <w:pStyle w:val="Tabletext"/>
              <w:rPr>
                <w:lang w:val="ru-RU"/>
              </w:rPr>
            </w:pPr>
          </w:p>
        </w:tc>
      </w:tr>
      <w:tr w:rsidR="003E0685" w:rsidRPr="007F5899" w:rsidTr="003E6310">
        <w:trPr>
          <w:jc w:val="center"/>
        </w:trPr>
        <w:tc>
          <w:tcPr>
            <w:tcW w:w="2552" w:type="dxa"/>
          </w:tcPr>
          <w:p w:rsidR="003E0685" w:rsidRPr="007F5899" w:rsidRDefault="003E0685" w:rsidP="009810A9">
            <w:pPr>
              <w:pStyle w:val="Tabletext"/>
              <w:rPr>
                <w:lang w:val="ru-RU"/>
              </w:rPr>
            </w:pPr>
            <w:r w:rsidRPr="007F5899">
              <w:rPr>
                <w:lang w:val="ru-RU"/>
              </w:rPr>
              <w:t>Прочие работы</w:t>
            </w:r>
          </w:p>
        </w:tc>
        <w:tc>
          <w:tcPr>
            <w:tcW w:w="1588" w:type="dxa"/>
          </w:tcPr>
          <w:p w:rsidR="003E0685" w:rsidRPr="007F5899" w:rsidRDefault="003E0685" w:rsidP="00B50704">
            <w:pPr>
              <w:pStyle w:val="Tabletext"/>
              <w:jc w:val="center"/>
              <w:rPr>
                <w:lang w:val="ru-RU"/>
              </w:rPr>
            </w:pPr>
            <w:r w:rsidRPr="007F5899">
              <w:rPr>
                <w:lang w:val="ru-RU"/>
              </w:rPr>
              <w:t>0,4</w:t>
            </w:r>
          </w:p>
        </w:tc>
        <w:tc>
          <w:tcPr>
            <w:tcW w:w="4423" w:type="dxa"/>
          </w:tcPr>
          <w:p w:rsidR="003E0685" w:rsidRPr="007F5899" w:rsidRDefault="003E0685" w:rsidP="009810A9">
            <w:pPr>
              <w:pStyle w:val="Tabletext"/>
              <w:rPr>
                <w:lang w:val="ru-RU"/>
              </w:rPr>
            </w:pPr>
          </w:p>
        </w:tc>
      </w:tr>
      <w:tr w:rsidR="003E0685" w:rsidRPr="007F5899" w:rsidTr="003E6310">
        <w:trPr>
          <w:jc w:val="center"/>
        </w:trPr>
        <w:tc>
          <w:tcPr>
            <w:tcW w:w="2552" w:type="dxa"/>
          </w:tcPr>
          <w:p w:rsidR="003E0685" w:rsidRPr="007F5899" w:rsidRDefault="003E0685" w:rsidP="009810A9">
            <w:pPr>
              <w:pStyle w:val="Tabletext"/>
              <w:rPr>
                <w:b/>
                <w:bCs/>
                <w:lang w:val="ru-RU"/>
              </w:rPr>
            </w:pPr>
            <w:r w:rsidRPr="007F5899">
              <w:rPr>
                <w:b/>
                <w:bCs/>
                <w:lang w:val="ru-RU"/>
              </w:rPr>
              <w:t>ИТОГО</w:t>
            </w:r>
          </w:p>
        </w:tc>
        <w:tc>
          <w:tcPr>
            <w:tcW w:w="1588" w:type="dxa"/>
          </w:tcPr>
          <w:p w:rsidR="003E0685" w:rsidRPr="007F5899" w:rsidRDefault="003E0685" w:rsidP="00B50704">
            <w:pPr>
              <w:pStyle w:val="Tabletext"/>
              <w:jc w:val="center"/>
              <w:rPr>
                <w:b/>
                <w:bCs/>
                <w:lang w:val="ru-RU"/>
              </w:rPr>
            </w:pPr>
            <w:r w:rsidRPr="007F5899">
              <w:rPr>
                <w:b/>
                <w:bCs/>
                <w:lang w:val="ru-RU"/>
              </w:rPr>
              <w:t>4</w:t>
            </w:r>
          </w:p>
        </w:tc>
        <w:tc>
          <w:tcPr>
            <w:tcW w:w="4423" w:type="dxa"/>
          </w:tcPr>
          <w:p w:rsidR="003E0685" w:rsidRPr="007F5899" w:rsidRDefault="003E0685" w:rsidP="009810A9">
            <w:pPr>
              <w:pStyle w:val="Tabletext"/>
              <w:rPr>
                <w:lang w:val="ru-RU"/>
              </w:rPr>
            </w:pPr>
          </w:p>
        </w:tc>
      </w:tr>
    </w:tbl>
    <w:p w:rsidR="003E0685" w:rsidRPr="007F5899" w:rsidRDefault="003E0685" w:rsidP="00B50704">
      <w:pPr>
        <w:pStyle w:val="Headingb"/>
        <w:spacing w:after="120"/>
        <w:rPr>
          <w:lang w:val="ru-RU"/>
        </w:rPr>
      </w:pPr>
      <w:r w:rsidRPr="007F5899">
        <w:rPr>
          <w:lang w:val="ru-RU"/>
        </w:rPr>
        <w:lastRenderedPageBreak/>
        <w:t>Неотложный ремонт здания "Башня" (в течение 2015</w:t>
      </w:r>
      <w:r w:rsidR="00B50704" w:rsidRPr="007F5899">
        <w:rPr>
          <w:lang w:val="ru-RU"/>
        </w:rPr>
        <w:t>−</w:t>
      </w:r>
      <w:r w:rsidRPr="007F5899">
        <w:rPr>
          <w:lang w:val="ru-RU"/>
        </w:rPr>
        <w:t xml:space="preserve">2024 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3E0685" w:rsidRPr="007F5899" w:rsidTr="008E31E9">
        <w:trPr>
          <w:jc w:val="center"/>
        </w:trPr>
        <w:tc>
          <w:tcPr>
            <w:tcW w:w="2552" w:type="dxa"/>
            <w:vAlign w:val="center"/>
          </w:tcPr>
          <w:p w:rsidR="003E0685" w:rsidRPr="007F5899" w:rsidRDefault="003E0685" w:rsidP="008E31E9">
            <w:pPr>
              <w:pStyle w:val="Tablehead"/>
              <w:rPr>
                <w:lang w:val="ru-RU"/>
              </w:rPr>
            </w:pPr>
            <w:r w:rsidRPr="007F5899">
              <w:rPr>
                <w:lang w:val="ru-RU"/>
              </w:rPr>
              <w:t>Проект</w:t>
            </w:r>
          </w:p>
        </w:tc>
        <w:tc>
          <w:tcPr>
            <w:tcW w:w="1588" w:type="dxa"/>
            <w:vAlign w:val="center"/>
          </w:tcPr>
          <w:p w:rsidR="003E0685" w:rsidRPr="007F5899" w:rsidRDefault="003E0685" w:rsidP="008E31E9">
            <w:pPr>
              <w:pStyle w:val="Tablehead"/>
              <w:rPr>
                <w:lang w:val="ru-RU"/>
              </w:rPr>
            </w:pPr>
            <w:proofErr w:type="gramStart"/>
            <w:r w:rsidRPr="007F5899">
              <w:rPr>
                <w:lang w:val="ru-RU"/>
              </w:rPr>
              <w:t>Затраты</w:t>
            </w:r>
            <w:r w:rsidR="00B50704" w:rsidRPr="007F5899">
              <w:rPr>
                <w:lang w:val="ru-RU"/>
              </w:rPr>
              <w:br/>
            </w:r>
            <w:r w:rsidRPr="007F5899">
              <w:rPr>
                <w:lang w:val="ru-RU"/>
              </w:rPr>
              <w:t>(</w:t>
            </w:r>
            <w:proofErr w:type="gramEnd"/>
            <w:r w:rsidRPr="007F5899">
              <w:rPr>
                <w:lang w:val="ru-RU"/>
              </w:rPr>
              <w:t xml:space="preserve">млн. </w:t>
            </w:r>
            <w:proofErr w:type="spellStart"/>
            <w:r w:rsidRPr="007F5899">
              <w:rPr>
                <w:lang w:val="ru-RU"/>
              </w:rPr>
              <w:t>шв</w:t>
            </w:r>
            <w:proofErr w:type="spellEnd"/>
            <w:r w:rsidRPr="007F5899">
              <w:rPr>
                <w:lang w:val="ru-RU"/>
              </w:rPr>
              <w:t>. фр.)</w:t>
            </w:r>
          </w:p>
        </w:tc>
        <w:tc>
          <w:tcPr>
            <w:tcW w:w="4423" w:type="dxa"/>
            <w:vAlign w:val="center"/>
          </w:tcPr>
          <w:p w:rsidR="003E0685" w:rsidRPr="007F5899" w:rsidRDefault="003E0685" w:rsidP="008E31E9">
            <w:pPr>
              <w:pStyle w:val="Tablehead"/>
              <w:rPr>
                <w:lang w:val="ru-RU"/>
              </w:rPr>
            </w:pPr>
            <w:r w:rsidRPr="007F5899">
              <w:rPr>
                <w:lang w:val="ru-RU"/>
              </w:rPr>
              <w:t>Комментарии</w:t>
            </w:r>
          </w:p>
        </w:tc>
      </w:tr>
      <w:tr w:rsidR="003E0685" w:rsidRPr="007F5899" w:rsidTr="003E6310">
        <w:trPr>
          <w:jc w:val="center"/>
        </w:trPr>
        <w:tc>
          <w:tcPr>
            <w:tcW w:w="2552" w:type="dxa"/>
          </w:tcPr>
          <w:p w:rsidR="003E0685" w:rsidRPr="007F5899" w:rsidRDefault="003E0685" w:rsidP="00A40036">
            <w:pPr>
              <w:pStyle w:val="Tabletext"/>
              <w:rPr>
                <w:lang w:val="ru-RU"/>
              </w:rPr>
            </w:pPr>
            <w:r w:rsidRPr="007F5899">
              <w:rPr>
                <w:lang w:val="ru-RU"/>
              </w:rPr>
              <w:t>Замена фасада: с заменой систем отопления и</w:t>
            </w:r>
            <w:r w:rsidR="00A40036" w:rsidRPr="007F5899">
              <w:rPr>
                <w:lang w:val="ru-RU"/>
              </w:rPr>
              <w:t> </w:t>
            </w:r>
            <w:r w:rsidRPr="007F5899">
              <w:rPr>
                <w:lang w:val="ru-RU"/>
              </w:rPr>
              <w:t>распределения электроэнергии</w:t>
            </w:r>
          </w:p>
        </w:tc>
        <w:tc>
          <w:tcPr>
            <w:tcW w:w="1588" w:type="dxa"/>
          </w:tcPr>
          <w:p w:rsidR="003E0685" w:rsidRPr="007F5899" w:rsidRDefault="003E0685" w:rsidP="003E0685">
            <w:pPr>
              <w:pStyle w:val="Tabletext"/>
              <w:jc w:val="center"/>
              <w:rPr>
                <w:lang w:val="ru-RU"/>
              </w:rPr>
            </w:pPr>
            <w:r w:rsidRPr="007F5899">
              <w:rPr>
                <w:lang w:val="ru-RU"/>
              </w:rPr>
              <w:t>30</w:t>
            </w:r>
          </w:p>
        </w:tc>
        <w:tc>
          <w:tcPr>
            <w:tcW w:w="4423" w:type="dxa"/>
          </w:tcPr>
          <w:p w:rsidR="003E0685" w:rsidRPr="007F5899" w:rsidRDefault="003E0685" w:rsidP="003E0685">
            <w:pPr>
              <w:pStyle w:val="Tabletext"/>
              <w:rPr>
                <w:lang w:val="ru-RU"/>
              </w:rPr>
            </w:pPr>
            <w:r w:rsidRPr="007F5899">
              <w:rPr>
                <w:lang w:val="ru-RU"/>
              </w:rPr>
              <w:t>На основе опыта внешнего исследования, проведенного по зданию "</w:t>
            </w:r>
            <w:proofErr w:type="spellStart"/>
            <w:r w:rsidRPr="007F5899">
              <w:rPr>
                <w:lang w:val="ru-RU"/>
              </w:rPr>
              <w:t>Варембе</w:t>
            </w:r>
            <w:proofErr w:type="spellEnd"/>
            <w:r w:rsidRPr="007F5899">
              <w:rPr>
                <w:lang w:val="ru-RU"/>
              </w:rPr>
              <w:t xml:space="preserve">". </w:t>
            </w:r>
          </w:p>
        </w:tc>
      </w:tr>
      <w:tr w:rsidR="003E0685" w:rsidRPr="007F5899" w:rsidTr="003E6310">
        <w:trPr>
          <w:jc w:val="center"/>
        </w:trPr>
        <w:tc>
          <w:tcPr>
            <w:tcW w:w="2552" w:type="dxa"/>
          </w:tcPr>
          <w:p w:rsidR="003E0685" w:rsidRPr="007F5899" w:rsidRDefault="003E0685" w:rsidP="003E0685">
            <w:pPr>
              <w:pStyle w:val="Tabletext"/>
              <w:rPr>
                <w:lang w:val="ru-RU"/>
              </w:rPr>
            </w:pPr>
            <w:r w:rsidRPr="007F5899">
              <w:rPr>
                <w:lang w:val="ru-RU"/>
              </w:rPr>
              <w:t>Замена системы освещения офисов</w:t>
            </w:r>
          </w:p>
        </w:tc>
        <w:tc>
          <w:tcPr>
            <w:tcW w:w="1588" w:type="dxa"/>
          </w:tcPr>
          <w:p w:rsidR="003E0685" w:rsidRPr="007F5899" w:rsidRDefault="003E0685" w:rsidP="003E0685">
            <w:pPr>
              <w:pStyle w:val="Tabletext"/>
              <w:jc w:val="center"/>
              <w:rPr>
                <w:lang w:val="ru-RU"/>
              </w:rPr>
            </w:pPr>
            <w:r w:rsidRPr="007F5899">
              <w:rPr>
                <w:lang w:val="ru-RU"/>
              </w:rPr>
              <w:t>2</w:t>
            </w:r>
          </w:p>
        </w:tc>
        <w:tc>
          <w:tcPr>
            <w:tcW w:w="4423" w:type="dxa"/>
          </w:tcPr>
          <w:p w:rsidR="003E0685" w:rsidRPr="007F5899" w:rsidRDefault="003E0685" w:rsidP="003E0685">
            <w:pPr>
              <w:pStyle w:val="Tabletext"/>
              <w:rPr>
                <w:lang w:val="ru-RU"/>
              </w:rPr>
            </w:pPr>
            <w:r w:rsidRPr="007F5899">
              <w:rPr>
                <w:lang w:val="ru-RU"/>
              </w:rPr>
              <w:t>На основе испытаний современных систем освещения в отдельных офисах здания "Башня".</w:t>
            </w:r>
          </w:p>
        </w:tc>
      </w:tr>
      <w:tr w:rsidR="003E0685" w:rsidRPr="007F5899" w:rsidTr="003E6310">
        <w:trPr>
          <w:jc w:val="center"/>
        </w:trPr>
        <w:tc>
          <w:tcPr>
            <w:tcW w:w="2552" w:type="dxa"/>
          </w:tcPr>
          <w:p w:rsidR="003E0685" w:rsidRPr="007F5899" w:rsidRDefault="003E0685" w:rsidP="003E0685">
            <w:pPr>
              <w:pStyle w:val="Tabletext"/>
              <w:rPr>
                <w:lang w:val="ru-RU"/>
              </w:rPr>
            </w:pPr>
            <w:r w:rsidRPr="007F5899">
              <w:rPr>
                <w:lang w:val="ru-RU"/>
              </w:rPr>
              <w:t>Замена зала засе</w:t>
            </w:r>
            <w:r w:rsidR="00B50704" w:rsidRPr="007F5899">
              <w:rPr>
                <w:lang w:val="ru-RU"/>
              </w:rPr>
              <w:t>даний</w:t>
            </w:r>
          </w:p>
        </w:tc>
        <w:tc>
          <w:tcPr>
            <w:tcW w:w="1588" w:type="dxa"/>
          </w:tcPr>
          <w:p w:rsidR="003E0685" w:rsidRPr="007F5899" w:rsidRDefault="003E0685" w:rsidP="003E0685">
            <w:pPr>
              <w:pStyle w:val="Tabletext"/>
              <w:jc w:val="center"/>
              <w:rPr>
                <w:lang w:val="ru-RU"/>
              </w:rPr>
            </w:pPr>
            <w:r w:rsidRPr="007F5899">
              <w:rPr>
                <w:lang w:val="ru-RU"/>
              </w:rPr>
              <w:t>6</w:t>
            </w:r>
          </w:p>
        </w:tc>
        <w:tc>
          <w:tcPr>
            <w:tcW w:w="4423" w:type="dxa"/>
          </w:tcPr>
          <w:p w:rsidR="003E0685" w:rsidRPr="007F5899" w:rsidRDefault="003E0685" w:rsidP="003E0685">
            <w:pPr>
              <w:pStyle w:val="Tabletext"/>
              <w:rPr>
                <w:lang w:val="ru-RU"/>
              </w:rPr>
            </w:pPr>
            <w:r w:rsidRPr="007F5899">
              <w:rPr>
                <w:lang w:val="ru-RU"/>
              </w:rPr>
              <w:t xml:space="preserve">600 мест по 10 000 </w:t>
            </w:r>
            <w:proofErr w:type="spellStart"/>
            <w:r w:rsidRPr="007F5899">
              <w:rPr>
                <w:lang w:val="ru-RU"/>
              </w:rPr>
              <w:t>шв</w:t>
            </w:r>
            <w:proofErr w:type="spellEnd"/>
            <w:r w:rsidRPr="007F5899">
              <w:rPr>
                <w:lang w:val="ru-RU"/>
              </w:rPr>
              <w:t>. фр. за место, включая аудиовизуальные средства.</w:t>
            </w:r>
          </w:p>
        </w:tc>
      </w:tr>
      <w:tr w:rsidR="003E0685" w:rsidRPr="007F5899" w:rsidTr="003E6310">
        <w:trPr>
          <w:jc w:val="center"/>
        </w:trPr>
        <w:tc>
          <w:tcPr>
            <w:tcW w:w="2552" w:type="dxa"/>
          </w:tcPr>
          <w:p w:rsidR="003E0685" w:rsidRPr="007F5899" w:rsidRDefault="003E0685" w:rsidP="003E0685">
            <w:pPr>
              <w:pStyle w:val="Tabletext"/>
              <w:rPr>
                <w:lang w:val="ru-RU"/>
              </w:rPr>
            </w:pPr>
            <w:r w:rsidRPr="007F5899">
              <w:rPr>
                <w:lang w:val="ru-RU"/>
              </w:rPr>
              <w:t xml:space="preserve">Противовзрывная пленка, требования </w:t>
            </w:r>
            <w:proofErr w:type="spellStart"/>
            <w:r w:rsidRPr="007F5899">
              <w:rPr>
                <w:lang w:val="ru-RU"/>
              </w:rPr>
              <w:t>МТБЭО</w:t>
            </w:r>
            <w:proofErr w:type="spellEnd"/>
            <w:r w:rsidRPr="007F5899">
              <w:rPr>
                <w:rStyle w:val="FootnoteReference"/>
                <w:lang w:val="ru-RU"/>
              </w:rPr>
              <w:t>*</w:t>
            </w:r>
          </w:p>
        </w:tc>
        <w:tc>
          <w:tcPr>
            <w:tcW w:w="1588" w:type="dxa"/>
          </w:tcPr>
          <w:p w:rsidR="003E0685" w:rsidRPr="007F5899" w:rsidRDefault="003E0685" w:rsidP="003E0685">
            <w:pPr>
              <w:pStyle w:val="Tabletext"/>
              <w:jc w:val="center"/>
              <w:rPr>
                <w:lang w:val="ru-RU"/>
              </w:rPr>
            </w:pPr>
            <w:r w:rsidRPr="007F5899">
              <w:rPr>
                <w:lang w:val="ru-RU"/>
              </w:rPr>
              <w:t>0,5</w:t>
            </w:r>
          </w:p>
        </w:tc>
        <w:tc>
          <w:tcPr>
            <w:tcW w:w="4423" w:type="dxa"/>
          </w:tcPr>
          <w:p w:rsidR="003E0685" w:rsidRPr="007F5899" w:rsidRDefault="003E0685" w:rsidP="003E0685">
            <w:pPr>
              <w:pStyle w:val="Tabletext"/>
              <w:rPr>
                <w:lang w:val="ru-RU"/>
              </w:rPr>
            </w:pPr>
          </w:p>
        </w:tc>
      </w:tr>
      <w:tr w:rsidR="003E0685" w:rsidRPr="007F5899" w:rsidTr="003E6310">
        <w:trPr>
          <w:jc w:val="center"/>
        </w:trPr>
        <w:tc>
          <w:tcPr>
            <w:tcW w:w="2552" w:type="dxa"/>
          </w:tcPr>
          <w:p w:rsidR="003E0685" w:rsidRPr="007F5899" w:rsidRDefault="003E0685" w:rsidP="00A40036">
            <w:pPr>
              <w:pStyle w:val="Tabletext"/>
              <w:rPr>
                <w:lang w:val="ru-RU"/>
              </w:rPr>
            </w:pPr>
            <w:r w:rsidRPr="007F5899">
              <w:rPr>
                <w:lang w:val="ru-RU"/>
              </w:rPr>
              <w:t>Компьютерный зал: замена коммунальных систем</w:t>
            </w:r>
            <w:r w:rsidR="00A40036" w:rsidRPr="007F5899">
              <w:rPr>
                <w:lang w:val="ru-RU"/>
              </w:rPr>
              <w:t>,</w:t>
            </w:r>
            <w:r w:rsidRPr="007F5899">
              <w:rPr>
                <w:lang w:val="ru-RU"/>
              </w:rPr>
              <w:t xml:space="preserve"> устройство информационных каналов связи и сети</w:t>
            </w:r>
          </w:p>
        </w:tc>
        <w:tc>
          <w:tcPr>
            <w:tcW w:w="1588" w:type="dxa"/>
          </w:tcPr>
          <w:p w:rsidR="003E0685" w:rsidRPr="007F5899" w:rsidRDefault="003E0685" w:rsidP="003E0685">
            <w:pPr>
              <w:pStyle w:val="Tabletext"/>
              <w:jc w:val="center"/>
              <w:rPr>
                <w:lang w:val="ru-RU"/>
              </w:rPr>
            </w:pPr>
            <w:r w:rsidRPr="007F5899">
              <w:rPr>
                <w:lang w:val="ru-RU"/>
              </w:rPr>
              <w:t>1</w:t>
            </w:r>
          </w:p>
        </w:tc>
        <w:tc>
          <w:tcPr>
            <w:tcW w:w="4423" w:type="dxa"/>
          </w:tcPr>
          <w:p w:rsidR="003E0685" w:rsidRPr="007F5899" w:rsidRDefault="003E0685" w:rsidP="003E0685">
            <w:pPr>
              <w:pStyle w:val="Tabletext"/>
              <w:rPr>
                <w:lang w:val="ru-RU"/>
              </w:rPr>
            </w:pPr>
          </w:p>
        </w:tc>
      </w:tr>
      <w:tr w:rsidR="003E0685" w:rsidRPr="007F5899" w:rsidTr="003E6310">
        <w:trPr>
          <w:jc w:val="center"/>
        </w:trPr>
        <w:tc>
          <w:tcPr>
            <w:tcW w:w="2552" w:type="dxa"/>
          </w:tcPr>
          <w:p w:rsidR="003E0685" w:rsidRPr="007F5899" w:rsidRDefault="003E0685" w:rsidP="003E0685">
            <w:pPr>
              <w:pStyle w:val="Tabletext"/>
              <w:rPr>
                <w:lang w:val="ru-RU"/>
              </w:rPr>
            </w:pPr>
            <w:r w:rsidRPr="007F5899">
              <w:rPr>
                <w:lang w:val="ru-RU"/>
              </w:rPr>
              <w:t>Замена средств герметизации цокольного этажа, наружные работы</w:t>
            </w:r>
          </w:p>
        </w:tc>
        <w:tc>
          <w:tcPr>
            <w:tcW w:w="1588" w:type="dxa"/>
          </w:tcPr>
          <w:p w:rsidR="003E0685" w:rsidRPr="007F5899" w:rsidRDefault="003E0685" w:rsidP="003E0685">
            <w:pPr>
              <w:pStyle w:val="Tabletext"/>
              <w:jc w:val="center"/>
              <w:rPr>
                <w:lang w:val="ru-RU"/>
              </w:rPr>
            </w:pPr>
            <w:r w:rsidRPr="007F5899">
              <w:rPr>
                <w:lang w:val="ru-RU"/>
              </w:rPr>
              <w:t>0,5</w:t>
            </w:r>
          </w:p>
        </w:tc>
        <w:tc>
          <w:tcPr>
            <w:tcW w:w="4423" w:type="dxa"/>
          </w:tcPr>
          <w:p w:rsidR="003E0685" w:rsidRPr="007F5899" w:rsidRDefault="003E0685" w:rsidP="003E0685">
            <w:pPr>
              <w:pStyle w:val="Tabletext"/>
              <w:rPr>
                <w:lang w:val="ru-RU"/>
              </w:rPr>
            </w:pPr>
          </w:p>
        </w:tc>
      </w:tr>
      <w:tr w:rsidR="003E0685" w:rsidRPr="007F5899" w:rsidTr="003E6310">
        <w:trPr>
          <w:jc w:val="center"/>
        </w:trPr>
        <w:tc>
          <w:tcPr>
            <w:tcW w:w="2552" w:type="dxa"/>
          </w:tcPr>
          <w:p w:rsidR="003E0685" w:rsidRPr="007F5899" w:rsidRDefault="003E0685" w:rsidP="003E0685">
            <w:pPr>
              <w:pStyle w:val="Tabletext"/>
              <w:rPr>
                <w:lang w:val="ru-RU"/>
              </w:rPr>
            </w:pPr>
            <w:r w:rsidRPr="007F5899">
              <w:rPr>
                <w:lang w:val="ru-RU"/>
              </w:rPr>
              <w:t>Замена сантехнического оборудования</w:t>
            </w:r>
          </w:p>
        </w:tc>
        <w:tc>
          <w:tcPr>
            <w:tcW w:w="1588" w:type="dxa"/>
          </w:tcPr>
          <w:p w:rsidR="003E0685" w:rsidRPr="007F5899" w:rsidRDefault="003E0685" w:rsidP="003E0685">
            <w:pPr>
              <w:pStyle w:val="Tabletext"/>
              <w:jc w:val="center"/>
              <w:rPr>
                <w:lang w:val="ru-RU"/>
              </w:rPr>
            </w:pPr>
            <w:r w:rsidRPr="007F5899">
              <w:rPr>
                <w:lang w:val="ru-RU"/>
              </w:rPr>
              <w:t>2</w:t>
            </w:r>
          </w:p>
        </w:tc>
        <w:tc>
          <w:tcPr>
            <w:tcW w:w="4423" w:type="dxa"/>
          </w:tcPr>
          <w:p w:rsidR="003E0685" w:rsidRPr="007F5899" w:rsidRDefault="003E0685" w:rsidP="003E0685">
            <w:pPr>
              <w:pStyle w:val="Tabletext"/>
              <w:rPr>
                <w:lang w:val="ru-RU"/>
              </w:rPr>
            </w:pPr>
          </w:p>
        </w:tc>
      </w:tr>
      <w:tr w:rsidR="003E0685" w:rsidRPr="007F5899" w:rsidTr="003E6310">
        <w:trPr>
          <w:jc w:val="center"/>
        </w:trPr>
        <w:tc>
          <w:tcPr>
            <w:tcW w:w="2552" w:type="dxa"/>
          </w:tcPr>
          <w:p w:rsidR="003E0685" w:rsidRPr="007F5899" w:rsidRDefault="003E0685" w:rsidP="003E0685">
            <w:pPr>
              <w:pStyle w:val="Tabletext"/>
              <w:rPr>
                <w:lang w:val="ru-RU"/>
              </w:rPr>
            </w:pPr>
            <w:r w:rsidRPr="007F5899">
              <w:rPr>
                <w:lang w:val="ru-RU"/>
              </w:rPr>
              <w:t>Замена централизованных электрических сетей, систем отопления/охлаждения</w:t>
            </w:r>
          </w:p>
        </w:tc>
        <w:tc>
          <w:tcPr>
            <w:tcW w:w="1588" w:type="dxa"/>
          </w:tcPr>
          <w:p w:rsidR="003E0685" w:rsidRPr="007F5899" w:rsidRDefault="003E0685" w:rsidP="003E0685">
            <w:pPr>
              <w:pStyle w:val="Tabletext"/>
              <w:jc w:val="center"/>
              <w:rPr>
                <w:lang w:val="ru-RU"/>
              </w:rPr>
            </w:pPr>
            <w:r w:rsidRPr="007F5899">
              <w:rPr>
                <w:lang w:val="ru-RU"/>
              </w:rPr>
              <w:t>1</w:t>
            </w:r>
          </w:p>
        </w:tc>
        <w:tc>
          <w:tcPr>
            <w:tcW w:w="4423" w:type="dxa"/>
          </w:tcPr>
          <w:p w:rsidR="003E0685" w:rsidRPr="007F5899" w:rsidRDefault="003E0685" w:rsidP="003E0685">
            <w:pPr>
              <w:pStyle w:val="Tabletext"/>
              <w:rPr>
                <w:lang w:val="ru-RU"/>
              </w:rPr>
            </w:pPr>
          </w:p>
        </w:tc>
      </w:tr>
      <w:tr w:rsidR="003E0685" w:rsidRPr="007F5899" w:rsidTr="003E6310">
        <w:trPr>
          <w:jc w:val="center"/>
        </w:trPr>
        <w:tc>
          <w:tcPr>
            <w:tcW w:w="2552" w:type="dxa"/>
          </w:tcPr>
          <w:p w:rsidR="003E0685" w:rsidRPr="007F5899" w:rsidRDefault="003E0685" w:rsidP="003E0685">
            <w:pPr>
              <w:pStyle w:val="Tabletext"/>
              <w:rPr>
                <w:lang w:val="ru-RU"/>
              </w:rPr>
            </w:pPr>
            <w:r w:rsidRPr="007F5899">
              <w:rPr>
                <w:lang w:val="ru-RU"/>
              </w:rPr>
              <w:t>Прочие работы по обеспечению пожаробезопасности</w:t>
            </w:r>
          </w:p>
        </w:tc>
        <w:tc>
          <w:tcPr>
            <w:tcW w:w="1588" w:type="dxa"/>
          </w:tcPr>
          <w:p w:rsidR="003E0685" w:rsidRPr="007F5899" w:rsidRDefault="003E0685" w:rsidP="003E0685">
            <w:pPr>
              <w:pStyle w:val="Tabletext"/>
              <w:jc w:val="center"/>
              <w:rPr>
                <w:lang w:val="ru-RU"/>
              </w:rPr>
            </w:pPr>
            <w:r w:rsidRPr="007F5899">
              <w:rPr>
                <w:lang w:val="ru-RU"/>
              </w:rPr>
              <w:t>1</w:t>
            </w:r>
          </w:p>
        </w:tc>
        <w:tc>
          <w:tcPr>
            <w:tcW w:w="4423" w:type="dxa"/>
          </w:tcPr>
          <w:p w:rsidR="003E0685" w:rsidRPr="007F5899" w:rsidRDefault="003E0685" w:rsidP="003E0685">
            <w:pPr>
              <w:pStyle w:val="Tabletext"/>
              <w:rPr>
                <w:lang w:val="ru-RU"/>
              </w:rPr>
            </w:pPr>
          </w:p>
        </w:tc>
      </w:tr>
      <w:tr w:rsidR="003E0685" w:rsidRPr="007F5899" w:rsidTr="00B50704">
        <w:trPr>
          <w:jc w:val="center"/>
        </w:trPr>
        <w:tc>
          <w:tcPr>
            <w:tcW w:w="2552" w:type="dxa"/>
            <w:tcBorders>
              <w:bottom w:val="single" w:sz="4" w:space="0" w:color="auto"/>
            </w:tcBorders>
          </w:tcPr>
          <w:p w:rsidR="003E0685" w:rsidRPr="007F5899" w:rsidRDefault="003E0685" w:rsidP="003E0685">
            <w:pPr>
              <w:pStyle w:val="Tabletext"/>
              <w:rPr>
                <w:lang w:val="ru-RU"/>
              </w:rPr>
            </w:pPr>
            <w:r w:rsidRPr="007F5899">
              <w:rPr>
                <w:lang w:val="ru-RU"/>
              </w:rPr>
              <w:t>Прочие работы по обеспечению доступности здания</w:t>
            </w:r>
          </w:p>
        </w:tc>
        <w:tc>
          <w:tcPr>
            <w:tcW w:w="1588" w:type="dxa"/>
            <w:tcBorders>
              <w:bottom w:val="single" w:sz="4" w:space="0" w:color="auto"/>
            </w:tcBorders>
          </w:tcPr>
          <w:p w:rsidR="003E0685" w:rsidRPr="007F5899" w:rsidRDefault="003E0685" w:rsidP="003E0685">
            <w:pPr>
              <w:pStyle w:val="Tabletext"/>
              <w:jc w:val="center"/>
              <w:rPr>
                <w:lang w:val="ru-RU"/>
              </w:rPr>
            </w:pPr>
            <w:r w:rsidRPr="007F5899">
              <w:rPr>
                <w:lang w:val="ru-RU"/>
              </w:rPr>
              <w:t>1</w:t>
            </w:r>
          </w:p>
        </w:tc>
        <w:tc>
          <w:tcPr>
            <w:tcW w:w="4423" w:type="dxa"/>
            <w:tcBorders>
              <w:bottom w:val="single" w:sz="4" w:space="0" w:color="auto"/>
            </w:tcBorders>
          </w:tcPr>
          <w:p w:rsidR="003E0685" w:rsidRPr="007F5899" w:rsidRDefault="003E0685" w:rsidP="003E0685">
            <w:pPr>
              <w:pStyle w:val="Tabletext"/>
              <w:rPr>
                <w:lang w:val="ru-RU"/>
              </w:rPr>
            </w:pPr>
          </w:p>
        </w:tc>
      </w:tr>
      <w:tr w:rsidR="003E0685" w:rsidRPr="007F5899" w:rsidTr="00B50704">
        <w:trPr>
          <w:jc w:val="center"/>
        </w:trPr>
        <w:tc>
          <w:tcPr>
            <w:tcW w:w="2552" w:type="dxa"/>
            <w:tcBorders>
              <w:bottom w:val="single" w:sz="4" w:space="0" w:color="auto"/>
            </w:tcBorders>
          </w:tcPr>
          <w:p w:rsidR="003E0685" w:rsidRPr="007F5899" w:rsidRDefault="003E0685" w:rsidP="003E0685">
            <w:pPr>
              <w:pStyle w:val="Tabletext"/>
              <w:rPr>
                <w:b/>
                <w:bCs/>
                <w:lang w:val="ru-RU"/>
              </w:rPr>
            </w:pPr>
            <w:r w:rsidRPr="007F5899">
              <w:rPr>
                <w:b/>
                <w:bCs/>
                <w:lang w:val="ru-RU"/>
              </w:rPr>
              <w:t xml:space="preserve">ИТОГО </w:t>
            </w:r>
            <w:r w:rsidRPr="007F5899">
              <w:rPr>
                <w:lang w:val="ru-RU"/>
              </w:rPr>
              <w:t>(округленно)</w:t>
            </w:r>
          </w:p>
        </w:tc>
        <w:tc>
          <w:tcPr>
            <w:tcW w:w="1588" w:type="dxa"/>
            <w:tcBorders>
              <w:bottom w:val="single" w:sz="4" w:space="0" w:color="auto"/>
            </w:tcBorders>
          </w:tcPr>
          <w:p w:rsidR="003E0685" w:rsidRPr="007F5899" w:rsidRDefault="003E0685" w:rsidP="003E0685">
            <w:pPr>
              <w:pStyle w:val="Tabletext"/>
              <w:jc w:val="center"/>
              <w:rPr>
                <w:b/>
                <w:bCs/>
                <w:lang w:val="ru-RU"/>
              </w:rPr>
            </w:pPr>
            <w:r w:rsidRPr="007F5899">
              <w:rPr>
                <w:b/>
                <w:bCs/>
                <w:lang w:val="ru-RU"/>
              </w:rPr>
              <w:t>45</w:t>
            </w:r>
          </w:p>
        </w:tc>
        <w:tc>
          <w:tcPr>
            <w:tcW w:w="4423" w:type="dxa"/>
            <w:tcBorders>
              <w:bottom w:val="single" w:sz="4" w:space="0" w:color="auto"/>
            </w:tcBorders>
          </w:tcPr>
          <w:p w:rsidR="003E0685" w:rsidRPr="007F5899" w:rsidRDefault="003E0685" w:rsidP="003E0685">
            <w:pPr>
              <w:pStyle w:val="Tabletext"/>
              <w:rPr>
                <w:lang w:val="ru-RU"/>
              </w:rPr>
            </w:pPr>
          </w:p>
        </w:tc>
      </w:tr>
      <w:tr w:rsidR="00B50704" w:rsidRPr="007F5899" w:rsidTr="00DD4F12">
        <w:trPr>
          <w:jc w:val="center"/>
        </w:trPr>
        <w:tc>
          <w:tcPr>
            <w:tcW w:w="8563" w:type="dxa"/>
            <w:gridSpan w:val="3"/>
            <w:tcBorders>
              <w:top w:val="single" w:sz="4" w:space="0" w:color="auto"/>
              <w:left w:val="nil"/>
              <w:bottom w:val="nil"/>
              <w:right w:val="nil"/>
            </w:tcBorders>
          </w:tcPr>
          <w:p w:rsidR="00B50704" w:rsidRPr="007F5899" w:rsidRDefault="00B50704" w:rsidP="00B50704">
            <w:pPr>
              <w:pStyle w:val="Tablelegend"/>
              <w:rPr>
                <w:lang w:val="ru-RU"/>
              </w:rPr>
            </w:pPr>
            <w:r w:rsidRPr="007F5899">
              <w:rPr>
                <w:rStyle w:val="FootnoteReference"/>
                <w:lang w:val="ru-RU"/>
              </w:rPr>
              <w:t>*</w:t>
            </w:r>
            <w:r w:rsidRPr="007F5899">
              <w:rPr>
                <w:lang w:val="ru-RU"/>
              </w:rPr>
              <w:tab/>
            </w:r>
            <w:proofErr w:type="spellStart"/>
            <w:r w:rsidRPr="007F5899">
              <w:rPr>
                <w:lang w:val="ru-RU"/>
              </w:rPr>
              <w:t>МТБЭО</w:t>
            </w:r>
            <w:proofErr w:type="spellEnd"/>
            <w:r w:rsidRPr="007F5899">
              <w:rPr>
                <w:lang w:val="ru-RU"/>
              </w:rPr>
              <w:t xml:space="preserve"> = Минимальные требования к безопасности при эксплуатации объектов</w:t>
            </w:r>
          </w:p>
        </w:tc>
      </w:tr>
    </w:tbl>
    <w:p w:rsidR="003E0685" w:rsidRPr="007F5899" w:rsidRDefault="003E0685" w:rsidP="008E31E9">
      <w:pPr>
        <w:pStyle w:val="Headingb"/>
        <w:tabs>
          <w:tab w:val="clear" w:pos="567"/>
          <w:tab w:val="left" w:pos="0"/>
        </w:tabs>
        <w:spacing w:after="120"/>
        <w:ind w:left="0" w:firstLine="0"/>
        <w:rPr>
          <w:lang w:val="ru-RU"/>
        </w:rPr>
      </w:pPr>
      <w:r w:rsidRPr="007F5899">
        <w:rPr>
          <w:lang w:val="ru-RU"/>
        </w:rPr>
        <w:t>Неотложные затраты на обслуживание здания "</w:t>
      </w:r>
      <w:proofErr w:type="spellStart"/>
      <w:r w:rsidRPr="007F5899">
        <w:rPr>
          <w:lang w:val="ru-RU"/>
        </w:rPr>
        <w:t>Варембе</w:t>
      </w:r>
      <w:proofErr w:type="spellEnd"/>
      <w:r w:rsidRPr="007F5899">
        <w:rPr>
          <w:lang w:val="ru-RU"/>
        </w:rPr>
        <w:t xml:space="preserve">" (существующее здание </w:t>
      </w:r>
      <w:r w:rsidR="00B50704" w:rsidRPr="007F5899">
        <w:rPr>
          <w:lang w:val="ru-RU"/>
        </w:rPr>
        <w:t>до сноса, на период 2015</w:t>
      </w:r>
      <w:r w:rsidR="008E31E9" w:rsidRPr="007F5899">
        <w:rPr>
          <w:lang w:val="ru-RU"/>
        </w:rPr>
        <w:t>−</w:t>
      </w:r>
      <w:r w:rsidR="00B50704" w:rsidRPr="007F5899">
        <w:rPr>
          <w:lang w:val="ru-RU"/>
        </w:rPr>
        <w:t>2024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3E0685" w:rsidRPr="007F5899" w:rsidTr="00B50704">
        <w:trPr>
          <w:jc w:val="center"/>
        </w:trPr>
        <w:tc>
          <w:tcPr>
            <w:tcW w:w="2552" w:type="dxa"/>
            <w:vAlign w:val="center"/>
          </w:tcPr>
          <w:p w:rsidR="003E0685" w:rsidRPr="007F5899" w:rsidRDefault="003E0685" w:rsidP="00B50704">
            <w:pPr>
              <w:pStyle w:val="Tablehead"/>
              <w:rPr>
                <w:lang w:val="ru-RU"/>
              </w:rPr>
            </w:pPr>
            <w:r w:rsidRPr="007F5899">
              <w:rPr>
                <w:lang w:val="ru-RU"/>
              </w:rPr>
              <w:t>Проект</w:t>
            </w:r>
          </w:p>
        </w:tc>
        <w:tc>
          <w:tcPr>
            <w:tcW w:w="1588" w:type="dxa"/>
            <w:vAlign w:val="center"/>
          </w:tcPr>
          <w:p w:rsidR="003E0685" w:rsidRPr="007F5899" w:rsidRDefault="003E0685" w:rsidP="00B50704">
            <w:pPr>
              <w:pStyle w:val="Tablehead"/>
              <w:rPr>
                <w:lang w:val="ru-RU"/>
              </w:rPr>
            </w:pPr>
            <w:proofErr w:type="gramStart"/>
            <w:r w:rsidRPr="007F5899">
              <w:rPr>
                <w:lang w:val="ru-RU"/>
              </w:rPr>
              <w:t>Затраты</w:t>
            </w:r>
            <w:r w:rsidR="00B50704" w:rsidRPr="007F5899">
              <w:rPr>
                <w:lang w:val="ru-RU"/>
              </w:rPr>
              <w:br/>
            </w:r>
            <w:r w:rsidRPr="007F5899">
              <w:rPr>
                <w:lang w:val="ru-RU"/>
              </w:rPr>
              <w:t>(</w:t>
            </w:r>
            <w:proofErr w:type="gramEnd"/>
            <w:r w:rsidRPr="007F5899">
              <w:rPr>
                <w:lang w:val="ru-RU"/>
              </w:rPr>
              <w:t xml:space="preserve">млн. </w:t>
            </w:r>
            <w:proofErr w:type="spellStart"/>
            <w:r w:rsidRPr="007F5899">
              <w:rPr>
                <w:lang w:val="ru-RU"/>
              </w:rPr>
              <w:t>шв</w:t>
            </w:r>
            <w:proofErr w:type="spellEnd"/>
            <w:r w:rsidRPr="007F5899">
              <w:rPr>
                <w:lang w:val="ru-RU"/>
              </w:rPr>
              <w:t>. фр.)</w:t>
            </w:r>
          </w:p>
        </w:tc>
        <w:tc>
          <w:tcPr>
            <w:tcW w:w="4423" w:type="dxa"/>
            <w:vAlign w:val="center"/>
          </w:tcPr>
          <w:p w:rsidR="003E0685" w:rsidRPr="007F5899" w:rsidRDefault="003E0685" w:rsidP="00B50704">
            <w:pPr>
              <w:pStyle w:val="Tablehead"/>
              <w:rPr>
                <w:lang w:val="ru-RU"/>
              </w:rPr>
            </w:pPr>
            <w:r w:rsidRPr="007F5899">
              <w:rPr>
                <w:lang w:val="ru-RU"/>
              </w:rPr>
              <w:t>Комментарии</w:t>
            </w:r>
          </w:p>
        </w:tc>
      </w:tr>
      <w:tr w:rsidR="003E0685" w:rsidRPr="007F5899" w:rsidTr="003E6310">
        <w:trPr>
          <w:jc w:val="center"/>
        </w:trPr>
        <w:tc>
          <w:tcPr>
            <w:tcW w:w="2552" w:type="dxa"/>
          </w:tcPr>
          <w:p w:rsidR="003E0685" w:rsidRPr="007F5899" w:rsidRDefault="003E0685" w:rsidP="00DE569B">
            <w:pPr>
              <w:pStyle w:val="Tabletext"/>
              <w:rPr>
                <w:lang w:val="ru-RU"/>
              </w:rPr>
            </w:pPr>
            <w:r w:rsidRPr="007F5899">
              <w:rPr>
                <w:lang w:val="ru-RU"/>
              </w:rPr>
              <w:t>Только неотложные работы</w:t>
            </w:r>
          </w:p>
        </w:tc>
        <w:tc>
          <w:tcPr>
            <w:tcW w:w="1588" w:type="dxa"/>
          </w:tcPr>
          <w:p w:rsidR="003E0685" w:rsidRPr="007F5899" w:rsidRDefault="003E0685" w:rsidP="00B50704">
            <w:pPr>
              <w:pStyle w:val="Tabletext"/>
              <w:jc w:val="center"/>
              <w:rPr>
                <w:lang w:val="ru-RU"/>
              </w:rPr>
            </w:pPr>
            <w:r w:rsidRPr="007F5899">
              <w:rPr>
                <w:lang w:val="ru-RU"/>
              </w:rPr>
              <w:t>1</w:t>
            </w:r>
          </w:p>
        </w:tc>
        <w:tc>
          <w:tcPr>
            <w:tcW w:w="4423" w:type="dxa"/>
          </w:tcPr>
          <w:p w:rsidR="003E0685" w:rsidRPr="007F5899" w:rsidRDefault="003E0685" w:rsidP="00DE569B">
            <w:pPr>
              <w:pStyle w:val="Tabletext"/>
              <w:rPr>
                <w:lang w:val="ru-RU"/>
              </w:rPr>
            </w:pPr>
            <w:r w:rsidRPr="007F5899">
              <w:rPr>
                <w:lang w:val="ru-RU"/>
              </w:rPr>
              <w:t>Для продолжения эксплуатации, с учетом последующего сноса после переезда в здание "</w:t>
            </w:r>
            <w:proofErr w:type="spellStart"/>
            <w:r w:rsidRPr="007F5899">
              <w:rPr>
                <w:lang w:val="ru-RU"/>
              </w:rPr>
              <w:t>Варембе</w:t>
            </w:r>
            <w:proofErr w:type="spellEnd"/>
            <w:r w:rsidRPr="007F5899">
              <w:rPr>
                <w:lang w:val="ru-RU"/>
              </w:rPr>
              <w:t xml:space="preserve"> </w:t>
            </w:r>
            <w:proofErr w:type="spellStart"/>
            <w:r w:rsidRPr="007F5899">
              <w:rPr>
                <w:lang w:val="ru-RU"/>
              </w:rPr>
              <w:t>II</w:t>
            </w:r>
            <w:proofErr w:type="spellEnd"/>
            <w:r w:rsidRPr="007F5899">
              <w:rPr>
                <w:lang w:val="ru-RU"/>
              </w:rPr>
              <w:t xml:space="preserve">", финансируемого в рамках данного проекта. </w:t>
            </w:r>
          </w:p>
        </w:tc>
      </w:tr>
      <w:tr w:rsidR="003E0685" w:rsidRPr="007F5899" w:rsidTr="003E6310">
        <w:trPr>
          <w:jc w:val="center"/>
        </w:trPr>
        <w:tc>
          <w:tcPr>
            <w:tcW w:w="2552" w:type="dxa"/>
          </w:tcPr>
          <w:p w:rsidR="003E0685" w:rsidRPr="007F5899" w:rsidRDefault="00B50704" w:rsidP="00DE569B">
            <w:pPr>
              <w:pStyle w:val="Tabletext"/>
              <w:rPr>
                <w:b/>
                <w:bCs/>
                <w:lang w:val="ru-RU"/>
              </w:rPr>
            </w:pPr>
            <w:r w:rsidRPr="007F5899">
              <w:rPr>
                <w:b/>
                <w:bCs/>
                <w:lang w:val="ru-RU"/>
              </w:rPr>
              <w:t>ИТОГО</w:t>
            </w:r>
          </w:p>
        </w:tc>
        <w:tc>
          <w:tcPr>
            <w:tcW w:w="1588" w:type="dxa"/>
          </w:tcPr>
          <w:p w:rsidR="003E0685" w:rsidRPr="007F5899" w:rsidRDefault="003E0685" w:rsidP="00B50704">
            <w:pPr>
              <w:pStyle w:val="Tabletext"/>
              <w:jc w:val="center"/>
              <w:rPr>
                <w:b/>
                <w:bCs/>
                <w:lang w:val="ru-RU"/>
              </w:rPr>
            </w:pPr>
            <w:r w:rsidRPr="007F5899">
              <w:rPr>
                <w:b/>
                <w:bCs/>
                <w:lang w:val="ru-RU"/>
              </w:rPr>
              <w:t>1</w:t>
            </w:r>
          </w:p>
        </w:tc>
        <w:tc>
          <w:tcPr>
            <w:tcW w:w="4423" w:type="dxa"/>
          </w:tcPr>
          <w:p w:rsidR="003E0685" w:rsidRPr="007F5899" w:rsidRDefault="003E0685" w:rsidP="00DE569B">
            <w:pPr>
              <w:pStyle w:val="Tabletext"/>
              <w:rPr>
                <w:lang w:val="ru-RU"/>
              </w:rPr>
            </w:pPr>
          </w:p>
        </w:tc>
      </w:tr>
    </w:tbl>
    <w:p w:rsidR="003E0685" w:rsidRPr="007F5899" w:rsidRDefault="003E0685" w:rsidP="008E31E9">
      <w:pPr>
        <w:pStyle w:val="Headingb"/>
        <w:spacing w:after="120"/>
        <w:rPr>
          <w:lang w:val="ru-RU"/>
        </w:rPr>
      </w:pPr>
      <w:r w:rsidRPr="007F5899">
        <w:rPr>
          <w:lang w:val="ru-RU"/>
        </w:rPr>
        <w:lastRenderedPageBreak/>
        <w:t>Сводные данные по объектам в рамках варианта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88"/>
        <w:gridCol w:w="1701"/>
        <w:gridCol w:w="4139"/>
      </w:tblGrid>
      <w:tr w:rsidR="003E0685" w:rsidRPr="007F5899" w:rsidTr="008E31E9">
        <w:trPr>
          <w:jc w:val="center"/>
        </w:trPr>
        <w:tc>
          <w:tcPr>
            <w:tcW w:w="2381" w:type="dxa"/>
            <w:vAlign w:val="center"/>
          </w:tcPr>
          <w:p w:rsidR="003E0685" w:rsidRPr="007F5899" w:rsidRDefault="003E0685" w:rsidP="008E31E9">
            <w:pPr>
              <w:pStyle w:val="Tablehead"/>
              <w:rPr>
                <w:lang w:val="ru-RU"/>
              </w:rPr>
            </w:pPr>
            <w:r w:rsidRPr="007F5899">
              <w:rPr>
                <w:lang w:val="ru-RU"/>
              </w:rPr>
              <w:t>Здание</w:t>
            </w:r>
          </w:p>
        </w:tc>
        <w:tc>
          <w:tcPr>
            <w:tcW w:w="1588" w:type="dxa"/>
            <w:vAlign w:val="center"/>
          </w:tcPr>
          <w:p w:rsidR="003E0685" w:rsidRPr="007F5899" w:rsidRDefault="003E0685" w:rsidP="008E31E9">
            <w:pPr>
              <w:pStyle w:val="Tablehead"/>
              <w:rPr>
                <w:lang w:val="ru-RU"/>
              </w:rPr>
            </w:pPr>
          </w:p>
        </w:tc>
        <w:tc>
          <w:tcPr>
            <w:tcW w:w="1701" w:type="dxa"/>
            <w:vAlign w:val="center"/>
          </w:tcPr>
          <w:p w:rsidR="003E0685" w:rsidRPr="007F5899" w:rsidRDefault="003E0685" w:rsidP="008E31E9">
            <w:pPr>
              <w:pStyle w:val="Tablehead"/>
              <w:rPr>
                <w:lang w:val="ru-RU"/>
              </w:rPr>
            </w:pPr>
            <w:proofErr w:type="gramStart"/>
            <w:r w:rsidRPr="007F5899">
              <w:rPr>
                <w:lang w:val="ru-RU"/>
              </w:rPr>
              <w:t>Затраты</w:t>
            </w:r>
            <w:r w:rsidR="008E31E9" w:rsidRPr="007F5899">
              <w:rPr>
                <w:lang w:val="ru-RU"/>
              </w:rPr>
              <w:br/>
            </w:r>
            <w:r w:rsidRPr="007F5899">
              <w:rPr>
                <w:lang w:val="ru-RU"/>
              </w:rPr>
              <w:t>(</w:t>
            </w:r>
            <w:proofErr w:type="gramEnd"/>
            <w:r w:rsidRPr="007F5899">
              <w:rPr>
                <w:lang w:val="ru-RU"/>
              </w:rPr>
              <w:t xml:space="preserve">млн. </w:t>
            </w:r>
            <w:proofErr w:type="spellStart"/>
            <w:r w:rsidRPr="007F5899">
              <w:rPr>
                <w:lang w:val="ru-RU"/>
              </w:rPr>
              <w:t>шв</w:t>
            </w:r>
            <w:proofErr w:type="spellEnd"/>
            <w:r w:rsidRPr="007F5899">
              <w:rPr>
                <w:lang w:val="ru-RU"/>
              </w:rPr>
              <w:t>. фр.)</w:t>
            </w:r>
          </w:p>
        </w:tc>
        <w:tc>
          <w:tcPr>
            <w:tcW w:w="4139" w:type="dxa"/>
            <w:vAlign w:val="center"/>
          </w:tcPr>
          <w:p w:rsidR="003E0685" w:rsidRPr="007F5899" w:rsidRDefault="003E0685" w:rsidP="008E31E9">
            <w:pPr>
              <w:pStyle w:val="Tablehead"/>
              <w:rPr>
                <w:lang w:val="ru-RU"/>
              </w:rPr>
            </w:pPr>
            <w:r w:rsidRPr="007F5899">
              <w:rPr>
                <w:lang w:val="ru-RU"/>
              </w:rPr>
              <w:t>Комментарии</w:t>
            </w:r>
          </w:p>
        </w:tc>
      </w:tr>
      <w:tr w:rsidR="003E0685" w:rsidRPr="007F5899" w:rsidTr="003E6310">
        <w:trPr>
          <w:jc w:val="center"/>
        </w:trPr>
        <w:tc>
          <w:tcPr>
            <w:tcW w:w="2381" w:type="dxa"/>
          </w:tcPr>
          <w:p w:rsidR="003E0685" w:rsidRPr="007F5899" w:rsidRDefault="003E0685" w:rsidP="00DE569B">
            <w:pPr>
              <w:pStyle w:val="Tabletext"/>
              <w:rPr>
                <w:lang w:val="ru-RU"/>
              </w:rPr>
            </w:pPr>
            <w:r w:rsidRPr="007F5899">
              <w:rPr>
                <w:lang w:val="ru-RU"/>
              </w:rPr>
              <w:t>"</w:t>
            </w:r>
            <w:proofErr w:type="spellStart"/>
            <w:r w:rsidRPr="007F5899">
              <w:rPr>
                <w:lang w:val="ru-RU"/>
              </w:rPr>
              <w:t>Варембе</w:t>
            </w:r>
            <w:proofErr w:type="spellEnd"/>
            <w:r w:rsidRPr="007F5899">
              <w:rPr>
                <w:lang w:val="ru-RU"/>
              </w:rPr>
              <w:t xml:space="preserve"> </w:t>
            </w:r>
            <w:proofErr w:type="spellStart"/>
            <w:r w:rsidRPr="007F5899">
              <w:rPr>
                <w:lang w:val="ru-RU"/>
              </w:rPr>
              <w:t>II</w:t>
            </w:r>
            <w:proofErr w:type="spellEnd"/>
            <w:r w:rsidRPr="007F5899">
              <w:rPr>
                <w:lang w:val="ru-RU"/>
              </w:rPr>
              <w:t>"</w:t>
            </w:r>
          </w:p>
        </w:tc>
        <w:tc>
          <w:tcPr>
            <w:tcW w:w="1588" w:type="dxa"/>
          </w:tcPr>
          <w:p w:rsidR="003E0685" w:rsidRPr="007F5899" w:rsidRDefault="003E0685" w:rsidP="00DE569B">
            <w:pPr>
              <w:pStyle w:val="Tabletext"/>
              <w:rPr>
                <w:lang w:val="ru-RU"/>
              </w:rPr>
            </w:pPr>
            <w:r w:rsidRPr="007F5899">
              <w:rPr>
                <w:lang w:val="ru-RU"/>
              </w:rPr>
              <w:t xml:space="preserve">Строительство </w:t>
            </w:r>
          </w:p>
        </w:tc>
        <w:tc>
          <w:tcPr>
            <w:tcW w:w="1701" w:type="dxa"/>
          </w:tcPr>
          <w:p w:rsidR="003E0685" w:rsidRPr="007F5899" w:rsidRDefault="003E0685" w:rsidP="008E31E9">
            <w:pPr>
              <w:pStyle w:val="Tabletext"/>
              <w:jc w:val="center"/>
              <w:rPr>
                <w:lang w:val="ru-RU"/>
              </w:rPr>
            </w:pPr>
            <w:r w:rsidRPr="007F5899">
              <w:rPr>
                <w:lang w:val="ru-RU"/>
              </w:rPr>
              <w:t>150</w:t>
            </w:r>
          </w:p>
        </w:tc>
        <w:tc>
          <w:tcPr>
            <w:tcW w:w="4139" w:type="dxa"/>
          </w:tcPr>
          <w:p w:rsidR="003E0685" w:rsidRPr="007F5899" w:rsidRDefault="003E0685" w:rsidP="00DE569B">
            <w:pPr>
              <w:pStyle w:val="Tabletext"/>
              <w:rPr>
                <w:lang w:val="ru-RU"/>
              </w:rPr>
            </w:pPr>
            <w:r w:rsidRPr="007F5899">
              <w:rPr>
                <w:lang w:val="ru-RU"/>
              </w:rPr>
              <w:t>Строительство в 2021 г</w:t>
            </w:r>
            <w:r w:rsidR="008E31E9" w:rsidRPr="007F5899">
              <w:rPr>
                <w:lang w:val="ru-RU"/>
              </w:rPr>
              <w:t>оду</w:t>
            </w:r>
            <w:r w:rsidRPr="007F5899">
              <w:rPr>
                <w:lang w:val="ru-RU"/>
              </w:rPr>
              <w:t>. С учетом ориентировочных расходов на перемещение персонала и снос здания "</w:t>
            </w:r>
            <w:proofErr w:type="spellStart"/>
            <w:r w:rsidRPr="007F5899">
              <w:rPr>
                <w:lang w:val="ru-RU"/>
              </w:rPr>
              <w:t>Варембе</w:t>
            </w:r>
            <w:proofErr w:type="spellEnd"/>
            <w:r w:rsidRPr="007F5899">
              <w:rPr>
                <w:lang w:val="ru-RU"/>
              </w:rPr>
              <w:t xml:space="preserve">". </w:t>
            </w:r>
          </w:p>
        </w:tc>
      </w:tr>
      <w:tr w:rsidR="003E0685" w:rsidRPr="007F5899" w:rsidTr="003E6310">
        <w:trPr>
          <w:jc w:val="center"/>
        </w:trPr>
        <w:tc>
          <w:tcPr>
            <w:tcW w:w="2381" w:type="dxa"/>
          </w:tcPr>
          <w:p w:rsidR="003E0685" w:rsidRPr="007F5899" w:rsidRDefault="003E0685" w:rsidP="00DE569B">
            <w:pPr>
              <w:pStyle w:val="Tabletext"/>
              <w:rPr>
                <w:lang w:val="ru-RU"/>
              </w:rPr>
            </w:pPr>
            <w:r w:rsidRPr="007F5899">
              <w:rPr>
                <w:lang w:val="ru-RU"/>
              </w:rPr>
              <w:t>"</w:t>
            </w:r>
            <w:proofErr w:type="spellStart"/>
            <w:r w:rsidRPr="007F5899">
              <w:rPr>
                <w:lang w:val="ru-RU"/>
              </w:rPr>
              <w:t>Монбрийан</w:t>
            </w:r>
            <w:proofErr w:type="spellEnd"/>
            <w:r w:rsidRPr="007F5899">
              <w:rPr>
                <w:lang w:val="ru-RU"/>
              </w:rPr>
              <w:t>"</w:t>
            </w:r>
          </w:p>
        </w:tc>
        <w:tc>
          <w:tcPr>
            <w:tcW w:w="1588" w:type="dxa"/>
          </w:tcPr>
          <w:p w:rsidR="003E0685" w:rsidRPr="007F5899" w:rsidRDefault="003E0685" w:rsidP="00DE569B">
            <w:pPr>
              <w:pStyle w:val="Tabletext"/>
              <w:rPr>
                <w:lang w:val="ru-RU"/>
              </w:rPr>
            </w:pPr>
            <w:r w:rsidRPr="007F5899">
              <w:rPr>
                <w:lang w:val="ru-RU"/>
              </w:rPr>
              <w:t>Неотложные работы</w:t>
            </w:r>
          </w:p>
        </w:tc>
        <w:tc>
          <w:tcPr>
            <w:tcW w:w="1701" w:type="dxa"/>
          </w:tcPr>
          <w:p w:rsidR="003E0685" w:rsidRPr="007F5899" w:rsidRDefault="003E0685" w:rsidP="008E31E9">
            <w:pPr>
              <w:pStyle w:val="Tabletext"/>
              <w:jc w:val="center"/>
              <w:rPr>
                <w:lang w:val="ru-RU"/>
              </w:rPr>
            </w:pPr>
            <w:r w:rsidRPr="007F5899">
              <w:rPr>
                <w:lang w:val="ru-RU"/>
              </w:rPr>
              <w:t>4</w:t>
            </w:r>
          </w:p>
        </w:tc>
        <w:tc>
          <w:tcPr>
            <w:tcW w:w="4139" w:type="dxa"/>
          </w:tcPr>
          <w:p w:rsidR="003E0685" w:rsidRPr="007F5899" w:rsidRDefault="003E0685" w:rsidP="00DE569B">
            <w:pPr>
              <w:pStyle w:val="Tabletext"/>
              <w:rPr>
                <w:lang w:val="ru-RU"/>
              </w:rPr>
            </w:pPr>
          </w:p>
        </w:tc>
      </w:tr>
      <w:tr w:rsidR="003E0685" w:rsidRPr="007F5899" w:rsidTr="003E6310">
        <w:trPr>
          <w:jc w:val="center"/>
        </w:trPr>
        <w:tc>
          <w:tcPr>
            <w:tcW w:w="2381" w:type="dxa"/>
          </w:tcPr>
          <w:p w:rsidR="003E0685" w:rsidRPr="007F5899" w:rsidRDefault="003E0685" w:rsidP="00DE569B">
            <w:pPr>
              <w:pStyle w:val="Tabletext"/>
              <w:rPr>
                <w:lang w:val="ru-RU"/>
              </w:rPr>
            </w:pPr>
            <w:r w:rsidRPr="007F5899">
              <w:rPr>
                <w:lang w:val="ru-RU"/>
              </w:rPr>
              <w:t>"Башня"</w:t>
            </w:r>
          </w:p>
        </w:tc>
        <w:tc>
          <w:tcPr>
            <w:tcW w:w="1588" w:type="dxa"/>
          </w:tcPr>
          <w:p w:rsidR="003E0685" w:rsidRPr="007F5899" w:rsidRDefault="003E0685" w:rsidP="00DE569B">
            <w:pPr>
              <w:pStyle w:val="Tabletext"/>
              <w:rPr>
                <w:lang w:val="ru-RU"/>
              </w:rPr>
            </w:pPr>
            <w:r w:rsidRPr="007F5899">
              <w:rPr>
                <w:lang w:val="ru-RU"/>
              </w:rPr>
              <w:t>Неотложные работы</w:t>
            </w:r>
          </w:p>
        </w:tc>
        <w:tc>
          <w:tcPr>
            <w:tcW w:w="1701" w:type="dxa"/>
          </w:tcPr>
          <w:p w:rsidR="003E0685" w:rsidRPr="007F5899" w:rsidRDefault="003E0685" w:rsidP="008E31E9">
            <w:pPr>
              <w:pStyle w:val="Tabletext"/>
              <w:jc w:val="center"/>
              <w:rPr>
                <w:lang w:val="ru-RU"/>
              </w:rPr>
            </w:pPr>
            <w:r w:rsidRPr="007F5899">
              <w:rPr>
                <w:lang w:val="ru-RU"/>
              </w:rPr>
              <w:t>45</w:t>
            </w:r>
          </w:p>
        </w:tc>
        <w:tc>
          <w:tcPr>
            <w:tcW w:w="4139" w:type="dxa"/>
          </w:tcPr>
          <w:p w:rsidR="003E0685" w:rsidRPr="007F5899" w:rsidRDefault="003E0685" w:rsidP="00DE569B">
            <w:pPr>
              <w:pStyle w:val="Tabletext"/>
              <w:rPr>
                <w:lang w:val="ru-RU"/>
              </w:rPr>
            </w:pPr>
          </w:p>
        </w:tc>
      </w:tr>
      <w:tr w:rsidR="003E0685" w:rsidRPr="007F5899" w:rsidTr="003E6310">
        <w:trPr>
          <w:jc w:val="center"/>
        </w:trPr>
        <w:tc>
          <w:tcPr>
            <w:tcW w:w="2381" w:type="dxa"/>
          </w:tcPr>
          <w:p w:rsidR="003E0685" w:rsidRPr="007F5899" w:rsidRDefault="003E0685" w:rsidP="00DE569B">
            <w:pPr>
              <w:pStyle w:val="Tabletext"/>
              <w:rPr>
                <w:lang w:val="ru-RU"/>
              </w:rPr>
            </w:pPr>
            <w:r w:rsidRPr="007F5899">
              <w:rPr>
                <w:lang w:val="ru-RU"/>
              </w:rPr>
              <w:t>"</w:t>
            </w:r>
            <w:proofErr w:type="spellStart"/>
            <w:r w:rsidRPr="007F5899">
              <w:rPr>
                <w:lang w:val="ru-RU"/>
              </w:rPr>
              <w:t>Варембе</w:t>
            </w:r>
            <w:proofErr w:type="spellEnd"/>
            <w:r w:rsidRPr="007F5899">
              <w:rPr>
                <w:lang w:val="ru-RU"/>
              </w:rPr>
              <w:t>"</w:t>
            </w:r>
          </w:p>
        </w:tc>
        <w:tc>
          <w:tcPr>
            <w:tcW w:w="1588" w:type="dxa"/>
          </w:tcPr>
          <w:p w:rsidR="003E0685" w:rsidRPr="007F5899" w:rsidRDefault="003E0685" w:rsidP="00DE569B">
            <w:pPr>
              <w:pStyle w:val="Tabletext"/>
              <w:rPr>
                <w:lang w:val="ru-RU"/>
              </w:rPr>
            </w:pPr>
            <w:r w:rsidRPr="007F5899">
              <w:rPr>
                <w:lang w:val="ru-RU"/>
              </w:rPr>
              <w:t>Неотложные работы</w:t>
            </w:r>
          </w:p>
        </w:tc>
        <w:tc>
          <w:tcPr>
            <w:tcW w:w="1701" w:type="dxa"/>
          </w:tcPr>
          <w:p w:rsidR="003E0685" w:rsidRPr="007F5899" w:rsidRDefault="003E0685" w:rsidP="008E31E9">
            <w:pPr>
              <w:pStyle w:val="Tabletext"/>
              <w:jc w:val="center"/>
              <w:rPr>
                <w:lang w:val="ru-RU"/>
              </w:rPr>
            </w:pPr>
            <w:r w:rsidRPr="007F5899">
              <w:rPr>
                <w:lang w:val="ru-RU"/>
              </w:rPr>
              <w:t>1</w:t>
            </w:r>
          </w:p>
        </w:tc>
        <w:tc>
          <w:tcPr>
            <w:tcW w:w="4139" w:type="dxa"/>
          </w:tcPr>
          <w:p w:rsidR="003E0685" w:rsidRPr="007F5899" w:rsidRDefault="003E0685" w:rsidP="00DE569B">
            <w:pPr>
              <w:pStyle w:val="Tabletext"/>
              <w:rPr>
                <w:lang w:val="ru-RU"/>
              </w:rPr>
            </w:pPr>
            <w:r w:rsidRPr="007F5899">
              <w:rPr>
                <w:lang w:val="ru-RU"/>
              </w:rPr>
              <w:t>Снос в 2021 г</w:t>
            </w:r>
            <w:r w:rsidR="008E31E9" w:rsidRPr="007F5899">
              <w:rPr>
                <w:lang w:val="ru-RU"/>
              </w:rPr>
              <w:t>оду</w:t>
            </w:r>
            <w:r w:rsidRPr="007F5899">
              <w:rPr>
                <w:lang w:val="ru-RU"/>
              </w:rPr>
              <w:t>.</w:t>
            </w:r>
          </w:p>
        </w:tc>
      </w:tr>
      <w:tr w:rsidR="003E0685" w:rsidRPr="007F5899" w:rsidTr="003E6310">
        <w:trPr>
          <w:jc w:val="center"/>
        </w:trPr>
        <w:tc>
          <w:tcPr>
            <w:tcW w:w="2381" w:type="dxa"/>
          </w:tcPr>
          <w:p w:rsidR="003E0685" w:rsidRPr="007F5899" w:rsidRDefault="003E0685" w:rsidP="00DE569B">
            <w:pPr>
              <w:pStyle w:val="Tabletext"/>
              <w:rPr>
                <w:i/>
                <w:iCs/>
                <w:lang w:val="ru-RU"/>
              </w:rPr>
            </w:pPr>
            <w:r w:rsidRPr="007F5899">
              <w:rPr>
                <w:i/>
                <w:iCs/>
                <w:lang w:val="ru-RU"/>
              </w:rPr>
              <w:t>Финансовые издержки</w:t>
            </w:r>
          </w:p>
        </w:tc>
        <w:tc>
          <w:tcPr>
            <w:tcW w:w="1588" w:type="dxa"/>
          </w:tcPr>
          <w:p w:rsidR="003E0685" w:rsidRPr="007F5899" w:rsidRDefault="003E0685" w:rsidP="00DE569B">
            <w:pPr>
              <w:pStyle w:val="Tabletext"/>
              <w:rPr>
                <w:lang w:val="ru-RU"/>
              </w:rPr>
            </w:pPr>
          </w:p>
        </w:tc>
        <w:tc>
          <w:tcPr>
            <w:tcW w:w="1701" w:type="dxa"/>
          </w:tcPr>
          <w:p w:rsidR="003E0685" w:rsidRPr="007F5899" w:rsidRDefault="00DE569B" w:rsidP="008E31E9">
            <w:pPr>
              <w:pStyle w:val="Tabletext"/>
              <w:jc w:val="center"/>
              <w:rPr>
                <w:lang w:val="ru-RU"/>
                <w:rPrChange w:id="39" w:author="Grishina, Alexandra" w:date="2014-10-15T12:01:00Z">
                  <w:rPr/>
                </w:rPrChange>
              </w:rPr>
            </w:pPr>
            <w:r w:rsidRPr="007F5899">
              <w:rPr>
                <w:lang w:val="ru-RU"/>
              </w:rPr>
              <w:t>11,25</w:t>
            </w:r>
          </w:p>
        </w:tc>
        <w:tc>
          <w:tcPr>
            <w:tcW w:w="4139" w:type="dxa"/>
          </w:tcPr>
          <w:p w:rsidR="003E0685" w:rsidRPr="007F5899" w:rsidRDefault="003E0685" w:rsidP="00DE569B">
            <w:pPr>
              <w:pStyle w:val="Tabletext"/>
              <w:rPr>
                <w:lang w:val="ru-RU"/>
              </w:rPr>
            </w:pPr>
            <w:r w:rsidRPr="007F5899">
              <w:rPr>
                <w:lang w:val="ru-RU"/>
              </w:rPr>
              <w:t>Совокупный процент по ссудам.</w:t>
            </w:r>
          </w:p>
        </w:tc>
      </w:tr>
      <w:tr w:rsidR="003E0685" w:rsidRPr="007F5899" w:rsidTr="003E6310">
        <w:trPr>
          <w:jc w:val="center"/>
        </w:trPr>
        <w:tc>
          <w:tcPr>
            <w:tcW w:w="2381" w:type="dxa"/>
          </w:tcPr>
          <w:p w:rsidR="003E0685" w:rsidRPr="007F5899" w:rsidRDefault="003E0685" w:rsidP="00DE569B">
            <w:pPr>
              <w:pStyle w:val="Tabletext"/>
              <w:rPr>
                <w:b/>
                <w:bCs/>
                <w:lang w:val="ru-RU"/>
              </w:rPr>
            </w:pPr>
            <w:r w:rsidRPr="007F5899">
              <w:rPr>
                <w:b/>
                <w:bCs/>
                <w:lang w:val="ru-RU"/>
              </w:rPr>
              <w:t>ИТОГО</w:t>
            </w:r>
          </w:p>
        </w:tc>
        <w:tc>
          <w:tcPr>
            <w:tcW w:w="1588" w:type="dxa"/>
          </w:tcPr>
          <w:p w:rsidR="003E0685" w:rsidRPr="007F5899" w:rsidRDefault="003E0685" w:rsidP="00DE569B">
            <w:pPr>
              <w:pStyle w:val="Tabletext"/>
              <w:rPr>
                <w:b/>
                <w:bCs/>
                <w:lang w:val="ru-RU"/>
              </w:rPr>
            </w:pPr>
          </w:p>
        </w:tc>
        <w:tc>
          <w:tcPr>
            <w:tcW w:w="1701" w:type="dxa"/>
          </w:tcPr>
          <w:p w:rsidR="003E0685" w:rsidRPr="007F5899" w:rsidRDefault="00DE569B" w:rsidP="008E31E9">
            <w:pPr>
              <w:pStyle w:val="Tabletext"/>
              <w:jc w:val="center"/>
              <w:rPr>
                <w:b/>
                <w:bCs/>
                <w:lang w:val="ru-RU"/>
                <w:rPrChange w:id="40" w:author="Grishina, Alexandra" w:date="2014-10-15T12:02:00Z">
                  <w:rPr>
                    <w:b/>
                    <w:bCs/>
                  </w:rPr>
                </w:rPrChange>
              </w:rPr>
            </w:pPr>
            <w:r w:rsidRPr="007F5899">
              <w:rPr>
                <w:b/>
                <w:bCs/>
                <w:lang w:val="ru-RU"/>
              </w:rPr>
              <w:t>211,25</w:t>
            </w:r>
          </w:p>
        </w:tc>
        <w:tc>
          <w:tcPr>
            <w:tcW w:w="4139" w:type="dxa"/>
          </w:tcPr>
          <w:p w:rsidR="003E0685" w:rsidRPr="007F5899" w:rsidRDefault="003E0685" w:rsidP="00DE569B">
            <w:pPr>
              <w:pStyle w:val="Tabletext"/>
              <w:rPr>
                <w:lang w:val="ru-RU"/>
              </w:rPr>
            </w:pPr>
          </w:p>
        </w:tc>
      </w:tr>
    </w:tbl>
    <w:p w:rsidR="003E0685" w:rsidRPr="007F5899" w:rsidRDefault="003E0685" w:rsidP="003E0685">
      <w:pPr>
        <w:spacing w:before="0"/>
        <w:jc w:val="center"/>
        <w:rPr>
          <w:lang w:val="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589"/>
        <w:gridCol w:w="1700"/>
        <w:gridCol w:w="4112"/>
      </w:tblGrid>
      <w:tr w:rsidR="008E31E9" w:rsidRPr="007F5899" w:rsidTr="008E31E9">
        <w:trPr>
          <w:jc w:val="center"/>
        </w:trPr>
        <w:tc>
          <w:tcPr>
            <w:tcW w:w="2375" w:type="dxa"/>
          </w:tcPr>
          <w:p w:rsidR="003E0685" w:rsidRPr="007F5899" w:rsidRDefault="003E0685" w:rsidP="003E6310">
            <w:pPr>
              <w:pStyle w:val="Tabletext"/>
              <w:rPr>
                <w:lang w:val="ru-RU"/>
              </w:rPr>
            </w:pPr>
            <w:r w:rsidRPr="007F5899">
              <w:rPr>
                <w:lang w:val="ru-RU"/>
              </w:rPr>
              <w:t>Все здания</w:t>
            </w:r>
          </w:p>
        </w:tc>
        <w:tc>
          <w:tcPr>
            <w:tcW w:w="1589" w:type="dxa"/>
          </w:tcPr>
          <w:p w:rsidR="003E0685" w:rsidRPr="007F5899" w:rsidRDefault="003E0685" w:rsidP="003E6310">
            <w:pPr>
              <w:pStyle w:val="Tabletext"/>
              <w:rPr>
                <w:lang w:val="ru-RU"/>
              </w:rPr>
            </w:pPr>
            <w:r w:rsidRPr="007F5899">
              <w:rPr>
                <w:lang w:val="ru-RU"/>
              </w:rPr>
              <w:t>Общие ежегодные затраты</w:t>
            </w:r>
          </w:p>
        </w:tc>
        <w:tc>
          <w:tcPr>
            <w:tcW w:w="1700" w:type="dxa"/>
          </w:tcPr>
          <w:p w:rsidR="003E0685" w:rsidRPr="007F5899" w:rsidRDefault="00DE569B">
            <w:pPr>
              <w:pStyle w:val="Tabletext"/>
              <w:jc w:val="center"/>
              <w:rPr>
                <w:lang w:val="ru-RU"/>
              </w:rPr>
            </w:pPr>
            <w:r w:rsidRPr="007F5899">
              <w:rPr>
                <w:lang w:val="ru-RU"/>
              </w:rPr>
              <w:t>5,1</w:t>
            </w:r>
            <w:r w:rsidR="003E0685" w:rsidRPr="007F5899">
              <w:rPr>
                <w:lang w:val="ru-RU"/>
              </w:rPr>
              <w:t xml:space="preserve"> в год</w:t>
            </w:r>
          </w:p>
        </w:tc>
        <w:tc>
          <w:tcPr>
            <w:tcW w:w="4112" w:type="dxa"/>
          </w:tcPr>
          <w:p w:rsidR="003E0685" w:rsidRPr="007F5899" w:rsidRDefault="008E31E9" w:rsidP="00A40036">
            <w:pPr>
              <w:pStyle w:val="Tabletext"/>
              <w:tabs>
                <w:tab w:val="left" w:pos="319"/>
              </w:tabs>
              <w:ind w:left="318" w:hanging="318"/>
              <w:rPr>
                <w:szCs w:val="22"/>
                <w:lang w:val="ru-RU"/>
              </w:rPr>
            </w:pPr>
            <w:r w:rsidRPr="007F5899">
              <w:rPr>
                <w:lang w:val="ru-RU"/>
              </w:rPr>
              <w:t>−</w:t>
            </w:r>
            <w:r w:rsidRPr="007F5899">
              <w:rPr>
                <w:lang w:val="ru-RU"/>
              </w:rPr>
              <w:tab/>
            </w:r>
            <w:r w:rsidR="003E0685" w:rsidRPr="007F5899">
              <w:rPr>
                <w:lang w:val="ru-RU"/>
              </w:rPr>
              <w:t>3 миллиона швейцарских франков в год в течение 50 лет начиная с 2021 г</w:t>
            </w:r>
            <w:r w:rsidR="00A40036" w:rsidRPr="007F5899">
              <w:rPr>
                <w:lang w:val="ru-RU"/>
              </w:rPr>
              <w:t>ода</w:t>
            </w:r>
            <w:r w:rsidR="003E0685" w:rsidRPr="007F5899">
              <w:rPr>
                <w:lang w:val="ru-RU"/>
              </w:rPr>
              <w:t xml:space="preserve"> по новому зданию.</w:t>
            </w:r>
          </w:p>
          <w:p w:rsidR="003E0685" w:rsidRPr="007F5899" w:rsidRDefault="008E31E9" w:rsidP="008E31E9">
            <w:pPr>
              <w:pStyle w:val="Tabletext"/>
              <w:tabs>
                <w:tab w:val="left" w:pos="319"/>
              </w:tabs>
              <w:ind w:left="318" w:hanging="318"/>
              <w:rPr>
                <w:lang w:val="ru-RU"/>
              </w:rPr>
            </w:pPr>
            <w:r w:rsidRPr="007F5899">
              <w:rPr>
                <w:lang w:val="ru-RU"/>
              </w:rPr>
              <w:t>−</w:t>
            </w:r>
            <w:r w:rsidRPr="007F5899">
              <w:rPr>
                <w:lang w:val="ru-RU"/>
              </w:rPr>
              <w:tab/>
            </w:r>
            <w:r w:rsidR="003E0685" w:rsidRPr="007F5899">
              <w:rPr>
                <w:lang w:val="ru-RU"/>
              </w:rPr>
              <w:t>1,7 миллиона швейцарских франков в год в течение 30 лет плюс средний процент в размере 0,</w:t>
            </w:r>
            <w:r w:rsidR="00DE569B" w:rsidRPr="007F5899">
              <w:rPr>
                <w:lang w:val="ru-RU"/>
              </w:rPr>
              <w:t>4</w:t>
            </w:r>
            <w:r w:rsidR="003E0685" w:rsidRPr="007F5899">
              <w:rPr>
                <w:lang w:val="ru-RU"/>
              </w:rPr>
              <w:t xml:space="preserve"> миллиона швейцарских франков начиная (вероятная дата) с 2025 года за ремонт зданий "Башня" и "</w:t>
            </w:r>
            <w:proofErr w:type="spellStart"/>
            <w:r w:rsidR="003E0685" w:rsidRPr="007F5899">
              <w:rPr>
                <w:lang w:val="ru-RU"/>
              </w:rPr>
              <w:t>Монбрийан</w:t>
            </w:r>
            <w:proofErr w:type="spellEnd"/>
            <w:r w:rsidR="003E0685" w:rsidRPr="007F5899">
              <w:rPr>
                <w:lang w:val="ru-RU"/>
              </w:rPr>
              <w:t>".</w:t>
            </w:r>
          </w:p>
        </w:tc>
      </w:tr>
    </w:tbl>
    <w:p w:rsidR="003E0685" w:rsidRPr="007F5899" w:rsidRDefault="003E0685" w:rsidP="003E0685">
      <w:pPr>
        <w:spacing w:before="0"/>
        <w:jc w:val="center"/>
        <w:rPr>
          <w:lang w:val="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13"/>
        <w:gridCol w:w="1746"/>
        <w:gridCol w:w="4112"/>
      </w:tblGrid>
      <w:tr w:rsidR="003E0685" w:rsidRPr="007F5899" w:rsidTr="008E31E9">
        <w:trPr>
          <w:jc w:val="center"/>
        </w:trPr>
        <w:tc>
          <w:tcPr>
            <w:tcW w:w="2405" w:type="dxa"/>
          </w:tcPr>
          <w:p w:rsidR="003E0685" w:rsidRPr="007F5899" w:rsidRDefault="003E0685" w:rsidP="003E6310">
            <w:pPr>
              <w:pStyle w:val="Tabletext"/>
              <w:rPr>
                <w:lang w:val="ru-RU"/>
              </w:rPr>
            </w:pPr>
            <w:r w:rsidRPr="007F5899">
              <w:rPr>
                <w:lang w:val="ru-RU"/>
              </w:rPr>
              <w:t>Все здания</w:t>
            </w:r>
          </w:p>
        </w:tc>
        <w:tc>
          <w:tcPr>
            <w:tcW w:w="1513" w:type="dxa"/>
          </w:tcPr>
          <w:p w:rsidR="003E0685" w:rsidRPr="007F5899" w:rsidRDefault="003E0685" w:rsidP="003E6310">
            <w:pPr>
              <w:pStyle w:val="Tabletext"/>
              <w:rPr>
                <w:lang w:val="ru-RU"/>
              </w:rPr>
            </w:pPr>
            <w:r w:rsidRPr="007F5899">
              <w:rPr>
                <w:lang w:val="ru-RU"/>
              </w:rPr>
              <w:t>Долгосрочное обслуживание</w:t>
            </w:r>
          </w:p>
        </w:tc>
        <w:tc>
          <w:tcPr>
            <w:tcW w:w="1746" w:type="dxa"/>
          </w:tcPr>
          <w:p w:rsidR="003E0685" w:rsidRPr="007F5899" w:rsidRDefault="003E0685" w:rsidP="003E6310">
            <w:pPr>
              <w:pStyle w:val="Tabletext"/>
              <w:jc w:val="center"/>
              <w:rPr>
                <w:lang w:val="ru-RU"/>
              </w:rPr>
            </w:pPr>
            <w:r w:rsidRPr="007F5899">
              <w:rPr>
                <w:lang w:val="ru-RU"/>
              </w:rPr>
              <w:t>2,5 в год</w:t>
            </w:r>
          </w:p>
        </w:tc>
        <w:tc>
          <w:tcPr>
            <w:tcW w:w="4112" w:type="dxa"/>
          </w:tcPr>
          <w:p w:rsidR="003E0685" w:rsidRPr="007F5899" w:rsidRDefault="003E0685" w:rsidP="003E6310">
            <w:pPr>
              <w:pStyle w:val="Tabletext"/>
              <w:rPr>
                <w:lang w:val="ru-RU"/>
              </w:rPr>
            </w:pPr>
            <w:r w:rsidRPr="007F5899">
              <w:rPr>
                <w:lang w:val="ru-RU"/>
              </w:rPr>
              <w:t>1% от оценочной стоимости здания по страхованию от огня в год.</w:t>
            </w:r>
          </w:p>
        </w:tc>
      </w:tr>
    </w:tbl>
    <w:p w:rsidR="003E0685" w:rsidRPr="007F5899" w:rsidRDefault="003E0685" w:rsidP="00695E43">
      <w:pPr>
        <w:rPr>
          <w:lang w:val="ru-RU"/>
        </w:rPr>
      </w:pPr>
      <w:r w:rsidRPr="007F5899">
        <w:rPr>
          <w:lang w:val="ru-RU"/>
        </w:rPr>
        <w:t>5.17</w:t>
      </w:r>
      <w:r w:rsidRPr="007F5899">
        <w:rPr>
          <w:lang w:val="ru-RU"/>
        </w:rPr>
        <w:tab/>
        <w:t xml:space="preserve">Вариант 1 также предполагает следующее: </w:t>
      </w:r>
    </w:p>
    <w:p w:rsidR="003E0685" w:rsidRPr="007F5899" w:rsidRDefault="003E0685" w:rsidP="00695E43">
      <w:pPr>
        <w:pStyle w:val="enumlev1"/>
        <w:rPr>
          <w:lang w:val="ru-RU"/>
        </w:rPr>
      </w:pPr>
      <w:r w:rsidRPr="007F5899">
        <w:rPr>
          <w:lang w:val="ru-RU"/>
        </w:rPr>
        <w:t>–</w:t>
      </w:r>
      <w:r w:rsidRPr="007F5899">
        <w:rPr>
          <w:lang w:val="ru-RU"/>
        </w:rPr>
        <w:tab/>
        <w:t xml:space="preserve">вероятность увеличения стоимости основных средств (в результате переоценки нового здания); </w:t>
      </w:r>
    </w:p>
    <w:p w:rsidR="003E0685" w:rsidRPr="007F5899" w:rsidRDefault="003E0685" w:rsidP="00695E43">
      <w:pPr>
        <w:pStyle w:val="enumlev1"/>
        <w:rPr>
          <w:lang w:val="ru-RU"/>
        </w:rPr>
      </w:pPr>
      <w:r w:rsidRPr="007F5899">
        <w:rPr>
          <w:lang w:val="ru-RU"/>
        </w:rPr>
        <w:t>–</w:t>
      </w:r>
      <w:r w:rsidRPr="007F5899">
        <w:rPr>
          <w:lang w:val="ru-RU"/>
        </w:rPr>
        <w:tab/>
        <w:t>снижение объема платежей за коммунальные услуги ввиду сокращения воздействия на окружающую среду (за счет применения более эффективных систем в новом здании и в зданиях "Башня" и "</w:t>
      </w:r>
      <w:proofErr w:type="spellStart"/>
      <w:r w:rsidRPr="007F5899">
        <w:rPr>
          <w:lang w:val="ru-RU"/>
        </w:rPr>
        <w:t>Монбрийан</w:t>
      </w:r>
      <w:proofErr w:type="spellEnd"/>
      <w:r w:rsidRPr="007F5899">
        <w:rPr>
          <w:lang w:val="ru-RU"/>
        </w:rPr>
        <w:t xml:space="preserve">" после ремонта); </w:t>
      </w:r>
    </w:p>
    <w:p w:rsidR="003E0685" w:rsidRPr="007F5899" w:rsidRDefault="003E0685" w:rsidP="00695E43">
      <w:pPr>
        <w:pStyle w:val="enumlev1"/>
        <w:rPr>
          <w:lang w:val="ru-RU"/>
        </w:rPr>
      </w:pPr>
      <w:r w:rsidRPr="007F5899">
        <w:rPr>
          <w:lang w:val="ru-RU"/>
        </w:rPr>
        <w:t>–</w:t>
      </w:r>
      <w:r w:rsidRPr="007F5899">
        <w:rPr>
          <w:lang w:val="ru-RU"/>
        </w:rPr>
        <w:tab/>
        <w:t xml:space="preserve">увеличение размеров объекта на 8% (новые площади являются модульными и включают расширение зала заседаний на 400 посадочных мест, что ведет к увеличению на 30% в масштабах всего объекта); </w:t>
      </w:r>
    </w:p>
    <w:p w:rsidR="003E0685" w:rsidRPr="007F5899" w:rsidRDefault="003E0685" w:rsidP="00356558">
      <w:pPr>
        <w:pStyle w:val="enumlev1"/>
        <w:rPr>
          <w:lang w:val="ru-RU"/>
        </w:rPr>
      </w:pPr>
      <w:r w:rsidRPr="007F5899">
        <w:rPr>
          <w:lang w:val="ru-RU"/>
        </w:rPr>
        <w:t>–</w:t>
      </w:r>
      <w:r w:rsidRPr="007F5899">
        <w:rPr>
          <w:lang w:val="ru-RU"/>
        </w:rPr>
        <w:tab/>
        <w:t>повышенное качество жизни для персонала и делегатов, особенно в здании "</w:t>
      </w:r>
      <w:proofErr w:type="spellStart"/>
      <w:r w:rsidRPr="007F5899">
        <w:rPr>
          <w:lang w:val="ru-RU"/>
        </w:rPr>
        <w:t>Варембе</w:t>
      </w:r>
      <w:proofErr w:type="spellEnd"/>
      <w:r w:rsidRPr="007F5899">
        <w:rPr>
          <w:lang w:val="ru-RU"/>
        </w:rPr>
        <w:t xml:space="preserve"> </w:t>
      </w:r>
      <w:proofErr w:type="spellStart"/>
      <w:r w:rsidRPr="007F5899">
        <w:rPr>
          <w:lang w:val="ru-RU"/>
        </w:rPr>
        <w:t>II</w:t>
      </w:r>
      <w:proofErr w:type="spellEnd"/>
      <w:r w:rsidR="00356558" w:rsidRPr="007F5899">
        <w:rPr>
          <w:lang w:val="ru-RU"/>
        </w:rPr>
        <w:t>"</w:t>
      </w:r>
      <w:r w:rsidRPr="007F5899">
        <w:rPr>
          <w:lang w:val="ru-RU"/>
        </w:rPr>
        <w:t>;</w:t>
      </w:r>
    </w:p>
    <w:p w:rsidR="003E0685" w:rsidRPr="007F5899" w:rsidRDefault="003E0685" w:rsidP="00695E43">
      <w:pPr>
        <w:pStyle w:val="enumlev1"/>
        <w:rPr>
          <w:lang w:val="ru-RU"/>
        </w:rPr>
      </w:pPr>
      <w:r w:rsidRPr="007F5899">
        <w:rPr>
          <w:lang w:val="ru-RU"/>
        </w:rPr>
        <w:t>–</w:t>
      </w:r>
      <w:r w:rsidRPr="007F5899">
        <w:rPr>
          <w:lang w:val="ru-RU"/>
        </w:rPr>
        <w:tab/>
        <w:t xml:space="preserve">перенос главного входа на улицу </w:t>
      </w:r>
      <w:proofErr w:type="spellStart"/>
      <w:r w:rsidRPr="007F5899">
        <w:rPr>
          <w:lang w:val="ru-RU"/>
        </w:rPr>
        <w:t>Варембе</w:t>
      </w:r>
      <w:proofErr w:type="spellEnd"/>
      <w:r w:rsidRPr="007F5899">
        <w:rPr>
          <w:lang w:val="ru-RU"/>
        </w:rPr>
        <w:t xml:space="preserve"> (более спокойное дорожное движение, проще обеспечить охрану силами страны пребывания); </w:t>
      </w:r>
    </w:p>
    <w:p w:rsidR="003E0685" w:rsidRPr="007F5899" w:rsidRDefault="003E0685" w:rsidP="00695E43">
      <w:pPr>
        <w:pStyle w:val="enumlev1"/>
        <w:rPr>
          <w:lang w:val="ru-RU"/>
        </w:rPr>
      </w:pPr>
      <w:r w:rsidRPr="007F5899">
        <w:rPr>
          <w:lang w:val="ru-RU"/>
        </w:rPr>
        <w:t>–</w:t>
      </w:r>
      <w:r w:rsidRPr="007F5899">
        <w:rPr>
          <w:lang w:val="ru-RU"/>
        </w:rPr>
        <w:tab/>
        <w:t>влияние ежегодного оттока денежных средств в связи с заменой здания "</w:t>
      </w:r>
      <w:proofErr w:type="spellStart"/>
      <w:r w:rsidRPr="007F5899">
        <w:rPr>
          <w:lang w:val="ru-RU"/>
        </w:rPr>
        <w:t>Варембе</w:t>
      </w:r>
      <w:proofErr w:type="spellEnd"/>
      <w:r w:rsidRPr="007F5899">
        <w:rPr>
          <w:lang w:val="ru-RU"/>
        </w:rPr>
        <w:t>", что составляет 3 миллиона швейцарских франков только на погашение беспроцентной ссуды (в течение 50 лет);</w:t>
      </w:r>
    </w:p>
    <w:p w:rsidR="003E0685" w:rsidRPr="007F5899" w:rsidRDefault="003E0685" w:rsidP="00613DB9">
      <w:pPr>
        <w:pStyle w:val="enumlev1"/>
        <w:rPr>
          <w:lang w:val="ru-RU"/>
        </w:rPr>
      </w:pPr>
      <w:r w:rsidRPr="007F5899">
        <w:rPr>
          <w:lang w:val="ru-RU"/>
        </w:rPr>
        <w:t>–</w:t>
      </w:r>
      <w:r w:rsidRPr="007F5899">
        <w:rPr>
          <w:lang w:val="ru-RU"/>
        </w:rPr>
        <w:tab/>
        <w:t xml:space="preserve">работы по ремонту всех зданий (50 миллионов швейцарских франков), в принципе, можно было бы финансировать на основании </w:t>
      </w:r>
      <w:r w:rsidR="007E7CC1" w:rsidRPr="007F5899">
        <w:rPr>
          <w:lang w:val="ru-RU"/>
        </w:rPr>
        <w:t>проц</w:t>
      </w:r>
      <w:r w:rsidR="00613DB9" w:rsidRPr="007F5899">
        <w:rPr>
          <w:lang w:val="ru-RU"/>
        </w:rPr>
        <w:t>ентной ссуды</w:t>
      </w:r>
      <w:r w:rsidR="007E7CC1" w:rsidRPr="007F5899">
        <w:rPr>
          <w:lang w:val="ru-RU"/>
        </w:rPr>
        <w:t>, подлежаще</w:t>
      </w:r>
      <w:r w:rsidR="00613DB9" w:rsidRPr="007F5899">
        <w:rPr>
          <w:lang w:val="ru-RU"/>
        </w:rPr>
        <w:t>й</w:t>
      </w:r>
      <w:r w:rsidR="007E7CC1" w:rsidRPr="007F5899">
        <w:rPr>
          <w:lang w:val="ru-RU"/>
        </w:rPr>
        <w:t xml:space="preserve"> погашению в течение 30 лет. Более подробно об у</w:t>
      </w:r>
      <w:r w:rsidR="00FB0022" w:rsidRPr="007F5899">
        <w:rPr>
          <w:lang w:val="ru-RU"/>
        </w:rPr>
        <w:t>с</w:t>
      </w:r>
      <w:r w:rsidR="007E7CC1" w:rsidRPr="007F5899">
        <w:rPr>
          <w:lang w:val="ru-RU"/>
        </w:rPr>
        <w:t xml:space="preserve">ловиях таких </w:t>
      </w:r>
      <w:r w:rsidR="00613DB9" w:rsidRPr="007F5899">
        <w:rPr>
          <w:lang w:val="ru-RU"/>
        </w:rPr>
        <w:t>ссуд</w:t>
      </w:r>
      <w:r w:rsidR="007E7CC1" w:rsidRPr="007F5899">
        <w:rPr>
          <w:lang w:val="ru-RU"/>
        </w:rPr>
        <w:t xml:space="preserve"> на цели </w:t>
      </w:r>
      <w:r w:rsidR="00993E27" w:rsidRPr="007F5899">
        <w:rPr>
          <w:lang w:val="ru-RU"/>
        </w:rPr>
        <w:t>ремонта</w:t>
      </w:r>
      <w:r w:rsidR="007E7CC1" w:rsidRPr="007F5899">
        <w:rPr>
          <w:lang w:val="ru-RU"/>
        </w:rPr>
        <w:t xml:space="preserve"> см. </w:t>
      </w:r>
      <w:r w:rsidR="007E7CC1" w:rsidRPr="007F5899">
        <w:rPr>
          <w:szCs w:val="24"/>
          <w:lang w:val="ru-RU"/>
        </w:rPr>
        <w:t>п. 1.5</w:t>
      </w:r>
      <w:r w:rsidRPr="007F5899">
        <w:rPr>
          <w:lang w:val="ru-RU"/>
        </w:rPr>
        <w:t>;</w:t>
      </w:r>
    </w:p>
    <w:p w:rsidR="003E0685" w:rsidRPr="007F5899" w:rsidRDefault="003E0685" w:rsidP="00695E43">
      <w:pPr>
        <w:pStyle w:val="enumlev1"/>
        <w:rPr>
          <w:lang w:val="ru-RU"/>
        </w:rPr>
      </w:pPr>
      <w:r w:rsidRPr="007F5899">
        <w:rPr>
          <w:lang w:val="ru-RU"/>
        </w:rPr>
        <w:t>–</w:t>
      </w:r>
      <w:r w:rsidRPr="007F5899">
        <w:rPr>
          <w:lang w:val="ru-RU"/>
        </w:rPr>
        <w:tab/>
        <w:t>при наличии помещений в новом здании "</w:t>
      </w:r>
      <w:proofErr w:type="spellStart"/>
      <w:r w:rsidRPr="007F5899">
        <w:rPr>
          <w:lang w:val="ru-RU"/>
        </w:rPr>
        <w:t>Варембе</w:t>
      </w:r>
      <w:proofErr w:type="spellEnd"/>
      <w:r w:rsidRPr="007F5899">
        <w:rPr>
          <w:lang w:val="ru-RU"/>
        </w:rPr>
        <w:t xml:space="preserve"> </w:t>
      </w:r>
      <w:proofErr w:type="spellStart"/>
      <w:r w:rsidRPr="007F5899">
        <w:rPr>
          <w:lang w:val="ru-RU"/>
        </w:rPr>
        <w:t>II</w:t>
      </w:r>
      <w:proofErr w:type="spellEnd"/>
      <w:r w:rsidRPr="007F5899">
        <w:rPr>
          <w:lang w:val="ru-RU"/>
        </w:rPr>
        <w:t>" для перемещения персонала на период ремонта здания "Башня" временные расходы на аренду исключаются.</w:t>
      </w:r>
    </w:p>
    <w:p w:rsidR="00695E43" w:rsidRPr="007F5899" w:rsidRDefault="00695E43" w:rsidP="00695E43">
      <w:pPr>
        <w:pStyle w:val="Heading1"/>
        <w:rPr>
          <w:lang w:val="ru-RU"/>
        </w:rPr>
      </w:pPr>
      <w:r w:rsidRPr="007F5899">
        <w:rPr>
          <w:lang w:val="ru-RU"/>
        </w:rPr>
        <w:lastRenderedPageBreak/>
        <w:t>6</w:t>
      </w:r>
      <w:r w:rsidRPr="007F5899">
        <w:rPr>
          <w:lang w:val="ru-RU"/>
        </w:rPr>
        <w:tab/>
        <w:t>Вариант 2: ремонт здания "</w:t>
      </w:r>
      <w:proofErr w:type="spellStart"/>
      <w:r w:rsidRPr="007F5899">
        <w:rPr>
          <w:lang w:val="ru-RU"/>
        </w:rPr>
        <w:t>Варембе</w:t>
      </w:r>
      <w:proofErr w:type="spellEnd"/>
      <w:r w:rsidRPr="007F5899">
        <w:rPr>
          <w:lang w:val="ru-RU"/>
        </w:rPr>
        <w:t xml:space="preserve"> I" с ремонтом остальных зданий штаб-квартиры</w:t>
      </w:r>
    </w:p>
    <w:p w:rsidR="00695E43" w:rsidRPr="007F5899" w:rsidRDefault="00695E43" w:rsidP="00695E43">
      <w:pPr>
        <w:rPr>
          <w:lang w:val="ru-RU"/>
        </w:rPr>
      </w:pPr>
      <w:r w:rsidRPr="007F5899">
        <w:rPr>
          <w:lang w:val="ru-RU"/>
        </w:rPr>
        <w:t>6.1</w:t>
      </w:r>
      <w:r w:rsidRPr="007F5899">
        <w:rPr>
          <w:lang w:val="ru-RU"/>
        </w:rPr>
        <w:tab/>
        <w:t>В данном варианте рассматривается ремонт здания "</w:t>
      </w:r>
      <w:proofErr w:type="spellStart"/>
      <w:r w:rsidRPr="007F5899">
        <w:rPr>
          <w:lang w:val="ru-RU"/>
        </w:rPr>
        <w:t>Варембе</w:t>
      </w:r>
      <w:proofErr w:type="spellEnd"/>
      <w:r w:rsidRPr="007F5899">
        <w:rPr>
          <w:lang w:val="ru-RU"/>
        </w:rPr>
        <w:t>" в возможном объеме в сочетании с ремонтом зданий "Башня" и "</w:t>
      </w:r>
      <w:proofErr w:type="spellStart"/>
      <w:r w:rsidRPr="007F5899">
        <w:rPr>
          <w:lang w:val="ru-RU"/>
        </w:rPr>
        <w:t>Монбрийан</w:t>
      </w:r>
      <w:proofErr w:type="spellEnd"/>
      <w:r w:rsidRPr="007F5899">
        <w:rPr>
          <w:lang w:val="ru-RU"/>
        </w:rPr>
        <w:t>", который проводится в обоих случаях: и в данном варианте, и в варианте с заменой. Реконструированное здание "</w:t>
      </w:r>
      <w:proofErr w:type="spellStart"/>
      <w:r w:rsidRPr="007F5899">
        <w:rPr>
          <w:lang w:val="ru-RU"/>
        </w:rPr>
        <w:t>Варембе</w:t>
      </w:r>
      <w:proofErr w:type="spellEnd"/>
      <w:r w:rsidRPr="007F5899">
        <w:rPr>
          <w:lang w:val="ru-RU"/>
        </w:rPr>
        <w:t xml:space="preserve">" не будет обладать функциональностью и качеством, свойственными новому зданию. Как таковое, оно вряд ли будет обладать тем же потенциалом в отношении последующей переоценки. В целях системного подхода долгосрочное обслуживание оценивается на уровне 1% от оценочной стоимости здания по страхованию от огня. </w:t>
      </w:r>
    </w:p>
    <w:p w:rsidR="00695E43" w:rsidRPr="007F5899" w:rsidRDefault="00695E43" w:rsidP="00695E43">
      <w:pPr>
        <w:rPr>
          <w:lang w:val="ru-RU"/>
        </w:rPr>
      </w:pPr>
      <w:r w:rsidRPr="007F5899">
        <w:rPr>
          <w:lang w:val="ru-RU"/>
        </w:rPr>
        <w:t>6.2</w:t>
      </w:r>
      <w:r w:rsidRPr="007F5899">
        <w:rPr>
          <w:lang w:val="ru-RU"/>
        </w:rPr>
        <w:tab/>
        <w:t>После ремонта полезная площадь в здании "</w:t>
      </w:r>
      <w:proofErr w:type="spellStart"/>
      <w:r w:rsidRPr="007F5899">
        <w:rPr>
          <w:lang w:val="ru-RU"/>
        </w:rPr>
        <w:t>Варембе</w:t>
      </w:r>
      <w:proofErr w:type="spellEnd"/>
      <w:r w:rsidRPr="007F5899">
        <w:rPr>
          <w:lang w:val="ru-RU"/>
        </w:rPr>
        <w:t>" сократится ввиду его модернизации с целью обеспечения безопасности и доступности, следовательно, реконструированное здание будет значительно меньше планируемого объема здания "</w:t>
      </w:r>
      <w:proofErr w:type="spellStart"/>
      <w:r w:rsidRPr="007F5899">
        <w:rPr>
          <w:lang w:val="ru-RU"/>
        </w:rPr>
        <w:t>Варембе</w:t>
      </w:r>
      <w:proofErr w:type="spellEnd"/>
      <w:r w:rsidRPr="007F5899">
        <w:rPr>
          <w:lang w:val="ru-RU"/>
        </w:rPr>
        <w:t xml:space="preserve"> </w:t>
      </w:r>
      <w:proofErr w:type="spellStart"/>
      <w:r w:rsidRPr="007F5899">
        <w:rPr>
          <w:lang w:val="ru-RU"/>
        </w:rPr>
        <w:t>II</w:t>
      </w:r>
      <w:proofErr w:type="spellEnd"/>
      <w:r w:rsidRPr="007F5899">
        <w:rPr>
          <w:lang w:val="ru-RU"/>
        </w:rPr>
        <w:t>". В частности, общее количество мест в зале заседаний сократится даже по сравнению с их нынешним недостаточным числом, так как требования по обеспечению доступности будут реализованы в существующем помещении. Это влечет за собой риск возникновения расходов по аренде залов заседаний в периоды пиковой потребности.</w:t>
      </w:r>
    </w:p>
    <w:p w:rsidR="00695E43" w:rsidRPr="007F5899" w:rsidRDefault="00695E43" w:rsidP="00695E43">
      <w:pPr>
        <w:rPr>
          <w:lang w:val="ru-RU"/>
        </w:rPr>
      </w:pPr>
      <w:r w:rsidRPr="007F5899">
        <w:rPr>
          <w:lang w:val="ru-RU"/>
        </w:rPr>
        <w:t>6.3</w:t>
      </w:r>
      <w:r w:rsidRPr="007F5899">
        <w:rPr>
          <w:lang w:val="ru-RU"/>
        </w:rPr>
        <w:tab/>
        <w:t>В 2009 году внешней экспертной проектно-конструкторской консультационной фирмой (</w:t>
      </w:r>
      <w:proofErr w:type="spellStart"/>
      <w:r w:rsidRPr="007F5899">
        <w:rPr>
          <w:lang w:val="ru-RU"/>
        </w:rPr>
        <w:t>Brodbeck-Roulet</w:t>
      </w:r>
      <w:proofErr w:type="spellEnd"/>
      <w:r w:rsidRPr="007F5899">
        <w:rPr>
          <w:lang w:val="ru-RU"/>
        </w:rPr>
        <w:t>) было проведено исследование, которое подтвердило, что теплоизоляция фасадов здания "</w:t>
      </w:r>
      <w:proofErr w:type="spellStart"/>
      <w:r w:rsidRPr="007F5899">
        <w:rPr>
          <w:lang w:val="ru-RU"/>
        </w:rPr>
        <w:t>Варембе</w:t>
      </w:r>
      <w:proofErr w:type="spellEnd"/>
      <w:r w:rsidRPr="007F5899">
        <w:rPr>
          <w:lang w:val="ru-RU"/>
        </w:rPr>
        <w:t xml:space="preserve">" значительно уступает действующим нормам, но ее можно было бы улучшить путем капитального ремонта. Стоимость такого ремонта, включая замену устаревших систем отопления, охлаждения и распределения электроэнергии, составит 30 миллионов швейцарских франков с учетом индексации, составленной в 2009 году сметы по ценам 2014 года. </w:t>
      </w:r>
    </w:p>
    <w:p w:rsidR="00695E43" w:rsidRPr="007F5899" w:rsidRDefault="00695E43" w:rsidP="00A40036">
      <w:pPr>
        <w:rPr>
          <w:lang w:val="ru-RU"/>
        </w:rPr>
      </w:pPr>
      <w:r w:rsidRPr="007F5899">
        <w:rPr>
          <w:lang w:val="ru-RU"/>
        </w:rPr>
        <w:t>6.</w:t>
      </w:r>
      <w:proofErr w:type="gramStart"/>
      <w:r w:rsidRPr="007F5899">
        <w:rPr>
          <w:lang w:val="ru-RU"/>
        </w:rPr>
        <w:t>4</w:t>
      </w:r>
      <w:proofErr w:type="gramEnd"/>
      <w:r w:rsidRPr="007F5899">
        <w:rPr>
          <w:lang w:val="ru-RU"/>
        </w:rPr>
        <w:tab/>
        <w:t>Однако данные затраты не включают работы по модернизации других компонентов здания, построенного в 1950</w:t>
      </w:r>
      <w:r w:rsidR="00A40036" w:rsidRPr="007F5899">
        <w:rPr>
          <w:lang w:val="ru-RU"/>
        </w:rPr>
        <w:t>−19</w:t>
      </w:r>
      <w:r w:rsidRPr="007F5899">
        <w:rPr>
          <w:lang w:val="ru-RU"/>
        </w:rPr>
        <w:t>60 год</w:t>
      </w:r>
      <w:r w:rsidR="00A40036" w:rsidRPr="007F5899">
        <w:rPr>
          <w:lang w:val="ru-RU"/>
        </w:rPr>
        <w:t>ах</w:t>
      </w:r>
      <w:r w:rsidRPr="007F5899">
        <w:rPr>
          <w:lang w:val="ru-RU"/>
        </w:rPr>
        <w:t>, а также затраты, которые потребуются на обеспечение соответствия нынешним стандартам безопасности и доступности</w:t>
      </w:r>
      <w:r w:rsidRPr="007F5899">
        <w:rPr>
          <w:rStyle w:val="FootnoteReference"/>
          <w:lang w:val="ru-RU"/>
        </w:rPr>
        <w:footnoteReference w:id="4"/>
      </w:r>
      <w:r w:rsidRPr="007F5899">
        <w:rPr>
          <w:lang w:val="ru-RU"/>
        </w:rPr>
        <w:t>. Согласно текущей оценке эти затраты увеличат общую смету еще на 17 миллионов швейцарских франков.</w:t>
      </w:r>
    </w:p>
    <w:p w:rsidR="00695E43" w:rsidRPr="007F5899" w:rsidRDefault="00695E43" w:rsidP="00613DB9">
      <w:pPr>
        <w:rPr>
          <w:lang w:val="ru-RU"/>
        </w:rPr>
      </w:pPr>
      <w:r w:rsidRPr="007F5899">
        <w:rPr>
          <w:lang w:val="ru-RU"/>
        </w:rPr>
        <w:t>6.5</w:t>
      </w:r>
      <w:r w:rsidRPr="007F5899">
        <w:rPr>
          <w:lang w:val="ru-RU"/>
        </w:rPr>
        <w:tab/>
        <w:t>К данной ориентировочной сумме в 47 миллионов швейцарских франков необходимо добавить затраты по перемещению персонала на период проведения строительных работ, которые оцениваются еще в 5,3 миллиона швейцарских франков в год на протяжении 36 месяцев. Таким образом, общая стоимость данного проекта составит 63 миллиона швейцарских франков, и финансироваться он</w:t>
      </w:r>
      <w:r w:rsidR="00613DB9" w:rsidRPr="007F5899">
        <w:rPr>
          <w:lang w:val="ru-RU"/>
        </w:rPr>
        <w:t xml:space="preserve"> </w:t>
      </w:r>
      <w:r w:rsidRPr="007F5899">
        <w:rPr>
          <w:lang w:val="ru-RU"/>
        </w:rPr>
        <w:t>будет за счет процентных ссуд</w:t>
      </w:r>
      <w:r w:rsidR="00532E0C" w:rsidRPr="007F5899">
        <w:rPr>
          <w:lang w:val="ru-RU"/>
        </w:rPr>
        <w:t xml:space="preserve"> на цели </w:t>
      </w:r>
      <w:r w:rsidR="00993E27" w:rsidRPr="007F5899">
        <w:rPr>
          <w:lang w:val="ru-RU"/>
        </w:rPr>
        <w:t>ремонта</w:t>
      </w:r>
      <w:r w:rsidRPr="007F5899">
        <w:rPr>
          <w:lang w:val="ru-RU"/>
        </w:rPr>
        <w:t>, предоставленных страной пребывания.</w:t>
      </w:r>
    </w:p>
    <w:p w:rsidR="00695E43" w:rsidRPr="007F5899" w:rsidRDefault="00695E43" w:rsidP="00AB45D7">
      <w:pPr>
        <w:rPr>
          <w:lang w:val="ru-RU"/>
        </w:rPr>
      </w:pPr>
      <w:r w:rsidRPr="007F5899">
        <w:rPr>
          <w:lang w:val="ru-RU"/>
        </w:rPr>
        <w:t>6.6</w:t>
      </w:r>
      <w:r w:rsidRPr="007F5899">
        <w:rPr>
          <w:lang w:val="ru-RU"/>
        </w:rPr>
        <w:tab/>
        <w:t>Погашение такой ссуды в течение 30 лет означало бы выплату ежегодных взносов в размере 2,1 миллиона швейцарских франков в счет тела кредита плюс проценты по льготной ставке 1</w:t>
      </w:r>
      <w:r w:rsidR="000F31C9" w:rsidRPr="007F5899">
        <w:rPr>
          <w:lang w:val="ru-RU"/>
        </w:rPr>
        <w:t>,5</w:t>
      </w:r>
      <w:r w:rsidRPr="007F5899">
        <w:rPr>
          <w:lang w:val="ru-RU"/>
        </w:rPr>
        <w:t>% в</w:t>
      </w:r>
      <w:r w:rsidR="00AB45D7" w:rsidRPr="007F5899">
        <w:rPr>
          <w:lang w:val="ru-RU"/>
        </w:rPr>
        <w:t> </w:t>
      </w:r>
      <w:r w:rsidRPr="007F5899">
        <w:rPr>
          <w:lang w:val="ru-RU"/>
        </w:rPr>
        <w:t xml:space="preserve">год. </w:t>
      </w:r>
    </w:p>
    <w:p w:rsidR="00695E43" w:rsidRPr="007F5899" w:rsidRDefault="00695E43" w:rsidP="00695E43">
      <w:pPr>
        <w:rPr>
          <w:lang w:val="ru-RU"/>
        </w:rPr>
      </w:pPr>
      <w:r w:rsidRPr="007F5899">
        <w:rPr>
          <w:lang w:val="ru-RU"/>
        </w:rPr>
        <w:t>6.7</w:t>
      </w:r>
      <w:r w:rsidRPr="007F5899">
        <w:rPr>
          <w:lang w:val="ru-RU"/>
        </w:rPr>
        <w:tab/>
        <w:t>Кроме того, следует принимать во внимание затраты на ремонт зданий "</w:t>
      </w:r>
      <w:proofErr w:type="spellStart"/>
      <w:r w:rsidRPr="007F5899">
        <w:rPr>
          <w:lang w:val="ru-RU"/>
        </w:rPr>
        <w:t>Монбрийан</w:t>
      </w:r>
      <w:proofErr w:type="spellEnd"/>
      <w:r w:rsidRPr="007F5899">
        <w:rPr>
          <w:lang w:val="ru-RU"/>
        </w:rPr>
        <w:t xml:space="preserve">" и "Башня" (всего 49 миллионов швейцарских франков). </w:t>
      </w:r>
    </w:p>
    <w:p w:rsidR="00695E43" w:rsidRPr="007F5899" w:rsidRDefault="00695E43" w:rsidP="00695E43">
      <w:pPr>
        <w:rPr>
          <w:lang w:val="ru-RU"/>
        </w:rPr>
      </w:pPr>
      <w:r w:rsidRPr="007F5899">
        <w:rPr>
          <w:lang w:val="ru-RU"/>
        </w:rPr>
        <w:t>6.8</w:t>
      </w:r>
      <w:r w:rsidRPr="007F5899">
        <w:rPr>
          <w:lang w:val="ru-RU"/>
        </w:rPr>
        <w:tab/>
        <w:t>Исходя из предположения, что ремонт зданий "</w:t>
      </w:r>
      <w:proofErr w:type="spellStart"/>
      <w:r w:rsidRPr="007F5899">
        <w:rPr>
          <w:lang w:val="ru-RU"/>
        </w:rPr>
        <w:t>Варембе</w:t>
      </w:r>
      <w:proofErr w:type="spellEnd"/>
      <w:r w:rsidRPr="007F5899">
        <w:rPr>
          <w:lang w:val="ru-RU"/>
        </w:rPr>
        <w:t>" и "Башня" будет проводиться в разное время (в первую очередь будет выполнен ремонт здания "</w:t>
      </w:r>
      <w:proofErr w:type="spellStart"/>
      <w:r w:rsidRPr="007F5899">
        <w:rPr>
          <w:lang w:val="ru-RU"/>
        </w:rPr>
        <w:t>Варембе</w:t>
      </w:r>
      <w:proofErr w:type="spellEnd"/>
      <w:r w:rsidRPr="007F5899">
        <w:rPr>
          <w:lang w:val="ru-RU"/>
        </w:rPr>
        <w:t>"), можно будет обеспечить определенные площади для размещения сотрудников, работающих в здании "Башня", на период проведения работ в здании "Башня". Тем более, что в здании "Башня" работает меньше сотрудников, чем в здании "</w:t>
      </w:r>
      <w:proofErr w:type="spellStart"/>
      <w:r w:rsidRPr="007F5899">
        <w:rPr>
          <w:lang w:val="ru-RU"/>
        </w:rPr>
        <w:t>Варембе</w:t>
      </w:r>
      <w:proofErr w:type="spellEnd"/>
      <w:r w:rsidRPr="007F5899">
        <w:rPr>
          <w:lang w:val="ru-RU"/>
        </w:rPr>
        <w:t>". Ремонт здания "Башня" предполагает проведение работ той же интенсивности, что и в здании "</w:t>
      </w:r>
      <w:proofErr w:type="spellStart"/>
      <w:r w:rsidRPr="007F5899">
        <w:rPr>
          <w:lang w:val="ru-RU"/>
        </w:rPr>
        <w:t>Варембе</w:t>
      </w:r>
      <w:proofErr w:type="spellEnd"/>
      <w:r w:rsidRPr="007F5899">
        <w:rPr>
          <w:lang w:val="ru-RU"/>
        </w:rPr>
        <w:t xml:space="preserve">", поэтому с определенным запасом принимается во внимание перемещение персонала сроком на три года с арендой половины площадей, необходимых </w:t>
      </w:r>
      <w:r w:rsidRPr="007F5899">
        <w:rPr>
          <w:lang w:val="ru-RU"/>
        </w:rPr>
        <w:lastRenderedPageBreak/>
        <w:t>для размещения персонала здания "</w:t>
      </w:r>
      <w:proofErr w:type="spellStart"/>
      <w:r w:rsidRPr="007F5899">
        <w:rPr>
          <w:lang w:val="ru-RU"/>
        </w:rPr>
        <w:t>Варембе</w:t>
      </w:r>
      <w:proofErr w:type="spellEnd"/>
      <w:r w:rsidRPr="007F5899">
        <w:rPr>
          <w:lang w:val="ru-RU"/>
        </w:rPr>
        <w:t>", т. е. потребуется ориентировочно 8 миллионов швейцарских франков.</w:t>
      </w:r>
    </w:p>
    <w:p w:rsidR="00695E43" w:rsidRPr="007F5899" w:rsidRDefault="00695E43" w:rsidP="008E31E9">
      <w:pPr>
        <w:pStyle w:val="Headingb"/>
        <w:spacing w:after="120"/>
        <w:rPr>
          <w:lang w:val="ru-RU"/>
        </w:rPr>
      </w:pPr>
      <w:r w:rsidRPr="007F5899">
        <w:rPr>
          <w:lang w:val="ru-RU"/>
        </w:rPr>
        <w:t>Неотложный ремонт здания "</w:t>
      </w:r>
      <w:proofErr w:type="spellStart"/>
      <w:r w:rsidRPr="007F5899">
        <w:rPr>
          <w:lang w:val="ru-RU"/>
        </w:rPr>
        <w:t>Варембе</w:t>
      </w:r>
      <w:proofErr w:type="spellEnd"/>
      <w:r w:rsidRPr="007F5899">
        <w:rPr>
          <w:lang w:val="ru-RU"/>
        </w:rPr>
        <w:t>" (в течение 2015</w:t>
      </w:r>
      <w:r w:rsidR="008E31E9" w:rsidRPr="007F5899">
        <w:rPr>
          <w:lang w:val="ru-RU"/>
        </w:rPr>
        <w:t>−</w:t>
      </w:r>
      <w:r w:rsidRPr="007F5899">
        <w:rPr>
          <w:lang w:val="ru-RU"/>
        </w:rPr>
        <w:t xml:space="preserve">2024 гг.): </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701"/>
        <w:gridCol w:w="3062"/>
      </w:tblGrid>
      <w:tr w:rsidR="00695E43" w:rsidRPr="007F5899" w:rsidTr="008E31E9">
        <w:trPr>
          <w:trHeight w:val="549"/>
          <w:jc w:val="center"/>
        </w:trPr>
        <w:tc>
          <w:tcPr>
            <w:tcW w:w="5046" w:type="dxa"/>
            <w:vAlign w:val="center"/>
          </w:tcPr>
          <w:p w:rsidR="00695E43" w:rsidRPr="007F5899" w:rsidRDefault="00695E43" w:rsidP="008E31E9">
            <w:pPr>
              <w:pStyle w:val="Tablehead"/>
              <w:rPr>
                <w:lang w:val="ru-RU"/>
              </w:rPr>
            </w:pPr>
            <w:r w:rsidRPr="007F5899">
              <w:rPr>
                <w:lang w:val="ru-RU"/>
              </w:rPr>
              <w:t>Проект</w:t>
            </w:r>
          </w:p>
        </w:tc>
        <w:tc>
          <w:tcPr>
            <w:tcW w:w="1701" w:type="dxa"/>
            <w:vAlign w:val="center"/>
          </w:tcPr>
          <w:p w:rsidR="00695E43" w:rsidRPr="007F5899" w:rsidRDefault="00695E43" w:rsidP="008E31E9">
            <w:pPr>
              <w:pStyle w:val="Tablehead"/>
              <w:rPr>
                <w:lang w:val="ru-RU"/>
              </w:rPr>
            </w:pPr>
            <w:proofErr w:type="gramStart"/>
            <w:r w:rsidRPr="007F5899">
              <w:rPr>
                <w:lang w:val="ru-RU"/>
              </w:rPr>
              <w:t>Затраты</w:t>
            </w:r>
            <w:r w:rsidR="008E31E9" w:rsidRPr="007F5899">
              <w:rPr>
                <w:lang w:val="ru-RU"/>
              </w:rPr>
              <w:br/>
            </w:r>
            <w:r w:rsidRPr="007F5899">
              <w:rPr>
                <w:lang w:val="ru-RU"/>
              </w:rPr>
              <w:t>(</w:t>
            </w:r>
            <w:proofErr w:type="gramEnd"/>
            <w:r w:rsidRPr="007F5899">
              <w:rPr>
                <w:lang w:val="ru-RU"/>
              </w:rPr>
              <w:t xml:space="preserve">млн. </w:t>
            </w:r>
            <w:proofErr w:type="spellStart"/>
            <w:r w:rsidRPr="007F5899">
              <w:rPr>
                <w:lang w:val="ru-RU"/>
              </w:rPr>
              <w:t>шв</w:t>
            </w:r>
            <w:proofErr w:type="spellEnd"/>
            <w:r w:rsidRPr="007F5899">
              <w:rPr>
                <w:lang w:val="ru-RU"/>
              </w:rPr>
              <w:t>. фр.)</w:t>
            </w:r>
          </w:p>
        </w:tc>
        <w:tc>
          <w:tcPr>
            <w:tcW w:w="3062" w:type="dxa"/>
            <w:vAlign w:val="center"/>
          </w:tcPr>
          <w:p w:rsidR="00695E43" w:rsidRPr="007F5899" w:rsidRDefault="00695E43" w:rsidP="008E31E9">
            <w:pPr>
              <w:pStyle w:val="Tablehead"/>
              <w:rPr>
                <w:lang w:val="ru-RU"/>
              </w:rPr>
            </w:pPr>
            <w:r w:rsidRPr="007F5899">
              <w:rPr>
                <w:lang w:val="ru-RU"/>
              </w:rPr>
              <w:t>Комментарии</w:t>
            </w:r>
          </w:p>
        </w:tc>
      </w:tr>
      <w:tr w:rsidR="00695E43" w:rsidRPr="007F5899" w:rsidTr="003E6310">
        <w:trPr>
          <w:jc w:val="center"/>
        </w:trPr>
        <w:tc>
          <w:tcPr>
            <w:tcW w:w="5046" w:type="dxa"/>
          </w:tcPr>
          <w:p w:rsidR="00695E43" w:rsidRPr="007F5899" w:rsidRDefault="00695E43" w:rsidP="000F31C9">
            <w:pPr>
              <w:pStyle w:val="Tabletext"/>
              <w:rPr>
                <w:lang w:val="ru-RU"/>
              </w:rPr>
            </w:pPr>
            <w:r w:rsidRPr="007F5899">
              <w:rPr>
                <w:lang w:val="ru-RU"/>
              </w:rPr>
              <w:t>Замена фасада: с заменой систем отопления, охлаждения и распределения электроэнергии</w:t>
            </w:r>
          </w:p>
        </w:tc>
        <w:tc>
          <w:tcPr>
            <w:tcW w:w="1701" w:type="dxa"/>
          </w:tcPr>
          <w:p w:rsidR="00695E43" w:rsidRPr="007F5899" w:rsidRDefault="00695E43" w:rsidP="000F31C9">
            <w:pPr>
              <w:pStyle w:val="Tabletext"/>
              <w:jc w:val="center"/>
              <w:rPr>
                <w:lang w:val="ru-RU"/>
              </w:rPr>
            </w:pPr>
            <w:r w:rsidRPr="007F5899">
              <w:rPr>
                <w:lang w:val="ru-RU"/>
              </w:rPr>
              <w:t>30</w:t>
            </w:r>
          </w:p>
        </w:tc>
        <w:tc>
          <w:tcPr>
            <w:tcW w:w="3062" w:type="dxa"/>
          </w:tcPr>
          <w:p w:rsidR="00695E43" w:rsidRPr="007F5899" w:rsidRDefault="00695E43" w:rsidP="008E31E9">
            <w:pPr>
              <w:pStyle w:val="Tabletext"/>
              <w:rPr>
                <w:lang w:val="ru-RU"/>
              </w:rPr>
            </w:pPr>
            <w:r w:rsidRPr="007F5899">
              <w:rPr>
                <w:lang w:val="ru-RU"/>
              </w:rPr>
              <w:t>На основании результатов исследования, представленных внешними экспертами в</w:t>
            </w:r>
            <w:r w:rsidR="008E31E9" w:rsidRPr="007F5899">
              <w:rPr>
                <w:lang w:val="ru-RU"/>
              </w:rPr>
              <w:t> </w:t>
            </w:r>
            <w:r w:rsidRPr="007F5899">
              <w:rPr>
                <w:lang w:val="ru-RU"/>
              </w:rPr>
              <w:t>2010</w:t>
            </w:r>
            <w:r w:rsidR="008E31E9" w:rsidRPr="007F5899">
              <w:rPr>
                <w:lang w:val="ru-RU"/>
              </w:rPr>
              <w:t> </w:t>
            </w:r>
            <w:r w:rsidRPr="007F5899">
              <w:rPr>
                <w:lang w:val="ru-RU"/>
              </w:rPr>
              <w:t xml:space="preserve">году. </w:t>
            </w:r>
          </w:p>
        </w:tc>
      </w:tr>
      <w:tr w:rsidR="00695E43" w:rsidRPr="007F5899" w:rsidTr="003E6310">
        <w:trPr>
          <w:jc w:val="center"/>
        </w:trPr>
        <w:tc>
          <w:tcPr>
            <w:tcW w:w="5046" w:type="dxa"/>
          </w:tcPr>
          <w:p w:rsidR="00695E43" w:rsidRPr="007F5899" w:rsidRDefault="00695E43" w:rsidP="00AB45D7">
            <w:pPr>
              <w:pStyle w:val="Tabletext"/>
              <w:rPr>
                <w:lang w:val="ru-RU"/>
              </w:rPr>
            </w:pPr>
            <w:r w:rsidRPr="007F5899">
              <w:rPr>
                <w:lang w:val="ru-RU"/>
              </w:rPr>
              <w:t>Прочие работы по обеспечению соответствия стандарту</w:t>
            </w:r>
            <w:r w:rsidR="00AB45D7" w:rsidRPr="007F5899">
              <w:rPr>
                <w:lang w:val="ru-RU"/>
              </w:rPr>
              <w:t xml:space="preserve"> </w:t>
            </w:r>
            <w:proofErr w:type="spellStart"/>
            <w:r w:rsidRPr="007F5899">
              <w:rPr>
                <w:lang w:val="ru-RU"/>
              </w:rPr>
              <w:t>Minergie</w:t>
            </w:r>
            <w:proofErr w:type="spellEnd"/>
            <w:r w:rsidRPr="007F5899">
              <w:rPr>
                <w:lang w:val="ru-RU"/>
              </w:rPr>
              <w:t xml:space="preserve"> и противопожарной безопасности</w:t>
            </w:r>
          </w:p>
        </w:tc>
        <w:tc>
          <w:tcPr>
            <w:tcW w:w="1701" w:type="dxa"/>
          </w:tcPr>
          <w:p w:rsidR="00695E43" w:rsidRPr="007F5899" w:rsidRDefault="00695E43" w:rsidP="000F31C9">
            <w:pPr>
              <w:pStyle w:val="Tabletext"/>
              <w:jc w:val="center"/>
              <w:rPr>
                <w:lang w:val="ru-RU"/>
              </w:rPr>
            </w:pPr>
            <w:r w:rsidRPr="007F5899">
              <w:rPr>
                <w:lang w:val="ru-RU"/>
              </w:rPr>
              <w:t>9</w:t>
            </w:r>
          </w:p>
        </w:tc>
        <w:tc>
          <w:tcPr>
            <w:tcW w:w="3062" w:type="dxa"/>
          </w:tcPr>
          <w:p w:rsidR="00695E43" w:rsidRPr="007F5899" w:rsidRDefault="00695E43" w:rsidP="000F31C9">
            <w:pPr>
              <w:pStyle w:val="Tabletext"/>
              <w:rPr>
                <w:lang w:val="ru-RU"/>
              </w:rPr>
            </w:pPr>
          </w:p>
        </w:tc>
      </w:tr>
      <w:tr w:rsidR="00695E43" w:rsidRPr="007F5899" w:rsidTr="003E6310">
        <w:trPr>
          <w:jc w:val="center"/>
        </w:trPr>
        <w:tc>
          <w:tcPr>
            <w:tcW w:w="5046" w:type="dxa"/>
          </w:tcPr>
          <w:p w:rsidR="00695E43" w:rsidRPr="007F5899" w:rsidRDefault="00695E43" w:rsidP="000F31C9">
            <w:pPr>
              <w:pStyle w:val="Tabletext"/>
              <w:rPr>
                <w:lang w:val="ru-RU"/>
              </w:rPr>
            </w:pPr>
            <w:r w:rsidRPr="007F5899">
              <w:rPr>
                <w:lang w:val="ru-RU"/>
              </w:rPr>
              <w:t>Замена системы освещения</w:t>
            </w:r>
          </w:p>
        </w:tc>
        <w:tc>
          <w:tcPr>
            <w:tcW w:w="1701" w:type="dxa"/>
          </w:tcPr>
          <w:p w:rsidR="00695E43" w:rsidRPr="007F5899" w:rsidRDefault="00695E43" w:rsidP="000F31C9">
            <w:pPr>
              <w:pStyle w:val="Tabletext"/>
              <w:jc w:val="center"/>
              <w:rPr>
                <w:lang w:val="ru-RU"/>
              </w:rPr>
            </w:pPr>
            <w:r w:rsidRPr="007F5899">
              <w:rPr>
                <w:lang w:val="ru-RU"/>
              </w:rPr>
              <w:t>2</w:t>
            </w:r>
          </w:p>
        </w:tc>
        <w:tc>
          <w:tcPr>
            <w:tcW w:w="3062" w:type="dxa"/>
          </w:tcPr>
          <w:p w:rsidR="00695E43" w:rsidRPr="007F5899" w:rsidRDefault="00695E43" w:rsidP="000F31C9">
            <w:pPr>
              <w:pStyle w:val="Tabletext"/>
              <w:rPr>
                <w:lang w:val="ru-RU"/>
              </w:rPr>
            </w:pPr>
          </w:p>
        </w:tc>
      </w:tr>
      <w:tr w:rsidR="00695E43" w:rsidRPr="007F5899" w:rsidTr="003E6310">
        <w:trPr>
          <w:trHeight w:val="748"/>
          <w:jc w:val="center"/>
        </w:trPr>
        <w:tc>
          <w:tcPr>
            <w:tcW w:w="5046" w:type="dxa"/>
          </w:tcPr>
          <w:p w:rsidR="00695E43" w:rsidRPr="007F5899" w:rsidRDefault="00695E43" w:rsidP="000F31C9">
            <w:pPr>
              <w:pStyle w:val="Tabletext"/>
              <w:rPr>
                <w:lang w:val="ru-RU"/>
              </w:rPr>
            </w:pPr>
            <w:r w:rsidRPr="007F5899">
              <w:rPr>
                <w:lang w:val="ru-RU"/>
              </w:rPr>
              <w:t xml:space="preserve">Замена зала заседаний </w:t>
            </w:r>
          </w:p>
        </w:tc>
        <w:tc>
          <w:tcPr>
            <w:tcW w:w="1701" w:type="dxa"/>
          </w:tcPr>
          <w:p w:rsidR="00695E43" w:rsidRPr="007F5899" w:rsidRDefault="00695E43" w:rsidP="000F31C9">
            <w:pPr>
              <w:pStyle w:val="Tabletext"/>
              <w:jc w:val="center"/>
              <w:rPr>
                <w:lang w:val="ru-RU"/>
              </w:rPr>
            </w:pPr>
            <w:r w:rsidRPr="007F5899">
              <w:rPr>
                <w:lang w:val="ru-RU"/>
              </w:rPr>
              <w:t>1</w:t>
            </w:r>
          </w:p>
        </w:tc>
        <w:tc>
          <w:tcPr>
            <w:tcW w:w="3062" w:type="dxa"/>
          </w:tcPr>
          <w:p w:rsidR="00695E43" w:rsidRPr="007F5899" w:rsidRDefault="00695E43" w:rsidP="000F31C9">
            <w:pPr>
              <w:pStyle w:val="Tabletext"/>
              <w:rPr>
                <w:lang w:val="ru-RU"/>
              </w:rPr>
            </w:pPr>
            <w:r w:rsidRPr="007F5899">
              <w:rPr>
                <w:lang w:val="ru-RU"/>
              </w:rPr>
              <w:t xml:space="preserve">120 мест по 10 000 </w:t>
            </w:r>
            <w:proofErr w:type="spellStart"/>
            <w:r w:rsidRPr="007F5899">
              <w:rPr>
                <w:lang w:val="ru-RU"/>
              </w:rPr>
              <w:t>шв</w:t>
            </w:r>
            <w:proofErr w:type="spellEnd"/>
            <w:r w:rsidRPr="007F5899">
              <w:rPr>
                <w:lang w:val="ru-RU"/>
              </w:rPr>
              <w:t>. фр. за место, включая аудиовизуальные средства.</w:t>
            </w:r>
          </w:p>
        </w:tc>
      </w:tr>
      <w:tr w:rsidR="00695E43" w:rsidRPr="007F5899" w:rsidTr="003E6310">
        <w:trPr>
          <w:jc w:val="center"/>
        </w:trPr>
        <w:tc>
          <w:tcPr>
            <w:tcW w:w="5046" w:type="dxa"/>
          </w:tcPr>
          <w:p w:rsidR="00695E43" w:rsidRPr="007F5899" w:rsidRDefault="00695E43" w:rsidP="000F31C9">
            <w:pPr>
              <w:pStyle w:val="Tabletext"/>
              <w:rPr>
                <w:lang w:val="ru-RU"/>
              </w:rPr>
            </w:pPr>
            <w:r w:rsidRPr="007F5899">
              <w:rPr>
                <w:lang w:val="ru-RU"/>
              </w:rPr>
              <w:t xml:space="preserve">Противовзрывная пленка, требования </w:t>
            </w:r>
            <w:proofErr w:type="spellStart"/>
            <w:r w:rsidRPr="007F5899">
              <w:rPr>
                <w:lang w:val="ru-RU"/>
              </w:rPr>
              <w:t>МТБЭО</w:t>
            </w:r>
            <w:proofErr w:type="spellEnd"/>
          </w:p>
        </w:tc>
        <w:tc>
          <w:tcPr>
            <w:tcW w:w="1701" w:type="dxa"/>
          </w:tcPr>
          <w:p w:rsidR="00695E43" w:rsidRPr="007F5899" w:rsidRDefault="00695E43" w:rsidP="000F31C9">
            <w:pPr>
              <w:pStyle w:val="Tabletext"/>
              <w:jc w:val="center"/>
              <w:rPr>
                <w:lang w:val="ru-RU"/>
              </w:rPr>
            </w:pPr>
            <w:r w:rsidRPr="007F5899">
              <w:rPr>
                <w:lang w:val="ru-RU"/>
              </w:rPr>
              <w:t>0,5</w:t>
            </w:r>
          </w:p>
        </w:tc>
        <w:tc>
          <w:tcPr>
            <w:tcW w:w="3062" w:type="dxa"/>
          </w:tcPr>
          <w:p w:rsidR="00695E43" w:rsidRPr="007F5899" w:rsidRDefault="00695E43" w:rsidP="000F31C9">
            <w:pPr>
              <w:pStyle w:val="Tabletext"/>
              <w:rPr>
                <w:lang w:val="ru-RU"/>
              </w:rPr>
            </w:pPr>
          </w:p>
        </w:tc>
      </w:tr>
      <w:tr w:rsidR="00695E43" w:rsidRPr="007F5899" w:rsidTr="003E6310">
        <w:trPr>
          <w:jc w:val="center"/>
        </w:trPr>
        <w:tc>
          <w:tcPr>
            <w:tcW w:w="5046" w:type="dxa"/>
          </w:tcPr>
          <w:p w:rsidR="00695E43" w:rsidRPr="007F5899" w:rsidRDefault="00695E43" w:rsidP="000F31C9">
            <w:pPr>
              <w:pStyle w:val="Tabletext"/>
              <w:rPr>
                <w:lang w:val="ru-RU"/>
              </w:rPr>
            </w:pPr>
            <w:r w:rsidRPr="007F5899">
              <w:rPr>
                <w:lang w:val="ru-RU"/>
              </w:rPr>
              <w:t xml:space="preserve">Компьютерный зал: замена коммунальных систем; устройство информационных каналов связи и сети </w:t>
            </w:r>
          </w:p>
        </w:tc>
        <w:tc>
          <w:tcPr>
            <w:tcW w:w="1701" w:type="dxa"/>
          </w:tcPr>
          <w:p w:rsidR="00695E43" w:rsidRPr="007F5899" w:rsidRDefault="00695E43" w:rsidP="000F31C9">
            <w:pPr>
              <w:pStyle w:val="Tabletext"/>
              <w:jc w:val="center"/>
              <w:rPr>
                <w:lang w:val="ru-RU"/>
              </w:rPr>
            </w:pPr>
            <w:r w:rsidRPr="007F5899">
              <w:rPr>
                <w:lang w:val="ru-RU"/>
              </w:rPr>
              <w:t>1</w:t>
            </w:r>
          </w:p>
        </w:tc>
        <w:tc>
          <w:tcPr>
            <w:tcW w:w="3062" w:type="dxa"/>
          </w:tcPr>
          <w:p w:rsidR="00695E43" w:rsidRPr="007F5899" w:rsidRDefault="00695E43" w:rsidP="000F31C9">
            <w:pPr>
              <w:pStyle w:val="Tabletext"/>
              <w:rPr>
                <w:lang w:val="ru-RU"/>
              </w:rPr>
            </w:pPr>
          </w:p>
        </w:tc>
      </w:tr>
      <w:tr w:rsidR="00695E43" w:rsidRPr="007F5899" w:rsidTr="003E6310">
        <w:trPr>
          <w:jc w:val="center"/>
        </w:trPr>
        <w:tc>
          <w:tcPr>
            <w:tcW w:w="5046" w:type="dxa"/>
          </w:tcPr>
          <w:p w:rsidR="00695E43" w:rsidRPr="007F5899" w:rsidRDefault="00695E43" w:rsidP="000F31C9">
            <w:pPr>
              <w:pStyle w:val="Tabletext"/>
              <w:rPr>
                <w:lang w:val="ru-RU"/>
              </w:rPr>
            </w:pPr>
            <w:r w:rsidRPr="007F5899">
              <w:rPr>
                <w:lang w:val="ru-RU"/>
              </w:rPr>
              <w:t>Замена централизованных электрических сетей, систем отопления/охлаждения</w:t>
            </w:r>
          </w:p>
        </w:tc>
        <w:tc>
          <w:tcPr>
            <w:tcW w:w="1701" w:type="dxa"/>
          </w:tcPr>
          <w:p w:rsidR="00695E43" w:rsidRPr="007F5899" w:rsidRDefault="00695E43" w:rsidP="000F31C9">
            <w:pPr>
              <w:pStyle w:val="Tabletext"/>
              <w:jc w:val="center"/>
              <w:rPr>
                <w:lang w:val="ru-RU"/>
              </w:rPr>
            </w:pPr>
            <w:r w:rsidRPr="007F5899">
              <w:rPr>
                <w:lang w:val="ru-RU"/>
              </w:rPr>
              <w:t>1</w:t>
            </w:r>
          </w:p>
        </w:tc>
        <w:tc>
          <w:tcPr>
            <w:tcW w:w="3062" w:type="dxa"/>
          </w:tcPr>
          <w:p w:rsidR="00695E43" w:rsidRPr="007F5899" w:rsidRDefault="00695E43" w:rsidP="000F31C9">
            <w:pPr>
              <w:pStyle w:val="Tabletext"/>
              <w:rPr>
                <w:lang w:val="ru-RU"/>
              </w:rPr>
            </w:pPr>
          </w:p>
        </w:tc>
      </w:tr>
      <w:tr w:rsidR="00695E43" w:rsidRPr="007F5899" w:rsidTr="003E6310">
        <w:trPr>
          <w:jc w:val="center"/>
        </w:trPr>
        <w:tc>
          <w:tcPr>
            <w:tcW w:w="5046" w:type="dxa"/>
          </w:tcPr>
          <w:p w:rsidR="00695E43" w:rsidRPr="007F5899" w:rsidRDefault="00695E43" w:rsidP="000F31C9">
            <w:pPr>
              <w:pStyle w:val="Tabletext"/>
              <w:rPr>
                <w:lang w:val="ru-RU"/>
              </w:rPr>
            </w:pPr>
            <w:r w:rsidRPr="007F5899">
              <w:rPr>
                <w:lang w:val="ru-RU"/>
              </w:rPr>
              <w:t>Замена ресторана</w:t>
            </w:r>
          </w:p>
        </w:tc>
        <w:tc>
          <w:tcPr>
            <w:tcW w:w="1701" w:type="dxa"/>
          </w:tcPr>
          <w:p w:rsidR="00695E43" w:rsidRPr="007F5899" w:rsidRDefault="00695E43" w:rsidP="000F31C9">
            <w:pPr>
              <w:pStyle w:val="Tabletext"/>
              <w:jc w:val="center"/>
              <w:rPr>
                <w:lang w:val="ru-RU"/>
              </w:rPr>
            </w:pPr>
            <w:r w:rsidRPr="007F5899">
              <w:rPr>
                <w:lang w:val="ru-RU"/>
              </w:rPr>
              <w:t>1</w:t>
            </w:r>
          </w:p>
        </w:tc>
        <w:tc>
          <w:tcPr>
            <w:tcW w:w="3062" w:type="dxa"/>
          </w:tcPr>
          <w:p w:rsidR="00695E43" w:rsidRPr="007F5899" w:rsidRDefault="00695E43" w:rsidP="000F31C9">
            <w:pPr>
              <w:pStyle w:val="Tabletext"/>
              <w:rPr>
                <w:lang w:val="ru-RU"/>
              </w:rPr>
            </w:pPr>
          </w:p>
        </w:tc>
      </w:tr>
      <w:tr w:rsidR="00695E43" w:rsidRPr="007F5899" w:rsidTr="003E6310">
        <w:trPr>
          <w:jc w:val="center"/>
        </w:trPr>
        <w:tc>
          <w:tcPr>
            <w:tcW w:w="5046" w:type="dxa"/>
          </w:tcPr>
          <w:p w:rsidR="00695E43" w:rsidRPr="007F5899" w:rsidRDefault="00695E43" w:rsidP="000F31C9">
            <w:pPr>
              <w:pStyle w:val="Tabletext"/>
              <w:rPr>
                <w:lang w:val="ru-RU"/>
              </w:rPr>
            </w:pPr>
            <w:r w:rsidRPr="007F5899">
              <w:rPr>
                <w:lang w:val="ru-RU"/>
              </w:rPr>
              <w:t>Прочие работы по обеспечению доступности здания</w:t>
            </w:r>
          </w:p>
        </w:tc>
        <w:tc>
          <w:tcPr>
            <w:tcW w:w="1701" w:type="dxa"/>
          </w:tcPr>
          <w:p w:rsidR="00695E43" w:rsidRPr="007F5899" w:rsidRDefault="00695E43" w:rsidP="000F31C9">
            <w:pPr>
              <w:pStyle w:val="Tabletext"/>
              <w:jc w:val="center"/>
              <w:rPr>
                <w:lang w:val="ru-RU"/>
              </w:rPr>
            </w:pPr>
            <w:r w:rsidRPr="007F5899">
              <w:rPr>
                <w:lang w:val="ru-RU"/>
              </w:rPr>
              <w:t>2</w:t>
            </w:r>
          </w:p>
        </w:tc>
        <w:tc>
          <w:tcPr>
            <w:tcW w:w="3062" w:type="dxa"/>
          </w:tcPr>
          <w:p w:rsidR="00695E43" w:rsidRPr="007F5899" w:rsidRDefault="00695E43" w:rsidP="000F31C9">
            <w:pPr>
              <w:pStyle w:val="Tabletext"/>
              <w:rPr>
                <w:lang w:val="ru-RU"/>
              </w:rPr>
            </w:pPr>
            <w:r w:rsidRPr="007F5899">
              <w:rPr>
                <w:lang w:val="ru-RU"/>
              </w:rPr>
              <w:t>В том числе лифты и санузлы.</w:t>
            </w:r>
          </w:p>
        </w:tc>
      </w:tr>
      <w:tr w:rsidR="00695E43" w:rsidRPr="007F5899" w:rsidTr="003E6310">
        <w:trPr>
          <w:jc w:val="center"/>
        </w:trPr>
        <w:tc>
          <w:tcPr>
            <w:tcW w:w="5046" w:type="dxa"/>
          </w:tcPr>
          <w:p w:rsidR="00695E43" w:rsidRPr="007F5899" w:rsidRDefault="00695E43" w:rsidP="000F31C9">
            <w:pPr>
              <w:pStyle w:val="Tabletext"/>
              <w:rPr>
                <w:b/>
                <w:bCs/>
                <w:lang w:val="ru-RU"/>
              </w:rPr>
            </w:pPr>
            <w:r w:rsidRPr="007F5899">
              <w:rPr>
                <w:b/>
                <w:bCs/>
                <w:lang w:val="ru-RU"/>
              </w:rPr>
              <w:t xml:space="preserve">ИТОГО </w:t>
            </w:r>
            <w:r w:rsidRPr="007F5899">
              <w:rPr>
                <w:lang w:val="ru-RU"/>
              </w:rPr>
              <w:t>(округленно)</w:t>
            </w:r>
          </w:p>
        </w:tc>
        <w:tc>
          <w:tcPr>
            <w:tcW w:w="1701" w:type="dxa"/>
          </w:tcPr>
          <w:p w:rsidR="00695E43" w:rsidRPr="007F5899" w:rsidRDefault="00695E43" w:rsidP="000F31C9">
            <w:pPr>
              <w:pStyle w:val="Tabletext"/>
              <w:jc w:val="center"/>
              <w:rPr>
                <w:b/>
                <w:bCs/>
                <w:lang w:val="ru-RU"/>
              </w:rPr>
            </w:pPr>
            <w:r w:rsidRPr="007F5899">
              <w:rPr>
                <w:b/>
                <w:bCs/>
                <w:lang w:val="ru-RU"/>
              </w:rPr>
              <w:t>47</w:t>
            </w:r>
          </w:p>
        </w:tc>
        <w:tc>
          <w:tcPr>
            <w:tcW w:w="3062" w:type="dxa"/>
          </w:tcPr>
          <w:p w:rsidR="00695E43" w:rsidRPr="007F5899" w:rsidRDefault="00695E43" w:rsidP="000F31C9">
            <w:pPr>
              <w:pStyle w:val="Tabletext"/>
              <w:rPr>
                <w:lang w:val="ru-RU"/>
              </w:rPr>
            </w:pPr>
          </w:p>
        </w:tc>
      </w:tr>
    </w:tbl>
    <w:p w:rsidR="00695E43" w:rsidRPr="007F5899" w:rsidRDefault="000F31C9" w:rsidP="00AB45D7">
      <w:pPr>
        <w:rPr>
          <w:lang w:val="ru-RU"/>
        </w:rPr>
      </w:pPr>
      <w:r w:rsidRPr="007F5899">
        <w:rPr>
          <w:lang w:val="ru-RU"/>
        </w:rPr>
        <w:t>6.9</w:t>
      </w:r>
      <w:r w:rsidRPr="007F5899">
        <w:rPr>
          <w:lang w:val="ru-RU"/>
        </w:rPr>
        <w:tab/>
      </w:r>
      <w:r w:rsidR="00695E43" w:rsidRPr="007F5899">
        <w:rPr>
          <w:lang w:val="ru-RU"/>
        </w:rPr>
        <w:t>Если ПК-14 примет решение о ремонте здания "</w:t>
      </w:r>
      <w:proofErr w:type="spellStart"/>
      <w:r w:rsidR="00695E43" w:rsidRPr="007F5899">
        <w:rPr>
          <w:lang w:val="ru-RU"/>
        </w:rPr>
        <w:t>Варембе</w:t>
      </w:r>
      <w:proofErr w:type="spellEnd"/>
      <w:r w:rsidR="00695E43" w:rsidRPr="007F5899">
        <w:rPr>
          <w:lang w:val="ru-RU"/>
        </w:rPr>
        <w:t xml:space="preserve">", данный проект можно будет реализовать в рамках </w:t>
      </w:r>
      <w:r w:rsidR="00AB45D7" w:rsidRPr="007F5899">
        <w:rPr>
          <w:lang w:val="ru-RU"/>
        </w:rPr>
        <w:t xml:space="preserve">Финансового </w:t>
      </w:r>
      <w:r w:rsidR="00695E43" w:rsidRPr="007F5899">
        <w:rPr>
          <w:lang w:val="ru-RU"/>
        </w:rPr>
        <w:t xml:space="preserve">плана </w:t>
      </w:r>
      <w:r w:rsidR="00AB45D7" w:rsidRPr="007F5899">
        <w:rPr>
          <w:lang w:val="ru-RU"/>
        </w:rPr>
        <w:t xml:space="preserve">на период </w:t>
      </w:r>
      <w:r w:rsidR="00695E43" w:rsidRPr="007F5899">
        <w:rPr>
          <w:lang w:val="ru-RU"/>
        </w:rPr>
        <w:t>2016</w:t>
      </w:r>
      <w:r w:rsidR="00AB45D7" w:rsidRPr="007F5899">
        <w:rPr>
          <w:lang w:val="ru-RU"/>
        </w:rPr>
        <w:t>−</w:t>
      </w:r>
      <w:r w:rsidR="00695E43" w:rsidRPr="007F5899">
        <w:rPr>
          <w:lang w:val="ru-RU"/>
        </w:rPr>
        <w:t>2019 г</w:t>
      </w:r>
      <w:r w:rsidR="00AB45D7" w:rsidRPr="007F5899">
        <w:rPr>
          <w:lang w:val="ru-RU"/>
        </w:rPr>
        <w:t>одов</w:t>
      </w:r>
      <w:r w:rsidR="00695E43" w:rsidRPr="007F5899">
        <w:rPr>
          <w:lang w:val="ru-RU"/>
        </w:rPr>
        <w:t xml:space="preserve">, при этом трехлетний срок выполнения работ принят с должным уровнем осмотрительности. Данные затраты на ремонт не включены в проект </w:t>
      </w:r>
      <w:r w:rsidR="00AB45D7" w:rsidRPr="007F5899">
        <w:rPr>
          <w:lang w:val="ru-RU"/>
        </w:rPr>
        <w:t xml:space="preserve">Финансового </w:t>
      </w:r>
      <w:r w:rsidR="00695E43" w:rsidRPr="007F5899">
        <w:rPr>
          <w:lang w:val="ru-RU"/>
        </w:rPr>
        <w:t xml:space="preserve">плана </w:t>
      </w:r>
      <w:r w:rsidR="00AB45D7" w:rsidRPr="007F5899">
        <w:rPr>
          <w:lang w:val="ru-RU"/>
        </w:rPr>
        <w:t xml:space="preserve">на период </w:t>
      </w:r>
      <w:r w:rsidR="00695E43" w:rsidRPr="007F5899">
        <w:rPr>
          <w:lang w:val="ru-RU"/>
        </w:rPr>
        <w:t>2016</w:t>
      </w:r>
      <w:r w:rsidR="00AB45D7" w:rsidRPr="007F5899">
        <w:rPr>
          <w:lang w:val="ru-RU"/>
        </w:rPr>
        <w:t>−</w:t>
      </w:r>
      <w:r w:rsidR="00695E43" w:rsidRPr="007F5899">
        <w:rPr>
          <w:lang w:val="ru-RU"/>
        </w:rPr>
        <w:t>2019 г</w:t>
      </w:r>
      <w:r w:rsidR="00AB45D7" w:rsidRPr="007F5899">
        <w:rPr>
          <w:lang w:val="ru-RU"/>
        </w:rPr>
        <w:t>одов</w:t>
      </w:r>
      <w:r w:rsidR="00695E43" w:rsidRPr="007F5899">
        <w:rPr>
          <w:lang w:val="ru-RU"/>
        </w:rPr>
        <w:t>, представленного ПК-14.</w:t>
      </w:r>
    </w:p>
    <w:p w:rsidR="00695E43" w:rsidRPr="007F5899" w:rsidRDefault="00695E43" w:rsidP="008E31E9">
      <w:pPr>
        <w:pStyle w:val="Headingb"/>
        <w:spacing w:after="120"/>
        <w:rPr>
          <w:lang w:val="ru-RU"/>
        </w:rPr>
      </w:pPr>
      <w:r w:rsidRPr="007F5899">
        <w:rPr>
          <w:lang w:val="ru-RU"/>
        </w:rPr>
        <w:t>Сводные данные по объектам в рамках варианта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695E43" w:rsidRPr="007F5899" w:rsidTr="008E31E9">
        <w:trPr>
          <w:jc w:val="center"/>
        </w:trPr>
        <w:tc>
          <w:tcPr>
            <w:tcW w:w="2381" w:type="dxa"/>
            <w:vAlign w:val="center"/>
          </w:tcPr>
          <w:p w:rsidR="00695E43" w:rsidRPr="007F5899" w:rsidRDefault="00695E43" w:rsidP="008E31E9">
            <w:pPr>
              <w:pStyle w:val="Tablehead"/>
              <w:rPr>
                <w:lang w:val="ru-RU"/>
              </w:rPr>
            </w:pPr>
            <w:r w:rsidRPr="007F5899">
              <w:rPr>
                <w:lang w:val="ru-RU"/>
              </w:rPr>
              <w:t>Здание</w:t>
            </w:r>
          </w:p>
        </w:tc>
        <w:tc>
          <w:tcPr>
            <w:tcW w:w="1588" w:type="dxa"/>
            <w:vAlign w:val="center"/>
          </w:tcPr>
          <w:p w:rsidR="00695E43" w:rsidRPr="007F5899" w:rsidRDefault="00695E43" w:rsidP="008E31E9">
            <w:pPr>
              <w:pStyle w:val="Tablehead"/>
              <w:rPr>
                <w:lang w:val="ru-RU"/>
              </w:rPr>
            </w:pPr>
          </w:p>
        </w:tc>
        <w:tc>
          <w:tcPr>
            <w:tcW w:w="1701" w:type="dxa"/>
            <w:vAlign w:val="center"/>
          </w:tcPr>
          <w:p w:rsidR="00695E43" w:rsidRPr="007F5899" w:rsidRDefault="00695E43" w:rsidP="008E31E9">
            <w:pPr>
              <w:pStyle w:val="Tablehead"/>
              <w:rPr>
                <w:lang w:val="ru-RU"/>
              </w:rPr>
            </w:pPr>
            <w:proofErr w:type="gramStart"/>
            <w:r w:rsidRPr="007F5899">
              <w:rPr>
                <w:lang w:val="ru-RU"/>
              </w:rPr>
              <w:t>Затраты</w:t>
            </w:r>
            <w:r w:rsidR="008E31E9" w:rsidRPr="007F5899">
              <w:rPr>
                <w:lang w:val="ru-RU"/>
              </w:rPr>
              <w:br/>
            </w:r>
            <w:r w:rsidRPr="007F5899">
              <w:rPr>
                <w:lang w:val="ru-RU"/>
              </w:rPr>
              <w:t>(</w:t>
            </w:r>
            <w:proofErr w:type="gramEnd"/>
            <w:r w:rsidRPr="007F5899">
              <w:rPr>
                <w:lang w:val="ru-RU"/>
              </w:rPr>
              <w:t xml:space="preserve">млн. </w:t>
            </w:r>
            <w:proofErr w:type="spellStart"/>
            <w:r w:rsidRPr="007F5899">
              <w:rPr>
                <w:lang w:val="ru-RU"/>
              </w:rPr>
              <w:t>шв</w:t>
            </w:r>
            <w:proofErr w:type="spellEnd"/>
            <w:r w:rsidRPr="007F5899">
              <w:rPr>
                <w:lang w:val="ru-RU"/>
              </w:rPr>
              <w:t>. фр.)</w:t>
            </w:r>
          </w:p>
        </w:tc>
        <w:tc>
          <w:tcPr>
            <w:tcW w:w="4139" w:type="dxa"/>
            <w:vAlign w:val="center"/>
          </w:tcPr>
          <w:p w:rsidR="00695E43" w:rsidRPr="007F5899" w:rsidRDefault="00695E43" w:rsidP="008E31E9">
            <w:pPr>
              <w:pStyle w:val="Tablehead"/>
              <w:rPr>
                <w:lang w:val="ru-RU"/>
              </w:rPr>
            </w:pPr>
            <w:r w:rsidRPr="007F5899">
              <w:rPr>
                <w:lang w:val="ru-RU"/>
              </w:rPr>
              <w:t>Комментарии</w:t>
            </w:r>
          </w:p>
        </w:tc>
      </w:tr>
      <w:tr w:rsidR="00695E43" w:rsidRPr="007F5899" w:rsidTr="003E6310">
        <w:trPr>
          <w:jc w:val="center"/>
        </w:trPr>
        <w:tc>
          <w:tcPr>
            <w:tcW w:w="2381" w:type="dxa"/>
          </w:tcPr>
          <w:p w:rsidR="00695E43" w:rsidRPr="007F5899" w:rsidRDefault="00695E43" w:rsidP="000F31C9">
            <w:pPr>
              <w:pStyle w:val="Tabletext"/>
              <w:rPr>
                <w:lang w:val="ru-RU"/>
              </w:rPr>
            </w:pPr>
            <w:r w:rsidRPr="007F5899">
              <w:rPr>
                <w:lang w:val="ru-RU"/>
              </w:rPr>
              <w:t>"</w:t>
            </w:r>
            <w:proofErr w:type="spellStart"/>
            <w:r w:rsidRPr="007F5899">
              <w:rPr>
                <w:lang w:val="ru-RU"/>
              </w:rPr>
              <w:t>Варембе</w:t>
            </w:r>
            <w:proofErr w:type="spellEnd"/>
            <w:r w:rsidRPr="007F5899">
              <w:rPr>
                <w:lang w:val="ru-RU"/>
              </w:rPr>
              <w:t>"</w:t>
            </w:r>
          </w:p>
        </w:tc>
        <w:tc>
          <w:tcPr>
            <w:tcW w:w="1588" w:type="dxa"/>
          </w:tcPr>
          <w:p w:rsidR="00695E43" w:rsidRPr="007F5899" w:rsidRDefault="00695E43" w:rsidP="000F31C9">
            <w:pPr>
              <w:pStyle w:val="Tabletext"/>
              <w:rPr>
                <w:lang w:val="ru-RU"/>
              </w:rPr>
            </w:pPr>
            <w:r w:rsidRPr="007F5899">
              <w:rPr>
                <w:lang w:val="ru-RU"/>
              </w:rPr>
              <w:t>Неотложные работы</w:t>
            </w:r>
          </w:p>
        </w:tc>
        <w:tc>
          <w:tcPr>
            <w:tcW w:w="1701" w:type="dxa"/>
          </w:tcPr>
          <w:p w:rsidR="00695E43" w:rsidRPr="007F5899" w:rsidRDefault="00695E43" w:rsidP="000F31C9">
            <w:pPr>
              <w:pStyle w:val="Tabletext"/>
              <w:jc w:val="center"/>
              <w:rPr>
                <w:lang w:val="ru-RU"/>
              </w:rPr>
            </w:pPr>
            <w:r w:rsidRPr="007F5899">
              <w:rPr>
                <w:lang w:val="ru-RU"/>
              </w:rPr>
              <w:t>47</w:t>
            </w:r>
          </w:p>
        </w:tc>
        <w:tc>
          <w:tcPr>
            <w:tcW w:w="4139" w:type="dxa"/>
          </w:tcPr>
          <w:p w:rsidR="00695E43" w:rsidRPr="007F5899" w:rsidRDefault="00695E43" w:rsidP="000F31C9">
            <w:pPr>
              <w:pStyle w:val="Tabletext"/>
              <w:rPr>
                <w:lang w:val="ru-RU"/>
              </w:rPr>
            </w:pPr>
            <w:r w:rsidRPr="007F5899">
              <w:rPr>
                <w:lang w:val="ru-RU"/>
              </w:rPr>
              <w:t>Ремонт и продолжение эксплуатации.</w:t>
            </w:r>
          </w:p>
        </w:tc>
      </w:tr>
      <w:tr w:rsidR="00695E43" w:rsidRPr="007F5899" w:rsidTr="003E6310">
        <w:trPr>
          <w:jc w:val="center"/>
        </w:trPr>
        <w:tc>
          <w:tcPr>
            <w:tcW w:w="2381" w:type="dxa"/>
          </w:tcPr>
          <w:p w:rsidR="00695E43" w:rsidRPr="007F5899" w:rsidRDefault="00695E43" w:rsidP="000F31C9">
            <w:pPr>
              <w:pStyle w:val="Tabletext"/>
              <w:rPr>
                <w:lang w:val="ru-RU"/>
              </w:rPr>
            </w:pPr>
            <w:r w:rsidRPr="007F5899">
              <w:rPr>
                <w:lang w:val="ru-RU"/>
              </w:rPr>
              <w:t>Перемещение персонала из здания "</w:t>
            </w:r>
            <w:proofErr w:type="spellStart"/>
            <w:r w:rsidRPr="007F5899">
              <w:rPr>
                <w:lang w:val="ru-RU"/>
              </w:rPr>
              <w:t>Варембе</w:t>
            </w:r>
            <w:proofErr w:type="spellEnd"/>
            <w:r w:rsidRPr="007F5899">
              <w:rPr>
                <w:lang w:val="ru-RU"/>
              </w:rPr>
              <w:t>"</w:t>
            </w:r>
          </w:p>
        </w:tc>
        <w:tc>
          <w:tcPr>
            <w:tcW w:w="1588" w:type="dxa"/>
          </w:tcPr>
          <w:p w:rsidR="00695E43" w:rsidRPr="007F5899" w:rsidRDefault="00695E43" w:rsidP="000F31C9">
            <w:pPr>
              <w:pStyle w:val="Tabletext"/>
              <w:rPr>
                <w:lang w:val="ru-RU"/>
              </w:rPr>
            </w:pPr>
            <w:r w:rsidRPr="007F5899">
              <w:rPr>
                <w:lang w:val="ru-RU"/>
              </w:rPr>
              <w:t>Неотложные работы</w:t>
            </w:r>
          </w:p>
        </w:tc>
        <w:tc>
          <w:tcPr>
            <w:tcW w:w="1701" w:type="dxa"/>
          </w:tcPr>
          <w:p w:rsidR="00695E43" w:rsidRPr="007F5899" w:rsidRDefault="00695E43" w:rsidP="000F31C9">
            <w:pPr>
              <w:pStyle w:val="Tabletext"/>
              <w:jc w:val="center"/>
              <w:rPr>
                <w:lang w:val="ru-RU"/>
              </w:rPr>
            </w:pPr>
            <w:r w:rsidRPr="007F5899">
              <w:rPr>
                <w:lang w:val="ru-RU"/>
              </w:rPr>
              <w:t>16</w:t>
            </w:r>
          </w:p>
        </w:tc>
        <w:tc>
          <w:tcPr>
            <w:tcW w:w="4139" w:type="dxa"/>
          </w:tcPr>
          <w:p w:rsidR="00695E43" w:rsidRPr="007F5899" w:rsidRDefault="00695E43" w:rsidP="000F31C9">
            <w:pPr>
              <w:pStyle w:val="Tabletext"/>
              <w:rPr>
                <w:lang w:val="ru-RU"/>
              </w:rPr>
            </w:pPr>
          </w:p>
        </w:tc>
      </w:tr>
      <w:tr w:rsidR="00695E43" w:rsidRPr="007F5899" w:rsidTr="003E6310">
        <w:trPr>
          <w:jc w:val="center"/>
        </w:trPr>
        <w:tc>
          <w:tcPr>
            <w:tcW w:w="2381" w:type="dxa"/>
          </w:tcPr>
          <w:p w:rsidR="00695E43" w:rsidRPr="007F5899" w:rsidRDefault="00695E43" w:rsidP="000F31C9">
            <w:pPr>
              <w:pStyle w:val="Tabletext"/>
              <w:rPr>
                <w:lang w:val="ru-RU"/>
              </w:rPr>
            </w:pPr>
            <w:r w:rsidRPr="007F5899">
              <w:rPr>
                <w:lang w:val="ru-RU"/>
              </w:rPr>
              <w:t>"</w:t>
            </w:r>
            <w:proofErr w:type="spellStart"/>
            <w:r w:rsidRPr="007F5899">
              <w:rPr>
                <w:lang w:val="ru-RU"/>
              </w:rPr>
              <w:t>Монбрийан</w:t>
            </w:r>
            <w:proofErr w:type="spellEnd"/>
            <w:r w:rsidRPr="007F5899">
              <w:rPr>
                <w:lang w:val="ru-RU"/>
              </w:rPr>
              <w:t>"</w:t>
            </w:r>
          </w:p>
        </w:tc>
        <w:tc>
          <w:tcPr>
            <w:tcW w:w="1588" w:type="dxa"/>
          </w:tcPr>
          <w:p w:rsidR="00695E43" w:rsidRPr="007F5899" w:rsidRDefault="00695E43" w:rsidP="000F31C9">
            <w:pPr>
              <w:pStyle w:val="Tabletext"/>
              <w:rPr>
                <w:lang w:val="ru-RU"/>
              </w:rPr>
            </w:pPr>
            <w:r w:rsidRPr="007F5899">
              <w:rPr>
                <w:lang w:val="ru-RU"/>
              </w:rPr>
              <w:t>Неотложные работы</w:t>
            </w:r>
          </w:p>
        </w:tc>
        <w:tc>
          <w:tcPr>
            <w:tcW w:w="1701" w:type="dxa"/>
          </w:tcPr>
          <w:p w:rsidR="00695E43" w:rsidRPr="007F5899" w:rsidRDefault="00695E43" w:rsidP="000F31C9">
            <w:pPr>
              <w:pStyle w:val="Tabletext"/>
              <w:jc w:val="center"/>
              <w:rPr>
                <w:lang w:val="ru-RU"/>
              </w:rPr>
            </w:pPr>
            <w:r w:rsidRPr="007F5899">
              <w:rPr>
                <w:lang w:val="ru-RU"/>
              </w:rPr>
              <w:t>4</w:t>
            </w:r>
          </w:p>
        </w:tc>
        <w:tc>
          <w:tcPr>
            <w:tcW w:w="4139" w:type="dxa"/>
          </w:tcPr>
          <w:p w:rsidR="00695E43" w:rsidRPr="007F5899" w:rsidRDefault="00695E43" w:rsidP="000F31C9">
            <w:pPr>
              <w:pStyle w:val="Tabletext"/>
              <w:rPr>
                <w:lang w:val="ru-RU"/>
              </w:rPr>
            </w:pPr>
            <w:r w:rsidRPr="007F5899">
              <w:rPr>
                <w:lang w:val="ru-RU"/>
              </w:rPr>
              <w:t>Продолжение эксплуатации.</w:t>
            </w:r>
          </w:p>
        </w:tc>
      </w:tr>
      <w:tr w:rsidR="00695E43" w:rsidRPr="007F5899" w:rsidTr="003E6310">
        <w:trPr>
          <w:jc w:val="center"/>
        </w:trPr>
        <w:tc>
          <w:tcPr>
            <w:tcW w:w="2381" w:type="dxa"/>
          </w:tcPr>
          <w:p w:rsidR="00695E43" w:rsidRPr="007F5899" w:rsidRDefault="00695E43" w:rsidP="000F31C9">
            <w:pPr>
              <w:pStyle w:val="Tabletext"/>
              <w:rPr>
                <w:lang w:val="ru-RU"/>
              </w:rPr>
            </w:pPr>
            <w:r w:rsidRPr="007F5899">
              <w:rPr>
                <w:lang w:val="ru-RU"/>
              </w:rPr>
              <w:t>"Башня"</w:t>
            </w:r>
          </w:p>
        </w:tc>
        <w:tc>
          <w:tcPr>
            <w:tcW w:w="1588" w:type="dxa"/>
          </w:tcPr>
          <w:p w:rsidR="00695E43" w:rsidRPr="007F5899" w:rsidRDefault="00695E43" w:rsidP="000F31C9">
            <w:pPr>
              <w:pStyle w:val="Tabletext"/>
              <w:rPr>
                <w:lang w:val="ru-RU"/>
              </w:rPr>
            </w:pPr>
            <w:r w:rsidRPr="007F5899">
              <w:rPr>
                <w:lang w:val="ru-RU"/>
              </w:rPr>
              <w:t>Неотложные работы</w:t>
            </w:r>
          </w:p>
        </w:tc>
        <w:tc>
          <w:tcPr>
            <w:tcW w:w="1701" w:type="dxa"/>
          </w:tcPr>
          <w:p w:rsidR="00695E43" w:rsidRPr="007F5899" w:rsidRDefault="00695E43" w:rsidP="000F31C9">
            <w:pPr>
              <w:pStyle w:val="Tabletext"/>
              <w:jc w:val="center"/>
              <w:rPr>
                <w:lang w:val="ru-RU"/>
              </w:rPr>
            </w:pPr>
            <w:r w:rsidRPr="007F5899">
              <w:rPr>
                <w:lang w:val="ru-RU"/>
              </w:rPr>
              <w:t>45</w:t>
            </w:r>
          </w:p>
        </w:tc>
        <w:tc>
          <w:tcPr>
            <w:tcW w:w="4139" w:type="dxa"/>
          </w:tcPr>
          <w:p w:rsidR="00695E43" w:rsidRPr="007F5899" w:rsidRDefault="00695E43" w:rsidP="000F31C9">
            <w:pPr>
              <w:pStyle w:val="Tabletext"/>
              <w:rPr>
                <w:lang w:val="ru-RU"/>
              </w:rPr>
            </w:pPr>
            <w:r w:rsidRPr="007F5899">
              <w:rPr>
                <w:lang w:val="ru-RU"/>
              </w:rPr>
              <w:t>Продолжение эксплуатации.</w:t>
            </w:r>
          </w:p>
        </w:tc>
      </w:tr>
      <w:tr w:rsidR="00695E43" w:rsidRPr="007F5899" w:rsidTr="003E6310">
        <w:trPr>
          <w:jc w:val="center"/>
        </w:trPr>
        <w:tc>
          <w:tcPr>
            <w:tcW w:w="2381" w:type="dxa"/>
          </w:tcPr>
          <w:p w:rsidR="00695E43" w:rsidRPr="007F5899" w:rsidRDefault="00695E43" w:rsidP="000F31C9">
            <w:pPr>
              <w:pStyle w:val="Tabletext"/>
              <w:rPr>
                <w:lang w:val="ru-RU"/>
              </w:rPr>
            </w:pPr>
            <w:r w:rsidRPr="007F5899">
              <w:rPr>
                <w:lang w:val="ru-RU"/>
              </w:rPr>
              <w:t>Перемещение персонала из здания "Башня"</w:t>
            </w:r>
          </w:p>
        </w:tc>
        <w:tc>
          <w:tcPr>
            <w:tcW w:w="1588" w:type="dxa"/>
          </w:tcPr>
          <w:p w:rsidR="00695E43" w:rsidRPr="007F5899" w:rsidRDefault="00695E43" w:rsidP="000F31C9">
            <w:pPr>
              <w:pStyle w:val="Tabletext"/>
              <w:rPr>
                <w:lang w:val="ru-RU"/>
              </w:rPr>
            </w:pPr>
            <w:r w:rsidRPr="007F5899">
              <w:rPr>
                <w:lang w:val="ru-RU"/>
              </w:rPr>
              <w:t>Неотложные работы</w:t>
            </w:r>
          </w:p>
        </w:tc>
        <w:tc>
          <w:tcPr>
            <w:tcW w:w="1701" w:type="dxa"/>
          </w:tcPr>
          <w:p w:rsidR="00695E43" w:rsidRPr="007F5899" w:rsidRDefault="00695E43" w:rsidP="000F31C9">
            <w:pPr>
              <w:pStyle w:val="Tabletext"/>
              <w:jc w:val="center"/>
              <w:rPr>
                <w:lang w:val="ru-RU"/>
              </w:rPr>
            </w:pPr>
            <w:r w:rsidRPr="007F5899">
              <w:rPr>
                <w:lang w:val="ru-RU"/>
              </w:rPr>
              <w:t>8</w:t>
            </w:r>
          </w:p>
        </w:tc>
        <w:tc>
          <w:tcPr>
            <w:tcW w:w="4139" w:type="dxa"/>
          </w:tcPr>
          <w:p w:rsidR="00695E43" w:rsidRPr="007F5899" w:rsidRDefault="00695E43" w:rsidP="000F31C9">
            <w:pPr>
              <w:pStyle w:val="Tabletext"/>
              <w:rPr>
                <w:lang w:val="ru-RU"/>
              </w:rPr>
            </w:pPr>
          </w:p>
        </w:tc>
      </w:tr>
      <w:tr w:rsidR="00695E43" w:rsidRPr="007F5899" w:rsidTr="003E6310">
        <w:trPr>
          <w:jc w:val="center"/>
        </w:trPr>
        <w:tc>
          <w:tcPr>
            <w:tcW w:w="2381" w:type="dxa"/>
          </w:tcPr>
          <w:p w:rsidR="00695E43" w:rsidRPr="007F5899" w:rsidRDefault="00695E43" w:rsidP="000F31C9">
            <w:pPr>
              <w:pStyle w:val="Tabletext"/>
              <w:rPr>
                <w:lang w:val="ru-RU"/>
              </w:rPr>
            </w:pPr>
            <w:r w:rsidRPr="007F5899">
              <w:rPr>
                <w:lang w:val="ru-RU"/>
              </w:rPr>
              <w:t>Финансовые издержки</w:t>
            </w:r>
          </w:p>
        </w:tc>
        <w:tc>
          <w:tcPr>
            <w:tcW w:w="1588" w:type="dxa"/>
          </w:tcPr>
          <w:p w:rsidR="00695E43" w:rsidRPr="007F5899" w:rsidRDefault="00695E43" w:rsidP="000F31C9">
            <w:pPr>
              <w:pStyle w:val="Tabletext"/>
              <w:rPr>
                <w:lang w:val="ru-RU"/>
              </w:rPr>
            </w:pPr>
          </w:p>
        </w:tc>
        <w:tc>
          <w:tcPr>
            <w:tcW w:w="1701" w:type="dxa"/>
          </w:tcPr>
          <w:p w:rsidR="00695E43" w:rsidRPr="007F5899" w:rsidRDefault="0022673F" w:rsidP="0022673F">
            <w:pPr>
              <w:pStyle w:val="Tabletext"/>
              <w:jc w:val="center"/>
              <w:rPr>
                <w:lang w:val="ru-RU"/>
              </w:rPr>
            </w:pPr>
            <w:r w:rsidRPr="007F5899">
              <w:rPr>
                <w:lang w:val="ru-RU"/>
              </w:rPr>
              <w:t>27</w:t>
            </w:r>
          </w:p>
        </w:tc>
        <w:tc>
          <w:tcPr>
            <w:tcW w:w="4139" w:type="dxa"/>
          </w:tcPr>
          <w:p w:rsidR="00695E43" w:rsidRPr="007F5899" w:rsidRDefault="00695E43" w:rsidP="000F31C9">
            <w:pPr>
              <w:pStyle w:val="Tabletext"/>
              <w:rPr>
                <w:lang w:val="ru-RU"/>
              </w:rPr>
            </w:pPr>
            <w:r w:rsidRPr="007F5899">
              <w:rPr>
                <w:lang w:val="ru-RU"/>
              </w:rPr>
              <w:t>Совокупный процент по ссуде.</w:t>
            </w:r>
          </w:p>
        </w:tc>
      </w:tr>
      <w:tr w:rsidR="00695E43" w:rsidRPr="007F5899" w:rsidTr="003E6310">
        <w:trPr>
          <w:trHeight w:val="287"/>
          <w:jc w:val="center"/>
        </w:trPr>
        <w:tc>
          <w:tcPr>
            <w:tcW w:w="2381" w:type="dxa"/>
          </w:tcPr>
          <w:p w:rsidR="00695E43" w:rsidRPr="007F5899" w:rsidRDefault="00695E43" w:rsidP="000F31C9">
            <w:pPr>
              <w:pStyle w:val="Tabletext"/>
              <w:rPr>
                <w:b/>
                <w:bCs/>
                <w:lang w:val="ru-RU"/>
              </w:rPr>
            </w:pPr>
            <w:r w:rsidRPr="007F5899">
              <w:rPr>
                <w:b/>
                <w:bCs/>
                <w:lang w:val="ru-RU"/>
              </w:rPr>
              <w:t>ИТОГО</w:t>
            </w:r>
          </w:p>
        </w:tc>
        <w:tc>
          <w:tcPr>
            <w:tcW w:w="1588" w:type="dxa"/>
          </w:tcPr>
          <w:p w:rsidR="00695E43" w:rsidRPr="007F5899" w:rsidRDefault="00695E43" w:rsidP="000F31C9">
            <w:pPr>
              <w:pStyle w:val="Tabletext"/>
              <w:rPr>
                <w:b/>
                <w:bCs/>
                <w:lang w:val="ru-RU"/>
              </w:rPr>
            </w:pPr>
          </w:p>
        </w:tc>
        <w:tc>
          <w:tcPr>
            <w:tcW w:w="1701" w:type="dxa"/>
          </w:tcPr>
          <w:p w:rsidR="00695E43" w:rsidRPr="007F5899" w:rsidRDefault="00695E43" w:rsidP="0022673F">
            <w:pPr>
              <w:pStyle w:val="Tabletext"/>
              <w:jc w:val="center"/>
              <w:rPr>
                <w:b/>
                <w:bCs/>
                <w:lang w:val="ru-RU"/>
              </w:rPr>
            </w:pPr>
            <w:r w:rsidRPr="007F5899">
              <w:rPr>
                <w:b/>
                <w:bCs/>
                <w:lang w:val="ru-RU"/>
              </w:rPr>
              <w:t>1</w:t>
            </w:r>
            <w:r w:rsidR="0022673F" w:rsidRPr="007F5899">
              <w:rPr>
                <w:b/>
                <w:bCs/>
                <w:lang w:val="ru-RU"/>
              </w:rPr>
              <w:t>47</w:t>
            </w:r>
          </w:p>
        </w:tc>
        <w:tc>
          <w:tcPr>
            <w:tcW w:w="4139" w:type="dxa"/>
          </w:tcPr>
          <w:p w:rsidR="00695E43" w:rsidRPr="007F5899" w:rsidRDefault="00695E43" w:rsidP="000F31C9">
            <w:pPr>
              <w:pStyle w:val="Tabletext"/>
              <w:rPr>
                <w:lang w:val="ru-RU"/>
              </w:rPr>
            </w:pPr>
          </w:p>
        </w:tc>
      </w:tr>
    </w:tbl>
    <w:p w:rsidR="00695E43" w:rsidRPr="007F5899" w:rsidRDefault="00695E43" w:rsidP="008E31E9">
      <w:pPr>
        <w:jc w:val="center"/>
        <w:rPr>
          <w:lang w:val="ru-RU"/>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695E43" w:rsidRPr="007F5899" w:rsidTr="003E6310">
        <w:trPr>
          <w:jc w:val="center"/>
        </w:trPr>
        <w:tc>
          <w:tcPr>
            <w:tcW w:w="2381" w:type="dxa"/>
          </w:tcPr>
          <w:p w:rsidR="00695E43" w:rsidRPr="007F5899" w:rsidRDefault="00695E43" w:rsidP="000F31C9">
            <w:pPr>
              <w:pStyle w:val="Tabletext"/>
              <w:rPr>
                <w:lang w:val="ru-RU"/>
              </w:rPr>
            </w:pPr>
            <w:r w:rsidRPr="007F5899">
              <w:rPr>
                <w:lang w:val="ru-RU"/>
              </w:rPr>
              <w:t>Все здания</w:t>
            </w:r>
          </w:p>
        </w:tc>
        <w:tc>
          <w:tcPr>
            <w:tcW w:w="1588" w:type="dxa"/>
          </w:tcPr>
          <w:p w:rsidR="00695E43" w:rsidRPr="007F5899" w:rsidRDefault="00695E43" w:rsidP="000F31C9">
            <w:pPr>
              <w:pStyle w:val="Tabletext"/>
              <w:rPr>
                <w:lang w:val="ru-RU"/>
              </w:rPr>
            </w:pPr>
            <w:r w:rsidRPr="007F5899">
              <w:rPr>
                <w:lang w:val="ru-RU"/>
              </w:rPr>
              <w:t>Общие ежегодные затраты</w:t>
            </w:r>
          </w:p>
        </w:tc>
        <w:tc>
          <w:tcPr>
            <w:tcW w:w="1701" w:type="dxa"/>
          </w:tcPr>
          <w:p w:rsidR="00695E43" w:rsidRPr="007F5899" w:rsidRDefault="00695E43" w:rsidP="00356558">
            <w:pPr>
              <w:pStyle w:val="Tabletext"/>
              <w:jc w:val="center"/>
              <w:rPr>
                <w:lang w:val="ru-RU"/>
              </w:rPr>
            </w:pPr>
            <w:r w:rsidRPr="007F5899">
              <w:rPr>
                <w:lang w:val="ru-RU"/>
              </w:rPr>
              <w:t>4,</w:t>
            </w:r>
            <w:r w:rsidR="00993E27" w:rsidRPr="007F5899">
              <w:rPr>
                <w:lang w:val="ru-RU"/>
              </w:rPr>
              <w:t>9</w:t>
            </w:r>
            <w:r w:rsidRPr="007F5899">
              <w:rPr>
                <w:lang w:val="ru-RU"/>
              </w:rPr>
              <w:t xml:space="preserve"> в год</w:t>
            </w:r>
          </w:p>
        </w:tc>
        <w:tc>
          <w:tcPr>
            <w:tcW w:w="4139" w:type="dxa"/>
          </w:tcPr>
          <w:p w:rsidR="00695E43" w:rsidRPr="007F5899" w:rsidRDefault="008E31E9" w:rsidP="008E31E9">
            <w:pPr>
              <w:pStyle w:val="Tabletext"/>
              <w:tabs>
                <w:tab w:val="left" w:pos="313"/>
              </w:tabs>
              <w:ind w:left="312" w:hanging="312"/>
              <w:rPr>
                <w:lang w:val="ru-RU"/>
              </w:rPr>
            </w:pPr>
            <w:r w:rsidRPr="007F5899">
              <w:rPr>
                <w:lang w:val="ru-RU"/>
              </w:rPr>
              <w:t>−</w:t>
            </w:r>
            <w:r w:rsidRPr="007F5899">
              <w:rPr>
                <w:lang w:val="ru-RU"/>
              </w:rPr>
              <w:tab/>
            </w:r>
            <w:r w:rsidR="00695E43" w:rsidRPr="007F5899">
              <w:rPr>
                <w:lang w:val="ru-RU"/>
              </w:rPr>
              <w:t>4,0 миллиона швейцарских франков в год в течение 30 лет плюс средний процент в размере 0,</w:t>
            </w:r>
            <w:r w:rsidR="00221DA0" w:rsidRPr="007F5899">
              <w:rPr>
                <w:lang w:val="ru-RU"/>
              </w:rPr>
              <w:t>9</w:t>
            </w:r>
            <w:r w:rsidR="00695E43" w:rsidRPr="007F5899">
              <w:rPr>
                <w:lang w:val="ru-RU"/>
              </w:rPr>
              <w:t xml:space="preserve"> миллиона швейцарских франков с момента завершения ремонтных работ.</w:t>
            </w:r>
          </w:p>
        </w:tc>
      </w:tr>
    </w:tbl>
    <w:p w:rsidR="00695E43" w:rsidRPr="007F5899" w:rsidRDefault="00695E43" w:rsidP="008E31E9">
      <w:pPr>
        <w:jc w:val="center"/>
        <w:rPr>
          <w:lang w:val="ru-RU"/>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695E43" w:rsidRPr="007F5899" w:rsidTr="003E6310">
        <w:trPr>
          <w:jc w:val="center"/>
        </w:trPr>
        <w:tc>
          <w:tcPr>
            <w:tcW w:w="2381" w:type="dxa"/>
          </w:tcPr>
          <w:p w:rsidR="00695E43" w:rsidRPr="007F5899" w:rsidRDefault="00695E43" w:rsidP="000F31C9">
            <w:pPr>
              <w:pStyle w:val="Tabletext"/>
              <w:rPr>
                <w:lang w:val="ru-RU"/>
              </w:rPr>
            </w:pPr>
            <w:r w:rsidRPr="007F5899">
              <w:rPr>
                <w:lang w:val="ru-RU"/>
              </w:rPr>
              <w:t>Все здания</w:t>
            </w:r>
          </w:p>
        </w:tc>
        <w:tc>
          <w:tcPr>
            <w:tcW w:w="1588" w:type="dxa"/>
          </w:tcPr>
          <w:p w:rsidR="00695E43" w:rsidRPr="007F5899" w:rsidRDefault="00695E43" w:rsidP="000F31C9">
            <w:pPr>
              <w:pStyle w:val="Tabletext"/>
              <w:rPr>
                <w:lang w:val="ru-RU"/>
              </w:rPr>
            </w:pPr>
            <w:r w:rsidRPr="007F5899">
              <w:rPr>
                <w:lang w:val="ru-RU"/>
              </w:rPr>
              <w:t>Долгосрочное обслуживание</w:t>
            </w:r>
          </w:p>
        </w:tc>
        <w:tc>
          <w:tcPr>
            <w:tcW w:w="1701" w:type="dxa"/>
          </w:tcPr>
          <w:p w:rsidR="00695E43" w:rsidRPr="007F5899" w:rsidRDefault="00695E43" w:rsidP="00356558">
            <w:pPr>
              <w:pStyle w:val="Tabletext"/>
              <w:jc w:val="center"/>
              <w:rPr>
                <w:lang w:val="ru-RU"/>
              </w:rPr>
            </w:pPr>
            <w:r w:rsidRPr="007F5899">
              <w:rPr>
                <w:lang w:val="ru-RU"/>
              </w:rPr>
              <w:t>2,5 в год</w:t>
            </w:r>
          </w:p>
        </w:tc>
        <w:tc>
          <w:tcPr>
            <w:tcW w:w="4139" w:type="dxa"/>
          </w:tcPr>
          <w:p w:rsidR="00695E43" w:rsidRPr="007F5899" w:rsidRDefault="00695E43" w:rsidP="000F31C9">
            <w:pPr>
              <w:pStyle w:val="Tabletext"/>
              <w:rPr>
                <w:lang w:val="ru-RU"/>
              </w:rPr>
            </w:pPr>
            <w:r w:rsidRPr="007F5899">
              <w:rPr>
                <w:lang w:val="ru-RU"/>
              </w:rPr>
              <w:t>1% от оценочной стоимости здания по страхованию от огня в год.</w:t>
            </w:r>
          </w:p>
        </w:tc>
      </w:tr>
    </w:tbl>
    <w:p w:rsidR="00695E43" w:rsidRPr="007F5899" w:rsidRDefault="000F31C9" w:rsidP="000F31C9">
      <w:pPr>
        <w:rPr>
          <w:lang w:val="ru-RU"/>
        </w:rPr>
      </w:pPr>
      <w:r w:rsidRPr="007F5899">
        <w:rPr>
          <w:lang w:val="ru-RU"/>
        </w:rPr>
        <w:t>6.10</w:t>
      </w:r>
      <w:r w:rsidRPr="007F5899">
        <w:rPr>
          <w:lang w:val="ru-RU"/>
        </w:rPr>
        <w:tab/>
      </w:r>
      <w:r w:rsidR="00695E43" w:rsidRPr="007F5899">
        <w:rPr>
          <w:lang w:val="ru-RU"/>
        </w:rPr>
        <w:t xml:space="preserve">Вариант 2 также предполагает следующее: </w:t>
      </w:r>
    </w:p>
    <w:p w:rsidR="00695E43" w:rsidRPr="007F5899" w:rsidRDefault="00695E43" w:rsidP="000F31C9">
      <w:pPr>
        <w:pStyle w:val="enumlev1"/>
        <w:rPr>
          <w:lang w:val="ru-RU"/>
        </w:rPr>
      </w:pPr>
      <w:r w:rsidRPr="007F5899">
        <w:rPr>
          <w:lang w:val="ru-RU"/>
        </w:rPr>
        <w:t>–</w:t>
      </w:r>
      <w:r w:rsidRPr="007F5899">
        <w:rPr>
          <w:lang w:val="ru-RU"/>
        </w:rPr>
        <w:tab/>
        <w:t xml:space="preserve">существует определенная вероятность увеличения оценочной стоимости основных средств (но в меньшей степени, чем по варианту 1); </w:t>
      </w:r>
    </w:p>
    <w:p w:rsidR="00695E43" w:rsidRPr="007F5899" w:rsidRDefault="00695E43" w:rsidP="000F31C9">
      <w:pPr>
        <w:pStyle w:val="enumlev1"/>
        <w:rPr>
          <w:lang w:val="ru-RU"/>
        </w:rPr>
      </w:pPr>
      <w:r w:rsidRPr="007F5899">
        <w:rPr>
          <w:lang w:val="ru-RU"/>
        </w:rPr>
        <w:t>–</w:t>
      </w:r>
      <w:r w:rsidRPr="007F5899">
        <w:rPr>
          <w:lang w:val="ru-RU"/>
        </w:rPr>
        <w:tab/>
        <w:t xml:space="preserve">снижение коммунальных платежей ввиду сокращения воздействия на окружающую среду (за счет повышения эффективности в результате ремонта); </w:t>
      </w:r>
    </w:p>
    <w:p w:rsidR="00695E43" w:rsidRPr="007F5899" w:rsidRDefault="00695E43" w:rsidP="000F31C9">
      <w:pPr>
        <w:pStyle w:val="enumlev1"/>
        <w:rPr>
          <w:lang w:val="ru-RU"/>
        </w:rPr>
      </w:pPr>
      <w:r w:rsidRPr="007F5899">
        <w:rPr>
          <w:lang w:val="ru-RU"/>
        </w:rPr>
        <w:t>–</w:t>
      </w:r>
      <w:r w:rsidRPr="007F5899">
        <w:rPr>
          <w:lang w:val="ru-RU"/>
        </w:rPr>
        <w:tab/>
        <w:t>некоторое повышение качества жизни для персонала и делегатов (лучшая организация среды, но с сохранением конструкционной неэффективности зданий "Башня" и "</w:t>
      </w:r>
      <w:proofErr w:type="spellStart"/>
      <w:r w:rsidRPr="007F5899">
        <w:rPr>
          <w:lang w:val="ru-RU"/>
        </w:rPr>
        <w:t>Варембе</w:t>
      </w:r>
      <w:proofErr w:type="spellEnd"/>
      <w:r w:rsidRPr="007F5899">
        <w:rPr>
          <w:lang w:val="ru-RU"/>
        </w:rPr>
        <w:t>");</w:t>
      </w:r>
    </w:p>
    <w:p w:rsidR="00695E43" w:rsidRPr="007F5899" w:rsidRDefault="00695E43" w:rsidP="000F31C9">
      <w:pPr>
        <w:pStyle w:val="enumlev1"/>
        <w:rPr>
          <w:lang w:val="ru-RU"/>
        </w:rPr>
      </w:pPr>
      <w:r w:rsidRPr="007F5899">
        <w:rPr>
          <w:lang w:val="ru-RU"/>
        </w:rPr>
        <w:t>–</w:t>
      </w:r>
      <w:r w:rsidRPr="007F5899">
        <w:rPr>
          <w:lang w:val="ru-RU"/>
        </w:rPr>
        <w:tab/>
        <w:t>влияние ежегодного оттока денежных средств в связи с ремонтом здания "</w:t>
      </w:r>
      <w:proofErr w:type="spellStart"/>
      <w:r w:rsidRPr="007F5899">
        <w:rPr>
          <w:lang w:val="ru-RU"/>
        </w:rPr>
        <w:t>Варембе</w:t>
      </w:r>
      <w:proofErr w:type="spellEnd"/>
      <w:r w:rsidRPr="007F5899">
        <w:rPr>
          <w:lang w:val="ru-RU"/>
        </w:rPr>
        <w:t>", что составляет 3,1 миллиона швейцарских франков только на погашение ссуды, включая уплату процентов (в течение 30 лет);</w:t>
      </w:r>
    </w:p>
    <w:p w:rsidR="00695E43" w:rsidRPr="007F5899" w:rsidRDefault="00695E43" w:rsidP="008C6A37">
      <w:pPr>
        <w:pStyle w:val="enumlev1"/>
        <w:rPr>
          <w:lang w:val="ru-RU"/>
        </w:rPr>
      </w:pPr>
      <w:r w:rsidRPr="007F5899">
        <w:rPr>
          <w:lang w:val="ru-RU"/>
        </w:rPr>
        <w:t>–</w:t>
      </w:r>
      <w:r w:rsidRPr="007F5899">
        <w:rPr>
          <w:lang w:val="ru-RU"/>
        </w:rPr>
        <w:tab/>
        <w:t xml:space="preserve">все ремонтные работы в зданиях (120 миллионов швейцарских франков, включая временное перемещение персонала), в целом, можно финансировать за счет процентной ссуды </w:t>
      </w:r>
      <w:r w:rsidR="00993E27" w:rsidRPr="007F5899">
        <w:rPr>
          <w:lang w:val="ru-RU"/>
        </w:rPr>
        <w:t>на цели ремонта</w:t>
      </w:r>
      <w:r w:rsidRPr="007F5899">
        <w:rPr>
          <w:lang w:val="ru-RU"/>
        </w:rPr>
        <w:t>, предоставляемой страной пребывания.</w:t>
      </w:r>
    </w:p>
    <w:p w:rsidR="000F31C9" w:rsidRPr="007F5899" w:rsidRDefault="000F31C9" w:rsidP="000F31C9">
      <w:pPr>
        <w:pStyle w:val="Heading1"/>
        <w:rPr>
          <w:lang w:val="ru-RU"/>
        </w:rPr>
      </w:pPr>
      <w:r w:rsidRPr="007F5899">
        <w:rPr>
          <w:lang w:val="ru-RU"/>
        </w:rPr>
        <w:t>7</w:t>
      </w:r>
      <w:r w:rsidRPr="007F5899">
        <w:rPr>
          <w:lang w:val="ru-RU"/>
        </w:rPr>
        <w:tab/>
        <w:t>Вариант 3: аренда помещений в Женеве</w:t>
      </w:r>
    </w:p>
    <w:p w:rsidR="000F31C9" w:rsidRPr="007F5899" w:rsidRDefault="000F31C9" w:rsidP="000F31C9">
      <w:pPr>
        <w:rPr>
          <w:lang w:val="ru-RU"/>
        </w:rPr>
      </w:pPr>
      <w:r w:rsidRPr="007F5899">
        <w:rPr>
          <w:lang w:val="ru-RU"/>
        </w:rPr>
        <w:t>7.1</w:t>
      </w:r>
      <w:r w:rsidRPr="007F5899">
        <w:rPr>
          <w:lang w:val="ru-RU"/>
        </w:rPr>
        <w:tab/>
        <w:t xml:space="preserve">Цель настоящего раздела – оценить стоимость аренды здания в Женеве. Аренда помещений в одном и том же городе, но без физической взаимосвязи с остальными объектами, предполагает определенные недостатки, которые могут быть приемлемыми на временной основе, но не в долгосрочной перспективе. В число таких недостатков входят транспортировка между объектами, дополнительный периметр обеспечения безопасности, задержки, связанные с проездом от здания к зданию, необходимость в дублировании некоторых услуг. </w:t>
      </w:r>
    </w:p>
    <w:p w:rsidR="000F31C9" w:rsidRPr="007F5899" w:rsidRDefault="008E31E9" w:rsidP="000F31C9">
      <w:pPr>
        <w:pStyle w:val="Headingb"/>
        <w:rPr>
          <w:szCs w:val="26"/>
          <w:lang w:val="ru-RU"/>
        </w:rPr>
      </w:pPr>
      <w:r w:rsidRPr="007F5899">
        <w:rPr>
          <w:lang w:val="ru-RU"/>
        </w:rPr>
        <w:t>А</w:t>
      </w:r>
      <w:r w:rsidR="000F31C9" w:rsidRPr="007F5899">
        <w:rPr>
          <w:lang w:val="ru-RU"/>
        </w:rPr>
        <w:tab/>
        <w:t>Стоимость проекта</w:t>
      </w:r>
    </w:p>
    <w:p w:rsidR="000F31C9" w:rsidRPr="007F5899" w:rsidRDefault="000F31C9" w:rsidP="000F31C9">
      <w:pPr>
        <w:rPr>
          <w:lang w:val="ru-RU"/>
        </w:rPr>
      </w:pPr>
      <w:r w:rsidRPr="007F5899">
        <w:rPr>
          <w:lang w:val="ru-RU"/>
        </w:rPr>
        <w:t>7.2</w:t>
      </w:r>
      <w:r w:rsidRPr="007F5899">
        <w:rPr>
          <w:lang w:val="ru-RU"/>
        </w:rPr>
        <w:tab/>
        <w:t xml:space="preserve">За основу при расчете стоимости аренды принята ставка 420 швейцарских франков за квадратный метр, как указано в экспертном отчете по зданиям МСЭ, составленном компанией </w:t>
      </w:r>
      <w:proofErr w:type="spellStart"/>
      <w:r w:rsidRPr="007F5899">
        <w:rPr>
          <w:lang w:val="ru-RU"/>
        </w:rPr>
        <w:t>Acanthe</w:t>
      </w:r>
      <w:proofErr w:type="spellEnd"/>
      <w:r w:rsidRPr="007F5899">
        <w:rPr>
          <w:lang w:val="ru-RU"/>
        </w:rPr>
        <w:t xml:space="preserve"> (членом Швейцарской палаты специалистов по оценке имущества) в июне 2010 года в связи с проектом </w:t>
      </w:r>
      <w:proofErr w:type="spellStart"/>
      <w:r w:rsidRPr="007F5899">
        <w:rPr>
          <w:lang w:val="ru-RU"/>
        </w:rPr>
        <w:t>IPSAS</w:t>
      </w:r>
      <w:proofErr w:type="spellEnd"/>
      <w:r w:rsidRPr="007F5899">
        <w:rPr>
          <w:lang w:val="ru-RU"/>
        </w:rPr>
        <w:t>. Это сопоставимо с цифрами, относящимися ко второй половине 2014 года, указанными в показателе арендной платы за офисные помещения (</w:t>
      </w:r>
      <w:proofErr w:type="spellStart"/>
      <w:r w:rsidRPr="007F5899">
        <w:rPr>
          <w:lang w:val="ru-RU"/>
        </w:rPr>
        <w:t>ILB</w:t>
      </w:r>
      <w:proofErr w:type="spellEnd"/>
      <w:r w:rsidRPr="007F5899">
        <w:rPr>
          <w:lang w:val="ru-RU"/>
        </w:rPr>
        <w:t xml:space="preserve">) </w:t>
      </w:r>
      <w:proofErr w:type="spellStart"/>
      <w:r w:rsidRPr="007F5899">
        <w:rPr>
          <w:lang w:val="ru-RU"/>
        </w:rPr>
        <w:t>Colliers</w:t>
      </w:r>
      <w:proofErr w:type="spellEnd"/>
      <w:r w:rsidRPr="007F5899">
        <w:rPr>
          <w:lang w:val="ru-RU"/>
        </w:rPr>
        <w:t xml:space="preserve"> </w:t>
      </w:r>
      <w:proofErr w:type="spellStart"/>
      <w:r w:rsidRPr="007F5899">
        <w:rPr>
          <w:lang w:val="ru-RU"/>
        </w:rPr>
        <w:t>International</w:t>
      </w:r>
      <w:proofErr w:type="spellEnd"/>
      <w:r w:rsidRPr="007F5899">
        <w:rPr>
          <w:lang w:val="ru-RU"/>
        </w:rPr>
        <w:t xml:space="preserve"> </w:t>
      </w:r>
      <w:proofErr w:type="spellStart"/>
      <w:r w:rsidRPr="007F5899">
        <w:rPr>
          <w:lang w:val="ru-RU"/>
        </w:rPr>
        <w:t>Suisse</w:t>
      </w:r>
      <w:proofErr w:type="spellEnd"/>
      <w:r w:rsidRPr="007F5899">
        <w:rPr>
          <w:lang w:val="ru-RU"/>
        </w:rPr>
        <w:t xml:space="preserve"> </w:t>
      </w:r>
      <w:proofErr w:type="spellStart"/>
      <w:r w:rsidRPr="007F5899">
        <w:rPr>
          <w:lang w:val="ru-RU"/>
        </w:rPr>
        <w:t>Romande</w:t>
      </w:r>
      <w:proofErr w:type="spellEnd"/>
      <w:r w:rsidRPr="007F5899">
        <w:rPr>
          <w:lang w:val="ru-RU"/>
        </w:rPr>
        <w:t xml:space="preserve">. </w:t>
      </w:r>
    </w:p>
    <w:p w:rsidR="008E31E9" w:rsidRPr="007F5899" w:rsidRDefault="008E31E9" w:rsidP="008E31E9">
      <w:pPr>
        <w:rPr>
          <w:lang w:val="ru-RU"/>
        </w:rPr>
      </w:pPr>
      <w:r w:rsidRPr="007F5899">
        <w:rPr>
          <w:lang w:val="ru-RU"/>
        </w:rPr>
        <w:br w:type="page"/>
      </w:r>
    </w:p>
    <w:p w:rsidR="000F31C9" w:rsidRPr="007F5899" w:rsidRDefault="000F31C9" w:rsidP="00AB45D7">
      <w:pPr>
        <w:rPr>
          <w:lang w:val="ru-RU"/>
        </w:rPr>
      </w:pPr>
      <w:r w:rsidRPr="007F5899">
        <w:rPr>
          <w:lang w:val="ru-RU"/>
        </w:rPr>
        <w:lastRenderedPageBreak/>
        <w:t>7.3</w:t>
      </w:r>
      <w:r w:rsidRPr="007F5899">
        <w:rPr>
          <w:lang w:val="ru-RU"/>
        </w:rPr>
        <w:tab/>
        <w:t>Примерная ежегодная стоимость аренды составляет 4,406 миллиона швейцарских франков. В</w:t>
      </w:r>
      <w:r w:rsidR="00AB45D7" w:rsidRPr="007F5899">
        <w:rPr>
          <w:lang w:val="ru-RU"/>
        </w:rPr>
        <w:t> </w:t>
      </w:r>
      <w:r w:rsidRPr="007F5899">
        <w:rPr>
          <w:lang w:val="ru-RU"/>
        </w:rPr>
        <w:t>таблице ниже представлена цена на квадратный метр арендуемой площади по типам помещений.</w:t>
      </w:r>
    </w:p>
    <w:p w:rsidR="008E31E9" w:rsidRPr="007F5899" w:rsidRDefault="008E31E9" w:rsidP="000F31C9">
      <w:pPr>
        <w:rPr>
          <w:lang w:val="ru-RU"/>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220"/>
        <w:gridCol w:w="1790"/>
        <w:gridCol w:w="2506"/>
      </w:tblGrid>
      <w:tr w:rsidR="000F31C9" w:rsidRPr="007F5899" w:rsidTr="003E6310">
        <w:trPr>
          <w:jc w:val="center"/>
        </w:trPr>
        <w:tc>
          <w:tcPr>
            <w:tcW w:w="2608" w:type="dxa"/>
          </w:tcPr>
          <w:p w:rsidR="000F31C9" w:rsidRPr="007F5899" w:rsidRDefault="000F31C9" w:rsidP="000F31C9">
            <w:pPr>
              <w:pStyle w:val="Tablehead"/>
              <w:rPr>
                <w:lang w:val="ru-RU"/>
              </w:rPr>
            </w:pPr>
          </w:p>
        </w:tc>
        <w:tc>
          <w:tcPr>
            <w:tcW w:w="1758" w:type="dxa"/>
          </w:tcPr>
          <w:p w:rsidR="000F31C9" w:rsidRPr="007F5899" w:rsidRDefault="000F31C9" w:rsidP="000F31C9">
            <w:pPr>
              <w:pStyle w:val="Tablehead"/>
              <w:rPr>
                <w:lang w:val="ru-RU"/>
              </w:rPr>
            </w:pPr>
            <w:r w:rsidRPr="007F5899">
              <w:rPr>
                <w:lang w:val="ru-RU"/>
              </w:rPr>
              <w:t>Площадь в м</w:t>
            </w:r>
            <w:r w:rsidRPr="007F5899">
              <w:rPr>
                <w:b w:val="0"/>
                <w:bCs/>
                <w:vertAlign w:val="superscript"/>
                <w:lang w:val="ru-RU"/>
              </w:rPr>
              <w:t>2</w:t>
            </w:r>
          </w:p>
        </w:tc>
        <w:tc>
          <w:tcPr>
            <w:tcW w:w="1418" w:type="dxa"/>
          </w:tcPr>
          <w:p w:rsidR="000F31C9" w:rsidRPr="007F5899" w:rsidRDefault="000F31C9" w:rsidP="000F31C9">
            <w:pPr>
              <w:pStyle w:val="Tablehead"/>
              <w:rPr>
                <w:lang w:val="ru-RU"/>
              </w:rPr>
            </w:pPr>
            <w:r w:rsidRPr="007F5899">
              <w:rPr>
                <w:lang w:val="ru-RU"/>
              </w:rPr>
              <w:t>Цена за м</w:t>
            </w:r>
            <w:r w:rsidRPr="007F5899">
              <w:rPr>
                <w:b w:val="0"/>
                <w:bCs/>
                <w:vertAlign w:val="superscript"/>
                <w:lang w:val="ru-RU"/>
              </w:rPr>
              <w:t>2</w:t>
            </w:r>
          </w:p>
        </w:tc>
        <w:tc>
          <w:tcPr>
            <w:tcW w:w="1985" w:type="dxa"/>
          </w:tcPr>
          <w:p w:rsidR="000F31C9" w:rsidRPr="007F5899" w:rsidRDefault="000F31C9" w:rsidP="000F31C9">
            <w:pPr>
              <w:pStyle w:val="Tablehead"/>
              <w:rPr>
                <w:lang w:val="ru-RU"/>
              </w:rPr>
            </w:pPr>
            <w:r w:rsidRPr="007F5899">
              <w:rPr>
                <w:lang w:val="ru-RU"/>
              </w:rPr>
              <w:t xml:space="preserve">Всего за год в тыс. </w:t>
            </w:r>
            <w:proofErr w:type="spellStart"/>
            <w:r w:rsidRPr="007F5899">
              <w:rPr>
                <w:lang w:val="ru-RU"/>
              </w:rPr>
              <w:t>шв</w:t>
            </w:r>
            <w:proofErr w:type="spellEnd"/>
            <w:r w:rsidRPr="007F5899">
              <w:rPr>
                <w:lang w:val="ru-RU"/>
              </w:rPr>
              <w:t>. фр.</w:t>
            </w:r>
          </w:p>
        </w:tc>
      </w:tr>
      <w:tr w:rsidR="000F31C9" w:rsidRPr="007F5899" w:rsidTr="003E6310">
        <w:trPr>
          <w:jc w:val="center"/>
        </w:trPr>
        <w:tc>
          <w:tcPr>
            <w:tcW w:w="2608" w:type="dxa"/>
          </w:tcPr>
          <w:p w:rsidR="000F31C9" w:rsidRPr="007F5899" w:rsidRDefault="000F31C9" w:rsidP="000F31C9">
            <w:pPr>
              <w:pStyle w:val="Tabletext"/>
              <w:rPr>
                <w:b/>
                <w:bCs/>
                <w:lang w:val="ru-RU"/>
              </w:rPr>
            </w:pPr>
            <w:r w:rsidRPr="007F5899">
              <w:rPr>
                <w:b/>
                <w:bCs/>
                <w:lang w:val="ru-RU"/>
              </w:rPr>
              <w:t>Офисы и коридоры</w:t>
            </w:r>
          </w:p>
        </w:tc>
        <w:tc>
          <w:tcPr>
            <w:tcW w:w="1758" w:type="dxa"/>
          </w:tcPr>
          <w:p w:rsidR="000F31C9" w:rsidRPr="007F5899" w:rsidRDefault="000F31C9" w:rsidP="000F31C9">
            <w:pPr>
              <w:pStyle w:val="Tabletext"/>
              <w:jc w:val="center"/>
              <w:rPr>
                <w:lang w:val="ru-RU"/>
              </w:rPr>
            </w:pPr>
            <w:r w:rsidRPr="007F5899">
              <w:rPr>
                <w:lang w:val="ru-RU"/>
              </w:rPr>
              <w:t>9</w:t>
            </w:r>
            <w:r w:rsidR="00356558" w:rsidRPr="007F5899">
              <w:rPr>
                <w:lang w:val="ru-RU"/>
              </w:rPr>
              <w:t xml:space="preserve"> </w:t>
            </w:r>
            <w:r w:rsidRPr="007F5899">
              <w:rPr>
                <w:lang w:val="ru-RU"/>
              </w:rPr>
              <w:t>541</w:t>
            </w:r>
          </w:p>
        </w:tc>
        <w:tc>
          <w:tcPr>
            <w:tcW w:w="1418" w:type="dxa"/>
          </w:tcPr>
          <w:p w:rsidR="000F31C9" w:rsidRPr="007F5899" w:rsidRDefault="000F31C9" w:rsidP="000F31C9">
            <w:pPr>
              <w:pStyle w:val="Tabletext"/>
              <w:jc w:val="center"/>
              <w:rPr>
                <w:lang w:val="ru-RU"/>
              </w:rPr>
            </w:pPr>
            <w:r w:rsidRPr="007F5899">
              <w:rPr>
                <w:lang w:val="ru-RU"/>
              </w:rPr>
              <w:t>420</w:t>
            </w:r>
          </w:p>
        </w:tc>
        <w:tc>
          <w:tcPr>
            <w:tcW w:w="1985" w:type="dxa"/>
          </w:tcPr>
          <w:p w:rsidR="000F31C9" w:rsidRPr="007F5899" w:rsidRDefault="000F31C9" w:rsidP="000F31C9">
            <w:pPr>
              <w:pStyle w:val="Tabletext"/>
              <w:jc w:val="center"/>
              <w:rPr>
                <w:lang w:val="ru-RU"/>
              </w:rPr>
            </w:pPr>
            <w:r w:rsidRPr="007F5899">
              <w:rPr>
                <w:lang w:val="ru-RU"/>
              </w:rPr>
              <w:t>4</w:t>
            </w:r>
            <w:r w:rsidR="00356558" w:rsidRPr="007F5899">
              <w:rPr>
                <w:lang w:val="ru-RU"/>
              </w:rPr>
              <w:t xml:space="preserve"> </w:t>
            </w:r>
            <w:r w:rsidRPr="007F5899">
              <w:rPr>
                <w:lang w:val="ru-RU"/>
              </w:rPr>
              <w:t>007</w:t>
            </w:r>
          </w:p>
        </w:tc>
      </w:tr>
      <w:tr w:rsidR="000F31C9" w:rsidRPr="007F5899" w:rsidTr="003E6310">
        <w:trPr>
          <w:jc w:val="center"/>
        </w:trPr>
        <w:tc>
          <w:tcPr>
            <w:tcW w:w="2608" w:type="dxa"/>
          </w:tcPr>
          <w:p w:rsidR="000F31C9" w:rsidRPr="007F5899" w:rsidRDefault="000F31C9" w:rsidP="000F31C9">
            <w:pPr>
              <w:pStyle w:val="Tabletext"/>
              <w:rPr>
                <w:b/>
                <w:bCs/>
                <w:lang w:val="ru-RU"/>
              </w:rPr>
            </w:pPr>
            <w:r w:rsidRPr="007F5899">
              <w:rPr>
                <w:b/>
                <w:bCs/>
                <w:lang w:val="ru-RU"/>
              </w:rPr>
              <w:t>Конференц-зал</w:t>
            </w:r>
          </w:p>
        </w:tc>
        <w:tc>
          <w:tcPr>
            <w:tcW w:w="1758" w:type="dxa"/>
          </w:tcPr>
          <w:p w:rsidR="000F31C9" w:rsidRPr="007F5899" w:rsidRDefault="000F31C9" w:rsidP="000F31C9">
            <w:pPr>
              <w:pStyle w:val="Tabletext"/>
              <w:jc w:val="center"/>
              <w:rPr>
                <w:lang w:val="ru-RU"/>
              </w:rPr>
            </w:pPr>
            <w:r w:rsidRPr="007F5899">
              <w:rPr>
                <w:lang w:val="ru-RU"/>
              </w:rPr>
              <w:t>198</w:t>
            </w:r>
          </w:p>
        </w:tc>
        <w:tc>
          <w:tcPr>
            <w:tcW w:w="1418" w:type="dxa"/>
          </w:tcPr>
          <w:p w:rsidR="000F31C9" w:rsidRPr="007F5899" w:rsidRDefault="000F31C9" w:rsidP="000F31C9">
            <w:pPr>
              <w:pStyle w:val="Tabletext"/>
              <w:jc w:val="center"/>
              <w:rPr>
                <w:lang w:val="ru-RU"/>
              </w:rPr>
            </w:pPr>
            <w:r w:rsidRPr="007F5899">
              <w:rPr>
                <w:lang w:val="ru-RU"/>
              </w:rPr>
              <w:t>420</w:t>
            </w:r>
          </w:p>
        </w:tc>
        <w:tc>
          <w:tcPr>
            <w:tcW w:w="1985" w:type="dxa"/>
          </w:tcPr>
          <w:p w:rsidR="000F31C9" w:rsidRPr="007F5899" w:rsidRDefault="000F31C9" w:rsidP="000F31C9">
            <w:pPr>
              <w:pStyle w:val="Tabletext"/>
              <w:jc w:val="center"/>
              <w:rPr>
                <w:lang w:val="ru-RU"/>
              </w:rPr>
            </w:pPr>
            <w:r w:rsidRPr="007F5899">
              <w:rPr>
                <w:lang w:val="ru-RU"/>
              </w:rPr>
              <w:t>83</w:t>
            </w:r>
          </w:p>
        </w:tc>
      </w:tr>
      <w:tr w:rsidR="000F31C9" w:rsidRPr="007F5899" w:rsidTr="003E6310">
        <w:trPr>
          <w:jc w:val="center"/>
        </w:trPr>
        <w:tc>
          <w:tcPr>
            <w:tcW w:w="2608" w:type="dxa"/>
          </w:tcPr>
          <w:p w:rsidR="000F31C9" w:rsidRPr="007F5899" w:rsidRDefault="000F31C9" w:rsidP="000F31C9">
            <w:pPr>
              <w:pStyle w:val="Tabletext"/>
              <w:rPr>
                <w:b/>
                <w:bCs/>
                <w:lang w:val="ru-RU"/>
              </w:rPr>
            </w:pPr>
            <w:r w:rsidRPr="007F5899">
              <w:rPr>
                <w:b/>
                <w:bCs/>
                <w:lang w:val="ru-RU"/>
              </w:rPr>
              <w:t>Офисы в цокольных помещениях</w:t>
            </w:r>
          </w:p>
        </w:tc>
        <w:tc>
          <w:tcPr>
            <w:tcW w:w="1758" w:type="dxa"/>
          </w:tcPr>
          <w:p w:rsidR="000F31C9" w:rsidRPr="007F5899" w:rsidRDefault="000F31C9" w:rsidP="000F31C9">
            <w:pPr>
              <w:pStyle w:val="Tabletext"/>
              <w:jc w:val="center"/>
              <w:rPr>
                <w:lang w:val="ru-RU"/>
              </w:rPr>
            </w:pPr>
            <w:r w:rsidRPr="007F5899">
              <w:rPr>
                <w:lang w:val="ru-RU"/>
              </w:rPr>
              <w:t>220</w:t>
            </w:r>
          </w:p>
        </w:tc>
        <w:tc>
          <w:tcPr>
            <w:tcW w:w="1418" w:type="dxa"/>
          </w:tcPr>
          <w:p w:rsidR="000F31C9" w:rsidRPr="007F5899" w:rsidRDefault="000F31C9" w:rsidP="000F31C9">
            <w:pPr>
              <w:pStyle w:val="Tabletext"/>
              <w:jc w:val="center"/>
              <w:rPr>
                <w:lang w:val="ru-RU"/>
              </w:rPr>
            </w:pPr>
            <w:r w:rsidRPr="007F5899">
              <w:rPr>
                <w:lang w:val="ru-RU"/>
              </w:rPr>
              <w:t>200</w:t>
            </w:r>
          </w:p>
        </w:tc>
        <w:tc>
          <w:tcPr>
            <w:tcW w:w="1985" w:type="dxa"/>
          </w:tcPr>
          <w:p w:rsidR="000F31C9" w:rsidRPr="007F5899" w:rsidRDefault="000F31C9" w:rsidP="000F31C9">
            <w:pPr>
              <w:pStyle w:val="Tabletext"/>
              <w:jc w:val="center"/>
              <w:rPr>
                <w:lang w:val="ru-RU"/>
              </w:rPr>
            </w:pPr>
            <w:r w:rsidRPr="007F5899">
              <w:rPr>
                <w:lang w:val="ru-RU"/>
              </w:rPr>
              <w:t>44</w:t>
            </w:r>
          </w:p>
        </w:tc>
      </w:tr>
      <w:tr w:rsidR="000F31C9" w:rsidRPr="007F5899" w:rsidTr="003E6310">
        <w:trPr>
          <w:jc w:val="center"/>
        </w:trPr>
        <w:tc>
          <w:tcPr>
            <w:tcW w:w="2608" w:type="dxa"/>
          </w:tcPr>
          <w:p w:rsidR="000F31C9" w:rsidRPr="007F5899" w:rsidRDefault="000F31C9" w:rsidP="000F31C9">
            <w:pPr>
              <w:pStyle w:val="Tabletext"/>
              <w:rPr>
                <w:b/>
                <w:bCs/>
                <w:lang w:val="ru-RU"/>
              </w:rPr>
            </w:pPr>
            <w:r w:rsidRPr="007F5899">
              <w:rPr>
                <w:b/>
                <w:bCs/>
                <w:lang w:val="ru-RU"/>
              </w:rPr>
              <w:t>Склады</w:t>
            </w:r>
          </w:p>
        </w:tc>
        <w:tc>
          <w:tcPr>
            <w:tcW w:w="1758" w:type="dxa"/>
          </w:tcPr>
          <w:p w:rsidR="000F31C9" w:rsidRPr="007F5899" w:rsidRDefault="000F31C9" w:rsidP="000F31C9">
            <w:pPr>
              <w:pStyle w:val="Tabletext"/>
              <w:jc w:val="center"/>
              <w:rPr>
                <w:lang w:val="ru-RU"/>
              </w:rPr>
            </w:pPr>
            <w:r w:rsidRPr="007F5899">
              <w:rPr>
                <w:lang w:val="ru-RU"/>
              </w:rPr>
              <w:t>385</w:t>
            </w:r>
          </w:p>
        </w:tc>
        <w:tc>
          <w:tcPr>
            <w:tcW w:w="1418" w:type="dxa"/>
          </w:tcPr>
          <w:p w:rsidR="000F31C9" w:rsidRPr="007F5899" w:rsidRDefault="000F31C9" w:rsidP="000F31C9">
            <w:pPr>
              <w:pStyle w:val="Tabletext"/>
              <w:jc w:val="center"/>
              <w:rPr>
                <w:lang w:val="ru-RU"/>
              </w:rPr>
            </w:pPr>
            <w:r w:rsidRPr="007F5899">
              <w:rPr>
                <w:lang w:val="ru-RU"/>
              </w:rPr>
              <w:t>100</w:t>
            </w:r>
          </w:p>
        </w:tc>
        <w:tc>
          <w:tcPr>
            <w:tcW w:w="1985" w:type="dxa"/>
          </w:tcPr>
          <w:p w:rsidR="000F31C9" w:rsidRPr="007F5899" w:rsidRDefault="000F31C9" w:rsidP="000F31C9">
            <w:pPr>
              <w:pStyle w:val="Tabletext"/>
              <w:jc w:val="center"/>
              <w:rPr>
                <w:lang w:val="ru-RU"/>
              </w:rPr>
            </w:pPr>
            <w:r w:rsidRPr="007F5899">
              <w:rPr>
                <w:lang w:val="ru-RU"/>
              </w:rPr>
              <w:t>39</w:t>
            </w:r>
          </w:p>
        </w:tc>
      </w:tr>
      <w:tr w:rsidR="000F31C9" w:rsidRPr="007F5899" w:rsidTr="003E6310">
        <w:trPr>
          <w:jc w:val="center"/>
        </w:trPr>
        <w:tc>
          <w:tcPr>
            <w:tcW w:w="2608" w:type="dxa"/>
          </w:tcPr>
          <w:p w:rsidR="000F31C9" w:rsidRPr="007F5899" w:rsidRDefault="000F31C9" w:rsidP="000F31C9">
            <w:pPr>
              <w:pStyle w:val="Tabletext"/>
              <w:rPr>
                <w:b/>
                <w:bCs/>
                <w:lang w:val="ru-RU"/>
              </w:rPr>
            </w:pPr>
            <w:r w:rsidRPr="007F5899">
              <w:rPr>
                <w:b/>
                <w:bCs/>
                <w:lang w:val="ru-RU"/>
              </w:rPr>
              <w:t>Другое</w:t>
            </w:r>
          </w:p>
        </w:tc>
        <w:tc>
          <w:tcPr>
            <w:tcW w:w="1758" w:type="dxa"/>
          </w:tcPr>
          <w:p w:rsidR="000F31C9" w:rsidRPr="007F5899" w:rsidRDefault="000F31C9" w:rsidP="000F31C9">
            <w:pPr>
              <w:pStyle w:val="Tabletext"/>
              <w:jc w:val="center"/>
              <w:rPr>
                <w:lang w:val="ru-RU"/>
              </w:rPr>
            </w:pPr>
            <w:r w:rsidRPr="007F5899">
              <w:rPr>
                <w:lang w:val="ru-RU"/>
              </w:rPr>
              <w:t>2</w:t>
            </w:r>
            <w:r w:rsidR="00356558" w:rsidRPr="007F5899">
              <w:rPr>
                <w:lang w:val="ru-RU"/>
              </w:rPr>
              <w:t xml:space="preserve"> </w:t>
            </w:r>
            <w:r w:rsidRPr="007F5899">
              <w:rPr>
                <w:lang w:val="ru-RU"/>
              </w:rPr>
              <w:t>327</w:t>
            </w:r>
          </w:p>
        </w:tc>
        <w:tc>
          <w:tcPr>
            <w:tcW w:w="1418" w:type="dxa"/>
          </w:tcPr>
          <w:p w:rsidR="000F31C9" w:rsidRPr="007F5899" w:rsidRDefault="000F31C9" w:rsidP="000F31C9">
            <w:pPr>
              <w:pStyle w:val="Tabletext"/>
              <w:jc w:val="center"/>
              <w:rPr>
                <w:lang w:val="ru-RU"/>
              </w:rPr>
            </w:pPr>
            <w:r w:rsidRPr="007F5899">
              <w:rPr>
                <w:lang w:val="ru-RU"/>
              </w:rPr>
              <w:t>100</w:t>
            </w:r>
          </w:p>
        </w:tc>
        <w:tc>
          <w:tcPr>
            <w:tcW w:w="1985" w:type="dxa"/>
          </w:tcPr>
          <w:p w:rsidR="000F31C9" w:rsidRPr="007F5899" w:rsidRDefault="000F31C9" w:rsidP="000F31C9">
            <w:pPr>
              <w:pStyle w:val="Tabletext"/>
              <w:jc w:val="center"/>
              <w:rPr>
                <w:lang w:val="ru-RU"/>
              </w:rPr>
            </w:pPr>
            <w:r w:rsidRPr="007F5899">
              <w:rPr>
                <w:lang w:val="ru-RU"/>
              </w:rPr>
              <w:t>233</w:t>
            </w:r>
          </w:p>
        </w:tc>
      </w:tr>
      <w:tr w:rsidR="000F31C9" w:rsidRPr="007F5899" w:rsidTr="003E6310">
        <w:trPr>
          <w:jc w:val="center"/>
        </w:trPr>
        <w:tc>
          <w:tcPr>
            <w:tcW w:w="2608" w:type="dxa"/>
          </w:tcPr>
          <w:p w:rsidR="000F31C9" w:rsidRPr="007F5899" w:rsidRDefault="000F31C9" w:rsidP="000F31C9">
            <w:pPr>
              <w:pStyle w:val="Tabletext"/>
              <w:rPr>
                <w:b/>
                <w:bCs/>
                <w:lang w:val="ru-RU"/>
              </w:rPr>
            </w:pPr>
            <w:r w:rsidRPr="007F5899">
              <w:rPr>
                <w:b/>
                <w:bCs/>
                <w:lang w:val="ru-RU"/>
              </w:rPr>
              <w:t>Всего</w:t>
            </w:r>
          </w:p>
        </w:tc>
        <w:tc>
          <w:tcPr>
            <w:tcW w:w="1758" w:type="dxa"/>
          </w:tcPr>
          <w:p w:rsidR="000F31C9" w:rsidRPr="007F5899" w:rsidRDefault="000F31C9" w:rsidP="000F31C9">
            <w:pPr>
              <w:pStyle w:val="Tabletext"/>
              <w:jc w:val="center"/>
              <w:rPr>
                <w:b/>
                <w:bCs/>
                <w:lang w:val="ru-RU"/>
              </w:rPr>
            </w:pPr>
            <w:r w:rsidRPr="007F5899">
              <w:rPr>
                <w:b/>
                <w:bCs/>
                <w:lang w:val="ru-RU"/>
              </w:rPr>
              <w:t>12 671</w:t>
            </w:r>
          </w:p>
        </w:tc>
        <w:tc>
          <w:tcPr>
            <w:tcW w:w="1418" w:type="dxa"/>
          </w:tcPr>
          <w:p w:rsidR="000F31C9" w:rsidRPr="007F5899" w:rsidRDefault="000F31C9" w:rsidP="000F31C9">
            <w:pPr>
              <w:pStyle w:val="Tabletext"/>
              <w:jc w:val="center"/>
              <w:rPr>
                <w:b/>
                <w:bCs/>
                <w:lang w:val="ru-RU"/>
              </w:rPr>
            </w:pPr>
          </w:p>
        </w:tc>
        <w:tc>
          <w:tcPr>
            <w:tcW w:w="1985" w:type="dxa"/>
          </w:tcPr>
          <w:p w:rsidR="000F31C9" w:rsidRPr="007F5899" w:rsidRDefault="000F31C9" w:rsidP="000F31C9">
            <w:pPr>
              <w:pStyle w:val="Tabletext"/>
              <w:jc w:val="center"/>
              <w:rPr>
                <w:b/>
                <w:bCs/>
                <w:lang w:val="ru-RU"/>
              </w:rPr>
            </w:pPr>
            <w:r w:rsidRPr="007F5899">
              <w:rPr>
                <w:b/>
                <w:bCs/>
                <w:lang w:val="ru-RU"/>
              </w:rPr>
              <w:t>4</w:t>
            </w:r>
            <w:r w:rsidR="00356558" w:rsidRPr="007F5899">
              <w:rPr>
                <w:b/>
                <w:bCs/>
                <w:lang w:val="ru-RU"/>
              </w:rPr>
              <w:t xml:space="preserve"> </w:t>
            </w:r>
            <w:r w:rsidRPr="007F5899">
              <w:rPr>
                <w:b/>
                <w:bCs/>
                <w:lang w:val="ru-RU"/>
              </w:rPr>
              <w:t>406</w:t>
            </w:r>
          </w:p>
        </w:tc>
      </w:tr>
    </w:tbl>
    <w:p w:rsidR="000F31C9" w:rsidRPr="007F5899" w:rsidRDefault="000F31C9" w:rsidP="000F31C9">
      <w:pPr>
        <w:rPr>
          <w:lang w:val="ru-RU"/>
        </w:rPr>
      </w:pPr>
      <w:r w:rsidRPr="007F5899">
        <w:rPr>
          <w:lang w:val="ru-RU"/>
        </w:rPr>
        <w:t>7.4</w:t>
      </w:r>
      <w:r w:rsidRPr="007F5899">
        <w:rPr>
          <w:lang w:val="ru-RU"/>
        </w:rPr>
        <w:tab/>
        <w:t>Следует отметить, что указанные значения не включают:</w:t>
      </w:r>
    </w:p>
    <w:p w:rsidR="000F31C9" w:rsidRPr="007F5899" w:rsidRDefault="000F31C9" w:rsidP="000F31C9">
      <w:pPr>
        <w:pStyle w:val="enumlev1"/>
        <w:rPr>
          <w:lang w:val="ru-RU"/>
        </w:rPr>
      </w:pPr>
      <w:r w:rsidRPr="007F5899">
        <w:rPr>
          <w:lang w:val="ru-RU"/>
        </w:rPr>
        <w:t>–</w:t>
      </w:r>
      <w:r w:rsidRPr="007F5899">
        <w:rPr>
          <w:lang w:val="ru-RU"/>
        </w:rPr>
        <w:tab/>
        <w:t>стоимость вывоза и монтажа оборудования в новых помещениях (около 0,5 миллиона швейцарских франков);</w:t>
      </w:r>
    </w:p>
    <w:p w:rsidR="000F31C9" w:rsidRPr="007F5899" w:rsidRDefault="000F31C9" w:rsidP="00AB45D7">
      <w:pPr>
        <w:pStyle w:val="enumlev1"/>
        <w:rPr>
          <w:lang w:val="ru-RU"/>
        </w:rPr>
      </w:pPr>
      <w:r w:rsidRPr="007F5899">
        <w:rPr>
          <w:lang w:val="ru-RU"/>
        </w:rPr>
        <w:t>–</w:t>
      </w:r>
      <w:r w:rsidRPr="007F5899">
        <w:rPr>
          <w:lang w:val="ru-RU"/>
        </w:rPr>
        <w:tab/>
        <w:t>платежи за арендуемые помещения в размере около 15–20% от стоимости аренды (0,7</w:t>
      </w:r>
      <w:r w:rsidR="00AB45D7" w:rsidRPr="007F5899">
        <w:rPr>
          <w:lang w:val="ru-RU"/>
        </w:rPr>
        <w:t>−</w:t>
      </w:r>
      <w:r w:rsidRPr="007F5899">
        <w:rPr>
          <w:lang w:val="ru-RU"/>
        </w:rPr>
        <w:t>0,9</w:t>
      </w:r>
      <w:r w:rsidR="00AB45D7" w:rsidRPr="007F5899">
        <w:rPr>
          <w:lang w:val="ru-RU"/>
        </w:rPr>
        <w:t> </w:t>
      </w:r>
      <w:r w:rsidRPr="007F5899">
        <w:rPr>
          <w:lang w:val="ru-RU"/>
        </w:rPr>
        <w:t>миллиона швейцарских франков). Данные затраты были бы выше аналогичных нынешних затрат, но, тем не менее, такой вариант был бы связан с некоторой экономией для остальных помещений штаб-квартиры в размере около 0,4 миллиона швейцарских франков. В</w:t>
      </w:r>
      <w:r w:rsidR="00AB45D7" w:rsidRPr="007F5899">
        <w:rPr>
          <w:lang w:val="ru-RU"/>
        </w:rPr>
        <w:t> </w:t>
      </w:r>
      <w:r w:rsidRPr="007F5899">
        <w:rPr>
          <w:lang w:val="ru-RU"/>
        </w:rPr>
        <w:t>результате чистые платежи увеличиваются на 0,3–0,5 миллиона швейцарских франков.</w:t>
      </w:r>
    </w:p>
    <w:p w:rsidR="000F31C9" w:rsidRPr="007F5899" w:rsidRDefault="000F31C9" w:rsidP="000F31C9">
      <w:pPr>
        <w:rPr>
          <w:lang w:val="ru-RU"/>
        </w:rPr>
      </w:pPr>
      <w:r w:rsidRPr="007F5899">
        <w:rPr>
          <w:lang w:val="ru-RU"/>
        </w:rPr>
        <w:t>7.5</w:t>
      </w:r>
      <w:r w:rsidRPr="007F5899">
        <w:rPr>
          <w:lang w:val="ru-RU"/>
        </w:rPr>
        <w:tab/>
        <w:t xml:space="preserve">Более того, возникают дополнительные эксплуатационные затраты на координацию работы сотрудников в новых помещениях с сотрудниками в здании штаб-квартиры (координационные совещания, почтовые рассылки, информационные услуги и пр.). Такие затраты также следует принимать во внимание. </w:t>
      </w:r>
    </w:p>
    <w:p w:rsidR="000F31C9" w:rsidRPr="007F5899" w:rsidRDefault="000F31C9" w:rsidP="000F31C9">
      <w:pPr>
        <w:rPr>
          <w:lang w:val="ru-RU"/>
        </w:rPr>
      </w:pPr>
      <w:r w:rsidRPr="007F5899">
        <w:rPr>
          <w:lang w:val="ru-RU"/>
        </w:rPr>
        <w:t>7.6</w:t>
      </w:r>
      <w:r w:rsidRPr="007F5899">
        <w:rPr>
          <w:lang w:val="ru-RU"/>
        </w:rPr>
        <w:tab/>
        <w:t>Кроме того, следует учитывать, что в случае выбора данного варианта снос здания "</w:t>
      </w:r>
      <w:proofErr w:type="spellStart"/>
      <w:r w:rsidRPr="007F5899">
        <w:rPr>
          <w:lang w:val="ru-RU"/>
        </w:rPr>
        <w:t>Варембе</w:t>
      </w:r>
      <w:proofErr w:type="spellEnd"/>
      <w:r w:rsidRPr="007F5899">
        <w:rPr>
          <w:lang w:val="ru-RU"/>
        </w:rPr>
        <w:t xml:space="preserve"> I" стал бы наиболее вероятным сценарием, так как МСЭ вряд ли одобрит решение о сохранении и содержании пустующего здания. Стоимость такого сноса оценивается в 3,9 миллиона швейцарских франков.</w:t>
      </w:r>
    </w:p>
    <w:p w:rsidR="000F31C9" w:rsidRPr="007F5899" w:rsidRDefault="000F31C9" w:rsidP="008E31E9">
      <w:pPr>
        <w:pStyle w:val="Headingb"/>
        <w:rPr>
          <w:szCs w:val="26"/>
          <w:lang w:val="ru-RU"/>
        </w:rPr>
      </w:pPr>
      <w:r w:rsidRPr="007F5899">
        <w:rPr>
          <w:lang w:val="ru-RU"/>
        </w:rPr>
        <w:t>В</w:t>
      </w:r>
      <w:r w:rsidRPr="007F5899">
        <w:rPr>
          <w:lang w:val="ru-RU"/>
        </w:rPr>
        <w:tab/>
        <w:t>График реализации проекта</w:t>
      </w:r>
    </w:p>
    <w:p w:rsidR="000F31C9" w:rsidRPr="007F5899" w:rsidRDefault="003E6310" w:rsidP="00AB45D7">
      <w:pPr>
        <w:rPr>
          <w:lang w:val="ru-RU"/>
        </w:rPr>
      </w:pPr>
      <w:r w:rsidRPr="007F5899">
        <w:rPr>
          <w:lang w:val="ru-RU"/>
        </w:rPr>
        <w:t>7.7</w:t>
      </w:r>
      <w:r w:rsidRPr="007F5899">
        <w:rPr>
          <w:lang w:val="ru-RU"/>
        </w:rPr>
        <w:tab/>
      </w:r>
      <w:r w:rsidR="000F31C9" w:rsidRPr="007F5899">
        <w:rPr>
          <w:lang w:val="ru-RU"/>
        </w:rPr>
        <w:t xml:space="preserve">Если ПК-14 примет решение в пользу варианта аренды, данный проект можно было бы реализовать в рамках </w:t>
      </w:r>
      <w:r w:rsidR="00AB45D7" w:rsidRPr="007F5899">
        <w:rPr>
          <w:lang w:val="ru-RU"/>
        </w:rPr>
        <w:t xml:space="preserve">Финансового </w:t>
      </w:r>
      <w:r w:rsidR="000F31C9" w:rsidRPr="007F5899">
        <w:rPr>
          <w:lang w:val="ru-RU"/>
        </w:rPr>
        <w:t xml:space="preserve">плана </w:t>
      </w:r>
      <w:r w:rsidR="00AB45D7" w:rsidRPr="007F5899">
        <w:rPr>
          <w:lang w:val="ru-RU"/>
        </w:rPr>
        <w:t xml:space="preserve">на период </w:t>
      </w:r>
      <w:r w:rsidR="000F31C9" w:rsidRPr="007F5899">
        <w:rPr>
          <w:lang w:val="ru-RU"/>
        </w:rPr>
        <w:t>2016</w:t>
      </w:r>
      <w:r w:rsidR="00AB45D7" w:rsidRPr="007F5899">
        <w:rPr>
          <w:lang w:val="ru-RU"/>
        </w:rPr>
        <w:t>−</w:t>
      </w:r>
      <w:r w:rsidR="000F31C9" w:rsidRPr="007F5899">
        <w:rPr>
          <w:lang w:val="ru-RU"/>
        </w:rPr>
        <w:t>2019 г</w:t>
      </w:r>
      <w:r w:rsidR="00AB45D7" w:rsidRPr="007F5899">
        <w:rPr>
          <w:lang w:val="ru-RU"/>
        </w:rPr>
        <w:t>одов</w:t>
      </w:r>
      <w:r w:rsidR="000F31C9" w:rsidRPr="007F5899">
        <w:rPr>
          <w:lang w:val="ru-RU"/>
        </w:rPr>
        <w:t>. Можно предположить, что этап выезда из старого здания и размещения в новом здании в Женеве займет около года. Все названные затраты, включая стоимость сноса здания "</w:t>
      </w:r>
      <w:proofErr w:type="spellStart"/>
      <w:r w:rsidR="000F31C9" w:rsidRPr="007F5899">
        <w:rPr>
          <w:lang w:val="ru-RU"/>
        </w:rPr>
        <w:t>Варембе</w:t>
      </w:r>
      <w:proofErr w:type="spellEnd"/>
      <w:r w:rsidR="000F31C9" w:rsidRPr="007F5899">
        <w:rPr>
          <w:lang w:val="ru-RU"/>
        </w:rPr>
        <w:t xml:space="preserve">", не включены в проект </w:t>
      </w:r>
      <w:r w:rsidR="00AB45D7" w:rsidRPr="007F5899">
        <w:rPr>
          <w:lang w:val="ru-RU"/>
        </w:rPr>
        <w:t xml:space="preserve">Финансового </w:t>
      </w:r>
      <w:r w:rsidR="000F31C9" w:rsidRPr="007F5899">
        <w:rPr>
          <w:lang w:val="ru-RU"/>
        </w:rPr>
        <w:t xml:space="preserve">плана </w:t>
      </w:r>
      <w:r w:rsidR="00AB45D7" w:rsidRPr="007F5899">
        <w:rPr>
          <w:lang w:val="ru-RU"/>
        </w:rPr>
        <w:t xml:space="preserve">на период </w:t>
      </w:r>
      <w:r w:rsidR="000F31C9" w:rsidRPr="007F5899">
        <w:rPr>
          <w:lang w:val="ru-RU"/>
        </w:rPr>
        <w:t>2016</w:t>
      </w:r>
      <w:r w:rsidR="00AB45D7" w:rsidRPr="007F5899">
        <w:rPr>
          <w:lang w:val="ru-RU"/>
        </w:rPr>
        <w:t>−</w:t>
      </w:r>
      <w:r w:rsidR="000F31C9" w:rsidRPr="007F5899">
        <w:rPr>
          <w:lang w:val="ru-RU"/>
        </w:rPr>
        <w:t>2019 г</w:t>
      </w:r>
      <w:r w:rsidR="00AB45D7" w:rsidRPr="007F5899">
        <w:rPr>
          <w:lang w:val="ru-RU"/>
        </w:rPr>
        <w:t>одов</w:t>
      </w:r>
      <w:r w:rsidR="000F31C9" w:rsidRPr="007F5899">
        <w:rPr>
          <w:lang w:val="ru-RU"/>
        </w:rPr>
        <w:t>, представленный ПК-14.</w:t>
      </w:r>
    </w:p>
    <w:p w:rsidR="000F31C9" w:rsidRPr="007F5899" w:rsidRDefault="000F31C9" w:rsidP="008E31E9">
      <w:pPr>
        <w:pStyle w:val="Headingb"/>
        <w:rPr>
          <w:szCs w:val="26"/>
          <w:lang w:val="ru-RU"/>
        </w:rPr>
      </w:pPr>
      <w:r w:rsidRPr="007F5899">
        <w:rPr>
          <w:lang w:val="ru-RU"/>
        </w:rPr>
        <w:t>С</w:t>
      </w:r>
      <w:r w:rsidRPr="007F5899">
        <w:rPr>
          <w:lang w:val="ru-RU"/>
        </w:rPr>
        <w:tab/>
        <w:t>Долгосрочное влияние</w:t>
      </w:r>
    </w:p>
    <w:p w:rsidR="000F31C9" w:rsidRPr="007F5899" w:rsidRDefault="003E6310" w:rsidP="00356558">
      <w:pPr>
        <w:rPr>
          <w:lang w:val="ru-RU"/>
        </w:rPr>
      </w:pPr>
      <w:r w:rsidRPr="007F5899">
        <w:rPr>
          <w:lang w:val="ru-RU"/>
        </w:rPr>
        <w:t>7.8</w:t>
      </w:r>
      <w:r w:rsidRPr="007F5899">
        <w:rPr>
          <w:lang w:val="ru-RU"/>
        </w:rPr>
        <w:tab/>
      </w:r>
      <w:r w:rsidR="000F31C9" w:rsidRPr="007F5899">
        <w:rPr>
          <w:lang w:val="ru-RU"/>
        </w:rPr>
        <w:t>Вариант аренды помещений для замены здания "</w:t>
      </w:r>
      <w:proofErr w:type="spellStart"/>
      <w:r w:rsidR="000F31C9" w:rsidRPr="007F5899">
        <w:rPr>
          <w:lang w:val="ru-RU"/>
        </w:rPr>
        <w:t>Варембе</w:t>
      </w:r>
      <w:proofErr w:type="spellEnd"/>
      <w:r w:rsidR="000F31C9" w:rsidRPr="007F5899">
        <w:rPr>
          <w:lang w:val="ru-RU"/>
        </w:rPr>
        <w:t>" обладает эксплуатационными недостатками (значительный разрыв в организации работы и затраты в связи с выездом и размещением в новом здании). Кроме того, стоимость аренды будет выше стоимости погашения кредита на строительство нового здания (по завершении которого Союз станет его единоличным и полноправным владельцем) без каких-либо долгосрочных экономических выгод. Дополнительно возникнут новые текущие затраты, в частности затраты на оплату проезда и охрану по периметру, а также задержки при проведении заседаний в случае вынужденных перемещений делегатов.</w:t>
      </w:r>
    </w:p>
    <w:p w:rsidR="000F31C9" w:rsidRPr="007F5899" w:rsidRDefault="003E6310" w:rsidP="003E6310">
      <w:pPr>
        <w:rPr>
          <w:lang w:val="ru-RU"/>
        </w:rPr>
      </w:pPr>
      <w:r w:rsidRPr="007F5899">
        <w:rPr>
          <w:lang w:val="ru-RU"/>
        </w:rPr>
        <w:t>7.9</w:t>
      </w:r>
      <w:r w:rsidRPr="007F5899">
        <w:rPr>
          <w:lang w:val="ru-RU"/>
        </w:rPr>
        <w:tab/>
      </w:r>
      <w:r w:rsidR="000F31C9" w:rsidRPr="007F5899">
        <w:rPr>
          <w:lang w:val="ru-RU"/>
        </w:rPr>
        <w:t>Вариант аренды здания также будет означать, что Союз перестанет быть владельцем здания "</w:t>
      </w:r>
      <w:proofErr w:type="spellStart"/>
      <w:r w:rsidR="000F31C9" w:rsidRPr="007F5899">
        <w:rPr>
          <w:lang w:val="ru-RU"/>
        </w:rPr>
        <w:t>Варембе</w:t>
      </w:r>
      <w:proofErr w:type="spellEnd"/>
      <w:r w:rsidR="000F31C9" w:rsidRPr="007F5899">
        <w:rPr>
          <w:lang w:val="ru-RU"/>
        </w:rPr>
        <w:t>", следовательно, его активы сократятся.</w:t>
      </w:r>
    </w:p>
    <w:p w:rsidR="000F31C9" w:rsidRPr="007F5899" w:rsidRDefault="000F31C9" w:rsidP="008E31E9">
      <w:pPr>
        <w:pStyle w:val="Headingb"/>
        <w:spacing w:after="120"/>
        <w:rPr>
          <w:lang w:val="ru-RU"/>
        </w:rPr>
      </w:pPr>
      <w:r w:rsidRPr="007F5899">
        <w:rPr>
          <w:lang w:val="ru-RU"/>
        </w:rPr>
        <w:lastRenderedPageBreak/>
        <w:t>Сводные данные по объектам в рамках варианта 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02"/>
        <w:gridCol w:w="1814"/>
        <w:gridCol w:w="4054"/>
      </w:tblGrid>
      <w:tr w:rsidR="000F31C9" w:rsidRPr="007F5899" w:rsidTr="008E31E9">
        <w:trPr>
          <w:jc w:val="center"/>
        </w:trPr>
        <w:tc>
          <w:tcPr>
            <w:tcW w:w="2326" w:type="dxa"/>
            <w:vAlign w:val="center"/>
          </w:tcPr>
          <w:p w:rsidR="000F31C9" w:rsidRPr="007F5899" w:rsidRDefault="000F31C9" w:rsidP="008E31E9">
            <w:pPr>
              <w:pStyle w:val="Tablehead"/>
              <w:rPr>
                <w:lang w:val="ru-RU"/>
              </w:rPr>
            </w:pPr>
            <w:r w:rsidRPr="007F5899">
              <w:rPr>
                <w:lang w:val="ru-RU"/>
              </w:rPr>
              <w:t>Здание</w:t>
            </w:r>
          </w:p>
        </w:tc>
        <w:tc>
          <w:tcPr>
            <w:tcW w:w="1433" w:type="dxa"/>
            <w:vAlign w:val="center"/>
          </w:tcPr>
          <w:p w:rsidR="000F31C9" w:rsidRPr="007F5899" w:rsidRDefault="000F31C9" w:rsidP="008E31E9">
            <w:pPr>
              <w:pStyle w:val="Tablehead"/>
              <w:rPr>
                <w:lang w:val="ru-RU"/>
              </w:rPr>
            </w:pPr>
          </w:p>
        </w:tc>
        <w:tc>
          <w:tcPr>
            <w:tcW w:w="1559" w:type="dxa"/>
            <w:vAlign w:val="center"/>
          </w:tcPr>
          <w:p w:rsidR="000F31C9" w:rsidRPr="007F5899" w:rsidRDefault="000F31C9" w:rsidP="008E31E9">
            <w:pPr>
              <w:pStyle w:val="Tablehead"/>
              <w:rPr>
                <w:lang w:val="ru-RU"/>
              </w:rPr>
            </w:pPr>
            <w:proofErr w:type="gramStart"/>
            <w:r w:rsidRPr="007F5899">
              <w:rPr>
                <w:lang w:val="ru-RU"/>
              </w:rPr>
              <w:t>Затраты</w:t>
            </w:r>
            <w:r w:rsidR="008E31E9" w:rsidRPr="007F5899">
              <w:rPr>
                <w:lang w:val="ru-RU"/>
              </w:rPr>
              <w:br/>
            </w:r>
            <w:r w:rsidRPr="007F5899">
              <w:rPr>
                <w:lang w:val="ru-RU"/>
              </w:rPr>
              <w:t>(</w:t>
            </w:r>
            <w:proofErr w:type="gramEnd"/>
            <w:r w:rsidRPr="007F5899">
              <w:rPr>
                <w:lang w:val="ru-RU"/>
              </w:rPr>
              <w:t xml:space="preserve">млн. </w:t>
            </w:r>
            <w:proofErr w:type="spellStart"/>
            <w:r w:rsidRPr="007F5899">
              <w:rPr>
                <w:lang w:val="ru-RU"/>
              </w:rPr>
              <w:t>шв</w:t>
            </w:r>
            <w:proofErr w:type="spellEnd"/>
            <w:r w:rsidRPr="007F5899">
              <w:rPr>
                <w:lang w:val="ru-RU"/>
              </w:rPr>
              <w:t>. фр.)</w:t>
            </w:r>
          </w:p>
        </w:tc>
        <w:tc>
          <w:tcPr>
            <w:tcW w:w="3867" w:type="dxa"/>
            <w:vAlign w:val="center"/>
          </w:tcPr>
          <w:p w:rsidR="000F31C9" w:rsidRPr="007F5899" w:rsidRDefault="000F31C9" w:rsidP="008E31E9">
            <w:pPr>
              <w:pStyle w:val="Tablehead"/>
              <w:rPr>
                <w:lang w:val="ru-RU"/>
              </w:rPr>
            </w:pPr>
            <w:r w:rsidRPr="007F5899">
              <w:rPr>
                <w:lang w:val="ru-RU"/>
              </w:rPr>
              <w:t>Комментарии</w:t>
            </w:r>
          </w:p>
        </w:tc>
      </w:tr>
      <w:tr w:rsidR="000F31C9" w:rsidRPr="007F5899" w:rsidTr="003E6310">
        <w:trPr>
          <w:jc w:val="center"/>
        </w:trPr>
        <w:tc>
          <w:tcPr>
            <w:tcW w:w="2326" w:type="dxa"/>
          </w:tcPr>
          <w:p w:rsidR="000F31C9" w:rsidRPr="007F5899" w:rsidRDefault="000F31C9" w:rsidP="003E6310">
            <w:pPr>
              <w:pStyle w:val="Tabletext"/>
              <w:rPr>
                <w:lang w:val="ru-RU"/>
              </w:rPr>
            </w:pPr>
            <w:r w:rsidRPr="007F5899">
              <w:rPr>
                <w:lang w:val="ru-RU"/>
              </w:rPr>
              <w:t>Аренда</w:t>
            </w:r>
          </w:p>
        </w:tc>
        <w:tc>
          <w:tcPr>
            <w:tcW w:w="1433" w:type="dxa"/>
          </w:tcPr>
          <w:p w:rsidR="000F31C9" w:rsidRPr="007F5899" w:rsidRDefault="000F31C9" w:rsidP="003E6310">
            <w:pPr>
              <w:pStyle w:val="Tabletext"/>
              <w:rPr>
                <w:lang w:val="ru-RU"/>
              </w:rPr>
            </w:pPr>
          </w:p>
        </w:tc>
        <w:tc>
          <w:tcPr>
            <w:tcW w:w="1559" w:type="dxa"/>
          </w:tcPr>
          <w:p w:rsidR="000F31C9" w:rsidRPr="007F5899" w:rsidRDefault="000F31C9" w:rsidP="003E6310">
            <w:pPr>
              <w:pStyle w:val="Tabletext"/>
              <w:jc w:val="center"/>
              <w:rPr>
                <w:lang w:val="ru-RU"/>
              </w:rPr>
            </w:pPr>
            <w:r w:rsidRPr="007F5899">
              <w:rPr>
                <w:lang w:val="ru-RU"/>
              </w:rPr>
              <w:t>4,4</w:t>
            </w:r>
          </w:p>
        </w:tc>
        <w:tc>
          <w:tcPr>
            <w:tcW w:w="3867" w:type="dxa"/>
          </w:tcPr>
          <w:p w:rsidR="000F31C9" w:rsidRPr="007F5899" w:rsidRDefault="00246D50" w:rsidP="003E6310">
            <w:pPr>
              <w:pStyle w:val="Tabletext"/>
              <w:rPr>
                <w:lang w:val="ru-RU"/>
              </w:rPr>
            </w:pPr>
            <w:r w:rsidRPr="007F5899">
              <w:rPr>
                <w:lang w:val="ru-RU"/>
              </w:rPr>
              <w:t>Ежегодные платежи.</w:t>
            </w:r>
          </w:p>
        </w:tc>
      </w:tr>
      <w:tr w:rsidR="000F31C9" w:rsidRPr="007F5899" w:rsidTr="003E6310">
        <w:trPr>
          <w:jc w:val="center"/>
        </w:trPr>
        <w:tc>
          <w:tcPr>
            <w:tcW w:w="2326" w:type="dxa"/>
          </w:tcPr>
          <w:p w:rsidR="000F31C9" w:rsidRPr="007F5899" w:rsidRDefault="000F31C9" w:rsidP="003E6310">
            <w:pPr>
              <w:pStyle w:val="Tabletext"/>
              <w:rPr>
                <w:lang w:val="ru-RU"/>
              </w:rPr>
            </w:pPr>
            <w:r w:rsidRPr="007F5899">
              <w:rPr>
                <w:lang w:val="ru-RU"/>
              </w:rPr>
              <w:t>Платежи</w:t>
            </w:r>
          </w:p>
        </w:tc>
        <w:tc>
          <w:tcPr>
            <w:tcW w:w="1433" w:type="dxa"/>
          </w:tcPr>
          <w:p w:rsidR="000F31C9" w:rsidRPr="007F5899" w:rsidRDefault="000F31C9" w:rsidP="003E6310">
            <w:pPr>
              <w:pStyle w:val="Tabletext"/>
              <w:rPr>
                <w:lang w:val="ru-RU"/>
              </w:rPr>
            </w:pPr>
          </w:p>
        </w:tc>
        <w:tc>
          <w:tcPr>
            <w:tcW w:w="1559" w:type="dxa"/>
          </w:tcPr>
          <w:p w:rsidR="000F31C9" w:rsidRPr="007F5899" w:rsidRDefault="000F31C9" w:rsidP="00246D50">
            <w:pPr>
              <w:pStyle w:val="Tabletext"/>
              <w:jc w:val="center"/>
              <w:rPr>
                <w:lang w:val="ru-RU"/>
              </w:rPr>
            </w:pPr>
            <w:r w:rsidRPr="007F5899">
              <w:rPr>
                <w:lang w:val="ru-RU"/>
              </w:rPr>
              <w:t>0,3</w:t>
            </w:r>
            <w:r w:rsidR="00246D50" w:rsidRPr="007F5899">
              <w:rPr>
                <w:lang w:val="ru-RU"/>
              </w:rPr>
              <w:t>−</w:t>
            </w:r>
            <w:r w:rsidRPr="007F5899">
              <w:rPr>
                <w:lang w:val="ru-RU"/>
              </w:rPr>
              <w:t>0,5</w:t>
            </w:r>
            <w:r w:rsidR="00246D50" w:rsidRPr="007F5899">
              <w:rPr>
                <w:lang w:val="ru-RU"/>
              </w:rPr>
              <w:t> </w:t>
            </w:r>
            <w:r w:rsidRPr="007F5899">
              <w:rPr>
                <w:lang w:val="ru-RU"/>
              </w:rPr>
              <w:t>миллиона швейцарских франков</w:t>
            </w:r>
          </w:p>
        </w:tc>
        <w:tc>
          <w:tcPr>
            <w:tcW w:w="3867" w:type="dxa"/>
          </w:tcPr>
          <w:p w:rsidR="000F31C9" w:rsidRPr="007F5899" w:rsidRDefault="000F31C9" w:rsidP="003E6310">
            <w:pPr>
              <w:pStyle w:val="Tabletext"/>
              <w:rPr>
                <w:lang w:val="ru-RU"/>
              </w:rPr>
            </w:pPr>
            <w:r w:rsidRPr="007F5899">
              <w:rPr>
                <w:lang w:val="ru-RU"/>
              </w:rPr>
              <w:t>Ежегодные платежи.</w:t>
            </w:r>
          </w:p>
        </w:tc>
      </w:tr>
      <w:tr w:rsidR="000F31C9" w:rsidRPr="007F5899" w:rsidTr="003E6310">
        <w:trPr>
          <w:jc w:val="center"/>
        </w:trPr>
        <w:tc>
          <w:tcPr>
            <w:tcW w:w="2326" w:type="dxa"/>
          </w:tcPr>
          <w:p w:rsidR="000F31C9" w:rsidRPr="007F5899" w:rsidRDefault="000F31C9" w:rsidP="003E6310">
            <w:pPr>
              <w:pStyle w:val="Tabletext"/>
              <w:rPr>
                <w:b/>
                <w:bCs/>
                <w:lang w:val="ru-RU"/>
              </w:rPr>
            </w:pPr>
            <w:r w:rsidRPr="007F5899">
              <w:rPr>
                <w:b/>
                <w:bCs/>
                <w:lang w:val="ru-RU"/>
              </w:rPr>
              <w:t>Итого: ежегодные платежи</w:t>
            </w:r>
          </w:p>
        </w:tc>
        <w:tc>
          <w:tcPr>
            <w:tcW w:w="1433" w:type="dxa"/>
          </w:tcPr>
          <w:p w:rsidR="000F31C9" w:rsidRPr="007F5899" w:rsidRDefault="000F31C9" w:rsidP="003E6310">
            <w:pPr>
              <w:pStyle w:val="Tabletext"/>
              <w:rPr>
                <w:b/>
                <w:bCs/>
                <w:lang w:val="ru-RU"/>
              </w:rPr>
            </w:pPr>
          </w:p>
        </w:tc>
        <w:tc>
          <w:tcPr>
            <w:tcW w:w="1559" w:type="dxa"/>
          </w:tcPr>
          <w:p w:rsidR="000F31C9" w:rsidRPr="007F5899" w:rsidRDefault="000F31C9" w:rsidP="003E6310">
            <w:pPr>
              <w:pStyle w:val="Tabletext"/>
              <w:jc w:val="center"/>
              <w:rPr>
                <w:b/>
                <w:bCs/>
                <w:lang w:val="ru-RU"/>
              </w:rPr>
            </w:pPr>
            <w:r w:rsidRPr="007F5899">
              <w:rPr>
                <w:b/>
                <w:bCs/>
                <w:lang w:val="ru-RU"/>
              </w:rPr>
              <w:t>4,9</w:t>
            </w:r>
          </w:p>
        </w:tc>
        <w:tc>
          <w:tcPr>
            <w:tcW w:w="3867" w:type="dxa"/>
          </w:tcPr>
          <w:p w:rsidR="000F31C9" w:rsidRPr="007F5899" w:rsidRDefault="000F31C9" w:rsidP="003E6310">
            <w:pPr>
              <w:pStyle w:val="Tabletext"/>
              <w:rPr>
                <w:lang w:val="ru-RU"/>
              </w:rPr>
            </w:pPr>
          </w:p>
        </w:tc>
      </w:tr>
    </w:tbl>
    <w:p w:rsidR="000F31C9" w:rsidRPr="007F5899" w:rsidRDefault="000F31C9" w:rsidP="000F31C9">
      <w:pPr>
        <w:jc w:val="center"/>
        <w:rPr>
          <w:lang w:val="ru-RU"/>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0F31C9" w:rsidRPr="007F5899" w:rsidTr="003E6310">
        <w:trPr>
          <w:jc w:val="center"/>
        </w:trPr>
        <w:tc>
          <w:tcPr>
            <w:tcW w:w="2326" w:type="dxa"/>
          </w:tcPr>
          <w:p w:rsidR="000F31C9" w:rsidRPr="007F5899" w:rsidRDefault="000F31C9" w:rsidP="003E6310">
            <w:pPr>
              <w:pStyle w:val="Tabletext"/>
              <w:rPr>
                <w:lang w:val="ru-RU"/>
              </w:rPr>
            </w:pPr>
            <w:r w:rsidRPr="007F5899">
              <w:rPr>
                <w:lang w:val="ru-RU"/>
              </w:rPr>
              <w:t>Снос "</w:t>
            </w:r>
            <w:proofErr w:type="spellStart"/>
            <w:r w:rsidRPr="007F5899">
              <w:rPr>
                <w:lang w:val="ru-RU"/>
              </w:rPr>
              <w:t>Варембе</w:t>
            </w:r>
            <w:proofErr w:type="spellEnd"/>
            <w:r w:rsidRPr="007F5899">
              <w:rPr>
                <w:lang w:val="ru-RU"/>
              </w:rPr>
              <w:t xml:space="preserve"> I"</w:t>
            </w:r>
          </w:p>
        </w:tc>
        <w:tc>
          <w:tcPr>
            <w:tcW w:w="1433" w:type="dxa"/>
          </w:tcPr>
          <w:p w:rsidR="000F31C9" w:rsidRPr="007F5899" w:rsidRDefault="000F31C9" w:rsidP="003E6310">
            <w:pPr>
              <w:pStyle w:val="Tabletext"/>
              <w:rPr>
                <w:lang w:val="ru-RU"/>
              </w:rPr>
            </w:pPr>
          </w:p>
        </w:tc>
        <w:tc>
          <w:tcPr>
            <w:tcW w:w="1559" w:type="dxa"/>
          </w:tcPr>
          <w:p w:rsidR="000F31C9" w:rsidRPr="007F5899" w:rsidRDefault="000F31C9" w:rsidP="003E6310">
            <w:pPr>
              <w:pStyle w:val="Tabletext"/>
              <w:jc w:val="center"/>
              <w:rPr>
                <w:lang w:val="ru-RU"/>
              </w:rPr>
            </w:pPr>
            <w:r w:rsidRPr="007F5899">
              <w:rPr>
                <w:lang w:val="ru-RU"/>
              </w:rPr>
              <w:t>3,9</w:t>
            </w:r>
          </w:p>
        </w:tc>
        <w:tc>
          <w:tcPr>
            <w:tcW w:w="3867" w:type="dxa"/>
          </w:tcPr>
          <w:p w:rsidR="000F31C9" w:rsidRPr="007F5899" w:rsidRDefault="000F31C9" w:rsidP="003E6310">
            <w:pPr>
              <w:pStyle w:val="Tabletext"/>
              <w:rPr>
                <w:lang w:val="ru-RU"/>
              </w:rPr>
            </w:pPr>
          </w:p>
        </w:tc>
      </w:tr>
      <w:tr w:rsidR="000F31C9" w:rsidRPr="007F5899" w:rsidTr="003E6310">
        <w:trPr>
          <w:jc w:val="center"/>
        </w:trPr>
        <w:tc>
          <w:tcPr>
            <w:tcW w:w="2326" w:type="dxa"/>
          </w:tcPr>
          <w:p w:rsidR="000F31C9" w:rsidRPr="007F5899" w:rsidRDefault="000F31C9" w:rsidP="003E6310">
            <w:pPr>
              <w:pStyle w:val="Tabletext"/>
              <w:rPr>
                <w:lang w:val="ru-RU"/>
              </w:rPr>
            </w:pPr>
            <w:r w:rsidRPr="007F5899">
              <w:rPr>
                <w:lang w:val="ru-RU"/>
              </w:rPr>
              <w:t xml:space="preserve">Выезд из старого здания </w:t>
            </w:r>
          </w:p>
        </w:tc>
        <w:tc>
          <w:tcPr>
            <w:tcW w:w="1433" w:type="dxa"/>
          </w:tcPr>
          <w:p w:rsidR="000F31C9" w:rsidRPr="007F5899" w:rsidRDefault="000F31C9" w:rsidP="003E6310">
            <w:pPr>
              <w:pStyle w:val="Tabletext"/>
              <w:rPr>
                <w:lang w:val="ru-RU"/>
              </w:rPr>
            </w:pPr>
          </w:p>
        </w:tc>
        <w:tc>
          <w:tcPr>
            <w:tcW w:w="1559" w:type="dxa"/>
          </w:tcPr>
          <w:p w:rsidR="000F31C9" w:rsidRPr="007F5899" w:rsidRDefault="000F31C9" w:rsidP="003E6310">
            <w:pPr>
              <w:pStyle w:val="Tabletext"/>
              <w:jc w:val="center"/>
              <w:rPr>
                <w:lang w:val="ru-RU"/>
              </w:rPr>
            </w:pPr>
            <w:r w:rsidRPr="007F5899">
              <w:rPr>
                <w:lang w:val="ru-RU"/>
              </w:rPr>
              <w:t>0,5</w:t>
            </w:r>
          </w:p>
        </w:tc>
        <w:tc>
          <w:tcPr>
            <w:tcW w:w="3867" w:type="dxa"/>
          </w:tcPr>
          <w:p w:rsidR="000F31C9" w:rsidRPr="007F5899" w:rsidRDefault="000F31C9" w:rsidP="003E6310">
            <w:pPr>
              <w:pStyle w:val="Tabletext"/>
              <w:rPr>
                <w:lang w:val="ru-RU"/>
              </w:rPr>
            </w:pPr>
          </w:p>
        </w:tc>
      </w:tr>
      <w:tr w:rsidR="000F31C9" w:rsidRPr="007F5899" w:rsidTr="003E6310">
        <w:trPr>
          <w:jc w:val="center"/>
        </w:trPr>
        <w:tc>
          <w:tcPr>
            <w:tcW w:w="2326" w:type="dxa"/>
          </w:tcPr>
          <w:p w:rsidR="000F31C9" w:rsidRPr="007F5899" w:rsidRDefault="000F31C9" w:rsidP="003E6310">
            <w:pPr>
              <w:pStyle w:val="Tabletext"/>
              <w:rPr>
                <w:lang w:val="ru-RU"/>
              </w:rPr>
            </w:pPr>
            <w:r w:rsidRPr="007F5899">
              <w:rPr>
                <w:lang w:val="ru-RU"/>
              </w:rPr>
              <w:t>Восстановление внутренних переходов между зданиями "</w:t>
            </w:r>
            <w:proofErr w:type="spellStart"/>
            <w:r w:rsidRPr="007F5899">
              <w:rPr>
                <w:lang w:val="ru-RU"/>
              </w:rPr>
              <w:t>Монбрийан</w:t>
            </w:r>
            <w:proofErr w:type="spellEnd"/>
            <w:r w:rsidRPr="007F5899">
              <w:rPr>
                <w:lang w:val="ru-RU"/>
              </w:rPr>
              <w:t>" и "Башня"</w:t>
            </w:r>
          </w:p>
        </w:tc>
        <w:tc>
          <w:tcPr>
            <w:tcW w:w="1433" w:type="dxa"/>
          </w:tcPr>
          <w:p w:rsidR="000F31C9" w:rsidRPr="007F5899" w:rsidRDefault="000F31C9" w:rsidP="003E6310">
            <w:pPr>
              <w:pStyle w:val="Tabletext"/>
              <w:rPr>
                <w:lang w:val="ru-RU"/>
              </w:rPr>
            </w:pPr>
          </w:p>
        </w:tc>
        <w:tc>
          <w:tcPr>
            <w:tcW w:w="1559" w:type="dxa"/>
          </w:tcPr>
          <w:p w:rsidR="000F31C9" w:rsidRPr="007F5899" w:rsidRDefault="000F31C9" w:rsidP="003E6310">
            <w:pPr>
              <w:pStyle w:val="Tabletext"/>
              <w:jc w:val="center"/>
              <w:rPr>
                <w:lang w:val="ru-RU"/>
              </w:rPr>
            </w:pPr>
            <w:r w:rsidRPr="007F5899">
              <w:rPr>
                <w:lang w:val="ru-RU"/>
              </w:rPr>
              <w:t>0,2</w:t>
            </w:r>
          </w:p>
        </w:tc>
        <w:tc>
          <w:tcPr>
            <w:tcW w:w="3867" w:type="dxa"/>
          </w:tcPr>
          <w:p w:rsidR="000F31C9" w:rsidRPr="007F5899" w:rsidRDefault="000F31C9" w:rsidP="003E6310">
            <w:pPr>
              <w:pStyle w:val="Tabletext"/>
              <w:rPr>
                <w:lang w:val="ru-RU"/>
              </w:rPr>
            </w:pPr>
          </w:p>
        </w:tc>
      </w:tr>
      <w:tr w:rsidR="000F31C9" w:rsidRPr="007F5899" w:rsidTr="003E6310">
        <w:trPr>
          <w:jc w:val="center"/>
        </w:trPr>
        <w:tc>
          <w:tcPr>
            <w:tcW w:w="2326" w:type="dxa"/>
          </w:tcPr>
          <w:p w:rsidR="000F31C9" w:rsidRPr="007F5899" w:rsidRDefault="000F31C9" w:rsidP="003E6310">
            <w:pPr>
              <w:pStyle w:val="Tabletext"/>
              <w:rPr>
                <w:lang w:val="ru-RU"/>
              </w:rPr>
            </w:pPr>
            <w:r w:rsidRPr="007F5899">
              <w:rPr>
                <w:lang w:val="ru-RU"/>
              </w:rPr>
              <w:t>"</w:t>
            </w:r>
            <w:proofErr w:type="spellStart"/>
            <w:r w:rsidRPr="007F5899">
              <w:rPr>
                <w:lang w:val="ru-RU"/>
              </w:rPr>
              <w:t>Монбрийан</w:t>
            </w:r>
            <w:proofErr w:type="spellEnd"/>
            <w:r w:rsidRPr="007F5899">
              <w:rPr>
                <w:lang w:val="ru-RU"/>
              </w:rPr>
              <w:t>"</w:t>
            </w:r>
          </w:p>
        </w:tc>
        <w:tc>
          <w:tcPr>
            <w:tcW w:w="1433" w:type="dxa"/>
          </w:tcPr>
          <w:p w:rsidR="000F31C9" w:rsidRPr="007F5899" w:rsidRDefault="000F31C9" w:rsidP="003E6310">
            <w:pPr>
              <w:pStyle w:val="Tabletext"/>
              <w:rPr>
                <w:lang w:val="ru-RU"/>
              </w:rPr>
            </w:pPr>
            <w:r w:rsidRPr="007F5899">
              <w:rPr>
                <w:lang w:val="ru-RU"/>
              </w:rPr>
              <w:t>Неотложные работы</w:t>
            </w:r>
          </w:p>
        </w:tc>
        <w:tc>
          <w:tcPr>
            <w:tcW w:w="1559" w:type="dxa"/>
          </w:tcPr>
          <w:p w:rsidR="000F31C9" w:rsidRPr="007F5899" w:rsidRDefault="000F31C9" w:rsidP="003E6310">
            <w:pPr>
              <w:pStyle w:val="Tabletext"/>
              <w:jc w:val="center"/>
              <w:rPr>
                <w:lang w:val="ru-RU"/>
              </w:rPr>
            </w:pPr>
            <w:r w:rsidRPr="007F5899">
              <w:rPr>
                <w:lang w:val="ru-RU"/>
              </w:rPr>
              <w:t>4</w:t>
            </w:r>
          </w:p>
        </w:tc>
        <w:tc>
          <w:tcPr>
            <w:tcW w:w="3867" w:type="dxa"/>
          </w:tcPr>
          <w:p w:rsidR="000F31C9" w:rsidRPr="007F5899" w:rsidRDefault="000F31C9" w:rsidP="003E6310">
            <w:pPr>
              <w:pStyle w:val="Tabletext"/>
              <w:rPr>
                <w:lang w:val="ru-RU"/>
              </w:rPr>
            </w:pPr>
            <w:r w:rsidRPr="007F5899">
              <w:rPr>
                <w:lang w:val="ru-RU"/>
              </w:rPr>
              <w:t>Продолжение эксплуатации.</w:t>
            </w:r>
          </w:p>
        </w:tc>
      </w:tr>
      <w:tr w:rsidR="000F31C9" w:rsidRPr="007F5899" w:rsidTr="003E6310">
        <w:trPr>
          <w:jc w:val="center"/>
        </w:trPr>
        <w:tc>
          <w:tcPr>
            <w:tcW w:w="2326" w:type="dxa"/>
          </w:tcPr>
          <w:p w:rsidR="000F31C9" w:rsidRPr="007F5899" w:rsidRDefault="000F31C9" w:rsidP="003E6310">
            <w:pPr>
              <w:pStyle w:val="Tabletext"/>
              <w:rPr>
                <w:lang w:val="ru-RU"/>
              </w:rPr>
            </w:pPr>
            <w:r w:rsidRPr="007F5899">
              <w:rPr>
                <w:lang w:val="ru-RU"/>
              </w:rPr>
              <w:t>"Башня"</w:t>
            </w:r>
          </w:p>
        </w:tc>
        <w:tc>
          <w:tcPr>
            <w:tcW w:w="1433" w:type="dxa"/>
          </w:tcPr>
          <w:p w:rsidR="000F31C9" w:rsidRPr="007F5899" w:rsidRDefault="000F31C9" w:rsidP="003E6310">
            <w:pPr>
              <w:pStyle w:val="Tabletext"/>
              <w:rPr>
                <w:lang w:val="ru-RU"/>
              </w:rPr>
            </w:pPr>
            <w:r w:rsidRPr="007F5899">
              <w:rPr>
                <w:lang w:val="ru-RU"/>
              </w:rPr>
              <w:t>Неотложные работы</w:t>
            </w:r>
          </w:p>
        </w:tc>
        <w:tc>
          <w:tcPr>
            <w:tcW w:w="1559" w:type="dxa"/>
          </w:tcPr>
          <w:p w:rsidR="000F31C9" w:rsidRPr="007F5899" w:rsidRDefault="000F31C9" w:rsidP="003E6310">
            <w:pPr>
              <w:pStyle w:val="Tabletext"/>
              <w:jc w:val="center"/>
              <w:rPr>
                <w:lang w:val="ru-RU"/>
              </w:rPr>
            </w:pPr>
            <w:r w:rsidRPr="007F5899">
              <w:rPr>
                <w:lang w:val="ru-RU"/>
              </w:rPr>
              <w:t>45</w:t>
            </w:r>
          </w:p>
        </w:tc>
        <w:tc>
          <w:tcPr>
            <w:tcW w:w="3867" w:type="dxa"/>
          </w:tcPr>
          <w:p w:rsidR="000F31C9" w:rsidRPr="007F5899" w:rsidRDefault="000F31C9" w:rsidP="003E6310">
            <w:pPr>
              <w:pStyle w:val="Tabletext"/>
              <w:rPr>
                <w:lang w:val="ru-RU"/>
              </w:rPr>
            </w:pPr>
            <w:r w:rsidRPr="007F5899">
              <w:rPr>
                <w:lang w:val="ru-RU"/>
              </w:rPr>
              <w:t>Продолжение эксплуатации.</w:t>
            </w:r>
          </w:p>
        </w:tc>
      </w:tr>
      <w:tr w:rsidR="000F31C9" w:rsidRPr="007F5899" w:rsidTr="003E6310">
        <w:trPr>
          <w:trHeight w:val="287"/>
          <w:jc w:val="center"/>
        </w:trPr>
        <w:tc>
          <w:tcPr>
            <w:tcW w:w="2326" w:type="dxa"/>
          </w:tcPr>
          <w:p w:rsidR="000F31C9" w:rsidRPr="007F5899" w:rsidRDefault="000F31C9" w:rsidP="003E6310">
            <w:pPr>
              <w:pStyle w:val="Tabletext"/>
              <w:rPr>
                <w:i/>
                <w:iCs/>
                <w:lang w:val="ru-RU"/>
              </w:rPr>
            </w:pPr>
            <w:r w:rsidRPr="007F5899">
              <w:rPr>
                <w:i/>
                <w:iCs/>
                <w:lang w:val="ru-RU"/>
              </w:rPr>
              <w:t>Финансовые издержки</w:t>
            </w:r>
          </w:p>
        </w:tc>
        <w:tc>
          <w:tcPr>
            <w:tcW w:w="1433" w:type="dxa"/>
          </w:tcPr>
          <w:p w:rsidR="000F31C9" w:rsidRPr="007F5899" w:rsidRDefault="000F31C9" w:rsidP="003E6310">
            <w:pPr>
              <w:pStyle w:val="Tabletext"/>
              <w:rPr>
                <w:lang w:val="ru-RU"/>
              </w:rPr>
            </w:pPr>
          </w:p>
        </w:tc>
        <w:tc>
          <w:tcPr>
            <w:tcW w:w="1559" w:type="dxa"/>
          </w:tcPr>
          <w:p w:rsidR="000F31C9" w:rsidRPr="007F5899" w:rsidRDefault="003E6310">
            <w:pPr>
              <w:pStyle w:val="Tabletext"/>
              <w:jc w:val="center"/>
              <w:rPr>
                <w:lang w:val="ru-RU"/>
              </w:rPr>
            </w:pPr>
            <w:r w:rsidRPr="007F5899">
              <w:rPr>
                <w:lang w:val="ru-RU"/>
              </w:rPr>
              <w:t>12</w:t>
            </w:r>
          </w:p>
        </w:tc>
        <w:tc>
          <w:tcPr>
            <w:tcW w:w="3867" w:type="dxa"/>
          </w:tcPr>
          <w:p w:rsidR="000F31C9" w:rsidRPr="007F5899" w:rsidRDefault="000F31C9" w:rsidP="003E6310">
            <w:pPr>
              <w:pStyle w:val="Tabletext"/>
              <w:rPr>
                <w:i/>
                <w:iCs/>
                <w:lang w:val="ru-RU"/>
              </w:rPr>
            </w:pPr>
            <w:r w:rsidRPr="007F5899">
              <w:rPr>
                <w:i/>
                <w:iCs/>
                <w:lang w:val="ru-RU"/>
              </w:rPr>
              <w:t>Совокупный процент по ссуде.</w:t>
            </w:r>
          </w:p>
        </w:tc>
      </w:tr>
      <w:tr w:rsidR="000F31C9" w:rsidRPr="007F5899" w:rsidTr="003E6310">
        <w:trPr>
          <w:trHeight w:val="287"/>
          <w:jc w:val="center"/>
        </w:trPr>
        <w:tc>
          <w:tcPr>
            <w:tcW w:w="2326" w:type="dxa"/>
          </w:tcPr>
          <w:p w:rsidR="000F31C9" w:rsidRPr="007F5899" w:rsidRDefault="000F31C9" w:rsidP="003E6310">
            <w:pPr>
              <w:pStyle w:val="Tabletext"/>
              <w:rPr>
                <w:b/>
                <w:bCs/>
                <w:lang w:val="ru-RU"/>
              </w:rPr>
            </w:pPr>
            <w:r w:rsidRPr="007F5899">
              <w:rPr>
                <w:b/>
                <w:bCs/>
                <w:lang w:val="ru-RU"/>
              </w:rPr>
              <w:t xml:space="preserve">Итого: единовременные платежи </w:t>
            </w:r>
          </w:p>
        </w:tc>
        <w:tc>
          <w:tcPr>
            <w:tcW w:w="1433" w:type="dxa"/>
          </w:tcPr>
          <w:p w:rsidR="000F31C9" w:rsidRPr="007F5899" w:rsidRDefault="000F31C9" w:rsidP="003E6310">
            <w:pPr>
              <w:pStyle w:val="Tabletext"/>
              <w:rPr>
                <w:b/>
                <w:bCs/>
                <w:lang w:val="ru-RU"/>
              </w:rPr>
            </w:pPr>
          </w:p>
        </w:tc>
        <w:tc>
          <w:tcPr>
            <w:tcW w:w="1559" w:type="dxa"/>
          </w:tcPr>
          <w:p w:rsidR="000F31C9" w:rsidRPr="007F5899" w:rsidRDefault="000F31C9">
            <w:pPr>
              <w:pStyle w:val="Tabletext"/>
              <w:jc w:val="center"/>
              <w:rPr>
                <w:b/>
                <w:bCs/>
                <w:lang w:val="ru-RU"/>
              </w:rPr>
            </w:pPr>
            <w:r w:rsidRPr="007F5899">
              <w:rPr>
                <w:b/>
                <w:bCs/>
                <w:lang w:val="ru-RU"/>
              </w:rPr>
              <w:t>6</w:t>
            </w:r>
            <w:r w:rsidR="003E6310" w:rsidRPr="007F5899">
              <w:rPr>
                <w:b/>
                <w:bCs/>
                <w:lang w:val="ru-RU"/>
              </w:rPr>
              <w:t>5</w:t>
            </w:r>
            <w:r w:rsidRPr="007F5899">
              <w:rPr>
                <w:b/>
                <w:bCs/>
                <w:lang w:val="ru-RU"/>
              </w:rPr>
              <w:t>,6</w:t>
            </w:r>
          </w:p>
        </w:tc>
        <w:tc>
          <w:tcPr>
            <w:tcW w:w="3867" w:type="dxa"/>
          </w:tcPr>
          <w:p w:rsidR="000F31C9" w:rsidRPr="007F5899" w:rsidRDefault="000F31C9" w:rsidP="003E6310">
            <w:pPr>
              <w:pStyle w:val="Tabletext"/>
              <w:rPr>
                <w:lang w:val="ru-RU"/>
              </w:rPr>
            </w:pPr>
          </w:p>
        </w:tc>
      </w:tr>
    </w:tbl>
    <w:p w:rsidR="000F31C9" w:rsidRPr="007F5899" w:rsidRDefault="000F31C9" w:rsidP="000F31C9">
      <w:pPr>
        <w:spacing w:before="0"/>
        <w:rPr>
          <w:lang w:val="ru-RU"/>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0F31C9" w:rsidRPr="007F5899" w:rsidTr="003E6310">
        <w:trPr>
          <w:jc w:val="center"/>
        </w:trPr>
        <w:tc>
          <w:tcPr>
            <w:tcW w:w="2482" w:type="dxa"/>
          </w:tcPr>
          <w:p w:rsidR="000F31C9" w:rsidRPr="007F5899" w:rsidRDefault="000F31C9" w:rsidP="003E6310">
            <w:pPr>
              <w:pStyle w:val="Tabletext"/>
              <w:rPr>
                <w:lang w:val="ru-RU"/>
              </w:rPr>
            </w:pPr>
            <w:r w:rsidRPr="007F5899">
              <w:rPr>
                <w:lang w:val="ru-RU"/>
              </w:rPr>
              <w:t>Все здания</w:t>
            </w:r>
          </w:p>
        </w:tc>
        <w:tc>
          <w:tcPr>
            <w:tcW w:w="1529" w:type="dxa"/>
          </w:tcPr>
          <w:p w:rsidR="000F31C9" w:rsidRPr="007F5899" w:rsidRDefault="000F31C9" w:rsidP="003E6310">
            <w:pPr>
              <w:pStyle w:val="Tabletext"/>
              <w:rPr>
                <w:lang w:val="ru-RU"/>
              </w:rPr>
            </w:pPr>
            <w:r w:rsidRPr="007F5899">
              <w:rPr>
                <w:lang w:val="ru-RU"/>
              </w:rPr>
              <w:t>Общие ежегодные затраты</w:t>
            </w:r>
          </w:p>
        </w:tc>
        <w:tc>
          <w:tcPr>
            <w:tcW w:w="1701" w:type="dxa"/>
          </w:tcPr>
          <w:p w:rsidR="000F31C9" w:rsidRPr="007F5899" w:rsidRDefault="003E6310" w:rsidP="00356558">
            <w:pPr>
              <w:pStyle w:val="Tabletext"/>
              <w:jc w:val="center"/>
              <w:rPr>
                <w:lang w:val="ru-RU"/>
              </w:rPr>
              <w:pPrChange w:id="41" w:author="Grishina, Alexandra" w:date="2014-10-15T14:20:00Z">
                <w:pPr>
                  <w:pStyle w:val="Tabletext"/>
                  <w:jc w:val="center"/>
                </w:pPr>
              </w:pPrChange>
            </w:pPr>
            <w:r w:rsidRPr="007F5899">
              <w:rPr>
                <w:lang w:val="ru-RU"/>
              </w:rPr>
              <w:t>7,1</w:t>
            </w:r>
            <w:r w:rsidR="000F31C9" w:rsidRPr="007F5899">
              <w:rPr>
                <w:lang w:val="ru-RU"/>
              </w:rPr>
              <w:t xml:space="preserve"> в год</w:t>
            </w:r>
          </w:p>
        </w:tc>
        <w:tc>
          <w:tcPr>
            <w:tcW w:w="4097" w:type="dxa"/>
          </w:tcPr>
          <w:p w:rsidR="000F31C9" w:rsidRPr="007F5899" w:rsidRDefault="005123D2" w:rsidP="005123D2">
            <w:pPr>
              <w:pStyle w:val="Tabletext"/>
              <w:tabs>
                <w:tab w:val="left" w:pos="271"/>
              </w:tabs>
              <w:ind w:left="272" w:hanging="272"/>
              <w:rPr>
                <w:lang w:val="ru-RU"/>
              </w:rPr>
            </w:pPr>
            <w:r w:rsidRPr="007F5899">
              <w:rPr>
                <w:lang w:val="ru-RU"/>
              </w:rPr>
              <w:t>−</w:t>
            </w:r>
            <w:r w:rsidRPr="007F5899">
              <w:rPr>
                <w:lang w:val="ru-RU"/>
              </w:rPr>
              <w:tab/>
            </w:r>
            <w:r w:rsidR="000F31C9" w:rsidRPr="007F5899">
              <w:rPr>
                <w:lang w:val="ru-RU"/>
              </w:rPr>
              <w:t>4,9 миллиона швейцарских франков в год без улучшения состояния активов Союза плюс платежи, связанные с арендой офисных помещений.</w:t>
            </w:r>
          </w:p>
          <w:p w:rsidR="000F31C9" w:rsidRPr="007F5899" w:rsidRDefault="005123D2" w:rsidP="005123D2">
            <w:pPr>
              <w:pStyle w:val="Tabletext"/>
              <w:tabs>
                <w:tab w:val="left" w:pos="271"/>
              </w:tabs>
              <w:ind w:left="272" w:hanging="272"/>
              <w:rPr>
                <w:lang w:val="ru-RU"/>
              </w:rPr>
            </w:pPr>
            <w:r w:rsidRPr="007F5899">
              <w:rPr>
                <w:lang w:val="ru-RU"/>
              </w:rPr>
              <w:t>−</w:t>
            </w:r>
            <w:r w:rsidRPr="007F5899">
              <w:rPr>
                <w:lang w:val="ru-RU"/>
              </w:rPr>
              <w:tab/>
            </w:r>
            <w:r w:rsidR="000F31C9" w:rsidRPr="007F5899">
              <w:rPr>
                <w:lang w:val="ru-RU"/>
              </w:rPr>
              <w:t>1,8 миллиона швейцарских франков в год в течение 30 лет плюс средний процент в размере 0,</w:t>
            </w:r>
            <w:r w:rsidR="00221DA0" w:rsidRPr="007F5899">
              <w:rPr>
                <w:lang w:val="ru-RU"/>
              </w:rPr>
              <w:t>4</w:t>
            </w:r>
            <w:r w:rsidR="000F31C9" w:rsidRPr="007F5899">
              <w:rPr>
                <w:lang w:val="ru-RU"/>
              </w:rPr>
              <w:t xml:space="preserve"> миллиона швейцарских франков с момента завершения работ.</w:t>
            </w:r>
          </w:p>
        </w:tc>
      </w:tr>
    </w:tbl>
    <w:p w:rsidR="000F31C9" w:rsidRPr="007F5899" w:rsidRDefault="000F31C9" w:rsidP="003E6310">
      <w:pPr>
        <w:pStyle w:val="Tabletext"/>
        <w:rPr>
          <w:lang w:val="ru-RU"/>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0F31C9" w:rsidRPr="007F5899" w:rsidTr="003E6310">
        <w:trPr>
          <w:jc w:val="center"/>
        </w:trPr>
        <w:tc>
          <w:tcPr>
            <w:tcW w:w="2482" w:type="dxa"/>
          </w:tcPr>
          <w:p w:rsidR="000F31C9" w:rsidRPr="007F5899" w:rsidRDefault="000F31C9" w:rsidP="003E6310">
            <w:pPr>
              <w:pStyle w:val="Tabletext"/>
              <w:rPr>
                <w:lang w:val="ru-RU"/>
              </w:rPr>
            </w:pPr>
            <w:r w:rsidRPr="007F5899">
              <w:rPr>
                <w:lang w:val="ru-RU"/>
              </w:rPr>
              <w:t>Все здания</w:t>
            </w:r>
          </w:p>
        </w:tc>
        <w:tc>
          <w:tcPr>
            <w:tcW w:w="1529" w:type="dxa"/>
          </w:tcPr>
          <w:p w:rsidR="000F31C9" w:rsidRPr="007F5899" w:rsidRDefault="000F31C9" w:rsidP="003E6310">
            <w:pPr>
              <w:pStyle w:val="Tabletext"/>
              <w:rPr>
                <w:lang w:val="ru-RU"/>
              </w:rPr>
            </w:pPr>
            <w:r w:rsidRPr="007F5899">
              <w:rPr>
                <w:lang w:val="ru-RU"/>
              </w:rPr>
              <w:t>Долгосрочное обслуживание</w:t>
            </w:r>
          </w:p>
        </w:tc>
        <w:tc>
          <w:tcPr>
            <w:tcW w:w="1701" w:type="dxa"/>
          </w:tcPr>
          <w:p w:rsidR="000F31C9" w:rsidRPr="007F5899" w:rsidRDefault="000F31C9" w:rsidP="00356558">
            <w:pPr>
              <w:pStyle w:val="Tabletext"/>
              <w:jc w:val="center"/>
              <w:rPr>
                <w:lang w:val="ru-RU"/>
              </w:rPr>
            </w:pPr>
            <w:r w:rsidRPr="007F5899">
              <w:rPr>
                <w:lang w:val="ru-RU"/>
              </w:rPr>
              <w:t>1,3 в год</w:t>
            </w:r>
          </w:p>
        </w:tc>
        <w:tc>
          <w:tcPr>
            <w:tcW w:w="4097" w:type="dxa"/>
          </w:tcPr>
          <w:p w:rsidR="000F31C9" w:rsidRPr="007F5899" w:rsidRDefault="000F31C9" w:rsidP="003E6310">
            <w:pPr>
              <w:pStyle w:val="Tabletext"/>
              <w:rPr>
                <w:lang w:val="ru-RU"/>
              </w:rPr>
            </w:pPr>
            <w:r w:rsidRPr="007F5899">
              <w:rPr>
                <w:lang w:val="ru-RU"/>
              </w:rPr>
              <w:t>1% от оценочной стоимости здания по страхованию от огня в год.</w:t>
            </w:r>
          </w:p>
        </w:tc>
      </w:tr>
    </w:tbl>
    <w:p w:rsidR="000F31C9" w:rsidRPr="007F5899" w:rsidRDefault="000F31C9" w:rsidP="003E6310">
      <w:pPr>
        <w:pStyle w:val="Heading1"/>
        <w:rPr>
          <w:szCs w:val="28"/>
          <w:lang w:val="ru-RU"/>
        </w:rPr>
      </w:pPr>
      <w:r w:rsidRPr="007F5899">
        <w:rPr>
          <w:lang w:val="ru-RU"/>
        </w:rPr>
        <w:t>8</w:t>
      </w:r>
      <w:r w:rsidRPr="007F5899">
        <w:rPr>
          <w:lang w:val="ru-RU"/>
        </w:rPr>
        <w:tab/>
        <w:t>Вариант 4: перенос</w:t>
      </w:r>
    </w:p>
    <w:p w:rsidR="000F31C9" w:rsidRPr="007F5899" w:rsidRDefault="003E6310" w:rsidP="003E6310">
      <w:pPr>
        <w:rPr>
          <w:lang w:val="ru-RU"/>
        </w:rPr>
      </w:pPr>
      <w:r w:rsidRPr="007F5899">
        <w:rPr>
          <w:lang w:val="ru-RU"/>
        </w:rPr>
        <w:t>8.1</w:t>
      </w:r>
      <w:r w:rsidRPr="007F5899">
        <w:rPr>
          <w:lang w:val="ru-RU"/>
        </w:rPr>
        <w:tab/>
      </w:r>
      <w:r w:rsidR="000F31C9" w:rsidRPr="007F5899">
        <w:rPr>
          <w:lang w:val="ru-RU"/>
        </w:rPr>
        <w:t xml:space="preserve">Цель настоящего раздела – оценить стоимость полного переноса штаб-квартиры Союза в другое, пока еще не определенное место. По причинам, указанным в п. 3, считается важным, чтобы штаб-квартира Союза располагалась в одном городе одного Государства-Члена, и наиболее предпочтительным вариантом является единый взаимосвязанный объект. </w:t>
      </w:r>
    </w:p>
    <w:p w:rsidR="000F31C9" w:rsidRPr="007F5899" w:rsidRDefault="003E6310" w:rsidP="003E6310">
      <w:pPr>
        <w:rPr>
          <w:lang w:val="ru-RU"/>
        </w:rPr>
      </w:pPr>
      <w:r w:rsidRPr="007F5899">
        <w:rPr>
          <w:lang w:val="ru-RU"/>
        </w:rPr>
        <w:t>8.2</w:t>
      </w:r>
      <w:r w:rsidRPr="007F5899">
        <w:rPr>
          <w:lang w:val="ru-RU"/>
        </w:rPr>
        <w:tab/>
      </w:r>
      <w:r w:rsidR="000F31C9" w:rsidRPr="007F5899">
        <w:rPr>
          <w:lang w:val="ru-RU"/>
        </w:rPr>
        <w:t xml:space="preserve">Для принятия информированного решения по переносу необходимо выполнить как минимум следующие этапы работы: получение развернутого предложения; оценка и предварительные переговоры по технико-экономическому обоснованию проекта; обсуждение предлагаемого Соглашения о штаб-квартире и сравнительная оценка нынешнего и предлагаемого местонахождения; подготовка и утверждение необходимых поправок в учредительных документах. </w:t>
      </w:r>
      <w:r w:rsidR="000F31C9" w:rsidRPr="007F5899">
        <w:rPr>
          <w:lang w:val="ru-RU"/>
        </w:rPr>
        <w:lastRenderedPageBreak/>
        <w:t xml:space="preserve">Эти этапы невозможно выполнить до ПК-14, и, при условии начала соответствующих работ, вероятнее всего они займут не менее одного полного цикла Полномочной конференции. </w:t>
      </w:r>
    </w:p>
    <w:p w:rsidR="000F31C9" w:rsidRPr="007F5899" w:rsidRDefault="003E6310" w:rsidP="003E6310">
      <w:pPr>
        <w:rPr>
          <w:lang w:val="ru-RU"/>
        </w:rPr>
      </w:pPr>
      <w:r w:rsidRPr="007F5899">
        <w:rPr>
          <w:lang w:val="ru-RU"/>
        </w:rPr>
        <w:t>8.3</w:t>
      </w:r>
      <w:r w:rsidRPr="007F5899">
        <w:rPr>
          <w:lang w:val="ru-RU"/>
        </w:rPr>
        <w:tab/>
      </w:r>
      <w:r w:rsidR="000F31C9" w:rsidRPr="007F5899">
        <w:rPr>
          <w:lang w:val="ru-RU"/>
        </w:rPr>
        <w:t>На данном этапе исследование с целью обоснования проекта переноса и определения связанных с ним выгод, финансовых и эксплуатационных рисков не проводилось. Аналогично, ввиду отсутствия какого-либо определенного официального предложения провести анализ нового местоположения не представляется возможным. Тем не менее, при оценке будущего местоположения, каким бы оно ни было, необходимо будет принимать во внимание следующие критерии:</w:t>
      </w:r>
    </w:p>
    <w:p w:rsidR="000F31C9" w:rsidRPr="007F5899" w:rsidRDefault="000F31C9" w:rsidP="003E6310">
      <w:pPr>
        <w:pStyle w:val="enumlev1"/>
        <w:rPr>
          <w:lang w:val="ru-RU"/>
        </w:rPr>
      </w:pPr>
      <w:r w:rsidRPr="007F5899">
        <w:rPr>
          <w:lang w:val="ru-RU"/>
        </w:rPr>
        <w:t>–</w:t>
      </w:r>
      <w:r w:rsidRPr="007F5899">
        <w:rPr>
          <w:lang w:val="ru-RU"/>
        </w:rPr>
        <w:tab/>
        <w:t>политическую стабильность;</w:t>
      </w:r>
    </w:p>
    <w:p w:rsidR="000F31C9" w:rsidRPr="007F5899" w:rsidRDefault="000F31C9" w:rsidP="003E6310">
      <w:pPr>
        <w:pStyle w:val="enumlev1"/>
        <w:rPr>
          <w:lang w:val="ru-RU"/>
        </w:rPr>
      </w:pPr>
      <w:r w:rsidRPr="007F5899">
        <w:rPr>
          <w:lang w:val="ru-RU"/>
        </w:rPr>
        <w:t>–</w:t>
      </w:r>
      <w:r w:rsidRPr="007F5899">
        <w:rPr>
          <w:lang w:val="ru-RU"/>
        </w:rPr>
        <w:tab/>
        <w:t>местные затраты на оплату труда и должностные надбавки для персонала категории специалистов и выше;</w:t>
      </w:r>
    </w:p>
    <w:p w:rsidR="000F31C9" w:rsidRPr="007F5899" w:rsidRDefault="000F31C9" w:rsidP="003E6310">
      <w:pPr>
        <w:pStyle w:val="enumlev1"/>
        <w:rPr>
          <w:lang w:val="ru-RU"/>
        </w:rPr>
      </w:pPr>
      <w:r w:rsidRPr="007F5899">
        <w:rPr>
          <w:lang w:val="ru-RU"/>
        </w:rPr>
        <w:t>–</w:t>
      </w:r>
      <w:r w:rsidRPr="007F5899">
        <w:rPr>
          <w:lang w:val="ru-RU"/>
        </w:rPr>
        <w:tab/>
        <w:t>уровень подготовки местной рабочей силы, включая языковой аспект;</w:t>
      </w:r>
    </w:p>
    <w:p w:rsidR="000F31C9" w:rsidRPr="007F5899" w:rsidRDefault="000F31C9" w:rsidP="003E6310">
      <w:pPr>
        <w:pStyle w:val="enumlev1"/>
        <w:rPr>
          <w:lang w:val="ru-RU"/>
        </w:rPr>
      </w:pPr>
      <w:r w:rsidRPr="007F5899">
        <w:rPr>
          <w:lang w:val="ru-RU"/>
        </w:rPr>
        <w:t>–</w:t>
      </w:r>
      <w:r w:rsidRPr="007F5899">
        <w:rPr>
          <w:lang w:val="ru-RU"/>
        </w:rPr>
        <w:tab/>
        <w:t>текучесть кадров на местном уровне;</w:t>
      </w:r>
    </w:p>
    <w:p w:rsidR="000F31C9" w:rsidRPr="007F5899" w:rsidRDefault="000F31C9" w:rsidP="003E6310">
      <w:pPr>
        <w:pStyle w:val="enumlev1"/>
        <w:rPr>
          <w:lang w:val="ru-RU"/>
        </w:rPr>
      </w:pPr>
      <w:r w:rsidRPr="007F5899">
        <w:rPr>
          <w:lang w:val="ru-RU"/>
        </w:rPr>
        <w:t>–</w:t>
      </w:r>
      <w:r w:rsidRPr="007F5899">
        <w:rPr>
          <w:lang w:val="ru-RU"/>
        </w:rPr>
        <w:tab/>
        <w:t>логистическую доступность местоположения;</w:t>
      </w:r>
    </w:p>
    <w:p w:rsidR="000F31C9" w:rsidRPr="007F5899" w:rsidRDefault="000F31C9" w:rsidP="003E6310">
      <w:pPr>
        <w:pStyle w:val="enumlev1"/>
        <w:rPr>
          <w:lang w:val="ru-RU"/>
        </w:rPr>
      </w:pPr>
      <w:r w:rsidRPr="007F5899">
        <w:rPr>
          <w:lang w:val="ru-RU"/>
        </w:rPr>
        <w:t>–</w:t>
      </w:r>
      <w:r w:rsidRPr="007F5899">
        <w:rPr>
          <w:lang w:val="ru-RU"/>
        </w:rPr>
        <w:tab/>
        <w:t>качество и стоимость инфраструктуры и технологий связи;</w:t>
      </w:r>
    </w:p>
    <w:p w:rsidR="000F31C9" w:rsidRPr="007F5899" w:rsidRDefault="000F31C9" w:rsidP="003E6310">
      <w:pPr>
        <w:pStyle w:val="enumlev1"/>
        <w:rPr>
          <w:lang w:val="ru-RU"/>
        </w:rPr>
      </w:pPr>
      <w:r w:rsidRPr="007F5899">
        <w:rPr>
          <w:lang w:val="ru-RU"/>
        </w:rPr>
        <w:t>–</w:t>
      </w:r>
      <w:r w:rsidRPr="007F5899">
        <w:rPr>
          <w:lang w:val="ru-RU"/>
        </w:rPr>
        <w:tab/>
        <w:t xml:space="preserve">предоставляемую инфраструктуру, включая свободное использование конференц-центра (на уровне, обеспечиваемом в настоящий момент Международным центром </w:t>
      </w:r>
      <w:proofErr w:type="spellStart"/>
      <w:r w:rsidRPr="007F5899">
        <w:rPr>
          <w:lang w:val="ru-RU"/>
        </w:rPr>
        <w:t>CICG</w:t>
      </w:r>
      <w:proofErr w:type="spellEnd"/>
      <w:r w:rsidRPr="007F5899">
        <w:rPr>
          <w:lang w:val="ru-RU"/>
        </w:rPr>
        <w:t xml:space="preserve"> в Женеве);</w:t>
      </w:r>
    </w:p>
    <w:p w:rsidR="000F31C9" w:rsidRPr="007F5899" w:rsidRDefault="000F31C9" w:rsidP="003E6310">
      <w:pPr>
        <w:pStyle w:val="enumlev1"/>
        <w:rPr>
          <w:lang w:val="ru-RU"/>
        </w:rPr>
      </w:pPr>
      <w:r w:rsidRPr="007F5899">
        <w:rPr>
          <w:lang w:val="ru-RU"/>
        </w:rPr>
        <w:t>–</w:t>
      </w:r>
      <w:r w:rsidRPr="007F5899">
        <w:rPr>
          <w:lang w:val="ru-RU"/>
        </w:rPr>
        <w:tab/>
        <w:t xml:space="preserve">финансовые и фискальные договоренности со страной пребывания (в частности, согласно </w:t>
      </w:r>
      <w:r w:rsidR="00356558" w:rsidRPr="007F5899">
        <w:rPr>
          <w:lang w:val="ru-RU"/>
        </w:rPr>
        <w:t xml:space="preserve">Статье </w:t>
      </w:r>
      <w:r w:rsidRPr="007F5899">
        <w:rPr>
          <w:lang w:val="ru-RU"/>
        </w:rPr>
        <w:t xml:space="preserve">17 Финансового регламента и </w:t>
      </w:r>
      <w:r w:rsidR="00246D50" w:rsidRPr="007F5899">
        <w:rPr>
          <w:lang w:val="ru-RU"/>
        </w:rPr>
        <w:t xml:space="preserve">Финансовых </w:t>
      </w:r>
      <w:r w:rsidRPr="007F5899">
        <w:rPr>
          <w:lang w:val="ru-RU"/>
        </w:rPr>
        <w:t>правил Союза, касающейся авансирования правительством страны пребывания фондов на удовлетворение временных потребностей в денежных средствах на условиях, подлежащих уточнению);</w:t>
      </w:r>
    </w:p>
    <w:p w:rsidR="000F31C9" w:rsidRPr="007F5899" w:rsidRDefault="000F31C9" w:rsidP="003E6310">
      <w:pPr>
        <w:pStyle w:val="enumlev1"/>
        <w:rPr>
          <w:lang w:val="ru-RU"/>
        </w:rPr>
      </w:pPr>
      <w:r w:rsidRPr="007F5899">
        <w:rPr>
          <w:lang w:val="ru-RU"/>
        </w:rPr>
        <w:t>–</w:t>
      </w:r>
      <w:r w:rsidRPr="007F5899">
        <w:rPr>
          <w:lang w:val="ru-RU"/>
        </w:rPr>
        <w:tab/>
        <w:t>условия предоставления и использования помещений в стране пребывания;</w:t>
      </w:r>
    </w:p>
    <w:p w:rsidR="000F31C9" w:rsidRPr="007F5899" w:rsidRDefault="000F31C9" w:rsidP="00356558">
      <w:pPr>
        <w:pStyle w:val="enumlev1"/>
        <w:rPr>
          <w:lang w:val="ru-RU"/>
        </w:rPr>
      </w:pPr>
      <w:r w:rsidRPr="007F5899">
        <w:rPr>
          <w:lang w:val="ru-RU"/>
        </w:rPr>
        <w:t>–</w:t>
      </w:r>
      <w:r w:rsidRPr="007F5899">
        <w:rPr>
          <w:lang w:val="ru-RU"/>
        </w:rPr>
        <w:tab/>
        <w:t>социальную инфраструктуру, в частности систему среднего образования, здравоохранения, упрощения доступа к рынку труда для супругов работников.</w:t>
      </w:r>
    </w:p>
    <w:p w:rsidR="000F31C9" w:rsidRPr="007F5899" w:rsidRDefault="003E6310" w:rsidP="003E6310">
      <w:pPr>
        <w:rPr>
          <w:lang w:val="ru-RU"/>
        </w:rPr>
      </w:pPr>
      <w:r w:rsidRPr="007F5899">
        <w:rPr>
          <w:lang w:val="ru-RU"/>
        </w:rPr>
        <w:t>8.4</w:t>
      </w:r>
      <w:r w:rsidRPr="007F5899">
        <w:rPr>
          <w:lang w:val="ru-RU"/>
        </w:rPr>
        <w:tab/>
      </w:r>
      <w:r w:rsidR="000F31C9" w:rsidRPr="007F5899">
        <w:rPr>
          <w:lang w:val="ru-RU"/>
        </w:rPr>
        <w:t>В случае утверждения варианта переноса необходимо будет подготовить подробное технико-экономическое обоснование с целью оптимизации условий переноса и сведения к минимуму его влияния на работу Союза в максимально возможной степени.</w:t>
      </w:r>
    </w:p>
    <w:p w:rsidR="000F31C9" w:rsidRPr="007F5899" w:rsidRDefault="003E6310" w:rsidP="003E6310">
      <w:pPr>
        <w:rPr>
          <w:lang w:val="ru-RU"/>
        </w:rPr>
      </w:pPr>
      <w:r w:rsidRPr="007F5899">
        <w:rPr>
          <w:lang w:val="ru-RU"/>
        </w:rPr>
        <w:t>8.5</w:t>
      </w:r>
      <w:r w:rsidRPr="007F5899">
        <w:rPr>
          <w:lang w:val="ru-RU"/>
        </w:rPr>
        <w:tab/>
      </w:r>
      <w:r w:rsidR="000F31C9" w:rsidRPr="007F5899">
        <w:rPr>
          <w:lang w:val="ru-RU"/>
        </w:rPr>
        <w:t xml:space="preserve">Также необходимо отметить, что сметы затрат по варианту переноса не включены в проект </w:t>
      </w:r>
      <w:r w:rsidR="00AB45D7" w:rsidRPr="007F5899">
        <w:rPr>
          <w:lang w:val="ru-RU"/>
        </w:rPr>
        <w:t xml:space="preserve">Финансового </w:t>
      </w:r>
      <w:r w:rsidR="000F31C9" w:rsidRPr="007F5899">
        <w:rPr>
          <w:lang w:val="ru-RU"/>
        </w:rPr>
        <w:t>плана, представленный ПК-14.</w:t>
      </w:r>
    </w:p>
    <w:p w:rsidR="000F31C9" w:rsidRPr="007F5899" w:rsidRDefault="003E6310" w:rsidP="003E6310">
      <w:pPr>
        <w:rPr>
          <w:lang w:val="ru-RU"/>
        </w:rPr>
      </w:pPr>
      <w:r w:rsidRPr="007F5899">
        <w:rPr>
          <w:lang w:val="ru-RU"/>
        </w:rPr>
        <w:t>8.6</w:t>
      </w:r>
      <w:r w:rsidRPr="007F5899">
        <w:rPr>
          <w:lang w:val="ru-RU"/>
        </w:rPr>
        <w:tab/>
      </w:r>
      <w:r w:rsidR="000F31C9" w:rsidRPr="007F5899">
        <w:rPr>
          <w:lang w:val="ru-RU"/>
        </w:rPr>
        <w:t>Затраты в связи с возможными апелляциями, влекущими передачу дела на рассмотрение в Административный суд Международной организации труда (</w:t>
      </w:r>
      <w:proofErr w:type="spellStart"/>
      <w:r w:rsidR="000F31C9" w:rsidRPr="007F5899">
        <w:rPr>
          <w:lang w:val="ru-RU"/>
        </w:rPr>
        <w:t>ILOAT</w:t>
      </w:r>
      <w:proofErr w:type="spellEnd"/>
      <w:r w:rsidR="000F31C9" w:rsidRPr="007F5899">
        <w:rPr>
          <w:lang w:val="ru-RU"/>
        </w:rPr>
        <w:t>)</w:t>
      </w:r>
      <w:r w:rsidR="000F31C9" w:rsidRPr="007F5899">
        <w:rPr>
          <w:rStyle w:val="FootnoteReference"/>
          <w:lang w:val="ru-RU"/>
        </w:rPr>
        <w:footnoteReference w:id="5"/>
      </w:r>
      <w:r w:rsidR="000F31C9" w:rsidRPr="007F5899">
        <w:rPr>
          <w:lang w:val="ru-RU"/>
        </w:rPr>
        <w:t xml:space="preserve">, и возможным вынесением решений в пользу истца (истцов) не принимаются во внимание. </w:t>
      </w:r>
    </w:p>
    <w:p w:rsidR="000F31C9" w:rsidRPr="007F5899" w:rsidRDefault="003E6310" w:rsidP="003E6310">
      <w:pPr>
        <w:rPr>
          <w:lang w:val="ru-RU"/>
        </w:rPr>
      </w:pPr>
      <w:r w:rsidRPr="007F5899">
        <w:rPr>
          <w:lang w:val="ru-RU"/>
        </w:rPr>
        <w:t>8.7</w:t>
      </w:r>
      <w:r w:rsidRPr="007F5899">
        <w:rPr>
          <w:lang w:val="ru-RU"/>
        </w:rPr>
        <w:tab/>
      </w:r>
      <w:r w:rsidR="000F31C9" w:rsidRPr="007F5899">
        <w:rPr>
          <w:lang w:val="ru-RU"/>
        </w:rPr>
        <w:t>С учетом вышесказанного был выделен ряд сценариев и гипотез с целью проведения первоначальной оценки стоимости такого проекта. Данные сценарии и гипотезы носят исключительно ориентировочный характер и приводятся в сжатой форме для удобства их представления. Основанием для оценки являются:</w:t>
      </w:r>
    </w:p>
    <w:p w:rsidR="000F31C9" w:rsidRPr="007F5899" w:rsidRDefault="000F31C9" w:rsidP="003E6310">
      <w:pPr>
        <w:pStyle w:val="enumlev1"/>
        <w:rPr>
          <w:lang w:val="ru-RU"/>
        </w:rPr>
      </w:pPr>
      <w:r w:rsidRPr="007F5899">
        <w:rPr>
          <w:lang w:val="ru-RU"/>
        </w:rPr>
        <w:t>–</w:t>
      </w:r>
      <w:r w:rsidRPr="007F5899">
        <w:rPr>
          <w:lang w:val="ru-RU"/>
        </w:rPr>
        <w:tab/>
        <w:t>затраты по увольнению персонала штаб-квартиры в Женеве согласно Положениям о персонале и Правилам о персонале;</w:t>
      </w:r>
    </w:p>
    <w:p w:rsidR="000F31C9" w:rsidRPr="007F5899" w:rsidRDefault="000F31C9" w:rsidP="003E6310">
      <w:pPr>
        <w:pStyle w:val="enumlev1"/>
        <w:rPr>
          <w:lang w:val="ru-RU"/>
        </w:rPr>
      </w:pPr>
      <w:r w:rsidRPr="007F5899">
        <w:rPr>
          <w:lang w:val="ru-RU"/>
        </w:rPr>
        <w:t>–</w:t>
      </w:r>
      <w:r w:rsidRPr="007F5899">
        <w:rPr>
          <w:lang w:val="ru-RU"/>
        </w:rPr>
        <w:tab/>
        <w:t>оценка стоимости переноса объектов и их размещения в новом местоположении. Такая оценка опирается на исследование, проведенное Управлением Верховного комиссара ООН по делам беженцев (</w:t>
      </w:r>
      <w:proofErr w:type="spellStart"/>
      <w:r w:rsidRPr="007F5899">
        <w:rPr>
          <w:lang w:val="ru-RU"/>
        </w:rPr>
        <w:t>UNHCR</w:t>
      </w:r>
      <w:proofErr w:type="spellEnd"/>
      <w:r w:rsidRPr="007F5899">
        <w:rPr>
          <w:lang w:val="ru-RU"/>
        </w:rPr>
        <w:t>) при переносе части своих объектов.</w:t>
      </w:r>
    </w:p>
    <w:p w:rsidR="000F31C9" w:rsidRPr="007F5899" w:rsidRDefault="003E6310" w:rsidP="003E6310">
      <w:pPr>
        <w:rPr>
          <w:lang w:val="ru-RU"/>
        </w:rPr>
      </w:pPr>
      <w:r w:rsidRPr="007F5899">
        <w:rPr>
          <w:lang w:val="ru-RU"/>
        </w:rPr>
        <w:lastRenderedPageBreak/>
        <w:t>8.8</w:t>
      </w:r>
      <w:r w:rsidRPr="007F5899">
        <w:rPr>
          <w:lang w:val="ru-RU"/>
        </w:rPr>
        <w:tab/>
      </w:r>
      <w:r w:rsidR="000F31C9" w:rsidRPr="007F5899">
        <w:rPr>
          <w:lang w:val="ru-RU"/>
        </w:rPr>
        <w:t>Несмотря на отсутствие официальных сведений о конкретном новом местоположении, можно выделить следующие несокращаемые виды затрат:</w:t>
      </w:r>
    </w:p>
    <w:p w:rsidR="000F31C9" w:rsidRPr="007F5899" w:rsidRDefault="003E6310" w:rsidP="005123D2">
      <w:pPr>
        <w:pStyle w:val="Headingb"/>
        <w:rPr>
          <w:szCs w:val="26"/>
          <w:lang w:val="ru-RU"/>
        </w:rPr>
      </w:pPr>
      <w:r w:rsidRPr="007F5899">
        <w:rPr>
          <w:lang w:val="ru-RU"/>
        </w:rPr>
        <w:t>А</w:t>
      </w:r>
      <w:r w:rsidRPr="007F5899">
        <w:rPr>
          <w:lang w:val="ru-RU"/>
        </w:rPr>
        <w:tab/>
      </w:r>
      <w:r w:rsidR="000F31C9" w:rsidRPr="007F5899">
        <w:rPr>
          <w:lang w:val="ru-RU"/>
        </w:rPr>
        <w:t>Стоимость проекта</w:t>
      </w:r>
    </w:p>
    <w:p w:rsidR="000F31C9" w:rsidRPr="007F5899" w:rsidRDefault="000F31C9" w:rsidP="003E6310">
      <w:pPr>
        <w:pStyle w:val="Headingb"/>
        <w:rPr>
          <w:bCs/>
          <w:lang w:val="ru-RU"/>
        </w:rPr>
      </w:pPr>
      <w:r w:rsidRPr="007F5899">
        <w:rPr>
          <w:lang w:val="ru-RU"/>
        </w:rPr>
        <w:t>a)</w:t>
      </w:r>
      <w:r w:rsidRPr="007F5899">
        <w:rPr>
          <w:lang w:val="ru-RU"/>
        </w:rPr>
        <w:tab/>
        <w:t>Затраты по увольнению персонала в Женеве</w:t>
      </w:r>
    </w:p>
    <w:p w:rsidR="000F31C9" w:rsidRPr="007F5899" w:rsidRDefault="003E6310" w:rsidP="003E6310">
      <w:pPr>
        <w:rPr>
          <w:lang w:val="ru-RU"/>
        </w:rPr>
      </w:pPr>
      <w:r w:rsidRPr="007F5899">
        <w:rPr>
          <w:lang w:val="ru-RU"/>
        </w:rPr>
        <w:t>8.9</w:t>
      </w:r>
      <w:r w:rsidRPr="007F5899">
        <w:rPr>
          <w:lang w:val="ru-RU"/>
        </w:rPr>
        <w:tab/>
      </w:r>
      <w:r w:rsidR="000F31C9" w:rsidRPr="007F5899">
        <w:rPr>
          <w:lang w:val="ru-RU"/>
        </w:rPr>
        <w:t>Расчет затрат по данному варианту основан на Правилах и Положениях о персонале МСЭ, а также на информации по аналогичному сценарию, использованному другой организацией в составе ООН (</w:t>
      </w:r>
      <w:proofErr w:type="spellStart"/>
      <w:r w:rsidR="000F31C9" w:rsidRPr="007F5899">
        <w:rPr>
          <w:lang w:val="ru-RU"/>
        </w:rPr>
        <w:t>UNHCR</w:t>
      </w:r>
      <w:proofErr w:type="spellEnd"/>
      <w:r w:rsidR="000F31C9" w:rsidRPr="007F5899">
        <w:rPr>
          <w:lang w:val="ru-RU"/>
        </w:rPr>
        <w:t>). В отношении сотрудников, работающих по бессрочным или длительным договорам, сделаны следующие предположения:</w:t>
      </w:r>
    </w:p>
    <w:p w:rsidR="000F31C9" w:rsidRPr="007F5899" w:rsidRDefault="000F31C9" w:rsidP="003E6310">
      <w:pPr>
        <w:pStyle w:val="enumlev1"/>
        <w:rPr>
          <w:lang w:val="ru-RU"/>
        </w:rPr>
      </w:pPr>
      <w:r w:rsidRPr="007F5899">
        <w:rPr>
          <w:lang w:val="ru-RU"/>
        </w:rPr>
        <w:t>–</w:t>
      </w:r>
      <w:r w:rsidRPr="007F5899">
        <w:rPr>
          <w:lang w:val="ru-RU"/>
        </w:rPr>
        <w:tab/>
        <w:t>сотрудникам категории общего обслуживания будет сделано предложение о найме в стране нового местоположения на местных договорных условиях;</w:t>
      </w:r>
    </w:p>
    <w:p w:rsidR="000F31C9" w:rsidRPr="007F5899" w:rsidRDefault="000F31C9" w:rsidP="00246D50">
      <w:pPr>
        <w:pStyle w:val="enumlev1"/>
        <w:rPr>
          <w:lang w:val="ru-RU"/>
        </w:rPr>
      </w:pPr>
      <w:r w:rsidRPr="007F5899">
        <w:rPr>
          <w:lang w:val="ru-RU"/>
        </w:rPr>
        <w:t>–</w:t>
      </w:r>
      <w:r w:rsidRPr="007F5899">
        <w:rPr>
          <w:lang w:val="ru-RU"/>
        </w:rPr>
        <w:tab/>
        <w:t>для тех, кто откажется от предложения, базовым выходным пособием является выплата 12</w:t>
      </w:r>
      <w:r w:rsidR="00246D50" w:rsidRPr="007F5899">
        <w:rPr>
          <w:lang w:val="ru-RU"/>
        </w:rPr>
        <w:t> </w:t>
      </w:r>
      <w:r w:rsidRPr="007F5899">
        <w:rPr>
          <w:lang w:val="ru-RU"/>
        </w:rPr>
        <w:t>месячных окладов, что, в среднем, составляет около 150 000–180 000 швейцарских франков;</w:t>
      </w:r>
    </w:p>
    <w:p w:rsidR="000F31C9" w:rsidRPr="007F5899" w:rsidRDefault="000F31C9" w:rsidP="003E6310">
      <w:pPr>
        <w:pStyle w:val="enumlev1"/>
        <w:rPr>
          <w:lang w:val="ru-RU"/>
        </w:rPr>
      </w:pPr>
      <w:r w:rsidRPr="007F5899">
        <w:rPr>
          <w:lang w:val="ru-RU"/>
        </w:rPr>
        <w:t>–</w:t>
      </w:r>
      <w:r w:rsidRPr="007F5899">
        <w:rPr>
          <w:lang w:val="ru-RU"/>
        </w:rPr>
        <w:tab/>
        <w:t>дополнительное пособие при увольнении составляет выплату компенсации в размере полугодовой заработной платы, т. е., в среднем, около 75 000–90 000 швейцарских франков;</w:t>
      </w:r>
    </w:p>
    <w:p w:rsidR="000F31C9" w:rsidRPr="007F5899" w:rsidRDefault="000F31C9" w:rsidP="003E6310">
      <w:pPr>
        <w:pStyle w:val="enumlev1"/>
        <w:rPr>
          <w:lang w:val="ru-RU"/>
        </w:rPr>
      </w:pPr>
      <w:r w:rsidRPr="007F5899">
        <w:rPr>
          <w:lang w:val="ru-RU"/>
        </w:rPr>
        <w:t>–</w:t>
      </w:r>
      <w:r w:rsidRPr="007F5899">
        <w:rPr>
          <w:lang w:val="ru-RU"/>
        </w:rPr>
        <w:tab/>
        <w:t>трехмесячная компенсация на обучение и трудоустройство уволенных оценивается в размере 40 000 швейцарских франков на одного сотрудника, увольняемого из Союза;</w:t>
      </w:r>
    </w:p>
    <w:p w:rsidR="000F31C9" w:rsidRPr="007F5899" w:rsidRDefault="000F31C9" w:rsidP="003E6310">
      <w:pPr>
        <w:pStyle w:val="enumlev1"/>
        <w:rPr>
          <w:lang w:val="ru-RU"/>
        </w:rPr>
      </w:pPr>
      <w:r w:rsidRPr="007F5899">
        <w:rPr>
          <w:lang w:val="ru-RU"/>
        </w:rPr>
        <w:t>–</w:t>
      </w:r>
      <w:r w:rsidRPr="007F5899">
        <w:rPr>
          <w:lang w:val="ru-RU"/>
        </w:rPr>
        <w:tab/>
        <w:t>75–100% административного персонала не станут переезжать в новое местоположение;</w:t>
      </w:r>
    </w:p>
    <w:p w:rsidR="000F31C9" w:rsidRPr="007F5899" w:rsidRDefault="000F31C9" w:rsidP="003E6310">
      <w:pPr>
        <w:pStyle w:val="enumlev1"/>
        <w:rPr>
          <w:lang w:val="ru-RU"/>
        </w:rPr>
      </w:pPr>
      <w:r w:rsidRPr="007F5899">
        <w:rPr>
          <w:lang w:val="ru-RU"/>
        </w:rPr>
        <w:t>–</w:t>
      </w:r>
      <w:r w:rsidRPr="007F5899">
        <w:rPr>
          <w:lang w:val="ru-RU"/>
        </w:rPr>
        <w:tab/>
        <w:t>25–50% сотрудников категории специалистов не станут переезжать в новое местоположение;</w:t>
      </w:r>
    </w:p>
    <w:p w:rsidR="000F31C9" w:rsidRPr="007F5899" w:rsidRDefault="000F31C9" w:rsidP="004F4ED0">
      <w:pPr>
        <w:pStyle w:val="enumlev1"/>
        <w:rPr>
          <w:lang w:val="ru-RU"/>
        </w:rPr>
      </w:pPr>
      <w:r w:rsidRPr="007F5899">
        <w:rPr>
          <w:lang w:val="ru-RU"/>
        </w:rPr>
        <w:t>–</w:t>
      </w:r>
      <w:r w:rsidRPr="007F5899">
        <w:rPr>
          <w:lang w:val="ru-RU"/>
        </w:rPr>
        <w:tab/>
        <w:t>средняя стоимость выезда сотрудника составляет 50 000 швейцарских франков</w:t>
      </w:r>
      <w:r w:rsidR="00E6480B" w:rsidRPr="007F5899">
        <w:rPr>
          <w:lang w:val="ru-RU"/>
        </w:rPr>
        <w:t xml:space="preserve"> для </w:t>
      </w:r>
      <w:r w:rsidR="004F4ED0" w:rsidRPr="007F5899">
        <w:rPr>
          <w:lang w:val="ru-RU"/>
        </w:rPr>
        <w:t xml:space="preserve">всего </w:t>
      </w:r>
      <w:r w:rsidR="004F4ED0" w:rsidRPr="007F5899">
        <w:rPr>
          <w:color w:val="000000"/>
          <w:lang w:val="ru-RU"/>
        </w:rPr>
        <w:t>персонала категории специалистов и категории общего обслуживания</w:t>
      </w:r>
      <w:r w:rsidR="00E6480B" w:rsidRPr="007F5899">
        <w:rPr>
          <w:lang w:val="ru-RU"/>
        </w:rPr>
        <w:t xml:space="preserve">, </w:t>
      </w:r>
      <w:r w:rsidR="004F4ED0" w:rsidRPr="007F5899">
        <w:rPr>
          <w:lang w:val="ru-RU"/>
        </w:rPr>
        <w:t>переезжающего</w:t>
      </w:r>
      <w:r w:rsidR="00E6480B" w:rsidRPr="007F5899">
        <w:rPr>
          <w:lang w:val="ru-RU"/>
        </w:rPr>
        <w:t xml:space="preserve"> из Женевы</w:t>
      </w:r>
      <w:r w:rsidRPr="007F5899">
        <w:rPr>
          <w:lang w:val="ru-RU"/>
        </w:rPr>
        <w:t xml:space="preserve">; </w:t>
      </w:r>
    </w:p>
    <w:p w:rsidR="000F31C9" w:rsidRPr="007F5899" w:rsidRDefault="000F31C9" w:rsidP="003E6310">
      <w:pPr>
        <w:pStyle w:val="enumlev1"/>
        <w:rPr>
          <w:lang w:val="ru-RU"/>
        </w:rPr>
      </w:pPr>
      <w:r w:rsidRPr="007F5899">
        <w:rPr>
          <w:lang w:val="ru-RU"/>
        </w:rPr>
        <w:t>–</w:t>
      </w:r>
      <w:r w:rsidRPr="007F5899">
        <w:rPr>
          <w:lang w:val="ru-RU"/>
        </w:rPr>
        <w:tab/>
        <w:t>средняя стоимость обустройства сотрудника на новом месте определяется из расчета выплаты суточных в течение 30 дней в размере 380 швейцарских франков в день и субсидии на аренду жилья в размере до 1000 швейцарских франков в месяц в течение пяти лет.</w:t>
      </w:r>
    </w:p>
    <w:p w:rsidR="000F31C9" w:rsidRPr="007F5899" w:rsidRDefault="003E6310" w:rsidP="003E6310">
      <w:pPr>
        <w:rPr>
          <w:lang w:val="ru-RU"/>
        </w:rPr>
      </w:pPr>
      <w:r w:rsidRPr="007F5899">
        <w:rPr>
          <w:lang w:val="ru-RU"/>
        </w:rPr>
        <w:t>8.10</w:t>
      </w:r>
      <w:r w:rsidRPr="007F5899">
        <w:rPr>
          <w:lang w:val="ru-RU"/>
        </w:rPr>
        <w:tab/>
      </w:r>
      <w:r w:rsidR="000F31C9" w:rsidRPr="007F5899">
        <w:rPr>
          <w:lang w:val="ru-RU"/>
        </w:rPr>
        <w:t>В отношении сотрудников, работающих по договорам иного типа (кроме бессрочных или длящихся), сделаны следующие предположения:</w:t>
      </w:r>
    </w:p>
    <w:p w:rsidR="000F31C9" w:rsidRPr="007F5899" w:rsidRDefault="000F31C9" w:rsidP="003E6310">
      <w:pPr>
        <w:pStyle w:val="enumlev1"/>
        <w:rPr>
          <w:lang w:val="ru-RU"/>
        </w:rPr>
      </w:pPr>
      <w:r w:rsidRPr="007F5899">
        <w:rPr>
          <w:lang w:val="ru-RU"/>
        </w:rPr>
        <w:t>–</w:t>
      </w:r>
      <w:r w:rsidRPr="007F5899">
        <w:rPr>
          <w:lang w:val="ru-RU"/>
        </w:rPr>
        <w:tab/>
        <w:t>компенсация в форме трехмесячного оклада для персонала, который не переезжает в новое местоположение;</w:t>
      </w:r>
    </w:p>
    <w:p w:rsidR="000F31C9" w:rsidRPr="007F5899" w:rsidRDefault="000F31C9" w:rsidP="003E6310">
      <w:pPr>
        <w:pStyle w:val="enumlev1"/>
        <w:rPr>
          <w:lang w:val="ru-RU"/>
        </w:rPr>
      </w:pPr>
      <w:r w:rsidRPr="007F5899">
        <w:rPr>
          <w:lang w:val="ru-RU"/>
        </w:rPr>
        <w:t>–</w:t>
      </w:r>
      <w:r w:rsidRPr="007F5899">
        <w:rPr>
          <w:lang w:val="ru-RU"/>
        </w:rPr>
        <w:tab/>
        <w:t>для определения количества сотрудников в категориях общего обслуживания, специалистов и выше, которые откажутся переезжать в новое местоположение, применяется та же гипотеза, что и для персонала, работающего по бессрочным или длящимся договорам.</w:t>
      </w:r>
    </w:p>
    <w:p w:rsidR="000F31C9" w:rsidRPr="007F5899" w:rsidRDefault="003E6310" w:rsidP="003E6310">
      <w:pPr>
        <w:rPr>
          <w:lang w:val="ru-RU"/>
        </w:rPr>
      </w:pPr>
      <w:r w:rsidRPr="007F5899">
        <w:rPr>
          <w:lang w:val="ru-RU"/>
        </w:rPr>
        <w:t>8.11</w:t>
      </w:r>
      <w:r w:rsidRPr="007F5899">
        <w:rPr>
          <w:lang w:val="ru-RU"/>
        </w:rPr>
        <w:tab/>
      </w:r>
      <w:r w:rsidR="000F31C9" w:rsidRPr="007F5899">
        <w:rPr>
          <w:lang w:val="ru-RU"/>
        </w:rPr>
        <w:t>На основании изложенной выше гипотезы стоимость увольнения и перемещения персонала составляет:</w:t>
      </w:r>
    </w:p>
    <w:p w:rsidR="005123D2" w:rsidRPr="007F5899" w:rsidRDefault="005123D2" w:rsidP="003E6310">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205"/>
        <w:gridCol w:w="4223"/>
      </w:tblGrid>
      <w:tr w:rsidR="000F31C9" w:rsidRPr="007F5899" w:rsidTr="005123D2">
        <w:trPr>
          <w:tblHeader/>
        </w:trPr>
        <w:tc>
          <w:tcPr>
            <w:tcW w:w="1148" w:type="dxa"/>
          </w:tcPr>
          <w:p w:rsidR="000F31C9" w:rsidRPr="007F5899" w:rsidRDefault="000F31C9" w:rsidP="005123D2">
            <w:pPr>
              <w:pStyle w:val="Tablehead"/>
              <w:rPr>
                <w:lang w:val="ru-RU"/>
              </w:rPr>
            </w:pPr>
            <w:r w:rsidRPr="007F5899">
              <w:rPr>
                <w:lang w:val="ru-RU"/>
              </w:rPr>
              <w:t>Сценарии</w:t>
            </w:r>
          </w:p>
        </w:tc>
        <w:tc>
          <w:tcPr>
            <w:tcW w:w="4205" w:type="dxa"/>
          </w:tcPr>
          <w:p w:rsidR="000F31C9" w:rsidRPr="007F5899" w:rsidRDefault="000F31C9" w:rsidP="005123D2">
            <w:pPr>
              <w:pStyle w:val="Tablehead"/>
              <w:rPr>
                <w:lang w:val="ru-RU"/>
              </w:rPr>
            </w:pPr>
            <w:r w:rsidRPr="007F5899">
              <w:rPr>
                <w:lang w:val="ru-RU"/>
              </w:rPr>
              <w:t>Доля увольнений (%)</w:t>
            </w:r>
          </w:p>
        </w:tc>
        <w:tc>
          <w:tcPr>
            <w:tcW w:w="4223" w:type="dxa"/>
          </w:tcPr>
          <w:p w:rsidR="000F31C9" w:rsidRPr="007F5899" w:rsidRDefault="000F31C9" w:rsidP="005123D2">
            <w:pPr>
              <w:pStyle w:val="Tablehead"/>
              <w:rPr>
                <w:lang w:val="ru-RU"/>
              </w:rPr>
            </w:pPr>
            <w:r w:rsidRPr="007F5899">
              <w:rPr>
                <w:lang w:val="ru-RU"/>
              </w:rPr>
              <w:t>Тыс. швейцарских франков</w:t>
            </w:r>
          </w:p>
        </w:tc>
      </w:tr>
      <w:tr w:rsidR="000F31C9" w:rsidRPr="007F5899" w:rsidTr="003E6310">
        <w:tc>
          <w:tcPr>
            <w:tcW w:w="1148" w:type="dxa"/>
            <w:vMerge w:val="restart"/>
          </w:tcPr>
          <w:p w:rsidR="000F31C9" w:rsidRPr="007F5899" w:rsidRDefault="000F31C9" w:rsidP="005123D2">
            <w:pPr>
              <w:pStyle w:val="Tabletext"/>
              <w:rPr>
                <w:lang w:val="ru-RU"/>
              </w:rPr>
            </w:pPr>
            <w:r w:rsidRPr="007F5899">
              <w:rPr>
                <w:lang w:val="ru-RU"/>
              </w:rPr>
              <w:t>1</w:t>
            </w:r>
          </w:p>
        </w:tc>
        <w:tc>
          <w:tcPr>
            <w:tcW w:w="4205" w:type="dxa"/>
            <w:vMerge w:val="restart"/>
          </w:tcPr>
          <w:p w:rsidR="000F31C9" w:rsidRPr="007F5899" w:rsidRDefault="000F31C9" w:rsidP="005123D2">
            <w:pPr>
              <w:pStyle w:val="Tabletext"/>
              <w:rPr>
                <w:lang w:val="ru-RU"/>
              </w:rPr>
            </w:pPr>
            <w:r w:rsidRPr="007F5899">
              <w:rPr>
                <w:lang w:val="ru-RU"/>
              </w:rPr>
              <w:t>100% персонала категории общего обслуживания (255) и 50% персонала категории специалистов и старших советников (114)</w:t>
            </w:r>
          </w:p>
        </w:tc>
        <w:tc>
          <w:tcPr>
            <w:tcW w:w="4223" w:type="dxa"/>
          </w:tcPr>
          <w:p w:rsidR="000F31C9" w:rsidRPr="007F5899" w:rsidRDefault="000F31C9" w:rsidP="005123D2">
            <w:pPr>
              <w:pStyle w:val="Tabletext"/>
              <w:rPr>
                <w:lang w:val="ru-RU"/>
              </w:rPr>
            </w:pPr>
            <w:r w:rsidRPr="007F5899">
              <w:rPr>
                <w:lang w:val="ru-RU"/>
              </w:rPr>
              <w:t>Нижний предел оценки: 110 278</w:t>
            </w:r>
          </w:p>
        </w:tc>
      </w:tr>
      <w:tr w:rsidR="000F31C9" w:rsidRPr="007F5899" w:rsidTr="003E6310">
        <w:tc>
          <w:tcPr>
            <w:tcW w:w="1148" w:type="dxa"/>
            <w:vMerge/>
          </w:tcPr>
          <w:p w:rsidR="000F31C9" w:rsidRPr="007F5899" w:rsidRDefault="000F31C9" w:rsidP="005123D2">
            <w:pPr>
              <w:pStyle w:val="Tabletext"/>
              <w:rPr>
                <w:lang w:val="ru-RU"/>
              </w:rPr>
            </w:pPr>
          </w:p>
        </w:tc>
        <w:tc>
          <w:tcPr>
            <w:tcW w:w="4205" w:type="dxa"/>
            <w:vMerge/>
          </w:tcPr>
          <w:p w:rsidR="000F31C9" w:rsidRPr="007F5899" w:rsidRDefault="000F31C9" w:rsidP="005123D2">
            <w:pPr>
              <w:pStyle w:val="Tabletext"/>
              <w:rPr>
                <w:lang w:val="ru-RU"/>
              </w:rPr>
            </w:pPr>
          </w:p>
        </w:tc>
        <w:tc>
          <w:tcPr>
            <w:tcW w:w="4223" w:type="dxa"/>
          </w:tcPr>
          <w:p w:rsidR="000F31C9" w:rsidRPr="007F5899" w:rsidRDefault="000F31C9" w:rsidP="005123D2">
            <w:pPr>
              <w:pStyle w:val="Tabletext"/>
              <w:rPr>
                <w:lang w:val="ru-RU"/>
              </w:rPr>
            </w:pPr>
            <w:r w:rsidRPr="007F5899">
              <w:rPr>
                <w:lang w:val="ru-RU"/>
              </w:rPr>
              <w:t>Верхний предел оценки: 126 883</w:t>
            </w:r>
          </w:p>
        </w:tc>
      </w:tr>
      <w:tr w:rsidR="000F31C9" w:rsidRPr="007F5899" w:rsidTr="003E6310">
        <w:tc>
          <w:tcPr>
            <w:tcW w:w="1148" w:type="dxa"/>
            <w:vMerge w:val="restart"/>
          </w:tcPr>
          <w:p w:rsidR="000F31C9" w:rsidRPr="007F5899" w:rsidRDefault="000F31C9" w:rsidP="005123D2">
            <w:pPr>
              <w:pStyle w:val="Tabletext"/>
              <w:rPr>
                <w:lang w:val="ru-RU"/>
              </w:rPr>
            </w:pPr>
            <w:r w:rsidRPr="007F5899">
              <w:rPr>
                <w:lang w:val="ru-RU"/>
              </w:rPr>
              <w:t>2</w:t>
            </w:r>
          </w:p>
        </w:tc>
        <w:tc>
          <w:tcPr>
            <w:tcW w:w="4205" w:type="dxa"/>
            <w:vMerge w:val="restart"/>
          </w:tcPr>
          <w:p w:rsidR="000F31C9" w:rsidRPr="007F5899" w:rsidRDefault="000F31C9" w:rsidP="005123D2">
            <w:pPr>
              <w:pStyle w:val="Tabletext"/>
              <w:rPr>
                <w:lang w:val="ru-RU"/>
              </w:rPr>
            </w:pPr>
            <w:r w:rsidRPr="007F5899">
              <w:rPr>
                <w:lang w:val="ru-RU"/>
              </w:rPr>
              <w:t>100% персонала категории общего обслуживания (255) и 25% персонала категории специалистов и старших советников (57)</w:t>
            </w:r>
          </w:p>
        </w:tc>
        <w:tc>
          <w:tcPr>
            <w:tcW w:w="4223" w:type="dxa"/>
          </w:tcPr>
          <w:p w:rsidR="000F31C9" w:rsidRPr="007F5899" w:rsidRDefault="000F31C9" w:rsidP="005123D2">
            <w:pPr>
              <w:pStyle w:val="Tabletext"/>
              <w:rPr>
                <w:lang w:val="ru-RU"/>
              </w:rPr>
            </w:pPr>
            <w:r w:rsidRPr="007F5899">
              <w:rPr>
                <w:lang w:val="ru-RU"/>
              </w:rPr>
              <w:t>Нижний предел оценки: 105 325</w:t>
            </w:r>
          </w:p>
        </w:tc>
      </w:tr>
      <w:tr w:rsidR="000F31C9" w:rsidRPr="007F5899" w:rsidTr="003E6310">
        <w:tc>
          <w:tcPr>
            <w:tcW w:w="1148" w:type="dxa"/>
            <w:vMerge/>
          </w:tcPr>
          <w:p w:rsidR="000F31C9" w:rsidRPr="007F5899" w:rsidRDefault="000F31C9" w:rsidP="005123D2">
            <w:pPr>
              <w:pStyle w:val="Tabletext"/>
              <w:rPr>
                <w:lang w:val="ru-RU"/>
              </w:rPr>
            </w:pPr>
          </w:p>
        </w:tc>
        <w:tc>
          <w:tcPr>
            <w:tcW w:w="4205" w:type="dxa"/>
            <w:vMerge/>
          </w:tcPr>
          <w:p w:rsidR="000F31C9" w:rsidRPr="007F5899" w:rsidRDefault="000F31C9" w:rsidP="005123D2">
            <w:pPr>
              <w:pStyle w:val="Tabletext"/>
              <w:rPr>
                <w:lang w:val="ru-RU"/>
              </w:rPr>
            </w:pPr>
          </w:p>
        </w:tc>
        <w:tc>
          <w:tcPr>
            <w:tcW w:w="4223" w:type="dxa"/>
          </w:tcPr>
          <w:p w:rsidR="000F31C9" w:rsidRPr="007F5899" w:rsidRDefault="000F31C9" w:rsidP="005123D2">
            <w:pPr>
              <w:pStyle w:val="Tabletext"/>
              <w:rPr>
                <w:lang w:val="ru-RU"/>
              </w:rPr>
            </w:pPr>
            <w:r w:rsidRPr="007F5899">
              <w:rPr>
                <w:lang w:val="ru-RU"/>
              </w:rPr>
              <w:t>Верхний предел оценки: 119 365</w:t>
            </w:r>
          </w:p>
        </w:tc>
      </w:tr>
      <w:tr w:rsidR="000F31C9" w:rsidRPr="007F5899" w:rsidTr="003E6310">
        <w:tc>
          <w:tcPr>
            <w:tcW w:w="1148" w:type="dxa"/>
            <w:vMerge w:val="restart"/>
          </w:tcPr>
          <w:p w:rsidR="000F31C9" w:rsidRPr="007F5899" w:rsidRDefault="000F31C9" w:rsidP="005123D2">
            <w:pPr>
              <w:pStyle w:val="Tabletext"/>
              <w:rPr>
                <w:lang w:val="ru-RU"/>
              </w:rPr>
            </w:pPr>
            <w:r w:rsidRPr="007F5899">
              <w:rPr>
                <w:lang w:val="ru-RU"/>
              </w:rPr>
              <w:t>3</w:t>
            </w:r>
          </w:p>
        </w:tc>
        <w:tc>
          <w:tcPr>
            <w:tcW w:w="4205" w:type="dxa"/>
            <w:vMerge w:val="restart"/>
          </w:tcPr>
          <w:p w:rsidR="000F31C9" w:rsidRPr="007F5899" w:rsidRDefault="000F31C9" w:rsidP="005123D2">
            <w:pPr>
              <w:pStyle w:val="Tabletext"/>
              <w:rPr>
                <w:lang w:val="ru-RU"/>
              </w:rPr>
            </w:pPr>
            <w:r w:rsidRPr="007F5899">
              <w:rPr>
                <w:lang w:val="ru-RU"/>
              </w:rPr>
              <w:t>75% персонала категории общего обслуживания (191) и 50% персонала категории специалистов и старших советников (114)</w:t>
            </w:r>
          </w:p>
        </w:tc>
        <w:tc>
          <w:tcPr>
            <w:tcW w:w="4223" w:type="dxa"/>
          </w:tcPr>
          <w:p w:rsidR="000F31C9" w:rsidRPr="007F5899" w:rsidRDefault="000F31C9" w:rsidP="005123D2">
            <w:pPr>
              <w:pStyle w:val="Tabletext"/>
              <w:rPr>
                <w:lang w:val="ru-RU"/>
              </w:rPr>
            </w:pPr>
            <w:r w:rsidRPr="007F5899">
              <w:rPr>
                <w:lang w:val="ru-RU"/>
              </w:rPr>
              <w:t>Нижний предел оценки: 96 744</w:t>
            </w:r>
          </w:p>
        </w:tc>
      </w:tr>
      <w:tr w:rsidR="000F31C9" w:rsidRPr="007F5899" w:rsidTr="003E6310">
        <w:tc>
          <w:tcPr>
            <w:tcW w:w="1148" w:type="dxa"/>
            <w:vMerge/>
          </w:tcPr>
          <w:p w:rsidR="000F31C9" w:rsidRPr="007F5899" w:rsidRDefault="000F31C9" w:rsidP="005123D2">
            <w:pPr>
              <w:pStyle w:val="Tabletext"/>
              <w:rPr>
                <w:lang w:val="ru-RU"/>
              </w:rPr>
            </w:pPr>
          </w:p>
        </w:tc>
        <w:tc>
          <w:tcPr>
            <w:tcW w:w="4205" w:type="dxa"/>
            <w:vMerge/>
          </w:tcPr>
          <w:p w:rsidR="000F31C9" w:rsidRPr="007F5899" w:rsidRDefault="000F31C9" w:rsidP="005123D2">
            <w:pPr>
              <w:pStyle w:val="Tabletext"/>
              <w:rPr>
                <w:lang w:val="ru-RU"/>
              </w:rPr>
            </w:pPr>
          </w:p>
        </w:tc>
        <w:tc>
          <w:tcPr>
            <w:tcW w:w="4223" w:type="dxa"/>
          </w:tcPr>
          <w:p w:rsidR="000F31C9" w:rsidRPr="007F5899" w:rsidRDefault="000F31C9" w:rsidP="005123D2">
            <w:pPr>
              <w:pStyle w:val="Tabletext"/>
              <w:rPr>
                <w:lang w:val="ru-RU"/>
              </w:rPr>
            </w:pPr>
            <w:r w:rsidRPr="007F5899">
              <w:rPr>
                <w:lang w:val="ru-RU"/>
              </w:rPr>
              <w:t>Верхний предел оценки: 110 469</w:t>
            </w:r>
          </w:p>
        </w:tc>
      </w:tr>
      <w:tr w:rsidR="000F31C9" w:rsidRPr="007F5899" w:rsidTr="003E6310">
        <w:tc>
          <w:tcPr>
            <w:tcW w:w="1148" w:type="dxa"/>
            <w:vMerge w:val="restart"/>
          </w:tcPr>
          <w:p w:rsidR="000F31C9" w:rsidRPr="007F5899" w:rsidRDefault="000F31C9" w:rsidP="005123D2">
            <w:pPr>
              <w:pStyle w:val="Tabletext"/>
              <w:rPr>
                <w:lang w:val="ru-RU"/>
              </w:rPr>
            </w:pPr>
            <w:r w:rsidRPr="007F5899">
              <w:rPr>
                <w:lang w:val="ru-RU"/>
              </w:rPr>
              <w:lastRenderedPageBreak/>
              <w:t>4</w:t>
            </w:r>
          </w:p>
        </w:tc>
        <w:tc>
          <w:tcPr>
            <w:tcW w:w="4205" w:type="dxa"/>
            <w:vMerge w:val="restart"/>
          </w:tcPr>
          <w:p w:rsidR="000F31C9" w:rsidRPr="007F5899" w:rsidRDefault="000F31C9" w:rsidP="005123D2">
            <w:pPr>
              <w:pStyle w:val="Tabletext"/>
              <w:rPr>
                <w:lang w:val="ru-RU"/>
              </w:rPr>
            </w:pPr>
            <w:r w:rsidRPr="007F5899">
              <w:rPr>
                <w:lang w:val="ru-RU"/>
              </w:rPr>
              <w:t>75% персонала категории общего обслуживания (191) и 25% персонала категории специалистов и старших советников (57)</w:t>
            </w:r>
          </w:p>
        </w:tc>
        <w:tc>
          <w:tcPr>
            <w:tcW w:w="4223" w:type="dxa"/>
          </w:tcPr>
          <w:p w:rsidR="000F31C9" w:rsidRPr="007F5899" w:rsidRDefault="005123D2" w:rsidP="005123D2">
            <w:pPr>
              <w:pStyle w:val="Tabletext"/>
              <w:rPr>
                <w:lang w:val="ru-RU"/>
              </w:rPr>
            </w:pPr>
            <w:r w:rsidRPr="007F5899">
              <w:rPr>
                <w:lang w:val="ru-RU"/>
              </w:rPr>
              <w:t xml:space="preserve">Нижний предел оценки: </w:t>
            </w:r>
            <w:r w:rsidR="000F31C9" w:rsidRPr="007F5899">
              <w:rPr>
                <w:lang w:val="ru-RU"/>
              </w:rPr>
              <w:t>91 792</w:t>
            </w:r>
          </w:p>
        </w:tc>
      </w:tr>
      <w:tr w:rsidR="000F31C9" w:rsidRPr="007F5899" w:rsidTr="003E6310">
        <w:tc>
          <w:tcPr>
            <w:tcW w:w="1148" w:type="dxa"/>
            <w:vMerge/>
          </w:tcPr>
          <w:p w:rsidR="000F31C9" w:rsidRPr="007F5899" w:rsidRDefault="000F31C9" w:rsidP="005123D2">
            <w:pPr>
              <w:pStyle w:val="Tabletext"/>
              <w:rPr>
                <w:lang w:val="ru-RU"/>
              </w:rPr>
            </w:pPr>
          </w:p>
        </w:tc>
        <w:tc>
          <w:tcPr>
            <w:tcW w:w="4205" w:type="dxa"/>
            <w:vMerge/>
          </w:tcPr>
          <w:p w:rsidR="000F31C9" w:rsidRPr="007F5899" w:rsidRDefault="000F31C9" w:rsidP="005123D2">
            <w:pPr>
              <w:pStyle w:val="Tabletext"/>
              <w:rPr>
                <w:lang w:val="ru-RU"/>
              </w:rPr>
            </w:pPr>
          </w:p>
        </w:tc>
        <w:tc>
          <w:tcPr>
            <w:tcW w:w="4223" w:type="dxa"/>
          </w:tcPr>
          <w:p w:rsidR="000F31C9" w:rsidRPr="007F5899" w:rsidRDefault="000F31C9" w:rsidP="005123D2">
            <w:pPr>
              <w:pStyle w:val="Tabletext"/>
              <w:rPr>
                <w:lang w:val="ru-RU"/>
              </w:rPr>
            </w:pPr>
            <w:r w:rsidRPr="007F5899">
              <w:rPr>
                <w:lang w:val="ru-RU"/>
              </w:rPr>
              <w:t>Верхний предел оценки: 102 952</w:t>
            </w:r>
          </w:p>
        </w:tc>
      </w:tr>
    </w:tbl>
    <w:p w:rsidR="000F31C9" w:rsidRPr="007F5899" w:rsidRDefault="003E6310" w:rsidP="003E6310">
      <w:pPr>
        <w:rPr>
          <w:lang w:val="ru-RU"/>
        </w:rPr>
      </w:pPr>
      <w:r w:rsidRPr="007F5899">
        <w:rPr>
          <w:lang w:val="ru-RU"/>
        </w:rPr>
        <w:t>8.12</w:t>
      </w:r>
      <w:r w:rsidRPr="007F5899">
        <w:rPr>
          <w:lang w:val="ru-RU"/>
        </w:rPr>
        <w:tab/>
      </w:r>
      <w:r w:rsidR="000F31C9" w:rsidRPr="007F5899">
        <w:rPr>
          <w:lang w:val="ru-RU"/>
        </w:rPr>
        <w:t xml:space="preserve">Таким образом, затраты в связи с увольнением и перемещением персонала будут находиться в пределах диапазона 92–127 миллионов швейцарских франков. Выбранные сценарии рассматривались как наиболее вероятные. Тем не менее, точная информация о новом местоположении может иметь огромное влияние на оценку. </w:t>
      </w:r>
    </w:p>
    <w:p w:rsidR="000F31C9" w:rsidRPr="007F5899" w:rsidRDefault="000F31C9" w:rsidP="003E6310">
      <w:pPr>
        <w:pStyle w:val="Headingb"/>
        <w:rPr>
          <w:bCs/>
          <w:lang w:val="ru-RU"/>
        </w:rPr>
      </w:pPr>
      <w:r w:rsidRPr="007F5899">
        <w:rPr>
          <w:lang w:val="ru-RU"/>
        </w:rPr>
        <w:t>b)</w:t>
      </w:r>
      <w:r w:rsidRPr="007F5899">
        <w:rPr>
          <w:lang w:val="ru-RU"/>
        </w:rPr>
        <w:tab/>
        <w:t>Затраты по перемещению и обустройству персонала в новом местоположении</w:t>
      </w:r>
    </w:p>
    <w:p w:rsidR="000F31C9" w:rsidRPr="007F5899" w:rsidRDefault="003E6310" w:rsidP="003E6310">
      <w:pPr>
        <w:rPr>
          <w:lang w:val="ru-RU"/>
        </w:rPr>
      </w:pPr>
      <w:r w:rsidRPr="007F5899">
        <w:rPr>
          <w:lang w:val="ru-RU"/>
        </w:rPr>
        <w:t>8.13</w:t>
      </w:r>
      <w:r w:rsidRPr="007F5899">
        <w:rPr>
          <w:lang w:val="ru-RU"/>
        </w:rPr>
        <w:tab/>
      </w:r>
      <w:r w:rsidR="000F31C9" w:rsidRPr="007F5899">
        <w:rPr>
          <w:lang w:val="ru-RU"/>
        </w:rPr>
        <w:t>При отсутствии данных о конкретном новом местоположении затраты по перемещению Союза, кроме затрат по увольнению сотрудников, можно оценить только крайне приблизительно.</w:t>
      </w:r>
    </w:p>
    <w:p w:rsidR="000F31C9" w:rsidRPr="007F5899" w:rsidRDefault="003E6310" w:rsidP="003E6310">
      <w:pPr>
        <w:rPr>
          <w:lang w:val="ru-RU"/>
        </w:rPr>
      </w:pPr>
      <w:r w:rsidRPr="007F5899">
        <w:rPr>
          <w:lang w:val="ru-RU"/>
        </w:rPr>
        <w:t>8.14</w:t>
      </w:r>
      <w:r w:rsidRPr="007F5899">
        <w:rPr>
          <w:lang w:val="ru-RU"/>
        </w:rPr>
        <w:tab/>
      </w:r>
      <w:r w:rsidR="000F31C9" w:rsidRPr="007F5899">
        <w:rPr>
          <w:lang w:val="ru-RU"/>
        </w:rPr>
        <w:t>При оценке общего финансового влияния перемещения необходимо принимать во внимание следующие затраты:</w:t>
      </w:r>
    </w:p>
    <w:p w:rsidR="000F31C9" w:rsidRPr="007F5899" w:rsidRDefault="000F31C9" w:rsidP="003E6310">
      <w:pPr>
        <w:pStyle w:val="enumlev1"/>
        <w:rPr>
          <w:lang w:val="ru-RU"/>
        </w:rPr>
      </w:pPr>
      <w:r w:rsidRPr="007F5899">
        <w:rPr>
          <w:lang w:val="ru-RU"/>
        </w:rPr>
        <w:t>–</w:t>
      </w:r>
      <w:r w:rsidRPr="007F5899">
        <w:rPr>
          <w:lang w:val="ru-RU"/>
        </w:rPr>
        <w:tab/>
        <w:t>дополнительные затраты на персонал в течение переходного периода (того периода, когда штаб-квартира в Женеве будет продолжать работу, одновременно проводя организационные мероприятия в новом местоположении). Имеются в виду затраты, связанные с сотрудниками, которые не желают переезжать, с командировками в новую штаб-квартиру в течение переходного периода (ориентировочно исходя из расчета 30% персонала категории общего обслуживания и 100% персонала категории специалистов и старших советников, которые уволятся по завершении переходного периода);</w:t>
      </w:r>
    </w:p>
    <w:p w:rsidR="000F31C9" w:rsidRPr="007F5899" w:rsidRDefault="000F31C9" w:rsidP="003E6310">
      <w:pPr>
        <w:pStyle w:val="enumlev1"/>
        <w:rPr>
          <w:lang w:val="ru-RU"/>
        </w:rPr>
      </w:pPr>
      <w:r w:rsidRPr="007F5899">
        <w:rPr>
          <w:lang w:val="ru-RU"/>
        </w:rPr>
        <w:t>–</w:t>
      </w:r>
      <w:r w:rsidRPr="007F5899">
        <w:rPr>
          <w:lang w:val="ru-RU"/>
        </w:rPr>
        <w:tab/>
        <w:t>затраты по найму персонала (ориентировочно исходя из расчета 55 000 швейцарских франков на одного сотрудника категории специалистов и старших советников – вступление в должность, авиабилеты и затраты по переезду – и 1000 швейцарских франков на местного сотрудника категории общего обслуживания);</w:t>
      </w:r>
    </w:p>
    <w:p w:rsidR="000F31C9" w:rsidRPr="007F5899" w:rsidRDefault="000F31C9" w:rsidP="003E6310">
      <w:pPr>
        <w:pStyle w:val="enumlev1"/>
        <w:rPr>
          <w:lang w:val="ru-RU"/>
        </w:rPr>
      </w:pPr>
      <w:r w:rsidRPr="007F5899">
        <w:rPr>
          <w:lang w:val="ru-RU"/>
        </w:rPr>
        <w:t>–</w:t>
      </w:r>
      <w:r w:rsidRPr="007F5899">
        <w:rPr>
          <w:lang w:val="ru-RU"/>
        </w:rPr>
        <w:tab/>
        <w:t>затраты на инфраструктуру при подготовке и начале работы в новом местоположении. Имеются в виду затраты на приобретение оборудования, аппаратного обеспечения, общая стоимость оснащения офисов и здания, необходимого для эксплуатации новых помещений;</w:t>
      </w:r>
    </w:p>
    <w:p w:rsidR="000F31C9" w:rsidRPr="007F5899" w:rsidRDefault="000F31C9" w:rsidP="003E6310">
      <w:pPr>
        <w:pStyle w:val="enumlev1"/>
        <w:rPr>
          <w:lang w:val="ru-RU"/>
        </w:rPr>
      </w:pPr>
      <w:r w:rsidRPr="007F5899">
        <w:rPr>
          <w:lang w:val="ru-RU"/>
        </w:rPr>
        <w:t>–</w:t>
      </w:r>
      <w:r w:rsidRPr="007F5899">
        <w:rPr>
          <w:lang w:val="ru-RU"/>
        </w:rPr>
        <w:tab/>
        <w:t>эксплуатационные затраты при подготовке и начале работы в новом местоположении: стоимость проезда и проживания, затраты по найму персонала и управлению проектом переноса штаб-квартиры.</w:t>
      </w:r>
    </w:p>
    <w:p w:rsidR="000F31C9" w:rsidRPr="007F5899" w:rsidRDefault="003E6310" w:rsidP="003E6310">
      <w:pPr>
        <w:rPr>
          <w:lang w:val="ru-RU"/>
        </w:rPr>
      </w:pPr>
      <w:r w:rsidRPr="007F5899">
        <w:rPr>
          <w:lang w:val="ru-RU"/>
        </w:rPr>
        <w:t>8.15</w:t>
      </w:r>
      <w:r w:rsidRPr="007F5899">
        <w:rPr>
          <w:lang w:val="ru-RU"/>
        </w:rPr>
        <w:tab/>
      </w:r>
      <w:r w:rsidR="000F31C9" w:rsidRPr="007F5899">
        <w:rPr>
          <w:lang w:val="ru-RU"/>
        </w:rPr>
        <w:t xml:space="preserve">Для получения сметы в качестве справочного материала использовались затраты, понесенные </w:t>
      </w:r>
      <w:proofErr w:type="spellStart"/>
      <w:r w:rsidR="000F31C9" w:rsidRPr="007F5899">
        <w:rPr>
          <w:lang w:val="ru-RU"/>
        </w:rPr>
        <w:t>UNHCR</w:t>
      </w:r>
      <w:proofErr w:type="spellEnd"/>
      <w:r w:rsidR="000F31C9" w:rsidRPr="007F5899">
        <w:rPr>
          <w:lang w:val="ru-RU"/>
        </w:rPr>
        <w:t xml:space="preserve"> при переносе части своих объектов с персоналом в 2007 году, с поправкой на разницу масштабов (перенос всех объектов Союза в целом) и изменение цен по сравнению с 2007 годом.</w:t>
      </w:r>
    </w:p>
    <w:p w:rsidR="005123D2" w:rsidRPr="007F5899" w:rsidRDefault="005123D2" w:rsidP="005123D2">
      <w:pPr>
        <w:rPr>
          <w:lang w:val="ru-RU"/>
        </w:rPr>
      </w:pPr>
      <w:r w:rsidRPr="007F5899">
        <w:rPr>
          <w:lang w:val="ru-RU"/>
        </w:rPr>
        <w:br w:type="page"/>
      </w:r>
    </w:p>
    <w:p w:rsidR="000F31C9" w:rsidRPr="007F5899" w:rsidRDefault="00BF4B6F" w:rsidP="00BF4B6F">
      <w:pPr>
        <w:rPr>
          <w:lang w:val="ru-RU"/>
        </w:rPr>
      </w:pPr>
      <w:r w:rsidRPr="007F5899">
        <w:rPr>
          <w:lang w:val="ru-RU"/>
        </w:rPr>
        <w:lastRenderedPageBreak/>
        <w:t>8.16</w:t>
      </w:r>
      <w:r w:rsidRPr="007F5899">
        <w:rPr>
          <w:lang w:val="ru-RU"/>
        </w:rPr>
        <w:tab/>
      </w:r>
      <w:r w:rsidR="000F31C9" w:rsidRPr="007F5899">
        <w:rPr>
          <w:lang w:val="ru-RU"/>
        </w:rPr>
        <w:t>Выделены следующие статьи затрат:</w:t>
      </w:r>
    </w:p>
    <w:p w:rsidR="005123D2" w:rsidRPr="007F5899" w:rsidRDefault="005123D2" w:rsidP="00BF4B6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893"/>
        <w:gridCol w:w="1985"/>
        <w:gridCol w:w="1701"/>
        <w:gridCol w:w="1813"/>
      </w:tblGrid>
      <w:tr w:rsidR="000F31C9" w:rsidRPr="007F5899" w:rsidTr="003E6310">
        <w:tc>
          <w:tcPr>
            <w:tcW w:w="2184" w:type="dxa"/>
          </w:tcPr>
          <w:p w:rsidR="000F31C9" w:rsidRPr="007F5899" w:rsidRDefault="000F31C9" w:rsidP="00BF4B6F">
            <w:pPr>
              <w:pStyle w:val="Tablehead"/>
              <w:rPr>
                <w:lang w:val="ru-RU"/>
              </w:rPr>
            </w:pPr>
            <w:r w:rsidRPr="007F5899">
              <w:rPr>
                <w:lang w:val="ru-RU"/>
              </w:rPr>
              <w:br w:type="page"/>
              <w:t>Тип затрат</w:t>
            </w:r>
          </w:p>
        </w:tc>
        <w:tc>
          <w:tcPr>
            <w:tcW w:w="7392" w:type="dxa"/>
            <w:gridSpan w:val="4"/>
          </w:tcPr>
          <w:p w:rsidR="000F31C9" w:rsidRPr="007F5899" w:rsidRDefault="000F31C9" w:rsidP="00BF4B6F">
            <w:pPr>
              <w:pStyle w:val="Tablehead"/>
              <w:rPr>
                <w:lang w:val="ru-RU"/>
              </w:rPr>
            </w:pPr>
            <w:r w:rsidRPr="007F5899">
              <w:rPr>
                <w:lang w:val="ru-RU"/>
              </w:rPr>
              <w:t>Оценка в тысячах швейцарских франков</w:t>
            </w:r>
          </w:p>
        </w:tc>
      </w:tr>
      <w:tr w:rsidR="000F31C9" w:rsidRPr="007F5899" w:rsidTr="003E6310">
        <w:tc>
          <w:tcPr>
            <w:tcW w:w="2184" w:type="dxa"/>
          </w:tcPr>
          <w:p w:rsidR="000F31C9" w:rsidRPr="007F5899" w:rsidRDefault="000F31C9" w:rsidP="00BF4B6F">
            <w:pPr>
              <w:pStyle w:val="Tablehead"/>
              <w:rPr>
                <w:lang w:val="ru-RU"/>
              </w:rPr>
            </w:pPr>
          </w:p>
        </w:tc>
        <w:tc>
          <w:tcPr>
            <w:tcW w:w="1893" w:type="dxa"/>
          </w:tcPr>
          <w:p w:rsidR="000F31C9" w:rsidRPr="007F5899" w:rsidRDefault="000F31C9" w:rsidP="00BF4B6F">
            <w:pPr>
              <w:pStyle w:val="Tablehead"/>
              <w:rPr>
                <w:lang w:val="ru-RU"/>
              </w:rPr>
            </w:pPr>
            <w:r w:rsidRPr="007F5899">
              <w:rPr>
                <w:lang w:val="ru-RU"/>
              </w:rPr>
              <w:t>Сценарий 1</w:t>
            </w:r>
          </w:p>
        </w:tc>
        <w:tc>
          <w:tcPr>
            <w:tcW w:w="1985" w:type="dxa"/>
          </w:tcPr>
          <w:p w:rsidR="000F31C9" w:rsidRPr="007F5899" w:rsidRDefault="000F31C9" w:rsidP="00BF4B6F">
            <w:pPr>
              <w:pStyle w:val="Tablehead"/>
              <w:rPr>
                <w:lang w:val="ru-RU"/>
              </w:rPr>
            </w:pPr>
            <w:r w:rsidRPr="007F5899">
              <w:rPr>
                <w:lang w:val="ru-RU"/>
              </w:rPr>
              <w:t>Сценарий 2</w:t>
            </w:r>
          </w:p>
        </w:tc>
        <w:tc>
          <w:tcPr>
            <w:tcW w:w="1701" w:type="dxa"/>
          </w:tcPr>
          <w:p w:rsidR="000F31C9" w:rsidRPr="007F5899" w:rsidRDefault="000F31C9" w:rsidP="00BF4B6F">
            <w:pPr>
              <w:pStyle w:val="Tablehead"/>
              <w:rPr>
                <w:lang w:val="ru-RU"/>
              </w:rPr>
            </w:pPr>
            <w:r w:rsidRPr="007F5899">
              <w:rPr>
                <w:lang w:val="ru-RU"/>
              </w:rPr>
              <w:t>Сценарий 3</w:t>
            </w:r>
          </w:p>
        </w:tc>
        <w:tc>
          <w:tcPr>
            <w:tcW w:w="1813" w:type="dxa"/>
          </w:tcPr>
          <w:p w:rsidR="000F31C9" w:rsidRPr="007F5899" w:rsidRDefault="000F31C9" w:rsidP="00BF4B6F">
            <w:pPr>
              <w:pStyle w:val="Tablehead"/>
              <w:rPr>
                <w:lang w:val="ru-RU"/>
              </w:rPr>
            </w:pPr>
            <w:r w:rsidRPr="007F5899">
              <w:rPr>
                <w:lang w:val="ru-RU"/>
              </w:rPr>
              <w:t>Сценарий 4</w:t>
            </w:r>
          </w:p>
        </w:tc>
      </w:tr>
      <w:tr w:rsidR="000F31C9" w:rsidRPr="007F5899" w:rsidTr="003E6310">
        <w:tc>
          <w:tcPr>
            <w:tcW w:w="2184" w:type="dxa"/>
          </w:tcPr>
          <w:p w:rsidR="000F31C9" w:rsidRPr="007F5899" w:rsidRDefault="000F31C9" w:rsidP="00DD4F12">
            <w:pPr>
              <w:pStyle w:val="Tabletext"/>
              <w:rPr>
                <w:lang w:val="ru-RU"/>
              </w:rPr>
            </w:pPr>
            <w:r w:rsidRPr="007F5899">
              <w:rPr>
                <w:lang w:val="ru-RU"/>
              </w:rPr>
              <w:t>Затраты на персонал в</w:t>
            </w:r>
            <w:r w:rsidR="00DD4F12" w:rsidRPr="007F5899">
              <w:rPr>
                <w:lang w:val="ru-RU"/>
              </w:rPr>
              <w:t> </w:t>
            </w:r>
            <w:r w:rsidRPr="007F5899">
              <w:rPr>
                <w:lang w:val="ru-RU"/>
              </w:rPr>
              <w:t xml:space="preserve">течение переходного периода </w:t>
            </w:r>
          </w:p>
        </w:tc>
        <w:tc>
          <w:tcPr>
            <w:tcW w:w="1893" w:type="dxa"/>
          </w:tcPr>
          <w:p w:rsidR="000F31C9" w:rsidRPr="007F5899" w:rsidRDefault="000F31C9" w:rsidP="005123D2">
            <w:pPr>
              <w:pStyle w:val="Tabletext"/>
              <w:jc w:val="center"/>
              <w:rPr>
                <w:lang w:val="ru-RU"/>
              </w:rPr>
            </w:pPr>
            <w:r w:rsidRPr="007F5899">
              <w:rPr>
                <w:lang w:val="ru-RU"/>
              </w:rPr>
              <w:t>22 860</w:t>
            </w:r>
          </w:p>
        </w:tc>
        <w:tc>
          <w:tcPr>
            <w:tcW w:w="1985" w:type="dxa"/>
          </w:tcPr>
          <w:p w:rsidR="000F31C9" w:rsidRPr="007F5899" w:rsidRDefault="000F31C9" w:rsidP="005123D2">
            <w:pPr>
              <w:pStyle w:val="Tabletext"/>
              <w:jc w:val="center"/>
              <w:rPr>
                <w:lang w:val="ru-RU"/>
              </w:rPr>
            </w:pPr>
            <w:r w:rsidRPr="007F5899">
              <w:rPr>
                <w:lang w:val="ru-RU"/>
              </w:rPr>
              <w:t>16 020</w:t>
            </w:r>
          </w:p>
        </w:tc>
        <w:tc>
          <w:tcPr>
            <w:tcW w:w="1701" w:type="dxa"/>
          </w:tcPr>
          <w:p w:rsidR="000F31C9" w:rsidRPr="007F5899" w:rsidRDefault="000F31C9" w:rsidP="005123D2">
            <w:pPr>
              <w:pStyle w:val="Tabletext"/>
              <w:jc w:val="center"/>
              <w:rPr>
                <w:lang w:val="ru-RU"/>
              </w:rPr>
            </w:pPr>
            <w:r w:rsidRPr="007F5899">
              <w:rPr>
                <w:lang w:val="ru-RU"/>
              </w:rPr>
              <w:t>20 556</w:t>
            </w:r>
          </w:p>
        </w:tc>
        <w:tc>
          <w:tcPr>
            <w:tcW w:w="1813" w:type="dxa"/>
          </w:tcPr>
          <w:p w:rsidR="000F31C9" w:rsidRPr="007F5899" w:rsidRDefault="000F31C9" w:rsidP="005123D2">
            <w:pPr>
              <w:pStyle w:val="Tabletext"/>
              <w:jc w:val="center"/>
              <w:rPr>
                <w:lang w:val="ru-RU"/>
              </w:rPr>
            </w:pPr>
            <w:r w:rsidRPr="007F5899">
              <w:rPr>
                <w:lang w:val="ru-RU"/>
              </w:rPr>
              <w:t>18 300</w:t>
            </w:r>
          </w:p>
        </w:tc>
      </w:tr>
      <w:tr w:rsidR="000F31C9" w:rsidRPr="007F5899" w:rsidTr="003E6310">
        <w:tc>
          <w:tcPr>
            <w:tcW w:w="2184" w:type="dxa"/>
          </w:tcPr>
          <w:p w:rsidR="000F31C9" w:rsidRPr="007F5899" w:rsidRDefault="000F31C9" w:rsidP="00BF4B6F">
            <w:pPr>
              <w:pStyle w:val="Tabletext"/>
              <w:rPr>
                <w:lang w:val="ru-RU"/>
              </w:rPr>
            </w:pPr>
            <w:r w:rsidRPr="007F5899">
              <w:rPr>
                <w:lang w:val="ru-RU"/>
              </w:rPr>
              <w:t>Затраты по найму и обучению персонала</w:t>
            </w:r>
          </w:p>
        </w:tc>
        <w:tc>
          <w:tcPr>
            <w:tcW w:w="1893" w:type="dxa"/>
          </w:tcPr>
          <w:p w:rsidR="000F31C9" w:rsidRPr="007F5899" w:rsidRDefault="000F31C9" w:rsidP="005123D2">
            <w:pPr>
              <w:pStyle w:val="Tabletext"/>
              <w:jc w:val="center"/>
              <w:rPr>
                <w:lang w:val="ru-RU"/>
              </w:rPr>
            </w:pPr>
            <w:r w:rsidRPr="007F5899">
              <w:rPr>
                <w:lang w:val="ru-RU"/>
              </w:rPr>
              <w:t>5750</w:t>
            </w:r>
          </w:p>
        </w:tc>
        <w:tc>
          <w:tcPr>
            <w:tcW w:w="1985" w:type="dxa"/>
          </w:tcPr>
          <w:p w:rsidR="000F31C9" w:rsidRPr="007F5899" w:rsidRDefault="000F31C9" w:rsidP="005123D2">
            <w:pPr>
              <w:pStyle w:val="Tabletext"/>
              <w:jc w:val="center"/>
              <w:rPr>
                <w:lang w:val="ru-RU"/>
              </w:rPr>
            </w:pPr>
            <w:r w:rsidRPr="007F5899">
              <w:rPr>
                <w:lang w:val="ru-RU"/>
              </w:rPr>
              <w:t>3550</w:t>
            </w:r>
          </w:p>
        </w:tc>
        <w:tc>
          <w:tcPr>
            <w:tcW w:w="1701" w:type="dxa"/>
          </w:tcPr>
          <w:p w:rsidR="000F31C9" w:rsidRPr="007F5899" w:rsidRDefault="000F31C9" w:rsidP="005123D2">
            <w:pPr>
              <w:pStyle w:val="Tabletext"/>
              <w:jc w:val="center"/>
              <w:rPr>
                <w:lang w:val="ru-RU"/>
              </w:rPr>
            </w:pPr>
            <w:r w:rsidRPr="007F5899">
              <w:rPr>
                <w:lang w:val="ru-RU"/>
              </w:rPr>
              <w:t>5690</w:t>
            </w:r>
          </w:p>
        </w:tc>
        <w:tc>
          <w:tcPr>
            <w:tcW w:w="1813" w:type="dxa"/>
          </w:tcPr>
          <w:p w:rsidR="000F31C9" w:rsidRPr="007F5899" w:rsidRDefault="000F31C9" w:rsidP="005123D2">
            <w:pPr>
              <w:pStyle w:val="Tabletext"/>
              <w:jc w:val="center"/>
              <w:rPr>
                <w:lang w:val="ru-RU"/>
              </w:rPr>
            </w:pPr>
            <w:r w:rsidRPr="007F5899">
              <w:rPr>
                <w:lang w:val="ru-RU"/>
              </w:rPr>
              <w:t>3490</w:t>
            </w:r>
          </w:p>
        </w:tc>
      </w:tr>
      <w:tr w:rsidR="000F31C9" w:rsidRPr="007F5899" w:rsidTr="003E6310">
        <w:tc>
          <w:tcPr>
            <w:tcW w:w="2184" w:type="dxa"/>
          </w:tcPr>
          <w:p w:rsidR="000F31C9" w:rsidRPr="007F5899" w:rsidRDefault="000F31C9" w:rsidP="00BF4B6F">
            <w:pPr>
              <w:pStyle w:val="Tabletext"/>
              <w:rPr>
                <w:lang w:val="ru-RU"/>
              </w:rPr>
            </w:pPr>
            <w:r w:rsidRPr="007F5899">
              <w:rPr>
                <w:lang w:val="ru-RU"/>
              </w:rPr>
              <w:t>Затраты на инфраструктуру при подготовке и начале работы в новом местоположении</w:t>
            </w:r>
          </w:p>
        </w:tc>
        <w:tc>
          <w:tcPr>
            <w:tcW w:w="1893" w:type="dxa"/>
          </w:tcPr>
          <w:p w:rsidR="000F31C9" w:rsidRPr="007F5899" w:rsidRDefault="000F31C9" w:rsidP="005123D2">
            <w:pPr>
              <w:pStyle w:val="Tabletext"/>
              <w:jc w:val="center"/>
              <w:rPr>
                <w:lang w:val="ru-RU"/>
              </w:rPr>
            </w:pPr>
            <w:r w:rsidRPr="007F5899">
              <w:rPr>
                <w:lang w:val="ru-RU"/>
              </w:rPr>
              <w:t>4950</w:t>
            </w:r>
          </w:p>
        </w:tc>
        <w:tc>
          <w:tcPr>
            <w:tcW w:w="1985" w:type="dxa"/>
          </w:tcPr>
          <w:p w:rsidR="000F31C9" w:rsidRPr="007F5899" w:rsidRDefault="000F31C9" w:rsidP="005123D2">
            <w:pPr>
              <w:pStyle w:val="Tabletext"/>
              <w:jc w:val="center"/>
              <w:rPr>
                <w:lang w:val="ru-RU"/>
              </w:rPr>
            </w:pPr>
            <w:r w:rsidRPr="007F5899">
              <w:rPr>
                <w:lang w:val="ru-RU"/>
              </w:rPr>
              <w:t>4950</w:t>
            </w:r>
          </w:p>
        </w:tc>
        <w:tc>
          <w:tcPr>
            <w:tcW w:w="1701" w:type="dxa"/>
          </w:tcPr>
          <w:p w:rsidR="000F31C9" w:rsidRPr="007F5899" w:rsidRDefault="000F31C9" w:rsidP="005123D2">
            <w:pPr>
              <w:pStyle w:val="Tabletext"/>
              <w:jc w:val="center"/>
              <w:rPr>
                <w:lang w:val="ru-RU"/>
              </w:rPr>
            </w:pPr>
            <w:r w:rsidRPr="007F5899">
              <w:rPr>
                <w:lang w:val="ru-RU"/>
              </w:rPr>
              <w:t>4950</w:t>
            </w:r>
          </w:p>
        </w:tc>
        <w:tc>
          <w:tcPr>
            <w:tcW w:w="1813" w:type="dxa"/>
          </w:tcPr>
          <w:p w:rsidR="000F31C9" w:rsidRPr="007F5899" w:rsidRDefault="000F31C9" w:rsidP="005123D2">
            <w:pPr>
              <w:pStyle w:val="Tabletext"/>
              <w:jc w:val="center"/>
              <w:rPr>
                <w:lang w:val="ru-RU"/>
              </w:rPr>
            </w:pPr>
            <w:r w:rsidRPr="007F5899">
              <w:rPr>
                <w:lang w:val="ru-RU"/>
              </w:rPr>
              <w:t>4950</w:t>
            </w:r>
          </w:p>
        </w:tc>
      </w:tr>
      <w:tr w:rsidR="000F31C9" w:rsidRPr="007F5899" w:rsidTr="003E6310">
        <w:tc>
          <w:tcPr>
            <w:tcW w:w="2184" w:type="dxa"/>
          </w:tcPr>
          <w:p w:rsidR="000F31C9" w:rsidRPr="007F5899" w:rsidRDefault="000F31C9" w:rsidP="00BF4B6F">
            <w:pPr>
              <w:pStyle w:val="Tabletext"/>
              <w:rPr>
                <w:lang w:val="ru-RU"/>
              </w:rPr>
            </w:pPr>
            <w:r w:rsidRPr="007F5899">
              <w:rPr>
                <w:lang w:val="ru-RU"/>
              </w:rPr>
              <w:t>Эксплуатационные затраты при подготовке и начале работы в новом местоположении </w:t>
            </w:r>
          </w:p>
        </w:tc>
        <w:tc>
          <w:tcPr>
            <w:tcW w:w="1893" w:type="dxa"/>
          </w:tcPr>
          <w:p w:rsidR="000F31C9" w:rsidRPr="007F5899" w:rsidRDefault="000F31C9" w:rsidP="005123D2">
            <w:pPr>
              <w:pStyle w:val="Tabletext"/>
              <w:jc w:val="center"/>
              <w:rPr>
                <w:lang w:val="ru-RU"/>
              </w:rPr>
            </w:pPr>
            <w:r w:rsidRPr="007F5899">
              <w:rPr>
                <w:lang w:val="ru-RU"/>
              </w:rPr>
              <w:t>14 001</w:t>
            </w:r>
          </w:p>
        </w:tc>
        <w:tc>
          <w:tcPr>
            <w:tcW w:w="1985" w:type="dxa"/>
          </w:tcPr>
          <w:p w:rsidR="000F31C9" w:rsidRPr="007F5899" w:rsidRDefault="000F31C9" w:rsidP="005123D2">
            <w:pPr>
              <w:pStyle w:val="Tabletext"/>
              <w:jc w:val="center"/>
              <w:rPr>
                <w:lang w:val="ru-RU"/>
              </w:rPr>
            </w:pPr>
            <w:r w:rsidRPr="007F5899">
              <w:rPr>
                <w:lang w:val="ru-RU"/>
              </w:rPr>
              <w:t>14 001</w:t>
            </w:r>
          </w:p>
        </w:tc>
        <w:tc>
          <w:tcPr>
            <w:tcW w:w="1701" w:type="dxa"/>
          </w:tcPr>
          <w:p w:rsidR="000F31C9" w:rsidRPr="007F5899" w:rsidRDefault="000F31C9" w:rsidP="005123D2">
            <w:pPr>
              <w:pStyle w:val="Tabletext"/>
              <w:jc w:val="center"/>
              <w:rPr>
                <w:lang w:val="ru-RU"/>
              </w:rPr>
            </w:pPr>
            <w:r w:rsidRPr="007F5899">
              <w:rPr>
                <w:lang w:val="ru-RU"/>
              </w:rPr>
              <w:t>14 001</w:t>
            </w:r>
          </w:p>
        </w:tc>
        <w:tc>
          <w:tcPr>
            <w:tcW w:w="1813" w:type="dxa"/>
          </w:tcPr>
          <w:p w:rsidR="000F31C9" w:rsidRPr="007F5899" w:rsidRDefault="000F31C9" w:rsidP="005123D2">
            <w:pPr>
              <w:pStyle w:val="Tabletext"/>
              <w:jc w:val="center"/>
              <w:rPr>
                <w:lang w:val="ru-RU"/>
              </w:rPr>
            </w:pPr>
            <w:r w:rsidRPr="007F5899">
              <w:rPr>
                <w:lang w:val="ru-RU"/>
              </w:rPr>
              <w:t>14 001</w:t>
            </w:r>
          </w:p>
        </w:tc>
      </w:tr>
      <w:tr w:rsidR="000F31C9" w:rsidRPr="007F5899" w:rsidTr="003E6310">
        <w:tc>
          <w:tcPr>
            <w:tcW w:w="2184" w:type="dxa"/>
          </w:tcPr>
          <w:p w:rsidR="000F31C9" w:rsidRPr="007F5899" w:rsidRDefault="000F31C9" w:rsidP="00BF4B6F">
            <w:pPr>
              <w:pStyle w:val="Tabletext"/>
              <w:rPr>
                <w:b/>
                <w:bCs/>
                <w:lang w:val="ru-RU"/>
              </w:rPr>
            </w:pPr>
            <w:r w:rsidRPr="007F5899">
              <w:rPr>
                <w:b/>
                <w:bCs/>
                <w:lang w:val="ru-RU"/>
              </w:rPr>
              <w:t>Итого</w:t>
            </w:r>
          </w:p>
        </w:tc>
        <w:tc>
          <w:tcPr>
            <w:tcW w:w="1893" w:type="dxa"/>
          </w:tcPr>
          <w:p w:rsidR="000F31C9" w:rsidRPr="007F5899" w:rsidRDefault="000F31C9" w:rsidP="005123D2">
            <w:pPr>
              <w:pStyle w:val="Tabletext"/>
              <w:jc w:val="center"/>
              <w:rPr>
                <w:b/>
                <w:bCs/>
                <w:lang w:val="ru-RU"/>
              </w:rPr>
            </w:pPr>
            <w:r w:rsidRPr="007F5899">
              <w:rPr>
                <w:b/>
                <w:bCs/>
                <w:lang w:val="ru-RU"/>
              </w:rPr>
              <w:t>47 561</w:t>
            </w:r>
          </w:p>
        </w:tc>
        <w:tc>
          <w:tcPr>
            <w:tcW w:w="1985" w:type="dxa"/>
          </w:tcPr>
          <w:p w:rsidR="000F31C9" w:rsidRPr="007F5899" w:rsidRDefault="000F31C9" w:rsidP="005123D2">
            <w:pPr>
              <w:pStyle w:val="Tabletext"/>
              <w:jc w:val="center"/>
              <w:rPr>
                <w:b/>
                <w:bCs/>
                <w:lang w:val="ru-RU"/>
              </w:rPr>
            </w:pPr>
            <w:r w:rsidRPr="007F5899">
              <w:rPr>
                <w:b/>
                <w:bCs/>
                <w:lang w:val="ru-RU"/>
              </w:rPr>
              <w:t>38 521</w:t>
            </w:r>
          </w:p>
        </w:tc>
        <w:tc>
          <w:tcPr>
            <w:tcW w:w="1701" w:type="dxa"/>
          </w:tcPr>
          <w:p w:rsidR="000F31C9" w:rsidRPr="007F5899" w:rsidRDefault="000F31C9" w:rsidP="005123D2">
            <w:pPr>
              <w:pStyle w:val="Tabletext"/>
              <w:jc w:val="center"/>
              <w:rPr>
                <w:b/>
                <w:bCs/>
                <w:lang w:val="ru-RU"/>
              </w:rPr>
            </w:pPr>
            <w:r w:rsidRPr="007F5899">
              <w:rPr>
                <w:b/>
                <w:bCs/>
                <w:lang w:val="ru-RU"/>
              </w:rPr>
              <w:t>45 197</w:t>
            </w:r>
          </w:p>
        </w:tc>
        <w:tc>
          <w:tcPr>
            <w:tcW w:w="1813" w:type="dxa"/>
          </w:tcPr>
          <w:p w:rsidR="000F31C9" w:rsidRPr="007F5899" w:rsidRDefault="000F31C9" w:rsidP="005123D2">
            <w:pPr>
              <w:pStyle w:val="Tabletext"/>
              <w:jc w:val="center"/>
              <w:rPr>
                <w:b/>
                <w:bCs/>
                <w:lang w:val="ru-RU"/>
              </w:rPr>
            </w:pPr>
            <w:r w:rsidRPr="007F5899">
              <w:rPr>
                <w:b/>
                <w:bCs/>
                <w:lang w:val="ru-RU"/>
              </w:rPr>
              <w:t>37 630</w:t>
            </w:r>
          </w:p>
        </w:tc>
      </w:tr>
    </w:tbl>
    <w:p w:rsidR="000F31C9" w:rsidRPr="007F5899" w:rsidRDefault="00BF4B6F" w:rsidP="00BF4B6F">
      <w:pPr>
        <w:rPr>
          <w:lang w:val="ru-RU"/>
        </w:rPr>
      </w:pPr>
      <w:r w:rsidRPr="007F5899">
        <w:rPr>
          <w:lang w:val="ru-RU"/>
        </w:rPr>
        <w:t>8.17</w:t>
      </w:r>
      <w:r w:rsidRPr="007F5899">
        <w:rPr>
          <w:lang w:val="ru-RU"/>
        </w:rPr>
        <w:tab/>
      </w:r>
      <w:r w:rsidR="000F31C9" w:rsidRPr="007F5899">
        <w:rPr>
          <w:lang w:val="ru-RU"/>
        </w:rPr>
        <w:t>Более подробную смету можно будет составить по итогам сравнительного исследования нескольких конкретных мест переноса, опираясь на объективные критерии сравнения.</w:t>
      </w:r>
    </w:p>
    <w:p w:rsidR="000F31C9" w:rsidRPr="007F5899" w:rsidRDefault="00BF4B6F" w:rsidP="00BF4B6F">
      <w:pPr>
        <w:rPr>
          <w:lang w:val="ru-RU"/>
        </w:rPr>
      </w:pPr>
      <w:r w:rsidRPr="007F5899">
        <w:rPr>
          <w:lang w:val="ru-RU"/>
        </w:rPr>
        <w:t>8.18</w:t>
      </w:r>
      <w:r w:rsidRPr="007F5899">
        <w:rPr>
          <w:lang w:val="ru-RU"/>
        </w:rPr>
        <w:tab/>
      </w:r>
      <w:r w:rsidR="000F31C9" w:rsidRPr="007F5899">
        <w:rPr>
          <w:lang w:val="ru-RU"/>
        </w:rPr>
        <w:t>Общая стоимость увольнения, найма и обустройства сотрудников, таким образом, колеблется в пределах от 130 миллионов швейцарских франков до 175 миллионов швейцарских франков в зависимости от определенного сценария.</w:t>
      </w:r>
    </w:p>
    <w:p w:rsidR="000F31C9" w:rsidRPr="007F5899" w:rsidRDefault="00BF4B6F" w:rsidP="00BF4B6F">
      <w:pPr>
        <w:rPr>
          <w:lang w:val="ru-RU"/>
        </w:rPr>
      </w:pPr>
      <w:r w:rsidRPr="007F5899">
        <w:rPr>
          <w:lang w:val="ru-RU"/>
        </w:rPr>
        <w:t>8.19</w:t>
      </w:r>
      <w:r w:rsidRPr="007F5899">
        <w:rPr>
          <w:lang w:val="ru-RU"/>
        </w:rPr>
        <w:tab/>
      </w:r>
      <w:r w:rsidR="000F31C9" w:rsidRPr="007F5899">
        <w:rPr>
          <w:lang w:val="ru-RU"/>
        </w:rPr>
        <w:t xml:space="preserve">Затраты, связанные с разрывом преемственности в организации и утратой операционного опыта ввиду смены персонала, а также затраты, связанные с нарушением процессов, оценить сложно, и они не включены в настоящий документ. Тем не менее, влияние таких затрат является потенциально сильным, поскольку процесс обучения нового персонала может занять немало времени. </w:t>
      </w:r>
    </w:p>
    <w:p w:rsidR="000F31C9" w:rsidRPr="007F5899" w:rsidRDefault="000F31C9" w:rsidP="00BF4B6F">
      <w:pPr>
        <w:pStyle w:val="Headingb"/>
        <w:rPr>
          <w:bCs/>
          <w:lang w:val="ru-RU"/>
        </w:rPr>
      </w:pPr>
      <w:r w:rsidRPr="007F5899">
        <w:rPr>
          <w:lang w:val="ru-RU"/>
        </w:rPr>
        <w:t>c)</w:t>
      </w:r>
      <w:r w:rsidRPr="007F5899">
        <w:rPr>
          <w:lang w:val="ru-RU"/>
        </w:rPr>
        <w:tab/>
        <w:t>Эксплуатационные затраты после размещения на новом месте</w:t>
      </w:r>
    </w:p>
    <w:p w:rsidR="000F31C9" w:rsidRPr="007F5899" w:rsidRDefault="00BF4B6F" w:rsidP="00BF4B6F">
      <w:pPr>
        <w:rPr>
          <w:lang w:val="ru-RU"/>
        </w:rPr>
      </w:pPr>
      <w:r w:rsidRPr="007F5899">
        <w:rPr>
          <w:lang w:val="ru-RU"/>
        </w:rPr>
        <w:t>8.20</w:t>
      </w:r>
      <w:r w:rsidRPr="007F5899">
        <w:rPr>
          <w:lang w:val="ru-RU"/>
        </w:rPr>
        <w:tab/>
      </w:r>
      <w:r w:rsidR="000F31C9" w:rsidRPr="007F5899">
        <w:rPr>
          <w:lang w:val="ru-RU"/>
        </w:rPr>
        <w:t>Эксплуатационные затраты после размещения на новом месте будут зависеть от выбранного местоположения. Следующие затраты могут меняться в зависимости от страны, в которой будет располагаться штаб-квартира Союза:</w:t>
      </w:r>
    </w:p>
    <w:p w:rsidR="000F31C9" w:rsidRPr="007F5899" w:rsidRDefault="000F31C9" w:rsidP="00BF4B6F">
      <w:pPr>
        <w:pStyle w:val="enumlev1"/>
        <w:rPr>
          <w:lang w:val="ru-RU"/>
        </w:rPr>
      </w:pPr>
      <w:r w:rsidRPr="007F5899">
        <w:rPr>
          <w:lang w:val="ru-RU"/>
        </w:rPr>
        <w:t>–</w:t>
      </w:r>
      <w:r w:rsidRPr="007F5899">
        <w:rPr>
          <w:lang w:val="ru-RU"/>
        </w:rPr>
        <w:tab/>
        <w:t>затраты на персонал, расчет которых связан с:</w:t>
      </w:r>
    </w:p>
    <w:p w:rsidR="000F31C9" w:rsidRPr="007F5899" w:rsidRDefault="000F31C9" w:rsidP="00BF4B6F">
      <w:pPr>
        <w:pStyle w:val="enumlev2"/>
        <w:rPr>
          <w:lang w:val="ru-RU"/>
        </w:rPr>
      </w:pPr>
      <w:r w:rsidRPr="007F5899">
        <w:rPr>
          <w:lang w:val="ru-RU"/>
        </w:rPr>
        <w:t>•</w:t>
      </w:r>
      <w:r w:rsidRPr="007F5899">
        <w:rPr>
          <w:lang w:val="ru-RU"/>
        </w:rPr>
        <w:tab/>
        <w:t xml:space="preserve">должностными надбавками в категориях специалистов и старших советников; </w:t>
      </w:r>
    </w:p>
    <w:p w:rsidR="000F31C9" w:rsidRPr="007F5899" w:rsidRDefault="000F31C9" w:rsidP="00BF4B6F">
      <w:pPr>
        <w:pStyle w:val="enumlev2"/>
        <w:rPr>
          <w:lang w:val="ru-RU"/>
        </w:rPr>
      </w:pPr>
      <w:r w:rsidRPr="007F5899">
        <w:rPr>
          <w:lang w:val="ru-RU"/>
        </w:rPr>
        <w:t>•</w:t>
      </w:r>
      <w:r w:rsidRPr="007F5899">
        <w:rPr>
          <w:lang w:val="ru-RU"/>
        </w:rPr>
        <w:tab/>
        <w:t xml:space="preserve">стоимостью труда местного персонала категории общего обслуживания; </w:t>
      </w:r>
    </w:p>
    <w:p w:rsidR="000F31C9" w:rsidRPr="007F5899" w:rsidRDefault="000F31C9" w:rsidP="00BF4B6F">
      <w:pPr>
        <w:pStyle w:val="enumlev2"/>
        <w:rPr>
          <w:lang w:val="ru-RU"/>
        </w:rPr>
      </w:pPr>
      <w:r w:rsidRPr="007F5899">
        <w:rPr>
          <w:lang w:val="ru-RU"/>
        </w:rPr>
        <w:t>•</w:t>
      </w:r>
      <w:r w:rsidRPr="007F5899">
        <w:rPr>
          <w:lang w:val="ru-RU"/>
        </w:rPr>
        <w:tab/>
        <w:t xml:space="preserve">колебаниями стоимости отпусков с поездкой домой для сотрудников категории специалистов и старших советников; </w:t>
      </w:r>
    </w:p>
    <w:p w:rsidR="000F31C9" w:rsidRPr="007F5899" w:rsidRDefault="000F31C9" w:rsidP="00BF4B6F">
      <w:pPr>
        <w:pStyle w:val="enumlev2"/>
        <w:rPr>
          <w:lang w:val="ru-RU"/>
        </w:rPr>
      </w:pPr>
      <w:r w:rsidRPr="007F5899">
        <w:rPr>
          <w:lang w:val="ru-RU"/>
        </w:rPr>
        <w:t>•</w:t>
      </w:r>
      <w:r w:rsidRPr="007F5899">
        <w:rPr>
          <w:lang w:val="ru-RU"/>
        </w:rPr>
        <w:tab/>
        <w:t>колебаниями стоимости грантов на обучение для сотрудников категории специалистов и старших советников;</w:t>
      </w:r>
    </w:p>
    <w:p w:rsidR="000F31C9" w:rsidRPr="007F5899" w:rsidRDefault="000F31C9" w:rsidP="00BF4B6F">
      <w:pPr>
        <w:pStyle w:val="enumlev1"/>
        <w:rPr>
          <w:lang w:val="ru-RU"/>
        </w:rPr>
      </w:pPr>
      <w:r w:rsidRPr="007F5899">
        <w:rPr>
          <w:lang w:val="ru-RU"/>
        </w:rPr>
        <w:t>–</w:t>
      </w:r>
      <w:r w:rsidRPr="007F5899">
        <w:rPr>
          <w:lang w:val="ru-RU"/>
        </w:rPr>
        <w:tab/>
        <w:t>затраты по аренде и содержанию помещений, занимаемых Союзом, которые зависят от условий договоров со страной пребывания.</w:t>
      </w:r>
    </w:p>
    <w:p w:rsidR="000F31C9" w:rsidRPr="007F5899" w:rsidRDefault="000F31C9" w:rsidP="00BF4B6F">
      <w:pPr>
        <w:pStyle w:val="Headingb"/>
        <w:rPr>
          <w:bCs/>
          <w:lang w:val="ru-RU"/>
        </w:rPr>
      </w:pPr>
      <w:r w:rsidRPr="007F5899">
        <w:rPr>
          <w:lang w:val="ru-RU"/>
        </w:rPr>
        <w:lastRenderedPageBreak/>
        <w:t>d)</w:t>
      </w:r>
      <w:r w:rsidRPr="007F5899">
        <w:rPr>
          <w:lang w:val="ru-RU"/>
        </w:rPr>
        <w:tab/>
        <w:t>Будущее помещений МСЭ в случае переноса</w:t>
      </w:r>
    </w:p>
    <w:p w:rsidR="000F31C9" w:rsidRPr="007F5899" w:rsidRDefault="00BF4B6F" w:rsidP="00BF4B6F">
      <w:pPr>
        <w:rPr>
          <w:lang w:val="ru-RU"/>
        </w:rPr>
      </w:pPr>
      <w:r w:rsidRPr="007F5899">
        <w:rPr>
          <w:lang w:val="ru-RU"/>
        </w:rPr>
        <w:t>8.21</w:t>
      </w:r>
      <w:r w:rsidRPr="007F5899">
        <w:rPr>
          <w:lang w:val="ru-RU"/>
        </w:rPr>
        <w:tab/>
      </w:r>
      <w:r w:rsidR="000F31C9" w:rsidRPr="007F5899">
        <w:rPr>
          <w:lang w:val="ru-RU"/>
        </w:rPr>
        <w:t>Чистая балансовая стоимость всех зданий Союза по состоянию на 31 декабря 2013 года составляла 108 миллионов швейцарских франков, часть их которых все еще финансируется за счет ссуды, предоставленной страной пребывания. Расшифровка стоимости активов приводится ниже:</w:t>
      </w:r>
    </w:p>
    <w:p w:rsidR="005123D2" w:rsidRPr="007F5899" w:rsidRDefault="005123D2" w:rsidP="00BF4B6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2126"/>
        <w:gridCol w:w="1985"/>
        <w:gridCol w:w="1984"/>
        <w:gridCol w:w="1955"/>
      </w:tblGrid>
      <w:tr w:rsidR="000F31C9" w:rsidRPr="007F5899" w:rsidTr="00356558">
        <w:tc>
          <w:tcPr>
            <w:tcW w:w="1574" w:type="dxa"/>
          </w:tcPr>
          <w:p w:rsidR="000F31C9" w:rsidRPr="007F5899" w:rsidRDefault="000F31C9" w:rsidP="00356558">
            <w:pPr>
              <w:pStyle w:val="Tablehead"/>
              <w:rPr>
                <w:lang w:val="ru-RU"/>
              </w:rPr>
            </w:pPr>
            <w:r w:rsidRPr="007F5899">
              <w:rPr>
                <w:lang w:val="ru-RU"/>
              </w:rPr>
              <w:t>Здание</w:t>
            </w:r>
          </w:p>
        </w:tc>
        <w:tc>
          <w:tcPr>
            <w:tcW w:w="2126" w:type="dxa"/>
          </w:tcPr>
          <w:p w:rsidR="005123D2" w:rsidRPr="007F5899" w:rsidRDefault="000F31C9" w:rsidP="00356558">
            <w:pPr>
              <w:pStyle w:val="Tablehead"/>
              <w:ind w:left="-57" w:right="-57"/>
              <w:rPr>
                <w:lang w:val="ru-RU"/>
              </w:rPr>
            </w:pPr>
            <w:r w:rsidRPr="007F5899">
              <w:rPr>
                <w:lang w:val="ru-RU"/>
              </w:rPr>
              <w:t xml:space="preserve">Чистая балансовая стоимость </w:t>
            </w:r>
            <w:r w:rsidR="00DD4F12" w:rsidRPr="007F5899">
              <w:rPr>
                <w:lang w:val="ru-RU"/>
              </w:rPr>
              <w:t>на 31 декабря 2013 года</w:t>
            </w:r>
          </w:p>
          <w:p w:rsidR="000F31C9" w:rsidRPr="007F5899" w:rsidRDefault="005123D2" w:rsidP="00356558">
            <w:pPr>
              <w:pStyle w:val="Tablehead"/>
              <w:ind w:left="-113" w:right="-113"/>
              <w:rPr>
                <w:lang w:val="ru-RU"/>
              </w:rPr>
            </w:pPr>
            <w:r w:rsidRPr="007F5899">
              <w:rPr>
                <w:lang w:val="ru-RU"/>
              </w:rPr>
              <w:br/>
            </w:r>
            <w:r w:rsidRPr="007F5899">
              <w:rPr>
                <w:lang w:val="ru-RU"/>
              </w:rPr>
              <w:br/>
            </w:r>
            <w:r w:rsidR="000F31C9" w:rsidRPr="007F5899">
              <w:rPr>
                <w:lang w:val="ru-RU"/>
              </w:rPr>
              <w:t xml:space="preserve">В тыс. </w:t>
            </w:r>
            <w:proofErr w:type="spellStart"/>
            <w:r w:rsidR="000F31C9" w:rsidRPr="007F5899">
              <w:rPr>
                <w:lang w:val="ru-RU"/>
              </w:rPr>
              <w:t>шв</w:t>
            </w:r>
            <w:proofErr w:type="spellEnd"/>
            <w:r w:rsidR="000F31C9" w:rsidRPr="007F5899">
              <w:rPr>
                <w:lang w:val="ru-RU"/>
              </w:rPr>
              <w:t>. фр.</w:t>
            </w:r>
          </w:p>
        </w:tc>
        <w:tc>
          <w:tcPr>
            <w:tcW w:w="1985" w:type="dxa"/>
          </w:tcPr>
          <w:p w:rsidR="000F31C9" w:rsidRPr="007F5899" w:rsidRDefault="000F31C9" w:rsidP="00356558">
            <w:pPr>
              <w:pStyle w:val="Tablehead"/>
              <w:ind w:left="-57" w:right="-57"/>
              <w:rPr>
                <w:lang w:val="ru-RU"/>
              </w:rPr>
            </w:pPr>
            <w:r w:rsidRPr="007F5899">
              <w:rPr>
                <w:lang w:val="ru-RU"/>
              </w:rPr>
              <w:t>Остаток задолженности по ссудам страны пребывания на</w:t>
            </w:r>
            <w:r w:rsidR="00DD4F12" w:rsidRPr="007F5899">
              <w:rPr>
                <w:lang w:val="ru-RU"/>
              </w:rPr>
              <w:t xml:space="preserve"> </w:t>
            </w:r>
            <w:r w:rsidRPr="007F5899">
              <w:rPr>
                <w:lang w:val="ru-RU"/>
              </w:rPr>
              <w:t>31</w:t>
            </w:r>
            <w:r w:rsidR="00DD4F12" w:rsidRPr="007F5899">
              <w:rPr>
                <w:lang w:val="ru-RU"/>
              </w:rPr>
              <w:t xml:space="preserve"> декабря </w:t>
            </w:r>
            <w:r w:rsidRPr="007F5899">
              <w:rPr>
                <w:lang w:val="ru-RU"/>
              </w:rPr>
              <w:t>2013</w:t>
            </w:r>
            <w:r w:rsidR="005123D2" w:rsidRPr="007F5899">
              <w:rPr>
                <w:lang w:val="ru-RU"/>
              </w:rPr>
              <w:t xml:space="preserve"> г</w:t>
            </w:r>
            <w:r w:rsidR="00DD4F12" w:rsidRPr="007F5899">
              <w:rPr>
                <w:lang w:val="ru-RU"/>
              </w:rPr>
              <w:t>ода</w:t>
            </w:r>
          </w:p>
          <w:p w:rsidR="000F31C9" w:rsidRPr="007F5899" w:rsidRDefault="000F31C9" w:rsidP="00356558">
            <w:pPr>
              <w:pStyle w:val="Tablehead"/>
              <w:rPr>
                <w:lang w:val="ru-RU"/>
              </w:rPr>
            </w:pPr>
            <w:r w:rsidRPr="007F5899">
              <w:rPr>
                <w:lang w:val="ru-RU"/>
              </w:rPr>
              <w:t xml:space="preserve">В тыс. </w:t>
            </w:r>
            <w:proofErr w:type="spellStart"/>
            <w:r w:rsidRPr="007F5899">
              <w:rPr>
                <w:lang w:val="ru-RU"/>
              </w:rPr>
              <w:t>шв</w:t>
            </w:r>
            <w:proofErr w:type="spellEnd"/>
            <w:r w:rsidRPr="007F5899">
              <w:rPr>
                <w:lang w:val="ru-RU"/>
              </w:rPr>
              <w:t>. фр.</w:t>
            </w:r>
          </w:p>
        </w:tc>
        <w:tc>
          <w:tcPr>
            <w:tcW w:w="1984" w:type="dxa"/>
          </w:tcPr>
          <w:p w:rsidR="000F31C9" w:rsidRPr="007F5899" w:rsidRDefault="000F31C9" w:rsidP="00356558">
            <w:pPr>
              <w:pStyle w:val="Tablehead"/>
              <w:rPr>
                <w:lang w:val="ru-RU"/>
              </w:rPr>
            </w:pPr>
            <w:r w:rsidRPr="007F5899">
              <w:rPr>
                <w:lang w:val="ru-RU"/>
              </w:rPr>
              <w:t>Срок погашения</w:t>
            </w:r>
          </w:p>
        </w:tc>
        <w:tc>
          <w:tcPr>
            <w:tcW w:w="1955" w:type="dxa"/>
          </w:tcPr>
          <w:p w:rsidR="000F31C9" w:rsidRPr="007F5899" w:rsidRDefault="000F31C9" w:rsidP="00356558">
            <w:pPr>
              <w:pStyle w:val="Tablehead"/>
              <w:rPr>
                <w:lang w:val="ru-RU"/>
              </w:rPr>
            </w:pPr>
            <w:r w:rsidRPr="007F5899">
              <w:rPr>
                <w:lang w:val="ru-RU"/>
              </w:rPr>
              <w:t>Примерная стоимость аренды в год в 2010 г</w:t>
            </w:r>
            <w:r w:rsidR="00DD4F12" w:rsidRPr="007F5899">
              <w:rPr>
                <w:lang w:val="ru-RU"/>
              </w:rPr>
              <w:t>оду</w:t>
            </w:r>
          </w:p>
          <w:p w:rsidR="000F31C9" w:rsidRPr="007F5899" w:rsidRDefault="005123D2" w:rsidP="00356558">
            <w:pPr>
              <w:pStyle w:val="Tablehead"/>
              <w:rPr>
                <w:lang w:val="ru-RU"/>
              </w:rPr>
            </w:pPr>
            <w:r w:rsidRPr="007F5899">
              <w:rPr>
                <w:lang w:val="ru-RU"/>
              </w:rPr>
              <w:br/>
            </w:r>
            <w:r w:rsidRPr="007F5899">
              <w:rPr>
                <w:lang w:val="ru-RU"/>
              </w:rPr>
              <w:br/>
            </w:r>
            <w:r w:rsidR="000F31C9" w:rsidRPr="007F5899">
              <w:rPr>
                <w:lang w:val="ru-RU"/>
              </w:rPr>
              <w:t xml:space="preserve">В тыс. </w:t>
            </w:r>
            <w:proofErr w:type="spellStart"/>
            <w:r w:rsidR="000F31C9" w:rsidRPr="007F5899">
              <w:rPr>
                <w:lang w:val="ru-RU"/>
              </w:rPr>
              <w:t>шв</w:t>
            </w:r>
            <w:proofErr w:type="spellEnd"/>
            <w:r w:rsidR="000F31C9" w:rsidRPr="007F5899">
              <w:rPr>
                <w:lang w:val="ru-RU"/>
              </w:rPr>
              <w:t>. фр.</w:t>
            </w:r>
          </w:p>
        </w:tc>
      </w:tr>
      <w:tr w:rsidR="000F31C9" w:rsidRPr="007F5899" w:rsidTr="005123D2">
        <w:tc>
          <w:tcPr>
            <w:tcW w:w="1574" w:type="dxa"/>
          </w:tcPr>
          <w:p w:rsidR="000F31C9" w:rsidRPr="007F5899" w:rsidRDefault="000F31C9" w:rsidP="00BF4B6F">
            <w:pPr>
              <w:pStyle w:val="Tabletext"/>
              <w:rPr>
                <w:lang w:val="ru-RU"/>
              </w:rPr>
            </w:pPr>
            <w:r w:rsidRPr="007F5899">
              <w:rPr>
                <w:lang w:val="ru-RU"/>
              </w:rPr>
              <w:t>"</w:t>
            </w:r>
            <w:proofErr w:type="spellStart"/>
            <w:r w:rsidRPr="007F5899">
              <w:rPr>
                <w:lang w:val="ru-RU"/>
              </w:rPr>
              <w:t>Варембе</w:t>
            </w:r>
            <w:proofErr w:type="spellEnd"/>
            <w:r w:rsidRPr="007F5899">
              <w:rPr>
                <w:lang w:val="ru-RU"/>
              </w:rPr>
              <w:t xml:space="preserve">" </w:t>
            </w:r>
          </w:p>
        </w:tc>
        <w:tc>
          <w:tcPr>
            <w:tcW w:w="2126" w:type="dxa"/>
          </w:tcPr>
          <w:p w:rsidR="000F31C9" w:rsidRPr="007F5899" w:rsidRDefault="000F31C9" w:rsidP="00BF4B6F">
            <w:pPr>
              <w:pStyle w:val="Tabletext"/>
              <w:jc w:val="center"/>
              <w:rPr>
                <w:lang w:val="ru-RU"/>
              </w:rPr>
            </w:pPr>
            <w:r w:rsidRPr="007F5899">
              <w:rPr>
                <w:lang w:val="ru-RU"/>
              </w:rPr>
              <w:t>12 996</w:t>
            </w:r>
          </w:p>
        </w:tc>
        <w:tc>
          <w:tcPr>
            <w:tcW w:w="1985" w:type="dxa"/>
          </w:tcPr>
          <w:p w:rsidR="000F31C9" w:rsidRPr="007F5899" w:rsidRDefault="005123D2" w:rsidP="00BF4B6F">
            <w:pPr>
              <w:pStyle w:val="Tabletext"/>
              <w:jc w:val="center"/>
              <w:rPr>
                <w:lang w:val="ru-RU"/>
              </w:rPr>
            </w:pPr>
            <w:r w:rsidRPr="007F5899">
              <w:rPr>
                <w:lang w:val="ru-RU"/>
              </w:rPr>
              <w:t>−</w:t>
            </w:r>
          </w:p>
        </w:tc>
        <w:tc>
          <w:tcPr>
            <w:tcW w:w="1984" w:type="dxa"/>
          </w:tcPr>
          <w:p w:rsidR="000F31C9" w:rsidRPr="007F5899" w:rsidRDefault="005123D2" w:rsidP="00BF4B6F">
            <w:pPr>
              <w:pStyle w:val="Tabletext"/>
              <w:jc w:val="center"/>
              <w:rPr>
                <w:lang w:val="ru-RU"/>
              </w:rPr>
            </w:pPr>
            <w:r w:rsidRPr="007F5899">
              <w:rPr>
                <w:lang w:val="ru-RU"/>
              </w:rPr>
              <w:t>−</w:t>
            </w:r>
          </w:p>
        </w:tc>
        <w:tc>
          <w:tcPr>
            <w:tcW w:w="1955" w:type="dxa"/>
          </w:tcPr>
          <w:p w:rsidR="000F31C9" w:rsidRPr="007F5899" w:rsidRDefault="000F31C9" w:rsidP="00BF4B6F">
            <w:pPr>
              <w:pStyle w:val="Tabletext"/>
              <w:jc w:val="center"/>
              <w:rPr>
                <w:lang w:val="ru-RU"/>
              </w:rPr>
            </w:pPr>
            <w:r w:rsidRPr="007F5899">
              <w:rPr>
                <w:lang w:val="ru-RU"/>
              </w:rPr>
              <w:t>5470</w:t>
            </w:r>
          </w:p>
        </w:tc>
      </w:tr>
      <w:tr w:rsidR="000F31C9" w:rsidRPr="007F5899" w:rsidTr="005123D2">
        <w:tc>
          <w:tcPr>
            <w:tcW w:w="1574" w:type="dxa"/>
          </w:tcPr>
          <w:p w:rsidR="000F31C9" w:rsidRPr="007F5899" w:rsidRDefault="000F31C9" w:rsidP="005123D2">
            <w:pPr>
              <w:pStyle w:val="Tabletext"/>
              <w:rPr>
                <w:lang w:val="ru-RU"/>
              </w:rPr>
            </w:pPr>
            <w:r w:rsidRPr="007F5899">
              <w:rPr>
                <w:lang w:val="ru-RU"/>
              </w:rPr>
              <w:t>"Башня" и</w:t>
            </w:r>
            <w:r w:rsidR="005123D2" w:rsidRPr="007F5899">
              <w:rPr>
                <w:lang w:val="ru-RU"/>
              </w:rPr>
              <w:t> </w:t>
            </w:r>
            <w:r w:rsidRPr="007F5899">
              <w:rPr>
                <w:lang w:val="ru-RU"/>
              </w:rPr>
              <w:t>цокольные этажи</w:t>
            </w:r>
          </w:p>
        </w:tc>
        <w:tc>
          <w:tcPr>
            <w:tcW w:w="2126" w:type="dxa"/>
          </w:tcPr>
          <w:p w:rsidR="000F31C9" w:rsidRPr="007F5899" w:rsidRDefault="000F31C9" w:rsidP="00BF4B6F">
            <w:pPr>
              <w:pStyle w:val="Tabletext"/>
              <w:jc w:val="center"/>
              <w:rPr>
                <w:lang w:val="ru-RU"/>
              </w:rPr>
            </w:pPr>
            <w:r w:rsidRPr="007F5899">
              <w:rPr>
                <w:lang w:val="ru-RU"/>
              </w:rPr>
              <w:t>41 494</w:t>
            </w:r>
          </w:p>
        </w:tc>
        <w:tc>
          <w:tcPr>
            <w:tcW w:w="1985" w:type="dxa"/>
          </w:tcPr>
          <w:p w:rsidR="000F31C9" w:rsidRPr="007F5899" w:rsidRDefault="000F31C9" w:rsidP="00BF4B6F">
            <w:pPr>
              <w:pStyle w:val="Tabletext"/>
              <w:jc w:val="center"/>
              <w:rPr>
                <w:lang w:val="ru-RU"/>
              </w:rPr>
            </w:pPr>
            <w:r w:rsidRPr="007F5899">
              <w:rPr>
                <w:lang w:val="ru-RU"/>
              </w:rPr>
              <w:t>12 227</w:t>
            </w:r>
          </w:p>
        </w:tc>
        <w:tc>
          <w:tcPr>
            <w:tcW w:w="1984" w:type="dxa"/>
          </w:tcPr>
          <w:p w:rsidR="000F31C9" w:rsidRPr="007F5899" w:rsidRDefault="000F31C9" w:rsidP="00BF4B6F">
            <w:pPr>
              <w:pStyle w:val="Tabletext"/>
              <w:jc w:val="center"/>
              <w:rPr>
                <w:lang w:val="ru-RU"/>
              </w:rPr>
            </w:pPr>
            <w:r w:rsidRPr="007F5899">
              <w:rPr>
                <w:lang w:val="ru-RU"/>
              </w:rPr>
              <w:t>2039</w:t>
            </w:r>
          </w:p>
        </w:tc>
        <w:tc>
          <w:tcPr>
            <w:tcW w:w="1955" w:type="dxa"/>
          </w:tcPr>
          <w:p w:rsidR="000F31C9" w:rsidRPr="007F5899" w:rsidRDefault="000F31C9" w:rsidP="00BF4B6F">
            <w:pPr>
              <w:pStyle w:val="Tabletext"/>
              <w:jc w:val="center"/>
              <w:rPr>
                <w:lang w:val="ru-RU"/>
              </w:rPr>
            </w:pPr>
            <w:r w:rsidRPr="007F5899">
              <w:rPr>
                <w:lang w:val="ru-RU"/>
              </w:rPr>
              <w:t>3677</w:t>
            </w:r>
          </w:p>
        </w:tc>
      </w:tr>
      <w:tr w:rsidR="000F31C9" w:rsidRPr="007F5899" w:rsidTr="005123D2">
        <w:tc>
          <w:tcPr>
            <w:tcW w:w="1574" w:type="dxa"/>
          </w:tcPr>
          <w:p w:rsidR="000F31C9" w:rsidRPr="007F5899" w:rsidRDefault="000F31C9" w:rsidP="00BF4B6F">
            <w:pPr>
              <w:pStyle w:val="Tabletext"/>
              <w:rPr>
                <w:lang w:val="ru-RU"/>
              </w:rPr>
            </w:pPr>
            <w:r w:rsidRPr="007F5899">
              <w:rPr>
                <w:lang w:val="ru-RU"/>
              </w:rPr>
              <w:t>"</w:t>
            </w:r>
            <w:proofErr w:type="spellStart"/>
            <w:r w:rsidRPr="007F5899">
              <w:rPr>
                <w:lang w:val="ru-RU"/>
              </w:rPr>
              <w:t>Монбрийан</w:t>
            </w:r>
            <w:proofErr w:type="spellEnd"/>
            <w:r w:rsidRPr="007F5899">
              <w:rPr>
                <w:lang w:val="ru-RU"/>
              </w:rPr>
              <w:t>"</w:t>
            </w:r>
          </w:p>
        </w:tc>
        <w:tc>
          <w:tcPr>
            <w:tcW w:w="2126" w:type="dxa"/>
          </w:tcPr>
          <w:p w:rsidR="000F31C9" w:rsidRPr="007F5899" w:rsidRDefault="000F31C9" w:rsidP="00BF4B6F">
            <w:pPr>
              <w:pStyle w:val="Tabletext"/>
              <w:jc w:val="center"/>
              <w:rPr>
                <w:lang w:val="ru-RU"/>
              </w:rPr>
            </w:pPr>
            <w:r w:rsidRPr="007F5899">
              <w:rPr>
                <w:lang w:val="ru-RU"/>
              </w:rPr>
              <w:t>45 221</w:t>
            </w:r>
          </w:p>
        </w:tc>
        <w:tc>
          <w:tcPr>
            <w:tcW w:w="1985" w:type="dxa"/>
          </w:tcPr>
          <w:p w:rsidR="000F31C9" w:rsidRPr="007F5899" w:rsidRDefault="000F31C9" w:rsidP="00BF4B6F">
            <w:pPr>
              <w:pStyle w:val="Tabletext"/>
              <w:jc w:val="center"/>
              <w:rPr>
                <w:lang w:val="ru-RU"/>
              </w:rPr>
            </w:pPr>
            <w:r w:rsidRPr="007F5899">
              <w:rPr>
                <w:lang w:val="ru-RU"/>
              </w:rPr>
              <w:t>34 525</w:t>
            </w:r>
          </w:p>
        </w:tc>
        <w:tc>
          <w:tcPr>
            <w:tcW w:w="1984" w:type="dxa"/>
          </w:tcPr>
          <w:p w:rsidR="000F31C9" w:rsidRPr="007F5899" w:rsidRDefault="000F31C9" w:rsidP="00BF4B6F">
            <w:pPr>
              <w:pStyle w:val="Tabletext"/>
              <w:jc w:val="center"/>
              <w:rPr>
                <w:lang w:val="ru-RU"/>
              </w:rPr>
            </w:pPr>
            <w:r w:rsidRPr="007F5899">
              <w:rPr>
                <w:lang w:val="ru-RU"/>
              </w:rPr>
              <w:t>2051</w:t>
            </w:r>
          </w:p>
        </w:tc>
        <w:tc>
          <w:tcPr>
            <w:tcW w:w="1955" w:type="dxa"/>
          </w:tcPr>
          <w:p w:rsidR="000F31C9" w:rsidRPr="007F5899" w:rsidRDefault="000F31C9" w:rsidP="00BF4B6F">
            <w:pPr>
              <w:pStyle w:val="Tabletext"/>
              <w:jc w:val="center"/>
              <w:rPr>
                <w:lang w:val="ru-RU"/>
              </w:rPr>
            </w:pPr>
            <w:r w:rsidRPr="007F5899">
              <w:rPr>
                <w:lang w:val="ru-RU"/>
              </w:rPr>
              <w:t>4527</w:t>
            </w:r>
          </w:p>
        </w:tc>
      </w:tr>
      <w:tr w:rsidR="000F31C9" w:rsidRPr="007F5899" w:rsidTr="005123D2">
        <w:tc>
          <w:tcPr>
            <w:tcW w:w="1574" w:type="dxa"/>
            <w:tcBorders>
              <w:bottom w:val="single" w:sz="4" w:space="0" w:color="auto"/>
            </w:tcBorders>
          </w:tcPr>
          <w:p w:rsidR="000F31C9" w:rsidRPr="007F5899" w:rsidRDefault="000F31C9" w:rsidP="005123D2">
            <w:pPr>
              <w:pStyle w:val="Tabletext"/>
              <w:rPr>
                <w:lang w:val="ru-RU"/>
              </w:rPr>
            </w:pPr>
            <w:r w:rsidRPr="007F5899">
              <w:rPr>
                <w:lang w:val="ru-RU"/>
              </w:rPr>
              <w:t>Кафетерий и</w:t>
            </w:r>
            <w:r w:rsidR="005123D2" w:rsidRPr="007F5899">
              <w:rPr>
                <w:lang w:val="ru-RU"/>
              </w:rPr>
              <w:t> </w:t>
            </w:r>
            <w:r w:rsidRPr="007F5899">
              <w:rPr>
                <w:lang w:val="ru-RU"/>
              </w:rPr>
              <w:t xml:space="preserve">пристройка С </w:t>
            </w:r>
          </w:p>
        </w:tc>
        <w:tc>
          <w:tcPr>
            <w:tcW w:w="2126" w:type="dxa"/>
            <w:tcBorders>
              <w:bottom w:val="single" w:sz="4" w:space="0" w:color="auto"/>
            </w:tcBorders>
          </w:tcPr>
          <w:p w:rsidR="000F31C9" w:rsidRPr="007F5899" w:rsidRDefault="000F31C9" w:rsidP="00BF4B6F">
            <w:pPr>
              <w:pStyle w:val="Tabletext"/>
              <w:jc w:val="center"/>
              <w:rPr>
                <w:lang w:val="ru-RU"/>
              </w:rPr>
            </w:pPr>
            <w:r w:rsidRPr="007F5899">
              <w:rPr>
                <w:lang w:val="ru-RU"/>
              </w:rPr>
              <w:t>8935</w:t>
            </w:r>
          </w:p>
        </w:tc>
        <w:tc>
          <w:tcPr>
            <w:tcW w:w="1985" w:type="dxa"/>
            <w:tcBorders>
              <w:bottom w:val="single" w:sz="4" w:space="0" w:color="auto"/>
            </w:tcBorders>
          </w:tcPr>
          <w:p w:rsidR="000F31C9" w:rsidRPr="007F5899" w:rsidRDefault="000F31C9" w:rsidP="00BF4B6F">
            <w:pPr>
              <w:pStyle w:val="Tabletext"/>
              <w:jc w:val="center"/>
              <w:rPr>
                <w:lang w:val="ru-RU"/>
              </w:rPr>
            </w:pPr>
            <w:r w:rsidRPr="007F5899">
              <w:rPr>
                <w:lang w:val="ru-RU"/>
              </w:rPr>
              <w:t>1520</w:t>
            </w:r>
          </w:p>
        </w:tc>
        <w:tc>
          <w:tcPr>
            <w:tcW w:w="1984" w:type="dxa"/>
            <w:tcBorders>
              <w:bottom w:val="single" w:sz="4" w:space="0" w:color="auto"/>
            </w:tcBorders>
          </w:tcPr>
          <w:p w:rsidR="000F31C9" w:rsidRPr="007F5899" w:rsidRDefault="000F31C9" w:rsidP="00BF4B6F">
            <w:pPr>
              <w:pStyle w:val="Tabletext"/>
              <w:jc w:val="center"/>
              <w:rPr>
                <w:lang w:val="ru-RU"/>
              </w:rPr>
            </w:pPr>
            <w:r w:rsidRPr="007F5899">
              <w:rPr>
                <w:lang w:val="ru-RU"/>
              </w:rPr>
              <w:t>2051</w:t>
            </w:r>
          </w:p>
        </w:tc>
        <w:tc>
          <w:tcPr>
            <w:tcW w:w="1955" w:type="dxa"/>
            <w:tcBorders>
              <w:bottom w:val="single" w:sz="4" w:space="0" w:color="auto"/>
            </w:tcBorders>
          </w:tcPr>
          <w:p w:rsidR="000F31C9" w:rsidRPr="007F5899" w:rsidRDefault="000F31C9" w:rsidP="00BF4B6F">
            <w:pPr>
              <w:pStyle w:val="Tabletext"/>
              <w:jc w:val="center"/>
              <w:rPr>
                <w:lang w:val="ru-RU"/>
              </w:rPr>
            </w:pPr>
            <w:r w:rsidRPr="007F5899">
              <w:rPr>
                <w:lang w:val="ru-RU"/>
              </w:rPr>
              <w:t>445</w:t>
            </w:r>
          </w:p>
        </w:tc>
      </w:tr>
      <w:tr w:rsidR="000F31C9" w:rsidRPr="007F5899" w:rsidTr="005123D2">
        <w:tc>
          <w:tcPr>
            <w:tcW w:w="1574" w:type="dxa"/>
            <w:tcBorders>
              <w:bottom w:val="single" w:sz="4" w:space="0" w:color="auto"/>
            </w:tcBorders>
          </w:tcPr>
          <w:p w:rsidR="000F31C9" w:rsidRPr="007F5899" w:rsidRDefault="000F31C9" w:rsidP="00BF4B6F">
            <w:pPr>
              <w:pStyle w:val="Tabletext"/>
              <w:rPr>
                <w:b/>
                <w:bCs/>
                <w:lang w:val="ru-RU"/>
              </w:rPr>
            </w:pPr>
            <w:r w:rsidRPr="007F5899">
              <w:rPr>
                <w:b/>
                <w:bCs/>
                <w:lang w:val="ru-RU"/>
              </w:rPr>
              <w:t>Всего</w:t>
            </w:r>
          </w:p>
        </w:tc>
        <w:tc>
          <w:tcPr>
            <w:tcW w:w="2126" w:type="dxa"/>
            <w:tcBorders>
              <w:bottom w:val="single" w:sz="4" w:space="0" w:color="auto"/>
            </w:tcBorders>
          </w:tcPr>
          <w:p w:rsidR="000F31C9" w:rsidRPr="007F5899" w:rsidRDefault="000F31C9" w:rsidP="00BF4B6F">
            <w:pPr>
              <w:pStyle w:val="Tabletext"/>
              <w:jc w:val="center"/>
              <w:rPr>
                <w:b/>
                <w:bCs/>
                <w:lang w:val="ru-RU"/>
              </w:rPr>
            </w:pPr>
            <w:r w:rsidRPr="007F5899">
              <w:rPr>
                <w:b/>
                <w:bCs/>
                <w:lang w:val="ru-RU"/>
              </w:rPr>
              <w:t>108 646</w:t>
            </w:r>
          </w:p>
        </w:tc>
        <w:tc>
          <w:tcPr>
            <w:tcW w:w="1985" w:type="dxa"/>
            <w:tcBorders>
              <w:bottom w:val="single" w:sz="4" w:space="0" w:color="auto"/>
            </w:tcBorders>
          </w:tcPr>
          <w:p w:rsidR="000F31C9" w:rsidRPr="007F5899" w:rsidRDefault="000F31C9" w:rsidP="00BF4B6F">
            <w:pPr>
              <w:pStyle w:val="Tabletext"/>
              <w:jc w:val="center"/>
              <w:rPr>
                <w:b/>
                <w:bCs/>
                <w:lang w:val="ru-RU"/>
              </w:rPr>
            </w:pPr>
            <w:r w:rsidRPr="007F5899">
              <w:rPr>
                <w:b/>
                <w:bCs/>
                <w:lang w:val="ru-RU"/>
              </w:rPr>
              <w:t>48 273</w:t>
            </w:r>
          </w:p>
        </w:tc>
        <w:tc>
          <w:tcPr>
            <w:tcW w:w="1984" w:type="dxa"/>
            <w:tcBorders>
              <w:bottom w:val="single" w:sz="4" w:space="0" w:color="auto"/>
            </w:tcBorders>
          </w:tcPr>
          <w:p w:rsidR="000F31C9" w:rsidRPr="007F5899" w:rsidRDefault="000F31C9" w:rsidP="00BF4B6F">
            <w:pPr>
              <w:pStyle w:val="Tabletext"/>
              <w:jc w:val="center"/>
              <w:rPr>
                <w:b/>
                <w:bCs/>
                <w:lang w:val="ru-RU"/>
              </w:rPr>
            </w:pPr>
          </w:p>
        </w:tc>
        <w:tc>
          <w:tcPr>
            <w:tcW w:w="1955" w:type="dxa"/>
            <w:tcBorders>
              <w:bottom w:val="single" w:sz="4" w:space="0" w:color="auto"/>
            </w:tcBorders>
          </w:tcPr>
          <w:p w:rsidR="000F31C9" w:rsidRPr="007F5899" w:rsidRDefault="000F31C9" w:rsidP="00BF4B6F">
            <w:pPr>
              <w:pStyle w:val="Tabletext"/>
              <w:jc w:val="center"/>
              <w:rPr>
                <w:b/>
                <w:bCs/>
                <w:lang w:val="ru-RU"/>
              </w:rPr>
            </w:pPr>
            <w:r w:rsidRPr="007F5899">
              <w:rPr>
                <w:b/>
                <w:bCs/>
                <w:lang w:val="ru-RU"/>
              </w:rPr>
              <w:t>14 120</w:t>
            </w:r>
          </w:p>
        </w:tc>
      </w:tr>
    </w:tbl>
    <w:p w:rsidR="00D83B5A" w:rsidRPr="007F5899" w:rsidRDefault="005123D2" w:rsidP="00BF4B6F">
      <w:pPr>
        <w:rPr>
          <w:i/>
          <w:iCs/>
          <w:lang w:val="ru-RU"/>
        </w:rPr>
      </w:pPr>
      <w:r w:rsidRPr="007F5899">
        <w:rPr>
          <w:i/>
          <w:iCs/>
          <w:lang w:val="ru-RU"/>
        </w:rPr>
        <w:t>Пристройка С представляет собой часть зданий, объединяющую здания "</w:t>
      </w:r>
      <w:proofErr w:type="spellStart"/>
      <w:r w:rsidRPr="007F5899">
        <w:rPr>
          <w:i/>
          <w:iCs/>
          <w:lang w:val="ru-RU"/>
        </w:rPr>
        <w:t>Варембе</w:t>
      </w:r>
      <w:proofErr w:type="spellEnd"/>
      <w:r w:rsidRPr="007F5899">
        <w:rPr>
          <w:i/>
          <w:iCs/>
          <w:lang w:val="ru-RU"/>
        </w:rPr>
        <w:t>" и "</w:t>
      </w:r>
      <w:proofErr w:type="spellStart"/>
      <w:r w:rsidRPr="007F5899">
        <w:rPr>
          <w:i/>
          <w:iCs/>
          <w:lang w:val="ru-RU"/>
        </w:rPr>
        <w:t>Монбрийан</w:t>
      </w:r>
      <w:proofErr w:type="spellEnd"/>
      <w:r w:rsidRPr="007F5899">
        <w:rPr>
          <w:i/>
          <w:iCs/>
          <w:lang w:val="ru-RU"/>
        </w:rPr>
        <w:t>".</w:t>
      </w:r>
    </w:p>
    <w:p w:rsidR="000F31C9" w:rsidRPr="007F5899" w:rsidRDefault="00BF4B6F" w:rsidP="00DD4F12">
      <w:pPr>
        <w:rPr>
          <w:lang w:val="ru-RU"/>
        </w:rPr>
      </w:pPr>
      <w:r w:rsidRPr="007F5899">
        <w:rPr>
          <w:lang w:val="ru-RU"/>
        </w:rPr>
        <w:t>8.22</w:t>
      </w:r>
      <w:r w:rsidRPr="007F5899">
        <w:rPr>
          <w:lang w:val="ru-RU"/>
        </w:rPr>
        <w:tab/>
      </w:r>
      <w:r w:rsidR="000F31C9" w:rsidRPr="007F5899">
        <w:rPr>
          <w:lang w:val="ru-RU"/>
        </w:rPr>
        <w:t xml:space="preserve">В случае выезда МСЭ из Женевы наиболее вероятным сценарием будет передача "права </w:t>
      </w:r>
      <w:proofErr w:type="spellStart"/>
      <w:r w:rsidR="000F31C9" w:rsidRPr="007F5899">
        <w:rPr>
          <w:lang w:val="ru-RU"/>
        </w:rPr>
        <w:t>суперфиции</w:t>
      </w:r>
      <w:proofErr w:type="spellEnd"/>
      <w:r w:rsidR="000F31C9" w:rsidRPr="007F5899">
        <w:rPr>
          <w:lang w:val="ru-RU"/>
        </w:rPr>
        <w:t>" и продажа зданий третьей стороне с соблюдением законного права преимущественного приобретения, принадлежащего администрации Женевы, кроме ситуации с наличием покупателя, обладающего тем же или аналогичным юридическим статусом, что и Союз (см.</w:t>
      </w:r>
      <w:r w:rsidR="00DD4F12" w:rsidRPr="007F5899">
        <w:rPr>
          <w:lang w:val="ru-RU"/>
        </w:rPr>
        <w:t> </w:t>
      </w:r>
      <w:r w:rsidR="000F31C9" w:rsidRPr="007F5899">
        <w:rPr>
          <w:lang w:val="ru-RU"/>
        </w:rPr>
        <w:t xml:space="preserve">юридические аспекты в п. 8.4.4). </w:t>
      </w:r>
    </w:p>
    <w:p w:rsidR="000F31C9" w:rsidRPr="007F5899" w:rsidRDefault="00BF4B6F" w:rsidP="00BF4B6F">
      <w:pPr>
        <w:rPr>
          <w:lang w:val="ru-RU"/>
        </w:rPr>
      </w:pPr>
      <w:r w:rsidRPr="007F5899">
        <w:rPr>
          <w:lang w:val="ru-RU"/>
        </w:rPr>
        <w:t>8.23</w:t>
      </w:r>
      <w:r w:rsidRPr="007F5899">
        <w:rPr>
          <w:lang w:val="ru-RU"/>
        </w:rPr>
        <w:tab/>
      </w:r>
      <w:r w:rsidR="000F31C9" w:rsidRPr="007F5899">
        <w:rPr>
          <w:lang w:val="ru-RU"/>
        </w:rPr>
        <w:t>В случае подобной сделки необходимо принять во внимание, что МСЭ получил несколько ссуд от страны пребывания на строительство и реконструкцию его помещений с графиком выплат до конца 2039 и 2051 годов. На 31 декабря 2013 года остаток задолженности по ссудам, выданным страной пребывания, составляет в целом 48,3 миллиона швейцарских франков. Союз погашает такую ссуду с нулевым процентом частями в размере около 1,5 миллионов швейцарских франков в год. Продажа зданий штаб-квартиры Союза обеспечит чистый доход Союзу. Остаток суммы задолженности по ссуде, выданной страной пребывания, будет вычтен из средств, вырученных от такой продажи.</w:t>
      </w:r>
    </w:p>
    <w:p w:rsidR="000F31C9" w:rsidRPr="007F5899" w:rsidRDefault="00BF4B6F" w:rsidP="00BF4B6F">
      <w:pPr>
        <w:rPr>
          <w:lang w:val="ru-RU"/>
        </w:rPr>
      </w:pPr>
      <w:r w:rsidRPr="007F5899">
        <w:rPr>
          <w:lang w:val="ru-RU"/>
        </w:rPr>
        <w:t>8.24</w:t>
      </w:r>
      <w:r w:rsidRPr="007F5899">
        <w:rPr>
          <w:lang w:val="ru-RU"/>
        </w:rPr>
        <w:tab/>
      </w:r>
      <w:r w:rsidR="000F31C9" w:rsidRPr="007F5899">
        <w:rPr>
          <w:lang w:val="ru-RU"/>
        </w:rPr>
        <w:t xml:space="preserve">В случае сдачи зданий в аренду ежегодная стоимость аренды согласно Оценочному заключению по зданиям МСЭ, выданному компанией </w:t>
      </w:r>
      <w:proofErr w:type="spellStart"/>
      <w:r w:rsidR="000F31C9" w:rsidRPr="007F5899">
        <w:rPr>
          <w:lang w:val="ru-RU"/>
        </w:rPr>
        <w:t>Acanthe</w:t>
      </w:r>
      <w:proofErr w:type="spellEnd"/>
      <w:r w:rsidR="000F31C9" w:rsidRPr="007F5899">
        <w:rPr>
          <w:lang w:val="ru-RU"/>
        </w:rPr>
        <w:t xml:space="preserve"> в 2010 году, составляет в общей сложности 14,1 миллиона швейцарских франков за аренду зданий в их нынешнем состоянии. Чтобы сдать наши помещения по рыночной цене, потребуется провести улучшения. Данные улучшения повлекут дополнительные затраты, которые также необходимо учитывать.</w:t>
      </w:r>
    </w:p>
    <w:p w:rsidR="000F31C9" w:rsidRPr="007F5899" w:rsidRDefault="00BF4B6F" w:rsidP="005123D2">
      <w:pPr>
        <w:pStyle w:val="Headingb"/>
        <w:rPr>
          <w:szCs w:val="26"/>
          <w:lang w:val="ru-RU"/>
        </w:rPr>
      </w:pPr>
      <w:r w:rsidRPr="007F5899">
        <w:rPr>
          <w:lang w:val="ru-RU"/>
        </w:rPr>
        <w:t>А</w:t>
      </w:r>
      <w:r w:rsidRPr="007F5899">
        <w:rPr>
          <w:lang w:val="ru-RU"/>
        </w:rPr>
        <w:tab/>
      </w:r>
      <w:r w:rsidR="000F31C9" w:rsidRPr="007F5899">
        <w:rPr>
          <w:lang w:val="ru-RU"/>
        </w:rPr>
        <w:t>График реализации проекта</w:t>
      </w:r>
    </w:p>
    <w:p w:rsidR="000F31C9" w:rsidRPr="007F5899" w:rsidRDefault="00BF4B6F" w:rsidP="00AB45D7">
      <w:pPr>
        <w:rPr>
          <w:lang w:val="ru-RU"/>
        </w:rPr>
      </w:pPr>
      <w:r w:rsidRPr="007F5899">
        <w:rPr>
          <w:lang w:val="ru-RU"/>
        </w:rPr>
        <w:t>8.25</w:t>
      </w:r>
      <w:r w:rsidRPr="007F5899">
        <w:rPr>
          <w:lang w:val="ru-RU"/>
        </w:rPr>
        <w:tab/>
      </w:r>
      <w:r w:rsidR="000F31C9" w:rsidRPr="007F5899">
        <w:rPr>
          <w:lang w:val="ru-RU"/>
        </w:rPr>
        <w:t xml:space="preserve">Если ПК-14 примет решение о переносе помещений МСЭ, реализация проекта возможна в течение периода </w:t>
      </w:r>
      <w:r w:rsidR="00AB45D7" w:rsidRPr="007F5899">
        <w:rPr>
          <w:lang w:val="ru-RU"/>
        </w:rPr>
        <w:t xml:space="preserve">Финансового </w:t>
      </w:r>
      <w:r w:rsidR="000F31C9" w:rsidRPr="007F5899">
        <w:rPr>
          <w:lang w:val="ru-RU"/>
        </w:rPr>
        <w:t xml:space="preserve">плана </w:t>
      </w:r>
      <w:r w:rsidR="00AB45D7" w:rsidRPr="007F5899">
        <w:rPr>
          <w:lang w:val="ru-RU"/>
        </w:rPr>
        <w:t xml:space="preserve">на период </w:t>
      </w:r>
      <w:r w:rsidR="000F31C9" w:rsidRPr="007F5899">
        <w:rPr>
          <w:lang w:val="ru-RU"/>
        </w:rPr>
        <w:t>2016</w:t>
      </w:r>
      <w:r w:rsidR="00AB45D7" w:rsidRPr="007F5899">
        <w:rPr>
          <w:lang w:val="ru-RU"/>
        </w:rPr>
        <w:t>−</w:t>
      </w:r>
      <w:r w:rsidR="000F31C9" w:rsidRPr="007F5899">
        <w:rPr>
          <w:lang w:val="ru-RU"/>
        </w:rPr>
        <w:t>2019 г</w:t>
      </w:r>
      <w:r w:rsidR="00AB45D7" w:rsidRPr="007F5899">
        <w:rPr>
          <w:lang w:val="ru-RU"/>
        </w:rPr>
        <w:t>одов</w:t>
      </w:r>
      <w:r w:rsidR="000F31C9" w:rsidRPr="007F5899">
        <w:rPr>
          <w:lang w:val="ru-RU"/>
        </w:rPr>
        <w:t xml:space="preserve">. По оценкам этап выезда и обустройства займет два года плюс время на обеспечение нового здания штаб-квартиры. Данные затраты не включены в проект </w:t>
      </w:r>
      <w:r w:rsidR="00AB45D7" w:rsidRPr="007F5899">
        <w:rPr>
          <w:lang w:val="ru-RU"/>
        </w:rPr>
        <w:t xml:space="preserve">Финансового </w:t>
      </w:r>
      <w:r w:rsidR="000F31C9" w:rsidRPr="007F5899">
        <w:rPr>
          <w:lang w:val="ru-RU"/>
        </w:rPr>
        <w:t xml:space="preserve">плана </w:t>
      </w:r>
      <w:r w:rsidR="00AB45D7" w:rsidRPr="007F5899">
        <w:rPr>
          <w:lang w:val="ru-RU"/>
        </w:rPr>
        <w:t xml:space="preserve">на период </w:t>
      </w:r>
      <w:r w:rsidR="000F31C9" w:rsidRPr="007F5899">
        <w:rPr>
          <w:lang w:val="ru-RU"/>
        </w:rPr>
        <w:t>2016</w:t>
      </w:r>
      <w:r w:rsidR="00AB45D7" w:rsidRPr="007F5899">
        <w:rPr>
          <w:lang w:val="ru-RU"/>
        </w:rPr>
        <w:t>−</w:t>
      </w:r>
      <w:r w:rsidR="000F31C9" w:rsidRPr="007F5899">
        <w:rPr>
          <w:lang w:val="ru-RU"/>
        </w:rPr>
        <w:t>2019 г</w:t>
      </w:r>
      <w:r w:rsidR="00AB45D7" w:rsidRPr="007F5899">
        <w:rPr>
          <w:lang w:val="ru-RU"/>
        </w:rPr>
        <w:t>одов</w:t>
      </w:r>
      <w:r w:rsidR="000F31C9" w:rsidRPr="007F5899">
        <w:rPr>
          <w:lang w:val="ru-RU"/>
        </w:rPr>
        <w:t>, представленный ПК</w:t>
      </w:r>
      <w:r w:rsidR="00AB45D7" w:rsidRPr="007F5899">
        <w:rPr>
          <w:lang w:val="ru-RU"/>
        </w:rPr>
        <w:noBreakHyphen/>
      </w:r>
      <w:r w:rsidR="000F31C9" w:rsidRPr="007F5899">
        <w:rPr>
          <w:lang w:val="ru-RU"/>
        </w:rPr>
        <w:t>14.</w:t>
      </w:r>
    </w:p>
    <w:p w:rsidR="000F31C9" w:rsidRPr="007F5899" w:rsidRDefault="00BF4B6F" w:rsidP="005123D2">
      <w:pPr>
        <w:pStyle w:val="Headingb"/>
        <w:rPr>
          <w:szCs w:val="26"/>
          <w:lang w:val="ru-RU"/>
        </w:rPr>
      </w:pPr>
      <w:r w:rsidRPr="007F5899">
        <w:rPr>
          <w:lang w:val="ru-RU"/>
        </w:rPr>
        <w:lastRenderedPageBreak/>
        <w:t>В</w:t>
      </w:r>
      <w:r w:rsidRPr="007F5899">
        <w:rPr>
          <w:lang w:val="ru-RU"/>
        </w:rPr>
        <w:tab/>
      </w:r>
      <w:r w:rsidR="000F31C9" w:rsidRPr="007F5899">
        <w:rPr>
          <w:lang w:val="ru-RU"/>
        </w:rPr>
        <w:t>Долгосрочное влияние</w:t>
      </w:r>
    </w:p>
    <w:p w:rsidR="000F31C9" w:rsidRPr="007F5899" w:rsidRDefault="00BF4B6F" w:rsidP="00BF4B6F">
      <w:pPr>
        <w:rPr>
          <w:lang w:val="ru-RU"/>
        </w:rPr>
      </w:pPr>
      <w:r w:rsidRPr="007F5899">
        <w:rPr>
          <w:lang w:val="ru-RU"/>
        </w:rPr>
        <w:t>8.26</w:t>
      </w:r>
      <w:r w:rsidRPr="007F5899">
        <w:rPr>
          <w:lang w:val="ru-RU"/>
        </w:rPr>
        <w:tab/>
      </w:r>
      <w:r w:rsidR="000F31C9" w:rsidRPr="007F5899">
        <w:rPr>
          <w:lang w:val="ru-RU"/>
        </w:rPr>
        <w:t>Данный вариант предполагает значительные затраты финансовых и человеческих ресурсов в предельно сжатые сроки. Долгосрочные финансовые выгоды существенно зависят от условий, предлагаемых страной пребывания и в новом местоположении.</w:t>
      </w:r>
    </w:p>
    <w:p w:rsidR="005123D2" w:rsidRPr="007F5899" w:rsidRDefault="005123D2" w:rsidP="005123D2">
      <w:pPr>
        <w:pStyle w:val="Tabletitle"/>
        <w:rPr>
          <w:lang w:val="ru-RU"/>
        </w:rPr>
      </w:pPr>
      <w:r w:rsidRPr="007F5899">
        <w:rPr>
          <w:lang w:val="ru-RU"/>
        </w:rPr>
        <w:t>Сводная таблица затрат в связи с переносом штаб-квартиры МСЭ</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027"/>
        <w:gridCol w:w="2788"/>
      </w:tblGrid>
      <w:tr w:rsidR="000F31C9" w:rsidRPr="007F5899" w:rsidTr="005123D2">
        <w:trPr>
          <w:jc w:val="center"/>
        </w:trPr>
        <w:tc>
          <w:tcPr>
            <w:tcW w:w="2747" w:type="dxa"/>
          </w:tcPr>
          <w:p w:rsidR="000F31C9" w:rsidRPr="007F5899" w:rsidRDefault="000F31C9" w:rsidP="003E6310">
            <w:pPr>
              <w:pStyle w:val="Tablehead"/>
              <w:keepNext/>
              <w:keepLines/>
              <w:rPr>
                <w:lang w:val="ru-RU"/>
              </w:rPr>
            </w:pPr>
            <w:r w:rsidRPr="007F5899">
              <w:rPr>
                <w:lang w:val="ru-RU"/>
              </w:rPr>
              <w:t>Тип затрат</w:t>
            </w:r>
          </w:p>
        </w:tc>
        <w:tc>
          <w:tcPr>
            <w:tcW w:w="3027" w:type="dxa"/>
          </w:tcPr>
          <w:p w:rsidR="000F31C9" w:rsidRPr="007F5899" w:rsidRDefault="000F31C9" w:rsidP="00BF4B6F">
            <w:pPr>
              <w:pStyle w:val="Tablehead"/>
              <w:rPr>
                <w:lang w:val="ru-RU"/>
              </w:rPr>
            </w:pPr>
            <w:r w:rsidRPr="007F5899">
              <w:rPr>
                <w:lang w:val="ru-RU"/>
              </w:rPr>
              <w:t xml:space="preserve">Ежегодные затраты в </w:t>
            </w:r>
            <w:proofErr w:type="spellStart"/>
            <w:r w:rsidRPr="007F5899">
              <w:rPr>
                <w:lang w:val="ru-RU"/>
              </w:rPr>
              <w:t>шв</w:t>
            </w:r>
            <w:proofErr w:type="spellEnd"/>
            <w:r w:rsidRPr="007F5899">
              <w:rPr>
                <w:lang w:val="ru-RU"/>
              </w:rPr>
              <w:t xml:space="preserve">. фр. </w:t>
            </w:r>
          </w:p>
        </w:tc>
        <w:tc>
          <w:tcPr>
            <w:tcW w:w="2788" w:type="dxa"/>
          </w:tcPr>
          <w:p w:rsidR="000F31C9" w:rsidRPr="007F5899" w:rsidRDefault="000F31C9" w:rsidP="00BF4B6F">
            <w:pPr>
              <w:pStyle w:val="Tablehead"/>
              <w:rPr>
                <w:lang w:val="ru-RU"/>
              </w:rPr>
            </w:pPr>
            <w:r w:rsidRPr="007F5899">
              <w:rPr>
                <w:lang w:val="ru-RU"/>
              </w:rPr>
              <w:t>Период</w:t>
            </w:r>
          </w:p>
        </w:tc>
      </w:tr>
      <w:tr w:rsidR="000F31C9" w:rsidRPr="007F5899" w:rsidTr="005123D2">
        <w:trPr>
          <w:jc w:val="center"/>
        </w:trPr>
        <w:tc>
          <w:tcPr>
            <w:tcW w:w="2747" w:type="dxa"/>
          </w:tcPr>
          <w:p w:rsidR="000F31C9" w:rsidRPr="007F5899" w:rsidRDefault="000F31C9" w:rsidP="00BF4B6F">
            <w:pPr>
              <w:pStyle w:val="Tabletext"/>
              <w:rPr>
                <w:lang w:val="ru-RU"/>
              </w:rPr>
            </w:pPr>
            <w:r w:rsidRPr="007F5899">
              <w:rPr>
                <w:lang w:val="ru-RU"/>
              </w:rPr>
              <w:t xml:space="preserve">Пособия по увольнению </w:t>
            </w:r>
          </w:p>
        </w:tc>
        <w:tc>
          <w:tcPr>
            <w:tcW w:w="3027" w:type="dxa"/>
          </w:tcPr>
          <w:p w:rsidR="000F31C9" w:rsidRPr="007F5899" w:rsidRDefault="000F31C9" w:rsidP="00BF4B6F">
            <w:pPr>
              <w:pStyle w:val="Tabletext"/>
              <w:rPr>
                <w:lang w:val="ru-RU"/>
              </w:rPr>
            </w:pPr>
            <w:r w:rsidRPr="007F5899">
              <w:rPr>
                <w:lang w:val="ru-RU"/>
              </w:rPr>
              <w:t xml:space="preserve">92–127 млн. </w:t>
            </w:r>
            <w:proofErr w:type="spellStart"/>
            <w:r w:rsidRPr="007F5899">
              <w:rPr>
                <w:lang w:val="ru-RU"/>
              </w:rPr>
              <w:t>шв</w:t>
            </w:r>
            <w:proofErr w:type="spellEnd"/>
            <w:r w:rsidRPr="007F5899">
              <w:rPr>
                <w:lang w:val="ru-RU"/>
              </w:rPr>
              <w:t>. фр.</w:t>
            </w:r>
          </w:p>
        </w:tc>
        <w:tc>
          <w:tcPr>
            <w:tcW w:w="2788" w:type="dxa"/>
          </w:tcPr>
          <w:p w:rsidR="000F31C9" w:rsidRPr="007F5899" w:rsidRDefault="000F31C9" w:rsidP="005123D2">
            <w:pPr>
              <w:pStyle w:val="Tabletext"/>
              <w:rPr>
                <w:lang w:val="ru-RU"/>
              </w:rPr>
            </w:pPr>
            <w:proofErr w:type="spellStart"/>
            <w:r w:rsidRPr="007F5899">
              <w:rPr>
                <w:lang w:val="ru-RU"/>
              </w:rPr>
              <w:t>Единоразовые</w:t>
            </w:r>
            <w:proofErr w:type="spellEnd"/>
            <w:r w:rsidRPr="007F5899">
              <w:rPr>
                <w:lang w:val="ru-RU"/>
              </w:rPr>
              <w:t xml:space="preserve"> затраты. В</w:t>
            </w:r>
            <w:r w:rsidR="005123D2" w:rsidRPr="007F5899">
              <w:rPr>
                <w:lang w:val="ru-RU"/>
              </w:rPr>
              <w:t> </w:t>
            </w:r>
            <w:r w:rsidRPr="007F5899">
              <w:rPr>
                <w:lang w:val="ru-RU"/>
              </w:rPr>
              <w:t>зависимости от выбранного графика.</w:t>
            </w:r>
          </w:p>
        </w:tc>
      </w:tr>
      <w:tr w:rsidR="000F31C9" w:rsidRPr="007F5899" w:rsidTr="005123D2">
        <w:trPr>
          <w:jc w:val="center"/>
        </w:trPr>
        <w:tc>
          <w:tcPr>
            <w:tcW w:w="2747" w:type="dxa"/>
          </w:tcPr>
          <w:p w:rsidR="000F31C9" w:rsidRPr="007F5899" w:rsidRDefault="000F31C9" w:rsidP="00BF4B6F">
            <w:pPr>
              <w:pStyle w:val="Tabletext"/>
              <w:rPr>
                <w:lang w:val="ru-RU"/>
              </w:rPr>
            </w:pPr>
            <w:r w:rsidRPr="007F5899">
              <w:rPr>
                <w:lang w:val="ru-RU"/>
              </w:rPr>
              <w:t>Затраты по обустройству</w:t>
            </w:r>
          </w:p>
        </w:tc>
        <w:tc>
          <w:tcPr>
            <w:tcW w:w="3027" w:type="dxa"/>
          </w:tcPr>
          <w:p w:rsidR="000F31C9" w:rsidRPr="007F5899" w:rsidRDefault="000F31C9" w:rsidP="00BF4B6F">
            <w:pPr>
              <w:pStyle w:val="Tabletext"/>
              <w:rPr>
                <w:lang w:val="ru-RU"/>
              </w:rPr>
            </w:pPr>
            <w:r w:rsidRPr="007F5899">
              <w:rPr>
                <w:lang w:val="ru-RU"/>
              </w:rPr>
              <w:t xml:space="preserve">38–48 млн. </w:t>
            </w:r>
            <w:proofErr w:type="spellStart"/>
            <w:r w:rsidRPr="007F5899">
              <w:rPr>
                <w:lang w:val="ru-RU"/>
              </w:rPr>
              <w:t>шв</w:t>
            </w:r>
            <w:proofErr w:type="spellEnd"/>
            <w:r w:rsidRPr="007F5899">
              <w:rPr>
                <w:lang w:val="ru-RU"/>
              </w:rPr>
              <w:t>. фр.</w:t>
            </w:r>
          </w:p>
        </w:tc>
        <w:tc>
          <w:tcPr>
            <w:tcW w:w="2788" w:type="dxa"/>
          </w:tcPr>
          <w:p w:rsidR="000F31C9" w:rsidRPr="007F5899" w:rsidRDefault="000F31C9" w:rsidP="005123D2">
            <w:pPr>
              <w:pStyle w:val="Tabletext"/>
              <w:rPr>
                <w:lang w:val="ru-RU"/>
              </w:rPr>
            </w:pPr>
            <w:r w:rsidRPr="007F5899">
              <w:rPr>
                <w:lang w:val="ru-RU"/>
              </w:rPr>
              <w:t>Затраты распределены на два–три года в зависимости от выбранного графика.</w:t>
            </w:r>
          </w:p>
        </w:tc>
      </w:tr>
      <w:tr w:rsidR="000F31C9" w:rsidRPr="007F5899" w:rsidTr="005123D2">
        <w:trPr>
          <w:jc w:val="center"/>
        </w:trPr>
        <w:tc>
          <w:tcPr>
            <w:tcW w:w="2747" w:type="dxa"/>
          </w:tcPr>
          <w:p w:rsidR="000F31C9" w:rsidRPr="007F5899" w:rsidRDefault="000F31C9" w:rsidP="00BF4B6F">
            <w:pPr>
              <w:pStyle w:val="Tabletext"/>
              <w:rPr>
                <w:b/>
                <w:bCs/>
                <w:lang w:val="ru-RU"/>
              </w:rPr>
            </w:pPr>
            <w:r w:rsidRPr="007F5899">
              <w:rPr>
                <w:b/>
                <w:bCs/>
                <w:lang w:val="ru-RU"/>
              </w:rPr>
              <w:t>Всего</w:t>
            </w:r>
          </w:p>
        </w:tc>
        <w:tc>
          <w:tcPr>
            <w:tcW w:w="3027" w:type="dxa"/>
          </w:tcPr>
          <w:p w:rsidR="000F31C9" w:rsidRPr="007F5899" w:rsidRDefault="000F31C9" w:rsidP="00BF4B6F">
            <w:pPr>
              <w:pStyle w:val="Tabletext"/>
              <w:rPr>
                <w:b/>
                <w:bCs/>
                <w:lang w:val="ru-RU"/>
              </w:rPr>
            </w:pPr>
            <w:r w:rsidRPr="007F5899">
              <w:rPr>
                <w:b/>
                <w:bCs/>
                <w:lang w:val="ru-RU"/>
              </w:rPr>
              <w:t xml:space="preserve">130–175 млн. </w:t>
            </w:r>
            <w:proofErr w:type="spellStart"/>
            <w:r w:rsidRPr="007F5899">
              <w:rPr>
                <w:b/>
                <w:bCs/>
                <w:lang w:val="ru-RU"/>
              </w:rPr>
              <w:t>шв</w:t>
            </w:r>
            <w:proofErr w:type="spellEnd"/>
            <w:r w:rsidRPr="007F5899">
              <w:rPr>
                <w:b/>
                <w:bCs/>
                <w:lang w:val="ru-RU"/>
              </w:rPr>
              <w:t>. фр.</w:t>
            </w:r>
          </w:p>
        </w:tc>
        <w:tc>
          <w:tcPr>
            <w:tcW w:w="2788" w:type="dxa"/>
          </w:tcPr>
          <w:p w:rsidR="000F31C9" w:rsidRPr="007F5899" w:rsidRDefault="000F31C9" w:rsidP="00BF4B6F">
            <w:pPr>
              <w:pStyle w:val="Tabletext"/>
              <w:rPr>
                <w:lang w:val="ru-RU"/>
              </w:rPr>
            </w:pPr>
          </w:p>
        </w:tc>
      </w:tr>
    </w:tbl>
    <w:p w:rsidR="000F31C9" w:rsidRPr="007F5899" w:rsidRDefault="000F31C9" w:rsidP="00BF4B6F">
      <w:pPr>
        <w:rPr>
          <w:i/>
          <w:iCs/>
          <w:lang w:val="ru-RU"/>
        </w:rPr>
      </w:pPr>
      <w:r w:rsidRPr="007F5899">
        <w:rPr>
          <w:i/>
          <w:iCs/>
          <w:lang w:val="ru-RU"/>
        </w:rPr>
        <w:t>Данные затраты не включают стоимость приобретения, аренды и/или обслуживания помещений штаб-квартиры в новой стране пребывания. Тем не менее, подтвердить предоставление зданий Союзу без оплаты указанных взносов до получения приемлемого предложения невозможно. Реалистичную оценку этих затрат нельзя дать без информации о потенциальном будущем объекте.</w:t>
      </w:r>
    </w:p>
    <w:p w:rsidR="000F31C9" w:rsidRPr="007F5899" w:rsidRDefault="00BF4B6F" w:rsidP="00D83B5A">
      <w:pPr>
        <w:pStyle w:val="Headingb"/>
        <w:rPr>
          <w:bCs/>
          <w:szCs w:val="26"/>
          <w:lang w:val="ru-RU"/>
        </w:rPr>
      </w:pPr>
      <w:r w:rsidRPr="007F5899">
        <w:rPr>
          <w:lang w:val="ru-RU"/>
        </w:rPr>
        <w:t>А</w:t>
      </w:r>
      <w:r w:rsidRPr="007F5899">
        <w:rPr>
          <w:lang w:val="ru-RU"/>
        </w:rPr>
        <w:tab/>
      </w:r>
      <w:r w:rsidR="000F31C9" w:rsidRPr="007F5899">
        <w:rPr>
          <w:lang w:val="ru-RU"/>
        </w:rPr>
        <w:t>Юридические аспекты</w:t>
      </w:r>
    </w:p>
    <w:p w:rsidR="000F31C9" w:rsidRPr="007F5899" w:rsidRDefault="00BF4B6F" w:rsidP="00BF4B6F">
      <w:pPr>
        <w:rPr>
          <w:lang w:val="ru-RU"/>
        </w:rPr>
      </w:pPr>
      <w:r w:rsidRPr="007F5899">
        <w:rPr>
          <w:lang w:val="ru-RU"/>
        </w:rPr>
        <w:t>8.27</w:t>
      </w:r>
      <w:r w:rsidRPr="007F5899">
        <w:rPr>
          <w:lang w:val="ru-RU"/>
        </w:rPr>
        <w:tab/>
      </w:r>
      <w:r w:rsidR="000F31C9" w:rsidRPr="007F5899">
        <w:rPr>
          <w:lang w:val="ru-RU"/>
        </w:rPr>
        <w:t>Можно выделить четыре основных типа юридических аспектов, которые необходимо будет принять во внимание при реализации варианта переноса штаб-квартиры Союза за пределы Женевы.</w:t>
      </w:r>
    </w:p>
    <w:p w:rsidR="000F31C9" w:rsidRPr="007F5899" w:rsidRDefault="00BF4B6F" w:rsidP="00BF4B6F">
      <w:pPr>
        <w:rPr>
          <w:lang w:val="ru-RU"/>
        </w:rPr>
      </w:pPr>
      <w:r w:rsidRPr="007F5899">
        <w:rPr>
          <w:lang w:val="ru-RU"/>
        </w:rPr>
        <w:t>8.</w:t>
      </w:r>
      <w:proofErr w:type="gramStart"/>
      <w:r w:rsidRPr="007F5899">
        <w:rPr>
          <w:lang w:val="ru-RU"/>
        </w:rPr>
        <w:t>28</w:t>
      </w:r>
      <w:r w:rsidRPr="007F5899">
        <w:rPr>
          <w:lang w:val="ru-RU"/>
        </w:rPr>
        <w:tab/>
      </w:r>
      <w:r w:rsidR="000F31C9" w:rsidRPr="007F5899">
        <w:rPr>
          <w:lang w:val="ru-RU"/>
        </w:rPr>
        <w:t>Во-первых</w:t>
      </w:r>
      <w:proofErr w:type="gramEnd"/>
      <w:r w:rsidR="000F31C9" w:rsidRPr="007F5899">
        <w:rPr>
          <w:lang w:val="ru-RU"/>
        </w:rPr>
        <w:t>, необходимо внести поправки в Устав.</w:t>
      </w:r>
    </w:p>
    <w:p w:rsidR="000F31C9" w:rsidRPr="007F5899" w:rsidRDefault="00BF4B6F" w:rsidP="00BF4B6F">
      <w:pPr>
        <w:rPr>
          <w:lang w:val="ru-RU"/>
        </w:rPr>
      </w:pPr>
      <w:r w:rsidRPr="007F5899">
        <w:rPr>
          <w:lang w:val="ru-RU"/>
        </w:rPr>
        <w:t>8.29</w:t>
      </w:r>
      <w:r w:rsidRPr="007F5899">
        <w:rPr>
          <w:lang w:val="ru-RU"/>
        </w:rPr>
        <w:tab/>
      </w:r>
      <w:r w:rsidR="000F31C9" w:rsidRPr="007F5899">
        <w:rPr>
          <w:lang w:val="ru-RU"/>
        </w:rPr>
        <w:t>Во-вторых, абсолютно необходимо провести переговоры по новому соглашению о штаб-квартире со страной пребывания и заручиться льготами и привилегиями по данному соглашению.</w:t>
      </w:r>
    </w:p>
    <w:p w:rsidR="000F31C9" w:rsidRPr="007F5899" w:rsidRDefault="00BF4B6F" w:rsidP="00BF4B6F">
      <w:pPr>
        <w:rPr>
          <w:lang w:val="ru-RU"/>
        </w:rPr>
      </w:pPr>
      <w:r w:rsidRPr="007F5899">
        <w:rPr>
          <w:lang w:val="ru-RU"/>
        </w:rPr>
        <w:t>8.30</w:t>
      </w:r>
      <w:r w:rsidRPr="007F5899">
        <w:rPr>
          <w:lang w:val="ru-RU"/>
        </w:rPr>
        <w:tab/>
      </w:r>
      <w:r w:rsidR="000F31C9" w:rsidRPr="007F5899">
        <w:rPr>
          <w:lang w:val="ru-RU"/>
        </w:rPr>
        <w:t>Необходимо заново согласовать все договора обслуживания по штаб-квартире.</w:t>
      </w:r>
    </w:p>
    <w:p w:rsidR="000F31C9" w:rsidRPr="007F5899" w:rsidRDefault="00BF4B6F" w:rsidP="00BF4B6F">
      <w:pPr>
        <w:rPr>
          <w:lang w:val="ru-RU"/>
        </w:rPr>
      </w:pPr>
      <w:r w:rsidRPr="007F5899">
        <w:rPr>
          <w:lang w:val="ru-RU"/>
        </w:rPr>
        <w:t>8.31</w:t>
      </w:r>
      <w:r w:rsidRPr="007F5899">
        <w:rPr>
          <w:lang w:val="ru-RU"/>
        </w:rPr>
        <w:tab/>
      </w:r>
      <w:r w:rsidR="000F31C9" w:rsidRPr="007F5899">
        <w:rPr>
          <w:lang w:val="ru-RU"/>
        </w:rPr>
        <w:t xml:space="preserve">И, наконец, необходимо решить вопрос о передаче "права </w:t>
      </w:r>
      <w:proofErr w:type="spellStart"/>
      <w:r w:rsidR="000F31C9" w:rsidRPr="007F5899">
        <w:rPr>
          <w:lang w:val="ru-RU"/>
        </w:rPr>
        <w:t>суперфиции</w:t>
      </w:r>
      <w:proofErr w:type="spellEnd"/>
      <w:r w:rsidR="000F31C9" w:rsidRPr="007F5899">
        <w:rPr>
          <w:lang w:val="ru-RU"/>
        </w:rPr>
        <w:t>" Союза.</w:t>
      </w:r>
    </w:p>
    <w:p w:rsidR="000F31C9" w:rsidRPr="007F5899" w:rsidRDefault="00BF4B6F" w:rsidP="00BF4B6F">
      <w:pPr>
        <w:rPr>
          <w:lang w:val="ru-RU"/>
        </w:rPr>
      </w:pPr>
      <w:r w:rsidRPr="007F5899">
        <w:rPr>
          <w:lang w:val="ru-RU"/>
        </w:rPr>
        <w:t>8.32</w:t>
      </w:r>
      <w:r w:rsidRPr="007F5899">
        <w:rPr>
          <w:lang w:val="ru-RU"/>
        </w:rPr>
        <w:tab/>
      </w:r>
      <w:r w:rsidR="000F31C9" w:rsidRPr="007F5899">
        <w:rPr>
          <w:lang w:val="ru-RU"/>
        </w:rPr>
        <w:t>Юридические последствия возможного переноса штаб-квартиры Союза для его персонала рассматриваются не в данном разделе, а в разделе о влиянии на человеческие ресурсы.</w:t>
      </w:r>
    </w:p>
    <w:p w:rsidR="000F31C9" w:rsidRPr="007F5899" w:rsidRDefault="00BF4B6F" w:rsidP="00BF4B6F">
      <w:pPr>
        <w:pStyle w:val="Headingb"/>
        <w:rPr>
          <w:lang w:val="ru-RU"/>
        </w:rPr>
      </w:pPr>
      <w:proofErr w:type="gramStart"/>
      <w:r w:rsidRPr="007F5899">
        <w:rPr>
          <w:lang w:val="ru-RU"/>
        </w:rPr>
        <w:t>а)</w:t>
      </w:r>
      <w:r w:rsidRPr="007F5899">
        <w:rPr>
          <w:lang w:val="ru-RU"/>
        </w:rPr>
        <w:tab/>
      </w:r>
      <w:proofErr w:type="gramEnd"/>
      <w:r w:rsidR="000F31C9" w:rsidRPr="007F5899">
        <w:rPr>
          <w:lang w:val="ru-RU"/>
        </w:rPr>
        <w:t>Поправки к Уставу</w:t>
      </w:r>
    </w:p>
    <w:p w:rsidR="000F31C9" w:rsidRPr="007F5899" w:rsidRDefault="00BF4B6F" w:rsidP="00BF4B6F">
      <w:pPr>
        <w:rPr>
          <w:lang w:val="ru-RU"/>
        </w:rPr>
      </w:pPr>
      <w:r w:rsidRPr="007F5899">
        <w:rPr>
          <w:lang w:val="ru-RU"/>
        </w:rPr>
        <w:t>8.33</w:t>
      </w:r>
      <w:r w:rsidRPr="007F5899">
        <w:rPr>
          <w:lang w:val="ru-RU"/>
        </w:rPr>
        <w:tab/>
        <w:t>Статья 30 Устава МСЭ гласит: "</w:t>
      </w:r>
      <w:r w:rsidR="000F31C9" w:rsidRPr="007F5899">
        <w:rPr>
          <w:lang w:val="ru-RU"/>
        </w:rPr>
        <w:t>Местопр</w:t>
      </w:r>
      <w:r w:rsidRPr="007F5899">
        <w:rPr>
          <w:lang w:val="ru-RU"/>
        </w:rPr>
        <w:t>ебыванием Союза является Женева"</w:t>
      </w:r>
      <w:r w:rsidR="000F31C9" w:rsidRPr="007F5899">
        <w:rPr>
          <w:lang w:val="ru-RU"/>
        </w:rPr>
        <w:t xml:space="preserve"> (п. 175).</w:t>
      </w:r>
    </w:p>
    <w:p w:rsidR="000F31C9" w:rsidRPr="007F5899" w:rsidRDefault="00BF4B6F" w:rsidP="00BF4B6F">
      <w:pPr>
        <w:rPr>
          <w:lang w:val="ru-RU"/>
        </w:rPr>
      </w:pPr>
      <w:r w:rsidRPr="007F5899">
        <w:rPr>
          <w:lang w:val="ru-RU"/>
        </w:rPr>
        <w:t>8.34</w:t>
      </w:r>
      <w:r w:rsidRPr="007F5899">
        <w:rPr>
          <w:lang w:val="ru-RU"/>
        </w:rPr>
        <w:tab/>
      </w:r>
      <w:r w:rsidR="000F31C9" w:rsidRPr="007F5899">
        <w:rPr>
          <w:lang w:val="ru-RU"/>
        </w:rPr>
        <w:t>Данное положение является специфическим для МСЭ, поскольку ни одна другая крупная организация в составе ООН не имеет подобного пункта в своих учредительных документах.</w:t>
      </w:r>
    </w:p>
    <w:p w:rsidR="000F31C9" w:rsidRPr="007F5899" w:rsidRDefault="00BF4B6F" w:rsidP="00BF4B6F">
      <w:pPr>
        <w:rPr>
          <w:lang w:val="ru-RU"/>
        </w:rPr>
      </w:pPr>
      <w:r w:rsidRPr="007F5899">
        <w:rPr>
          <w:lang w:val="ru-RU"/>
        </w:rPr>
        <w:t>8.35</w:t>
      </w:r>
      <w:r w:rsidRPr="007F5899">
        <w:rPr>
          <w:lang w:val="ru-RU"/>
        </w:rPr>
        <w:tab/>
      </w:r>
      <w:r w:rsidR="000F31C9" w:rsidRPr="007F5899">
        <w:rPr>
          <w:lang w:val="ru-RU"/>
        </w:rPr>
        <w:t>Эта статья, включенная в Устав в 1947 году, отражает тот факт, что на тот момент составители проекта документа хотели закрепить размещение Союза в Женеве.</w:t>
      </w:r>
    </w:p>
    <w:p w:rsidR="000F31C9" w:rsidRPr="007F5899" w:rsidRDefault="00BF4B6F" w:rsidP="00BF4B6F">
      <w:pPr>
        <w:rPr>
          <w:lang w:val="ru-RU"/>
        </w:rPr>
      </w:pPr>
      <w:r w:rsidRPr="007F5899">
        <w:rPr>
          <w:lang w:val="ru-RU"/>
        </w:rPr>
        <w:t>8.36</w:t>
      </w:r>
      <w:r w:rsidRPr="007F5899">
        <w:rPr>
          <w:lang w:val="ru-RU"/>
        </w:rPr>
        <w:tab/>
      </w:r>
      <w:r w:rsidR="000F31C9" w:rsidRPr="007F5899">
        <w:rPr>
          <w:lang w:val="ru-RU"/>
        </w:rPr>
        <w:t xml:space="preserve">В случае принятия решения о переносе штаб-квартиры МСЭ предварительно необходимо будет внести соответствующую поправку в </w:t>
      </w:r>
      <w:r w:rsidR="00356558" w:rsidRPr="007F5899">
        <w:rPr>
          <w:lang w:val="ru-RU"/>
        </w:rPr>
        <w:t xml:space="preserve">Статью </w:t>
      </w:r>
      <w:r w:rsidR="000F31C9" w:rsidRPr="007F5899">
        <w:rPr>
          <w:lang w:val="ru-RU"/>
        </w:rPr>
        <w:t>30 Устава. Для этого, согласно п. 227 Устава, такая поправка должна быть утверждена большинством, т. е. не менее чем двумя третями делегаций, аккредитованных на Полномочной конференции и имеющих право голоса.</w:t>
      </w:r>
    </w:p>
    <w:p w:rsidR="000F31C9" w:rsidRPr="007F5899" w:rsidRDefault="00BF4B6F" w:rsidP="00BF4B6F">
      <w:pPr>
        <w:pStyle w:val="Headingb"/>
        <w:rPr>
          <w:lang w:val="ru-RU"/>
        </w:rPr>
      </w:pPr>
      <w:r w:rsidRPr="007F5899">
        <w:rPr>
          <w:lang w:val="ru-RU"/>
        </w:rPr>
        <w:t>b)</w:t>
      </w:r>
      <w:r w:rsidRPr="007F5899">
        <w:rPr>
          <w:lang w:val="ru-RU"/>
        </w:rPr>
        <w:tab/>
      </w:r>
      <w:r w:rsidR="000F31C9" w:rsidRPr="007F5899">
        <w:rPr>
          <w:lang w:val="ru-RU"/>
        </w:rPr>
        <w:t>Переговоры по новому соглашению о штаб-квартире</w:t>
      </w:r>
    </w:p>
    <w:p w:rsidR="000F31C9" w:rsidRPr="007F5899" w:rsidRDefault="00BF4B6F" w:rsidP="00BF4B6F">
      <w:pPr>
        <w:rPr>
          <w:lang w:val="ru-RU"/>
        </w:rPr>
      </w:pPr>
      <w:r w:rsidRPr="007F5899">
        <w:rPr>
          <w:lang w:val="ru-RU"/>
        </w:rPr>
        <w:t>8.37</w:t>
      </w:r>
      <w:r w:rsidRPr="007F5899">
        <w:rPr>
          <w:lang w:val="ru-RU"/>
        </w:rPr>
        <w:tab/>
      </w:r>
      <w:r w:rsidR="000F31C9" w:rsidRPr="007F5899">
        <w:rPr>
          <w:lang w:val="ru-RU"/>
        </w:rPr>
        <w:t>В целях регулирования юридического статуса МСЭ независимо от страны пребывания обязательным является проведение переговоров и подписание нового соглашения о штаб-квартире и, если приемлемо, дополнительного административного соглашения.</w:t>
      </w:r>
    </w:p>
    <w:p w:rsidR="000F31C9" w:rsidRPr="007F5899" w:rsidRDefault="00BF4B6F" w:rsidP="00BF4B6F">
      <w:pPr>
        <w:rPr>
          <w:lang w:val="ru-RU"/>
        </w:rPr>
      </w:pPr>
      <w:r w:rsidRPr="007F5899">
        <w:rPr>
          <w:lang w:val="ru-RU"/>
        </w:rPr>
        <w:lastRenderedPageBreak/>
        <w:t>8.38</w:t>
      </w:r>
      <w:r w:rsidRPr="007F5899">
        <w:rPr>
          <w:lang w:val="ru-RU"/>
        </w:rPr>
        <w:tab/>
      </w:r>
      <w:r w:rsidR="000F31C9" w:rsidRPr="007F5899">
        <w:rPr>
          <w:lang w:val="ru-RU"/>
        </w:rPr>
        <w:t>Хотя на данном этапе необходимости в подробном рассмотрении возможных положений такого соглашения нет, важно определить основные принципы, на которых оно должно строиться.</w:t>
      </w:r>
    </w:p>
    <w:p w:rsidR="000F31C9" w:rsidRPr="007F5899" w:rsidRDefault="00BF4B6F" w:rsidP="00BF4B6F">
      <w:pPr>
        <w:rPr>
          <w:lang w:val="ru-RU"/>
        </w:rPr>
      </w:pPr>
      <w:r w:rsidRPr="007F5899">
        <w:rPr>
          <w:lang w:val="ru-RU"/>
        </w:rPr>
        <w:t>8.39</w:t>
      </w:r>
      <w:r w:rsidRPr="007F5899">
        <w:rPr>
          <w:lang w:val="ru-RU"/>
        </w:rPr>
        <w:tab/>
      </w:r>
      <w:r w:rsidR="000F31C9" w:rsidRPr="007F5899">
        <w:rPr>
          <w:lang w:val="ru-RU"/>
        </w:rPr>
        <w:t xml:space="preserve">Первым и самым главным является вопрос о признании независимости МСЭ в отношении страны пребывания и, точнее, вопрос об институциональной и </w:t>
      </w:r>
      <w:proofErr w:type="spellStart"/>
      <w:r w:rsidR="000F31C9" w:rsidRPr="007F5899">
        <w:rPr>
          <w:lang w:val="ru-RU"/>
        </w:rPr>
        <w:t>юрисдикционной</w:t>
      </w:r>
      <w:proofErr w:type="spellEnd"/>
      <w:r w:rsidR="000F31C9" w:rsidRPr="007F5899">
        <w:rPr>
          <w:lang w:val="ru-RU"/>
        </w:rPr>
        <w:t xml:space="preserve"> независимости.</w:t>
      </w:r>
    </w:p>
    <w:p w:rsidR="000F31C9" w:rsidRPr="007F5899" w:rsidRDefault="000F31C9" w:rsidP="00BF4B6F">
      <w:pPr>
        <w:pStyle w:val="Headingb"/>
        <w:rPr>
          <w:lang w:val="ru-RU"/>
        </w:rPr>
      </w:pPr>
      <w:r w:rsidRPr="007F5899">
        <w:rPr>
          <w:lang w:val="ru-RU"/>
        </w:rPr>
        <w:t>Институциональная независимость</w:t>
      </w:r>
    </w:p>
    <w:p w:rsidR="000F31C9" w:rsidRPr="007F5899" w:rsidRDefault="00BF4B6F" w:rsidP="00BF4B6F">
      <w:pPr>
        <w:rPr>
          <w:lang w:val="ru-RU"/>
        </w:rPr>
      </w:pPr>
      <w:r w:rsidRPr="007F5899">
        <w:rPr>
          <w:lang w:val="ru-RU"/>
        </w:rPr>
        <w:t>8.40</w:t>
      </w:r>
      <w:r w:rsidRPr="007F5899">
        <w:rPr>
          <w:lang w:val="ru-RU"/>
        </w:rPr>
        <w:tab/>
      </w:r>
      <w:r w:rsidR="000F31C9" w:rsidRPr="007F5899">
        <w:rPr>
          <w:lang w:val="ru-RU"/>
        </w:rPr>
        <w:t>Независимость и свобода действий Союза должны быть признаны в полном объеме, как и его абсолютная свобода и право его Государств-Членов на свободное проведение встреч, обсуждений и принятие решений.</w:t>
      </w:r>
    </w:p>
    <w:p w:rsidR="000F31C9" w:rsidRPr="007F5899" w:rsidRDefault="00BF4B6F" w:rsidP="00DD4F12">
      <w:pPr>
        <w:rPr>
          <w:lang w:val="ru-RU"/>
        </w:rPr>
      </w:pPr>
      <w:r w:rsidRPr="007F5899">
        <w:rPr>
          <w:lang w:val="ru-RU"/>
        </w:rPr>
        <w:t>8.41</w:t>
      </w:r>
      <w:r w:rsidRPr="007F5899">
        <w:rPr>
          <w:lang w:val="ru-RU"/>
        </w:rPr>
        <w:tab/>
      </w:r>
      <w:r w:rsidR="000F31C9" w:rsidRPr="007F5899">
        <w:rPr>
          <w:lang w:val="ru-RU"/>
        </w:rPr>
        <w:t>Независимость также требует от страны пребывания признания Союза юридическим лицом со всеми предусмотренным законом полномочиями (полномочиями по заключению договоров, участию в судебных разбирательствах, приобретению и использованию движимого и недвижимого имущества, принятию собственных правил, процедур и правовых процессов</w:t>
      </w:r>
      <w:r w:rsidR="00DD4F12" w:rsidRPr="007F5899">
        <w:rPr>
          <w:lang w:val="ru-RU"/>
        </w:rPr>
        <w:t xml:space="preserve"> и</w:t>
      </w:r>
      <w:r w:rsidR="000F31C9" w:rsidRPr="007F5899">
        <w:rPr>
          <w:lang w:val="ru-RU"/>
        </w:rPr>
        <w:t xml:space="preserve"> пр.).</w:t>
      </w:r>
    </w:p>
    <w:p w:rsidR="000F31C9" w:rsidRPr="007F5899" w:rsidRDefault="00BF4B6F" w:rsidP="00BF4B6F">
      <w:pPr>
        <w:rPr>
          <w:lang w:val="ru-RU"/>
        </w:rPr>
      </w:pPr>
      <w:r w:rsidRPr="007F5899">
        <w:rPr>
          <w:lang w:val="ru-RU"/>
        </w:rPr>
        <w:t>8.42</w:t>
      </w:r>
      <w:r w:rsidRPr="007F5899">
        <w:rPr>
          <w:lang w:val="ru-RU"/>
        </w:rPr>
        <w:tab/>
      </w:r>
      <w:r w:rsidR="000F31C9" w:rsidRPr="007F5899">
        <w:rPr>
          <w:lang w:val="ru-RU"/>
        </w:rPr>
        <w:t>Институциональная независимость также предполагает признание соглашением о штаб-квартире неприкосновенности помещений, занимаемых Союзом, и, как неотъемлемое следствие данного соглашения, свободы Союза в вопросах обеспечения надзора, безопасности и охраны помещений, а также неприкосновенности его архивов и всех документов (независимо от носителя), предназначенных для официального использования в рамках Союза.</w:t>
      </w:r>
    </w:p>
    <w:p w:rsidR="000F31C9" w:rsidRPr="007F5899" w:rsidRDefault="000F31C9" w:rsidP="008C3D42">
      <w:pPr>
        <w:pStyle w:val="Headingb"/>
        <w:rPr>
          <w:lang w:val="ru-RU"/>
        </w:rPr>
      </w:pPr>
      <w:proofErr w:type="spellStart"/>
      <w:r w:rsidRPr="007F5899">
        <w:rPr>
          <w:lang w:val="ru-RU"/>
        </w:rPr>
        <w:t>Юрисдикционная</w:t>
      </w:r>
      <w:proofErr w:type="spellEnd"/>
      <w:r w:rsidRPr="007F5899">
        <w:rPr>
          <w:lang w:val="ru-RU"/>
        </w:rPr>
        <w:t xml:space="preserve"> независимость</w:t>
      </w:r>
    </w:p>
    <w:p w:rsidR="000F31C9" w:rsidRPr="007F5899" w:rsidRDefault="008C3D42" w:rsidP="008C3D42">
      <w:pPr>
        <w:rPr>
          <w:lang w:val="ru-RU"/>
        </w:rPr>
      </w:pPr>
      <w:r w:rsidRPr="007F5899">
        <w:rPr>
          <w:lang w:val="ru-RU"/>
        </w:rPr>
        <w:t>8.43</w:t>
      </w:r>
      <w:r w:rsidRPr="007F5899">
        <w:rPr>
          <w:lang w:val="ru-RU"/>
        </w:rPr>
        <w:tab/>
      </w:r>
      <w:r w:rsidR="000F31C9" w:rsidRPr="007F5899">
        <w:rPr>
          <w:lang w:val="ru-RU"/>
        </w:rPr>
        <w:t>Первостепенной задачей всех правил, касающихся международных организаций, является обеспечение выполнения их функций и достижения поставленных перед ними целей в условиях полной самостоятельности. В этой связи абсолютно необходимо, чтобы Союз, являясь по своей сути международной организацией, был неподсудным в рамках уголовного, гражданского и административного судопроизводства, что должно быть закреплено в соглашении о штаб-квартире, и чтобы, в то же время, здания и помещения, занимаемые Союзом, а также имущество, принадлежащее Союзу или используемое им, не подлежало изъятию, обыскам, выемке или действию других мер принудительного характера. Все указанные положения также должны быть включены в соглашение о штаб-квартире.</w:t>
      </w:r>
    </w:p>
    <w:p w:rsidR="000F31C9" w:rsidRPr="007F5899" w:rsidRDefault="000F31C9" w:rsidP="008C3D42">
      <w:pPr>
        <w:pStyle w:val="Headingb"/>
        <w:rPr>
          <w:lang w:val="ru-RU"/>
        </w:rPr>
      </w:pPr>
      <w:r w:rsidRPr="007F5899">
        <w:rPr>
          <w:lang w:val="ru-RU"/>
        </w:rPr>
        <w:t>Свобода обмена информацией и публикаций</w:t>
      </w:r>
    </w:p>
    <w:p w:rsidR="000F31C9" w:rsidRPr="007F5899" w:rsidRDefault="008C3D42" w:rsidP="008C3D42">
      <w:pPr>
        <w:rPr>
          <w:lang w:val="ru-RU"/>
        </w:rPr>
      </w:pPr>
      <w:r w:rsidRPr="007F5899">
        <w:rPr>
          <w:lang w:val="ru-RU"/>
        </w:rPr>
        <w:t>8.44</w:t>
      </w:r>
      <w:r w:rsidRPr="007F5899">
        <w:rPr>
          <w:lang w:val="ru-RU"/>
        </w:rPr>
        <w:tab/>
      </w:r>
      <w:r w:rsidR="000F31C9" w:rsidRPr="007F5899">
        <w:rPr>
          <w:lang w:val="ru-RU"/>
        </w:rPr>
        <w:t>Публикации Союза являются одним из основных средств выражения его мнения. Соответственно, принцип, согласно которому все публикации Союза не подлежат ограничениям любого характера со стороны страны пребывания, должен быть заложен в соглашение о штаб-квартире.</w:t>
      </w:r>
    </w:p>
    <w:p w:rsidR="000F31C9" w:rsidRPr="007F5899" w:rsidRDefault="008C3D42" w:rsidP="008C3D42">
      <w:pPr>
        <w:rPr>
          <w:lang w:val="ru-RU"/>
        </w:rPr>
      </w:pPr>
      <w:r w:rsidRPr="007F5899">
        <w:rPr>
          <w:lang w:val="ru-RU"/>
        </w:rPr>
        <w:t>8.45</w:t>
      </w:r>
      <w:r w:rsidRPr="007F5899">
        <w:rPr>
          <w:lang w:val="ru-RU"/>
        </w:rPr>
        <w:tab/>
      </w:r>
      <w:r w:rsidR="000F31C9" w:rsidRPr="007F5899">
        <w:rPr>
          <w:lang w:val="ru-RU"/>
        </w:rPr>
        <w:t xml:space="preserve">Аналогично, по сути трансграничный характер работы любой международной организации и, в частности, МСЭ требует организации свободного и эффективного обмена информацией. В настоящее время статус информации международных организаций, включая МСЭ, определяется с учетом прав, привилегий и льгот, предоставленных в этой связи Организации </w:t>
      </w:r>
      <w:r w:rsidR="00356558" w:rsidRPr="007F5899">
        <w:rPr>
          <w:lang w:val="ru-RU"/>
        </w:rPr>
        <w:t>Объединенных Наций</w:t>
      </w:r>
      <w:r w:rsidR="000F31C9" w:rsidRPr="007F5899">
        <w:rPr>
          <w:lang w:val="ru-RU"/>
        </w:rPr>
        <w:t>, и дипломатических договоренностей, если таковые имеются. Именно в таком режиме в настоящий момент обеспечивается неприкосновенность информации МСЭ. Данный режим обязательно должен быть закреплен соответствующими положениями соглашения о штаб-квартире.</w:t>
      </w:r>
    </w:p>
    <w:p w:rsidR="000F31C9" w:rsidRPr="007F5899" w:rsidRDefault="000F31C9" w:rsidP="00D83B5A">
      <w:pPr>
        <w:pStyle w:val="Headingb"/>
        <w:ind w:left="0" w:firstLine="0"/>
        <w:rPr>
          <w:lang w:val="ru-RU"/>
        </w:rPr>
      </w:pPr>
      <w:r w:rsidRPr="007F5899">
        <w:rPr>
          <w:lang w:val="ru-RU"/>
        </w:rPr>
        <w:t>Привилегии и иммунитеты в фискальных, финансовых и таможенных вопросах и, в целом, неограниченная свобода оборота товаров и капитала</w:t>
      </w:r>
    </w:p>
    <w:p w:rsidR="000F31C9" w:rsidRPr="007F5899" w:rsidRDefault="008C3D42" w:rsidP="008C3D42">
      <w:pPr>
        <w:rPr>
          <w:lang w:val="ru-RU"/>
        </w:rPr>
      </w:pPr>
      <w:r w:rsidRPr="007F5899">
        <w:rPr>
          <w:lang w:val="ru-RU"/>
        </w:rPr>
        <w:t>8.46</w:t>
      </w:r>
      <w:r w:rsidRPr="007F5899">
        <w:rPr>
          <w:lang w:val="ru-RU"/>
        </w:rPr>
        <w:tab/>
      </w:r>
      <w:r w:rsidR="000F31C9" w:rsidRPr="007F5899">
        <w:rPr>
          <w:lang w:val="ru-RU"/>
        </w:rPr>
        <w:t>Освобождение Союза, его активов, доходов и прочей собственности от всех прямых налогов, национальных, региональных или местных, должно быть определено соглашением о штаб-квартире, равно как и освобождение от любого рода косвенных налогов, в частности, налога на добавленную стоимость и регистрационных или акцизных сборов, особенно тех, которые обычно начисляются по сделкам с недвижимостью.</w:t>
      </w:r>
    </w:p>
    <w:p w:rsidR="000F31C9" w:rsidRPr="007F5899" w:rsidRDefault="000F31C9" w:rsidP="008C3D42">
      <w:pPr>
        <w:pStyle w:val="Headingb"/>
        <w:rPr>
          <w:lang w:val="ru-RU"/>
        </w:rPr>
      </w:pPr>
      <w:r w:rsidRPr="007F5899">
        <w:rPr>
          <w:lang w:val="ru-RU"/>
        </w:rPr>
        <w:lastRenderedPageBreak/>
        <w:t>Финансовые привилегии и иммунитеты</w:t>
      </w:r>
    </w:p>
    <w:p w:rsidR="000F31C9" w:rsidRPr="007F5899" w:rsidRDefault="008C3D42" w:rsidP="008C3D42">
      <w:pPr>
        <w:rPr>
          <w:lang w:val="ru-RU"/>
        </w:rPr>
      </w:pPr>
      <w:r w:rsidRPr="007F5899">
        <w:rPr>
          <w:lang w:val="ru-RU"/>
        </w:rPr>
        <w:t>8.47</w:t>
      </w:r>
      <w:r w:rsidRPr="007F5899">
        <w:rPr>
          <w:lang w:val="ru-RU"/>
        </w:rPr>
        <w:tab/>
      </w:r>
      <w:r w:rsidR="000F31C9" w:rsidRPr="007F5899">
        <w:rPr>
          <w:lang w:val="ru-RU"/>
        </w:rPr>
        <w:t xml:space="preserve">МСЭ должен пользоваться широкой свободой </w:t>
      </w:r>
      <w:proofErr w:type="spellStart"/>
      <w:r w:rsidR="000F31C9" w:rsidRPr="007F5899">
        <w:rPr>
          <w:lang w:val="ru-RU"/>
        </w:rPr>
        <w:t>валютообмена</w:t>
      </w:r>
      <w:proofErr w:type="spellEnd"/>
      <w:r w:rsidR="000F31C9" w:rsidRPr="007F5899">
        <w:rPr>
          <w:lang w:val="ru-RU"/>
        </w:rPr>
        <w:t xml:space="preserve"> и, в этой связи, должен иметь возможность беспрепятственно получать и хранить, переводить или конвертировать валюту. Тот же принцип должен действовать в отношении золота, наличных средств и прочих ценных бумаг. Все эти аспекты также должны быть отражены в соглашении о штаб-квартире.</w:t>
      </w:r>
    </w:p>
    <w:p w:rsidR="000F31C9" w:rsidRPr="007F5899" w:rsidRDefault="000F31C9" w:rsidP="008C3D42">
      <w:pPr>
        <w:pStyle w:val="Headingb"/>
        <w:rPr>
          <w:lang w:val="ru-RU"/>
        </w:rPr>
      </w:pPr>
      <w:r w:rsidRPr="007F5899">
        <w:rPr>
          <w:lang w:val="ru-RU"/>
        </w:rPr>
        <w:t>Таможенные привилегии и иммунитеты и отсутствие запрета или ограничений на импорт и экспорт</w:t>
      </w:r>
    </w:p>
    <w:p w:rsidR="000F31C9" w:rsidRPr="007F5899" w:rsidRDefault="008C3D42" w:rsidP="008C3D42">
      <w:pPr>
        <w:rPr>
          <w:lang w:val="ru-RU"/>
        </w:rPr>
      </w:pPr>
      <w:r w:rsidRPr="007F5899">
        <w:rPr>
          <w:lang w:val="ru-RU"/>
        </w:rPr>
        <w:t>8.48</w:t>
      </w:r>
      <w:r w:rsidRPr="007F5899">
        <w:rPr>
          <w:lang w:val="ru-RU"/>
        </w:rPr>
        <w:tab/>
      </w:r>
      <w:r w:rsidR="000F31C9" w:rsidRPr="007F5899">
        <w:rPr>
          <w:lang w:val="ru-RU"/>
        </w:rPr>
        <w:t>Свободный оборот товаров Союза не может затрудняться в результате увеличения закупочной цены, связанного с уплатой таможенных пошлин на импорт или экспорт. В противном случае свобода Союза будет считаться ущемленной в той степени, в которой начисление таможенных пошлин может вести к ситуации, вынуждающей организацию искать источники поставок внутри страны пребывания.</w:t>
      </w:r>
    </w:p>
    <w:p w:rsidR="000F31C9" w:rsidRPr="007F5899" w:rsidRDefault="008C3D42" w:rsidP="008C3D42">
      <w:pPr>
        <w:rPr>
          <w:lang w:val="ru-RU"/>
        </w:rPr>
      </w:pPr>
      <w:r w:rsidRPr="007F5899">
        <w:rPr>
          <w:lang w:val="ru-RU"/>
        </w:rPr>
        <w:t>8.49</w:t>
      </w:r>
      <w:r w:rsidRPr="007F5899">
        <w:rPr>
          <w:lang w:val="ru-RU"/>
        </w:rPr>
        <w:tab/>
      </w:r>
      <w:r w:rsidR="000F31C9" w:rsidRPr="007F5899">
        <w:rPr>
          <w:lang w:val="ru-RU"/>
        </w:rPr>
        <w:t>В равной степени данная свобода не должна ущемляться в результате административных препятствий. Запрет или ограничение оборота товаров Союза в силу административных предписаний, вынуждающих Союз приобретать товары на местных рынках страны пребывания, являются недопустимыми.</w:t>
      </w:r>
    </w:p>
    <w:p w:rsidR="000F31C9" w:rsidRPr="007F5899" w:rsidRDefault="008C3D42" w:rsidP="00DD4F12">
      <w:pPr>
        <w:rPr>
          <w:lang w:val="ru-RU"/>
        </w:rPr>
      </w:pPr>
      <w:r w:rsidRPr="007F5899">
        <w:rPr>
          <w:lang w:val="ru-RU"/>
        </w:rPr>
        <w:t>8.</w:t>
      </w:r>
      <w:proofErr w:type="gramStart"/>
      <w:r w:rsidRPr="007F5899">
        <w:rPr>
          <w:lang w:val="ru-RU"/>
        </w:rPr>
        <w:t>50</w:t>
      </w:r>
      <w:r w:rsidRPr="007F5899">
        <w:rPr>
          <w:lang w:val="ru-RU"/>
        </w:rPr>
        <w:tab/>
      </w:r>
      <w:r w:rsidR="00D83B5A" w:rsidRPr="007F5899">
        <w:rPr>
          <w:lang w:val="ru-RU"/>
        </w:rPr>
        <w:t>С</w:t>
      </w:r>
      <w:r w:rsidR="000F31C9" w:rsidRPr="007F5899">
        <w:rPr>
          <w:lang w:val="ru-RU"/>
        </w:rPr>
        <w:t>ледовательно</w:t>
      </w:r>
      <w:proofErr w:type="gramEnd"/>
      <w:r w:rsidR="000F31C9" w:rsidRPr="007F5899">
        <w:rPr>
          <w:lang w:val="ru-RU"/>
        </w:rPr>
        <w:t xml:space="preserve"> в соглашении о штаб-квартире важно четко указать, что товары Союза освобождаются от уплаты таможенных пошлин и не подлежат действию каких-либо запретов или ограничений на импорт или экспорт.</w:t>
      </w:r>
    </w:p>
    <w:p w:rsidR="000F31C9" w:rsidRPr="007F5899" w:rsidRDefault="008C3D42" w:rsidP="008C3D42">
      <w:pPr>
        <w:rPr>
          <w:lang w:val="ru-RU"/>
        </w:rPr>
      </w:pPr>
      <w:r w:rsidRPr="007F5899">
        <w:rPr>
          <w:lang w:val="ru-RU"/>
        </w:rPr>
        <w:t>8.51</w:t>
      </w:r>
      <w:r w:rsidRPr="007F5899">
        <w:rPr>
          <w:lang w:val="ru-RU"/>
        </w:rPr>
        <w:tab/>
      </w:r>
      <w:r w:rsidR="000F31C9" w:rsidRPr="007F5899">
        <w:rPr>
          <w:lang w:val="ru-RU"/>
        </w:rPr>
        <w:t>Помимо привилегий, иммунитетов и льгот, предоставляемых МСЭ как юридическому лицу, соглашение о штаб-квартире должно содержать точные и подробные положения о привилегиях, иммунитетах и льготах, предоставляемых физическим лицам, принимающим участие в его работе, и его персоналу.</w:t>
      </w:r>
    </w:p>
    <w:p w:rsidR="000F31C9" w:rsidRPr="007F5899" w:rsidRDefault="000F31C9" w:rsidP="008C3D42">
      <w:pPr>
        <w:pStyle w:val="Headingb"/>
        <w:rPr>
          <w:lang w:val="ru-RU"/>
        </w:rPr>
      </w:pPr>
      <w:r w:rsidRPr="007F5899">
        <w:rPr>
          <w:lang w:val="ru-RU"/>
        </w:rPr>
        <w:t>Привилегии, иммунитеты и льготы, предоставляемые участникам мероприятий Союза</w:t>
      </w:r>
    </w:p>
    <w:p w:rsidR="000F31C9" w:rsidRPr="007F5899" w:rsidRDefault="008C3D42" w:rsidP="00D83B5A">
      <w:pPr>
        <w:rPr>
          <w:lang w:val="ru-RU"/>
        </w:rPr>
      </w:pPr>
      <w:r w:rsidRPr="007F5899">
        <w:rPr>
          <w:lang w:val="ru-RU"/>
        </w:rPr>
        <w:t>8.52</w:t>
      </w:r>
      <w:r w:rsidRPr="007F5899">
        <w:rPr>
          <w:lang w:val="ru-RU"/>
        </w:rPr>
        <w:tab/>
      </w:r>
      <w:r w:rsidR="000F31C9" w:rsidRPr="007F5899">
        <w:rPr>
          <w:lang w:val="ru-RU"/>
        </w:rPr>
        <w:t>В этой связи соглашение о штаб-квартире должно четко определять привилегии, иммунитеты и льготы, предоставляемые представителям (постоянным или обладающим иными полномочиями) Государств</w:t>
      </w:r>
      <w:r w:rsidR="00D83B5A" w:rsidRPr="007F5899">
        <w:rPr>
          <w:lang w:val="ru-RU"/>
        </w:rPr>
        <w:t xml:space="preserve"> − </w:t>
      </w:r>
      <w:r w:rsidR="000F31C9" w:rsidRPr="007F5899">
        <w:rPr>
          <w:lang w:val="ru-RU"/>
        </w:rPr>
        <w:t xml:space="preserve">Членов Союза, членам </w:t>
      </w:r>
      <w:proofErr w:type="spellStart"/>
      <w:r w:rsidR="000F31C9" w:rsidRPr="007F5899">
        <w:rPr>
          <w:lang w:val="ru-RU"/>
        </w:rPr>
        <w:t>РРК</w:t>
      </w:r>
      <w:proofErr w:type="spellEnd"/>
      <w:r w:rsidR="000F31C9" w:rsidRPr="007F5899">
        <w:rPr>
          <w:lang w:val="ru-RU"/>
        </w:rPr>
        <w:t xml:space="preserve"> и экспертам миссий Союза.</w:t>
      </w:r>
    </w:p>
    <w:p w:rsidR="000F31C9" w:rsidRPr="007F5899" w:rsidRDefault="008C3D42" w:rsidP="008C3D42">
      <w:pPr>
        <w:rPr>
          <w:lang w:val="ru-RU"/>
        </w:rPr>
      </w:pPr>
      <w:r w:rsidRPr="007F5899">
        <w:rPr>
          <w:lang w:val="ru-RU"/>
        </w:rPr>
        <w:t>8.53</w:t>
      </w:r>
      <w:r w:rsidRPr="007F5899">
        <w:rPr>
          <w:lang w:val="ru-RU"/>
        </w:rPr>
        <w:tab/>
      </w:r>
      <w:r w:rsidR="000F31C9" w:rsidRPr="007F5899">
        <w:rPr>
          <w:lang w:val="ru-RU"/>
        </w:rPr>
        <w:t xml:space="preserve">На данном этапе, не вдаваясь в подробности и не составляя исчерпывающих перечней, необходимо помнить, что, по своей сути, постоянные представители обладают дипломатическими иммунитетами и привилегиями, тогда как все прочие представители имеют функциональные привилегии и иммунитеты (иммунитет от ареста или содержания под стражей в связи с совершенными действиями, высказанными словами или материалами, написанными в рамках выполнения ими своих обязанностей, изъятие из юрисдикции, неприкосновенность личности и места жительства, освобождение от ограничительных мер в связи с въездом и пребыванием на территории, таможенные льготы, льготы, касающиеся денежных или </w:t>
      </w:r>
      <w:proofErr w:type="spellStart"/>
      <w:r w:rsidR="000F31C9" w:rsidRPr="007F5899">
        <w:rPr>
          <w:lang w:val="ru-RU"/>
        </w:rPr>
        <w:t>валютообменных</w:t>
      </w:r>
      <w:proofErr w:type="spellEnd"/>
      <w:r w:rsidR="000F31C9" w:rsidRPr="007F5899">
        <w:rPr>
          <w:lang w:val="ru-RU"/>
        </w:rPr>
        <w:t xml:space="preserve"> норм и пр.).</w:t>
      </w:r>
    </w:p>
    <w:p w:rsidR="000F31C9" w:rsidRPr="007F5899" w:rsidRDefault="008C3D42" w:rsidP="008C3D42">
      <w:pPr>
        <w:rPr>
          <w:lang w:val="ru-RU"/>
        </w:rPr>
      </w:pPr>
      <w:r w:rsidRPr="007F5899">
        <w:rPr>
          <w:lang w:val="ru-RU"/>
        </w:rPr>
        <w:t>8.54</w:t>
      </w:r>
      <w:r w:rsidRPr="007F5899">
        <w:rPr>
          <w:lang w:val="ru-RU"/>
        </w:rPr>
        <w:tab/>
      </w:r>
      <w:r w:rsidR="000F31C9" w:rsidRPr="007F5899">
        <w:rPr>
          <w:lang w:val="ru-RU"/>
        </w:rPr>
        <w:t xml:space="preserve">В отношении членов </w:t>
      </w:r>
      <w:proofErr w:type="spellStart"/>
      <w:r w:rsidR="000F31C9" w:rsidRPr="007F5899">
        <w:rPr>
          <w:lang w:val="ru-RU"/>
        </w:rPr>
        <w:t>РРК</w:t>
      </w:r>
      <w:proofErr w:type="spellEnd"/>
      <w:r w:rsidR="000F31C9" w:rsidRPr="007F5899">
        <w:rPr>
          <w:lang w:val="ru-RU"/>
        </w:rPr>
        <w:t xml:space="preserve"> следует включить в соглашение о штаб-квартире положения, согласующиеся с пунктом 142А Устава.</w:t>
      </w:r>
    </w:p>
    <w:p w:rsidR="000F31C9" w:rsidRPr="007F5899" w:rsidRDefault="008C3D42" w:rsidP="008C3D42">
      <w:pPr>
        <w:rPr>
          <w:lang w:val="ru-RU"/>
        </w:rPr>
      </w:pPr>
      <w:r w:rsidRPr="007F5899">
        <w:rPr>
          <w:lang w:val="ru-RU"/>
        </w:rPr>
        <w:t>8.55</w:t>
      </w:r>
      <w:r w:rsidRPr="007F5899">
        <w:rPr>
          <w:lang w:val="ru-RU"/>
        </w:rPr>
        <w:tab/>
      </w:r>
      <w:r w:rsidR="000F31C9" w:rsidRPr="007F5899">
        <w:rPr>
          <w:lang w:val="ru-RU"/>
        </w:rPr>
        <w:t xml:space="preserve">Эксперты, выполняющие определенные миссии Союза в его штаб-квартире, в течение всего срока действия миссии также должны пользоваться теми привилегиями и иммунитетами, которые необходимы в целях самостоятельного выполнения ими возложенных на них функций. Такие привилегии и иммунитеты, закрепленные соглашением о штаб-квартире, включают, среди прочего, освобождение от иммиграционных ограничений на территории страны пребывания, иммунитет от ареста или содержания под стражей и от выемки личного багажа, иммунитет от юрисдикции в связи с совершенными действиями, высказанными словами или материалами, написанными в рамках выполнения ими своих обязанностей, неприкосновенность всех документов, льготы, касающиеся валютных или </w:t>
      </w:r>
      <w:proofErr w:type="spellStart"/>
      <w:r w:rsidR="000F31C9" w:rsidRPr="007F5899">
        <w:rPr>
          <w:lang w:val="ru-RU"/>
        </w:rPr>
        <w:t>валютообменных</w:t>
      </w:r>
      <w:proofErr w:type="spellEnd"/>
      <w:r w:rsidR="000F31C9" w:rsidRPr="007F5899">
        <w:rPr>
          <w:lang w:val="ru-RU"/>
        </w:rPr>
        <w:t xml:space="preserve"> норм и пр.</w:t>
      </w:r>
    </w:p>
    <w:p w:rsidR="000F31C9" w:rsidRPr="007F5899" w:rsidRDefault="000F31C9" w:rsidP="008C3D42">
      <w:pPr>
        <w:pStyle w:val="Headingb"/>
        <w:rPr>
          <w:lang w:val="ru-RU"/>
        </w:rPr>
      </w:pPr>
      <w:r w:rsidRPr="007F5899">
        <w:rPr>
          <w:lang w:val="ru-RU"/>
        </w:rPr>
        <w:lastRenderedPageBreak/>
        <w:t>Привилегии, иммунитеты и льготы, предоставляемые сотрудникам Союза</w:t>
      </w:r>
    </w:p>
    <w:p w:rsidR="000F31C9" w:rsidRPr="007F5899" w:rsidRDefault="008C3D42" w:rsidP="008C3D42">
      <w:pPr>
        <w:rPr>
          <w:lang w:val="ru-RU"/>
        </w:rPr>
      </w:pPr>
      <w:r w:rsidRPr="007F5899">
        <w:rPr>
          <w:lang w:val="ru-RU"/>
        </w:rPr>
        <w:t>8.56</w:t>
      </w:r>
      <w:r w:rsidRPr="007F5899">
        <w:rPr>
          <w:lang w:val="ru-RU"/>
        </w:rPr>
        <w:tab/>
      </w:r>
      <w:r w:rsidR="000F31C9" w:rsidRPr="007F5899">
        <w:rPr>
          <w:lang w:val="ru-RU"/>
        </w:rPr>
        <w:t>Пять выборных должностных лиц и назначаемые сотрудники некоторых категорий (в должностях категории Р5 и выше) должны, в силу соглашения о штаб-квартире, пользоваться на территории страны пребывания привилегиями, иммунитетами, исключениями и льготами, предоставляемыми работникам дипломатических миссий согласно нормам и правилам международного права.</w:t>
      </w:r>
    </w:p>
    <w:p w:rsidR="000F31C9" w:rsidRPr="007F5899" w:rsidRDefault="008C3D42" w:rsidP="008C3D42">
      <w:pPr>
        <w:rPr>
          <w:lang w:val="ru-RU"/>
        </w:rPr>
      </w:pPr>
      <w:r w:rsidRPr="007F5899">
        <w:rPr>
          <w:lang w:val="ru-RU"/>
        </w:rPr>
        <w:t>8.57</w:t>
      </w:r>
      <w:r w:rsidRPr="007F5899">
        <w:rPr>
          <w:lang w:val="ru-RU"/>
        </w:rPr>
        <w:tab/>
      </w:r>
      <w:r w:rsidR="000F31C9" w:rsidRPr="007F5899">
        <w:rPr>
          <w:lang w:val="ru-RU"/>
        </w:rPr>
        <w:t>Более того, всем сотрудникам независимо от категории их должности и гражданства, включая граждан страны пребывания, должны быть предоставлены, в силу соглашения о штаб-квартире, по меньшей мере, следующие привилегии, иммунитеты и льготы: иммунитет от юрисдикции в отношении совершенных действий, высказанных слов или материалов, написанных в рамках выполнения ими своих обязанностей; освобождение от всех (национальных, региональных, местных) налогов на заработную плату, вознаграждения и компенсации, выплачиваемые им Союзом, капитализированные суммы, выплачиваемые им из пенсионного или страхового фонда, учрежденного в пользу сотрудников, любого рода компенсации по болезни или в связи с несчастным случаем; освобождение от воинской службы на территории страны пребывания (кроме сотрудников, являющихся гражданами страны пребывания); отсутствие иммиграционных ограничений или регистрационных процедур, применяемых в отношении подданных других государств (включая их супругов и членов семьи); льготы по обмену валюты; льготы по репатриации в случае международного кризиса (в том числе для членов их семей и их домашних работников); таможенные льготы и пр.</w:t>
      </w:r>
    </w:p>
    <w:p w:rsidR="000F31C9" w:rsidRPr="007F5899" w:rsidRDefault="008C3D42" w:rsidP="008C3D42">
      <w:pPr>
        <w:rPr>
          <w:lang w:val="ru-RU"/>
        </w:rPr>
      </w:pPr>
      <w:r w:rsidRPr="007F5899">
        <w:rPr>
          <w:lang w:val="ru-RU"/>
        </w:rPr>
        <w:t>8.58</w:t>
      </w:r>
      <w:r w:rsidRPr="007F5899">
        <w:rPr>
          <w:lang w:val="ru-RU"/>
        </w:rPr>
        <w:tab/>
      </w:r>
      <w:r w:rsidR="000F31C9" w:rsidRPr="007F5899">
        <w:rPr>
          <w:lang w:val="ru-RU"/>
        </w:rPr>
        <w:t>В то же время, соглашение о штаб-</w:t>
      </w:r>
      <w:r w:rsidR="00356558" w:rsidRPr="007F5899">
        <w:rPr>
          <w:lang w:val="ru-RU"/>
        </w:rPr>
        <w:t>квартире должно предусматривать</w:t>
      </w:r>
      <w:r w:rsidR="000F31C9" w:rsidRPr="007F5899">
        <w:rPr>
          <w:lang w:val="ru-RU"/>
        </w:rPr>
        <w:t xml:space="preserve"> как в отношении участников мероприятий МСЭ, так и в отно</w:t>
      </w:r>
      <w:r w:rsidR="00356558" w:rsidRPr="007F5899">
        <w:rPr>
          <w:lang w:val="ru-RU"/>
        </w:rPr>
        <w:t>шении штатных сотрудников Союза</w:t>
      </w:r>
      <w:r w:rsidR="000F31C9" w:rsidRPr="007F5899">
        <w:rPr>
          <w:lang w:val="ru-RU"/>
        </w:rPr>
        <w:t xml:space="preserve"> упрощенный и ускоренный порядок выдачи виз без внесения каких-либо сборов и бесплатную выдачу сотрудникам и членам их семей документов, составляющих вид на жительство в стране пребывания. Наконец, упрощенные и неограничительные механизмы доступа к рынку труда в стране пребывания для супругов сотрудников также должны быть включены в соглашение о штаб-квартире.</w:t>
      </w:r>
    </w:p>
    <w:p w:rsidR="000F31C9" w:rsidRPr="007F5899" w:rsidRDefault="000F31C9" w:rsidP="008C3D42">
      <w:pPr>
        <w:pStyle w:val="Headingb"/>
        <w:rPr>
          <w:lang w:val="ru-RU"/>
        </w:rPr>
      </w:pPr>
      <w:r w:rsidRPr="007F5899">
        <w:rPr>
          <w:lang w:val="ru-RU"/>
        </w:rPr>
        <w:t>Социальное страхование</w:t>
      </w:r>
    </w:p>
    <w:p w:rsidR="000F31C9" w:rsidRPr="007F5899" w:rsidRDefault="008C3D42" w:rsidP="008C3D42">
      <w:pPr>
        <w:rPr>
          <w:lang w:val="ru-RU"/>
        </w:rPr>
      </w:pPr>
      <w:r w:rsidRPr="007F5899">
        <w:rPr>
          <w:lang w:val="ru-RU"/>
        </w:rPr>
        <w:t>8.59</w:t>
      </w:r>
      <w:r w:rsidRPr="007F5899">
        <w:rPr>
          <w:lang w:val="ru-RU"/>
        </w:rPr>
        <w:tab/>
      </w:r>
      <w:r w:rsidR="000F31C9" w:rsidRPr="007F5899">
        <w:rPr>
          <w:lang w:val="ru-RU"/>
        </w:rPr>
        <w:t>В завершение настоящего краткого обзора, который ни при каких условиях нельзя назвать исчерпывающим, важно отметить, что соглашение о штаб-квартире также должно содержать положения об освобождении Союза от всех обязательных взносов в общие фонды социального страхования страны пребывания.</w:t>
      </w:r>
    </w:p>
    <w:p w:rsidR="000F31C9" w:rsidRPr="007F5899" w:rsidRDefault="000F31C9" w:rsidP="008C3D42">
      <w:pPr>
        <w:pStyle w:val="Headingb"/>
        <w:rPr>
          <w:lang w:val="ru-RU"/>
        </w:rPr>
      </w:pPr>
      <w:r w:rsidRPr="007F5899">
        <w:rPr>
          <w:lang w:val="ru-RU"/>
        </w:rPr>
        <w:t>Заключение</w:t>
      </w:r>
    </w:p>
    <w:p w:rsidR="000F31C9" w:rsidRPr="007F5899" w:rsidRDefault="008C3D42" w:rsidP="008C3D42">
      <w:pPr>
        <w:rPr>
          <w:lang w:val="ru-RU"/>
        </w:rPr>
      </w:pPr>
      <w:r w:rsidRPr="007F5899">
        <w:rPr>
          <w:lang w:val="ru-RU"/>
        </w:rPr>
        <w:t>8.60</w:t>
      </w:r>
      <w:r w:rsidRPr="007F5899">
        <w:rPr>
          <w:lang w:val="ru-RU"/>
        </w:rPr>
        <w:tab/>
      </w:r>
      <w:r w:rsidR="000F31C9" w:rsidRPr="007F5899">
        <w:rPr>
          <w:lang w:val="ru-RU"/>
        </w:rPr>
        <w:t>Переговоры по соглашению о штаб-квартире являются процессом, который может оказаться длительным и сложным (в зависимости от юридической и организационной базы, а также экономической и социальной структуры страны пребывания), особенно, если страна пребывания не является участником Конвенции 1947 года о привилегиях и иммунитетах специализированных учреждений.</w:t>
      </w:r>
    </w:p>
    <w:p w:rsidR="000F31C9" w:rsidRPr="007F5899" w:rsidRDefault="008C3D42" w:rsidP="008C3D42">
      <w:pPr>
        <w:pStyle w:val="Headingb"/>
        <w:rPr>
          <w:lang w:val="ru-RU"/>
        </w:rPr>
      </w:pPr>
      <w:r w:rsidRPr="007F5899">
        <w:rPr>
          <w:lang w:val="ru-RU"/>
        </w:rPr>
        <w:t>a)</w:t>
      </w:r>
      <w:r w:rsidRPr="007F5899">
        <w:rPr>
          <w:lang w:val="ru-RU"/>
        </w:rPr>
        <w:tab/>
      </w:r>
      <w:r w:rsidR="000F31C9" w:rsidRPr="007F5899">
        <w:rPr>
          <w:lang w:val="ru-RU"/>
        </w:rPr>
        <w:t>Расторжение и проведение новых переговоров по соглашениям и договорам об обслуживании штаб-квартиры Союза</w:t>
      </w:r>
    </w:p>
    <w:p w:rsidR="000F31C9" w:rsidRPr="007F5899" w:rsidRDefault="008C3D42" w:rsidP="008C3D42">
      <w:pPr>
        <w:rPr>
          <w:lang w:val="ru-RU"/>
        </w:rPr>
      </w:pPr>
      <w:r w:rsidRPr="007F5899">
        <w:rPr>
          <w:lang w:val="ru-RU"/>
        </w:rPr>
        <w:t>8.61</w:t>
      </w:r>
      <w:r w:rsidRPr="007F5899">
        <w:rPr>
          <w:lang w:val="ru-RU"/>
        </w:rPr>
        <w:tab/>
      </w:r>
      <w:r w:rsidR="000F31C9" w:rsidRPr="007F5899">
        <w:rPr>
          <w:lang w:val="ru-RU"/>
        </w:rPr>
        <w:t>Есть вероятность того, что перенос штаб-квартиры Союза будет, кроме прочего, означать необходимость расторжения большинства договоров об обслуживании штаб-квартиры, организации процесса присуждения договоров в соответствии с внутренними правилами снабжения и проведения переговоров с победителями тендера.</w:t>
      </w:r>
    </w:p>
    <w:p w:rsidR="000F31C9" w:rsidRPr="007F5899" w:rsidRDefault="008C3D42" w:rsidP="008C3D42">
      <w:pPr>
        <w:pStyle w:val="Headingb"/>
        <w:rPr>
          <w:lang w:val="ru-RU"/>
        </w:rPr>
      </w:pPr>
      <w:r w:rsidRPr="007F5899">
        <w:rPr>
          <w:lang w:val="ru-RU"/>
        </w:rPr>
        <w:t>b)</w:t>
      </w:r>
      <w:r w:rsidRPr="007F5899">
        <w:rPr>
          <w:lang w:val="ru-RU"/>
        </w:rPr>
        <w:tab/>
      </w:r>
      <w:r w:rsidR="000F31C9" w:rsidRPr="007F5899">
        <w:rPr>
          <w:lang w:val="ru-RU"/>
        </w:rPr>
        <w:t xml:space="preserve">Возможная передача "права </w:t>
      </w:r>
      <w:proofErr w:type="spellStart"/>
      <w:r w:rsidR="000F31C9" w:rsidRPr="007F5899">
        <w:rPr>
          <w:lang w:val="ru-RU"/>
        </w:rPr>
        <w:t>суперфиции</w:t>
      </w:r>
      <w:proofErr w:type="spellEnd"/>
      <w:r w:rsidR="000F31C9" w:rsidRPr="007F5899">
        <w:rPr>
          <w:lang w:val="ru-RU"/>
        </w:rPr>
        <w:t>", принадлежащего МСЭ</w:t>
      </w:r>
    </w:p>
    <w:p w:rsidR="000F31C9" w:rsidRPr="007F5899" w:rsidRDefault="008C3D42" w:rsidP="008C3D42">
      <w:pPr>
        <w:rPr>
          <w:lang w:val="ru-RU"/>
        </w:rPr>
      </w:pPr>
      <w:r w:rsidRPr="007F5899">
        <w:rPr>
          <w:lang w:val="ru-RU"/>
        </w:rPr>
        <w:t>8.62</w:t>
      </w:r>
      <w:r w:rsidRPr="007F5899">
        <w:rPr>
          <w:lang w:val="ru-RU"/>
        </w:rPr>
        <w:tab/>
      </w:r>
      <w:r w:rsidR="000F31C9" w:rsidRPr="007F5899">
        <w:rPr>
          <w:lang w:val="ru-RU"/>
        </w:rPr>
        <w:t xml:space="preserve">В случае переноса штаб-квартиры Союза за пределы Женевы у Союза не останется других вариантов, кроме переуступки "права </w:t>
      </w:r>
      <w:proofErr w:type="spellStart"/>
      <w:r w:rsidR="000F31C9" w:rsidRPr="007F5899">
        <w:rPr>
          <w:lang w:val="ru-RU"/>
        </w:rPr>
        <w:t>суперфиции</w:t>
      </w:r>
      <w:proofErr w:type="spellEnd"/>
      <w:r w:rsidR="000F31C9" w:rsidRPr="007F5899">
        <w:rPr>
          <w:lang w:val="ru-RU"/>
        </w:rPr>
        <w:t>", предоставленного ему администрацией Женевы.</w:t>
      </w:r>
    </w:p>
    <w:p w:rsidR="000F31C9" w:rsidRPr="007F5899" w:rsidRDefault="000F31C9" w:rsidP="008C3D42">
      <w:pPr>
        <w:pStyle w:val="Headingb"/>
        <w:rPr>
          <w:lang w:val="ru-RU"/>
        </w:rPr>
      </w:pPr>
      <w:r w:rsidRPr="007F5899">
        <w:rPr>
          <w:lang w:val="ru-RU"/>
        </w:rPr>
        <w:lastRenderedPageBreak/>
        <w:t xml:space="preserve">Что такое "право </w:t>
      </w:r>
      <w:proofErr w:type="spellStart"/>
      <w:r w:rsidRPr="007F5899">
        <w:rPr>
          <w:lang w:val="ru-RU"/>
        </w:rPr>
        <w:t>суперфиции</w:t>
      </w:r>
      <w:proofErr w:type="spellEnd"/>
      <w:r w:rsidRPr="007F5899">
        <w:rPr>
          <w:lang w:val="ru-RU"/>
        </w:rPr>
        <w:t>"?</w:t>
      </w:r>
    </w:p>
    <w:p w:rsidR="000F31C9" w:rsidRPr="007F5899" w:rsidRDefault="008C3D42" w:rsidP="008C3D42">
      <w:pPr>
        <w:rPr>
          <w:lang w:val="ru-RU"/>
        </w:rPr>
      </w:pPr>
      <w:r w:rsidRPr="007F5899">
        <w:rPr>
          <w:lang w:val="ru-RU"/>
        </w:rPr>
        <w:t>8.63</w:t>
      </w:r>
      <w:r w:rsidRPr="007F5899">
        <w:rPr>
          <w:lang w:val="ru-RU"/>
        </w:rPr>
        <w:tab/>
      </w:r>
      <w:r w:rsidR="000F31C9" w:rsidRPr="007F5899">
        <w:rPr>
          <w:lang w:val="ru-RU"/>
        </w:rPr>
        <w:t xml:space="preserve">По сути, "право </w:t>
      </w:r>
      <w:proofErr w:type="spellStart"/>
      <w:r w:rsidR="000F31C9" w:rsidRPr="007F5899">
        <w:rPr>
          <w:lang w:val="ru-RU"/>
        </w:rPr>
        <w:t>суперфиции</w:t>
      </w:r>
      <w:proofErr w:type="spellEnd"/>
      <w:r w:rsidR="000F31C9" w:rsidRPr="007F5899">
        <w:rPr>
          <w:lang w:val="ru-RU"/>
        </w:rPr>
        <w:t>" – это право пользования, позволяющее его обладателю, в данном случае МСЭ, разместить здания и сооружения для собственных нужд на определенном земельном участке.</w:t>
      </w:r>
    </w:p>
    <w:p w:rsidR="000F31C9" w:rsidRPr="007F5899" w:rsidRDefault="008C3D42" w:rsidP="008C3D42">
      <w:pPr>
        <w:rPr>
          <w:lang w:val="ru-RU"/>
        </w:rPr>
      </w:pPr>
      <w:r w:rsidRPr="007F5899">
        <w:rPr>
          <w:lang w:val="ru-RU"/>
        </w:rPr>
        <w:t>8.64</w:t>
      </w:r>
      <w:r w:rsidRPr="007F5899">
        <w:rPr>
          <w:lang w:val="ru-RU"/>
        </w:rPr>
        <w:tab/>
      </w:r>
      <w:r w:rsidR="000F31C9" w:rsidRPr="007F5899">
        <w:rPr>
          <w:lang w:val="ru-RU"/>
        </w:rPr>
        <w:t xml:space="preserve">Другими словами, "право </w:t>
      </w:r>
      <w:proofErr w:type="spellStart"/>
      <w:r w:rsidR="000F31C9" w:rsidRPr="007F5899">
        <w:rPr>
          <w:lang w:val="ru-RU"/>
        </w:rPr>
        <w:t>суперфиции</w:t>
      </w:r>
      <w:proofErr w:type="spellEnd"/>
      <w:r w:rsidR="000F31C9" w:rsidRPr="007F5899">
        <w:rPr>
          <w:lang w:val="ru-RU"/>
        </w:rPr>
        <w:t>" – это право, на основании которого МСЭ владеет одним или несколькими зданиями, построенными на земле, принадлежащей третьей стороне, в данном случае – администрации Женевы.</w:t>
      </w:r>
    </w:p>
    <w:p w:rsidR="000F31C9" w:rsidRPr="007F5899" w:rsidRDefault="008C3D42" w:rsidP="008C3D42">
      <w:pPr>
        <w:rPr>
          <w:lang w:val="ru-RU"/>
        </w:rPr>
      </w:pPr>
      <w:r w:rsidRPr="007F5899">
        <w:rPr>
          <w:lang w:val="ru-RU"/>
        </w:rPr>
        <w:t>8.65</w:t>
      </w:r>
      <w:r w:rsidRPr="007F5899">
        <w:rPr>
          <w:lang w:val="ru-RU"/>
        </w:rPr>
        <w:tab/>
      </w:r>
      <w:r w:rsidR="000F31C9" w:rsidRPr="007F5899">
        <w:rPr>
          <w:lang w:val="ru-RU"/>
        </w:rPr>
        <w:t>Такое право было изначально предоставлено Союзу бесплатно на основании аутентичного акта, подписанного в присутствии нотариуса 22 декабря 1967 года. Выделенный таким образом участок был впоследствии несколько раз видоизменен в результате строительства Союзом нескольких зданий.</w:t>
      </w:r>
    </w:p>
    <w:p w:rsidR="000F31C9" w:rsidRPr="007F5899" w:rsidRDefault="008C3D42" w:rsidP="00DD4F12">
      <w:pPr>
        <w:rPr>
          <w:lang w:val="ru-RU"/>
        </w:rPr>
      </w:pPr>
      <w:r w:rsidRPr="007F5899">
        <w:rPr>
          <w:lang w:val="ru-RU"/>
        </w:rPr>
        <w:t>8.66</w:t>
      </w:r>
      <w:r w:rsidRPr="007F5899">
        <w:rPr>
          <w:lang w:val="ru-RU"/>
        </w:rPr>
        <w:tab/>
      </w:r>
      <w:r w:rsidR="000F31C9" w:rsidRPr="007F5899">
        <w:rPr>
          <w:lang w:val="ru-RU"/>
        </w:rPr>
        <w:t>Данное право не является постоянным, и срок его действия для МСЭ истекает 31 декабря 2079</w:t>
      </w:r>
      <w:r w:rsidR="00DD4F12" w:rsidRPr="007F5899">
        <w:rPr>
          <w:lang w:val="ru-RU"/>
        </w:rPr>
        <w:t> </w:t>
      </w:r>
      <w:r w:rsidR="000F31C9" w:rsidRPr="007F5899">
        <w:rPr>
          <w:lang w:val="ru-RU"/>
        </w:rPr>
        <w:t>года. При этом, такое право пользования можно продлить и, более того, передать.</w:t>
      </w:r>
    </w:p>
    <w:p w:rsidR="000F31C9" w:rsidRPr="007F5899" w:rsidRDefault="008C3D42" w:rsidP="008C3D42">
      <w:pPr>
        <w:rPr>
          <w:lang w:val="ru-RU"/>
        </w:rPr>
      </w:pPr>
      <w:r w:rsidRPr="007F5899">
        <w:rPr>
          <w:lang w:val="ru-RU"/>
        </w:rPr>
        <w:t>8.67</w:t>
      </w:r>
      <w:r w:rsidRPr="007F5899">
        <w:rPr>
          <w:lang w:val="ru-RU"/>
        </w:rPr>
        <w:tab/>
      </w:r>
      <w:r w:rsidR="000F31C9" w:rsidRPr="007F5899">
        <w:rPr>
          <w:lang w:val="ru-RU"/>
        </w:rPr>
        <w:t xml:space="preserve">Если в 2079 году "право </w:t>
      </w:r>
      <w:proofErr w:type="spellStart"/>
      <w:r w:rsidR="000F31C9" w:rsidRPr="007F5899">
        <w:rPr>
          <w:lang w:val="ru-RU"/>
        </w:rPr>
        <w:t>суперфиции</w:t>
      </w:r>
      <w:proofErr w:type="spellEnd"/>
      <w:r w:rsidR="000F31C9" w:rsidRPr="007F5899">
        <w:rPr>
          <w:lang w:val="ru-RU"/>
        </w:rPr>
        <w:t>" не будет продлено, здания, построенные на соответствующем земельном участке, переходят в собственность владельца земли, а именно: администрации Женевы, возможно, на условиях выплаты компенсации, если МСЭ проводил какие-либо расширения, преобразования или реконструкции зданий, связанные со значительными инвестициями, еще не амортизированными на момент истечения срока действия права.</w:t>
      </w:r>
    </w:p>
    <w:p w:rsidR="000F31C9" w:rsidRPr="007F5899" w:rsidRDefault="000F31C9" w:rsidP="008C3D42">
      <w:pPr>
        <w:pStyle w:val="Headingb"/>
        <w:rPr>
          <w:lang w:val="ru-RU"/>
        </w:rPr>
      </w:pPr>
      <w:r w:rsidRPr="007F5899">
        <w:rPr>
          <w:lang w:val="ru-RU"/>
        </w:rPr>
        <w:t xml:space="preserve">Порядок и условия передачи "права </w:t>
      </w:r>
      <w:proofErr w:type="spellStart"/>
      <w:r w:rsidRPr="007F5899">
        <w:rPr>
          <w:lang w:val="ru-RU"/>
        </w:rPr>
        <w:t>суперфиции</w:t>
      </w:r>
      <w:proofErr w:type="spellEnd"/>
      <w:r w:rsidRPr="007F5899">
        <w:rPr>
          <w:lang w:val="ru-RU"/>
        </w:rPr>
        <w:t>"</w:t>
      </w:r>
    </w:p>
    <w:p w:rsidR="000F31C9" w:rsidRPr="007F5899" w:rsidRDefault="008C3D42" w:rsidP="008C3D42">
      <w:pPr>
        <w:rPr>
          <w:lang w:val="ru-RU"/>
        </w:rPr>
      </w:pPr>
      <w:r w:rsidRPr="007F5899">
        <w:rPr>
          <w:lang w:val="ru-RU"/>
        </w:rPr>
        <w:t>8.68</w:t>
      </w:r>
      <w:r w:rsidRPr="007F5899">
        <w:rPr>
          <w:lang w:val="ru-RU"/>
        </w:rPr>
        <w:tab/>
      </w:r>
      <w:r w:rsidR="000F31C9" w:rsidRPr="007F5899">
        <w:rPr>
          <w:lang w:val="ru-RU"/>
        </w:rPr>
        <w:t>Как упоминалось выше, право пользования можно передать в любой момент времени.</w:t>
      </w:r>
    </w:p>
    <w:p w:rsidR="000F31C9" w:rsidRPr="007F5899" w:rsidRDefault="008C3D42" w:rsidP="008C3D42">
      <w:pPr>
        <w:rPr>
          <w:lang w:val="ru-RU"/>
        </w:rPr>
      </w:pPr>
      <w:r w:rsidRPr="007F5899">
        <w:rPr>
          <w:lang w:val="ru-RU"/>
        </w:rPr>
        <w:t>8.69</w:t>
      </w:r>
      <w:r w:rsidRPr="007F5899">
        <w:rPr>
          <w:lang w:val="ru-RU"/>
        </w:rPr>
        <w:tab/>
      </w:r>
      <w:r w:rsidR="000F31C9" w:rsidRPr="007F5899">
        <w:rPr>
          <w:lang w:val="ru-RU"/>
        </w:rPr>
        <w:t xml:space="preserve">Таким образом, Союз может передать свое "право </w:t>
      </w:r>
      <w:proofErr w:type="spellStart"/>
      <w:r w:rsidR="000F31C9" w:rsidRPr="007F5899">
        <w:rPr>
          <w:lang w:val="ru-RU"/>
        </w:rPr>
        <w:t>суперфиции</w:t>
      </w:r>
      <w:proofErr w:type="spellEnd"/>
      <w:r w:rsidR="000F31C9" w:rsidRPr="007F5899">
        <w:rPr>
          <w:lang w:val="ru-RU"/>
        </w:rPr>
        <w:t>", другими словами, продать свои здания третьей стороне при условии соблюдения законного права преимущественного приобретения, принадлежащего администрации Женевы.</w:t>
      </w:r>
    </w:p>
    <w:p w:rsidR="000F31C9" w:rsidRPr="007F5899" w:rsidRDefault="008C3D42" w:rsidP="008C3D42">
      <w:pPr>
        <w:rPr>
          <w:lang w:val="ru-RU"/>
        </w:rPr>
      </w:pPr>
      <w:r w:rsidRPr="007F5899">
        <w:rPr>
          <w:lang w:val="ru-RU"/>
        </w:rPr>
        <w:t>8.70</w:t>
      </w:r>
      <w:r w:rsidRPr="007F5899">
        <w:rPr>
          <w:lang w:val="ru-RU"/>
        </w:rPr>
        <w:tab/>
      </w:r>
      <w:r w:rsidR="000F31C9" w:rsidRPr="007F5899">
        <w:rPr>
          <w:lang w:val="ru-RU"/>
        </w:rPr>
        <w:t>Тем не менее, необходимо отметить, что законное право преимущественного приобретения неисполнимо в случае, если покупатель имеет тот же или аналогичный юридический статус, что и Союз, т. е. является другой международной или межправительственной организацией, у которой уже есть или которая в данный момент создает свою штаб-квартиру в Женеве.</w:t>
      </w:r>
    </w:p>
    <w:p w:rsidR="000F31C9" w:rsidRPr="007F5899" w:rsidRDefault="008C3D42" w:rsidP="008C3D42">
      <w:pPr>
        <w:rPr>
          <w:lang w:val="ru-RU"/>
        </w:rPr>
      </w:pPr>
      <w:r w:rsidRPr="007F5899">
        <w:rPr>
          <w:lang w:val="ru-RU"/>
        </w:rPr>
        <w:t>8.71</w:t>
      </w:r>
      <w:r w:rsidRPr="007F5899">
        <w:rPr>
          <w:lang w:val="ru-RU"/>
        </w:rPr>
        <w:tab/>
      </w:r>
      <w:r w:rsidR="000F31C9" w:rsidRPr="007F5899">
        <w:rPr>
          <w:lang w:val="ru-RU"/>
        </w:rPr>
        <w:t xml:space="preserve">Администрации Женевы предоставляется шесть месяцев с момента уведомления МСЭ о решении передать "право </w:t>
      </w:r>
      <w:proofErr w:type="spellStart"/>
      <w:r w:rsidR="000F31C9" w:rsidRPr="007F5899">
        <w:rPr>
          <w:lang w:val="ru-RU"/>
        </w:rPr>
        <w:t>суперфиции</w:t>
      </w:r>
      <w:proofErr w:type="spellEnd"/>
      <w:r w:rsidR="000F31C9" w:rsidRPr="007F5899">
        <w:rPr>
          <w:lang w:val="ru-RU"/>
        </w:rPr>
        <w:t>" на то, чтобы заявить о своем намерении использовать право преимущественного приобретения и, после такого заявления, еще шесть месяцев на то, чтобы фактически использовать данное право. Другими словами, процесс продажи может занять не менее 18–24 месяцев.</w:t>
      </w:r>
    </w:p>
    <w:p w:rsidR="000F31C9" w:rsidRPr="007F5899" w:rsidRDefault="000F31C9" w:rsidP="008C3D42">
      <w:pPr>
        <w:pStyle w:val="Heading1"/>
        <w:rPr>
          <w:lang w:val="ru-RU"/>
        </w:rPr>
      </w:pPr>
      <w:r w:rsidRPr="007F5899">
        <w:rPr>
          <w:lang w:val="ru-RU"/>
        </w:rPr>
        <w:t>9</w:t>
      </w:r>
      <w:r w:rsidRPr="007F5899">
        <w:rPr>
          <w:lang w:val="ru-RU"/>
        </w:rPr>
        <w:tab/>
        <w:t>Обзор и сравнение рассмотренных вариантов</w:t>
      </w:r>
    </w:p>
    <w:p w:rsidR="000F31C9" w:rsidRPr="007F5899" w:rsidRDefault="008C3D42" w:rsidP="00AB45D7">
      <w:pPr>
        <w:rPr>
          <w:lang w:val="ru-RU"/>
        </w:rPr>
      </w:pPr>
      <w:r w:rsidRPr="007F5899">
        <w:rPr>
          <w:lang w:val="ru-RU"/>
        </w:rPr>
        <w:t>9.1</w:t>
      </w:r>
      <w:r w:rsidRPr="007F5899">
        <w:rPr>
          <w:lang w:val="ru-RU"/>
        </w:rPr>
        <w:tab/>
      </w:r>
      <w:r w:rsidR="000F31C9" w:rsidRPr="007F5899">
        <w:rPr>
          <w:lang w:val="ru-RU"/>
        </w:rPr>
        <w:t xml:space="preserve">Важно принять во внимание тот факт, что затраты по разным вариантам не включены </w:t>
      </w:r>
      <w:r w:rsidR="00D83B5A" w:rsidRPr="007F5899">
        <w:rPr>
          <w:lang w:val="ru-RU"/>
        </w:rPr>
        <w:t xml:space="preserve">в проект </w:t>
      </w:r>
      <w:r w:rsidR="00AB45D7" w:rsidRPr="007F5899">
        <w:rPr>
          <w:lang w:val="ru-RU"/>
        </w:rPr>
        <w:t xml:space="preserve">Финансового </w:t>
      </w:r>
      <w:r w:rsidR="00D83B5A" w:rsidRPr="007F5899">
        <w:rPr>
          <w:lang w:val="ru-RU"/>
        </w:rPr>
        <w:t xml:space="preserve">плана </w:t>
      </w:r>
      <w:r w:rsidR="00AB45D7" w:rsidRPr="007F5899">
        <w:rPr>
          <w:lang w:val="ru-RU"/>
        </w:rPr>
        <w:t xml:space="preserve">на период </w:t>
      </w:r>
      <w:r w:rsidR="00D83B5A" w:rsidRPr="007F5899">
        <w:rPr>
          <w:lang w:val="ru-RU"/>
        </w:rPr>
        <w:t>2016−</w:t>
      </w:r>
      <w:r w:rsidR="000F31C9" w:rsidRPr="007F5899">
        <w:rPr>
          <w:lang w:val="ru-RU"/>
        </w:rPr>
        <w:t>2019 г</w:t>
      </w:r>
      <w:r w:rsidR="00AB45D7" w:rsidRPr="007F5899">
        <w:rPr>
          <w:lang w:val="ru-RU"/>
        </w:rPr>
        <w:t>одов</w:t>
      </w:r>
      <w:r w:rsidR="000F31C9" w:rsidRPr="007F5899">
        <w:rPr>
          <w:lang w:val="ru-RU"/>
        </w:rPr>
        <w:t xml:space="preserve">. Выбор варианта и соответствующий график его реализации будут иметь финансовое влияние на Союз. </w:t>
      </w:r>
    </w:p>
    <w:p w:rsidR="000F31C9" w:rsidRPr="007F5899" w:rsidRDefault="008C3D42" w:rsidP="008C3D42">
      <w:pPr>
        <w:rPr>
          <w:lang w:val="ru-RU"/>
        </w:rPr>
      </w:pPr>
      <w:r w:rsidRPr="007F5899">
        <w:rPr>
          <w:lang w:val="ru-RU"/>
        </w:rPr>
        <w:t>9.2</w:t>
      </w:r>
      <w:r w:rsidRPr="007F5899">
        <w:rPr>
          <w:lang w:val="ru-RU"/>
        </w:rPr>
        <w:tab/>
      </w:r>
      <w:r w:rsidR="000F31C9" w:rsidRPr="007F5899">
        <w:rPr>
          <w:lang w:val="ru-RU"/>
        </w:rPr>
        <w:t>Влияние выбора варианта оценивалось на основании следующих критериев:</w:t>
      </w:r>
    </w:p>
    <w:p w:rsidR="000F31C9" w:rsidRPr="007F5899" w:rsidRDefault="000F31C9" w:rsidP="008C3D42">
      <w:pPr>
        <w:pStyle w:val="enumlev1"/>
        <w:rPr>
          <w:lang w:val="ru-RU"/>
        </w:rPr>
      </w:pPr>
      <w:r w:rsidRPr="007F5899">
        <w:rPr>
          <w:lang w:val="ru-RU"/>
        </w:rPr>
        <w:t>–</w:t>
      </w:r>
      <w:r w:rsidRPr="007F5899">
        <w:rPr>
          <w:lang w:val="ru-RU"/>
        </w:rPr>
        <w:tab/>
        <w:t>влияние на работу Союза в течение периода внедрения выбранного варианта;</w:t>
      </w:r>
    </w:p>
    <w:p w:rsidR="000F31C9" w:rsidRPr="007F5899" w:rsidRDefault="000F31C9" w:rsidP="008C3D42">
      <w:pPr>
        <w:pStyle w:val="enumlev1"/>
        <w:rPr>
          <w:lang w:val="ru-RU"/>
        </w:rPr>
      </w:pPr>
      <w:r w:rsidRPr="007F5899">
        <w:rPr>
          <w:lang w:val="ru-RU"/>
        </w:rPr>
        <w:t>–</w:t>
      </w:r>
      <w:r w:rsidRPr="007F5899">
        <w:rPr>
          <w:lang w:val="ru-RU"/>
        </w:rPr>
        <w:tab/>
        <w:t>влияние на персонал и ноу-хау, которым располагает нынешний персонал;</w:t>
      </w:r>
    </w:p>
    <w:p w:rsidR="000F31C9" w:rsidRPr="007F5899" w:rsidRDefault="000F31C9" w:rsidP="008C3D42">
      <w:pPr>
        <w:pStyle w:val="enumlev1"/>
        <w:rPr>
          <w:lang w:val="ru-RU"/>
        </w:rPr>
      </w:pPr>
      <w:r w:rsidRPr="007F5899">
        <w:rPr>
          <w:lang w:val="ru-RU"/>
        </w:rPr>
        <w:t>–</w:t>
      </w:r>
      <w:r w:rsidRPr="007F5899">
        <w:rPr>
          <w:lang w:val="ru-RU"/>
        </w:rPr>
        <w:tab/>
        <w:t>финансовое влияние с оценкой кратко- и долгосрочной экономии;</w:t>
      </w:r>
    </w:p>
    <w:p w:rsidR="000F31C9" w:rsidRPr="007F5899" w:rsidRDefault="000F31C9" w:rsidP="008C3D42">
      <w:pPr>
        <w:pStyle w:val="enumlev1"/>
        <w:rPr>
          <w:lang w:val="ru-RU"/>
        </w:rPr>
      </w:pPr>
      <w:r w:rsidRPr="007F5899">
        <w:rPr>
          <w:lang w:val="ru-RU"/>
        </w:rPr>
        <w:t>–</w:t>
      </w:r>
      <w:r w:rsidRPr="007F5899">
        <w:rPr>
          <w:lang w:val="ru-RU"/>
        </w:rPr>
        <w:tab/>
        <w:t>общее влияние на работу и имидж Союза.</w:t>
      </w:r>
    </w:p>
    <w:p w:rsidR="000F31C9" w:rsidRPr="007F5899" w:rsidRDefault="000F31C9" w:rsidP="00D83B5A">
      <w:pPr>
        <w:pStyle w:val="Headingb"/>
        <w:spacing w:after="120"/>
        <w:rPr>
          <w:lang w:val="ru-RU"/>
        </w:rPr>
      </w:pPr>
      <w:r w:rsidRPr="007F5899">
        <w:rPr>
          <w:lang w:val="ru-RU"/>
        </w:rPr>
        <w:lastRenderedPageBreak/>
        <w:t>Влияние на обычный бюджет</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7"/>
        <w:gridCol w:w="2062"/>
        <w:gridCol w:w="5046"/>
      </w:tblGrid>
      <w:tr w:rsidR="000F31C9" w:rsidRPr="007F5899" w:rsidTr="00D83B5A">
        <w:trPr>
          <w:cantSplit/>
          <w:trHeight w:val="615"/>
        </w:trPr>
        <w:tc>
          <w:tcPr>
            <w:tcW w:w="988" w:type="dxa"/>
            <w:vAlign w:val="center"/>
          </w:tcPr>
          <w:p w:rsidR="000F31C9" w:rsidRPr="007F5899" w:rsidRDefault="000F31C9" w:rsidP="00D83B5A">
            <w:pPr>
              <w:pStyle w:val="Tablehead"/>
              <w:ind w:left="-57" w:right="-57"/>
              <w:rPr>
                <w:lang w:val="ru-RU"/>
              </w:rPr>
            </w:pPr>
            <w:r w:rsidRPr="007F5899">
              <w:rPr>
                <w:lang w:val="ru-RU"/>
              </w:rPr>
              <w:t>Варианты</w:t>
            </w:r>
          </w:p>
        </w:tc>
        <w:tc>
          <w:tcPr>
            <w:tcW w:w="2127" w:type="dxa"/>
            <w:vAlign w:val="center"/>
          </w:tcPr>
          <w:p w:rsidR="000F31C9" w:rsidRPr="007F5899" w:rsidRDefault="000F31C9" w:rsidP="008C3D42">
            <w:pPr>
              <w:pStyle w:val="Tablehead"/>
              <w:rPr>
                <w:lang w:val="ru-RU"/>
              </w:rPr>
            </w:pPr>
            <w:r w:rsidRPr="007F5899">
              <w:rPr>
                <w:lang w:val="ru-RU"/>
              </w:rPr>
              <w:t>Общая оценочная</w:t>
            </w:r>
            <w:r w:rsidR="00D83B5A" w:rsidRPr="007F5899">
              <w:rPr>
                <w:lang w:val="ru-RU"/>
              </w:rPr>
              <w:t xml:space="preserve"> </w:t>
            </w:r>
            <w:r w:rsidRPr="007F5899">
              <w:rPr>
                <w:lang w:val="ru-RU"/>
              </w:rPr>
              <w:br/>
              <w:t>стоимость варианта</w:t>
            </w:r>
          </w:p>
        </w:tc>
        <w:tc>
          <w:tcPr>
            <w:tcW w:w="2062" w:type="dxa"/>
            <w:vAlign w:val="center"/>
          </w:tcPr>
          <w:p w:rsidR="000F31C9" w:rsidRPr="007F5899" w:rsidRDefault="000F31C9" w:rsidP="00D83B5A">
            <w:pPr>
              <w:pStyle w:val="Tablehead"/>
              <w:rPr>
                <w:lang w:val="ru-RU"/>
              </w:rPr>
            </w:pPr>
            <w:r w:rsidRPr="007F5899">
              <w:rPr>
                <w:lang w:val="ru-RU"/>
              </w:rPr>
              <w:t>Краткосрочное влияние (</w:t>
            </w:r>
            <w:r w:rsidR="00AB45D7" w:rsidRPr="007F5899">
              <w:rPr>
                <w:lang w:val="ru-RU"/>
              </w:rPr>
              <w:t xml:space="preserve">Финансовый </w:t>
            </w:r>
            <w:r w:rsidRPr="007F5899">
              <w:rPr>
                <w:lang w:val="ru-RU"/>
              </w:rPr>
              <w:t xml:space="preserve">план </w:t>
            </w:r>
            <w:r w:rsidR="00AB45D7" w:rsidRPr="007F5899">
              <w:rPr>
                <w:lang w:val="ru-RU"/>
              </w:rPr>
              <w:t xml:space="preserve">на период </w:t>
            </w:r>
            <w:r w:rsidRPr="007F5899">
              <w:rPr>
                <w:lang w:val="ru-RU"/>
              </w:rPr>
              <w:t>2016</w:t>
            </w:r>
            <w:r w:rsidR="00D83B5A" w:rsidRPr="007F5899">
              <w:rPr>
                <w:lang w:val="ru-RU"/>
              </w:rPr>
              <w:t>−</w:t>
            </w:r>
            <w:r w:rsidRPr="007F5899">
              <w:rPr>
                <w:lang w:val="ru-RU"/>
              </w:rPr>
              <w:t>2019 гг.)</w:t>
            </w:r>
          </w:p>
        </w:tc>
        <w:tc>
          <w:tcPr>
            <w:tcW w:w="5046" w:type="dxa"/>
            <w:vAlign w:val="center"/>
          </w:tcPr>
          <w:p w:rsidR="000F31C9" w:rsidRPr="007F5899" w:rsidRDefault="000F31C9" w:rsidP="008C3D42">
            <w:pPr>
              <w:pStyle w:val="Tablehead"/>
              <w:rPr>
                <w:lang w:val="ru-RU"/>
              </w:rPr>
            </w:pPr>
            <w:r w:rsidRPr="007F5899">
              <w:rPr>
                <w:lang w:val="ru-RU"/>
              </w:rPr>
              <w:t>Долгосрочное финансовое влияние</w:t>
            </w:r>
          </w:p>
        </w:tc>
      </w:tr>
      <w:tr w:rsidR="000F31C9" w:rsidRPr="007F5899" w:rsidTr="00356558">
        <w:trPr>
          <w:cantSplit/>
          <w:trHeight w:val="1241"/>
        </w:trPr>
        <w:tc>
          <w:tcPr>
            <w:tcW w:w="988" w:type="dxa"/>
            <w:textDirection w:val="btLr"/>
            <w:vAlign w:val="center"/>
          </w:tcPr>
          <w:p w:rsidR="000F31C9" w:rsidRPr="007F5899" w:rsidRDefault="000F31C9" w:rsidP="00356558">
            <w:pPr>
              <w:pStyle w:val="Tabletext"/>
              <w:jc w:val="center"/>
              <w:rPr>
                <w:b/>
                <w:bCs/>
                <w:lang w:val="ru-RU"/>
              </w:rPr>
            </w:pPr>
            <w:r w:rsidRPr="007F5899">
              <w:rPr>
                <w:b/>
                <w:bCs/>
                <w:lang w:val="ru-RU"/>
              </w:rPr>
              <w:t>Замена</w:t>
            </w:r>
          </w:p>
        </w:tc>
        <w:tc>
          <w:tcPr>
            <w:tcW w:w="2127" w:type="dxa"/>
          </w:tcPr>
          <w:p w:rsidR="000F31C9" w:rsidRPr="007F5899" w:rsidRDefault="00E82918">
            <w:pPr>
              <w:pStyle w:val="Tabletext"/>
              <w:rPr>
                <w:lang w:val="ru-RU"/>
              </w:rPr>
            </w:pPr>
            <w:r w:rsidRPr="007F5899">
              <w:rPr>
                <w:lang w:val="ru-RU"/>
              </w:rPr>
              <w:t>211</w:t>
            </w:r>
            <w:r w:rsidR="006642CD" w:rsidRPr="007F5899">
              <w:rPr>
                <w:lang w:val="ru-RU"/>
              </w:rPr>
              <w:t>,25</w:t>
            </w:r>
            <w:r w:rsidR="000F31C9" w:rsidRPr="007F5899">
              <w:rPr>
                <w:lang w:val="ru-RU"/>
              </w:rPr>
              <w:t xml:space="preserve"> млн. швейцарских франков</w:t>
            </w:r>
          </w:p>
        </w:tc>
        <w:tc>
          <w:tcPr>
            <w:tcW w:w="2062" w:type="dxa"/>
          </w:tcPr>
          <w:p w:rsidR="000F31C9" w:rsidRPr="007F5899" w:rsidRDefault="000F31C9" w:rsidP="008C3D42">
            <w:pPr>
              <w:pStyle w:val="Tabletext"/>
              <w:rPr>
                <w:lang w:val="ru-RU"/>
              </w:rPr>
            </w:pPr>
            <w:r w:rsidRPr="007F5899">
              <w:rPr>
                <w:lang w:val="ru-RU"/>
              </w:rPr>
              <w:t>Отсутствует. Выплаты по ссуде начнутся в 2021 году.</w:t>
            </w:r>
          </w:p>
        </w:tc>
        <w:tc>
          <w:tcPr>
            <w:tcW w:w="5046" w:type="dxa"/>
          </w:tcPr>
          <w:p w:rsidR="000F31C9" w:rsidRPr="007F5899" w:rsidRDefault="000F31C9">
            <w:pPr>
              <w:pStyle w:val="Tabletext"/>
              <w:rPr>
                <w:lang w:val="ru-RU"/>
              </w:rPr>
            </w:pPr>
            <w:r w:rsidRPr="007F5899">
              <w:rPr>
                <w:b/>
                <w:bCs/>
                <w:lang w:val="ru-RU"/>
              </w:rPr>
              <w:t>Ежегодные затраты</w:t>
            </w:r>
            <w:r w:rsidRPr="007F5899">
              <w:rPr>
                <w:lang w:val="ru-RU"/>
              </w:rPr>
              <w:t xml:space="preserve">: </w:t>
            </w:r>
            <w:r w:rsidR="00D27D47" w:rsidRPr="007F5899">
              <w:rPr>
                <w:b/>
                <w:bCs/>
                <w:lang w:val="ru-RU"/>
              </w:rPr>
              <w:t>5,1</w:t>
            </w:r>
            <w:r w:rsidRPr="007F5899">
              <w:rPr>
                <w:lang w:val="ru-RU"/>
              </w:rPr>
              <w:t xml:space="preserve"> </w:t>
            </w:r>
            <w:r w:rsidRPr="007F5899">
              <w:rPr>
                <w:b/>
                <w:bCs/>
                <w:lang w:val="ru-RU"/>
              </w:rPr>
              <w:t>млн.</w:t>
            </w:r>
            <w:r w:rsidRPr="007F5899">
              <w:rPr>
                <w:lang w:val="ru-RU"/>
              </w:rPr>
              <w:t xml:space="preserve"> </w:t>
            </w:r>
            <w:r w:rsidRPr="007F5899">
              <w:rPr>
                <w:b/>
                <w:bCs/>
                <w:lang w:val="ru-RU"/>
              </w:rPr>
              <w:t>швейцарских франков</w:t>
            </w:r>
            <w:r w:rsidRPr="007F5899">
              <w:rPr>
                <w:lang w:val="ru-RU"/>
              </w:rPr>
              <w:t>, в том числе:</w:t>
            </w:r>
          </w:p>
          <w:p w:rsidR="000F31C9" w:rsidRPr="007F5899" w:rsidRDefault="00D83B5A" w:rsidP="0030228C">
            <w:pPr>
              <w:pStyle w:val="Tabletext"/>
              <w:tabs>
                <w:tab w:val="left" w:pos="284"/>
              </w:tabs>
              <w:ind w:left="284" w:hanging="284"/>
              <w:rPr>
                <w:lang w:val="ru-RU"/>
              </w:rPr>
            </w:pPr>
            <w:r w:rsidRPr="007F5899">
              <w:rPr>
                <w:lang w:val="ru-RU"/>
              </w:rPr>
              <w:t>−</w:t>
            </w:r>
            <w:r w:rsidRPr="007F5899">
              <w:rPr>
                <w:lang w:val="ru-RU"/>
              </w:rPr>
              <w:tab/>
            </w:r>
            <w:r w:rsidR="000F31C9" w:rsidRPr="007F5899">
              <w:rPr>
                <w:lang w:val="ru-RU"/>
              </w:rPr>
              <w:t>3 миллиона швейцарских франков в год в течение 50 лет начиная с 2021 г</w:t>
            </w:r>
            <w:r w:rsidR="0030228C" w:rsidRPr="007F5899">
              <w:rPr>
                <w:lang w:val="ru-RU"/>
              </w:rPr>
              <w:t>ода</w:t>
            </w:r>
            <w:r w:rsidR="000F31C9" w:rsidRPr="007F5899">
              <w:rPr>
                <w:lang w:val="ru-RU"/>
              </w:rPr>
              <w:t xml:space="preserve"> по новому зданию;</w:t>
            </w:r>
          </w:p>
          <w:p w:rsidR="000F31C9" w:rsidRPr="007F5899" w:rsidRDefault="00D83B5A" w:rsidP="0030228C">
            <w:pPr>
              <w:pStyle w:val="Tabletext"/>
              <w:tabs>
                <w:tab w:val="left" w:pos="284"/>
              </w:tabs>
              <w:ind w:left="284" w:hanging="284"/>
              <w:rPr>
                <w:lang w:val="ru-RU"/>
              </w:rPr>
            </w:pPr>
            <w:r w:rsidRPr="007F5899">
              <w:rPr>
                <w:lang w:val="ru-RU"/>
              </w:rPr>
              <w:t>−</w:t>
            </w:r>
            <w:r w:rsidRPr="007F5899">
              <w:rPr>
                <w:lang w:val="ru-RU"/>
              </w:rPr>
              <w:tab/>
            </w:r>
            <w:r w:rsidR="000F31C9" w:rsidRPr="007F5899">
              <w:rPr>
                <w:lang w:val="ru-RU"/>
              </w:rPr>
              <w:t>1,7 миллиона швейцарских франков в год в течение 30 лет плюс средний процент в размере 0,</w:t>
            </w:r>
            <w:r w:rsidR="00221DA0" w:rsidRPr="007F5899">
              <w:rPr>
                <w:lang w:val="ru-RU"/>
              </w:rPr>
              <w:t>4</w:t>
            </w:r>
            <w:r w:rsidR="0030228C" w:rsidRPr="007F5899">
              <w:rPr>
                <w:lang w:val="ru-RU"/>
              </w:rPr>
              <w:t> </w:t>
            </w:r>
            <w:r w:rsidR="000F31C9" w:rsidRPr="007F5899">
              <w:rPr>
                <w:lang w:val="ru-RU"/>
              </w:rPr>
              <w:t>миллиона швейцарских франков начиная (вероятная дата) с 2025 года за ремонт зданий "Башня" и "</w:t>
            </w:r>
            <w:proofErr w:type="spellStart"/>
            <w:r w:rsidR="000F31C9" w:rsidRPr="007F5899">
              <w:rPr>
                <w:lang w:val="ru-RU"/>
              </w:rPr>
              <w:t>Монбрийан</w:t>
            </w:r>
            <w:proofErr w:type="spellEnd"/>
            <w:r w:rsidR="000F31C9" w:rsidRPr="007F5899">
              <w:rPr>
                <w:lang w:val="ru-RU"/>
              </w:rPr>
              <w:t>".</w:t>
            </w:r>
          </w:p>
          <w:p w:rsidR="000F31C9" w:rsidRPr="007F5899" w:rsidRDefault="000F31C9" w:rsidP="00F87CF0">
            <w:pPr>
              <w:pStyle w:val="Tabletext"/>
              <w:ind w:left="113" w:hanging="113"/>
              <w:rPr>
                <w:lang w:val="ru-RU"/>
              </w:rPr>
            </w:pPr>
            <w:r w:rsidRPr="007F5899">
              <w:rPr>
                <w:lang w:val="ru-RU"/>
              </w:rPr>
              <w:t>Экономия:</w:t>
            </w:r>
          </w:p>
          <w:p w:rsidR="000F31C9" w:rsidRPr="007F5899" w:rsidRDefault="00D83B5A" w:rsidP="0030228C">
            <w:pPr>
              <w:pStyle w:val="Tabletext"/>
              <w:ind w:left="284" w:hanging="284"/>
              <w:rPr>
                <w:lang w:val="ru-RU"/>
              </w:rPr>
            </w:pPr>
            <w:r w:rsidRPr="007F5899">
              <w:rPr>
                <w:lang w:val="ru-RU"/>
              </w:rPr>
              <w:t>−</w:t>
            </w:r>
            <w:r w:rsidRPr="007F5899">
              <w:rPr>
                <w:lang w:val="ru-RU"/>
              </w:rPr>
              <w:tab/>
            </w:r>
            <w:r w:rsidR="000F31C9" w:rsidRPr="007F5899">
              <w:rPr>
                <w:lang w:val="ru-RU"/>
              </w:rPr>
              <w:t>экономия на коммунальных платежах в размере 100</w:t>
            </w:r>
            <w:r w:rsidR="0030228C" w:rsidRPr="007F5899">
              <w:rPr>
                <w:lang w:val="ru-RU"/>
              </w:rPr>
              <w:t> </w:t>
            </w:r>
            <w:r w:rsidR="000F31C9" w:rsidRPr="007F5899">
              <w:rPr>
                <w:lang w:val="ru-RU"/>
              </w:rPr>
              <w:t>тысяч швейцарских франков в год начиная с</w:t>
            </w:r>
            <w:r w:rsidR="0030228C" w:rsidRPr="007F5899">
              <w:rPr>
                <w:lang w:val="ru-RU"/>
              </w:rPr>
              <w:t> </w:t>
            </w:r>
            <w:r w:rsidR="000F31C9" w:rsidRPr="007F5899">
              <w:rPr>
                <w:lang w:val="ru-RU"/>
              </w:rPr>
              <w:t>2021 года;</w:t>
            </w:r>
          </w:p>
          <w:p w:rsidR="000F31C9" w:rsidRPr="007F5899" w:rsidRDefault="00D83B5A" w:rsidP="0030228C">
            <w:pPr>
              <w:pStyle w:val="Tabletext"/>
              <w:ind w:left="284" w:hanging="284"/>
              <w:rPr>
                <w:lang w:val="ru-RU"/>
              </w:rPr>
            </w:pPr>
            <w:r w:rsidRPr="007F5899">
              <w:rPr>
                <w:lang w:val="ru-RU"/>
              </w:rPr>
              <w:t>−</w:t>
            </w:r>
            <w:r w:rsidRPr="007F5899">
              <w:rPr>
                <w:lang w:val="ru-RU"/>
              </w:rPr>
              <w:tab/>
            </w:r>
            <w:r w:rsidR="000F31C9" w:rsidRPr="007F5899">
              <w:rPr>
                <w:lang w:val="ru-RU"/>
              </w:rPr>
              <w:t>экономия текущих затрат на обслуживание на начальном этапе пользования новым зданием "</w:t>
            </w:r>
            <w:proofErr w:type="spellStart"/>
            <w:r w:rsidR="000F31C9" w:rsidRPr="007F5899">
              <w:rPr>
                <w:lang w:val="ru-RU"/>
              </w:rPr>
              <w:t>Варембе</w:t>
            </w:r>
            <w:proofErr w:type="spellEnd"/>
            <w:r w:rsidR="000F31C9" w:rsidRPr="007F5899">
              <w:rPr>
                <w:lang w:val="ru-RU"/>
              </w:rPr>
              <w:t xml:space="preserve"> </w:t>
            </w:r>
            <w:proofErr w:type="spellStart"/>
            <w:r w:rsidR="000F31C9" w:rsidRPr="007F5899">
              <w:rPr>
                <w:lang w:val="ru-RU"/>
              </w:rPr>
              <w:t>II</w:t>
            </w:r>
            <w:proofErr w:type="spellEnd"/>
            <w:r w:rsidR="000F31C9" w:rsidRPr="007F5899">
              <w:rPr>
                <w:lang w:val="ru-RU"/>
              </w:rPr>
              <w:t>" и отремонтированными зданиями "Башня" и "</w:t>
            </w:r>
            <w:proofErr w:type="spellStart"/>
            <w:r w:rsidR="000F31C9" w:rsidRPr="007F5899">
              <w:rPr>
                <w:lang w:val="ru-RU"/>
              </w:rPr>
              <w:t>Монбрийан</w:t>
            </w:r>
            <w:proofErr w:type="spellEnd"/>
            <w:r w:rsidR="000F31C9" w:rsidRPr="007F5899">
              <w:rPr>
                <w:lang w:val="ru-RU"/>
              </w:rPr>
              <w:t>" (2021</w:t>
            </w:r>
            <w:r w:rsidR="0030228C" w:rsidRPr="007F5899">
              <w:rPr>
                <w:lang w:val="ru-RU"/>
              </w:rPr>
              <w:t>−</w:t>
            </w:r>
            <w:r w:rsidR="000F31C9" w:rsidRPr="007F5899">
              <w:rPr>
                <w:lang w:val="ru-RU"/>
              </w:rPr>
              <w:t>2050 гг.), предположительно всего 30 миллионов швейцарских франков.</w:t>
            </w:r>
          </w:p>
        </w:tc>
      </w:tr>
      <w:tr w:rsidR="000F31C9" w:rsidRPr="007F5899" w:rsidTr="00356558">
        <w:trPr>
          <w:cantSplit/>
          <w:trHeight w:val="980"/>
        </w:trPr>
        <w:tc>
          <w:tcPr>
            <w:tcW w:w="988" w:type="dxa"/>
            <w:textDirection w:val="btLr"/>
            <w:vAlign w:val="center"/>
          </w:tcPr>
          <w:p w:rsidR="000F31C9" w:rsidRPr="007F5899" w:rsidRDefault="000F31C9" w:rsidP="00356558">
            <w:pPr>
              <w:pStyle w:val="Tabletext"/>
              <w:jc w:val="center"/>
              <w:rPr>
                <w:b/>
                <w:bCs/>
                <w:lang w:val="ru-RU"/>
              </w:rPr>
            </w:pPr>
            <w:r w:rsidRPr="007F5899">
              <w:rPr>
                <w:b/>
                <w:bCs/>
                <w:lang w:val="ru-RU"/>
              </w:rPr>
              <w:t>Ремонт</w:t>
            </w:r>
          </w:p>
        </w:tc>
        <w:tc>
          <w:tcPr>
            <w:tcW w:w="2127" w:type="dxa"/>
          </w:tcPr>
          <w:p w:rsidR="000F31C9" w:rsidRPr="007F5899" w:rsidRDefault="00E82918">
            <w:pPr>
              <w:pStyle w:val="Tabletext"/>
              <w:rPr>
                <w:lang w:val="ru-RU"/>
              </w:rPr>
            </w:pPr>
            <w:r w:rsidRPr="007F5899">
              <w:rPr>
                <w:lang w:val="ru-RU"/>
              </w:rPr>
              <w:t>147</w:t>
            </w:r>
            <w:r w:rsidR="000F31C9" w:rsidRPr="007F5899">
              <w:rPr>
                <w:lang w:val="ru-RU"/>
              </w:rPr>
              <w:t xml:space="preserve"> млн. швейцарских франков</w:t>
            </w:r>
          </w:p>
        </w:tc>
        <w:tc>
          <w:tcPr>
            <w:tcW w:w="2062" w:type="dxa"/>
          </w:tcPr>
          <w:p w:rsidR="000F31C9" w:rsidRPr="007F5899" w:rsidRDefault="000F31C9" w:rsidP="00AB45D7">
            <w:pPr>
              <w:pStyle w:val="Tabletext"/>
              <w:rPr>
                <w:lang w:val="ru-RU"/>
              </w:rPr>
            </w:pPr>
            <w:r w:rsidRPr="007F5899">
              <w:rPr>
                <w:lang w:val="ru-RU"/>
              </w:rPr>
              <w:t xml:space="preserve">В зависимости от выбранного графика возможно определенное влияние на </w:t>
            </w:r>
            <w:r w:rsidR="00AB45D7" w:rsidRPr="007F5899">
              <w:rPr>
                <w:lang w:val="ru-RU"/>
              </w:rPr>
              <w:t xml:space="preserve">Финансовый </w:t>
            </w:r>
            <w:r w:rsidRPr="007F5899">
              <w:rPr>
                <w:lang w:val="ru-RU"/>
              </w:rPr>
              <w:t xml:space="preserve">план </w:t>
            </w:r>
            <w:r w:rsidR="00AB45D7" w:rsidRPr="007F5899">
              <w:rPr>
                <w:lang w:val="ru-RU"/>
              </w:rPr>
              <w:t xml:space="preserve">на период </w:t>
            </w:r>
            <w:r w:rsidR="00AB45D7" w:rsidRPr="007F5899">
              <w:rPr>
                <w:lang w:val="ru-RU"/>
              </w:rPr>
              <w:br/>
            </w:r>
            <w:r w:rsidRPr="007F5899">
              <w:rPr>
                <w:lang w:val="ru-RU"/>
              </w:rPr>
              <w:t>2016</w:t>
            </w:r>
            <w:r w:rsidR="0030228C" w:rsidRPr="007F5899">
              <w:rPr>
                <w:lang w:val="ru-RU"/>
              </w:rPr>
              <w:t>−</w:t>
            </w:r>
            <w:r w:rsidRPr="007F5899">
              <w:rPr>
                <w:lang w:val="ru-RU"/>
              </w:rPr>
              <w:t>2019 г</w:t>
            </w:r>
            <w:r w:rsidR="00AB45D7" w:rsidRPr="007F5899">
              <w:rPr>
                <w:lang w:val="ru-RU"/>
              </w:rPr>
              <w:t>одов</w:t>
            </w:r>
            <w:r w:rsidRPr="007F5899">
              <w:rPr>
                <w:lang w:val="ru-RU"/>
              </w:rPr>
              <w:t>.</w:t>
            </w:r>
          </w:p>
        </w:tc>
        <w:tc>
          <w:tcPr>
            <w:tcW w:w="5046" w:type="dxa"/>
          </w:tcPr>
          <w:p w:rsidR="000F31C9" w:rsidRPr="007F5899" w:rsidRDefault="000F31C9" w:rsidP="0030228C">
            <w:pPr>
              <w:pStyle w:val="Tabletext"/>
              <w:rPr>
                <w:lang w:val="ru-RU"/>
              </w:rPr>
            </w:pPr>
            <w:r w:rsidRPr="007F5899">
              <w:rPr>
                <w:b/>
                <w:bCs/>
                <w:lang w:val="ru-RU"/>
              </w:rPr>
              <w:t>Ежегодные затраты</w:t>
            </w:r>
            <w:r w:rsidRPr="007F5899">
              <w:rPr>
                <w:lang w:val="ru-RU"/>
              </w:rPr>
              <w:t xml:space="preserve">: </w:t>
            </w:r>
            <w:r w:rsidRPr="007F5899">
              <w:rPr>
                <w:b/>
                <w:bCs/>
                <w:lang w:val="ru-RU"/>
              </w:rPr>
              <w:t>4,</w:t>
            </w:r>
            <w:r w:rsidR="00D27D47" w:rsidRPr="007F5899">
              <w:rPr>
                <w:b/>
                <w:bCs/>
                <w:lang w:val="ru-RU"/>
              </w:rPr>
              <w:t>9</w:t>
            </w:r>
            <w:r w:rsidRPr="007F5899">
              <w:rPr>
                <w:lang w:val="ru-RU"/>
              </w:rPr>
              <w:t xml:space="preserve"> </w:t>
            </w:r>
            <w:r w:rsidRPr="007F5899">
              <w:rPr>
                <w:b/>
                <w:bCs/>
                <w:lang w:val="ru-RU"/>
              </w:rPr>
              <w:t>млн.</w:t>
            </w:r>
            <w:r w:rsidRPr="007F5899">
              <w:rPr>
                <w:lang w:val="ru-RU"/>
              </w:rPr>
              <w:t xml:space="preserve"> </w:t>
            </w:r>
            <w:r w:rsidRPr="007F5899">
              <w:rPr>
                <w:b/>
                <w:bCs/>
                <w:lang w:val="ru-RU"/>
              </w:rPr>
              <w:t>швейцарских франков</w:t>
            </w:r>
            <w:r w:rsidRPr="007F5899">
              <w:rPr>
                <w:lang w:val="ru-RU"/>
              </w:rPr>
              <w:t>, в</w:t>
            </w:r>
            <w:r w:rsidR="0030228C" w:rsidRPr="007F5899">
              <w:rPr>
                <w:lang w:val="ru-RU"/>
              </w:rPr>
              <w:t> </w:t>
            </w:r>
            <w:r w:rsidRPr="007F5899">
              <w:rPr>
                <w:lang w:val="ru-RU"/>
              </w:rPr>
              <w:t>том числе:</w:t>
            </w:r>
          </w:p>
          <w:p w:rsidR="000F31C9" w:rsidRPr="007F5899" w:rsidRDefault="00D83B5A" w:rsidP="0030228C">
            <w:pPr>
              <w:pStyle w:val="Tabletext"/>
              <w:ind w:left="284" w:hanging="284"/>
              <w:rPr>
                <w:lang w:val="ru-RU"/>
              </w:rPr>
            </w:pPr>
            <w:r w:rsidRPr="007F5899">
              <w:rPr>
                <w:lang w:val="ru-RU"/>
              </w:rPr>
              <w:t>−</w:t>
            </w:r>
            <w:r w:rsidRPr="007F5899">
              <w:rPr>
                <w:lang w:val="ru-RU"/>
              </w:rPr>
              <w:tab/>
            </w:r>
            <w:r w:rsidR="000F31C9" w:rsidRPr="007F5899">
              <w:rPr>
                <w:lang w:val="ru-RU"/>
              </w:rPr>
              <w:t>4,0 миллиона швейцарских франков в год в течение 30 лет плюс средний процент в размере 0,6</w:t>
            </w:r>
            <w:r w:rsidR="0030228C" w:rsidRPr="007F5899">
              <w:rPr>
                <w:lang w:val="ru-RU"/>
              </w:rPr>
              <w:t> </w:t>
            </w:r>
            <w:r w:rsidR="000F31C9" w:rsidRPr="007F5899">
              <w:rPr>
                <w:lang w:val="ru-RU"/>
              </w:rPr>
              <w:t>миллиона швейцарских франков с момента завершения ремонтных работ.</w:t>
            </w:r>
          </w:p>
          <w:p w:rsidR="000F31C9" w:rsidRPr="007F5899" w:rsidRDefault="000F31C9" w:rsidP="00F87CF0">
            <w:pPr>
              <w:pStyle w:val="Tabletext"/>
              <w:ind w:left="113" w:hanging="113"/>
              <w:rPr>
                <w:lang w:val="ru-RU"/>
              </w:rPr>
            </w:pPr>
            <w:r w:rsidRPr="007F5899">
              <w:rPr>
                <w:lang w:val="ru-RU"/>
              </w:rPr>
              <w:t>Экономия:</w:t>
            </w:r>
          </w:p>
          <w:p w:rsidR="000F31C9" w:rsidRPr="007F5899" w:rsidRDefault="00D83B5A" w:rsidP="0030228C">
            <w:pPr>
              <w:pStyle w:val="Tabletext"/>
              <w:ind w:left="284" w:hanging="284"/>
              <w:rPr>
                <w:lang w:val="ru-RU"/>
              </w:rPr>
            </w:pPr>
            <w:r w:rsidRPr="007F5899">
              <w:rPr>
                <w:lang w:val="ru-RU"/>
              </w:rPr>
              <w:t>−</w:t>
            </w:r>
            <w:r w:rsidRPr="007F5899">
              <w:rPr>
                <w:lang w:val="ru-RU"/>
              </w:rPr>
              <w:tab/>
            </w:r>
            <w:r w:rsidR="000F31C9" w:rsidRPr="007F5899">
              <w:rPr>
                <w:lang w:val="ru-RU"/>
              </w:rPr>
              <w:t>экономия на коммунальных платежах в размере 100</w:t>
            </w:r>
            <w:r w:rsidR="0030228C" w:rsidRPr="007F5899">
              <w:rPr>
                <w:lang w:val="ru-RU"/>
              </w:rPr>
              <w:t> </w:t>
            </w:r>
            <w:r w:rsidR="000F31C9" w:rsidRPr="007F5899">
              <w:rPr>
                <w:lang w:val="ru-RU"/>
              </w:rPr>
              <w:t>тысяч швейцарских франков в год начиная с 2021</w:t>
            </w:r>
            <w:r w:rsidR="0030228C" w:rsidRPr="007F5899">
              <w:rPr>
                <w:lang w:val="ru-RU"/>
              </w:rPr>
              <w:t> </w:t>
            </w:r>
            <w:r w:rsidR="000F31C9" w:rsidRPr="007F5899">
              <w:rPr>
                <w:lang w:val="ru-RU"/>
              </w:rPr>
              <w:t>года;</w:t>
            </w:r>
          </w:p>
          <w:p w:rsidR="000F31C9" w:rsidRPr="007F5899" w:rsidRDefault="00D83B5A" w:rsidP="0030228C">
            <w:pPr>
              <w:pStyle w:val="Tabletext"/>
              <w:ind w:left="284" w:hanging="284"/>
              <w:rPr>
                <w:lang w:val="ru-RU"/>
              </w:rPr>
            </w:pPr>
            <w:r w:rsidRPr="007F5899">
              <w:rPr>
                <w:lang w:val="ru-RU"/>
              </w:rPr>
              <w:t>−</w:t>
            </w:r>
            <w:r w:rsidRPr="007F5899">
              <w:rPr>
                <w:lang w:val="ru-RU"/>
              </w:rPr>
              <w:tab/>
            </w:r>
            <w:r w:rsidR="000F31C9" w:rsidRPr="007F5899">
              <w:rPr>
                <w:lang w:val="ru-RU"/>
              </w:rPr>
              <w:t>экономия текущих затрат на обслуживание на начальном этапе пользования отремонтированными зданиями (2021</w:t>
            </w:r>
            <w:r w:rsidR="0030228C" w:rsidRPr="007F5899">
              <w:rPr>
                <w:lang w:val="ru-RU"/>
              </w:rPr>
              <w:t>−</w:t>
            </w:r>
            <w:r w:rsidR="000F31C9" w:rsidRPr="007F5899">
              <w:rPr>
                <w:lang w:val="ru-RU"/>
              </w:rPr>
              <w:t>2050 гг.), предположительно всего 30 миллионов швейцарских франков.</w:t>
            </w:r>
          </w:p>
        </w:tc>
      </w:tr>
      <w:tr w:rsidR="000F31C9" w:rsidRPr="007F5899" w:rsidTr="00356558">
        <w:trPr>
          <w:cantSplit/>
          <w:trHeight w:val="980"/>
        </w:trPr>
        <w:tc>
          <w:tcPr>
            <w:tcW w:w="988" w:type="dxa"/>
            <w:textDirection w:val="btLr"/>
            <w:vAlign w:val="center"/>
          </w:tcPr>
          <w:p w:rsidR="000F31C9" w:rsidRPr="007F5899" w:rsidRDefault="000F31C9" w:rsidP="00356558">
            <w:pPr>
              <w:pStyle w:val="Tabletext"/>
              <w:jc w:val="center"/>
              <w:rPr>
                <w:b/>
                <w:bCs/>
                <w:lang w:val="ru-RU"/>
              </w:rPr>
            </w:pPr>
            <w:r w:rsidRPr="007F5899">
              <w:rPr>
                <w:b/>
                <w:bCs/>
                <w:lang w:val="ru-RU"/>
              </w:rPr>
              <w:t>Аренда</w:t>
            </w:r>
          </w:p>
        </w:tc>
        <w:tc>
          <w:tcPr>
            <w:tcW w:w="2127" w:type="dxa"/>
          </w:tcPr>
          <w:p w:rsidR="000F31C9" w:rsidRPr="007F5899" w:rsidRDefault="000F31C9" w:rsidP="008C3D42">
            <w:pPr>
              <w:pStyle w:val="Tabletext"/>
              <w:rPr>
                <w:lang w:val="ru-RU"/>
              </w:rPr>
            </w:pPr>
            <w:r w:rsidRPr="007F5899">
              <w:rPr>
                <w:lang w:val="ru-RU"/>
              </w:rPr>
              <w:t>Ежегодно: 4,9 млн. швейцарских франков включая платежи</w:t>
            </w:r>
          </w:p>
          <w:p w:rsidR="000F31C9" w:rsidRPr="007F5899" w:rsidRDefault="000F31C9" w:rsidP="00DD378F">
            <w:pPr>
              <w:pStyle w:val="Tabletext"/>
              <w:rPr>
                <w:lang w:val="ru-RU"/>
              </w:rPr>
            </w:pPr>
            <w:r w:rsidRPr="007F5899">
              <w:rPr>
                <w:lang w:val="ru-RU"/>
              </w:rPr>
              <w:t xml:space="preserve">Ремонт: </w:t>
            </w:r>
            <w:r w:rsidRPr="007F5899">
              <w:rPr>
                <w:lang w:val="ru-RU"/>
              </w:rPr>
              <w:br/>
              <w:t>6</w:t>
            </w:r>
            <w:r w:rsidR="00E82918" w:rsidRPr="007F5899">
              <w:rPr>
                <w:lang w:val="ru-RU"/>
              </w:rPr>
              <w:t>5</w:t>
            </w:r>
            <w:r w:rsidRPr="007F5899">
              <w:rPr>
                <w:lang w:val="ru-RU"/>
              </w:rPr>
              <w:t>,</w:t>
            </w:r>
            <w:r w:rsidR="00E82918" w:rsidRPr="007F5899">
              <w:rPr>
                <w:lang w:val="ru-RU"/>
              </w:rPr>
              <w:t>6</w:t>
            </w:r>
            <w:r w:rsidRPr="007F5899">
              <w:rPr>
                <w:lang w:val="ru-RU"/>
              </w:rPr>
              <w:t xml:space="preserve"> млн. швейцарских франков</w:t>
            </w:r>
          </w:p>
        </w:tc>
        <w:tc>
          <w:tcPr>
            <w:tcW w:w="2062" w:type="dxa"/>
          </w:tcPr>
          <w:p w:rsidR="000F31C9" w:rsidRPr="007F5899" w:rsidRDefault="000F31C9" w:rsidP="0030228C">
            <w:pPr>
              <w:pStyle w:val="Tabletext"/>
              <w:rPr>
                <w:lang w:val="ru-RU"/>
              </w:rPr>
            </w:pPr>
            <w:r w:rsidRPr="007F5899">
              <w:rPr>
                <w:lang w:val="ru-RU"/>
              </w:rPr>
              <w:t xml:space="preserve">В зависимости от выбранного графика возможно определенное влияние на </w:t>
            </w:r>
            <w:r w:rsidR="00AB45D7" w:rsidRPr="007F5899">
              <w:rPr>
                <w:lang w:val="ru-RU"/>
              </w:rPr>
              <w:t xml:space="preserve">Финансовый план на период </w:t>
            </w:r>
            <w:r w:rsidR="00AB45D7" w:rsidRPr="007F5899">
              <w:rPr>
                <w:lang w:val="ru-RU"/>
              </w:rPr>
              <w:br/>
              <w:t>2016−2019 годов.</w:t>
            </w:r>
          </w:p>
        </w:tc>
        <w:tc>
          <w:tcPr>
            <w:tcW w:w="5046" w:type="dxa"/>
          </w:tcPr>
          <w:p w:rsidR="000F31C9" w:rsidRPr="007F5899" w:rsidRDefault="000F31C9">
            <w:pPr>
              <w:pStyle w:val="Tabletext"/>
              <w:rPr>
                <w:lang w:val="ru-RU"/>
              </w:rPr>
            </w:pPr>
            <w:r w:rsidRPr="007F5899">
              <w:rPr>
                <w:b/>
                <w:bCs/>
                <w:lang w:val="ru-RU"/>
              </w:rPr>
              <w:t>Ежегодные затраты</w:t>
            </w:r>
            <w:r w:rsidRPr="007F5899">
              <w:rPr>
                <w:lang w:val="ru-RU"/>
              </w:rPr>
              <w:t xml:space="preserve">: </w:t>
            </w:r>
            <w:r w:rsidR="00D27D47" w:rsidRPr="007F5899">
              <w:rPr>
                <w:b/>
                <w:bCs/>
                <w:lang w:val="ru-RU"/>
              </w:rPr>
              <w:t>7,1</w:t>
            </w:r>
            <w:r w:rsidRPr="007F5899">
              <w:rPr>
                <w:b/>
                <w:bCs/>
                <w:lang w:val="ru-RU"/>
              </w:rPr>
              <w:t xml:space="preserve"> млн. швейцарских франков</w:t>
            </w:r>
            <w:r w:rsidRPr="007F5899">
              <w:rPr>
                <w:lang w:val="ru-RU"/>
              </w:rPr>
              <w:t>, в том числе:</w:t>
            </w:r>
          </w:p>
          <w:p w:rsidR="000F31C9" w:rsidRPr="007F5899" w:rsidRDefault="00D83B5A" w:rsidP="0030228C">
            <w:pPr>
              <w:pStyle w:val="Tabletext"/>
              <w:ind w:left="284" w:hanging="284"/>
              <w:rPr>
                <w:lang w:val="ru-RU"/>
              </w:rPr>
            </w:pPr>
            <w:r w:rsidRPr="007F5899">
              <w:rPr>
                <w:lang w:val="ru-RU"/>
              </w:rPr>
              <w:t>−</w:t>
            </w:r>
            <w:r w:rsidRPr="007F5899">
              <w:rPr>
                <w:lang w:val="ru-RU"/>
              </w:rPr>
              <w:tab/>
            </w:r>
            <w:r w:rsidR="000F31C9" w:rsidRPr="007F5899">
              <w:rPr>
                <w:lang w:val="ru-RU"/>
              </w:rPr>
              <w:t>4,9 миллиона швейцарских франков в год без улучшения состояния активов Союза плюс платежи, связанные с арендой офисных помещений;</w:t>
            </w:r>
          </w:p>
          <w:p w:rsidR="000F31C9" w:rsidRPr="007F5899" w:rsidRDefault="00D83B5A">
            <w:pPr>
              <w:pStyle w:val="Tabletext"/>
              <w:ind w:left="284" w:hanging="284"/>
              <w:rPr>
                <w:lang w:val="ru-RU"/>
              </w:rPr>
              <w:pPrChange w:id="42" w:author="Grishina, Alexandra" w:date="2014-10-15T15:02:00Z">
                <w:pPr>
                  <w:pStyle w:val="Tabletext"/>
                </w:pPr>
              </w:pPrChange>
            </w:pPr>
            <w:r w:rsidRPr="007F5899">
              <w:rPr>
                <w:lang w:val="ru-RU"/>
              </w:rPr>
              <w:t>−</w:t>
            </w:r>
            <w:r w:rsidRPr="007F5899">
              <w:rPr>
                <w:lang w:val="ru-RU"/>
              </w:rPr>
              <w:tab/>
            </w:r>
            <w:r w:rsidR="000F31C9" w:rsidRPr="007F5899">
              <w:rPr>
                <w:lang w:val="ru-RU"/>
              </w:rPr>
              <w:t>1,8 миллиона швейцарских франков в год в течение 30 лет плюс средний процент в размере 0,</w:t>
            </w:r>
            <w:r w:rsidR="00E82918" w:rsidRPr="007F5899">
              <w:rPr>
                <w:lang w:val="ru-RU"/>
                <w:rPrChange w:id="43" w:author="Grishina, Alexandra" w:date="2014-10-15T15:02:00Z">
                  <w:rPr>
                    <w:lang w:val="en-US"/>
                  </w:rPr>
                </w:rPrChange>
              </w:rPr>
              <w:t>4</w:t>
            </w:r>
            <w:r w:rsidR="0030228C" w:rsidRPr="007F5899">
              <w:rPr>
                <w:lang w:val="ru-RU"/>
              </w:rPr>
              <w:t> </w:t>
            </w:r>
            <w:r w:rsidR="000F31C9" w:rsidRPr="007F5899">
              <w:rPr>
                <w:lang w:val="ru-RU"/>
              </w:rPr>
              <w:t>миллиона швейцарских франков с момента завершения работ.</w:t>
            </w:r>
          </w:p>
        </w:tc>
      </w:tr>
      <w:tr w:rsidR="000F31C9" w:rsidRPr="007F5899" w:rsidTr="00356558">
        <w:trPr>
          <w:cantSplit/>
          <w:trHeight w:val="1209"/>
        </w:trPr>
        <w:tc>
          <w:tcPr>
            <w:tcW w:w="988" w:type="dxa"/>
            <w:textDirection w:val="btLr"/>
            <w:vAlign w:val="center"/>
          </w:tcPr>
          <w:p w:rsidR="000F31C9" w:rsidRPr="007F5899" w:rsidRDefault="000F31C9" w:rsidP="00356558">
            <w:pPr>
              <w:pStyle w:val="Tabletext"/>
              <w:jc w:val="center"/>
              <w:rPr>
                <w:b/>
                <w:bCs/>
                <w:lang w:val="ru-RU"/>
              </w:rPr>
            </w:pPr>
            <w:r w:rsidRPr="007F5899">
              <w:rPr>
                <w:b/>
                <w:bCs/>
                <w:lang w:val="ru-RU"/>
              </w:rPr>
              <w:lastRenderedPageBreak/>
              <w:t>Перенос</w:t>
            </w:r>
          </w:p>
        </w:tc>
        <w:tc>
          <w:tcPr>
            <w:tcW w:w="2127" w:type="dxa"/>
          </w:tcPr>
          <w:p w:rsidR="000F31C9" w:rsidRPr="007F5899" w:rsidRDefault="000F31C9" w:rsidP="008C3D42">
            <w:pPr>
              <w:pStyle w:val="Tabletext"/>
              <w:rPr>
                <w:lang w:val="ru-RU"/>
              </w:rPr>
            </w:pPr>
            <w:r w:rsidRPr="007F5899">
              <w:rPr>
                <w:lang w:val="ru-RU"/>
              </w:rPr>
              <w:t>130–170 млн. швейцарских франков (затраты по переносу без учета затрат по обеспечению новых зданий)</w:t>
            </w:r>
          </w:p>
          <w:p w:rsidR="000F31C9" w:rsidRPr="007F5899" w:rsidRDefault="000F31C9" w:rsidP="00F87CF0">
            <w:pPr>
              <w:pStyle w:val="Tabletext"/>
              <w:rPr>
                <w:lang w:val="ru-RU"/>
              </w:rPr>
            </w:pPr>
            <w:r w:rsidRPr="007F5899">
              <w:rPr>
                <w:lang w:val="ru-RU"/>
              </w:rPr>
              <w:t>48 млн. швейцарских франков</w:t>
            </w:r>
            <w:r w:rsidR="00F87CF0" w:rsidRPr="007F5899">
              <w:rPr>
                <w:lang w:val="ru-RU"/>
              </w:rPr>
              <w:t xml:space="preserve"> </w:t>
            </w:r>
            <w:r w:rsidRPr="007F5899">
              <w:rPr>
                <w:lang w:val="ru-RU"/>
              </w:rPr>
              <w:t>(погашение ипотечной ссуды)</w:t>
            </w:r>
          </w:p>
          <w:p w:rsidR="000F31C9" w:rsidRPr="007F5899" w:rsidRDefault="000F31C9" w:rsidP="008C3D42">
            <w:pPr>
              <w:pStyle w:val="Tabletext"/>
              <w:rPr>
                <w:lang w:val="ru-RU"/>
              </w:rPr>
            </w:pPr>
            <w:r w:rsidRPr="007F5899">
              <w:rPr>
                <w:lang w:val="ru-RU"/>
              </w:rPr>
              <w:t>Часть затрат будет погашена за счет продажи всех нынешних зданий штаб-квартиры (оценить не представляется возможным на данном этапе)</w:t>
            </w:r>
          </w:p>
        </w:tc>
        <w:tc>
          <w:tcPr>
            <w:tcW w:w="2062" w:type="dxa"/>
          </w:tcPr>
          <w:p w:rsidR="000F31C9" w:rsidRPr="007F5899" w:rsidRDefault="000F31C9" w:rsidP="0030228C">
            <w:pPr>
              <w:pStyle w:val="Tabletext"/>
              <w:rPr>
                <w:lang w:val="ru-RU"/>
              </w:rPr>
            </w:pPr>
            <w:r w:rsidRPr="007F5899">
              <w:rPr>
                <w:lang w:val="ru-RU"/>
              </w:rPr>
              <w:t xml:space="preserve">В зависимости от выбранного графика возможно определенное </w:t>
            </w:r>
            <w:r w:rsidR="0030228C" w:rsidRPr="007F5899">
              <w:rPr>
                <w:lang w:val="ru-RU"/>
              </w:rPr>
              <w:t xml:space="preserve">влияние на </w:t>
            </w:r>
            <w:r w:rsidR="00AB45D7" w:rsidRPr="007F5899">
              <w:rPr>
                <w:lang w:val="ru-RU"/>
              </w:rPr>
              <w:t xml:space="preserve">Финансовый план на период </w:t>
            </w:r>
            <w:r w:rsidR="00AB45D7" w:rsidRPr="007F5899">
              <w:rPr>
                <w:lang w:val="ru-RU"/>
              </w:rPr>
              <w:br/>
              <w:t>2016−2019 годов.</w:t>
            </w:r>
          </w:p>
        </w:tc>
        <w:tc>
          <w:tcPr>
            <w:tcW w:w="5046" w:type="dxa"/>
          </w:tcPr>
          <w:p w:rsidR="000F31C9" w:rsidRPr="007F5899" w:rsidRDefault="00D83B5A" w:rsidP="0030228C">
            <w:pPr>
              <w:pStyle w:val="Tabletext"/>
              <w:ind w:left="284" w:hanging="284"/>
              <w:rPr>
                <w:lang w:val="ru-RU"/>
              </w:rPr>
            </w:pPr>
            <w:r w:rsidRPr="007F5899">
              <w:rPr>
                <w:lang w:val="ru-RU"/>
              </w:rPr>
              <w:t>−</w:t>
            </w:r>
            <w:r w:rsidRPr="007F5899">
              <w:rPr>
                <w:lang w:val="ru-RU"/>
              </w:rPr>
              <w:tab/>
            </w:r>
            <w:r w:rsidR="000F31C9" w:rsidRPr="007F5899">
              <w:rPr>
                <w:lang w:val="ru-RU"/>
              </w:rPr>
              <w:t>Следует принимать во внимание затраты по использованию зданий в новом местонахождении.</w:t>
            </w:r>
          </w:p>
          <w:p w:rsidR="000F31C9" w:rsidRPr="007F5899" w:rsidRDefault="00D83B5A" w:rsidP="0030228C">
            <w:pPr>
              <w:pStyle w:val="Tabletext"/>
              <w:ind w:left="284" w:hanging="284"/>
              <w:rPr>
                <w:lang w:val="ru-RU"/>
              </w:rPr>
            </w:pPr>
            <w:r w:rsidRPr="007F5899">
              <w:rPr>
                <w:lang w:val="ru-RU"/>
              </w:rPr>
              <w:t>−</w:t>
            </w:r>
            <w:r w:rsidRPr="007F5899">
              <w:rPr>
                <w:lang w:val="ru-RU"/>
              </w:rPr>
              <w:tab/>
            </w:r>
            <w:r w:rsidR="000F31C9" w:rsidRPr="007F5899">
              <w:rPr>
                <w:lang w:val="ru-RU"/>
              </w:rPr>
              <w:t>Экономию затрат на персонал необходимо оценивать в соответствии с условиями нового местонахождения.</w:t>
            </w:r>
          </w:p>
        </w:tc>
      </w:tr>
    </w:tbl>
    <w:p w:rsidR="00E82918" w:rsidRPr="007F5899" w:rsidRDefault="00E82918" w:rsidP="0030228C">
      <w:pPr>
        <w:rPr>
          <w:lang w:val="ru-RU"/>
        </w:rPr>
      </w:pPr>
      <w:r w:rsidRPr="007F5899">
        <w:rPr>
          <w:lang w:val="ru-RU"/>
        </w:rPr>
        <w:br w:type="page"/>
      </w:r>
    </w:p>
    <w:p w:rsidR="000F31C9" w:rsidRPr="007F5899" w:rsidRDefault="000F31C9" w:rsidP="0030228C">
      <w:pPr>
        <w:pStyle w:val="Headingb"/>
        <w:spacing w:after="120"/>
        <w:rPr>
          <w:lang w:val="ru-RU"/>
        </w:rPr>
      </w:pPr>
      <w:r w:rsidRPr="007F5899">
        <w:rPr>
          <w:lang w:val="ru-RU"/>
        </w:rPr>
        <w:lastRenderedPageBreak/>
        <w:t>Стратегические аспекты</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3827"/>
        <w:gridCol w:w="1559"/>
        <w:gridCol w:w="1337"/>
      </w:tblGrid>
      <w:tr w:rsidR="000F31C9" w:rsidRPr="007F5899" w:rsidTr="002F3223">
        <w:trPr>
          <w:cantSplit/>
          <w:tblHeader/>
          <w:jc w:val="center"/>
        </w:trPr>
        <w:tc>
          <w:tcPr>
            <w:tcW w:w="988" w:type="dxa"/>
            <w:tcMar>
              <w:left w:w="57" w:type="dxa"/>
              <w:right w:w="57" w:type="dxa"/>
            </w:tcMar>
            <w:vAlign w:val="center"/>
          </w:tcPr>
          <w:p w:rsidR="000F31C9" w:rsidRPr="007F5899" w:rsidRDefault="000F31C9" w:rsidP="0030228C">
            <w:pPr>
              <w:pStyle w:val="Tablehead"/>
              <w:ind w:left="-113" w:right="-113"/>
              <w:rPr>
                <w:lang w:val="ru-RU"/>
              </w:rPr>
            </w:pPr>
            <w:r w:rsidRPr="007F5899">
              <w:rPr>
                <w:lang w:val="ru-RU"/>
              </w:rPr>
              <w:t>Варианты</w:t>
            </w:r>
          </w:p>
        </w:tc>
        <w:tc>
          <w:tcPr>
            <w:tcW w:w="2835" w:type="dxa"/>
            <w:tcMar>
              <w:left w:w="57" w:type="dxa"/>
              <w:right w:w="57" w:type="dxa"/>
            </w:tcMar>
            <w:vAlign w:val="center"/>
          </w:tcPr>
          <w:p w:rsidR="000F31C9" w:rsidRPr="007F5899" w:rsidRDefault="000F31C9" w:rsidP="00E82918">
            <w:pPr>
              <w:pStyle w:val="Tablehead"/>
              <w:rPr>
                <w:lang w:val="ru-RU"/>
              </w:rPr>
            </w:pPr>
            <w:r w:rsidRPr="007F5899">
              <w:rPr>
                <w:lang w:val="ru-RU"/>
              </w:rPr>
              <w:t>Преимущества</w:t>
            </w:r>
          </w:p>
        </w:tc>
        <w:tc>
          <w:tcPr>
            <w:tcW w:w="3827" w:type="dxa"/>
            <w:tcMar>
              <w:left w:w="57" w:type="dxa"/>
              <w:right w:w="57" w:type="dxa"/>
            </w:tcMar>
            <w:vAlign w:val="center"/>
          </w:tcPr>
          <w:p w:rsidR="000F31C9" w:rsidRPr="007F5899" w:rsidRDefault="000F31C9" w:rsidP="00E82918">
            <w:pPr>
              <w:pStyle w:val="Tablehead"/>
              <w:rPr>
                <w:lang w:val="ru-RU"/>
              </w:rPr>
            </w:pPr>
            <w:r w:rsidRPr="007F5899">
              <w:rPr>
                <w:lang w:val="ru-RU"/>
              </w:rPr>
              <w:t>Недостатки</w:t>
            </w:r>
          </w:p>
        </w:tc>
        <w:tc>
          <w:tcPr>
            <w:tcW w:w="1559" w:type="dxa"/>
            <w:tcMar>
              <w:left w:w="57" w:type="dxa"/>
              <w:right w:w="57" w:type="dxa"/>
            </w:tcMar>
            <w:vAlign w:val="center"/>
          </w:tcPr>
          <w:p w:rsidR="000F31C9" w:rsidRPr="007F5899" w:rsidRDefault="000F31C9" w:rsidP="00E82918">
            <w:pPr>
              <w:pStyle w:val="Tablehead"/>
              <w:rPr>
                <w:lang w:val="ru-RU"/>
              </w:rPr>
            </w:pPr>
            <w:r w:rsidRPr="007F5899">
              <w:rPr>
                <w:lang w:val="ru-RU"/>
              </w:rPr>
              <w:t>Потенциальная краткосрочная экономия</w:t>
            </w:r>
          </w:p>
        </w:tc>
        <w:tc>
          <w:tcPr>
            <w:tcW w:w="1337" w:type="dxa"/>
            <w:tcMar>
              <w:left w:w="57" w:type="dxa"/>
              <w:right w:w="57" w:type="dxa"/>
            </w:tcMar>
            <w:vAlign w:val="center"/>
          </w:tcPr>
          <w:p w:rsidR="000F31C9" w:rsidRPr="007F5899" w:rsidRDefault="000F31C9" w:rsidP="00E82918">
            <w:pPr>
              <w:pStyle w:val="Tablehead"/>
              <w:rPr>
                <w:lang w:val="ru-RU"/>
              </w:rPr>
            </w:pPr>
            <w:proofErr w:type="spellStart"/>
            <w:proofErr w:type="gramStart"/>
            <w:r w:rsidRPr="007F5899">
              <w:rPr>
                <w:lang w:val="ru-RU"/>
              </w:rPr>
              <w:t>Потенци</w:t>
            </w:r>
            <w:r w:rsidR="0030228C" w:rsidRPr="007F5899">
              <w:rPr>
                <w:lang w:val="ru-RU"/>
              </w:rPr>
              <w:t>-</w:t>
            </w:r>
            <w:r w:rsidRPr="007F5899">
              <w:rPr>
                <w:lang w:val="ru-RU"/>
              </w:rPr>
              <w:t>альная</w:t>
            </w:r>
            <w:proofErr w:type="spellEnd"/>
            <w:proofErr w:type="gramEnd"/>
            <w:r w:rsidRPr="007F5899">
              <w:rPr>
                <w:lang w:val="ru-RU"/>
              </w:rPr>
              <w:t xml:space="preserve"> долго</w:t>
            </w:r>
            <w:r w:rsidR="0030228C" w:rsidRPr="007F5899">
              <w:rPr>
                <w:lang w:val="ru-RU"/>
              </w:rPr>
              <w:t>-</w:t>
            </w:r>
            <w:r w:rsidRPr="007F5899">
              <w:rPr>
                <w:lang w:val="ru-RU"/>
              </w:rPr>
              <w:t>срочная экономия</w:t>
            </w:r>
          </w:p>
        </w:tc>
      </w:tr>
      <w:tr w:rsidR="000F31C9" w:rsidRPr="007F5899" w:rsidTr="000968DB">
        <w:trPr>
          <w:cantSplit/>
          <w:jc w:val="center"/>
        </w:trPr>
        <w:tc>
          <w:tcPr>
            <w:tcW w:w="988" w:type="dxa"/>
            <w:tcMar>
              <w:left w:w="57" w:type="dxa"/>
              <w:right w:w="57" w:type="dxa"/>
            </w:tcMar>
            <w:textDirection w:val="btLr"/>
            <w:vAlign w:val="center"/>
          </w:tcPr>
          <w:p w:rsidR="000F31C9" w:rsidRPr="007F5899" w:rsidRDefault="000F31C9" w:rsidP="00E82918">
            <w:pPr>
              <w:pStyle w:val="Tabletext"/>
              <w:jc w:val="center"/>
              <w:rPr>
                <w:b/>
                <w:bCs/>
                <w:lang w:val="ru-RU"/>
              </w:rPr>
            </w:pPr>
            <w:r w:rsidRPr="007F5899">
              <w:rPr>
                <w:b/>
                <w:bCs/>
                <w:lang w:val="ru-RU"/>
              </w:rPr>
              <w:t>Замена</w:t>
            </w:r>
          </w:p>
        </w:tc>
        <w:tc>
          <w:tcPr>
            <w:tcW w:w="2835" w:type="dxa"/>
            <w:tcMar>
              <w:left w:w="57" w:type="dxa"/>
              <w:right w:w="57" w:type="dxa"/>
            </w:tcMar>
          </w:tcPr>
          <w:p w:rsidR="000F31C9" w:rsidRPr="007F5899" w:rsidRDefault="0030228C" w:rsidP="0083597E">
            <w:pPr>
              <w:pStyle w:val="Tabletext"/>
              <w:tabs>
                <w:tab w:val="left" w:pos="227"/>
              </w:tabs>
              <w:ind w:left="227" w:hanging="227"/>
              <w:rPr>
                <w:lang w:val="ru-RU"/>
              </w:rPr>
            </w:pPr>
            <w:r w:rsidRPr="007F5899">
              <w:rPr>
                <w:lang w:val="ru-RU"/>
              </w:rPr>
              <w:t>−</w:t>
            </w:r>
            <w:r w:rsidRPr="007F5899">
              <w:rPr>
                <w:lang w:val="ru-RU"/>
              </w:rPr>
              <w:tab/>
            </w:r>
            <w:r w:rsidR="000F31C9" w:rsidRPr="007F5899">
              <w:rPr>
                <w:lang w:val="ru-RU"/>
              </w:rPr>
              <w:t>Сохранение исторического местопребывания Союза</w:t>
            </w:r>
          </w:p>
          <w:p w:rsidR="000F31C9" w:rsidRPr="007F5899" w:rsidRDefault="0083597E" w:rsidP="0083597E">
            <w:pPr>
              <w:pStyle w:val="Tabletext"/>
              <w:ind w:left="226" w:hanging="226"/>
              <w:rPr>
                <w:lang w:val="ru-RU"/>
              </w:rPr>
            </w:pPr>
            <w:r w:rsidRPr="007F5899">
              <w:rPr>
                <w:lang w:val="ru-RU"/>
              </w:rPr>
              <w:t>−</w:t>
            </w:r>
            <w:r w:rsidRPr="007F5899">
              <w:rPr>
                <w:lang w:val="ru-RU"/>
              </w:rPr>
              <w:tab/>
            </w:r>
            <w:r w:rsidR="000F31C9" w:rsidRPr="007F5899">
              <w:rPr>
                <w:lang w:val="ru-RU"/>
              </w:rPr>
              <w:t>Минимальное влияние на деятельность МСЭ</w:t>
            </w:r>
          </w:p>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Возможность переоценки зданий с положительным влиянием на стоимость активов Союза</w:t>
            </w:r>
          </w:p>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Увеличение площади зала заседаний на 400 мест</w:t>
            </w:r>
          </w:p>
        </w:tc>
        <w:tc>
          <w:tcPr>
            <w:tcW w:w="3827" w:type="dxa"/>
            <w:tcMar>
              <w:left w:w="57" w:type="dxa"/>
              <w:right w:w="57" w:type="dxa"/>
            </w:tcMar>
          </w:tcPr>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Стоимость и финансирование проекта: 3</w:t>
            </w:r>
            <w:r w:rsidRPr="007F5899">
              <w:rPr>
                <w:lang w:val="ru-RU"/>
              </w:rPr>
              <w:t> </w:t>
            </w:r>
            <w:r w:rsidR="000F31C9" w:rsidRPr="007F5899">
              <w:rPr>
                <w:lang w:val="ru-RU"/>
              </w:rPr>
              <w:t>миллиона швейцарских франков в год в течение 50 лет, включаются в обычный бюджет</w:t>
            </w:r>
          </w:p>
        </w:tc>
        <w:tc>
          <w:tcPr>
            <w:tcW w:w="1559" w:type="dxa"/>
            <w:tcMar>
              <w:left w:w="57" w:type="dxa"/>
              <w:right w:w="57" w:type="dxa"/>
            </w:tcMar>
          </w:tcPr>
          <w:p w:rsidR="000F31C9" w:rsidRPr="007F5899" w:rsidRDefault="000F31C9" w:rsidP="000968DB">
            <w:pPr>
              <w:pStyle w:val="Tabletext"/>
              <w:ind w:right="-57"/>
              <w:rPr>
                <w:lang w:val="ru-RU"/>
              </w:rPr>
            </w:pPr>
            <w:r w:rsidRPr="007F5899">
              <w:rPr>
                <w:lang w:val="ru-RU"/>
              </w:rPr>
              <w:t>Вариант не оказывает влияния на</w:t>
            </w:r>
            <w:r w:rsidR="000968DB" w:rsidRPr="007F5899">
              <w:rPr>
                <w:lang w:val="ru-RU"/>
              </w:rPr>
              <w:t> </w:t>
            </w:r>
            <w:r w:rsidR="00AB45D7" w:rsidRPr="007F5899">
              <w:rPr>
                <w:lang w:val="ru-RU"/>
              </w:rPr>
              <w:t>Финансовый план на период 2016−2019 годов.</w:t>
            </w:r>
          </w:p>
          <w:p w:rsidR="000F31C9" w:rsidRPr="007F5899" w:rsidRDefault="000F31C9" w:rsidP="000968DB">
            <w:pPr>
              <w:pStyle w:val="Tabletext"/>
              <w:rPr>
                <w:lang w:val="ru-RU"/>
              </w:rPr>
            </w:pPr>
            <w:r w:rsidRPr="007F5899">
              <w:rPr>
                <w:lang w:val="ru-RU"/>
              </w:rPr>
              <w:t>Выплаты по ссуде начнутся в</w:t>
            </w:r>
            <w:r w:rsidR="000968DB" w:rsidRPr="007F5899">
              <w:rPr>
                <w:lang w:val="ru-RU"/>
              </w:rPr>
              <w:t> </w:t>
            </w:r>
            <w:r w:rsidRPr="007F5899">
              <w:rPr>
                <w:lang w:val="ru-RU"/>
              </w:rPr>
              <w:t>2021 году.</w:t>
            </w:r>
          </w:p>
        </w:tc>
        <w:tc>
          <w:tcPr>
            <w:tcW w:w="1337" w:type="dxa"/>
            <w:tcMar>
              <w:left w:w="57" w:type="dxa"/>
              <w:right w:w="57" w:type="dxa"/>
            </w:tcMar>
          </w:tcPr>
          <w:p w:rsidR="000F31C9" w:rsidRPr="007F5899" w:rsidRDefault="000F31C9" w:rsidP="00F87CF0">
            <w:pPr>
              <w:pStyle w:val="Tabletext"/>
              <w:jc w:val="center"/>
              <w:rPr>
                <w:lang w:val="ru-RU"/>
              </w:rPr>
            </w:pPr>
            <w:r w:rsidRPr="007F5899">
              <w:rPr>
                <w:lang w:val="ru-RU"/>
              </w:rPr>
              <w:t>++</w:t>
            </w:r>
          </w:p>
        </w:tc>
      </w:tr>
      <w:tr w:rsidR="000F31C9" w:rsidRPr="007F5899" w:rsidTr="000968DB">
        <w:trPr>
          <w:cantSplit/>
          <w:jc w:val="center"/>
        </w:trPr>
        <w:tc>
          <w:tcPr>
            <w:tcW w:w="988" w:type="dxa"/>
            <w:tcMar>
              <w:left w:w="57" w:type="dxa"/>
              <w:right w:w="57" w:type="dxa"/>
            </w:tcMar>
            <w:textDirection w:val="btLr"/>
            <w:vAlign w:val="center"/>
          </w:tcPr>
          <w:p w:rsidR="000F31C9" w:rsidRPr="007F5899" w:rsidRDefault="000F31C9" w:rsidP="00E82918">
            <w:pPr>
              <w:pStyle w:val="Tabletext"/>
              <w:jc w:val="center"/>
              <w:rPr>
                <w:b/>
                <w:bCs/>
                <w:lang w:val="ru-RU"/>
              </w:rPr>
            </w:pPr>
            <w:r w:rsidRPr="007F5899">
              <w:rPr>
                <w:b/>
                <w:bCs/>
                <w:lang w:val="ru-RU"/>
              </w:rPr>
              <w:t>Ремонт</w:t>
            </w:r>
          </w:p>
        </w:tc>
        <w:tc>
          <w:tcPr>
            <w:tcW w:w="2835" w:type="dxa"/>
            <w:tcMar>
              <w:left w:w="57" w:type="dxa"/>
              <w:right w:w="57" w:type="dxa"/>
            </w:tcMar>
          </w:tcPr>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Менее дорогостоящее решение по сравнению с заменой</w:t>
            </w:r>
          </w:p>
        </w:tc>
        <w:tc>
          <w:tcPr>
            <w:tcW w:w="3827" w:type="dxa"/>
            <w:tcMar>
              <w:left w:w="57" w:type="dxa"/>
              <w:right w:w="57" w:type="dxa"/>
            </w:tcMar>
          </w:tcPr>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Решение, не представляющее технических преимуществ, поскольку сохраняется старая конструкция здания</w:t>
            </w:r>
          </w:p>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Дорогостоящее решение, общие рамки которого еще предстоит уточнить (стоимость перемещения персонала на период проведения работ)</w:t>
            </w:r>
          </w:p>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Ссуда под льготный процент в отличие от беспроцентной ссуды</w:t>
            </w:r>
          </w:p>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С точки зрения общего влияния проекта сложно выразить экономию в конкретных цифрах</w:t>
            </w:r>
          </w:p>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Значительное влияние на расположенные в здании службы в период проведения работ</w:t>
            </w:r>
          </w:p>
          <w:p w:rsidR="000F31C9" w:rsidRPr="007F5899" w:rsidRDefault="0083597E" w:rsidP="0083597E">
            <w:pPr>
              <w:pStyle w:val="Tabletext"/>
              <w:tabs>
                <w:tab w:val="left" w:pos="284"/>
              </w:tabs>
              <w:ind w:left="227" w:hanging="227"/>
              <w:rPr>
                <w:lang w:val="ru-RU"/>
              </w:rPr>
            </w:pPr>
            <w:r w:rsidRPr="007F5899">
              <w:rPr>
                <w:lang w:val="ru-RU"/>
              </w:rPr>
              <w:t>−</w:t>
            </w:r>
            <w:r w:rsidRPr="007F5899">
              <w:rPr>
                <w:lang w:val="ru-RU"/>
              </w:rPr>
              <w:tab/>
            </w:r>
            <w:r w:rsidR="000F31C9" w:rsidRPr="007F5899">
              <w:rPr>
                <w:lang w:val="ru-RU"/>
              </w:rPr>
              <w:t>Сокращение полезной площади на каждом этаже, включая зал заседаний (ввиду выполнения требований стандартов безопасности, противопожарной защиты, эвакуации, обеспечения доступности)</w:t>
            </w:r>
          </w:p>
        </w:tc>
        <w:tc>
          <w:tcPr>
            <w:tcW w:w="1559" w:type="dxa"/>
            <w:tcMar>
              <w:left w:w="57" w:type="dxa"/>
              <w:right w:w="57" w:type="dxa"/>
            </w:tcMar>
          </w:tcPr>
          <w:p w:rsidR="000F31C9" w:rsidRPr="007F5899" w:rsidRDefault="0083597E" w:rsidP="00F87CF0">
            <w:pPr>
              <w:pStyle w:val="Tabletext"/>
              <w:jc w:val="center"/>
              <w:rPr>
                <w:lang w:val="ru-RU"/>
              </w:rPr>
            </w:pPr>
            <w:r w:rsidRPr="007F5899">
              <w:rPr>
                <w:lang w:val="ru-RU"/>
              </w:rPr>
              <w:t>−</w:t>
            </w:r>
          </w:p>
        </w:tc>
        <w:tc>
          <w:tcPr>
            <w:tcW w:w="1337" w:type="dxa"/>
            <w:tcMar>
              <w:left w:w="57" w:type="dxa"/>
              <w:right w:w="57" w:type="dxa"/>
            </w:tcMar>
          </w:tcPr>
          <w:p w:rsidR="000F31C9" w:rsidRPr="007F5899" w:rsidRDefault="000F31C9" w:rsidP="00F87CF0">
            <w:pPr>
              <w:pStyle w:val="Tabletext"/>
              <w:jc w:val="center"/>
              <w:rPr>
                <w:lang w:val="ru-RU"/>
              </w:rPr>
            </w:pPr>
            <w:r w:rsidRPr="007F5899">
              <w:rPr>
                <w:lang w:val="ru-RU"/>
              </w:rPr>
              <w:t>+</w:t>
            </w:r>
          </w:p>
        </w:tc>
      </w:tr>
      <w:tr w:rsidR="000F31C9" w:rsidRPr="007F5899" w:rsidTr="000968DB">
        <w:trPr>
          <w:cantSplit/>
          <w:jc w:val="center"/>
        </w:trPr>
        <w:tc>
          <w:tcPr>
            <w:tcW w:w="988" w:type="dxa"/>
            <w:tcMar>
              <w:left w:w="57" w:type="dxa"/>
              <w:right w:w="57" w:type="dxa"/>
            </w:tcMar>
            <w:textDirection w:val="btLr"/>
            <w:vAlign w:val="center"/>
          </w:tcPr>
          <w:p w:rsidR="000F31C9" w:rsidRPr="007F5899" w:rsidRDefault="000F31C9" w:rsidP="00E82918">
            <w:pPr>
              <w:pStyle w:val="Tabletext"/>
              <w:jc w:val="center"/>
              <w:rPr>
                <w:b/>
                <w:bCs/>
                <w:lang w:val="ru-RU"/>
              </w:rPr>
            </w:pPr>
            <w:r w:rsidRPr="007F5899">
              <w:rPr>
                <w:b/>
                <w:bCs/>
                <w:lang w:val="ru-RU"/>
              </w:rPr>
              <w:t>Аренда</w:t>
            </w:r>
          </w:p>
        </w:tc>
        <w:tc>
          <w:tcPr>
            <w:tcW w:w="2835" w:type="dxa"/>
            <w:tcMar>
              <w:left w:w="57" w:type="dxa"/>
              <w:right w:w="57" w:type="dxa"/>
            </w:tcMar>
          </w:tcPr>
          <w:p w:rsidR="000F31C9" w:rsidRPr="007F5899" w:rsidRDefault="0083597E" w:rsidP="0083597E">
            <w:pPr>
              <w:pStyle w:val="Tabletext"/>
              <w:ind w:left="227" w:hanging="227"/>
              <w:rPr>
                <w:lang w:val="ru-RU"/>
              </w:rPr>
            </w:pPr>
            <w:r w:rsidRPr="007F5899">
              <w:rPr>
                <w:lang w:val="ru-RU"/>
              </w:rPr>
              <w:t>−</w:t>
            </w:r>
            <w:r w:rsidRPr="007F5899">
              <w:rPr>
                <w:lang w:val="ru-RU"/>
              </w:rPr>
              <w:tab/>
            </w:r>
            <w:r w:rsidR="000F31C9" w:rsidRPr="007F5899">
              <w:rPr>
                <w:lang w:val="ru-RU"/>
              </w:rPr>
              <w:t>Отсутствие необходимости управлять вопросами обслуживания и</w:t>
            </w:r>
            <w:r w:rsidRPr="007F5899">
              <w:rPr>
                <w:lang w:val="ru-RU"/>
              </w:rPr>
              <w:t> </w:t>
            </w:r>
            <w:r w:rsidR="000F31C9" w:rsidRPr="007F5899">
              <w:rPr>
                <w:lang w:val="ru-RU"/>
              </w:rPr>
              <w:t>амортизации</w:t>
            </w:r>
          </w:p>
        </w:tc>
        <w:tc>
          <w:tcPr>
            <w:tcW w:w="3827" w:type="dxa"/>
            <w:tcMar>
              <w:left w:w="57" w:type="dxa"/>
              <w:right w:w="57" w:type="dxa"/>
            </w:tcMar>
          </w:tcPr>
          <w:p w:rsidR="000F31C9" w:rsidRPr="007F5899" w:rsidRDefault="0083597E" w:rsidP="0083597E">
            <w:pPr>
              <w:pStyle w:val="Tabletext"/>
              <w:ind w:left="227" w:hanging="227"/>
              <w:rPr>
                <w:lang w:val="ru-RU"/>
              </w:rPr>
            </w:pPr>
            <w:r w:rsidRPr="007F5899">
              <w:rPr>
                <w:lang w:val="ru-RU"/>
              </w:rPr>
              <w:t>−</w:t>
            </w:r>
            <w:r w:rsidRPr="007F5899">
              <w:rPr>
                <w:lang w:val="ru-RU"/>
              </w:rPr>
              <w:tab/>
            </w:r>
            <w:r w:rsidR="000F31C9" w:rsidRPr="007F5899">
              <w:rPr>
                <w:lang w:val="ru-RU"/>
              </w:rPr>
              <w:t>Дорогостоящее решение без возможности долгосрочной экономии</w:t>
            </w:r>
          </w:p>
          <w:p w:rsidR="000F31C9" w:rsidRPr="007F5899" w:rsidRDefault="0083597E" w:rsidP="0083597E">
            <w:pPr>
              <w:pStyle w:val="Tabletext"/>
              <w:ind w:left="227" w:hanging="227"/>
              <w:rPr>
                <w:lang w:val="ru-RU"/>
              </w:rPr>
            </w:pPr>
            <w:r w:rsidRPr="007F5899">
              <w:rPr>
                <w:lang w:val="ru-RU"/>
              </w:rPr>
              <w:t>−</w:t>
            </w:r>
            <w:r w:rsidRPr="007F5899">
              <w:rPr>
                <w:lang w:val="ru-RU"/>
              </w:rPr>
              <w:tab/>
            </w:r>
            <w:r w:rsidR="000F31C9" w:rsidRPr="007F5899">
              <w:rPr>
                <w:lang w:val="ru-RU"/>
              </w:rPr>
              <w:t>Значительное влияние на организацию работы в процессе и по завершении перемещения персонала</w:t>
            </w:r>
          </w:p>
          <w:p w:rsidR="000F31C9" w:rsidRPr="007F5899" w:rsidRDefault="0083597E" w:rsidP="0083597E">
            <w:pPr>
              <w:pStyle w:val="Tabletext"/>
              <w:ind w:left="227" w:hanging="227"/>
              <w:rPr>
                <w:lang w:val="ru-RU"/>
              </w:rPr>
            </w:pPr>
            <w:r w:rsidRPr="007F5899">
              <w:rPr>
                <w:lang w:val="ru-RU"/>
              </w:rPr>
              <w:t>−</w:t>
            </w:r>
            <w:r w:rsidRPr="007F5899">
              <w:rPr>
                <w:lang w:val="ru-RU"/>
              </w:rPr>
              <w:tab/>
            </w:r>
            <w:r w:rsidR="000F31C9" w:rsidRPr="007F5899">
              <w:rPr>
                <w:lang w:val="ru-RU"/>
              </w:rPr>
              <w:t xml:space="preserve">Отсутствие положительного влияния на активы Союза </w:t>
            </w:r>
          </w:p>
        </w:tc>
        <w:tc>
          <w:tcPr>
            <w:tcW w:w="1559" w:type="dxa"/>
            <w:tcMar>
              <w:left w:w="57" w:type="dxa"/>
              <w:right w:w="57" w:type="dxa"/>
            </w:tcMar>
          </w:tcPr>
          <w:p w:rsidR="000F31C9" w:rsidRPr="007F5899" w:rsidRDefault="0083597E" w:rsidP="00F87CF0">
            <w:pPr>
              <w:pStyle w:val="Tabletext"/>
              <w:jc w:val="center"/>
              <w:rPr>
                <w:lang w:val="ru-RU"/>
              </w:rPr>
            </w:pPr>
            <w:r w:rsidRPr="007F5899">
              <w:rPr>
                <w:lang w:val="ru-RU"/>
              </w:rPr>
              <w:t>− −</w:t>
            </w:r>
          </w:p>
        </w:tc>
        <w:tc>
          <w:tcPr>
            <w:tcW w:w="1337" w:type="dxa"/>
            <w:tcMar>
              <w:left w:w="57" w:type="dxa"/>
              <w:right w:w="57" w:type="dxa"/>
            </w:tcMar>
          </w:tcPr>
          <w:p w:rsidR="000F31C9" w:rsidRPr="007F5899" w:rsidRDefault="0083597E" w:rsidP="0083597E">
            <w:pPr>
              <w:pStyle w:val="Tabletext"/>
              <w:jc w:val="center"/>
              <w:rPr>
                <w:lang w:val="ru-RU"/>
              </w:rPr>
            </w:pPr>
            <w:r w:rsidRPr="007F5899">
              <w:rPr>
                <w:lang w:val="ru-RU"/>
              </w:rPr>
              <w:t>− − −</w:t>
            </w:r>
          </w:p>
        </w:tc>
      </w:tr>
      <w:tr w:rsidR="000F31C9" w:rsidRPr="007F5899" w:rsidTr="000968DB">
        <w:trPr>
          <w:cantSplit/>
          <w:jc w:val="center"/>
        </w:trPr>
        <w:tc>
          <w:tcPr>
            <w:tcW w:w="988" w:type="dxa"/>
            <w:tcMar>
              <w:left w:w="57" w:type="dxa"/>
              <w:right w:w="57" w:type="dxa"/>
            </w:tcMar>
            <w:textDirection w:val="btLr"/>
            <w:vAlign w:val="center"/>
          </w:tcPr>
          <w:p w:rsidR="000F31C9" w:rsidRPr="007F5899" w:rsidRDefault="000F31C9" w:rsidP="00E82918">
            <w:pPr>
              <w:pStyle w:val="Tabletext"/>
              <w:jc w:val="center"/>
              <w:rPr>
                <w:b/>
                <w:bCs/>
                <w:lang w:val="ru-RU"/>
              </w:rPr>
            </w:pPr>
            <w:r w:rsidRPr="007F5899">
              <w:rPr>
                <w:b/>
                <w:bCs/>
                <w:lang w:val="ru-RU"/>
              </w:rPr>
              <w:lastRenderedPageBreak/>
              <w:t>Перенос</w:t>
            </w:r>
          </w:p>
        </w:tc>
        <w:tc>
          <w:tcPr>
            <w:tcW w:w="2835" w:type="dxa"/>
            <w:tcMar>
              <w:left w:w="57" w:type="dxa"/>
              <w:right w:w="57" w:type="dxa"/>
            </w:tcMar>
          </w:tcPr>
          <w:p w:rsidR="000F31C9" w:rsidRPr="007F5899" w:rsidRDefault="0083597E" w:rsidP="0083597E">
            <w:pPr>
              <w:pStyle w:val="Tabletext"/>
              <w:ind w:left="227" w:hanging="227"/>
              <w:rPr>
                <w:lang w:val="ru-RU"/>
              </w:rPr>
            </w:pPr>
            <w:r w:rsidRPr="007F5899">
              <w:rPr>
                <w:lang w:val="ru-RU"/>
              </w:rPr>
              <w:t>−</w:t>
            </w:r>
            <w:r w:rsidRPr="007F5899">
              <w:rPr>
                <w:lang w:val="ru-RU"/>
              </w:rPr>
              <w:tab/>
            </w:r>
            <w:r w:rsidR="000F31C9" w:rsidRPr="007F5899">
              <w:rPr>
                <w:lang w:val="ru-RU"/>
              </w:rPr>
              <w:t>Возможность долгосрочной экономии (точка безубыточности через 5</w:t>
            </w:r>
            <w:r w:rsidRPr="007F5899">
              <w:rPr>
                <w:lang w:val="ru-RU"/>
              </w:rPr>
              <w:t>−</w:t>
            </w:r>
            <w:r w:rsidR="000F31C9" w:rsidRPr="007F5899">
              <w:rPr>
                <w:lang w:val="ru-RU"/>
              </w:rPr>
              <w:t>10</w:t>
            </w:r>
            <w:r w:rsidRPr="007F5899">
              <w:rPr>
                <w:lang w:val="ru-RU"/>
              </w:rPr>
              <w:t> </w:t>
            </w:r>
            <w:r w:rsidR="000F31C9" w:rsidRPr="007F5899">
              <w:rPr>
                <w:lang w:val="ru-RU"/>
              </w:rPr>
              <w:t>лет) в зависимости от места переноса</w:t>
            </w:r>
          </w:p>
        </w:tc>
        <w:tc>
          <w:tcPr>
            <w:tcW w:w="3827" w:type="dxa"/>
            <w:tcMar>
              <w:left w:w="57" w:type="dxa"/>
              <w:right w:w="57" w:type="dxa"/>
            </w:tcMar>
          </w:tcPr>
          <w:p w:rsidR="000F31C9" w:rsidRPr="007F5899" w:rsidRDefault="0083597E" w:rsidP="0083597E">
            <w:pPr>
              <w:pStyle w:val="Tabletext"/>
              <w:ind w:left="227" w:hanging="227"/>
              <w:rPr>
                <w:lang w:val="ru-RU"/>
              </w:rPr>
            </w:pPr>
            <w:r w:rsidRPr="007F5899">
              <w:rPr>
                <w:lang w:val="ru-RU"/>
              </w:rPr>
              <w:t>−</w:t>
            </w:r>
            <w:r w:rsidRPr="007F5899">
              <w:rPr>
                <w:lang w:val="ru-RU"/>
              </w:rPr>
              <w:tab/>
            </w:r>
            <w:r w:rsidR="000F31C9" w:rsidRPr="007F5899">
              <w:rPr>
                <w:lang w:val="ru-RU"/>
              </w:rPr>
              <w:t>Значительное влияние на организацию работы в процессе и по завершении переноса</w:t>
            </w:r>
          </w:p>
          <w:p w:rsidR="000F31C9" w:rsidRPr="007F5899" w:rsidRDefault="0083597E" w:rsidP="0083597E">
            <w:pPr>
              <w:pStyle w:val="Tabletext"/>
              <w:ind w:left="227" w:hanging="227"/>
              <w:rPr>
                <w:lang w:val="ru-RU"/>
              </w:rPr>
            </w:pPr>
            <w:r w:rsidRPr="007F5899">
              <w:rPr>
                <w:lang w:val="ru-RU"/>
              </w:rPr>
              <w:t>−</w:t>
            </w:r>
            <w:r w:rsidRPr="007F5899">
              <w:rPr>
                <w:lang w:val="ru-RU"/>
              </w:rPr>
              <w:tab/>
            </w:r>
            <w:r w:rsidR="000F31C9" w:rsidRPr="007F5899">
              <w:rPr>
                <w:lang w:val="ru-RU"/>
              </w:rPr>
              <w:t>Значительное влияние на сохранение ноу-хау и преемственности в организации</w:t>
            </w:r>
          </w:p>
          <w:p w:rsidR="000F31C9" w:rsidRPr="007F5899" w:rsidRDefault="0083597E" w:rsidP="00324850">
            <w:pPr>
              <w:pStyle w:val="Tabletext"/>
              <w:ind w:left="227" w:hanging="227"/>
              <w:rPr>
                <w:lang w:val="ru-RU"/>
              </w:rPr>
            </w:pPr>
            <w:r w:rsidRPr="007F5899">
              <w:rPr>
                <w:lang w:val="ru-RU"/>
              </w:rPr>
              <w:t>−</w:t>
            </w:r>
            <w:r w:rsidRPr="007F5899">
              <w:rPr>
                <w:lang w:val="ru-RU"/>
              </w:rPr>
              <w:tab/>
            </w:r>
            <w:proofErr w:type="gramStart"/>
            <w:r w:rsidR="000F31C9" w:rsidRPr="007F5899">
              <w:rPr>
                <w:lang w:val="ru-RU"/>
              </w:rPr>
              <w:t>В</w:t>
            </w:r>
            <w:proofErr w:type="gramEnd"/>
            <w:r w:rsidR="000F31C9" w:rsidRPr="007F5899">
              <w:rPr>
                <w:lang w:val="ru-RU"/>
              </w:rPr>
              <w:t xml:space="preserve"> зависимости от нового местоположения МСЭ может утратить преимущества, связанные с близостью европейской штаб-квартиры ООН, близостью большого количества межправительственных и неправительственных организаций и наличия дипломатических представительств большинства из</w:t>
            </w:r>
            <w:r w:rsidR="00324850" w:rsidRPr="007F5899">
              <w:rPr>
                <w:lang w:val="ru-RU"/>
              </w:rPr>
              <w:t> </w:t>
            </w:r>
            <w:r w:rsidR="000F31C9" w:rsidRPr="007F5899">
              <w:rPr>
                <w:lang w:val="ru-RU"/>
              </w:rPr>
              <w:t>193</w:t>
            </w:r>
            <w:r w:rsidR="00324850" w:rsidRPr="007F5899">
              <w:rPr>
                <w:lang w:val="ru-RU"/>
              </w:rPr>
              <w:t> </w:t>
            </w:r>
            <w:r w:rsidR="000F31C9" w:rsidRPr="007F5899">
              <w:rPr>
                <w:lang w:val="ru-RU"/>
              </w:rPr>
              <w:t>Государств-Членов.</w:t>
            </w:r>
          </w:p>
        </w:tc>
        <w:tc>
          <w:tcPr>
            <w:tcW w:w="1559" w:type="dxa"/>
            <w:tcMar>
              <w:left w:w="57" w:type="dxa"/>
              <w:right w:w="57" w:type="dxa"/>
            </w:tcMar>
          </w:tcPr>
          <w:p w:rsidR="0083597E" w:rsidRPr="007F5899" w:rsidRDefault="0083597E" w:rsidP="00F87CF0">
            <w:pPr>
              <w:pStyle w:val="Tabletext"/>
              <w:jc w:val="center"/>
              <w:rPr>
                <w:lang w:val="ru-RU"/>
              </w:rPr>
            </w:pPr>
            <w:r w:rsidRPr="007F5899">
              <w:rPr>
                <w:lang w:val="ru-RU"/>
              </w:rPr>
              <w:t>− − −</w:t>
            </w:r>
          </w:p>
          <w:p w:rsidR="000F31C9" w:rsidRPr="007F5899" w:rsidRDefault="000F31C9" w:rsidP="00F87CF0">
            <w:pPr>
              <w:pStyle w:val="Tabletext"/>
              <w:jc w:val="center"/>
              <w:rPr>
                <w:lang w:val="ru-RU"/>
              </w:rPr>
            </w:pPr>
            <w:r w:rsidRPr="007F5899">
              <w:rPr>
                <w:lang w:val="ru-RU"/>
              </w:rPr>
              <w:t>(в зависимости от предложений страны пребывания)</w:t>
            </w:r>
          </w:p>
        </w:tc>
        <w:tc>
          <w:tcPr>
            <w:tcW w:w="1337" w:type="dxa"/>
            <w:tcMar>
              <w:left w:w="57" w:type="dxa"/>
              <w:right w:w="57" w:type="dxa"/>
            </w:tcMar>
          </w:tcPr>
          <w:p w:rsidR="0083597E" w:rsidRPr="007F5899" w:rsidRDefault="000F31C9" w:rsidP="0083597E">
            <w:pPr>
              <w:pStyle w:val="Tabletext"/>
              <w:jc w:val="center"/>
              <w:rPr>
                <w:lang w:val="ru-RU"/>
              </w:rPr>
            </w:pPr>
            <w:r w:rsidRPr="007F5899">
              <w:rPr>
                <w:lang w:val="ru-RU"/>
              </w:rPr>
              <w:t>+++</w:t>
            </w:r>
          </w:p>
          <w:p w:rsidR="000F31C9" w:rsidRPr="007F5899" w:rsidRDefault="00F87CF0" w:rsidP="00D31203">
            <w:pPr>
              <w:pStyle w:val="Tabletext"/>
              <w:jc w:val="center"/>
              <w:rPr>
                <w:lang w:val="ru-RU"/>
              </w:rPr>
            </w:pPr>
            <w:r w:rsidRPr="007F5899">
              <w:rPr>
                <w:lang w:val="ru-RU"/>
              </w:rPr>
              <w:t>(в зависимости от предложений страны пребыва</w:t>
            </w:r>
            <w:r w:rsidR="000F31C9" w:rsidRPr="007F5899">
              <w:rPr>
                <w:lang w:val="ru-RU"/>
              </w:rPr>
              <w:t>ния)</w:t>
            </w:r>
          </w:p>
        </w:tc>
      </w:tr>
    </w:tbl>
    <w:p w:rsidR="000F31C9" w:rsidRPr="007F5899" w:rsidRDefault="00F87CF0" w:rsidP="00324850">
      <w:pPr>
        <w:rPr>
          <w:lang w:val="ru-RU"/>
        </w:rPr>
      </w:pPr>
      <w:r w:rsidRPr="007F5899">
        <w:rPr>
          <w:lang w:val="ru-RU"/>
        </w:rPr>
        <w:t>9.3</w:t>
      </w:r>
      <w:r w:rsidRPr="007F5899">
        <w:rPr>
          <w:lang w:val="ru-RU"/>
        </w:rPr>
        <w:tab/>
      </w:r>
      <w:r w:rsidR="000F31C9" w:rsidRPr="007F5899">
        <w:rPr>
          <w:lang w:val="ru-RU"/>
        </w:rPr>
        <w:t>При том, что финансовое влияние возможного переноса поддается определенной оценке, влияние на сотрудников и их семьи оценить невозможно. Те, кто не сможет переехать, будут пытаться найти другую работу в зависимости от экономической ситуации в их стране или на международном рынке. Также возможно определенное влияние на детей, которые могут находиться на различных этапах образования и вынуждены будут менять школу. Можно предположить, что общее влияние на персонал будет существенным, что подтверждается документами других организаций и компаний частного сектора, которые прошли через процедуру переноса офисов или организации представительств. Частичный или временный перенос только усугубит подобное негативное влияние, создав ситуацию длительной нестабильности, в которой семьи могут оказаться вынужденными "жить на два дома", в результате чего увеличиваются их</w:t>
      </w:r>
      <w:r w:rsidR="00324850" w:rsidRPr="007F5899">
        <w:rPr>
          <w:lang w:val="ru-RU"/>
        </w:rPr>
        <w:t xml:space="preserve"> затраты и общая напряженность.</w:t>
      </w:r>
    </w:p>
    <w:p w:rsidR="000F31C9" w:rsidRPr="007F5899" w:rsidRDefault="00F87CF0" w:rsidP="00F87CF0">
      <w:pPr>
        <w:rPr>
          <w:lang w:val="ru-RU"/>
        </w:rPr>
      </w:pPr>
      <w:r w:rsidRPr="007F5899">
        <w:rPr>
          <w:lang w:val="ru-RU"/>
        </w:rPr>
        <w:t>9.4</w:t>
      </w:r>
      <w:r w:rsidRPr="007F5899">
        <w:rPr>
          <w:lang w:val="ru-RU"/>
        </w:rPr>
        <w:tab/>
      </w:r>
      <w:r w:rsidR="000F31C9" w:rsidRPr="007F5899">
        <w:rPr>
          <w:lang w:val="ru-RU"/>
        </w:rPr>
        <w:t xml:space="preserve">В свете представленной информации Полномочной конференции предлагается </w:t>
      </w:r>
      <w:r w:rsidR="000F31C9" w:rsidRPr="007F5899">
        <w:rPr>
          <w:b/>
          <w:bCs/>
          <w:lang w:val="ru-RU"/>
        </w:rPr>
        <w:t>принять решение</w:t>
      </w:r>
      <w:r w:rsidR="000F31C9" w:rsidRPr="007F5899">
        <w:rPr>
          <w:lang w:val="ru-RU"/>
        </w:rPr>
        <w:t xml:space="preserve"> по одному из четырех вариантов,</w:t>
      </w:r>
      <w:r w:rsidR="000F31C9" w:rsidRPr="007F5899">
        <w:rPr>
          <w:b/>
          <w:lang w:val="ru-RU"/>
        </w:rPr>
        <w:t xml:space="preserve"> </w:t>
      </w:r>
      <w:r w:rsidR="000F31C9" w:rsidRPr="007F5899">
        <w:rPr>
          <w:lang w:val="ru-RU"/>
        </w:rPr>
        <w:t>рассмотренных в настоящем документе.</w:t>
      </w:r>
    </w:p>
    <w:p w:rsidR="00F87CF0" w:rsidRPr="007F5899" w:rsidRDefault="00F87CF0" w:rsidP="0016787A">
      <w:pPr>
        <w:pStyle w:val="Reasons"/>
        <w:rPr>
          <w:lang w:val="ru-RU"/>
        </w:rPr>
      </w:pPr>
    </w:p>
    <w:p w:rsidR="0026481B" w:rsidRPr="007F5899" w:rsidRDefault="00F87CF0" w:rsidP="00F87CF0">
      <w:pPr>
        <w:jc w:val="center"/>
        <w:rPr>
          <w:lang w:val="ru-RU"/>
        </w:rPr>
      </w:pPr>
      <w:r w:rsidRPr="007F5899">
        <w:rPr>
          <w:lang w:val="ru-RU"/>
        </w:rPr>
        <w:t>______________</w:t>
      </w:r>
    </w:p>
    <w:sectPr w:rsidR="0026481B" w:rsidRPr="007F5899" w:rsidSect="0002174D">
      <w:headerReference w:type="default" r:id="rId13"/>
      <w:footerReference w:type="default" r:id="rId14"/>
      <w:footerReference w:type="first" r:id="rId15"/>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99" w:rsidRDefault="007F5899" w:rsidP="0079159C">
      <w:r>
        <w:separator/>
      </w:r>
    </w:p>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4B3A6C"/>
    <w:p w:rsidR="007F5899" w:rsidRDefault="007F5899" w:rsidP="004B3A6C"/>
  </w:endnote>
  <w:endnote w:type="continuationSeparator" w:id="0">
    <w:p w:rsidR="007F5899" w:rsidRDefault="007F5899" w:rsidP="0079159C">
      <w:r>
        <w:continuationSeparator/>
      </w:r>
    </w:p>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4B3A6C"/>
    <w:p w:rsidR="007F5899" w:rsidRDefault="007F5899"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99" w:rsidRPr="00084345" w:rsidRDefault="007F5899" w:rsidP="00084345">
    <w:pPr>
      <w:pStyle w:val="Footer"/>
      <w:rPr>
        <w:lang w:val="en-US"/>
      </w:rPr>
    </w:pPr>
    <w:fldSimple w:instr=" FILENAME \p  \* MERGEFORMAT ">
      <w:r w:rsidRPr="007F5899">
        <w:rPr>
          <w:lang w:val="en-US"/>
        </w:rPr>
        <w:t>P:\RUS\SG\CONF-SG\PP14\000</w:t>
      </w:r>
      <w:r>
        <w:t>\057REV1R.docx</w:t>
      </w:r>
    </w:fldSimple>
    <w:r>
      <w:t xml:space="preserve"> (370480)</w:t>
    </w:r>
    <w:r w:rsidRPr="001636BD">
      <w:rPr>
        <w:lang w:val="en-US"/>
      </w:rPr>
      <w:tab/>
    </w:r>
    <w:r>
      <w:fldChar w:fldCharType="begin"/>
    </w:r>
    <w:r>
      <w:instrText xml:space="preserve"> SAVEDATE \@ DD.MM.YY </w:instrText>
    </w:r>
    <w:r>
      <w:fldChar w:fldCharType="separate"/>
    </w:r>
    <w:r>
      <w:t>18.10.14</w:t>
    </w:r>
    <w:r>
      <w:fldChar w:fldCharType="end"/>
    </w:r>
    <w:r w:rsidRPr="001636BD">
      <w:rPr>
        <w:lang w:val="en-US"/>
      </w:rPr>
      <w:tab/>
    </w:r>
    <w:r>
      <w:fldChar w:fldCharType="begin"/>
    </w:r>
    <w:r>
      <w:instrText xml:space="preserve"> PRINTDATE \@ DD.MM.YY </w:instrText>
    </w:r>
    <w:r>
      <w:fldChar w:fldCharType="separate"/>
    </w:r>
    <w:r>
      <w:t>18.10.14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99" w:rsidRDefault="007F5899"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F5899" w:rsidRPr="001636BD" w:rsidRDefault="007F5899" w:rsidP="00356558">
    <w:pPr>
      <w:pStyle w:val="Footer"/>
      <w:spacing w:before="120"/>
      <w:rPr>
        <w:lang w:val="en-US"/>
      </w:rPr>
    </w:pPr>
    <w:fldSimple w:instr=" FILENAME \p  \* MERGEFORMAT ">
      <w:r w:rsidRPr="007F5899">
        <w:rPr>
          <w:lang w:val="en-US"/>
        </w:rPr>
        <w:t>P:\RUS\SG\CONF-SG\PP14\000</w:t>
      </w:r>
      <w:r>
        <w:t>\057REV1R.docx</w:t>
      </w:r>
    </w:fldSimple>
    <w:r>
      <w:t xml:space="preserve"> (370480)</w:t>
    </w:r>
    <w:r w:rsidRPr="001636BD">
      <w:rPr>
        <w:lang w:val="en-US"/>
      </w:rPr>
      <w:tab/>
    </w:r>
    <w:r>
      <w:fldChar w:fldCharType="begin"/>
    </w:r>
    <w:r>
      <w:instrText xml:space="preserve"> SAVEDATE \@ DD.MM.YY </w:instrText>
    </w:r>
    <w:r>
      <w:fldChar w:fldCharType="separate"/>
    </w:r>
    <w:r>
      <w:t>18.10.14</w:t>
    </w:r>
    <w:r>
      <w:fldChar w:fldCharType="end"/>
    </w:r>
    <w:r w:rsidRPr="001636BD">
      <w:rPr>
        <w:lang w:val="en-US"/>
      </w:rPr>
      <w:tab/>
    </w:r>
    <w:r>
      <w:fldChar w:fldCharType="begin"/>
    </w:r>
    <w:r>
      <w:instrText xml:space="preserve"> PRINTDATE \@ DD.MM.YY </w:instrText>
    </w:r>
    <w:r>
      <w:fldChar w:fldCharType="separate"/>
    </w:r>
    <w:r>
      <w:t>18.10.14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99" w:rsidRDefault="007F5899" w:rsidP="0079159C">
      <w:r>
        <w:t>____________________</w:t>
      </w:r>
    </w:p>
  </w:footnote>
  <w:footnote w:type="continuationSeparator" w:id="0">
    <w:p w:rsidR="007F5899" w:rsidRDefault="007F5899" w:rsidP="0079159C">
      <w:r>
        <w:continuationSeparator/>
      </w:r>
    </w:p>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79159C"/>
    <w:p w:rsidR="007F5899" w:rsidRDefault="007F5899" w:rsidP="004B3A6C"/>
    <w:p w:rsidR="007F5899" w:rsidRDefault="007F5899" w:rsidP="004B3A6C"/>
  </w:footnote>
  <w:footnote w:id="1">
    <w:p w:rsidR="007F5899" w:rsidRPr="00B154A1" w:rsidRDefault="007F5899" w:rsidP="00356558">
      <w:pPr>
        <w:pStyle w:val="FootnoteText"/>
        <w:rPr>
          <w:lang w:val="ru-RU"/>
        </w:rPr>
      </w:pPr>
      <w:r w:rsidRPr="00B154A1">
        <w:rPr>
          <w:rStyle w:val="FootnoteReference"/>
          <w:lang w:val="ru-RU"/>
        </w:rPr>
        <w:footnoteRef/>
      </w:r>
      <w:r w:rsidRPr="00B154A1">
        <w:rPr>
          <w:lang w:val="ru-RU"/>
        </w:rPr>
        <w:tab/>
        <w:t xml:space="preserve">Термин, применяемый в юриспруденции страны пребывания. Более подробно см. в </w:t>
      </w:r>
      <w:proofErr w:type="spellStart"/>
      <w:r w:rsidRPr="00B154A1">
        <w:rPr>
          <w:lang w:val="ru-RU"/>
        </w:rPr>
        <w:t>пп</w:t>
      </w:r>
      <w:proofErr w:type="spellEnd"/>
      <w:r w:rsidRPr="00B154A1">
        <w:rPr>
          <w:lang w:val="ru-RU"/>
        </w:rPr>
        <w:t>. 8.63</w:t>
      </w:r>
      <w:r w:rsidRPr="00356558">
        <w:rPr>
          <w:lang w:val="ru-RU"/>
        </w:rPr>
        <w:t>−</w:t>
      </w:r>
      <w:r w:rsidRPr="00B154A1">
        <w:rPr>
          <w:lang w:val="ru-RU"/>
        </w:rPr>
        <w:t>8.67.</w:t>
      </w:r>
    </w:p>
  </w:footnote>
  <w:footnote w:id="2">
    <w:p w:rsidR="007F5899" w:rsidRPr="00B154A1" w:rsidRDefault="007F5899" w:rsidP="00221DA0">
      <w:pPr>
        <w:pStyle w:val="FootnoteText"/>
        <w:rPr>
          <w:lang w:val="ru-RU"/>
        </w:rPr>
      </w:pPr>
      <w:r w:rsidRPr="00B154A1">
        <w:rPr>
          <w:rStyle w:val="FootnoteReference"/>
          <w:lang w:val="ru-RU"/>
        </w:rPr>
        <w:footnoteRef/>
      </w:r>
      <w:r w:rsidRPr="00B154A1">
        <w:rPr>
          <w:lang w:val="ru-RU"/>
        </w:rPr>
        <w:t xml:space="preserve"> </w:t>
      </w:r>
      <w:r w:rsidRPr="00B154A1">
        <w:rPr>
          <w:lang w:val="ru-RU"/>
        </w:rPr>
        <w:tab/>
        <w:t>В 2009 году внешняя экспертная проектно-конструкторская консультационная фирма (</w:t>
      </w:r>
      <w:proofErr w:type="spellStart"/>
      <w:r w:rsidRPr="00B154A1">
        <w:rPr>
          <w:lang w:val="ru-RU"/>
        </w:rPr>
        <w:t>Brodbeck-Roulet</w:t>
      </w:r>
      <w:proofErr w:type="spellEnd"/>
      <w:r w:rsidRPr="00B154A1">
        <w:rPr>
          <w:lang w:val="ru-RU"/>
        </w:rPr>
        <w:t>) провела независимое исследование и в 2010 году представила отчет по возможности эксплуатации и ремонта фасада здания "</w:t>
      </w:r>
      <w:proofErr w:type="spellStart"/>
      <w:r w:rsidRPr="00B154A1">
        <w:rPr>
          <w:lang w:val="ru-RU"/>
        </w:rPr>
        <w:t>Варембе</w:t>
      </w:r>
      <w:proofErr w:type="spellEnd"/>
      <w:r w:rsidRPr="00B154A1">
        <w:rPr>
          <w:lang w:val="ru-RU"/>
        </w:rPr>
        <w:t>".</w:t>
      </w:r>
    </w:p>
  </w:footnote>
  <w:footnote w:id="3">
    <w:p w:rsidR="007F5899" w:rsidRPr="00356558" w:rsidRDefault="007F5899" w:rsidP="00221DA0">
      <w:pPr>
        <w:pStyle w:val="FootnoteText"/>
        <w:rPr>
          <w:lang w:val="fr-CH"/>
        </w:rPr>
      </w:pPr>
      <w:r w:rsidRPr="00B154A1">
        <w:rPr>
          <w:rStyle w:val="FootnoteReference"/>
          <w:lang w:val="ru-RU"/>
        </w:rPr>
        <w:footnoteRef/>
      </w:r>
      <w:r w:rsidRPr="00356558">
        <w:rPr>
          <w:lang w:val="fr-CH"/>
        </w:rPr>
        <w:tab/>
        <w:t>"Fondation des immeubles pour les organisations internationales" (</w:t>
      </w:r>
      <w:r w:rsidRPr="00B154A1">
        <w:rPr>
          <w:lang w:val="ru-RU"/>
        </w:rPr>
        <w:t>Фонд</w:t>
      </w:r>
      <w:r w:rsidRPr="00356558">
        <w:rPr>
          <w:lang w:val="fr-CH"/>
        </w:rPr>
        <w:t xml:space="preserve"> </w:t>
      </w:r>
      <w:r w:rsidRPr="00B154A1">
        <w:rPr>
          <w:lang w:val="ru-RU"/>
        </w:rPr>
        <w:t>недвижимого</w:t>
      </w:r>
      <w:r w:rsidRPr="00356558">
        <w:rPr>
          <w:lang w:val="fr-CH"/>
        </w:rPr>
        <w:t xml:space="preserve"> </w:t>
      </w:r>
      <w:r w:rsidRPr="00B154A1">
        <w:rPr>
          <w:lang w:val="ru-RU"/>
        </w:rPr>
        <w:t>имущества</w:t>
      </w:r>
      <w:r w:rsidRPr="00356558">
        <w:rPr>
          <w:lang w:val="fr-CH"/>
        </w:rPr>
        <w:t xml:space="preserve"> </w:t>
      </w:r>
      <w:r w:rsidRPr="00B154A1">
        <w:rPr>
          <w:lang w:val="ru-RU"/>
        </w:rPr>
        <w:t>для</w:t>
      </w:r>
      <w:r w:rsidRPr="00356558">
        <w:rPr>
          <w:lang w:val="fr-CH"/>
        </w:rPr>
        <w:t xml:space="preserve"> </w:t>
      </w:r>
      <w:r w:rsidRPr="00B154A1">
        <w:rPr>
          <w:lang w:val="ru-RU"/>
        </w:rPr>
        <w:t>международных</w:t>
      </w:r>
      <w:r w:rsidRPr="00356558">
        <w:rPr>
          <w:lang w:val="fr-CH"/>
        </w:rPr>
        <w:t xml:space="preserve"> </w:t>
      </w:r>
      <w:r w:rsidRPr="00B154A1">
        <w:rPr>
          <w:lang w:val="ru-RU"/>
        </w:rPr>
        <w:t>организаций</w:t>
      </w:r>
      <w:r w:rsidRPr="00356558">
        <w:rPr>
          <w:lang w:val="fr-CH"/>
        </w:rPr>
        <w:t xml:space="preserve">). </w:t>
      </w:r>
      <w:r w:rsidRPr="00B154A1">
        <w:rPr>
          <w:lang w:val="ru-RU"/>
        </w:rPr>
        <w:t>Веб</w:t>
      </w:r>
      <w:r w:rsidRPr="00356558">
        <w:rPr>
          <w:lang w:val="fr-CH"/>
        </w:rPr>
        <w:t>-</w:t>
      </w:r>
      <w:r w:rsidRPr="00B154A1">
        <w:rPr>
          <w:lang w:val="ru-RU"/>
        </w:rPr>
        <w:t>сайт</w:t>
      </w:r>
      <w:r w:rsidRPr="00356558">
        <w:rPr>
          <w:lang w:val="fr-CH"/>
        </w:rPr>
        <w:t xml:space="preserve">: </w:t>
      </w:r>
      <w:hyperlink r:id="rId1" w:history="1">
        <w:r w:rsidRPr="00356558">
          <w:rPr>
            <w:rStyle w:val="Hyperlink"/>
            <w:lang w:val="fr-CH"/>
          </w:rPr>
          <w:t>www.fipoi.ch</w:t>
        </w:r>
      </w:hyperlink>
      <w:r w:rsidRPr="00356558">
        <w:rPr>
          <w:lang w:val="fr-CH"/>
        </w:rPr>
        <w:t>.</w:t>
      </w:r>
    </w:p>
  </w:footnote>
  <w:footnote w:id="4">
    <w:p w:rsidR="007F5899" w:rsidRPr="00356558" w:rsidRDefault="007F5899" w:rsidP="008E31E9">
      <w:pPr>
        <w:pStyle w:val="FootnoteText"/>
        <w:rPr>
          <w:lang w:val="fr-CH"/>
        </w:rPr>
      </w:pPr>
      <w:r w:rsidRPr="00B154A1">
        <w:rPr>
          <w:rStyle w:val="FootnoteReference"/>
          <w:lang w:val="ru-RU"/>
        </w:rPr>
        <w:footnoteRef/>
      </w:r>
      <w:r w:rsidRPr="00356558">
        <w:rPr>
          <w:lang w:val="fr-CH"/>
        </w:rPr>
        <w:tab/>
      </w:r>
      <w:r w:rsidRPr="00B154A1">
        <w:rPr>
          <w:lang w:val="ru-RU"/>
        </w:rPr>
        <w:t>Швейцарский</w:t>
      </w:r>
      <w:r w:rsidRPr="00356558">
        <w:rPr>
          <w:lang w:val="fr-CH"/>
        </w:rPr>
        <w:t xml:space="preserve"> </w:t>
      </w:r>
      <w:r w:rsidRPr="00B154A1">
        <w:rPr>
          <w:lang w:val="ru-RU"/>
        </w:rPr>
        <w:t>стандарт</w:t>
      </w:r>
      <w:r w:rsidRPr="00356558">
        <w:rPr>
          <w:lang w:val="fr-CH"/>
        </w:rPr>
        <w:t xml:space="preserve"> </w:t>
      </w:r>
      <w:r w:rsidRPr="00B154A1">
        <w:rPr>
          <w:lang w:val="ru-RU"/>
        </w:rPr>
        <w:t>доступности</w:t>
      </w:r>
      <w:r w:rsidRPr="00356558">
        <w:rPr>
          <w:lang w:val="fr-CH"/>
        </w:rPr>
        <w:t xml:space="preserve">: </w:t>
      </w:r>
      <w:proofErr w:type="spellStart"/>
      <w:r w:rsidRPr="00356558">
        <w:rPr>
          <w:lang w:val="fr-CH"/>
        </w:rPr>
        <w:t>SIA</w:t>
      </w:r>
      <w:proofErr w:type="spellEnd"/>
      <w:r w:rsidRPr="00356558">
        <w:rPr>
          <w:lang w:val="fr-CH"/>
        </w:rPr>
        <w:t xml:space="preserve"> 500 :2009, Constructions sans obstacles.</w:t>
      </w:r>
    </w:p>
  </w:footnote>
  <w:footnote w:id="5">
    <w:p w:rsidR="007F5899" w:rsidRPr="00B154A1" w:rsidRDefault="007F5899" w:rsidP="005123D2">
      <w:pPr>
        <w:pStyle w:val="FootnoteText"/>
        <w:rPr>
          <w:lang w:val="ru-RU"/>
        </w:rPr>
      </w:pPr>
      <w:r w:rsidRPr="00B154A1">
        <w:rPr>
          <w:rStyle w:val="FootnoteReference"/>
          <w:lang w:val="ru-RU"/>
        </w:rPr>
        <w:footnoteRef/>
      </w:r>
      <w:r w:rsidRPr="00B154A1">
        <w:rPr>
          <w:lang w:val="ru-RU"/>
        </w:rPr>
        <w:t xml:space="preserve"> </w:t>
      </w:r>
      <w:r w:rsidRPr="00B154A1">
        <w:rPr>
          <w:lang w:val="ru-RU"/>
        </w:rPr>
        <w:tab/>
        <w:t xml:space="preserve">Для справки: административные затраты по любому иску, переданному на рассмотрение в </w:t>
      </w:r>
      <w:proofErr w:type="spellStart"/>
      <w:r w:rsidRPr="00B154A1">
        <w:rPr>
          <w:lang w:val="ru-RU"/>
        </w:rPr>
        <w:t>ILOAT</w:t>
      </w:r>
      <w:proofErr w:type="spellEnd"/>
      <w:r w:rsidRPr="00B154A1">
        <w:rPr>
          <w:lang w:val="ru-RU"/>
        </w:rPr>
        <w:t>, независимо от факта его удовлетворения, составляют 20 000 швейцарских франков.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99" w:rsidRPr="00434A7C" w:rsidRDefault="007F5899" w:rsidP="00131286">
    <w:pPr>
      <w:pStyle w:val="Header"/>
      <w:rPr>
        <w:lang w:val="en-US"/>
      </w:rPr>
    </w:pPr>
    <w:r>
      <w:fldChar w:fldCharType="begin"/>
    </w:r>
    <w:r>
      <w:instrText xml:space="preserve"> PAGE </w:instrText>
    </w:r>
    <w:r>
      <w:fldChar w:fldCharType="separate"/>
    </w:r>
    <w:r w:rsidR="00BF53F0">
      <w:rPr>
        <w:noProof/>
      </w:rPr>
      <w:t>27</w:t>
    </w:r>
    <w:r>
      <w:fldChar w:fldCharType="end"/>
    </w:r>
  </w:p>
  <w:p w:rsidR="007F5899" w:rsidRPr="00131286" w:rsidRDefault="007F5899" w:rsidP="00B50704">
    <w:pPr>
      <w:pStyle w:val="Header"/>
    </w:pPr>
    <w:r>
      <w:t>PP14/57(Rev.1)-</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5C0E"/>
    <w:multiLevelType w:val="multilevel"/>
    <w:tmpl w:val="55B80F60"/>
    <w:lvl w:ilvl="0">
      <w:start w:val="1"/>
      <w:numFmt w:val="decimal"/>
      <w:lvlText w:val="7.%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402510"/>
    <w:multiLevelType w:val="multilevel"/>
    <w:tmpl w:val="576C509A"/>
    <w:lvl w:ilvl="0">
      <w:start w:val="4"/>
      <w:numFmt w:val="decimal"/>
      <w:lvlText w:val="5.%1"/>
      <w:lvlJc w:val="left"/>
      <w:pPr>
        <w:ind w:left="3763" w:hanging="360"/>
      </w:pPr>
      <w:rPr>
        <w:rFonts w:hint="default"/>
      </w:rPr>
    </w:lvl>
    <w:lvl w:ilvl="1">
      <w:start w:val="1"/>
      <w:numFmt w:val="lowerLetter"/>
      <w:lvlText w:val="%2."/>
      <w:lvlJc w:val="left"/>
      <w:pPr>
        <w:ind w:left="4483" w:hanging="360"/>
      </w:pPr>
      <w:rPr>
        <w:rFonts w:hint="default"/>
      </w:rPr>
    </w:lvl>
    <w:lvl w:ilvl="2">
      <w:start w:val="1"/>
      <w:numFmt w:val="lowerRoman"/>
      <w:lvlText w:val="%3."/>
      <w:lvlJc w:val="right"/>
      <w:pPr>
        <w:ind w:left="5203" w:hanging="180"/>
      </w:pPr>
      <w:rPr>
        <w:rFonts w:hint="default"/>
      </w:rPr>
    </w:lvl>
    <w:lvl w:ilvl="3">
      <w:start w:val="1"/>
      <w:numFmt w:val="decimal"/>
      <w:lvlText w:val="%4."/>
      <w:lvlJc w:val="left"/>
      <w:pPr>
        <w:ind w:left="5923" w:hanging="360"/>
      </w:pPr>
      <w:rPr>
        <w:rFonts w:hint="default"/>
      </w:rPr>
    </w:lvl>
    <w:lvl w:ilvl="4">
      <w:start w:val="1"/>
      <w:numFmt w:val="lowerLetter"/>
      <w:lvlText w:val="%5."/>
      <w:lvlJc w:val="left"/>
      <w:pPr>
        <w:ind w:left="6643" w:hanging="360"/>
      </w:pPr>
      <w:rPr>
        <w:rFonts w:hint="default"/>
      </w:rPr>
    </w:lvl>
    <w:lvl w:ilvl="5">
      <w:start w:val="1"/>
      <w:numFmt w:val="lowerRoman"/>
      <w:lvlText w:val="%6."/>
      <w:lvlJc w:val="right"/>
      <w:pPr>
        <w:ind w:left="7363" w:hanging="180"/>
      </w:pPr>
      <w:rPr>
        <w:rFonts w:hint="default"/>
      </w:rPr>
    </w:lvl>
    <w:lvl w:ilvl="6">
      <w:start w:val="1"/>
      <w:numFmt w:val="decimal"/>
      <w:lvlText w:val="%7."/>
      <w:lvlJc w:val="left"/>
      <w:pPr>
        <w:ind w:left="8083" w:hanging="360"/>
      </w:pPr>
      <w:rPr>
        <w:rFonts w:hint="default"/>
      </w:rPr>
    </w:lvl>
    <w:lvl w:ilvl="7">
      <w:start w:val="1"/>
      <w:numFmt w:val="lowerLetter"/>
      <w:lvlText w:val="%8."/>
      <w:lvlJc w:val="left"/>
      <w:pPr>
        <w:ind w:left="8803" w:hanging="360"/>
      </w:pPr>
      <w:rPr>
        <w:rFonts w:hint="default"/>
      </w:rPr>
    </w:lvl>
    <w:lvl w:ilvl="8">
      <w:start w:val="1"/>
      <w:numFmt w:val="lowerRoman"/>
      <w:lvlText w:val="%9."/>
      <w:lvlJc w:val="right"/>
      <w:pPr>
        <w:ind w:left="9523" w:hanging="180"/>
      </w:pPr>
      <w:rPr>
        <w:rFonts w:hint="default"/>
      </w:rPr>
    </w:lvl>
  </w:abstractNum>
  <w:abstractNum w:abstractNumId="2">
    <w:nsid w:val="1EA4326C"/>
    <w:multiLevelType w:val="hybridMultilevel"/>
    <w:tmpl w:val="792C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33A0B"/>
    <w:multiLevelType w:val="hybridMultilevel"/>
    <w:tmpl w:val="5D084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40F1D"/>
    <w:multiLevelType w:val="multilevel"/>
    <w:tmpl w:val="B2EC8CF0"/>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D52CBA"/>
    <w:multiLevelType w:val="multilevel"/>
    <w:tmpl w:val="738C5C48"/>
    <w:lvl w:ilvl="0">
      <w:start w:val="1"/>
      <w:numFmt w:val="upperLetter"/>
      <w:lvlText w:val="%1."/>
      <w:lvlJc w:val="left"/>
      <w:pPr>
        <w:ind w:left="1418" w:hanging="709"/>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6">
    <w:nsid w:val="340E2C3E"/>
    <w:multiLevelType w:val="multilevel"/>
    <w:tmpl w:val="C5E43A2E"/>
    <w:lvl w:ilvl="0">
      <w:start w:val="1"/>
      <w:numFmt w:val="decimal"/>
      <w:lvlText w:val="6.%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32E7574"/>
    <w:multiLevelType w:val="multilevel"/>
    <w:tmpl w:val="892E0D8C"/>
    <w:lvl w:ilvl="0">
      <w:start w:val="3"/>
      <w:numFmt w:val="decimal"/>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44B22DDF"/>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6718"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CF4161"/>
    <w:multiLevelType w:val="multilevel"/>
    <w:tmpl w:val="886ABB02"/>
    <w:lvl w:ilvl="0">
      <w:start w:val="8"/>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7293128"/>
    <w:multiLevelType w:val="multilevel"/>
    <w:tmpl w:val="1D5A6DF6"/>
    <w:lvl w:ilvl="0">
      <w:start w:val="7"/>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8603BEB"/>
    <w:multiLevelType w:val="multilevel"/>
    <w:tmpl w:val="86E46F26"/>
    <w:lvl w:ilvl="0">
      <w:start w:val="7"/>
      <w:numFmt w:val="decimal"/>
      <w:lvlText w:val="%1"/>
      <w:lvlJc w:val="left"/>
      <w:pPr>
        <w:ind w:left="480" w:hanging="480"/>
      </w:pPr>
      <w:rPr>
        <w:rFonts w:hint="default"/>
      </w:rPr>
    </w:lvl>
    <w:lvl w:ilvl="1">
      <w:start w:val="1"/>
      <w:numFmt w:val="decimal"/>
      <w:lvlText w:val="8.%2"/>
      <w:lvlJc w:val="left"/>
      <w:pPr>
        <w:ind w:left="480" w:hanging="48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E67F71"/>
    <w:multiLevelType w:val="multilevel"/>
    <w:tmpl w:val="80A0E828"/>
    <w:lvl w:ilvl="0">
      <w:start w:val="7"/>
      <w:numFmt w:val="decimal"/>
      <w:lvlText w:val="%1"/>
      <w:lvlJc w:val="left"/>
      <w:pPr>
        <w:ind w:left="480" w:hanging="480"/>
      </w:pPr>
      <w:rPr>
        <w:rFonts w:hint="default"/>
      </w:rPr>
    </w:lvl>
    <w:lvl w:ilvl="1">
      <w:start w:val="25"/>
      <w:numFmt w:val="decimal"/>
      <w:lvlText w:val="8.%2"/>
      <w:lvlJc w:val="left"/>
      <w:pPr>
        <w:ind w:left="480" w:hanging="480"/>
      </w:pPr>
      <w:rPr>
        <w:rFonts w:hint="default"/>
      </w:rPr>
    </w:lvl>
    <w:lvl w:ilvl="2">
      <w:start w:val="1"/>
      <w:numFmt w:val="decimal"/>
      <w:lvlText w:val="8.10.%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854913"/>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424C59"/>
    <w:multiLevelType w:val="multilevel"/>
    <w:tmpl w:val="EA94F45A"/>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30924D1"/>
    <w:multiLevelType w:val="multilevel"/>
    <w:tmpl w:val="2E2A7B8A"/>
    <w:lvl w:ilvl="0">
      <w:start w:val="1"/>
      <w:numFmt w:val="upperLetter"/>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41D6DD7"/>
    <w:multiLevelType w:val="hybridMultilevel"/>
    <w:tmpl w:val="2D28E664"/>
    <w:lvl w:ilvl="0" w:tplc="CBDC37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B7AF7"/>
    <w:multiLevelType w:val="hybridMultilevel"/>
    <w:tmpl w:val="6C323692"/>
    <w:lvl w:ilvl="0" w:tplc="173233EE">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44590F"/>
    <w:multiLevelType w:val="multilevel"/>
    <w:tmpl w:val="0D8E5952"/>
    <w:lvl w:ilvl="0">
      <w:start w:val="9"/>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927380B"/>
    <w:multiLevelType w:val="multilevel"/>
    <w:tmpl w:val="08B462DA"/>
    <w:lvl w:ilvl="0">
      <w:start w:val="1"/>
      <w:numFmt w:val="decimal"/>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F3D41EB"/>
    <w:multiLevelType w:val="multilevel"/>
    <w:tmpl w:val="4060EFB6"/>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56B6D06"/>
    <w:multiLevelType w:val="hybridMultilevel"/>
    <w:tmpl w:val="7A267CF2"/>
    <w:lvl w:ilvl="0" w:tplc="CFDE0C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0"/>
  </w:num>
  <w:num w:numId="4">
    <w:abstractNumId w:val="19"/>
  </w:num>
  <w:num w:numId="5">
    <w:abstractNumId w:val="14"/>
  </w:num>
  <w:num w:numId="6">
    <w:abstractNumId w:val="5"/>
  </w:num>
  <w:num w:numId="7">
    <w:abstractNumId w:val="1"/>
  </w:num>
  <w:num w:numId="8">
    <w:abstractNumId w:val="6"/>
  </w:num>
  <w:num w:numId="9">
    <w:abstractNumId w:val="0"/>
  </w:num>
  <w:num w:numId="10">
    <w:abstractNumId w:val="0"/>
    <w:lvlOverride w:ilvl="0">
      <w:lvl w:ilvl="0">
        <w:start w:val="1"/>
        <w:numFmt w:val="decimal"/>
        <w:lvlText w:val="7.%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1">
    <w:abstractNumId w:val="7"/>
  </w:num>
  <w:num w:numId="12">
    <w:abstractNumId w:val="11"/>
  </w:num>
  <w:num w:numId="13">
    <w:abstractNumId w:val="11"/>
    <w:lvlOverride w:ilvl="0">
      <w:lvl w:ilvl="0">
        <w:start w:val="7"/>
        <w:numFmt w:val="decimal"/>
        <w:lvlText w:val="%1"/>
        <w:lvlJc w:val="left"/>
        <w:pPr>
          <w:ind w:left="480" w:hanging="480"/>
        </w:pPr>
        <w:rPr>
          <w:rFonts w:hint="default"/>
        </w:rPr>
      </w:lvl>
    </w:lvlOverride>
    <w:lvlOverride w:ilvl="1">
      <w:lvl w:ilvl="1">
        <w:start w:val="1"/>
        <w:numFmt w:val="decimal"/>
        <w:lvlText w:val="8.%2"/>
        <w:lvlJc w:val="left"/>
        <w:pPr>
          <w:ind w:left="480" w:hanging="480"/>
        </w:pPr>
        <w:rPr>
          <w:rFonts w:hint="default"/>
        </w:rPr>
      </w:lvl>
    </w:lvlOverride>
    <w:lvlOverride w:ilvl="2">
      <w:lvl w:ilvl="2">
        <w:start w:val="1"/>
        <w:numFmt w:val="decimal"/>
        <w:lvlText w:val="8.9.%3"/>
        <w:lvlJc w:val="left"/>
        <w:pPr>
          <w:ind w:left="862"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12"/>
  </w:num>
  <w:num w:numId="15">
    <w:abstractNumId w:val="8"/>
  </w:num>
  <w:num w:numId="16">
    <w:abstractNumId w:val="15"/>
  </w:num>
  <w:num w:numId="17">
    <w:abstractNumId w:val="16"/>
  </w:num>
  <w:num w:numId="18">
    <w:abstractNumId w:val="10"/>
  </w:num>
  <w:num w:numId="19">
    <w:abstractNumId w:val="21"/>
  </w:num>
  <w:num w:numId="20">
    <w:abstractNumId w:val="9"/>
  </w:num>
  <w:num w:numId="21">
    <w:abstractNumId w:val="18"/>
  </w:num>
  <w:num w:numId="22">
    <w:abstractNumId w:val="3"/>
  </w:num>
  <w:num w:numId="23">
    <w:abstractNumId w:val="2"/>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okhlova, Yustiniya">
    <w15:presenceInfo w15:providerId="AD" w15:userId="S-1-5-21-8740799-900759487-1415713722-48510"/>
  </w15:person>
  <w15:person w15:author="Grishina, Alexandra">
    <w15:presenceInfo w15:providerId="AD" w15:userId="S-1-5-21-8740799-900759487-1415713722-39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B0E"/>
    <w:rsid w:val="00014808"/>
    <w:rsid w:val="00016EB5"/>
    <w:rsid w:val="0002174D"/>
    <w:rsid w:val="0003029E"/>
    <w:rsid w:val="00043990"/>
    <w:rsid w:val="000442A6"/>
    <w:rsid w:val="000626B1"/>
    <w:rsid w:val="00063CA3"/>
    <w:rsid w:val="00065F00"/>
    <w:rsid w:val="00071D10"/>
    <w:rsid w:val="00084345"/>
    <w:rsid w:val="000968DB"/>
    <w:rsid w:val="000968F5"/>
    <w:rsid w:val="000A68C5"/>
    <w:rsid w:val="000B062A"/>
    <w:rsid w:val="000B3566"/>
    <w:rsid w:val="000B751C"/>
    <w:rsid w:val="000C4701"/>
    <w:rsid w:val="000C5120"/>
    <w:rsid w:val="000E3AAE"/>
    <w:rsid w:val="000E4C7A"/>
    <w:rsid w:val="000E63E8"/>
    <w:rsid w:val="000F31C9"/>
    <w:rsid w:val="00100DF6"/>
    <w:rsid w:val="00104406"/>
    <w:rsid w:val="00120697"/>
    <w:rsid w:val="00131286"/>
    <w:rsid w:val="00142ED7"/>
    <w:rsid w:val="0014768F"/>
    <w:rsid w:val="00156811"/>
    <w:rsid w:val="001636BD"/>
    <w:rsid w:val="0016787A"/>
    <w:rsid w:val="00170AC3"/>
    <w:rsid w:val="00171990"/>
    <w:rsid w:val="00171E2E"/>
    <w:rsid w:val="001901EF"/>
    <w:rsid w:val="001A0EEB"/>
    <w:rsid w:val="001B2BFF"/>
    <w:rsid w:val="001B5341"/>
    <w:rsid w:val="00200992"/>
    <w:rsid w:val="00202880"/>
    <w:rsid w:val="0020313F"/>
    <w:rsid w:val="0021187C"/>
    <w:rsid w:val="00221DA0"/>
    <w:rsid w:val="0022673F"/>
    <w:rsid w:val="00230F4F"/>
    <w:rsid w:val="00232D57"/>
    <w:rsid w:val="002356E7"/>
    <w:rsid w:val="00246D50"/>
    <w:rsid w:val="0024716F"/>
    <w:rsid w:val="002578B4"/>
    <w:rsid w:val="00257D76"/>
    <w:rsid w:val="0026481B"/>
    <w:rsid w:val="00273A0B"/>
    <w:rsid w:val="00277F85"/>
    <w:rsid w:val="0028112C"/>
    <w:rsid w:val="00282C17"/>
    <w:rsid w:val="0028497A"/>
    <w:rsid w:val="002A409A"/>
    <w:rsid w:val="002A5402"/>
    <w:rsid w:val="002B033B"/>
    <w:rsid w:val="002C4513"/>
    <w:rsid w:val="002C5477"/>
    <w:rsid w:val="002C78FF"/>
    <w:rsid w:val="002D0055"/>
    <w:rsid w:val="002F3223"/>
    <w:rsid w:val="0030228C"/>
    <w:rsid w:val="003152A4"/>
    <w:rsid w:val="00324850"/>
    <w:rsid w:val="00336EAF"/>
    <w:rsid w:val="003429D1"/>
    <w:rsid w:val="00356558"/>
    <w:rsid w:val="00375BBA"/>
    <w:rsid w:val="00395CE4"/>
    <w:rsid w:val="003B131C"/>
    <w:rsid w:val="003B25DA"/>
    <w:rsid w:val="003B2638"/>
    <w:rsid w:val="003E0685"/>
    <w:rsid w:val="003E6310"/>
    <w:rsid w:val="003E7EAA"/>
    <w:rsid w:val="003F120E"/>
    <w:rsid w:val="004014B0"/>
    <w:rsid w:val="00406577"/>
    <w:rsid w:val="00411DAC"/>
    <w:rsid w:val="00426AC1"/>
    <w:rsid w:val="004676C0"/>
    <w:rsid w:val="00471ABB"/>
    <w:rsid w:val="00474D37"/>
    <w:rsid w:val="00490ADC"/>
    <w:rsid w:val="004B03E9"/>
    <w:rsid w:val="004B3A6C"/>
    <w:rsid w:val="004C029D"/>
    <w:rsid w:val="004C79E4"/>
    <w:rsid w:val="004D6A6E"/>
    <w:rsid w:val="004F4ED0"/>
    <w:rsid w:val="005123D2"/>
    <w:rsid w:val="0052010F"/>
    <w:rsid w:val="00526113"/>
    <w:rsid w:val="00526ECE"/>
    <w:rsid w:val="00532E0C"/>
    <w:rsid w:val="005356FD"/>
    <w:rsid w:val="00553F9F"/>
    <w:rsid w:val="00554E24"/>
    <w:rsid w:val="00563711"/>
    <w:rsid w:val="005653D6"/>
    <w:rsid w:val="00567130"/>
    <w:rsid w:val="0057480E"/>
    <w:rsid w:val="00584918"/>
    <w:rsid w:val="005C3DE4"/>
    <w:rsid w:val="005C67E8"/>
    <w:rsid w:val="005D0250"/>
    <w:rsid w:val="005D0C15"/>
    <w:rsid w:val="005F526C"/>
    <w:rsid w:val="00600272"/>
    <w:rsid w:val="00613DB9"/>
    <w:rsid w:val="0061434A"/>
    <w:rsid w:val="00617BE4"/>
    <w:rsid w:val="006418E6"/>
    <w:rsid w:val="006642CD"/>
    <w:rsid w:val="0067722F"/>
    <w:rsid w:val="00695E43"/>
    <w:rsid w:val="006A0500"/>
    <w:rsid w:val="006B0060"/>
    <w:rsid w:val="006B7F84"/>
    <w:rsid w:val="006C1A71"/>
    <w:rsid w:val="006E57C8"/>
    <w:rsid w:val="00710760"/>
    <w:rsid w:val="0073319E"/>
    <w:rsid w:val="007340B5"/>
    <w:rsid w:val="00742393"/>
    <w:rsid w:val="00750829"/>
    <w:rsid w:val="00760830"/>
    <w:rsid w:val="00764B87"/>
    <w:rsid w:val="007772BF"/>
    <w:rsid w:val="0079159C"/>
    <w:rsid w:val="007C50AF"/>
    <w:rsid w:val="007E4D0F"/>
    <w:rsid w:val="007E7CC1"/>
    <w:rsid w:val="007F5899"/>
    <w:rsid w:val="008034F1"/>
    <w:rsid w:val="008102A6"/>
    <w:rsid w:val="00821913"/>
    <w:rsid w:val="00826A7C"/>
    <w:rsid w:val="0083597E"/>
    <w:rsid w:val="00837F3D"/>
    <w:rsid w:val="00850AEF"/>
    <w:rsid w:val="00870059"/>
    <w:rsid w:val="008A2FB3"/>
    <w:rsid w:val="008C3D42"/>
    <w:rsid w:val="008C6A37"/>
    <w:rsid w:val="008D3134"/>
    <w:rsid w:val="008D3BE2"/>
    <w:rsid w:val="008E00EB"/>
    <w:rsid w:val="008E31E9"/>
    <w:rsid w:val="009125CE"/>
    <w:rsid w:val="00931FE4"/>
    <w:rsid w:val="00933094"/>
    <w:rsid w:val="0093377B"/>
    <w:rsid w:val="00934241"/>
    <w:rsid w:val="00950E0F"/>
    <w:rsid w:val="00962CCF"/>
    <w:rsid w:val="0097690C"/>
    <w:rsid w:val="009810A9"/>
    <w:rsid w:val="00993E27"/>
    <w:rsid w:val="00996435"/>
    <w:rsid w:val="009A47A2"/>
    <w:rsid w:val="009A6D9A"/>
    <w:rsid w:val="009B19C3"/>
    <w:rsid w:val="009B3E77"/>
    <w:rsid w:val="009C182F"/>
    <w:rsid w:val="009E4F4B"/>
    <w:rsid w:val="00A13A1D"/>
    <w:rsid w:val="00A3200E"/>
    <w:rsid w:val="00A40036"/>
    <w:rsid w:val="00A54F56"/>
    <w:rsid w:val="00A928D9"/>
    <w:rsid w:val="00AB45D7"/>
    <w:rsid w:val="00AC20C0"/>
    <w:rsid w:val="00AD6841"/>
    <w:rsid w:val="00B072D4"/>
    <w:rsid w:val="00B14377"/>
    <w:rsid w:val="00B154A1"/>
    <w:rsid w:val="00B1733E"/>
    <w:rsid w:val="00B45785"/>
    <w:rsid w:val="00B50704"/>
    <w:rsid w:val="00B62568"/>
    <w:rsid w:val="00BA154E"/>
    <w:rsid w:val="00BF3CE2"/>
    <w:rsid w:val="00BF4B6F"/>
    <w:rsid w:val="00BF53F0"/>
    <w:rsid w:val="00BF720B"/>
    <w:rsid w:val="00BF78C6"/>
    <w:rsid w:val="00C04511"/>
    <w:rsid w:val="00C16846"/>
    <w:rsid w:val="00C40979"/>
    <w:rsid w:val="00C46ECA"/>
    <w:rsid w:val="00C62242"/>
    <w:rsid w:val="00C6326D"/>
    <w:rsid w:val="00C874D3"/>
    <w:rsid w:val="00CA38C9"/>
    <w:rsid w:val="00CC21C3"/>
    <w:rsid w:val="00CC6362"/>
    <w:rsid w:val="00CD163A"/>
    <w:rsid w:val="00CE40BB"/>
    <w:rsid w:val="00CE5257"/>
    <w:rsid w:val="00D06DC2"/>
    <w:rsid w:val="00D15BBE"/>
    <w:rsid w:val="00D25909"/>
    <w:rsid w:val="00D27D47"/>
    <w:rsid w:val="00D31203"/>
    <w:rsid w:val="00D37275"/>
    <w:rsid w:val="00D37469"/>
    <w:rsid w:val="00D50E12"/>
    <w:rsid w:val="00D55DD9"/>
    <w:rsid w:val="00D83B5A"/>
    <w:rsid w:val="00D955EF"/>
    <w:rsid w:val="00DB25E0"/>
    <w:rsid w:val="00DB2E3B"/>
    <w:rsid w:val="00DC7337"/>
    <w:rsid w:val="00DD26B1"/>
    <w:rsid w:val="00DD378F"/>
    <w:rsid w:val="00DD4F12"/>
    <w:rsid w:val="00DD6770"/>
    <w:rsid w:val="00DE24EF"/>
    <w:rsid w:val="00DE569B"/>
    <w:rsid w:val="00DF23FC"/>
    <w:rsid w:val="00DF39CD"/>
    <w:rsid w:val="00DF449B"/>
    <w:rsid w:val="00DF4F81"/>
    <w:rsid w:val="00E0677E"/>
    <w:rsid w:val="00E17F8D"/>
    <w:rsid w:val="00E227E4"/>
    <w:rsid w:val="00E54E66"/>
    <w:rsid w:val="00E56E57"/>
    <w:rsid w:val="00E6480B"/>
    <w:rsid w:val="00E82918"/>
    <w:rsid w:val="00E86DC6"/>
    <w:rsid w:val="00E91D24"/>
    <w:rsid w:val="00EA0C45"/>
    <w:rsid w:val="00EA622C"/>
    <w:rsid w:val="00EA7340"/>
    <w:rsid w:val="00EB23F9"/>
    <w:rsid w:val="00EC064C"/>
    <w:rsid w:val="00ED279F"/>
    <w:rsid w:val="00EF2642"/>
    <w:rsid w:val="00EF3681"/>
    <w:rsid w:val="00F00846"/>
    <w:rsid w:val="00F03BD5"/>
    <w:rsid w:val="00F06FDE"/>
    <w:rsid w:val="00F076D9"/>
    <w:rsid w:val="00F20BC2"/>
    <w:rsid w:val="00F27805"/>
    <w:rsid w:val="00F342E4"/>
    <w:rsid w:val="00F44625"/>
    <w:rsid w:val="00F44B70"/>
    <w:rsid w:val="00F56A2E"/>
    <w:rsid w:val="00F649D6"/>
    <w:rsid w:val="00F654DD"/>
    <w:rsid w:val="00F87CF0"/>
    <w:rsid w:val="00F96AB4"/>
    <w:rsid w:val="00FB0022"/>
    <w:rsid w:val="00FC6949"/>
    <w:rsid w:val="00FD7B1D"/>
    <w:rsid w:val="00FE0049"/>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A6F43C9-255C-409D-B091-58D5F16F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3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link w:val="FootnoteTextChar"/>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50704"/>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B50704"/>
    <w:pPr>
      <w:tabs>
        <w:tab w:val="clear" w:pos="567"/>
        <w:tab w:val="clear" w:pos="1134"/>
        <w:tab w:val="clear" w:pos="1701"/>
        <w:tab w:val="clear" w:pos="2268"/>
        <w:tab w:val="clear" w:pos="2835"/>
      </w:tabs>
      <w:spacing w:before="40" w:after="4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B50704"/>
    <w:pPr>
      <w:tabs>
        <w:tab w:val="left" w:pos="284"/>
      </w:tabs>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5123D2"/>
    <w:pPr>
      <w:tabs>
        <w:tab w:val="clear" w:pos="567"/>
        <w:tab w:val="clear" w:pos="1134"/>
        <w:tab w:val="clear" w:pos="1701"/>
        <w:tab w:val="clear" w:pos="2268"/>
        <w:tab w:val="clear" w:pos="2835"/>
        <w:tab w:val="left" w:pos="2948"/>
        <w:tab w:val="left" w:pos="4082"/>
      </w:tabs>
      <w:spacing w:before="12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character" w:customStyle="1" w:styleId="FootnoteTextChar">
    <w:name w:val="Footnote Text Char"/>
    <w:basedOn w:val="DefaultParagraphFont"/>
    <w:link w:val="FootnoteText"/>
    <w:rsid w:val="00282C17"/>
    <w:rPr>
      <w:rFonts w:ascii="Calibri" w:hAnsi="Calibri"/>
      <w:lang w:val="en-GB" w:eastAsia="en-US"/>
    </w:rPr>
  </w:style>
  <w:style w:type="paragraph" w:styleId="ListParagraph">
    <w:name w:val="List Paragraph"/>
    <w:basedOn w:val="Normal"/>
    <w:uiPriority w:val="34"/>
    <w:qFormat/>
    <w:rsid w:val="00282C17"/>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CL-C-0075/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5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S13-CL-C-0092/en" TargetMode="External"/><Relationship Id="rId4" Type="http://schemas.openxmlformats.org/officeDocument/2006/relationships/settings" Target="settings.xml"/><Relationship Id="rId9" Type="http://schemas.openxmlformats.org/officeDocument/2006/relationships/hyperlink" Target="http://www.itu.int/md/S13-CL-INF-0018/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www.fipo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B0A1-F7ED-4CE9-9B66-78DE6A6F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28</Pages>
  <Words>9385</Words>
  <Characters>62249</Characters>
  <Application>Microsoft Office Word</Application>
  <DocSecurity>0</DocSecurity>
  <Lines>518</Lines>
  <Paragraphs>142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Grishina, Alexandra</dc:creator>
  <cp:keywords>PP-06</cp:keywords>
  <dc:description>PR_PP10.dotx  For: _x000d_Document date: _x000d_Saved by ITU51009317 at 11:22:00 on 19/03/2013</dc:description>
  <cp:lastModifiedBy>Antipina, Nadezda</cp:lastModifiedBy>
  <cp:revision>10</cp:revision>
  <cp:lastPrinted>2014-10-18T09:59:00Z</cp:lastPrinted>
  <dcterms:created xsi:type="dcterms:W3CDTF">2014-10-17T14:06:00Z</dcterms:created>
  <dcterms:modified xsi:type="dcterms:W3CDTF">2014-10-18T10:01:00Z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