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A56A9A" w:rsidTr="00682B62">
        <w:trPr>
          <w:cantSplit/>
        </w:trPr>
        <w:tc>
          <w:tcPr>
            <w:tcW w:w="6911" w:type="dxa"/>
          </w:tcPr>
          <w:p w:rsidR="00255FA1" w:rsidRPr="00A56A9A" w:rsidRDefault="00255FA1" w:rsidP="006B6D52">
            <w:pPr>
              <w:rPr>
                <w:b/>
                <w:bCs/>
                <w:szCs w:val="22"/>
              </w:rPr>
            </w:pPr>
            <w:bookmarkStart w:id="0" w:name="dbreak"/>
            <w:bookmarkStart w:id="1" w:name="dpp"/>
            <w:bookmarkEnd w:id="0"/>
            <w:bookmarkEnd w:id="1"/>
            <w:r w:rsidRPr="00A56A9A">
              <w:rPr>
                <w:rStyle w:val="PageNumber"/>
                <w:rFonts w:cs="Times"/>
                <w:b/>
                <w:sz w:val="30"/>
                <w:szCs w:val="30"/>
              </w:rPr>
              <w:t>Conferencia de Plenipotenciarios (PP-14)</w:t>
            </w:r>
            <w:r w:rsidRPr="00A56A9A">
              <w:rPr>
                <w:rStyle w:val="PageNumber"/>
                <w:rFonts w:cs="Times"/>
                <w:sz w:val="26"/>
                <w:szCs w:val="26"/>
              </w:rPr>
              <w:br/>
            </w:r>
            <w:r w:rsidRPr="00A56A9A">
              <w:rPr>
                <w:rStyle w:val="PageNumber"/>
                <w:b/>
                <w:bCs/>
                <w:szCs w:val="24"/>
              </w:rPr>
              <w:t>Bus</w:t>
            </w:r>
            <w:r w:rsidR="006B6D52" w:rsidRPr="00A56A9A">
              <w:rPr>
                <w:rStyle w:val="PageNumber"/>
                <w:b/>
                <w:bCs/>
                <w:szCs w:val="24"/>
              </w:rPr>
              <w:t>á</w:t>
            </w:r>
            <w:r w:rsidRPr="00A56A9A">
              <w:rPr>
                <w:rStyle w:val="PageNumber"/>
                <w:b/>
                <w:bCs/>
                <w:szCs w:val="24"/>
              </w:rPr>
              <w:t xml:space="preserve">n, </w:t>
            </w:r>
            <w:r w:rsidRPr="00A56A9A">
              <w:rPr>
                <w:rStyle w:val="PageNumber"/>
                <w:b/>
                <w:szCs w:val="24"/>
              </w:rPr>
              <w:t>20 de octubre - 7 de noviembre de 2014</w:t>
            </w:r>
          </w:p>
        </w:tc>
        <w:tc>
          <w:tcPr>
            <w:tcW w:w="3120" w:type="dxa"/>
          </w:tcPr>
          <w:p w:rsidR="00255FA1" w:rsidRPr="00A56A9A" w:rsidRDefault="00255FA1" w:rsidP="00682B62">
            <w:pPr>
              <w:spacing w:before="0" w:line="240" w:lineRule="atLeast"/>
              <w:rPr>
                <w:rFonts w:cstheme="minorHAnsi"/>
              </w:rPr>
            </w:pPr>
            <w:bookmarkStart w:id="2" w:name="ditulogo"/>
            <w:bookmarkEnd w:id="2"/>
            <w:r w:rsidRPr="00A56A9A">
              <w:rPr>
                <w:rFonts w:cstheme="minorHAnsi"/>
                <w:b/>
                <w:bCs/>
                <w:noProof/>
                <w:szCs w:val="24"/>
                <w:lang w:val="en-US" w:eastAsia="zh-CN"/>
              </w:rPr>
              <w:drawing>
                <wp:inline distT="0" distB="0" distL="0" distR="0" wp14:anchorId="6F0B22F4" wp14:editId="1948EB3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A56A9A" w:rsidTr="00682B62">
        <w:trPr>
          <w:cantSplit/>
        </w:trPr>
        <w:tc>
          <w:tcPr>
            <w:tcW w:w="6911" w:type="dxa"/>
            <w:tcBorders>
              <w:bottom w:val="single" w:sz="12" w:space="0" w:color="auto"/>
            </w:tcBorders>
          </w:tcPr>
          <w:p w:rsidR="00255FA1" w:rsidRPr="00A56A9A"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A56A9A" w:rsidRDefault="00255FA1" w:rsidP="00682B62">
            <w:pPr>
              <w:spacing w:before="0" w:line="240" w:lineRule="atLeast"/>
              <w:rPr>
                <w:rFonts w:cstheme="minorHAnsi"/>
                <w:szCs w:val="24"/>
              </w:rPr>
            </w:pPr>
          </w:p>
        </w:tc>
      </w:tr>
      <w:tr w:rsidR="00255FA1" w:rsidRPr="00A56A9A" w:rsidTr="00682B62">
        <w:trPr>
          <w:cantSplit/>
        </w:trPr>
        <w:tc>
          <w:tcPr>
            <w:tcW w:w="6911" w:type="dxa"/>
            <w:tcBorders>
              <w:top w:val="single" w:sz="12" w:space="0" w:color="auto"/>
            </w:tcBorders>
          </w:tcPr>
          <w:p w:rsidR="00255FA1" w:rsidRPr="00A56A9A"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A56A9A" w:rsidRDefault="00255FA1" w:rsidP="00682B62">
            <w:pPr>
              <w:spacing w:before="0" w:line="240" w:lineRule="atLeast"/>
              <w:rPr>
                <w:rFonts w:cstheme="minorHAnsi"/>
                <w:szCs w:val="24"/>
              </w:rPr>
            </w:pPr>
          </w:p>
        </w:tc>
      </w:tr>
      <w:bookmarkEnd w:id="3"/>
      <w:tr w:rsidR="00605474" w:rsidRPr="00A56A9A" w:rsidTr="00682B62">
        <w:trPr>
          <w:cantSplit/>
        </w:trPr>
        <w:tc>
          <w:tcPr>
            <w:tcW w:w="6911" w:type="dxa"/>
          </w:tcPr>
          <w:p w:rsidR="00605474" w:rsidRPr="00A56A9A" w:rsidRDefault="00605474" w:rsidP="00605474">
            <w:pPr>
              <w:pStyle w:val="Committee"/>
              <w:framePr w:hSpace="0" w:wrap="auto" w:hAnchor="text" w:yAlign="inline"/>
              <w:rPr>
                <w:lang w:val="es-ES_tradnl"/>
              </w:rPr>
            </w:pPr>
            <w:r w:rsidRPr="00A56A9A">
              <w:rPr>
                <w:lang w:val="es-ES_tradnl"/>
              </w:rPr>
              <w:t>SESIÓN PLENARIA</w:t>
            </w:r>
          </w:p>
        </w:tc>
        <w:tc>
          <w:tcPr>
            <w:tcW w:w="3120" w:type="dxa"/>
          </w:tcPr>
          <w:p w:rsidR="00605474" w:rsidRPr="00A56A9A" w:rsidRDefault="00605474" w:rsidP="00791028">
            <w:pPr>
              <w:spacing w:before="0" w:line="240" w:lineRule="atLeast"/>
              <w:rPr>
                <w:rFonts w:cstheme="minorHAnsi"/>
                <w:szCs w:val="24"/>
              </w:rPr>
            </w:pPr>
            <w:r w:rsidRPr="00A56A9A">
              <w:rPr>
                <w:rFonts w:cstheme="minorHAnsi"/>
                <w:b/>
                <w:szCs w:val="24"/>
              </w:rPr>
              <w:t xml:space="preserve">Documento </w:t>
            </w:r>
            <w:r w:rsidR="00791028" w:rsidRPr="00A56A9A">
              <w:rPr>
                <w:rFonts w:cstheme="minorHAnsi"/>
                <w:b/>
                <w:szCs w:val="24"/>
              </w:rPr>
              <w:t>55</w:t>
            </w:r>
            <w:r w:rsidRPr="00A56A9A">
              <w:rPr>
                <w:rFonts w:cstheme="minorHAnsi"/>
                <w:b/>
                <w:szCs w:val="24"/>
              </w:rPr>
              <w:t>-S</w:t>
            </w:r>
          </w:p>
        </w:tc>
      </w:tr>
      <w:tr w:rsidR="00605474" w:rsidRPr="00A56A9A" w:rsidTr="00682B62">
        <w:trPr>
          <w:cantSplit/>
        </w:trPr>
        <w:tc>
          <w:tcPr>
            <w:tcW w:w="6911" w:type="dxa"/>
          </w:tcPr>
          <w:p w:rsidR="00605474" w:rsidRPr="00A56A9A" w:rsidRDefault="00605474" w:rsidP="00605474">
            <w:pPr>
              <w:spacing w:before="0" w:after="48" w:line="240" w:lineRule="atLeast"/>
              <w:rPr>
                <w:rFonts w:cstheme="minorHAnsi"/>
                <w:b/>
                <w:smallCaps/>
                <w:szCs w:val="24"/>
              </w:rPr>
            </w:pPr>
          </w:p>
        </w:tc>
        <w:tc>
          <w:tcPr>
            <w:tcW w:w="3120" w:type="dxa"/>
          </w:tcPr>
          <w:p w:rsidR="00605474" w:rsidRPr="00A56A9A" w:rsidRDefault="00791028" w:rsidP="00791028">
            <w:pPr>
              <w:spacing w:before="0" w:line="240" w:lineRule="atLeast"/>
              <w:rPr>
                <w:rFonts w:cstheme="minorHAnsi"/>
                <w:b/>
                <w:szCs w:val="24"/>
              </w:rPr>
            </w:pPr>
            <w:r w:rsidRPr="00A56A9A">
              <w:rPr>
                <w:rFonts w:cstheme="minorHAnsi"/>
                <w:b/>
                <w:szCs w:val="24"/>
              </w:rPr>
              <w:t>30</w:t>
            </w:r>
            <w:r w:rsidR="00605474" w:rsidRPr="00A56A9A">
              <w:rPr>
                <w:rFonts w:cstheme="minorHAnsi"/>
                <w:b/>
                <w:szCs w:val="24"/>
              </w:rPr>
              <w:t xml:space="preserve"> de </w:t>
            </w:r>
            <w:r w:rsidRPr="00A56A9A">
              <w:rPr>
                <w:rFonts w:cstheme="minorHAnsi"/>
                <w:b/>
                <w:szCs w:val="24"/>
              </w:rPr>
              <w:t>junio</w:t>
            </w:r>
            <w:r w:rsidR="00605474" w:rsidRPr="00A56A9A">
              <w:rPr>
                <w:rFonts w:cstheme="minorHAnsi"/>
                <w:b/>
                <w:szCs w:val="24"/>
              </w:rPr>
              <w:t xml:space="preserve"> de 201</w:t>
            </w:r>
            <w:r w:rsidRPr="00A56A9A">
              <w:rPr>
                <w:rFonts w:cstheme="minorHAnsi"/>
                <w:b/>
                <w:szCs w:val="24"/>
              </w:rPr>
              <w:t>4</w:t>
            </w:r>
          </w:p>
        </w:tc>
      </w:tr>
      <w:tr w:rsidR="00605474" w:rsidRPr="00A56A9A" w:rsidTr="00682B62">
        <w:trPr>
          <w:cantSplit/>
        </w:trPr>
        <w:tc>
          <w:tcPr>
            <w:tcW w:w="6911" w:type="dxa"/>
          </w:tcPr>
          <w:p w:rsidR="00605474" w:rsidRPr="00A56A9A" w:rsidRDefault="00605474" w:rsidP="00605474">
            <w:pPr>
              <w:spacing w:before="0" w:after="48" w:line="240" w:lineRule="atLeast"/>
              <w:rPr>
                <w:rFonts w:cstheme="minorHAnsi"/>
                <w:b/>
                <w:smallCaps/>
                <w:szCs w:val="24"/>
              </w:rPr>
            </w:pPr>
          </w:p>
        </w:tc>
        <w:tc>
          <w:tcPr>
            <w:tcW w:w="3120" w:type="dxa"/>
          </w:tcPr>
          <w:p w:rsidR="00605474" w:rsidRPr="00A56A9A" w:rsidRDefault="00605474" w:rsidP="00605474">
            <w:pPr>
              <w:spacing w:before="0" w:line="240" w:lineRule="atLeast"/>
              <w:rPr>
                <w:rFonts w:cstheme="minorHAnsi"/>
                <w:b/>
                <w:szCs w:val="24"/>
              </w:rPr>
            </w:pPr>
            <w:r w:rsidRPr="00A56A9A">
              <w:rPr>
                <w:rFonts w:cstheme="minorHAnsi"/>
                <w:b/>
                <w:szCs w:val="24"/>
              </w:rPr>
              <w:t>Original: inglés</w:t>
            </w:r>
          </w:p>
        </w:tc>
      </w:tr>
      <w:tr w:rsidR="00605474" w:rsidRPr="00A56A9A" w:rsidTr="00682B62">
        <w:trPr>
          <w:cantSplit/>
        </w:trPr>
        <w:tc>
          <w:tcPr>
            <w:tcW w:w="10031" w:type="dxa"/>
            <w:gridSpan w:val="2"/>
          </w:tcPr>
          <w:p w:rsidR="00605474" w:rsidRPr="00A56A9A" w:rsidRDefault="00605474" w:rsidP="00605474">
            <w:pPr>
              <w:spacing w:before="0" w:line="240" w:lineRule="atLeast"/>
              <w:rPr>
                <w:rFonts w:cstheme="minorHAnsi"/>
                <w:b/>
                <w:szCs w:val="24"/>
              </w:rPr>
            </w:pPr>
          </w:p>
        </w:tc>
      </w:tr>
      <w:tr w:rsidR="00605474" w:rsidRPr="00A56A9A" w:rsidTr="00682B62">
        <w:trPr>
          <w:cantSplit/>
        </w:trPr>
        <w:tc>
          <w:tcPr>
            <w:tcW w:w="10031" w:type="dxa"/>
            <w:gridSpan w:val="2"/>
          </w:tcPr>
          <w:p w:rsidR="00605474" w:rsidRPr="00A56A9A" w:rsidRDefault="00791028" w:rsidP="00605474">
            <w:pPr>
              <w:pStyle w:val="Source"/>
            </w:pPr>
            <w:bookmarkStart w:id="4" w:name="dsource" w:colFirst="0" w:colLast="0"/>
            <w:r w:rsidRPr="00A56A9A">
              <w:t>Informe del Secretario General</w:t>
            </w:r>
          </w:p>
        </w:tc>
      </w:tr>
      <w:tr w:rsidR="00605474" w:rsidRPr="00A56A9A" w:rsidTr="00682B62">
        <w:trPr>
          <w:cantSplit/>
        </w:trPr>
        <w:tc>
          <w:tcPr>
            <w:tcW w:w="10031" w:type="dxa"/>
            <w:gridSpan w:val="2"/>
          </w:tcPr>
          <w:p w:rsidR="00605474" w:rsidRPr="00A56A9A" w:rsidRDefault="00791028" w:rsidP="00605474">
            <w:pPr>
              <w:pStyle w:val="Title1"/>
            </w:pPr>
            <w:bookmarkStart w:id="5" w:name="dtitle1" w:colFirst="0" w:colLast="0"/>
            <w:bookmarkEnd w:id="4"/>
            <w:r w:rsidRPr="00A56A9A">
              <w:rPr>
                <w:lang w:eastAsia="zh-CN"/>
              </w:rPr>
              <w:t>EXPERIENCIA DE LA UIT EN LA PARTICIPACIÓN A DISTANCIA Y PLAN DE ACCIÓN PROPUESTO – RESOLUCIÓN 167 (GUADALAJARA, 2010)</w:t>
            </w:r>
          </w:p>
        </w:tc>
      </w:tr>
      <w:bookmarkEnd w:id="5"/>
    </w:tbl>
    <w:p w:rsidR="00791028" w:rsidRPr="00A56A9A" w:rsidRDefault="00791028" w:rsidP="00B121F4">
      <w:pPr>
        <w:pStyle w:val="Headingb"/>
        <w:keepNext w:val="0"/>
        <w:keepLines w:val="0"/>
      </w:pPr>
    </w:p>
    <w:tbl>
      <w:tblPr>
        <w:tblStyle w:val="TableGrid"/>
        <w:tblW w:w="10065" w:type="dxa"/>
        <w:tblInd w:w="-34" w:type="dxa"/>
        <w:tblLook w:val="04A0" w:firstRow="1" w:lastRow="0" w:firstColumn="1" w:lastColumn="0" w:noHBand="0" w:noVBand="1"/>
      </w:tblPr>
      <w:tblGrid>
        <w:gridCol w:w="10065"/>
      </w:tblGrid>
      <w:tr w:rsidR="00791028" w:rsidRPr="00A56A9A" w:rsidTr="0092731E">
        <w:tc>
          <w:tcPr>
            <w:tcW w:w="10065" w:type="dxa"/>
          </w:tcPr>
          <w:p w:rsidR="00791028" w:rsidRPr="00A56A9A" w:rsidRDefault="00791028" w:rsidP="00B121F4">
            <w:pPr>
              <w:pStyle w:val="Headingb"/>
              <w:keepNext w:val="0"/>
              <w:keepLines w:val="0"/>
            </w:pPr>
            <w:r w:rsidRPr="00A56A9A">
              <w:t>Resumen</w:t>
            </w:r>
          </w:p>
          <w:p w:rsidR="00791028" w:rsidRPr="00A56A9A" w:rsidRDefault="00791028" w:rsidP="003028BD">
            <w:r w:rsidRPr="00A56A9A">
              <w:rPr>
                <w:iCs/>
              </w:rPr>
              <w:t xml:space="preserve">La Conferencia de Plenipotenciarios de la </w:t>
            </w:r>
            <w:bookmarkStart w:id="6" w:name="_GoBack"/>
            <w:bookmarkEnd w:id="6"/>
            <w:r w:rsidRPr="00A56A9A">
              <w:rPr>
                <w:iCs/>
              </w:rPr>
              <w:t>Unión Internacional de Telecomunicaciones, mediante su Resolución 167 (Guadalajara, 2010), "encarga al Secretario General que, en consulta y con la colaboración de los Directores de las Oficinas prepare un Plan de Acción relativo a la participación electrónica en los Grupos de Trabajo y reuniones relacionadas que dependen del Consejo, que incluya la utilización de herramientas tales como la videoconferencia, para su examen en la reunión de 2011 del Consejo; que siga realizando pruebas de reuniones electrónicas, en colaboración con los Directores de las Oficinas, de forma que su posterior implantación sea, en la medida de lo posible, tecnológicamente neutra y económicamente asequible, para permitir una amplia participación al tiempo que se cumplen los requisitos de seguridad necesarios ...</w:t>
            </w:r>
            <w:r w:rsidRPr="00A56A9A">
              <w:t>".</w:t>
            </w:r>
          </w:p>
          <w:p w:rsidR="00791028" w:rsidRPr="00A56A9A" w:rsidRDefault="00791028" w:rsidP="003028BD">
            <w:r w:rsidRPr="00A56A9A">
              <w:t xml:space="preserve">Respecto del </w:t>
            </w:r>
            <w:r w:rsidR="00562704">
              <w:t>"</w:t>
            </w:r>
            <w:r w:rsidRPr="00A56A9A">
              <w:t>Fortalecimiento de las capacidades de la UIT para celebrar reuniones electrónicas y los medios para avanzar la labor de la Unión</w:t>
            </w:r>
            <w:r w:rsidR="00562704">
              <w:t>"</w:t>
            </w:r>
            <w:r w:rsidRPr="00A56A9A">
              <w:t>, el Consejo acordó en su reunión de 2014 que</w:t>
            </w:r>
            <w:r w:rsidR="000533EF">
              <w:t>:</w:t>
            </w:r>
          </w:p>
          <w:p w:rsidR="00791028" w:rsidRPr="00A56A9A" w:rsidRDefault="00791028" w:rsidP="00AB2C08">
            <w:pPr>
              <w:pStyle w:val="enumlev1"/>
            </w:pPr>
            <w:r w:rsidRPr="00A56A9A">
              <w:t>1</w:t>
            </w:r>
            <w:r w:rsidRPr="00A56A9A">
              <w:tab/>
              <w:t>la fase piloto de la participación a distancia proseguirá con la mejora y el aumento de servicios de participación a distancia;</w:t>
            </w:r>
          </w:p>
          <w:p w:rsidR="00791028" w:rsidRPr="00A56A9A" w:rsidRDefault="00791028" w:rsidP="004254B7">
            <w:pPr>
              <w:pStyle w:val="enumlev1"/>
              <w:rPr>
                <w:b/>
                <w:bCs/>
              </w:rPr>
            </w:pPr>
            <w:r w:rsidRPr="00A56A9A">
              <w:t>2</w:t>
            </w:r>
            <w:r w:rsidRPr="00A56A9A">
              <w:tab/>
              <w:t>se preparará y presentará a la PP-14 un Informe detallado relativo a los aspectos jurídicos, técnicos y financieros, en especial a la manera de responder a los problemas de personas con discapacidad o con necesidades especiales, y a las cuestiones relacionadas con la utilización de los idiomas en pie de igualdad.</w:t>
            </w:r>
          </w:p>
          <w:p w:rsidR="00791028" w:rsidRPr="00A56A9A" w:rsidRDefault="00791028" w:rsidP="001345AD">
            <w:pPr>
              <w:pStyle w:val="Headingb"/>
            </w:pPr>
            <w:r w:rsidRPr="00A56A9A">
              <w:t xml:space="preserve">Acción solicitada </w:t>
            </w:r>
          </w:p>
          <w:p w:rsidR="00791028" w:rsidRPr="00A56A9A" w:rsidRDefault="00791028" w:rsidP="001345AD">
            <w:r w:rsidRPr="00A56A9A">
              <w:t>Se invita a la Conferencia de Plenipotenciarios a examinar el presente Informe y a tomar una decisión sobre el camino a seguir, teniendo en cuenta los cambios orgánicos necesarios para institucionalizar la participación a distancia.</w:t>
            </w:r>
          </w:p>
          <w:p w:rsidR="00791028" w:rsidRPr="00A56A9A" w:rsidRDefault="00791028" w:rsidP="0092731E">
            <w:pPr>
              <w:pStyle w:val="Headingb"/>
            </w:pPr>
            <w:r w:rsidRPr="00A56A9A">
              <w:t>Referencias</w:t>
            </w:r>
          </w:p>
          <w:p w:rsidR="00791028" w:rsidRPr="00A56A9A" w:rsidRDefault="004C04D4" w:rsidP="005431F7">
            <w:pPr>
              <w:spacing w:after="120"/>
            </w:pPr>
            <w:hyperlink r:id="rId10" w:anchor="res167" w:history="1">
              <w:r w:rsidR="00791028" w:rsidRPr="00A56A9A">
                <w:rPr>
                  <w:rStyle w:val="Hyperlink"/>
                  <w:rFonts w:asciiTheme="minorHAnsi" w:hAnsiTheme="minorHAnsi" w:cstheme="minorHAnsi"/>
                  <w:bCs/>
                  <w:iCs/>
                  <w:szCs w:val="24"/>
                </w:rPr>
                <w:t>Resolución 167 (Guadalajara, 2010)</w:t>
              </w:r>
            </w:hyperlink>
            <w:r w:rsidR="00791028" w:rsidRPr="005431F7">
              <w:t xml:space="preserve">; </w:t>
            </w:r>
            <w:r w:rsidR="00791028" w:rsidRPr="00A56A9A">
              <w:t xml:space="preserve">Documentos del Consejo </w:t>
            </w:r>
            <w:hyperlink r:id="rId11" w:history="1">
              <w:r w:rsidR="00791028" w:rsidRPr="00A56A9A">
                <w:rPr>
                  <w:rStyle w:val="Hyperlink"/>
                  <w:rFonts w:asciiTheme="minorHAnsi" w:hAnsiTheme="minorHAnsi" w:cstheme="minorHAnsi"/>
                  <w:bCs/>
                  <w:szCs w:val="24"/>
                </w:rPr>
                <w:t>C11/37(Rev.1)</w:t>
              </w:r>
            </w:hyperlink>
            <w:r w:rsidR="00791028" w:rsidRPr="00A56A9A">
              <w:rPr>
                <w:rFonts w:asciiTheme="minorHAnsi" w:hAnsiTheme="minorHAnsi" w:cstheme="minorHAnsi"/>
                <w:bCs/>
                <w:szCs w:val="24"/>
              </w:rPr>
              <w:t>,</w:t>
            </w:r>
            <w:r w:rsidR="00791028" w:rsidRPr="00A56A9A">
              <w:rPr>
                <w:rStyle w:val="Hyperlink"/>
                <w:rFonts w:asciiTheme="minorHAnsi" w:hAnsiTheme="minorHAnsi" w:cstheme="minorHAnsi"/>
                <w:bCs/>
                <w:szCs w:val="24"/>
              </w:rPr>
              <w:t xml:space="preserve"> </w:t>
            </w:r>
            <w:hyperlink r:id="rId12" w:history="1">
              <w:r w:rsidR="00791028" w:rsidRPr="00A56A9A">
                <w:rPr>
                  <w:rStyle w:val="Hyperlink"/>
                  <w:rFonts w:asciiTheme="minorHAnsi" w:hAnsiTheme="minorHAnsi" w:cstheme="minorHAnsi"/>
                  <w:bCs/>
                  <w:szCs w:val="24"/>
                </w:rPr>
                <w:t>C12/21(Rev.1)</w:t>
              </w:r>
            </w:hyperlink>
            <w:r w:rsidR="00791028" w:rsidRPr="005431F7">
              <w:t xml:space="preserve">, </w:t>
            </w:r>
            <w:hyperlink r:id="rId13" w:history="1">
              <w:r w:rsidR="00791028" w:rsidRPr="00A56A9A">
                <w:rPr>
                  <w:rStyle w:val="Hyperlink"/>
                  <w:rFonts w:asciiTheme="minorHAnsi" w:hAnsiTheme="minorHAnsi" w:cstheme="minorHAnsi"/>
                  <w:bCs/>
                  <w:szCs w:val="24"/>
                </w:rPr>
                <w:t>C13/INF/8</w:t>
              </w:r>
            </w:hyperlink>
            <w:r w:rsidR="00791028" w:rsidRPr="005431F7">
              <w:t>,</w:t>
            </w:r>
            <w:r w:rsidR="005431F7">
              <w:t xml:space="preserve"> </w:t>
            </w:r>
            <w:hyperlink r:id="rId14" w:history="1">
              <w:r w:rsidR="00791028" w:rsidRPr="00A56A9A">
                <w:rPr>
                  <w:rStyle w:val="Hyperlink"/>
                  <w:rFonts w:asciiTheme="minorHAnsi" w:hAnsiTheme="minorHAnsi" w:cstheme="minorHAnsi"/>
                  <w:bCs/>
                  <w:szCs w:val="24"/>
                </w:rPr>
                <w:t>C13/20(Rev.1)</w:t>
              </w:r>
            </w:hyperlink>
            <w:r w:rsidR="00791028" w:rsidRPr="005431F7">
              <w:t xml:space="preserve"> y </w:t>
            </w:r>
            <w:hyperlink r:id="rId15" w:history="1">
              <w:r w:rsidR="00791028" w:rsidRPr="00A56A9A">
                <w:rPr>
                  <w:rStyle w:val="Hyperlink"/>
                  <w:rFonts w:asciiTheme="minorHAnsi" w:hAnsiTheme="minorHAnsi" w:cstheme="minorHAnsi"/>
                  <w:bCs/>
                  <w:szCs w:val="24"/>
                </w:rPr>
                <w:t>C14</w:t>
              </w:r>
              <w:r w:rsidR="005431F7">
                <w:rPr>
                  <w:rStyle w:val="Hyperlink"/>
                  <w:rFonts w:asciiTheme="minorHAnsi" w:hAnsiTheme="minorHAnsi" w:cstheme="minorHAnsi"/>
                  <w:bCs/>
                  <w:szCs w:val="24"/>
                </w:rPr>
                <w:t>/20</w:t>
              </w:r>
            </w:hyperlink>
            <w:r w:rsidR="00791028" w:rsidRPr="005431F7">
              <w:t>.</w:t>
            </w:r>
          </w:p>
        </w:tc>
      </w:tr>
    </w:tbl>
    <w:p w:rsidR="00791028" w:rsidRPr="00A56A9A" w:rsidRDefault="00C13E96" w:rsidP="00A040D0">
      <w:pPr>
        <w:pStyle w:val="Headingb"/>
      </w:pPr>
      <w:r>
        <w:lastRenderedPageBreak/>
        <w:t>Antecedentes</w:t>
      </w:r>
    </w:p>
    <w:p w:rsidR="00791028" w:rsidRPr="00A56A9A" w:rsidRDefault="00A56A9A" w:rsidP="00A56A9A">
      <w:pPr>
        <w:rPr>
          <w:lang w:eastAsia="zh-CN"/>
        </w:rPr>
      </w:pPr>
      <w:r w:rsidRPr="00A56A9A">
        <w:rPr>
          <w:lang w:eastAsia="zh-CN"/>
        </w:rPr>
        <w:t>1</w:t>
      </w:r>
      <w:r w:rsidRPr="00A56A9A">
        <w:rPr>
          <w:lang w:eastAsia="zh-CN"/>
        </w:rPr>
        <w:tab/>
      </w:r>
      <w:r w:rsidR="00791028" w:rsidRPr="00A56A9A">
        <w:rPr>
          <w:lang w:eastAsia="zh-CN"/>
        </w:rPr>
        <w:t>En la Resolución 167 (Guadalajara, 2010) se encarga al Secretario General que, con la colaboración de los Grupos Asesores de los tres Sectores, perfeccione aún más los métodos de trabajo electrónicos e incluya la participación electrónica a distancia. Este tipo de participación debería aplicarse también a los Grupos de Trabajo de la UIT y a las reuniones que presentan informes al Consejo.</w:t>
      </w:r>
    </w:p>
    <w:p w:rsidR="00791028" w:rsidRPr="00A56A9A" w:rsidRDefault="00A56A9A" w:rsidP="00A56A9A">
      <w:pPr>
        <w:rPr>
          <w:rFonts w:asciiTheme="minorHAnsi" w:hAnsiTheme="minorHAnsi" w:cstheme="minorHAnsi"/>
          <w:szCs w:val="24"/>
          <w:lang w:eastAsia="zh-CN"/>
        </w:rPr>
      </w:pPr>
      <w:r w:rsidRPr="00A56A9A">
        <w:rPr>
          <w:szCs w:val="24"/>
        </w:rPr>
        <w:t>2</w:t>
      </w:r>
      <w:r w:rsidRPr="00A56A9A">
        <w:rPr>
          <w:szCs w:val="24"/>
        </w:rPr>
        <w:tab/>
      </w:r>
      <w:r w:rsidR="00791028" w:rsidRPr="00A56A9A">
        <w:rPr>
          <w:szCs w:val="24"/>
        </w:rPr>
        <w:t>La fase piloto del servicio de participación a distancia de la UIT cumple ahora su cuarto año. Se han facilitado al Consejo cuatro Informes que muestran la evolución y las dificultades halladas en su aplicación.</w:t>
      </w:r>
    </w:p>
    <w:p w:rsidR="00791028" w:rsidRPr="00A56A9A" w:rsidRDefault="00A56A9A" w:rsidP="00A56A9A">
      <w:pPr>
        <w:rPr>
          <w:rFonts w:asciiTheme="minorHAnsi" w:hAnsiTheme="minorHAnsi" w:cstheme="minorHAnsi"/>
          <w:szCs w:val="24"/>
          <w:lang w:eastAsia="zh-CN"/>
        </w:rPr>
      </w:pPr>
      <w:r w:rsidRPr="00A56A9A">
        <w:rPr>
          <w:szCs w:val="24"/>
        </w:rPr>
        <w:t>3</w:t>
      </w:r>
      <w:r w:rsidRPr="00A56A9A">
        <w:rPr>
          <w:szCs w:val="24"/>
        </w:rPr>
        <w:tab/>
      </w:r>
      <w:r w:rsidR="00791028" w:rsidRPr="00A56A9A">
        <w:rPr>
          <w:szCs w:val="24"/>
        </w:rPr>
        <w:t>En los últimos cuatro años se ha previsto el servicio de partic</w:t>
      </w:r>
      <w:r w:rsidR="0023310F">
        <w:rPr>
          <w:szCs w:val="24"/>
        </w:rPr>
        <w:t>ipación a distancia en más de 1 </w:t>
      </w:r>
      <w:r w:rsidR="00791028" w:rsidRPr="00A56A9A">
        <w:rPr>
          <w:szCs w:val="24"/>
        </w:rPr>
        <w:t>300 reuniones, en las que intervinieron más de 10 000 participantes a distancia.</w:t>
      </w:r>
    </w:p>
    <w:p w:rsidR="00791028" w:rsidRPr="00A56A9A" w:rsidRDefault="00A56A9A" w:rsidP="00A56A9A">
      <w:pPr>
        <w:rPr>
          <w:rFonts w:asciiTheme="minorHAnsi" w:hAnsiTheme="minorHAnsi" w:cstheme="minorHAnsi"/>
          <w:szCs w:val="24"/>
          <w:lang w:eastAsia="zh-CN"/>
        </w:rPr>
      </w:pPr>
      <w:r w:rsidRPr="00A56A9A">
        <w:rPr>
          <w:szCs w:val="24"/>
        </w:rPr>
        <w:t>4</w:t>
      </w:r>
      <w:r w:rsidRPr="00A56A9A">
        <w:rPr>
          <w:szCs w:val="24"/>
        </w:rPr>
        <w:tab/>
      </w:r>
      <w:r w:rsidR="00791028" w:rsidRPr="00A56A9A">
        <w:rPr>
          <w:szCs w:val="24"/>
        </w:rPr>
        <w:t>En el último Informe al Consejo</w:t>
      </w:r>
      <w:r w:rsidR="00791028" w:rsidRPr="00A56A9A">
        <w:rPr>
          <w:rStyle w:val="FootnoteReference"/>
          <w:szCs w:val="24"/>
        </w:rPr>
        <w:footnoteReference w:id="1"/>
      </w:r>
      <w:r w:rsidR="00791028" w:rsidRPr="00A56A9A">
        <w:rPr>
          <w:szCs w:val="24"/>
        </w:rPr>
        <w:t xml:space="preserve"> se publicó información detallada sobre la utilización de dicho servicio en diversas Oficinas y en los países desarrollados y países en desarrollo.</w:t>
      </w:r>
    </w:p>
    <w:p w:rsidR="00791028" w:rsidRPr="00A56A9A" w:rsidRDefault="00A56A9A" w:rsidP="00A56A9A">
      <w:pPr>
        <w:rPr>
          <w:szCs w:val="24"/>
        </w:rPr>
      </w:pPr>
      <w:r w:rsidRPr="00A56A9A">
        <w:rPr>
          <w:szCs w:val="24"/>
        </w:rPr>
        <w:t>5</w:t>
      </w:r>
      <w:r w:rsidRPr="00A56A9A">
        <w:rPr>
          <w:szCs w:val="24"/>
        </w:rPr>
        <w:tab/>
      </w:r>
      <w:r w:rsidR="0023310F">
        <w:rPr>
          <w:szCs w:val="24"/>
        </w:rPr>
        <w:t>En el proyecto de Informe F</w:t>
      </w:r>
      <w:r w:rsidR="00791028" w:rsidRPr="00A56A9A">
        <w:rPr>
          <w:szCs w:val="24"/>
        </w:rPr>
        <w:t xml:space="preserve">inal de la CMDT-14 se indica lo siguiente: </w:t>
      </w:r>
      <w:r w:rsidR="00562704">
        <w:rPr>
          <w:szCs w:val="24"/>
        </w:rPr>
        <w:t>"</w:t>
      </w:r>
      <w:r w:rsidR="00791028" w:rsidRPr="00A56A9A">
        <w:rPr>
          <w:szCs w:val="24"/>
        </w:rPr>
        <w:t>En la medida de lo posible y siempre que sea factible, las Comisiones de Estudio y sus grupos correspondientes procurarán utilizar tecnologías de participación a distancia con el fin de alentar y propiciar una mayor participación en los trabajos de las Comisiones de Estudio por parte de todos los Estados Miembros, Miembros de Sector, Asociados e Instituciones Académicas, especialmente las personas con necesidades especiales, como las personas con discapacidad</w:t>
      </w:r>
      <w:r w:rsidR="00562704">
        <w:t>"</w:t>
      </w:r>
      <w:r w:rsidR="00791028" w:rsidRPr="00A56A9A">
        <w:t>.</w:t>
      </w:r>
    </w:p>
    <w:p w:rsidR="00791028" w:rsidRPr="00A56A9A" w:rsidRDefault="00791028" w:rsidP="00657DD2">
      <w:pPr>
        <w:pStyle w:val="Headingb"/>
      </w:pPr>
      <w:r w:rsidRPr="00A56A9A">
        <w:t xml:space="preserve">Problemas </w:t>
      </w:r>
      <w:r w:rsidR="00C77A82">
        <w:t>técnicos y cuestiones jurídicas</w:t>
      </w:r>
    </w:p>
    <w:p w:rsidR="00791028" w:rsidRPr="00A56A9A" w:rsidRDefault="00A56A9A" w:rsidP="00C77A82">
      <w:r w:rsidRPr="00A56A9A">
        <w:t>6</w:t>
      </w:r>
      <w:r w:rsidRPr="00A56A9A">
        <w:tab/>
      </w:r>
      <w:r w:rsidR="00791028" w:rsidRPr="00A56A9A">
        <w:t>En el cuadro siguiente se enumeran los dos principales problemas técnicos, sus posibles consecuencias y las cuestiones de carácter jurídico afines.</w:t>
      </w:r>
    </w:p>
    <w:p w:rsidR="00791028" w:rsidRPr="00A56A9A" w:rsidRDefault="00791028" w:rsidP="00312E95">
      <w:pPr>
        <w:pStyle w:val="Tabletitle"/>
        <w:spacing w:before="360"/>
      </w:pPr>
      <w:r w:rsidRPr="00A56A9A">
        <w:t>Cuadro 1: Problemas técnico</w:t>
      </w:r>
      <w:r w:rsidR="00C13E96">
        <w:t>s y cuestiones jurídicas afines</w:t>
      </w:r>
    </w:p>
    <w:tbl>
      <w:tblPr>
        <w:tblStyle w:val="TableGrid"/>
        <w:tblW w:w="9781" w:type="dxa"/>
        <w:tblInd w:w="-147" w:type="dxa"/>
        <w:tblLook w:val="04A0" w:firstRow="1" w:lastRow="0" w:firstColumn="1" w:lastColumn="0" w:noHBand="0" w:noVBand="1"/>
      </w:tblPr>
      <w:tblGrid>
        <w:gridCol w:w="9781"/>
      </w:tblGrid>
      <w:tr w:rsidR="00791028" w:rsidRPr="00A56A9A" w:rsidTr="00E2275D">
        <w:tc>
          <w:tcPr>
            <w:tcW w:w="9781" w:type="dxa"/>
          </w:tcPr>
          <w:p w:rsidR="00791028" w:rsidRPr="00A56A9A" w:rsidRDefault="00791028" w:rsidP="003525F6">
            <w:pPr>
              <w:rPr>
                <w:b/>
                <w:szCs w:val="24"/>
              </w:rPr>
            </w:pPr>
            <w:r w:rsidRPr="00A56A9A">
              <w:rPr>
                <w:b/>
                <w:szCs w:val="24"/>
                <w:u w:val="single"/>
              </w:rPr>
              <w:t>Problema técnico 1</w:t>
            </w:r>
            <w:r w:rsidRPr="00A56A9A">
              <w:rPr>
                <w:b/>
                <w:szCs w:val="24"/>
              </w:rPr>
              <w:t xml:space="preserve">: </w:t>
            </w:r>
            <w:r w:rsidRPr="00A56A9A">
              <w:rPr>
                <w:szCs w:val="24"/>
              </w:rPr>
              <w:t>Calidad de voz/sonido cuando se utilizan infraestructuras públicas para la conexión de participantes a distancia (fuera del control de la UIT).</w:t>
            </w:r>
          </w:p>
        </w:tc>
      </w:tr>
      <w:tr w:rsidR="00791028" w:rsidRPr="00A56A9A" w:rsidTr="00E2275D">
        <w:tc>
          <w:tcPr>
            <w:tcW w:w="9781" w:type="dxa"/>
          </w:tcPr>
          <w:p w:rsidR="00791028" w:rsidRPr="00A56A9A" w:rsidRDefault="00791028" w:rsidP="00CC5DB1">
            <w:pPr>
              <w:rPr>
                <w:b/>
                <w:szCs w:val="24"/>
              </w:rPr>
            </w:pPr>
            <w:r w:rsidRPr="00A56A9A">
              <w:rPr>
                <w:b/>
                <w:szCs w:val="24"/>
              </w:rPr>
              <w:t xml:space="preserve">Consecuencias: </w:t>
            </w:r>
            <w:r w:rsidRPr="00A56A9A">
              <w:rPr>
                <w:szCs w:val="24"/>
              </w:rPr>
              <w:t>Ninguna interpretación posible por parte de los intérpretes de intervenciones a distancia.</w:t>
            </w:r>
          </w:p>
        </w:tc>
      </w:tr>
      <w:tr w:rsidR="00791028" w:rsidRPr="00A56A9A" w:rsidTr="00E2275D">
        <w:tc>
          <w:tcPr>
            <w:tcW w:w="9781" w:type="dxa"/>
          </w:tcPr>
          <w:p w:rsidR="00791028" w:rsidRPr="00A56A9A" w:rsidRDefault="00791028" w:rsidP="00194613">
            <w:pPr>
              <w:rPr>
                <w:b/>
                <w:szCs w:val="24"/>
              </w:rPr>
            </w:pPr>
            <w:r w:rsidRPr="00A56A9A">
              <w:rPr>
                <w:b/>
                <w:szCs w:val="24"/>
              </w:rPr>
              <w:t>Opciones para atenuar las consecuencias:</w:t>
            </w:r>
          </w:p>
          <w:p w:rsidR="00791028" w:rsidRPr="00A56A9A" w:rsidRDefault="00A56A9A" w:rsidP="00562704">
            <w:pPr>
              <w:pStyle w:val="enumlev1"/>
              <w:spacing w:before="0"/>
            </w:pPr>
            <w:r>
              <w:t>–</w:t>
            </w:r>
            <w:r>
              <w:tab/>
            </w:r>
            <w:r w:rsidR="00791028" w:rsidRPr="00A56A9A">
              <w:t>Ningún servicio de interpretación (canal del orador únicamente).</w:t>
            </w:r>
          </w:p>
          <w:p w:rsidR="00791028" w:rsidRPr="00A56A9A" w:rsidRDefault="00A56A9A" w:rsidP="00562704">
            <w:pPr>
              <w:pStyle w:val="enumlev1"/>
              <w:spacing w:before="0"/>
              <w:rPr>
                <w:szCs w:val="24"/>
              </w:rPr>
            </w:pPr>
            <w:r w:rsidRPr="00A56A9A">
              <w:rPr>
                <w:szCs w:val="24"/>
              </w:rPr>
              <w:t>–</w:t>
            </w:r>
            <w:r>
              <w:rPr>
                <w:szCs w:val="24"/>
              </w:rPr>
              <w:tab/>
            </w:r>
            <w:r w:rsidR="00791028" w:rsidRPr="00A56A9A">
              <w:rPr>
                <w:szCs w:val="24"/>
              </w:rPr>
              <w:t>Aplazar la intervención a distancia (tratar de mejorar la ca</w:t>
            </w:r>
            <w:r w:rsidR="0010543A">
              <w:rPr>
                <w:szCs w:val="24"/>
              </w:rPr>
              <w:t>lidad – fuera del control de la </w:t>
            </w:r>
            <w:r w:rsidR="00791028" w:rsidRPr="00A56A9A">
              <w:rPr>
                <w:szCs w:val="24"/>
              </w:rPr>
              <w:t>UIT).</w:t>
            </w:r>
          </w:p>
          <w:p w:rsidR="00791028" w:rsidRPr="00A56A9A" w:rsidRDefault="00A56A9A" w:rsidP="00562704">
            <w:pPr>
              <w:pStyle w:val="enumlev1"/>
              <w:spacing w:before="0"/>
              <w:rPr>
                <w:szCs w:val="24"/>
              </w:rPr>
            </w:pPr>
            <w:r w:rsidRPr="00A56A9A">
              <w:rPr>
                <w:szCs w:val="24"/>
              </w:rPr>
              <w:t>–</w:t>
            </w:r>
            <w:r>
              <w:rPr>
                <w:szCs w:val="24"/>
              </w:rPr>
              <w:tab/>
            </w:r>
            <w:r w:rsidR="00791028" w:rsidRPr="00A56A9A">
              <w:rPr>
                <w:szCs w:val="24"/>
              </w:rPr>
              <w:t>Cancelar la intervención a distancia.</w:t>
            </w:r>
          </w:p>
          <w:p w:rsidR="00791028" w:rsidRPr="00A56A9A" w:rsidRDefault="00A56A9A" w:rsidP="00562704">
            <w:pPr>
              <w:pStyle w:val="enumlev1"/>
              <w:spacing w:before="0"/>
              <w:rPr>
                <w:b/>
                <w:szCs w:val="24"/>
              </w:rPr>
            </w:pPr>
            <w:r w:rsidRPr="00A56A9A">
              <w:rPr>
                <w:szCs w:val="24"/>
              </w:rPr>
              <w:t>–</w:t>
            </w:r>
            <w:r>
              <w:rPr>
                <w:szCs w:val="24"/>
              </w:rPr>
              <w:tab/>
            </w:r>
            <w:r w:rsidR="00791028" w:rsidRPr="00A56A9A">
              <w:rPr>
                <w:szCs w:val="24"/>
              </w:rPr>
              <w:t>Interven</w:t>
            </w:r>
            <w:r w:rsidR="00562704">
              <w:rPr>
                <w:szCs w:val="24"/>
              </w:rPr>
              <w:t>ción por intermediario.</w:t>
            </w:r>
          </w:p>
        </w:tc>
      </w:tr>
      <w:tr w:rsidR="00791028" w:rsidRPr="00A56A9A" w:rsidTr="00E2275D">
        <w:tc>
          <w:tcPr>
            <w:tcW w:w="9781" w:type="dxa"/>
          </w:tcPr>
          <w:p w:rsidR="00791028" w:rsidRPr="00A56A9A" w:rsidRDefault="00791028" w:rsidP="00CC5DB1">
            <w:pPr>
              <w:rPr>
                <w:b/>
                <w:szCs w:val="24"/>
              </w:rPr>
            </w:pPr>
            <w:r w:rsidRPr="00A56A9A">
              <w:rPr>
                <w:b/>
                <w:szCs w:val="24"/>
              </w:rPr>
              <w:t>Cuestiones jurídicas:</w:t>
            </w:r>
          </w:p>
          <w:p w:rsidR="00791028" w:rsidRPr="00562704" w:rsidRDefault="00C77A82" w:rsidP="00562704">
            <w:pPr>
              <w:pStyle w:val="enumlev1"/>
              <w:spacing w:before="0"/>
            </w:pPr>
            <w:r w:rsidRPr="00C77A82">
              <w:rPr>
                <w:szCs w:val="24"/>
              </w:rPr>
              <w:t>–</w:t>
            </w:r>
            <w:r>
              <w:rPr>
                <w:szCs w:val="24"/>
              </w:rPr>
              <w:tab/>
            </w:r>
            <w:r w:rsidR="00791028" w:rsidRPr="00562704">
              <w:t>No se pueden garantizar las necesidades de las r</w:t>
            </w:r>
            <w:r w:rsidR="00C13E96">
              <w:t>euniones en materia de idiomas.</w:t>
            </w:r>
          </w:p>
          <w:p w:rsidR="00791028" w:rsidRPr="00A56A9A" w:rsidRDefault="00C77A82" w:rsidP="00562704">
            <w:pPr>
              <w:pStyle w:val="enumlev1"/>
              <w:spacing w:before="0"/>
              <w:rPr>
                <w:szCs w:val="24"/>
              </w:rPr>
            </w:pPr>
            <w:r w:rsidRPr="00562704">
              <w:t>–</w:t>
            </w:r>
            <w:r w:rsidRPr="00562704">
              <w:tab/>
            </w:r>
            <w:r w:rsidR="00791028" w:rsidRPr="00562704">
              <w:t>No se puede garantizar la igualdad de derechos de los participantes a distancia y los participantes in situ.</w:t>
            </w:r>
          </w:p>
        </w:tc>
      </w:tr>
      <w:tr w:rsidR="00791028" w:rsidRPr="00A56A9A" w:rsidTr="00E2275D">
        <w:tc>
          <w:tcPr>
            <w:tcW w:w="9781" w:type="dxa"/>
          </w:tcPr>
          <w:p w:rsidR="00791028" w:rsidRPr="00A56A9A" w:rsidRDefault="00791028" w:rsidP="00312E95">
            <w:pPr>
              <w:keepNext/>
              <w:rPr>
                <w:b/>
                <w:szCs w:val="24"/>
              </w:rPr>
            </w:pPr>
            <w:r w:rsidRPr="00A56A9A">
              <w:rPr>
                <w:b/>
                <w:szCs w:val="24"/>
              </w:rPr>
              <w:lastRenderedPageBreak/>
              <w:t>Modificaciones del marco jurídico:</w:t>
            </w:r>
          </w:p>
          <w:p w:rsidR="00791028" w:rsidRPr="00A56A9A" w:rsidRDefault="00C77A82" w:rsidP="00C77A82">
            <w:pPr>
              <w:pStyle w:val="enumlev1"/>
              <w:spacing w:before="0"/>
              <w:rPr>
                <w:szCs w:val="24"/>
              </w:rPr>
            </w:pPr>
            <w:r w:rsidRPr="00C77A82">
              <w:rPr>
                <w:szCs w:val="24"/>
              </w:rPr>
              <w:t>–</w:t>
            </w:r>
            <w:r>
              <w:rPr>
                <w:szCs w:val="24"/>
              </w:rPr>
              <w:tab/>
            </w:r>
            <w:r w:rsidR="00791028" w:rsidRPr="00A56A9A">
              <w:rPr>
                <w:szCs w:val="24"/>
              </w:rPr>
              <w:t>Modificar en caso necesario el Artículo 31 del Convenio (Credenciales para las conferencias) para tener en cuenta la eventualidad de un impedimento técnico de último momento en la participación a distancia que pudiera exigir una delegación de poderes a último momento.</w:t>
            </w:r>
          </w:p>
          <w:p w:rsidR="00791028" w:rsidRPr="00A56A9A" w:rsidRDefault="00C77A82" w:rsidP="00C77A82">
            <w:pPr>
              <w:pStyle w:val="enumlev1"/>
              <w:spacing w:before="0"/>
              <w:rPr>
                <w:szCs w:val="24"/>
              </w:rPr>
            </w:pPr>
            <w:r w:rsidRPr="00C77A82">
              <w:rPr>
                <w:szCs w:val="24"/>
              </w:rPr>
              <w:t>–</w:t>
            </w:r>
            <w:r>
              <w:rPr>
                <w:szCs w:val="24"/>
              </w:rPr>
              <w:tab/>
            </w:r>
            <w:r w:rsidR="00791028" w:rsidRPr="00A56A9A">
              <w:rPr>
                <w:szCs w:val="24"/>
              </w:rPr>
              <w:t>Posible incidencia en el Artículo 29 de la Constitución (Idiomas).</w:t>
            </w:r>
          </w:p>
        </w:tc>
      </w:tr>
      <w:tr w:rsidR="00791028" w:rsidRPr="00A56A9A" w:rsidTr="00E2275D">
        <w:trPr>
          <w:trHeight w:val="1171"/>
        </w:trPr>
        <w:tc>
          <w:tcPr>
            <w:tcW w:w="9781" w:type="dxa"/>
          </w:tcPr>
          <w:p w:rsidR="00791028" w:rsidRPr="00A56A9A" w:rsidRDefault="00791028" w:rsidP="004D153B">
            <w:pPr>
              <w:rPr>
                <w:b/>
                <w:szCs w:val="24"/>
              </w:rPr>
            </w:pPr>
            <w:r w:rsidRPr="00A56A9A">
              <w:rPr>
                <w:b/>
                <w:szCs w:val="24"/>
                <w:u w:val="single"/>
              </w:rPr>
              <w:t>Problema técnico 2</w:t>
            </w:r>
            <w:r w:rsidRPr="00A56A9A">
              <w:rPr>
                <w:b/>
                <w:szCs w:val="24"/>
              </w:rPr>
              <w:t xml:space="preserve">: </w:t>
            </w:r>
            <w:r w:rsidRPr="00A56A9A">
              <w:rPr>
                <w:szCs w:val="24"/>
              </w:rPr>
              <w:t>Fallo de las comunicaciones</w:t>
            </w:r>
          </w:p>
          <w:p w:rsidR="00791028" w:rsidRPr="00A56A9A" w:rsidRDefault="00C77A82" w:rsidP="00C77A82">
            <w:pPr>
              <w:pStyle w:val="enumlev1"/>
              <w:spacing w:before="0"/>
              <w:rPr>
                <w:szCs w:val="24"/>
              </w:rPr>
            </w:pPr>
            <w:r w:rsidRPr="00C77A82">
              <w:rPr>
                <w:szCs w:val="24"/>
              </w:rPr>
              <w:t>–</w:t>
            </w:r>
            <w:r>
              <w:rPr>
                <w:szCs w:val="24"/>
              </w:rPr>
              <w:tab/>
            </w:r>
            <w:r w:rsidR="00791028" w:rsidRPr="00A56A9A">
              <w:rPr>
                <w:szCs w:val="24"/>
              </w:rPr>
              <w:t>Fallo técnico entre el lugar de celebración de la reunión y el participante a distancia.</w:t>
            </w:r>
          </w:p>
          <w:p w:rsidR="00791028" w:rsidRPr="00A56A9A" w:rsidRDefault="00C77A82" w:rsidP="00C77A82">
            <w:pPr>
              <w:pStyle w:val="enumlev1"/>
              <w:spacing w:before="0"/>
              <w:rPr>
                <w:szCs w:val="24"/>
              </w:rPr>
            </w:pPr>
            <w:r w:rsidRPr="00C77A82">
              <w:rPr>
                <w:szCs w:val="24"/>
              </w:rPr>
              <w:t>–</w:t>
            </w:r>
            <w:r w:rsidRPr="00C77A82">
              <w:rPr>
                <w:szCs w:val="24"/>
              </w:rPr>
              <w:tab/>
            </w:r>
            <w:r w:rsidR="00791028" w:rsidRPr="00C77A82">
              <w:rPr>
                <w:szCs w:val="24"/>
              </w:rPr>
              <w:t>Interrupción deliberada de la comunicación con objeto de perturbar los trabajos.</w:t>
            </w:r>
          </w:p>
        </w:tc>
      </w:tr>
      <w:tr w:rsidR="00791028" w:rsidRPr="00A56A9A" w:rsidTr="00E2275D">
        <w:tc>
          <w:tcPr>
            <w:tcW w:w="9781" w:type="dxa"/>
          </w:tcPr>
          <w:p w:rsidR="00791028" w:rsidRPr="00A56A9A" w:rsidRDefault="00791028" w:rsidP="004D153B">
            <w:pPr>
              <w:rPr>
                <w:b/>
                <w:szCs w:val="24"/>
              </w:rPr>
            </w:pPr>
            <w:r w:rsidRPr="00A56A9A">
              <w:rPr>
                <w:b/>
                <w:szCs w:val="24"/>
              </w:rPr>
              <w:t xml:space="preserve">Consecuencias: </w:t>
            </w:r>
            <w:r w:rsidRPr="00A56A9A">
              <w:rPr>
                <w:szCs w:val="24"/>
              </w:rPr>
              <w:t>Ninguna intervención posible de uno o más delegados a distancia.</w:t>
            </w:r>
          </w:p>
        </w:tc>
      </w:tr>
      <w:tr w:rsidR="00791028" w:rsidRPr="00A56A9A" w:rsidTr="00E2275D">
        <w:tc>
          <w:tcPr>
            <w:tcW w:w="9781" w:type="dxa"/>
          </w:tcPr>
          <w:p w:rsidR="00791028" w:rsidRPr="00A56A9A" w:rsidRDefault="00791028" w:rsidP="004D153B">
            <w:pPr>
              <w:rPr>
                <w:b/>
                <w:szCs w:val="24"/>
              </w:rPr>
            </w:pPr>
            <w:r w:rsidRPr="00A56A9A">
              <w:rPr>
                <w:b/>
                <w:szCs w:val="24"/>
              </w:rPr>
              <w:t xml:space="preserve">Opciones </w:t>
            </w:r>
            <w:r w:rsidR="00C13E96">
              <w:rPr>
                <w:b/>
                <w:szCs w:val="24"/>
              </w:rPr>
              <w:t>para atenuar las consecuencias:</w:t>
            </w:r>
          </w:p>
          <w:p w:rsidR="00791028" w:rsidRPr="00A56A9A" w:rsidRDefault="00C77A82" w:rsidP="00C77A82">
            <w:pPr>
              <w:pStyle w:val="enumlev1"/>
              <w:spacing w:before="0"/>
              <w:rPr>
                <w:szCs w:val="24"/>
              </w:rPr>
            </w:pPr>
            <w:r w:rsidRPr="00C77A82">
              <w:rPr>
                <w:szCs w:val="24"/>
              </w:rPr>
              <w:t>–</w:t>
            </w:r>
            <w:r>
              <w:rPr>
                <w:szCs w:val="24"/>
              </w:rPr>
              <w:tab/>
            </w:r>
            <w:r w:rsidR="00791028" w:rsidRPr="00A56A9A">
              <w:rPr>
                <w:szCs w:val="24"/>
              </w:rPr>
              <w:t>Interrumpir la reunión o esperar hasta lograr la conexión.</w:t>
            </w:r>
          </w:p>
          <w:p w:rsidR="00791028" w:rsidRPr="00A56A9A" w:rsidRDefault="00C77A82" w:rsidP="00C77A82">
            <w:pPr>
              <w:pStyle w:val="enumlev1"/>
              <w:spacing w:before="0"/>
              <w:rPr>
                <w:szCs w:val="24"/>
              </w:rPr>
            </w:pPr>
            <w:r w:rsidRPr="00C77A82">
              <w:rPr>
                <w:szCs w:val="24"/>
              </w:rPr>
              <w:t>–</w:t>
            </w:r>
            <w:r>
              <w:rPr>
                <w:szCs w:val="24"/>
              </w:rPr>
              <w:tab/>
            </w:r>
            <w:r w:rsidR="00791028" w:rsidRPr="00A56A9A">
              <w:rPr>
                <w:szCs w:val="24"/>
              </w:rPr>
              <w:t>Proseguir los trabajos sin uno o más delegados a distancia.</w:t>
            </w:r>
          </w:p>
          <w:p w:rsidR="00791028" w:rsidRPr="00A56A9A" w:rsidRDefault="00C77A82" w:rsidP="00C77A82">
            <w:pPr>
              <w:pStyle w:val="enumlev1"/>
              <w:spacing w:before="0"/>
              <w:rPr>
                <w:szCs w:val="24"/>
              </w:rPr>
            </w:pPr>
            <w:r w:rsidRPr="00C77A82">
              <w:rPr>
                <w:szCs w:val="24"/>
              </w:rPr>
              <w:t>–</w:t>
            </w:r>
            <w:r>
              <w:rPr>
                <w:szCs w:val="24"/>
              </w:rPr>
              <w:tab/>
            </w:r>
            <w:r w:rsidR="00791028" w:rsidRPr="00A56A9A">
              <w:rPr>
                <w:szCs w:val="24"/>
              </w:rPr>
              <w:t>Intervención por intermediario.</w:t>
            </w:r>
          </w:p>
        </w:tc>
      </w:tr>
      <w:tr w:rsidR="00791028" w:rsidRPr="00A56A9A" w:rsidTr="00E2275D">
        <w:tc>
          <w:tcPr>
            <w:tcW w:w="9781" w:type="dxa"/>
          </w:tcPr>
          <w:p w:rsidR="00791028" w:rsidRPr="00A56A9A" w:rsidRDefault="00791028" w:rsidP="00B64C87">
            <w:pPr>
              <w:rPr>
                <w:b/>
                <w:szCs w:val="24"/>
              </w:rPr>
            </w:pPr>
            <w:r w:rsidRPr="00A56A9A">
              <w:rPr>
                <w:b/>
                <w:szCs w:val="24"/>
              </w:rPr>
              <w:t>Cuestiones jurídicas:</w:t>
            </w:r>
          </w:p>
          <w:p w:rsidR="00791028" w:rsidRPr="00A56A9A" w:rsidRDefault="00C77A82" w:rsidP="00C77A82">
            <w:pPr>
              <w:pStyle w:val="enumlev1"/>
              <w:spacing w:before="0"/>
              <w:rPr>
                <w:szCs w:val="24"/>
              </w:rPr>
            </w:pPr>
            <w:r w:rsidRPr="00C77A82">
              <w:rPr>
                <w:szCs w:val="24"/>
              </w:rPr>
              <w:t>–</w:t>
            </w:r>
            <w:r>
              <w:rPr>
                <w:szCs w:val="24"/>
              </w:rPr>
              <w:tab/>
            </w:r>
            <w:r w:rsidR="00791028" w:rsidRPr="00A56A9A">
              <w:rPr>
                <w:szCs w:val="24"/>
              </w:rPr>
              <w:t>No se puede garantizar la disponibilidad ni confidencialidad de las comunicaciones cuando se utilizan infraestructuras públicas que están fuera del control de la UIT.</w:t>
            </w:r>
          </w:p>
          <w:p w:rsidR="00791028" w:rsidRPr="00A56A9A" w:rsidRDefault="00C77A82" w:rsidP="00C77A82">
            <w:pPr>
              <w:pStyle w:val="enumlev1"/>
              <w:spacing w:before="0"/>
              <w:rPr>
                <w:szCs w:val="24"/>
              </w:rPr>
            </w:pPr>
            <w:r w:rsidRPr="00C77A82">
              <w:rPr>
                <w:szCs w:val="24"/>
              </w:rPr>
              <w:t>–</w:t>
            </w:r>
            <w:r>
              <w:rPr>
                <w:szCs w:val="24"/>
              </w:rPr>
              <w:tab/>
            </w:r>
            <w:r w:rsidR="00791028" w:rsidRPr="00A56A9A">
              <w:rPr>
                <w:szCs w:val="24"/>
              </w:rPr>
              <w:t xml:space="preserve">No se puede garantizar la igualdad de derechos de los participantes a distancia y los participantes </w:t>
            </w:r>
            <w:r w:rsidR="00791028" w:rsidRPr="00A56A9A">
              <w:rPr>
                <w:i/>
                <w:iCs/>
                <w:szCs w:val="24"/>
              </w:rPr>
              <w:t>in situ</w:t>
            </w:r>
            <w:r w:rsidR="00791028" w:rsidRPr="00A56A9A">
              <w:rPr>
                <w:szCs w:val="24"/>
              </w:rPr>
              <w:t>.</w:t>
            </w:r>
          </w:p>
          <w:p w:rsidR="00791028" w:rsidRDefault="00C77A82" w:rsidP="00C77A82">
            <w:pPr>
              <w:pStyle w:val="enumlev1"/>
              <w:spacing w:before="0"/>
              <w:rPr>
                <w:szCs w:val="24"/>
              </w:rPr>
            </w:pPr>
            <w:r w:rsidRPr="00C77A82">
              <w:rPr>
                <w:szCs w:val="24"/>
              </w:rPr>
              <w:t>–</w:t>
            </w:r>
            <w:r>
              <w:rPr>
                <w:szCs w:val="24"/>
              </w:rPr>
              <w:tab/>
            </w:r>
            <w:r w:rsidR="00791028" w:rsidRPr="00A56A9A">
              <w:rPr>
                <w:szCs w:val="24"/>
              </w:rPr>
              <w:t>Imposibilidad para los participantes a distancia de ejercer ciertos derechos intrínsecos a los participantes en las plenarias como, por ejemplo:</w:t>
            </w:r>
          </w:p>
          <w:p w:rsidR="00791028" w:rsidRPr="00A56A9A" w:rsidRDefault="00A56A9A" w:rsidP="00C77A82">
            <w:pPr>
              <w:pStyle w:val="enumlev2"/>
              <w:spacing w:before="0"/>
              <w:rPr>
                <w:szCs w:val="24"/>
              </w:rPr>
            </w:pPr>
            <w:r w:rsidRPr="00A56A9A">
              <w:rPr>
                <w:szCs w:val="24"/>
              </w:rPr>
              <w:t>•</w:t>
            </w:r>
            <w:r>
              <w:rPr>
                <w:szCs w:val="24"/>
              </w:rPr>
              <w:tab/>
            </w:r>
            <w:r w:rsidR="00791028" w:rsidRPr="00A56A9A">
              <w:rPr>
                <w:szCs w:val="24"/>
              </w:rPr>
              <w:t>derecho a expresar plena y libremente una opinión sobre el tema en discusi</w:t>
            </w:r>
            <w:r w:rsidR="00562704">
              <w:rPr>
                <w:szCs w:val="24"/>
              </w:rPr>
              <w:t>ón;</w:t>
            </w:r>
          </w:p>
          <w:p w:rsidR="00791028" w:rsidRPr="00A56A9A" w:rsidRDefault="00A56A9A" w:rsidP="00C77A82">
            <w:pPr>
              <w:pStyle w:val="enumlev2"/>
              <w:spacing w:before="0"/>
              <w:rPr>
                <w:szCs w:val="24"/>
              </w:rPr>
            </w:pPr>
            <w:r w:rsidRPr="00A56A9A">
              <w:rPr>
                <w:szCs w:val="24"/>
              </w:rPr>
              <w:t>•</w:t>
            </w:r>
            <w:r>
              <w:rPr>
                <w:szCs w:val="24"/>
              </w:rPr>
              <w:tab/>
            </w:r>
            <w:r w:rsidR="00791028" w:rsidRPr="00A56A9A">
              <w:rPr>
                <w:szCs w:val="24"/>
              </w:rPr>
              <w:t>derecho a presentar de forma oral cualquier propuesta o enmienda;</w:t>
            </w:r>
          </w:p>
          <w:p w:rsidR="00791028" w:rsidRPr="00A56A9A" w:rsidRDefault="00A56A9A" w:rsidP="00C77A82">
            <w:pPr>
              <w:pStyle w:val="enumlev2"/>
              <w:spacing w:before="0"/>
              <w:rPr>
                <w:szCs w:val="24"/>
              </w:rPr>
            </w:pPr>
            <w:r w:rsidRPr="00A56A9A">
              <w:rPr>
                <w:szCs w:val="24"/>
              </w:rPr>
              <w:t>•</w:t>
            </w:r>
            <w:r>
              <w:rPr>
                <w:szCs w:val="24"/>
              </w:rPr>
              <w:tab/>
            </w:r>
            <w:r w:rsidR="00791028" w:rsidRPr="00A56A9A">
              <w:rPr>
                <w:szCs w:val="24"/>
              </w:rPr>
              <w:t>derecho a plantear una cuestión de orden o a presentar una moción de orden;</w:t>
            </w:r>
          </w:p>
          <w:p w:rsidR="00791028" w:rsidRPr="00A56A9A" w:rsidRDefault="00A56A9A" w:rsidP="00C77A82">
            <w:pPr>
              <w:pStyle w:val="enumlev2"/>
              <w:spacing w:before="0"/>
              <w:rPr>
                <w:szCs w:val="24"/>
              </w:rPr>
            </w:pPr>
            <w:r w:rsidRPr="00A56A9A">
              <w:rPr>
                <w:szCs w:val="24"/>
              </w:rPr>
              <w:t>•</w:t>
            </w:r>
            <w:r>
              <w:rPr>
                <w:szCs w:val="24"/>
              </w:rPr>
              <w:tab/>
            </w:r>
            <w:r w:rsidR="00791028" w:rsidRPr="00A56A9A">
              <w:rPr>
                <w:szCs w:val="24"/>
              </w:rPr>
              <w:t>derecho a participar en una votación;</w:t>
            </w:r>
          </w:p>
          <w:p w:rsidR="00791028" w:rsidRPr="00A56A9A" w:rsidRDefault="00A56A9A" w:rsidP="00C77A82">
            <w:pPr>
              <w:pStyle w:val="enumlev2"/>
              <w:spacing w:before="0"/>
              <w:rPr>
                <w:szCs w:val="24"/>
                <w:lang w:eastAsia="zh-CN"/>
              </w:rPr>
            </w:pPr>
            <w:r w:rsidRPr="00A56A9A">
              <w:rPr>
                <w:szCs w:val="24"/>
              </w:rPr>
              <w:t>•</w:t>
            </w:r>
            <w:r>
              <w:rPr>
                <w:szCs w:val="24"/>
              </w:rPr>
              <w:tab/>
            </w:r>
            <w:r w:rsidR="00791028" w:rsidRPr="00A56A9A">
              <w:rPr>
                <w:szCs w:val="24"/>
              </w:rPr>
              <w:t>derecho a oponerse a la creación de consenso.</w:t>
            </w:r>
          </w:p>
        </w:tc>
      </w:tr>
      <w:tr w:rsidR="00791028" w:rsidRPr="00A56A9A" w:rsidTr="00E2275D">
        <w:tc>
          <w:tcPr>
            <w:tcW w:w="9781" w:type="dxa"/>
          </w:tcPr>
          <w:p w:rsidR="00791028" w:rsidRPr="00A56A9A" w:rsidRDefault="00791028" w:rsidP="004D40B3">
            <w:pPr>
              <w:rPr>
                <w:b/>
                <w:szCs w:val="24"/>
              </w:rPr>
            </w:pPr>
            <w:r w:rsidRPr="00A56A9A">
              <w:rPr>
                <w:b/>
                <w:szCs w:val="24"/>
              </w:rPr>
              <w:t>Modificaciones del marco jurídico:</w:t>
            </w:r>
          </w:p>
          <w:p w:rsidR="00791028" w:rsidRPr="00A56A9A" w:rsidRDefault="00C77A82" w:rsidP="00C77A82">
            <w:pPr>
              <w:pStyle w:val="enumlev1"/>
              <w:spacing w:before="0"/>
              <w:rPr>
                <w:szCs w:val="24"/>
              </w:rPr>
            </w:pPr>
            <w:r w:rsidRPr="00C77A82">
              <w:rPr>
                <w:szCs w:val="24"/>
              </w:rPr>
              <w:t>–</w:t>
            </w:r>
            <w:r>
              <w:rPr>
                <w:szCs w:val="24"/>
              </w:rPr>
              <w:tab/>
            </w:r>
            <w:r w:rsidR="00791028" w:rsidRPr="00A56A9A">
              <w:rPr>
                <w:szCs w:val="24"/>
              </w:rPr>
              <w:t>Necesidad de modificar disposiciones de los textos jurídicos de la Unión relativos al quórum.</w:t>
            </w:r>
          </w:p>
          <w:p w:rsidR="00791028" w:rsidRPr="00A56A9A" w:rsidRDefault="00C77A82" w:rsidP="00C77A82">
            <w:pPr>
              <w:pStyle w:val="enumlev1"/>
              <w:spacing w:before="0"/>
              <w:rPr>
                <w:szCs w:val="24"/>
              </w:rPr>
            </w:pPr>
            <w:r w:rsidRPr="00C77A82">
              <w:rPr>
                <w:szCs w:val="24"/>
              </w:rPr>
              <w:t>–</w:t>
            </w:r>
            <w:r>
              <w:rPr>
                <w:szCs w:val="24"/>
              </w:rPr>
              <w:tab/>
            </w:r>
            <w:r w:rsidR="00791028" w:rsidRPr="00A56A9A">
              <w:rPr>
                <w:szCs w:val="24"/>
              </w:rPr>
              <w:t>Modificación de procedimientos para presentar mociones de orden y plantear cuestiones de orden.</w:t>
            </w:r>
          </w:p>
          <w:p w:rsidR="00791028" w:rsidRPr="00A56A9A" w:rsidRDefault="00C77A82" w:rsidP="00C77A82">
            <w:pPr>
              <w:pStyle w:val="enumlev1"/>
              <w:spacing w:before="0"/>
              <w:rPr>
                <w:szCs w:val="24"/>
              </w:rPr>
            </w:pPr>
            <w:r w:rsidRPr="00C77A82">
              <w:rPr>
                <w:szCs w:val="24"/>
              </w:rPr>
              <w:t>–</w:t>
            </w:r>
            <w:r>
              <w:rPr>
                <w:szCs w:val="24"/>
              </w:rPr>
              <w:tab/>
            </w:r>
            <w:r w:rsidR="00791028" w:rsidRPr="00A56A9A">
              <w:rPr>
                <w:szCs w:val="24"/>
              </w:rPr>
              <w:t>Modificación de reglas de votación debido a que la votación a mano alzada y la votación secreta son físicamente imposibles en cas</w:t>
            </w:r>
            <w:r>
              <w:rPr>
                <w:szCs w:val="24"/>
              </w:rPr>
              <w:t>o de participación a distancia.</w:t>
            </w:r>
          </w:p>
          <w:p w:rsidR="00791028" w:rsidRPr="00A56A9A" w:rsidRDefault="00C77A82" w:rsidP="00C77A82">
            <w:pPr>
              <w:pStyle w:val="enumlev1"/>
              <w:spacing w:before="0"/>
              <w:rPr>
                <w:szCs w:val="24"/>
              </w:rPr>
            </w:pPr>
            <w:r w:rsidRPr="00C77A82">
              <w:rPr>
                <w:szCs w:val="24"/>
              </w:rPr>
              <w:t>–</w:t>
            </w:r>
            <w:r>
              <w:rPr>
                <w:szCs w:val="24"/>
              </w:rPr>
              <w:tab/>
            </w:r>
            <w:r w:rsidR="00791028" w:rsidRPr="00A56A9A">
              <w:rPr>
                <w:szCs w:val="24"/>
              </w:rPr>
              <w:t>Repercusiones con respecto a las reglas que rigen la interrupción de votos en caso de una pérdida de conexión.</w:t>
            </w:r>
          </w:p>
          <w:p w:rsidR="00791028" w:rsidRPr="00A56A9A" w:rsidRDefault="00C77A82" w:rsidP="00C77A82">
            <w:pPr>
              <w:pStyle w:val="enumlev1"/>
              <w:spacing w:before="0"/>
              <w:rPr>
                <w:szCs w:val="24"/>
              </w:rPr>
            </w:pPr>
            <w:r w:rsidRPr="00C77A82">
              <w:rPr>
                <w:szCs w:val="24"/>
              </w:rPr>
              <w:t>–</w:t>
            </w:r>
            <w:r>
              <w:rPr>
                <w:szCs w:val="24"/>
              </w:rPr>
              <w:tab/>
            </w:r>
            <w:r w:rsidR="00791028" w:rsidRPr="00A56A9A">
              <w:rPr>
                <w:szCs w:val="24"/>
              </w:rPr>
              <w:t>Necesidad de garantizar que, cuando se trata de conferencias en que se adoptan tratados, las delegaciones que participan a distancia dispongan de credenciales válidas. No habría que descartar una modificación del Artículo 31 del Convenio al respecto.</w:t>
            </w:r>
          </w:p>
          <w:p w:rsidR="00791028" w:rsidRPr="00A56A9A" w:rsidRDefault="00C77A82" w:rsidP="00C77A82">
            <w:pPr>
              <w:pStyle w:val="enumlev1"/>
              <w:spacing w:before="0"/>
              <w:rPr>
                <w:szCs w:val="24"/>
              </w:rPr>
            </w:pPr>
            <w:r w:rsidRPr="00C77A82">
              <w:rPr>
                <w:szCs w:val="24"/>
              </w:rPr>
              <w:t>–</w:t>
            </w:r>
            <w:r>
              <w:rPr>
                <w:szCs w:val="24"/>
              </w:rPr>
              <w:tab/>
            </w:r>
            <w:r w:rsidR="00791028" w:rsidRPr="00A56A9A">
              <w:rPr>
                <w:szCs w:val="24"/>
              </w:rPr>
              <w:t>Imposibilidad en la práctica de cumplir funciones de presidente puesto que un participante a distancia no está en condiciones, por motivos prácticos, de desempeñar todas las obligaciones del cargo de presidente.</w:t>
            </w:r>
          </w:p>
          <w:p w:rsidR="00791028" w:rsidRPr="00A56A9A" w:rsidRDefault="00C77A82" w:rsidP="00C77A82">
            <w:pPr>
              <w:pStyle w:val="enumlev1"/>
              <w:spacing w:before="0"/>
              <w:rPr>
                <w:szCs w:val="24"/>
              </w:rPr>
            </w:pPr>
            <w:r w:rsidRPr="00C77A82">
              <w:rPr>
                <w:szCs w:val="24"/>
              </w:rPr>
              <w:t>–</w:t>
            </w:r>
            <w:r>
              <w:rPr>
                <w:szCs w:val="24"/>
              </w:rPr>
              <w:tab/>
            </w:r>
            <w:r w:rsidR="00791028" w:rsidRPr="00A56A9A">
              <w:rPr>
                <w:szCs w:val="24"/>
              </w:rPr>
              <w:t>Imposibilidad en la práctica de participar en ciertas comisiones estatutarias como las comisiones de credenciales o las comisiones de redacción.</w:t>
            </w:r>
          </w:p>
        </w:tc>
      </w:tr>
    </w:tbl>
    <w:p w:rsidR="00791028" w:rsidRPr="00A56A9A" w:rsidRDefault="00791028" w:rsidP="00AB4E2C">
      <w:pPr>
        <w:pStyle w:val="Headingb"/>
      </w:pPr>
      <w:r w:rsidRPr="00A56A9A">
        <w:lastRenderedPageBreak/>
        <w:t>Acces</w:t>
      </w:r>
      <w:r w:rsidR="00C77A82">
        <w:t>ibilidad</w:t>
      </w:r>
    </w:p>
    <w:p w:rsidR="00791028" w:rsidRPr="00A56A9A" w:rsidRDefault="00A56A9A" w:rsidP="00A56A9A">
      <w:pPr>
        <w:rPr>
          <w:szCs w:val="24"/>
        </w:rPr>
      </w:pPr>
      <w:r w:rsidRPr="00A56A9A">
        <w:rPr>
          <w:szCs w:val="24"/>
        </w:rPr>
        <w:t>7</w:t>
      </w:r>
      <w:r w:rsidRPr="00A56A9A">
        <w:rPr>
          <w:szCs w:val="24"/>
        </w:rPr>
        <w:tab/>
      </w:r>
      <w:r w:rsidR="00791028" w:rsidRPr="00A56A9A">
        <w:rPr>
          <w:szCs w:val="24"/>
        </w:rPr>
        <w:t>La participación a distancia y la mejora de los servicios audiovisuales de las salas de reunión han facilitado la integración de personas con necesidades especiales, de conformidad con la política de accesibilidad adoptada por la UIT en 2013, a través de:</w:t>
      </w:r>
    </w:p>
    <w:p w:rsidR="00791028" w:rsidRPr="00A56A9A" w:rsidRDefault="00A56A9A" w:rsidP="00CE78C4">
      <w:pPr>
        <w:pStyle w:val="enumlev1"/>
      </w:pPr>
      <w:r w:rsidRPr="00A56A9A">
        <w:t>•</w:t>
      </w:r>
      <w:r>
        <w:tab/>
      </w:r>
      <w:r w:rsidR="00CE78C4">
        <w:t>S</w:t>
      </w:r>
      <w:r w:rsidR="00791028" w:rsidRPr="00A56A9A">
        <w:t>ubtítulos para personas con dificultades de audición</w:t>
      </w:r>
    </w:p>
    <w:p w:rsidR="00791028" w:rsidRPr="00A56A9A" w:rsidRDefault="00A56A9A" w:rsidP="00CE78C4">
      <w:pPr>
        <w:pStyle w:val="enumlev1"/>
        <w:rPr>
          <w:szCs w:val="24"/>
        </w:rPr>
      </w:pPr>
      <w:r w:rsidRPr="00A56A9A">
        <w:rPr>
          <w:szCs w:val="24"/>
        </w:rPr>
        <w:t>•</w:t>
      </w:r>
      <w:r>
        <w:rPr>
          <w:szCs w:val="24"/>
        </w:rPr>
        <w:tab/>
      </w:r>
      <w:r w:rsidR="00CE78C4">
        <w:rPr>
          <w:szCs w:val="24"/>
        </w:rPr>
        <w:t>A</w:t>
      </w:r>
      <w:r w:rsidR="00791028" w:rsidRPr="00A56A9A">
        <w:rPr>
          <w:szCs w:val="24"/>
        </w:rPr>
        <w:t>udioconferencias para personas con limitaciones de visión</w:t>
      </w:r>
    </w:p>
    <w:p w:rsidR="00791028" w:rsidRPr="00A56A9A" w:rsidRDefault="00A56A9A" w:rsidP="00CE78C4">
      <w:pPr>
        <w:pStyle w:val="enumlev1"/>
        <w:rPr>
          <w:szCs w:val="24"/>
        </w:rPr>
      </w:pPr>
      <w:r w:rsidRPr="00A56A9A">
        <w:rPr>
          <w:szCs w:val="24"/>
        </w:rPr>
        <w:t>•</w:t>
      </w:r>
      <w:r>
        <w:rPr>
          <w:szCs w:val="24"/>
        </w:rPr>
        <w:tab/>
      </w:r>
      <w:r w:rsidR="00CE78C4">
        <w:rPr>
          <w:szCs w:val="24"/>
        </w:rPr>
        <w:t>N</w:t>
      </w:r>
      <w:r w:rsidR="00791028" w:rsidRPr="00A56A9A">
        <w:rPr>
          <w:szCs w:val="24"/>
        </w:rPr>
        <w:t>umerosos canales audio para los seis idiomas oficiales de N</w:t>
      </w:r>
      <w:r w:rsidR="0082696E">
        <w:rPr>
          <w:szCs w:val="24"/>
        </w:rPr>
        <w:t>aciones Unidas más el canal del </w:t>
      </w:r>
      <w:r w:rsidR="00791028" w:rsidRPr="00A56A9A">
        <w:rPr>
          <w:szCs w:val="24"/>
        </w:rPr>
        <w:t>orador</w:t>
      </w:r>
    </w:p>
    <w:p w:rsidR="00791028" w:rsidRPr="00A56A9A" w:rsidRDefault="00A56A9A" w:rsidP="00CE78C4">
      <w:pPr>
        <w:pStyle w:val="enumlev1"/>
        <w:rPr>
          <w:szCs w:val="24"/>
        </w:rPr>
      </w:pPr>
      <w:r w:rsidRPr="00A56A9A">
        <w:rPr>
          <w:szCs w:val="24"/>
        </w:rPr>
        <w:t>•</w:t>
      </w:r>
      <w:r>
        <w:rPr>
          <w:szCs w:val="24"/>
        </w:rPr>
        <w:tab/>
      </w:r>
      <w:r w:rsidR="00CE78C4">
        <w:rPr>
          <w:szCs w:val="24"/>
        </w:rPr>
        <w:t>C</w:t>
      </w:r>
      <w:r w:rsidR="00791028" w:rsidRPr="00A56A9A">
        <w:rPr>
          <w:szCs w:val="24"/>
        </w:rPr>
        <w:t>onferencias web para personas con problemas de movilidad</w:t>
      </w:r>
    </w:p>
    <w:p w:rsidR="00791028" w:rsidRPr="00A56A9A" w:rsidRDefault="00A56A9A" w:rsidP="00A56A9A">
      <w:pPr>
        <w:rPr>
          <w:szCs w:val="24"/>
        </w:rPr>
      </w:pPr>
      <w:r w:rsidRPr="00A56A9A">
        <w:rPr>
          <w:szCs w:val="24"/>
        </w:rPr>
        <w:t>8</w:t>
      </w:r>
      <w:r w:rsidRPr="00A56A9A">
        <w:rPr>
          <w:szCs w:val="24"/>
        </w:rPr>
        <w:tab/>
      </w:r>
      <w:r w:rsidR="00791028" w:rsidRPr="00A56A9A">
        <w:rPr>
          <w:szCs w:val="24"/>
        </w:rPr>
        <w:t>La UIT sigue manteniéndose al tanto de las innovaciones tecnológicas que pueden mejorar la accesibilidad (por ejemplo, reconocimiento de la voz, lectores de pantalla, interpretación automática).</w:t>
      </w:r>
    </w:p>
    <w:p w:rsidR="00791028" w:rsidRPr="00A56A9A" w:rsidRDefault="00791028" w:rsidP="00C77A82">
      <w:pPr>
        <w:pStyle w:val="Headingb"/>
      </w:pPr>
      <w:r w:rsidRPr="00A56A9A">
        <w:t>Costo</w:t>
      </w:r>
    </w:p>
    <w:p w:rsidR="00791028" w:rsidRPr="00A56A9A" w:rsidRDefault="00A56A9A" w:rsidP="00A56A9A">
      <w:pPr>
        <w:rPr>
          <w:szCs w:val="24"/>
        </w:rPr>
      </w:pPr>
      <w:r w:rsidRPr="00A56A9A">
        <w:rPr>
          <w:szCs w:val="24"/>
        </w:rPr>
        <w:t>9</w:t>
      </w:r>
      <w:r w:rsidRPr="00A56A9A">
        <w:rPr>
          <w:szCs w:val="24"/>
        </w:rPr>
        <w:tab/>
      </w:r>
      <w:r w:rsidR="00791028" w:rsidRPr="00A56A9A">
        <w:rPr>
          <w:szCs w:val="24"/>
        </w:rPr>
        <w:t>En 2011, se pidió al Consejo que aprobara una inversión puntual de capital de 1 721 000 CHF para el mejoramiento de las salas de reunión de la UIT y la integración del servicio de interpretación, y otros 875 000 CHF anuales para gastos operacionales</w:t>
      </w:r>
      <w:r w:rsidR="00791028" w:rsidRPr="00A56A9A">
        <w:rPr>
          <w:rStyle w:val="FootnoteReference"/>
          <w:szCs w:val="24"/>
        </w:rPr>
        <w:footnoteReference w:id="2"/>
      </w:r>
      <w:r w:rsidR="00791028" w:rsidRPr="00A56A9A">
        <w:rPr>
          <w:szCs w:val="24"/>
        </w:rPr>
        <w:t>. De esos importes, el Consejo, en el presupuesto correspondiente a 2012-2013, aprobó 675 000 CHF para una inversión puntual y 690 000 CHF para gastos operacionales bienales</w:t>
      </w:r>
      <w:r w:rsidR="00791028" w:rsidRPr="00A56A9A">
        <w:rPr>
          <w:rStyle w:val="FootnoteReference"/>
          <w:szCs w:val="24"/>
        </w:rPr>
        <w:footnoteReference w:id="3"/>
      </w:r>
      <w:r w:rsidR="00791028" w:rsidRPr="00A56A9A">
        <w:rPr>
          <w:szCs w:val="24"/>
        </w:rPr>
        <w:t xml:space="preserve">. </w:t>
      </w:r>
      <w:bookmarkStart w:id="7" w:name="_ftnref1"/>
      <w:bookmarkStart w:id="8" w:name="_ftnref2"/>
      <w:bookmarkEnd w:id="7"/>
      <w:bookmarkEnd w:id="8"/>
      <w:r w:rsidR="00791028" w:rsidRPr="00A56A9A">
        <w:rPr>
          <w:szCs w:val="24"/>
        </w:rPr>
        <w:t>El importe aprobado para la inversión puntual permitió la modernización de algunas salas de reunión y el importe aprobado para los gastos operacionales cubrió dos puestos de personal subalterno. Como resultado del déficit entre los importes solicitados y los importes aprobados, no fue posible modernizar todas las salas de reunión ni integrar el servicio de interpretación. En las salas de reunión que no han sido aún modernizadas no se puede</w:t>
      </w:r>
      <w:r w:rsidR="00562704">
        <w:rPr>
          <w:szCs w:val="24"/>
        </w:rPr>
        <w:t xml:space="preserve"> llevar completamente a cabo la</w:t>
      </w:r>
      <w:r w:rsidR="00791028" w:rsidRPr="00A56A9A">
        <w:rPr>
          <w:szCs w:val="24"/>
        </w:rPr>
        <w:t xml:space="preserve"> participación a distancia.</w:t>
      </w:r>
    </w:p>
    <w:p w:rsidR="00791028" w:rsidRPr="00A56A9A" w:rsidRDefault="00A56A9A" w:rsidP="00C77A82">
      <w:r w:rsidRPr="00A56A9A">
        <w:t>10</w:t>
      </w:r>
      <w:r w:rsidRPr="00A56A9A">
        <w:tab/>
      </w:r>
      <w:r w:rsidR="00791028" w:rsidRPr="00A56A9A">
        <w:t xml:space="preserve">Debido a los servicios de participación a distancia que se ofrecen actualmente en un número cada vez mayor de reuniones de la UIT, es necesario modernizar más salas de reunión. El importe solicitado anteriormente de 875 000 CHF anuales para gastos operacionales y el importe original de 1 721 000 CHF para una inversión puntual siguen siendo válidos. Por lo tanto, los presupuestos bienales 2016-2017 y 2018-2019 deberían contemplar un aumento de 1 060 000 CHF para gastos operacionales y el resto de la inversión puntual de un valor de 1 046 000 CHF debería contemplarse en el presupuesto de 2016-2017 (véase el cuadro 2 </w:t>
      </w:r>
      <w:r w:rsidR="00791028" w:rsidRPr="00A56A9A">
        <w:rPr>
          <w:i/>
          <w:iCs/>
        </w:rPr>
        <w:t>infra</w:t>
      </w:r>
      <w:r w:rsidR="00791028" w:rsidRPr="00A56A9A">
        <w:t>).</w:t>
      </w:r>
    </w:p>
    <w:p w:rsidR="00791028" w:rsidRPr="000F5280" w:rsidRDefault="00791028" w:rsidP="000F5280">
      <w:pPr>
        <w:pStyle w:val="Tabletitle"/>
        <w:spacing w:before="360"/>
      </w:pPr>
      <w:r w:rsidRPr="000F5280">
        <w:t xml:space="preserve">Cuadro 2: Nuevas cargas presupuestarias derivadas de los </w:t>
      </w:r>
      <w:r w:rsidR="000F5280">
        <w:br/>
      </w:r>
      <w:r w:rsidRPr="000F5280">
        <w:t>servicios de participación a distancia</w:t>
      </w:r>
    </w:p>
    <w:tbl>
      <w:tblPr>
        <w:tblStyle w:val="TableGrid"/>
        <w:tblW w:w="0" w:type="auto"/>
        <w:jc w:val="center"/>
        <w:tblLayout w:type="fixed"/>
        <w:tblLook w:val="04A0" w:firstRow="1" w:lastRow="0" w:firstColumn="1" w:lastColumn="0" w:noHBand="0" w:noVBand="1"/>
      </w:tblPr>
      <w:tblGrid>
        <w:gridCol w:w="2552"/>
        <w:gridCol w:w="2830"/>
        <w:gridCol w:w="2835"/>
      </w:tblGrid>
      <w:tr w:rsidR="00791028" w:rsidRPr="00A56A9A" w:rsidTr="00E2275D">
        <w:trPr>
          <w:jc w:val="center"/>
        </w:trPr>
        <w:tc>
          <w:tcPr>
            <w:tcW w:w="2552" w:type="dxa"/>
          </w:tcPr>
          <w:p w:rsidR="00791028" w:rsidRPr="00A56A9A" w:rsidRDefault="00791028" w:rsidP="00E2275D"/>
        </w:tc>
        <w:tc>
          <w:tcPr>
            <w:tcW w:w="2830" w:type="dxa"/>
          </w:tcPr>
          <w:p w:rsidR="00791028" w:rsidRPr="00A56A9A" w:rsidRDefault="00791028" w:rsidP="00D222CE">
            <w:pPr>
              <w:jc w:val="center"/>
              <w:rPr>
                <w:b/>
                <w:bCs/>
              </w:rPr>
            </w:pPr>
            <w:r w:rsidRPr="00A56A9A">
              <w:rPr>
                <w:b/>
                <w:bCs/>
              </w:rPr>
              <w:t>2016-2017</w:t>
            </w:r>
          </w:p>
        </w:tc>
        <w:tc>
          <w:tcPr>
            <w:tcW w:w="2835" w:type="dxa"/>
          </w:tcPr>
          <w:p w:rsidR="00791028" w:rsidRPr="00A56A9A" w:rsidRDefault="00791028" w:rsidP="00D222CE">
            <w:pPr>
              <w:jc w:val="center"/>
              <w:rPr>
                <w:b/>
                <w:bCs/>
              </w:rPr>
            </w:pPr>
            <w:r w:rsidRPr="00A56A9A">
              <w:rPr>
                <w:b/>
                <w:bCs/>
              </w:rPr>
              <w:t>2018-2019</w:t>
            </w:r>
          </w:p>
        </w:tc>
      </w:tr>
      <w:tr w:rsidR="00791028" w:rsidRPr="00A56A9A" w:rsidTr="00E2275D">
        <w:trPr>
          <w:jc w:val="center"/>
        </w:trPr>
        <w:tc>
          <w:tcPr>
            <w:tcW w:w="2552" w:type="dxa"/>
          </w:tcPr>
          <w:p w:rsidR="00791028" w:rsidRPr="00A56A9A" w:rsidRDefault="00791028" w:rsidP="008B6B25">
            <w:pPr>
              <w:rPr>
                <w:b/>
                <w:bCs/>
              </w:rPr>
            </w:pPr>
            <w:r w:rsidRPr="00A56A9A">
              <w:rPr>
                <w:b/>
                <w:bCs/>
              </w:rPr>
              <w:t>Gastos operacionales</w:t>
            </w:r>
          </w:p>
        </w:tc>
        <w:tc>
          <w:tcPr>
            <w:tcW w:w="2830" w:type="dxa"/>
          </w:tcPr>
          <w:p w:rsidR="00791028" w:rsidRPr="00A56A9A" w:rsidRDefault="00791028" w:rsidP="008B6B25">
            <w:pPr>
              <w:jc w:val="center"/>
            </w:pPr>
            <w:r w:rsidRPr="00A56A9A">
              <w:t>1 060 000 CHF</w:t>
            </w:r>
          </w:p>
        </w:tc>
        <w:tc>
          <w:tcPr>
            <w:tcW w:w="2835" w:type="dxa"/>
          </w:tcPr>
          <w:p w:rsidR="00791028" w:rsidRPr="00A56A9A" w:rsidRDefault="00791028" w:rsidP="00D222CE">
            <w:pPr>
              <w:jc w:val="center"/>
            </w:pPr>
            <w:r w:rsidRPr="00A56A9A">
              <w:t>1 060 000 CHF</w:t>
            </w:r>
          </w:p>
        </w:tc>
      </w:tr>
      <w:tr w:rsidR="00791028" w:rsidRPr="00A56A9A" w:rsidTr="00E2275D">
        <w:trPr>
          <w:jc w:val="center"/>
        </w:trPr>
        <w:tc>
          <w:tcPr>
            <w:tcW w:w="2552" w:type="dxa"/>
          </w:tcPr>
          <w:p w:rsidR="00791028" w:rsidRPr="00A56A9A" w:rsidRDefault="00791028" w:rsidP="008B6B25">
            <w:pPr>
              <w:rPr>
                <w:b/>
                <w:bCs/>
              </w:rPr>
            </w:pPr>
            <w:r w:rsidRPr="00A56A9A">
              <w:rPr>
                <w:b/>
                <w:bCs/>
              </w:rPr>
              <w:t>Inversión puntual</w:t>
            </w:r>
          </w:p>
        </w:tc>
        <w:tc>
          <w:tcPr>
            <w:tcW w:w="2830" w:type="dxa"/>
          </w:tcPr>
          <w:p w:rsidR="00791028" w:rsidRPr="00A56A9A" w:rsidRDefault="00791028" w:rsidP="00D222CE">
            <w:pPr>
              <w:jc w:val="center"/>
            </w:pPr>
            <w:r w:rsidRPr="00A56A9A">
              <w:t>1 046 000 CHF</w:t>
            </w:r>
          </w:p>
        </w:tc>
        <w:tc>
          <w:tcPr>
            <w:tcW w:w="2835" w:type="dxa"/>
          </w:tcPr>
          <w:p w:rsidR="00791028" w:rsidRPr="00A56A9A" w:rsidRDefault="00791028" w:rsidP="00D222CE">
            <w:pPr>
              <w:jc w:val="center"/>
            </w:pPr>
          </w:p>
        </w:tc>
      </w:tr>
    </w:tbl>
    <w:p w:rsidR="00791028" w:rsidRPr="00A56A9A" w:rsidRDefault="00C77A82" w:rsidP="00E07AB6">
      <w:pPr>
        <w:pStyle w:val="Headingb"/>
      </w:pPr>
      <w:r>
        <w:lastRenderedPageBreak/>
        <w:t>El camino a seguir</w:t>
      </w:r>
    </w:p>
    <w:p w:rsidR="00791028" w:rsidRPr="00A56A9A" w:rsidRDefault="00CE78C4" w:rsidP="00405F69">
      <w:pPr>
        <w:rPr>
          <w:szCs w:val="24"/>
        </w:rPr>
      </w:pPr>
      <w:r>
        <w:t>12</w:t>
      </w:r>
      <w:r w:rsidR="00A56A9A" w:rsidRPr="00A56A9A">
        <w:tab/>
      </w:r>
      <w:r w:rsidR="00791028" w:rsidRPr="00A56A9A">
        <w:t>Se invita a la Conferencia de Plenipotenciarios a</w:t>
      </w:r>
      <w:r w:rsidR="00C77A82">
        <w:rPr>
          <w:szCs w:val="24"/>
        </w:rPr>
        <w:t>:</w:t>
      </w:r>
    </w:p>
    <w:p w:rsidR="00791028" w:rsidRPr="00A56A9A" w:rsidRDefault="00A56A9A" w:rsidP="00A56A9A">
      <w:pPr>
        <w:pStyle w:val="enumlev1"/>
      </w:pPr>
      <w:r>
        <w:t>•</w:t>
      </w:r>
      <w:r>
        <w:tab/>
      </w:r>
      <w:r w:rsidR="00791028" w:rsidRPr="00A56A9A">
        <w:t>Reconocer los importantes beneficios que este servicio ha ofrecido a los delegados (reducción de tiempo y de gastos de viaje), la mayor integración en las reuniones, conferencia y eventos de la UIT, así como las reducciones sustanciales de las emisiones de carbono.</w:t>
      </w:r>
    </w:p>
    <w:p w:rsidR="00791028" w:rsidRPr="00A56A9A" w:rsidRDefault="00A56A9A" w:rsidP="00A56A9A">
      <w:pPr>
        <w:pStyle w:val="enumlev1"/>
        <w:rPr>
          <w:szCs w:val="24"/>
        </w:rPr>
      </w:pPr>
      <w:r w:rsidRPr="00A56A9A">
        <w:rPr>
          <w:szCs w:val="24"/>
        </w:rPr>
        <w:t>•</w:t>
      </w:r>
      <w:r>
        <w:rPr>
          <w:szCs w:val="24"/>
        </w:rPr>
        <w:tab/>
      </w:r>
      <w:r w:rsidR="00791028" w:rsidRPr="00A56A9A">
        <w:rPr>
          <w:szCs w:val="24"/>
        </w:rPr>
        <w:t xml:space="preserve">Tener en cuenta los aspectos jurídicos, técnicos y financieros vinculados a la adopción de la participación a distancia en pie de igualdad con participación </w:t>
      </w:r>
      <w:r w:rsidR="00791028" w:rsidRPr="00A56A9A">
        <w:rPr>
          <w:i/>
          <w:iCs/>
          <w:szCs w:val="24"/>
        </w:rPr>
        <w:t>in situ</w:t>
      </w:r>
      <w:r w:rsidR="00791028" w:rsidRPr="00A56A9A">
        <w:rPr>
          <w:szCs w:val="24"/>
        </w:rPr>
        <w:t xml:space="preserve"> en reuniones y eventos.</w:t>
      </w:r>
    </w:p>
    <w:p w:rsidR="00791028" w:rsidRPr="00A56A9A" w:rsidRDefault="00A56A9A" w:rsidP="00A56A9A">
      <w:pPr>
        <w:pStyle w:val="enumlev1"/>
        <w:rPr>
          <w:szCs w:val="24"/>
        </w:rPr>
      </w:pPr>
      <w:r w:rsidRPr="00A56A9A">
        <w:rPr>
          <w:szCs w:val="24"/>
        </w:rPr>
        <w:t>•</w:t>
      </w:r>
      <w:r>
        <w:rPr>
          <w:szCs w:val="24"/>
        </w:rPr>
        <w:tab/>
      </w:r>
      <w:r w:rsidR="00791028" w:rsidRPr="00A56A9A">
        <w:rPr>
          <w:szCs w:val="24"/>
        </w:rPr>
        <w:t>Encargar a la Secretaría que prosiga llevando a cabo la fase piloto de la participación a distancia teniendo en cuenta la rápida evolución de las comunicaciones y las herramientas tecnológicas para mejorar la calidad, la disponibilidad y la accesibilidad.</w:t>
      </w:r>
    </w:p>
    <w:p w:rsidR="00791028" w:rsidRPr="00A56A9A" w:rsidRDefault="00A56A9A" w:rsidP="00A56A9A">
      <w:pPr>
        <w:pStyle w:val="enumlev1"/>
        <w:rPr>
          <w:szCs w:val="24"/>
        </w:rPr>
      </w:pPr>
      <w:r w:rsidRPr="00A56A9A">
        <w:rPr>
          <w:szCs w:val="24"/>
        </w:rPr>
        <w:t>•</w:t>
      </w:r>
      <w:r>
        <w:rPr>
          <w:szCs w:val="24"/>
        </w:rPr>
        <w:tab/>
      </w:r>
      <w:r w:rsidR="00791028" w:rsidRPr="00A56A9A">
        <w:rPr>
          <w:szCs w:val="24"/>
        </w:rPr>
        <w:t>Solicitar al Consejo que examine en su próxima reunión de 2015 la fase piloto de la participación a distancia, que entrará en su quinto año.</w:t>
      </w:r>
    </w:p>
    <w:p w:rsidR="00A56A9A" w:rsidRDefault="00A56A9A" w:rsidP="0032202E">
      <w:pPr>
        <w:pStyle w:val="Reasons"/>
      </w:pPr>
    </w:p>
    <w:p w:rsidR="00A56A9A" w:rsidRDefault="00A56A9A">
      <w:pPr>
        <w:jc w:val="center"/>
      </w:pPr>
      <w:r>
        <w:t>______________</w:t>
      </w:r>
    </w:p>
    <w:sectPr w:rsidR="00A56A9A" w:rsidSect="00A70E95">
      <w:headerReference w:type="defaul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028" w:rsidRDefault="00791028">
      <w:r>
        <w:separator/>
      </w:r>
    </w:p>
  </w:endnote>
  <w:endnote w:type="continuationSeparator" w:id="0">
    <w:p w:rsidR="00791028" w:rsidRDefault="0079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Pr="00255FA1" w:rsidRDefault="004B07DB" w:rsidP="004B07D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028" w:rsidRDefault="00791028">
      <w:r>
        <w:t>____________________</w:t>
      </w:r>
    </w:p>
  </w:footnote>
  <w:footnote w:type="continuationSeparator" w:id="0">
    <w:p w:rsidR="00791028" w:rsidRDefault="00791028">
      <w:r>
        <w:continuationSeparator/>
      </w:r>
    </w:p>
  </w:footnote>
  <w:footnote w:id="1">
    <w:p w:rsidR="00791028" w:rsidRPr="004254B7" w:rsidRDefault="00791028" w:rsidP="00CB722F">
      <w:pPr>
        <w:pStyle w:val="FootnoteText"/>
        <w:rPr>
          <w:sz w:val="22"/>
          <w:szCs w:val="18"/>
        </w:rPr>
      </w:pPr>
      <w:r w:rsidRPr="0092731E">
        <w:rPr>
          <w:rStyle w:val="FootnoteReference"/>
          <w:sz w:val="14"/>
          <w:szCs w:val="18"/>
        </w:rPr>
        <w:footnoteRef/>
      </w:r>
      <w:r w:rsidRPr="004254B7">
        <w:rPr>
          <w:sz w:val="22"/>
          <w:szCs w:val="18"/>
        </w:rPr>
        <w:tab/>
        <w:t xml:space="preserve">Véase </w:t>
      </w:r>
      <w:hyperlink r:id="rId1" w:history="1">
        <w:r w:rsidRPr="004254B7">
          <w:rPr>
            <w:sz w:val="22"/>
            <w:szCs w:val="18"/>
          </w:rPr>
          <w:t>Documento C14/</w:t>
        </w:r>
      </w:hyperlink>
      <w:r w:rsidRPr="004254B7">
        <w:rPr>
          <w:sz w:val="22"/>
          <w:szCs w:val="18"/>
        </w:rPr>
        <w:t>20 - Apéndices 1 y 2.</w:t>
      </w:r>
    </w:p>
  </w:footnote>
  <w:footnote w:id="2">
    <w:p w:rsidR="00791028" w:rsidRPr="006F283A" w:rsidRDefault="00791028" w:rsidP="00431BA9">
      <w:pPr>
        <w:pStyle w:val="FootnoteText"/>
        <w:rPr>
          <w:sz w:val="18"/>
          <w:szCs w:val="18"/>
        </w:rPr>
      </w:pPr>
      <w:r w:rsidRPr="008D65A4">
        <w:rPr>
          <w:rStyle w:val="FootnoteReference"/>
        </w:rPr>
        <w:footnoteRef/>
      </w:r>
      <w:r w:rsidRPr="006F283A">
        <w:tab/>
      </w:r>
      <w:r w:rsidRPr="006F283A">
        <w:rPr>
          <w:sz w:val="22"/>
          <w:szCs w:val="18"/>
        </w:rPr>
        <w:t xml:space="preserve">Véase </w:t>
      </w:r>
      <w:r>
        <w:rPr>
          <w:sz w:val="22"/>
          <w:szCs w:val="18"/>
        </w:rPr>
        <w:t>P</w:t>
      </w:r>
      <w:r w:rsidRPr="006F283A">
        <w:rPr>
          <w:sz w:val="22"/>
          <w:szCs w:val="18"/>
        </w:rPr>
        <w:t>royecto de presupuesto de la Unión para 2012-2013 - Documento C11/10(Add.1) (Sec</w:t>
      </w:r>
      <w:r>
        <w:rPr>
          <w:sz w:val="22"/>
          <w:szCs w:val="18"/>
        </w:rPr>
        <w:t xml:space="preserve">ción D, UMAC) y Experiencia de la UIT en la participación a distancia y plan de acción propuesto </w:t>
      </w:r>
      <w:r w:rsidRPr="006F283A">
        <w:rPr>
          <w:sz w:val="22"/>
          <w:szCs w:val="18"/>
        </w:rPr>
        <w:t>- Resolu</w:t>
      </w:r>
      <w:r>
        <w:rPr>
          <w:sz w:val="22"/>
          <w:szCs w:val="18"/>
        </w:rPr>
        <w:t>ció</w:t>
      </w:r>
      <w:r w:rsidRPr="006F283A">
        <w:rPr>
          <w:sz w:val="22"/>
          <w:szCs w:val="18"/>
        </w:rPr>
        <w:t>n</w:t>
      </w:r>
      <w:r>
        <w:rPr>
          <w:sz w:val="22"/>
          <w:szCs w:val="18"/>
        </w:rPr>
        <w:t> </w:t>
      </w:r>
      <w:r w:rsidRPr="006F283A">
        <w:rPr>
          <w:sz w:val="22"/>
          <w:szCs w:val="18"/>
        </w:rPr>
        <w:t>167 (Guadalajara, 2010) – (Document</w:t>
      </w:r>
      <w:r>
        <w:rPr>
          <w:sz w:val="22"/>
          <w:szCs w:val="18"/>
        </w:rPr>
        <w:t>o</w:t>
      </w:r>
      <w:r w:rsidRPr="006F283A">
        <w:rPr>
          <w:sz w:val="22"/>
          <w:szCs w:val="18"/>
        </w:rPr>
        <w:t xml:space="preserve"> C11/37(Rev.1)).</w:t>
      </w:r>
    </w:p>
  </w:footnote>
  <w:footnote w:id="3">
    <w:p w:rsidR="00791028" w:rsidRPr="00431BA9" w:rsidRDefault="00791028" w:rsidP="00431BA9">
      <w:pPr>
        <w:pStyle w:val="FootnoteText"/>
      </w:pPr>
      <w:r w:rsidRPr="0009141C">
        <w:rPr>
          <w:rStyle w:val="FootnoteReference"/>
          <w:sz w:val="20"/>
        </w:rPr>
        <w:footnoteRef/>
      </w:r>
      <w:r w:rsidRPr="00431BA9">
        <w:rPr>
          <w:sz w:val="20"/>
        </w:rPr>
        <w:tab/>
      </w:r>
      <w:r w:rsidRPr="00431BA9">
        <w:rPr>
          <w:sz w:val="22"/>
          <w:szCs w:val="18"/>
        </w:rPr>
        <w:t xml:space="preserve">Véase </w:t>
      </w:r>
      <w:r w:rsidRPr="00431BA9">
        <w:rPr>
          <w:sz w:val="22"/>
          <w:szCs w:val="18"/>
        </w:rPr>
        <w:t>la Resolución 1337 – Presupuesto bienal de la UIT para 2012-2013 (Document</w:t>
      </w:r>
      <w:r>
        <w:rPr>
          <w:sz w:val="22"/>
          <w:szCs w:val="18"/>
        </w:rPr>
        <w:t>o</w:t>
      </w:r>
      <w:r w:rsidRPr="00431BA9">
        <w:rPr>
          <w:sz w:val="22"/>
          <w:szCs w:val="18"/>
        </w:rPr>
        <w:t xml:space="preserve"> C11/105).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4C04D4">
      <w:rPr>
        <w:noProof/>
      </w:rPr>
      <w:t>5</w:t>
    </w:r>
    <w:r>
      <w:fldChar w:fldCharType="end"/>
    </w:r>
    <w:r w:rsidR="004C04D4">
      <w:t>/</w:t>
    </w:r>
    <w:fldSimple w:instr=" NUMPAGES   \* MERGEFORMAT ">
      <w:r w:rsidR="004C04D4">
        <w:rPr>
          <w:noProof/>
        </w:rPr>
        <w:t>5</w:t>
      </w:r>
    </w:fldSimple>
  </w:p>
  <w:p w:rsidR="00605474" w:rsidRDefault="00605474" w:rsidP="00605474">
    <w:pPr>
      <w:pStyle w:val="Header"/>
    </w:pPr>
    <w:r>
      <w:rPr>
        <w:lang w:val="en-US"/>
      </w:rPr>
      <w:t>PP14</w:t>
    </w:r>
    <w:r w:rsidR="001A5746">
      <w:t>/55</w:t>
    </w:r>
    <w:r>
      <w:t>-</w:t>
    </w:r>
    <w:r w:rsidRPr="00010B43">
      <w:t>S</w:t>
    </w:r>
  </w:p>
  <w:p w:rsidR="00255FA1" w:rsidRPr="00605474" w:rsidRDefault="00255FA1" w:rsidP="0060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7A2B"/>
    <w:multiLevelType w:val="hybridMultilevel"/>
    <w:tmpl w:val="1A20C13C"/>
    <w:lvl w:ilvl="0" w:tplc="7DA6C048">
      <w:start w:val="1"/>
      <w:numFmt w:val="bullet"/>
      <w:lvlText w:val="-"/>
      <w:lvlJc w:val="left"/>
      <w:pPr>
        <w:ind w:left="360" w:hanging="360"/>
      </w:pPr>
      <w:rPr>
        <w:rFonts w:ascii="Calibri" w:eastAsiaTheme="minorEastAsia" w:hAnsi="Calibri" w:cstheme="minorBidi" w:hint="default"/>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9D79C3"/>
    <w:multiLevelType w:val="hybridMultilevel"/>
    <w:tmpl w:val="1526A8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BC61F86"/>
    <w:multiLevelType w:val="hybridMultilevel"/>
    <w:tmpl w:val="64DCE3E8"/>
    <w:lvl w:ilvl="0" w:tplc="3A52C0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E82D4B"/>
    <w:multiLevelType w:val="hybridMultilevel"/>
    <w:tmpl w:val="45F2D326"/>
    <w:lvl w:ilvl="0" w:tplc="7DA6C048">
      <w:start w:val="1"/>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28"/>
    <w:rsid w:val="0000188C"/>
    <w:rsid w:val="000533EF"/>
    <w:rsid w:val="000863AB"/>
    <w:rsid w:val="000A1523"/>
    <w:rsid w:val="000B1752"/>
    <w:rsid w:val="000F5280"/>
    <w:rsid w:val="0010543A"/>
    <w:rsid w:val="0010546D"/>
    <w:rsid w:val="001A5746"/>
    <w:rsid w:val="001D6EC3"/>
    <w:rsid w:val="001D787B"/>
    <w:rsid w:val="001E3D06"/>
    <w:rsid w:val="0023310F"/>
    <w:rsid w:val="00237C17"/>
    <w:rsid w:val="00242376"/>
    <w:rsid w:val="002535DD"/>
    <w:rsid w:val="00255FA1"/>
    <w:rsid w:val="002C6527"/>
    <w:rsid w:val="002E44FC"/>
    <w:rsid w:val="00312E95"/>
    <w:rsid w:val="003707E5"/>
    <w:rsid w:val="003E6E73"/>
    <w:rsid w:val="00484B72"/>
    <w:rsid w:val="004A346E"/>
    <w:rsid w:val="004A63A9"/>
    <w:rsid w:val="004B07DB"/>
    <w:rsid w:val="004B0BCB"/>
    <w:rsid w:val="004C04D4"/>
    <w:rsid w:val="004C39C6"/>
    <w:rsid w:val="004D23BA"/>
    <w:rsid w:val="004E08E0"/>
    <w:rsid w:val="00507662"/>
    <w:rsid w:val="00523448"/>
    <w:rsid w:val="005359B6"/>
    <w:rsid w:val="005431F7"/>
    <w:rsid w:val="00550FCF"/>
    <w:rsid w:val="00562704"/>
    <w:rsid w:val="00567ED5"/>
    <w:rsid w:val="00586703"/>
    <w:rsid w:val="005D1164"/>
    <w:rsid w:val="005D6488"/>
    <w:rsid w:val="005F6278"/>
    <w:rsid w:val="00601280"/>
    <w:rsid w:val="00605474"/>
    <w:rsid w:val="006455D2"/>
    <w:rsid w:val="006B5512"/>
    <w:rsid w:val="006B6D52"/>
    <w:rsid w:val="006C190D"/>
    <w:rsid w:val="00720686"/>
    <w:rsid w:val="00737EFF"/>
    <w:rsid w:val="00750806"/>
    <w:rsid w:val="00791028"/>
    <w:rsid w:val="007F6EBC"/>
    <w:rsid w:val="0082696E"/>
    <w:rsid w:val="00882773"/>
    <w:rsid w:val="008B4706"/>
    <w:rsid w:val="008B6676"/>
    <w:rsid w:val="008E51C5"/>
    <w:rsid w:val="008F7109"/>
    <w:rsid w:val="009107B0"/>
    <w:rsid w:val="009220DE"/>
    <w:rsid w:val="0099270D"/>
    <w:rsid w:val="009A1A86"/>
    <w:rsid w:val="009A2F44"/>
    <w:rsid w:val="009E0C42"/>
    <w:rsid w:val="00A56A9A"/>
    <w:rsid w:val="00A70E95"/>
    <w:rsid w:val="00AA1F73"/>
    <w:rsid w:val="00AD400E"/>
    <w:rsid w:val="00AF0DC5"/>
    <w:rsid w:val="00B121F4"/>
    <w:rsid w:val="00B73978"/>
    <w:rsid w:val="00B77C4D"/>
    <w:rsid w:val="00BB13FE"/>
    <w:rsid w:val="00BC7EE2"/>
    <w:rsid w:val="00C13E96"/>
    <w:rsid w:val="00C42D2D"/>
    <w:rsid w:val="00C61A48"/>
    <w:rsid w:val="00C77A82"/>
    <w:rsid w:val="00C80F8F"/>
    <w:rsid w:val="00C84355"/>
    <w:rsid w:val="00CD20D9"/>
    <w:rsid w:val="00CD701A"/>
    <w:rsid w:val="00CE78C4"/>
    <w:rsid w:val="00D05AAE"/>
    <w:rsid w:val="00D05E6B"/>
    <w:rsid w:val="00D254A6"/>
    <w:rsid w:val="00D42B55"/>
    <w:rsid w:val="00D57D70"/>
    <w:rsid w:val="00E05D81"/>
    <w:rsid w:val="00E66FC3"/>
    <w:rsid w:val="00E677DD"/>
    <w:rsid w:val="00E77F17"/>
    <w:rsid w:val="00E921EC"/>
    <w:rsid w:val="00EC395A"/>
    <w:rsid w:val="00F01632"/>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ListParagraph">
    <w:name w:val="List Paragraph"/>
    <w:basedOn w:val="Normal"/>
    <w:uiPriority w:val="34"/>
    <w:qFormat/>
    <w:rsid w:val="00791028"/>
    <w:pPr>
      <w:ind w:left="720"/>
      <w:contextualSpacing/>
    </w:pPr>
    <w:rPr>
      <w:lang w:val="en-GB"/>
    </w:rPr>
  </w:style>
  <w:style w:type="table" w:styleId="TableGrid">
    <w:name w:val="Table Grid"/>
    <w:basedOn w:val="TableNormal"/>
    <w:uiPriority w:val="59"/>
    <w:rsid w:val="00791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431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ListParagraph">
    <w:name w:val="List Paragraph"/>
    <w:basedOn w:val="Normal"/>
    <w:uiPriority w:val="34"/>
    <w:qFormat/>
    <w:rsid w:val="00791028"/>
    <w:pPr>
      <w:ind w:left="720"/>
      <w:contextualSpacing/>
    </w:pPr>
    <w:rPr>
      <w:lang w:val="en-GB"/>
    </w:rPr>
  </w:style>
  <w:style w:type="table" w:styleId="TableGrid">
    <w:name w:val="Table Grid"/>
    <w:basedOn w:val="TableNormal"/>
    <w:uiPriority w:val="59"/>
    <w:rsid w:val="00791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431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3-CL-INF-0008/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S12-CL-C-0021/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meetingdoc.asp?lang=en&amp;parent=S11-CL-C-0037" TargetMode="External"/><Relationship Id="rId5" Type="http://schemas.openxmlformats.org/officeDocument/2006/relationships/settings" Target="settings.xml"/><Relationship Id="rId15" Type="http://schemas.openxmlformats.org/officeDocument/2006/relationships/hyperlink" Target="http://www.itu.int/md/S14-CL-C-0020/en" TargetMode="External"/><Relationship Id="rId10" Type="http://schemas.openxmlformats.org/officeDocument/2006/relationships/hyperlink" Target="http://www.itu.int/council/Basic-Texts/ResDecRec-PP10-e.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S13-CL-C-0020/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S14-CL-C-003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ED806-9DB8-4DC3-809B-E027FE2E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PS_PP14.dotx</Template>
  <TotalTime>1</TotalTime>
  <Pages>5</Pages>
  <Words>1670</Words>
  <Characters>9697</Characters>
  <Application>Microsoft Office Word</Application>
  <DocSecurity>4</DocSecurity>
  <Lines>80</Lines>
  <Paragraphs>22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11345</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(PP-14)</dc:subject>
  <dc:creator>Brouard, Ricarda</dc:creator>
  <cp:keywords>PP-14</cp:keywords>
  <dc:description>PS_PP14.dotx  For: _x000d_Document date: _x000d_Saved by ITU51009317 at 10:37:49 on 19/03/2013</dc:description>
  <cp:lastModifiedBy>Brouard, Ricarda</cp:lastModifiedBy>
  <cp:revision>2</cp:revision>
  <cp:lastPrinted>2014-08-15T13:38:00Z</cp:lastPrinted>
  <dcterms:created xsi:type="dcterms:W3CDTF">2014-08-19T07:47:00Z</dcterms:created>
  <dcterms:modified xsi:type="dcterms:W3CDTF">2014-08-19T07:47:00Z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