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52400265" wp14:editId="7CA8B4B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811D55">
            <w:pPr>
              <w:spacing w:before="0" w:line="240" w:lineRule="atLeast"/>
              <w:rPr>
                <w:rFonts w:cstheme="minorHAnsi"/>
                <w:szCs w:val="24"/>
              </w:rPr>
            </w:pPr>
            <w:proofErr w:type="spellStart"/>
            <w:r>
              <w:rPr>
                <w:rFonts w:cstheme="minorHAnsi"/>
                <w:b/>
                <w:szCs w:val="24"/>
              </w:rPr>
              <w:t>文件</w:t>
            </w:r>
            <w:proofErr w:type="spellEnd"/>
            <w:r w:rsidR="0021353E">
              <w:rPr>
                <w:rFonts w:cstheme="minorHAnsi"/>
                <w:b/>
                <w:szCs w:val="24"/>
              </w:rPr>
              <w:t xml:space="preserve"> 55</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21353E" w:rsidP="00223330">
            <w:pPr>
              <w:spacing w:before="0" w:line="240" w:lineRule="atLeast"/>
              <w:rPr>
                <w:rFonts w:cstheme="minorHAnsi"/>
                <w:szCs w:val="24"/>
              </w:rPr>
            </w:pPr>
            <w:r>
              <w:rPr>
                <w:rFonts w:cstheme="minorHAnsi"/>
                <w:b/>
                <w:bCs/>
                <w:szCs w:val="24"/>
              </w:rPr>
              <w:t>2014</w:t>
            </w:r>
            <w:r w:rsidR="00811D55" w:rsidRPr="007F0374">
              <w:rPr>
                <w:rFonts w:cstheme="minorHAnsi"/>
                <w:b/>
                <w:bCs/>
                <w:szCs w:val="24"/>
              </w:rPr>
              <w:t>年</w:t>
            </w:r>
            <w:r>
              <w:rPr>
                <w:rFonts w:cstheme="minorHAnsi"/>
                <w:b/>
                <w:bCs/>
                <w:szCs w:val="24"/>
              </w:rPr>
              <w:t>6</w:t>
            </w:r>
            <w:r w:rsidR="00811D55" w:rsidRPr="007F0374">
              <w:rPr>
                <w:rFonts w:cstheme="minorHAnsi"/>
                <w:b/>
                <w:bCs/>
                <w:szCs w:val="24"/>
              </w:rPr>
              <w:t>月</w:t>
            </w:r>
            <w:r>
              <w:rPr>
                <w:rFonts w:cstheme="minorHAnsi"/>
                <w:b/>
                <w:bCs/>
                <w:szCs w:val="24"/>
              </w:rPr>
              <w:t>30</w:t>
            </w:r>
            <w:r w:rsidR="00811D55"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21353E" w:rsidP="00223330">
            <w:pPr>
              <w:pStyle w:val="Source"/>
            </w:pPr>
            <w:bookmarkStart w:id="4" w:name="dsource" w:colFirst="0" w:colLast="0"/>
            <w:bookmarkEnd w:id="1"/>
            <w:bookmarkEnd w:id="3"/>
            <w:r>
              <w:rPr>
                <w:rFonts w:hint="eastAsia"/>
                <w:lang w:eastAsia="zh-CN"/>
              </w:rPr>
              <w:t>秘书长</w:t>
            </w:r>
            <w:bookmarkStart w:id="5" w:name="_GoBack"/>
            <w:bookmarkEnd w:id="5"/>
            <w:r>
              <w:rPr>
                <w:rFonts w:hint="eastAsia"/>
                <w:lang w:eastAsia="zh-CN"/>
              </w:rPr>
              <w:t>的报告</w:t>
            </w:r>
          </w:p>
        </w:tc>
      </w:tr>
      <w:tr w:rsidR="00C710E5" w:rsidTr="00223330">
        <w:trPr>
          <w:cantSplit/>
        </w:trPr>
        <w:tc>
          <w:tcPr>
            <w:tcW w:w="10031" w:type="dxa"/>
            <w:gridSpan w:val="2"/>
          </w:tcPr>
          <w:p w:rsidR="00C710E5" w:rsidRDefault="0021353E" w:rsidP="00223330">
            <w:pPr>
              <w:pStyle w:val="Title1"/>
              <w:rPr>
                <w:lang w:eastAsia="zh-CN"/>
              </w:rPr>
            </w:pPr>
            <w:bookmarkStart w:id="6" w:name="dtitle1" w:colFirst="0" w:colLast="0"/>
            <w:bookmarkEnd w:id="4"/>
            <w:r w:rsidRPr="00050FD6">
              <w:rPr>
                <w:rFonts w:hint="eastAsia"/>
                <w:bCs/>
                <w:lang w:eastAsia="zh-CN"/>
              </w:rPr>
              <w:t>国际电联的远程参会经验和行动计划建议</w:t>
            </w:r>
            <w:r w:rsidRPr="00050FD6">
              <w:rPr>
                <w:rFonts w:hint="eastAsia"/>
                <w:bCs/>
                <w:lang w:eastAsia="zh-CN"/>
              </w:rPr>
              <w:t xml:space="preserve"> </w:t>
            </w:r>
            <w:r w:rsidRPr="00984ECC">
              <w:rPr>
                <w:bCs/>
                <w:lang w:eastAsia="zh-CN"/>
              </w:rPr>
              <w:t>–</w:t>
            </w:r>
            <w:r w:rsidRPr="00050FD6">
              <w:rPr>
                <w:rFonts w:hint="eastAsia"/>
                <w:bCs/>
                <w:lang w:eastAsia="zh-CN"/>
              </w:rPr>
              <w:t xml:space="preserve"> </w:t>
            </w:r>
            <w:r>
              <w:rPr>
                <w:bCs/>
                <w:lang w:eastAsia="zh-CN"/>
              </w:rPr>
              <w:br/>
            </w:r>
            <w:r w:rsidRPr="00050FD6">
              <w:rPr>
                <w:rFonts w:hint="eastAsia"/>
                <w:bCs/>
                <w:lang w:eastAsia="zh-CN"/>
              </w:rPr>
              <w:t>第</w:t>
            </w:r>
            <w:r w:rsidRPr="00050FD6">
              <w:rPr>
                <w:rFonts w:hint="eastAsia"/>
                <w:bCs/>
                <w:lang w:eastAsia="zh-CN"/>
              </w:rPr>
              <w:t>167</w:t>
            </w:r>
            <w:r w:rsidRPr="00050FD6">
              <w:rPr>
                <w:rFonts w:hint="eastAsia"/>
                <w:bCs/>
                <w:lang w:eastAsia="zh-CN"/>
              </w:rPr>
              <w:t>号决议（</w:t>
            </w:r>
            <w:r w:rsidRPr="00050FD6">
              <w:rPr>
                <w:rFonts w:hint="eastAsia"/>
                <w:bCs/>
                <w:lang w:eastAsia="zh-CN"/>
              </w:rPr>
              <w:t>2010</w:t>
            </w:r>
            <w:r w:rsidRPr="00050FD6">
              <w:rPr>
                <w:rFonts w:hint="eastAsia"/>
                <w:bCs/>
                <w:lang w:eastAsia="zh-CN"/>
              </w:rPr>
              <w:t>年，瓜达拉哈拉）</w:t>
            </w:r>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bookmarkEnd w:id="7"/>
    </w:tbl>
    <w:p w:rsidR="0021353E" w:rsidRDefault="0021353E" w:rsidP="0021353E">
      <w:pPr>
        <w:textAlignment w:val="auto"/>
        <w:rPr>
          <w:lang w:val="fr-FR" w:eastAsia="zh-CN"/>
        </w:rPr>
      </w:pPr>
    </w:p>
    <w:tbl>
      <w:tblPr>
        <w:tblW w:w="10065"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1353E" w:rsidRPr="0021353E" w:rsidTr="003B0668">
        <w:trPr>
          <w:trHeight w:val="3372"/>
        </w:trPr>
        <w:tc>
          <w:tcPr>
            <w:tcW w:w="10065" w:type="dxa"/>
            <w:tcBorders>
              <w:top w:val="single" w:sz="12" w:space="0" w:color="auto"/>
              <w:left w:val="single" w:sz="12" w:space="0" w:color="auto"/>
              <w:bottom w:val="single" w:sz="12" w:space="0" w:color="auto"/>
              <w:right w:val="single" w:sz="12" w:space="0" w:color="auto"/>
            </w:tcBorders>
          </w:tcPr>
          <w:p w:rsidR="0021353E" w:rsidRPr="00FC5386" w:rsidRDefault="0021353E" w:rsidP="00851D8F">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21353E" w:rsidRPr="00050FD6" w:rsidRDefault="0021353E" w:rsidP="00851D8F">
            <w:pPr>
              <w:ind w:firstLineChars="200" w:firstLine="480"/>
              <w:rPr>
                <w:szCs w:val="22"/>
                <w:lang w:val="fr-FR" w:eastAsia="zh-CN"/>
              </w:rPr>
            </w:pPr>
            <w:r w:rsidRPr="00050FD6">
              <w:rPr>
                <w:rFonts w:hint="eastAsia"/>
                <w:szCs w:val="22"/>
                <w:lang w:val="fr-FR" w:eastAsia="zh-CN"/>
              </w:rPr>
              <w:t>国际</w:t>
            </w:r>
            <w:r w:rsidR="00F13116">
              <w:rPr>
                <w:rFonts w:hint="eastAsia"/>
                <w:szCs w:val="22"/>
                <w:lang w:val="fr-FR" w:eastAsia="zh-CN"/>
              </w:rPr>
              <w:t>电信</w:t>
            </w:r>
            <w:r w:rsidRPr="00050FD6">
              <w:rPr>
                <w:rFonts w:hint="eastAsia"/>
                <w:szCs w:val="22"/>
                <w:lang w:val="fr-FR" w:eastAsia="zh-CN"/>
              </w:rPr>
              <w:t>联盟全权代表大会第</w:t>
            </w:r>
            <w:r w:rsidRPr="00050FD6">
              <w:rPr>
                <w:rFonts w:hint="eastAsia"/>
                <w:szCs w:val="22"/>
                <w:lang w:val="fr-FR" w:eastAsia="zh-CN"/>
              </w:rPr>
              <w:t>167</w:t>
            </w:r>
            <w:r w:rsidRPr="00050FD6">
              <w:rPr>
                <w:rFonts w:hint="eastAsia"/>
                <w:szCs w:val="22"/>
                <w:lang w:val="fr-FR" w:eastAsia="zh-CN"/>
              </w:rPr>
              <w:t>号决议（</w:t>
            </w:r>
            <w:r w:rsidRPr="00050FD6">
              <w:rPr>
                <w:rFonts w:hint="eastAsia"/>
                <w:szCs w:val="22"/>
                <w:lang w:val="fr-FR" w:eastAsia="zh-CN"/>
              </w:rPr>
              <w:t>2010</w:t>
            </w:r>
            <w:r w:rsidRPr="00050FD6">
              <w:rPr>
                <w:rFonts w:hint="eastAsia"/>
                <w:szCs w:val="22"/>
                <w:lang w:val="fr-FR" w:eastAsia="zh-CN"/>
              </w:rPr>
              <w:t>年，瓜达拉哈拉），“责成秘书长经与各局主任磋商和协作，制定一项提交理事会</w:t>
            </w:r>
            <w:r w:rsidRPr="00050FD6">
              <w:rPr>
                <w:rFonts w:hint="eastAsia"/>
                <w:szCs w:val="22"/>
                <w:lang w:val="fr-FR" w:eastAsia="zh-CN"/>
              </w:rPr>
              <w:t>2011</w:t>
            </w:r>
            <w:r w:rsidRPr="00050FD6">
              <w:rPr>
                <w:rFonts w:hint="eastAsia"/>
                <w:szCs w:val="22"/>
                <w:lang w:val="fr-FR" w:eastAsia="zh-CN"/>
              </w:rPr>
              <w:t>年会议审议的行动计划，该计划涉及以电子方式参加理事会工作组及理事会其他组相关会议的事宜，其中包括视频会议等工具的使用；通过与各局主任开展协作，在电子会议试行工作的基础上，尽最大可能以技术中立和成本高效的方式继续采用电子会议，从而在满足必要安全要求的条件下实现广泛参与</w:t>
            </w:r>
            <w:r w:rsidRPr="00050FD6">
              <w:rPr>
                <w:rFonts w:hint="eastAsia"/>
                <w:szCs w:val="22"/>
                <w:lang w:val="fr-FR" w:eastAsia="zh-CN"/>
              </w:rPr>
              <w:t>...</w:t>
            </w:r>
            <w:r w:rsidR="00F13116">
              <w:rPr>
                <w:szCs w:val="22"/>
                <w:lang w:val="fr-FR" w:eastAsia="zh-CN"/>
              </w:rPr>
              <w:t>...</w:t>
            </w:r>
            <w:r w:rsidRPr="00050FD6">
              <w:rPr>
                <w:rFonts w:hint="eastAsia"/>
                <w:szCs w:val="22"/>
                <w:lang w:val="fr-FR" w:eastAsia="zh-CN"/>
              </w:rPr>
              <w:t>”</w:t>
            </w:r>
            <w:r>
              <w:rPr>
                <w:rFonts w:hint="eastAsia"/>
                <w:szCs w:val="22"/>
                <w:lang w:val="fr-FR" w:eastAsia="zh-CN"/>
              </w:rPr>
              <w:t>。</w:t>
            </w:r>
          </w:p>
          <w:p w:rsidR="0021353E" w:rsidRPr="00050FD6" w:rsidRDefault="0021353E" w:rsidP="00851D8F">
            <w:pPr>
              <w:ind w:firstLineChars="200" w:firstLine="480"/>
              <w:rPr>
                <w:szCs w:val="22"/>
                <w:lang w:val="fr-FR" w:eastAsia="zh-CN"/>
              </w:rPr>
            </w:pPr>
            <w:r w:rsidRPr="00050FD6">
              <w:rPr>
                <w:rFonts w:hint="eastAsia"/>
                <w:szCs w:val="22"/>
                <w:lang w:val="fr-FR" w:eastAsia="zh-CN"/>
              </w:rPr>
              <w:t>理事会</w:t>
            </w:r>
            <w:r w:rsidRPr="00050FD6">
              <w:rPr>
                <w:rFonts w:hint="eastAsia"/>
                <w:szCs w:val="22"/>
                <w:lang w:val="fr-FR" w:eastAsia="zh-CN"/>
              </w:rPr>
              <w:t>201</w:t>
            </w:r>
            <w:r>
              <w:rPr>
                <w:rFonts w:hint="eastAsia"/>
                <w:szCs w:val="22"/>
                <w:lang w:val="fr-FR" w:eastAsia="zh-CN"/>
              </w:rPr>
              <w:t>4</w:t>
            </w:r>
            <w:r w:rsidRPr="00050FD6">
              <w:rPr>
                <w:rFonts w:hint="eastAsia"/>
                <w:szCs w:val="22"/>
                <w:lang w:val="fr-FR" w:eastAsia="zh-CN"/>
              </w:rPr>
              <w:t>年会议同意，有关“加强国际电联举办电子会议的能力及推进国际电联工作的手段”问题：</w:t>
            </w:r>
          </w:p>
          <w:p w:rsidR="0021353E" w:rsidRPr="00050FD6" w:rsidRDefault="0021353E" w:rsidP="00851D8F">
            <w:pPr>
              <w:pStyle w:val="enumlev1"/>
              <w:rPr>
                <w:lang w:val="fr-FR" w:eastAsia="zh-CN"/>
              </w:rPr>
            </w:pPr>
            <w:r w:rsidRPr="00050FD6">
              <w:rPr>
                <w:rFonts w:hint="eastAsia"/>
                <w:lang w:val="fr-FR" w:eastAsia="zh-CN"/>
              </w:rPr>
              <w:t>1</w:t>
            </w:r>
            <w:r w:rsidRPr="00050FD6">
              <w:rPr>
                <w:rFonts w:hint="eastAsia"/>
                <w:lang w:val="fr-FR" w:eastAsia="zh-CN"/>
              </w:rPr>
              <w:tab/>
            </w:r>
            <w:r>
              <w:rPr>
                <w:rFonts w:hint="eastAsia"/>
                <w:lang w:val="fr-FR" w:eastAsia="zh-CN"/>
              </w:rPr>
              <w:t>通过完善和增加远程参会服务，</w:t>
            </w:r>
            <w:r w:rsidRPr="00050FD6">
              <w:rPr>
                <w:rFonts w:hint="eastAsia"/>
                <w:lang w:val="fr-FR" w:eastAsia="zh-CN"/>
              </w:rPr>
              <w:t>延续远程参会的试点阶段</w:t>
            </w:r>
            <w:r>
              <w:rPr>
                <w:rFonts w:hint="eastAsia"/>
                <w:lang w:val="fr-FR" w:eastAsia="zh-CN"/>
              </w:rPr>
              <w:t>；</w:t>
            </w:r>
            <w:r w:rsidRPr="00050FD6">
              <w:rPr>
                <w:rFonts w:hint="eastAsia"/>
                <w:lang w:val="fr-FR" w:eastAsia="zh-CN"/>
              </w:rPr>
              <w:t>且</w:t>
            </w:r>
          </w:p>
          <w:p w:rsidR="0021353E" w:rsidRPr="00FC5386" w:rsidRDefault="0021353E" w:rsidP="00851D8F">
            <w:pPr>
              <w:pStyle w:val="enumlev1"/>
              <w:rPr>
                <w:lang w:val="fr-FR" w:eastAsia="zh-CN"/>
              </w:rPr>
            </w:pPr>
            <w:r w:rsidRPr="00050FD6">
              <w:rPr>
                <w:rFonts w:hint="eastAsia"/>
                <w:lang w:val="fr-FR" w:eastAsia="zh-CN"/>
              </w:rPr>
              <w:t>2</w:t>
            </w:r>
            <w:r w:rsidRPr="00050FD6">
              <w:rPr>
                <w:rFonts w:hint="eastAsia"/>
                <w:lang w:val="fr-FR" w:eastAsia="zh-CN"/>
              </w:rPr>
              <w:tab/>
            </w:r>
            <w:r w:rsidRPr="00050FD6">
              <w:rPr>
                <w:rFonts w:hint="eastAsia"/>
                <w:lang w:val="fr-FR" w:eastAsia="zh-CN"/>
              </w:rPr>
              <w:t>应</w:t>
            </w:r>
            <w:r>
              <w:rPr>
                <w:rFonts w:hint="eastAsia"/>
                <w:lang w:val="fr-FR" w:eastAsia="zh-CN"/>
              </w:rPr>
              <w:t>撰写并</w:t>
            </w:r>
            <w:r w:rsidRPr="00050FD6">
              <w:rPr>
                <w:rFonts w:hint="eastAsia"/>
                <w:lang w:val="fr-FR" w:eastAsia="zh-CN"/>
              </w:rPr>
              <w:t>向</w:t>
            </w:r>
            <w:r>
              <w:rPr>
                <w:rFonts w:hint="eastAsia"/>
                <w:lang w:val="fr-FR" w:eastAsia="zh-CN"/>
              </w:rPr>
              <w:t>PP-14</w:t>
            </w:r>
            <w:r w:rsidRPr="00050FD6">
              <w:rPr>
                <w:rFonts w:hint="eastAsia"/>
                <w:lang w:val="fr-FR" w:eastAsia="zh-CN"/>
              </w:rPr>
              <w:t>提交一份有关远程参与国际电联会议的相关财务、法律和技术问题的</w:t>
            </w:r>
            <w:r>
              <w:rPr>
                <w:rFonts w:hint="eastAsia"/>
                <w:lang w:val="fr-FR" w:eastAsia="zh-CN"/>
              </w:rPr>
              <w:t>详细报告</w:t>
            </w:r>
            <w:r w:rsidRPr="00050FD6">
              <w:rPr>
                <w:rFonts w:hint="eastAsia"/>
                <w:lang w:val="fr-FR" w:eastAsia="zh-CN"/>
              </w:rPr>
              <w:t>，</w:t>
            </w:r>
            <w:r>
              <w:rPr>
                <w:rFonts w:hint="eastAsia"/>
                <w:lang w:val="fr-FR" w:eastAsia="zh-CN"/>
              </w:rPr>
              <w:t>内容包括如何解决有特殊</w:t>
            </w:r>
            <w:r w:rsidR="003B0668">
              <w:rPr>
                <w:rFonts w:hint="eastAsia"/>
                <w:lang w:val="fr-FR" w:eastAsia="zh-CN"/>
              </w:rPr>
              <w:t>要求</w:t>
            </w:r>
            <w:r>
              <w:rPr>
                <w:rFonts w:hint="eastAsia"/>
                <w:lang w:val="fr-FR" w:eastAsia="zh-CN"/>
              </w:rPr>
              <w:t>和残疾人的关切以及平等</w:t>
            </w:r>
            <w:r w:rsidR="003B0668">
              <w:rPr>
                <w:rFonts w:hint="eastAsia"/>
                <w:lang w:val="fr-FR" w:eastAsia="zh-CN"/>
              </w:rPr>
              <w:t>使用</w:t>
            </w:r>
            <w:r>
              <w:rPr>
                <w:rFonts w:hint="eastAsia"/>
                <w:lang w:val="fr-FR" w:eastAsia="zh-CN"/>
              </w:rPr>
              <w:t>语言的相关问题。</w:t>
            </w:r>
          </w:p>
          <w:p w:rsidR="0021353E" w:rsidRPr="00FC5386" w:rsidRDefault="0021353E" w:rsidP="00851D8F">
            <w:pPr>
              <w:pStyle w:val="Tabletext"/>
              <w:tabs>
                <w:tab w:val="left" w:pos="794"/>
                <w:tab w:val="left" w:pos="1191"/>
                <w:tab w:val="left" w:pos="1588"/>
              </w:tabs>
              <w:spacing w:before="0" w:after="0"/>
              <w:rPr>
                <w:sz w:val="24"/>
                <w:szCs w:val="22"/>
                <w:lang w:val="fr-FR" w:eastAsia="zh-CN"/>
              </w:rPr>
            </w:pPr>
          </w:p>
          <w:p w:rsidR="0021353E" w:rsidRPr="00FC5386" w:rsidRDefault="0021353E" w:rsidP="00851D8F">
            <w:pPr>
              <w:pStyle w:val="Index1"/>
              <w:spacing w:before="0"/>
              <w:rPr>
                <w:b/>
                <w:bCs/>
                <w:szCs w:val="22"/>
                <w:lang w:val="fr-FR" w:eastAsia="zh-CN"/>
              </w:rPr>
            </w:pPr>
            <w:r w:rsidRPr="00FC5386">
              <w:rPr>
                <w:rFonts w:hint="eastAsia"/>
                <w:b/>
                <w:bCs/>
                <w:szCs w:val="22"/>
                <w:lang w:eastAsia="zh-CN"/>
              </w:rPr>
              <w:t>需采取的行动</w:t>
            </w:r>
          </w:p>
          <w:p w:rsidR="0021353E" w:rsidRPr="00FC5386" w:rsidRDefault="0021353E" w:rsidP="00851D8F">
            <w:pPr>
              <w:pStyle w:val="BodyTextIndent3"/>
              <w:spacing w:before="120"/>
              <w:ind w:firstLineChars="200" w:firstLine="480"/>
              <w:textAlignment w:val="baseline"/>
              <w:rPr>
                <w:sz w:val="24"/>
                <w:szCs w:val="22"/>
              </w:rPr>
            </w:pPr>
            <w:r>
              <w:rPr>
                <w:rFonts w:hint="eastAsia"/>
                <w:sz w:val="24"/>
                <w:szCs w:val="22"/>
                <w:lang w:val="en-GB"/>
              </w:rPr>
              <w:t>鉴于远程参会制度化需要对程序进行</w:t>
            </w:r>
            <w:r w:rsidR="003B0668">
              <w:rPr>
                <w:rFonts w:hint="eastAsia"/>
                <w:sz w:val="24"/>
                <w:szCs w:val="22"/>
                <w:lang w:val="en-GB"/>
              </w:rPr>
              <w:t>修改</w:t>
            </w:r>
            <w:r>
              <w:rPr>
                <w:rFonts w:hint="eastAsia"/>
                <w:sz w:val="24"/>
                <w:szCs w:val="22"/>
                <w:lang w:val="en-GB"/>
              </w:rPr>
              <w:t>，</w:t>
            </w:r>
            <w:r w:rsidRPr="00050FD6">
              <w:rPr>
                <w:rFonts w:hint="eastAsia"/>
                <w:sz w:val="24"/>
                <w:szCs w:val="22"/>
                <w:lang w:val="en-GB"/>
              </w:rPr>
              <w:t>请</w:t>
            </w:r>
            <w:r>
              <w:rPr>
                <w:rFonts w:hint="eastAsia"/>
                <w:sz w:val="24"/>
                <w:szCs w:val="22"/>
                <w:lang w:val="en-GB"/>
              </w:rPr>
              <w:t>全权代表大会审议本报告并就未来方针做出决定。</w:t>
            </w:r>
          </w:p>
          <w:p w:rsidR="0021353E" w:rsidRPr="0021353E" w:rsidRDefault="0021353E" w:rsidP="00851D8F">
            <w:pPr>
              <w:jc w:val="center"/>
              <w:rPr>
                <w:sz w:val="28"/>
                <w:szCs w:val="22"/>
                <w:lang w:val="fr-FR" w:eastAsia="zh-CN"/>
              </w:rPr>
            </w:pPr>
            <w:r w:rsidRPr="0021353E">
              <w:rPr>
                <w:sz w:val="28"/>
                <w:szCs w:val="22"/>
                <w:lang w:val="fr-FR" w:eastAsia="zh-CN"/>
              </w:rPr>
              <w:t>______________</w:t>
            </w:r>
          </w:p>
          <w:p w:rsidR="0021353E" w:rsidRPr="00FC5386" w:rsidRDefault="0021353E" w:rsidP="00851D8F">
            <w:pPr>
              <w:pStyle w:val="Tabletext"/>
              <w:tabs>
                <w:tab w:val="left" w:pos="794"/>
                <w:tab w:val="left" w:pos="1191"/>
                <w:tab w:val="left" w:pos="1588"/>
              </w:tabs>
              <w:spacing w:before="0" w:after="0"/>
              <w:rPr>
                <w:caps/>
                <w:sz w:val="24"/>
                <w:szCs w:val="22"/>
                <w:lang w:val="fr-FR" w:eastAsia="zh-CN"/>
              </w:rPr>
            </w:pPr>
          </w:p>
          <w:p w:rsidR="0021353E" w:rsidRPr="00FC5386" w:rsidRDefault="0021353E" w:rsidP="00851D8F">
            <w:pPr>
              <w:pStyle w:val="toc0"/>
              <w:tabs>
                <w:tab w:val="left" w:pos="1191"/>
                <w:tab w:val="left" w:pos="1588"/>
                <w:tab w:val="left" w:pos="1985"/>
              </w:tabs>
              <w:spacing w:before="0"/>
              <w:rPr>
                <w:szCs w:val="22"/>
                <w:lang w:val="fr-FR" w:eastAsia="zh-CN"/>
              </w:rPr>
            </w:pPr>
            <w:r w:rsidRPr="00FC5386">
              <w:rPr>
                <w:rFonts w:hint="eastAsia"/>
                <w:szCs w:val="22"/>
                <w:lang w:eastAsia="zh-CN"/>
              </w:rPr>
              <w:t>参考文件</w:t>
            </w:r>
          </w:p>
          <w:p w:rsidR="0021353E" w:rsidRPr="003B0668" w:rsidRDefault="00040024" w:rsidP="000E5245">
            <w:pPr>
              <w:pStyle w:val="TOC1"/>
              <w:spacing w:before="120"/>
              <w:ind w:left="0" w:firstLine="0"/>
              <w:rPr>
                <w:rFonts w:ascii="STKaiti" w:eastAsia="STKaiti" w:hAnsi="STKaiti"/>
                <w:szCs w:val="24"/>
                <w:lang w:val="fr-FR" w:eastAsia="zh-CN"/>
              </w:rPr>
            </w:pPr>
            <w:hyperlink r:id="rId10" w:anchor="res167" w:history="1">
              <w:r w:rsidR="0021353E" w:rsidRPr="00DC15CC">
                <w:rPr>
                  <w:rStyle w:val="Hyperlink"/>
                  <w:rFonts w:ascii="STKaiti" w:eastAsia="STKaiti" w:hAnsi="STKaiti" w:cs="Calibri" w:hint="eastAsia"/>
                  <w:lang w:eastAsia="zh-CN"/>
                </w:rPr>
                <w:t>第</w:t>
              </w:r>
              <w:r w:rsidR="0021353E" w:rsidRPr="00A601CC">
                <w:rPr>
                  <w:rStyle w:val="Hyperlink"/>
                  <w:rFonts w:asciiTheme="minorHAnsi" w:eastAsia="STKaiti" w:hAnsiTheme="minorHAnsi" w:cs="Calibri"/>
                  <w:lang w:val="fr-FR" w:eastAsia="zh-CN"/>
                </w:rPr>
                <w:t>167</w:t>
              </w:r>
              <w:r w:rsidR="0021353E" w:rsidRPr="00DC15CC">
                <w:rPr>
                  <w:rStyle w:val="Hyperlink"/>
                  <w:rFonts w:ascii="STKaiti" w:eastAsia="STKaiti" w:hAnsi="STKaiti" w:cs="Calibri" w:hint="eastAsia"/>
                  <w:lang w:eastAsia="zh-CN"/>
                </w:rPr>
                <w:t>号决议</w:t>
              </w:r>
              <w:r w:rsidR="0021353E" w:rsidRPr="00A601CC">
                <w:rPr>
                  <w:rStyle w:val="Hyperlink"/>
                  <w:rFonts w:ascii="STKaiti" w:eastAsia="STKaiti" w:hAnsi="STKaiti" w:cs="Calibri" w:hint="eastAsia"/>
                  <w:lang w:val="fr-FR" w:eastAsia="zh-CN"/>
                </w:rPr>
                <w:t>（</w:t>
              </w:r>
              <w:r w:rsidR="0021353E" w:rsidRPr="00A601CC">
                <w:rPr>
                  <w:rStyle w:val="Hyperlink"/>
                  <w:rFonts w:asciiTheme="minorHAnsi" w:eastAsia="STKaiti" w:hAnsiTheme="minorHAnsi" w:cs="Calibri"/>
                  <w:lang w:val="fr-FR" w:eastAsia="zh-CN"/>
                </w:rPr>
                <w:t>2010</w:t>
              </w:r>
              <w:r w:rsidR="0021353E" w:rsidRPr="00DC15CC">
                <w:rPr>
                  <w:rStyle w:val="Hyperlink"/>
                  <w:rFonts w:ascii="STKaiti" w:eastAsia="STKaiti" w:hAnsi="STKaiti" w:cs="Calibri" w:hint="eastAsia"/>
                  <w:lang w:eastAsia="zh-CN"/>
                </w:rPr>
                <w:t>年</w:t>
              </w:r>
              <w:r w:rsidR="0021353E" w:rsidRPr="00A601CC">
                <w:rPr>
                  <w:rStyle w:val="Hyperlink"/>
                  <w:rFonts w:ascii="STKaiti" w:eastAsia="STKaiti" w:hAnsi="STKaiti" w:cs="Calibri" w:hint="eastAsia"/>
                  <w:lang w:val="fr-FR" w:eastAsia="zh-CN"/>
                </w:rPr>
                <w:t>，</w:t>
              </w:r>
              <w:r w:rsidR="0021353E" w:rsidRPr="00DC15CC">
                <w:rPr>
                  <w:rStyle w:val="Hyperlink"/>
                  <w:rFonts w:ascii="STKaiti" w:eastAsia="STKaiti" w:hAnsi="STKaiti" w:cs="Calibri" w:hint="eastAsia"/>
                  <w:lang w:eastAsia="zh-CN"/>
                </w:rPr>
                <w:t>瓜达拉哈拉</w:t>
              </w:r>
              <w:r w:rsidR="0021353E" w:rsidRPr="00A601CC">
                <w:rPr>
                  <w:rStyle w:val="Hyperlink"/>
                  <w:rFonts w:ascii="STKaiti" w:eastAsia="STKaiti" w:hAnsi="STKaiti" w:cs="Calibri" w:hint="eastAsia"/>
                  <w:lang w:val="fr-FR" w:eastAsia="zh-CN"/>
                </w:rPr>
                <w:t>）</w:t>
              </w:r>
            </w:hyperlink>
            <w:r w:rsidR="003B0668">
              <w:rPr>
                <w:rFonts w:hint="eastAsia"/>
                <w:lang w:val="fr-FR" w:eastAsia="zh-CN"/>
              </w:rPr>
              <w:t>；</w:t>
            </w:r>
            <w:r w:rsidR="000E5245">
              <w:rPr>
                <w:rFonts w:hint="eastAsia"/>
                <w:lang w:val="fr-FR" w:eastAsia="zh-CN"/>
              </w:rPr>
              <w:t>理事会</w:t>
            </w:r>
            <w:hyperlink r:id="rId11" w:history="1">
              <w:r w:rsidR="0021353E" w:rsidRPr="00A601CC">
                <w:rPr>
                  <w:rStyle w:val="Hyperlink"/>
                  <w:rFonts w:asciiTheme="minorHAnsi" w:eastAsia="STKaiti" w:hAnsiTheme="minorHAnsi" w:cs="Calibri"/>
                  <w:lang w:val="fr-FR" w:eastAsia="zh-CN"/>
                </w:rPr>
                <w:t>C11/37(Rev.1)</w:t>
              </w:r>
            </w:hyperlink>
            <w:r w:rsidR="003B0668">
              <w:rPr>
                <w:rFonts w:hint="eastAsia"/>
                <w:lang w:val="fr-FR" w:eastAsia="zh-CN"/>
              </w:rPr>
              <w:t>、</w:t>
            </w:r>
            <w:hyperlink r:id="rId12" w:history="1">
              <w:r w:rsidR="0021353E" w:rsidRPr="00A601CC">
                <w:rPr>
                  <w:rStyle w:val="Hyperlink"/>
                  <w:rFonts w:asciiTheme="minorHAnsi" w:eastAsia="STKaiti" w:hAnsiTheme="minorHAnsi" w:cs="Calibri"/>
                  <w:lang w:val="fr-FR" w:eastAsia="zh-CN"/>
                </w:rPr>
                <w:t>C12/21(Rev.1)</w:t>
              </w:r>
            </w:hyperlink>
            <w:r w:rsidR="003B0668">
              <w:rPr>
                <w:rFonts w:hint="eastAsia"/>
                <w:lang w:val="fr-FR" w:eastAsia="zh-CN"/>
              </w:rPr>
              <w:t>、</w:t>
            </w:r>
            <w:hyperlink r:id="rId13" w:history="1">
              <w:r w:rsidR="0021353E" w:rsidRPr="00A601CC">
                <w:rPr>
                  <w:rStyle w:val="Hyperlink"/>
                  <w:rFonts w:asciiTheme="minorHAnsi" w:eastAsia="STKaiti" w:hAnsiTheme="minorHAnsi" w:cs="Calibri"/>
                  <w:lang w:val="fr-FR" w:eastAsia="zh-CN"/>
                </w:rPr>
                <w:t>C13/INF/8</w:t>
              </w:r>
            </w:hyperlink>
            <w:r w:rsidR="003B0668">
              <w:rPr>
                <w:rFonts w:hint="eastAsia"/>
                <w:lang w:val="fr-FR" w:eastAsia="zh-CN"/>
              </w:rPr>
              <w:t>、</w:t>
            </w:r>
            <w:hyperlink r:id="rId14" w:history="1">
              <w:r w:rsidR="0021353E" w:rsidRPr="00A601CC">
                <w:rPr>
                  <w:rStyle w:val="Hyperlink"/>
                  <w:rFonts w:asciiTheme="minorHAnsi" w:eastAsia="STKaiti" w:hAnsiTheme="minorHAnsi" w:cs="Calibri"/>
                  <w:lang w:val="fr-FR" w:eastAsia="zh-CN"/>
                </w:rPr>
                <w:t>C13/20(Rev.1)</w:t>
              </w:r>
            </w:hyperlink>
            <w:r w:rsidR="003B0668">
              <w:rPr>
                <w:rFonts w:hint="eastAsia"/>
                <w:lang w:val="fr-FR" w:eastAsia="zh-CN"/>
              </w:rPr>
              <w:t>和</w:t>
            </w:r>
            <w:hyperlink r:id="rId15" w:history="1">
              <w:r w:rsidR="003B0668" w:rsidRPr="003B0668">
                <w:rPr>
                  <w:rStyle w:val="Hyperlink"/>
                  <w:rFonts w:asciiTheme="minorHAnsi" w:hAnsiTheme="minorHAnsi" w:cstheme="minorHAnsi"/>
                  <w:bCs/>
                  <w:szCs w:val="24"/>
                  <w:lang w:val="fr-FR" w:eastAsia="zh-CN"/>
                </w:rPr>
                <w:t>C14/</w:t>
              </w:r>
            </w:hyperlink>
            <w:r w:rsidR="003B0668" w:rsidRPr="003B0668">
              <w:rPr>
                <w:rStyle w:val="Hyperlink"/>
                <w:rFonts w:asciiTheme="minorHAnsi" w:hAnsiTheme="minorHAnsi" w:cstheme="minorHAnsi"/>
                <w:bCs/>
                <w:szCs w:val="24"/>
                <w:lang w:val="fr-FR" w:eastAsia="zh-CN"/>
              </w:rPr>
              <w:t>20</w:t>
            </w:r>
            <w:r w:rsidR="000E5245">
              <w:rPr>
                <w:rFonts w:hint="eastAsia"/>
                <w:szCs w:val="22"/>
                <w:lang w:eastAsia="zh-CN"/>
              </w:rPr>
              <w:t>号文件</w:t>
            </w:r>
            <w:r w:rsidR="000E5245">
              <w:rPr>
                <w:szCs w:val="22"/>
                <w:lang w:eastAsia="zh-CN"/>
              </w:rPr>
              <w:t>。</w:t>
            </w:r>
          </w:p>
        </w:tc>
      </w:tr>
    </w:tbl>
    <w:p w:rsidR="0021353E" w:rsidRPr="0039731C" w:rsidRDefault="0021353E" w:rsidP="0021353E">
      <w:pPr>
        <w:pStyle w:val="Headingb"/>
        <w:rPr>
          <w:lang w:eastAsia="zh-CN"/>
        </w:rPr>
      </w:pPr>
      <w:r w:rsidRPr="0039731C">
        <w:rPr>
          <w:rFonts w:hint="eastAsia"/>
          <w:lang w:eastAsia="zh-CN"/>
        </w:rPr>
        <w:lastRenderedPageBreak/>
        <w:t>背景</w:t>
      </w:r>
    </w:p>
    <w:p w:rsidR="0021353E" w:rsidRPr="0039731C" w:rsidRDefault="0021353E" w:rsidP="0021353E">
      <w:pPr>
        <w:rPr>
          <w:lang w:eastAsia="zh-CN"/>
        </w:rPr>
      </w:pPr>
      <w:r>
        <w:rPr>
          <w:rFonts w:hint="eastAsia"/>
          <w:lang w:eastAsia="zh-CN"/>
        </w:rPr>
        <w:t>1</w:t>
      </w:r>
      <w:r>
        <w:rPr>
          <w:rFonts w:hint="eastAsia"/>
          <w:lang w:eastAsia="zh-CN"/>
        </w:rPr>
        <w:tab/>
      </w:r>
      <w:r w:rsidRPr="0039731C">
        <w:rPr>
          <w:rFonts w:hint="eastAsia"/>
          <w:lang w:eastAsia="zh-CN"/>
        </w:rPr>
        <w:t>第</w:t>
      </w:r>
      <w:r w:rsidRPr="0039731C">
        <w:rPr>
          <w:lang w:eastAsia="zh-CN"/>
        </w:rPr>
        <w:t>167</w:t>
      </w:r>
      <w:r w:rsidRPr="0039731C">
        <w:rPr>
          <w:rFonts w:hint="eastAsia"/>
          <w:lang w:eastAsia="zh-CN"/>
        </w:rPr>
        <w:t>号决议（</w:t>
      </w:r>
      <w:r w:rsidRPr="0039731C">
        <w:rPr>
          <w:lang w:eastAsia="zh-CN"/>
        </w:rPr>
        <w:t>2010</w:t>
      </w:r>
      <w:r w:rsidRPr="0039731C">
        <w:rPr>
          <w:rFonts w:hint="eastAsia"/>
          <w:lang w:eastAsia="zh-CN"/>
        </w:rPr>
        <w:t>年，瓜达拉哈拉）责成秘书长在三个部门顾问组参与的情况下，进一步将电子工作方法扩展至远程</w:t>
      </w:r>
      <w:r w:rsidRPr="0039731C">
        <w:rPr>
          <w:lang w:eastAsia="zh-CN"/>
        </w:rPr>
        <w:t>/</w:t>
      </w:r>
      <w:r w:rsidRPr="0039731C">
        <w:rPr>
          <w:rFonts w:hint="eastAsia"/>
          <w:lang w:eastAsia="zh-CN"/>
        </w:rPr>
        <w:t>电子参会。应将电子与会推广至国际电联工作组以及理事会所属会议。</w:t>
      </w:r>
    </w:p>
    <w:p w:rsidR="0021353E" w:rsidRDefault="0021353E" w:rsidP="0021353E">
      <w:pPr>
        <w:rPr>
          <w:lang w:eastAsia="zh-CN"/>
        </w:rPr>
      </w:pPr>
      <w:r>
        <w:rPr>
          <w:rFonts w:hint="eastAsia"/>
          <w:lang w:eastAsia="zh-CN"/>
        </w:rPr>
        <w:t>2</w:t>
      </w:r>
      <w:r>
        <w:rPr>
          <w:rFonts w:hint="eastAsia"/>
          <w:lang w:eastAsia="zh-CN"/>
        </w:rPr>
        <w:tab/>
      </w:r>
      <w:r>
        <w:rPr>
          <w:rFonts w:hint="eastAsia"/>
          <w:lang w:eastAsia="zh-CN"/>
        </w:rPr>
        <w:t>国际电联把远程参会作为一项服务的试点工作已进入第四年。现已向理事会提交了四份报告，介绍了在其进展和实施中遇到的挑战。</w:t>
      </w:r>
    </w:p>
    <w:p w:rsidR="0021353E" w:rsidRPr="0039731C" w:rsidRDefault="0021353E" w:rsidP="0021353E">
      <w:pPr>
        <w:rPr>
          <w:lang w:eastAsia="zh-CN"/>
        </w:rPr>
      </w:pPr>
      <w:r>
        <w:rPr>
          <w:rFonts w:hint="eastAsia"/>
          <w:lang w:eastAsia="zh-CN"/>
        </w:rPr>
        <w:t>3</w:t>
      </w:r>
      <w:r>
        <w:rPr>
          <w:rFonts w:hint="eastAsia"/>
          <w:lang w:eastAsia="zh-CN"/>
        </w:rPr>
        <w:tab/>
      </w:r>
      <w:r>
        <w:rPr>
          <w:rFonts w:hint="eastAsia"/>
          <w:lang w:eastAsia="zh-CN"/>
        </w:rPr>
        <w:t>四年来，</w:t>
      </w:r>
      <w:r>
        <w:rPr>
          <w:rFonts w:hint="eastAsia"/>
          <w:lang w:eastAsia="zh-CN"/>
        </w:rPr>
        <w:t>1</w:t>
      </w:r>
      <w:r w:rsidR="000221AE">
        <w:rPr>
          <w:lang w:eastAsia="zh-CN"/>
        </w:rPr>
        <w:t xml:space="preserve"> </w:t>
      </w:r>
      <w:r>
        <w:rPr>
          <w:rFonts w:hint="eastAsia"/>
          <w:lang w:eastAsia="zh-CN"/>
        </w:rPr>
        <w:t>300</w:t>
      </w:r>
      <w:r>
        <w:rPr>
          <w:rFonts w:hint="eastAsia"/>
          <w:lang w:eastAsia="zh-CN"/>
        </w:rPr>
        <w:t>多</w:t>
      </w:r>
      <w:r w:rsidR="000221AE">
        <w:rPr>
          <w:rFonts w:hint="eastAsia"/>
          <w:lang w:eastAsia="zh-CN"/>
        </w:rPr>
        <w:t>场会议</w:t>
      </w:r>
      <w:r>
        <w:rPr>
          <w:rFonts w:hint="eastAsia"/>
          <w:lang w:eastAsia="zh-CN"/>
        </w:rPr>
        <w:t>提供远程参会，与会人数超过</w:t>
      </w:r>
      <w:r w:rsidR="001A0257">
        <w:rPr>
          <w:rFonts w:hint="eastAsia"/>
          <w:lang w:eastAsia="zh-CN"/>
        </w:rPr>
        <w:t xml:space="preserve">10 </w:t>
      </w:r>
      <w:r>
        <w:rPr>
          <w:rFonts w:hint="eastAsia"/>
          <w:lang w:eastAsia="zh-CN"/>
        </w:rPr>
        <w:t>000</w:t>
      </w:r>
      <w:r>
        <w:rPr>
          <w:rFonts w:hint="eastAsia"/>
          <w:lang w:eastAsia="zh-CN"/>
        </w:rPr>
        <w:t>人次。</w:t>
      </w:r>
    </w:p>
    <w:p w:rsidR="0021353E" w:rsidRPr="0039731C" w:rsidRDefault="0021353E" w:rsidP="0021353E">
      <w:pPr>
        <w:rPr>
          <w:lang w:eastAsia="zh-CN"/>
        </w:rPr>
      </w:pPr>
      <w:r>
        <w:rPr>
          <w:rFonts w:hint="eastAsia"/>
          <w:lang w:eastAsia="zh-CN"/>
        </w:rPr>
        <w:t>4</w:t>
      </w:r>
      <w:r>
        <w:rPr>
          <w:rFonts w:hint="eastAsia"/>
          <w:lang w:eastAsia="zh-CN"/>
        </w:rPr>
        <w:tab/>
      </w:r>
      <w:r>
        <w:rPr>
          <w:rFonts w:hint="eastAsia"/>
          <w:lang w:eastAsia="zh-CN"/>
        </w:rPr>
        <w:t>理事会上次会议报告详细介绍了各局以及发达</w:t>
      </w:r>
      <w:r>
        <w:rPr>
          <w:rFonts w:hint="eastAsia"/>
          <w:lang w:eastAsia="zh-CN"/>
        </w:rPr>
        <w:t>/</w:t>
      </w:r>
      <w:r>
        <w:rPr>
          <w:rFonts w:hint="eastAsia"/>
          <w:lang w:eastAsia="zh-CN"/>
        </w:rPr>
        <w:t>发展中国家的使用情况</w:t>
      </w:r>
      <w:r>
        <w:rPr>
          <w:rStyle w:val="FootnoteReference"/>
          <w:lang w:eastAsia="zh-CN"/>
        </w:rPr>
        <w:footnoteReference w:id="1"/>
      </w:r>
      <w:r>
        <w:rPr>
          <w:rFonts w:hint="eastAsia"/>
          <w:lang w:eastAsia="zh-CN"/>
        </w:rPr>
        <w:t>。</w:t>
      </w:r>
    </w:p>
    <w:p w:rsidR="0021353E" w:rsidRPr="0039731C" w:rsidRDefault="0021353E" w:rsidP="0021353E">
      <w:pPr>
        <w:rPr>
          <w:lang w:eastAsia="zh-CN"/>
        </w:rPr>
      </w:pPr>
      <w:r>
        <w:rPr>
          <w:rFonts w:hint="eastAsia"/>
          <w:lang w:eastAsia="zh-CN"/>
        </w:rPr>
        <w:t>5</w:t>
      </w:r>
      <w:r>
        <w:rPr>
          <w:rFonts w:hint="eastAsia"/>
          <w:lang w:eastAsia="zh-CN"/>
        </w:rPr>
        <w:tab/>
        <w:t>WTDC-14</w:t>
      </w:r>
      <w:r>
        <w:rPr>
          <w:rFonts w:hint="eastAsia"/>
          <w:lang w:eastAsia="zh-CN"/>
        </w:rPr>
        <w:t>最终报告草案要求“</w:t>
      </w:r>
      <w:r w:rsidRPr="004F0D73">
        <w:rPr>
          <w:rFonts w:cstheme="minorHAnsi"/>
          <w:lang w:eastAsia="zh-CN"/>
        </w:rPr>
        <w:t>研究组及其相关组须在可能和可行的范围内尽量使用远程参会技术，鼓励并实现所有成员国、部门成员、部门准成员和学术成员，特别是具有</w:t>
      </w:r>
      <w:r w:rsidR="000221AE">
        <w:rPr>
          <w:rFonts w:cstheme="minorHAnsi" w:hint="eastAsia"/>
          <w:lang w:eastAsia="zh-CN"/>
        </w:rPr>
        <w:t>特殊</w:t>
      </w:r>
      <w:r w:rsidRPr="004F0D73">
        <w:rPr>
          <w:rFonts w:cstheme="minorHAnsi"/>
          <w:lang w:eastAsia="zh-CN"/>
        </w:rPr>
        <w:t>需求的人们（如残疾人）对研究组工作的更多参与</w:t>
      </w:r>
      <w:r>
        <w:rPr>
          <w:rFonts w:cstheme="minorHAnsi" w:hint="eastAsia"/>
          <w:lang w:eastAsia="zh-CN"/>
        </w:rPr>
        <w:t>”。</w:t>
      </w:r>
    </w:p>
    <w:p w:rsidR="0021353E" w:rsidRPr="0039731C" w:rsidRDefault="0021353E" w:rsidP="0021353E">
      <w:pPr>
        <w:pStyle w:val="Headingb"/>
        <w:rPr>
          <w:lang w:eastAsia="zh-CN"/>
        </w:rPr>
      </w:pPr>
      <w:r>
        <w:rPr>
          <w:rFonts w:hint="eastAsia"/>
          <w:lang w:eastAsia="zh-CN"/>
        </w:rPr>
        <w:t>技术和法律挑战</w:t>
      </w:r>
    </w:p>
    <w:p w:rsidR="0021353E" w:rsidRDefault="0021353E" w:rsidP="0021353E">
      <w:pPr>
        <w:rPr>
          <w:lang w:eastAsia="zh-CN"/>
        </w:rPr>
      </w:pPr>
      <w:r>
        <w:rPr>
          <w:rFonts w:hint="eastAsia"/>
          <w:lang w:eastAsia="zh-CN"/>
        </w:rPr>
        <w:t>6</w:t>
      </w:r>
      <w:r>
        <w:rPr>
          <w:rFonts w:hint="eastAsia"/>
          <w:lang w:eastAsia="zh-CN"/>
        </w:rPr>
        <w:tab/>
      </w:r>
      <w:r w:rsidR="000221AE">
        <w:rPr>
          <w:rFonts w:hint="eastAsia"/>
          <w:lang w:eastAsia="zh-CN"/>
        </w:rPr>
        <w:t>下表</w:t>
      </w:r>
      <w:r>
        <w:rPr>
          <w:rFonts w:hint="eastAsia"/>
          <w:lang w:eastAsia="zh-CN"/>
        </w:rPr>
        <w:t>列出了两大技术问题、后果和相关法律问题。</w:t>
      </w:r>
    </w:p>
    <w:p w:rsidR="0021353E" w:rsidRPr="004A7F2A" w:rsidRDefault="0021353E" w:rsidP="0021353E">
      <w:pPr>
        <w:snapToGrid w:val="0"/>
        <w:jc w:val="center"/>
        <w:rPr>
          <w:rFonts w:eastAsia="Times New Roman"/>
          <w:b/>
          <w:bCs/>
          <w:szCs w:val="24"/>
          <w:lang w:eastAsia="zh-CN"/>
        </w:rPr>
      </w:pPr>
      <w:r>
        <w:rPr>
          <w:rFonts w:eastAsiaTheme="minorEastAsia" w:hint="eastAsia"/>
          <w:b/>
          <w:bCs/>
          <w:szCs w:val="24"/>
          <w:lang w:eastAsia="zh-CN"/>
        </w:rPr>
        <w:t>表</w:t>
      </w:r>
      <w:r>
        <w:rPr>
          <w:rFonts w:eastAsiaTheme="minorEastAsia" w:hint="eastAsia"/>
          <w:b/>
          <w:bCs/>
          <w:szCs w:val="24"/>
          <w:lang w:eastAsia="zh-CN"/>
        </w:rPr>
        <w:t>1</w:t>
      </w:r>
      <w:r>
        <w:rPr>
          <w:rFonts w:eastAsiaTheme="minorEastAsia" w:hint="eastAsia"/>
          <w:b/>
          <w:bCs/>
          <w:szCs w:val="24"/>
          <w:lang w:eastAsia="zh-CN"/>
        </w:rPr>
        <w:t>：技术问题和随之而来的法律挑战</w:t>
      </w:r>
    </w:p>
    <w:tbl>
      <w:tblPr>
        <w:tblStyle w:val="TableGrid"/>
        <w:tblW w:w="9781" w:type="dxa"/>
        <w:tblInd w:w="-147" w:type="dxa"/>
        <w:tblLook w:val="04A0" w:firstRow="1" w:lastRow="0" w:firstColumn="1" w:lastColumn="0" w:noHBand="0" w:noVBand="1"/>
      </w:tblPr>
      <w:tblGrid>
        <w:gridCol w:w="9781"/>
      </w:tblGrid>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u w:val="single"/>
                <w:lang w:eastAsia="zh-CN"/>
              </w:rPr>
              <w:t>技术问题</w:t>
            </w:r>
            <w:r w:rsidRPr="004A7F2A">
              <w:rPr>
                <w:b/>
                <w:szCs w:val="24"/>
                <w:u w:val="single"/>
                <w:lang w:eastAsia="zh-CN"/>
              </w:rPr>
              <w:t>1</w:t>
            </w:r>
            <w:r>
              <w:rPr>
                <w:rFonts w:eastAsiaTheme="minorEastAsia" w:hint="eastAsia"/>
                <w:szCs w:val="24"/>
                <w:lang w:eastAsia="zh-CN"/>
              </w:rPr>
              <w:t>：使用公共基础设施（非国际电联可控）连接远程与会者的语音</w:t>
            </w:r>
            <w:r>
              <w:rPr>
                <w:rFonts w:eastAsiaTheme="minorEastAsia" w:hint="eastAsia"/>
                <w:szCs w:val="24"/>
                <w:lang w:eastAsia="zh-CN"/>
              </w:rPr>
              <w:t>/</w:t>
            </w:r>
            <w:r>
              <w:rPr>
                <w:rFonts w:eastAsiaTheme="minorEastAsia" w:hint="eastAsia"/>
                <w:szCs w:val="24"/>
                <w:lang w:eastAsia="zh-CN"/>
              </w:rPr>
              <w:t>音响质量。</w:t>
            </w:r>
          </w:p>
        </w:tc>
      </w:tr>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lang w:eastAsia="zh-CN"/>
              </w:rPr>
              <w:t>后果：</w:t>
            </w:r>
            <w:r w:rsidRPr="00AA320E">
              <w:rPr>
                <w:rFonts w:eastAsiaTheme="minorEastAsia" w:hint="eastAsia"/>
                <w:bCs/>
                <w:szCs w:val="24"/>
                <w:lang w:eastAsia="zh-CN"/>
              </w:rPr>
              <w:t>远程发言时译员可能无法翻译。</w:t>
            </w:r>
          </w:p>
        </w:tc>
      </w:tr>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lang w:eastAsia="zh-CN"/>
              </w:rPr>
              <w:t>解决方案：</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无翻译（只有原声道）。</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推迟远程发言。（改善声音质量</w:t>
            </w:r>
            <w:r w:rsidR="00F13116">
              <w:rPr>
                <w:rFonts w:eastAsiaTheme="minorEastAsia"/>
                <w:szCs w:val="24"/>
                <w:lang w:eastAsia="zh-CN"/>
              </w:rPr>
              <w:t xml:space="preserve"> </w:t>
            </w:r>
            <w:r w:rsidR="00F13116" w:rsidRPr="00F13116">
              <w:rPr>
                <w:rFonts w:eastAsiaTheme="minorEastAsia"/>
                <w:szCs w:val="24"/>
                <w:lang w:eastAsia="zh-CN"/>
              </w:rPr>
              <w:t>–</w:t>
            </w:r>
            <w:r w:rsidR="00F13116">
              <w:rPr>
                <w:rFonts w:eastAsiaTheme="minorEastAsia"/>
                <w:szCs w:val="24"/>
                <w:lang w:eastAsia="zh-CN"/>
              </w:rPr>
              <w:t xml:space="preserve"> </w:t>
            </w:r>
            <w:r w:rsidR="0021353E">
              <w:rPr>
                <w:rFonts w:eastAsiaTheme="minorEastAsia" w:hint="eastAsia"/>
                <w:szCs w:val="24"/>
                <w:lang w:eastAsia="zh-CN"/>
              </w:rPr>
              <w:t>非国际电联可控）。</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取消远程发言。</w:t>
            </w:r>
          </w:p>
          <w:p w:rsidR="0021353E" w:rsidRPr="004A7F2A" w:rsidRDefault="000221AE" w:rsidP="000221AE">
            <w:pPr>
              <w:overflowPunct/>
              <w:autoSpaceDE/>
              <w:autoSpaceDN/>
              <w:adjustRightInd/>
              <w:spacing w:before="0"/>
              <w:contextualSpacing/>
              <w:textAlignment w:val="auto"/>
              <w:rPr>
                <w:b/>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通过代理人发言。</w:t>
            </w:r>
          </w:p>
        </w:tc>
      </w:tr>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lang w:eastAsia="zh-CN"/>
              </w:rPr>
              <w:t>法律问题：</w:t>
            </w:r>
          </w:p>
          <w:p w:rsidR="0021353E" w:rsidRPr="000221AE" w:rsidRDefault="000221AE" w:rsidP="000221AE">
            <w:pPr>
              <w:overflowPunct/>
              <w:autoSpaceDE/>
              <w:autoSpaceDN/>
              <w:adjustRightInd/>
              <w:spacing w:before="0"/>
              <w:contextualSpacing/>
              <w:textAlignment w:val="auto"/>
              <w:rPr>
                <w:rFonts w:eastAsiaTheme="minorEastAsia"/>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无法保证会议的语言要求。</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无法保证远程和现场与会者的权利平等。</w:t>
            </w:r>
          </w:p>
        </w:tc>
      </w:tr>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lang w:eastAsia="zh-CN"/>
              </w:rPr>
              <w:t>修改法律框架：</w:t>
            </w:r>
          </w:p>
          <w:p w:rsidR="0021353E" w:rsidRPr="000221AE" w:rsidRDefault="000221AE" w:rsidP="000221AE">
            <w:pPr>
              <w:overflowPunct/>
              <w:autoSpaceDE/>
              <w:autoSpaceDN/>
              <w:adjustRightInd/>
              <w:spacing w:before="0"/>
              <w:ind w:left="567" w:hanging="567"/>
              <w:contextualSpacing/>
              <w:textAlignment w:val="auto"/>
              <w:rPr>
                <w:rFonts w:eastAsiaTheme="minorEastAsia"/>
                <w:szCs w:val="24"/>
                <w:lang w:eastAsia="zh-CN"/>
              </w:rPr>
            </w:pPr>
            <w:r w:rsidRPr="000221AE">
              <w:rPr>
                <w:rFonts w:eastAsiaTheme="minorEastAsia"/>
                <w:szCs w:val="24"/>
                <w:lang w:eastAsia="zh-CN"/>
              </w:rPr>
              <w:t>–</w:t>
            </w:r>
            <w:r>
              <w:rPr>
                <w:rFonts w:eastAsiaTheme="minorEastAsia"/>
                <w:szCs w:val="24"/>
                <w:lang w:eastAsia="zh-CN"/>
              </w:rPr>
              <w:tab/>
            </w:r>
            <w:r w:rsidR="0021353E" w:rsidRPr="000221AE">
              <w:rPr>
                <w:rFonts w:eastAsiaTheme="minorEastAsia" w:hint="eastAsia"/>
                <w:szCs w:val="24"/>
                <w:lang w:eastAsia="zh-CN"/>
              </w:rPr>
              <w:t>如有必要可修改《公约》第</w:t>
            </w:r>
            <w:r w:rsidR="0021353E" w:rsidRPr="000221AE">
              <w:rPr>
                <w:rFonts w:eastAsiaTheme="minorEastAsia" w:hint="eastAsia"/>
                <w:szCs w:val="24"/>
                <w:lang w:eastAsia="zh-CN"/>
              </w:rPr>
              <w:t>31</w:t>
            </w:r>
            <w:r w:rsidR="0021353E" w:rsidRPr="000221AE">
              <w:rPr>
                <w:rFonts w:eastAsiaTheme="minorEastAsia" w:hint="eastAsia"/>
                <w:szCs w:val="24"/>
                <w:lang w:eastAsia="zh-CN"/>
              </w:rPr>
              <w:t>条（大会证书），对由于最后时刻出现技术故障影响远程参会而需要最终进行权力转移</w:t>
            </w:r>
            <w:r w:rsidR="009F1F97">
              <w:rPr>
                <w:rFonts w:eastAsiaTheme="minorEastAsia" w:hint="eastAsia"/>
                <w:szCs w:val="24"/>
                <w:lang w:eastAsia="zh-CN"/>
              </w:rPr>
              <w:t>做出</w:t>
            </w:r>
            <w:r w:rsidR="0021353E" w:rsidRPr="000221AE">
              <w:rPr>
                <w:rFonts w:eastAsiaTheme="minorEastAsia" w:hint="eastAsia"/>
                <w:szCs w:val="24"/>
                <w:lang w:eastAsia="zh-CN"/>
              </w:rPr>
              <w:t>规定。</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sidRPr="000221AE">
              <w:rPr>
                <w:rFonts w:eastAsiaTheme="minorEastAsia" w:hint="eastAsia"/>
                <w:szCs w:val="24"/>
                <w:lang w:eastAsia="zh-CN"/>
              </w:rPr>
              <w:t>对《组织法》第</w:t>
            </w:r>
            <w:r w:rsidR="0021353E" w:rsidRPr="000221AE">
              <w:rPr>
                <w:rFonts w:eastAsiaTheme="minorEastAsia" w:hint="eastAsia"/>
                <w:szCs w:val="24"/>
                <w:lang w:eastAsia="zh-CN"/>
              </w:rPr>
              <w:t>29</w:t>
            </w:r>
            <w:r w:rsidR="0021353E" w:rsidRPr="000221AE">
              <w:rPr>
                <w:rFonts w:eastAsiaTheme="minorEastAsia" w:hint="eastAsia"/>
                <w:szCs w:val="24"/>
                <w:lang w:eastAsia="zh-CN"/>
              </w:rPr>
              <w:t>条（语言）的潜在影响。</w:t>
            </w:r>
          </w:p>
        </w:tc>
      </w:tr>
      <w:tr w:rsidR="0021353E" w:rsidRPr="004A7F2A" w:rsidTr="00851D8F">
        <w:trPr>
          <w:trHeight w:val="1171"/>
        </w:trPr>
        <w:tc>
          <w:tcPr>
            <w:tcW w:w="9781" w:type="dxa"/>
          </w:tcPr>
          <w:p w:rsidR="0021353E" w:rsidRPr="004A7F2A" w:rsidRDefault="0021353E" w:rsidP="00060F02">
            <w:pPr>
              <w:keepNext/>
              <w:rPr>
                <w:b/>
                <w:szCs w:val="24"/>
                <w:lang w:eastAsia="zh-CN"/>
              </w:rPr>
            </w:pPr>
            <w:r>
              <w:rPr>
                <w:rFonts w:eastAsiaTheme="minorEastAsia" w:hint="eastAsia"/>
                <w:b/>
                <w:szCs w:val="24"/>
                <w:u w:val="single"/>
                <w:lang w:eastAsia="zh-CN"/>
              </w:rPr>
              <w:lastRenderedPageBreak/>
              <w:t>技术问题</w:t>
            </w:r>
            <w:r>
              <w:rPr>
                <w:rFonts w:eastAsiaTheme="minorEastAsia" w:hint="eastAsia"/>
                <w:b/>
                <w:szCs w:val="24"/>
                <w:u w:val="single"/>
                <w:lang w:eastAsia="zh-CN"/>
              </w:rPr>
              <w:t>2</w:t>
            </w:r>
            <w:r>
              <w:rPr>
                <w:rFonts w:eastAsiaTheme="minorEastAsia" w:hint="eastAsia"/>
                <w:b/>
                <w:szCs w:val="24"/>
                <w:lang w:eastAsia="zh-CN"/>
              </w:rPr>
              <w:t>：</w:t>
            </w:r>
            <w:r w:rsidRPr="003D3183">
              <w:rPr>
                <w:rFonts w:eastAsiaTheme="minorEastAsia" w:hint="eastAsia"/>
                <w:bCs/>
                <w:szCs w:val="24"/>
                <w:lang w:eastAsia="zh-CN"/>
              </w:rPr>
              <w:t>通信失败</w:t>
            </w:r>
          </w:p>
          <w:p w:rsidR="0021353E" w:rsidRPr="000221AE" w:rsidRDefault="000221AE" w:rsidP="00060F02">
            <w:pPr>
              <w:keepNext/>
              <w:overflowPunct/>
              <w:autoSpaceDE/>
              <w:autoSpaceDN/>
              <w:adjustRightInd/>
              <w:spacing w:before="0"/>
              <w:contextualSpacing/>
              <w:textAlignment w:val="auto"/>
              <w:rPr>
                <w:rFonts w:eastAsiaTheme="minorEastAsia"/>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会议地点与远程与会者之间出现技术故障。</w:t>
            </w:r>
          </w:p>
          <w:p w:rsidR="0021353E" w:rsidRPr="004A7F2A" w:rsidRDefault="000221AE" w:rsidP="00060F02">
            <w:pPr>
              <w:keepNext/>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故意</w:t>
            </w:r>
            <w:r>
              <w:rPr>
                <w:rFonts w:eastAsiaTheme="minorEastAsia" w:hint="eastAsia"/>
                <w:szCs w:val="24"/>
                <w:lang w:eastAsia="zh-CN"/>
              </w:rPr>
              <w:t>中断</w:t>
            </w:r>
            <w:r w:rsidR="0021353E">
              <w:rPr>
                <w:rFonts w:eastAsiaTheme="minorEastAsia" w:hint="eastAsia"/>
                <w:szCs w:val="24"/>
                <w:lang w:eastAsia="zh-CN"/>
              </w:rPr>
              <w:t>通信</w:t>
            </w:r>
            <w:r>
              <w:rPr>
                <w:rFonts w:eastAsiaTheme="minorEastAsia" w:hint="eastAsia"/>
                <w:szCs w:val="24"/>
                <w:lang w:eastAsia="zh-CN"/>
              </w:rPr>
              <w:t>，</w:t>
            </w:r>
            <w:r w:rsidR="0021353E">
              <w:rPr>
                <w:rFonts w:eastAsiaTheme="minorEastAsia" w:hint="eastAsia"/>
                <w:szCs w:val="24"/>
                <w:lang w:eastAsia="zh-CN"/>
              </w:rPr>
              <w:t>干扰会议进程。</w:t>
            </w:r>
          </w:p>
        </w:tc>
      </w:tr>
      <w:tr w:rsidR="0021353E" w:rsidRPr="004A7F2A" w:rsidTr="00851D8F">
        <w:tc>
          <w:tcPr>
            <w:tcW w:w="9781" w:type="dxa"/>
          </w:tcPr>
          <w:p w:rsidR="0021353E" w:rsidRPr="004A7F2A" w:rsidRDefault="0021353E" w:rsidP="00060F02">
            <w:pPr>
              <w:keepNext/>
              <w:rPr>
                <w:b/>
                <w:szCs w:val="24"/>
                <w:lang w:eastAsia="zh-CN"/>
              </w:rPr>
            </w:pPr>
            <w:r>
              <w:rPr>
                <w:rFonts w:eastAsiaTheme="minorEastAsia" w:hint="eastAsia"/>
                <w:b/>
                <w:szCs w:val="24"/>
                <w:lang w:eastAsia="zh-CN"/>
              </w:rPr>
              <w:t>后果：</w:t>
            </w:r>
            <w:r w:rsidRPr="003D3183">
              <w:rPr>
                <w:rFonts w:eastAsiaTheme="minorEastAsia" w:hint="eastAsia"/>
                <w:bCs/>
                <w:szCs w:val="24"/>
                <w:lang w:eastAsia="zh-CN"/>
              </w:rPr>
              <w:t>远程与会代表无法发言。</w:t>
            </w:r>
          </w:p>
        </w:tc>
      </w:tr>
      <w:tr w:rsidR="0021353E" w:rsidRPr="004A7F2A" w:rsidTr="00851D8F">
        <w:tc>
          <w:tcPr>
            <w:tcW w:w="9781" w:type="dxa"/>
          </w:tcPr>
          <w:p w:rsidR="0021353E" w:rsidRPr="004A7F2A" w:rsidRDefault="0021353E" w:rsidP="001A0257">
            <w:pPr>
              <w:keepNext/>
              <w:rPr>
                <w:b/>
                <w:szCs w:val="24"/>
                <w:lang w:eastAsia="zh-CN"/>
              </w:rPr>
            </w:pPr>
            <w:r>
              <w:rPr>
                <w:rFonts w:eastAsiaTheme="minorEastAsia" w:hint="eastAsia"/>
                <w:b/>
                <w:szCs w:val="24"/>
                <w:lang w:eastAsia="zh-CN"/>
              </w:rPr>
              <w:t>解决方案：</w:t>
            </w:r>
          </w:p>
          <w:p w:rsidR="0021353E" w:rsidRPr="000221AE" w:rsidRDefault="000221AE" w:rsidP="001A0257">
            <w:pPr>
              <w:keepNext/>
              <w:overflowPunct/>
              <w:autoSpaceDE/>
              <w:autoSpaceDN/>
              <w:adjustRightInd/>
              <w:spacing w:before="0"/>
              <w:contextualSpacing/>
              <w:textAlignment w:val="auto"/>
              <w:rPr>
                <w:rFonts w:eastAsiaTheme="minorEastAsia"/>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休会或等待连接恢复。</w:t>
            </w:r>
          </w:p>
          <w:p w:rsidR="0021353E" w:rsidRPr="000221AE" w:rsidRDefault="000221AE" w:rsidP="001A0257">
            <w:pPr>
              <w:keepNext/>
              <w:overflowPunct/>
              <w:autoSpaceDE/>
              <w:autoSpaceDN/>
              <w:adjustRightInd/>
              <w:spacing w:before="0"/>
              <w:contextualSpacing/>
              <w:textAlignment w:val="auto"/>
              <w:rPr>
                <w:rFonts w:eastAsiaTheme="minorEastAsia"/>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无远程代表参加，继续开会。</w:t>
            </w:r>
          </w:p>
          <w:p w:rsidR="0021353E" w:rsidRPr="004A7F2A" w:rsidRDefault="000221AE" w:rsidP="001A0257">
            <w:pPr>
              <w:keepNext/>
              <w:overflowPunct/>
              <w:autoSpaceDE/>
              <w:autoSpaceDN/>
              <w:adjustRightInd/>
              <w:spacing w:before="0"/>
              <w:contextualSpacing/>
              <w:textAlignment w:val="auto"/>
              <w:rPr>
                <w:szCs w:val="24"/>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代理人发言。</w:t>
            </w:r>
          </w:p>
        </w:tc>
      </w:tr>
      <w:tr w:rsidR="0021353E" w:rsidRPr="004A7F2A" w:rsidTr="00851D8F">
        <w:tc>
          <w:tcPr>
            <w:tcW w:w="9781" w:type="dxa"/>
          </w:tcPr>
          <w:p w:rsidR="0021353E" w:rsidRPr="004A7F2A" w:rsidRDefault="0021353E" w:rsidP="00851D8F">
            <w:pPr>
              <w:rPr>
                <w:rFonts w:eastAsiaTheme="minorEastAsia"/>
                <w:b/>
                <w:szCs w:val="24"/>
                <w:lang w:eastAsia="zh-CN"/>
              </w:rPr>
            </w:pPr>
            <w:r>
              <w:rPr>
                <w:rFonts w:eastAsiaTheme="minorEastAsia" w:hint="eastAsia"/>
                <w:b/>
                <w:szCs w:val="24"/>
                <w:lang w:eastAsia="zh-CN"/>
              </w:rPr>
              <w:t>法律问题：</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使用国际电联不可控的公共基础设施无法保证通信的畅通和保密。</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无法保证远程和现场与会者之间的权利平等。</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远程与会者无法行使全会与会者的某些内在权利，如：</w:t>
            </w:r>
          </w:p>
          <w:p w:rsidR="0021353E" w:rsidRPr="004A7F2A" w:rsidRDefault="000221AE" w:rsidP="000221AE">
            <w:pPr>
              <w:overflowPunct/>
              <w:autoSpaceDE/>
              <w:autoSpaceDN/>
              <w:adjustRightInd/>
              <w:spacing w:before="0"/>
              <w:ind w:left="720"/>
              <w:contextualSpacing/>
              <w:textAlignment w:val="auto"/>
              <w:rPr>
                <w:szCs w:val="24"/>
                <w:lang w:val="en-US" w:eastAsia="zh-CN"/>
              </w:rPr>
            </w:pPr>
            <w:r w:rsidRPr="000221AE">
              <w:rPr>
                <w:szCs w:val="24"/>
                <w:lang w:val="en-US" w:eastAsia="zh-CN"/>
              </w:rPr>
              <w:t>•</w:t>
            </w:r>
            <w:r>
              <w:rPr>
                <w:szCs w:val="24"/>
                <w:lang w:val="en-US" w:eastAsia="zh-CN"/>
              </w:rPr>
              <w:tab/>
            </w:r>
            <w:r w:rsidR="0021353E" w:rsidRPr="004A7F2A">
              <w:rPr>
                <w:szCs w:val="24"/>
                <w:lang w:val="en-US" w:eastAsia="zh-CN"/>
              </w:rPr>
              <w:t xml:space="preserve">   </w:t>
            </w:r>
            <w:r w:rsidR="0021353E">
              <w:rPr>
                <w:rFonts w:eastAsiaTheme="minorEastAsia" w:hint="eastAsia"/>
                <w:szCs w:val="24"/>
                <w:lang w:val="en-US" w:eastAsia="zh-CN"/>
              </w:rPr>
              <w:t>就讨论议题充分自由地发表意见的权利；</w:t>
            </w:r>
          </w:p>
          <w:p w:rsidR="0021353E" w:rsidRPr="004A7F2A" w:rsidRDefault="000221AE" w:rsidP="000221AE">
            <w:pPr>
              <w:overflowPunct/>
              <w:autoSpaceDE/>
              <w:autoSpaceDN/>
              <w:adjustRightInd/>
              <w:spacing w:before="0"/>
              <w:ind w:left="720"/>
              <w:contextualSpacing/>
              <w:textAlignment w:val="auto"/>
              <w:rPr>
                <w:szCs w:val="24"/>
                <w:lang w:val="en-US" w:eastAsia="zh-CN"/>
              </w:rPr>
            </w:pPr>
            <w:r w:rsidRPr="000221AE">
              <w:rPr>
                <w:szCs w:val="24"/>
                <w:lang w:val="en-US" w:eastAsia="zh-CN"/>
              </w:rPr>
              <w:t>•</w:t>
            </w:r>
            <w:r>
              <w:rPr>
                <w:szCs w:val="24"/>
                <w:lang w:val="en-US" w:eastAsia="zh-CN"/>
              </w:rPr>
              <w:tab/>
            </w:r>
            <w:r w:rsidR="0021353E" w:rsidRPr="004A7F2A">
              <w:rPr>
                <w:szCs w:val="24"/>
                <w:lang w:val="en-US" w:eastAsia="zh-CN"/>
              </w:rPr>
              <w:t xml:space="preserve">   </w:t>
            </w:r>
            <w:r w:rsidR="0021353E">
              <w:rPr>
                <w:rFonts w:eastAsiaTheme="minorEastAsia" w:hint="eastAsia"/>
                <w:szCs w:val="24"/>
                <w:lang w:val="en-US" w:eastAsia="zh-CN"/>
              </w:rPr>
              <w:t>口头提出提案或修正案的权利；</w:t>
            </w:r>
          </w:p>
          <w:p w:rsidR="0021353E" w:rsidRPr="004A7F2A" w:rsidRDefault="000221AE" w:rsidP="000221AE">
            <w:pPr>
              <w:overflowPunct/>
              <w:autoSpaceDE/>
              <w:autoSpaceDN/>
              <w:adjustRightInd/>
              <w:spacing w:before="0"/>
              <w:ind w:left="720"/>
              <w:contextualSpacing/>
              <w:textAlignment w:val="auto"/>
              <w:rPr>
                <w:szCs w:val="24"/>
                <w:lang w:val="en-US" w:eastAsia="zh-CN"/>
              </w:rPr>
            </w:pPr>
            <w:r w:rsidRPr="000221AE">
              <w:rPr>
                <w:szCs w:val="24"/>
                <w:lang w:val="en-US" w:eastAsia="zh-CN"/>
              </w:rPr>
              <w:t>•</w:t>
            </w:r>
            <w:r>
              <w:rPr>
                <w:szCs w:val="24"/>
                <w:lang w:val="en-US" w:eastAsia="zh-CN"/>
              </w:rPr>
              <w:tab/>
            </w:r>
            <w:r w:rsidR="0021353E" w:rsidRPr="004A7F2A">
              <w:rPr>
                <w:szCs w:val="24"/>
                <w:lang w:val="en-US" w:eastAsia="zh-CN"/>
              </w:rPr>
              <w:t xml:space="preserve">   </w:t>
            </w:r>
            <w:r w:rsidR="0021353E">
              <w:rPr>
                <w:rFonts w:eastAsiaTheme="minorEastAsia" w:hint="eastAsia"/>
                <w:szCs w:val="24"/>
                <w:lang w:val="en-US" w:eastAsia="zh-CN"/>
              </w:rPr>
              <w:t>提出程序问题或提交程序动议的权利；</w:t>
            </w:r>
          </w:p>
          <w:p w:rsidR="0021353E" w:rsidRPr="004A7F2A" w:rsidRDefault="000221AE" w:rsidP="000221AE">
            <w:pPr>
              <w:overflowPunct/>
              <w:autoSpaceDE/>
              <w:autoSpaceDN/>
              <w:adjustRightInd/>
              <w:spacing w:before="0"/>
              <w:ind w:left="720"/>
              <w:contextualSpacing/>
              <w:textAlignment w:val="auto"/>
              <w:rPr>
                <w:szCs w:val="24"/>
                <w:lang w:val="en-US" w:eastAsia="zh-CN"/>
              </w:rPr>
            </w:pPr>
            <w:r w:rsidRPr="000221AE">
              <w:rPr>
                <w:szCs w:val="24"/>
                <w:lang w:val="en-US" w:eastAsia="zh-CN"/>
              </w:rPr>
              <w:t>•</w:t>
            </w:r>
            <w:r>
              <w:rPr>
                <w:szCs w:val="24"/>
                <w:lang w:val="en-US" w:eastAsia="zh-CN"/>
              </w:rPr>
              <w:tab/>
            </w:r>
            <w:r w:rsidR="0021353E" w:rsidRPr="004A7F2A">
              <w:rPr>
                <w:szCs w:val="24"/>
                <w:lang w:val="en-US" w:eastAsia="zh-CN"/>
              </w:rPr>
              <w:t xml:space="preserve">   </w:t>
            </w:r>
            <w:r w:rsidR="0021353E">
              <w:rPr>
                <w:rFonts w:eastAsiaTheme="minorEastAsia" w:hint="eastAsia"/>
                <w:szCs w:val="24"/>
                <w:lang w:val="en-US" w:eastAsia="zh-CN"/>
              </w:rPr>
              <w:t>参加</w:t>
            </w:r>
            <w:r w:rsidR="00CB7A2B">
              <w:rPr>
                <w:rFonts w:eastAsiaTheme="minorEastAsia" w:hint="eastAsia"/>
                <w:szCs w:val="24"/>
                <w:lang w:val="en-US" w:eastAsia="zh-CN"/>
              </w:rPr>
              <w:t>表决</w:t>
            </w:r>
            <w:r w:rsidR="0021353E">
              <w:rPr>
                <w:rFonts w:eastAsiaTheme="minorEastAsia" w:hint="eastAsia"/>
                <w:szCs w:val="24"/>
                <w:lang w:val="en-US" w:eastAsia="zh-CN"/>
              </w:rPr>
              <w:t>的权利；</w:t>
            </w:r>
          </w:p>
          <w:p w:rsidR="0021353E" w:rsidRPr="004A7F2A" w:rsidRDefault="000221AE" w:rsidP="000221AE">
            <w:pPr>
              <w:overflowPunct/>
              <w:autoSpaceDE/>
              <w:autoSpaceDN/>
              <w:adjustRightInd/>
              <w:spacing w:before="0"/>
              <w:ind w:left="720"/>
              <w:contextualSpacing/>
              <w:textAlignment w:val="auto"/>
              <w:rPr>
                <w:szCs w:val="24"/>
                <w:lang w:val="en-US" w:eastAsia="zh-CN"/>
              </w:rPr>
            </w:pPr>
            <w:r w:rsidRPr="000221AE">
              <w:rPr>
                <w:szCs w:val="24"/>
                <w:lang w:val="en-US" w:eastAsia="zh-CN"/>
              </w:rPr>
              <w:t>•</w:t>
            </w:r>
            <w:r>
              <w:rPr>
                <w:szCs w:val="24"/>
                <w:lang w:val="en-US" w:eastAsia="zh-CN"/>
              </w:rPr>
              <w:tab/>
            </w:r>
            <w:r w:rsidR="0021353E" w:rsidRPr="004A7F2A">
              <w:rPr>
                <w:szCs w:val="24"/>
                <w:lang w:val="en-US" w:eastAsia="zh-CN"/>
              </w:rPr>
              <w:t xml:space="preserve">   </w:t>
            </w:r>
            <w:r w:rsidR="0021353E">
              <w:rPr>
                <w:rFonts w:eastAsiaTheme="minorEastAsia" w:hint="eastAsia"/>
                <w:szCs w:val="24"/>
                <w:lang w:val="en-US" w:eastAsia="zh-CN"/>
              </w:rPr>
              <w:t>反对达成共识的权利。</w:t>
            </w:r>
          </w:p>
        </w:tc>
      </w:tr>
      <w:tr w:rsidR="0021353E" w:rsidRPr="004A7F2A" w:rsidTr="00851D8F">
        <w:tc>
          <w:tcPr>
            <w:tcW w:w="9781" w:type="dxa"/>
          </w:tcPr>
          <w:p w:rsidR="0021353E" w:rsidRPr="004A7F2A" w:rsidRDefault="0021353E" w:rsidP="00851D8F">
            <w:pPr>
              <w:rPr>
                <w:b/>
                <w:szCs w:val="24"/>
                <w:lang w:eastAsia="zh-CN"/>
              </w:rPr>
            </w:pPr>
            <w:r>
              <w:rPr>
                <w:rFonts w:eastAsiaTheme="minorEastAsia" w:hint="eastAsia"/>
                <w:b/>
                <w:szCs w:val="24"/>
                <w:lang w:eastAsia="zh-CN"/>
              </w:rPr>
              <w:t>修改法律框架：</w:t>
            </w:r>
          </w:p>
          <w:p w:rsidR="0021353E" w:rsidRPr="004A7F2A" w:rsidRDefault="000221AE" w:rsidP="000221AE">
            <w:pPr>
              <w:overflowPunct/>
              <w:autoSpaceDE/>
              <w:autoSpaceDN/>
              <w:adjustRightInd/>
              <w:spacing w:before="0"/>
              <w:contextualSpacing/>
              <w:textAlignment w:val="auto"/>
              <w:rPr>
                <w:szCs w:val="24"/>
                <w:lang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eastAsia="zh-CN"/>
              </w:rPr>
              <w:t>需修改国际电联法律文书有关法定人数的规定。</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修改提交程序动议和提出程序问题的程序。</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由于在远程参会中无法进行举手表决和不记名投票，需修改表决规定。</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有关失去连接致使表决中断的规定产生的</w:t>
            </w:r>
            <w:r w:rsidR="00CB7A2B">
              <w:rPr>
                <w:rFonts w:eastAsiaTheme="minorEastAsia" w:hint="eastAsia"/>
                <w:szCs w:val="24"/>
                <w:lang w:val="en-US" w:eastAsia="zh-CN"/>
              </w:rPr>
              <w:t>影响</w:t>
            </w:r>
            <w:r w:rsidR="0021353E">
              <w:rPr>
                <w:rFonts w:eastAsiaTheme="minorEastAsia" w:hint="eastAsia"/>
                <w:szCs w:val="24"/>
                <w:lang w:val="en-US" w:eastAsia="zh-CN"/>
              </w:rPr>
              <w:t>。</w:t>
            </w:r>
          </w:p>
          <w:p w:rsidR="0021353E" w:rsidRPr="004A7F2A" w:rsidRDefault="000221AE" w:rsidP="000221AE">
            <w:pPr>
              <w:overflowPunct/>
              <w:autoSpaceDE/>
              <w:autoSpaceDN/>
              <w:adjustRightInd/>
              <w:spacing w:before="0"/>
              <w:ind w:left="567" w:hanging="567"/>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需确保在缔约大会上远程与会代表同样需要具备有效资格证书。就此，不排除修改《公约》第</w:t>
            </w:r>
            <w:r w:rsidR="0021353E">
              <w:rPr>
                <w:rFonts w:eastAsiaTheme="minorEastAsia" w:hint="eastAsia"/>
                <w:szCs w:val="24"/>
                <w:lang w:val="en-US" w:eastAsia="zh-CN"/>
              </w:rPr>
              <w:t>31</w:t>
            </w:r>
            <w:r w:rsidR="0021353E">
              <w:rPr>
                <w:rFonts w:eastAsiaTheme="minorEastAsia" w:hint="eastAsia"/>
                <w:szCs w:val="24"/>
                <w:lang w:val="en-US" w:eastAsia="zh-CN"/>
              </w:rPr>
              <w:t>条的可能性。</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出于现实原因，远程代表无法行使主席的全部职责，因此不能实际履行主席职能。</w:t>
            </w:r>
          </w:p>
          <w:p w:rsidR="0021353E" w:rsidRPr="004A7F2A" w:rsidRDefault="000221AE" w:rsidP="000221AE">
            <w:pPr>
              <w:overflowPunct/>
              <w:autoSpaceDE/>
              <w:autoSpaceDN/>
              <w:adjustRightInd/>
              <w:spacing w:before="0"/>
              <w:contextualSpacing/>
              <w:textAlignment w:val="auto"/>
              <w:rPr>
                <w:szCs w:val="24"/>
                <w:lang w:val="en-US" w:eastAsia="zh-CN"/>
              </w:rPr>
            </w:pPr>
            <w:r w:rsidRPr="000221AE">
              <w:rPr>
                <w:rFonts w:eastAsiaTheme="minorEastAsia"/>
                <w:szCs w:val="24"/>
                <w:lang w:eastAsia="zh-CN"/>
              </w:rPr>
              <w:t>–</w:t>
            </w:r>
            <w:r>
              <w:rPr>
                <w:rFonts w:eastAsiaTheme="minorEastAsia"/>
                <w:szCs w:val="24"/>
                <w:lang w:eastAsia="zh-CN"/>
              </w:rPr>
              <w:tab/>
            </w:r>
            <w:r w:rsidR="0021353E">
              <w:rPr>
                <w:rFonts w:eastAsiaTheme="minorEastAsia" w:hint="eastAsia"/>
                <w:szCs w:val="24"/>
                <w:lang w:val="en-US" w:eastAsia="zh-CN"/>
              </w:rPr>
              <w:t>无法实际参与某些法定委员会，如证书委员会或编辑委员会。</w:t>
            </w:r>
          </w:p>
        </w:tc>
      </w:tr>
    </w:tbl>
    <w:p w:rsidR="0021353E" w:rsidRPr="008A5336" w:rsidRDefault="0021353E" w:rsidP="00060F02">
      <w:pPr>
        <w:pStyle w:val="Headingb"/>
        <w:rPr>
          <w:lang w:eastAsia="zh-CN"/>
        </w:rPr>
      </w:pPr>
      <w:r w:rsidRPr="008A5336">
        <w:rPr>
          <w:rFonts w:hint="eastAsia"/>
          <w:lang w:eastAsia="zh-CN"/>
        </w:rPr>
        <w:t>无障碍通信</w:t>
      </w:r>
    </w:p>
    <w:p w:rsidR="0021353E" w:rsidRDefault="0021353E" w:rsidP="0021353E">
      <w:pPr>
        <w:rPr>
          <w:lang w:eastAsia="zh-CN"/>
        </w:rPr>
      </w:pPr>
      <w:r>
        <w:rPr>
          <w:rFonts w:hint="eastAsia"/>
          <w:lang w:eastAsia="zh-CN"/>
        </w:rPr>
        <w:t>7</w:t>
      </w:r>
      <w:r>
        <w:rPr>
          <w:rFonts w:hint="eastAsia"/>
          <w:lang w:eastAsia="zh-CN"/>
        </w:rPr>
        <w:tab/>
      </w:r>
      <w:r w:rsidRPr="0039731C">
        <w:rPr>
          <w:rFonts w:hint="eastAsia"/>
          <w:lang w:eastAsia="zh-CN"/>
        </w:rPr>
        <w:t>远程参会</w:t>
      </w:r>
      <w:r>
        <w:rPr>
          <w:rFonts w:hint="eastAsia"/>
          <w:lang w:eastAsia="zh-CN"/>
        </w:rPr>
        <w:t>及会议室中</w:t>
      </w:r>
      <w:r w:rsidRPr="0039731C">
        <w:rPr>
          <w:rFonts w:hint="eastAsia"/>
          <w:lang w:eastAsia="zh-CN"/>
        </w:rPr>
        <w:t>经过改进的音视频</w:t>
      </w:r>
      <w:r>
        <w:rPr>
          <w:rFonts w:hint="eastAsia"/>
          <w:lang w:eastAsia="zh-CN"/>
        </w:rPr>
        <w:t>基础设施</w:t>
      </w:r>
      <w:r w:rsidRPr="0039731C">
        <w:rPr>
          <w:rFonts w:hint="eastAsia"/>
          <w:lang w:eastAsia="zh-CN"/>
        </w:rPr>
        <w:t>通过提供以下服务，为根据国际电联</w:t>
      </w:r>
      <w:r w:rsidRPr="0039731C">
        <w:rPr>
          <w:rFonts w:hint="eastAsia"/>
          <w:lang w:eastAsia="zh-CN"/>
        </w:rPr>
        <w:t>2013</w:t>
      </w:r>
      <w:r w:rsidRPr="0039731C">
        <w:rPr>
          <w:rFonts w:hint="eastAsia"/>
          <w:lang w:eastAsia="zh-CN"/>
        </w:rPr>
        <w:t>年通过的无障碍获取政策将有特殊需求人士包括在内创造了便利</w:t>
      </w:r>
      <w:r>
        <w:rPr>
          <w:rFonts w:hint="eastAsia"/>
          <w:lang w:eastAsia="zh-CN"/>
        </w:rPr>
        <w:t>：</w:t>
      </w:r>
    </w:p>
    <w:p w:rsidR="0021353E" w:rsidRPr="000221AE" w:rsidRDefault="000221AE" w:rsidP="000221AE">
      <w:pPr>
        <w:pStyle w:val="enumlev1"/>
        <w:rPr>
          <w:lang w:eastAsia="zh-CN"/>
        </w:rPr>
      </w:pPr>
      <w:r w:rsidRPr="000221AE">
        <w:rPr>
          <w:lang w:eastAsia="zh-CN"/>
        </w:rPr>
        <w:t>•</w:t>
      </w:r>
      <w:r w:rsidRPr="000221AE">
        <w:rPr>
          <w:lang w:eastAsia="zh-CN"/>
        </w:rPr>
        <w:tab/>
      </w:r>
      <w:r w:rsidR="0021353E" w:rsidRPr="000221AE">
        <w:rPr>
          <w:rFonts w:hint="eastAsia"/>
          <w:lang w:eastAsia="zh-CN"/>
        </w:rPr>
        <w:t>针对听力受损人员的字幕</w:t>
      </w:r>
    </w:p>
    <w:p w:rsidR="0021353E" w:rsidRPr="000221AE" w:rsidRDefault="000221AE" w:rsidP="000221AE">
      <w:pPr>
        <w:pStyle w:val="enumlev1"/>
        <w:rPr>
          <w:lang w:eastAsia="zh-CN"/>
        </w:rPr>
      </w:pPr>
      <w:r w:rsidRPr="000221AE">
        <w:rPr>
          <w:lang w:eastAsia="zh-CN"/>
        </w:rPr>
        <w:t>•</w:t>
      </w:r>
      <w:r w:rsidRPr="000221AE">
        <w:rPr>
          <w:lang w:eastAsia="zh-CN"/>
        </w:rPr>
        <w:tab/>
      </w:r>
      <w:r w:rsidR="0021353E" w:rsidRPr="000221AE">
        <w:rPr>
          <w:rFonts w:hint="eastAsia"/>
          <w:lang w:eastAsia="zh-CN"/>
        </w:rPr>
        <w:t>针对视觉受损人员的音频会议</w:t>
      </w:r>
    </w:p>
    <w:p w:rsidR="0021353E" w:rsidRPr="000221AE" w:rsidRDefault="000221AE" w:rsidP="000221AE">
      <w:pPr>
        <w:pStyle w:val="enumlev1"/>
        <w:rPr>
          <w:lang w:eastAsia="zh-CN"/>
        </w:rPr>
      </w:pPr>
      <w:r w:rsidRPr="000221AE">
        <w:rPr>
          <w:lang w:eastAsia="zh-CN"/>
        </w:rPr>
        <w:t>•</w:t>
      </w:r>
      <w:r w:rsidRPr="000221AE">
        <w:rPr>
          <w:lang w:eastAsia="zh-CN"/>
        </w:rPr>
        <w:tab/>
      </w:r>
      <w:r w:rsidR="0021353E" w:rsidRPr="000221AE">
        <w:rPr>
          <w:rFonts w:hint="eastAsia"/>
          <w:lang w:eastAsia="zh-CN"/>
        </w:rPr>
        <w:t>提供多音频信道支持联合国六种正式语言和原声道</w:t>
      </w:r>
    </w:p>
    <w:p w:rsidR="0021353E" w:rsidRPr="0039731C" w:rsidRDefault="000221AE" w:rsidP="000221AE">
      <w:pPr>
        <w:pStyle w:val="enumlev1"/>
        <w:rPr>
          <w:lang w:eastAsia="zh-CN"/>
        </w:rPr>
      </w:pPr>
      <w:r w:rsidRPr="000221AE">
        <w:rPr>
          <w:lang w:eastAsia="zh-CN"/>
        </w:rPr>
        <w:t>•</w:t>
      </w:r>
      <w:r w:rsidRPr="000221AE">
        <w:rPr>
          <w:lang w:eastAsia="zh-CN"/>
        </w:rPr>
        <w:tab/>
      </w:r>
      <w:r w:rsidR="0021353E" w:rsidRPr="000221AE">
        <w:rPr>
          <w:rFonts w:hint="eastAsia"/>
          <w:lang w:eastAsia="zh-CN"/>
        </w:rPr>
        <w:t>针对行动困难人员的网络会议</w:t>
      </w:r>
    </w:p>
    <w:p w:rsidR="0021353E" w:rsidRDefault="0021353E" w:rsidP="0021353E">
      <w:pPr>
        <w:rPr>
          <w:lang w:eastAsia="zh-CN"/>
        </w:rPr>
      </w:pPr>
      <w:r>
        <w:rPr>
          <w:rFonts w:hint="eastAsia"/>
          <w:lang w:eastAsia="zh-CN"/>
        </w:rPr>
        <w:t>8</w:t>
      </w:r>
      <w:r>
        <w:rPr>
          <w:rFonts w:hint="eastAsia"/>
          <w:lang w:eastAsia="zh-CN"/>
        </w:rPr>
        <w:tab/>
      </w:r>
      <w:r>
        <w:rPr>
          <w:rFonts w:hint="eastAsia"/>
          <w:lang w:eastAsia="zh-CN"/>
        </w:rPr>
        <w:t>国际电联将继续利用技术创新，改善无障碍通信（如语音识别、屏幕阅读器、机器翻译等）。</w:t>
      </w:r>
    </w:p>
    <w:p w:rsidR="0021353E" w:rsidRPr="008A5336" w:rsidRDefault="0021353E" w:rsidP="00060F02">
      <w:pPr>
        <w:pStyle w:val="Headingb"/>
        <w:rPr>
          <w:lang w:eastAsia="zh-CN"/>
        </w:rPr>
      </w:pPr>
      <w:r w:rsidRPr="008A5336">
        <w:rPr>
          <w:rFonts w:hint="eastAsia"/>
          <w:lang w:eastAsia="zh-CN"/>
        </w:rPr>
        <w:lastRenderedPageBreak/>
        <w:t>成本</w:t>
      </w:r>
    </w:p>
    <w:p w:rsidR="0021353E" w:rsidRPr="0039731C" w:rsidRDefault="0021353E" w:rsidP="0021353E">
      <w:pPr>
        <w:rPr>
          <w:lang w:eastAsia="zh-CN"/>
        </w:rPr>
      </w:pPr>
      <w:r>
        <w:rPr>
          <w:rFonts w:hint="eastAsia"/>
          <w:lang w:eastAsia="zh-CN"/>
        </w:rPr>
        <w:t>9</w:t>
      </w:r>
      <w:r>
        <w:rPr>
          <w:rFonts w:hint="eastAsia"/>
          <w:lang w:eastAsia="zh-CN"/>
        </w:rPr>
        <w:tab/>
      </w:r>
      <w:r w:rsidRPr="009F1F97">
        <w:rPr>
          <w:rFonts w:hint="eastAsia"/>
          <w:spacing w:val="-2"/>
          <w:lang w:eastAsia="zh-CN"/>
        </w:rPr>
        <w:t>2011</w:t>
      </w:r>
      <w:r w:rsidRPr="009F1F97">
        <w:rPr>
          <w:rFonts w:hint="eastAsia"/>
          <w:spacing w:val="-2"/>
          <w:lang w:eastAsia="zh-CN"/>
        </w:rPr>
        <w:t>年，理事会根据要求批准了一次性</w:t>
      </w:r>
      <w:r w:rsidR="00CB7A2B" w:rsidRPr="009F1F97">
        <w:rPr>
          <w:rFonts w:hint="eastAsia"/>
          <w:spacing w:val="-2"/>
          <w:lang w:eastAsia="zh-CN"/>
        </w:rPr>
        <w:t>资本</w:t>
      </w:r>
      <w:r w:rsidRPr="009F1F97">
        <w:rPr>
          <w:rFonts w:hint="eastAsia"/>
          <w:spacing w:val="-2"/>
          <w:lang w:eastAsia="zh-CN"/>
        </w:rPr>
        <w:t>投资</w:t>
      </w:r>
      <w:r w:rsidRPr="009F1F97">
        <w:rPr>
          <w:rFonts w:hint="eastAsia"/>
          <w:spacing w:val="-2"/>
          <w:lang w:eastAsia="zh-CN"/>
        </w:rPr>
        <w:t>1</w:t>
      </w:r>
      <w:r w:rsidR="000221AE" w:rsidRPr="009F1F97">
        <w:rPr>
          <w:spacing w:val="-2"/>
          <w:lang w:eastAsia="zh-CN"/>
        </w:rPr>
        <w:t xml:space="preserve"> </w:t>
      </w:r>
      <w:r w:rsidRPr="009F1F97">
        <w:rPr>
          <w:rFonts w:hint="eastAsia"/>
          <w:spacing w:val="-2"/>
          <w:lang w:eastAsia="zh-CN"/>
        </w:rPr>
        <w:t>721</w:t>
      </w:r>
      <w:r w:rsidR="000221AE" w:rsidRPr="009F1F97">
        <w:rPr>
          <w:spacing w:val="-2"/>
          <w:lang w:eastAsia="zh-CN"/>
        </w:rPr>
        <w:t xml:space="preserve"> </w:t>
      </w:r>
      <w:r w:rsidRPr="009F1F97">
        <w:rPr>
          <w:rFonts w:hint="eastAsia"/>
          <w:spacing w:val="-2"/>
          <w:lang w:eastAsia="zh-CN"/>
        </w:rPr>
        <w:t>000</w:t>
      </w:r>
      <w:r w:rsidRPr="009F1F97">
        <w:rPr>
          <w:rFonts w:hint="eastAsia"/>
          <w:spacing w:val="-2"/>
          <w:lang w:eastAsia="zh-CN"/>
        </w:rPr>
        <w:t>瑞郎，升级国际电联会议室，加装翻译设施，另外还批准了</w:t>
      </w:r>
      <w:r w:rsidRPr="009F1F97">
        <w:rPr>
          <w:rFonts w:hint="eastAsia"/>
          <w:spacing w:val="-2"/>
          <w:lang w:eastAsia="zh-CN"/>
        </w:rPr>
        <w:t>875</w:t>
      </w:r>
      <w:r w:rsidR="000221AE" w:rsidRPr="009F1F97">
        <w:rPr>
          <w:spacing w:val="-2"/>
          <w:lang w:eastAsia="zh-CN"/>
        </w:rPr>
        <w:t xml:space="preserve"> </w:t>
      </w:r>
      <w:r w:rsidRPr="009F1F97">
        <w:rPr>
          <w:rFonts w:hint="eastAsia"/>
          <w:spacing w:val="-2"/>
          <w:lang w:eastAsia="zh-CN"/>
        </w:rPr>
        <w:t>000</w:t>
      </w:r>
      <w:r w:rsidRPr="009F1F97">
        <w:rPr>
          <w:rFonts w:hint="eastAsia"/>
          <w:spacing w:val="-2"/>
          <w:lang w:eastAsia="zh-CN"/>
        </w:rPr>
        <w:t>瑞郎的年度运行费用</w:t>
      </w:r>
      <w:r w:rsidRPr="009F1F97">
        <w:rPr>
          <w:rStyle w:val="FootnoteReference"/>
          <w:spacing w:val="-2"/>
          <w:lang w:eastAsia="zh-CN"/>
        </w:rPr>
        <w:footnoteReference w:id="2"/>
      </w:r>
      <w:r w:rsidRPr="009F1F97">
        <w:rPr>
          <w:rFonts w:hint="eastAsia"/>
          <w:spacing w:val="-2"/>
          <w:lang w:eastAsia="zh-CN"/>
        </w:rPr>
        <w:t>。其中，理事会在</w:t>
      </w:r>
      <w:r w:rsidRPr="009F1F97">
        <w:rPr>
          <w:rFonts w:hint="eastAsia"/>
          <w:spacing w:val="-2"/>
          <w:lang w:eastAsia="zh-CN"/>
        </w:rPr>
        <w:t>2012-2013</w:t>
      </w:r>
      <w:r>
        <w:rPr>
          <w:rFonts w:hint="eastAsia"/>
          <w:lang w:eastAsia="zh-CN"/>
        </w:rPr>
        <w:t>预算中批准一次性投资</w:t>
      </w:r>
      <w:r>
        <w:rPr>
          <w:rFonts w:hint="eastAsia"/>
          <w:lang w:eastAsia="zh-CN"/>
        </w:rPr>
        <w:t>675</w:t>
      </w:r>
      <w:r w:rsidR="000221AE">
        <w:rPr>
          <w:lang w:eastAsia="zh-CN"/>
        </w:rPr>
        <w:t xml:space="preserve"> </w:t>
      </w:r>
      <w:r>
        <w:rPr>
          <w:rFonts w:hint="eastAsia"/>
          <w:lang w:eastAsia="zh-CN"/>
        </w:rPr>
        <w:t>000</w:t>
      </w:r>
      <w:r>
        <w:rPr>
          <w:rFonts w:hint="eastAsia"/>
          <w:lang w:eastAsia="zh-CN"/>
        </w:rPr>
        <w:t>瑞郎和</w:t>
      </w:r>
      <w:r>
        <w:rPr>
          <w:rFonts w:hint="eastAsia"/>
          <w:lang w:eastAsia="zh-CN"/>
        </w:rPr>
        <w:t>690</w:t>
      </w:r>
      <w:r w:rsidR="000221AE">
        <w:rPr>
          <w:lang w:eastAsia="zh-CN"/>
        </w:rPr>
        <w:t xml:space="preserve"> </w:t>
      </w:r>
      <w:r>
        <w:rPr>
          <w:rFonts w:hint="eastAsia"/>
          <w:lang w:eastAsia="zh-CN"/>
        </w:rPr>
        <w:t>000</w:t>
      </w:r>
      <w:r>
        <w:rPr>
          <w:rFonts w:hint="eastAsia"/>
          <w:lang w:eastAsia="zh-CN"/>
        </w:rPr>
        <w:t>瑞郎的两年期运行费用</w:t>
      </w:r>
      <w:r>
        <w:rPr>
          <w:rStyle w:val="FootnoteReference"/>
          <w:lang w:eastAsia="zh-CN"/>
        </w:rPr>
        <w:footnoteReference w:id="3"/>
      </w:r>
      <w:r>
        <w:rPr>
          <w:rFonts w:hint="eastAsia"/>
          <w:lang w:eastAsia="zh-CN"/>
        </w:rPr>
        <w:t>。获批的一次性投资用于一些会议室的升级改造，批准的运行费用于两个低级职位。由于申请金额和获批金额之间存在差距，因此不可能升级所有会议室和翻译设备。未升级改造的会议室不能完全支持远程参会。</w:t>
      </w:r>
    </w:p>
    <w:p w:rsidR="0021353E" w:rsidRDefault="0021353E" w:rsidP="0021353E">
      <w:pPr>
        <w:rPr>
          <w:lang w:eastAsia="zh-CN"/>
        </w:rPr>
      </w:pPr>
      <w:r>
        <w:rPr>
          <w:rFonts w:hint="eastAsia"/>
          <w:lang w:eastAsia="zh-CN"/>
        </w:rPr>
        <w:t>10</w:t>
      </w:r>
      <w:r>
        <w:rPr>
          <w:rFonts w:hint="eastAsia"/>
          <w:lang w:eastAsia="zh-CN"/>
        </w:rPr>
        <w:tab/>
      </w:r>
      <w:r>
        <w:rPr>
          <w:rFonts w:hint="eastAsia"/>
          <w:lang w:eastAsia="zh-CN"/>
        </w:rPr>
        <w:t>随着提供远程参会的国际电联会议不断增多，需要对更多会议室进行升级改造。以前申请的</w:t>
      </w:r>
      <w:r w:rsidR="00CB7A2B">
        <w:rPr>
          <w:rFonts w:hint="eastAsia"/>
          <w:lang w:eastAsia="zh-CN"/>
        </w:rPr>
        <w:t xml:space="preserve">875 </w:t>
      </w:r>
      <w:r>
        <w:rPr>
          <w:rFonts w:hint="eastAsia"/>
          <w:lang w:eastAsia="zh-CN"/>
        </w:rPr>
        <w:t>000</w:t>
      </w:r>
      <w:r>
        <w:rPr>
          <w:rFonts w:hint="eastAsia"/>
          <w:lang w:eastAsia="zh-CN"/>
        </w:rPr>
        <w:t>瑞郎的年度运行支出以及最初的</w:t>
      </w:r>
      <w:r w:rsidR="000221AE">
        <w:rPr>
          <w:rFonts w:hint="eastAsia"/>
          <w:lang w:eastAsia="zh-CN"/>
        </w:rPr>
        <w:t xml:space="preserve">1 721 </w:t>
      </w:r>
      <w:r>
        <w:rPr>
          <w:rFonts w:hint="eastAsia"/>
          <w:lang w:eastAsia="zh-CN"/>
        </w:rPr>
        <w:t>000</w:t>
      </w:r>
      <w:r>
        <w:rPr>
          <w:rFonts w:hint="eastAsia"/>
          <w:lang w:eastAsia="zh-CN"/>
        </w:rPr>
        <w:t>瑞郎资本投资依然有效。因此，增加的</w:t>
      </w:r>
      <w:r w:rsidR="000221AE">
        <w:rPr>
          <w:rFonts w:hint="eastAsia"/>
          <w:lang w:eastAsia="zh-CN"/>
        </w:rPr>
        <w:t xml:space="preserve">1 060 </w:t>
      </w:r>
      <w:r>
        <w:rPr>
          <w:rFonts w:hint="eastAsia"/>
          <w:lang w:eastAsia="zh-CN"/>
        </w:rPr>
        <w:t>000</w:t>
      </w:r>
      <w:r>
        <w:rPr>
          <w:rFonts w:hint="eastAsia"/>
          <w:lang w:eastAsia="zh-CN"/>
        </w:rPr>
        <w:t>瑞郎运行费用应计入</w:t>
      </w:r>
      <w:r>
        <w:rPr>
          <w:rFonts w:hint="eastAsia"/>
          <w:lang w:eastAsia="zh-CN"/>
        </w:rPr>
        <w:t>2016-2017</w:t>
      </w:r>
      <w:r>
        <w:rPr>
          <w:rFonts w:hint="eastAsia"/>
          <w:lang w:eastAsia="zh-CN"/>
        </w:rPr>
        <w:t>和</w:t>
      </w:r>
      <w:r>
        <w:rPr>
          <w:rFonts w:hint="eastAsia"/>
          <w:lang w:eastAsia="zh-CN"/>
        </w:rPr>
        <w:t>2018-2019</w:t>
      </w:r>
      <w:r>
        <w:rPr>
          <w:rFonts w:hint="eastAsia"/>
          <w:lang w:eastAsia="zh-CN"/>
        </w:rPr>
        <w:t>两年期预算，一次性资本投资的</w:t>
      </w:r>
      <w:r w:rsidR="00CB7A2B">
        <w:rPr>
          <w:rFonts w:hint="eastAsia"/>
          <w:lang w:eastAsia="zh-CN"/>
        </w:rPr>
        <w:t>1 046 000</w:t>
      </w:r>
      <w:r w:rsidR="00CB7A2B">
        <w:rPr>
          <w:rFonts w:hint="eastAsia"/>
          <w:lang w:eastAsia="zh-CN"/>
        </w:rPr>
        <w:t>瑞郎其余</w:t>
      </w:r>
      <w:r>
        <w:rPr>
          <w:rFonts w:hint="eastAsia"/>
          <w:lang w:eastAsia="zh-CN"/>
        </w:rPr>
        <w:t>部分应计入</w:t>
      </w:r>
      <w:r>
        <w:rPr>
          <w:rFonts w:hint="eastAsia"/>
          <w:lang w:eastAsia="zh-CN"/>
        </w:rPr>
        <w:t>2016-2107</w:t>
      </w:r>
      <w:r>
        <w:rPr>
          <w:rFonts w:hint="eastAsia"/>
          <w:lang w:eastAsia="zh-CN"/>
        </w:rPr>
        <w:t>两年期预算（见下表</w:t>
      </w:r>
      <w:r>
        <w:rPr>
          <w:rFonts w:hint="eastAsia"/>
          <w:lang w:eastAsia="zh-CN"/>
        </w:rPr>
        <w:t>2</w:t>
      </w:r>
      <w:r>
        <w:rPr>
          <w:rFonts w:hint="eastAsia"/>
          <w:lang w:eastAsia="zh-CN"/>
        </w:rPr>
        <w:t>）。</w:t>
      </w:r>
    </w:p>
    <w:p w:rsidR="0021353E" w:rsidRPr="0055539F" w:rsidRDefault="0021353E" w:rsidP="004B5D7E">
      <w:pPr>
        <w:snapToGrid w:val="0"/>
        <w:spacing w:before="240"/>
        <w:jc w:val="center"/>
        <w:rPr>
          <w:rFonts w:eastAsia="Times New Roman"/>
          <w:b/>
          <w:bCs/>
          <w:szCs w:val="24"/>
          <w:lang w:eastAsia="zh-CN"/>
        </w:rPr>
      </w:pPr>
      <w:r>
        <w:rPr>
          <w:rFonts w:eastAsiaTheme="minorEastAsia" w:hint="eastAsia"/>
          <w:b/>
          <w:bCs/>
          <w:lang w:eastAsia="zh-CN"/>
        </w:rPr>
        <w:t>表</w:t>
      </w:r>
      <w:r w:rsidRPr="0055539F">
        <w:rPr>
          <w:rFonts w:eastAsia="Times New Roman"/>
          <w:b/>
          <w:bCs/>
          <w:lang w:eastAsia="zh-CN"/>
        </w:rPr>
        <w:t>2</w:t>
      </w:r>
      <w:r>
        <w:rPr>
          <w:rFonts w:eastAsiaTheme="minorEastAsia" w:hint="eastAsia"/>
          <w:b/>
          <w:bCs/>
          <w:lang w:eastAsia="zh-CN"/>
        </w:rPr>
        <w:t>：对远程参会服务的额外预算影响</w:t>
      </w:r>
    </w:p>
    <w:tbl>
      <w:tblPr>
        <w:tblStyle w:val="TableGrid"/>
        <w:tblW w:w="0" w:type="auto"/>
        <w:jc w:val="center"/>
        <w:tblLayout w:type="fixed"/>
        <w:tblLook w:val="04A0" w:firstRow="1" w:lastRow="0" w:firstColumn="1" w:lastColumn="0" w:noHBand="0" w:noVBand="1"/>
      </w:tblPr>
      <w:tblGrid>
        <w:gridCol w:w="2552"/>
        <w:gridCol w:w="2830"/>
        <w:gridCol w:w="2835"/>
      </w:tblGrid>
      <w:tr w:rsidR="0021353E" w:rsidRPr="0055539F" w:rsidTr="00851D8F">
        <w:trPr>
          <w:jc w:val="center"/>
        </w:trPr>
        <w:tc>
          <w:tcPr>
            <w:tcW w:w="2552" w:type="dxa"/>
          </w:tcPr>
          <w:p w:rsidR="0021353E" w:rsidRPr="0055539F" w:rsidRDefault="0021353E" w:rsidP="00851D8F">
            <w:pPr>
              <w:rPr>
                <w:lang w:eastAsia="zh-CN"/>
              </w:rPr>
            </w:pPr>
          </w:p>
        </w:tc>
        <w:tc>
          <w:tcPr>
            <w:tcW w:w="2830" w:type="dxa"/>
          </w:tcPr>
          <w:p w:rsidR="0021353E" w:rsidRPr="0055539F" w:rsidRDefault="0021353E" w:rsidP="00851D8F">
            <w:pPr>
              <w:jc w:val="center"/>
              <w:rPr>
                <w:b/>
                <w:bCs/>
              </w:rPr>
            </w:pPr>
            <w:r w:rsidRPr="0055539F">
              <w:rPr>
                <w:b/>
                <w:bCs/>
              </w:rPr>
              <w:t>2016-2017</w:t>
            </w:r>
          </w:p>
        </w:tc>
        <w:tc>
          <w:tcPr>
            <w:tcW w:w="2835" w:type="dxa"/>
          </w:tcPr>
          <w:p w:rsidR="0021353E" w:rsidRPr="0055539F" w:rsidRDefault="0021353E" w:rsidP="00851D8F">
            <w:pPr>
              <w:jc w:val="center"/>
              <w:rPr>
                <w:b/>
                <w:bCs/>
              </w:rPr>
            </w:pPr>
            <w:r w:rsidRPr="0055539F">
              <w:rPr>
                <w:b/>
                <w:bCs/>
              </w:rPr>
              <w:t>2018-2019</w:t>
            </w:r>
          </w:p>
        </w:tc>
      </w:tr>
      <w:tr w:rsidR="0021353E" w:rsidRPr="0055539F" w:rsidTr="00851D8F">
        <w:trPr>
          <w:jc w:val="center"/>
        </w:trPr>
        <w:tc>
          <w:tcPr>
            <w:tcW w:w="2552" w:type="dxa"/>
          </w:tcPr>
          <w:p w:rsidR="0021353E" w:rsidRPr="0055539F" w:rsidRDefault="0021353E" w:rsidP="00851D8F">
            <w:pPr>
              <w:rPr>
                <w:b/>
                <w:bCs/>
              </w:rPr>
            </w:pPr>
            <w:r>
              <w:rPr>
                <w:rFonts w:eastAsiaTheme="minorEastAsia" w:hint="eastAsia"/>
                <w:b/>
                <w:bCs/>
                <w:lang w:eastAsia="zh-CN"/>
              </w:rPr>
              <w:t>运行费用</w:t>
            </w:r>
          </w:p>
        </w:tc>
        <w:tc>
          <w:tcPr>
            <w:tcW w:w="2830" w:type="dxa"/>
          </w:tcPr>
          <w:p w:rsidR="0021353E" w:rsidRPr="0055539F" w:rsidRDefault="0021353E" w:rsidP="00851D8F">
            <w:pPr>
              <w:jc w:val="center"/>
            </w:pPr>
            <w:r w:rsidRPr="0055539F">
              <w:t>CHF 1 060 000</w:t>
            </w:r>
          </w:p>
        </w:tc>
        <w:tc>
          <w:tcPr>
            <w:tcW w:w="2835" w:type="dxa"/>
          </w:tcPr>
          <w:p w:rsidR="0021353E" w:rsidRPr="0055539F" w:rsidRDefault="0021353E" w:rsidP="00851D8F">
            <w:pPr>
              <w:jc w:val="center"/>
            </w:pPr>
            <w:r w:rsidRPr="0055539F">
              <w:t>CHF 1 060 000</w:t>
            </w:r>
          </w:p>
        </w:tc>
      </w:tr>
      <w:tr w:rsidR="0021353E" w:rsidRPr="0055539F" w:rsidTr="00851D8F">
        <w:trPr>
          <w:jc w:val="center"/>
        </w:trPr>
        <w:tc>
          <w:tcPr>
            <w:tcW w:w="2552" w:type="dxa"/>
          </w:tcPr>
          <w:p w:rsidR="0021353E" w:rsidRPr="0055539F" w:rsidRDefault="0021353E" w:rsidP="00851D8F">
            <w:pPr>
              <w:rPr>
                <w:b/>
                <w:bCs/>
              </w:rPr>
            </w:pPr>
            <w:r>
              <w:rPr>
                <w:rFonts w:eastAsiaTheme="minorEastAsia" w:hint="eastAsia"/>
                <w:b/>
                <w:bCs/>
                <w:lang w:eastAsia="zh-CN"/>
              </w:rPr>
              <w:t>资本投资</w:t>
            </w:r>
          </w:p>
        </w:tc>
        <w:tc>
          <w:tcPr>
            <w:tcW w:w="2830" w:type="dxa"/>
          </w:tcPr>
          <w:p w:rsidR="0021353E" w:rsidRPr="0055539F" w:rsidRDefault="0021353E" w:rsidP="00851D8F">
            <w:pPr>
              <w:jc w:val="center"/>
            </w:pPr>
            <w:r w:rsidRPr="0055539F">
              <w:t>CHF 1 046 000</w:t>
            </w:r>
          </w:p>
        </w:tc>
        <w:tc>
          <w:tcPr>
            <w:tcW w:w="2835" w:type="dxa"/>
          </w:tcPr>
          <w:p w:rsidR="0021353E" w:rsidRPr="0055539F" w:rsidRDefault="0021353E" w:rsidP="00851D8F">
            <w:pPr>
              <w:jc w:val="center"/>
            </w:pPr>
          </w:p>
        </w:tc>
      </w:tr>
    </w:tbl>
    <w:p w:rsidR="0021353E" w:rsidRPr="003A1141" w:rsidRDefault="0021353E" w:rsidP="004B5D7E">
      <w:pPr>
        <w:pStyle w:val="Headingb"/>
        <w:spacing w:before="240"/>
        <w:rPr>
          <w:lang w:eastAsia="zh-CN"/>
        </w:rPr>
      </w:pPr>
      <w:r w:rsidRPr="003A1141">
        <w:rPr>
          <w:rFonts w:hint="eastAsia"/>
          <w:lang w:eastAsia="zh-CN"/>
        </w:rPr>
        <w:t>未来走向</w:t>
      </w:r>
    </w:p>
    <w:p w:rsidR="0021353E" w:rsidRDefault="005159E2" w:rsidP="0021353E">
      <w:pPr>
        <w:rPr>
          <w:lang w:eastAsia="zh-CN"/>
        </w:rPr>
      </w:pPr>
      <w:r>
        <w:rPr>
          <w:rFonts w:hint="eastAsia"/>
          <w:lang w:eastAsia="zh-CN"/>
        </w:rPr>
        <w:t>12</w:t>
      </w:r>
      <w:r w:rsidR="0021353E">
        <w:rPr>
          <w:rFonts w:hint="eastAsia"/>
          <w:lang w:eastAsia="zh-CN"/>
        </w:rPr>
        <w:tab/>
      </w:r>
      <w:r w:rsidR="0021353E">
        <w:rPr>
          <w:rFonts w:hint="eastAsia"/>
          <w:lang w:eastAsia="zh-CN"/>
        </w:rPr>
        <w:t>全权代表大会应：</w:t>
      </w:r>
    </w:p>
    <w:p w:rsidR="0021353E" w:rsidRPr="003A1141" w:rsidRDefault="000221AE" w:rsidP="000221AE">
      <w:pPr>
        <w:pStyle w:val="enumlev1"/>
        <w:rPr>
          <w:lang w:eastAsia="zh-CN"/>
        </w:rPr>
      </w:pPr>
      <w:r w:rsidRPr="000221AE">
        <w:rPr>
          <w:szCs w:val="24"/>
          <w:lang w:val="en-US" w:eastAsia="zh-CN"/>
        </w:rPr>
        <w:t>•</w:t>
      </w:r>
      <w:r>
        <w:rPr>
          <w:szCs w:val="24"/>
          <w:lang w:val="en-US" w:eastAsia="zh-CN"/>
        </w:rPr>
        <w:tab/>
      </w:r>
      <w:r w:rsidR="0021353E" w:rsidRPr="000221AE">
        <w:rPr>
          <w:rFonts w:hint="eastAsia"/>
          <w:lang w:eastAsia="zh-CN"/>
        </w:rPr>
        <w:t>认识到此服务为代表们带来的巨大裨益（减少了差旅费用和时间），提高了国际电联会议、大会和活动的包容性，大幅减少了碳排放。</w:t>
      </w:r>
    </w:p>
    <w:p w:rsidR="0021353E" w:rsidRPr="003A1141" w:rsidRDefault="000221AE" w:rsidP="000221AE">
      <w:pPr>
        <w:pStyle w:val="enumlev1"/>
        <w:rPr>
          <w:lang w:eastAsia="zh-CN"/>
        </w:rPr>
      </w:pPr>
      <w:r w:rsidRPr="000221AE">
        <w:rPr>
          <w:szCs w:val="24"/>
          <w:lang w:val="en-US" w:eastAsia="zh-CN"/>
        </w:rPr>
        <w:t>•</w:t>
      </w:r>
      <w:r>
        <w:rPr>
          <w:szCs w:val="24"/>
          <w:lang w:val="en-US" w:eastAsia="zh-CN"/>
        </w:rPr>
        <w:tab/>
      </w:r>
      <w:r w:rsidR="0021353E" w:rsidRPr="000221AE">
        <w:rPr>
          <w:rFonts w:hint="eastAsia"/>
          <w:lang w:eastAsia="zh-CN"/>
        </w:rPr>
        <w:t>注意采取与现场参与会议和活动平等的远程参会做法带来的当前技术、财务和</w:t>
      </w:r>
      <w:r w:rsidR="00CB7A2B">
        <w:rPr>
          <w:rFonts w:hint="eastAsia"/>
          <w:lang w:eastAsia="zh-CN"/>
        </w:rPr>
        <w:t>法律</w:t>
      </w:r>
      <w:r w:rsidR="0021353E" w:rsidRPr="000221AE">
        <w:rPr>
          <w:rFonts w:hint="eastAsia"/>
          <w:lang w:eastAsia="zh-CN"/>
        </w:rPr>
        <w:t>挑战。</w:t>
      </w:r>
    </w:p>
    <w:p w:rsidR="0021353E" w:rsidRPr="003A1141" w:rsidRDefault="000221AE" w:rsidP="000221AE">
      <w:pPr>
        <w:pStyle w:val="enumlev1"/>
        <w:rPr>
          <w:lang w:eastAsia="zh-CN"/>
        </w:rPr>
      </w:pPr>
      <w:r w:rsidRPr="000221AE">
        <w:rPr>
          <w:szCs w:val="24"/>
          <w:lang w:val="en-US" w:eastAsia="zh-CN"/>
        </w:rPr>
        <w:t>•</w:t>
      </w:r>
      <w:r>
        <w:rPr>
          <w:szCs w:val="24"/>
          <w:lang w:val="en-US" w:eastAsia="zh-CN"/>
        </w:rPr>
        <w:tab/>
      </w:r>
      <w:r w:rsidR="0021353E" w:rsidRPr="000221AE">
        <w:rPr>
          <w:rFonts w:hint="eastAsia"/>
          <w:lang w:eastAsia="zh-CN"/>
        </w:rPr>
        <w:t>责成秘书处继续远程参会试点，结合通信和技术手段的快速发展提高质量、可用性和便利性。</w:t>
      </w:r>
    </w:p>
    <w:p w:rsidR="0021353E" w:rsidRPr="0045285B" w:rsidRDefault="000221AE" w:rsidP="000221AE">
      <w:pPr>
        <w:pStyle w:val="enumlev1"/>
        <w:rPr>
          <w:lang w:eastAsia="zh-CN"/>
        </w:rPr>
      </w:pPr>
      <w:r w:rsidRPr="000221AE">
        <w:rPr>
          <w:szCs w:val="24"/>
          <w:lang w:val="en-US" w:eastAsia="zh-CN"/>
        </w:rPr>
        <w:t>•</w:t>
      </w:r>
      <w:r>
        <w:rPr>
          <w:szCs w:val="24"/>
          <w:lang w:val="en-US" w:eastAsia="zh-CN"/>
        </w:rPr>
        <w:tab/>
      </w:r>
      <w:r w:rsidR="0021353E" w:rsidRPr="000221AE">
        <w:rPr>
          <w:rFonts w:hint="eastAsia"/>
          <w:lang w:eastAsia="zh-CN"/>
        </w:rPr>
        <w:t>要求理事会</w:t>
      </w:r>
      <w:r w:rsidR="0021353E" w:rsidRPr="000221AE">
        <w:rPr>
          <w:rFonts w:hint="eastAsia"/>
          <w:lang w:eastAsia="zh-CN"/>
        </w:rPr>
        <w:t>2015</w:t>
      </w:r>
      <w:r w:rsidR="0021353E" w:rsidRPr="000221AE">
        <w:rPr>
          <w:rFonts w:hint="eastAsia"/>
          <w:lang w:eastAsia="zh-CN"/>
        </w:rPr>
        <w:t>年会议对即将</w:t>
      </w:r>
      <w:r w:rsidR="00CB7A2B">
        <w:rPr>
          <w:rFonts w:hint="eastAsia"/>
          <w:lang w:eastAsia="zh-CN"/>
        </w:rPr>
        <w:t>进入</w:t>
      </w:r>
      <w:r w:rsidR="0021353E" w:rsidRPr="000221AE">
        <w:rPr>
          <w:rFonts w:hint="eastAsia"/>
          <w:lang w:eastAsia="zh-CN"/>
        </w:rPr>
        <w:t>第五个年头的远程参会进行审议。</w:t>
      </w:r>
    </w:p>
    <w:p w:rsidR="0021353E" w:rsidRDefault="0021353E" w:rsidP="004B5D7E">
      <w:pPr>
        <w:rPr>
          <w:lang w:eastAsia="zh-CN"/>
        </w:rPr>
      </w:pPr>
    </w:p>
    <w:p w:rsidR="00CB7A2B" w:rsidRDefault="00CB7A2B" w:rsidP="004B5D7E">
      <w:pPr>
        <w:rPr>
          <w:lang w:eastAsia="zh-CN"/>
        </w:rPr>
      </w:pPr>
    </w:p>
    <w:p w:rsidR="00CB7A2B" w:rsidRDefault="00CB7A2B">
      <w:pPr>
        <w:jc w:val="center"/>
      </w:pPr>
      <w:r>
        <w:t>______________</w:t>
      </w:r>
    </w:p>
    <w:p w:rsidR="00476923" w:rsidRPr="0021353E" w:rsidRDefault="00476923" w:rsidP="00231ABC">
      <w:pPr>
        <w:rPr>
          <w:lang w:eastAsia="zh-CN"/>
        </w:rPr>
      </w:pPr>
    </w:p>
    <w:sectPr w:rsidR="00476923" w:rsidRPr="0021353E" w:rsidSect="00BA20B6">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3E" w:rsidRDefault="0021353E">
      <w:r>
        <w:separator/>
      </w:r>
    </w:p>
  </w:endnote>
  <w:endnote w:type="continuationSeparator" w:id="0">
    <w:p w:rsidR="0021353E" w:rsidRDefault="0021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668" w:rsidRPr="004B5D7E" w:rsidRDefault="003907C4" w:rsidP="004B5D7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3E" w:rsidRDefault="0021353E">
      <w:r>
        <w:t>____________________</w:t>
      </w:r>
    </w:p>
  </w:footnote>
  <w:footnote w:type="continuationSeparator" w:id="0">
    <w:p w:rsidR="0021353E" w:rsidRDefault="0021353E">
      <w:r>
        <w:continuationSeparator/>
      </w:r>
    </w:p>
  </w:footnote>
  <w:footnote w:id="1">
    <w:p w:rsidR="0021353E" w:rsidRPr="00304EEF" w:rsidRDefault="0021353E" w:rsidP="0021353E">
      <w:pPr>
        <w:pStyle w:val="FootnoteText"/>
        <w:rPr>
          <w:lang w:eastAsia="zh-CN"/>
        </w:rPr>
      </w:pPr>
      <w:r w:rsidRPr="001A6EBE">
        <w:rPr>
          <w:rStyle w:val="FootnoteReference"/>
          <w:szCs w:val="18"/>
        </w:rPr>
        <w:footnoteRef/>
      </w:r>
      <w:r w:rsidRPr="001A6EBE">
        <w:rPr>
          <w:sz w:val="18"/>
          <w:szCs w:val="18"/>
          <w:lang w:eastAsia="zh-CN"/>
        </w:rPr>
        <w:t xml:space="preserve"> </w:t>
      </w:r>
      <w:r w:rsidR="00304EEF">
        <w:rPr>
          <w:sz w:val="18"/>
          <w:szCs w:val="18"/>
          <w:lang w:eastAsia="zh-CN"/>
        </w:rPr>
        <w:tab/>
      </w:r>
      <w:r w:rsidRPr="00304EEF">
        <w:rPr>
          <w:rFonts w:hint="eastAsia"/>
          <w:lang w:eastAsia="zh-CN"/>
        </w:rPr>
        <w:t>见</w:t>
      </w:r>
      <w:r w:rsidRPr="00304EEF">
        <w:rPr>
          <w:rFonts w:hint="eastAsia"/>
          <w:lang w:eastAsia="zh-CN"/>
        </w:rPr>
        <w:t>C14/20</w:t>
      </w:r>
      <w:r w:rsidRPr="00304EEF">
        <w:rPr>
          <w:rFonts w:hint="eastAsia"/>
          <w:lang w:eastAsia="zh-CN"/>
        </w:rPr>
        <w:t>号文件</w:t>
      </w:r>
      <w:r w:rsidRPr="00304EEF">
        <w:rPr>
          <w:rFonts w:hint="eastAsia"/>
          <w:lang w:eastAsia="zh-CN"/>
        </w:rPr>
        <w:t>-</w:t>
      </w:r>
      <w:r w:rsidRPr="00304EEF">
        <w:rPr>
          <w:rFonts w:hint="eastAsia"/>
          <w:lang w:eastAsia="zh-CN"/>
        </w:rPr>
        <w:t>附录</w:t>
      </w:r>
      <w:r w:rsidRPr="00304EEF">
        <w:rPr>
          <w:rFonts w:hint="eastAsia"/>
          <w:lang w:eastAsia="zh-CN"/>
        </w:rPr>
        <w:t>1</w:t>
      </w:r>
      <w:r w:rsidRPr="00304EEF">
        <w:rPr>
          <w:rFonts w:hint="eastAsia"/>
          <w:lang w:eastAsia="zh-CN"/>
        </w:rPr>
        <w:t>和</w:t>
      </w:r>
      <w:r w:rsidRPr="00304EEF">
        <w:rPr>
          <w:rFonts w:hint="eastAsia"/>
          <w:lang w:eastAsia="zh-CN"/>
        </w:rPr>
        <w:t>2</w:t>
      </w:r>
      <w:r w:rsidR="00304EEF">
        <w:rPr>
          <w:rFonts w:hint="eastAsia"/>
          <w:lang w:eastAsia="zh-CN"/>
        </w:rPr>
        <w:t>。</w:t>
      </w:r>
    </w:p>
  </w:footnote>
  <w:footnote w:id="2">
    <w:p w:rsidR="0021353E" w:rsidRPr="00304EEF" w:rsidRDefault="0021353E" w:rsidP="0021353E">
      <w:pPr>
        <w:pStyle w:val="FootnoteText"/>
        <w:rPr>
          <w:lang w:eastAsia="zh-CN"/>
        </w:rPr>
      </w:pPr>
      <w:r>
        <w:rPr>
          <w:rStyle w:val="FootnoteReference"/>
        </w:rPr>
        <w:footnoteRef/>
      </w:r>
      <w:r>
        <w:rPr>
          <w:lang w:eastAsia="zh-CN"/>
        </w:rPr>
        <w:t xml:space="preserve"> </w:t>
      </w:r>
      <w:r w:rsidRPr="00304EEF">
        <w:rPr>
          <w:rFonts w:hint="eastAsia"/>
          <w:lang w:eastAsia="zh-CN"/>
        </w:rPr>
        <w:t>见国际电联</w:t>
      </w:r>
      <w:r w:rsidRPr="00304EEF">
        <w:rPr>
          <w:rFonts w:hint="eastAsia"/>
          <w:lang w:eastAsia="zh-CN"/>
        </w:rPr>
        <w:t>2012-2013</w:t>
      </w:r>
      <w:r w:rsidRPr="00304EEF">
        <w:rPr>
          <w:rFonts w:hint="eastAsia"/>
          <w:lang w:eastAsia="zh-CN"/>
        </w:rPr>
        <w:t>年预算草案</w:t>
      </w:r>
      <w:r w:rsidR="005159E2">
        <w:rPr>
          <w:lang w:eastAsia="zh-CN"/>
        </w:rPr>
        <w:t xml:space="preserve"> – </w:t>
      </w:r>
      <w:r w:rsidRPr="00304EEF">
        <w:rPr>
          <w:rFonts w:hint="eastAsia"/>
          <w:lang w:eastAsia="zh-CN"/>
        </w:rPr>
        <w:t>C11/10</w:t>
      </w:r>
      <w:r w:rsidR="005159E2">
        <w:rPr>
          <w:rFonts w:hint="eastAsia"/>
          <w:lang w:eastAsia="zh-CN"/>
        </w:rPr>
        <w:t>(</w:t>
      </w:r>
      <w:r w:rsidRPr="00304EEF">
        <w:rPr>
          <w:rFonts w:hint="eastAsia"/>
          <w:lang w:eastAsia="zh-CN"/>
        </w:rPr>
        <w:t>Add.1</w:t>
      </w:r>
      <w:r w:rsidR="005159E2">
        <w:rPr>
          <w:lang w:eastAsia="zh-CN"/>
        </w:rPr>
        <w:t>)</w:t>
      </w:r>
      <w:r w:rsidRPr="00304EEF">
        <w:rPr>
          <w:rFonts w:hint="eastAsia"/>
          <w:lang w:eastAsia="zh-CN"/>
        </w:rPr>
        <w:t>号文件（第</w:t>
      </w:r>
      <w:r w:rsidRPr="00304EEF">
        <w:rPr>
          <w:rFonts w:hint="eastAsia"/>
          <w:lang w:eastAsia="zh-CN"/>
        </w:rPr>
        <w:t>D</w:t>
      </w:r>
      <w:r w:rsidRPr="00304EEF">
        <w:rPr>
          <w:rFonts w:hint="eastAsia"/>
          <w:lang w:eastAsia="zh-CN"/>
        </w:rPr>
        <w:t>节，</w:t>
      </w:r>
      <w:r w:rsidRPr="00304EEF">
        <w:rPr>
          <w:rFonts w:hint="eastAsia"/>
          <w:lang w:eastAsia="zh-CN"/>
        </w:rPr>
        <w:t>UMAC</w:t>
      </w:r>
      <w:r w:rsidRPr="00304EEF">
        <w:rPr>
          <w:rFonts w:hint="eastAsia"/>
          <w:lang w:eastAsia="zh-CN"/>
        </w:rPr>
        <w:t>）和国际电联远程参会经验和行动计划建议</w:t>
      </w:r>
      <w:r w:rsidRPr="00304EEF">
        <w:rPr>
          <w:rFonts w:hint="eastAsia"/>
          <w:lang w:eastAsia="zh-CN"/>
        </w:rPr>
        <w:t>-</w:t>
      </w:r>
      <w:r w:rsidRPr="00304EEF">
        <w:rPr>
          <w:rFonts w:hint="eastAsia"/>
          <w:lang w:eastAsia="zh-CN"/>
        </w:rPr>
        <w:t>第</w:t>
      </w:r>
      <w:r w:rsidRPr="00304EEF">
        <w:rPr>
          <w:rFonts w:hint="eastAsia"/>
          <w:lang w:eastAsia="zh-CN"/>
        </w:rPr>
        <w:t>167</w:t>
      </w:r>
      <w:r w:rsidRPr="00304EEF">
        <w:rPr>
          <w:rFonts w:hint="eastAsia"/>
          <w:lang w:eastAsia="zh-CN"/>
        </w:rPr>
        <w:t>号决议（</w:t>
      </w:r>
      <w:r w:rsidRPr="00304EEF">
        <w:rPr>
          <w:rFonts w:hint="eastAsia"/>
          <w:lang w:eastAsia="zh-CN"/>
        </w:rPr>
        <w:t>2010</w:t>
      </w:r>
      <w:r w:rsidRPr="00304EEF">
        <w:rPr>
          <w:rFonts w:hint="eastAsia"/>
          <w:lang w:eastAsia="zh-CN"/>
        </w:rPr>
        <w:t>年，瓜达拉哈拉）</w:t>
      </w:r>
      <w:r w:rsidR="005159E2">
        <w:rPr>
          <w:lang w:eastAsia="zh-CN"/>
        </w:rPr>
        <w:t>–</w:t>
      </w:r>
      <w:r w:rsidRPr="00304EEF">
        <w:rPr>
          <w:rFonts w:hint="eastAsia"/>
          <w:lang w:eastAsia="zh-CN"/>
        </w:rPr>
        <w:t>（</w:t>
      </w:r>
      <w:r w:rsidRPr="00304EEF">
        <w:rPr>
          <w:rFonts w:hint="eastAsia"/>
          <w:lang w:eastAsia="zh-CN"/>
        </w:rPr>
        <w:t>C11/37</w:t>
      </w:r>
      <w:r w:rsidR="005159E2">
        <w:rPr>
          <w:lang w:eastAsia="zh-CN"/>
        </w:rPr>
        <w:t>(</w:t>
      </w:r>
      <w:r w:rsidRPr="00304EEF">
        <w:rPr>
          <w:rFonts w:hint="eastAsia"/>
          <w:lang w:eastAsia="zh-CN"/>
        </w:rPr>
        <w:t>Rev.-</w:t>
      </w:r>
      <w:proofErr w:type="gramStart"/>
      <w:r w:rsidRPr="00304EEF">
        <w:rPr>
          <w:rFonts w:hint="eastAsia"/>
          <w:lang w:eastAsia="zh-CN"/>
        </w:rPr>
        <w:t>1</w:t>
      </w:r>
      <w:r w:rsidR="005159E2">
        <w:rPr>
          <w:lang w:eastAsia="zh-CN"/>
        </w:rPr>
        <w:t>)</w:t>
      </w:r>
      <w:r w:rsidRPr="00304EEF">
        <w:rPr>
          <w:rFonts w:hint="eastAsia"/>
          <w:lang w:eastAsia="zh-CN"/>
        </w:rPr>
        <w:t>号文件</w:t>
      </w:r>
      <w:proofErr w:type="gramEnd"/>
      <w:r w:rsidRPr="00304EEF">
        <w:rPr>
          <w:rFonts w:hint="eastAsia"/>
          <w:lang w:eastAsia="zh-CN"/>
        </w:rPr>
        <w:t>）</w:t>
      </w:r>
      <w:r w:rsidR="00625C01">
        <w:rPr>
          <w:rFonts w:hint="eastAsia"/>
          <w:lang w:eastAsia="zh-CN"/>
        </w:rPr>
        <w:t>。</w:t>
      </w:r>
    </w:p>
  </w:footnote>
  <w:footnote w:id="3">
    <w:p w:rsidR="0021353E" w:rsidRPr="00304EEF" w:rsidRDefault="0021353E" w:rsidP="0021353E">
      <w:pPr>
        <w:pStyle w:val="FootnoteText"/>
        <w:rPr>
          <w:lang w:eastAsia="zh-CN"/>
        </w:rPr>
      </w:pPr>
      <w:r>
        <w:rPr>
          <w:rStyle w:val="FootnoteReference"/>
        </w:rPr>
        <w:footnoteRef/>
      </w:r>
      <w:r>
        <w:rPr>
          <w:lang w:eastAsia="zh-CN"/>
        </w:rPr>
        <w:t xml:space="preserve"> </w:t>
      </w:r>
      <w:r w:rsidRPr="00304EEF">
        <w:rPr>
          <w:rFonts w:hint="eastAsia"/>
          <w:lang w:eastAsia="zh-CN"/>
        </w:rPr>
        <w:t>见第</w:t>
      </w:r>
      <w:r w:rsidRPr="00304EEF">
        <w:rPr>
          <w:rFonts w:hint="eastAsia"/>
          <w:lang w:eastAsia="zh-CN"/>
        </w:rPr>
        <w:t>1337</w:t>
      </w:r>
      <w:r w:rsidRPr="00304EEF">
        <w:rPr>
          <w:rFonts w:hint="eastAsia"/>
          <w:lang w:eastAsia="zh-CN"/>
        </w:rPr>
        <w:t>号决议</w:t>
      </w:r>
      <w:r w:rsidR="005159E2">
        <w:rPr>
          <w:rFonts w:hint="eastAsia"/>
          <w:lang w:eastAsia="zh-CN"/>
        </w:rPr>
        <w:t xml:space="preserve"> </w:t>
      </w:r>
      <w:r w:rsidR="005159E2">
        <w:rPr>
          <w:lang w:eastAsia="zh-CN"/>
        </w:rPr>
        <w:t xml:space="preserve">– </w:t>
      </w:r>
      <w:r w:rsidRPr="00304EEF">
        <w:rPr>
          <w:rFonts w:hint="eastAsia"/>
          <w:lang w:eastAsia="zh-CN"/>
        </w:rPr>
        <w:t>国际电联</w:t>
      </w:r>
      <w:r w:rsidRPr="00304EEF">
        <w:rPr>
          <w:rFonts w:hint="eastAsia"/>
          <w:lang w:eastAsia="zh-CN"/>
        </w:rPr>
        <w:t>2012-2013</w:t>
      </w:r>
      <w:r w:rsidRPr="00304EEF">
        <w:rPr>
          <w:rFonts w:hint="eastAsia"/>
          <w:lang w:eastAsia="zh-CN"/>
        </w:rPr>
        <w:t>两年期预算（</w:t>
      </w:r>
      <w:r w:rsidRPr="00304EEF">
        <w:rPr>
          <w:rFonts w:hint="eastAsia"/>
          <w:lang w:eastAsia="zh-CN"/>
        </w:rPr>
        <w:t>C11/105</w:t>
      </w:r>
      <w:r w:rsidRPr="00304EEF">
        <w:rPr>
          <w:rFonts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040024">
      <w:rPr>
        <w:noProof/>
      </w:rPr>
      <w:t>2</w:t>
    </w:r>
    <w:r>
      <w:fldChar w:fldCharType="end"/>
    </w:r>
    <w:r w:rsidR="004B5D7E">
      <w:t>/</w:t>
    </w:r>
    <w:fldSimple w:instr=" NUMPAGES   \* MERGEFORMAT ">
      <w:r w:rsidR="00040024">
        <w:rPr>
          <w:noProof/>
        </w:rPr>
        <w:t>4</w:t>
      </w:r>
    </w:fldSimple>
  </w:p>
  <w:p w:rsidR="00C710E5" w:rsidRPr="00811D55" w:rsidRDefault="0021353E" w:rsidP="00811D55">
    <w:pPr>
      <w:pStyle w:val="Header"/>
    </w:pPr>
    <w:r>
      <w:t>PP14/55</w:t>
    </w:r>
    <w:r w:rsidR="00811D55">
      <w:t>-</w:t>
    </w:r>
    <w:r w:rsidR="00811D55"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A2B"/>
    <w:multiLevelType w:val="hybridMultilevel"/>
    <w:tmpl w:val="1A20C13C"/>
    <w:lvl w:ilvl="0" w:tplc="7DA6C048">
      <w:start w:val="1"/>
      <w:numFmt w:val="bullet"/>
      <w:lvlText w:val="-"/>
      <w:lvlJc w:val="left"/>
      <w:pPr>
        <w:ind w:left="360" w:hanging="360"/>
      </w:pPr>
      <w:rPr>
        <w:rFonts w:ascii="Calibri" w:eastAsiaTheme="minorEastAsia" w:hAnsi="Calibri" w:cstheme="minorBidi"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01788F"/>
    <w:multiLevelType w:val="hybridMultilevel"/>
    <w:tmpl w:val="E134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82D4B"/>
    <w:multiLevelType w:val="hybridMultilevel"/>
    <w:tmpl w:val="45F2D326"/>
    <w:lvl w:ilvl="0" w:tplc="7DA6C048">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992AAB"/>
    <w:multiLevelType w:val="hybridMultilevel"/>
    <w:tmpl w:val="49FC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221AE"/>
    <w:rsid w:val="00040024"/>
    <w:rsid w:val="00040A47"/>
    <w:rsid w:val="00057B6E"/>
    <w:rsid w:val="00060F02"/>
    <w:rsid w:val="00076062"/>
    <w:rsid w:val="0009673E"/>
    <w:rsid w:val="000B5327"/>
    <w:rsid w:val="000C4701"/>
    <w:rsid w:val="000E4C7A"/>
    <w:rsid w:val="000E5245"/>
    <w:rsid w:val="000F68C6"/>
    <w:rsid w:val="00124C8F"/>
    <w:rsid w:val="00125484"/>
    <w:rsid w:val="00126FE1"/>
    <w:rsid w:val="0013327E"/>
    <w:rsid w:val="00137909"/>
    <w:rsid w:val="0014254A"/>
    <w:rsid w:val="00167FD3"/>
    <w:rsid w:val="00171990"/>
    <w:rsid w:val="001A0257"/>
    <w:rsid w:val="001A0EEB"/>
    <w:rsid w:val="001A4A66"/>
    <w:rsid w:val="001B25D1"/>
    <w:rsid w:val="0021353E"/>
    <w:rsid w:val="002155B0"/>
    <w:rsid w:val="00231ABC"/>
    <w:rsid w:val="00241DDB"/>
    <w:rsid w:val="002578B4"/>
    <w:rsid w:val="002A0F5C"/>
    <w:rsid w:val="002A2125"/>
    <w:rsid w:val="002B39F5"/>
    <w:rsid w:val="002E37AF"/>
    <w:rsid w:val="00304EEF"/>
    <w:rsid w:val="00307225"/>
    <w:rsid w:val="003477D4"/>
    <w:rsid w:val="00375BBA"/>
    <w:rsid w:val="003760D8"/>
    <w:rsid w:val="00383A29"/>
    <w:rsid w:val="0038484C"/>
    <w:rsid w:val="0038575F"/>
    <w:rsid w:val="00387EA2"/>
    <w:rsid w:val="003907C4"/>
    <w:rsid w:val="00395CE4"/>
    <w:rsid w:val="003B0668"/>
    <w:rsid w:val="004014B0"/>
    <w:rsid w:val="00414872"/>
    <w:rsid w:val="00426AC1"/>
    <w:rsid w:val="0045019C"/>
    <w:rsid w:val="004676C0"/>
    <w:rsid w:val="00476923"/>
    <w:rsid w:val="00476CAF"/>
    <w:rsid w:val="00485E71"/>
    <w:rsid w:val="004B5D7E"/>
    <w:rsid w:val="004D3182"/>
    <w:rsid w:val="005061F9"/>
    <w:rsid w:val="005159E2"/>
    <w:rsid w:val="00517E65"/>
    <w:rsid w:val="005356FD"/>
    <w:rsid w:val="00542073"/>
    <w:rsid w:val="00554E24"/>
    <w:rsid w:val="00564B8D"/>
    <w:rsid w:val="00567130"/>
    <w:rsid w:val="00596A53"/>
    <w:rsid w:val="005A6A1D"/>
    <w:rsid w:val="005C1E39"/>
    <w:rsid w:val="005E4794"/>
    <w:rsid w:val="005F67CE"/>
    <w:rsid w:val="00617BE4"/>
    <w:rsid w:val="00622189"/>
    <w:rsid w:val="00625C01"/>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9F1F97"/>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B7A2B"/>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1311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Index1">
    <w:name w:val="index 1"/>
    <w:basedOn w:val="Normal"/>
    <w:next w:val="Normal"/>
    <w:semiHidden/>
    <w:rsid w:val="0021353E"/>
    <w:pPr>
      <w:tabs>
        <w:tab w:val="clear" w:pos="567"/>
        <w:tab w:val="clear" w:pos="1134"/>
        <w:tab w:val="clear" w:pos="1701"/>
        <w:tab w:val="clear" w:pos="2268"/>
        <w:tab w:val="clear" w:pos="2835"/>
        <w:tab w:val="left" w:pos="794"/>
        <w:tab w:val="left" w:pos="1191"/>
        <w:tab w:val="left" w:pos="1588"/>
        <w:tab w:val="left" w:pos="1985"/>
      </w:tabs>
    </w:pPr>
  </w:style>
  <w:style w:type="paragraph" w:styleId="BodyTextIndent3">
    <w:name w:val="Body Text Indent 3"/>
    <w:basedOn w:val="Normal"/>
    <w:link w:val="BodyTextIndent3Char"/>
    <w:rsid w:val="0021353E"/>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21353E"/>
    <w:rPr>
      <w:rFonts w:ascii="Calibri" w:eastAsia="SimSun" w:hAnsi="Calibri"/>
      <w:sz w:val="22"/>
      <w:lang w:val="fr-FR"/>
    </w:rPr>
  </w:style>
  <w:style w:type="paragraph" w:styleId="ListParagraph">
    <w:name w:val="List Paragraph"/>
    <w:basedOn w:val="Normal"/>
    <w:uiPriority w:val="34"/>
    <w:qFormat/>
    <w:rsid w:val="0021353E"/>
    <w:pPr>
      <w:ind w:left="720"/>
      <w:contextualSpacing/>
    </w:pPr>
    <w:rPr>
      <w:rFonts w:eastAsia="Times New Roman"/>
    </w:rPr>
  </w:style>
  <w:style w:type="table" w:styleId="TableGrid">
    <w:name w:val="Table Grid"/>
    <w:basedOn w:val="TableNormal"/>
    <w:uiPriority w:val="59"/>
    <w:rsid w:val="0021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styleId="Index1">
    <w:name w:val="index 1"/>
    <w:basedOn w:val="Normal"/>
    <w:next w:val="Normal"/>
    <w:semiHidden/>
    <w:rsid w:val="0021353E"/>
    <w:pPr>
      <w:tabs>
        <w:tab w:val="clear" w:pos="567"/>
        <w:tab w:val="clear" w:pos="1134"/>
        <w:tab w:val="clear" w:pos="1701"/>
        <w:tab w:val="clear" w:pos="2268"/>
        <w:tab w:val="clear" w:pos="2835"/>
        <w:tab w:val="left" w:pos="794"/>
        <w:tab w:val="left" w:pos="1191"/>
        <w:tab w:val="left" w:pos="1588"/>
        <w:tab w:val="left" w:pos="1985"/>
      </w:tabs>
    </w:pPr>
  </w:style>
  <w:style w:type="paragraph" w:styleId="BodyTextIndent3">
    <w:name w:val="Body Text Indent 3"/>
    <w:basedOn w:val="Normal"/>
    <w:link w:val="BodyTextIndent3Char"/>
    <w:rsid w:val="0021353E"/>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21353E"/>
    <w:rPr>
      <w:rFonts w:ascii="Calibri" w:eastAsia="SimSun" w:hAnsi="Calibri"/>
      <w:sz w:val="22"/>
      <w:lang w:val="fr-FR"/>
    </w:rPr>
  </w:style>
  <w:style w:type="paragraph" w:styleId="ListParagraph">
    <w:name w:val="List Paragraph"/>
    <w:basedOn w:val="Normal"/>
    <w:uiPriority w:val="34"/>
    <w:qFormat/>
    <w:rsid w:val="0021353E"/>
    <w:pPr>
      <w:ind w:left="720"/>
      <w:contextualSpacing/>
    </w:pPr>
    <w:rPr>
      <w:rFonts w:eastAsia="Times New Roman"/>
    </w:rPr>
  </w:style>
  <w:style w:type="table" w:styleId="TableGrid">
    <w:name w:val="Table Grid"/>
    <w:basedOn w:val="TableNormal"/>
    <w:uiPriority w:val="59"/>
    <w:rsid w:val="0021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INF-000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2-CL-C-002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S11-CL-C-0037" TargetMode="External"/><Relationship Id="rId5" Type="http://schemas.openxmlformats.org/officeDocument/2006/relationships/settings" Target="settings.xml"/><Relationship Id="rId15" Type="http://schemas.openxmlformats.org/officeDocument/2006/relationships/hyperlink" Target="http://www.itu.int/md/S14-CL-C-0020/en" TargetMode="External"/><Relationship Id="rId10" Type="http://schemas.openxmlformats.org/officeDocument/2006/relationships/hyperlink" Target="http://www.itu.int/council/Basic-Texts/ResDecRec-PP10-c.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3-CL-C-002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8F28-3569-48D0-8F23-B7661D63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2249</Words>
  <Characters>910</Characters>
  <Application>Microsoft Office Word</Application>
  <DocSecurity>0</DocSecurity>
  <Lines>7</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3153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keywords>PP-14</cp:keywords>
  <dc:description/>
  <cp:lastModifiedBy>Brouard, Ricarda</cp:lastModifiedBy>
  <cp:revision>3</cp:revision>
  <cp:lastPrinted>2014-08-18T14:43:00Z</cp:lastPrinted>
  <dcterms:created xsi:type="dcterms:W3CDTF">2014-08-19T08:29:00Z</dcterms:created>
  <dcterms:modified xsi:type="dcterms:W3CDTF">2014-08-19T08:30:00Z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