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E4D0F" w:rsidRPr="00F43F8D">
        <w:trPr>
          <w:cantSplit/>
        </w:trPr>
        <w:tc>
          <w:tcPr>
            <w:tcW w:w="6911" w:type="dxa"/>
          </w:tcPr>
          <w:p w:rsidR="007E4D0F" w:rsidRPr="00F43F8D" w:rsidRDefault="007E4D0F" w:rsidP="00D37469">
            <w:pPr>
              <w:spacing w:before="240" w:after="48"/>
              <w:rPr>
                <w:rFonts w:ascii="Verdana" w:hAnsi="Verdana"/>
                <w:position w:val="6"/>
                <w:szCs w:val="22"/>
                <w:lang w:val="ru-RU"/>
              </w:rPr>
            </w:pPr>
            <w:r w:rsidRPr="00F43F8D">
              <w:rPr>
                <w:b/>
                <w:bCs/>
                <w:sz w:val="28"/>
                <w:szCs w:val="28"/>
                <w:lang w:val="ru-RU"/>
              </w:rPr>
              <w:t>Полномочная конференция (ПК-1</w:t>
            </w:r>
            <w:r w:rsidR="00D37469" w:rsidRPr="00F43F8D">
              <w:rPr>
                <w:b/>
                <w:bCs/>
                <w:sz w:val="28"/>
                <w:szCs w:val="28"/>
                <w:lang w:val="ru-RU"/>
              </w:rPr>
              <w:t>4</w:t>
            </w:r>
            <w:r w:rsidRPr="00F43F8D">
              <w:rPr>
                <w:b/>
                <w:bCs/>
                <w:sz w:val="28"/>
                <w:szCs w:val="28"/>
                <w:lang w:val="ru-RU"/>
              </w:rPr>
              <w:t>)</w:t>
            </w:r>
            <w:r w:rsidRPr="00F43F8D">
              <w:rPr>
                <w:rFonts w:ascii="Verdana" w:hAnsi="Verdana"/>
                <w:szCs w:val="22"/>
                <w:lang w:val="ru-RU"/>
              </w:rPr>
              <w:br/>
            </w:r>
            <w:r w:rsidR="00D37469" w:rsidRPr="00F43F8D">
              <w:rPr>
                <w:b/>
                <w:bCs/>
                <w:lang w:val="ru-RU"/>
              </w:rPr>
              <w:t>Пусан, 20 октября – 7 ноября 2014 г.</w:t>
            </w:r>
          </w:p>
        </w:tc>
        <w:tc>
          <w:tcPr>
            <w:tcW w:w="3120" w:type="dxa"/>
          </w:tcPr>
          <w:p w:rsidR="007E4D0F" w:rsidRPr="00F43F8D" w:rsidRDefault="00D37469">
            <w:pPr>
              <w:spacing w:before="0" w:line="240" w:lineRule="atLeast"/>
              <w:rPr>
                <w:szCs w:val="22"/>
                <w:lang w:val="ru-RU"/>
              </w:rPr>
            </w:pPr>
            <w:bookmarkStart w:id="0" w:name="ditulogo"/>
            <w:bookmarkEnd w:id="0"/>
            <w:r w:rsidRPr="00F43F8D">
              <w:rPr>
                <w:lang w:val="ru-RU" w:eastAsia="en-GB"/>
              </w:rPr>
              <w:drawing>
                <wp:inline distT="0" distB="0" distL="0" distR="0" wp14:anchorId="5E8A9FE2" wp14:editId="0724958B">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7E4D0F" w:rsidRPr="00F43F8D">
        <w:trPr>
          <w:cantSplit/>
        </w:trPr>
        <w:tc>
          <w:tcPr>
            <w:tcW w:w="6911" w:type="dxa"/>
            <w:tcBorders>
              <w:bottom w:val="single" w:sz="12" w:space="0" w:color="auto"/>
            </w:tcBorders>
          </w:tcPr>
          <w:p w:rsidR="007E4D0F" w:rsidRPr="00F43F8D" w:rsidRDefault="007E4D0F">
            <w:pPr>
              <w:spacing w:before="0" w:after="48" w:line="240" w:lineRule="atLeast"/>
              <w:rPr>
                <w:b/>
                <w:smallCaps/>
                <w:szCs w:val="22"/>
                <w:lang w:val="ru-RU"/>
              </w:rPr>
            </w:pPr>
          </w:p>
        </w:tc>
        <w:tc>
          <w:tcPr>
            <w:tcW w:w="3120" w:type="dxa"/>
            <w:tcBorders>
              <w:bottom w:val="single" w:sz="12" w:space="0" w:color="auto"/>
            </w:tcBorders>
          </w:tcPr>
          <w:p w:rsidR="007E4D0F" w:rsidRPr="00F43F8D" w:rsidRDefault="007E4D0F">
            <w:pPr>
              <w:spacing w:before="0" w:line="240" w:lineRule="atLeast"/>
              <w:rPr>
                <w:rFonts w:ascii="Verdana" w:hAnsi="Verdana"/>
                <w:szCs w:val="22"/>
                <w:lang w:val="ru-RU"/>
              </w:rPr>
            </w:pPr>
          </w:p>
        </w:tc>
      </w:tr>
      <w:tr w:rsidR="007E4D0F" w:rsidRPr="00F43F8D">
        <w:trPr>
          <w:cantSplit/>
        </w:trPr>
        <w:tc>
          <w:tcPr>
            <w:tcW w:w="6911" w:type="dxa"/>
            <w:tcBorders>
              <w:top w:val="single" w:sz="12" w:space="0" w:color="auto"/>
            </w:tcBorders>
          </w:tcPr>
          <w:p w:rsidR="007E4D0F" w:rsidRPr="00F43F8D" w:rsidRDefault="007E4D0F">
            <w:pPr>
              <w:spacing w:before="0" w:after="48" w:line="240" w:lineRule="atLeast"/>
              <w:rPr>
                <w:b/>
                <w:smallCaps/>
                <w:szCs w:val="22"/>
                <w:lang w:val="ru-RU"/>
              </w:rPr>
            </w:pPr>
          </w:p>
        </w:tc>
        <w:tc>
          <w:tcPr>
            <w:tcW w:w="3120" w:type="dxa"/>
            <w:tcBorders>
              <w:top w:val="single" w:sz="12" w:space="0" w:color="auto"/>
            </w:tcBorders>
          </w:tcPr>
          <w:p w:rsidR="007E4D0F" w:rsidRPr="00F43F8D" w:rsidRDefault="007E4D0F">
            <w:pPr>
              <w:spacing w:before="0" w:line="240" w:lineRule="atLeast"/>
              <w:rPr>
                <w:szCs w:val="22"/>
                <w:lang w:val="ru-RU"/>
              </w:rPr>
            </w:pPr>
          </w:p>
        </w:tc>
      </w:tr>
      <w:tr w:rsidR="007E4D0F" w:rsidRPr="00F43F8D">
        <w:trPr>
          <w:cantSplit/>
          <w:trHeight w:val="23"/>
        </w:trPr>
        <w:tc>
          <w:tcPr>
            <w:tcW w:w="6911" w:type="dxa"/>
            <w:vMerge w:val="restart"/>
          </w:tcPr>
          <w:p w:rsidR="007E4D0F" w:rsidRPr="00F43F8D" w:rsidRDefault="00B54B28" w:rsidP="00744A6B">
            <w:pPr>
              <w:tabs>
                <w:tab w:val="left" w:pos="851"/>
              </w:tabs>
              <w:spacing w:before="0" w:line="240" w:lineRule="atLeast"/>
              <w:rPr>
                <w:b/>
                <w:bCs/>
                <w:szCs w:val="22"/>
                <w:lang w:val="ru-RU"/>
              </w:rPr>
            </w:pPr>
            <w:bookmarkStart w:id="1" w:name="dmeeting" w:colFirst="0" w:colLast="0"/>
            <w:r w:rsidRPr="00F43F8D">
              <w:rPr>
                <w:b/>
                <w:bCs/>
                <w:szCs w:val="22"/>
                <w:lang w:val="ru-RU"/>
              </w:rPr>
              <w:t>ПЛЕНАРНОЕ ЗАСЕДАНИЕ</w:t>
            </w:r>
          </w:p>
        </w:tc>
        <w:tc>
          <w:tcPr>
            <w:tcW w:w="3120" w:type="dxa"/>
          </w:tcPr>
          <w:p w:rsidR="007E4D0F" w:rsidRPr="00F43F8D" w:rsidRDefault="00B54B28" w:rsidP="000A4723">
            <w:pPr>
              <w:tabs>
                <w:tab w:val="left" w:pos="851"/>
              </w:tabs>
              <w:spacing w:before="0" w:line="240" w:lineRule="atLeast"/>
              <w:rPr>
                <w:b/>
                <w:bCs/>
                <w:szCs w:val="22"/>
                <w:lang w:val="ru-RU"/>
              </w:rPr>
            </w:pPr>
            <w:bookmarkStart w:id="2" w:name="dnum"/>
            <w:bookmarkEnd w:id="2"/>
            <w:r w:rsidRPr="00F43F8D">
              <w:rPr>
                <w:b/>
                <w:bCs/>
                <w:szCs w:val="22"/>
                <w:lang w:val="ru-RU"/>
              </w:rPr>
              <w:t xml:space="preserve">Документ </w:t>
            </w:r>
            <w:r w:rsidR="000A4723" w:rsidRPr="00F43F8D">
              <w:rPr>
                <w:b/>
                <w:bCs/>
                <w:szCs w:val="22"/>
                <w:lang w:val="ru-RU"/>
              </w:rPr>
              <w:t>54</w:t>
            </w:r>
            <w:r w:rsidRPr="00F43F8D">
              <w:rPr>
                <w:b/>
                <w:bCs/>
                <w:szCs w:val="22"/>
                <w:lang w:val="ru-RU"/>
              </w:rPr>
              <w:t>-R</w:t>
            </w:r>
          </w:p>
        </w:tc>
      </w:tr>
      <w:tr w:rsidR="007E4D0F" w:rsidRPr="00F43F8D">
        <w:trPr>
          <w:cantSplit/>
          <w:trHeight w:val="23"/>
        </w:trPr>
        <w:tc>
          <w:tcPr>
            <w:tcW w:w="6911" w:type="dxa"/>
            <w:vMerge/>
          </w:tcPr>
          <w:p w:rsidR="007E4D0F" w:rsidRPr="00F43F8D" w:rsidRDefault="007E4D0F" w:rsidP="00744A6B">
            <w:pPr>
              <w:tabs>
                <w:tab w:val="left" w:pos="851"/>
              </w:tabs>
              <w:spacing w:before="0" w:line="240" w:lineRule="atLeast"/>
              <w:rPr>
                <w:b/>
                <w:bCs/>
                <w:szCs w:val="22"/>
                <w:lang w:val="ru-RU"/>
              </w:rPr>
            </w:pPr>
            <w:bookmarkStart w:id="3" w:name="ddate" w:colFirst="1" w:colLast="1"/>
            <w:bookmarkEnd w:id="1"/>
          </w:p>
        </w:tc>
        <w:tc>
          <w:tcPr>
            <w:tcW w:w="3120" w:type="dxa"/>
          </w:tcPr>
          <w:p w:rsidR="007E4D0F" w:rsidRPr="00F43F8D" w:rsidRDefault="00B54B28" w:rsidP="000A4723">
            <w:pPr>
              <w:tabs>
                <w:tab w:val="left" w:pos="993"/>
              </w:tabs>
              <w:spacing w:before="0"/>
              <w:rPr>
                <w:b/>
                <w:bCs/>
                <w:szCs w:val="22"/>
                <w:lang w:val="ru-RU"/>
              </w:rPr>
            </w:pPr>
            <w:r w:rsidRPr="00F43F8D">
              <w:rPr>
                <w:b/>
                <w:bCs/>
                <w:szCs w:val="22"/>
                <w:lang w:val="ru-RU"/>
              </w:rPr>
              <w:t>2</w:t>
            </w:r>
            <w:r w:rsidR="000A4723" w:rsidRPr="00F43F8D">
              <w:rPr>
                <w:b/>
                <w:bCs/>
                <w:szCs w:val="22"/>
                <w:lang w:val="ru-RU"/>
              </w:rPr>
              <w:t>6</w:t>
            </w:r>
            <w:r w:rsidRPr="00F43F8D">
              <w:rPr>
                <w:b/>
                <w:bCs/>
                <w:szCs w:val="22"/>
                <w:lang w:val="ru-RU"/>
              </w:rPr>
              <w:t xml:space="preserve"> </w:t>
            </w:r>
            <w:r w:rsidR="000A4723" w:rsidRPr="00F43F8D">
              <w:rPr>
                <w:b/>
                <w:bCs/>
                <w:szCs w:val="22"/>
                <w:lang w:val="ru-RU"/>
              </w:rPr>
              <w:t>июня</w:t>
            </w:r>
            <w:r w:rsidRPr="00F43F8D">
              <w:rPr>
                <w:b/>
                <w:bCs/>
                <w:szCs w:val="22"/>
                <w:lang w:val="ru-RU"/>
              </w:rPr>
              <w:t xml:space="preserve"> 201</w:t>
            </w:r>
            <w:r w:rsidR="000A4723" w:rsidRPr="00F43F8D">
              <w:rPr>
                <w:b/>
                <w:bCs/>
                <w:szCs w:val="22"/>
                <w:lang w:val="ru-RU"/>
              </w:rPr>
              <w:t>4</w:t>
            </w:r>
            <w:r w:rsidRPr="00F43F8D">
              <w:rPr>
                <w:b/>
                <w:bCs/>
                <w:szCs w:val="22"/>
                <w:lang w:val="ru-RU"/>
              </w:rPr>
              <w:t xml:space="preserve"> года</w:t>
            </w:r>
          </w:p>
        </w:tc>
      </w:tr>
      <w:tr w:rsidR="007E4D0F" w:rsidRPr="00F43F8D">
        <w:trPr>
          <w:cantSplit/>
          <w:trHeight w:val="23"/>
        </w:trPr>
        <w:tc>
          <w:tcPr>
            <w:tcW w:w="6911" w:type="dxa"/>
            <w:vMerge/>
          </w:tcPr>
          <w:p w:rsidR="007E4D0F" w:rsidRPr="00F43F8D" w:rsidRDefault="007E4D0F" w:rsidP="00744A6B">
            <w:pPr>
              <w:tabs>
                <w:tab w:val="left" w:pos="851"/>
              </w:tabs>
              <w:spacing w:before="0" w:line="240" w:lineRule="atLeast"/>
              <w:rPr>
                <w:b/>
                <w:bCs/>
                <w:szCs w:val="22"/>
                <w:lang w:val="ru-RU"/>
              </w:rPr>
            </w:pPr>
            <w:bookmarkStart w:id="4" w:name="dorlang" w:colFirst="1" w:colLast="1"/>
            <w:bookmarkEnd w:id="3"/>
          </w:p>
        </w:tc>
        <w:tc>
          <w:tcPr>
            <w:tcW w:w="3120" w:type="dxa"/>
          </w:tcPr>
          <w:p w:rsidR="007E4D0F" w:rsidRPr="00F43F8D" w:rsidRDefault="00B54B28" w:rsidP="00744A6B">
            <w:pPr>
              <w:tabs>
                <w:tab w:val="left" w:pos="993"/>
              </w:tabs>
              <w:spacing w:before="0"/>
              <w:rPr>
                <w:b/>
                <w:bCs/>
                <w:szCs w:val="22"/>
                <w:lang w:val="ru-RU"/>
              </w:rPr>
            </w:pPr>
            <w:r w:rsidRPr="00F43F8D">
              <w:rPr>
                <w:b/>
                <w:bCs/>
                <w:szCs w:val="22"/>
                <w:lang w:val="ru-RU"/>
              </w:rPr>
              <w:t>Оригинал: английский</w:t>
            </w:r>
          </w:p>
        </w:tc>
      </w:tr>
      <w:tr w:rsidR="007E4D0F" w:rsidRPr="00F43F8D">
        <w:trPr>
          <w:cantSplit/>
        </w:trPr>
        <w:tc>
          <w:tcPr>
            <w:tcW w:w="10031" w:type="dxa"/>
            <w:gridSpan w:val="2"/>
          </w:tcPr>
          <w:p w:rsidR="007E4D0F" w:rsidRPr="00F43F8D" w:rsidRDefault="00B54B28">
            <w:pPr>
              <w:pStyle w:val="Source"/>
              <w:rPr>
                <w:lang w:val="ru-RU"/>
              </w:rPr>
            </w:pPr>
            <w:bookmarkStart w:id="5" w:name="dsource" w:colFirst="0" w:colLast="0"/>
            <w:bookmarkEnd w:id="4"/>
            <w:r w:rsidRPr="00F43F8D">
              <w:rPr>
                <w:lang w:val="ru-RU"/>
              </w:rPr>
              <w:t>Записка Генерального секретаря</w:t>
            </w:r>
          </w:p>
        </w:tc>
      </w:tr>
      <w:tr w:rsidR="007E4D0F" w:rsidRPr="00F43F8D">
        <w:trPr>
          <w:cantSplit/>
        </w:trPr>
        <w:tc>
          <w:tcPr>
            <w:tcW w:w="10031" w:type="dxa"/>
            <w:gridSpan w:val="2"/>
          </w:tcPr>
          <w:p w:rsidR="007E4D0F" w:rsidRPr="00F43F8D" w:rsidRDefault="00C147EA" w:rsidP="00EF3E27">
            <w:pPr>
              <w:pStyle w:val="Title1"/>
              <w:rPr>
                <w:lang w:val="ru-RU"/>
              </w:rPr>
            </w:pPr>
            <w:bookmarkStart w:id="6" w:name="dtitle1" w:colFirst="0" w:colLast="0"/>
            <w:bookmarkEnd w:id="5"/>
            <w:r w:rsidRPr="00F43F8D">
              <w:rPr>
                <w:lang w:val="ru-RU"/>
              </w:rPr>
              <w:t xml:space="preserve">ОТЧЕТ ДИРЕКТОРА БСЭ О ПЛАНЕ ДЕЙСТВИЙ В РЕЗОЛЮЦИИ 44 </w:t>
            </w:r>
            <w:r w:rsidR="00EF3E27" w:rsidRPr="00F43F8D">
              <w:rPr>
                <w:lang w:val="ru-RU"/>
              </w:rPr>
              <w:t>"</w:t>
            </w:r>
            <w:r w:rsidRPr="00F43F8D">
              <w:rPr>
                <w:lang w:val="ru-RU"/>
              </w:rPr>
              <w:t>Преодоление разрыва в стандартизации</w:t>
            </w:r>
            <w:r w:rsidR="007D103E" w:rsidRPr="00F43F8D">
              <w:rPr>
                <w:lang w:val="ru-RU"/>
              </w:rPr>
              <w:t xml:space="preserve"> между развивающимися </w:t>
            </w:r>
            <w:r w:rsidR="00EF3E27" w:rsidRPr="00F43F8D">
              <w:rPr>
                <w:lang w:val="ru-RU"/>
              </w:rPr>
              <w:br/>
            </w:r>
            <w:r w:rsidR="007D103E" w:rsidRPr="00F43F8D">
              <w:rPr>
                <w:lang w:val="ru-RU"/>
              </w:rPr>
              <w:t>и развитыми странами</w:t>
            </w:r>
            <w:r w:rsidR="00EF3E27" w:rsidRPr="00F43F8D">
              <w:rPr>
                <w:lang w:val="ru-RU"/>
              </w:rPr>
              <w:t>"</w:t>
            </w:r>
            <w:r w:rsidR="00BC4ECB" w:rsidRPr="00F43F8D">
              <w:rPr>
                <w:lang w:val="ru-RU"/>
              </w:rPr>
              <w:t xml:space="preserve"> ВАСЭ-12</w:t>
            </w:r>
          </w:p>
        </w:tc>
      </w:tr>
      <w:tr w:rsidR="007E4D0F" w:rsidRPr="00F43F8D">
        <w:trPr>
          <w:cantSplit/>
        </w:trPr>
        <w:tc>
          <w:tcPr>
            <w:tcW w:w="10031" w:type="dxa"/>
            <w:gridSpan w:val="2"/>
          </w:tcPr>
          <w:p w:rsidR="007E4D0F" w:rsidRPr="00F43F8D" w:rsidRDefault="007E4D0F">
            <w:pPr>
              <w:pStyle w:val="Title2"/>
              <w:rPr>
                <w:szCs w:val="22"/>
                <w:lang w:val="ru-RU"/>
              </w:rPr>
            </w:pPr>
            <w:bookmarkStart w:id="7" w:name="dtitle2" w:colFirst="0" w:colLast="0"/>
            <w:bookmarkEnd w:id="6"/>
          </w:p>
        </w:tc>
      </w:tr>
    </w:tbl>
    <w:p w:rsidR="000A4723" w:rsidRPr="00F43F8D" w:rsidRDefault="009532C8" w:rsidP="009532C8">
      <w:pPr>
        <w:pStyle w:val="Normalaftertitle"/>
        <w:rPr>
          <w:lang w:val="ru-RU"/>
        </w:rPr>
      </w:pPr>
      <w:bookmarkStart w:id="8" w:name="dbreak"/>
      <w:bookmarkEnd w:id="7"/>
      <w:bookmarkEnd w:id="8"/>
      <w:r w:rsidRPr="00F43F8D">
        <w:rPr>
          <w:lang w:val="ru-RU"/>
        </w:rPr>
        <w:t>В</w:t>
      </w:r>
      <w:r w:rsidR="00EF3E27" w:rsidRPr="00F43F8D">
        <w:rPr>
          <w:lang w:val="ru-RU"/>
        </w:rPr>
        <w:t xml:space="preserve"> соответствии с</w:t>
      </w:r>
      <w:r w:rsidRPr="00F43F8D">
        <w:rPr>
          <w:lang w:val="ru-RU"/>
        </w:rPr>
        <w:t xml:space="preserve"> Резолюци</w:t>
      </w:r>
      <w:r w:rsidR="00EF3E27" w:rsidRPr="00F43F8D">
        <w:rPr>
          <w:lang w:val="ru-RU"/>
        </w:rPr>
        <w:t>ей</w:t>
      </w:r>
      <w:r w:rsidRPr="00F43F8D">
        <w:rPr>
          <w:lang w:val="ru-RU"/>
        </w:rPr>
        <w:t xml:space="preserve"> 123 ПК-10 н</w:t>
      </w:r>
      <w:r w:rsidR="00C147EA" w:rsidRPr="00F43F8D">
        <w:rPr>
          <w:lang w:val="ru-RU"/>
        </w:rPr>
        <w:t>астоящим направляю</w:t>
      </w:r>
      <w:r w:rsidR="006208B3" w:rsidRPr="00F43F8D">
        <w:rPr>
          <w:lang w:val="ru-RU"/>
        </w:rPr>
        <w:t xml:space="preserve"> Полномочной конференции отч</w:t>
      </w:r>
      <w:r w:rsidR="00C147EA" w:rsidRPr="00F43F8D">
        <w:rPr>
          <w:lang w:val="ru-RU"/>
        </w:rPr>
        <w:t xml:space="preserve">ет Директора БСЭ о ходе осуществления Плана действий в Резолюции 44 </w:t>
      </w:r>
      <w:r w:rsidR="00F80EDD" w:rsidRPr="00F43F8D">
        <w:rPr>
          <w:lang w:val="ru-RU"/>
        </w:rPr>
        <w:t>"</w:t>
      </w:r>
      <w:r w:rsidR="00C147EA" w:rsidRPr="00F43F8D">
        <w:rPr>
          <w:lang w:val="ru-RU"/>
        </w:rPr>
        <w:t xml:space="preserve">Преодоление разрыва в стандартизации между развивающимися </w:t>
      </w:r>
      <w:r w:rsidR="006208B3" w:rsidRPr="00F43F8D">
        <w:rPr>
          <w:lang w:val="ru-RU"/>
        </w:rPr>
        <w:t xml:space="preserve">и развитыми </w:t>
      </w:r>
      <w:r w:rsidR="00C147EA" w:rsidRPr="00F43F8D">
        <w:rPr>
          <w:lang w:val="ru-RU"/>
        </w:rPr>
        <w:t>странами</w:t>
      </w:r>
      <w:r w:rsidR="00F80EDD" w:rsidRPr="00F43F8D">
        <w:rPr>
          <w:lang w:val="ru-RU"/>
        </w:rPr>
        <w:t>"</w:t>
      </w:r>
      <w:r w:rsidR="00C147EA" w:rsidRPr="00F43F8D">
        <w:rPr>
          <w:lang w:val="ru-RU"/>
        </w:rPr>
        <w:t xml:space="preserve"> </w:t>
      </w:r>
      <w:r w:rsidR="00250D95" w:rsidRPr="00F43F8D">
        <w:rPr>
          <w:lang w:val="ru-RU"/>
        </w:rPr>
        <w:t>ВАСЭ-12</w:t>
      </w:r>
      <w:r w:rsidR="000A4723" w:rsidRPr="00F43F8D">
        <w:rPr>
          <w:lang w:val="ru-RU"/>
        </w:rPr>
        <w:t>.</w:t>
      </w:r>
    </w:p>
    <w:p w:rsidR="00B54B28" w:rsidRPr="00F43F8D" w:rsidRDefault="000A4723" w:rsidP="009B5BCC">
      <w:pPr>
        <w:tabs>
          <w:tab w:val="clear" w:pos="567"/>
          <w:tab w:val="clear" w:pos="1134"/>
          <w:tab w:val="clear" w:pos="1701"/>
          <w:tab w:val="clear" w:pos="2268"/>
          <w:tab w:val="clear" w:pos="2835"/>
          <w:tab w:val="center" w:pos="6096"/>
        </w:tabs>
        <w:spacing w:before="1080"/>
        <w:jc w:val="center"/>
        <w:rPr>
          <w:lang w:val="ru-RU"/>
        </w:rPr>
      </w:pPr>
      <w:r w:rsidRPr="00F43F8D">
        <w:rPr>
          <w:lang w:val="ru-RU"/>
        </w:rPr>
        <w:tab/>
      </w:r>
      <w:r w:rsidR="00B54B28" w:rsidRPr="00F43F8D">
        <w:rPr>
          <w:lang w:val="ru-RU"/>
        </w:rPr>
        <w:t>Д-р Хамадун И. ТУРЕ</w:t>
      </w:r>
      <w:r w:rsidR="00B54B28" w:rsidRPr="00F43F8D">
        <w:rPr>
          <w:lang w:val="ru-RU"/>
        </w:rPr>
        <w:br/>
      </w:r>
      <w:r w:rsidRPr="00F43F8D">
        <w:rPr>
          <w:lang w:val="ru-RU"/>
        </w:rPr>
        <w:tab/>
      </w:r>
      <w:r w:rsidR="00B54B28" w:rsidRPr="00F43F8D">
        <w:rPr>
          <w:lang w:val="ru-RU"/>
        </w:rPr>
        <w:t>Генеральный секретарь</w:t>
      </w:r>
    </w:p>
    <w:p w:rsidR="000A4723" w:rsidRPr="00F43F8D" w:rsidRDefault="000A4723">
      <w:pPr>
        <w:tabs>
          <w:tab w:val="clear" w:pos="567"/>
          <w:tab w:val="clear" w:pos="1134"/>
          <w:tab w:val="clear" w:pos="1701"/>
          <w:tab w:val="clear" w:pos="2268"/>
          <w:tab w:val="clear" w:pos="2835"/>
        </w:tabs>
        <w:overflowPunct/>
        <w:autoSpaceDE/>
        <w:autoSpaceDN/>
        <w:adjustRightInd/>
        <w:spacing w:before="0"/>
        <w:textAlignment w:val="auto"/>
        <w:rPr>
          <w:lang w:val="ru-RU"/>
        </w:rPr>
      </w:pPr>
      <w:r w:rsidRPr="00F43F8D">
        <w:rPr>
          <w:lang w:val="ru-RU"/>
        </w:rPr>
        <w:br w:type="page"/>
      </w:r>
    </w:p>
    <w:p w:rsidR="009B5BCC" w:rsidRPr="00F43F8D" w:rsidRDefault="009B5BCC" w:rsidP="009B5BCC">
      <w:pPr>
        <w:pStyle w:val="Heading1"/>
        <w:rPr>
          <w:lang w:val="ru-RU"/>
        </w:rPr>
      </w:pPr>
      <w:r w:rsidRPr="00F43F8D">
        <w:rPr>
          <w:lang w:val="ru-RU"/>
        </w:rPr>
        <w:lastRenderedPageBreak/>
        <w:t>1</w:t>
      </w:r>
      <w:r w:rsidRPr="00F43F8D">
        <w:rPr>
          <w:lang w:val="ru-RU"/>
        </w:rPr>
        <w:tab/>
        <w:t>Введение</w:t>
      </w:r>
    </w:p>
    <w:p w:rsidR="009B5BCC" w:rsidRPr="00F43F8D" w:rsidRDefault="009B5BCC" w:rsidP="009B5BCC">
      <w:pPr>
        <w:rPr>
          <w:lang w:val="ru-RU"/>
        </w:rPr>
      </w:pPr>
      <w:r w:rsidRPr="00F43F8D">
        <w:rPr>
          <w:lang w:val="ru-RU"/>
        </w:rPr>
        <w:t>Резолюция 44 (Пересм. Дубай, 2012 г.)</w:t>
      </w:r>
      <w:bookmarkStart w:id="9" w:name="_Toc349120781"/>
      <w:r w:rsidRPr="00F43F8D">
        <w:rPr>
          <w:lang w:val="ru-RU"/>
        </w:rPr>
        <w:t xml:space="preserve"> "Преодоление разрыва в стандартизации между развивающимися и развитыми странами</w:t>
      </w:r>
      <w:bookmarkEnd w:id="9"/>
      <w:r w:rsidRPr="00F43F8D">
        <w:rPr>
          <w:lang w:val="ru-RU"/>
        </w:rPr>
        <w:t>"</w:t>
      </w:r>
      <w:r w:rsidR="00250D95" w:rsidRPr="00F43F8D">
        <w:rPr>
          <w:lang w:val="ru-RU"/>
        </w:rPr>
        <w:t xml:space="preserve"> ВАСЭ</w:t>
      </w:r>
    </w:p>
    <w:p w:rsidR="009B5BCC" w:rsidRPr="00F43F8D" w:rsidRDefault="009B5BCC" w:rsidP="009B5BCC">
      <w:pPr>
        <w:pStyle w:val="Call"/>
        <w:rPr>
          <w:iCs/>
          <w:lang w:val="ru-RU"/>
        </w:rPr>
      </w:pPr>
      <w:r w:rsidRPr="00F43F8D">
        <w:rPr>
          <w:lang w:val="ru-RU"/>
        </w:rPr>
        <w:t xml:space="preserve">"поручает Директору Бюро стандартизации электросвязи в сотрудничестве с Директорами Бюро развития электросвязи и Бюро радиосвязи в рамках имеющихся ресурсов </w:t>
      </w:r>
      <w:r w:rsidRPr="00F43F8D">
        <w:rPr>
          <w:iCs/>
          <w:lang w:val="ru-RU"/>
        </w:rPr>
        <w:t xml:space="preserve">[…] </w:t>
      </w:r>
    </w:p>
    <w:p w:rsidR="009B5BCC" w:rsidRPr="00F43F8D" w:rsidRDefault="009B5BCC" w:rsidP="000F6176">
      <w:pPr>
        <w:rPr>
          <w:lang w:val="ru-RU"/>
        </w:rPr>
      </w:pPr>
      <w:r w:rsidRPr="00F43F8D">
        <w:rPr>
          <w:lang w:val="ru-RU"/>
        </w:rPr>
        <w:t>представлять отчеты о выполнении данного плана [</w:t>
      </w:r>
      <w:r w:rsidR="000F6176" w:rsidRPr="00F43F8D">
        <w:rPr>
          <w:lang w:val="ru-RU"/>
        </w:rPr>
        <w:t>т.</w:t>
      </w:r>
      <w:r w:rsidR="00EF3E27" w:rsidRPr="00F43F8D">
        <w:rPr>
          <w:lang w:val="ru-RU"/>
        </w:rPr>
        <w:t> </w:t>
      </w:r>
      <w:r w:rsidR="000F6176" w:rsidRPr="00F43F8D">
        <w:rPr>
          <w:lang w:val="ru-RU"/>
        </w:rPr>
        <w:t>е.</w:t>
      </w:r>
      <w:r w:rsidRPr="00F43F8D">
        <w:rPr>
          <w:lang w:val="ru-RU"/>
        </w:rPr>
        <w:t xml:space="preserve"> </w:t>
      </w:r>
      <w:r w:rsidR="000F6176" w:rsidRPr="00F43F8D">
        <w:rPr>
          <w:lang w:val="ru-RU"/>
        </w:rPr>
        <w:t xml:space="preserve">Плана действий </w:t>
      </w:r>
      <w:r w:rsidR="00F80EDD" w:rsidRPr="00F43F8D">
        <w:rPr>
          <w:lang w:val="ru-RU"/>
        </w:rPr>
        <w:t>по выполнению Резолюции </w:t>
      </w:r>
      <w:r w:rsidR="000F6176" w:rsidRPr="00F43F8D">
        <w:rPr>
          <w:lang w:val="ru-RU"/>
        </w:rPr>
        <w:t>123 (Пересм.</w:t>
      </w:r>
      <w:r w:rsidR="000F6176" w:rsidRPr="00F43F8D">
        <w:rPr>
          <w:rFonts w:asciiTheme="minorHAnsi" w:hAnsiTheme="minorHAnsi"/>
          <w:lang w:val="ru-RU"/>
        </w:rPr>
        <w:t xml:space="preserve"> </w:t>
      </w:r>
      <w:r w:rsidR="000F6176" w:rsidRPr="00F43F8D">
        <w:rPr>
          <w:lang w:val="ru-RU"/>
        </w:rPr>
        <w:t>Гвадалахара, 2010 г.) Полномочной конференции</w:t>
      </w:r>
      <w:r w:rsidRPr="00F43F8D">
        <w:rPr>
          <w:lang w:val="ru-RU"/>
        </w:rPr>
        <w:t xml:space="preserve"> </w:t>
      </w:r>
      <w:r w:rsidR="000F6176" w:rsidRPr="00F43F8D">
        <w:rPr>
          <w:lang w:val="ru-RU"/>
        </w:rPr>
        <w:t>(см. Приложение к Резолюции 44 ВАСЭ)</w:t>
      </w:r>
      <w:r w:rsidRPr="00F43F8D">
        <w:rPr>
          <w:lang w:val="ru-RU"/>
        </w:rPr>
        <w:t xml:space="preserve"> будущим Всемирным ассамблеям по стандартизации электросвязи и полномочным конференциям с целью рассмотрения настоящей Резолюции и внесения соответствующих поправок в свете результатов выполнения плана, а также бюджетных корректировок, необходимых для выполнения настоящей Резолюции […]".</w:t>
      </w:r>
    </w:p>
    <w:p w:rsidR="009B5BCC" w:rsidRPr="00F43F8D" w:rsidRDefault="00333453" w:rsidP="00625334">
      <w:pPr>
        <w:rPr>
          <w:lang w:val="ru-RU"/>
        </w:rPr>
      </w:pPr>
      <w:r w:rsidRPr="00F43F8D">
        <w:rPr>
          <w:lang w:val="ru-RU"/>
        </w:rPr>
        <w:t>Кроме того, в Стратегическом плане МСЭ, принятом на ПК</w:t>
      </w:r>
      <w:r w:rsidR="009B5BCC" w:rsidRPr="00F43F8D">
        <w:rPr>
          <w:lang w:val="ru-RU"/>
        </w:rPr>
        <w:t>-10</w:t>
      </w:r>
      <w:r w:rsidRPr="00F43F8D">
        <w:rPr>
          <w:lang w:val="ru-RU"/>
        </w:rPr>
        <w:t xml:space="preserve">, преодоление разрыва в стандартизации между </w:t>
      </w:r>
      <w:r w:rsidR="00625334" w:rsidRPr="00F43F8D">
        <w:rPr>
          <w:lang w:val="ru-RU"/>
        </w:rPr>
        <w:t xml:space="preserve">развитыми и </w:t>
      </w:r>
      <w:r w:rsidRPr="00F43F8D">
        <w:rPr>
          <w:lang w:val="ru-RU"/>
        </w:rPr>
        <w:t>развивающимися странами определяется как одна из трех стратегических</w:t>
      </w:r>
      <w:r w:rsidR="00625334" w:rsidRPr="00F43F8D">
        <w:rPr>
          <w:lang w:val="ru-RU"/>
        </w:rPr>
        <w:t xml:space="preserve"> целей МСЭ</w:t>
      </w:r>
      <w:r w:rsidR="009B5BCC" w:rsidRPr="00F43F8D">
        <w:rPr>
          <w:lang w:val="ru-RU"/>
        </w:rPr>
        <w:t>-T.</w:t>
      </w:r>
    </w:p>
    <w:p w:rsidR="009B5BCC" w:rsidRPr="00F43F8D" w:rsidRDefault="00625334" w:rsidP="00F80EDD">
      <w:pPr>
        <w:rPr>
          <w:lang w:val="ru-RU"/>
        </w:rPr>
      </w:pPr>
      <w:r w:rsidRPr="00F43F8D">
        <w:rPr>
          <w:lang w:val="ru-RU"/>
        </w:rPr>
        <w:t>Четыре основные программы, изложенные в Плане действий в Резолюции 44 ВАСЭ-12, являются следующими</w:t>
      </w:r>
      <w:r w:rsidR="009B5BCC" w:rsidRPr="00F43F8D">
        <w:rPr>
          <w:lang w:val="ru-RU"/>
        </w:rPr>
        <w:t>:</w:t>
      </w:r>
    </w:p>
    <w:p w:rsidR="009B5BCC" w:rsidRPr="00F43F8D" w:rsidRDefault="00F80EDD" w:rsidP="00F80EDD">
      <w:pPr>
        <w:pStyle w:val="enumlev1"/>
        <w:rPr>
          <w:lang w:val="ru-RU"/>
        </w:rPr>
      </w:pPr>
      <w:r w:rsidRPr="00F43F8D">
        <w:rPr>
          <w:lang w:val="ru-RU"/>
        </w:rPr>
        <w:t>1)</w:t>
      </w:r>
      <w:r w:rsidR="009B5BCC" w:rsidRPr="00F43F8D">
        <w:rPr>
          <w:lang w:val="ru-RU"/>
        </w:rPr>
        <w:tab/>
      </w:r>
      <w:r w:rsidRPr="00F43F8D">
        <w:rPr>
          <w:lang w:val="ru-RU"/>
        </w:rPr>
        <w:t xml:space="preserve">укрепление </w:t>
      </w:r>
      <w:r w:rsidR="00625334" w:rsidRPr="00F43F8D">
        <w:rPr>
          <w:lang w:val="ru-RU"/>
        </w:rPr>
        <w:t>потенциала для разработки стандартов</w:t>
      </w:r>
      <w:r w:rsidR="009B5BCC" w:rsidRPr="00F43F8D">
        <w:rPr>
          <w:lang w:val="ru-RU"/>
        </w:rPr>
        <w:t>;</w:t>
      </w:r>
    </w:p>
    <w:p w:rsidR="009B5BCC" w:rsidRPr="00F43F8D" w:rsidRDefault="00F80EDD" w:rsidP="00F80EDD">
      <w:pPr>
        <w:pStyle w:val="enumlev1"/>
        <w:rPr>
          <w:lang w:val="ru-RU"/>
        </w:rPr>
      </w:pPr>
      <w:r w:rsidRPr="00F43F8D">
        <w:rPr>
          <w:lang w:val="ru-RU"/>
        </w:rPr>
        <w:t>2)</w:t>
      </w:r>
      <w:r w:rsidR="009B5BCC" w:rsidRPr="00F43F8D">
        <w:rPr>
          <w:lang w:val="ru-RU"/>
        </w:rPr>
        <w:tab/>
      </w:r>
      <w:r w:rsidRPr="00F43F8D">
        <w:rPr>
          <w:lang w:val="ru-RU"/>
        </w:rPr>
        <w:t xml:space="preserve">оказание </w:t>
      </w:r>
      <w:r w:rsidR="00625334" w:rsidRPr="00F43F8D">
        <w:rPr>
          <w:lang w:val="ru-RU"/>
        </w:rPr>
        <w:t>помощи развивающимся странам в</w:t>
      </w:r>
      <w:r w:rsidRPr="00F43F8D">
        <w:rPr>
          <w:lang w:val="ru-RU"/>
        </w:rPr>
        <w:t xml:space="preserve"> </w:t>
      </w:r>
      <w:r w:rsidR="00625334" w:rsidRPr="00F43F8D">
        <w:rPr>
          <w:lang w:val="ru-RU"/>
        </w:rPr>
        <w:t>отношении применения стандартов</w:t>
      </w:r>
      <w:r w:rsidR="009B5BCC" w:rsidRPr="00F43F8D">
        <w:rPr>
          <w:lang w:val="ru-RU"/>
        </w:rPr>
        <w:t>;</w:t>
      </w:r>
    </w:p>
    <w:p w:rsidR="009B5BCC" w:rsidRPr="00F43F8D" w:rsidRDefault="00F80EDD" w:rsidP="00F80EDD">
      <w:pPr>
        <w:pStyle w:val="enumlev1"/>
        <w:rPr>
          <w:lang w:val="ru-RU"/>
        </w:rPr>
      </w:pPr>
      <w:r w:rsidRPr="00F43F8D">
        <w:rPr>
          <w:lang w:val="ru-RU"/>
        </w:rPr>
        <w:t>3)</w:t>
      </w:r>
      <w:r w:rsidR="009B5BCC" w:rsidRPr="00F43F8D">
        <w:rPr>
          <w:lang w:val="ru-RU"/>
        </w:rPr>
        <w:tab/>
      </w:r>
      <w:r w:rsidRPr="00F43F8D">
        <w:rPr>
          <w:lang w:val="ru-RU"/>
        </w:rPr>
        <w:t xml:space="preserve">создание </w:t>
      </w:r>
      <w:r w:rsidR="00625334" w:rsidRPr="00F43F8D">
        <w:rPr>
          <w:lang w:val="ru-RU"/>
        </w:rPr>
        <w:t>потенциала людских ресурсов</w:t>
      </w:r>
      <w:r w:rsidR="009B5BCC" w:rsidRPr="00F43F8D">
        <w:rPr>
          <w:lang w:val="ru-RU"/>
        </w:rPr>
        <w:t>;</w:t>
      </w:r>
    </w:p>
    <w:p w:rsidR="009B5BCC" w:rsidRPr="00F43F8D" w:rsidRDefault="00F80EDD" w:rsidP="00F80EDD">
      <w:pPr>
        <w:pStyle w:val="enumlev1"/>
        <w:rPr>
          <w:highlight w:val="yellow"/>
          <w:lang w:val="ru-RU"/>
        </w:rPr>
      </w:pPr>
      <w:r w:rsidRPr="00F43F8D">
        <w:rPr>
          <w:lang w:val="ru-RU"/>
        </w:rPr>
        <w:t>4)</w:t>
      </w:r>
      <w:r w:rsidR="009B5BCC" w:rsidRPr="00F43F8D">
        <w:rPr>
          <w:lang w:val="ru-RU"/>
        </w:rPr>
        <w:tab/>
      </w:r>
      <w:r w:rsidRPr="00F43F8D">
        <w:rPr>
          <w:lang w:val="ru-RU"/>
        </w:rPr>
        <w:t xml:space="preserve">сбор </w:t>
      </w:r>
      <w:r w:rsidR="00625334" w:rsidRPr="00F43F8D">
        <w:rPr>
          <w:lang w:val="ru-RU"/>
        </w:rPr>
        <w:t>средств для преодоления разрыва в области стандартизации</w:t>
      </w:r>
      <w:r w:rsidR="009B5BCC" w:rsidRPr="00F43F8D">
        <w:rPr>
          <w:lang w:val="ru-RU"/>
        </w:rPr>
        <w:t>.</w:t>
      </w:r>
    </w:p>
    <w:p w:rsidR="009B5BCC" w:rsidRPr="00F43F8D" w:rsidRDefault="006A5E35" w:rsidP="00972E65">
      <w:pPr>
        <w:rPr>
          <w:lang w:val="ru-RU"/>
        </w:rPr>
      </w:pPr>
      <w:r w:rsidRPr="00F43F8D">
        <w:rPr>
          <w:lang w:val="ru-RU"/>
        </w:rPr>
        <w:t>С 2007 года в работе в МСЭ-Т приняла участие 41 страна из числа тех, которые ранее в такой работе не участвовали</w:t>
      </w:r>
      <w:r w:rsidR="009B5BCC" w:rsidRPr="00F43F8D">
        <w:rPr>
          <w:lang w:val="ru-RU"/>
        </w:rPr>
        <w:t xml:space="preserve">. </w:t>
      </w:r>
      <w:r w:rsidR="00972E65" w:rsidRPr="00F43F8D">
        <w:rPr>
          <w:lang w:val="ru-RU"/>
        </w:rPr>
        <w:t>В текущем исследовательском периоде в большинстве исследовательских комиссий МСЭ-Т значительно возросло количество участников. В частности, увеличилась доля представителей Африканского региона среди участников</w:t>
      </w:r>
      <w:r w:rsidR="009B5BCC" w:rsidRPr="00F43F8D">
        <w:rPr>
          <w:lang w:val="ru-RU"/>
        </w:rPr>
        <w:t>.</w:t>
      </w:r>
      <w:r w:rsidR="00267C35" w:rsidRPr="00F43F8D">
        <w:rPr>
          <w:lang w:val="ru-RU"/>
        </w:rPr>
        <w:t xml:space="preserve"> </w:t>
      </w:r>
      <w:r w:rsidR="00972E65" w:rsidRPr="00F43F8D">
        <w:rPr>
          <w:lang w:val="ru-RU"/>
        </w:rPr>
        <w:t>Более половины семинаров-практикумов, касающихся стандартизации, проводятся за пределами Женевы</w:t>
      </w:r>
      <w:r w:rsidR="009B5BCC" w:rsidRPr="00F43F8D">
        <w:rPr>
          <w:lang w:val="ru-RU"/>
        </w:rPr>
        <w:t>.</w:t>
      </w:r>
      <w:r w:rsidR="00972E65" w:rsidRPr="00F43F8D">
        <w:rPr>
          <w:lang w:val="ru-RU"/>
        </w:rPr>
        <w:t xml:space="preserve"> Кроме того, собрания исследовательских комиссий МСЭ</w:t>
      </w:r>
      <w:r w:rsidR="009B5BCC" w:rsidRPr="00F43F8D">
        <w:rPr>
          <w:lang w:val="ru-RU"/>
        </w:rPr>
        <w:t xml:space="preserve">-T </w:t>
      </w:r>
      <w:r w:rsidR="00972E65" w:rsidRPr="00F43F8D">
        <w:rPr>
          <w:lang w:val="ru-RU"/>
        </w:rPr>
        <w:t>также организуются за пределами Женевы, чтобы привлечь участников из развивающихся стран</w:t>
      </w:r>
      <w:r w:rsidR="009B5BCC" w:rsidRPr="00F43F8D">
        <w:rPr>
          <w:lang w:val="ru-RU"/>
        </w:rPr>
        <w:t>.</w:t>
      </w:r>
    </w:p>
    <w:p w:rsidR="009B5BCC" w:rsidRPr="00F43F8D" w:rsidRDefault="000A4E65" w:rsidP="000A4E65">
      <w:pPr>
        <w:rPr>
          <w:lang w:val="ru-RU"/>
        </w:rPr>
      </w:pPr>
      <w:r w:rsidRPr="00F43F8D">
        <w:rPr>
          <w:lang w:val="ru-RU"/>
        </w:rPr>
        <w:t>В 2009 году была создана внутренняя целевая группа под председательством Директора Бюро стандартизации электросвязи (БСЭ), в состав которой входят представители Бюро развития электросвязи (БРЭ) и региональных отделений МСЭ, для мониторинга выполнения плана действий, принятого в Резолюции 44.</w:t>
      </w:r>
    </w:p>
    <w:p w:rsidR="009B5BCC" w:rsidRPr="00F43F8D" w:rsidRDefault="000A4E65" w:rsidP="000A4E65">
      <w:pPr>
        <w:rPr>
          <w:lang w:val="ru-RU"/>
        </w:rPr>
      </w:pPr>
      <w:r w:rsidRPr="00F43F8D">
        <w:rPr>
          <w:lang w:val="ru-RU"/>
        </w:rPr>
        <w:t>Информация о выполнении четырех программ, изложенных в Резолюции 44 ВАСЭ, за период</w:t>
      </w:r>
      <w:r w:rsidR="00F80EDD" w:rsidRPr="00F43F8D">
        <w:rPr>
          <w:lang w:val="ru-RU"/>
        </w:rPr>
        <w:t xml:space="preserve"> 2010−</w:t>
      </w:r>
      <w:r w:rsidR="009B5BCC" w:rsidRPr="00F43F8D">
        <w:rPr>
          <w:lang w:val="ru-RU"/>
        </w:rPr>
        <w:t xml:space="preserve">2014 </w:t>
      </w:r>
      <w:r w:rsidRPr="00F43F8D">
        <w:rPr>
          <w:lang w:val="ru-RU"/>
        </w:rPr>
        <w:t>годов представлена в Приложении</w:t>
      </w:r>
      <w:r w:rsidR="009B5BCC" w:rsidRPr="00F43F8D">
        <w:rPr>
          <w:lang w:val="ru-RU"/>
        </w:rPr>
        <w:t>.</w:t>
      </w:r>
    </w:p>
    <w:p w:rsidR="009B5BCC" w:rsidRPr="00F43F8D" w:rsidRDefault="009B5BCC" w:rsidP="00250D95">
      <w:pPr>
        <w:pStyle w:val="Heading1"/>
        <w:rPr>
          <w:lang w:val="ru-RU"/>
        </w:rPr>
      </w:pPr>
      <w:r w:rsidRPr="00F43F8D">
        <w:rPr>
          <w:lang w:val="ru-RU"/>
        </w:rPr>
        <w:t>2</w:t>
      </w:r>
      <w:r w:rsidRPr="00F43F8D">
        <w:rPr>
          <w:lang w:val="ru-RU"/>
        </w:rPr>
        <w:tab/>
      </w:r>
      <w:r w:rsidR="000A4E65" w:rsidRPr="00F43F8D">
        <w:rPr>
          <w:lang w:val="ru-RU"/>
        </w:rPr>
        <w:t>Программа</w:t>
      </w:r>
      <w:r w:rsidRPr="00F43F8D">
        <w:rPr>
          <w:lang w:val="ru-RU"/>
        </w:rPr>
        <w:t xml:space="preserve"> 1: </w:t>
      </w:r>
      <w:r w:rsidR="00600820" w:rsidRPr="00F43F8D">
        <w:rPr>
          <w:lang w:val="ru-RU"/>
        </w:rPr>
        <w:t>Укрепление потенциала для разработки стандартов</w:t>
      </w:r>
    </w:p>
    <w:p w:rsidR="009B5BCC" w:rsidRPr="00F43F8D" w:rsidRDefault="009B5BCC" w:rsidP="00600820">
      <w:pPr>
        <w:pStyle w:val="Heading2"/>
        <w:rPr>
          <w:lang w:val="ru-RU"/>
        </w:rPr>
      </w:pPr>
      <w:r w:rsidRPr="00F43F8D">
        <w:rPr>
          <w:lang w:val="ru-RU"/>
        </w:rPr>
        <w:t>2.1</w:t>
      </w:r>
      <w:r w:rsidRPr="00F43F8D">
        <w:rPr>
          <w:lang w:val="ru-RU"/>
        </w:rPr>
        <w:tab/>
      </w:r>
      <w:r w:rsidR="00600820" w:rsidRPr="00F43F8D">
        <w:rPr>
          <w:lang w:val="ru-RU"/>
        </w:rPr>
        <w:t>Индекс потенциала в области стандартов</w:t>
      </w:r>
    </w:p>
    <w:p w:rsidR="009B5BCC" w:rsidRPr="00F43F8D" w:rsidRDefault="0051067E" w:rsidP="00FD1676">
      <w:pPr>
        <w:rPr>
          <w:rFonts w:asciiTheme="minorHAnsi" w:hAnsiTheme="minorHAnsi"/>
          <w:szCs w:val="22"/>
          <w:lang w:val="ru-RU"/>
        </w:rPr>
      </w:pPr>
      <w:r w:rsidRPr="00F43F8D">
        <w:rPr>
          <w:lang w:val="ru-RU"/>
        </w:rPr>
        <w:t>В</w:t>
      </w:r>
      <w:r w:rsidR="009B5BCC" w:rsidRPr="00F43F8D">
        <w:rPr>
          <w:lang w:val="ru-RU"/>
        </w:rPr>
        <w:t xml:space="preserve"> 2011</w:t>
      </w:r>
      <w:r w:rsidRPr="00F43F8D">
        <w:rPr>
          <w:lang w:val="ru-RU"/>
        </w:rPr>
        <w:t xml:space="preserve"> году БСЭ провело исследование с целью оценки потенциала развивающихся стран </w:t>
      </w:r>
      <w:r w:rsidR="00FD1676" w:rsidRPr="00F43F8D">
        <w:rPr>
          <w:lang w:val="ru-RU"/>
        </w:rPr>
        <w:t>в области</w:t>
      </w:r>
      <w:r w:rsidRPr="00F43F8D">
        <w:rPr>
          <w:lang w:val="ru-RU"/>
        </w:rPr>
        <w:t xml:space="preserve"> стандарт</w:t>
      </w:r>
      <w:r w:rsidR="00FD1676" w:rsidRPr="00F43F8D">
        <w:rPr>
          <w:lang w:val="ru-RU"/>
        </w:rPr>
        <w:t>изации</w:t>
      </w:r>
      <w:r w:rsidR="009B5BCC" w:rsidRPr="00F43F8D">
        <w:rPr>
          <w:lang w:val="ru-RU"/>
        </w:rPr>
        <w:t>.</w:t>
      </w:r>
      <w:r w:rsidRPr="00F43F8D">
        <w:rPr>
          <w:lang w:val="ru-RU"/>
        </w:rPr>
        <w:t xml:space="preserve"> Это исследование проводилось за счет щедрой поддержки Министерства</w:t>
      </w:r>
      <w:r w:rsidR="009B5BCC" w:rsidRPr="00F43F8D">
        <w:rPr>
          <w:lang w:val="ru-RU"/>
        </w:rPr>
        <w:t xml:space="preserve"> </w:t>
      </w:r>
      <w:r w:rsidRPr="00F43F8D">
        <w:rPr>
          <w:rFonts w:asciiTheme="minorHAnsi" w:hAnsiTheme="minorHAnsi" w:cs="Segoe UI"/>
          <w:color w:val="000000"/>
          <w:szCs w:val="22"/>
          <w:lang w:val="ru-RU"/>
        </w:rPr>
        <w:t>науки, ИКТ и перспективного планирования Республики Корея</w:t>
      </w:r>
      <w:r w:rsidRPr="00F43F8D">
        <w:rPr>
          <w:rFonts w:ascii="Segoe UI" w:hAnsi="Segoe UI" w:cs="Segoe UI"/>
          <w:color w:val="000000"/>
          <w:sz w:val="20"/>
          <w:lang w:val="ru-RU"/>
        </w:rPr>
        <w:t xml:space="preserve"> </w:t>
      </w:r>
      <w:r w:rsidRPr="00F43F8D">
        <w:rPr>
          <w:rFonts w:asciiTheme="minorHAnsi" w:hAnsiTheme="minorHAnsi" w:cs="Segoe UI"/>
          <w:color w:val="000000"/>
          <w:szCs w:val="22"/>
          <w:lang w:val="ru-RU"/>
        </w:rPr>
        <w:t>и Ассоциации технологий электросвязи (TTA)</w:t>
      </w:r>
      <w:r w:rsidR="009B5BCC" w:rsidRPr="00F43F8D">
        <w:rPr>
          <w:rFonts w:asciiTheme="minorHAnsi" w:hAnsiTheme="minorHAnsi"/>
          <w:szCs w:val="22"/>
          <w:lang w:val="ru-RU"/>
        </w:rPr>
        <w:t>.</w:t>
      </w:r>
    </w:p>
    <w:p w:rsidR="009B5BCC" w:rsidRPr="00F43F8D" w:rsidRDefault="00F05936" w:rsidP="00801D4F">
      <w:pPr>
        <w:rPr>
          <w:lang w:val="ru-RU"/>
        </w:rPr>
      </w:pPr>
      <w:r w:rsidRPr="00F43F8D">
        <w:rPr>
          <w:lang w:val="ru-RU"/>
        </w:rPr>
        <w:t xml:space="preserve">Один из главных выводов исследования заключается в том, что участию развивающихся стран в процессе стандартизации препятствует отсутствие понимания важности стандартов в области ИКТ, что приводит к отсутствию адекватного финансирования работ в области стандартизации и их </w:t>
      </w:r>
      <w:r w:rsidRPr="00F43F8D">
        <w:rPr>
          <w:lang w:val="ru-RU"/>
        </w:rPr>
        <w:lastRenderedPageBreak/>
        <w:t>координации на национальном уровне для участия в работе международных форумов по стандартизации</w:t>
      </w:r>
      <w:r w:rsidR="009B5BCC" w:rsidRPr="00F43F8D">
        <w:rPr>
          <w:lang w:val="ru-RU"/>
        </w:rPr>
        <w:t>.</w:t>
      </w:r>
      <w:r w:rsidRPr="00F43F8D">
        <w:rPr>
          <w:lang w:val="ru-RU"/>
        </w:rPr>
        <w:t xml:space="preserve"> Такое неравенство в </w:t>
      </w:r>
      <w:r w:rsidR="00F80EDD" w:rsidRPr="00F43F8D">
        <w:rPr>
          <w:lang w:val="ru-RU"/>
        </w:rPr>
        <w:t>возможностях</w:t>
      </w:r>
      <w:r w:rsidRPr="00F43F8D">
        <w:rPr>
          <w:lang w:val="ru-RU"/>
        </w:rPr>
        <w:t xml:space="preserve"> в области стандарт</w:t>
      </w:r>
      <w:r w:rsidR="00801D4F" w:rsidRPr="00F43F8D">
        <w:rPr>
          <w:lang w:val="ru-RU"/>
        </w:rPr>
        <w:t>изации</w:t>
      </w:r>
      <w:r w:rsidRPr="00F43F8D">
        <w:rPr>
          <w:lang w:val="ru-RU"/>
        </w:rPr>
        <w:t xml:space="preserve"> по-прежнему способствует сохранению цифрового разрыва между развитыми и развивающимися странами</w:t>
      </w:r>
      <w:r w:rsidR="009B5BCC" w:rsidRPr="00F43F8D">
        <w:rPr>
          <w:lang w:val="ru-RU"/>
        </w:rPr>
        <w:t>.</w:t>
      </w:r>
      <w:r w:rsidRPr="00F43F8D">
        <w:rPr>
          <w:lang w:val="ru-RU"/>
        </w:rPr>
        <w:t xml:space="preserve"> Одна из рекомендаций исследования, направленная на укрепление потенциала </w:t>
      </w:r>
      <w:r w:rsidR="00801D4F" w:rsidRPr="00F43F8D">
        <w:rPr>
          <w:lang w:val="ru-RU"/>
        </w:rPr>
        <w:t>в области стандартизации</w:t>
      </w:r>
      <w:r w:rsidRPr="00F43F8D">
        <w:rPr>
          <w:lang w:val="ru-RU"/>
        </w:rPr>
        <w:t xml:space="preserve"> в развивающихся странах, заключается в необходимости создания нацонального секретариата по стандартизации, который координировал бы деятельность по стандартизации в области ИКТ и участие в работе исследовательских комиссий МСЭ</w:t>
      </w:r>
      <w:r w:rsidR="009B5BCC" w:rsidRPr="00F43F8D">
        <w:rPr>
          <w:lang w:val="ru-RU"/>
        </w:rPr>
        <w:t>-T.</w:t>
      </w:r>
    </w:p>
    <w:p w:rsidR="009B5BCC" w:rsidRPr="00F43F8D" w:rsidRDefault="00600820" w:rsidP="00D66144">
      <w:pPr>
        <w:pStyle w:val="Heading2"/>
        <w:rPr>
          <w:lang w:val="ru-RU"/>
        </w:rPr>
      </w:pPr>
      <w:r w:rsidRPr="00F43F8D">
        <w:rPr>
          <w:lang w:val="ru-RU"/>
        </w:rPr>
        <w:t>2.2</w:t>
      </w:r>
      <w:r w:rsidR="00D66144" w:rsidRPr="00F43F8D">
        <w:rPr>
          <w:lang w:val="ru-RU"/>
        </w:rPr>
        <w:tab/>
        <w:t>Технические отчеты и руководства</w:t>
      </w:r>
    </w:p>
    <w:p w:rsidR="009B5BCC" w:rsidRPr="00F43F8D" w:rsidRDefault="00D66144" w:rsidP="00D66144">
      <w:pPr>
        <w:rPr>
          <w:lang w:val="ru-RU"/>
        </w:rPr>
      </w:pPr>
      <w:r w:rsidRPr="00F43F8D">
        <w:rPr>
          <w:lang w:val="ru-RU"/>
        </w:rPr>
        <w:t>В период 2010–2014 годов были выпущены следующие технические отчеты и руководства, предназначенные для представления более полной информации развивающимся странам о передовом опыте в реализации Рекомендаций МСЭ-Т</w:t>
      </w:r>
      <w:r w:rsidR="009B5BCC" w:rsidRPr="00F43F8D">
        <w:rPr>
          <w:lang w:val="ru-RU"/>
        </w:rPr>
        <w:t>:</w:t>
      </w:r>
    </w:p>
    <w:p w:rsidR="009B5BCC" w:rsidRPr="00F43F8D" w:rsidRDefault="00600820" w:rsidP="00426777">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9" w:history="1">
        <w:r w:rsidR="00746671" w:rsidRPr="00F43F8D">
          <w:rPr>
            <w:rStyle w:val="Hyperlink"/>
            <w:rFonts w:eastAsia="SimSun"/>
            <w:lang w:val="ru-RU"/>
          </w:rPr>
          <w:t>Справочник по волоконно-оптическим кабелям и системам</w:t>
        </w:r>
        <w:r w:rsidR="009B5BCC" w:rsidRPr="00F43F8D">
          <w:rPr>
            <w:rStyle w:val="Hyperlink"/>
            <w:rFonts w:eastAsia="SimSun"/>
            <w:lang w:val="ru-RU"/>
          </w:rPr>
          <w:t xml:space="preserve"> (2009</w:t>
        </w:r>
        <w:r w:rsidR="00746671"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746671">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0" w:history="1">
        <w:r w:rsidR="00746671" w:rsidRPr="00F43F8D">
          <w:rPr>
            <w:rStyle w:val="Hyperlink"/>
            <w:rFonts w:eastAsia="SimSun"/>
            <w:lang w:val="ru-RU"/>
          </w:rPr>
          <w:t>Развертывание сетей с пакетной коммутацией</w:t>
        </w:r>
        <w:r w:rsidR="009B5BCC" w:rsidRPr="00F43F8D">
          <w:rPr>
            <w:rStyle w:val="Hyperlink"/>
            <w:rFonts w:eastAsia="SimSun"/>
            <w:lang w:val="ru-RU"/>
          </w:rPr>
          <w:t xml:space="preserve"> (2010</w:t>
        </w:r>
        <w:r w:rsidR="00746671"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746671">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1" w:history="1">
        <w:r w:rsidR="00746671" w:rsidRPr="00F43F8D">
          <w:rPr>
            <w:rStyle w:val="Hyperlink"/>
            <w:rFonts w:eastAsia="SimSun"/>
            <w:lang w:val="ru-RU"/>
          </w:rPr>
          <w:t xml:space="preserve">История </w:t>
        </w:r>
        <w:r w:rsidR="00746671" w:rsidRPr="00F43F8D">
          <w:rPr>
            <w:rStyle w:val="Hyperlink"/>
            <w:rFonts w:eastAsia="SimSun"/>
            <w:lang w:val="ru-RU" w:bidi="ar-EG"/>
          </w:rPr>
          <w:t>D</w:t>
        </w:r>
        <w:r w:rsidR="009B5BCC" w:rsidRPr="00F43F8D">
          <w:rPr>
            <w:rStyle w:val="Hyperlink"/>
            <w:rFonts w:eastAsia="SimSun"/>
            <w:lang w:val="ru-RU"/>
          </w:rPr>
          <w:t>SL (2010</w:t>
        </w:r>
        <w:r w:rsidR="00746671"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746671">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2" w:history="1">
        <w:r w:rsidR="00746671" w:rsidRPr="00F43F8D">
          <w:rPr>
            <w:rStyle w:val="Hyperlink"/>
            <w:rFonts w:eastAsia="SimSun"/>
            <w:lang w:val="ru-RU"/>
          </w:rPr>
          <w:t>Конвергирующие сети</w:t>
        </w:r>
        <w:r w:rsidR="009B5BCC" w:rsidRPr="00F43F8D">
          <w:rPr>
            <w:rStyle w:val="Hyperlink"/>
            <w:rFonts w:eastAsia="SimSun"/>
            <w:lang w:val="ru-RU"/>
          </w:rPr>
          <w:t xml:space="preserve"> (2010</w:t>
        </w:r>
        <w:r w:rsidR="00746671"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746671">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3" w:history="1">
        <w:r w:rsidR="00746671" w:rsidRPr="00F43F8D">
          <w:rPr>
            <w:rStyle w:val="Hyperlink"/>
            <w:rFonts w:eastAsia="SimSun"/>
            <w:lang w:val="ru-RU"/>
          </w:rPr>
          <w:t>Руководство МСЭ</w:t>
        </w:r>
        <w:r w:rsidR="009B5BCC" w:rsidRPr="00F43F8D">
          <w:rPr>
            <w:rStyle w:val="Hyperlink"/>
            <w:rFonts w:eastAsia="SimSun"/>
            <w:lang w:val="ru-RU"/>
          </w:rPr>
          <w:t xml:space="preserve">-T </w:t>
        </w:r>
        <w:r w:rsidR="00746671" w:rsidRPr="00F43F8D">
          <w:rPr>
            <w:rStyle w:val="Hyperlink"/>
            <w:rFonts w:eastAsia="SimSun"/>
            <w:lang w:val="ru-RU"/>
          </w:rPr>
          <w:t>по оптическим транспортным сетям от передачи на базе</w:t>
        </w:r>
        <w:r w:rsidR="009B5BCC" w:rsidRPr="00F43F8D">
          <w:rPr>
            <w:rStyle w:val="Hyperlink"/>
            <w:rFonts w:eastAsia="SimSun"/>
            <w:lang w:val="ru-RU"/>
          </w:rPr>
          <w:t xml:space="preserve"> TDM </w:t>
        </w:r>
        <w:r w:rsidR="00746671" w:rsidRPr="00F43F8D">
          <w:rPr>
            <w:rStyle w:val="Hyperlink"/>
            <w:rFonts w:eastAsia="SimSun"/>
            <w:lang w:val="ru-RU"/>
          </w:rPr>
          <w:t>до передачи пакетов</w:t>
        </w:r>
        <w:r w:rsidR="009B5BCC" w:rsidRPr="00F43F8D">
          <w:rPr>
            <w:rStyle w:val="Hyperlink"/>
            <w:rFonts w:eastAsia="SimSun"/>
            <w:lang w:val="ru-RU"/>
          </w:rPr>
          <w:t xml:space="preserve"> (2010</w:t>
        </w:r>
        <w:r w:rsidR="00746671"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746671">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4" w:history="1">
        <w:r w:rsidR="00746671" w:rsidRPr="00F43F8D">
          <w:rPr>
            <w:rStyle w:val="Hyperlink"/>
            <w:rFonts w:eastAsia="SimSun"/>
            <w:lang w:val="ru-RU"/>
          </w:rPr>
          <w:t>Индентификаторы объектов</w:t>
        </w:r>
        <w:r w:rsidR="009B5BCC" w:rsidRPr="00F43F8D">
          <w:rPr>
            <w:rStyle w:val="Hyperlink"/>
            <w:rFonts w:eastAsia="SimSun"/>
            <w:lang w:val="ru-RU"/>
          </w:rPr>
          <w:t xml:space="preserve"> (OID)</w:t>
        </w:r>
        <w:r w:rsidR="00746671" w:rsidRPr="00F43F8D">
          <w:rPr>
            <w:rStyle w:val="Hyperlink"/>
            <w:rFonts w:eastAsia="SimSun"/>
            <w:lang w:val="ru-RU"/>
          </w:rPr>
          <w:t xml:space="preserve"> и органы их регистрации</w:t>
        </w:r>
        <w:r w:rsidR="009B5BCC" w:rsidRPr="00F43F8D">
          <w:rPr>
            <w:rStyle w:val="Hyperlink"/>
            <w:rFonts w:eastAsia="SimSun"/>
            <w:lang w:val="ru-RU"/>
          </w:rPr>
          <w:t xml:space="preserve"> (2010</w:t>
        </w:r>
        <w:r w:rsidR="00746671"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746671">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5" w:history="1">
        <w:r w:rsidR="00746671" w:rsidRPr="00F43F8D">
          <w:rPr>
            <w:rStyle w:val="Hyperlink"/>
            <w:rFonts w:eastAsia="SimSun"/>
            <w:lang w:val="ru-RU"/>
          </w:rPr>
          <w:t>Практические процедуры для субъективного тестирования</w:t>
        </w:r>
        <w:r w:rsidR="009B5BCC" w:rsidRPr="00F43F8D">
          <w:rPr>
            <w:rStyle w:val="Hyperlink"/>
            <w:rFonts w:eastAsia="SimSun"/>
            <w:lang w:val="ru-RU"/>
          </w:rPr>
          <w:t xml:space="preserve"> (2011</w:t>
        </w:r>
        <w:r w:rsidR="00746671"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746671">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6" w:history="1">
        <w:r w:rsidR="00746671" w:rsidRPr="00F43F8D">
          <w:rPr>
            <w:rStyle w:val="Hyperlink"/>
            <w:rFonts w:eastAsia="SimSun"/>
            <w:lang w:val="ru-RU"/>
          </w:rPr>
          <w:t>Безопасность в электросвязи и информационных технологиях</w:t>
        </w:r>
      </w:hyperlink>
      <w:r w:rsidR="009B5BCC" w:rsidRPr="00F43F8D">
        <w:rPr>
          <w:rStyle w:val="Hyperlink"/>
          <w:rFonts w:eastAsia="SimSun"/>
          <w:lang w:val="ru-RU"/>
        </w:rPr>
        <w:t xml:space="preserve"> (2011</w:t>
      </w:r>
      <w:r w:rsidR="00746671" w:rsidRPr="00F43F8D">
        <w:rPr>
          <w:rStyle w:val="Hyperlink"/>
          <w:rFonts w:eastAsia="SimSun"/>
          <w:lang w:val="ru-RU"/>
        </w:rPr>
        <w:t xml:space="preserve"> г.</w:t>
      </w:r>
      <w:r w:rsidR="009B5BCC" w:rsidRPr="00F43F8D">
        <w:rPr>
          <w:rStyle w:val="Hyperlink"/>
          <w:rFonts w:eastAsia="SimSun"/>
          <w:lang w:val="ru-RU"/>
        </w:rPr>
        <w:t>)</w:t>
      </w:r>
    </w:p>
    <w:p w:rsidR="009B5BCC" w:rsidRPr="00F43F8D" w:rsidRDefault="00600820" w:rsidP="003B1550">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7" w:history="1">
        <w:r w:rsidR="003B1550" w:rsidRPr="00F43F8D">
          <w:rPr>
            <w:rStyle w:val="Hyperlink"/>
            <w:rFonts w:eastAsia="SimSun"/>
            <w:lang w:val="ru-RU"/>
          </w:rPr>
          <w:t>Сети проводного широкополосного доступа и создание домашних сетей</w:t>
        </w:r>
      </w:hyperlink>
      <w:r w:rsidR="009B5BCC" w:rsidRPr="00F43F8D">
        <w:rPr>
          <w:rStyle w:val="Hyperlink"/>
          <w:rFonts w:eastAsia="SimSun"/>
          <w:lang w:val="ru-RU"/>
        </w:rPr>
        <w:t xml:space="preserve"> (2011</w:t>
      </w:r>
      <w:r w:rsidR="003B1550" w:rsidRPr="00F43F8D">
        <w:rPr>
          <w:rStyle w:val="Hyperlink"/>
          <w:rFonts w:eastAsia="SimSun"/>
          <w:lang w:val="ru-RU"/>
        </w:rPr>
        <w:t xml:space="preserve"> г.</w:t>
      </w:r>
      <w:r w:rsidR="009B5BCC" w:rsidRPr="00F43F8D">
        <w:rPr>
          <w:rStyle w:val="Hyperlink"/>
          <w:rFonts w:eastAsia="SimSun"/>
          <w:lang w:val="ru-RU"/>
        </w:rPr>
        <w:t>)</w:t>
      </w:r>
    </w:p>
    <w:p w:rsidR="009B5BCC" w:rsidRPr="00F43F8D" w:rsidRDefault="00600820" w:rsidP="00746671">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8" w:history="1">
        <w:r w:rsidR="00746671" w:rsidRPr="00F43F8D">
          <w:rPr>
            <w:rStyle w:val="Hyperlink"/>
            <w:rFonts w:eastAsia="SimSun"/>
            <w:lang w:val="ru-RU"/>
          </w:rPr>
          <w:t>Будущие сети</w:t>
        </w:r>
        <w:r w:rsidR="009B5BCC" w:rsidRPr="00F43F8D">
          <w:rPr>
            <w:rStyle w:val="Hyperlink"/>
            <w:rFonts w:eastAsia="SimSun"/>
            <w:lang w:val="ru-RU"/>
          </w:rPr>
          <w:t xml:space="preserve"> (2012</w:t>
        </w:r>
        <w:r w:rsidR="00746671"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D6124F">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19" w:history="1">
        <w:r w:rsidR="00F80EDD" w:rsidRPr="00F43F8D">
          <w:rPr>
            <w:rStyle w:val="Hyperlink"/>
            <w:rFonts w:eastAsia="SimSun"/>
            <w:lang w:val="ru-RU"/>
          </w:rPr>
          <w:t>Многочисленные технологии радиодоступа</w:t>
        </w:r>
      </w:hyperlink>
      <w:r w:rsidR="009B5BCC" w:rsidRPr="00F43F8D">
        <w:rPr>
          <w:rStyle w:val="Hyperlink"/>
          <w:rFonts w:eastAsia="SimSun"/>
          <w:lang w:val="ru-RU"/>
        </w:rPr>
        <w:t xml:space="preserve"> (2012</w:t>
      </w:r>
      <w:r w:rsidR="00323B6F" w:rsidRPr="00F43F8D">
        <w:rPr>
          <w:rStyle w:val="Hyperlink"/>
          <w:rFonts w:eastAsia="SimSun"/>
          <w:lang w:val="ru-RU"/>
        </w:rPr>
        <w:t xml:space="preserve"> г.</w:t>
      </w:r>
      <w:r w:rsidR="009B5BCC" w:rsidRPr="00F43F8D">
        <w:rPr>
          <w:rStyle w:val="Hyperlink"/>
          <w:rFonts w:eastAsia="SimSun"/>
          <w:lang w:val="ru-RU"/>
        </w:rPr>
        <w:t>)</w:t>
      </w:r>
    </w:p>
    <w:p w:rsidR="009B5BCC" w:rsidRPr="00F43F8D" w:rsidRDefault="00600820" w:rsidP="00267FB0">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20" w:history="1">
        <w:r w:rsidR="003B1550" w:rsidRPr="00F43F8D">
          <w:rPr>
            <w:rStyle w:val="Hyperlink"/>
            <w:rFonts w:eastAsia="SimSun"/>
            <w:lang w:val="ru-RU"/>
          </w:rPr>
          <w:t>Влияние межмашинного взаимодействия</w:t>
        </w:r>
        <w:r w:rsidR="00F43F8D">
          <w:rPr>
            <w:rStyle w:val="Hyperlink"/>
            <w:rFonts w:eastAsia="SimSun"/>
            <w:lang w:val="ru-RU"/>
          </w:rPr>
          <w:t xml:space="preserve"> </w:t>
        </w:r>
        <w:r w:rsidR="003B1550" w:rsidRPr="00F43F8D">
          <w:rPr>
            <w:rStyle w:val="Hyperlink"/>
            <w:rFonts w:eastAsia="SimSun"/>
            <w:lang w:val="ru-RU" w:bidi="ar-EG"/>
          </w:rPr>
          <w:t>(М2М)</w:t>
        </w:r>
        <w:r w:rsidR="00426777" w:rsidRPr="00F43F8D">
          <w:rPr>
            <w:rStyle w:val="Hyperlink"/>
            <w:rFonts w:eastAsia="SimSun"/>
            <w:lang w:val="ru-RU" w:bidi="ar-EG"/>
          </w:rPr>
          <w:t xml:space="preserve"> </w:t>
        </w:r>
        <w:r w:rsidR="003B1550" w:rsidRPr="00F43F8D">
          <w:rPr>
            <w:rStyle w:val="Hyperlink"/>
            <w:rFonts w:eastAsia="SimSun"/>
            <w:lang w:val="ru-RU"/>
          </w:rPr>
          <w:t>и приложений, относящихся к мобильной передаче данных при немежмашинном взаимодействии</w:t>
        </w:r>
        <w:r w:rsidR="00267FB0" w:rsidRPr="00F43F8D">
          <w:rPr>
            <w:rStyle w:val="Hyperlink"/>
            <w:rFonts w:eastAsia="SimSun"/>
            <w:lang w:val="ru-RU"/>
          </w:rPr>
          <w:t>, на сети подвижной связи</w:t>
        </w:r>
        <w:r w:rsidR="009B5BCC" w:rsidRPr="00F43F8D">
          <w:rPr>
            <w:rStyle w:val="Hyperlink"/>
            <w:rFonts w:eastAsia="SimSun"/>
            <w:lang w:val="ru-RU"/>
          </w:rPr>
          <w:t xml:space="preserve"> (2012</w:t>
        </w:r>
        <w:r w:rsidR="00267FB0" w:rsidRPr="00F43F8D">
          <w:rPr>
            <w:rStyle w:val="Hyperlink"/>
            <w:rFonts w:eastAsia="SimSun"/>
            <w:lang w:val="ru-RU"/>
          </w:rPr>
          <w:t xml:space="preserve"> г.</w:t>
        </w:r>
        <w:r w:rsidR="009B5BCC" w:rsidRPr="00F43F8D">
          <w:rPr>
            <w:rStyle w:val="Hyperlink"/>
            <w:rFonts w:eastAsia="SimSun"/>
            <w:lang w:val="ru-RU"/>
          </w:rPr>
          <w:t>)</w:t>
        </w:r>
      </w:hyperlink>
    </w:p>
    <w:p w:rsidR="009B5BCC" w:rsidRPr="00F43F8D" w:rsidRDefault="00600820" w:rsidP="00EA73F3">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21" w:history="1">
        <w:r w:rsidR="00EA73F3" w:rsidRPr="00F43F8D">
          <w:rPr>
            <w:rStyle w:val="Hyperlink"/>
            <w:rFonts w:eastAsia="SimSun"/>
            <w:lang w:val="ru-RU"/>
          </w:rPr>
          <w:t>Сценарии перехода от традиционных сетей к СПП в развивающихся странах</w:t>
        </w:r>
      </w:hyperlink>
      <w:r w:rsidR="009B5BCC" w:rsidRPr="00F43F8D">
        <w:rPr>
          <w:rStyle w:val="Hyperlink"/>
          <w:rFonts w:eastAsia="SimSun"/>
          <w:lang w:val="ru-RU"/>
        </w:rPr>
        <w:t xml:space="preserve"> (2013</w:t>
      </w:r>
      <w:r w:rsidR="00EA73F3" w:rsidRPr="00F43F8D">
        <w:rPr>
          <w:rStyle w:val="Hyperlink"/>
          <w:rFonts w:eastAsia="SimSun"/>
          <w:lang w:val="ru-RU"/>
        </w:rPr>
        <w:t xml:space="preserve"> г.</w:t>
      </w:r>
      <w:r w:rsidR="009B5BCC" w:rsidRPr="00F43F8D">
        <w:rPr>
          <w:rStyle w:val="Hyperlink"/>
          <w:rFonts w:eastAsia="SimSun"/>
          <w:lang w:val="ru-RU"/>
        </w:rPr>
        <w:t>)</w:t>
      </w:r>
    </w:p>
    <w:p w:rsidR="009B5BCC" w:rsidRPr="00F43F8D" w:rsidRDefault="00600820" w:rsidP="00CE1242">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22" w:history="1">
        <w:r w:rsidR="00EA73F3" w:rsidRPr="00F43F8D">
          <w:rPr>
            <w:rStyle w:val="Hyperlink"/>
            <w:rFonts w:eastAsia="SimSun"/>
            <w:lang w:val="ru-RU"/>
          </w:rPr>
          <w:t>Как повысить</w:t>
        </w:r>
        <w:r w:rsidR="009B5BCC" w:rsidRPr="00F43F8D">
          <w:rPr>
            <w:rStyle w:val="Hyperlink"/>
            <w:rFonts w:eastAsia="SimSun"/>
            <w:lang w:val="ru-RU"/>
          </w:rPr>
          <w:t xml:space="preserve"> </w:t>
        </w:r>
        <w:r w:rsidR="00EA73F3" w:rsidRPr="00F43F8D">
          <w:rPr>
            <w:rStyle w:val="Hyperlink"/>
            <w:rFonts w:eastAsia="SimSun"/>
            <w:lang w:val="ru-RU"/>
          </w:rPr>
          <w:t>качество обслуживания</w:t>
        </w:r>
        <w:r w:rsidR="009B5BCC" w:rsidRPr="00F43F8D">
          <w:rPr>
            <w:rStyle w:val="Hyperlink"/>
            <w:rFonts w:eastAsia="SimSun"/>
            <w:lang w:val="ru-RU"/>
          </w:rPr>
          <w:t xml:space="preserve"> (QoS)/</w:t>
        </w:r>
        <w:bookmarkStart w:id="10" w:name="_GoBack"/>
        <w:bookmarkEnd w:id="10"/>
        <w:r w:rsidR="00EA73F3" w:rsidRPr="00F43F8D">
          <w:rPr>
            <w:rStyle w:val="Hyperlink"/>
            <w:rFonts w:eastAsia="SimSun"/>
            <w:lang w:val="ru-RU"/>
          </w:rPr>
          <w:t>качество услуг</w:t>
        </w:r>
        <w:r w:rsidR="009B5BCC" w:rsidRPr="00F43F8D">
          <w:rPr>
            <w:rStyle w:val="Hyperlink"/>
            <w:rFonts w:eastAsia="SimSun"/>
            <w:lang w:val="ru-RU"/>
          </w:rPr>
          <w:t xml:space="preserve"> (QoE) </w:t>
        </w:r>
        <w:r w:rsidR="00EA73F3" w:rsidRPr="00F43F8D">
          <w:rPr>
            <w:rStyle w:val="Hyperlink"/>
            <w:rFonts w:eastAsia="SimSun"/>
            <w:lang w:val="ru-RU"/>
          </w:rPr>
          <w:t>платформы на базе</w:t>
        </w:r>
        <w:r w:rsidR="009B5BCC" w:rsidRPr="00F43F8D">
          <w:rPr>
            <w:rStyle w:val="Hyperlink"/>
            <w:rFonts w:eastAsia="SimSun"/>
            <w:lang w:val="ru-RU"/>
          </w:rPr>
          <w:t xml:space="preserve"> IP</w:t>
        </w:r>
      </w:hyperlink>
      <w:r w:rsidR="009B5BCC" w:rsidRPr="00F43F8D">
        <w:rPr>
          <w:rStyle w:val="Hyperlink"/>
          <w:rFonts w:eastAsia="SimSun"/>
          <w:lang w:val="ru-RU"/>
        </w:rPr>
        <w:t xml:space="preserve"> (2013</w:t>
      </w:r>
      <w:r w:rsidR="00EA73F3" w:rsidRPr="00F43F8D">
        <w:rPr>
          <w:rStyle w:val="Hyperlink"/>
          <w:rFonts w:eastAsia="SimSun"/>
          <w:lang w:val="ru-RU"/>
        </w:rPr>
        <w:t xml:space="preserve"> г.</w:t>
      </w:r>
      <w:r w:rsidR="009B5BCC" w:rsidRPr="00F43F8D">
        <w:rPr>
          <w:rStyle w:val="Hyperlink"/>
          <w:rFonts w:eastAsia="SimSun"/>
          <w:lang w:val="ru-RU"/>
        </w:rPr>
        <w:t>)</w:t>
      </w:r>
    </w:p>
    <w:p w:rsidR="009B5BCC" w:rsidRPr="00F43F8D" w:rsidRDefault="00600820" w:rsidP="002B6E04">
      <w:pPr>
        <w:pStyle w:val="enumlev1"/>
        <w:rPr>
          <w:rFonts w:asciiTheme="minorHAnsi" w:eastAsia="SimSun" w:hAnsiTheme="minorHAnsi"/>
          <w:color w:val="0000FF"/>
          <w:szCs w:val="24"/>
          <w:u w:val="single"/>
          <w:lang w:val="ru-RU" w:eastAsia="ja-JP"/>
        </w:rPr>
      </w:pPr>
      <w:r w:rsidRPr="00F43F8D">
        <w:rPr>
          <w:lang w:val="ru-RU"/>
        </w:rPr>
        <w:t>•</w:t>
      </w:r>
      <w:r w:rsidRPr="00F43F8D">
        <w:rPr>
          <w:lang w:val="ru-RU"/>
        </w:rPr>
        <w:tab/>
      </w:r>
      <w:hyperlink r:id="rId23" w:history="1">
        <w:r w:rsidR="002B6E04" w:rsidRPr="00F43F8D">
          <w:rPr>
            <w:rStyle w:val="Hyperlink"/>
            <w:rFonts w:eastAsia="SimSun"/>
            <w:lang w:val="ru-RU"/>
          </w:rPr>
          <w:t>Электросвязь и смягчение последствий бедствий</w:t>
        </w:r>
      </w:hyperlink>
      <w:r w:rsidR="009B5BCC" w:rsidRPr="00F43F8D">
        <w:rPr>
          <w:rStyle w:val="Hyperlink"/>
          <w:rFonts w:eastAsia="SimSun"/>
          <w:lang w:val="ru-RU"/>
        </w:rPr>
        <w:t xml:space="preserve"> (2013</w:t>
      </w:r>
      <w:r w:rsidR="002B6E04" w:rsidRPr="00F43F8D">
        <w:rPr>
          <w:rStyle w:val="Hyperlink"/>
          <w:rFonts w:eastAsia="SimSun"/>
          <w:lang w:val="ru-RU"/>
        </w:rPr>
        <w:t xml:space="preserve"> г.</w:t>
      </w:r>
      <w:r w:rsidR="009B5BCC" w:rsidRPr="00F43F8D">
        <w:rPr>
          <w:rStyle w:val="Hyperlink"/>
          <w:rFonts w:eastAsia="SimSun"/>
          <w:lang w:val="ru-RU"/>
        </w:rPr>
        <w:t>)</w:t>
      </w:r>
    </w:p>
    <w:p w:rsidR="009B5BCC" w:rsidRPr="00F43F8D" w:rsidRDefault="00600820" w:rsidP="002B6E04">
      <w:pPr>
        <w:pStyle w:val="enumlev1"/>
        <w:rPr>
          <w:rFonts w:asciiTheme="minorHAnsi" w:eastAsia="SimSun" w:hAnsiTheme="minorHAnsi"/>
          <w:color w:val="0000FF"/>
          <w:szCs w:val="24"/>
          <w:lang w:val="ru-RU" w:eastAsia="ja-JP"/>
        </w:rPr>
      </w:pPr>
      <w:r w:rsidRPr="00F43F8D">
        <w:rPr>
          <w:lang w:val="ru-RU"/>
        </w:rPr>
        <w:t>•</w:t>
      </w:r>
      <w:r w:rsidRPr="00F43F8D">
        <w:rPr>
          <w:lang w:val="ru-RU"/>
        </w:rPr>
        <w:tab/>
      </w:r>
      <w:hyperlink r:id="rId24" w:history="1">
        <w:r w:rsidR="002B6E04" w:rsidRPr="00F43F8D">
          <w:rPr>
            <w:rStyle w:val="Hyperlink"/>
            <w:rFonts w:eastAsia="SimSun"/>
            <w:lang w:val="ru-RU"/>
          </w:rPr>
          <w:t>Приложения беспроводных сенсорных сетей в сетях последующих поколений</w:t>
        </w:r>
      </w:hyperlink>
      <w:r w:rsidR="009B5BCC" w:rsidRPr="00F43F8D">
        <w:rPr>
          <w:rStyle w:val="Hyperlink"/>
          <w:rFonts w:eastAsia="SimSun"/>
          <w:lang w:val="ru-RU"/>
        </w:rPr>
        <w:t xml:space="preserve"> (2014</w:t>
      </w:r>
      <w:r w:rsidR="002B6E04" w:rsidRPr="00F43F8D">
        <w:rPr>
          <w:rStyle w:val="Hyperlink"/>
          <w:rFonts w:eastAsia="SimSun"/>
          <w:lang w:val="ru-RU"/>
        </w:rPr>
        <w:t xml:space="preserve"> г.</w:t>
      </w:r>
      <w:r w:rsidR="009B5BCC" w:rsidRPr="00F43F8D">
        <w:rPr>
          <w:rStyle w:val="Hyperlink"/>
          <w:rFonts w:eastAsia="SimSun"/>
          <w:lang w:val="ru-RU"/>
        </w:rPr>
        <w:t>)</w:t>
      </w:r>
      <w:r w:rsidR="00823387" w:rsidRPr="00F43F8D">
        <w:rPr>
          <w:rStyle w:val="Hyperlink"/>
          <w:rFonts w:eastAsia="SimSun"/>
          <w:u w:val="none"/>
          <w:lang w:val="ru-RU"/>
        </w:rPr>
        <w:t>.</w:t>
      </w:r>
    </w:p>
    <w:p w:rsidR="009B5BCC" w:rsidRPr="00F43F8D" w:rsidRDefault="00170F17" w:rsidP="00D32A1D">
      <w:pPr>
        <w:rPr>
          <w:lang w:val="ru-RU"/>
        </w:rPr>
      </w:pPr>
      <w:r w:rsidRPr="00F43F8D">
        <w:rPr>
          <w:lang w:val="ru-RU"/>
        </w:rPr>
        <w:t xml:space="preserve">Кроме того, </w:t>
      </w:r>
      <w:r w:rsidR="00D32A1D" w:rsidRPr="00F43F8D">
        <w:rPr>
          <w:lang w:val="ru-RU"/>
        </w:rPr>
        <w:t xml:space="preserve">в 2014 году готовятся к изданию </w:t>
      </w:r>
      <w:r w:rsidRPr="00F43F8D">
        <w:rPr>
          <w:lang w:val="ru-RU"/>
        </w:rPr>
        <w:t>следующие технические отчеты</w:t>
      </w:r>
      <w:r w:rsidR="009B5BCC" w:rsidRPr="00F43F8D">
        <w:rPr>
          <w:lang w:val="ru-RU"/>
        </w:rPr>
        <w:t>:</w:t>
      </w:r>
    </w:p>
    <w:p w:rsidR="009B5BCC" w:rsidRPr="00F43F8D" w:rsidRDefault="00A65E9D" w:rsidP="002E2EF1">
      <w:pPr>
        <w:pStyle w:val="enumlev1"/>
        <w:rPr>
          <w:lang w:val="ru-RU"/>
        </w:rPr>
      </w:pPr>
      <w:r w:rsidRPr="00F43F8D">
        <w:rPr>
          <w:lang w:val="ru-RU"/>
        </w:rPr>
        <w:t>•</w:t>
      </w:r>
      <w:r w:rsidRPr="00F43F8D">
        <w:rPr>
          <w:lang w:val="ru-RU"/>
        </w:rPr>
        <w:tab/>
      </w:r>
      <w:r w:rsidR="002E2EF1" w:rsidRPr="00F43F8D">
        <w:rPr>
          <w:lang w:val="ru-RU"/>
        </w:rPr>
        <w:t xml:space="preserve">Дорожная карта по </w:t>
      </w:r>
      <w:r w:rsidR="00F80EDD" w:rsidRPr="00F43F8D">
        <w:rPr>
          <w:lang w:val="ru-RU"/>
        </w:rPr>
        <w:t>"</w:t>
      </w:r>
      <w:r w:rsidR="002E2EF1" w:rsidRPr="00F43F8D">
        <w:rPr>
          <w:lang w:val="ru-RU"/>
        </w:rPr>
        <w:t>зеленым</w:t>
      </w:r>
      <w:r w:rsidR="00F80EDD" w:rsidRPr="00F43F8D">
        <w:rPr>
          <w:lang w:val="ru-RU"/>
        </w:rPr>
        <w:t>"</w:t>
      </w:r>
      <w:r w:rsidR="002E2EF1" w:rsidRPr="00F43F8D">
        <w:rPr>
          <w:lang w:val="ru-RU"/>
        </w:rPr>
        <w:t xml:space="preserve"> стандартам ИКТ</w:t>
      </w:r>
    </w:p>
    <w:p w:rsidR="009B5BCC" w:rsidRPr="00F43F8D" w:rsidRDefault="00A65E9D" w:rsidP="002E2EF1">
      <w:pPr>
        <w:pStyle w:val="enumlev1"/>
        <w:rPr>
          <w:lang w:val="ru-RU"/>
        </w:rPr>
      </w:pPr>
      <w:r w:rsidRPr="00F43F8D">
        <w:rPr>
          <w:lang w:val="ru-RU"/>
        </w:rPr>
        <w:t>•</w:t>
      </w:r>
      <w:r w:rsidRPr="00F43F8D">
        <w:rPr>
          <w:lang w:val="ru-RU"/>
        </w:rPr>
        <w:tab/>
      </w:r>
      <w:r w:rsidR="002E2EF1" w:rsidRPr="00F43F8D">
        <w:rPr>
          <w:lang w:val="ru-RU"/>
        </w:rPr>
        <w:t>Руководящие указания по ЭМП</w:t>
      </w:r>
    </w:p>
    <w:p w:rsidR="009B5BCC" w:rsidRPr="00F43F8D" w:rsidRDefault="00A65E9D" w:rsidP="002E2EF1">
      <w:pPr>
        <w:pStyle w:val="enumlev1"/>
        <w:rPr>
          <w:lang w:val="ru-RU"/>
        </w:rPr>
      </w:pPr>
      <w:r w:rsidRPr="00F43F8D">
        <w:rPr>
          <w:lang w:val="ru-RU"/>
        </w:rPr>
        <w:t>•</w:t>
      </w:r>
      <w:r w:rsidRPr="00F43F8D">
        <w:rPr>
          <w:lang w:val="ru-RU"/>
        </w:rPr>
        <w:tab/>
      </w:r>
      <w:r w:rsidR="00F80EDD" w:rsidRPr="00F43F8D">
        <w:rPr>
          <w:lang w:val="ru-RU"/>
        </w:rPr>
        <w:t>"</w:t>
      </w:r>
      <w:r w:rsidR="002E2EF1" w:rsidRPr="00F43F8D">
        <w:rPr>
          <w:lang w:val="ru-RU"/>
        </w:rPr>
        <w:t>Зеленая</w:t>
      </w:r>
      <w:r w:rsidR="00F80EDD" w:rsidRPr="00F43F8D">
        <w:rPr>
          <w:lang w:val="ru-RU"/>
        </w:rPr>
        <w:t>"</w:t>
      </w:r>
      <w:r w:rsidR="002E2EF1" w:rsidRPr="00F43F8D">
        <w:rPr>
          <w:lang w:val="ru-RU"/>
        </w:rPr>
        <w:t xml:space="preserve"> книга по </w:t>
      </w:r>
      <w:r w:rsidR="009B5BCC" w:rsidRPr="00F43F8D">
        <w:rPr>
          <w:lang w:val="ru-RU"/>
        </w:rPr>
        <w:t>IPTV</w:t>
      </w:r>
    </w:p>
    <w:p w:rsidR="009B5BCC" w:rsidRPr="00F43F8D" w:rsidRDefault="00A65E9D" w:rsidP="00380993">
      <w:pPr>
        <w:pStyle w:val="enumlev1"/>
        <w:rPr>
          <w:lang w:val="ru-RU"/>
        </w:rPr>
      </w:pPr>
      <w:r w:rsidRPr="00F43F8D">
        <w:rPr>
          <w:lang w:val="ru-RU"/>
        </w:rPr>
        <w:t>•</w:t>
      </w:r>
      <w:r w:rsidRPr="00F43F8D">
        <w:rPr>
          <w:lang w:val="ru-RU"/>
        </w:rPr>
        <w:tab/>
      </w:r>
      <w:r w:rsidR="00380993" w:rsidRPr="00F43F8D">
        <w:rPr>
          <w:lang w:val="ru-RU"/>
        </w:rPr>
        <w:t xml:space="preserve">Новые </w:t>
      </w:r>
      <w:r w:rsidR="00F80EDD" w:rsidRPr="00F43F8D">
        <w:rPr>
          <w:lang w:val="ru-RU"/>
        </w:rPr>
        <w:t>задачи</w:t>
      </w:r>
      <w:r w:rsidR="00380993" w:rsidRPr="00F43F8D">
        <w:rPr>
          <w:lang w:val="ru-RU"/>
        </w:rPr>
        <w:t xml:space="preserve"> для стандартизации инфраструктуры открытых ключей в подвижных сетях</w:t>
      </w:r>
      <w:r w:rsidR="009B5BCC" w:rsidRPr="00F43F8D">
        <w:rPr>
          <w:lang w:val="ru-RU"/>
        </w:rPr>
        <w:t xml:space="preserve">, </w:t>
      </w:r>
      <w:r w:rsidR="00380993" w:rsidRPr="00F43F8D">
        <w:rPr>
          <w:lang w:val="ru-RU"/>
        </w:rPr>
        <w:t>межмашинной связи</w:t>
      </w:r>
      <w:r w:rsidR="009B5BCC" w:rsidRPr="00F43F8D">
        <w:rPr>
          <w:lang w:val="ru-RU"/>
        </w:rPr>
        <w:t xml:space="preserve">, </w:t>
      </w:r>
      <w:r w:rsidR="00380993" w:rsidRPr="00F43F8D">
        <w:rPr>
          <w:lang w:val="ru-RU"/>
        </w:rPr>
        <w:t xml:space="preserve">облачных вычислениях и </w:t>
      </w:r>
      <w:r w:rsidR="00F80EDD" w:rsidRPr="00F43F8D">
        <w:rPr>
          <w:lang w:val="ru-RU"/>
        </w:rPr>
        <w:t>"</w:t>
      </w:r>
      <w:r w:rsidR="00380993" w:rsidRPr="00F43F8D">
        <w:rPr>
          <w:lang w:val="ru-RU"/>
        </w:rPr>
        <w:t>умных</w:t>
      </w:r>
      <w:r w:rsidR="00F80EDD" w:rsidRPr="00F43F8D">
        <w:rPr>
          <w:lang w:val="ru-RU"/>
        </w:rPr>
        <w:t>"</w:t>
      </w:r>
      <w:r w:rsidR="00380993" w:rsidRPr="00F43F8D">
        <w:rPr>
          <w:lang w:val="ru-RU"/>
        </w:rPr>
        <w:t xml:space="preserve"> электросетях</w:t>
      </w:r>
      <w:r w:rsidR="009B5BCC" w:rsidRPr="00F43F8D">
        <w:rPr>
          <w:lang w:val="ru-RU"/>
        </w:rPr>
        <w:t xml:space="preserve"> </w:t>
      </w:r>
    </w:p>
    <w:p w:rsidR="009B5BCC" w:rsidRPr="00F43F8D" w:rsidRDefault="00A65E9D" w:rsidP="00476DA1">
      <w:pPr>
        <w:pStyle w:val="enumlev1"/>
        <w:rPr>
          <w:lang w:val="ru-RU"/>
        </w:rPr>
      </w:pPr>
      <w:r w:rsidRPr="00F43F8D">
        <w:rPr>
          <w:lang w:val="ru-RU"/>
        </w:rPr>
        <w:t>•</w:t>
      </w:r>
      <w:r w:rsidRPr="00F43F8D">
        <w:rPr>
          <w:lang w:val="ru-RU"/>
        </w:rPr>
        <w:tab/>
      </w:r>
      <w:r w:rsidR="00476DA1" w:rsidRPr="00F43F8D">
        <w:rPr>
          <w:lang w:val="ru-RU"/>
        </w:rPr>
        <w:t>Составление Руководства по защите от перенапряжения</w:t>
      </w:r>
    </w:p>
    <w:p w:rsidR="009B5BCC" w:rsidRPr="00F43F8D" w:rsidRDefault="00A65E9D" w:rsidP="002E6ACE">
      <w:pPr>
        <w:pStyle w:val="enumlev1"/>
        <w:rPr>
          <w:lang w:val="ru-RU"/>
        </w:rPr>
      </w:pPr>
      <w:r w:rsidRPr="00F43F8D">
        <w:rPr>
          <w:lang w:val="ru-RU"/>
        </w:rPr>
        <w:t>•</w:t>
      </w:r>
      <w:r w:rsidRPr="00F43F8D">
        <w:rPr>
          <w:lang w:val="ru-RU"/>
        </w:rPr>
        <w:tab/>
      </w:r>
      <w:r w:rsidR="002E6ACE" w:rsidRPr="00F43F8D">
        <w:rPr>
          <w:lang w:val="ru-RU"/>
        </w:rPr>
        <w:t>Управление мобильностью в МСЭ-Т: Нынешнее развитие и следующие шаги в направлении будущих сетей</w:t>
      </w:r>
      <w:r w:rsidR="009B5BCC" w:rsidRPr="00F43F8D">
        <w:rPr>
          <w:lang w:val="ru-RU"/>
        </w:rPr>
        <w:t xml:space="preserve"> </w:t>
      </w:r>
    </w:p>
    <w:p w:rsidR="009B5BCC" w:rsidRPr="00F43F8D" w:rsidRDefault="00A65E9D" w:rsidP="002E6ACE">
      <w:pPr>
        <w:pStyle w:val="enumlev1"/>
        <w:rPr>
          <w:lang w:val="ru-RU"/>
        </w:rPr>
      </w:pPr>
      <w:r w:rsidRPr="00F43F8D">
        <w:rPr>
          <w:lang w:val="ru-RU"/>
        </w:rPr>
        <w:t>•</w:t>
      </w:r>
      <w:r w:rsidRPr="00F43F8D">
        <w:rPr>
          <w:lang w:val="ru-RU"/>
        </w:rPr>
        <w:tab/>
      </w:r>
      <w:r w:rsidR="00823387" w:rsidRPr="00F43F8D">
        <w:rPr>
          <w:lang w:val="ru-RU"/>
        </w:rPr>
        <w:t>В направлении</w:t>
      </w:r>
      <w:r w:rsidR="002E6ACE" w:rsidRPr="00F43F8D">
        <w:rPr>
          <w:lang w:val="ru-RU"/>
        </w:rPr>
        <w:t xml:space="preserve"> модели затрат, связанных с роумингом, для регуляторных органов.</w:t>
      </w:r>
    </w:p>
    <w:p w:rsidR="009B5BCC" w:rsidRPr="00F43F8D" w:rsidRDefault="00600820" w:rsidP="006D5E4D">
      <w:pPr>
        <w:pStyle w:val="Heading2"/>
        <w:rPr>
          <w:lang w:val="ru-RU"/>
        </w:rPr>
      </w:pPr>
      <w:r w:rsidRPr="00F43F8D">
        <w:rPr>
          <w:lang w:val="ru-RU"/>
        </w:rPr>
        <w:t>2.3</w:t>
      </w:r>
      <w:r w:rsidR="009B5BCC" w:rsidRPr="00F43F8D">
        <w:rPr>
          <w:lang w:val="ru-RU"/>
        </w:rPr>
        <w:tab/>
      </w:r>
      <w:r w:rsidR="006D5E4D" w:rsidRPr="00F43F8D">
        <w:rPr>
          <w:lang w:val="ru-RU"/>
        </w:rPr>
        <w:t>Программа наставничества для новых членов исследовательских комиссий МСЭ</w:t>
      </w:r>
      <w:r w:rsidR="009B5BCC" w:rsidRPr="00F43F8D">
        <w:rPr>
          <w:lang w:val="ru-RU"/>
        </w:rPr>
        <w:t>-T</w:t>
      </w:r>
    </w:p>
    <w:p w:rsidR="009A4504" w:rsidRPr="00F43F8D" w:rsidRDefault="009A4504" w:rsidP="009A4504">
      <w:pPr>
        <w:rPr>
          <w:lang w:val="ru-RU"/>
        </w:rPr>
      </w:pPr>
      <w:r w:rsidRPr="00F43F8D">
        <w:rPr>
          <w:lang w:val="ru-RU"/>
        </w:rPr>
        <w:t>В целях предоставления новым делегатам дополнительной информации о процедурах, относящихся к собраниям МСЭ-Т, а также повышения отдачи от участия развивающихся стран, в августе 2011 года впервые была введена программа наставничества для членов исследовательских комиссий МСЭ-Т из развивающихся стран. Эта программа стала неотъемлемой частью собраний исследовательских комиссий МСЭ-Т и КГСЭ.</w:t>
      </w:r>
    </w:p>
    <w:p w:rsidR="009A4504" w:rsidRPr="00F43F8D" w:rsidRDefault="009A4504" w:rsidP="00CE1242">
      <w:pPr>
        <w:rPr>
          <w:lang w:val="ru-RU"/>
        </w:rPr>
      </w:pPr>
      <w:r w:rsidRPr="00F43F8D">
        <w:rPr>
          <w:lang w:val="ru-RU"/>
        </w:rPr>
        <w:t xml:space="preserve">На собрании КГСЭ в январе 2012 года в исследовательских комиссиях была учреждена новая должность наставника. Основная задача наставника будет заключаться в осуществлении координации с представителями развивающихся стран в исследовательской комиссии в целях распространения информации и образцов передового опыта в области применения Рекомендаций МСЭ-Т, с тем чтобы активизировать деятельность в области стандартизации в развивающихся странах и региональных группах. Взаимодействуя с членами из развивающихся стран, наставник сможет также определять программы создания потенциала для Рекомендаций МСЭ-Т, которые впоследствии могли бы быть реализованы БСЭ в рамках </w:t>
      </w:r>
      <w:r w:rsidR="00CE1242" w:rsidRPr="00F43F8D">
        <w:rPr>
          <w:lang w:val="ru-RU"/>
        </w:rPr>
        <w:t>преодоления разрыва в области стандартизации</w:t>
      </w:r>
      <w:r w:rsidRPr="00F43F8D">
        <w:rPr>
          <w:lang w:val="ru-RU"/>
        </w:rPr>
        <w:t>.</w:t>
      </w:r>
    </w:p>
    <w:p w:rsidR="009B5BCC" w:rsidRPr="00F43F8D" w:rsidRDefault="00600820" w:rsidP="003F36C0">
      <w:pPr>
        <w:pStyle w:val="Heading2"/>
        <w:rPr>
          <w:lang w:val="ru-RU"/>
        </w:rPr>
      </w:pPr>
      <w:r w:rsidRPr="00F43F8D">
        <w:rPr>
          <w:lang w:val="ru-RU"/>
        </w:rPr>
        <w:t>2.4</w:t>
      </w:r>
      <w:r w:rsidR="009B5BCC" w:rsidRPr="00F43F8D">
        <w:rPr>
          <w:lang w:val="ru-RU"/>
        </w:rPr>
        <w:tab/>
      </w:r>
      <w:r w:rsidR="003F36C0" w:rsidRPr="00F43F8D">
        <w:rPr>
          <w:lang w:val="ru-RU"/>
        </w:rPr>
        <w:t>Дистанционное участие и устный перевод</w:t>
      </w:r>
    </w:p>
    <w:p w:rsidR="00AF14AB" w:rsidRPr="00F43F8D" w:rsidRDefault="00AF14AB" w:rsidP="003F36C0">
      <w:pPr>
        <w:rPr>
          <w:lang w:val="ru-RU"/>
        </w:rPr>
      </w:pPr>
      <w:r w:rsidRPr="00F43F8D">
        <w:rPr>
          <w:lang w:val="ru-RU"/>
        </w:rPr>
        <w:t xml:space="preserve">В настоящее время предоставляется возможность </w:t>
      </w:r>
      <w:r w:rsidR="00F26501" w:rsidRPr="00F43F8D">
        <w:rPr>
          <w:lang w:val="ru-RU"/>
        </w:rPr>
        <w:t xml:space="preserve">бесплатного </w:t>
      </w:r>
      <w:r w:rsidRPr="00F43F8D">
        <w:rPr>
          <w:lang w:val="ru-RU"/>
        </w:rPr>
        <w:t xml:space="preserve">дистанционного участия во всех собраниях исследовательских комиссий (с использованием опции обратного вызова). На пленарном заседании, посвященном открытию собрания, и на заключительном пленарном заседании обеспечивается полномасштабный устный перевод. Вклады, направляемые в исследовательские комиссии, могут быть переведены на шесть языков, если они получены не позднее чем за два месяца до собрания. Кроме того, осуществляется письменный перевод ряда Рекомендаций, утверждаемых по АПУ. Высокую оценку получила новая услуга для членов – возможность прямого размещения документов. </w:t>
      </w:r>
    </w:p>
    <w:p w:rsidR="009B5BCC" w:rsidRPr="00F43F8D" w:rsidRDefault="00600820" w:rsidP="000A4E65">
      <w:pPr>
        <w:pStyle w:val="Heading1"/>
        <w:rPr>
          <w:lang w:val="ru-RU"/>
        </w:rPr>
      </w:pPr>
      <w:r w:rsidRPr="00F43F8D">
        <w:rPr>
          <w:lang w:val="ru-RU"/>
        </w:rPr>
        <w:t>3</w:t>
      </w:r>
      <w:r w:rsidR="009B5BCC" w:rsidRPr="00F43F8D">
        <w:rPr>
          <w:lang w:val="ru-RU"/>
        </w:rPr>
        <w:tab/>
      </w:r>
      <w:r w:rsidR="000A4E65" w:rsidRPr="00F43F8D">
        <w:rPr>
          <w:lang w:val="ru-RU"/>
        </w:rPr>
        <w:t>Программа</w:t>
      </w:r>
      <w:r w:rsidR="009B5BCC" w:rsidRPr="00F43F8D">
        <w:rPr>
          <w:lang w:val="ru-RU"/>
        </w:rPr>
        <w:t xml:space="preserve"> 2: </w:t>
      </w:r>
      <w:r w:rsidR="000A4E65" w:rsidRPr="00F43F8D">
        <w:rPr>
          <w:lang w:val="ru-RU"/>
        </w:rPr>
        <w:t>Оказание помощи развивающимся странам в отношении применения стандартов</w:t>
      </w:r>
      <w:r w:rsidR="009B5BCC" w:rsidRPr="00F43F8D">
        <w:rPr>
          <w:lang w:val="ru-RU"/>
        </w:rPr>
        <w:t xml:space="preserve"> </w:t>
      </w:r>
    </w:p>
    <w:p w:rsidR="009B5BCC" w:rsidRPr="00F43F8D" w:rsidRDefault="00600820" w:rsidP="003F36C0">
      <w:pPr>
        <w:pStyle w:val="Heading2"/>
        <w:rPr>
          <w:lang w:val="ru-RU"/>
        </w:rPr>
      </w:pPr>
      <w:r w:rsidRPr="00F43F8D">
        <w:rPr>
          <w:lang w:val="ru-RU"/>
        </w:rPr>
        <w:t>3.1</w:t>
      </w:r>
      <w:r w:rsidR="009B5BCC" w:rsidRPr="00F43F8D">
        <w:rPr>
          <w:lang w:val="ru-RU"/>
        </w:rPr>
        <w:tab/>
      </w:r>
      <w:r w:rsidR="003F36C0" w:rsidRPr="00F43F8D">
        <w:rPr>
          <w:lang w:val="ru-RU"/>
        </w:rPr>
        <w:t>Техническая помощь в создании национального секретариата по стандартизации (НСС</w:t>
      </w:r>
      <w:r w:rsidR="009B5BCC" w:rsidRPr="00F43F8D">
        <w:rPr>
          <w:lang w:val="ru-RU"/>
        </w:rPr>
        <w:t>)</w:t>
      </w:r>
    </w:p>
    <w:p w:rsidR="009B5BCC" w:rsidRPr="00F43F8D" w:rsidRDefault="00F13305" w:rsidP="00707380">
      <w:pPr>
        <w:rPr>
          <w:lang w:val="ru-RU"/>
        </w:rPr>
      </w:pPr>
      <w:r w:rsidRPr="00F43F8D">
        <w:rPr>
          <w:rFonts w:asciiTheme="minorHAnsi" w:hAnsiTheme="minorHAnsi"/>
          <w:szCs w:val="22"/>
          <w:lang w:val="ru-RU"/>
        </w:rPr>
        <w:t>В 2014 году был опубликован набор руководящих указаний для развивающихся стран по созданию</w:t>
      </w:r>
      <w:r w:rsidR="009B5BCC" w:rsidRPr="00F43F8D">
        <w:rPr>
          <w:lang w:val="ru-RU"/>
        </w:rPr>
        <w:t xml:space="preserve"> </w:t>
      </w:r>
      <w:r w:rsidR="00823387" w:rsidRPr="00F43F8D">
        <w:rPr>
          <w:lang w:val="ru-RU"/>
        </w:rPr>
        <w:t>"</w:t>
      </w:r>
      <w:r w:rsidRPr="00F43F8D">
        <w:rPr>
          <w:lang w:val="ru-RU"/>
        </w:rPr>
        <w:t>национального секретариата по стандартизации</w:t>
      </w:r>
      <w:r w:rsidR="00823387" w:rsidRPr="00F43F8D">
        <w:rPr>
          <w:lang w:val="ru-RU"/>
        </w:rPr>
        <w:t>"</w:t>
      </w:r>
      <w:r w:rsidR="00707380" w:rsidRPr="00F43F8D">
        <w:rPr>
          <w:lang w:val="ru-RU"/>
        </w:rPr>
        <w:t>, который должен осуществлять контрольные функции в области стандартизации ИКТ на национальном уровне и представлять интересы страны на международном уровне в рамках деятельности МСЭ</w:t>
      </w:r>
      <w:r w:rsidR="009B5BCC" w:rsidRPr="00F43F8D">
        <w:rPr>
          <w:lang w:val="ru-RU"/>
        </w:rPr>
        <w:t>-T</w:t>
      </w:r>
      <w:r w:rsidR="00707380" w:rsidRPr="00F43F8D">
        <w:rPr>
          <w:lang w:val="ru-RU"/>
        </w:rPr>
        <w:t xml:space="preserve"> в области стандартизации</w:t>
      </w:r>
      <w:r w:rsidR="009B5BCC" w:rsidRPr="00F43F8D">
        <w:rPr>
          <w:lang w:val="ru-RU"/>
        </w:rPr>
        <w:t>.</w:t>
      </w:r>
    </w:p>
    <w:p w:rsidR="009B5BCC" w:rsidRPr="00F43F8D" w:rsidRDefault="00F80EDD" w:rsidP="008D7856">
      <w:pPr>
        <w:rPr>
          <w:lang w:val="ru-RU"/>
        </w:rPr>
      </w:pPr>
      <w:r w:rsidRPr="00F43F8D">
        <w:rPr>
          <w:lang w:val="ru-RU"/>
        </w:rPr>
        <w:t>"</w:t>
      </w:r>
      <w:hyperlink r:id="rId25" w:history="1">
        <w:r w:rsidR="009D634A" w:rsidRPr="00F43F8D">
          <w:rPr>
            <w:rStyle w:val="Hyperlink"/>
            <w:lang w:val="ru-RU"/>
          </w:rPr>
          <w:t>Руководящие указания по созданию национального секретариата по стандартизации (НСС) для МСЭ</w:t>
        </w:r>
        <w:r w:rsidRPr="00F43F8D">
          <w:rPr>
            <w:rStyle w:val="Hyperlink"/>
            <w:lang w:val="ru-RU"/>
          </w:rPr>
          <w:noBreakHyphen/>
        </w:r>
        <w:r w:rsidR="009B5BCC" w:rsidRPr="00F43F8D">
          <w:rPr>
            <w:rStyle w:val="Hyperlink"/>
            <w:lang w:val="ru-RU"/>
          </w:rPr>
          <w:t>T</w:t>
        </w:r>
      </w:hyperlink>
      <w:r w:rsidRPr="00F43F8D">
        <w:rPr>
          <w:rStyle w:val="Hyperlink"/>
          <w:u w:val="none"/>
          <w:lang w:val="ru-RU"/>
        </w:rPr>
        <w:t>"</w:t>
      </w:r>
      <w:r w:rsidR="009B5BCC" w:rsidRPr="00F43F8D">
        <w:rPr>
          <w:lang w:val="ru-RU"/>
        </w:rPr>
        <w:t xml:space="preserve">, </w:t>
      </w:r>
      <w:r w:rsidR="008D7856" w:rsidRPr="00F43F8D">
        <w:rPr>
          <w:lang w:val="ru-RU"/>
        </w:rPr>
        <w:t>которые в настоящее время переводятся на шесть официальных языков Союза, отвечают расширенному мандату, содержащемуся в пересмотренной Резолюции</w:t>
      </w:r>
      <w:r w:rsidR="009B5BCC" w:rsidRPr="00F43F8D">
        <w:rPr>
          <w:lang w:val="ru-RU"/>
        </w:rPr>
        <w:t xml:space="preserve"> 44.</w:t>
      </w:r>
    </w:p>
    <w:p w:rsidR="009B5BCC" w:rsidRPr="00F43F8D" w:rsidRDefault="00E930C0" w:rsidP="00E930C0">
      <w:pPr>
        <w:rPr>
          <w:lang w:val="ru-RU"/>
        </w:rPr>
      </w:pPr>
      <w:r w:rsidRPr="00F43F8D">
        <w:rPr>
          <w:lang w:val="ru-RU"/>
        </w:rPr>
        <w:t>Эти Руководящие ук</w:t>
      </w:r>
      <w:r w:rsidR="002D518F" w:rsidRPr="00F43F8D">
        <w:rPr>
          <w:lang w:val="ru-RU"/>
        </w:rPr>
        <w:t>а</w:t>
      </w:r>
      <w:r w:rsidRPr="00F43F8D">
        <w:rPr>
          <w:lang w:val="ru-RU"/>
        </w:rPr>
        <w:t>зания содержат поэтапую дорожную карту по созданию НСС, начиная от определения нормативно-правовой базы структуры, отвечающей за вопросы управления, до передового опыта в области анализа потребностей в ресурсах и создания групп экспертов по вопросам стандартизации на национальном уровне</w:t>
      </w:r>
      <w:r w:rsidR="009B5BCC" w:rsidRPr="00F43F8D">
        <w:rPr>
          <w:lang w:val="ru-RU"/>
        </w:rPr>
        <w:t>.</w:t>
      </w:r>
      <w:r w:rsidRPr="00F43F8D">
        <w:rPr>
          <w:lang w:val="ru-RU"/>
        </w:rPr>
        <w:t xml:space="preserve"> Представлены также руководящие указания по вопросам ответственности, руководства, членского состава и методов работы каждого комитета</w:t>
      </w:r>
      <w:r w:rsidR="00823387" w:rsidRPr="00F43F8D">
        <w:rPr>
          <w:lang w:val="ru-RU"/>
        </w:rPr>
        <w:t xml:space="preserve"> </w:t>
      </w:r>
      <w:r w:rsidRPr="00F43F8D">
        <w:rPr>
          <w:lang w:val="ru-RU"/>
        </w:rPr>
        <w:t>или группы экспертов, входящих в состав эффективного НСС</w:t>
      </w:r>
      <w:r w:rsidR="009B5BCC" w:rsidRPr="00F43F8D">
        <w:rPr>
          <w:lang w:val="ru-RU"/>
        </w:rPr>
        <w:t>.</w:t>
      </w:r>
      <w:r w:rsidRPr="00F43F8D">
        <w:rPr>
          <w:lang w:val="ru-RU"/>
        </w:rPr>
        <w:t xml:space="preserve"> Страны, желающие создать национальный секретариат по стандартизации</w:t>
      </w:r>
      <w:r w:rsidR="00D923B4" w:rsidRPr="00F43F8D">
        <w:rPr>
          <w:lang w:val="ru-RU"/>
        </w:rPr>
        <w:t>,</w:t>
      </w:r>
      <w:r w:rsidRPr="00F43F8D">
        <w:rPr>
          <w:lang w:val="ru-RU"/>
        </w:rPr>
        <w:t xml:space="preserve"> могут обратиться за технической помощью к БСЭ</w:t>
      </w:r>
      <w:r w:rsidR="009B5BCC" w:rsidRPr="00F43F8D">
        <w:rPr>
          <w:lang w:val="ru-RU"/>
        </w:rPr>
        <w:t>.</w:t>
      </w:r>
      <w:r w:rsidRPr="00F43F8D">
        <w:rPr>
          <w:lang w:val="ru-RU"/>
        </w:rPr>
        <w:t xml:space="preserve"> Гамбия уже установила контакт с БСЭ с целью получения технической помощи для создания национального секретариата по стандартизации</w:t>
      </w:r>
      <w:r w:rsidR="009B5BCC" w:rsidRPr="00F43F8D">
        <w:rPr>
          <w:lang w:val="ru-RU"/>
        </w:rPr>
        <w:t>.</w:t>
      </w:r>
    </w:p>
    <w:p w:rsidR="009B5BCC" w:rsidRPr="00F43F8D" w:rsidRDefault="00600820" w:rsidP="00D525AF">
      <w:pPr>
        <w:pStyle w:val="Heading2"/>
        <w:rPr>
          <w:lang w:val="ru-RU"/>
        </w:rPr>
      </w:pPr>
      <w:r w:rsidRPr="00F43F8D">
        <w:rPr>
          <w:lang w:val="ru-RU"/>
        </w:rPr>
        <w:t>3.2</w:t>
      </w:r>
      <w:r w:rsidR="009B5BCC" w:rsidRPr="00F43F8D">
        <w:rPr>
          <w:lang w:val="ru-RU"/>
        </w:rPr>
        <w:tab/>
      </w:r>
      <w:r w:rsidR="00D525AF" w:rsidRPr="00F43F8D">
        <w:rPr>
          <w:lang w:val="ru-RU"/>
        </w:rPr>
        <w:t>Форум "Вопросы и ответы в области стандартов"</w:t>
      </w:r>
    </w:p>
    <w:p w:rsidR="00A82B77" w:rsidRPr="00F43F8D" w:rsidRDefault="009A4504" w:rsidP="009A4E49">
      <w:pPr>
        <w:rPr>
          <w:lang w:val="ru-RU"/>
        </w:rPr>
      </w:pPr>
      <w:r w:rsidRPr="00F43F8D">
        <w:rPr>
          <w:lang w:val="ru-RU"/>
        </w:rPr>
        <w:t xml:space="preserve">В сентябре 2011 года </w:t>
      </w:r>
      <w:r w:rsidR="009A4E49" w:rsidRPr="00F43F8D">
        <w:rPr>
          <w:lang w:val="ru-RU"/>
        </w:rPr>
        <w:t xml:space="preserve">БСЭ открыло </w:t>
      </w:r>
      <w:r w:rsidRPr="00F43F8D">
        <w:rPr>
          <w:lang w:val="ru-RU"/>
        </w:rPr>
        <w:t>работу форум</w:t>
      </w:r>
      <w:r w:rsidR="009A4E49" w:rsidRPr="00F43F8D">
        <w:rPr>
          <w:lang w:val="ru-RU"/>
        </w:rPr>
        <w:t>а</w:t>
      </w:r>
      <w:r w:rsidRPr="00F43F8D">
        <w:rPr>
          <w:lang w:val="ru-RU"/>
        </w:rPr>
        <w:t>, посвященн</w:t>
      </w:r>
      <w:r w:rsidR="009A4E49" w:rsidRPr="00F43F8D">
        <w:rPr>
          <w:lang w:val="ru-RU"/>
        </w:rPr>
        <w:t>ого</w:t>
      </w:r>
      <w:r w:rsidRPr="00F43F8D">
        <w:rPr>
          <w:lang w:val="ru-RU"/>
        </w:rPr>
        <w:t xml:space="preserve"> вопросам и ответам в области стандартов</w:t>
      </w:r>
      <w:r w:rsidRPr="00F43F8D">
        <w:rPr>
          <w:rStyle w:val="FootnoteReference"/>
          <w:rFonts w:eastAsiaTheme="minorEastAsia"/>
          <w:lang w:val="ru-RU"/>
        </w:rPr>
        <w:footnoteReference w:id="1"/>
      </w:r>
      <w:r w:rsidRPr="00F43F8D">
        <w:rPr>
          <w:lang w:val="ru-RU"/>
        </w:rPr>
        <w:t xml:space="preserve">, в рамках которого каждый может направить вопрос относительно выполнения Рекомендаций МСЭ-Т непосредственно экспертам исследовательских комиссий. Это – открытый форум, где любой может задать вопросы, касающиеся разработки стандартов, </w:t>
      </w:r>
      <w:r w:rsidR="00227F58" w:rsidRPr="00F43F8D">
        <w:rPr>
          <w:lang w:val="ru-RU"/>
        </w:rPr>
        <w:t xml:space="preserve">а </w:t>
      </w:r>
      <w:r w:rsidRPr="00F43F8D">
        <w:rPr>
          <w:lang w:val="ru-RU"/>
        </w:rPr>
        <w:t>модераторами форума являются советники исследовательских комиссий из БСЭ. Форум предоставляет уникальную возможность взаимодействия с экспертами, которые разрабатывают стандарты, являющиеся фундаментом ИКТ. Форум также обеспечивает платформу, позволяющую упростить обмен информацией между развитыми и развивающимися странами по вопросам применения Рекомендаций МСЭ-Т.</w:t>
      </w:r>
    </w:p>
    <w:p w:rsidR="009B5BCC" w:rsidRPr="00F43F8D" w:rsidRDefault="00600820" w:rsidP="00823387">
      <w:pPr>
        <w:pStyle w:val="Heading1"/>
        <w:rPr>
          <w:lang w:val="ru-RU"/>
        </w:rPr>
      </w:pPr>
      <w:r w:rsidRPr="00F43F8D">
        <w:rPr>
          <w:lang w:val="ru-RU"/>
        </w:rPr>
        <w:t>4</w:t>
      </w:r>
      <w:r w:rsidR="009B5BCC" w:rsidRPr="00F43F8D">
        <w:rPr>
          <w:lang w:val="ru-RU"/>
        </w:rPr>
        <w:tab/>
      </w:r>
      <w:r w:rsidR="00092B8B" w:rsidRPr="00F43F8D">
        <w:rPr>
          <w:lang w:val="ru-RU"/>
        </w:rPr>
        <w:t>Программа 3: Создание потенциала людских ресурсов</w:t>
      </w:r>
    </w:p>
    <w:p w:rsidR="009B5BCC" w:rsidRPr="00F43F8D" w:rsidRDefault="009B5BCC" w:rsidP="00872139">
      <w:pPr>
        <w:pStyle w:val="Heading2"/>
        <w:rPr>
          <w:lang w:val="ru-RU"/>
        </w:rPr>
      </w:pPr>
      <w:r w:rsidRPr="00F43F8D">
        <w:rPr>
          <w:lang w:val="ru-RU"/>
        </w:rPr>
        <w:t>4.1</w:t>
      </w:r>
      <w:r w:rsidRPr="00F43F8D">
        <w:rPr>
          <w:lang w:val="ru-RU"/>
        </w:rPr>
        <w:tab/>
      </w:r>
      <w:r w:rsidR="00872139" w:rsidRPr="00F43F8D">
        <w:rPr>
          <w:lang w:val="ru-RU"/>
        </w:rPr>
        <w:t>Курсы электронного обучения методам работы исследовательских комиссий МСЭ</w:t>
      </w:r>
      <w:r w:rsidRPr="00F43F8D">
        <w:rPr>
          <w:lang w:val="ru-RU"/>
        </w:rPr>
        <w:t>-T</w:t>
      </w:r>
    </w:p>
    <w:p w:rsidR="009B5BCC" w:rsidRPr="00F43F8D" w:rsidRDefault="004C72AB" w:rsidP="00AA3BDF">
      <w:pPr>
        <w:rPr>
          <w:lang w:val="ru-RU"/>
        </w:rPr>
      </w:pPr>
      <w:r w:rsidRPr="00F43F8D">
        <w:rPr>
          <w:lang w:val="ru-RU"/>
        </w:rPr>
        <w:t>Резолюция</w:t>
      </w:r>
      <w:r w:rsidR="009B5BCC" w:rsidRPr="00F43F8D">
        <w:rPr>
          <w:lang w:val="ru-RU"/>
        </w:rPr>
        <w:t xml:space="preserve"> 44</w:t>
      </w:r>
      <w:r w:rsidRPr="00F43F8D">
        <w:rPr>
          <w:lang w:val="ru-RU"/>
        </w:rPr>
        <w:t>, пересмотренная на ВАСЭ</w:t>
      </w:r>
      <w:r w:rsidR="009B5BCC" w:rsidRPr="00F43F8D">
        <w:rPr>
          <w:lang w:val="ru-RU"/>
        </w:rPr>
        <w:t xml:space="preserve">-12 </w:t>
      </w:r>
      <w:r w:rsidRPr="00F43F8D">
        <w:rPr>
          <w:lang w:val="ru-RU"/>
        </w:rPr>
        <w:t>в Дубае, содержит призыв к Директору БСЭ</w:t>
      </w:r>
      <w:r w:rsidR="005252C9" w:rsidRPr="00F43F8D">
        <w:rPr>
          <w:lang w:val="ru-RU"/>
        </w:rPr>
        <w:t xml:space="preserve"> рассмотреть также вопрос об использовании электронных каналов для распространения информаци</w:t>
      </w:r>
      <w:r w:rsidR="00AA3BDF" w:rsidRPr="00F43F8D">
        <w:rPr>
          <w:lang w:val="ru-RU"/>
        </w:rPr>
        <w:t>и</w:t>
      </w:r>
      <w:r w:rsidR="005252C9" w:rsidRPr="00F43F8D">
        <w:rPr>
          <w:lang w:val="ru-RU"/>
        </w:rPr>
        <w:t xml:space="preserve"> и знаний по вопросам выполнения Рекомендаций МСЭ-Т</w:t>
      </w:r>
      <w:r w:rsidR="009B5BCC" w:rsidRPr="00F43F8D">
        <w:rPr>
          <w:lang w:val="ru-RU"/>
        </w:rPr>
        <w:t>.</w:t>
      </w:r>
    </w:p>
    <w:p w:rsidR="009B5BCC" w:rsidRPr="00F43F8D" w:rsidRDefault="00F43F8D" w:rsidP="00AA3BDF">
      <w:pPr>
        <w:rPr>
          <w:lang w:val="ru-RU"/>
        </w:rPr>
      </w:pPr>
      <w:hyperlink r:id="rId26" w:history="1">
        <w:r w:rsidR="00C356AC" w:rsidRPr="00F43F8D">
          <w:rPr>
            <w:rStyle w:val="Hyperlink"/>
            <w:lang w:val="ru-RU"/>
          </w:rPr>
          <w:t>Первые в серии</w:t>
        </w:r>
      </w:hyperlink>
      <w:r w:rsidR="009B5BCC" w:rsidRPr="00F43F8D">
        <w:rPr>
          <w:lang w:val="ru-RU"/>
        </w:rPr>
        <w:t xml:space="preserve"> </w:t>
      </w:r>
      <w:r w:rsidR="00C356AC" w:rsidRPr="00F43F8D">
        <w:rPr>
          <w:lang w:val="ru-RU"/>
        </w:rPr>
        <w:t>новых электронных курсов обучения МСЭ</w:t>
      </w:r>
      <w:r w:rsidR="009B5BCC" w:rsidRPr="00F43F8D">
        <w:rPr>
          <w:lang w:val="ru-RU"/>
        </w:rPr>
        <w:t>-T</w:t>
      </w:r>
      <w:r w:rsidR="00C356AC" w:rsidRPr="00F43F8D">
        <w:rPr>
          <w:lang w:val="ru-RU"/>
        </w:rPr>
        <w:t xml:space="preserve"> имеются в настоящее время на платформе</w:t>
      </w:r>
      <w:r w:rsidR="009B5BCC" w:rsidRPr="00F43F8D">
        <w:rPr>
          <w:lang w:val="ru-RU"/>
        </w:rPr>
        <w:t xml:space="preserve"> </w:t>
      </w:r>
      <w:hyperlink r:id="rId27" w:history="1">
        <w:r w:rsidR="00C356AC" w:rsidRPr="00F43F8D">
          <w:rPr>
            <w:rStyle w:val="Hyperlink"/>
            <w:lang w:val="ru-RU"/>
          </w:rPr>
          <w:t>Академии МСЭ</w:t>
        </w:r>
      </w:hyperlink>
      <w:r w:rsidR="009B5BCC" w:rsidRPr="00F43F8D">
        <w:rPr>
          <w:lang w:val="ru-RU"/>
        </w:rPr>
        <w:t xml:space="preserve">. </w:t>
      </w:r>
      <w:r w:rsidR="00C356AC" w:rsidRPr="00F43F8D">
        <w:rPr>
          <w:lang w:val="ru-RU"/>
        </w:rPr>
        <w:t>Эти курсы строятся на основе</w:t>
      </w:r>
      <w:r w:rsidR="009B5BCC" w:rsidRPr="00F43F8D">
        <w:rPr>
          <w:lang w:val="ru-RU"/>
        </w:rPr>
        <w:t xml:space="preserve"> </w:t>
      </w:r>
      <w:hyperlink r:id="rId28" w:history="1">
        <w:r w:rsidR="00C356AC" w:rsidRPr="00F43F8D">
          <w:rPr>
            <w:rStyle w:val="Hyperlink"/>
            <w:lang w:val="ru-RU"/>
          </w:rPr>
          <w:t>Рекомендации МСЭ</w:t>
        </w:r>
        <w:r w:rsidR="009B5BCC" w:rsidRPr="00F43F8D">
          <w:rPr>
            <w:rStyle w:val="Hyperlink"/>
            <w:lang w:val="ru-RU"/>
          </w:rPr>
          <w:t>-T A.1</w:t>
        </w:r>
      </w:hyperlink>
      <w:r w:rsidR="009B5BCC" w:rsidRPr="00F43F8D">
        <w:rPr>
          <w:lang w:val="ru-RU"/>
        </w:rPr>
        <w:t xml:space="preserve"> </w:t>
      </w:r>
      <w:r w:rsidR="00F80EDD" w:rsidRPr="00F43F8D">
        <w:rPr>
          <w:lang w:val="ru-RU"/>
        </w:rPr>
        <w:t>"</w:t>
      </w:r>
      <w:r w:rsidR="00C356AC" w:rsidRPr="00F43F8D">
        <w:rPr>
          <w:rFonts w:asciiTheme="minorHAnsi" w:hAnsiTheme="minorHAnsi" w:cs="Segoe UI"/>
          <w:color w:val="000000"/>
          <w:szCs w:val="22"/>
          <w:lang w:val="ru-RU"/>
        </w:rPr>
        <w:t>Методы работы исследовательских комиссий Сектора стандартизации электросвязи МСЭ</w:t>
      </w:r>
      <w:r w:rsidR="00F80EDD" w:rsidRPr="00F43F8D">
        <w:rPr>
          <w:rFonts w:asciiTheme="minorHAnsi" w:hAnsiTheme="minorHAnsi" w:cs="Segoe UI"/>
          <w:color w:val="000000"/>
          <w:szCs w:val="22"/>
          <w:lang w:val="ru-RU"/>
        </w:rPr>
        <w:t>"</w:t>
      </w:r>
      <w:r w:rsidR="009B5BCC" w:rsidRPr="00F43F8D">
        <w:rPr>
          <w:lang w:val="ru-RU"/>
        </w:rPr>
        <w:t xml:space="preserve">, </w:t>
      </w:r>
      <w:r w:rsidR="00823387" w:rsidRPr="00F43F8D">
        <w:rPr>
          <w:lang w:val="ru-RU"/>
        </w:rPr>
        <w:t>обеспечивающей ознакомление со</w:t>
      </w:r>
      <w:r w:rsidR="00C356AC" w:rsidRPr="00F43F8D">
        <w:rPr>
          <w:lang w:val="ru-RU"/>
        </w:rPr>
        <w:t xml:space="preserve"> структур</w:t>
      </w:r>
      <w:r w:rsidR="00823387" w:rsidRPr="00F43F8D">
        <w:rPr>
          <w:lang w:val="ru-RU"/>
        </w:rPr>
        <w:t>ами</w:t>
      </w:r>
      <w:r w:rsidR="00C356AC" w:rsidRPr="00F43F8D">
        <w:rPr>
          <w:lang w:val="ru-RU"/>
        </w:rPr>
        <w:t xml:space="preserve"> управления, механизма</w:t>
      </w:r>
      <w:r w:rsidR="00823387" w:rsidRPr="00F43F8D">
        <w:rPr>
          <w:lang w:val="ru-RU"/>
        </w:rPr>
        <w:t>ми</w:t>
      </w:r>
      <w:r w:rsidR="00C356AC" w:rsidRPr="00F43F8D">
        <w:rPr>
          <w:lang w:val="ru-RU"/>
        </w:rPr>
        <w:t xml:space="preserve"> координации и </w:t>
      </w:r>
      <w:r w:rsidR="00AA3BDF" w:rsidRPr="00F43F8D">
        <w:rPr>
          <w:lang w:val="ru-RU"/>
        </w:rPr>
        <w:t xml:space="preserve">рабочих </w:t>
      </w:r>
      <w:r w:rsidR="00C356AC" w:rsidRPr="00F43F8D">
        <w:rPr>
          <w:lang w:val="ru-RU"/>
        </w:rPr>
        <w:t>процедурах исследовательских комиссий МСЭ</w:t>
      </w:r>
      <w:r w:rsidR="009B5BCC" w:rsidRPr="00F43F8D">
        <w:rPr>
          <w:lang w:val="ru-RU"/>
        </w:rPr>
        <w:t>-T.</w:t>
      </w:r>
    </w:p>
    <w:p w:rsidR="009B5BCC" w:rsidRPr="00F43F8D" w:rsidRDefault="007E51DA" w:rsidP="00AA3BDF">
      <w:pPr>
        <w:rPr>
          <w:lang w:val="ru-RU"/>
        </w:rPr>
      </w:pPr>
      <w:r w:rsidRPr="00F43F8D">
        <w:rPr>
          <w:rFonts w:asciiTheme="minorHAnsi" w:hAnsiTheme="minorHAnsi" w:cs="Segoe UI"/>
          <w:color w:val="000000"/>
          <w:szCs w:val="22"/>
          <w:lang w:val="ru-RU"/>
        </w:rPr>
        <w:t>Основная задача этого учебного курса – ознакомление со структурой, управлением, механизмами координации и рабочими процедурами исследовательских комиссий МСЭ-Т, определенными в Рекомендации МСЭ-Т A.1</w:t>
      </w:r>
      <w:r w:rsidR="009B5BCC" w:rsidRPr="00F43F8D">
        <w:rPr>
          <w:rFonts w:asciiTheme="minorHAnsi" w:hAnsiTheme="minorHAnsi"/>
          <w:szCs w:val="22"/>
          <w:lang w:val="ru-RU"/>
        </w:rPr>
        <w:t>.</w:t>
      </w:r>
      <w:r w:rsidR="009B5BCC" w:rsidRPr="00F43F8D">
        <w:rPr>
          <w:lang w:val="ru-RU"/>
        </w:rPr>
        <w:t xml:space="preserve"> </w:t>
      </w:r>
      <w:r w:rsidR="00AA3BDF" w:rsidRPr="00F43F8D">
        <w:rPr>
          <w:lang w:val="ru-RU"/>
        </w:rPr>
        <w:t>Рекомендация МСЭ</w:t>
      </w:r>
      <w:r w:rsidR="009B5BCC" w:rsidRPr="00F43F8D">
        <w:rPr>
          <w:lang w:val="ru-RU"/>
        </w:rPr>
        <w:t xml:space="preserve">-T A.1 </w:t>
      </w:r>
      <w:r w:rsidR="00AA3BDF" w:rsidRPr="00F43F8D">
        <w:rPr>
          <w:lang w:val="ru-RU"/>
        </w:rPr>
        <w:t>содержит описание общих методов</w:t>
      </w:r>
      <w:r w:rsidR="00823387" w:rsidRPr="00F43F8D">
        <w:rPr>
          <w:lang w:val="ru-RU"/>
        </w:rPr>
        <w:t xml:space="preserve"> </w:t>
      </w:r>
      <w:r w:rsidR="00AA3BDF" w:rsidRPr="00F43F8D">
        <w:rPr>
          <w:lang w:val="ru-RU"/>
        </w:rPr>
        <w:t>работы исследовательских комиссий МСЭ</w:t>
      </w:r>
      <w:r w:rsidR="009B5BCC" w:rsidRPr="00F43F8D">
        <w:rPr>
          <w:lang w:val="ru-RU"/>
        </w:rPr>
        <w:t xml:space="preserve">-T. </w:t>
      </w:r>
      <w:r w:rsidR="00AA3BDF" w:rsidRPr="00F43F8D">
        <w:rPr>
          <w:lang w:val="ru-RU"/>
        </w:rPr>
        <w:t>Эти курсы предназначены для делегатов, участвующих в собраниях исследовательских комиссий МСЭ</w:t>
      </w:r>
      <w:r w:rsidR="009B5BCC" w:rsidRPr="00F43F8D">
        <w:rPr>
          <w:lang w:val="ru-RU"/>
        </w:rPr>
        <w:t>-T</w:t>
      </w:r>
      <w:r w:rsidR="00AA3BDF" w:rsidRPr="00F43F8D">
        <w:rPr>
          <w:lang w:val="ru-RU"/>
        </w:rPr>
        <w:t>, особенно для тех, кто впервые принимает в них участие</w:t>
      </w:r>
      <w:r w:rsidR="009B5BCC" w:rsidRPr="00F43F8D">
        <w:rPr>
          <w:lang w:val="ru-RU"/>
        </w:rPr>
        <w:t>.</w:t>
      </w:r>
      <w:r w:rsidR="00AA3BDF" w:rsidRPr="00F43F8D">
        <w:rPr>
          <w:lang w:val="ru-RU"/>
        </w:rPr>
        <w:t xml:space="preserve"> </w:t>
      </w:r>
      <w:r w:rsidR="00AA3BDF" w:rsidRPr="00F43F8D">
        <w:rPr>
          <w:rFonts w:asciiTheme="minorHAnsi" w:hAnsiTheme="minorHAnsi" w:cs="Segoe UI"/>
          <w:color w:val="000000"/>
          <w:szCs w:val="22"/>
          <w:lang w:val="ru-RU"/>
        </w:rPr>
        <w:t>Каждый модуль является самостоятельным блоком, включающим содержание курса и вопросы для проверки. После завершения курса участникам необходимо пройти итоговый онлайновый тест. Если набранный результат составит не менее 80%, они получат сертификат об успешном окончании курса.</w:t>
      </w:r>
      <w:r w:rsidR="00AA3BDF" w:rsidRPr="00F43F8D">
        <w:rPr>
          <w:lang w:val="ru-RU"/>
        </w:rPr>
        <w:t xml:space="preserve"> </w:t>
      </w:r>
    </w:p>
    <w:p w:rsidR="009B5BCC" w:rsidRPr="00F43F8D" w:rsidRDefault="00673802" w:rsidP="00673802">
      <w:pPr>
        <w:rPr>
          <w:lang w:val="ru-RU"/>
        </w:rPr>
      </w:pPr>
      <w:r w:rsidRPr="00F43F8D">
        <w:rPr>
          <w:lang w:val="ru-RU"/>
        </w:rPr>
        <w:t>В 2014 году в сотрудничестве с БРЭ продолжается разработка электронного курса по качеству обслуживания в сетях подвижной связи</w:t>
      </w:r>
      <w:r w:rsidR="009B5BCC" w:rsidRPr="00F43F8D">
        <w:rPr>
          <w:lang w:val="ru-RU"/>
        </w:rPr>
        <w:t>.</w:t>
      </w:r>
    </w:p>
    <w:p w:rsidR="009B5BCC" w:rsidRPr="00F43F8D" w:rsidRDefault="00600820" w:rsidP="00A45A68">
      <w:pPr>
        <w:pStyle w:val="Heading2"/>
        <w:rPr>
          <w:lang w:val="ru-RU"/>
        </w:rPr>
      </w:pPr>
      <w:r w:rsidRPr="00F43F8D">
        <w:rPr>
          <w:lang w:val="ru-RU"/>
        </w:rPr>
        <w:t>4.2</w:t>
      </w:r>
      <w:r w:rsidR="00A45A68" w:rsidRPr="00F43F8D">
        <w:rPr>
          <w:lang w:val="ru-RU"/>
        </w:rPr>
        <w:tab/>
        <w:t>Организация семинаров и семинаров-практикумов по стандартизации ИКТ</w:t>
      </w:r>
    </w:p>
    <w:p w:rsidR="009B5BCC" w:rsidRPr="00F43F8D" w:rsidRDefault="00F271EF" w:rsidP="00EC3BF2">
      <w:pPr>
        <w:rPr>
          <w:lang w:val="ru-RU"/>
        </w:rPr>
      </w:pPr>
      <w:r w:rsidRPr="00F43F8D">
        <w:rPr>
          <w:lang w:val="ru-RU"/>
        </w:rPr>
        <w:t>Были проведены региональные семинары-практикумы по теме "Преодоление разрыва в стандартизации" (ПРС): в 2011 году – в Фиджи, Алжире и Молдове; в</w:t>
      </w:r>
      <w:r w:rsidR="00823387" w:rsidRPr="00F43F8D">
        <w:rPr>
          <w:lang w:val="ru-RU"/>
        </w:rPr>
        <w:t xml:space="preserve"> 2012 году – в Лаосе и Индии, а </w:t>
      </w:r>
      <w:r w:rsidRPr="00F43F8D">
        <w:rPr>
          <w:lang w:val="ru-RU"/>
        </w:rPr>
        <w:t xml:space="preserve">также </w:t>
      </w:r>
      <w:r w:rsidR="00EC3BF2" w:rsidRPr="00F43F8D">
        <w:rPr>
          <w:lang w:val="ru-RU"/>
        </w:rPr>
        <w:t xml:space="preserve">региональный </w:t>
      </w:r>
      <w:r w:rsidRPr="00F43F8D">
        <w:rPr>
          <w:lang w:val="ru-RU"/>
        </w:rPr>
        <w:t>форум</w:t>
      </w:r>
      <w:r w:rsidR="00EC3BF2" w:rsidRPr="00F43F8D">
        <w:rPr>
          <w:lang w:val="ru-RU"/>
        </w:rPr>
        <w:t xml:space="preserve"> по стандартизации ИКТ</w:t>
      </w:r>
      <w:r w:rsidRPr="00F43F8D">
        <w:rPr>
          <w:lang w:val="ru-RU"/>
        </w:rPr>
        <w:t xml:space="preserve"> в 2013 году – в Мьянме. В сентябре 2011 года в Мексике был проведен обучающий курс продолжительностью две недели по Рекомендациям МСЭ-Т в области оптических волокон, кабелей и систем, в основу которого был положен Справочник МСЭ-Т по волоконно</w:t>
      </w:r>
      <w:r w:rsidRPr="00F43F8D">
        <w:rPr>
          <w:lang w:val="ru-RU"/>
        </w:rPr>
        <w:noBreakHyphen/>
        <w:t>оптическим кабелям</w:t>
      </w:r>
      <w:r w:rsidR="009B5BCC" w:rsidRPr="00F43F8D">
        <w:rPr>
          <w:lang w:val="ru-RU"/>
        </w:rPr>
        <w:t>.</w:t>
      </w:r>
    </w:p>
    <w:p w:rsidR="009B5BCC" w:rsidRPr="00F43F8D" w:rsidRDefault="00BC6732" w:rsidP="00BC6732">
      <w:pPr>
        <w:rPr>
          <w:lang w:val="ru-RU"/>
        </w:rPr>
      </w:pPr>
      <w:r w:rsidRPr="00F43F8D">
        <w:rPr>
          <w:lang w:val="ru-RU"/>
        </w:rPr>
        <w:t>Один региональный форум по стандартизации для арабского реги</w:t>
      </w:r>
      <w:r w:rsidR="00823387" w:rsidRPr="00F43F8D">
        <w:rPr>
          <w:lang w:val="ru-RU"/>
        </w:rPr>
        <w:t>она был проведен 27 января 2014 </w:t>
      </w:r>
      <w:r w:rsidRPr="00F43F8D">
        <w:rPr>
          <w:lang w:val="ru-RU"/>
        </w:rPr>
        <w:t>года в Тунисе. В 2014 году планируется провести три дополнительных региональных форума по стандартизации для других регионов.</w:t>
      </w:r>
    </w:p>
    <w:p w:rsidR="009B5BCC" w:rsidRPr="00F43F8D" w:rsidRDefault="009903F3" w:rsidP="00C02544">
      <w:pPr>
        <w:rPr>
          <w:lang w:val="ru-RU"/>
        </w:rPr>
      </w:pPr>
      <w:r w:rsidRPr="00F43F8D">
        <w:rPr>
          <w:lang w:val="ru-RU"/>
        </w:rPr>
        <w:t>В 2012 году в Женеве, Корее и Таиланде были проведены обучающие занятия, предназначенные для делегатов и лиц, занимающих руководящие посты в исследовательских комиссиях МСЭ</w:t>
      </w:r>
      <w:r w:rsidR="009B5BCC" w:rsidRPr="00F43F8D">
        <w:rPr>
          <w:lang w:val="ru-RU"/>
        </w:rPr>
        <w:t>-T</w:t>
      </w:r>
      <w:r w:rsidR="00C02544" w:rsidRPr="00F43F8D">
        <w:rPr>
          <w:lang w:val="ru-RU"/>
        </w:rPr>
        <w:t>. Кроме того, в январе 2013 года состоялось обучающее занятие для нового руководящего состава исследовательских комиссий и КГСЭ. В январе 2014 года открылся первый онлайновый курс электронного обучения МСЭ-T, представляющий собой двухчасовой курс по Рекомендации МСЭ-Т А.1 (Методы работы МСЭ-Т).</w:t>
      </w:r>
    </w:p>
    <w:p w:rsidR="00D525AF" w:rsidRPr="00F43F8D" w:rsidRDefault="00D525AF" w:rsidP="00EC3BF2">
      <w:pPr>
        <w:rPr>
          <w:lang w:val="ru-RU"/>
        </w:rPr>
      </w:pPr>
      <w:r w:rsidRPr="00F43F8D">
        <w:rPr>
          <w:lang w:val="ru-RU"/>
        </w:rPr>
        <w:t>Четыре обучающих занятия по стандартизации были проведены в Малайзии, Индии, Фиджи и Алжире. Учебные занятия по стандартизации позволил</w:t>
      </w:r>
      <w:r w:rsidR="00EC3BF2" w:rsidRPr="00F43F8D">
        <w:rPr>
          <w:lang w:val="ru-RU"/>
        </w:rPr>
        <w:t>и</w:t>
      </w:r>
      <w:r w:rsidRPr="00F43F8D">
        <w:rPr>
          <w:lang w:val="ru-RU"/>
        </w:rPr>
        <w:t xml:space="preserve"> получить опыт интерактивного обучения посредством имитации собрания исследовательской комиссии. Учебное занятие включало базовую информацию о функциях стандартизации и возможностях участников повысить эффективность своего участия в собраниях МСЭ-Т.</w:t>
      </w:r>
    </w:p>
    <w:p w:rsidR="009B5BCC" w:rsidRPr="00F43F8D" w:rsidRDefault="00E41D46" w:rsidP="00E41D46">
      <w:pPr>
        <w:rPr>
          <w:lang w:val="ru-RU"/>
        </w:rPr>
      </w:pPr>
      <w:r w:rsidRPr="00F43F8D">
        <w:rPr>
          <w:lang w:val="ru-RU"/>
        </w:rPr>
        <w:t>Организация семинаров-практикумов и мероприятий по созданию потенциала осуществлялась в тесном сотрудничестве с БРЭ и БР, в том числе с региональными и зональными отделениями МСЭ</w:t>
      </w:r>
      <w:r w:rsidR="009B5BCC" w:rsidRPr="00F43F8D">
        <w:rPr>
          <w:lang w:val="ru-RU"/>
        </w:rPr>
        <w:t>.</w:t>
      </w:r>
    </w:p>
    <w:p w:rsidR="009B5BCC" w:rsidRPr="00F43F8D" w:rsidRDefault="00600820" w:rsidP="00B45796">
      <w:pPr>
        <w:pStyle w:val="Heading2"/>
        <w:rPr>
          <w:lang w:val="ru-RU"/>
        </w:rPr>
      </w:pPr>
      <w:r w:rsidRPr="00F43F8D">
        <w:rPr>
          <w:lang w:val="ru-RU"/>
        </w:rPr>
        <w:t>4.3</w:t>
      </w:r>
      <w:r w:rsidR="009B5BCC" w:rsidRPr="00F43F8D">
        <w:rPr>
          <w:lang w:val="ru-RU"/>
        </w:rPr>
        <w:tab/>
      </w:r>
      <w:r w:rsidR="00B45796" w:rsidRPr="00F43F8D">
        <w:rPr>
          <w:lang w:val="ru-RU"/>
        </w:rPr>
        <w:t>Предоставление стипендий развивающимся странам</w:t>
      </w:r>
    </w:p>
    <w:p w:rsidR="001C573C" w:rsidRPr="00F43F8D" w:rsidRDefault="001C573C" w:rsidP="00C05D11">
      <w:pPr>
        <w:rPr>
          <w:rFonts w:eastAsiaTheme="minorEastAsia"/>
          <w:lang w:val="ru-RU" w:eastAsia="zh-CN"/>
        </w:rPr>
      </w:pPr>
      <w:r w:rsidRPr="00F43F8D">
        <w:rPr>
          <w:lang w:val="ru-RU"/>
        </w:rPr>
        <w:t xml:space="preserve">Программа стипендий, предоставляемых удовлетворяющим критериям странам для участия в собраниях любой из десяти исследовательских комиссий МСЭ-Т, вызвала значительный резонанс. Возрастает число собраний, проводимых в регионах, </w:t>
      </w:r>
      <w:r w:rsidR="00636817" w:rsidRPr="00F43F8D">
        <w:rPr>
          <w:lang w:val="ru-RU"/>
        </w:rPr>
        <w:t xml:space="preserve">и </w:t>
      </w:r>
      <w:r w:rsidRPr="00F43F8D">
        <w:rPr>
          <w:lang w:val="ru-RU"/>
        </w:rPr>
        <w:t>в настоящее время предлагается дистанционное участие в</w:t>
      </w:r>
      <w:r w:rsidR="00C05D11" w:rsidRPr="00F43F8D">
        <w:rPr>
          <w:lang w:val="ru-RU"/>
        </w:rPr>
        <w:t xml:space="preserve">о всех </w:t>
      </w:r>
      <w:r w:rsidRPr="00F43F8D">
        <w:rPr>
          <w:lang w:val="ru-RU"/>
        </w:rPr>
        <w:t>собраниях исследовательских комиссий</w:t>
      </w:r>
      <w:r w:rsidRPr="00F43F8D">
        <w:rPr>
          <w:rFonts w:eastAsiaTheme="minorEastAsia"/>
          <w:lang w:val="ru-RU" w:eastAsia="zh-CN"/>
        </w:rPr>
        <w:t>.</w:t>
      </w:r>
    </w:p>
    <w:p w:rsidR="00D525AF" w:rsidRPr="00F43F8D" w:rsidRDefault="00D525AF" w:rsidP="00EC3BF2">
      <w:pPr>
        <w:rPr>
          <w:lang w:val="ru-RU"/>
        </w:rPr>
      </w:pPr>
      <w:r w:rsidRPr="00F43F8D">
        <w:rPr>
          <w:lang w:val="ru-RU"/>
        </w:rPr>
        <w:t>М</w:t>
      </w:r>
      <w:r w:rsidR="00C05D11" w:rsidRPr="00F43F8D">
        <w:rPr>
          <w:lang w:val="ru-RU"/>
        </w:rPr>
        <w:t>СЭ</w:t>
      </w:r>
      <w:r w:rsidRPr="00F43F8D">
        <w:rPr>
          <w:lang w:val="ru-RU"/>
        </w:rPr>
        <w:t xml:space="preserve"> содействовал участию в </w:t>
      </w:r>
      <w:r w:rsidR="00C05D11" w:rsidRPr="00F43F8D">
        <w:rPr>
          <w:lang w:val="ru-RU"/>
        </w:rPr>
        <w:t>своих</w:t>
      </w:r>
      <w:r w:rsidRPr="00F43F8D">
        <w:rPr>
          <w:lang w:val="ru-RU"/>
        </w:rPr>
        <w:t xml:space="preserve"> собраниях разными путями. </w:t>
      </w:r>
      <w:r w:rsidR="00EC3BF2" w:rsidRPr="00F43F8D">
        <w:rPr>
          <w:lang w:val="ru-RU"/>
        </w:rPr>
        <w:t>Если р</w:t>
      </w:r>
      <w:r w:rsidRPr="00F43F8D">
        <w:rPr>
          <w:lang w:val="ru-RU"/>
        </w:rPr>
        <w:t>анее предоставлялись частичные стипендии только для 3-й Исследовательской комиссии</w:t>
      </w:r>
      <w:r w:rsidR="00EC3BF2" w:rsidRPr="00F43F8D">
        <w:rPr>
          <w:lang w:val="ru-RU"/>
        </w:rPr>
        <w:t xml:space="preserve"> МСЭ-Т</w:t>
      </w:r>
      <w:r w:rsidRPr="00F43F8D">
        <w:rPr>
          <w:lang w:val="ru-RU"/>
        </w:rPr>
        <w:t xml:space="preserve">, </w:t>
      </w:r>
      <w:r w:rsidR="00EC3BF2" w:rsidRPr="00F43F8D">
        <w:rPr>
          <w:lang w:val="ru-RU"/>
        </w:rPr>
        <w:t xml:space="preserve">то </w:t>
      </w:r>
      <w:r w:rsidRPr="00F43F8D">
        <w:rPr>
          <w:lang w:val="ru-RU"/>
        </w:rPr>
        <w:t>в настоящее время предоставляется либо одна полная, либо две частичные стипендии для участия в собраниях всех десяти исследовательских комиссий. Стипендии МСЭ предоставляются только странам, в которых годовой ВВП на душу населения не превышает 2000 долл. США по данным Всемирного банка.</w:t>
      </w:r>
    </w:p>
    <w:p w:rsidR="009B5BCC" w:rsidRPr="00F43F8D" w:rsidRDefault="009B5BCC" w:rsidP="00C05D11">
      <w:pPr>
        <w:pStyle w:val="Heading1"/>
        <w:rPr>
          <w:lang w:val="ru-RU"/>
        </w:rPr>
      </w:pPr>
      <w:r w:rsidRPr="00F43F8D">
        <w:rPr>
          <w:lang w:val="ru-RU"/>
        </w:rPr>
        <w:t>5</w:t>
      </w:r>
      <w:r w:rsidRPr="00F43F8D">
        <w:rPr>
          <w:lang w:val="ru-RU"/>
        </w:rPr>
        <w:tab/>
      </w:r>
      <w:r w:rsidR="00C05D11" w:rsidRPr="00F43F8D">
        <w:rPr>
          <w:lang w:val="ru-RU"/>
        </w:rPr>
        <w:t>Сбор средств для преодоления разрыва в области стандартизации</w:t>
      </w:r>
    </w:p>
    <w:p w:rsidR="00D525AF" w:rsidRPr="00F43F8D" w:rsidRDefault="00D525AF" w:rsidP="00C05D11">
      <w:pPr>
        <w:rPr>
          <w:lang w:val="ru-RU"/>
        </w:rPr>
      </w:pPr>
      <w:r w:rsidRPr="00F43F8D">
        <w:rPr>
          <w:lang w:val="ru-RU"/>
        </w:rPr>
        <w:t>В августе 2007 года в</w:t>
      </w:r>
      <w:r w:rsidR="00823387" w:rsidRPr="00F43F8D">
        <w:rPr>
          <w:lang w:val="ru-RU"/>
        </w:rPr>
        <w:t xml:space="preserve"> соответствии с</w:t>
      </w:r>
      <w:r w:rsidRPr="00F43F8D">
        <w:rPr>
          <w:lang w:val="ru-RU"/>
        </w:rPr>
        <w:t xml:space="preserve"> Резолюци</w:t>
      </w:r>
      <w:r w:rsidR="00823387" w:rsidRPr="00F43F8D">
        <w:rPr>
          <w:lang w:val="ru-RU"/>
        </w:rPr>
        <w:t>ей</w:t>
      </w:r>
      <w:r w:rsidRPr="00F43F8D">
        <w:rPr>
          <w:lang w:val="ru-RU"/>
        </w:rPr>
        <w:t> 44 ВАСЭ-04 был создан Фонд добровольных взносов для оказания помощи в преодолении разрыва в стандартизации. В число участников вошли Nokia Siemens Networks, Microsoft, Cisco и Коре</w:t>
      </w:r>
      <w:r w:rsidR="00C05D11" w:rsidRPr="00F43F8D">
        <w:rPr>
          <w:lang w:val="ru-RU"/>
        </w:rPr>
        <w:t>я</w:t>
      </w:r>
      <w:r w:rsidRPr="00F43F8D">
        <w:rPr>
          <w:lang w:val="ru-RU"/>
        </w:rPr>
        <w:t>. Средства Фонда использовались в том числе для проведения большего числа мероприятий в развивающихся странах, включая обучающее занятие по волоконно-оптическим кабелям и системам в Руанде и Мексике. Кроме того, средства направлялись на предоставление стипендий участникам из развивающихся стран для участия в семинарах-практикумах по преодолению разрыва в стандартизации</w:t>
      </w:r>
      <w:r w:rsidR="00C05D11" w:rsidRPr="00F43F8D">
        <w:rPr>
          <w:lang w:val="ru-RU"/>
        </w:rPr>
        <w:t xml:space="preserve"> и на разработку технических руководств и отчетов</w:t>
      </w:r>
      <w:r w:rsidRPr="00F43F8D">
        <w:rPr>
          <w:lang w:val="ru-RU"/>
        </w:rPr>
        <w:t xml:space="preserve">. </w:t>
      </w:r>
    </w:p>
    <w:p w:rsidR="009B5BCC" w:rsidRPr="00F43F8D" w:rsidRDefault="00D525AF" w:rsidP="006D1F79">
      <w:pPr>
        <w:rPr>
          <w:lang w:val="ru-RU"/>
        </w:rPr>
      </w:pPr>
      <w:r w:rsidRPr="00F43F8D">
        <w:rPr>
          <w:lang w:val="ru-RU"/>
        </w:rPr>
        <w:t xml:space="preserve">Всего </w:t>
      </w:r>
      <w:r w:rsidR="00C05D11" w:rsidRPr="00F43F8D">
        <w:rPr>
          <w:lang w:val="ru-RU"/>
        </w:rPr>
        <w:t xml:space="preserve">в 2010 году </w:t>
      </w:r>
      <w:r w:rsidRPr="00F43F8D">
        <w:rPr>
          <w:lang w:val="ru-RU"/>
        </w:rPr>
        <w:t>Фонд</w:t>
      </w:r>
      <w:r w:rsidR="00823387" w:rsidRPr="00F43F8D">
        <w:rPr>
          <w:lang w:val="ru-RU"/>
        </w:rPr>
        <w:t>ом</w:t>
      </w:r>
      <w:r w:rsidRPr="00F43F8D">
        <w:rPr>
          <w:lang w:val="ru-RU"/>
        </w:rPr>
        <w:t xml:space="preserve"> для оказания помощи в преодолении разрыва в стандартизации </w:t>
      </w:r>
      <w:r w:rsidR="00823387" w:rsidRPr="00F43F8D">
        <w:rPr>
          <w:lang w:val="ru-RU"/>
        </w:rPr>
        <w:t xml:space="preserve">было </w:t>
      </w:r>
      <w:r w:rsidRPr="00F43F8D">
        <w:rPr>
          <w:lang w:val="ru-RU"/>
        </w:rPr>
        <w:t>получ</w:t>
      </w:r>
      <w:r w:rsidR="00823387" w:rsidRPr="00F43F8D">
        <w:rPr>
          <w:lang w:val="ru-RU"/>
        </w:rPr>
        <w:t>ено</w:t>
      </w:r>
      <w:r w:rsidRPr="00F43F8D">
        <w:rPr>
          <w:lang w:val="ru-RU"/>
        </w:rPr>
        <w:t xml:space="preserve"> 289 070 швейцарских франков. </w:t>
      </w:r>
      <w:r w:rsidR="00D057DE" w:rsidRPr="00F43F8D">
        <w:rPr>
          <w:lang w:val="ru-RU"/>
        </w:rPr>
        <w:t>Дополнительные взносы со стороны Канады и компании</w:t>
      </w:r>
      <w:r w:rsidR="009B5BCC" w:rsidRPr="00F43F8D">
        <w:rPr>
          <w:lang w:val="ru-RU"/>
        </w:rPr>
        <w:t xml:space="preserve"> </w:t>
      </w:r>
      <w:r w:rsidR="009B5BCC" w:rsidRPr="00F43F8D">
        <w:rPr>
          <w:i/>
          <w:iCs/>
          <w:lang w:val="ru-RU"/>
        </w:rPr>
        <w:t>Microsoft</w:t>
      </w:r>
      <w:r w:rsidR="009B5BCC" w:rsidRPr="00F43F8D">
        <w:rPr>
          <w:lang w:val="ru-RU"/>
        </w:rPr>
        <w:t xml:space="preserve"> </w:t>
      </w:r>
      <w:r w:rsidR="00D057DE" w:rsidRPr="00F43F8D">
        <w:rPr>
          <w:lang w:val="ru-RU"/>
        </w:rPr>
        <w:t xml:space="preserve">были получены в </w:t>
      </w:r>
      <w:r w:rsidR="009B5BCC" w:rsidRPr="00F43F8D">
        <w:rPr>
          <w:lang w:val="ru-RU"/>
        </w:rPr>
        <w:t xml:space="preserve">2012 </w:t>
      </w:r>
      <w:r w:rsidR="00D057DE" w:rsidRPr="00F43F8D">
        <w:rPr>
          <w:lang w:val="ru-RU"/>
        </w:rPr>
        <w:t>и</w:t>
      </w:r>
      <w:r w:rsidR="009B5BCC" w:rsidRPr="00F43F8D">
        <w:rPr>
          <w:lang w:val="ru-RU"/>
        </w:rPr>
        <w:t xml:space="preserve"> 2013</w:t>
      </w:r>
      <w:r w:rsidR="00D057DE" w:rsidRPr="00F43F8D">
        <w:rPr>
          <w:lang w:val="ru-RU"/>
        </w:rPr>
        <w:t xml:space="preserve"> годах, соответственно</w:t>
      </w:r>
      <w:r w:rsidR="009B5BCC" w:rsidRPr="00F43F8D">
        <w:rPr>
          <w:lang w:val="ru-RU"/>
        </w:rPr>
        <w:t>.</w:t>
      </w:r>
      <w:r w:rsidR="006D1F79" w:rsidRPr="00F43F8D">
        <w:rPr>
          <w:lang w:val="ru-RU"/>
        </w:rPr>
        <w:t xml:space="preserve"> По состоянию на конец мая 2014 года в Фонде добровольных взносов для оказания помощи в преодолении разрыва в области стандартизации насчитывалось</w:t>
      </w:r>
      <w:r w:rsidR="009B5BCC" w:rsidRPr="00F43F8D">
        <w:rPr>
          <w:lang w:val="ru-RU"/>
        </w:rPr>
        <w:t xml:space="preserve"> 158</w:t>
      </w:r>
      <w:r w:rsidR="00823387" w:rsidRPr="00F43F8D">
        <w:rPr>
          <w:lang w:val="ru-RU"/>
        </w:rPr>
        <w:t> </w:t>
      </w:r>
      <w:r w:rsidR="009B5BCC" w:rsidRPr="00F43F8D">
        <w:rPr>
          <w:lang w:val="ru-RU"/>
        </w:rPr>
        <w:t>679</w:t>
      </w:r>
      <w:r w:rsidR="006D1F79" w:rsidRPr="00F43F8D">
        <w:rPr>
          <w:lang w:val="ru-RU"/>
        </w:rPr>
        <w:t xml:space="preserve"> швейцарских франков</w:t>
      </w:r>
      <w:r w:rsidR="009B5BCC" w:rsidRPr="00F43F8D">
        <w:rPr>
          <w:lang w:val="ru-RU"/>
        </w:rPr>
        <w:t>.</w:t>
      </w:r>
    </w:p>
    <w:p w:rsidR="009B5BCC" w:rsidRPr="00F43F8D" w:rsidRDefault="00600820" w:rsidP="00F014A4">
      <w:pPr>
        <w:pStyle w:val="Heading1"/>
        <w:rPr>
          <w:lang w:val="ru-RU"/>
        </w:rPr>
      </w:pPr>
      <w:r w:rsidRPr="00F43F8D">
        <w:rPr>
          <w:lang w:val="ru-RU"/>
        </w:rPr>
        <w:t>6</w:t>
      </w:r>
      <w:r w:rsidR="00F014A4" w:rsidRPr="00F43F8D">
        <w:rPr>
          <w:lang w:val="ru-RU"/>
        </w:rPr>
        <w:tab/>
        <w:t>Итоги работы Всемирной конференции по развитию электросвязи</w:t>
      </w:r>
      <w:r w:rsidR="009B5BCC" w:rsidRPr="00F43F8D">
        <w:rPr>
          <w:lang w:val="ru-RU"/>
        </w:rPr>
        <w:t xml:space="preserve"> </w:t>
      </w:r>
      <w:r w:rsidR="00B875C2" w:rsidRPr="00F43F8D">
        <w:rPr>
          <w:lang w:val="ru-RU"/>
        </w:rPr>
        <w:t>–</w:t>
      </w:r>
      <w:r w:rsidR="009B5BCC" w:rsidRPr="00F43F8D">
        <w:rPr>
          <w:lang w:val="ru-RU"/>
        </w:rPr>
        <w:t xml:space="preserve"> </w:t>
      </w:r>
      <w:r w:rsidR="00F014A4" w:rsidRPr="00F43F8D">
        <w:rPr>
          <w:lang w:val="ru-RU"/>
        </w:rPr>
        <w:t>Дубай</w:t>
      </w:r>
      <w:r w:rsidR="00B875C2" w:rsidRPr="00F43F8D">
        <w:rPr>
          <w:lang w:val="ru-RU"/>
        </w:rPr>
        <w:t>,</w:t>
      </w:r>
      <w:r w:rsidR="009B5BCC" w:rsidRPr="00F43F8D">
        <w:rPr>
          <w:lang w:val="ru-RU"/>
        </w:rPr>
        <w:t xml:space="preserve"> 2014</w:t>
      </w:r>
      <w:r w:rsidR="00B875C2" w:rsidRPr="00F43F8D">
        <w:rPr>
          <w:lang w:val="ru-RU"/>
        </w:rPr>
        <w:t xml:space="preserve"> г.</w:t>
      </w:r>
      <w:r w:rsidR="009B5BCC" w:rsidRPr="00F43F8D">
        <w:rPr>
          <w:lang w:val="ru-RU"/>
        </w:rPr>
        <w:t xml:space="preserve"> (</w:t>
      </w:r>
      <w:r w:rsidR="00F014A4" w:rsidRPr="00F43F8D">
        <w:rPr>
          <w:lang w:val="ru-RU"/>
        </w:rPr>
        <w:t>ВКРЭ</w:t>
      </w:r>
      <w:r w:rsidR="009B5BCC" w:rsidRPr="00F43F8D">
        <w:rPr>
          <w:lang w:val="ru-RU"/>
        </w:rPr>
        <w:t>-14)</w:t>
      </w:r>
    </w:p>
    <w:p w:rsidR="009B5BCC" w:rsidRPr="00F43F8D" w:rsidRDefault="001C573C" w:rsidP="001C573C">
      <w:pPr>
        <w:rPr>
          <w:lang w:val="ru-RU"/>
        </w:rPr>
      </w:pPr>
      <w:r w:rsidRPr="00F43F8D">
        <w:rPr>
          <w:lang w:val="ru-RU"/>
        </w:rPr>
        <w:t>Шестая</w:t>
      </w:r>
      <w:r w:rsidR="009B5BCC" w:rsidRPr="00F43F8D">
        <w:rPr>
          <w:lang w:val="ru-RU"/>
        </w:rPr>
        <w:t xml:space="preserve"> </w:t>
      </w:r>
      <w:hyperlink r:id="rId29" w:history="1">
        <w:r w:rsidRPr="00F43F8D">
          <w:rPr>
            <w:rStyle w:val="Hyperlink"/>
            <w:lang w:val="ru-RU"/>
          </w:rPr>
          <w:t>Всемирная конференция по развитию электросвязи</w:t>
        </w:r>
        <w:r w:rsidR="009B5BCC" w:rsidRPr="00F43F8D">
          <w:rPr>
            <w:rStyle w:val="Hyperlink"/>
            <w:lang w:val="ru-RU"/>
          </w:rPr>
          <w:t xml:space="preserve"> (</w:t>
        </w:r>
        <w:r w:rsidRPr="00F43F8D">
          <w:rPr>
            <w:rStyle w:val="Hyperlink"/>
            <w:lang w:val="ru-RU"/>
          </w:rPr>
          <w:t>ВКРЭ</w:t>
        </w:r>
        <w:r w:rsidR="009B5BCC" w:rsidRPr="00F43F8D">
          <w:rPr>
            <w:rStyle w:val="Hyperlink"/>
            <w:lang w:val="ru-RU"/>
          </w:rPr>
          <w:t>)</w:t>
        </w:r>
      </w:hyperlink>
      <w:r w:rsidR="009B5BCC" w:rsidRPr="00F43F8D">
        <w:rPr>
          <w:lang w:val="ru-RU"/>
        </w:rPr>
        <w:t xml:space="preserve"> </w:t>
      </w:r>
      <w:r w:rsidR="00EC3BF2" w:rsidRPr="00F43F8D">
        <w:rPr>
          <w:lang w:val="ru-RU"/>
        </w:rPr>
        <w:t xml:space="preserve">МСЭ </w:t>
      </w:r>
      <w:r w:rsidRPr="00F43F8D">
        <w:rPr>
          <w:lang w:val="ru-RU"/>
        </w:rPr>
        <w:t xml:space="preserve">состоялась в Дубае, Объединенные Арабские Эмираты, 30 марта − 10 апреля 2014 года </w:t>
      </w:r>
      <w:r w:rsidRPr="00F43F8D">
        <w:rPr>
          <w:rFonts w:cs="Segoe UI"/>
          <w:color w:val="000000"/>
          <w:lang w:val="ru-RU"/>
        </w:rPr>
        <w:t>и была посвящена теме "Широкополосная связь в интересах устойчивого развития".</w:t>
      </w:r>
    </w:p>
    <w:p w:rsidR="009B5BCC" w:rsidRPr="00F43F8D" w:rsidRDefault="00F43F8D" w:rsidP="00E634DE">
      <w:pPr>
        <w:rPr>
          <w:lang w:val="ru-RU"/>
        </w:rPr>
      </w:pPr>
      <w:hyperlink r:id="rId30" w:history="1">
        <w:r w:rsidR="00E634DE" w:rsidRPr="00F43F8D">
          <w:rPr>
            <w:rStyle w:val="Hyperlink"/>
            <w:lang w:val="ru-RU"/>
          </w:rPr>
          <w:t>Конференция</w:t>
        </w:r>
      </w:hyperlink>
      <w:r w:rsidR="00E634DE" w:rsidRPr="00F43F8D">
        <w:rPr>
          <w:lang w:val="ru-RU"/>
        </w:rPr>
        <w:t xml:space="preserve"> </w:t>
      </w:r>
      <w:r w:rsidR="00823387" w:rsidRPr="00F43F8D">
        <w:rPr>
          <w:lang w:val="ru-RU"/>
        </w:rPr>
        <w:t>одобрила</w:t>
      </w:r>
      <w:r w:rsidR="00E634DE" w:rsidRPr="00F43F8D">
        <w:rPr>
          <w:lang w:val="ru-RU"/>
        </w:rPr>
        <w:t xml:space="preserve"> соответствующую региональную деятельность по преодолению разрыва в области стандартизации между развивающимися и развитыми странами</w:t>
      </w:r>
      <w:r w:rsidR="009B5BCC" w:rsidRPr="00F43F8D">
        <w:rPr>
          <w:lang w:val="ru-RU"/>
        </w:rPr>
        <w:t>.</w:t>
      </w:r>
      <w:r w:rsidR="00E634DE" w:rsidRPr="00F43F8D">
        <w:rPr>
          <w:lang w:val="ru-RU"/>
        </w:rPr>
        <w:t xml:space="preserve"> Ниже представлен список основных итогов работы Конференции, касающихся преодоления разрыва в области стандартизации</w:t>
      </w:r>
      <w:r w:rsidR="009B5BCC" w:rsidRPr="00F43F8D">
        <w:rPr>
          <w:lang w:val="ru-RU"/>
        </w:rPr>
        <w:t>.</w:t>
      </w:r>
    </w:p>
    <w:p w:rsidR="009B5BCC" w:rsidRPr="00F43F8D" w:rsidRDefault="009B5BCC" w:rsidP="0011590B">
      <w:pPr>
        <w:pStyle w:val="enumlev1"/>
        <w:rPr>
          <w:lang w:val="ru-RU"/>
        </w:rPr>
      </w:pPr>
      <w:r w:rsidRPr="00F43F8D">
        <w:rPr>
          <w:lang w:val="ru-RU"/>
        </w:rPr>
        <w:t>•</w:t>
      </w:r>
      <w:r w:rsidRPr="00F43F8D">
        <w:rPr>
          <w:lang w:val="ru-RU"/>
        </w:rPr>
        <w:tab/>
      </w:r>
      <w:r w:rsidR="0011590B" w:rsidRPr="00F43F8D">
        <w:rPr>
          <w:lang w:val="ru-RU"/>
        </w:rPr>
        <w:t>В</w:t>
      </w:r>
      <w:r w:rsidRPr="00F43F8D">
        <w:rPr>
          <w:lang w:val="ru-RU"/>
        </w:rPr>
        <w:t xml:space="preserve"> </w:t>
      </w:r>
      <w:hyperlink r:id="rId31" w:history="1">
        <w:r w:rsidR="007B0B60" w:rsidRPr="00F43F8D">
          <w:rPr>
            <w:rStyle w:val="Hyperlink"/>
            <w:lang w:val="ru-RU"/>
          </w:rPr>
          <w:t>Дубайской д</w:t>
        </w:r>
        <w:r w:rsidR="0011590B" w:rsidRPr="00F43F8D">
          <w:rPr>
            <w:rStyle w:val="Hyperlink"/>
            <w:lang w:val="ru-RU"/>
          </w:rPr>
          <w:t>екларации</w:t>
        </w:r>
      </w:hyperlink>
      <w:r w:rsidR="00823387" w:rsidRPr="00F43F8D">
        <w:rPr>
          <w:lang w:val="ru-RU"/>
        </w:rPr>
        <w:t>, в частности, заявляется,</w:t>
      </w:r>
      <w:r w:rsidRPr="00F43F8D">
        <w:rPr>
          <w:lang w:val="ru-RU"/>
        </w:rPr>
        <w:t xml:space="preserve"> </w:t>
      </w:r>
      <w:r w:rsidR="001C573C" w:rsidRPr="00F43F8D">
        <w:rPr>
          <w:lang w:val="ru-RU"/>
        </w:rPr>
        <w:t>"что необходимо более широкое участие развивающихся стран в деятельности МСЭ по преодолению разрыва в стандартизации, для того чтобы обеспечить им возможность использовать экономические преимущества, связанные с развитием технологий, а также лучше отражать потребности и интересы развивающихся стран в этой области"</w:t>
      </w:r>
      <w:r w:rsidRPr="00F43F8D">
        <w:rPr>
          <w:lang w:val="ru-RU"/>
        </w:rPr>
        <w:t>.</w:t>
      </w:r>
    </w:p>
    <w:p w:rsidR="009B5BCC" w:rsidRPr="00F43F8D" w:rsidRDefault="009B5BCC" w:rsidP="007B0B60">
      <w:pPr>
        <w:pStyle w:val="enumlev1"/>
        <w:rPr>
          <w:lang w:val="ru-RU"/>
        </w:rPr>
      </w:pPr>
      <w:r w:rsidRPr="00F43F8D">
        <w:rPr>
          <w:lang w:val="ru-RU"/>
        </w:rPr>
        <w:t>•</w:t>
      </w:r>
      <w:r w:rsidRPr="00F43F8D">
        <w:rPr>
          <w:lang w:val="ru-RU"/>
        </w:rPr>
        <w:tab/>
      </w:r>
      <w:r w:rsidR="000D0132" w:rsidRPr="00F43F8D">
        <w:rPr>
          <w:lang w:val="ru-RU"/>
        </w:rPr>
        <w:t>Содейств</w:t>
      </w:r>
      <w:r w:rsidR="007B0B60" w:rsidRPr="00F43F8D">
        <w:rPr>
          <w:lang w:val="ru-RU"/>
        </w:rPr>
        <w:t>ие</w:t>
      </w:r>
      <w:r w:rsidR="000D0132" w:rsidRPr="00F43F8D">
        <w:rPr>
          <w:lang w:val="ru-RU"/>
        </w:rPr>
        <w:t xml:space="preserve"> </w:t>
      </w:r>
      <w:r w:rsidR="00F80EDD" w:rsidRPr="00F43F8D">
        <w:rPr>
          <w:lang w:val="ru-RU"/>
        </w:rPr>
        <w:t>"</w:t>
      </w:r>
      <w:r w:rsidR="000D0132" w:rsidRPr="00F43F8D">
        <w:rPr>
          <w:lang w:val="ru-RU"/>
        </w:rPr>
        <w:t>развитию сетей электросвязи/ИКТ, а также соответствующих приложений и услуг, в том числе преодолению разрыва в стандартизации</w:t>
      </w:r>
      <w:r w:rsidR="00F80EDD" w:rsidRPr="00F43F8D">
        <w:rPr>
          <w:lang w:val="ru-RU"/>
        </w:rPr>
        <w:t>"</w:t>
      </w:r>
      <w:r w:rsidR="009D0405" w:rsidRPr="00F43F8D">
        <w:rPr>
          <w:lang w:val="ru-RU"/>
        </w:rPr>
        <w:t xml:space="preserve"> было установлено в качестве одной из задач в Плане действий МСЭ-D</w:t>
      </w:r>
      <w:r w:rsidRPr="00F43F8D">
        <w:rPr>
          <w:lang w:val="ru-RU"/>
        </w:rPr>
        <w:t xml:space="preserve"> (</w:t>
      </w:r>
      <w:r w:rsidR="000D0132" w:rsidRPr="00F43F8D">
        <w:rPr>
          <w:lang w:val="ru-RU"/>
        </w:rPr>
        <w:t>Задача</w:t>
      </w:r>
      <w:r w:rsidRPr="00F43F8D">
        <w:rPr>
          <w:lang w:val="ru-RU"/>
        </w:rPr>
        <w:t xml:space="preserve"> 2).</w:t>
      </w:r>
    </w:p>
    <w:p w:rsidR="009B5BCC" w:rsidRPr="00F43F8D" w:rsidRDefault="009B5BCC" w:rsidP="006E347E">
      <w:pPr>
        <w:pStyle w:val="enumlev1"/>
        <w:rPr>
          <w:lang w:val="ru-RU"/>
        </w:rPr>
      </w:pPr>
      <w:r w:rsidRPr="00F43F8D">
        <w:rPr>
          <w:lang w:val="ru-RU"/>
        </w:rPr>
        <w:t>•</w:t>
      </w:r>
      <w:r w:rsidRPr="00F43F8D">
        <w:rPr>
          <w:lang w:val="ru-RU"/>
        </w:rPr>
        <w:tab/>
      </w:r>
      <w:r w:rsidR="00BA4BFD" w:rsidRPr="00F43F8D">
        <w:rPr>
          <w:lang w:val="ru-RU"/>
        </w:rPr>
        <w:t>П</w:t>
      </w:r>
      <w:r w:rsidR="006E347E" w:rsidRPr="00F43F8D">
        <w:rPr>
          <w:lang w:val="ru-RU"/>
        </w:rPr>
        <w:t xml:space="preserve">ересмотрена Резолюция 47 </w:t>
      </w:r>
      <w:r w:rsidR="00F80EDD" w:rsidRPr="00F43F8D">
        <w:rPr>
          <w:lang w:val="ru-RU"/>
        </w:rPr>
        <w:t>"</w:t>
      </w:r>
      <w:r w:rsidR="006E347E" w:rsidRPr="00F43F8D">
        <w:rPr>
          <w:lang w:val="ru-RU"/>
        </w:rPr>
        <w:t>Повышение степени понимания и эффективности применения Рекомендаций МСЭ в развивающихся странах</w:t>
      </w:r>
      <w:r w:rsidR="00F80EDD" w:rsidRPr="00F43F8D">
        <w:rPr>
          <w:lang w:val="ru-RU"/>
        </w:rPr>
        <w:t>"</w:t>
      </w:r>
      <w:r w:rsidR="006E347E" w:rsidRPr="00F43F8D">
        <w:rPr>
          <w:lang w:val="ru-RU"/>
        </w:rPr>
        <w:t>, чтобы подчеркнуть полезный характер руководящих указаний МСЭ по применению Рекомендаций МСЭ</w:t>
      </w:r>
      <w:r w:rsidRPr="00F43F8D">
        <w:rPr>
          <w:lang w:val="ru-RU"/>
        </w:rPr>
        <w:t>.</w:t>
      </w:r>
    </w:p>
    <w:p w:rsidR="009B5BCC" w:rsidRPr="00F43F8D" w:rsidRDefault="009B5BCC" w:rsidP="00570A9C">
      <w:pPr>
        <w:pStyle w:val="enumlev1"/>
        <w:rPr>
          <w:lang w:val="ru-RU"/>
        </w:rPr>
      </w:pPr>
      <w:r w:rsidRPr="00F43F8D">
        <w:rPr>
          <w:lang w:val="ru-RU"/>
        </w:rPr>
        <w:t>•</w:t>
      </w:r>
      <w:r w:rsidRPr="00F43F8D">
        <w:rPr>
          <w:lang w:val="ru-RU"/>
        </w:rPr>
        <w:tab/>
      </w:r>
      <w:r w:rsidR="00BA4BFD" w:rsidRPr="00F43F8D">
        <w:rPr>
          <w:lang w:val="ru-RU"/>
        </w:rPr>
        <w:t>У</w:t>
      </w:r>
      <w:r w:rsidR="00570A9C" w:rsidRPr="00F43F8D">
        <w:rPr>
          <w:lang w:val="ru-RU"/>
        </w:rPr>
        <w:t>тверждена новая Рекомендация МСЭ</w:t>
      </w:r>
      <w:r w:rsidRPr="00F43F8D">
        <w:rPr>
          <w:lang w:val="ru-RU"/>
        </w:rPr>
        <w:t xml:space="preserve">-D </w:t>
      </w:r>
      <w:r w:rsidR="00570A9C" w:rsidRPr="00F43F8D">
        <w:rPr>
          <w:lang w:val="ru-RU"/>
        </w:rPr>
        <w:t>"Преодоление разрыва в стандартизации совместно с региональными группами исследовательских комиссий"</w:t>
      </w:r>
      <w:r w:rsidRPr="00F43F8D">
        <w:rPr>
          <w:lang w:val="ru-RU"/>
        </w:rPr>
        <w:t>.</w:t>
      </w:r>
    </w:p>
    <w:p w:rsidR="000A4723" w:rsidRPr="00F43F8D" w:rsidRDefault="001C573C" w:rsidP="001C573C">
      <w:pPr>
        <w:spacing w:before="720"/>
        <w:jc w:val="center"/>
        <w:rPr>
          <w:lang w:val="ru-RU"/>
        </w:rPr>
      </w:pPr>
      <w:r w:rsidRPr="00F43F8D">
        <w:rPr>
          <w:lang w:val="ru-RU"/>
        </w:rPr>
        <w:t>______________</w:t>
      </w:r>
    </w:p>
    <w:sectPr w:rsidR="000A4723" w:rsidRPr="00F43F8D" w:rsidSect="0002174D">
      <w:headerReference w:type="default" r:id="rId32"/>
      <w:footerReference w:type="default" r:id="rId33"/>
      <w:footerReference w:type="first" r:id="rId34"/>
      <w:pgSz w:w="11913" w:h="16834" w:code="9"/>
      <w:pgMar w:top="1418" w:right="1134" w:bottom="1418"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80" w:rsidRDefault="00707380" w:rsidP="0079159C">
      <w:r>
        <w:separator/>
      </w:r>
    </w:p>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4B3A6C"/>
    <w:p w:rsidR="00707380" w:rsidRDefault="00707380" w:rsidP="004B3A6C"/>
  </w:endnote>
  <w:endnote w:type="continuationSeparator" w:id="0">
    <w:p w:rsidR="00707380" w:rsidRDefault="00707380" w:rsidP="0079159C">
      <w:r>
        <w:continuationSeparator/>
      </w:r>
    </w:p>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4B3A6C"/>
    <w:p w:rsidR="00707380" w:rsidRDefault="00707380"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80" w:rsidRPr="001636BD" w:rsidRDefault="008F532A" w:rsidP="000A4723">
    <w:pPr>
      <w:pStyle w:val="Footer"/>
      <w:rPr>
        <w:lang w:val="en-US"/>
      </w:rPr>
    </w:pPr>
    <w:fldSimple w:instr=" FILENAME \p  \* MERGEFORMAT ">
      <w:r w:rsidR="003720F8" w:rsidRPr="003720F8">
        <w:rPr>
          <w:lang w:val="en-US"/>
        </w:rPr>
        <w:t>P</w:t>
      </w:r>
      <w:r w:rsidR="003720F8">
        <w:t>:\RUS\SG\CONF-SG\PP14\000\054R.docx</w:t>
      </w:r>
    </w:fldSimple>
    <w:r w:rsidR="00707380">
      <w:t xml:space="preserve"> (</w:t>
    </w:r>
    <w:r w:rsidR="00707380" w:rsidRPr="001F56D4">
      <w:rPr>
        <w:lang w:val="en-US"/>
      </w:rPr>
      <w:t>365746</w:t>
    </w:r>
    <w:r w:rsidR="00707380">
      <w:t>)</w:t>
    </w:r>
    <w:r w:rsidR="00707380" w:rsidRPr="001636BD">
      <w:rPr>
        <w:lang w:val="en-US"/>
      </w:rPr>
      <w:tab/>
    </w:r>
    <w:r w:rsidR="00707380">
      <w:fldChar w:fldCharType="begin"/>
    </w:r>
    <w:r w:rsidR="00707380">
      <w:instrText xml:space="preserve"> SAVEDATE \@ DD.MM.YY </w:instrText>
    </w:r>
    <w:r w:rsidR="00707380">
      <w:fldChar w:fldCharType="separate"/>
    </w:r>
    <w:r w:rsidR="00F43F8D">
      <w:t>29.07.14</w:t>
    </w:r>
    <w:r w:rsidR="00707380">
      <w:fldChar w:fldCharType="end"/>
    </w:r>
    <w:r w:rsidR="00707380" w:rsidRPr="001636BD">
      <w:rPr>
        <w:lang w:val="en-US"/>
      </w:rPr>
      <w:tab/>
    </w:r>
    <w:r w:rsidR="00707380">
      <w:fldChar w:fldCharType="begin"/>
    </w:r>
    <w:r w:rsidR="00707380">
      <w:instrText xml:space="preserve"> PRINTDATE \@ DD.MM.YY </w:instrText>
    </w:r>
    <w:r w:rsidR="00707380">
      <w:fldChar w:fldCharType="separate"/>
    </w:r>
    <w:r w:rsidR="003720F8">
      <w:t>29.07.14</w:t>
    </w:r>
    <w:r w:rsidR="007073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80" w:rsidRPr="002F240C" w:rsidRDefault="00707380" w:rsidP="00D37469">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2F240C">
      <w:rPr>
        <w:sz w:val="20"/>
        <w:szCs w:val="20"/>
        <w:lang w:val="fr-FR"/>
      </w:rPr>
      <w:t xml:space="preserve"> </w:t>
    </w:r>
    <w:r w:rsidRPr="002F240C">
      <w:rPr>
        <w:rStyle w:val="Hyperlink"/>
        <w:sz w:val="22"/>
        <w:szCs w:val="22"/>
        <w:lang w:val="fr-FR"/>
      </w:rPr>
      <w:t>www.itu.int/plenipotentiary/</w:t>
    </w:r>
    <w:r w:rsidRPr="002F240C">
      <w:rPr>
        <w:sz w:val="20"/>
        <w:szCs w:val="20"/>
        <w:lang w:val="fr-FR"/>
      </w:rPr>
      <w:t xml:space="preserve"> </w:t>
    </w:r>
    <w:r>
      <w:rPr>
        <w:rFonts w:ascii="Symbol" w:hAnsi="Symbol"/>
        <w:sz w:val="22"/>
        <w:szCs w:val="20"/>
        <w:lang w:val="en-GB"/>
      </w:rPr>
      <w:t></w:t>
    </w:r>
  </w:p>
  <w:p w:rsidR="00707380" w:rsidRPr="001F56D4" w:rsidRDefault="008F532A" w:rsidP="009B5BCC">
    <w:pPr>
      <w:pStyle w:val="Footer"/>
      <w:spacing w:before="40"/>
      <w:rPr>
        <w:lang w:val="en-US"/>
      </w:rPr>
    </w:pPr>
    <w:fldSimple w:instr=" FILENAME \p  \* MERGEFORMAT ">
      <w:r w:rsidR="003720F8" w:rsidRPr="003720F8">
        <w:rPr>
          <w:lang w:val="en-US"/>
        </w:rPr>
        <w:t>P</w:t>
      </w:r>
      <w:r w:rsidR="003720F8">
        <w:t>:\RUS\SG\CONF-SG\PP14\000\054R.docx</w:t>
      </w:r>
    </w:fldSimple>
    <w:r w:rsidR="00707380">
      <w:t xml:space="preserve"> (</w:t>
    </w:r>
    <w:r w:rsidR="00707380" w:rsidRPr="001F56D4">
      <w:rPr>
        <w:lang w:val="en-US"/>
      </w:rPr>
      <w:t>365746</w:t>
    </w:r>
    <w:r w:rsidR="00707380">
      <w:t>)</w:t>
    </w:r>
    <w:r w:rsidR="00707380" w:rsidRPr="001636BD">
      <w:rPr>
        <w:lang w:val="en-US"/>
      </w:rPr>
      <w:tab/>
    </w:r>
    <w:r w:rsidR="00707380">
      <w:fldChar w:fldCharType="begin"/>
    </w:r>
    <w:r w:rsidR="00707380">
      <w:instrText xml:space="preserve"> SAVEDATE \@ DD.MM.YY </w:instrText>
    </w:r>
    <w:r w:rsidR="00707380">
      <w:fldChar w:fldCharType="separate"/>
    </w:r>
    <w:r w:rsidR="00F43F8D">
      <w:t>29.07.14</w:t>
    </w:r>
    <w:r w:rsidR="00707380">
      <w:fldChar w:fldCharType="end"/>
    </w:r>
    <w:r w:rsidR="00707380" w:rsidRPr="001636BD">
      <w:rPr>
        <w:lang w:val="en-US"/>
      </w:rPr>
      <w:tab/>
    </w:r>
    <w:r w:rsidR="00707380">
      <w:fldChar w:fldCharType="begin"/>
    </w:r>
    <w:r w:rsidR="00707380">
      <w:instrText xml:space="preserve"> PRINTDATE \@ DD.MM.YY </w:instrText>
    </w:r>
    <w:r w:rsidR="00707380">
      <w:fldChar w:fldCharType="separate"/>
    </w:r>
    <w:r w:rsidR="003720F8">
      <w:t>29.07.14</w:t>
    </w:r>
    <w:r w:rsidR="007073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80" w:rsidRDefault="00707380" w:rsidP="0079159C">
      <w:r>
        <w:t>____________________</w:t>
      </w:r>
    </w:p>
  </w:footnote>
  <w:footnote w:type="continuationSeparator" w:id="0">
    <w:p w:rsidR="00707380" w:rsidRDefault="00707380" w:rsidP="0079159C">
      <w:r>
        <w:continuationSeparator/>
      </w:r>
    </w:p>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79159C"/>
    <w:p w:rsidR="00707380" w:rsidRDefault="00707380" w:rsidP="004B3A6C"/>
    <w:p w:rsidR="00707380" w:rsidRDefault="00707380" w:rsidP="004B3A6C"/>
  </w:footnote>
  <w:footnote w:id="1">
    <w:p w:rsidR="00707380" w:rsidRPr="00137941" w:rsidRDefault="00707380" w:rsidP="009A4504">
      <w:pPr>
        <w:pStyle w:val="FootnoteText"/>
        <w:rPr>
          <w:lang w:val="en-US"/>
        </w:rPr>
      </w:pPr>
      <w:r w:rsidRPr="00A11E0D">
        <w:rPr>
          <w:rStyle w:val="FootnoteReference"/>
        </w:rPr>
        <w:footnoteRef/>
      </w:r>
      <w:r w:rsidRPr="00137941">
        <w:rPr>
          <w:lang w:val="en-US"/>
        </w:rPr>
        <w:t xml:space="preserve"> </w:t>
      </w:r>
      <w:r w:rsidRPr="00137941">
        <w:rPr>
          <w:lang w:val="en-US"/>
        </w:rPr>
        <w:tab/>
      </w:r>
      <w:hyperlink r:id="rId1" w:history="1">
        <w:r w:rsidRPr="00251083">
          <w:rPr>
            <w:rStyle w:val="Hyperlink"/>
          </w:rPr>
          <w:t>http</w:t>
        </w:r>
        <w:r w:rsidRPr="00137941">
          <w:rPr>
            <w:rStyle w:val="Hyperlink"/>
            <w:lang w:val="en-US"/>
          </w:rPr>
          <w:t>://</w:t>
        </w:r>
        <w:r w:rsidRPr="00251083">
          <w:rPr>
            <w:rStyle w:val="Hyperlink"/>
          </w:rPr>
          <w:t>groups</w:t>
        </w:r>
        <w:r w:rsidRPr="00137941">
          <w:rPr>
            <w:rStyle w:val="Hyperlink"/>
            <w:lang w:val="en-US"/>
          </w:rPr>
          <w:t>.</w:t>
        </w:r>
        <w:r w:rsidRPr="00251083">
          <w:rPr>
            <w:rStyle w:val="Hyperlink"/>
          </w:rPr>
          <w:t>itu</w:t>
        </w:r>
        <w:r w:rsidRPr="00137941">
          <w:rPr>
            <w:rStyle w:val="Hyperlink"/>
            <w:lang w:val="en-US"/>
          </w:rPr>
          <w:t>.</w:t>
        </w:r>
        <w:r w:rsidRPr="00251083">
          <w:rPr>
            <w:rStyle w:val="Hyperlink"/>
          </w:rPr>
          <w:t>int</w:t>
        </w:r>
        <w:r w:rsidRPr="00137941">
          <w:rPr>
            <w:rStyle w:val="Hyperlink"/>
            <w:lang w:val="en-US"/>
          </w:rPr>
          <w:t>/</w:t>
        </w:r>
        <w:r w:rsidRPr="00251083">
          <w:rPr>
            <w:rStyle w:val="Hyperlink"/>
          </w:rPr>
          <w:t>itu</w:t>
        </w:r>
        <w:r w:rsidRPr="00137941">
          <w:rPr>
            <w:rStyle w:val="Hyperlink"/>
            <w:lang w:val="en-US"/>
          </w:rPr>
          <w:t>-</w:t>
        </w:r>
        <w:r w:rsidRPr="00251083">
          <w:rPr>
            <w:rStyle w:val="Hyperlink"/>
          </w:rPr>
          <w:t>t</w:t>
        </w:r>
        <w:r w:rsidRPr="00137941">
          <w:rPr>
            <w:rStyle w:val="Hyperlink"/>
            <w:lang w:val="en-US"/>
          </w:rPr>
          <w:t>/</w:t>
        </w:r>
        <w:r w:rsidRPr="00251083">
          <w:rPr>
            <w:rStyle w:val="Hyperlink"/>
          </w:rPr>
          <w:t>StandardsQA</w:t>
        </w:r>
        <w:r w:rsidRPr="00137941">
          <w:rPr>
            <w:rStyle w:val="Hyperlink"/>
            <w:lang w:val="en-US"/>
          </w:rPr>
          <w:t>.</w:t>
        </w:r>
        <w:r w:rsidRPr="00251083">
          <w:rPr>
            <w:rStyle w:val="Hyperlink"/>
          </w:rPr>
          <w:t>aspx</w:t>
        </w:r>
      </w:hyperlink>
      <w:r w:rsidRPr="0013794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80" w:rsidRDefault="00707380" w:rsidP="000A4723">
    <w:pPr>
      <w:pStyle w:val="Header"/>
    </w:pPr>
    <w:r>
      <w:fldChar w:fldCharType="begin"/>
    </w:r>
    <w:r>
      <w:instrText>PAGE</w:instrText>
    </w:r>
    <w:r>
      <w:fldChar w:fldCharType="separate"/>
    </w:r>
    <w:r w:rsidR="00F43F8D">
      <w:rPr>
        <w:noProof/>
      </w:rPr>
      <w:t>3</w:t>
    </w:r>
    <w:r>
      <w:rPr>
        <w:noProof/>
      </w:rPr>
      <w:fldChar w:fldCharType="end"/>
    </w:r>
  </w:p>
  <w:p w:rsidR="00707380" w:rsidRPr="000A4723" w:rsidRDefault="00707380" w:rsidP="000A4723">
    <w:pPr>
      <w:pStyle w:val="Header"/>
      <w:rPr>
        <w:lang w:val="ru-RU"/>
      </w:rPr>
    </w:pPr>
    <w:r>
      <w:rPr>
        <w:lang w:val="en-US" w:bidi="ar-EG"/>
      </w:rPr>
      <w:t>PP</w:t>
    </w:r>
    <w:r>
      <w:t>1</w:t>
    </w:r>
    <w:r>
      <w:rPr>
        <w:lang w:val="ru-RU"/>
      </w:rPr>
      <w:t>4</w:t>
    </w:r>
    <w:r>
      <w:t>/5</w:t>
    </w:r>
    <w:r>
      <w:rPr>
        <w:lang w:val="ru-RU"/>
      </w:rPr>
      <w:t>4</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9204CA"/>
    <w:lvl w:ilvl="0">
      <w:start w:val="1"/>
      <w:numFmt w:val="decimal"/>
      <w:lvlText w:val="%1."/>
      <w:lvlJc w:val="left"/>
      <w:pPr>
        <w:tabs>
          <w:tab w:val="num" w:pos="1492"/>
        </w:tabs>
        <w:ind w:left="1492" w:hanging="360"/>
      </w:pPr>
    </w:lvl>
  </w:abstractNum>
  <w:abstractNum w:abstractNumId="1">
    <w:nsid w:val="FFFFFF7D"/>
    <w:multiLevelType w:val="singleLevel"/>
    <w:tmpl w:val="FF1A196E"/>
    <w:lvl w:ilvl="0">
      <w:start w:val="1"/>
      <w:numFmt w:val="decimal"/>
      <w:lvlText w:val="%1."/>
      <w:lvlJc w:val="left"/>
      <w:pPr>
        <w:tabs>
          <w:tab w:val="num" w:pos="1209"/>
        </w:tabs>
        <w:ind w:left="1209" w:hanging="360"/>
      </w:pPr>
    </w:lvl>
  </w:abstractNum>
  <w:abstractNum w:abstractNumId="2">
    <w:nsid w:val="FFFFFF7E"/>
    <w:multiLevelType w:val="singleLevel"/>
    <w:tmpl w:val="AB60EF4E"/>
    <w:lvl w:ilvl="0">
      <w:start w:val="1"/>
      <w:numFmt w:val="decimal"/>
      <w:lvlText w:val="%1."/>
      <w:lvlJc w:val="left"/>
      <w:pPr>
        <w:tabs>
          <w:tab w:val="num" w:pos="926"/>
        </w:tabs>
        <w:ind w:left="926" w:hanging="360"/>
      </w:pPr>
    </w:lvl>
  </w:abstractNum>
  <w:abstractNum w:abstractNumId="3">
    <w:nsid w:val="FFFFFF7F"/>
    <w:multiLevelType w:val="singleLevel"/>
    <w:tmpl w:val="2AC425F4"/>
    <w:lvl w:ilvl="0">
      <w:start w:val="1"/>
      <w:numFmt w:val="decimal"/>
      <w:lvlText w:val="%1."/>
      <w:lvlJc w:val="left"/>
      <w:pPr>
        <w:tabs>
          <w:tab w:val="num" w:pos="643"/>
        </w:tabs>
        <w:ind w:left="643" w:hanging="360"/>
      </w:pPr>
    </w:lvl>
  </w:abstractNum>
  <w:abstractNum w:abstractNumId="4">
    <w:nsid w:val="FFFFFF80"/>
    <w:multiLevelType w:val="singleLevel"/>
    <w:tmpl w:val="05AE28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082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00A2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40F4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4A127E"/>
    <w:lvl w:ilvl="0">
      <w:start w:val="1"/>
      <w:numFmt w:val="decimal"/>
      <w:lvlText w:val="%1."/>
      <w:lvlJc w:val="left"/>
      <w:pPr>
        <w:tabs>
          <w:tab w:val="num" w:pos="360"/>
        </w:tabs>
        <w:ind w:left="360" w:hanging="360"/>
      </w:pPr>
    </w:lvl>
  </w:abstractNum>
  <w:abstractNum w:abstractNumId="9">
    <w:nsid w:val="FFFFFF89"/>
    <w:multiLevelType w:val="singleLevel"/>
    <w:tmpl w:val="4A2846DA"/>
    <w:lvl w:ilvl="0">
      <w:start w:val="1"/>
      <w:numFmt w:val="bullet"/>
      <w:lvlText w:val=""/>
      <w:lvlJc w:val="left"/>
      <w:pPr>
        <w:tabs>
          <w:tab w:val="num" w:pos="360"/>
        </w:tabs>
        <w:ind w:left="360" w:hanging="360"/>
      </w:pPr>
      <w:rPr>
        <w:rFonts w:ascii="Symbol" w:hAnsi="Symbol" w:hint="default"/>
      </w:rPr>
    </w:lvl>
  </w:abstractNum>
  <w:abstractNum w:abstractNumId="10">
    <w:nsid w:val="2453495C"/>
    <w:multiLevelType w:val="hybridMultilevel"/>
    <w:tmpl w:val="9D06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C2F95"/>
    <w:multiLevelType w:val="hybridMultilevel"/>
    <w:tmpl w:val="A9CC9B5A"/>
    <w:lvl w:ilvl="0" w:tplc="6E9E0F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5C"/>
    <w:rsid w:val="00014808"/>
    <w:rsid w:val="00016EB5"/>
    <w:rsid w:val="0002174D"/>
    <w:rsid w:val="0003029E"/>
    <w:rsid w:val="00055A1E"/>
    <w:rsid w:val="000626B1"/>
    <w:rsid w:val="00063CA3"/>
    <w:rsid w:val="00065F00"/>
    <w:rsid w:val="00071D10"/>
    <w:rsid w:val="00092B8B"/>
    <w:rsid w:val="000968F5"/>
    <w:rsid w:val="000A4723"/>
    <w:rsid w:val="000A4E65"/>
    <w:rsid w:val="000A68C5"/>
    <w:rsid w:val="000B062A"/>
    <w:rsid w:val="000B3566"/>
    <w:rsid w:val="000C4701"/>
    <w:rsid w:val="000C5120"/>
    <w:rsid w:val="000D0132"/>
    <w:rsid w:val="000E3AAE"/>
    <w:rsid w:val="000E4C7A"/>
    <w:rsid w:val="000E63E8"/>
    <w:rsid w:val="000F6176"/>
    <w:rsid w:val="00100DF6"/>
    <w:rsid w:val="0011590B"/>
    <w:rsid w:val="00120697"/>
    <w:rsid w:val="00142ED7"/>
    <w:rsid w:val="001636BD"/>
    <w:rsid w:val="00170AC3"/>
    <w:rsid w:val="00170F17"/>
    <w:rsid w:val="00171990"/>
    <w:rsid w:val="00171E2E"/>
    <w:rsid w:val="0019348B"/>
    <w:rsid w:val="001A0EEB"/>
    <w:rsid w:val="001A6952"/>
    <w:rsid w:val="001B2BFF"/>
    <w:rsid w:val="001B5341"/>
    <w:rsid w:val="001C44F8"/>
    <w:rsid w:val="001C573C"/>
    <w:rsid w:val="001F56D4"/>
    <w:rsid w:val="00200740"/>
    <w:rsid w:val="00200992"/>
    <w:rsid w:val="00202880"/>
    <w:rsid w:val="0020313F"/>
    <w:rsid w:val="00227F58"/>
    <w:rsid w:val="00232D57"/>
    <w:rsid w:val="002356E7"/>
    <w:rsid w:val="00250D95"/>
    <w:rsid w:val="002578B4"/>
    <w:rsid w:val="00267C35"/>
    <w:rsid w:val="00267FB0"/>
    <w:rsid w:val="00273A0B"/>
    <w:rsid w:val="00277F85"/>
    <w:rsid w:val="002A409A"/>
    <w:rsid w:val="002A5402"/>
    <w:rsid w:val="002B033B"/>
    <w:rsid w:val="002B6E04"/>
    <w:rsid w:val="002C5477"/>
    <w:rsid w:val="002C78FF"/>
    <w:rsid w:val="002D0055"/>
    <w:rsid w:val="002D299B"/>
    <w:rsid w:val="002D518F"/>
    <w:rsid w:val="002E2EF1"/>
    <w:rsid w:val="002E6ACE"/>
    <w:rsid w:val="002F240C"/>
    <w:rsid w:val="00323B6F"/>
    <w:rsid w:val="00333453"/>
    <w:rsid w:val="003429D1"/>
    <w:rsid w:val="003720F8"/>
    <w:rsid w:val="00375BBA"/>
    <w:rsid w:val="00380993"/>
    <w:rsid w:val="00395CE4"/>
    <w:rsid w:val="003B1550"/>
    <w:rsid w:val="003E481B"/>
    <w:rsid w:val="003E7EAA"/>
    <w:rsid w:val="003F36C0"/>
    <w:rsid w:val="004014B0"/>
    <w:rsid w:val="0040462E"/>
    <w:rsid w:val="00426777"/>
    <w:rsid w:val="00426AC1"/>
    <w:rsid w:val="004676C0"/>
    <w:rsid w:val="00471ABB"/>
    <w:rsid w:val="00476DA1"/>
    <w:rsid w:val="00495C3F"/>
    <w:rsid w:val="004A7BB1"/>
    <w:rsid w:val="004B03E9"/>
    <w:rsid w:val="004B3A6C"/>
    <w:rsid w:val="004C029D"/>
    <w:rsid w:val="004C72AB"/>
    <w:rsid w:val="0051067E"/>
    <w:rsid w:val="0052010F"/>
    <w:rsid w:val="005252C9"/>
    <w:rsid w:val="005356FD"/>
    <w:rsid w:val="00554E24"/>
    <w:rsid w:val="00563711"/>
    <w:rsid w:val="005653D6"/>
    <w:rsid w:val="00567130"/>
    <w:rsid w:val="00570A9C"/>
    <w:rsid w:val="00584918"/>
    <w:rsid w:val="005C3DE4"/>
    <w:rsid w:val="005C67E8"/>
    <w:rsid w:val="005D0C15"/>
    <w:rsid w:val="005F526C"/>
    <w:rsid w:val="00600272"/>
    <w:rsid w:val="00600820"/>
    <w:rsid w:val="0061434A"/>
    <w:rsid w:val="00617BE4"/>
    <w:rsid w:val="006208B3"/>
    <w:rsid w:val="00625334"/>
    <w:rsid w:val="00636817"/>
    <w:rsid w:val="006418E6"/>
    <w:rsid w:val="00673802"/>
    <w:rsid w:val="0067722F"/>
    <w:rsid w:val="006A5D5C"/>
    <w:rsid w:val="006A5E35"/>
    <w:rsid w:val="006B7F84"/>
    <w:rsid w:val="006C1A71"/>
    <w:rsid w:val="006D0C5C"/>
    <w:rsid w:val="006D1F79"/>
    <w:rsid w:val="006D5E4D"/>
    <w:rsid w:val="006E347E"/>
    <w:rsid w:val="006E57C8"/>
    <w:rsid w:val="006F69EA"/>
    <w:rsid w:val="00707380"/>
    <w:rsid w:val="00710760"/>
    <w:rsid w:val="0073319E"/>
    <w:rsid w:val="007340B5"/>
    <w:rsid w:val="00735093"/>
    <w:rsid w:val="00744A6B"/>
    <w:rsid w:val="00746671"/>
    <w:rsid w:val="00750829"/>
    <w:rsid w:val="00760830"/>
    <w:rsid w:val="00775B4D"/>
    <w:rsid w:val="00776A0A"/>
    <w:rsid w:val="0079159C"/>
    <w:rsid w:val="007B010B"/>
    <w:rsid w:val="007B0B60"/>
    <w:rsid w:val="007C50AF"/>
    <w:rsid w:val="007D103E"/>
    <w:rsid w:val="007E4D0F"/>
    <w:rsid w:val="007E51DA"/>
    <w:rsid w:val="00801D4F"/>
    <w:rsid w:val="008034F1"/>
    <w:rsid w:val="008102A6"/>
    <w:rsid w:val="00823387"/>
    <w:rsid w:val="00826A7C"/>
    <w:rsid w:val="00850AEF"/>
    <w:rsid w:val="00870059"/>
    <w:rsid w:val="00872139"/>
    <w:rsid w:val="0087687A"/>
    <w:rsid w:val="008A2FB3"/>
    <w:rsid w:val="008A44FF"/>
    <w:rsid w:val="008D3134"/>
    <w:rsid w:val="008D3BE2"/>
    <w:rsid w:val="008D7856"/>
    <w:rsid w:val="008F532A"/>
    <w:rsid w:val="009125CE"/>
    <w:rsid w:val="0093377B"/>
    <w:rsid w:val="00934241"/>
    <w:rsid w:val="00950E0F"/>
    <w:rsid w:val="009532C8"/>
    <w:rsid w:val="00962CCF"/>
    <w:rsid w:val="00972E65"/>
    <w:rsid w:val="0097690C"/>
    <w:rsid w:val="009903F3"/>
    <w:rsid w:val="00996435"/>
    <w:rsid w:val="009A4504"/>
    <w:rsid w:val="009A47A2"/>
    <w:rsid w:val="009A4E49"/>
    <w:rsid w:val="009A6D9A"/>
    <w:rsid w:val="009B5BCC"/>
    <w:rsid w:val="009D0405"/>
    <w:rsid w:val="009D634A"/>
    <w:rsid w:val="009E4F4B"/>
    <w:rsid w:val="00A3200E"/>
    <w:rsid w:val="00A41FFA"/>
    <w:rsid w:val="00A45A68"/>
    <w:rsid w:val="00A54F56"/>
    <w:rsid w:val="00A65E9D"/>
    <w:rsid w:val="00A82B77"/>
    <w:rsid w:val="00AA3BDF"/>
    <w:rsid w:val="00AC20C0"/>
    <w:rsid w:val="00AD6841"/>
    <w:rsid w:val="00AF14AB"/>
    <w:rsid w:val="00B14377"/>
    <w:rsid w:val="00B1733E"/>
    <w:rsid w:val="00B25E36"/>
    <w:rsid w:val="00B40659"/>
    <w:rsid w:val="00B45785"/>
    <w:rsid w:val="00B45796"/>
    <w:rsid w:val="00B46900"/>
    <w:rsid w:val="00B54B28"/>
    <w:rsid w:val="00B62568"/>
    <w:rsid w:val="00B875C2"/>
    <w:rsid w:val="00BA154E"/>
    <w:rsid w:val="00BA4BFD"/>
    <w:rsid w:val="00BC4ECB"/>
    <w:rsid w:val="00BC6732"/>
    <w:rsid w:val="00BC7989"/>
    <w:rsid w:val="00BF720B"/>
    <w:rsid w:val="00C02544"/>
    <w:rsid w:val="00C04511"/>
    <w:rsid w:val="00C05D11"/>
    <w:rsid w:val="00C147EA"/>
    <w:rsid w:val="00C16846"/>
    <w:rsid w:val="00C356AC"/>
    <w:rsid w:val="00C40979"/>
    <w:rsid w:val="00C46ECA"/>
    <w:rsid w:val="00C62242"/>
    <w:rsid w:val="00C6326D"/>
    <w:rsid w:val="00C77742"/>
    <w:rsid w:val="00CA38C9"/>
    <w:rsid w:val="00CC6362"/>
    <w:rsid w:val="00CD163A"/>
    <w:rsid w:val="00CE1242"/>
    <w:rsid w:val="00CE40BB"/>
    <w:rsid w:val="00D057DE"/>
    <w:rsid w:val="00D32A1D"/>
    <w:rsid w:val="00D37275"/>
    <w:rsid w:val="00D37469"/>
    <w:rsid w:val="00D40D98"/>
    <w:rsid w:val="00D50E12"/>
    <w:rsid w:val="00D525AF"/>
    <w:rsid w:val="00D6124F"/>
    <w:rsid w:val="00D66144"/>
    <w:rsid w:val="00D72DB8"/>
    <w:rsid w:val="00D923B4"/>
    <w:rsid w:val="00D955EF"/>
    <w:rsid w:val="00DC7337"/>
    <w:rsid w:val="00DD26B1"/>
    <w:rsid w:val="00DD58F7"/>
    <w:rsid w:val="00DD6770"/>
    <w:rsid w:val="00DE24EF"/>
    <w:rsid w:val="00DF23FC"/>
    <w:rsid w:val="00DF39CD"/>
    <w:rsid w:val="00DF449B"/>
    <w:rsid w:val="00DF4F81"/>
    <w:rsid w:val="00E038CA"/>
    <w:rsid w:val="00E17F8D"/>
    <w:rsid w:val="00E227E4"/>
    <w:rsid w:val="00E41D46"/>
    <w:rsid w:val="00E45BAE"/>
    <w:rsid w:val="00E54E66"/>
    <w:rsid w:val="00E56E57"/>
    <w:rsid w:val="00E634DE"/>
    <w:rsid w:val="00E86DC6"/>
    <w:rsid w:val="00E91D24"/>
    <w:rsid w:val="00E930C0"/>
    <w:rsid w:val="00EA446F"/>
    <w:rsid w:val="00EA73F3"/>
    <w:rsid w:val="00EB01AC"/>
    <w:rsid w:val="00EC064C"/>
    <w:rsid w:val="00EC11DA"/>
    <w:rsid w:val="00EC3BF2"/>
    <w:rsid w:val="00ED279F"/>
    <w:rsid w:val="00EF2642"/>
    <w:rsid w:val="00EF3681"/>
    <w:rsid w:val="00EF3E27"/>
    <w:rsid w:val="00F014A4"/>
    <w:rsid w:val="00F05936"/>
    <w:rsid w:val="00F06FDE"/>
    <w:rsid w:val="00F076D9"/>
    <w:rsid w:val="00F13305"/>
    <w:rsid w:val="00F20BC2"/>
    <w:rsid w:val="00F26501"/>
    <w:rsid w:val="00F271EF"/>
    <w:rsid w:val="00F342E4"/>
    <w:rsid w:val="00F40D30"/>
    <w:rsid w:val="00F43F8D"/>
    <w:rsid w:val="00F44625"/>
    <w:rsid w:val="00F44B70"/>
    <w:rsid w:val="00F649D6"/>
    <w:rsid w:val="00F654DD"/>
    <w:rsid w:val="00F80EDD"/>
    <w:rsid w:val="00FD1676"/>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D35DE47-FCB4-4CC7-AC0D-7B9F3738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2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aliases w:val="encabezado,he"/>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uiPriority w:val="99"/>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link w:val="ResNoChar"/>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autoRedefine/>
    <w:rsid w:val="000626B1"/>
    <w:pPr>
      <w:spacing w:before="840"/>
      <w:jc w:val="center"/>
    </w:pPr>
    <w:rPr>
      <w:b/>
      <w:sz w:val="26"/>
    </w:rPr>
  </w:style>
  <w:style w:type="paragraph" w:customStyle="1" w:styleId="Tabletext">
    <w:name w:val="Table_text"/>
    <w:basedOn w:val="Normal"/>
    <w:rsid w:val="004B3A6C"/>
    <w:pPr>
      <w:tabs>
        <w:tab w:val="clear" w:pos="567"/>
        <w:tab w:val="clear" w:pos="1134"/>
        <w:tab w:val="clear" w:pos="1701"/>
        <w:tab w:val="clear" w:pos="2268"/>
        <w:tab w:val="clear" w:pos="2835"/>
      </w:tabs>
      <w:spacing w:before="60" w:after="60"/>
    </w:p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37469"/>
    <w:pPr>
      <w:keepNext/>
      <w:tabs>
        <w:tab w:val="clear" w:pos="567"/>
        <w:tab w:val="clear" w:pos="1701"/>
        <w:tab w:val="clear" w:pos="2835"/>
        <w:tab w:val="left" w:pos="1871"/>
      </w:tabs>
      <w:spacing w:before="240"/>
    </w:pPr>
    <w:rPr>
      <w:rFonts w:asciiTheme="minorHAnsi" w:hAnsiTheme="minorHAnsi"/>
      <w:lang w:val="ru-RU"/>
    </w:rPr>
  </w:style>
  <w:style w:type="character" w:customStyle="1" w:styleId="ProposalChar">
    <w:name w:val="Proposal Char"/>
    <w:basedOn w:val="DefaultParagraphFont"/>
    <w:link w:val="Proposal"/>
    <w:locked/>
    <w:rsid w:val="00D37469"/>
    <w:rPr>
      <w:rFonts w:asciiTheme="minorHAnsi" w:hAnsiTheme="minorHAnsi"/>
      <w:sz w:val="22"/>
      <w:lang w:val="ru-RU" w:eastAsia="en-US"/>
    </w:rPr>
  </w:style>
  <w:style w:type="character" w:customStyle="1" w:styleId="HeaderChar">
    <w:name w:val="Header Char"/>
    <w:aliases w:val="encabezado Char,he Char"/>
    <w:basedOn w:val="DefaultParagraphFont"/>
    <w:link w:val="Header"/>
    <w:rsid w:val="000A4723"/>
    <w:rPr>
      <w:rFonts w:ascii="Calibri" w:hAnsi="Calibri"/>
      <w:sz w:val="18"/>
      <w:lang w:val="en-GB" w:eastAsia="en-US"/>
    </w:rPr>
  </w:style>
  <w:style w:type="paragraph" w:styleId="ListParagraph">
    <w:name w:val="List Paragraph"/>
    <w:basedOn w:val="Normal"/>
    <w:uiPriority w:val="34"/>
    <w:qFormat/>
    <w:rsid w:val="009B5BCC"/>
    <w:pPr>
      <w:ind w:left="720"/>
      <w:contextualSpacing/>
    </w:pPr>
    <w:rPr>
      <w:sz w:val="24"/>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B5BCC"/>
    <w:rPr>
      <w:rFonts w:ascii="Calibri" w:hAnsi="Calibri"/>
      <w:lang w:val="en-GB" w:eastAsia="en-US"/>
    </w:rPr>
  </w:style>
  <w:style w:type="character" w:customStyle="1" w:styleId="ResNoChar">
    <w:name w:val="Res_No Char"/>
    <w:basedOn w:val="DefaultParagraphFont"/>
    <w:link w:val="ResNo"/>
    <w:rsid w:val="009B5BCC"/>
    <w:rPr>
      <w:rFonts w:ascii="Calibri" w:hAnsi="Calibri"/>
      <w:caps/>
      <w:sz w:val="26"/>
      <w:lang w:val="en-GB" w:eastAsia="en-US"/>
    </w:rPr>
  </w:style>
  <w:style w:type="character" w:customStyle="1" w:styleId="href">
    <w:name w:val="href"/>
    <w:basedOn w:val="DefaultParagraphFont"/>
    <w:rsid w:val="009B5BCC"/>
    <w:rPr>
      <w:sz w:val="26"/>
    </w:rPr>
  </w:style>
  <w:style w:type="character" w:customStyle="1" w:styleId="enumlev1Char">
    <w:name w:val="enumlev1 Char"/>
    <w:basedOn w:val="DefaultParagraphFont"/>
    <w:link w:val="enumlev1"/>
    <w:uiPriority w:val="99"/>
    <w:locked/>
    <w:rsid w:val="00600820"/>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T-HDB-IMPL.08-2010/en" TargetMode="External"/><Relationship Id="rId18" Type="http://schemas.openxmlformats.org/officeDocument/2006/relationships/hyperlink" Target="http://www.itu.int/pub/publications.aspx?lang=en&amp;parent=T-HDB-PLN.03-2012" TargetMode="External"/><Relationship Id="rId26" Type="http://schemas.openxmlformats.org/officeDocument/2006/relationships/hyperlink" Target="http://academy.itu.int/index.php/component/k2/item/1115" TargetMode="External"/><Relationship Id="rId3" Type="http://schemas.openxmlformats.org/officeDocument/2006/relationships/styles" Target="styles.xml"/><Relationship Id="rId21" Type="http://schemas.openxmlformats.org/officeDocument/2006/relationships/hyperlink" Target="http://www.itu.int/pub/T-TUT-NGN-201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publ/T-HDB-IMPL.07-2010/en" TargetMode="External"/><Relationship Id="rId17" Type="http://schemas.openxmlformats.org/officeDocument/2006/relationships/hyperlink" Target="http://www.itu.int/pub/publications.aspx?lang=en&amp;parent=T-TUT-HOME-2011" TargetMode="External"/><Relationship Id="rId25" Type="http://schemas.openxmlformats.org/officeDocument/2006/relationships/hyperlink" Target="http://www.itu.int/en/ITU-T/gap/Documents/NSSGuideline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pub/publications.aspx?lang=en&amp;parent=T-HDB-SEC.05-2011" TargetMode="External"/><Relationship Id="rId20" Type="http://schemas.openxmlformats.org/officeDocument/2006/relationships/hyperlink" Target="http://www.itu.int/pub/T-TUT-IOT-2012-M2M" TargetMode="External"/><Relationship Id="rId29" Type="http://schemas.openxmlformats.org/officeDocument/2006/relationships/hyperlink" Target="http://www.itu.int/en/ITU-D/Conferences/WTDC/WTDC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T-HDB-IMPL.06-2010/en" TargetMode="External"/><Relationship Id="rId24" Type="http://schemas.openxmlformats.org/officeDocument/2006/relationships/hyperlink" Target="http://www.itu.int/pub/publications.aspx?lang=en&amp;parent=T-TUT-NGN-201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pub/T-HDB-QOS.02-2011" TargetMode="External"/><Relationship Id="rId23" Type="http://schemas.openxmlformats.org/officeDocument/2006/relationships/hyperlink" Target="http://www.itu.int/en/ITU-T/focusgroups/drnrr/Documents/Technical_report-2013-06.pdf" TargetMode="External"/><Relationship Id="rId28" Type="http://schemas.openxmlformats.org/officeDocument/2006/relationships/hyperlink" Target="http://www.itu.int/ITU-T/recommendations/rec.aspx?rec=11920" TargetMode="External"/><Relationship Id="rId36" Type="http://schemas.openxmlformats.org/officeDocument/2006/relationships/theme" Target="theme/theme1.xml"/><Relationship Id="rId10" Type="http://schemas.openxmlformats.org/officeDocument/2006/relationships/hyperlink" Target="http://www.itu.int/publ/T-HDB-IMPL.05-2009/en" TargetMode="External"/><Relationship Id="rId19" Type="http://schemas.openxmlformats.org/officeDocument/2006/relationships/hyperlink" Target="http://www.itu.int/pub/publications.aspx?lang=en&amp;parent=T-TUT-MRA-2012" TargetMode="External"/><Relationship Id="rId31" Type="http://schemas.openxmlformats.org/officeDocument/2006/relationships/hyperlink" Target="http://www.itu.int/en/newsroom/wtdc-14/Pages/dubai-declaration.aspx" TargetMode="External"/><Relationship Id="rId4" Type="http://schemas.openxmlformats.org/officeDocument/2006/relationships/settings" Target="settings.xml"/><Relationship Id="rId9" Type="http://schemas.openxmlformats.org/officeDocument/2006/relationships/hyperlink" Target="http://www.itu.int/publ/T-HDB-IMPL.05-2009/en" TargetMode="External"/><Relationship Id="rId14" Type="http://schemas.openxmlformats.org/officeDocument/2006/relationships/hyperlink" Target="http://www.itu.int/pub/T-HDB-LNG.4-2010" TargetMode="External"/><Relationship Id="rId22" Type="http://schemas.openxmlformats.org/officeDocument/2006/relationships/hyperlink" Target="http://www.itu.int/pub/T-TUT-QOS-2013" TargetMode="External"/><Relationship Id="rId27" Type="http://schemas.openxmlformats.org/officeDocument/2006/relationships/hyperlink" Target="http://academy.itu.int/" TargetMode="External"/><Relationship Id="rId30" Type="http://schemas.openxmlformats.org/officeDocument/2006/relationships/hyperlink" Target="https://www.itu.int/md/dologin_md.asp?lang=en&amp;id=D10-WTDC14-C-0118!!MSW-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roups.itu.int/itu-t/StandardsQ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91C7-96F5-48A9-875E-3DC5AD86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PR_PP14.dotx</Template>
  <TotalTime>93</TotalTime>
  <Pages>7</Pages>
  <Words>2799</Words>
  <Characters>15957</Characters>
  <Application>Microsoft Office Word</Application>
  <DocSecurity>0</DocSecurity>
  <Lines>132</Lines>
  <Paragraphs>37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Maloletkova, Svetlana</dc:creator>
  <cp:keywords>PP-06</cp:keywords>
  <dc:description>PR_PP10.dotx  For: _x000d_Document date: _x000d_Saved by ITU51009317 at 11:22:00 on 19/03/2013</dc:description>
  <cp:lastModifiedBy>Antipina, Nadezda</cp:lastModifiedBy>
  <cp:revision>5</cp:revision>
  <cp:lastPrinted>2014-07-29T09:16:00Z</cp:lastPrinted>
  <dcterms:created xsi:type="dcterms:W3CDTF">2014-07-22T15:04:00Z</dcterms:created>
  <dcterms:modified xsi:type="dcterms:W3CDTF">2014-07-30T14:49:00Z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