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E645CC">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E645CC">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E645CC">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E645CC">
            <w:pPr>
              <w:spacing w:before="0"/>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E645CC">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E645CC">
            <w:pPr>
              <w:spacing w:before="0"/>
              <w:rPr>
                <w:rFonts w:cstheme="minorHAnsi"/>
                <w:szCs w:val="24"/>
                <w:lang w:val="en-US"/>
              </w:rPr>
            </w:pPr>
          </w:p>
        </w:tc>
      </w:tr>
      <w:tr w:rsidR="00BD1614" w:rsidRPr="002A6F8F" w:rsidTr="006A046E">
        <w:trPr>
          <w:cantSplit/>
        </w:trPr>
        <w:tc>
          <w:tcPr>
            <w:tcW w:w="6911" w:type="dxa"/>
          </w:tcPr>
          <w:p w:rsidR="00BD1614" w:rsidRPr="008C10D9" w:rsidRDefault="00407795" w:rsidP="00E645CC">
            <w:pPr>
              <w:pStyle w:val="Committee"/>
              <w:framePr w:hSpace="0" w:wrap="auto" w:hAnchor="text" w:yAlign="inline"/>
              <w:spacing w:line="240" w:lineRule="auto"/>
            </w:pPr>
            <w:r w:rsidRPr="008C10D9">
              <w:t>SÉANCE PLÉNIÈRE</w:t>
            </w:r>
          </w:p>
        </w:tc>
        <w:tc>
          <w:tcPr>
            <w:tcW w:w="3120" w:type="dxa"/>
          </w:tcPr>
          <w:p w:rsidR="00BD1614" w:rsidRPr="008C10D9" w:rsidRDefault="00407795" w:rsidP="00E645CC">
            <w:pPr>
              <w:spacing w:before="0"/>
              <w:rPr>
                <w:rFonts w:cstheme="minorHAnsi"/>
                <w:szCs w:val="24"/>
                <w:lang w:val="en-US"/>
              </w:rPr>
            </w:pPr>
            <w:r>
              <w:rPr>
                <w:rFonts w:cstheme="minorHAnsi"/>
                <w:b/>
                <w:szCs w:val="24"/>
                <w:lang w:val="en-US"/>
              </w:rPr>
              <w:t xml:space="preserve">Document </w:t>
            </w:r>
            <w:r w:rsidR="00663F9A">
              <w:rPr>
                <w:rFonts w:cstheme="minorHAnsi"/>
                <w:b/>
                <w:szCs w:val="24"/>
                <w:lang w:val="en-US"/>
              </w:rPr>
              <w:t>54</w:t>
            </w:r>
            <w:r>
              <w:rPr>
                <w:rFonts w:cstheme="minorHAnsi"/>
                <w:b/>
                <w:szCs w:val="24"/>
                <w:lang w:val="en-US"/>
              </w:rPr>
              <w:t>-F</w:t>
            </w:r>
          </w:p>
        </w:tc>
      </w:tr>
      <w:tr w:rsidR="00BD1614" w:rsidRPr="002A6F8F" w:rsidTr="006A046E">
        <w:trPr>
          <w:cantSplit/>
        </w:trPr>
        <w:tc>
          <w:tcPr>
            <w:tcW w:w="6911" w:type="dxa"/>
          </w:tcPr>
          <w:p w:rsidR="00BD1614" w:rsidRPr="008C10D9" w:rsidRDefault="00BD1614" w:rsidP="00E645CC">
            <w:pPr>
              <w:spacing w:before="0" w:after="48"/>
              <w:rPr>
                <w:rFonts w:cstheme="minorHAnsi"/>
                <w:b/>
                <w:smallCaps/>
                <w:szCs w:val="24"/>
                <w:lang w:val="en-US"/>
              </w:rPr>
            </w:pPr>
          </w:p>
        </w:tc>
        <w:tc>
          <w:tcPr>
            <w:tcW w:w="3120" w:type="dxa"/>
          </w:tcPr>
          <w:p w:rsidR="00BD1614" w:rsidRPr="008C10D9" w:rsidRDefault="00663F9A" w:rsidP="00E645CC">
            <w:pPr>
              <w:spacing w:before="0"/>
              <w:rPr>
                <w:rFonts w:cstheme="minorHAnsi"/>
                <w:b/>
                <w:szCs w:val="24"/>
                <w:lang w:val="en-US"/>
              </w:rPr>
            </w:pPr>
            <w:r>
              <w:rPr>
                <w:rFonts w:cstheme="minorHAnsi"/>
                <w:b/>
                <w:szCs w:val="24"/>
                <w:lang w:val="en-US"/>
              </w:rPr>
              <w:t xml:space="preserve">26 </w:t>
            </w:r>
            <w:proofErr w:type="spellStart"/>
            <w:r>
              <w:rPr>
                <w:rFonts w:cstheme="minorHAnsi"/>
                <w:b/>
                <w:szCs w:val="24"/>
                <w:lang w:val="en-US"/>
              </w:rPr>
              <w:t>juin</w:t>
            </w:r>
            <w:proofErr w:type="spellEnd"/>
            <w:r>
              <w:rPr>
                <w:rFonts w:cstheme="minorHAnsi"/>
                <w:b/>
                <w:szCs w:val="24"/>
                <w:lang w:val="en-US"/>
              </w:rPr>
              <w:t xml:space="preserve"> 2014</w:t>
            </w:r>
          </w:p>
        </w:tc>
      </w:tr>
      <w:tr w:rsidR="00BD1614" w:rsidRPr="002A6F8F" w:rsidTr="006A046E">
        <w:trPr>
          <w:cantSplit/>
        </w:trPr>
        <w:tc>
          <w:tcPr>
            <w:tcW w:w="6911" w:type="dxa"/>
          </w:tcPr>
          <w:p w:rsidR="00BD1614" w:rsidRPr="008C10D9" w:rsidRDefault="00BD1614" w:rsidP="00E645CC">
            <w:pPr>
              <w:spacing w:before="0" w:after="48"/>
              <w:rPr>
                <w:rFonts w:cstheme="minorHAnsi"/>
                <w:b/>
                <w:smallCaps/>
                <w:szCs w:val="24"/>
                <w:lang w:val="en-US"/>
              </w:rPr>
            </w:pPr>
          </w:p>
        </w:tc>
        <w:tc>
          <w:tcPr>
            <w:tcW w:w="3120" w:type="dxa"/>
          </w:tcPr>
          <w:p w:rsidR="00BD1614" w:rsidRPr="008C10D9" w:rsidRDefault="00407795" w:rsidP="00E645CC">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anglais</w:t>
            </w:r>
            <w:bookmarkStart w:id="4" w:name="_GoBack"/>
            <w:bookmarkEnd w:id="4"/>
            <w:proofErr w:type="spellEnd"/>
          </w:p>
        </w:tc>
      </w:tr>
      <w:tr w:rsidR="00BD1614" w:rsidRPr="002A6F8F" w:rsidTr="006A046E">
        <w:trPr>
          <w:cantSplit/>
        </w:trPr>
        <w:tc>
          <w:tcPr>
            <w:tcW w:w="10031" w:type="dxa"/>
            <w:gridSpan w:val="2"/>
          </w:tcPr>
          <w:p w:rsidR="00BD1614" w:rsidRPr="008C10D9" w:rsidRDefault="00BD1614" w:rsidP="00E645CC">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663F9A" w:rsidP="00E645CC">
            <w:pPr>
              <w:pStyle w:val="Source"/>
              <w:rPr>
                <w:lang w:val="en-US"/>
              </w:rPr>
            </w:pPr>
            <w:bookmarkStart w:id="5" w:name="dsource" w:colFirst="0" w:colLast="0"/>
            <w:bookmarkEnd w:id="3"/>
            <w:r>
              <w:rPr>
                <w:lang w:val="en-US"/>
              </w:rPr>
              <w:t xml:space="preserve">Note du </w:t>
            </w:r>
            <w:proofErr w:type="spellStart"/>
            <w:r>
              <w:rPr>
                <w:lang w:val="en-US"/>
              </w:rPr>
              <w:t>Secrétaire</w:t>
            </w:r>
            <w:proofErr w:type="spellEnd"/>
            <w:r>
              <w:rPr>
                <w:lang w:val="en-US"/>
              </w:rPr>
              <w:t xml:space="preserve"> </w:t>
            </w:r>
            <w:proofErr w:type="spellStart"/>
            <w:r>
              <w:rPr>
                <w:lang w:val="en-US"/>
              </w:rPr>
              <w:t>général</w:t>
            </w:r>
            <w:proofErr w:type="spellEnd"/>
          </w:p>
        </w:tc>
      </w:tr>
      <w:tr w:rsidR="00BD1614" w:rsidRPr="002A6F8F" w:rsidTr="006A046E">
        <w:trPr>
          <w:cantSplit/>
        </w:trPr>
        <w:tc>
          <w:tcPr>
            <w:tcW w:w="10031" w:type="dxa"/>
            <w:gridSpan w:val="2"/>
          </w:tcPr>
          <w:p w:rsidR="00BD1614" w:rsidRPr="00363111" w:rsidRDefault="00363111" w:rsidP="001F74E1">
            <w:pPr>
              <w:pStyle w:val="Title1"/>
              <w:rPr>
                <w:lang w:val="fr-CH"/>
              </w:rPr>
            </w:pPr>
            <w:bookmarkStart w:id="6" w:name="dtitle1" w:colFirst="0" w:colLast="0"/>
            <w:bookmarkEnd w:id="5"/>
            <w:r w:rsidRPr="00363111">
              <w:rPr>
                <w:lang w:val="fr-CH"/>
              </w:rPr>
              <w:t>RAPPORT DU DIRECTEUR DU tsb</w:t>
            </w:r>
            <w:r w:rsidR="0054090F" w:rsidRPr="00E36258">
              <w:t xml:space="preserve"> sur le plan d</w:t>
            </w:r>
            <w:r w:rsidR="00E645CC">
              <w:t>'</w:t>
            </w:r>
            <w:r w:rsidR="0054090F" w:rsidRPr="00E36258">
              <w:t>action</w:t>
            </w:r>
            <w:r w:rsidR="0054090F">
              <w:t xml:space="preserve"> DE</w:t>
            </w:r>
            <w:r w:rsidR="0054090F" w:rsidRPr="00E36258">
              <w:t xml:space="preserve"> la </w:t>
            </w:r>
            <w:r w:rsidR="00776A99">
              <w:br/>
            </w:r>
            <w:r w:rsidR="0054090F" w:rsidRPr="00E36258">
              <w:t>Résolution 44 de l</w:t>
            </w:r>
            <w:r w:rsidR="00E645CC">
              <w:t>'</w:t>
            </w:r>
            <w:r w:rsidR="0054090F" w:rsidRPr="00E36258">
              <w:t>AMNT-12 relati</w:t>
            </w:r>
            <w:r w:rsidR="0054090F">
              <w:t>f</w:t>
            </w:r>
            <w:r w:rsidR="0054090F" w:rsidRPr="00E36258">
              <w:t xml:space="preserve"> à la réduction</w:t>
            </w:r>
            <w:r w:rsidR="0054090F">
              <w:t xml:space="preserve"> </w:t>
            </w:r>
            <w:r w:rsidR="00776A99">
              <w:br/>
            </w:r>
            <w:r w:rsidR="0054090F" w:rsidRPr="00E36258">
              <w:t>de l</w:t>
            </w:r>
            <w:r w:rsidR="00E645CC">
              <w:t>'</w:t>
            </w:r>
            <w:r w:rsidR="0054090F" w:rsidRPr="00E36258">
              <w:t>écart en matière de normalisation</w:t>
            </w:r>
          </w:p>
        </w:tc>
      </w:tr>
      <w:tr w:rsidR="00BD1614" w:rsidRPr="002A6F8F" w:rsidTr="006A046E">
        <w:trPr>
          <w:cantSplit/>
        </w:trPr>
        <w:tc>
          <w:tcPr>
            <w:tcW w:w="10031" w:type="dxa"/>
            <w:gridSpan w:val="2"/>
          </w:tcPr>
          <w:p w:rsidR="00BD1614" w:rsidRPr="00363111" w:rsidRDefault="00BD1614" w:rsidP="00E645CC">
            <w:pPr>
              <w:pStyle w:val="Title2"/>
              <w:rPr>
                <w:lang w:val="fr-CH"/>
              </w:rPr>
            </w:pPr>
            <w:bookmarkStart w:id="7" w:name="dtitle2" w:colFirst="0" w:colLast="0"/>
            <w:bookmarkEnd w:id="6"/>
          </w:p>
        </w:tc>
      </w:tr>
      <w:tr w:rsidR="00BD1614" w:rsidTr="006A046E">
        <w:trPr>
          <w:cantSplit/>
        </w:trPr>
        <w:tc>
          <w:tcPr>
            <w:tcW w:w="10031" w:type="dxa"/>
            <w:gridSpan w:val="2"/>
          </w:tcPr>
          <w:p w:rsidR="00BD1614" w:rsidRDefault="00BD1614" w:rsidP="00E645CC">
            <w:pPr>
              <w:pStyle w:val="Agendaitem"/>
            </w:pPr>
            <w:bookmarkStart w:id="8" w:name="dtitle3" w:colFirst="0" w:colLast="0"/>
            <w:bookmarkEnd w:id="7"/>
          </w:p>
        </w:tc>
      </w:tr>
    </w:tbl>
    <w:bookmarkEnd w:id="8"/>
    <w:p w:rsidR="00363111" w:rsidRDefault="0054090F" w:rsidP="00E645CC">
      <w:r w:rsidRPr="00E36258">
        <w:t>J</w:t>
      </w:r>
      <w:r w:rsidR="00E645CC">
        <w:t>'</w:t>
      </w:r>
      <w:r w:rsidRPr="00E36258">
        <w:t>ai l</w:t>
      </w:r>
      <w:r w:rsidR="00E645CC">
        <w:t>'</w:t>
      </w:r>
      <w:r w:rsidRPr="00E36258">
        <w:t>honneur de transmettre à la Conférence de plénipotentiaires le rapport du Directeur du TSB sur l</w:t>
      </w:r>
      <w:r w:rsidR="00E645CC">
        <w:t>'</w:t>
      </w:r>
      <w:r w:rsidRPr="00E36258">
        <w:t>état d</w:t>
      </w:r>
      <w:r w:rsidR="00E645CC">
        <w:t>'</w:t>
      </w:r>
      <w:r w:rsidRPr="00E36258">
        <w:t xml:space="preserve">avancement de la mise en </w:t>
      </w:r>
      <w:proofErr w:type="spellStart"/>
      <w:r w:rsidRPr="00E36258">
        <w:t>oeuvre</w:t>
      </w:r>
      <w:proofErr w:type="spellEnd"/>
      <w:r w:rsidRPr="00E36258">
        <w:t xml:space="preserve"> du Plan d</w:t>
      </w:r>
      <w:r w:rsidR="00E645CC">
        <w:t>'</w:t>
      </w:r>
      <w:r w:rsidRPr="00E36258">
        <w:t xml:space="preserve">action </w:t>
      </w:r>
      <w:r>
        <w:t>de la Résolution 44 de l</w:t>
      </w:r>
      <w:r w:rsidR="00E645CC">
        <w:t>'</w:t>
      </w:r>
      <w:r>
        <w:t xml:space="preserve">AMNT-12 </w:t>
      </w:r>
      <w:r w:rsidRPr="00E36258">
        <w:t>relati</w:t>
      </w:r>
      <w:r>
        <w:t>f</w:t>
      </w:r>
      <w:r w:rsidRPr="00E36258">
        <w:t xml:space="preserve"> à la </w:t>
      </w:r>
      <w:r w:rsidR="00E645CC" w:rsidRPr="00E36258">
        <w:t>réduction</w:t>
      </w:r>
      <w:r w:rsidRPr="00E36258">
        <w:t xml:space="preserve"> de l</w:t>
      </w:r>
      <w:r w:rsidR="00E645CC">
        <w:t>'</w:t>
      </w:r>
      <w:r w:rsidRPr="00E36258">
        <w:t>écart en matière de normali</w:t>
      </w:r>
      <w:r>
        <w:t>s</w:t>
      </w:r>
      <w:r w:rsidRPr="00E36258">
        <w:t>ation entre pays développés et pays en développement, conformément à la Résolution 123 de la PP-10</w:t>
      </w:r>
      <w:r>
        <w:t>.</w:t>
      </w:r>
    </w:p>
    <w:p w:rsidR="00363111" w:rsidRDefault="00363111" w:rsidP="00E645CC"/>
    <w:p w:rsidR="00363111" w:rsidRPr="00363111" w:rsidRDefault="00363111" w:rsidP="00E645CC">
      <w:pPr>
        <w:tabs>
          <w:tab w:val="center" w:pos="7088"/>
        </w:tabs>
        <w:spacing w:before="840"/>
      </w:pPr>
      <w:r>
        <w:tab/>
      </w:r>
      <w:r>
        <w:tab/>
      </w:r>
      <w:r>
        <w:tab/>
      </w:r>
      <w:r>
        <w:tab/>
      </w:r>
      <w:r>
        <w:tab/>
      </w:r>
      <w:r>
        <w:tab/>
        <w:t>Dr Hamadoun I. TOURÉ</w:t>
      </w:r>
      <w:r>
        <w:br/>
      </w:r>
      <w:r>
        <w:tab/>
      </w:r>
      <w:r>
        <w:tab/>
      </w:r>
      <w:r>
        <w:tab/>
      </w:r>
      <w:r>
        <w:tab/>
      </w:r>
      <w:r>
        <w:tab/>
      </w:r>
      <w:r>
        <w:tab/>
        <w:t>Secrétaire général</w:t>
      </w:r>
    </w:p>
    <w:p w:rsidR="00BD1614" w:rsidRDefault="00BD1614" w:rsidP="00E645CC">
      <w:pPr>
        <w:tabs>
          <w:tab w:val="clear" w:pos="567"/>
          <w:tab w:val="clear" w:pos="1134"/>
          <w:tab w:val="clear" w:pos="1701"/>
          <w:tab w:val="clear" w:pos="2268"/>
          <w:tab w:val="clear" w:pos="2835"/>
        </w:tabs>
        <w:overflowPunct/>
        <w:autoSpaceDE/>
        <w:autoSpaceDN/>
        <w:adjustRightInd/>
        <w:spacing w:before="0"/>
        <w:textAlignment w:val="auto"/>
      </w:pPr>
      <w:r>
        <w:br w:type="page"/>
      </w:r>
    </w:p>
    <w:p w:rsidR="00BD1614" w:rsidRDefault="00363111" w:rsidP="00E645CC">
      <w:pPr>
        <w:pStyle w:val="Heading1"/>
      </w:pPr>
      <w:r>
        <w:lastRenderedPageBreak/>
        <w:t>1</w:t>
      </w:r>
      <w:r>
        <w:tab/>
        <w:t>Introduction</w:t>
      </w:r>
    </w:p>
    <w:p w:rsidR="00363111" w:rsidRDefault="0054090F" w:rsidP="001F74E1">
      <w:pPr>
        <w:rPr>
          <w:rFonts w:asciiTheme="minorHAnsi" w:hAnsiTheme="minorHAnsi"/>
          <w:szCs w:val="24"/>
          <w:lang w:val="fr-CH"/>
        </w:rPr>
      </w:pPr>
      <w:r>
        <w:t xml:space="preserve">Par sa </w:t>
      </w:r>
      <w:r w:rsidRPr="00AD5CE6">
        <w:t>R</w:t>
      </w:r>
      <w:r>
        <w:t>é</w:t>
      </w:r>
      <w:r w:rsidRPr="00AD5CE6">
        <w:t>solution 44 (R</w:t>
      </w:r>
      <w:r>
        <w:t>é</w:t>
      </w:r>
      <w:r w:rsidRPr="00AD5CE6">
        <w:t>v.</w:t>
      </w:r>
      <w:r w:rsidR="00C0018A">
        <w:t> </w:t>
      </w:r>
      <w:r w:rsidRPr="00AD5CE6">
        <w:t>Duba</w:t>
      </w:r>
      <w:r w:rsidR="001F74E1">
        <w:t>ï</w:t>
      </w:r>
      <w:r w:rsidRPr="00AD5CE6">
        <w:t xml:space="preserve">, 2012) </w:t>
      </w:r>
      <w:r>
        <w:t>"Ré</w:t>
      </w:r>
      <w:r w:rsidRPr="00AD5CE6">
        <w:t>duire l'écart en matière de normalisation entre pays en développement</w:t>
      </w:r>
      <w:r w:rsidR="00E645CC">
        <w:t xml:space="preserve"> </w:t>
      </w:r>
      <w:r w:rsidRPr="00AD5CE6">
        <w:t>et pays développés</w:t>
      </w:r>
      <w:r>
        <w:t>", l</w:t>
      </w:r>
      <w:r w:rsidR="00E645CC">
        <w:t>'</w:t>
      </w:r>
      <w:r>
        <w:t>AMNT a chargé</w:t>
      </w:r>
    </w:p>
    <w:p w:rsidR="006D6273" w:rsidRDefault="006D6273" w:rsidP="00E645CC">
      <w:pPr>
        <w:pStyle w:val="Call"/>
        <w:rPr>
          <w:lang w:val="fr-CH"/>
        </w:rPr>
      </w:pPr>
      <w:r w:rsidRPr="006D6273">
        <w:rPr>
          <w:i w:val="0"/>
          <w:iCs/>
          <w:lang w:val="fr-CH"/>
        </w:rPr>
        <w:t>"</w:t>
      </w:r>
      <w:proofErr w:type="gramStart"/>
      <w:r w:rsidRPr="003E0A1C">
        <w:rPr>
          <w:lang w:val="fr-CH"/>
        </w:rPr>
        <w:t>le</w:t>
      </w:r>
      <w:proofErr w:type="gramEnd"/>
      <w:r w:rsidRPr="003E0A1C">
        <w:rPr>
          <w:lang w:val="fr-CH"/>
        </w:rPr>
        <w:t xml:space="preserve"> Directeur du Bureau de la normalisation des télécommunications, en collaboration avec les Directeurs du Bureau de développement des télécommunications et du Bureau des radiocommunications, dans la li</w:t>
      </w:r>
      <w:r>
        <w:rPr>
          <w:lang w:val="fr-CH"/>
        </w:rPr>
        <w:t>mite des ressources disponibles [...]</w:t>
      </w:r>
    </w:p>
    <w:p w:rsidR="0054090F" w:rsidRPr="000300DE" w:rsidRDefault="0054090F" w:rsidP="00776A99">
      <w:proofErr w:type="gramStart"/>
      <w:r w:rsidRPr="00AD5CE6">
        <w:t>de</w:t>
      </w:r>
      <w:proofErr w:type="gramEnd"/>
      <w:r w:rsidRPr="00AD5CE6">
        <w:t xml:space="preserve"> faire rapport sur la mise en œuvre de ce plan </w:t>
      </w:r>
      <w:r>
        <w:t>(c</w:t>
      </w:r>
      <w:r w:rsidR="00E645CC">
        <w:t>'</w:t>
      </w:r>
      <w:r>
        <w:t>est-à-dire le plan d</w:t>
      </w:r>
      <w:r w:rsidR="00E645CC">
        <w:t>'</w:t>
      </w:r>
      <w:r>
        <w:t xml:space="preserve">action relatif à la mise en œuvre de la Résolution 123 </w:t>
      </w:r>
      <w:r w:rsidRPr="00AD5CE6">
        <w:t>(</w:t>
      </w:r>
      <w:proofErr w:type="spellStart"/>
      <w:r w:rsidRPr="00AD5CE6">
        <w:t>R</w:t>
      </w:r>
      <w:r>
        <w:t>é</w:t>
      </w:r>
      <w:r w:rsidRPr="00AD5CE6">
        <w:t>v</w:t>
      </w:r>
      <w:proofErr w:type="spellEnd"/>
      <w:r w:rsidRPr="00AD5CE6">
        <w:t>. Guadalajara, 2010</w:t>
      </w:r>
      <w:r>
        <w:t>) de la Conférence de plénipotentiaires; voir l</w:t>
      </w:r>
      <w:r w:rsidR="00E645CC">
        <w:t>'</w:t>
      </w:r>
      <w:r>
        <w:t>Annexe de la Résolution 44 de l</w:t>
      </w:r>
      <w:r w:rsidR="00E645CC">
        <w:t>'</w:t>
      </w:r>
      <w:r>
        <w:t xml:space="preserve">AMNT) </w:t>
      </w:r>
      <w:r w:rsidRPr="00AD5CE6">
        <w:t>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 à la mise en œuvre de la présente Résolution</w:t>
      </w:r>
      <w:r>
        <w:t xml:space="preserve"> […]</w:t>
      </w:r>
      <w:r w:rsidR="00776A99" w:rsidRPr="00776A99">
        <w:t>"</w:t>
      </w:r>
      <w:r>
        <w:t>.</w:t>
      </w:r>
    </w:p>
    <w:p w:rsidR="0054090F" w:rsidRPr="000300DE" w:rsidRDefault="0054090F" w:rsidP="00776A99">
      <w:r w:rsidRPr="000300DE">
        <w:t xml:space="preserve">En outre, la partie </w:t>
      </w:r>
      <w:r>
        <w:t xml:space="preserve">du </w:t>
      </w:r>
      <w:r w:rsidRPr="000300DE">
        <w:t>Plan stratégique</w:t>
      </w:r>
      <w:r>
        <w:t xml:space="preserve"> de l</w:t>
      </w:r>
      <w:r w:rsidR="00E645CC">
        <w:t>'</w:t>
      </w:r>
      <w:r>
        <w:t>UIT</w:t>
      </w:r>
      <w:r w:rsidR="00E645CC">
        <w:t xml:space="preserve"> </w:t>
      </w:r>
      <w:r w:rsidRPr="000300DE">
        <w:t xml:space="preserve">adopté par la PP-10 </w:t>
      </w:r>
      <w:r>
        <w:t xml:space="preserve">consacrée à l'UIT-T </w:t>
      </w:r>
      <w:r w:rsidRPr="000300DE">
        <w:t xml:space="preserve">indique que l'un des trois buts stratégiques </w:t>
      </w:r>
      <w:r>
        <w:t>de ce Secteur</w:t>
      </w:r>
      <w:r w:rsidRPr="000300DE">
        <w:t xml:space="preserve"> est de réduire l'écart en matière de normalisation entre pays développés et pays en développement.</w:t>
      </w:r>
    </w:p>
    <w:p w:rsidR="006D6273" w:rsidRPr="000A3AF9" w:rsidRDefault="0054090F" w:rsidP="00776A99">
      <w:pPr>
        <w:rPr>
          <w:rFonts w:eastAsiaTheme="majorEastAsia"/>
          <w:lang w:eastAsia="zh-CN"/>
        </w:rPr>
      </w:pPr>
      <w:r w:rsidRPr="000300DE">
        <w:rPr>
          <w:rFonts w:eastAsiaTheme="majorEastAsia"/>
          <w:lang w:eastAsia="zh-CN"/>
        </w:rPr>
        <w:t xml:space="preserve">Le Plan d'action de la Résolution 44 </w:t>
      </w:r>
      <w:r>
        <w:t>de l</w:t>
      </w:r>
      <w:r w:rsidR="00E645CC">
        <w:t>'</w:t>
      </w:r>
      <w:r>
        <w:t>AMNT</w:t>
      </w:r>
      <w:r>
        <w:rPr>
          <w:rFonts w:eastAsiaTheme="majorEastAsia"/>
          <w:lang w:eastAsia="zh-CN"/>
        </w:rPr>
        <w:t xml:space="preserve">-12 </w:t>
      </w:r>
      <w:r w:rsidRPr="000300DE">
        <w:rPr>
          <w:rFonts w:eastAsiaTheme="majorEastAsia"/>
          <w:lang w:eastAsia="zh-CN"/>
        </w:rPr>
        <w:t xml:space="preserve">prévoit les </w:t>
      </w:r>
      <w:r>
        <w:rPr>
          <w:rFonts w:eastAsiaTheme="majorEastAsia"/>
          <w:lang w:eastAsia="zh-CN"/>
        </w:rPr>
        <w:t>quatre</w:t>
      </w:r>
      <w:r w:rsidR="00E645CC">
        <w:rPr>
          <w:rFonts w:eastAsiaTheme="majorEastAsia"/>
          <w:lang w:eastAsia="zh-CN"/>
        </w:rPr>
        <w:t xml:space="preserve"> </w:t>
      </w:r>
      <w:r w:rsidRPr="000300DE">
        <w:rPr>
          <w:rFonts w:eastAsiaTheme="majorEastAsia"/>
          <w:lang w:eastAsia="zh-CN"/>
        </w:rPr>
        <w:t>grands programmes suivants</w:t>
      </w:r>
      <w:r w:rsidR="006D6273" w:rsidRPr="000A3AF9">
        <w:rPr>
          <w:rFonts w:eastAsiaTheme="majorEastAsia"/>
          <w:lang w:eastAsia="zh-CN"/>
        </w:rPr>
        <w:t>:</w:t>
      </w:r>
    </w:p>
    <w:p w:rsidR="006D6273" w:rsidRPr="000A3AF9" w:rsidRDefault="006D6273" w:rsidP="00E645CC">
      <w:pPr>
        <w:pStyle w:val="enumlev1"/>
        <w:rPr>
          <w:rFonts w:eastAsiaTheme="majorEastAsia"/>
        </w:rPr>
      </w:pPr>
      <w:r>
        <w:rPr>
          <w:rFonts w:eastAsiaTheme="majorEastAsia"/>
        </w:rPr>
        <w:t>1)</w:t>
      </w:r>
      <w:r>
        <w:rPr>
          <w:rFonts w:eastAsiaTheme="majorEastAsia"/>
        </w:rPr>
        <w:tab/>
      </w:r>
      <w:r w:rsidRPr="002F71A2">
        <w:rPr>
          <w:rFonts w:eastAsiaTheme="majorEastAsia"/>
        </w:rPr>
        <w:t>Renforce</w:t>
      </w:r>
      <w:r w:rsidR="0054090F">
        <w:rPr>
          <w:rFonts w:eastAsiaTheme="majorEastAsia"/>
        </w:rPr>
        <w:t>ment d</w:t>
      </w:r>
      <w:r w:rsidRPr="002F71A2">
        <w:rPr>
          <w:rFonts w:eastAsiaTheme="majorEastAsia"/>
        </w:rPr>
        <w:t>es capacités de normalisation</w:t>
      </w:r>
      <w:r>
        <w:rPr>
          <w:rFonts w:eastAsiaTheme="majorEastAsia"/>
        </w:rPr>
        <w:t xml:space="preserve"> des pays en développement.</w:t>
      </w:r>
    </w:p>
    <w:p w:rsidR="006D6273" w:rsidRPr="000A3AF9" w:rsidRDefault="006D6273" w:rsidP="00E645CC">
      <w:pPr>
        <w:pStyle w:val="enumlev1"/>
        <w:rPr>
          <w:rFonts w:eastAsiaTheme="majorEastAsia"/>
        </w:rPr>
      </w:pPr>
      <w:r>
        <w:rPr>
          <w:rFonts w:eastAsiaTheme="majorEastAsia"/>
        </w:rPr>
        <w:t>2)</w:t>
      </w:r>
      <w:r>
        <w:rPr>
          <w:rFonts w:eastAsiaTheme="majorEastAsia"/>
        </w:rPr>
        <w:tab/>
      </w:r>
      <w:r w:rsidRPr="002F71A2">
        <w:rPr>
          <w:rFonts w:eastAsiaTheme="majorEastAsia"/>
        </w:rPr>
        <w:t xml:space="preserve">Aider les pays en développement </w:t>
      </w:r>
      <w:r w:rsidR="0054090F">
        <w:rPr>
          <w:rFonts w:eastAsiaTheme="majorEastAsia"/>
        </w:rPr>
        <w:t xml:space="preserve">en ce qui concerne </w:t>
      </w:r>
      <w:r w:rsidRPr="002F71A2">
        <w:rPr>
          <w:rFonts w:eastAsiaTheme="majorEastAsia"/>
        </w:rPr>
        <w:t>l</w:t>
      </w:r>
      <w:r>
        <w:rPr>
          <w:rFonts w:eastAsiaTheme="majorEastAsia"/>
        </w:rPr>
        <w:t>'</w:t>
      </w:r>
      <w:r w:rsidRPr="002F71A2">
        <w:rPr>
          <w:rFonts w:eastAsiaTheme="majorEastAsia"/>
        </w:rPr>
        <w:t>application des normes</w:t>
      </w:r>
      <w:r>
        <w:rPr>
          <w:rFonts w:eastAsiaTheme="majorEastAsia"/>
        </w:rPr>
        <w:t>.</w:t>
      </w:r>
    </w:p>
    <w:p w:rsidR="006D6273" w:rsidRPr="000A3AF9" w:rsidRDefault="006D6273" w:rsidP="00E645CC">
      <w:pPr>
        <w:pStyle w:val="enumlev1"/>
        <w:keepNext/>
        <w:keepLines/>
        <w:rPr>
          <w:rFonts w:eastAsiaTheme="majorEastAsia"/>
        </w:rPr>
      </w:pPr>
      <w:r>
        <w:rPr>
          <w:rFonts w:eastAsiaTheme="majorEastAsia"/>
        </w:rPr>
        <w:t>3)</w:t>
      </w:r>
      <w:r>
        <w:rPr>
          <w:rFonts w:eastAsiaTheme="majorEastAsia"/>
        </w:rPr>
        <w:tab/>
      </w:r>
      <w:r w:rsidR="0054090F">
        <w:rPr>
          <w:rFonts w:eastAsiaTheme="majorEastAsia"/>
        </w:rPr>
        <w:t>Renforcement des capacités d</w:t>
      </w:r>
      <w:r w:rsidRPr="001F00DF">
        <w:rPr>
          <w:rFonts w:eastAsiaTheme="majorEastAsia"/>
        </w:rPr>
        <w:t>es ressources humaines</w:t>
      </w:r>
      <w:r>
        <w:rPr>
          <w:rFonts w:eastAsiaTheme="majorEastAsia"/>
        </w:rPr>
        <w:t>.</w:t>
      </w:r>
    </w:p>
    <w:p w:rsidR="006D6273" w:rsidRDefault="006D6273" w:rsidP="00E645CC">
      <w:pPr>
        <w:pStyle w:val="enumlev1"/>
        <w:keepNext/>
        <w:keepLines/>
        <w:rPr>
          <w:rFonts w:eastAsiaTheme="majorEastAsia"/>
        </w:rPr>
      </w:pPr>
      <w:r>
        <w:rPr>
          <w:rFonts w:eastAsiaTheme="majorEastAsia"/>
        </w:rPr>
        <w:t>4)</w:t>
      </w:r>
      <w:r>
        <w:rPr>
          <w:rFonts w:eastAsiaTheme="majorEastAsia"/>
        </w:rPr>
        <w:tab/>
      </w:r>
      <w:r w:rsidR="0054090F">
        <w:rPr>
          <w:rFonts w:eastAsiaTheme="majorEastAsia"/>
        </w:rPr>
        <w:t>Appel de fonds pour la réduction de l'écart en matière de normalisation</w:t>
      </w:r>
      <w:r>
        <w:rPr>
          <w:rFonts w:eastAsiaTheme="majorEastAsia"/>
        </w:rPr>
        <w:t>.</w:t>
      </w:r>
    </w:p>
    <w:p w:rsidR="0054090F" w:rsidRPr="00CD342A" w:rsidRDefault="0054090F" w:rsidP="00776A99">
      <w:r w:rsidRPr="000300DE">
        <w:t>Depuis 2007, 41 nouveaux pays</w:t>
      </w:r>
      <w:r w:rsidR="00E645CC">
        <w:t xml:space="preserve"> </w:t>
      </w:r>
      <w:r w:rsidRPr="000300DE">
        <w:t>particip</w:t>
      </w:r>
      <w:r>
        <w:t>ent</w:t>
      </w:r>
      <w:r w:rsidR="00E645CC">
        <w:t xml:space="preserve"> </w:t>
      </w:r>
      <w:r w:rsidRPr="000300DE">
        <w:t>aux travaux de l'UIT-T.</w:t>
      </w:r>
      <w:r>
        <w:t xml:space="preserve"> </w:t>
      </w:r>
      <w:r w:rsidRPr="00F27DA7">
        <w:t xml:space="preserve">La participation aux travaux de la plupart des commissions d'études </w:t>
      </w:r>
      <w:r w:rsidRPr="000300DE">
        <w:t>de l'UIT-T</w:t>
      </w:r>
      <w:r w:rsidR="00E645CC">
        <w:t xml:space="preserve"> </w:t>
      </w:r>
      <w:r w:rsidRPr="00F27DA7">
        <w:t>a fortement augmenté au cours de la</w:t>
      </w:r>
      <w:r w:rsidR="00E645CC">
        <w:t xml:space="preserve"> </w:t>
      </w:r>
      <w:r w:rsidRPr="00F27DA7">
        <w:t>période d'études</w:t>
      </w:r>
      <w:r>
        <w:t xml:space="preserve"> actuelle.</w:t>
      </w:r>
      <w:r w:rsidRPr="006A195E">
        <w:t xml:space="preserve"> La participation de la région Afrique aux réunions des </w:t>
      </w:r>
      <w:r>
        <w:t>c</w:t>
      </w:r>
      <w:r w:rsidRPr="006A195E">
        <w:t>ommissions d'études</w:t>
      </w:r>
      <w:r>
        <w:t>, en particulier, est en hausse.</w:t>
      </w:r>
      <w:r w:rsidRPr="006A195E">
        <w:t xml:space="preserve"> </w:t>
      </w:r>
      <w:r w:rsidRPr="000300DE">
        <w:t>Plus de la moitié des ateliers consacrés à la normalisation s</w:t>
      </w:r>
      <w:r>
        <w:t>e tiennent</w:t>
      </w:r>
      <w:r w:rsidRPr="000300DE">
        <w:t xml:space="preserve"> en dehors de Genève. </w:t>
      </w:r>
      <w:r>
        <w:t>En outre, afin de favoriser la participation des pays en développement, des réunions des commissions d</w:t>
      </w:r>
      <w:r w:rsidR="00E645CC">
        <w:t>'</w:t>
      </w:r>
      <w:r>
        <w:t>études de l</w:t>
      </w:r>
      <w:r w:rsidR="00E645CC">
        <w:t>'</w:t>
      </w:r>
      <w:r>
        <w:t>UIT</w:t>
      </w:r>
      <w:r>
        <w:noBreakHyphen/>
        <w:t>T sont également organisées à l</w:t>
      </w:r>
      <w:r w:rsidR="00E645CC">
        <w:t>'</w:t>
      </w:r>
      <w:r>
        <w:t>extérieur de Genève.</w:t>
      </w:r>
    </w:p>
    <w:p w:rsidR="0054090F" w:rsidRPr="00D44E21" w:rsidRDefault="0054090F" w:rsidP="00E645CC">
      <w:r>
        <w:t>Un groupe d</w:t>
      </w:r>
      <w:r w:rsidR="00E645CC">
        <w:t>'</w:t>
      </w:r>
      <w:r>
        <w:t>action</w:t>
      </w:r>
      <w:r w:rsidR="00E645CC">
        <w:t xml:space="preserve"> </w:t>
      </w:r>
      <w:r>
        <w:t>interne</w:t>
      </w:r>
      <w:r w:rsidR="00E645CC">
        <w:t>,</w:t>
      </w:r>
      <w:r>
        <w:t xml:space="preserve"> présidé par le Directeur du Bureau de la normalisation des télécommunications </w:t>
      </w:r>
      <w:r w:rsidRPr="00CD342A">
        <w:t>(TSB)</w:t>
      </w:r>
      <w:r>
        <w:t xml:space="preserve">, composé de représentants du Bureau de développement des télécommunications </w:t>
      </w:r>
      <w:r w:rsidRPr="00CD342A">
        <w:t>(BDT)</w:t>
      </w:r>
      <w:r w:rsidR="00E645CC">
        <w:t xml:space="preserve"> </w:t>
      </w:r>
      <w:r>
        <w:t>et des bureaux régionaux de</w:t>
      </w:r>
      <w:r w:rsidR="00E645CC">
        <w:t xml:space="preserve"> </w:t>
      </w:r>
      <w:r>
        <w:t>l</w:t>
      </w:r>
      <w:r w:rsidR="00E645CC">
        <w:t>'</w:t>
      </w:r>
      <w:r>
        <w:t>UIT, a été créé en 2009 pour suivre la mise en œuvre du Plan d</w:t>
      </w:r>
      <w:r w:rsidR="00E645CC">
        <w:t>'</w:t>
      </w:r>
      <w:r>
        <w:t>action reproduit dans la Résolution 44.</w:t>
      </w:r>
    </w:p>
    <w:p w:rsidR="00A8389C" w:rsidRPr="00A8389C" w:rsidRDefault="0054090F" w:rsidP="00E645CC">
      <w:pPr>
        <w:rPr>
          <w:rFonts w:eastAsiaTheme="minorEastAsia"/>
          <w:lang w:eastAsia="zh-CN"/>
        </w:rPr>
      </w:pPr>
      <w:r w:rsidRPr="00761626">
        <w:t xml:space="preserve">On trouvera en </w:t>
      </w:r>
      <w:r>
        <w:t>A</w:t>
      </w:r>
      <w:r w:rsidRPr="00761626">
        <w:t>nnexe l</w:t>
      </w:r>
      <w:r w:rsidR="00E645CC">
        <w:t>'</w:t>
      </w:r>
      <w:r w:rsidRPr="00761626">
        <w:t>état d</w:t>
      </w:r>
      <w:r w:rsidR="00E645CC">
        <w:t>'</w:t>
      </w:r>
      <w:r w:rsidRPr="00761626">
        <w:t xml:space="preserve">avancement de la mise en </w:t>
      </w:r>
      <w:proofErr w:type="spellStart"/>
      <w:r w:rsidRPr="00761626">
        <w:t>oeuvre</w:t>
      </w:r>
      <w:proofErr w:type="spellEnd"/>
      <w:r w:rsidRPr="00761626">
        <w:t xml:space="preserve"> des qu</w:t>
      </w:r>
      <w:r>
        <w:t xml:space="preserve">atre </w:t>
      </w:r>
      <w:r w:rsidR="00776A99">
        <w:t>pro</w:t>
      </w:r>
      <w:r w:rsidRPr="00761626">
        <w:t>grammes prévus dans la Résolution 44 de l</w:t>
      </w:r>
      <w:r w:rsidR="00E645CC">
        <w:t>'</w:t>
      </w:r>
      <w:r w:rsidRPr="00761626">
        <w:t>AMNT pour la période</w:t>
      </w:r>
      <w:r w:rsidR="00E645CC">
        <w:t xml:space="preserve"> </w:t>
      </w:r>
      <w:r w:rsidRPr="00761626">
        <w:t>2010-2014</w:t>
      </w:r>
      <w:r>
        <w:t>.</w:t>
      </w:r>
    </w:p>
    <w:p w:rsidR="00A8389C" w:rsidRDefault="00A8389C" w:rsidP="00776A99">
      <w:pPr>
        <w:pStyle w:val="Heading1"/>
      </w:pPr>
      <w:r w:rsidRPr="00776A99">
        <w:t>2</w:t>
      </w:r>
      <w:r w:rsidRPr="00776A99">
        <w:tab/>
        <w:t xml:space="preserve">Programme 1: </w:t>
      </w:r>
      <w:r w:rsidRPr="00987040">
        <w:t>Renforce</w:t>
      </w:r>
      <w:r w:rsidR="0054090F">
        <w:t>ment</w:t>
      </w:r>
      <w:r w:rsidRPr="00987040">
        <w:t xml:space="preserve"> </w:t>
      </w:r>
      <w:r w:rsidR="0054090F">
        <w:t>d</w:t>
      </w:r>
      <w:r w:rsidRPr="00987040">
        <w:t>es capacités de normalisation</w:t>
      </w:r>
    </w:p>
    <w:p w:rsidR="00A8389C" w:rsidRDefault="00A8389C" w:rsidP="00E645CC">
      <w:pPr>
        <w:pStyle w:val="Heading2"/>
      </w:pPr>
      <w:r w:rsidRPr="00776A99">
        <w:t>2.1</w:t>
      </w:r>
      <w:r w:rsidRPr="00776A99">
        <w:tab/>
      </w:r>
      <w:r w:rsidRPr="00987040">
        <w:t>Indice des capacités de normalisation</w:t>
      </w:r>
    </w:p>
    <w:p w:rsidR="0054090F" w:rsidRPr="00AF0243" w:rsidRDefault="0054090F" w:rsidP="00776A99">
      <w:r w:rsidRPr="00AF0243">
        <w:t>En 2011, le TSB a proc</w:t>
      </w:r>
      <w:r>
        <w:t>édé</w:t>
      </w:r>
      <w:r w:rsidR="00E645CC">
        <w:t xml:space="preserve"> </w:t>
      </w:r>
      <w:r w:rsidRPr="00AF0243">
        <w:t>à une étude visant à évaluer les capacités de normali</w:t>
      </w:r>
      <w:r>
        <w:t>s</w:t>
      </w:r>
      <w:r w:rsidRPr="00AF0243">
        <w:t>ation des pays en développement.</w:t>
      </w:r>
      <w:r w:rsidR="00E645CC">
        <w:t xml:space="preserve"> </w:t>
      </w:r>
      <w:r>
        <w:t>Cette étude a pu être menée grâce à la contribution généreuse du Ministère des sciences, des TIC</w:t>
      </w:r>
      <w:r w:rsidR="00E645CC">
        <w:t xml:space="preserve"> </w:t>
      </w:r>
      <w:r>
        <w:t>et de la planification future de la République de Corée et de l</w:t>
      </w:r>
      <w:r w:rsidR="00E645CC">
        <w:t>'</w:t>
      </w:r>
      <w:r>
        <w:t>Association des technologies de</w:t>
      </w:r>
      <w:r w:rsidR="00E645CC">
        <w:t xml:space="preserve"> </w:t>
      </w:r>
      <w:r>
        <w:t>télécommunication</w:t>
      </w:r>
      <w:r w:rsidRPr="00AF0243">
        <w:t> (TTA).</w:t>
      </w:r>
    </w:p>
    <w:p w:rsidR="00A8389C" w:rsidRDefault="0054090F" w:rsidP="00E645CC">
      <w:pPr>
        <w:rPr>
          <w:rFonts w:eastAsiaTheme="minorEastAsia"/>
        </w:rPr>
      </w:pPr>
      <w:r>
        <w:lastRenderedPageBreak/>
        <w:t>L</w:t>
      </w:r>
      <w:r w:rsidR="00E645CC">
        <w:t>'</w:t>
      </w:r>
      <w:r>
        <w:t>une des principales conclusions de l</w:t>
      </w:r>
      <w:r w:rsidR="00E645CC">
        <w:t>'</w:t>
      </w:r>
      <w:r>
        <w:t>étude est que</w:t>
      </w:r>
      <w:r w:rsidR="00E645CC">
        <w:t xml:space="preserve"> </w:t>
      </w:r>
      <w:r w:rsidRPr="00AF0243">
        <w:t>la participation des pays en d</w:t>
      </w:r>
      <w:r w:rsidRPr="00AF0243">
        <w:rPr>
          <w:rFonts w:cs="Calibri"/>
        </w:rPr>
        <w:t>é</w:t>
      </w:r>
      <w:r w:rsidRPr="00AF0243">
        <w:t>veloppement aux activit</w:t>
      </w:r>
      <w:r w:rsidRPr="00AF0243">
        <w:rPr>
          <w:rFonts w:cs="Calibri"/>
        </w:rPr>
        <w:t>é</w:t>
      </w:r>
      <w:r w:rsidRPr="00AF0243">
        <w:t>s de normalisation des TIC est entravée par</w:t>
      </w:r>
      <w:r w:rsidR="00E645CC">
        <w:t xml:space="preserve"> </w:t>
      </w:r>
      <w:r>
        <w:t>le fait</w:t>
      </w:r>
      <w:r w:rsidR="00E645CC">
        <w:t xml:space="preserve"> </w:t>
      </w:r>
      <w:r>
        <w:t>que ces pays ne mesurent pas pleinement</w:t>
      </w:r>
      <w:r w:rsidR="00E645CC">
        <w:t xml:space="preserve"> </w:t>
      </w:r>
      <w:r w:rsidRPr="00AF0243">
        <w:t>l</w:t>
      </w:r>
      <w:r w:rsidR="00E645CC">
        <w:t>'</w:t>
      </w:r>
      <w:r w:rsidRPr="00AF0243">
        <w:t xml:space="preserve">importance des normes </w:t>
      </w:r>
      <w:r>
        <w:t xml:space="preserve">sur les </w:t>
      </w:r>
      <w:r w:rsidRPr="00AF0243">
        <w:t>TIC. Le financement des travaux de normalisation et la coordination au niveau national sont de ce fait insuffisants pour permettre aux pays en d</w:t>
      </w:r>
      <w:r w:rsidRPr="00AF0243">
        <w:rPr>
          <w:rFonts w:cs="Calibri"/>
        </w:rPr>
        <w:t>é</w:t>
      </w:r>
      <w:r w:rsidRPr="00AF0243">
        <w:t>veloppement de participer aux travaux des instances internationales de normalisation.</w:t>
      </w:r>
      <w:r w:rsidR="00E645CC">
        <w:t xml:space="preserve"> </w:t>
      </w:r>
      <w:r>
        <w:t>Ces disparités dans les capacités de normalisation contribuent à l</w:t>
      </w:r>
      <w:r w:rsidR="00E645CC">
        <w:t>'</w:t>
      </w:r>
      <w:r>
        <w:t>existence d</w:t>
      </w:r>
      <w:r w:rsidR="00E645CC">
        <w:t>'</w:t>
      </w:r>
      <w:r>
        <w:t>une fracture numérique entre pays développés et pays</w:t>
      </w:r>
      <w:r w:rsidR="00E645CC">
        <w:t xml:space="preserve"> </w:t>
      </w:r>
      <w:r>
        <w:t>en développement.</w:t>
      </w:r>
      <w:r w:rsidR="00E645CC">
        <w:t xml:space="preserve"> </w:t>
      </w:r>
      <w:r>
        <w:t>Pour améliorer les capacités de normalisation des pays en développement</w:t>
      </w:r>
      <w:r w:rsidR="00E645CC">
        <w:t xml:space="preserve">, </w:t>
      </w:r>
      <w:r>
        <w:t>il est notamment recommandé dans l</w:t>
      </w:r>
      <w:r w:rsidR="00E645CC">
        <w:t>'</w:t>
      </w:r>
      <w:r>
        <w:t>étude de créer un secrétariat national</w:t>
      </w:r>
      <w:r w:rsidR="00E645CC">
        <w:t xml:space="preserve"> </w:t>
      </w:r>
      <w:r>
        <w:t>de la normalisation</w:t>
      </w:r>
      <w:r w:rsidR="00E645CC">
        <w:t xml:space="preserve"> </w:t>
      </w:r>
      <w:r>
        <w:t>chargé</w:t>
      </w:r>
      <w:r w:rsidR="00E645CC">
        <w:t xml:space="preserve"> </w:t>
      </w:r>
      <w:r>
        <w:t>d</w:t>
      </w:r>
      <w:r w:rsidR="00E645CC">
        <w:t>'</w:t>
      </w:r>
      <w:r>
        <w:t>assurer la coordination des activités de normalisation des TIC</w:t>
      </w:r>
      <w:r w:rsidR="00E645CC">
        <w:t xml:space="preserve"> </w:t>
      </w:r>
      <w:r>
        <w:t>ainsi que la participation aux travaux des commissions d</w:t>
      </w:r>
      <w:r w:rsidR="00E645CC">
        <w:t>'</w:t>
      </w:r>
      <w:r>
        <w:t>études de l</w:t>
      </w:r>
      <w:r w:rsidR="00E645CC">
        <w:t>'</w:t>
      </w:r>
      <w:r>
        <w:t>UIT</w:t>
      </w:r>
      <w:r>
        <w:noBreakHyphen/>
        <w:t>T.</w:t>
      </w:r>
    </w:p>
    <w:p w:rsidR="00A8389C" w:rsidRDefault="00A8389C" w:rsidP="00776A99">
      <w:pPr>
        <w:pStyle w:val="Heading2"/>
      </w:pPr>
      <w:r w:rsidRPr="00776A99">
        <w:t>2.2</w:t>
      </w:r>
      <w:r w:rsidRPr="00776A99">
        <w:tab/>
      </w:r>
      <w:r w:rsidR="0054090F" w:rsidRPr="00776A99">
        <w:t xml:space="preserve">Rapports et </w:t>
      </w:r>
      <w:r w:rsidR="00776A99">
        <w:t>m</w:t>
      </w:r>
      <w:r w:rsidRPr="00987040">
        <w:t>anuels</w:t>
      </w:r>
      <w:r>
        <w:t xml:space="preserve"> </w:t>
      </w:r>
      <w:r w:rsidRPr="00987040">
        <w:t>techniques</w:t>
      </w:r>
    </w:p>
    <w:p w:rsidR="0054090F" w:rsidRPr="00776A99" w:rsidRDefault="0054090F" w:rsidP="00776A99">
      <w:r w:rsidRPr="00776A99">
        <w:t xml:space="preserve">Les rapports et </w:t>
      </w:r>
      <w:r w:rsidR="00776A99">
        <w:t>m</w:t>
      </w:r>
      <w:r w:rsidRPr="00776A99">
        <w:t xml:space="preserve">anuels techniques ci-après ont été élaborés pendant la période </w:t>
      </w:r>
      <w:r w:rsidRPr="00C6155D">
        <w:t>2010-2014</w:t>
      </w:r>
      <w:r>
        <w:t xml:space="preserve"> afin de</w:t>
      </w:r>
      <w:r w:rsidRPr="00776A99">
        <w:t xml:space="preserve"> donner aux pays en développement davantage d'informations sur les bonnes pratiques pour l'application des Recommandations UIT-T:</w:t>
      </w:r>
    </w:p>
    <w:p w:rsidR="00A8389C" w:rsidRDefault="00A8389C" w:rsidP="00E645CC">
      <w:pPr>
        <w:pStyle w:val="enumlev1"/>
        <w:rPr>
          <w:rFonts w:eastAsiaTheme="minorEastAsia"/>
          <w:szCs w:val="24"/>
        </w:rPr>
      </w:pPr>
      <w:r w:rsidRPr="00A8389C">
        <w:rPr>
          <w:rFonts w:eastAsiaTheme="minorEastAsia"/>
          <w:szCs w:val="24"/>
        </w:rPr>
        <w:t>•</w:t>
      </w:r>
      <w:r>
        <w:rPr>
          <w:rFonts w:eastAsiaTheme="minorEastAsia"/>
          <w:szCs w:val="24"/>
        </w:rPr>
        <w:tab/>
      </w:r>
      <w:hyperlink r:id="rId8" w:history="1">
        <w:r w:rsidRPr="005F660A">
          <w:rPr>
            <w:rStyle w:val="Hyperlink"/>
            <w:rFonts w:eastAsiaTheme="minorEastAsia"/>
            <w:szCs w:val="24"/>
            <w:lang w:eastAsia="zh-CN"/>
          </w:rPr>
          <w:t>Fibres, câbles et systèmes optiques (2009)</w:t>
        </w:r>
      </w:hyperlink>
    </w:p>
    <w:p w:rsidR="00A8389C" w:rsidRPr="000A3AF9" w:rsidRDefault="00A8389C" w:rsidP="00E645CC">
      <w:pPr>
        <w:pStyle w:val="enumlev1"/>
        <w:rPr>
          <w:rFonts w:eastAsiaTheme="minorEastAsia"/>
          <w:szCs w:val="24"/>
          <w:lang w:eastAsia="zh-CN"/>
        </w:rPr>
      </w:pPr>
      <w:r w:rsidRPr="00A8389C">
        <w:rPr>
          <w:rFonts w:eastAsiaTheme="minorEastAsia"/>
          <w:szCs w:val="24"/>
        </w:rPr>
        <w:t>•</w:t>
      </w:r>
      <w:r>
        <w:rPr>
          <w:rFonts w:eastAsiaTheme="minorEastAsia"/>
          <w:szCs w:val="24"/>
        </w:rPr>
        <w:tab/>
      </w:r>
      <w:hyperlink r:id="rId9" w:history="1">
        <w:r w:rsidRPr="005F660A">
          <w:rPr>
            <w:rStyle w:val="Hyperlink"/>
            <w:rFonts w:eastAsiaTheme="minorEastAsia"/>
            <w:szCs w:val="24"/>
            <w:lang w:eastAsia="zh-CN"/>
          </w:rPr>
          <w:t>Déploiement des réseaux en mode paquet (2010)</w:t>
        </w:r>
      </w:hyperlink>
    </w:p>
    <w:p w:rsidR="00A8389C" w:rsidRDefault="00A8389C" w:rsidP="00E645CC">
      <w:pPr>
        <w:pStyle w:val="enumlev1"/>
        <w:rPr>
          <w:rFonts w:eastAsiaTheme="minorEastAsia"/>
          <w:szCs w:val="24"/>
          <w:lang w:eastAsia="zh-CN"/>
        </w:rPr>
      </w:pPr>
      <w:r w:rsidRPr="00A8389C">
        <w:rPr>
          <w:rFonts w:eastAsiaTheme="minorEastAsia"/>
          <w:szCs w:val="24"/>
        </w:rPr>
        <w:t>•</w:t>
      </w:r>
      <w:r>
        <w:rPr>
          <w:rFonts w:eastAsiaTheme="minorEastAsia"/>
          <w:szCs w:val="24"/>
        </w:rPr>
        <w:tab/>
      </w:r>
      <w:hyperlink r:id="rId10" w:history="1">
        <w:r w:rsidR="00776A99">
          <w:rPr>
            <w:rStyle w:val="Hyperlink"/>
            <w:rFonts w:eastAsiaTheme="minorEastAsia"/>
            <w:szCs w:val="24"/>
            <w:lang w:eastAsia="zh-CN"/>
          </w:rPr>
          <w:t>L'</w:t>
        </w:r>
        <w:r w:rsidRPr="005F660A">
          <w:rPr>
            <w:rStyle w:val="Hyperlink"/>
            <w:rFonts w:eastAsiaTheme="minorEastAsia"/>
            <w:szCs w:val="24"/>
            <w:lang w:eastAsia="zh-CN"/>
          </w:rPr>
          <w:t>histoire du DSL (2010)</w:t>
        </w:r>
      </w:hyperlink>
    </w:p>
    <w:p w:rsidR="00A8389C" w:rsidRDefault="00A8389C" w:rsidP="00E645CC">
      <w:pPr>
        <w:pStyle w:val="enumlev1"/>
        <w:rPr>
          <w:rFonts w:eastAsiaTheme="minorEastAsia"/>
          <w:szCs w:val="24"/>
          <w:lang w:eastAsia="zh-CN"/>
        </w:rPr>
      </w:pPr>
      <w:r w:rsidRPr="00A8389C">
        <w:rPr>
          <w:rFonts w:eastAsiaTheme="minorEastAsia"/>
          <w:szCs w:val="24"/>
        </w:rPr>
        <w:t>•</w:t>
      </w:r>
      <w:r>
        <w:rPr>
          <w:rFonts w:eastAsiaTheme="minorEastAsia"/>
          <w:szCs w:val="24"/>
        </w:rPr>
        <w:tab/>
      </w:r>
      <w:hyperlink r:id="rId11" w:history="1">
        <w:r w:rsidRPr="005F660A">
          <w:rPr>
            <w:rStyle w:val="Hyperlink"/>
            <w:rFonts w:eastAsiaTheme="minorEastAsia"/>
          </w:rPr>
          <w:t>Réseaux convergents (2010)</w:t>
        </w:r>
      </w:hyperlink>
    </w:p>
    <w:p w:rsidR="005F660A" w:rsidRDefault="005F660A" w:rsidP="00E645CC">
      <w:pPr>
        <w:pStyle w:val="enumlev1"/>
        <w:rPr>
          <w:rFonts w:eastAsiaTheme="minorEastAsia"/>
          <w:szCs w:val="24"/>
        </w:rPr>
      </w:pPr>
      <w:r w:rsidRPr="00A8389C">
        <w:rPr>
          <w:rFonts w:eastAsiaTheme="minorEastAsia"/>
          <w:szCs w:val="24"/>
        </w:rPr>
        <w:t>•</w:t>
      </w:r>
      <w:r>
        <w:rPr>
          <w:rFonts w:eastAsiaTheme="minorEastAsia"/>
          <w:szCs w:val="24"/>
        </w:rPr>
        <w:tab/>
      </w:r>
      <w:hyperlink r:id="rId12" w:history="1">
        <w:r w:rsidR="0054090F">
          <w:rPr>
            <w:rStyle w:val="Hyperlink"/>
            <w:rFonts w:eastAsiaTheme="minorEastAsia"/>
            <w:szCs w:val="24"/>
            <w:lang w:eastAsia="zh-CN"/>
          </w:rPr>
          <w:t>Manuel de l'UIT-T sur les r</w:t>
        </w:r>
        <w:r w:rsidRPr="005F660A">
          <w:rPr>
            <w:rStyle w:val="Hyperlink"/>
            <w:rFonts w:eastAsiaTheme="minorEastAsia"/>
            <w:szCs w:val="24"/>
            <w:lang w:eastAsia="zh-CN"/>
          </w:rPr>
          <w:t xml:space="preserve">éseaux de transport optiques: passage du multiplexage </w:t>
        </w:r>
        <w:r w:rsidR="0054090F">
          <w:rPr>
            <w:rStyle w:val="Hyperlink"/>
            <w:rFonts w:eastAsiaTheme="minorEastAsia"/>
            <w:szCs w:val="24"/>
            <w:lang w:eastAsia="zh-CN"/>
          </w:rPr>
          <w:t xml:space="preserve">par répartition dans le temps (MRT) </w:t>
        </w:r>
        <w:r w:rsidRPr="005F660A">
          <w:rPr>
            <w:rStyle w:val="Hyperlink"/>
            <w:rFonts w:eastAsiaTheme="minorEastAsia"/>
            <w:szCs w:val="24"/>
            <w:lang w:eastAsia="zh-CN"/>
          </w:rPr>
          <w:t>à la transmission par paquets (2010)</w:t>
        </w:r>
      </w:hyperlink>
    </w:p>
    <w:p w:rsidR="00A8389C" w:rsidRPr="000A3AF9" w:rsidRDefault="005F660A" w:rsidP="00E645CC">
      <w:pPr>
        <w:pStyle w:val="enumlev1"/>
        <w:rPr>
          <w:rFonts w:eastAsiaTheme="minorEastAsia"/>
          <w:szCs w:val="24"/>
          <w:lang w:eastAsia="zh-CN"/>
        </w:rPr>
      </w:pPr>
      <w:r w:rsidRPr="005F660A">
        <w:rPr>
          <w:rFonts w:eastAsiaTheme="minorEastAsia"/>
          <w:szCs w:val="24"/>
        </w:rPr>
        <w:t>•</w:t>
      </w:r>
      <w:r w:rsidR="00A8389C">
        <w:rPr>
          <w:rFonts w:eastAsiaTheme="minorEastAsia"/>
          <w:szCs w:val="24"/>
        </w:rPr>
        <w:tab/>
      </w:r>
      <w:hyperlink r:id="rId13" w:history="1">
        <w:r w:rsidR="00776A99">
          <w:rPr>
            <w:rStyle w:val="Hyperlink"/>
            <w:rFonts w:eastAsiaTheme="minorEastAsia"/>
            <w:szCs w:val="24"/>
          </w:rPr>
          <w:t>Identificateurs d'</w:t>
        </w:r>
        <w:r w:rsidRPr="005F660A">
          <w:rPr>
            <w:rStyle w:val="Hyperlink"/>
            <w:rFonts w:eastAsiaTheme="minorEastAsia"/>
            <w:szCs w:val="24"/>
          </w:rPr>
          <w:t>objet (OID) et leurs autorités d'enregistrement (2010)</w:t>
        </w:r>
      </w:hyperlink>
    </w:p>
    <w:p w:rsidR="00A8389C" w:rsidRDefault="005F660A" w:rsidP="00E645CC">
      <w:pPr>
        <w:pStyle w:val="enumlev1"/>
        <w:rPr>
          <w:rFonts w:eastAsiaTheme="majorEastAsia"/>
        </w:rPr>
      </w:pPr>
      <w:r w:rsidRPr="005F660A">
        <w:rPr>
          <w:rFonts w:eastAsiaTheme="minorEastAsia"/>
          <w:szCs w:val="24"/>
        </w:rPr>
        <w:t>•</w:t>
      </w:r>
      <w:r>
        <w:rPr>
          <w:rFonts w:eastAsiaTheme="minorEastAsia"/>
          <w:szCs w:val="24"/>
        </w:rPr>
        <w:tab/>
      </w:r>
      <w:hyperlink r:id="rId14" w:history="1">
        <w:r w:rsidR="00A8389C" w:rsidRPr="005F660A">
          <w:rPr>
            <w:rStyle w:val="Hyperlink"/>
            <w:rFonts w:eastAsiaTheme="majorEastAsia"/>
          </w:rPr>
          <w:t>Procédures pratiques d'évaluation subjective (2011)</w:t>
        </w:r>
      </w:hyperlink>
    </w:p>
    <w:p w:rsidR="00A8389C" w:rsidRPr="000A3AF9" w:rsidRDefault="005F660A" w:rsidP="00E645CC">
      <w:pPr>
        <w:pStyle w:val="enumlev1"/>
        <w:rPr>
          <w:rFonts w:eastAsiaTheme="minorEastAsia"/>
          <w:szCs w:val="24"/>
          <w:lang w:eastAsia="zh-CN"/>
        </w:rPr>
      </w:pPr>
      <w:r w:rsidRPr="005F660A">
        <w:rPr>
          <w:rFonts w:eastAsiaTheme="minorEastAsia"/>
          <w:szCs w:val="24"/>
        </w:rPr>
        <w:t>•</w:t>
      </w:r>
      <w:r>
        <w:rPr>
          <w:rFonts w:eastAsiaTheme="minorEastAsia"/>
          <w:szCs w:val="24"/>
        </w:rPr>
        <w:tab/>
      </w:r>
      <w:hyperlink r:id="rId15" w:history="1">
        <w:r w:rsidR="00A8389C" w:rsidRPr="005F660A">
          <w:rPr>
            <w:rStyle w:val="Hyperlink"/>
            <w:rFonts w:eastAsiaTheme="minorEastAsia"/>
            <w:szCs w:val="24"/>
            <w:lang w:eastAsia="zh-CN"/>
          </w:rPr>
          <w:t>Sécurité dans les télécommunications et les technologies de l'information (20</w:t>
        </w:r>
        <w:r w:rsidR="0054090F">
          <w:rPr>
            <w:rStyle w:val="Hyperlink"/>
            <w:rFonts w:eastAsiaTheme="minorEastAsia"/>
            <w:szCs w:val="24"/>
            <w:lang w:eastAsia="zh-CN"/>
          </w:rPr>
          <w:t>11</w:t>
        </w:r>
        <w:r w:rsidR="00A8389C" w:rsidRPr="005F660A">
          <w:rPr>
            <w:rStyle w:val="Hyperlink"/>
            <w:rFonts w:eastAsiaTheme="minorEastAsia"/>
            <w:szCs w:val="24"/>
            <w:lang w:eastAsia="zh-CN"/>
          </w:rPr>
          <w:t>)</w:t>
        </w:r>
      </w:hyperlink>
    </w:p>
    <w:p w:rsidR="00A8389C" w:rsidRPr="000A3AF9" w:rsidRDefault="005F660A" w:rsidP="00E645CC">
      <w:pPr>
        <w:pStyle w:val="enumlev1"/>
        <w:rPr>
          <w:rFonts w:eastAsiaTheme="minorEastAsia"/>
        </w:rPr>
      </w:pPr>
      <w:r w:rsidRPr="005F660A">
        <w:rPr>
          <w:rFonts w:eastAsiaTheme="minorEastAsia"/>
          <w:szCs w:val="24"/>
        </w:rPr>
        <w:t>•</w:t>
      </w:r>
      <w:r>
        <w:rPr>
          <w:rFonts w:eastAsiaTheme="minorEastAsia"/>
          <w:szCs w:val="24"/>
        </w:rPr>
        <w:tab/>
      </w:r>
      <w:hyperlink r:id="rId16" w:history="1">
        <w:r w:rsidR="0054090F">
          <w:rPr>
            <w:rStyle w:val="Hyperlink"/>
          </w:rPr>
          <w:t xml:space="preserve">Réseaux d'accès hertzien à large bande et </w:t>
        </w:r>
        <w:r w:rsidR="00B918E2" w:rsidRPr="00B918E2">
          <w:rPr>
            <w:rStyle w:val="Hyperlink"/>
          </w:rPr>
          <w:t>réseau domestique (2011)</w:t>
        </w:r>
      </w:hyperlink>
    </w:p>
    <w:p w:rsidR="00A8389C" w:rsidRDefault="005F660A" w:rsidP="00E645CC">
      <w:pPr>
        <w:pStyle w:val="enumlev1"/>
        <w:rPr>
          <w:rFonts w:eastAsiaTheme="majorEastAsia"/>
        </w:rPr>
      </w:pPr>
      <w:r w:rsidRPr="005F660A">
        <w:rPr>
          <w:rFonts w:eastAsiaTheme="minorEastAsia"/>
          <w:szCs w:val="24"/>
        </w:rPr>
        <w:t>•</w:t>
      </w:r>
      <w:r>
        <w:rPr>
          <w:rFonts w:eastAsiaTheme="minorEastAsia"/>
          <w:szCs w:val="24"/>
        </w:rPr>
        <w:tab/>
      </w:r>
      <w:hyperlink r:id="rId17" w:history="1">
        <w:r w:rsidR="00A8389C" w:rsidRPr="005F660A">
          <w:rPr>
            <w:rStyle w:val="Hyperlink"/>
            <w:rFonts w:eastAsiaTheme="majorEastAsia"/>
          </w:rPr>
          <w:t>Réseaux futurs (2012)</w:t>
        </w:r>
      </w:hyperlink>
    </w:p>
    <w:p w:rsidR="005F660A" w:rsidRDefault="005F660A" w:rsidP="00E645CC">
      <w:pPr>
        <w:pStyle w:val="enumlev1"/>
        <w:rPr>
          <w:rFonts w:asciiTheme="minorHAnsi" w:eastAsia="SimSun" w:hAnsiTheme="minorHAnsi"/>
          <w:color w:val="0000FF"/>
          <w:szCs w:val="24"/>
          <w:u w:val="single"/>
          <w:lang w:eastAsia="ja-JP"/>
        </w:rPr>
      </w:pPr>
      <w:r w:rsidRPr="005F660A">
        <w:rPr>
          <w:rFonts w:eastAsiaTheme="minorEastAsia"/>
          <w:szCs w:val="24"/>
        </w:rPr>
        <w:t>•</w:t>
      </w:r>
      <w:r>
        <w:rPr>
          <w:rFonts w:eastAsiaTheme="minorEastAsia"/>
          <w:szCs w:val="24"/>
        </w:rPr>
        <w:tab/>
      </w:r>
      <w:hyperlink r:id="rId18" w:history="1">
        <w:r w:rsidR="0054090F">
          <w:rPr>
            <w:rFonts w:asciiTheme="minorHAnsi" w:eastAsia="SimSun" w:hAnsiTheme="minorHAnsi"/>
            <w:color w:val="0000FF"/>
            <w:szCs w:val="24"/>
            <w:u w:val="single"/>
            <w:lang w:eastAsia="ja-JP"/>
          </w:rPr>
          <w:t>T</w:t>
        </w:r>
        <w:r w:rsidR="00B918E2" w:rsidRPr="0052306C">
          <w:rPr>
            <w:rFonts w:asciiTheme="minorHAnsi" w:eastAsia="SimSun" w:hAnsiTheme="minorHAnsi"/>
            <w:color w:val="0000FF"/>
            <w:szCs w:val="24"/>
            <w:u w:val="single"/>
            <w:lang w:eastAsia="ja-JP"/>
          </w:rPr>
          <w:t>echnologies</w:t>
        </w:r>
      </w:hyperlink>
      <w:r w:rsidR="0054090F">
        <w:rPr>
          <w:rFonts w:asciiTheme="minorHAnsi" w:eastAsia="SimSun" w:hAnsiTheme="minorHAnsi"/>
          <w:color w:val="0000FF"/>
          <w:szCs w:val="24"/>
          <w:u w:val="single"/>
          <w:lang w:eastAsia="ja-JP"/>
        </w:rPr>
        <w:t xml:space="preserve"> d'accès radioélectriques multiples</w:t>
      </w:r>
      <w:r w:rsidR="00B918E2" w:rsidRPr="0052306C">
        <w:rPr>
          <w:rFonts w:asciiTheme="minorHAnsi" w:eastAsia="SimSun" w:hAnsiTheme="minorHAnsi"/>
          <w:color w:val="0000FF"/>
          <w:szCs w:val="24"/>
          <w:u w:val="single"/>
          <w:lang w:eastAsia="ja-JP"/>
        </w:rPr>
        <w:t xml:space="preserve"> (2012)</w:t>
      </w:r>
    </w:p>
    <w:p w:rsidR="00B918E2" w:rsidRDefault="00B918E2" w:rsidP="00E645CC">
      <w:pPr>
        <w:pStyle w:val="enumlev1"/>
        <w:rPr>
          <w:rFonts w:asciiTheme="minorHAnsi" w:eastAsia="SimSun" w:hAnsiTheme="minorHAnsi"/>
          <w:color w:val="0000FF"/>
          <w:szCs w:val="24"/>
          <w:u w:val="single"/>
          <w:lang w:eastAsia="ja-JP"/>
        </w:rPr>
      </w:pPr>
      <w:r w:rsidRPr="005F660A">
        <w:rPr>
          <w:rFonts w:eastAsiaTheme="minorEastAsia"/>
          <w:szCs w:val="24"/>
        </w:rPr>
        <w:t>•</w:t>
      </w:r>
      <w:r>
        <w:rPr>
          <w:rFonts w:eastAsiaTheme="minorEastAsia"/>
          <w:szCs w:val="24"/>
        </w:rPr>
        <w:tab/>
      </w:r>
      <w:hyperlink r:id="rId19" w:history="1">
        <w:r w:rsidRPr="00BB6EFA">
          <w:rPr>
            <w:rStyle w:val="Hyperlink"/>
          </w:rPr>
          <w:t>Incidences des communications de machine à machine (M2M) et des applications de données mobiles non M2M sur les réseaux mobiles</w:t>
        </w:r>
      </w:hyperlink>
      <w:r>
        <w:rPr>
          <w:rStyle w:val="Hyperlink"/>
        </w:rPr>
        <w:t xml:space="preserve"> (2012)</w:t>
      </w:r>
    </w:p>
    <w:p w:rsidR="00B918E2" w:rsidRDefault="00B918E2" w:rsidP="00E645CC">
      <w:pPr>
        <w:pStyle w:val="enumlev1"/>
        <w:rPr>
          <w:rFonts w:eastAsiaTheme="minorEastAsia"/>
          <w:szCs w:val="24"/>
        </w:rPr>
      </w:pPr>
      <w:r w:rsidRPr="005F660A">
        <w:rPr>
          <w:rFonts w:eastAsiaTheme="minorEastAsia"/>
          <w:szCs w:val="24"/>
        </w:rPr>
        <w:t>•</w:t>
      </w:r>
      <w:r>
        <w:rPr>
          <w:rFonts w:eastAsiaTheme="minorEastAsia"/>
          <w:szCs w:val="24"/>
        </w:rPr>
        <w:tab/>
      </w:r>
      <w:hyperlink r:id="rId20" w:history="1">
        <w:r w:rsidRPr="00BB6EFA">
          <w:rPr>
            <w:rStyle w:val="Hyperlink"/>
          </w:rPr>
          <w:t>Scénarios de passage des réseaux existants aux réseaux NGN dans les pays en développement (2013)</w:t>
        </w:r>
      </w:hyperlink>
    </w:p>
    <w:p w:rsidR="00B918E2" w:rsidRPr="0054090F" w:rsidRDefault="00B918E2" w:rsidP="00E645CC">
      <w:pPr>
        <w:pStyle w:val="enumlev1"/>
        <w:rPr>
          <w:rFonts w:asciiTheme="minorHAnsi" w:eastAsia="SimSun" w:hAnsiTheme="minorHAnsi"/>
          <w:color w:val="0000FF"/>
          <w:szCs w:val="24"/>
          <w:u w:val="single"/>
          <w:lang w:val="fr-CH" w:eastAsia="ja-JP"/>
        </w:rPr>
      </w:pPr>
      <w:r w:rsidRPr="0054090F">
        <w:rPr>
          <w:rFonts w:eastAsiaTheme="minorEastAsia"/>
          <w:szCs w:val="24"/>
          <w:lang w:val="fr-CH"/>
        </w:rPr>
        <w:t>•</w:t>
      </w:r>
      <w:r w:rsidRPr="0054090F">
        <w:rPr>
          <w:rFonts w:eastAsiaTheme="minorEastAsia"/>
          <w:szCs w:val="24"/>
          <w:lang w:val="fr-CH"/>
        </w:rPr>
        <w:tab/>
      </w:r>
      <w:hyperlink r:id="rId21" w:history="1">
        <w:r w:rsidR="0054090F" w:rsidRPr="0054090F">
          <w:rPr>
            <w:rFonts w:asciiTheme="minorHAnsi" w:eastAsia="SimSun" w:hAnsiTheme="minorHAnsi"/>
            <w:color w:val="0000FF"/>
            <w:szCs w:val="24"/>
            <w:u w:val="single"/>
            <w:lang w:val="fr-CH" w:eastAsia="ja-JP"/>
          </w:rPr>
          <w:t>Comment améliorer la qualité de s</w:t>
        </w:r>
        <w:r w:rsidRPr="0054090F">
          <w:rPr>
            <w:rFonts w:asciiTheme="minorHAnsi" w:eastAsia="SimSun" w:hAnsiTheme="minorHAnsi"/>
            <w:color w:val="0000FF"/>
            <w:szCs w:val="24"/>
            <w:u w:val="single"/>
            <w:lang w:val="fr-CH" w:eastAsia="ja-JP"/>
          </w:rPr>
          <w:t>ervice (</w:t>
        </w:r>
        <w:proofErr w:type="spellStart"/>
        <w:r w:rsidRPr="0054090F">
          <w:rPr>
            <w:rFonts w:asciiTheme="minorHAnsi" w:eastAsia="SimSun" w:hAnsiTheme="minorHAnsi"/>
            <w:color w:val="0000FF"/>
            <w:szCs w:val="24"/>
            <w:u w:val="single"/>
            <w:lang w:val="fr-CH" w:eastAsia="ja-JP"/>
          </w:rPr>
          <w:t>QoS</w:t>
        </w:r>
        <w:proofErr w:type="spellEnd"/>
        <w:r w:rsidRPr="0054090F">
          <w:rPr>
            <w:rFonts w:asciiTheme="minorHAnsi" w:eastAsia="SimSun" w:hAnsiTheme="minorHAnsi"/>
            <w:color w:val="0000FF"/>
            <w:szCs w:val="24"/>
            <w:u w:val="single"/>
            <w:lang w:val="fr-CH" w:eastAsia="ja-JP"/>
          </w:rPr>
          <w:t>)/</w:t>
        </w:r>
        <w:r w:rsidR="0054090F" w:rsidRPr="0054090F">
          <w:rPr>
            <w:rFonts w:asciiTheme="minorHAnsi" w:eastAsia="SimSun" w:hAnsiTheme="minorHAnsi"/>
            <w:color w:val="0000FF"/>
            <w:szCs w:val="24"/>
            <w:u w:val="single"/>
            <w:lang w:val="fr-CH" w:eastAsia="ja-JP"/>
          </w:rPr>
          <w:t>qualité d'e</w:t>
        </w:r>
        <w:r w:rsidRPr="0054090F">
          <w:rPr>
            <w:rFonts w:asciiTheme="minorHAnsi" w:eastAsia="SimSun" w:hAnsiTheme="minorHAnsi"/>
            <w:color w:val="0000FF"/>
            <w:szCs w:val="24"/>
            <w:u w:val="single"/>
            <w:lang w:val="fr-CH" w:eastAsia="ja-JP"/>
          </w:rPr>
          <w:t>xp</w:t>
        </w:r>
        <w:r w:rsidR="0054090F">
          <w:rPr>
            <w:rFonts w:asciiTheme="minorHAnsi" w:eastAsia="SimSun" w:hAnsiTheme="minorHAnsi"/>
            <w:color w:val="0000FF"/>
            <w:szCs w:val="24"/>
            <w:u w:val="single"/>
            <w:lang w:val="fr-CH" w:eastAsia="ja-JP"/>
          </w:rPr>
          <w:t>é</w:t>
        </w:r>
        <w:r w:rsidRPr="0054090F">
          <w:rPr>
            <w:rFonts w:asciiTheme="minorHAnsi" w:eastAsia="SimSun" w:hAnsiTheme="minorHAnsi"/>
            <w:color w:val="0000FF"/>
            <w:szCs w:val="24"/>
            <w:u w:val="single"/>
            <w:lang w:val="fr-CH" w:eastAsia="ja-JP"/>
          </w:rPr>
          <w:t>rience (</w:t>
        </w:r>
        <w:proofErr w:type="spellStart"/>
        <w:r w:rsidRPr="0054090F">
          <w:rPr>
            <w:rFonts w:asciiTheme="minorHAnsi" w:eastAsia="SimSun" w:hAnsiTheme="minorHAnsi"/>
            <w:color w:val="0000FF"/>
            <w:szCs w:val="24"/>
            <w:u w:val="single"/>
            <w:lang w:val="fr-CH" w:eastAsia="ja-JP"/>
          </w:rPr>
          <w:t>QoE</w:t>
        </w:r>
        <w:proofErr w:type="spellEnd"/>
        <w:r w:rsidRPr="0054090F">
          <w:rPr>
            <w:rFonts w:asciiTheme="minorHAnsi" w:eastAsia="SimSun" w:hAnsiTheme="minorHAnsi"/>
            <w:color w:val="0000FF"/>
            <w:szCs w:val="24"/>
            <w:u w:val="single"/>
            <w:lang w:val="fr-CH" w:eastAsia="ja-JP"/>
          </w:rPr>
          <w:t xml:space="preserve">) </w:t>
        </w:r>
        <w:r w:rsidR="0054090F">
          <w:rPr>
            <w:rFonts w:asciiTheme="minorHAnsi" w:eastAsia="SimSun" w:hAnsiTheme="minorHAnsi"/>
            <w:color w:val="0000FF"/>
            <w:szCs w:val="24"/>
            <w:u w:val="single"/>
            <w:lang w:val="fr-CH" w:eastAsia="ja-JP"/>
          </w:rPr>
          <w:t>des plates-formes</w:t>
        </w:r>
        <w:r w:rsidRPr="0054090F">
          <w:rPr>
            <w:rFonts w:asciiTheme="minorHAnsi" w:eastAsia="SimSun" w:hAnsiTheme="minorHAnsi"/>
            <w:color w:val="0000FF"/>
            <w:szCs w:val="24"/>
            <w:u w:val="single"/>
            <w:lang w:val="fr-CH" w:eastAsia="ja-JP"/>
          </w:rPr>
          <w:t xml:space="preserve"> IP</w:t>
        </w:r>
      </w:hyperlink>
      <w:r w:rsidR="0054090F" w:rsidRPr="0054090F">
        <w:rPr>
          <w:rFonts w:asciiTheme="minorHAnsi" w:eastAsia="SimSun" w:hAnsiTheme="minorHAnsi"/>
          <w:color w:val="0000FF"/>
          <w:szCs w:val="24"/>
          <w:u w:val="single"/>
          <w:lang w:val="fr-CH" w:eastAsia="ja-JP"/>
        </w:rPr>
        <w:t xml:space="preserve"> </w:t>
      </w:r>
      <w:r w:rsidRPr="0054090F">
        <w:rPr>
          <w:rFonts w:asciiTheme="minorHAnsi" w:eastAsia="SimSun" w:hAnsiTheme="minorHAnsi"/>
          <w:color w:val="0000FF"/>
          <w:szCs w:val="24"/>
          <w:u w:val="single"/>
          <w:lang w:val="fr-CH" w:eastAsia="ja-JP"/>
        </w:rPr>
        <w:t>(2013)</w:t>
      </w:r>
    </w:p>
    <w:p w:rsidR="00B918E2" w:rsidRDefault="00B918E2" w:rsidP="00E645CC">
      <w:pPr>
        <w:pStyle w:val="enumlev1"/>
        <w:rPr>
          <w:rFonts w:asciiTheme="minorHAnsi" w:hAnsiTheme="minorHAnsi"/>
          <w:color w:val="0000FF"/>
          <w:szCs w:val="24"/>
          <w:u w:val="single"/>
          <w:lang w:eastAsia="ja-JP"/>
        </w:rPr>
      </w:pPr>
      <w:r w:rsidRPr="006929BC">
        <w:rPr>
          <w:rFonts w:eastAsiaTheme="minorEastAsia"/>
          <w:szCs w:val="24"/>
          <w:lang w:val="fr-CH"/>
        </w:rPr>
        <w:t>•</w:t>
      </w:r>
      <w:r w:rsidRPr="006929BC">
        <w:rPr>
          <w:rFonts w:eastAsiaTheme="minorEastAsia"/>
          <w:szCs w:val="24"/>
          <w:lang w:val="fr-CH"/>
        </w:rPr>
        <w:tab/>
      </w:r>
      <w:hyperlink r:id="rId22" w:history="1">
        <w:r w:rsidR="00B8473B">
          <w:rPr>
            <w:rFonts w:asciiTheme="minorHAnsi" w:hAnsiTheme="minorHAnsi"/>
            <w:color w:val="0000FF"/>
            <w:szCs w:val="24"/>
            <w:u w:val="single"/>
            <w:lang w:eastAsia="ja-JP"/>
          </w:rPr>
          <w:t>Les télé</w:t>
        </w:r>
        <w:r w:rsidRPr="0052306C">
          <w:rPr>
            <w:rFonts w:asciiTheme="minorHAnsi" w:hAnsiTheme="minorHAnsi"/>
            <w:color w:val="0000FF"/>
            <w:szCs w:val="24"/>
            <w:u w:val="single"/>
            <w:lang w:eastAsia="ja-JP"/>
          </w:rPr>
          <w:t xml:space="preserve">communications </w:t>
        </w:r>
        <w:r w:rsidR="00B8473B">
          <w:rPr>
            <w:rFonts w:asciiTheme="minorHAnsi" w:hAnsiTheme="minorHAnsi"/>
            <w:color w:val="0000FF"/>
            <w:szCs w:val="24"/>
            <w:u w:val="single"/>
            <w:lang w:eastAsia="ja-JP"/>
          </w:rPr>
          <w:t>et l'atténuation des effets des catastrophes</w:t>
        </w:r>
      </w:hyperlink>
      <w:r w:rsidRPr="0052306C">
        <w:rPr>
          <w:rFonts w:asciiTheme="minorHAnsi" w:hAnsiTheme="minorHAnsi"/>
          <w:color w:val="0000FF"/>
          <w:szCs w:val="24"/>
          <w:u w:val="single"/>
          <w:lang w:eastAsia="ja-JP"/>
        </w:rPr>
        <w:t xml:space="preserve"> (2013)</w:t>
      </w:r>
    </w:p>
    <w:p w:rsidR="00B918E2" w:rsidRDefault="00B918E2" w:rsidP="00E645CC">
      <w:pPr>
        <w:pStyle w:val="enumlev1"/>
        <w:rPr>
          <w:rFonts w:eastAsiaTheme="minorEastAsia"/>
          <w:szCs w:val="24"/>
        </w:rPr>
      </w:pPr>
      <w:r w:rsidRPr="005F660A">
        <w:rPr>
          <w:rFonts w:eastAsiaTheme="minorEastAsia"/>
          <w:szCs w:val="24"/>
        </w:rPr>
        <w:t>•</w:t>
      </w:r>
      <w:r>
        <w:rPr>
          <w:rFonts w:eastAsiaTheme="minorEastAsia"/>
          <w:szCs w:val="24"/>
        </w:rPr>
        <w:tab/>
      </w:r>
      <w:hyperlink r:id="rId23" w:history="1">
        <w:r w:rsidRPr="00B918E2">
          <w:rPr>
            <w:rStyle w:val="Hyperlink"/>
            <w:lang w:val="fr-CH"/>
          </w:rPr>
          <w:t>Applications de réseaux de capteurs sans fil dans les réseaux de prochaine génération (2014)</w:t>
        </w:r>
      </w:hyperlink>
    </w:p>
    <w:p w:rsidR="00B918E2" w:rsidRPr="00204362" w:rsidRDefault="00B8473B" w:rsidP="00204362">
      <w:r w:rsidRPr="001300FF">
        <w:t>En outre, il est prévu d</w:t>
      </w:r>
      <w:r w:rsidR="00E645CC">
        <w:t>'</w:t>
      </w:r>
      <w:r w:rsidRPr="001300FF">
        <w:t>élaborer les rapports techniques suivants en 2014:</w:t>
      </w:r>
    </w:p>
    <w:p w:rsidR="00B918E2" w:rsidRPr="00204362" w:rsidRDefault="00B918E2" w:rsidP="00E645CC">
      <w:pPr>
        <w:pStyle w:val="enumlev1"/>
      </w:pPr>
      <w:r w:rsidRPr="00204362">
        <w:t>•</w:t>
      </w:r>
      <w:r w:rsidRPr="00204362">
        <w:tab/>
      </w:r>
      <w:r w:rsidR="00204362" w:rsidRPr="00D95AAE">
        <w:t>F</w:t>
      </w:r>
      <w:r w:rsidR="00B8473B" w:rsidRPr="00D95AAE">
        <w:t>euille de r</w:t>
      </w:r>
      <w:r w:rsidR="00B8473B">
        <w:t>oute pour la normalisation</w:t>
      </w:r>
      <w:r w:rsidR="00E645CC">
        <w:t xml:space="preserve"> </w:t>
      </w:r>
      <w:r w:rsidR="00B8473B" w:rsidRPr="00D95AAE">
        <w:t>des TIC vertes</w:t>
      </w:r>
    </w:p>
    <w:p w:rsidR="00B918E2" w:rsidRPr="00204362" w:rsidRDefault="00B918E2" w:rsidP="00E645CC">
      <w:pPr>
        <w:pStyle w:val="enumlev1"/>
      </w:pPr>
      <w:r w:rsidRPr="00204362">
        <w:t>•</w:t>
      </w:r>
      <w:r w:rsidRPr="00204362">
        <w:tab/>
      </w:r>
      <w:r w:rsidR="00204362" w:rsidRPr="00D95AAE">
        <w:t>G</w:t>
      </w:r>
      <w:r w:rsidR="00B8473B" w:rsidRPr="00D95AAE">
        <w:t>uide sur les champs électromagnétiques</w:t>
      </w:r>
    </w:p>
    <w:p w:rsidR="00B918E2" w:rsidRPr="00204362" w:rsidRDefault="00B918E2" w:rsidP="00E645CC">
      <w:pPr>
        <w:pStyle w:val="enumlev1"/>
      </w:pPr>
      <w:r w:rsidRPr="00204362">
        <w:t>•</w:t>
      </w:r>
      <w:r w:rsidRPr="00204362">
        <w:tab/>
      </w:r>
      <w:r w:rsidR="00B8473B" w:rsidRPr="00204362">
        <w:t>Livre vert sur la TVIP</w:t>
      </w:r>
    </w:p>
    <w:p w:rsidR="00B918E2" w:rsidRPr="00204362" w:rsidRDefault="00B918E2" w:rsidP="00E645CC">
      <w:pPr>
        <w:pStyle w:val="enumlev1"/>
      </w:pPr>
      <w:r w:rsidRPr="00204362">
        <w:lastRenderedPageBreak/>
        <w:t>•</w:t>
      </w:r>
      <w:r w:rsidRPr="00204362">
        <w:tab/>
      </w:r>
      <w:r w:rsidR="00204362" w:rsidRPr="00D95AAE">
        <w:t>N</w:t>
      </w:r>
      <w:r w:rsidR="00B8473B" w:rsidRPr="00D95AAE">
        <w:t xml:space="preserve">ouveaux enjeux de la </w:t>
      </w:r>
      <w:r w:rsidR="00B8473B">
        <w:t>normalis</w:t>
      </w:r>
      <w:r w:rsidR="00B8473B" w:rsidRPr="00D95AAE">
        <w:t>ation des infrastructures de clé</w:t>
      </w:r>
      <w:r w:rsidR="00B8473B">
        <w:t xml:space="preserve"> </w:t>
      </w:r>
      <w:r w:rsidR="00B8473B" w:rsidRPr="00D95AAE">
        <w:t>publiques, des communication</w:t>
      </w:r>
      <w:r w:rsidR="00B8473B">
        <w:t>s</w:t>
      </w:r>
      <w:r w:rsidR="00B8473B" w:rsidRPr="00D95AAE">
        <w:t xml:space="preserve"> de machine à machine, de l</w:t>
      </w:r>
      <w:r w:rsidR="00E645CC">
        <w:t>'</w:t>
      </w:r>
      <w:r w:rsidR="00B8473B" w:rsidRPr="00D95AAE">
        <w:t>informatique en nuage et des rése</w:t>
      </w:r>
      <w:r w:rsidR="00B8473B">
        <w:t>a</w:t>
      </w:r>
      <w:r w:rsidR="00B8473B" w:rsidRPr="00D95AAE">
        <w:t>ux électriques intelligents</w:t>
      </w:r>
    </w:p>
    <w:p w:rsidR="00B918E2" w:rsidRPr="00204362" w:rsidRDefault="00B918E2" w:rsidP="00E645CC">
      <w:pPr>
        <w:pStyle w:val="enumlev1"/>
      </w:pPr>
      <w:r w:rsidRPr="00204362">
        <w:t>•</w:t>
      </w:r>
      <w:r w:rsidRPr="00204362">
        <w:tab/>
      </w:r>
      <w:r w:rsidR="00686BAF" w:rsidRPr="00204362">
        <w:t>Elaboration d'un guide sur la protection contre les surtensions</w:t>
      </w:r>
    </w:p>
    <w:p w:rsidR="00B918E2" w:rsidRPr="00204362" w:rsidRDefault="00B918E2" w:rsidP="00E645CC">
      <w:pPr>
        <w:pStyle w:val="enumlev1"/>
      </w:pPr>
      <w:r w:rsidRPr="00204362">
        <w:t>•</w:t>
      </w:r>
      <w:r w:rsidRPr="00204362">
        <w:tab/>
      </w:r>
      <w:r w:rsidR="00686BAF" w:rsidRPr="00BB6EFA">
        <w:t>Gestion de la mobilité à l'UIT-T: développement actuel et prochaines étapes vers les réseaux futurs (2013)</w:t>
      </w:r>
    </w:p>
    <w:p w:rsidR="00B918E2" w:rsidRPr="00204362" w:rsidRDefault="00B918E2" w:rsidP="00E645CC">
      <w:pPr>
        <w:pStyle w:val="enumlev1"/>
      </w:pPr>
      <w:r w:rsidRPr="00204362">
        <w:t>•</w:t>
      </w:r>
      <w:r w:rsidRPr="00204362">
        <w:tab/>
      </w:r>
      <w:r w:rsidR="00B8473B" w:rsidRPr="00204362">
        <w:t xml:space="preserve">Vers un </w:t>
      </w:r>
      <w:r w:rsidR="00B8473B" w:rsidRPr="007A394E">
        <w:t>modèle de coûts</w:t>
      </w:r>
      <w:r w:rsidR="00B8473B">
        <w:t xml:space="preserve"> de l</w:t>
      </w:r>
      <w:r w:rsidR="00E645CC">
        <w:t>'</w:t>
      </w:r>
      <w:r w:rsidR="00B8473B">
        <w:t>itinérance</w:t>
      </w:r>
      <w:r w:rsidR="00B8473B" w:rsidRPr="007A394E">
        <w:t xml:space="preserve"> à l'usage des régulateurs</w:t>
      </w:r>
    </w:p>
    <w:p w:rsidR="00B918E2" w:rsidRPr="00F12802" w:rsidRDefault="00686BAF" w:rsidP="00E645CC">
      <w:pPr>
        <w:pStyle w:val="Heading2"/>
      </w:pPr>
      <w:r w:rsidRPr="00F12802">
        <w:t>2.3</w:t>
      </w:r>
      <w:r w:rsidRPr="00F12802">
        <w:tab/>
      </w:r>
      <w:r w:rsidR="00B8473B" w:rsidRPr="00F12802">
        <w:t>Programme de mentorat à l'intention des</w:t>
      </w:r>
      <w:r w:rsidR="00E645CC" w:rsidRPr="00F12802">
        <w:t xml:space="preserve"> </w:t>
      </w:r>
      <w:r w:rsidR="00B8473B" w:rsidRPr="00F12802">
        <w:t>nouveaux délégués aux commissions d</w:t>
      </w:r>
      <w:r w:rsidR="00E645CC" w:rsidRPr="00F12802">
        <w:t>'</w:t>
      </w:r>
      <w:r w:rsidR="00B8473B" w:rsidRPr="00F12802">
        <w:t>études de l</w:t>
      </w:r>
      <w:r w:rsidR="00E645CC" w:rsidRPr="00F12802">
        <w:t>'</w:t>
      </w:r>
      <w:r w:rsidR="00B8473B" w:rsidRPr="00F12802">
        <w:t>UIT-T</w:t>
      </w:r>
    </w:p>
    <w:p w:rsidR="00686BAF" w:rsidRDefault="00B8473B" w:rsidP="00F12802">
      <w:r w:rsidRPr="000800CB">
        <w:t xml:space="preserve">Un programme de mentorat à l'intention des membres des </w:t>
      </w:r>
      <w:r>
        <w:t>c</w:t>
      </w:r>
      <w:r w:rsidRPr="000800CB">
        <w:t xml:space="preserve">ommissions d'études de l'UIT-T </w:t>
      </w:r>
      <w:r w:rsidR="00F12802">
        <w:t xml:space="preserve">venant </w:t>
      </w:r>
      <w:r w:rsidRPr="000800CB">
        <w:t xml:space="preserve">des pays en développement a été </w:t>
      </w:r>
      <w:r>
        <w:t>mis en place</w:t>
      </w:r>
      <w:r w:rsidR="00E645CC">
        <w:t xml:space="preserve"> </w:t>
      </w:r>
      <w:r w:rsidRPr="000800CB">
        <w:t xml:space="preserve">pour la première fois en août 2011, afin de fournir aux nouveaux délégués plus </w:t>
      </w:r>
      <w:r>
        <w:t>de renseignements</w:t>
      </w:r>
      <w:r w:rsidRPr="000800CB">
        <w:t xml:space="preserve"> sur le déroulement des réunions de l'UIT-T et de renforcer la contribution des pays en développement. Ce programme </w:t>
      </w:r>
      <w:r>
        <w:t xml:space="preserve">fait </w:t>
      </w:r>
      <w:r w:rsidR="00F12802">
        <w:t>aujourd'hui</w:t>
      </w:r>
      <w:r w:rsidR="00E645CC">
        <w:t xml:space="preserve"> </w:t>
      </w:r>
      <w:r w:rsidRPr="000800CB">
        <w:t xml:space="preserve">partie </w:t>
      </w:r>
      <w:r>
        <w:t>intégrante des</w:t>
      </w:r>
      <w:r w:rsidR="00E645CC">
        <w:t xml:space="preserve"> </w:t>
      </w:r>
      <w:r w:rsidRPr="000800CB">
        <w:t xml:space="preserve">réunions des </w:t>
      </w:r>
      <w:r w:rsidR="00F12802">
        <w:t>c</w:t>
      </w:r>
      <w:r w:rsidRPr="000800CB">
        <w:t>ommissions d'études de l'UIT-T et du GCNT.</w:t>
      </w:r>
    </w:p>
    <w:p w:rsidR="00B8473B" w:rsidRPr="00B8473B" w:rsidRDefault="00B8473B" w:rsidP="00F12802">
      <w:pPr>
        <w:rPr>
          <w:rFonts w:eastAsiaTheme="minorEastAsia"/>
        </w:rPr>
      </w:pPr>
      <w:r w:rsidRPr="000800CB">
        <w:t xml:space="preserve">A sa réunion de janvier 2012, le GCNT a créé une nouvelle fonction de parrain au sein des </w:t>
      </w:r>
      <w:r>
        <w:t>c</w:t>
      </w:r>
      <w:r w:rsidRPr="000800CB">
        <w:t>ommissions d'études,</w:t>
      </w:r>
      <w:r w:rsidR="00E645CC">
        <w:t xml:space="preserve"> </w:t>
      </w:r>
      <w:r>
        <w:t>qui consiste pour l</w:t>
      </w:r>
      <w:r w:rsidR="00E645CC">
        <w:t>'</w:t>
      </w:r>
      <w:r>
        <w:t>essentiel à assurer</w:t>
      </w:r>
      <w:r w:rsidR="00E645CC">
        <w:t xml:space="preserve"> </w:t>
      </w:r>
      <w:r w:rsidRPr="000800CB">
        <w:t xml:space="preserve">la coordination avec les représentants des pays en développement au sein d'une </w:t>
      </w:r>
      <w:r>
        <w:t>c</w:t>
      </w:r>
      <w:r w:rsidRPr="000800CB">
        <w:t>ommission d'études en vue d</w:t>
      </w:r>
      <w:r w:rsidR="00E645CC">
        <w:t>'</w:t>
      </w:r>
      <w:r>
        <w:t>échanger</w:t>
      </w:r>
      <w:r w:rsidR="00E645CC">
        <w:t xml:space="preserve"> </w:t>
      </w:r>
      <w:r w:rsidRPr="000800CB">
        <w:t xml:space="preserve">des </w:t>
      </w:r>
      <w:r>
        <w:t>renseignements</w:t>
      </w:r>
      <w:r w:rsidRPr="000800CB">
        <w:t xml:space="preserve"> et de</w:t>
      </w:r>
      <w:r w:rsidR="00E645CC">
        <w:t xml:space="preserve"> </w:t>
      </w:r>
      <w:r w:rsidRPr="000800CB">
        <w:t xml:space="preserve">bonnes pratiques </w:t>
      </w:r>
      <w:r>
        <w:t>sur</w:t>
      </w:r>
      <w:r w:rsidRPr="000800CB">
        <w:t xml:space="preserve"> l'application des Recommandations UIT-T et </w:t>
      </w:r>
      <w:r>
        <w:t>de</w:t>
      </w:r>
      <w:r w:rsidRPr="000800CB">
        <w:t xml:space="preserve"> renforcer les activités de normalisation dans les pays en développement et</w:t>
      </w:r>
      <w:r w:rsidR="00E645CC">
        <w:t xml:space="preserve"> </w:t>
      </w:r>
      <w:r w:rsidRPr="000800CB">
        <w:t xml:space="preserve">les groupes régionaux. Grâce à ce dialogue avec les membres des pays en développement, le parrain pourra en outre recenser </w:t>
      </w:r>
      <w:r>
        <w:t xml:space="preserve">les </w:t>
      </w:r>
      <w:r w:rsidRPr="000800CB">
        <w:t xml:space="preserve">programmes de renforcement des capacités concernant des Recommandations UIT-T que le TSB pourra mettre en </w:t>
      </w:r>
      <w:proofErr w:type="spellStart"/>
      <w:r w:rsidRPr="000800CB">
        <w:t>oeuvre</w:t>
      </w:r>
      <w:proofErr w:type="spellEnd"/>
      <w:r w:rsidRPr="000800CB">
        <w:t xml:space="preserve"> dans le cadre des activités visant à réduire l'écart en matière de normalisation.</w:t>
      </w:r>
    </w:p>
    <w:p w:rsidR="00686BAF" w:rsidRPr="00F12802" w:rsidRDefault="00686BAF" w:rsidP="00E645CC">
      <w:pPr>
        <w:pStyle w:val="Heading2"/>
      </w:pPr>
      <w:r w:rsidRPr="00F12802">
        <w:t>2.4</w:t>
      </w:r>
      <w:r w:rsidRPr="00F12802">
        <w:tab/>
      </w:r>
      <w:r w:rsidR="00B8473B" w:rsidRPr="00F12802">
        <w:t>Participation à distance et</w:t>
      </w:r>
      <w:r w:rsidR="00E645CC" w:rsidRPr="00F12802">
        <w:t xml:space="preserve"> interprétation</w:t>
      </w:r>
    </w:p>
    <w:p w:rsidR="00686BAF" w:rsidRPr="00686BAF" w:rsidRDefault="00B8473B" w:rsidP="00E645CC">
      <w:pPr>
        <w:rPr>
          <w:rFonts w:eastAsiaTheme="minorEastAsia"/>
          <w:lang w:eastAsia="zh-CN"/>
        </w:rPr>
      </w:pPr>
      <w:r w:rsidRPr="003047F3">
        <w:t>La participation à distance est désormais possible p</w:t>
      </w:r>
      <w:r>
        <w:t>endant</w:t>
      </w:r>
      <w:r w:rsidRPr="003047F3">
        <w:t xml:space="preserve"> toutes les réunions des commissions d'études</w:t>
      </w:r>
      <w:r>
        <w:t>,</w:t>
      </w:r>
      <w:r w:rsidRPr="003047F3">
        <w:t xml:space="preserve"> et ce gratuitement (en utilisant une option de </w:t>
      </w:r>
      <w:r>
        <w:t>rappel (</w:t>
      </w:r>
      <w:r w:rsidRPr="003047F3">
        <w:t>call back)</w:t>
      </w:r>
      <w:r w:rsidR="00F12802">
        <w:t>)</w:t>
      </w:r>
      <w:r w:rsidRPr="003047F3">
        <w:t xml:space="preserve">. Des services d'interprétation dans toutes les langues sont assurés pour les séances plénières d'ouverture et de clôture. Les contributions aux travaux des commissions d'études peuvent être traduites dans les six langues si elles sont reçues deux mois avant l'ouverture de la réunion. Certaines des Recommandations approuvées selon la variante de la procédure d'approbation peuvent également être traduites. Le nouveau service </w:t>
      </w:r>
      <w:r>
        <w:t>d'</w:t>
      </w:r>
      <w:r w:rsidRPr="003047F3">
        <w:t>affichage électronique direct des documents a été très apprécié par les membres.</w:t>
      </w:r>
    </w:p>
    <w:p w:rsidR="00686BAF" w:rsidRPr="00F12802" w:rsidRDefault="00686BAF" w:rsidP="00E645CC">
      <w:pPr>
        <w:pStyle w:val="Heading1"/>
      </w:pPr>
      <w:r w:rsidRPr="00F12802">
        <w:t>3</w:t>
      </w:r>
      <w:r w:rsidRPr="00F12802">
        <w:tab/>
        <w:t>Programme 2: Aider les pays en développement en ce qui concerne l'application des normes</w:t>
      </w:r>
    </w:p>
    <w:p w:rsidR="00686BAF" w:rsidRPr="00F12802" w:rsidRDefault="00686BAF" w:rsidP="00E645CC">
      <w:pPr>
        <w:pStyle w:val="Heading2"/>
      </w:pPr>
      <w:r w:rsidRPr="00F12802">
        <w:t>3.1</w:t>
      </w:r>
      <w:r w:rsidRPr="00F12802">
        <w:tab/>
      </w:r>
      <w:r w:rsidR="00B8473B" w:rsidRPr="00F12802">
        <w:t>Assistance technique pour la création d'un secrétariat national chargé de la normalisation</w:t>
      </w:r>
      <w:r w:rsidR="00E645CC" w:rsidRPr="00F12802">
        <w:t xml:space="preserve"> </w:t>
      </w:r>
      <w:r w:rsidR="00B8473B" w:rsidRPr="00F12802">
        <w:t>(NSS)</w:t>
      </w:r>
    </w:p>
    <w:p w:rsidR="003E4BA6" w:rsidRDefault="00B8473B" w:rsidP="00F12802">
      <w:pPr>
        <w:rPr>
          <w:rFonts w:eastAsiaTheme="minorEastAsia"/>
          <w:lang w:val="fr-CH"/>
        </w:rPr>
      </w:pPr>
      <w:r w:rsidRPr="002F03D3">
        <w:t>Une série de lignes directrices à l</w:t>
      </w:r>
      <w:r w:rsidR="00E645CC">
        <w:t>'</w:t>
      </w:r>
      <w:r w:rsidRPr="002F03D3">
        <w:t xml:space="preserve">intention des pays en </w:t>
      </w:r>
      <w:r w:rsidR="00E645CC" w:rsidRPr="002F03D3">
        <w:t>dévelop</w:t>
      </w:r>
      <w:r w:rsidR="00E645CC">
        <w:t>pement</w:t>
      </w:r>
      <w:r>
        <w:t xml:space="preserve"> </w:t>
      </w:r>
      <w:r>
        <w:rPr>
          <w:lang w:val="fr-CH"/>
        </w:rPr>
        <w:t xml:space="preserve">qui souhaitent créer </w:t>
      </w:r>
      <w:r w:rsidRPr="002F03D3">
        <w:t xml:space="preserve">un </w:t>
      </w:r>
      <w:r w:rsidR="00F12802">
        <w:t>"</w:t>
      </w:r>
      <w:r w:rsidR="00E645CC" w:rsidRPr="002F03D3">
        <w:t>secrétariat</w:t>
      </w:r>
      <w:r w:rsidRPr="002F03D3">
        <w:t xml:space="preserve"> national</w:t>
      </w:r>
      <w:r w:rsidR="00E645CC">
        <w:t xml:space="preserve"> </w:t>
      </w:r>
      <w:r w:rsidRPr="002F03D3">
        <w:t>de la normali</w:t>
      </w:r>
      <w:r>
        <w:t>s</w:t>
      </w:r>
      <w:r w:rsidRPr="002F03D3">
        <w:t>ation</w:t>
      </w:r>
      <w:r w:rsidR="00F12802">
        <w:t>",</w:t>
      </w:r>
      <w:r w:rsidR="00E645CC">
        <w:t xml:space="preserve"> </w:t>
      </w:r>
      <w:r w:rsidRPr="002F03D3">
        <w:t>ayant pour tâche de coordonner</w:t>
      </w:r>
      <w:r>
        <w:t xml:space="preserve"> </w:t>
      </w:r>
      <w:r w:rsidRPr="002F03D3">
        <w:t>au niveau national la normali</w:t>
      </w:r>
      <w:r>
        <w:t>s</w:t>
      </w:r>
      <w:r w:rsidRPr="002F03D3">
        <w:t>ation des</w:t>
      </w:r>
      <w:r>
        <w:t xml:space="preserve"> TIC</w:t>
      </w:r>
      <w:r w:rsidR="00E645CC">
        <w:t xml:space="preserve"> </w:t>
      </w:r>
      <w:r w:rsidRPr="002F03D3">
        <w:t>et de représenter les intérêts d</w:t>
      </w:r>
      <w:r w:rsidR="00E645CC">
        <w:t>'</w:t>
      </w:r>
      <w:r w:rsidRPr="002F03D3">
        <w:t xml:space="preserve">un pays </w:t>
      </w:r>
      <w:r>
        <w:t xml:space="preserve">dans </w:t>
      </w:r>
      <w:r w:rsidRPr="002F03D3">
        <w:t>les travaux de normali</w:t>
      </w:r>
      <w:r>
        <w:t>s</w:t>
      </w:r>
      <w:r w:rsidRPr="002F03D3">
        <w:t>ation</w:t>
      </w:r>
      <w:r w:rsidRPr="00627D43">
        <w:t xml:space="preserve"> </w:t>
      </w:r>
      <w:r w:rsidRPr="002F03D3">
        <w:t>au niveau international mené</w:t>
      </w:r>
      <w:r>
        <w:t>s</w:t>
      </w:r>
      <w:r w:rsidRPr="002F03D3">
        <w:t xml:space="preserve"> </w:t>
      </w:r>
      <w:r>
        <w:rPr>
          <w:lang w:val="fr-CH"/>
        </w:rPr>
        <w:t>à l'UIT-T</w:t>
      </w:r>
      <w:r w:rsidR="00F12802">
        <w:rPr>
          <w:lang w:val="fr-CH"/>
        </w:rPr>
        <w:t>,</w:t>
      </w:r>
      <w:r>
        <w:rPr>
          <w:lang w:val="fr-CH"/>
        </w:rPr>
        <w:t xml:space="preserve"> </w:t>
      </w:r>
      <w:r w:rsidRPr="002F03D3">
        <w:t>ont été publié</w:t>
      </w:r>
      <w:r>
        <w:t>e</w:t>
      </w:r>
      <w:r w:rsidRPr="002F03D3">
        <w:t>s en 2014</w:t>
      </w:r>
      <w:r w:rsidR="00F12802">
        <w:t>.</w:t>
      </w:r>
    </w:p>
    <w:p w:rsidR="003E4BA6" w:rsidRDefault="003E4BA6" w:rsidP="001F74E1">
      <w:pPr>
        <w:rPr>
          <w:rFonts w:eastAsia="SimSun"/>
          <w:lang w:val="fr-CH" w:eastAsia="zh-CN"/>
        </w:rPr>
      </w:pPr>
      <w:r w:rsidRPr="00F12802">
        <w:lastRenderedPageBreak/>
        <w:t>L</w:t>
      </w:r>
      <w:r>
        <w:rPr>
          <w:rFonts w:eastAsia="SimSun"/>
          <w:lang w:val="fr-CH" w:eastAsia="zh-CN"/>
        </w:rPr>
        <w:t>es "</w:t>
      </w:r>
      <w:hyperlink r:id="rId24" w:history="1">
        <w:r w:rsidRPr="003E4BA6">
          <w:rPr>
            <w:rStyle w:val="Hyperlink"/>
            <w:rFonts w:eastAsia="SimSun"/>
            <w:lang w:val="fr-CH" w:eastAsia="zh-CN"/>
          </w:rPr>
          <w:t>Lignes directrices relatives à la création d'un secrétariat national de la normalisation (NSS) pour l'UIT-T</w:t>
        </w:r>
      </w:hyperlink>
      <w:r w:rsidR="00F12802">
        <w:rPr>
          <w:rFonts w:eastAsia="SimSun"/>
          <w:lang w:val="fr-CH" w:eastAsia="zh-CN"/>
        </w:rPr>
        <w:t>"</w:t>
      </w:r>
      <w:r>
        <w:rPr>
          <w:rFonts w:eastAsia="SimSun"/>
          <w:lang w:val="fr-CH" w:eastAsia="zh-CN"/>
        </w:rPr>
        <w:t xml:space="preserve">, </w:t>
      </w:r>
      <w:r w:rsidR="00B8473B" w:rsidRPr="007D72AD">
        <w:t>actuellement en cours de traduction dans les six langues officielles</w:t>
      </w:r>
      <w:r w:rsidR="00B8473B">
        <w:t xml:space="preserve"> </w:t>
      </w:r>
      <w:r w:rsidR="00B8473B" w:rsidRPr="007D72AD">
        <w:t>de l</w:t>
      </w:r>
      <w:r w:rsidR="00E645CC">
        <w:t>'</w:t>
      </w:r>
      <w:r w:rsidR="00F12802" w:rsidRPr="007D72AD">
        <w:t>U</w:t>
      </w:r>
      <w:r w:rsidR="00B8473B" w:rsidRPr="007D72AD">
        <w:t>nion,</w:t>
      </w:r>
      <w:r w:rsidR="00E645CC">
        <w:t xml:space="preserve"> </w:t>
      </w:r>
      <w:r w:rsidR="00B8473B">
        <w:t>s</w:t>
      </w:r>
      <w:r w:rsidR="00E645CC">
        <w:t>'</w:t>
      </w:r>
      <w:r w:rsidR="00B8473B">
        <w:t xml:space="preserve">inscrivent dans le mandat élargi </w:t>
      </w:r>
      <w:r w:rsidR="00B8473B">
        <w:rPr>
          <w:lang w:val="fr-CH"/>
        </w:rPr>
        <w:t xml:space="preserve">défini dans </w:t>
      </w:r>
      <w:r w:rsidR="00B8473B">
        <w:t>la Résolution 44 révisée</w:t>
      </w:r>
      <w:r w:rsidR="00F12802">
        <w:t>.</w:t>
      </w:r>
    </w:p>
    <w:p w:rsidR="003E4BA6" w:rsidRDefault="00F12802" w:rsidP="00E6393A">
      <w:pPr>
        <w:rPr>
          <w:rFonts w:eastAsiaTheme="minorEastAsia"/>
          <w:lang w:val="fr-CH" w:eastAsia="zh-CN"/>
        </w:rPr>
      </w:pPr>
      <w:r>
        <w:rPr>
          <w:lang w:val="fr-CH"/>
        </w:rPr>
        <w:t>C</w:t>
      </w:r>
      <w:r w:rsidR="00B8473B">
        <w:rPr>
          <w:lang w:val="fr-CH"/>
        </w:rPr>
        <w:t>es lignes directrices comprennent</w:t>
      </w:r>
      <w:r w:rsidR="00E645CC">
        <w:rPr>
          <w:lang w:val="fr-CH"/>
        </w:rPr>
        <w:t xml:space="preserve"> </w:t>
      </w:r>
      <w:r w:rsidR="00B8473B">
        <w:rPr>
          <w:lang w:val="fr-CH"/>
        </w:rPr>
        <w:t xml:space="preserve">une feuille de route </w:t>
      </w:r>
      <w:r>
        <w:rPr>
          <w:lang w:val="fr-CH"/>
        </w:rPr>
        <w:t>en plusieurs étapes</w:t>
      </w:r>
      <w:r w:rsidR="00E645CC">
        <w:rPr>
          <w:lang w:val="fr-CH"/>
        </w:rPr>
        <w:t xml:space="preserve"> </w:t>
      </w:r>
      <w:r w:rsidR="00B8473B">
        <w:rPr>
          <w:lang w:val="fr-CH"/>
        </w:rPr>
        <w:t>concernant la création d'un secrétariat national de la</w:t>
      </w:r>
      <w:r w:rsidR="00E645CC">
        <w:rPr>
          <w:lang w:val="fr-CH"/>
        </w:rPr>
        <w:t xml:space="preserve"> </w:t>
      </w:r>
      <w:r w:rsidR="00B8473B">
        <w:rPr>
          <w:lang w:val="fr-CH"/>
        </w:rPr>
        <w:t xml:space="preserve">normalisation, qui </w:t>
      </w:r>
      <w:r>
        <w:rPr>
          <w:lang w:val="fr-CH"/>
        </w:rPr>
        <w:t xml:space="preserve">porte sur </w:t>
      </w:r>
      <w:r w:rsidR="00B8473B">
        <w:rPr>
          <w:lang w:val="fr-CH"/>
        </w:rPr>
        <w:t>l'établissement des</w:t>
      </w:r>
      <w:r w:rsidR="00E645CC">
        <w:rPr>
          <w:lang w:val="fr-CH"/>
        </w:rPr>
        <w:t xml:space="preserve"> </w:t>
      </w:r>
      <w:r w:rsidR="00B8473B">
        <w:rPr>
          <w:lang w:val="fr-CH"/>
        </w:rPr>
        <w:t>bases juridiques applicables à l</w:t>
      </w:r>
      <w:r w:rsidR="00E645CC">
        <w:rPr>
          <w:lang w:val="fr-CH"/>
        </w:rPr>
        <w:t>'</w:t>
      </w:r>
      <w:r w:rsidR="00B8473B">
        <w:rPr>
          <w:lang w:val="fr-CH"/>
        </w:rPr>
        <w:t>entité</w:t>
      </w:r>
      <w:r w:rsidR="00E645CC">
        <w:rPr>
          <w:lang w:val="fr-CH"/>
        </w:rPr>
        <w:t xml:space="preserve"> </w:t>
      </w:r>
      <w:r w:rsidR="00B8473B">
        <w:rPr>
          <w:lang w:val="fr-CH"/>
        </w:rPr>
        <w:t>responsable</w:t>
      </w:r>
      <w:r w:rsidR="00E645CC">
        <w:rPr>
          <w:lang w:val="fr-CH"/>
        </w:rPr>
        <w:t xml:space="preserve"> </w:t>
      </w:r>
      <w:r w:rsidR="00B8473B">
        <w:rPr>
          <w:lang w:val="fr-CH"/>
        </w:rPr>
        <w:t>de sa gestion</w:t>
      </w:r>
      <w:r w:rsidR="00E645CC">
        <w:rPr>
          <w:lang w:val="fr-CH"/>
        </w:rPr>
        <w:t xml:space="preserve">, </w:t>
      </w:r>
      <w:r>
        <w:rPr>
          <w:lang w:val="fr-CH"/>
        </w:rPr>
        <w:t>l</w:t>
      </w:r>
      <w:r w:rsidR="00B8473B">
        <w:rPr>
          <w:lang w:val="fr-CH"/>
        </w:rPr>
        <w:t>es</w:t>
      </w:r>
      <w:r w:rsidR="00E645CC">
        <w:rPr>
          <w:lang w:val="fr-CH"/>
        </w:rPr>
        <w:t xml:space="preserve"> </w:t>
      </w:r>
      <w:r w:rsidR="00B8473B">
        <w:rPr>
          <w:lang w:val="fr-CH"/>
        </w:rPr>
        <w:t>bonnes pratiques à suivre pour l'analyse des ressources nécessaires et la constitution de groupes d'experts de la normalisation au niveau national. On y trouve aussi</w:t>
      </w:r>
      <w:r w:rsidR="00E645CC">
        <w:rPr>
          <w:lang w:val="fr-CH"/>
        </w:rPr>
        <w:t xml:space="preserve"> </w:t>
      </w:r>
      <w:r w:rsidR="00B8473B">
        <w:rPr>
          <w:lang w:val="fr-CH"/>
        </w:rPr>
        <w:t>des renseignements sur les responsabilités, la direction</w:t>
      </w:r>
      <w:r w:rsidR="00E645CC">
        <w:rPr>
          <w:lang w:val="fr-CH"/>
        </w:rPr>
        <w:t>,</w:t>
      </w:r>
      <w:r w:rsidR="00B8473B">
        <w:rPr>
          <w:lang w:val="fr-CH"/>
        </w:rPr>
        <w:t xml:space="preserve"> la composition et les méthodes de travail de chaque commission ou groupe d'experts </w:t>
      </w:r>
      <w:r>
        <w:rPr>
          <w:lang w:val="fr-CH"/>
        </w:rPr>
        <w:t xml:space="preserve">faisant partie </w:t>
      </w:r>
      <w:r w:rsidR="00B8473B">
        <w:rPr>
          <w:lang w:val="fr-CH"/>
        </w:rPr>
        <w:t>d'un secrétariat national de la</w:t>
      </w:r>
      <w:r w:rsidR="00E645CC">
        <w:rPr>
          <w:lang w:val="fr-CH"/>
        </w:rPr>
        <w:t xml:space="preserve"> </w:t>
      </w:r>
      <w:r w:rsidR="00B8473B">
        <w:rPr>
          <w:lang w:val="fr-CH"/>
        </w:rPr>
        <w:t>normalisation</w:t>
      </w:r>
      <w:r>
        <w:rPr>
          <w:lang w:val="fr-CH"/>
        </w:rPr>
        <w:t xml:space="preserve"> efficace</w:t>
      </w:r>
      <w:r w:rsidR="00B8473B">
        <w:rPr>
          <w:lang w:val="fr-CH"/>
        </w:rPr>
        <w:t xml:space="preserve">. Les pays </w:t>
      </w:r>
      <w:r>
        <w:rPr>
          <w:lang w:val="fr-CH"/>
        </w:rPr>
        <w:t xml:space="preserve">désireux de </w:t>
      </w:r>
      <w:r w:rsidR="00B8473B">
        <w:rPr>
          <w:lang w:val="fr-CH"/>
        </w:rPr>
        <w:t>créer un tel secrétariat peuvent se mettre en rapport avec le TSB pour obtenir une assistance technique.</w:t>
      </w:r>
      <w:r w:rsidR="00E645CC">
        <w:rPr>
          <w:lang w:val="fr-CH"/>
        </w:rPr>
        <w:t xml:space="preserve"> </w:t>
      </w:r>
      <w:r w:rsidR="00B8473B">
        <w:rPr>
          <w:lang w:val="fr-CH"/>
        </w:rPr>
        <w:t xml:space="preserve">La </w:t>
      </w:r>
      <w:r w:rsidR="00E6393A">
        <w:rPr>
          <w:lang w:val="fr-CH"/>
        </w:rPr>
        <w:t>G</w:t>
      </w:r>
      <w:r w:rsidR="00B8473B">
        <w:rPr>
          <w:lang w:val="fr-CH"/>
        </w:rPr>
        <w:t xml:space="preserve">ambie a déjà contacté le TSB </w:t>
      </w:r>
      <w:r>
        <w:rPr>
          <w:lang w:val="fr-CH"/>
        </w:rPr>
        <w:t>a</w:t>
      </w:r>
      <w:r w:rsidR="00B8473B">
        <w:rPr>
          <w:lang w:val="fr-CH"/>
        </w:rPr>
        <w:t>fin d</w:t>
      </w:r>
      <w:r w:rsidR="001F74E1">
        <w:rPr>
          <w:lang w:val="fr-CH"/>
        </w:rPr>
        <w:t xml:space="preserve">'obtenir </w:t>
      </w:r>
      <w:r w:rsidR="00B8473B">
        <w:rPr>
          <w:lang w:val="fr-CH"/>
        </w:rPr>
        <w:t>une assistance technique pour la création d</w:t>
      </w:r>
      <w:r w:rsidR="00E645CC">
        <w:rPr>
          <w:lang w:val="fr-CH"/>
        </w:rPr>
        <w:t>'</w:t>
      </w:r>
      <w:r w:rsidR="00B8473B">
        <w:rPr>
          <w:lang w:val="fr-CH"/>
        </w:rPr>
        <w:t>un secrétariat de la normalisation.</w:t>
      </w:r>
    </w:p>
    <w:p w:rsidR="003E4BA6" w:rsidRPr="00987040" w:rsidRDefault="003E4BA6" w:rsidP="002353FF">
      <w:pPr>
        <w:pStyle w:val="Heading2"/>
      </w:pPr>
      <w:r w:rsidRPr="002353FF">
        <w:t>3.2</w:t>
      </w:r>
      <w:r w:rsidRPr="002353FF">
        <w:tab/>
      </w:r>
      <w:r w:rsidRPr="00987040">
        <w:t>Forum questions/réponses concernant les normes</w:t>
      </w:r>
    </w:p>
    <w:p w:rsidR="003E4BA6" w:rsidRDefault="00B8473B" w:rsidP="002353FF">
      <w:pPr>
        <w:rPr>
          <w:rFonts w:eastAsiaTheme="minorEastAsia"/>
          <w:lang w:val="fr-CH"/>
        </w:rPr>
      </w:pPr>
      <w:r w:rsidRPr="00651038">
        <w:t xml:space="preserve">En septembre 2011, le TSB a </w:t>
      </w:r>
      <w:r w:rsidR="002353FF">
        <w:t xml:space="preserve">créé </w:t>
      </w:r>
      <w:r w:rsidRPr="00651038">
        <w:t>le Forum questions/réponses concernant les normes</w:t>
      </w:r>
      <w:r w:rsidRPr="000A3AF9">
        <w:rPr>
          <w:rStyle w:val="FootnoteReference"/>
          <w:rFonts w:eastAsiaTheme="minorEastAsia"/>
          <w:szCs w:val="24"/>
          <w:lang w:eastAsia="zh-CN"/>
        </w:rPr>
        <w:footnoteReference w:id="1"/>
      </w:r>
      <w:r w:rsidRPr="00651038">
        <w:rPr>
          <w:rFonts w:eastAsiaTheme="minorEastAsia"/>
          <w:lang w:eastAsia="zh-CN"/>
        </w:rPr>
        <w:t xml:space="preserve">, qui permet à tout un chacun de poser </w:t>
      </w:r>
      <w:r w:rsidR="002353FF" w:rsidRPr="00651038">
        <w:rPr>
          <w:rFonts w:eastAsiaTheme="minorEastAsia"/>
          <w:lang w:eastAsia="zh-CN"/>
        </w:rPr>
        <w:t xml:space="preserve">directement </w:t>
      </w:r>
      <w:r w:rsidRPr="00651038">
        <w:rPr>
          <w:rFonts w:eastAsiaTheme="minorEastAsia"/>
          <w:lang w:eastAsia="zh-CN"/>
        </w:rPr>
        <w:t xml:space="preserve">des questions </w:t>
      </w:r>
      <w:r w:rsidR="002353FF" w:rsidRPr="00651038">
        <w:rPr>
          <w:rFonts w:eastAsiaTheme="minorEastAsia"/>
          <w:lang w:eastAsia="zh-CN"/>
        </w:rPr>
        <w:t xml:space="preserve">aux experts des </w:t>
      </w:r>
      <w:r w:rsidR="002353FF">
        <w:rPr>
          <w:rFonts w:eastAsiaTheme="minorEastAsia"/>
          <w:lang w:eastAsia="zh-CN"/>
        </w:rPr>
        <w:t>c</w:t>
      </w:r>
      <w:r w:rsidR="002353FF" w:rsidRPr="00651038">
        <w:rPr>
          <w:rFonts w:eastAsiaTheme="minorEastAsia"/>
          <w:lang w:eastAsia="zh-CN"/>
        </w:rPr>
        <w:t xml:space="preserve">ommissions d'études </w:t>
      </w:r>
      <w:r w:rsidRPr="00651038">
        <w:rPr>
          <w:rFonts w:eastAsiaTheme="minorEastAsia"/>
          <w:lang w:eastAsia="zh-CN"/>
        </w:rPr>
        <w:t xml:space="preserve">concernant la mise en </w:t>
      </w:r>
      <w:proofErr w:type="spellStart"/>
      <w:r w:rsidRPr="00651038">
        <w:rPr>
          <w:rFonts w:eastAsiaTheme="minorEastAsia"/>
          <w:lang w:eastAsia="zh-CN"/>
        </w:rPr>
        <w:t>oeuvre</w:t>
      </w:r>
      <w:proofErr w:type="spellEnd"/>
      <w:r w:rsidRPr="00651038">
        <w:rPr>
          <w:rFonts w:eastAsiaTheme="minorEastAsia"/>
          <w:lang w:eastAsia="zh-CN"/>
        </w:rPr>
        <w:t xml:space="preserve"> des Recommandations UIT-T.</w:t>
      </w:r>
      <w:r w:rsidRPr="00651038">
        <w:rPr>
          <w:rFonts w:eastAsiaTheme="minorEastAsia"/>
          <w:color w:val="000000"/>
          <w:lang w:eastAsia="zh-CN"/>
        </w:rPr>
        <w:t xml:space="preserve"> </w:t>
      </w:r>
      <w:r>
        <w:t>Ce</w:t>
      </w:r>
      <w:r w:rsidR="00E645CC">
        <w:t xml:space="preserve"> </w:t>
      </w:r>
      <w:r w:rsidR="002353FF" w:rsidRPr="00651038">
        <w:t>F</w:t>
      </w:r>
      <w:r w:rsidRPr="00651038">
        <w:t>orum ouvert permet</w:t>
      </w:r>
      <w:r w:rsidR="00E645CC">
        <w:t xml:space="preserve"> </w:t>
      </w:r>
      <w:r w:rsidRPr="00651038">
        <w:t>de poser des questions concernant les travaux de normalisation</w:t>
      </w:r>
      <w:r>
        <w:t xml:space="preserve"> et</w:t>
      </w:r>
      <w:r w:rsidR="00E645CC">
        <w:t xml:space="preserve"> </w:t>
      </w:r>
      <w:r w:rsidRPr="00651038">
        <w:t xml:space="preserve">est animé par des conseillers des </w:t>
      </w:r>
      <w:r>
        <w:t>c</w:t>
      </w:r>
      <w:r w:rsidRPr="00651038">
        <w:t xml:space="preserve">ommissions d'études du TSB. Il offre une occasion unique d'engager un dialogue avec les experts qui élaborent les normes sur lesquelles reposent les TIC. Le Forum est aussi une </w:t>
      </w:r>
      <w:r>
        <w:t>tribune pour l</w:t>
      </w:r>
      <w:r w:rsidR="00E645CC">
        <w:t>'</w:t>
      </w:r>
      <w:r w:rsidRPr="00651038">
        <w:t>échange</w:t>
      </w:r>
      <w:r>
        <w:t xml:space="preserve"> d</w:t>
      </w:r>
      <w:r w:rsidR="00E645CC">
        <w:t>'</w:t>
      </w:r>
      <w:r w:rsidRPr="00651038">
        <w:t>informations</w:t>
      </w:r>
      <w:r>
        <w:t xml:space="preserve"> entre </w:t>
      </w:r>
      <w:r w:rsidRPr="00651038">
        <w:t>pays développés et</w:t>
      </w:r>
      <w:r w:rsidR="00E645CC">
        <w:t xml:space="preserve"> </w:t>
      </w:r>
      <w:r w:rsidRPr="00651038">
        <w:t>pays en développement</w:t>
      </w:r>
      <w:r w:rsidR="00E645CC">
        <w:t xml:space="preserve"> </w:t>
      </w:r>
      <w:r w:rsidRPr="00651038">
        <w:t>sur l'application des Recommandations UIT</w:t>
      </w:r>
      <w:r w:rsidRPr="00651038">
        <w:noBreakHyphen/>
        <w:t>T</w:t>
      </w:r>
      <w:r w:rsidR="003E4BA6">
        <w:t>.</w:t>
      </w:r>
    </w:p>
    <w:p w:rsidR="003E4BA6" w:rsidRPr="002353FF" w:rsidRDefault="003E4BA6" w:rsidP="00E645CC">
      <w:pPr>
        <w:pStyle w:val="Heading1"/>
      </w:pPr>
      <w:r w:rsidRPr="002353FF">
        <w:t>4</w:t>
      </w:r>
      <w:r w:rsidRPr="002353FF">
        <w:tab/>
        <w:t>Programme 3: Renforcement des capacités des ressources humaines</w:t>
      </w:r>
    </w:p>
    <w:p w:rsidR="003E4BA6" w:rsidRPr="002353FF" w:rsidRDefault="003E4BA6" w:rsidP="00E645CC">
      <w:pPr>
        <w:pStyle w:val="Heading2"/>
      </w:pPr>
      <w:r w:rsidRPr="002353FF">
        <w:t>4.1</w:t>
      </w:r>
      <w:r w:rsidRPr="002353FF">
        <w:tab/>
      </w:r>
      <w:r w:rsidRPr="002226F5">
        <w:t xml:space="preserve">Cours de formation en ligne </w:t>
      </w:r>
      <w:r>
        <w:t>sur les m</w:t>
      </w:r>
      <w:r w:rsidRPr="002226F5">
        <w:t xml:space="preserve">éthodes de travail des </w:t>
      </w:r>
      <w:r w:rsidR="00B8473B">
        <w:t>c</w:t>
      </w:r>
      <w:r w:rsidRPr="002226F5">
        <w:t>ommissions d'études de l'UIT</w:t>
      </w:r>
      <w:r w:rsidRPr="002226F5">
        <w:noBreakHyphen/>
        <w:t>T</w:t>
      </w:r>
    </w:p>
    <w:p w:rsidR="00B8473B" w:rsidRPr="00875BC1" w:rsidRDefault="00B8473B" w:rsidP="002353FF">
      <w:r>
        <w:rPr>
          <w:spacing w:val="2"/>
        </w:rPr>
        <w:t xml:space="preserve">Par sa </w:t>
      </w:r>
      <w:r w:rsidR="00E645CC" w:rsidRPr="00875BC1">
        <w:rPr>
          <w:spacing w:val="2"/>
        </w:rPr>
        <w:t>Résolution</w:t>
      </w:r>
      <w:r w:rsidRPr="00875BC1">
        <w:rPr>
          <w:spacing w:val="2"/>
        </w:rPr>
        <w:t xml:space="preserve"> 44 </w:t>
      </w:r>
      <w:r>
        <w:rPr>
          <w:spacing w:val="2"/>
        </w:rPr>
        <w:t>(</w:t>
      </w:r>
      <w:proofErr w:type="spellStart"/>
      <w:r>
        <w:rPr>
          <w:spacing w:val="2"/>
        </w:rPr>
        <w:t>Rév.</w:t>
      </w:r>
      <w:r w:rsidRPr="00875BC1">
        <w:rPr>
          <w:spacing w:val="2"/>
        </w:rPr>
        <w:t>Dubai</w:t>
      </w:r>
      <w:proofErr w:type="spellEnd"/>
      <w:r w:rsidR="00E645CC">
        <w:rPr>
          <w:spacing w:val="2"/>
        </w:rPr>
        <w:t>,</w:t>
      </w:r>
      <w:r w:rsidR="002353FF">
        <w:rPr>
          <w:spacing w:val="2"/>
        </w:rPr>
        <w:t xml:space="preserve"> </w:t>
      </w:r>
      <w:r>
        <w:rPr>
          <w:spacing w:val="2"/>
        </w:rPr>
        <w:t>2012), l</w:t>
      </w:r>
      <w:r w:rsidR="00E645CC">
        <w:rPr>
          <w:spacing w:val="2"/>
        </w:rPr>
        <w:t>'</w:t>
      </w:r>
      <w:r>
        <w:rPr>
          <w:spacing w:val="2"/>
        </w:rPr>
        <w:t xml:space="preserve">AMNT </w:t>
      </w:r>
      <w:r w:rsidR="002353FF">
        <w:rPr>
          <w:spacing w:val="2"/>
        </w:rPr>
        <w:t xml:space="preserve">a </w:t>
      </w:r>
      <w:r>
        <w:rPr>
          <w:spacing w:val="2"/>
        </w:rPr>
        <w:t>invit</w:t>
      </w:r>
      <w:r w:rsidR="002353FF">
        <w:rPr>
          <w:spacing w:val="2"/>
        </w:rPr>
        <w:t>é</w:t>
      </w:r>
      <w:r>
        <w:rPr>
          <w:spacing w:val="2"/>
        </w:rPr>
        <w:t xml:space="preserve"> le Directeur du</w:t>
      </w:r>
      <w:r w:rsidR="00E645CC">
        <w:rPr>
          <w:spacing w:val="2"/>
        </w:rPr>
        <w:t xml:space="preserve"> </w:t>
      </w:r>
      <w:r w:rsidRPr="00875BC1">
        <w:rPr>
          <w:spacing w:val="2"/>
        </w:rPr>
        <w:t>TSB</w:t>
      </w:r>
      <w:r w:rsidR="00E645CC">
        <w:rPr>
          <w:spacing w:val="2"/>
        </w:rPr>
        <w:t xml:space="preserve"> </w:t>
      </w:r>
      <w:r>
        <w:rPr>
          <w:spacing w:val="2"/>
        </w:rPr>
        <w:t xml:space="preserve">à </w:t>
      </w:r>
      <w:r w:rsidRPr="00875BC1">
        <w:t>envisager</w:t>
      </w:r>
      <w:r>
        <w:t xml:space="preserve"> </w:t>
      </w:r>
      <w:r w:rsidR="002353FF">
        <w:t>également</w:t>
      </w:r>
      <w:r>
        <w:t xml:space="preserve"> l</w:t>
      </w:r>
      <w:r w:rsidR="00E645CC">
        <w:t>'</w:t>
      </w:r>
      <w:r>
        <w:t>utilisation</w:t>
      </w:r>
      <w:r w:rsidR="00E645CC">
        <w:t xml:space="preserve"> </w:t>
      </w:r>
      <w:r w:rsidRPr="00875BC1">
        <w:t xml:space="preserve">d'outils d'apprentissage en ligne pour </w:t>
      </w:r>
      <w:r>
        <w:t xml:space="preserve">diffuser des </w:t>
      </w:r>
      <w:r w:rsidRPr="00875BC1">
        <w:t>information</w:t>
      </w:r>
      <w:r>
        <w:t>s et des connaissances sur les</w:t>
      </w:r>
      <w:r w:rsidR="00E645CC">
        <w:t xml:space="preserve"> </w:t>
      </w:r>
      <w:r w:rsidRPr="00875BC1">
        <w:t>Recommandations UIT-T.</w:t>
      </w:r>
    </w:p>
    <w:p w:rsidR="00B8473B" w:rsidRPr="00420635" w:rsidRDefault="00B8473B" w:rsidP="002353FF">
      <w:r>
        <w:t xml:space="preserve">La </w:t>
      </w:r>
      <w:hyperlink r:id="rId25" w:history="1">
        <w:r w:rsidR="002353FF" w:rsidRPr="00467586">
          <w:rPr>
            <w:rStyle w:val="Hyperlink"/>
          </w:rPr>
          <w:t>pr</w:t>
        </w:r>
        <w:r w:rsidR="002353FF">
          <w:rPr>
            <w:rStyle w:val="Hyperlink"/>
          </w:rPr>
          <w:t>e</w:t>
        </w:r>
        <w:r w:rsidR="002353FF" w:rsidRPr="00467586">
          <w:rPr>
            <w:rStyle w:val="Hyperlink"/>
          </w:rPr>
          <w:t>m</w:t>
        </w:r>
        <w:r w:rsidR="002353FF">
          <w:rPr>
            <w:rStyle w:val="Hyperlink"/>
          </w:rPr>
          <w:t>iè</w:t>
        </w:r>
        <w:r w:rsidR="002353FF" w:rsidRPr="00467586">
          <w:rPr>
            <w:rStyle w:val="Hyperlink"/>
          </w:rPr>
          <w:t>r</w:t>
        </w:r>
        <w:r w:rsidR="002353FF">
          <w:rPr>
            <w:rStyle w:val="Hyperlink"/>
          </w:rPr>
          <w:t>e édition d'une</w:t>
        </w:r>
        <w:r w:rsidR="002353FF" w:rsidRPr="00467586">
          <w:rPr>
            <w:rStyle w:val="Hyperlink"/>
          </w:rPr>
          <w:t xml:space="preserve"> s</w:t>
        </w:r>
        <w:r w:rsidR="002353FF">
          <w:rPr>
            <w:rStyle w:val="Hyperlink"/>
          </w:rPr>
          <w:t>é</w:t>
        </w:r>
        <w:r w:rsidR="002353FF" w:rsidRPr="00467586">
          <w:rPr>
            <w:rStyle w:val="Hyperlink"/>
          </w:rPr>
          <w:t>rie</w:t>
        </w:r>
      </w:hyperlink>
      <w:r w:rsidR="00E645CC">
        <w:t xml:space="preserve"> </w:t>
      </w:r>
      <w:r w:rsidRPr="0083713D">
        <w:t>de nou</w:t>
      </w:r>
      <w:r>
        <w:t>v</w:t>
      </w:r>
      <w:r w:rsidRPr="0083713D">
        <w:t>eaux cours de formation en ligne de l</w:t>
      </w:r>
      <w:r w:rsidR="00E645CC">
        <w:t>'</w:t>
      </w:r>
      <w:r w:rsidRPr="0083713D">
        <w:t>UIT</w:t>
      </w:r>
      <w:r>
        <w:t>-T</w:t>
      </w:r>
      <w:r w:rsidR="00E645CC">
        <w:t xml:space="preserve"> </w:t>
      </w:r>
      <w:r>
        <w:t>est désormais accessible</w:t>
      </w:r>
      <w:r w:rsidR="00E645CC">
        <w:t xml:space="preserve"> </w:t>
      </w:r>
      <w:r w:rsidRPr="0083713D">
        <w:t>dans le cadre de l'</w:t>
      </w:r>
      <w:hyperlink r:id="rId26" w:history="1">
        <w:r w:rsidR="002353FF" w:rsidRPr="00467586">
          <w:rPr>
            <w:rStyle w:val="Hyperlink"/>
          </w:rPr>
          <w:t>Acad</w:t>
        </w:r>
        <w:r w:rsidR="002353FF">
          <w:rPr>
            <w:rStyle w:val="Hyperlink"/>
          </w:rPr>
          <w:t>é</w:t>
        </w:r>
        <w:r w:rsidR="002353FF" w:rsidRPr="00467586">
          <w:rPr>
            <w:rStyle w:val="Hyperlink"/>
          </w:rPr>
          <w:t>m</w:t>
        </w:r>
      </w:hyperlink>
      <w:r w:rsidR="002353FF" w:rsidRPr="00467586">
        <w:rPr>
          <w:rStyle w:val="Hyperlink"/>
        </w:rPr>
        <w:t>i</w:t>
      </w:r>
      <w:r w:rsidR="002353FF">
        <w:rPr>
          <w:rStyle w:val="Hyperlink"/>
        </w:rPr>
        <w:t>e</w:t>
      </w:r>
      <w:r w:rsidR="002353FF" w:rsidRPr="00467586">
        <w:rPr>
          <w:rStyle w:val="Hyperlink"/>
        </w:rPr>
        <w:t xml:space="preserve"> de l</w:t>
      </w:r>
      <w:r w:rsidR="002353FF">
        <w:rPr>
          <w:rStyle w:val="Hyperlink"/>
        </w:rPr>
        <w:t>'</w:t>
      </w:r>
      <w:r w:rsidR="002353FF" w:rsidRPr="00467586">
        <w:rPr>
          <w:rStyle w:val="Hyperlink"/>
        </w:rPr>
        <w:t>UIT</w:t>
      </w:r>
      <w:r w:rsidRPr="0083713D">
        <w:t>.</w:t>
      </w:r>
      <w:r>
        <w:t xml:space="preserve"> Ce </w:t>
      </w:r>
      <w:r w:rsidRPr="00420635">
        <w:t>cours</w:t>
      </w:r>
      <w:r>
        <w:t>, qui</w:t>
      </w:r>
      <w:r w:rsidR="00E645CC">
        <w:t xml:space="preserve"> </w:t>
      </w:r>
      <w:r>
        <w:t>est fondé sur la</w:t>
      </w:r>
      <w:r w:rsidR="00E645CC">
        <w:t xml:space="preserve"> </w:t>
      </w:r>
      <w:hyperlink r:id="rId27" w:history="1">
        <w:r w:rsidR="002353FF" w:rsidRPr="003E4BA6">
          <w:rPr>
            <w:rStyle w:val="Hyperlink"/>
            <w:lang w:val="fr-CH"/>
          </w:rPr>
          <w:t>Recommandation UIT-T A.1</w:t>
        </w:r>
      </w:hyperlink>
      <w:r w:rsidR="00E645CC">
        <w:t xml:space="preserve"> </w:t>
      </w:r>
      <w:r w:rsidR="002353FF">
        <w:t>"</w:t>
      </w:r>
      <w:r w:rsidRPr="00420635">
        <w:t xml:space="preserve">Méthodes de travail des </w:t>
      </w:r>
      <w:r w:rsidR="002353FF">
        <w:t>c</w:t>
      </w:r>
      <w:r w:rsidRPr="00420635">
        <w:t>ommissions d'études du Secteur de la normalisation des télécommunications de l'UIT</w:t>
      </w:r>
      <w:r w:rsidR="002353FF">
        <w:t>"</w:t>
      </w:r>
      <w:r>
        <w:t>, est une</w:t>
      </w:r>
      <w:r w:rsidR="00E645CC">
        <w:t xml:space="preserve"> </w:t>
      </w:r>
      <w:r w:rsidRPr="00420635">
        <w:t xml:space="preserve">introduction </w:t>
      </w:r>
      <w:r>
        <w:t>aux structures de gestion, aux mécanismes de coordination et aux</w:t>
      </w:r>
      <w:r w:rsidR="00E645CC">
        <w:t xml:space="preserve"> </w:t>
      </w:r>
      <w:r w:rsidRPr="00420635">
        <w:t>procédures fonctionnelles des commissions d'études de l'UIT-T.</w:t>
      </w:r>
    </w:p>
    <w:p w:rsidR="00B8473B" w:rsidRPr="00C435E4" w:rsidRDefault="00B8473B" w:rsidP="002353FF">
      <w:r w:rsidRPr="00420635">
        <w:t>Le principal objectif de ce cours est de présenter aux délégués des commissions d'études de l'UIT-T la structure, la gestion, les mécanismes de coordination et les procédures fonctionnelles des commissions d'études de l'UIT-T, tels que définis dans la Recommandation UIT-T A.1.</w:t>
      </w:r>
      <w:r w:rsidRPr="00C435E4">
        <w:t xml:space="preserve"> </w:t>
      </w:r>
      <w:r w:rsidR="002353FF">
        <w:t xml:space="preserve">Cette Recommandation </w:t>
      </w:r>
      <w:r>
        <w:t>décrit les m</w:t>
      </w:r>
      <w:r w:rsidRPr="00C435E4">
        <w:t xml:space="preserve">éthodes de travail </w:t>
      </w:r>
      <w:r>
        <w:t xml:space="preserve">générales </w:t>
      </w:r>
      <w:r w:rsidRPr="00C435E4">
        <w:t xml:space="preserve">des </w:t>
      </w:r>
      <w:r>
        <w:t>c</w:t>
      </w:r>
      <w:r w:rsidRPr="00C435E4">
        <w:t>ommissions d'études de l'UIT-T.</w:t>
      </w:r>
      <w:r>
        <w:t xml:space="preserve"> Le cours s</w:t>
      </w:r>
      <w:r w:rsidR="00E645CC">
        <w:t>'</w:t>
      </w:r>
      <w:r>
        <w:t xml:space="preserve">adresse aux délégués participant aux réunions des </w:t>
      </w:r>
      <w:r w:rsidRPr="00420635">
        <w:t xml:space="preserve">commissions d'études de l'UIT-T, </w:t>
      </w:r>
      <w:r>
        <w:t xml:space="preserve">en </w:t>
      </w:r>
      <w:r>
        <w:lastRenderedPageBreak/>
        <w:t>particulier aux nouveaux participants</w:t>
      </w:r>
      <w:r w:rsidRPr="00131411">
        <w:t xml:space="preserve">. </w:t>
      </w:r>
      <w:r w:rsidRPr="00C435E4">
        <w:t xml:space="preserve">Chaque module – contenu du cours et questionnaire – est indépendant. Après avoir suivi le cours, les participants peuvent faire l'objet d'une évaluation finale en ligne. S'ils obtiennent au moins 80% des points, il leur sera </w:t>
      </w:r>
      <w:r w:rsidR="002353FF">
        <w:t>remis</w:t>
      </w:r>
      <w:r w:rsidRPr="00C435E4">
        <w:t xml:space="preserve"> un certificat.</w:t>
      </w:r>
    </w:p>
    <w:p w:rsidR="00B8473B" w:rsidRPr="00B8473B" w:rsidRDefault="00B8473B" w:rsidP="00E645CC">
      <w:pPr>
        <w:rPr>
          <w:rFonts w:eastAsiaTheme="minorEastAsia"/>
          <w:szCs w:val="24"/>
          <w:lang w:val="fr-CH"/>
        </w:rPr>
      </w:pPr>
      <w:r>
        <w:t xml:space="preserve">Un </w:t>
      </w:r>
      <w:r w:rsidRPr="0083713D">
        <w:t xml:space="preserve">cours de formation en ligne </w:t>
      </w:r>
      <w:r w:rsidRPr="00B143A4">
        <w:t>sur la qualité de service des réseaux mobiles</w:t>
      </w:r>
      <w:r>
        <w:t xml:space="preserve"> est actuellement élaboré en</w:t>
      </w:r>
      <w:r w:rsidR="00E645CC">
        <w:t xml:space="preserve"> </w:t>
      </w:r>
      <w:r w:rsidRPr="00B143A4">
        <w:t xml:space="preserve">collaboration </w:t>
      </w:r>
      <w:r>
        <w:t>avec le</w:t>
      </w:r>
      <w:r w:rsidR="00E645CC">
        <w:t xml:space="preserve"> </w:t>
      </w:r>
      <w:r w:rsidRPr="00B143A4">
        <w:t>BDT.</w:t>
      </w:r>
    </w:p>
    <w:p w:rsidR="003E4BA6" w:rsidRDefault="000A0540" w:rsidP="00E645CC">
      <w:pPr>
        <w:pStyle w:val="Heading2"/>
        <w:rPr>
          <w:lang w:val="fr-CH"/>
        </w:rPr>
      </w:pPr>
      <w:r>
        <w:rPr>
          <w:lang w:val="fr-CH"/>
        </w:rPr>
        <w:t>4.2</w:t>
      </w:r>
      <w:r w:rsidR="003E4BA6" w:rsidRPr="000A0540">
        <w:rPr>
          <w:lang w:val="fr-CH"/>
        </w:rPr>
        <w:tab/>
      </w:r>
      <w:r w:rsidRPr="000A0540">
        <w:rPr>
          <w:lang w:val="fr-CH"/>
        </w:rPr>
        <w:t>Organisation de séminaires et d'ateliers sur la normalisation des TIC</w:t>
      </w:r>
    </w:p>
    <w:p w:rsidR="00B8473B" w:rsidRDefault="00B8473B" w:rsidP="002353FF">
      <w:r w:rsidRPr="00FA5E00">
        <w:t xml:space="preserve">Des ateliers sur la réduction de l'écart en matière de normalisation (BSG) ont été organisés en 2011 à Fidji, en Algérie et au Moldova, en 2012 </w:t>
      </w:r>
      <w:r w:rsidR="002353FF">
        <w:t xml:space="preserve">en </w:t>
      </w:r>
      <w:r>
        <w:t>RDP</w:t>
      </w:r>
      <w:r w:rsidR="002353FF">
        <w:t xml:space="preserve"> Lao</w:t>
      </w:r>
      <w:r w:rsidR="00E645CC">
        <w:t xml:space="preserve"> </w:t>
      </w:r>
      <w:r w:rsidRPr="00FA5E00">
        <w:t>et en Inde</w:t>
      </w:r>
      <w:r w:rsidR="002353FF">
        <w:t>,</w:t>
      </w:r>
      <w:r w:rsidRPr="00FA5E00">
        <w:t xml:space="preserve"> </w:t>
      </w:r>
      <w:r>
        <w:t>et un</w:t>
      </w:r>
      <w:r w:rsidR="00E645CC">
        <w:t xml:space="preserve"> </w:t>
      </w:r>
      <w:r w:rsidRPr="00FA5E00">
        <w:t>Forum</w:t>
      </w:r>
      <w:r w:rsidR="00E645CC">
        <w:t xml:space="preserve"> </w:t>
      </w:r>
      <w:r>
        <w:t xml:space="preserve">régional </w:t>
      </w:r>
      <w:r w:rsidRPr="002D4BC9">
        <w:t xml:space="preserve">sur la normalisation des TIC </w:t>
      </w:r>
      <w:r>
        <w:t>s</w:t>
      </w:r>
      <w:r w:rsidR="00E645CC">
        <w:t>'</w:t>
      </w:r>
      <w:r>
        <w:t>est tenu</w:t>
      </w:r>
      <w:r w:rsidR="00E645CC">
        <w:t xml:space="preserve"> </w:t>
      </w:r>
      <w:r w:rsidRPr="00FA5E00">
        <w:t>en 2013 au Myanmar. Une formation pratique de deux semaines sur les Recommandations UIT-T relatives aux systèmes et câbles à fibres optiques a eu lieu</w:t>
      </w:r>
      <w:r w:rsidRPr="002D4BC9">
        <w:t xml:space="preserve"> </w:t>
      </w:r>
      <w:r w:rsidRPr="00FA5E00">
        <w:t>au Mexique en septembre 2011, sur la base du Manuel de l'UIT-T sur les câbles à fibres optiques.</w:t>
      </w:r>
    </w:p>
    <w:p w:rsidR="00B8473B" w:rsidRDefault="00B8473B" w:rsidP="002E47E7">
      <w:r w:rsidRPr="00FA5E00">
        <w:t xml:space="preserve">Un </w:t>
      </w:r>
      <w:r w:rsidR="002353FF">
        <w:t>F</w:t>
      </w:r>
      <w:r w:rsidRPr="00FA5E00">
        <w:t xml:space="preserve">orum régional sur la normalisation </w:t>
      </w:r>
      <w:r w:rsidRPr="002D4BC9">
        <w:t xml:space="preserve">des TIC </w:t>
      </w:r>
      <w:r w:rsidRPr="00FA5E00">
        <w:t xml:space="preserve">à l'intention des pays de la région des Etats arabes s'est tenu à Tunis le 27 janvier 2014. Trois autres forums régionaux sur la normalisation sont </w:t>
      </w:r>
      <w:r>
        <w:t>prévus</w:t>
      </w:r>
      <w:r w:rsidR="00E645CC">
        <w:t xml:space="preserve"> </w:t>
      </w:r>
      <w:r w:rsidRPr="00FA5E00">
        <w:t>en 2014 pour d'autres régions.</w:t>
      </w:r>
    </w:p>
    <w:p w:rsidR="00B8473B" w:rsidRPr="0053740B" w:rsidRDefault="00B8473B" w:rsidP="002353FF">
      <w:r w:rsidRPr="00FA5E00">
        <w:t>En 2012, des formations pratiques à l'intention des délégués et des membres des équipes dirigeantes</w:t>
      </w:r>
      <w:r>
        <w:t xml:space="preserve"> des commissions d</w:t>
      </w:r>
      <w:r w:rsidR="00E645CC">
        <w:t>'</w:t>
      </w:r>
      <w:r>
        <w:t>études de l</w:t>
      </w:r>
      <w:r w:rsidR="00E645CC">
        <w:t>'</w:t>
      </w:r>
      <w:r>
        <w:t>UIT-T</w:t>
      </w:r>
      <w:r w:rsidR="00E645CC">
        <w:t xml:space="preserve"> </w:t>
      </w:r>
      <w:r w:rsidRPr="00FA5E00">
        <w:t xml:space="preserve">ont </w:t>
      </w:r>
      <w:r w:rsidR="002353FF">
        <w:t xml:space="preserve">été </w:t>
      </w:r>
      <w:proofErr w:type="gramStart"/>
      <w:r w:rsidR="002353FF">
        <w:t>dispensées</w:t>
      </w:r>
      <w:proofErr w:type="gramEnd"/>
      <w:r w:rsidRPr="00FA5E00">
        <w:t xml:space="preserve"> à Genève, en Corée et en Thaïlande; une formation pratique a également été proposée en janvier 2013 aux nouvelles équipes dirigeantes des commissions d'études et du GCNT. Le premier cours d'apprentissage en ligne organisé par l'UIT-T, à savoir un cours de deux heures sur la Recommandation UIT-T A.1 (Méthodes de travail de l'UIT-T), a été </w:t>
      </w:r>
      <w:r>
        <w:t>proposé</w:t>
      </w:r>
      <w:r w:rsidRPr="00FA5E00">
        <w:t xml:space="preserve"> en janvier 2014.</w:t>
      </w:r>
    </w:p>
    <w:p w:rsidR="00B8473B" w:rsidRDefault="00B8473B" w:rsidP="002353FF">
      <w:r w:rsidRPr="0053740B">
        <w:t>Quatre ateliers didactiques sur la normalisation ont été organisés dans les pays suivants: Malaisie, Inde, Fidji et Algérie. Ces ateliers didactiques sur la simulation de réunion</w:t>
      </w:r>
      <w:r>
        <w:t>s</w:t>
      </w:r>
      <w:r w:rsidRPr="0053740B">
        <w:t xml:space="preserve"> de </w:t>
      </w:r>
      <w:r>
        <w:t>c</w:t>
      </w:r>
      <w:r w:rsidRPr="0053740B">
        <w:t>ommission</w:t>
      </w:r>
      <w:r>
        <w:t>s</w:t>
      </w:r>
      <w:r w:rsidRPr="0053740B">
        <w:t xml:space="preserve"> d'études ont été à la fois didactiques et interactif</w:t>
      </w:r>
      <w:r>
        <w:t>s</w:t>
      </w:r>
      <w:r w:rsidRPr="0053740B">
        <w:t xml:space="preserve">. Ils ont permis </w:t>
      </w:r>
      <w:r>
        <w:t>de fournir</w:t>
      </w:r>
      <w:r w:rsidRPr="0053740B">
        <w:t xml:space="preserve"> des informations générales sur les méthodes de normalisation et d'apprendre aux participants à </w:t>
      </w:r>
      <w:r w:rsidR="002353FF">
        <w:t xml:space="preserve">prendre </w:t>
      </w:r>
      <w:r>
        <w:t>part plus efficacement aux</w:t>
      </w:r>
      <w:r w:rsidR="00E645CC">
        <w:t xml:space="preserve"> </w:t>
      </w:r>
      <w:r w:rsidRPr="0053740B">
        <w:t>réunions organisées par l'UIT-T.</w:t>
      </w:r>
    </w:p>
    <w:p w:rsidR="009569EF" w:rsidRPr="009569EF" w:rsidRDefault="00530279" w:rsidP="00530279">
      <w:r w:rsidRPr="00562911">
        <w:t xml:space="preserve">Des ateliers et des manifestations axées sur le renforcement des capacités ont été organisés en étroite collaboration avec le BDT </w:t>
      </w:r>
      <w:r>
        <w:t>et le</w:t>
      </w:r>
      <w:r w:rsidRPr="00562911">
        <w:t xml:space="preserve"> BR, </w:t>
      </w:r>
      <w:r>
        <w:t>y compris les bureaux de zone et les bureaux régionaux de l'UIT.</w:t>
      </w:r>
    </w:p>
    <w:p w:rsidR="003E4BA6" w:rsidRPr="002353FF" w:rsidRDefault="00954289" w:rsidP="002353FF">
      <w:pPr>
        <w:pStyle w:val="Heading2"/>
        <w:rPr>
          <w:lang w:val="fr-CH"/>
        </w:rPr>
      </w:pPr>
      <w:r w:rsidRPr="002353FF">
        <w:rPr>
          <w:lang w:val="fr-CH"/>
        </w:rPr>
        <w:t>4.3</w:t>
      </w:r>
      <w:r w:rsidR="003E4BA6" w:rsidRPr="002353FF">
        <w:rPr>
          <w:lang w:val="fr-CH"/>
        </w:rPr>
        <w:tab/>
      </w:r>
      <w:r w:rsidR="00B8473B" w:rsidRPr="002353FF">
        <w:rPr>
          <w:lang w:val="fr-CH"/>
        </w:rPr>
        <w:t>Octroi de bourses aux pays en développement</w:t>
      </w:r>
    </w:p>
    <w:p w:rsidR="00B8473B" w:rsidRPr="002353FF" w:rsidRDefault="00B8473B" w:rsidP="002353FF">
      <w:r w:rsidRPr="002353FF">
        <w:t>Le programme de bourses, dont peuvent bénéficier les pays remplissant les conditions pour assister aux réunions des dix commissions d'études de l'UIT-T, est très apprécié. Le nombre de réunions organisées dans les régions continue de croître, et la participation à distance est désormais possible pour toutes les réunions des commissions d'études.</w:t>
      </w:r>
    </w:p>
    <w:p w:rsidR="00954289" w:rsidRPr="00954289" w:rsidRDefault="00B8473B" w:rsidP="00530279">
      <w:pPr>
        <w:rPr>
          <w:lang w:val="fr-CH"/>
        </w:rPr>
      </w:pPr>
      <w:r>
        <w:t>L</w:t>
      </w:r>
      <w:r w:rsidR="00E645CC">
        <w:t>'</w:t>
      </w:r>
      <w:r>
        <w:t>UIT a</w:t>
      </w:r>
      <w:r w:rsidRPr="00707E4A">
        <w:t xml:space="preserve"> facilité la participation à </w:t>
      </w:r>
      <w:r>
        <w:t>ses</w:t>
      </w:r>
      <w:r w:rsidRPr="00707E4A">
        <w:t xml:space="preserve"> réunions de différentes manières. Si auparavant, seule la Commission d'études 3 de l'UIT-T offrait des bourses partielles, désormais une bourse complète ou deux bourses partielles peuvent être accordées pour les réunions de toutes les </w:t>
      </w:r>
      <w:r w:rsidR="00530279">
        <w:t>c</w:t>
      </w:r>
      <w:r w:rsidRPr="00707E4A">
        <w:t xml:space="preserve">ommissions d'études, qui sont au nombre de dix. Les bourses </w:t>
      </w:r>
      <w:r>
        <w:t>de l</w:t>
      </w:r>
      <w:r w:rsidR="00E645CC">
        <w:t>'</w:t>
      </w:r>
      <w:r w:rsidRPr="00707E4A">
        <w:t>UIT sont accordées uniquement à des pays dont le PIB annuel par habitant ne dépasse pas 2</w:t>
      </w:r>
      <w:r w:rsidR="00530279">
        <w:t> </w:t>
      </w:r>
      <w:r w:rsidRPr="00707E4A">
        <w:t>000 USD</w:t>
      </w:r>
      <w:r w:rsidR="00530279">
        <w:t>,</w:t>
      </w:r>
      <w:r w:rsidRPr="00707E4A">
        <w:t xml:space="preserve"> selon les calculs de la Banque mondiale.</w:t>
      </w:r>
    </w:p>
    <w:p w:rsidR="003E4BA6" w:rsidRPr="00954289" w:rsidRDefault="005D5BDE" w:rsidP="00E645CC">
      <w:pPr>
        <w:pStyle w:val="Heading1"/>
        <w:rPr>
          <w:lang w:val="fr-CH"/>
        </w:rPr>
      </w:pPr>
      <w:r>
        <w:rPr>
          <w:lang w:val="fr-CH"/>
        </w:rPr>
        <w:lastRenderedPageBreak/>
        <w:t>5</w:t>
      </w:r>
      <w:r w:rsidR="003E4BA6" w:rsidRPr="00954289">
        <w:rPr>
          <w:lang w:val="fr-CH"/>
        </w:rPr>
        <w:tab/>
      </w:r>
      <w:r w:rsidR="00B8473B">
        <w:rPr>
          <w:lang w:val="fr-CH"/>
        </w:rPr>
        <w:t xml:space="preserve">Appel de </w:t>
      </w:r>
      <w:r w:rsidR="00B8473B">
        <w:rPr>
          <w:bCs/>
        </w:rPr>
        <w:t>f</w:t>
      </w:r>
      <w:r w:rsidR="00B8473B" w:rsidRPr="00044ACF">
        <w:rPr>
          <w:bCs/>
        </w:rPr>
        <w:t>onds pour la réduction de l'écart en matière de normalisation</w:t>
      </w:r>
    </w:p>
    <w:p w:rsidR="003E4BA6" w:rsidRPr="00954289" w:rsidRDefault="00B8473B" w:rsidP="00530279">
      <w:pPr>
        <w:rPr>
          <w:lang w:val="fr-CH"/>
        </w:rPr>
      </w:pPr>
      <w:r w:rsidRPr="005419DE">
        <w:t>En application de la Résolution 44 de l'AMNT</w:t>
      </w:r>
      <w:r w:rsidR="00530279">
        <w:t>-0</w:t>
      </w:r>
      <w:r w:rsidRPr="005419DE">
        <w:t xml:space="preserve">4, </w:t>
      </w:r>
      <w:r>
        <w:t>un</w:t>
      </w:r>
      <w:r w:rsidR="00E645CC">
        <w:t xml:space="preserve"> </w:t>
      </w:r>
      <w:r w:rsidRPr="005419DE">
        <w:t xml:space="preserve">Fonds volontaire pour la réduction de l'écart en matière de normalisation a été </w:t>
      </w:r>
      <w:r>
        <w:t>institué</w:t>
      </w:r>
      <w:r w:rsidRPr="005419DE">
        <w:t xml:space="preserve"> en août 2007. Les contributions à ce Fonds </w:t>
      </w:r>
      <w:r w:rsidR="00530279">
        <w:t>pro</w:t>
      </w:r>
      <w:r w:rsidRPr="005419DE">
        <w:t>viennent notamment de Nokia Siemens Networks, Microsoft, Cisco et la</w:t>
      </w:r>
      <w:r w:rsidR="00E645CC">
        <w:t xml:space="preserve"> </w:t>
      </w:r>
      <w:r w:rsidRPr="005419DE">
        <w:t>Corée</w:t>
      </w:r>
      <w:r w:rsidR="00530279">
        <w:t>. L</w:t>
      </w:r>
      <w:r w:rsidRPr="005419DE">
        <w:t>e Fonds a</w:t>
      </w:r>
      <w:r w:rsidR="00E645CC">
        <w:t xml:space="preserve"> </w:t>
      </w:r>
      <w:r w:rsidRPr="005419DE">
        <w:t xml:space="preserve">notamment </w:t>
      </w:r>
      <w:r>
        <w:t>servi au financement d</w:t>
      </w:r>
      <w:r w:rsidR="00E645CC">
        <w:t>'</w:t>
      </w:r>
      <w:r w:rsidRPr="005419DE">
        <w:t>un</w:t>
      </w:r>
      <w:r w:rsidR="00E645CC">
        <w:t xml:space="preserve"> </w:t>
      </w:r>
      <w:r w:rsidRPr="005419DE">
        <w:t xml:space="preserve">nombre </w:t>
      </w:r>
      <w:r>
        <w:t xml:space="preserve">accru </w:t>
      </w:r>
      <w:r w:rsidRPr="005419DE">
        <w:t>de manifestations dans les pays en développement, parmi lesquelles les formations</w:t>
      </w:r>
      <w:r>
        <w:t xml:space="preserve"> pratiques</w:t>
      </w:r>
      <w:r w:rsidR="00E645CC">
        <w:t xml:space="preserve"> </w:t>
      </w:r>
      <w:r w:rsidRPr="005419DE">
        <w:t>sur les systèmes</w:t>
      </w:r>
      <w:r w:rsidRPr="00C43D59">
        <w:t xml:space="preserve"> </w:t>
      </w:r>
      <w:r w:rsidR="00530279">
        <w:t xml:space="preserve">et </w:t>
      </w:r>
      <w:r w:rsidR="00530279" w:rsidRPr="005419DE">
        <w:t>câbles</w:t>
      </w:r>
      <w:r w:rsidR="00530279">
        <w:t xml:space="preserve"> </w:t>
      </w:r>
      <w:r>
        <w:t>à</w:t>
      </w:r>
      <w:r w:rsidRPr="005419DE">
        <w:t xml:space="preserve"> fibres</w:t>
      </w:r>
      <w:r w:rsidR="00E645CC">
        <w:t xml:space="preserve"> </w:t>
      </w:r>
      <w:r w:rsidRPr="005419DE">
        <w:t xml:space="preserve">optiques organisées au Rwanda et au Mexique. Il a également </w:t>
      </w:r>
      <w:r>
        <w:t>été utilisé pour l</w:t>
      </w:r>
      <w:r w:rsidR="00E645CC">
        <w:t>'</w:t>
      </w:r>
      <w:r>
        <w:t>octroi</w:t>
      </w:r>
      <w:r w:rsidR="00E645CC">
        <w:t xml:space="preserve"> </w:t>
      </w:r>
      <w:r w:rsidRPr="005419DE">
        <w:t>de</w:t>
      </w:r>
      <w:r w:rsidR="00E645CC">
        <w:t xml:space="preserve"> </w:t>
      </w:r>
      <w:r w:rsidRPr="005419DE">
        <w:t>bourses</w:t>
      </w:r>
      <w:r w:rsidR="00E645CC">
        <w:t xml:space="preserve"> </w:t>
      </w:r>
      <w:r w:rsidRPr="005419DE">
        <w:t>à des participants de</w:t>
      </w:r>
      <w:r w:rsidR="00E645CC">
        <w:t xml:space="preserve"> </w:t>
      </w:r>
      <w:r w:rsidRPr="005419DE">
        <w:t>pays en développement</w:t>
      </w:r>
      <w:r w:rsidR="00530279">
        <w:t>,</w:t>
      </w:r>
      <w:r w:rsidRPr="005419DE">
        <w:t xml:space="preserve"> </w:t>
      </w:r>
      <w:r>
        <w:t>en vue de leur participation</w:t>
      </w:r>
      <w:r w:rsidRPr="005419DE">
        <w:t xml:space="preserve"> aux ateliers sur la réduction de l'écart en matière de normalisation</w:t>
      </w:r>
      <w:r w:rsidR="00530279">
        <w:t>,</w:t>
      </w:r>
      <w:r>
        <w:t xml:space="preserve"> et pour l</w:t>
      </w:r>
      <w:r w:rsidR="00E645CC">
        <w:t>'</w:t>
      </w:r>
      <w:r>
        <w:t>élaboration de manuels et de rapports techniques</w:t>
      </w:r>
      <w:r w:rsidR="00954289">
        <w:t>.</w:t>
      </w:r>
    </w:p>
    <w:p w:rsidR="003E4BA6" w:rsidRPr="006929BC" w:rsidRDefault="00B8473B" w:rsidP="00530279">
      <w:pPr>
        <w:rPr>
          <w:lang w:val="fr-CH"/>
        </w:rPr>
      </w:pPr>
      <w:r w:rsidRPr="000C02D1">
        <w:t xml:space="preserve">Le montant total des contributions reçues pour le Fonds s'élève à 289 070 CHF. </w:t>
      </w:r>
      <w:r w:rsidRPr="003630DF">
        <w:t>D</w:t>
      </w:r>
      <w:r w:rsidR="00E645CC">
        <w:t>'</w:t>
      </w:r>
      <w:r w:rsidRPr="003630DF">
        <w:t>autres contributions du</w:t>
      </w:r>
      <w:r w:rsidR="00E645CC">
        <w:t xml:space="preserve"> </w:t>
      </w:r>
      <w:r w:rsidRPr="003630DF">
        <w:t>Canada et de</w:t>
      </w:r>
      <w:r w:rsidR="00E645CC">
        <w:t xml:space="preserve"> </w:t>
      </w:r>
      <w:r w:rsidRPr="003630DF">
        <w:t>Microsoft ont été reçues respectivement en</w:t>
      </w:r>
      <w:r w:rsidR="00E645CC">
        <w:t xml:space="preserve"> </w:t>
      </w:r>
      <w:r w:rsidRPr="003630DF">
        <w:t xml:space="preserve">2012 </w:t>
      </w:r>
      <w:r>
        <w:t xml:space="preserve">et </w:t>
      </w:r>
      <w:r w:rsidRPr="003630DF">
        <w:t>2013</w:t>
      </w:r>
      <w:r w:rsidR="00E645CC">
        <w:t>.</w:t>
      </w:r>
      <w:r w:rsidRPr="003630DF">
        <w:t xml:space="preserve"> Le montant total </w:t>
      </w:r>
      <w:r>
        <w:t xml:space="preserve">du </w:t>
      </w:r>
      <w:r w:rsidRPr="000C02D1">
        <w:t>Fonds</w:t>
      </w:r>
      <w:r>
        <w:t xml:space="preserve"> s</w:t>
      </w:r>
      <w:r w:rsidR="00E645CC">
        <w:t>'</w:t>
      </w:r>
      <w:r>
        <w:t xml:space="preserve">établissait à </w:t>
      </w:r>
      <w:r w:rsidRPr="003630DF">
        <w:t>158</w:t>
      </w:r>
      <w:r w:rsidR="00530279">
        <w:t xml:space="preserve"> </w:t>
      </w:r>
      <w:r w:rsidRPr="003630DF">
        <w:t>679 CHF fin mai</w:t>
      </w:r>
      <w:r w:rsidR="00E645CC">
        <w:t xml:space="preserve"> </w:t>
      </w:r>
      <w:r>
        <w:t>2014</w:t>
      </w:r>
      <w:r w:rsidR="00530279">
        <w:t>.</w:t>
      </w:r>
    </w:p>
    <w:p w:rsidR="003E4BA6" w:rsidRDefault="003E4BA6" w:rsidP="00530279">
      <w:pPr>
        <w:pStyle w:val="Heading1"/>
        <w:rPr>
          <w:lang w:val="fr-CH"/>
        </w:rPr>
      </w:pPr>
      <w:r w:rsidRPr="005D5BDE">
        <w:rPr>
          <w:lang w:val="fr-CH"/>
        </w:rPr>
        <w:t>6</w:t>
      </w:r>
      <w:r w:rsidRPr="005D5BDE">
        <w:rPr>
          <w:lang w:val="fr-CH"/>
        </w:rPr>
        <w:tab/>
      </w:r>
      <w:r w:rsidR="00B8473B" w:rsidRPr="00AC21DD">
        <w:rPr>
          <w:bCs/>
        </w:rPr>
        <w:t xml:space="preserve">Résultats </w:t>
      </w:r>
      <w:r w:rsidR="005D5BDE" w:rsidRPr="005D5BDE">
        <w:rPr>
          <w:lang w:val="fr-CH"/>
        </w:rPr>
        <w:t xml:space="preserve">de la Conférence mondiale de développement des télécommunications </w:t>
      </w:r>
      <w:r w:rsidR="00530279">
        <w:rPr>
          <w:lang w:val="fr-CH"/>
        </w:rPr>
        <w:t>(</w:t>
      </w:r>
      <w:r w:rsidR="005D5BDE">
        <w:rPr>
          <w:lang w:val="fr-CH"/>
        </w:rPr>
        <w:t>Dubaï</w:t>
      </w:r>
      <w:r w:rsidR="00530279">
        <w:rPr>
          <w:lang w:val="fr-CH"/>
        </w:rPr>
        <w:t>,</w:t>
      </w:r>
      <w:r w:rsidR="005D5BDE">
        <w:rPr>
          <w:lang w:val="fr-CH"/>
        </w:rPr>
        <w:t xml:space="preserve"> 2014</w:t>
      </w:r>
      <w:r w:rsidR="00530279">
        <w:rPr>
          <w:lang w:val="fr-CH"/>
        </w:rPr>
        <w:t>)</w:t>
      </w:r>
      <w:r w:rsidR="005D5BDE">
        <w:rPr>
          <w:lang w:val="fr-CH"/>
        </w:rPr>
        <w:t xml:space="preserve"> (CMDT-</w:t>
      </w:r>
      <w:r w:rsidRPr="005D5BDE">
        <w:rPr>
          <w:lang w:val="fr-CH"/>
        </w:rPr>
        <w:t>14)</w:t>
      </w:r>
    </w:p>
    <w:p w:rsidR="005D5BDE" w:rsidRPr="005D5BDE" w:rsidRDefault="005D5BDE" w:rsidP="00530279">
      <w:pPr>
        <w:rPr>
          <w:lang w:val="fr-CH"/>
        </w:rPr>
      </w:pPr>
      <w:r w:rsidRPr="0091391D">
        <w:t>La</w:t>
      </w:r>
      <w:r>
        <w:t xml:space="preserve"> </w:t>
      </w:r>
      <w:hyperlink r:id="rId28" w:history="1">
        <w:r w:rsidRPr="005D5BDE">
          <w:rPr>
            <w:rStyle w:val="Hyperlink"/>
          </w:rPr>
          <w:t>sixième Conférence mondiale de développement des télécommunications (CMDT-14)</w:t>
        </w:r>
      </w:hyperlink>
      <w:r w:rsidRPr="0091391D">
        <w:t xml:space="preserve"> </w:t>
      </w:r>
      <w:r w:rsidR="00B8473B" w:rsidRPr="00851D75">
        <w:t xml:space="preserve">organisée par l'UIT </w:t>
      </w:r>
      <w:r w:rsidR="00B8473B">
        <w:t>s</w:t>
      </w:r>
      <w:r w:rsidR="00E645CC">
        <w:t>'</w:t>
      </w:r>
      <w:r w:rsidR="00B8473B">
        <w:t>est tenue à</w:t>
      </w:r>
      <w:r w:rsidR="00E645CC">
        <w:t xml:space="preserve"> </w:t>
      </w:r>
      <w:r w:rsidR="00B8473B" w:rsidRPr="00851D75">
        <w:t>Dubaï (Emirats arabes unis) du 30 mars au 10 avril 2014</w:t>
      </w:r>
      <w:r w:rsidR="00E645CC">
        <w:t xml:space="preserve"> </w:t>
      </w:r>
      <w:r w:rsidR="00B8473B" w:rsidRPr="00851D75">
        <w:t>sur le thème</w:t>
      </w:r>
      <w:r w:rsidR="00E645CC">
        <w:t xml:space="preserve"> </w:t>
      </w:r>
      <w:r w:rsidR="00530279">
        <w:t>"</w:t>
      </w:r>
      <w:r w:rsidR="00B8473B">
        <w:t xml:space="preserve">Le </w:t>
      </w:r>
      <w:r w:rsidR="00B8473B" w:rsidRPr="00851D75">
        <w:t>large bande au service du développement durable</w:t>
      </w:r>
      <w:r w:rsidRPr="0091391D">
        <w:t>"</w:t>
      </w:r>
      <w:r>
        <w:t>.</w:t>
      </w:r>
    </w:p>
    <w:p w:rsidR="003E4BA6" w:rsidRPr="0054090F" w:rsidRDefault="006929BC" w:rsidP="00530279">
      <w:pPr>
        <w:rPr>
          <w:lang w:val="fr-CH"/>
        </w:rPr>
      </w:pPr>
      <w:r w:rsidRPr="0054090F">
        <w:rPr>
          <w:lang w:val="fr-CH"/>
        </w:rPr>
        <w:t xml:space="preserve">La </w:t>
      </w:r>
      <w:hyperlink r:id="rId29" w:history="1">
        <w:r w:rsidRPr="0054090F">
          <w:rPr>
            <w:rStyle w:val="Hyperlink"/>
            <w:lang w:val="fr-CH"/>
          </w:rPr>
          <w:t>Conférence</w:t>
        </w:r>
      </w:hyperlink>
      <w:r w:rsidRPr="0054090F">
        <w:rPr>
          <w:lang w:val="fr-CH"/>
        </w:rPr>
        <w:t xml:space="preserve"> </w:t>
      </w:r>
      <w:r w:rsidR="00B8473B" w:rsidRPr="00851D75">
        <w:t xml:space="preserve">a approuvé les activités </w:t>
      </w:r>
      <w:r w:rsidR="00E645CC" w:rsidRPr="00851D75">
        <w:t>régionales</w:t>
      </w:r>
      <w:r w:rsidR="00B8473B" w:rsidRPr="00851D75">
        <w:t xml:space="preserve"> relatives à </w:t>
      </w:r>
      <w:r w:rsidR="00B8473B" w:rsidRPr="005419DE">
        <w:t xml:space="preserve">la réduction de l'écart en matière de normalisation </w:t>
      </w:r>
      <w:r w:rsidR="00B8473B">
        <w:t>entre pays déve</w:t>
      </w:r>
      <w:r w:rsidR="00530279">
        <w:t>loppés et pays en développement</w:t>
      </w:r>
      <w:r w:rsidR="00B8473B">
        <w:t xml:space="preserve">. On trouvera ci-dessous une liste des principaux résultats obtenus par la </w:t>
      </w:r>
      <w:r w:rsidR="00530279">
        <w:t>C</w:t>
      </w:r>
      <w:r w:rsidR="00B8473B">
        <w:t xml:space="preserve">onférence dans le domaine de </w:t>
      </w:r>
      <w:r w:rsidR="00B8473B" w:rsidRPr="005419DE">
        <w:t>la réduction de l'écart en matière de normalisation</w:t>
      </w:r>
      <w:r w:rsidR="00530279">
        <w:t>:</w:t>
      </w:r>
    </w:p>
    <w:p w:rsidR="003E4BA6" w:rsidRPr="00692D90" w:rsidRDefault="003E4BA6" w:rsidP="00530279">
      <w:pPr>
        <w:pStyle w:val="enumlev1"/>
      </w:pPr>
      <w:r w:rsidRPr="00692D90">
        <w:t>•</w:t>
      </w:r>
      <w:r w:rsidRPr="00692D90">
        <w:tab/>
      </w:r>
      <w:r w:rsidR="00692D90">
        <w:t>La</w:t>
      </w:r>
      <w:r w:rsidRPr="00692D90">
        <w:t xml:space="preserve"> </w:t>
      </w:r>
      <w:hyperlink r:id="rId30" w:history="1">
        <w:r w:rsidRPr="00692D90">
          <w:rPr>
            <w:rStyle w:val="Hyperlink"/>
          </w:rPr>
          <w:t>D</w:t>
        </w:r>
        <w:r w:rsidR="00692D90">
          <w:rPr>
            <w:rStyle w:val="Hyperlink"/>
          </w:rPr>
          <w:t>éclaration de D</w:t>
        </w:r>
        <w:r w:rsidRPr="00692D90">
          <w:rPr>
            <w:rStyle w:val="Hyperlink"/>
          </w:rPr>
          <w:t>uba</w:t>
        </w:r>
        <w:r w:rsidR="00692D90">
          <w:rPr>
            <w:rStyle w:val="Hyperlink"/>
          </w:rPr>
          <w:t>ï</w:t>
        </w:r>
      </w:hyperlink>
      <w:r w:rsidRPr="00692D90">
        <w:t xml:space="preserve"> </w:t>
      </w:r>
      <w:r w:rsidR="00E645CC">
        <w:t>dispose expressément qu</w:t>
      </w:r>
      <w:r w:rsidR="00530279">
        <w:t>'"</w:t>
      </w:r>
      <w:r w:rsidR="00E645CC" w:rsidRPr="00851D75">
        <w:t>il est nécessaire de renforcer la participation des pays en développement aux activités de l'UIT visant à réduire l'écart en matière de normalisation, afin qu'ils bénéficient des avantages économiques associés au progrès technologique et qu'il soit mieux tenu compte de leurs besoins et intérêts dans ce domaine</w:t>
      </w:r>
      <w:r w:rsidR="00530279">
        <w:t>"</w:t>
      </w:r>
      <w:r w:rsidRPr="00692D90">
        <w:t>.</w:t>
      </w:r>
    </w:p>
    <w:p w:rsidR="00045A05" w:rsidRPr="00692D90" w:rsidRDefault="00692D90" w:rsidP="00530279">
      <w:pPr>
        <w:pStyle w:val="enumlev1"/>
      </w:pPr>
      <w:r>
        <w:t>•</w:t>
      </w:r>
      <w:r>
        <w:tab/>
      </w:r>
      <w:r w:rsidR="00E645CC">
        <w:t xml:space="preserve">L'un des objectifs </w:t>
      </w:r>
      <w:r w:rsidR="00530279">
        <w:t>spécifiques</w:t>
      </w:r>
      <w:r w:rsidR="00E645CC">
        <w:t xml:space="preserve"> du Plan d'action de l'UIT-D (Objectif 2) est d'</w:t>
      </w:r>
      <w:r w:rsidR="00E645CC" w:rsidRPr="00851D75">
        <w:t xml:space="preserve">encourager </w:t>
      </w:r>
      <w:r w:rsidR="00530279">
        <w:t>"</w:t>
      </w:r>
      <w:r w:rsidR="00E645CC" w:rsidRPr="00851D75">
        <w:t>le développement des réseaux de TIC, ainsi que des applications et des services correspondants, notamment en vue de réduire l'écart en matière de normalisation</w:t>
      </w:r>
      <w:r w:rsidR="00530279">
        <w:t>".</w:t>
      </w:r>
    </w:p>
    <w:p w:rsidR="003E4BA6" w:rsidRPr="006E41DE" w:rsidRDefault="003E4BA6" w:rsidP="00530279">
      <w:pPr>
        <w:pStyle w:val="enumlev1"/>
        <w:rPr>
          <w:lang w:val="fr-CH"/>
        </w:rPr>
      </w:pPr>
      <w:r w:rsidRPr="006E41DE">
        <w:rPr>
          <w:lang w:val="fr-CH"/>
        </w:rPr>
        <w:t>•</w:t>
      </w:r>
      <w:r w:rsidRPr="006E41DE">
        <w:rPr>
          <w:lang w:val="fr-CH"/>
        </w:rPr>
        <w:tab/>
      </w:r>
      <w:r w:rsidR="00E645CC">
        <w:t xml:space="preserve">La </w:t>
      </w:r>
      <w:r w:rsidR="00E645CC" w:rsidRPr="00851D75">
        <w:t>Résolution 47</w:t>
      </w:r>
      <w:r w:rsidR="00E645CC">
        <w:t>,</w:t>
      </w:r>
      <w:r w:rsidR="00530279">
        <w:t xml:space="preserve"> </w:t>
      </w:r>
      <w:r w:rsidR="00E645CC">
        <w:t xml:space="preserve">intitulée </w:t>
      </w:r>
      <w:r w:rsidR="00530279">
        <w:t>"</w:t>
      </w:r>
      <w:r w:rsidR="00E645CC">
        <w:t>Mieu</w:t>
      </w:r>
      <w:r w:rsidR="00E645CC" w:rsidRPr="00851D75">
        <w:t>x faire connaître et appliquer les Recommandations de l'UIT dans les pays en développement</w:t>
      </w:r>
      <w:r w:rsidR="00530279">
        <w:t>"</w:t>
      </w:r>
      <w:r w:rsidR="00E645CC" w:rsidRPr="00851D75">
        <w:t xml:space="preserve">, </w:t>
      </w:r>
      <w:r w:rsidR="00E645CC">
        <w:t>a été modifiée pour mettre l'accent sur l'utilité des lignes directrices de l'UIT pour l'</w:t>
      </w:r>
      <w:r w:rsidR="00E645CC" w:rsidRPr="00851D75">
        <w:t>application</w:t>
      </w:r>
      <w:r w:rsidR="00E645CC">
        <w:t xml:space="preserve"> des</w:t>
      </w:r>
      <w:r w:rsidR="00E645CC" w:rsidRPr="00FB4E90">
        <w:t xml:space="preserve"> </w:t>
      </w:r>
      <w:r w:rsidR="00E645CC" w:rsidRPr="00851D75">
        <w:t>Recomm</w:t>
      </w:r>
      <w:r w:rsidR="00E645CC">
        <w:t>a</w:t>
      </w:r>
      <w:r w:rsidR="00E645CC" w:rsidRPr="00851D75">
        <w:t>ndations</w:t>
      </w:r>
      <w:r w:rsidR="00E645CC">
        <w:t xml:space="preserve"> de l'UIT</w:t>
      </w:r>
      <w:r w:rsidRPr="006E41DE">
        <w:rPr>
          <w:lang w:val="fr-CH"/>
        </w:rPr>
        <w:t>.</w:t>
      </w:r>
    </w:p>
    <w:p w:rsidR="003E4BA6" w:rsidRPr="006E41DE" w:rsidRDefault="003E4BA6" w:rsidP="00E645CC">
      <w:pPr>
        <w:pStyle w:val="enumlev1"/>
        <w:rPr>
          <w:lang w:val="fr-CH"/>
        </w:rPr>
      </w:pPr>
      <w:r w:rsidRPr="006E41DE">
        <w:rPr>
          <w:lang w:val="fr-CH"/>
        </w:rPr>
        <w:t>•</w:t>
      </w:r>
      <w:r w:rsidRPr="006E41DE">
        <w:rPr>
          <w:lang w:val="fr-CH"/>
        </w:rPr>
        <w:tab/>
      </w:r>
      <w:r w:rsidR="00E645CC" w:rsidRPr="00FB4E90">
        <w:t>Une nouvelle Recommandation</w:t>
      </w:r>
      <w:r w:rsidR="00E645CC">
        <w:t xml:space="preserve"> </w:t>
      </w:r>
      <w:r w:rsidR="00E645CC" w:rsidRPr="00FB4E90">
        <w:t>de l</w:t>
      </w:r>
      <w:r w:rsidR="00E645CC">
        <w:t>'</w:t>
      </w:r>
      <w:r w:rsidR="00E645CC" w:rsidRPr="00FB4E90">
        <w:t>UIT-D sur</w:t>
      </w:r>
      <w:r w:rsidR="00E645CC">
        <w:t xml:space="preserve"> </w:t>
      </w:r>
      <w:r w:rsidR="00E645CC" w:rsidRPr="005419DE">
        <w:t>la réduction de l'écart en matière de normalisation</w:t>
      </w:r>
      <w:r w:rsidR="00E645CC">
        <w:t xml:space="preserve"> en association avec les groupes régionaux des commissions d'études a été approuvée</w:t>
      </w:r>
      <w:r w:rsidR="006E41DE">
        <w:t>.</w:t>
      </w:r>
    </w:p>
    <w:p w:rsidR="003E4BA6" w:rsidRDefault="003E4BA6" w:rsidP="00530279">
      <w:pPr>
        <w:rPr>
          <w:lang w:val="fr-CH"/>
        </w:rPr>
      </w:pPr>
    </w:p>
    <w:p w:rsidR="00530279" w:rsidRDefault="00530279" w:rsidP="00530279">
      <w:pPr>
        <w:pStyle w:val="Reasons"/>
      </w:pPr>
    </w:p>
    <w:p w:rsidR="00530279" w:rsidRPr="00530279" w:rsidRDefault="00530279" w:rsidP="00530279">
      <w:pPr>
        <w:jc w:val="center"/>
      </w:pPr>
      <w:r>
        <w:t>______________</w:t>
      </w:r>
    </w:p>
    <w:p w:rsidR="00530279" w:rsidRPr="00530279" w:rsidRDefault="00530279" w:rsidP="00530279">
      <w:pPr>
        <w:rPr>
          <w:lang w:val="fr-CH"/>
        </w:rPr>
      </w:pPr>
    </w:p>
    <w:sectPr w:rsidR="00530279" w:rsidRPr="00530279" w:rsidSect="00363111">
      <w:headerReference w:type="default" r:id="rId31"/>
      <w:footerReference w:type="first" r:id="rId32"/>
      <w:type w:val="continuous"/>
      <w:pgSz w:w="11913"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9A" w:rsidRDefault="00663F9A">
      <w:r>
        <w:separator/>
      </w:r>
    </w:p>
  </w:endnote>
  <w:endnote w:type="continuationSeparator" w:id="0">
    <w:p w:rsidR="00663F9A" w:rsidRDefault="0066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Pr="00E645CC" w:rsidRDefault="000C4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9A" w:rsidRDefault="00663F9A">
      <w:r>
        <w:t>____________________</w:t>
      </w:r>
    </w:p>
  </w:footnote>
  <w:footnote w:type="continuationSeparator" w:id="0">
    <w:p w:rsidR="00663F9A" w:rsidRDefault="00663F9A">
      <w:r>
        <w:continuationSeparator/>
      </w:r>
    </w:p>
  </w:footnote>
  <w:footnote w:id="1">
    <w:p w:rsidR="00B8473B" w:rsidRPr="00953D25" w:rsidRDefault="00B8473B" w:rsidP="00B8473B">
      <w:pPr>
        <w:pStyle w:val="FootnoteText"/>
        <w:rPr>
          <w:lang w:val="en-US"/>
        </w:rPr>
      </w:pPr>
      <w:r>
        <w:rPr>
          <w:rStyle w:val="FootnoteReference"/>
        </w:rPr>
        <w:footnoteRef/>
      </w:r>
      <w:r w:rsidRPr="00953D25">
        <w:rPr>
          <w:lang w:val="en-US"/>
        </w:rPr>
        <w:tab/>
      </w:r>
      <w:hyperlink r:id="rId1" w:history="1">
        <w:r w:rsidRPr="00953D25">
          <w:rPr>
            <w:rStyle w:val="Hyperlink"/>
            <w:lang w:val="en-US"/>
          </w:rPr>
          <w:t>http://groups.itu.int/itu-t/StandardsQA.aspx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C0018A">
      <w:rPr>
        <w:noProof/>
      </w:rPr>
      <w:t>2</w:t>
    </w:r>
    <w:r>
      <w:fldChar w:fldCharType="end"/>
    </w:r>
    <w:r w:rsidR="00C0018A">
      <w:t>/</w:t>
    </w:r>
    <w:fldSimple w:instr=" NUMPAGES   \* MERGEFORMAT ">
      <w:r w:rsidR="00C0018A">
        <w:rPr>
          <w:noProof/>
        </w:rPr>
        <w:t>7</w:t>
      </w:r>
    </w:fldSimple>
  </w:p>
  <w:p w:rsidR="00BD1614" w:rsidRPr="00407795" w:rsidRDefault="00407795" w:rsidP="00363111">
    <w:pPr>
      <w:pStyle w:val="Header"/>
    </w:pPr>
    <w:r>
      <w:t>PP14/</w:t>
    </w:r>
    <w:r w:rsidR="00363111">
      <w:t>54</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45A05"/>
    <w:rsid w:val="00072D5C"/>
    <w:rsid w:val="00084308"/>
    <w:rsid w:val="000A0540"/>
    <w:rsid w:val="000B14B6"/>
    <w:rsid w:val="000C467B"/>
    <w:rsid w:val="000D15FB"/>
    <w:rsid w:val="001051E4"/>
    <w:rsid w:val="00114208"/>
    <w:rsid w:val="001354EA"/>
    <w:rsid w:val="00136FCE"/>
    <w:rsid w:val="00153BA4"/>
    <w:rsid w:val="00190BCE"/>
    <w:rsid w:val="001941AD"/>
    <w:rsid w:val="001A0682"/>
    <w:rsid w:val="001E1B9B"/>
    <w:rsid w:val="001F6233"/>
    <w:rsid w:val="001F74E1"/>
    <w:rsid w:val="00204362"/>
    <w:rsid w:val="00216121"/>
    <w:rsid w:val="002353FF"/>
    <w:rsid w:val="002C1059"/>
    <w:rsid w:val="002C2F9C"/>
    <w:rsid w:val="002E47E7"/>
    <w:rsid w:val="00363111"/>
    <w:rsid w:val="003A0B7D"/>
    <w:rsid w:val="003A45C2"/>
    <w:rsid w:val="003C4BE2"/>
    <w:rsid w:val="003D147D"/>
    <w:rsid w:val="003E4BA6"/>
    <w:rsid w:val="00407795"/>
    <w:rsid w:val="00430015"/>
    <w:rsid w:val="004678D0"/>
    <w:rsid w:val="00471BF7"/>
    <w:rsid w:val="00482954"/>
    <w:rsid w:val="00524001"/>
    <w:rsid w:val="00530279"/>
    <w:rsid w:val="0054090F"/>
    <w:rsid w:val="00564B63"/>
    <w:rsid w:val="00575DC7"/>
    <w:rsid w:val="005836C2"/>
    <w:rsid w:val="005A4EFD"/>
    <w:rsid w:val="005A5ABE"/>
    <w:rsid w:val="005C2ECC"/>
    <w:rsid w:val="005D5BDE"/>
    <w:rsid w:val="005E419E"/>
    <w:rsid w:val="005F660A"/>
    <w:rsid w:val="00611CF1"/>
    <w:rsid w:val="006201D9"/>
    <w:rsid w:val="006277DB"/>
    <w:rsid w:val="00635B7B"/>
    <w:rsid w:val="006548C0"/>
    <w:rsid w:val="00655B98"/>
    <w:rsid w:val="00663F9A"/>
    <w:rsid w:val="00686973"/>
    <w:rsid w:val="00686BAF"/>
    <w:rsid w:val="006929BC"/>
    <w:rsid w:val="00692D90"/>
    <w:rsid w:val="006A6342"/>
    <w:rsid w:val="006B6C9C"/>
    <w:rsid w:val="006C7AE3"/>
    <w:rsid w:val="006D55E8"/>
    <w:rsid w:val="006D6273"/>
    <w:rsid w:val="006E1921"/>
    <w:rsid w:val="006E41DE"/>
    <w:rsid w:val="006F36F9"/>
    <w:rsid w:val="0070576B"/>
    <w:rsid w:val="00713335"/>
    <w:rsid w:val="00727C2F"/>
    <w:rsid w:val="00735F13"/>
    <w:rsid w:val="007717F2"/>
    <w:rsid w:val="00776A99"/>
    <w:rsid w:val="0078134C"/>
    <w:rsid w:val="007A5830"/>
    <w:rsid w:val="00801256"/>
    <w:rsid w:val="008703CB"/>
    <w:rsid w:val="008939DB"/>
    <w:rsid w:val="008C33C2"/>
    <w:rsid w:val="008C6137"/>
    <w:rsid w:val="008E2DB4"/>
    <w:rsid w:val="00901DD5"/>
    <w:rsid w:val="0090735B"/>
    <w:rsid w:val="00912D5E"/>
    <w:rsid w:val="00934340"/>
    <w:rsid w:val="00954289"/>
    <w:rsid w:val="009569EF"/>
    <w:rsid w:val="00966CD3"/>
    <w:rsid w:val="00987A20"/>
    <w:rsid w:val="009A0E15"/>
    <w:rsid w:val="009F0592"/>
    <w:rsid w:val="00A20E72"/>
    <w:rsid w:val="00A246DC"/>
    <w:rsid w:val="00A47BAF"/>
    <w:rsid w:val="00A5784F"/>
    <w:rsid w:val="00A8389C"/>
    <w:rsid w:val="00A8436E"/>
    <w:rsid w:val="00A95B66"/>
    <w:rsid w:val="00AE0667"/>
    <w:rsid w:val="00B41E0A"/>
    <w:rsid w:val="00B56DE0"/>
    <w:rsid w:val="00B71F12"/>
    <w:rsid w:val="00B8473B"/>
    <w:rsid w:val="00B918E2"/>
    <w:rsid w:val="00B96B1E"/>
    <w:rsid w:val="00BB2A6F"/>
    <w:rsid w:val="00BD1614"/>
    <w:rsid w:val="00BF7D25"/>
    <w:rsid w:val="00C0018A"/>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6393A"/>
    <w:rsid w:val="00E645CC"/>
    <w:rsid w:val="00E93D35"/>
    <w:rsid w:val="00EA45DB"/>
    <w:rsid w:val="00EC2CE3"/>
    <w:rsid w:val="00ED2CD9"/>
    <w:rsid w:val="00F12802"/>
    <w:rsid w:val="00F564C1"/>
    <w:rsid w:val="00F77FA2"/>
    <w:rsid w:val="00F8357A"/>
    <w:rsid w:val="00FA1B77"/>
    <w:rsid w:val="00FB4B65"/>
    <w:rsid w:val="00FB74B8"/>
    <w:rsid w:val="00FC49E0"/>
    <w:rsid w:val="00FE54DA"/>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Appel note de bas de p + 11 pt,Italic,Footnote,Appel note de bas de p1,Appel note de bas de p2,Appel note de bas de p3,Style 12,(NECG) Footnote Referenc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Footnote Text Char1 Char1 Char1 Char Char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ref">
    <w:name w:val="href"/>
    <w:basedOn w:val="DefaultParagraphFont"/>
    <w:rsid w:val="006D6273"/>
  </w:style>
  <w:style w:type="character" w:customStyle="1" w:styleId="enumlev1Char">
    <w:name w:val="enumlev1 Char"/>
    <w:link w:val="enumlev1"/>
    <w:rsid w:val="006D6273"/>
    <w:rPr>
      <w:rFonts w:ascii="Calibri" w:hAnsi="Calibr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A8389C"/>
    <w:rPr>
      <w:rFonts w:ascii="Calibri" w:hAnsi="Calibr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Appel note de bas de p + 11 pt,Italic,Footnote,Appel note de bas de p1,Appel note de bas de p2,Appel note de bas de p3,Style 12,(NECG) Footnote Referenc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Footnote Text Char1 Char1 Char1 Char Char Char1"/>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customStyle="1" w:styleId="href">
    <w:name w:val="href"/>
    <w:basedOn w:val="DefaultParagraphFont"/>
    <w:rsid w:val="006D6273"/>
  </w:style>
  <w:style w:type="character" w:customStyle="1" w:styleId="enumlev1Char">
    <w:name w:val="enumlev1 Char"/>
    <w:link w:val="enumlev1"/>
    <w:rsid w:val="006D6273"/>
    <w:rPr>
      <w:rFonts w:ascii="Calibri" w:hAnsi="Calibri"/>
      <w:sz w:val="24"/>
      <w:lang w:val="fr-FR"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sid w:val="00A8389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T-HDB-IMPL.05-2009/en" TargetMode="External"/><Relationship Id="rId13" Type="http://schemas.openxmlformats.org/officeDocument/2006/relationships/hyperlink" Target="file:///\\blue\dfs\pool\TRAD\F\SG\CONF-SG\PP14\000\&#8226;%09Object%20identifiers%20(OIDs)%20and%20their%20registration%20authorities%20(2010)" TargetMode="External"/><Relationship Id="rId18" Type="http://schemas.openxmlformats.org/officeDocument/2006/relationships/hyperlink" Target="http://www.itu.int/pub/publications.aspx?lang=en&amp;parent=T-TUT-MRA-2012" TargetMode="External"/><Relationship Id="rId26" Type="http://schemas.openxmlformats.org/officeDocument/2006/relationships/hyperlink" Target="http://academy.itu.int/" TargetMode="External"/><Relationship Id="rId3" Type="http://schemas.openxmlformats.org/officeDocument/2006/relationships/settings" Target="settings.xml"/><Relationship Id="rId21" Type="http://schemas.openxmlformats.org/officeDocument/2006/relationships/hyperlink" Target="http://www.itu.int/pub/T-TUT-QOS-2013"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pub/T-HDB-IMPL.08-2010/en" TargetMode="External"/><Relationship Id="rId17" Type="http://schemas.openxmlformats.org/officeDocument/2006/relationships/hyperlink" Target="http://www.itu.int/pub/publications.aspx?lang=en&amp;parent=T-HDB-PLN.03-2012" TargetMode="External"/><Relationship Id="rId25" Type="http://schemas.openxmlformats.org/officeDocument/2006/relationships/hyperlink" Target="http://academy.itu.int/index.php/component/k2/item/1115"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itu.int/pub/publications.aspx?lang=en&amp;parent=T-TUT-HOME-2011" TargetMode="External"/><Relationship Id="rId20" Type="http://schemas.openxmlformats.org/officeDocument/2006/relationships/hyperlink" Target="http://www.itu.int/pub/publications.aspx?lang=en&amp;parent=T-TUT-NGN-2013" TargetMode="External"/><Relationship Id="rId29" Type="http://schemas.openxmlformats.org/officeDocument/2006/relationships/hyperlink" Target="https://www.itu.int/md/dologin_md.asp?lang=en&amp;id=D10-WTDC14-C-0118!!MSW-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publ/T-HDB-IMPL.07-2010/en" TargetMode="External"/><Relationship Id="rId24" Type="http://schemas.openxmlformats.org/officeDocument/2006/relationships/hyperlink" Target="http://www.itu.int/en/ITU-T/gap/Documents/NSSGuidelines.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pub/publications.aspx?lang=en&amp;parent=T-HDB-SEC.05-2011" TargetMode="External"/><Relationship Id="rId23" Type="http://schemas.openxmlformats.org/officeDocument/2006/relationships/hyperlink" Target="http://www.itu.int/pub/publications.aspx?lang=en&amp;parent=T-TUT-NGN-2014" TargetMode="External"/><Relationship Id="rId28" Type="http://schemas.openxmlformats.org/officeDocument/2006/relationships/hyperlink" Target="http://www.itu.int/en/ITU-D/Conferences/WTDC/WTDC14" TargetMode="External"/><Relationship Id="rId10" Type="http://schemas.openxmlformats.org/officeDocument/2006/relationships/hyperlink" Target="http://www.itu.int/publ/T-HDB-IMPL.06-2010/en" TargetMode="External"/><Relationship Id="rId19" Type="http://schemas.openxmlformats.org/officeDocument/2006/relationships/hyperlink" Target="http://www.itu.int/pub/publications.aspx?lang=en&amp;parent=T-TUT-IOT-2012-M2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publ/T-HDB-IMPL.05-2009/en" TargetMode="External"/><Relationship Id="rId14" Type="http://schemas.openxmlformats.org/officeDocument/2006/relationships/hyperlink" Target="http://www.itu.int/pub/T-HDB-QOS.02-2011" TargetMode="External"/><Relationship Id="rId22" Type="http://schemas.openxmlformats.org/officeDocument/2006/relationships/hyperlink" Target="http://www.itu.int/en/ITU-T/focusgroups/drnrr/Documents/Technical_report-2013-06.pdf" TargetMode="External"/><Relationship Id="rId27" Type="http://schemas.openxmlformats.org/officeDocument/2006/relationships/hyperlink" Target="http://www.itu.int/ITU-T/recommendations/rec.aspx?rec=11920" TargetMode="External"/><Relationship Id="rId30" Type="http://schemas.openxmlformats.org/officeDocument/2006/relationships/hyperlink" Target="http://www.itu.int/en/newsroom/wtdc-14/Pages/dubai-declaration.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oups.itu.int/itu-t/StandardsQ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2816</Words>
  <Characters>17656</Characters>
  <Application>Microsoft Office Word</Application>
  <DocSecurity>4</DocSecurity>
  <Lines>147</Lines>
  <Paragraphs>40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20432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(PP-14)</dc:subject>
  <dc:creator>Brouard, Ricarda</dc:creator>
  <cp:keywords>PP-14</cp:keywords>
  <dc:description>PF_PP14.dotx  For: _x000d_Document date: _x000d_Saved by ITU51009317 at 10:31:32 on 19/03/2013</dc:description>
  <cp:lastModifiedBy>Brouard, Ricarda</cp:lastModifiedBy>
  <cp:revision>2</cp:revision>
  <cp:lastPrinted>2014-07-23T09:49:00Z</cp:lastPrinted>
  <dcterms:created xsi:type="dcterms:W3CDTF">2014-07-29T14:29:00Z</dcterms:created>
  <dcterms:modified xsi:type="dcterms:W3CDTF">2014-07-29T14:29:00Z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