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A16ED" w:rsidTr="006A046E">
        <w:trPr>
          <w:cantSplit/>
        </w:trPr>
        <w:tc>
          <w:tcPr>
            <w:tcW w:w="6911" w:type="dxa"/>
          </w:tcPr>
          <w:p w:rsidR="001A16ED" w:rsidRPr="00F04067" w:rsidRDefault="001A16ED" w:rsidP="006A046E">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120" w:type="dxa"/>
          </w:tcPr>
          <w:p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rPr>
              <w:drawing>
                <wp:inline distT="0" distB="0" distL="0" distR="0" wp14:anchorId="1587E5DC" wp14:editId="1989E05F">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6A046E">
        <w:trPr>
          <w:cantSplit/>
        </w:trPr>
        <w:tc>
          <w:tcPr>
            <w:tcW w:w="6911" w:type="dxa"/>
            <w:tcBorders>
              <w:bottom w:val="single" w:sz="12" w:space="0" w:color="auto"/>
            </w:tcBorders>
          </w:tcPr>
          <w:p w:rsidR="001A16ED" w:rsidRPr="00D96B4B" w:rsidRDefault="001A16ED" w:rsidP="006A046E">
            <w:pPr>
              <w:spacing w:after="48" w:line="240" w:lineRule="atLeast"/>
              <w:rPr>
                <w:rFonts w:cstheme="minorHAnsi"/>
                <w:b/>
                <w:smallCaps/>
                <w:szCs w:val="24"/>
              </w:rPr>
            </w:pPr>
            <w:bookmarkStart w:id="2" w:name="dhead"/>
          </w:p>
        </w:tc>
        <w:tc>
          <w:tcPr>
            <w:tcW w:w="3120" w:type="dxa"/>
            <w:tcBorders>
              <w:bottom w:val="single" w:sz="12" w:space="0" w:color="auto"/>
            </w:tcBorders>
          </w:tcPr>
          <w:p w:rsidR="001A16ED" w:rsidRPr="00D96B4B" w:rsidRDefault="001A16ED" w:rsidP="006A046E">
            <w:pPr>
              <w:spacing w:line="240" w:lineRule="atLeast"/>
              <w:rPr>
                <w:rFonts w:cstheme="minorHAnsi"/>
                <w:szCs w:val="24"/>
              </w:rPr>
            </w:pPr>
          </w:p>
        </w:tc>
      </w:tr>
      <w:tr w:rsidR="001A16ED" w:rsidRPr="00C324A8" w:rsidTr="006A046E">
        <w:trPr>
          <w:cantSplit/>
        </w:trPr>
        <w:tc>
          <w:tcPr>
            <w:tcW w:w="6911" w:type="dxa"/>
            <w:tcBorders>
              <w:top w:val="single" w:sz="12" w:space="0" w:color="auto"/>
            </w:tcBorders>
          </w:tcPr>
          <w:p w:rsidR="001A16ED" w:rsidRPr="00D96B4B" w:rsidRDefault="001A16ED" w:rsidP="006A046E">
            <w:pPr>
              <w:spacing w:after="48" w:line="240" w:lineRule="atLeast"/>
              <w:rPr>
                <w:rFonts w:cstheme="minorHAnsi"/>
                <w:b/>
                <w:smallCaps/>
                <w:sz w:val="20"/>
              </w:rPr>
            </w:pPr>
          </w:p>
        </w:tc>
        <w:tc>
          <w:tcPr>
            <w:tcW w:w="3120" w:type="dxa"/>
            <w:tcBorders>
              <w:top w:val="single" w:sz="12" w:space="0" w:color="auto"/>
            </w:tcBorders>
          </w:tcPr>
          <w:p w:rsidR="001A16ED" w:rsidRPr="00D96B4B" w:rsidRDefault="001A16ED" w:rsidP="006A046E">
            <w:pPr>
              <w:spacing w:line="240" w:lineRule="atLeast"/>
              <w:rPr>
                <w:rFonts w:cstheme="minorHAnsi"/>
                <w:sz w:val="20"/>
              </w:rPr>
            </w:pPr>
          </w:p>
        </w:tc>
      </w:tr>
      <w:tr w:rsidR="008263C6" w:rsidRPr="00C324A8" w:rsidTr="006A046E">
        <w:trPr>
          <w:cantSplit/>
          <w:trHeight w:val="23"/>
        </w:trPr>
        <w:tc>
          <w:tcPr>
            <w:tcW w:w="6911" w:type="dxa"/>
            <w:shd w:val="clear" w:color="auto" w:fill="auto"/>
          </w:tcPr>
          <w:p w:rsidR="008263C6" w:rsidRPr="00B54AAC" w:rsidRDefault="008263C6" w:rsidP="008263C6">
            <w:pPr>
              <w:pStyle w:val="Committee"/>
              <w:framePr w:hSpace="0" w:wrap="auto" w:hAnchor="text" w:yAlign="inline"/>
              <w:spacing w:after="0"/>
              <w:rPr>
                <w:sz w:val="24"/>
                <w:szCs w:val="28"/>
              </w:rPr>
            </w:pPr>
            <w:bookmarkStart w:id="3" w:name="dnum" w:colFirst="1" w:colLast="1"/>
            <w:bookmarkStart w:id="4" w:name="dmeeting" w:colFirst="0" w:colLast="0"/>
            <w:bookmarkEnd w:id="2"/>
            <w:r w:rsidRPr="00B54AAC">
              <w:rPr>
                <w:sz w:val="24"/>
                <w:szCs w:val="28"/>
              </w:rPr>
              <w:t>PLENARY MEETING</w:t>
            </w:r>
          </w:p>
        </w:tc>
        <w:tc>
          <w:tcPr>
            <w:tcW w:w="3120" w:type="dxa"/>
          </w:tcPr>
          <w:p w:rsidR="008263C6" w:rsidRPr="00D96B4B" w:rsidRDefault="008263C6" w:rsidP="00B01E37">
            <w:pPr>
              <w:tabs>
                <w:tab w:val="left" w:pos="851"/>
              </w:tabs>
              <w:spacing w:before="0" w:line="240" w:lineRule="atLeast"/>
              <w:rPr>
                <w:rFonts w:cstheme="minorHAnsi"/>
                <w:szCs w:val="24"/>
              </w:rPr>
            </w:pPr>
            <w:r>
              <w:rPr>
                <w:rFonts w:cstheme="minorHAnsi"/>
                <w:b/>
                <w:szCs w:val="24"/>
              </w:rPr>
              <w:t xml:space="preserve">Document </w:t>
            </w:r>
            <w:r w:rsidR="0052306C">
              <w:rPr>
                <w:rFonts w:cstheme="minorHAnsi"/>
                <w:b/>
                <w:szCs w:val="24"/>
              </w:rPr>
              <w:t>54</w:t>
            </w:r>
            <w:r>
              <w:rPr>
                <w:rFonts w:cstheme="minorHAnsi"/>
                <w:b/>
                <w:szCs w:val="24"/>
              </w:rPr>
              <w:t>-E</w:t>
            </w:r>
          </w:p>
        </w:tc>
      </w:tr>
      <w:tr w:rsidR="008263C6" w:rsidRPr="00C324A8" w:rsidTr="006A046E">
        <w:trPr>
          <w:cantSplit/>
          <w:trHeight w:val="23"/>
        </w:trPr>
        <w:tc>
          <w:tcPr>
            <w:tcW w:w="6911" w:type="dxa"/>
            <w:shd w:val="clear" w:color="auto" w:fill="auto"/>
          </w:tcPr>
          <w:p w:rsidR="008263C6" w:rsidRPr="00D96B4B" w:rsidRDefault="008263C6" w:rsidP="008263C6">
            <w:pPr>
              <w:tabs>
                <w:tab w:val="left" w:pos="851"/>
              </w:tabs>
              <w:spacing w:before="0" w:line="240" w:lineRule="atLeast"/>
              <w:rPr>
                <w:rFonts w:cstheme="minorHAnsi"/>
                <w:b/>
                <w:szCs w:val="24"/>
              </w:rPr>
            </w:pPr>
            <w:bookmarkStart w:id="5" w:name="ddate" w:colFirst="1" w:colLast="1"/>
            <w:bookmarkStart w:id="6" w:name="dblank" w:colFirst="0" w:colLast="0"/>
            <w:bookmarkEnd w:id="3"/>
            <w:bookmarkEnd w:id="4"/>
          </w:p>
        </w:tc>
        <w:tc>
          <w:tcPr>
            <w:tcW w:w="3120" w:type="dxa"/>
          </w:tcPr>
          <w:p w:rsidR="008263C6" w:rsidRPr="00D96B4B" w:rsidRDefault="0052306C" w:rsidP="006A481B">
            <w:pPr>
              <w:spacing w:before="0" w:line="240" w:lineRule="atLeast"/>
              <w:rPr>
                <w:rFonts w:cstheme="minorHAnsi"/>
                <w:szCs w:val="24"/>
              </w:rPr>
            </w:pPr>
            <w:r>
              <w:rPr>
                <w:rFonts w:cstheme="minorHAnsi"/>
                <w:b/>
                <w:szCs w:val="24"/>
              </w:rPr>
              <w:t>26</w:t>
            </w:r>
            <w:r w:rsidR="000803AA">
              <w:rPr>
                <w:rFonts w:cstheme="minorHAnsi"/>
                <w:b/>
                <w:szCs w:val="24"/>
              </w:rPr>
              <w:t xml:space="preserve"> June</w:t>
            </w:r>
            <w:r w:rsidR="006A481B">
              <w:rPr>
                <w:rFonts w:cstheme="minorHAnsi"/>
                <w:b/>
                <w:szCs w:val="24"/>
              </w:rPr>
              <w:t xml:space="preserve"> 2014</w:t>
            </w:r>
          </w:p>
        </w:tc>
      </w:tr>
      <w:tr w:rsidR="008263C6" w:rsidRPr="00C324A8" w:rsidTr="006A046E">
        <w:trPr>
          <w:cantSplit/>
          <w:trHeight w:val="23"/>
        </w:trPr>
        <w:tc>
          <w:tcPr>
            <w:tcW w:w="6911" w:type="dxa"/>
            <w:shd w:val="clear" w:color="auto" w:fill="auto"/>
          </w:tcPr>
          <w:p w:rsidR="008263C6" w:rsidRPr="00D96B4B" w:rsidRDefault="008263C6" w:rsidP="008263C6">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120" w:type="dxa"/>
          </w:tcPr>
          <w:p w:rsidR="008263C6" w:rsidRPr="00D96B4B" w:rsidRDefault="008263C6" w:rsidP="008263C6">
            <w:pPr>
              <w:tabs>
                <w:tab w:val="left" w:pos="993"/>
              </w:tabs>
              <w:spacing w:before="0"/>
              <w:rPr>
                <w:rFonts w:cstheme="minorHAnsi"/>
                <w:b/>
                <w:szCs w:val="24"/>
              </w:rPr>
            </w:pPr>
            <w:r w:rsidRPr="00D96B4B">
              <w:rPr>
                <w:rFonts w:cstheme="minorHAnsi"/>
                <w:b/>
                <w:szCs w:val="24"/>
              </w:rPr>
              <w:t>Original: English</w:t>
            </w:r>
          </w:p>
        </w:tc>
      </w:tr>
      <w:tr w:rsidR="008263C6" w:rsidRPr="00C324A8" w:rsidTr="006A046E">
        <w:trPr>
          <w:cantSplit/>
          <w:trHeight w:val="23"/>
        </w:trPr>
        <w:tc>
          <w:tcPr>
            <w:tcW w:w="10031" w:type="dxa"/>
            <w:gridSpan w:val="2"/>
            <w:shd w:val="clear" w:color="auto" w:fill="auto"/>
          </w:tcPr>
          <w:p w:rsidR="008263C6" w:rsidRPr="00D96B4B" w:rsidRDefault="008263C6" w:rsidP="008263C6">
            <w:pPr>
              <w:tabs>
                <w:tab w:val="left" w:pos="993"/>
              </w:tabs>
              <w:rPr>
                <w:rFonts w:ascii="Verdana" w:hAnsi="Verdana"/>
                <w:b/>
                <w:szCs w:val="24"/>
              </w:rPr>
            </w:pPr>
          </w:p>
        </w:tc>
      </w:tr>
      <w:tr w:rsidR="008263C6" w:rsidRPr="00C324A8" w:rsidTr="006A046E">
        <w:trPr>
          <w:cantSplit/>
          <w:trHeight w:val="23"/>
        </w:trPr>
        <w:tc>
          <w:tcPr>
            <w:tcW w:w="10031" w:type="dxa"/>
            <w:gridSpan w:val="2"/>
            <w:shd w:val="clear" w:color="auto" w:fill="auto"/>
          </w:tcPr>
          <w:p w:rsidR="008263C6" w:rsidRDefault="006A481B" w:rsidP="008263C6">
            <w:pPr>
              <w:pStyle w:val="Source"/>
            </w:pPr>
            <w:r>
              <w:t>Note by the Secretary-General</w:t>
            </w:r>
          </w:p>
        </w:tc>
      </w:tr>
      <w:tr w:rsidR="008263C6" w:rsidRPr="00C324A8" w:rsidTr="006A046E">
        <w:trPr>
          <w:cantSplit/>
          <w:trHeight w:val="23"/>
        </w:trPr>
        <w:tc>
          <w:tcPr>
            <w:tcW w:w="10031" w:type="dxa"/>
            <w:gridSpan w:val="2"/>
            <w:shd w:val="clear" w:color="auto" w:fill="auto"/>
          </w:tcPr>
          <w:p w:rsidR="008263C6" w:rsidRDefault="0052306C" w:rsidP="008263C6">
            <w:pPr>
              <w:pStyle w:val="Title1"/>
            </w:pPr>
            <w:r w:rsidRPr="0052306C">
              <w:t xml:space="preserve">REPORT OF </w:t>
            </w:r>
            <w:r>
              <w:t xml:space="preserve">THE </w:t>
            </w:r>
            <w:r w:rsidRPr="0052306C">
              <w:t xml:space="preserve">DIRECTOR OF TSB ON </w:t>
            </w:r>
            <w:r>
              <w:t xml:space="preserve">the </w:t>
            </w:r>
            <w:r w:rsidRPr="0052306C">
              <w:t>ACTION PLAN IN WTSA-12 RESOLUTION 44 ON BRIDGING THE STANDARDIZATION GAP</w:t>
            </w:r>
          </w:p>
        </w:tc>
      </w:tr>
      <w:tr w:rsidR="008263C6" w:rsidRPr="00C324A8" w:rsidTr="006A046E">
        <w:trPr>
          <w:cantSplit/>
          <w:trHeight w:val="23"/>
        </w:trPr>
        <w:tc>
          <w:tcPr>
            <w:tcW w:w="10031" w:type="dxa"/>
            <w:gridSpan w:val="2"/>
            <w:shd w:val="clear" w:color="auto" w:fill="auto"/>
          </w:tcPr>
          <w:p w:rsidR="008263C6" w:rsidRDefault="008263C6" w:rsidP="008263C6">
            <w:pPr>
              <w:pStyle w:val="Title2"/>
            </w:pPr>
          </w:p>
        </w:tc>
      </w:tr>
    </w:tbl>
    <w:bookmarkEnd w:id="7"/>
    <w:bookmarkEnd w:id="8"/>
    <w:p w:rsidR="0052306C" w:rsidRPr="00F60A1B" w:rsidRDefault="0052306C" w:rsidP="00D94C1C">
      <w:pPr>
        <w:jc w:val="both"/>
        <w:rPr>
          <w:rFonts w:asciiTheme="minorHAnsi" w:hAnsiTheme="minorHAnsi"/>
        </w:rPr>
      </w:pPr>
      <w:r>
        <w:rPr>
          <w:rFonts w:asciiTheme="minorHAnsi" w:hAnsiTheme="minorHAnsi"/>
        </w:rPr>
        <w:t>I hereby transmit to the Plenipotentiary Conference the report by th</w:t>
      </w:r>
      <w:r w:rsidR="00B54AAC">
        <w:rPr>
          <w:rFonts w:asciiTheme="minorHAnsi" w:hAnsiTheme="minorHAnsi"/>
        </w:rPr>
        <w:t>e Director of TSB on the status </w:t>
      </w:r>
      <w:r>
        <w:rPr>
          <w:rFonts w:asciiTheme="minorHAnsi" w:hAnsiTheme="minorHAnsi"/>
        </w:rPr>
        <w:t>of the implementation of the Action Plan in WTSA-12 Resolution 44 on bridging the standardization gap between developed and developing countries, pursuant to PP-10 Resolution 123.</w:t>
      </w:r>
    </w:p>
    <w:p w:rsidR="0052306C" w:rsidRPr="00F60A1B" w:rsidRDefault="0052306C" w:rsidP="0052306C">
      <w:pPr>
        <w:rPr>
          <w:rFonts w:asciiTheme="minorHAnsi" w:hAnsiTheme="minorHAnsi"/>
        </w:rPr>
      </w:pPr>
    </w:p>
    <w:p w:rsidR="0052306C" w:rsidRPr="00F60A1B" w:rsidRDefault="0052306C" w:rsidP="0052306C">
      <w:pPr>
        <w:tabs>
          <w:tab w:val="clear" w:pos="567"/>
          <w:tab w:val="clear" w:pos="1134"/>
          <w:tab w:val="clear" w:pos="1701"/>
          <w:tab w:val="clear" w:pos="2268"/>
          <w:tab w:val="clear" w:pos="2835"/>
          <w:tab w:val="center" w:pos="7088"/>
        </w:tabs>
        <w:spacing w:before="1440"/>
        <w:rPr>
          <w:rFonts w:asciiTheme="minorHAnsi" w:hAnsiTheme="minorHAnsi"/>
          <w:lang w:val="es-ES_tradnl"/>
        </w:rPr>
      </w:pPr>
      <w:r w:rsidRPr="00F60A1B">
        <w:rPr>
          <w:rFonts w:asciiTheme="minorHAnsi" w:hAnsiTheme="minorHAnsi"/>
        </w:rPr>
        <w:tab/>
      </w:r>
      <w:r w:rsidRPr="00F60A1B">
        <w:rPr>
          <w:rFonts w:asciiTheme="minorHAnsi" w:hAnsiTheme="minorHAnsi"/>
          <w:lang w:val="es-ES_tradnl"/>
        </w:rPr>
        <w:t>Dr Hamadoun I. TOURÉ</w:t>
      </w:r>
      <w:r w:rsidRPr="00F60A1B">
        <w:rPr>
          <w:rFonts w:asciiTheme="minorHAnsi" w:hAnsiTheme="minorHAnsi"/>
          <w:lang w:val="es-ES_tradnl"/>
        </w:rPr>
        <w:br/>
      </w:r>
      <w:r w:rsidRPr="00F60A1B">
        <w:rPr>
          <w:rFonts w:asciiTheme="minorHAnsi" w:hAnsiTheme="minorHAnsi"/>
          <w:lang w:val="es-ES_tradnl"/>
        </w:rPr>
        <w:tab/>
        <w:t>Secretary-General</w:t>
      </w:r>
    </w:p>
    <w:p w:rsidR="0008540E" w:rsidRPr="0052306C" w:rsidRDefault="0008540E" w:rsidP="0052306C">
      <w:pPr>
        <w:snapToGrid w:val="0"/>
        <w:spacing w:after="120"/>
        <w:rPr>
          <w:lang w:val="es-ES_tradnl"/>
        </w:rPr>
      </w:pPr>
    </w:p>
    <w:p w:rsidR="0052306C" w:rsidRPr="0052306C" w:rsidRDefault="0052306C">
      <w:pPr>
        <w:tabs>
          <w:tab w:val="clear" w:pos="567"/>
          <w:tab w:val="clear" w:pos="1134"/>
          <w:tab w:val="clear" w:pos="1701"/>
          <w:tab w:val="clear" w:pos="2268"/>
          <w:tab w:val="clear" w:pos="2835"/>
        </w:tabs>
        <w:overflowPunct/>
        <w:autoSpaceDE/>
        <w:autoSpaceDN/>
        <w:adjustRightInd/>
        <w:spacing w:before="0"/>
        <w:textAlignment w:val="auto"/>
        <w:rPr>
          <w:lang w:val="es-ES"/>
        </w:rPr>
      </w:pPr>
      <w:r w:rsidRPr="0052306C">
        <w:rPr>
          <w:lang w:val="es-ES"/>
        </w:rPr>
        <w:br w:type="page"/>
      </w:r>
    </w:p>
    <w:p w:rsidR="0052306C" w:rsidRPr="0052306C" w:rsidRDefault="0052306C" w:rsidP="0052306C">
      <w:pPr>
        <w:tabs>
          <w:tab w:val="clear" w:pos="567"/>
          <w:tab w:val="clear" w:pos="1134"/>
          <w:tab w:val="clear" w:pos="1701"/>
          <w:tab w:val="clear" w:pos="2268"/>
          <w:tab w:val="clear" w:pos="2835"/>
        </w:tabs>
        <w:snapToGrid w:val="0"/>
        <w:spacing w:after="120"/>
        <w:rPr>
          <w:b/>
          <w:bCs/>
          <w:lang w:val="en-US"/>
        </w:rPr>
      </w:pPr>
      <w:r w:rsidRPr="0052306C">
        <w:rPr>
          <w:b/>
          <w:bCs/>
          <w:lang w:val="en-US"/>
        </w:rPr>
        <w:lastRenderedPageBreak/>
        <w:t>1.</w:t>
      </w:r>
      <w:r w:rsidRPr="0052306C">
        <w:rPr>
          <w:b/>
          <w:bCs/>
          <w:lang w:val="en-US"/>
        </w:rPr>
        <w:tab/>
        <w:t>Introduction</w:t>
      </w:r>
    </w:p>
    <w:p w:rsidR="0052306C" w:rsidRPr="0052306C" w:rsidRDefault="0052306C" w:rsidP="00D94C1C">
      <w:pPr>
        <w:tabs>
          <w:tab w:val="clear" w:pos="567"/>
          <w:tab w:val="clear" w:pos="1134"/>
          <w:tab w:val="clear" w:pos="1701"/>
          <w:tab w:val="clear" w:pos="2268"/>
          <w:tab w:val="clear" w:pos="2835"/>
        </w:tabs>
        <w:snapToGrid w:val="0"/>
        <w:spacing w:after="120"/>
        <w:jc w:val="both"/>
        <w:rPr>
          <w:lang w:val="en-US"/>
        </w:rPr>
      </w:pPr>
      <w:r w:rsidRPr="0052306C">
        <w:rPr>
          <w:lang w:val="en-US"/>
        </w:rPr>
        <w:t xml:space="preserve">WTSA Resolution 44 (Rev. Dubai, 2012) </w:t>
      </w:r>
      <w:r w:rsidR="00D94C1C">
        <w:rPr>
          <w:lang w:val="en-US"/>
        </w:rPr>
        <w:t>“</w:t>
      </w:r>
      <w:r w:rsidRPr="0052306C">
        <w:rPr>
          <w:lang w:val="en-US"/>
        </w:rPr>
        <w:t>Bridging the standardization gap between developing and developed countries</w:t>
      </w:r>
      <w:r w:rsidR="00D94C1C">
        <w:rPr>
          <w:lang w:val="en-US"/>
        </w:rPr>
        <w:t>”</w:t>
      </w:r>
      <w:r w:rsidRPr="0052306C">
        <w:rPr>
          <w:lang w:val="en-US"/>
        </w:rPr>
        <w:t xml:space="preserve"> </w:t>
      </w:r>
    </w:p>
    <w:p w:rsidR="0052306C" w:rsidRPr="0052306C" w:rsidRDefault="00D94C1C" w:rsidP="00D94C1C">
      <w:pPr>
        <w:tabs>
          <w:tab w:val="clear" w:pos="567"/>
          <w:tab w:val="clear" w:pos="1134"/>
          <w:tab w:val="clear" w:pos="1701"/>
          <w:tab w:val="clear" w:pos="2268"/>
          <w:tab w:val="clear" w:pos="2835"/>
        </w:tabs>
        <w:snapToGrid w:val="0"/>
        <w:spacing w:after="120"/>
        <w:ind w:left="709"/>
        <w:jc w:val="both"/>
        <w:rPr>
          <w:i/>
          <w:iCs/>
          <w:lang w:val="en-US"/>
        </w:rPr>
      </w:pPr>
      <w:r>
        <w:rPr>
          <w:i/>
          <w:iCs/>
          <w:lang w:val="en-US"/>
        </w:rPr>
        <w:t>“</w:t>
      </w:r>
      <w:proofErr w:type="gramStart"/>
      <w:r w:rsidR="0052306C" w:rsidRPr="0052306C">
        <w:rPr>
          <w:i/>
          <w:iCs/>
          <w:lang w:val="en-US"/>
        </w:rPr>
        <w:t>instructs</w:t>
      </w:r>
      <w:proofErr w:type="gramEnd"/>
      <w:r w:rsidR="0052306C" w:rsidRPr="0052306C">
        <w:rPr>
          <w:i/>
          <w:iCs/>
          <w:lang w:val="en-US"/>
        </w:rPr>
        <w:t xml:space="preserve"> the Director of the Telecommunication Standardization Bureau, in collaboration with the Directors of Telecommunication Development Bureau and the Radiocommunication Bureau, within available resources […] </w:t>
      </w:r>
    </w:p>
    <w:p w:rsidR="0052306C" w:rsidRPr="0052306C" w:rsidRDefault="0052306C" w:rsidP="00D94C1C">
      <w:pPr>
        <w:tabs>
          <w:tab w:val="clear" w:pos="567"/>
          <w:tab w:val="clear" w:pos="1134"/>
          <w:tab w:val="clear" w:pos="1701"/>
          <w:tab w:val="clear" w:pos="2268"/>
          <w:tab w:val="clear" w:pos="2835"/>
        </w:tabs>
        <w:snapToGrid w:val="0"/>
        <w:spacing w:after="120"/>
        <w:jc w:val="both"/>
        <w:rPr>
          <w:lang w:val="en-US"/>
        </w:rPr>
      </w:pPr>
      <w:r w:rsidRPr="0052306C">
        <w:rPr>
          <w:lang w:val="en-US"/>
        </w:rPr>
        <w:t>to report on the implementation of this plan [i.e</w:t>
      </w:r>
      <w:r w:rsidR="00B54AAC">
        <w:rPr>
          <w:lang w:val="en-US"/>
        </w:rPr>
        <w:t>.</w:t>
      </w:r>
      <w:r w:rsidRPr="0052306C">
        <w:rPr>
          <w:lang w:val="en-US"/>
        </w:rPr>
        <w:t xml:space="preserve"> the action plan for the implementation of Resolution 123 (Rev. Guadalajara, 2010) of the Plenipotentiary Conference; see Annex to WTSA Resolution 44] to future world telecommunication standardization assemblies and plenipotentiary conferences, with a view to reviewing this resolution and introducing the appropriate amendments in the light of implementation outcomes, as well as the budgetary adjustments needed to implement this resolution […]</w:t>
      </w:r>
      <w:r w:rsidR="00D94C1C">
        <w:rPr>
          <w:lang w:val="en-US"/>
        </w:rPr>
        <w:t>”</w:t>
      </w:r>
      <w:r w:rsidR="00B54AAC">
        <w:rPr>
          <w:lang w:val="en-US"/>
        </w:rPr>
        <w:t>.</w:t>
      </w:r>
    </w:p>
    <w:p w:rsidR="0052306C" w:rsidRPr="0052306C" w:rsidRDefault="0052306C" w:rsidP="00D94C1C">
      <w:pPr>
        <w:tabs>
          <w:tab w:val="clear" w:pos="567"/>
          <w:tab w:val="clear" w:pos="1134"/>
          <w:tab w:val="clear" w:pos="1701"/>
          <w:tab w:val="clear" w:pos="2268"/>
          <w:tab w:val="clear" w:pos="2835"/>
        </w:tabs>
        <w:snapToGrid w:val="0"/>
        <w:spacing w:after="120"/>
        <w:jc w:val="both"/>
        <w:rPr>
          <w:lang w:val="en-US"/>
        </w:rPr>
      </w:pPr>
      <w:r w:rsidRPr="0052306C">
        <w:rPr>
          <w:lang w:val="en-US"/>
        </w:rPr>
        <w:t xml:space="preserve">Moreover, the ITU Strategic Plan adopted during PP-10 identified bridging the standardization gap </w:t>
      </w:r>
      <w:r w:rsidR="00B54AAC">
        <w:rPr>
          <w:lang w:val="en-US"/>
        </w:rPr>
        <w:t xml:space="preserve">(BSG) </w:t>
      </w:r>
      <w:r w:rsidRPr="0052306C">
        <w:rPr>
          <w:lang w:val="en-US"/>
        </w:rPr>
        <w:t>between developed and developing countries as one of the three strategic goals of ITU-T.</w:t>
      </w:r>
    </w:p>
    <w:p w:rsidR="0052306C" w:rsidRPr="0052306C" w:rsidRDefault="0052306C" w:rsidP="00D94C1C">
      <w:pPr>
        <w:tabs>
          <w:tab w:val="clear" w:pos="567"/>
          <w:tab w:val="clear" w:pos="1134"/>
          <w:tab w:val="clear" w:pos="1701"/>
          <w:tab w:val="clear" w:pos="2268"/>
          <w:tab w:val="clear" w:pos="2835"/>
        </w:tabs>
        <w:snapToGrid w:val="0"/>
        <w:spacing w:before="240" w:after="120"/>
        <w:jc w:val="both"/>
        <w:rPr>
          <w:lang w:val="en-US"/>
        </w:rPr>
      </w:pPr>
      <w:r w:rsidRPr="0052306C">
        <w:rPr>
          <w:lang w:val="en-US"/>
        </w:rPr>
        <w:t xml:space="preserve">The four main </w:t>
      </w:r>
      <w:proofErr w:type="spellStart"/>
      <w:r w:rsidRPr="0052306C">
        <w:rPr>
          <w:lang w:val="en-US"/>
        </w:rPr>
        <w:t>programmes</w:t>
      </w:r>
      <w:proofErr w:type="spellEnd"/>
      <w:r w:rsidRPr="0052306C">
        <w:rPr>
          <w:lang w:val="en-US"/>
        </w:rPr>
        <w:t xml:space="preserve"> outlined in the action plan of WTSA-12 Resolution 44 are:</w:t>
      </w:r>
    </w:p>
    <w:p w:rsidR="0052306C" w:rsidRPr="0052306C" w:rsidRDefault="0052306C" w:rsidP="00D94C1C">
      <w:pPr>
        <w:tabs>
          <w:tab w:val="clear" w:pos="567"/>
          <w:tab w:val="clear" w:pos="1134"/>
          <w:tab w:val="clear" w:pos="1701"/>
          <w:tab w:val="clear" w:pos="2268"/>
          <w:tab w:val="clear" w:pos="2835"/>
        </w:tabs>
        <w:snapToGrid w:val="0"/>
        <w:spacing w:after="60"/>
        <w:jc w:val="both"/>
        <w:rPr>
          <w:lang w:val="en-US"/>
        </w:rPr>
      </w:pPr>
      <w:r w:rsidRPr="0052306C">
        <w:rPr>
          <w:lang w:val="en-US"/>
        </w:rPr>
        <w:t>1.</w:t>
      </w:r>
      <w:r w:rsidRPr="0052306C">
        <w:rPr>
          <w:lang w:val="en-US"/>
        </w:rPr>
        <w:tab/>
        <w:t>Strengthening standard-making capabilities</w:t>
      </w:r>
      <w:r w:rsidR="00B54AAC">
        <w:rPr>
          <w:lang w:val="en-US"/>
        </w:rPr>
        <w:t>;</w:t>
      </w:r>
    </w:p>
    <w:p w:rsidR="0052306C" w:rsidRPr="0052306C" w:rsidRDefault="0052306C" w:rsidP="00D94C1C">
      <w:pPr>
        <w:tabs>
          <w:tab w:val="clear" w:pos="567"/>
          <w:tab w:val="clear" w:pos="1134"/>
          <w:tab w:val="clear" w:pos="1701"/>
          <w:tab w:val="clear" w:pos="2268"/>
          <w:tab w:val="clear" w:pos="2835"/>
        </w:tabs>
        <w:snapToGrid w:val="0"/>
        <w:spacing w:before="60" w:after="60"/>
        <w:jc w:val="both"/>
        <w:rPr>
          <w:lang w:val="en-US"/>
        </w:rPr>
      </w:pPr>
      <w:r w:rsidRPr="0052306C">
        <w:rPr>
          <w:lang w:val="en-US"/>
        </w:rPr>
        <w:t>2.</w:t>
      </w:r>
      <w:r w:rsidRPr="0052306C">
        <w:rPr>
          <w:lang w:val="en-US"/>
        </w:rPr>
        <w:tab/>
        <w:t>Assist developing countries with respect to the application of standards</w:t>
      </w:r>
      <w:r w:rsidR="00B54AAC">
        <w:rPr>
          <w:lang w:val="en-US"/>
        </w:rPr>
        <w:t>;</w:t>
      </w:r>
    </w:p>
    <w:p w:rsidR="0052306C" w:rsidRPr="0052306C" w:rsidRDefault="0052306C" w:rsidP="00D94C1C">
      <w:pPr>
        <w:tabs>
          <w:tab w:val="clear" w:pos="567"/>
          <w:tab w:val="clear" w:pos="1134"/>
          <w:tab w:val="clear" w:pos="1701"/>
          <w:tab w:val="clear" w:pos="2268"/>
          <w:tab w:val="clear" w:pos="2835"/>
        </w:tabs>
        <w:snapToGrid w:val="0"/>
        <w:spacing w:before="60" w:after="60"/>
        <w:jc w:val="both"/>
        <w:rPr>
          <w:lang w:val="en-US"/>
        </w:rPr>
      </w:pPr>
      <w:r w:rsidRPr="0052306C">
        <w:rPr>
          <w:lang w:val="en-US"/>
        </w:rPr>
        <w:t>3.</w:t>
      </w:r>
      <w:r w:rsidRPr="0052306C">
        <w:rPr>
          <w:lang w:val="en-US"/>
        </w:rPr>
        <w:tab/>
        <w:t>Human resource capacity building</w:t>
      </w:r>
      <w:r w:rsidR="00B54AAC">
        <w:rPr>
          <w:lang w:val="en-US"/>
        </w:rPr>
        <w:t>;</w:t>
      </w:r>
    </w:p>
    <w:p w:rsidR="0052306C" w:rsidRPr="0052306C" w:rsidRDefault="0052306C" w:rsidP="00D94C1C">
      <w:pPr>
        <w:tabs>
          <w:tab w:val="clear" w:pos="567"/>
          <w:tab w:val="clear" w:pos="1134"/>
          <w:tab w:val="clear" w:pos="1701"/>
          <w:tab w:val="clear" w:pos="2268"/>
          <w:tab w:val="clear" w:pos="2835"/>
        </w:tabs>
        <w:snapToGrid w:val="0"/>
        <w:spacing w:before="60" w:after="120"/>
        <w:jc w:val="both"/>
        <w:rPr>
          <w:lang w:val="en-US"/>
        </w:rPr>
      </w:pPr>
      <w:r w:rsidRPr="0052306C">
        <w:rPr>
          <w:lang w:val="en-US"/>
        </w:rPr>
        <w:t>4.</w:t>
      </w:r>
      <w:r w:rsidRPr="0052306C">
        <w:rPr>
          <w:lang w:val="en-US"/>
        </w:rPr>
        <w:tab/>
        <w:t>Fundraising for BSG</w:t>
      </w:r>
      <w:r w:rsidR="00B54AAC">
        <w:rPr>
          <w:lang w:val="en-US"/>
        </w:rPr>
        <w:t>.</w:t>
      </w:r>
    </w:p>
    <w:p w:rsidR="0052306C" w:rsidRPr="0052306C" w:rsidRDefault="0052306C" w:rsidP="00D94C1C">
      <w:pPr>
        <w:tabs>
          <w:tab w:val="clear" w:pos="567"/>
          <w:tab w:val="clear" w:pos="1134"/>
          <w:tab w:val="clear" w:pos="1701"/>
          <w:tab w:val="clear" w:pos="2268"/>
          <w:tab w:val="clear" w:pos="2835"/>
        </w:tabs>
        <w:snapToGrid w:val="0"/>
        <w:spacing w:before="240" w:after="120"/>
        <w:jc w:val="both"/>
        <w:rPr>
          <w:lang w:val="en-US"/>
        </w:rPr>
      </w:pPr>
      <w:r w:rsidRPr="0052306C">
        <w:rPr>
          <w:lang w:val="en-US"/>
        </w:rPr>
        <w:t>Since 2007, a total of 41 new countries have participated in ITU-T</w:t>
      </w:r>
      <w:r w:rsidR="00D94C1C">
        <w:rPr>
          <w:lang w:val="en-US"/>
        </w:rPr>
        <w:t>’</w:t>
      </w:r>
      <w:r w:rsidRPr="0052306C">
        <w:rPr>
          <w:lang w:val="en-US"/>
        </w:rPr>
        <w:t>s work that had not previously done so. Most of ITU-T</w:t>
      </w:r>
      <w:r w:rsidR="00D94C1C">
        <w:rPr>
          <w:lang w:val="en-US"/>
        </w:rPr>
        <w:t>’</w:t>
      </w:r>
      <w:r w:rsidRPr="0052306C">
        <w:rPr>
          <w:lang w:val="en-US"/>
        </w:rPr>
        <w:t>s Study Groups have seen a strong increase in participation in the current study period. In particular, participation by the Africa region rose. Over half of the workshops related to standardization are held outside Geneva. In addition, ITU-T study group meetings are also being hosted outside Geneva to attract participation from developing countries.</w:t>
      </w:r>
    </w:p>
    <w:p w:rsidR="0052306C" w:rsidRPr="0052306C" w:rsidRDefault="0052306C" w:rsidP="00D94C1C">
      <w:pPr>
        <w:tabs>
          <w:tab w:val="clear" w:pos="567"/>
          <w:tab w:val="clear" w:pos="1134"/>
          <w:tab w:val="clear" w:pos="1701"/>
          <w:tab w:val="clear" w:pos="2268"/>
          <w:tab w:val="clear" w:pos="2835"/>
        </w:tabs>
        <w:snapToGrid w:val="0"/>
        <w:spacing w:after="120"/>
        <w:jc w:val="both"/>
        <w:rPr>
          <w:lang w:val="en-US"/>
        </w:rPr>
      </w:pPr>
      <w:r w:rsidRPr="0052306C">
        <w:rPr>
          <w:lang w:val="en-US"/>
        </w:rPr>
        <w:t>An internal task force chaired by the Director of Telecommunication Standardization Bureau (TSB), including representatives from the Telecommunications Development Bureau (BDT) and ITU Regional Offices, was established in 2009 to monitor the implementation of the action plan in Resolution 44.</w:t>
      </w:r>
    </w:p>
    <w:p w:rsidR="0052306C" w:rsidRPr="0052306C" w:rsidRDefault="0052306C" w:rsidP="00D94C1C">
      <w:pPr>
        <w:tabs>
          <w:tab w:val="clear" w:pos="567"/>
          <w:tab w:val="clear" w:pos="1134"/>
          <w:tab w:val="clear" w:pos="1701"/>
          <w:tab w:val="clear" w:pos="2268"/>
          <w:tab w:val="clear" w:pos="2835"/>
        </w:tabs>
        <w:snapToGrid w:val="0"/>
        <w:spacing w:after="120"/>
        <w:jc w:val="both"/>
        <w:rPr>
          <w:lang w:val="en-US"/>
        </w:rPr>
      </w:pPr>
      <w:r w:rsidRPr="0052306C">
        <w:rPr>
          <w:lang w:val="en-US"/>
        </w:rPr>
        <w:t xml:space="preserve">A status on the implementation of the four </w:t>
      </w:r>
      <w:proofErr w:type="spellStart"/>
      <w:r w:rsidRPr="0052306C">
        <w:rPr>
          <w:lang w:val="en-US"/>
        </w:rPr>
        <w:t>programmes</w:t>
      </w:r>
      <w:proofErr w:type="spellEnd"/>
      <w:r w:rsidRPr="0052306C">
        <w:rPr>
          <w:lang w:val="en-US"/>
        </w:rPr>
        <w:t xml:space="preserve"> in WTSA Resolution 44 for the period 2010-2014 is provided in the Annex.</w:t>
      </w:r>
    </w:p>
    <w:p w:rsidR="0052306C" w:rsidRPr="0052306C" w:rsidRDefault="0052306C" w:rsidP="00D94C1C">
      <w:pPr>
        <w:tabs>
          <w:tab w:val="clear" w:pos="567"/>
          <w:tab w:val="clear" w:pos="1134"/>
          <w:tab w:val="clear" w:pos="1701"/>
          <w:tab w:val="clear" w:pos="2268"/>
          <w:tab w:val="clear" w:pos="2835"/>
        </w:tabs>
        <w:snapToGrid w:val="0"/>
        <w:spacing w:before="480" w:after="120"/>
        <w:jc w:val="both"/>
        <w:rPr>
          <w:b/>
          <w:bCs/>
          <w:lang w:val="en-US"/>
        </w:rPr>
      </w:pPr>
      <w:r w:rsidRPr="0052306C">
        <w:rPr>
          <w:b/>
          <w:bCs/>
          <w:lang w:val="en-US"/>
        </w:rPr>
        <w:t>2.</w:t>
      </w:r>
      <w:r w:rsidRPr="0052306C">
        <w:rPr>
          <w:b/>
          <w:bCs/>
          <w:lang w:val="en-US"/>
        </w:rPr>
        <w:tab/>
      </w:r>
      <w:proofErr w:type="spellStart"/>
      <w:r w:rsidRPr="0052306C">
        <w:rPr>
          <w:b/>
          <w:bCs/>
          <w:lang w:val="en-US"/>
        </w:rPr>
        <w:t>Programme</w:t>
      </w:r>
      <w:proofErr w:type="spellEnd"/>
      <w:r w:rsidRPr="0052306C">
        <w:rPr>
          <w:b/>
          <w:bCs/>
          <w:lang w:val="en-US"/>
        </w:rPr>
        <w:t xml:space="preserve"> 1: Strengthening standard-making capabilities </w:t>
      </w:r>
    </w:p>
    <w:p w:rsidR="0052306C" w:rsidRPr="0052306C" w:rsidRDefault="0052306C" w:rsidP="00D94C1C">
      <w:pPr>
        <w:tabs>
          <w:tab w:val="clear" w:pos="567"/>
          <w:tab w:val="clear" w:pos="1134"/>
          <w:tab w:val="clear" w:pos="1701"/>
          <w:tab w:val="clear" w:pos="2268"/>
          <w:tab w:val="clear" w:pos="2835"/>
        </w:tabs>
        <w:snapToGrid w:val="0"/>
        <w:spacing w:after="120"/>
        <w:jc w:val="both"/>
        <w:rPr>
          <w:b/>
          <w:bCs/>
          <w:lang w:val="en-US"/>
        </w:rPr>
      </w:pPr>
      <w:r w:rsidRPr="0052306C">
        <w:rPr>
          <w:b/>
          <w:bCs/>
          <w:lang w:val="en-US"/>
        </w:rPr>
        <w:t>2.1.</w:t>
      </w:r>
      <w:r w:rsidRPr="0052306C">
        <w:rPr>
          <w:b/>
          <w:bCs/>
          <w:lang w:val="en-US"/>
        </w:rPr>
        <w:tab/>
        <w:t xml:space="preserve"> Standards Capability Index</w:t>
      </w:r>
    </w:p>
    <w:p w:rsidR="0052306C" w:rsidRPr="0052306C" w:rsidRDefault="0052306C" w:rsidP="00D94C1C">
      <w:pPr>
        <w:tabs>
          <w:tab w:val="clear" w:pos="567"/>
          <w:tab w:val="clear" w:pos="1134"/>
          <w:tab w:val="clear" w:pos="1701"/>
          <w:tab w:val="clear" w:pos="2268"/>
          <w:tab w:val="clear" w:pos="2835"/>
        </w:tabs>
        <w:snapToGrid w:val="0"/>
        <w:spacing w:after="120"/>
        <w:jc w:val="both"/>
        <w:rPr>
          <w:lang w:val="en-US"/>
        </w:rPr>
      </w:pPr>
      <w:r w:rsidRPr="0052306C">
        <w:rPr>
          <w:lang w:val="en-US"/>
        </w:rPr>
        <w:t>In 2011, TSB carried out a study to assess the standardization capability of developing countries. The above study was carried out with the generous support of the Ministry of Science, ICT and Future Planning</w:t>
      </w:r>
      <w:r w:rsidR="00B54AAC">
        <w:rPr>
          <w:lang w:val="en-US"/>
        </w:rPr>
        <w:t xml:space="preserve"> of the Republic of</w:t>
      </w:r>
      <w:r w:rsidRPr="0052306C">
        <w:rPr>
          <w:lang w:val="en-US"/>
        </w:rPr>
        <w:t xml:space="preserve"> Korea and the Telecommun</w:t>
      </w:r>
      <w:r w:rsidR="00B54AAC">
        <w:rPr>
          <w:lang w:val="en-US"/>
        </w:rPr>
        <w:t>ications Technology Association </w:t>
      </w:r>
      <w:r w:rsidRPr="0052306C">
        <w:rPr>
          <w:lang w:val="en-US"/>
        </w:rPr>
        <w:t>(TTA).</w:t>
      </w:r>
    </w:p>
    <w:p w:rsidR="0052306C" w:rsidRPr="0052306C" w:rsidRDefault="0052306C" w:rsidP="00D94C1C">
      <w:pPr>
        <w:tabs>
          <w:tab w:val="clear" w:pos="567"/>
          <w:tab w:val="clear" w:pos="1134"/>
          <w:tab w:val="clear" w:pos="1701"/>
          <w:tab w:val="clear" w:pos="2268"/>
          <w:tab w:val="clear" w:pos="2835"/>
        </w:tabs>
        <w:snapToGrid w:val="0"/>
        <w:spacing w:after="120"/>
        <w:jc w:val="both"/>
        <w:rPr>
          <w:lang w:val="en-US"/>
        </w:rPr>
      </w:pPr>
      <w:r w:rsidRPr="0052306C">
        <w:rPr>
          <w:lang w:val="en-US"/>
        </w:rPr>
        <w:t xml:space="preserve">One of the main findings of the study is that developing countries participation in ICT standardization is hampered by a lack of understanding of the importance of ICT standards which results in inadequate funding for standardization work and coordination at national level for </w:t>
      </w:r>
      <w:r w:rsidRPr="0052306C">
        <w:rPr>
          <w:lang w:val="en-US"/>
        </w:rPr>
        <w:lastRenderedPageBreak/>
        <w:t>participation in international standards for</w:t>
      </w:r>
      <w:r w:rsidR="00B54AAC">
        <w:rPr>
          <w:lang w:val="en-US"/>
        </w:rPr>
        <w:t>ums</w:t>
      </w:r>
      <w:r w:rsidRPr="0052306C">
        <w:rPr>
          <w:lang w:val="en-US"/>
        </w:rPr>
        <w:t>. This inequality in standardization capabilities continue to contribute to the persistence of the digital divide between the developed and developing worlds. One of the recommendations of the study to improve the standardization capability in developing countries is to establish a national standardization secretariat coordinate ICT standardization activities and participation in ITU-T study groups.</w:t>
      </w:r>
    </w:p>
    <w:p w:rsidR="0052306C" w:rsidRPr="0052306C" w:rsidRDefault="0052306C" w:rsidP="00D94C1C">
      <w:pPr>
        <w:tabs>
          <w:tab w:val="clear" w:pos="567"/>
          <w:tab w:val="clear" w:pos="1134"/>
          <w:tab w:val="clear" w:pos="1701"/>
          <w:tab w:val="clear" w:pos="2268"/>
          <w:tab w:val="clear" w:pos="2835"/>
        </w:tabs>
        <w:snapToGrid w:val="0"/>
        <w:spacing w:before="240" w:after="120"/>
        <w:jc w:val="both"/>
        <w:rPr>
          <w:b/>
          <w:bCs/>
          <w:lang w:val="en-US"/>
        </w:rPr>
      </w:pPr>
      <w:r w:rsidRPr="0052306C">
        <w:rPr>
          <w:b/>
          <w:bCs/>
          <w:lang w:val="en-US"/>
        </w:rPr>
        <w:t>2.2.</w:t>
      </w:r>
      <w:r w:rsidRPr="0052306C">
        <w:rPr>
          <w:b/>
          <w:bCs/>
          <w:lang w:val="en-US"/>
        </w:rPr>
        <w:tab/>
        <w:t>Technical reports and manuals</w:t>
      </w:r>
    </w:p>
    <w:p w:rsidR="0052306C" w:rsidRPr="0052306C" w:rsidRDefault="0052306C" w:rsidP="00D94C1C">
      <w:pPr>
        <w:tabs>
          <w:tab w:val="clear" w:pos="567"/>
          <w:tab w:val="clear" w:pos="1134"/>
          <w:tab w:val="clear" w:pos="1701"/>
          <w:tab w:val="clear" w:pos="2268"/>
          <w:tab w:val="clear" w:pos="2835"/>
        </w:tabs>
        <w:snapToGrid w:val="0"/>
        <w:spacing w:after="120"/>
        <w:jc w:val="both"/>
        <w:rPr>
          <w:lang w:val="en-US"/>
        </w:rPr>
      </w:pPr>
      <w:r w:rsidRPr="0052306C">
        <w:rPr>
          <w:lang w:val="en-US"/>
        </w:rPr>
        <w:t>The following technical reports and manuals have been produced during the period 2010-2014 to provide more information to developing countries on the best practices to implement ITU-T Recommendations:</w:t>
      </w:r>
    </w:p>
    <w:p w:rsidR="0052306C" w:rsidRPr="0052306C" w:rsidRDefault="00D94C1C" w:rsidP="00D94C1C">
      <w:pPr>
        <w:numPr>
          <w:ilvl w:val="0"/>
          <w:numId w:val="3"/>
        </w:numPr>
        <w:tabs>
          <w:tab w:val="clear" w:pos="567"/>
          <w:tab w:val="clear" w:pos="1134"/>
          <w:tab w:val="clear" w:pos="1701"/>
          <w:tab w:val="clear" w:pos="2268"/>
          <w:tab w:val="clear" w:pos="2835"/>
        </w:tabs>
        <w:overflowPunct/>
        <w:autoSpaceDE/>
        <w:autoSpaceDN/>
        <w:snapToGrid w:val="0"/>
        <w:spacing w:after="60"/>
        <w:ind w:left="357" w:firstLine="0"/>
        <w:jc w:val="both"/>
        <w:textAlignment w:val="auto"/>
        <w:rPr>
          <w:rFonts w:asciiTheme="minorHAnsi" w:eastAsia="SimSun" w:hAnsiTheme="minorHAnsi"/>
          <w:color w:val="0000FF"/>
          <w:szCs w:val="24"/>
          <w:u w:val="single"/>
          <w:lang w:eastAsia="ja-JP"/>
        </w:rPr>
      </w:pPr>
      <w:hyperlink r:id="rId9" w:history="1">
        <w:r w:rsidR="0052306C" w:rsidRPr="0052306C">
          <w:rPr>
            <w:rFonts w:asciiTheme="minorHAnsi" w:eastAsia="SimSun" w:hAnsiTheme="minorHAnsi"/>
            <w:color w:val="0000FF"/>
            <w:szCs w:val="24"/>
            <w:u w:val="single"/>
            <w:lang w:eastAsia="ja-JP"/>
          </w:rPr>
          <w:t>Handbook on Fibre Optic Cables and Systems (2009)</w:t>
        </w:r>
      </w:hyperlink>
    </w:p>
    <w:p w:rsidR="0052306C" w:rsidRPr="0052306C" w:rsidRDefault="00D94C1C" w:rsidP="00D94C1C">
      <w:pPr>
        <w:numPr>
          <w:ilvl w:val="0"/>
          <w:numId w:val="3"/>
        </w:numPr>
        <w:tabs>
          <w:tab w:val="clear" w:pos="567"/>
          <w:tab w:val="clear" w:pos="1134"/>
          <w:tab w:val="clear" w:pos="1701"/>
          <w:tab w:val="clear" w:pos="2268"/>
          <w:tab w:val="clear" w:pos="2835"/>
        </w:tabs>
        <w:overflowPunct/>
        <w:autoSpaceDE/>
        <w:autoSpaceDN/>
        <w:snapToGrid w:val="0"/>
        <w:spacing w:before="60" w:after="60"/>
        <w:ind w:left="357" w:firstLine="0"/>
        <w:jc w:val="both"/>
        <w:textAlignment w:val="auto"/>
        <w:rPr>
          <w:rFonts w:asciiTheme="minorHAnsi" w:eastAsia="SimSun" w:hAnsiTheme="minorHAnsi"/>
          <w:color w:val="0000FF"/>
          <w:szCs w:val="24"/>
          <w:u w:val="single"/>
          <w:lang w:eastAsia="ja-JP"/>
        </w:rPr>
      </w:pPr>
      <w:hyperlink r:id="rId10" w:history="1">
        <w:r w:rsidR="0052306C" w:rsidRPr="0052306C">
          <w:rPr>
            <w:rFonts w:asciiTheme="minorHAnsi" w:eastAsia="SimSun" w:hAnsiTheme="minorHAnsi"/>
            <w:color w:val="0000FF"/>
            <w:szCs w:val="24"/>
            <w:u w:val="single"/>
            <w:lang w:eastAsia="ja-JP"/>
          </w:rPr>
          <w:t>Deployment of packet based networks (2010)</w:t>
        </w:r>
      </w:hyperlink>
    </w:p>
    <w:p w:rsidR="0052306C" w:rsidRPr="0052306C" w:rsidRDefault="00D94C1C" w:rsidP="00D94C1C">
      <w:pPr>
        <w:numPr>
          <w:ilvl w:val="0"/>
          <w:numId w:val="3"/>
        </w:numPr>
        <w:tabs>
          <w:tab w:val="clear" w:pos="567"/>
          <w:tab w:val="clear" w:pos="1134"/>
          <w:tab w:val="clear" w:pos="1701"/>
          <w:tab w:val="clear" w:pos="2268"/>
          <w:tab w:val="clear" w:pos="2835"/>
        </w:tabs>
        <w:overflowPunct/>
        <w:autoSpaceDE/>
        <w:autoSpaceDN/>
        <w:snapToGrid w:val="0"/>
        <w:spacing w:before="60" w:after="60"/>
        <w:ind w:left="357" w:firstLine="0"/>
        <w:jc w:val="both"/>
        <w:textAlignment w:val="auto"/>
        <w:rPr>
          <w:rFonts w:asciiTheme="minorHAnsi" w:eastAsia="SimSun" w:hAnsiTheme="minorHAnsi"/>
          <w:color w:val="0000FF"/>
          <w:szCs w:val="24"/>
          <w:u w:val="single"/>
          <w:lang w:eastAsia="ja-JP"/>
        </w:rPr>
      </w:pPr>
      <w:hyperlink r:id="rId11" w:history="1">
        <w:r w:rsidR="0052306C" w:rsidRPr="0052306C">
          <w:rPr>
            <w:rFonts w:asciiTheme="minorHAnsi" w:eastAsia="SimSun" w:hAnsiTheme="minorHAnsi"/>
            <w:color w:val="0000FF"/>
            <w:szCs w:val="24"/>
            <w:u w:val="single"/>
            <w:lang w:eastAsia="ja-JP"/>
          </w:rPr>
          <w:t>DSL Story (2010)</w:t>
        </w:r>
      </w:hyperlink>
    </w:p>
    <w:p w:rsidR="0052306C" w:rsidRPr="0052306C" w:rsidRDefault="00D94C1C" w:rsidP="00D94C1C">
      <w:pPr>
        <w:numPr>
          <w:ilvl w:val="0"/>
          <w:numId w:val="3"/>
        </w:numPr>
        <w:tabs>
          <w:tab w:val="clear" w:pos="567"/>
          <w:tab w:val="clear" w:pos="1134"/>
          <w:tab w:val="clear" w:pos="1701"/>
          <w:tab w:val="clear" w:pos="2268"/>
          <w:tab w:val="clear" w:pos="2835"/>
        </w:tabs>
        <w:overflowPunct/>
        <w:autoSpaceDE/>
        <w:autoSpaceDN/>
        <w:snapToGrid w:val="0"/>
        <w:spacing w:before="60" w:after="60"/>
        <w:ind w:left="357" w:firstLine="0"/>
        <w:jc w:val="both"/>
        <w:textAlignment w:val="auto"/>
        <w:rPr>
          <w:rFonts w:asciiTheme="minorHAnsi" w:eastAsia="SimSun" w:hAnsiTheme="minorHAnsi"/>
          <w:color w:val="0000FF"/>
          <w:szCs w:val="24"/>
          <w:u w:val="single"/>
          <w:lang w:eastAsia="ja-JP"/>
        </w:rPr>
      </w:pPr>
      <w:hyperlink r:id="rId12" w:history="1">
        <w:r w:rsidR="0052306C" w:rsidRPr="0052306C">
          <w:rPr>
            <w:rFonts w:asciiTheme="minorHAnsi" w:eastAsia="SimSun" w:hAnsiTheme="minorHAnsi"/>
            <w:color w:val="0000FF"/>
            <w:szCs w:val="24"/>
            <w:u w:val="single"/>
            <w:lang w:eastAsia="ja-JP"/>
          </w:rPr>
          <w:t>Convergent Networks (2010)</w:t>
        </w:r>
      </w:hyperlink>
    </w:p>
    <w:p w:rsidR="0052306C" w:rsidRPr="0052306C" w:rsidRDefault="00D94C1C" w:rsidP="00D94C1C">
      <w:pPr>
        <w:numPr>
          <w:ilvl w:val="0"/>
          <w:numId w:val="3"/>
        </w:numPr>
        <w:tabs>
          <w:tab w:val="clear" w:pos="567"/>
          <w:tab w:val="clear" w:pos="1134"/>
          <w:tab w:val="clear" w:pos="1701"/>
          <w:tab w:val="clear" w:pos="2268"/>
          <w:tab w:val="clear" w:pos="2835"/>
        </w:tabs>
        <w:overflowPunct/>
        <w:autoSpaceDE/>
        <w:autoSpaceDN/>
        <w:snapToGrid w:val="0"/>
        <w:spacing w:before="60" w:after="60"/>
        <w:ind w:left="357" w:firstLine="0"/>
        <w:jc w:val="both"/>
        <w:textAlignment w:val="auto"/>
        <w:rPr>
          <w:rFonts w:asciiTheme="minorHAnsi" w:eastAsia="SimSun" w:hAnsiTheme="minorHAnsi"/>
          <w:color w:val="0000FF"/>
          <w:szCs w:val="24"/>
          <w:u w:val="single"/>
          <w:lang w:eastAsia="ja-JP"/>
        </w:rPr>
      </w:pPr>
      <w:hyperlink r:id="rId13" w:history="1">
        <w:r w:rsidR="0052306C" w:rsidRPr="0052306C">
          <w:rPr>
            <w:rFonts w:asciiTheme="minorHAnsi" w:eastAsia="SimSun" w:hAnsiTheme="minorHAnsi"/>
            <w:color w:val="0000FF"/>
            <w:szCs w:val="24"/>
            <w:u w:val="single"/>
            <w:lang w:eastAsia="ja-JP"/>
          </w:rPr>
          <w:t>ITU-T Manual on Optical Transport Networks from TDM to Packet (2010)</w:t>
        </w:r>
      </w:hyperlink>
      <w:r w:rsidR="0052306C" w:rsidRPr="0052306C">
        <w:rPr>
          <w:rFonts w:asciiTheme="minorHAnsi" w:eastAsia="SimSun" w:hAnsiTheme="minorHAnsi"/>
          <w:color w:val="0000FF"/>
          <w:szCs w:val="24"/>
          <w:u w:val="single"/>
          <w:lang w:eastAsia="ja-JP"/>
        </w:rPr>
        <w:t xml:space="preserve">  </w:t>
      </w:r>
    </w:p>
    <w:p w:rsidR="0052306C" w:rsidRPr="0052306C" w:rsidRDefault="00D94C1C" w:rsidP="00D94C1C">
      <w:pPr>
        <w:numPr>
          <w:ilvl w:val="0"/>
          <w:numId w:val="3"/>
        </w:numPr>
        <w:tabs>
          <w:tab w:val="clear" w:pos="567"/>
          <w:tab w:val="clear" w:pos="1134"/>
          <w:tab w:val="clear" w:pos="1701"/>
          <w:tab w:val="clear" w:pos="2268"/>
          <w:tab w:val="clear" w:pos="2835"/>
        </w:tabs>
        <w:overflowPunct/>
        <w:autoSpaceDE/>
        <w:autoSpaceDN/>
        <w:snapToGrid w:val="0"/>
        <w:spacing w:before="60" w:after="60"/>
        <w:ind w:left="357" w:firstLine="0"/>
        <w:jc w:val="both"/>
        <w:textAlignment w:val="auto"/>
        <w:rPr>
          <w:rFonts w:asciiTheme="minorHAnsi" w:eastAsia="SimSun" w:hAnsiTheme="minorHAnsi"/>
          <w:color w:val="0000FF"/>
          <w:szCs w:val="24"/>
          <w:u w:val="single"/>
          <w:lang w:eastAsia="ja-JP"/>
        </w:rPr>
      </w:pPr>
      <w:hyperlink r:id="rId14" w:history="1">
        <w:r w:rsidR="0052306C" w:rsidRPr="0052306C">
          <w:rPr>
            <w:rFonts w:asciiTheme="minorHAnsi" w:eastAsia="SimSun" w:hAnsiTheme="minorHAnsi"/>
            <w:color w:val="0000FF"/>
            <w:szCs w:val="24"/>
            <w:u w:val="single"/>
            <w:lang w:eastAsia="ja-JP"/>
          </w:rPr>
          <w:t>Object identifiers (OIDs) and their registration authorities (2010)</w:t>
        </w:r>
      </w:hyperlink>
    </w:p>
    <w:p w:rsidR="0052306C" w:rsidRPr="0052306C" w:rsidRDefault="00D94C1C" w:rsidP="00D94C1C">
      <w:pPr>
        <w:numPr>
          <w:ilvl w:val="0"/>
          <w:numId w:val="3"/>
        </w:numPr>
        <w:tabs>
          <w:tab w:val="clear" w:pos="567"/>
          <w:tab w:val="clear" w:pos="1134"/>
          <w:tab w:val="clear" w:pos="1701"/>
          <w:tab w:val="clear" w:pos="2268"/>
          <w:tab w:val="clear" w:pos="2835"/>
        </w:tabs>
        <w:overflowPunct/>
        <w:autoSpaceDE/>
        <w:autoSpaceDN/>
        <w:snapToGrid w:val="0"/>
        <w:spacing w:before="60" w:after="60"/>
        <w:ind w:left="357" w:firstLine="0"/>
        <w:jc w:val="both"/>
        <w:textAlignment w:val="auto"/>
        <w:rPr>
          <w:rFonts w:asciiTheme="minorHAnsi" w:eastAsia="SimSun" w:hAnsiTheme="minorHAnsi"/>
          <w:color w:val="0000FF"/>
          <w:szCs w:val="24"/>
          <w:u w:val="single"/>
          <w:lang w:eastAsia="ja-JP"/>
        </w:rPr>
      </w:pPr>
      <w:hyperlink r:id="rId15" w:history="1">
        <w:r w:rsidR="0052306C" w:rsidRPr="0052306C">
          <w:rPr>
            <w:rFonts w:asciiTheme="minorHAnsi" w:eastAsia="SimSun" w:hAnsiTheme="minorHAnsi"/>
            <w:color w:val="0000FF"/>
            <w:szCs w:val="24"/>
            <w:u w:val="single"/>
            <w:lang w:eastAsia="ja-JP"/>
          </w:rPr>
          <w:t>Practical procedures for subjective testing (2011)</w:t>
        </w:r>
      </w:hyperlink>
    </w:p>
    <w:p w:rsidR="0052306C" w:rsidRPr="0052306C" w:rsidRDefault="00D94C1C" w:rsidP="00D94C1C">
      <w:pPr>
        <w:numPr>
          <w:ilvl w:val="0"/>
          <w:numId w:val="3"/>
        </w:numPr>
        <w:tabs>
          <w:tab w:val="clear" w:pos="567"/>
          <w:tab w:val="clear" w:pos="1134"/>
          <w:tab w:val="clear" w:pos="1701"/>
          <w:tab w:val="clear" w:pos="2268"/>
          <w:tab w:val="clear" w:pos="2835"/>
        </w:tabs>
        <w:overflowPunct/>
        <w:autoSpaceDE/>
        <w:autoSpaceDN/>
        <w:snapToGrid w:val="0"/>
        <w:spacing w:before="60" w:after="60"/>
        <w:ind w:left="357" w:firstLine="0"/>
        <w:jc w:val="both"/>
        <w:textAlignment w:val="auto"/>
        <w:rPr>
          <w:rFonts w:asciiTheme="minorHAnsi" w:eastAsia="SimSun" w:hAnsiTheme="minorHAnsi"/>
          <w:color w:val="0000FF"/>
          <w:szCs w:val="24"/>
          <w:u w:val="single"/>
          <w:lang w:eastAsia="ja-JP"/>
        </w:rPr>
      </w:pPr>
      <w:hyperlink r:id="rId16" w:history="1">
        <w:r w:rsidR="0052306C" w:rsidRPr="0052306C">
          <w:rPr>
            <w:rFonts w:asciiTheme="minorHAnsi" w:eastAsia="SimSun" w:hAnsiTheme="minorHAnsi"/>
            <w:color w:val="0000FF"/>
            <w:szCs w:val="24"/>
            <w:u w:val="single"/>
            <w:lang w:eastAsia="ja-JP"/>
          </w:rPr>
          <w:t>Security in telecommunications and information technology</w:t>
        </w:r>
      </w:hyperlink>
      <w:r w:rsidR="0052306C" w:rsidRPr="0052306C">
        <w:rPr>
          <w:rFonts w:asciiTheme="minorHAnsi" w:eastAsia="SimSun" w:hAnsiTheme="minorHAnsi"/>
          <w:color w:val="0000FF"/>
          <w:szCs w:val="24"/>
          <w:u w:val="single"/>
          <w:lang w:eastAsia="ja-JP"/>
        </w:rPr>
        <w:t xml:space="preserve"> (2011)</w:t>
      </w:r>
    </w:p>
    <w:p w:rsidR="0052306C" w:rsidRPr="0052306C" w:rsidRDefault="00D94C1C" w:rsidP="00D94C1C">
      <w:pPr>
        <w:numPr>
          <w:ilvl w:val="0"/>
          <w:numId w:val="3"/>
        </w:numPr>
        <w:tabs>
          <w:tab w:val="clear" w:pos="567"/>
          <w:tab w:val="clear" w:pos="1134"/>
          <w:tab w:val="clear" w:pos="1701"/>
          <w:tab w:val="clear" w:pos="2268"/>
          <w:tab w:val="clear" w:pos="2835"/>
        </w:tabs>
        <w:overflowPunct/>
        <w:autoSpaceDE/>
        <w:autoSpaceDN/>
        <w:snapToGrid w:val="0"/>
        <w:spacing w:before="60" w:after="60"/>
        <w:ind w:left="357" w:firstLine="0"/>
        <w:jc w:val="both"/>
        <w:textAlignment w:val="auto"/>
        <w:rPr>
          <w:rFonts w:asciiTheme="minorHAnsi" w:eastAsia="SimSun" w:hAnsiTheme="minorHAnsi"/>
          <w:color w:val="0000FF"/>
          <w:szCs w:val="24"/>
          <w:u w:val="single"/>
          <w:lang w:eastAsia="ja-JP"/>
        </w:rPr>
      </w:pPr>
      <w:hyperlink r:id="rId17" w:history="1">
        <w:r w:rsidR="0052306C" w:rsidRPr="0052306C">
          <w:rPr>
            <w:rFonts w:asciiTheme="minorHAnsi" w:eastAsia="SimSun" w:hAnsiTheme="minorHAnsi"/>
            <w:color w:val="0000FF"/>
            <w:szCs w:val="24"/>
            <w:u w:val="single"/>
            <w:lang w:eastAsia="ja-JP"/>
          </w:rPr>
          <w:t>Wireline broadband access networks and home networking</w:t>
        </w:r>
      </w:hyperlink>
      <w:r w:rsidR="0052306C" w:rsidRPr="0052306C">
        <w:rPr>
          <w:rFonts w:asciiTheme="minorHAnsi" w:eastAsia="SimSun" w:hAnsiTheme="minorHAnsi"/>
          <w:color w:val="0000FF"/>
          <w:szCs w:val="24"/>
          <w:u w:val="single"/>
          <w:lang w:eastAsia="ja-JP"/>
        </w:rPr>
        <w:t xml:space="preserve"> (2011)</w:t>
      </w:r>
    </w:p>
    <w:p w:rsidR="0052306C" w:rsidRPr="0052306C" w:rsidRDefault="00D94C1C" w:rsidP="00D94C1C">
      <w:pPr>
        <w:numPr>
          <w:ilvl w:val="0"/>
          <w:numId w:val="3"/>
        </w:numPr>
        <w:tabs>
          <w:tab w:val="clear" w:pos="567"/>
          <w:tab w:val="clear" w:pos="1134"/>
          <w:tab w:val="clear" w:pos="1701"/>
          <w:tab w:val="clear" w:pos="2268"/>
          <w:tab w:val="clear" w:pos="2835"/>
        </w:tabs>
        <w:overflowPunct/>
        <w:autoSpaceDE/>
        <w:autoSpaceDN/>
        <w:snapToGrid w:val="0"/>
        <w:spacing w:before="60" w:after="60"/>
        <w:ind w:left="357" w:firstLine="0"/>
        <w:jc w:val="both"/>
        <w:textAlignment w:val="auto"/>
        <w:rPr>
          <w:rFonts w:asciiTheme="minorHAnsi" w:eastAsia="SimSun" w:hAnsiTheme="minorHAnsi"/>
          <w:color w:val="0000FF"/>
          <w:szCs w:val="24"/>
          <w:u w:val="single"/>
          <w:lang w:eastAsia="ja-JP"/>
        </w:rPr>
      </w:pPr>
      <w:hyperlink r:id="rId18" w:history="1">
        <w:r w:rsidR="0052306C" w:rsidRPr="0052306C">
          <w:rPr>
            <w:rFonts w:asciiTheme="minorHAnsi" w:eastAsia="SimSun" w:hAnsiTheme="minorHAnsi"/>
            <w:color w:val="0000FF"/>
            <w:szCs w:val="24"/>
            <w:u w:val="single"/>
            <w:lang w:eastAsia="ja-JP"/>
          </w:rPr>
          <w:t>Future networks (2012)</w:t>
        </w:r>
      </w:hyperlink>
    </w:p>
    <w:p w:rsidR="0052306C" w:rsidRPr="0052306C" w:rsidRDefault="00D94C1C" w:rsidP="00D94C1C">
      <w:pPr>
        <w:numPr>
          <w:ilvl w:val="0"/>
          <w:numId w:val="3"/>
        </w:numPr>
        <w:tabs>
          <w:tab w:val="clear" w:pos="567"/>
          <w:tab w:val="clear" w:pos="1134"/>
          <w:tab w:val="clear" w:pos="1701"/>
          <w:tab w:val="clear" w:pos="2268"/>
          <w:tab w:val="clear" w:pos="2835"/>
        </w:tabs>
        <w:overflowPunct/>
        <w:autoSpaceDE/>
        <w:autoSpaceDN/>
        <w:snapToGrid w:val="0"/>
        <w:spacing w:before="60" w:after="60"/>
        <w:ind w:left="357" w:firstLine="0"/>
        <w:jc w:val="both"/>
        <w:textAlignment w:val="auto"/>
        <w:rPr>
          <w:rFonts w:asciiTheme="minorHAnsi" w:eastAsia="SimSun" w:hAnsiTheme="minorHAnsi"/>
          <w:color w:val="0000FF"/>
          <w:szCs w:val="24"/>
          <w:u w:val="single"/>
          <w:lang w:eastAsia="ja-JP"/>
        </w:rPr>
      </w:pPr>
      <w:hyperlink r:id="rId19" w:history="1">
        <w:r w:rsidR="0052306C" w:rsidRPr="0052306C">
          <w:rPr>
            <w:rFonts w:asciiTheme="minorHAnsi" w:eastAsia="SimSun" w:hAnsiTheme="minorHAnsi"/>
            <w:color w:val="0000FF"/>
            <w:szCs w:val="24"/>
            <w:u w:val="single"/>
            <w:lang w:eastAsia="ja-JP"/>
          </w:rPr>
          <w:t>Multiple Radio Access Technologies</w:t>
        </w:r>
      </w:hyperlink>
      <w:r w:rsidR="0052306C" w:rsidRPr="0052306C">
        <w:rPr>
          <w:rFonts w:asciiTheme="minorHAnsi" w:eastAsia="SimSun" w:hAnsiTheme="minorHAnsi"/>
          <w:color w:val="0000FF"/>
          <w:szCs w:val="24"/>
          <w:u w:val="single"/>
          <w:lang w:eastAsia="ja-JP"/>
        </w:rPr>
        <w:t xml:space="preserve"> (2012)</w:t>
      </w:r>
    </w:p>
    <w:p w:rsidR="0052306C" w:rsidRPr="0052306C" w:rsidRDefault="00D94C1C" w:rsidP="00D94C1C">
      <w:pPr>
        <w:numPr>
          <w:ilvl w:val="0"/>
          <w:numId w:val="3"/>
        </w:numPr>
        <w:tabs>
          <w:tab w:val="clear" w:pos="567"/>
          <w:tab w:val="clear" w:pos="1134"/>
          <w:tab w:val="clear" w:pos="1701"/>
          <w:tab w:val="clear" w:pos="2268"/>
          <w:tab w:val="clear" w:pos="2835"/>
        </w:tabs>
        <w:overflowPunct/>
        <w:autoSpaceDE/>
        <w:autoSpaceDN/>
        <w:snapToGrid w:val="0"/>
        <w:spacing w:before="60" w:after="60"/>
        <w:ind w:left="357" w:firstLine="0"/>
        <w:jc w:val="both"/>
        <w:textAlignment w:val="auto"/>
        <w:rPr>
          <w:rFonts w:asciiTheme="minorHAnsi" w:eastAsia="SimSun" w:hAnsiTheme="minorHAnsi"/>
          <w:color w:val="0000FF"/>
          <w:szCs w:val="24"/>
          <w:u w:val="single"/>
          <w:lang w:eastAsia="ja-JP"/>
        </w:rPr>
      </w:pPr>
      <w:hyperlink r:id="rId20" w:history="1">
        <w:r w:rsidR="0052306C" w:rsidRPr="0052306C">
          <w:rPr>
            <w:rFonts w:asciiTheme="minorHAnsi" w:eastAsia="SimSun" w:hAnsiTheme="minorHAnsi"/>
            <w:color w:val="0000FF"/>
            <w:szCs w:val="24"/>
            <w:u w:val="single"/>
            <w:lang w:val="en-US" w:eastAsia="zh-CN"/>
          </w:rPr>
          <w:t>Impacts of M2M and Non-M2M Mobile Data Applications on Mobile Networks (2012)</w:t>
        </w:r>
      </w:hyperlink>
    </w:p>
    <w:p w:rsidR="0052306C" w:rsidRPr="0052306C" w:rsidRDefault="00D94C1C" w:rsidP="00D94C1C">
      <w:pPr>
        <w:numPr>
          <w:ilvl w:val="0"/>
          <w:numId w:val="3"/>
        </w:numPr>
        <w:tabs>
          <w:tab w:val="clear" w:pos="567"/>
          <w:tab w:val="clear" w:pos="1134"/>
          <w:tab w:val="clear" w:pos="1701"/>
          <w:tab w:val="clear" w:pos="2268"/>
          <w:tab w:val="clear" w:pos="2835"/>
        </w:tabs>
        <w:overflowPunct/>
        <w:autoSpaceDE/>
        <w:autoSpaceDN/>
        <w:snapToGrid w:val="0"/>
        <w:spacing w:before="60" w:after="60"/>
        <w:ind w:left="357" w:firstLine="0"/>
        <w:jc w:val="both"/>
        <w:textAlignment w:val="auto"/>
        <w:rPr>
          <w:rFonts w:asciiTheme="minorHAnsi" w:eastAsia="SimSun" w:hAnsiTheme="minorHAnsi"/>
          <w:color w:val="0000FF"/>
          <w:szCs w:val="24"/>
          <w:u w:val="single"/>
          <w:lang w:eastAsia="ja-JP"/>
        </w:rPr>
      </w:pPr>
      <w:hyperlink r:id="rId21" w:history="1">
        <w:r w:rsidR="0052306C" w:rsidRPr="0052306C">
          <w:rPr>
            <w:rFonts w:asciiTheme="minorHAnsi" w:eastAsia="SimSun" w:hAnsiTheme="minorHAnsi"/>
            <w:color w:val="0000FF"/>
            <w:szCs w:val="24"/>
            <w:u w:val="single"/>
            <w:lang w:val="en-AU" w:eastAsia="ja-JP"/>
          </w:rPr>
          <w:t>Migration scenarios from legacy network to NGN in developing countries</w:t>
        </w:r>
      </w:hyperlink>
      <w:r w:rsidR="0052306C" w:rsidRPr="0052306C">
        <w:rPr>
          <w:rFonts w:asciiTheme="minorHAnsi" w:eastAsia="SimSun" w:hAnsiTheme="minorHAnsi"/>
          <w:color w:val="0000FF"/>
          <w:szCs w:val="24"/>
          <w:u w:val="single"/>
          <w:lang w:val="en-AU" w:eastAsia="ja-JP"/>
        </w:rPr>
        <w:t xml:space="preserve"> (2013)</w:t>
      </w:r>
    </w:p>
    <w:p w:rsidR="0052306C" w:rsidRPr="0052306C" w:rsidRDefault="00D94C1C" w:rsidP="00D94C1C">
      <w:pPr>
        <w:numPr>
          <w:ilvl w:val="0"/>
          <w:numId w:val="3"/>
        </w:numPr>
        <w:tabs>
          <w:tab w:val="clear" w:pos="567"/>
          <w:tab w:val="clear" w:pos="1134"/>
          <w:tab w:val="clear" w:pos="1701"/>
          <w:tab w:val="clear" w:pos="2268"/>
          <w:tab w:val="clear" w:pos="2835"/>
        </w:tabs>
        <w:overflowPunct/>
        <w:autoSpaceDE/>
        <w:autoSpaceDN/>
        <w:snapToGrid w:val="0"/>
        <w:spacing w:before="60" w:after="60"/>
        <w:ind w:left="709" w:hanging="352"/>
        <w:jc w:val="both"/>
        <w:textAlignment w:val="auto"/>
        <w:rPr>
          <w:rFonts w:asciiTheme="minorHAnsi" w:eastAsia="SimSun" w:hAnsiTheme="minorHAnsi"/>
          <w:color w:val="0000FF"/>
          <w:szCs w:val="24"/>
          <w:u w:val="single"/>
          <w:lang w:val="en-AU" w:eastAsia="ja-JP"/>
        </w:rPr>
      </w:pPr>
      <w:hyperlink r:id="rId22" w:history="1">
        <w:r w:rsidR="0052306C" w:rsidRPr="0052306C">
          <w:rPr>
            <w:rFonts w:asciiTheme="minorHAnsi" w:eastAsia="SimSun" w:hAnsiTheme="minorHAnsi"/>
            <w:color w:val="0000FF"/>
            <w:szCs w:val="24"/>
            <w:u w:val="single"/>
            <w:lang w:val="en-AU" w:eastAsia="ja-JP"/>
          </w:rPr>
          <w:t>How to increase Quality of Service (</w:t>
        </w:r>
        <w:proofErr w:type="spellStart"/>
        <w:r w:rsidR="0052306C" w:rsidRPr="0052306C">
          <w:rPr>
            <w:rFonts w:asciiTheme="minorHAnsi" w:eastAsia="SimSun" w:hAnsiTheme="minorHAnsi"/>
            <w:color w:val="0000FF"/>
            <w:szCs w:val="24"/>
            <w:u w:val="single"/>
            <w:lang w:val="en-AU" w:eastAsia="ja-JP"/>
          </w:rPr>
          <w:t>QoS</w:t>
        </w:r>
        <w:proofErr w:type="spellEnd"/>
        <w:r w:rsidR="0052306C" w:rsidRPr="0052306C">
          <w:rPr>
            <w:rFonts w:asciiTheme="minorHAnsi" w:eastAsia="SimSun" w:hAnsiTheme="minorHAnsi"/>
            <w:color w:val="0000FF"/>
            <w:szCs w:val="24"/>
            <w:u w:val="single"/>
            <w:lang w:val="en-AU" w:eastAsia="ja-JP"/>
          </w:rPr>
          <w:t>)/ Quality of Experience (</w:t>
        </w:r>
        <w:proofErr w:type="spellStart"/>
        <w:r w:rsidR="0052306C" w:rsidRPr="0052306C">
          <w:rPr>
            <w:rFonts w:asciiTheme="minorHAnsi" w:eastAsia="SimSun" w:hAnsiTheme="minorHAnsi"/>
            <w:color w:val="0000FF"/>
            <w:szCs w:val="24"/>
            <w:u w:val="single"/>
            <w:lang w:val="en-AU" w:eastAsia="ja-JP"/>
          </w:rPr>
          <w:t>QoE</w:t>
        </w:r>
        <w:proofErr w:type="spellEnd"/>
        <w:r w:rsidR="0052306C" w:rsidRPr="0052306C">
          <w:rPr>
            <w:rFonts w:asciiTheme="minorHAnsi" w:eastAsia="SimSun" w:hAnsiTheme="minorHAnsi"/>
            <w:color w:val="0000FF"/>
            <w:szCs w:val="24"/>
            <w:u w:val="single"/>
            <w:lang w:val="en-AU" w:eastAsia="ja-JP"/>
          </w:rPr>
          <w:t>) of IP-based Platform</w:t>
        </w:r>
      </w:hyperlink>
      <w:r w:rsidR="0052306C" w:rsidRPr="0052306C">
        <w:rPr>
          <w:rFonts w:asciiTheme="minorHAnsi" w:eastAsia="SimSun" w:hAnsiTheme="minorHAnsi"/>
          <w:color w:val="0000FF"/>
          <w:szCs w:val="24"/>
          <w:u w:val="single"/>
          <w:lang w:val="en-AU" w:eastAsia="ja-JP"/>
        </w:rPr>
        <w:t xml:space="preserve"> (2013)</w:t>
      </w:r>
    </w:p>
    <w:p w:rsidR="0052306C" w:rsidRPr="0052306C" w:rsidRDefault="00D94C1C" w:rsidP="00D94C1C">
      <w:pPr>
        <w:numPr>
          <w:ilvl w:val="0"/>
          <w:numId w:val="3"/>
        </w:numPr>
        <w:tabs>
          <w:tab w:val="clear" w:pos="567"/>
          <w:tab w:val="clear" w:pos="1134"/>
          <w:tab w:val="clear" w:pos="1701"/>
          <w:tab w:val="clear" w:pos="2268"/>
          <w:tab w:val="clear" w:pos="2835"/>
        </w:tabs>
        <w:overflowPunct/>
        <w:autoSpaceDE/>
        <w:autoSpaceDN/>
        <w:snapToGrid w:val="0"/>
        <w:spacing w:before="60" w:after="60"/>
        <w:ind w:left="357" w:firstLine="0"/>
        <w:jc w:val="both"/>
        <w:textAlignment w:val="auto"/>
        <w:rPr>
          <w:rFonts w:asciiTheme="minorHAnsi" w:eastAsia="SimSun" w:hAnsiTheme="minorHAnsi"/>
          <w:color w:val="0000FF"/>
          <w:szCs w:val="24"/>
          <w:u w:val="single"/>
          <w:lang w:val="en-AU" w:eastAsia="ja-JP"/>
        </w:rPr>
      </w:pPr>
      <w:hyperlink r:id="rId23" w:history="1">
        <w:r w:rsidR="0052306C" w:rsidRPr="0052306C">
          <w:rPr>
            <w:rFonts w:asciiTheme="minorHAnsi" w:hAnsiTheme="minorHAnsi"/>
            <w:color w:val="0000FF"/>
            <w:szCs w:val="24"/>
            <w:u w:val="single"/>
            <w:lang w:eastAsia="ja-JP"/>
          </w:rPr>
          <w:t>Telecommunications and Disaster Mitigation</w:t>
        </w:r>
      </w:hyperlink>
      <w:r w:rsidR="0052306C" w:rsidRPr="0052306C">
        <w:rPr>
          <w:rFonts w:asciiTheme="minorHAnsi" w:hAnsiTheme="minorHAnsi"/>
          <w:color w:val="0000FF"/>
          <w:szCs w:val="24"/>
          <w:u w:val="single"/>
          <w:lang w:eastAsia="ja-JP"/>
        </w:rPr>
        <w:t xml:space="preserve"> (2013)</w:t>
      </w:r>
    </w:p>
    <w:p w:rsidR="0052306C" w:rsidRPr="0052306C" w:rsidRDefault="00D94C1C" w:rsidP="00D94C1C">
      <w:pPr>
        <w:numPr>
          <w:ilvl w:val="0"/>
          <w:numId w:val="3"/>
        </w:numPr>
        <w:tabs>
          <w:tab w:val="clear" w:pos="567"/>
          <w:tab w:val="clear" w:pos="1134"/>
          <w:tab w:val="clear" w:pos="1701"/>
          <w:tab w:val="clear" w:pos="2268"/>
          <w:tab w:val="clear" w:pos="2835"/>
        </w:tabs>
        <w:overflowPunct/>
        <w:autoSpaceDE/>
        <w:autoSpaceDN/>
        <w:snapToGrid w:val="0"/>
        <w:spacing w:before="60" w:after="120"/>
        <w:ind w:left="357" w:firstLine="0"/>
        <w:jc w:val="both"/>
        <w:textAlignment w:val="auto"/>
        <w:rPr>
          <w:rFonts w:asciiTheme="minorHAnsi" w:eastAsia="SimSun" w:hAnsiTheme="minorHAnsi"/>
          <w:color w:val="0000FF"/>
          <w:szCs w:val="24"/>
          <w:u w:val="single"/>
          <w:lang w:val="en-AU" w:eastAsia="ja-JP"/>
        </w:rPr>
      </w:pPr>
      <w:hyperlink r:id="rId24" w:history="1">
        <w:r w:rsidR="0052306C" w:rsidRPr="0052306C">
          <w:rPr>
            <w:rFonts w:asciiTheme="minorHAnsi" w:hAnsiTheme="minorHAnsi"/>
            <w:color w:val="0000FF"/>
            <w:szCs w:val="24"/>
            <w:u w:val="single"/>
            <w:lang w:eastAsia="ja-JP"/>
          </w:rPr>
          <w:t>Applications of wireless sensor networks in next generation networks</w:t>
        </w:r>
      </w:hyperlink>
      <w:r w:rsidR="0052306C" w:rsidRPr="0052306C">
        <w:rPr>
          <w:rFonts w:asciiTheme="minorHAnsi" w:hAnsiTheme="minorHAnsi"/>
          <w:color w:val="0000FF"/>
          <w:szCs w:val="24"/>
          <w:u w:val="single"/>
          <w:lang w:eastAsia="ja-JP"/>
        </w:rPr>
        <w:t xml:space="preserve"> (2014) </w:t>
      </w:r>
    </w:p>
    <w:p w:rsidR="0052306C" w:rsidRPr="0052306C" w:rsidRDefault="0052306C" w:rsidP="00D94C1C">
      <w:pPr>
        <w:tabs>
          <w:tab w:val="clear" w:pos="567"/>
          <w:tab w:val="clear" w:pos="1134"/>
          <w:tab w:val="clear" w:pos="1701"/>
          <w:tab w:val="clear" w:pos="2268"/>
          <w:tab w:val="clear" w:pos="2835"/>
        </w:tabs>
        <w:snapToGrid w:val="0"/>
        <w:spacing w:before="240" w:after="120"/>
        <w:jc w:val="both"/>
        <w:rPr>
          <w:rFonts w:asciiTheme="minorHAnsi" w:hAnsiTheme="minorHAnsi"/>
          <w:lang w:val="en-US"/>
        </w:rPr>
      </w:pPr>
      <w:r w:rsidRPr="0052306C">
        <w:rPr>
          <w:rFonts w:asciiTheme="minorHAnsi" w:hAnsiTheme="minorHAnsi"/>
          <w:lang w:val="en-US"/>
        </w:rPr>
        <w:t>In addition</w:t>
      </w:r>
      <w:r w:rsidR="00B54AAC">
        <w:rPr>
          <w:rFonts w:asciiTheme="minorHAnsi" w:hAnsiTheme="minorHAnsi"/>
          <w:lang w:val="en-US"/>
        </w:rPr>
        <w:t>,</w:t>
      </w:r>
      <w:r w:rsidRPr="0052306C">
        <w:rPr>
          <w:rFonts w:asciiTheme="minorHAnsi" w:hAnsiTheme="minorHAnsi"/>
          <w:lang w:val="en-US"/>
        </w:rPr>
        <w:t xml:space="preserve"> the following technical reports are in the pipeline for 2014:</w:t>
      </w:r>
    </w:p>
    <w:p w:rsidR="0052306C" w:rsidRPr="00662EAE" w:rsidRDefault="0052306C" w:rsidP="00D94C1C">
      <w:pPr>
        <w:pStyle w:val="ListParagraph"/>
        <w:numPr>
          <w:ilvl w:val="0"/>
          <w:numId w:val="4"/>
        </w:numPr>
        <w:tabs>
          <w:tab w:val="clear" w:pos="567"/>
          <w:tab w:val="clear" w:pos="1134"/>
          <w:tab w:val="clear" w:pos="1701"/>
          <w:tab w:val="clear" w:pos="2268"/>
          <w:tab w:val="clear" w:pos="2835"/>
        </w:tabs>
        <w:snapToGrid w:val="0"/>
        <w:spacing w:after="60"/>
        <w:ind w:left="714" w:hanging="357"/>
        <w:contextualSpacing w:val="0"/>
        <w:jc w:val="both"/>
        <w:rPr>
          <w:lang w:val="en-US"/>
        </w:rPr>
      </w:pPr>
      <w:r w:rsidRPr="00662EAE">
        <w:rPr>
          <w:lang w:val="en-US"/>
        </w:rPr>
        <w:t>Green ICT standards roadmap</w:t>
      </w:r>
    </w:p>
    <w:p w:rsidR="0052306C" w:rsidRPr="00662EAE" w:rsidRDefault="0052306C" w:rsidP="00D94C1C">
      <w:pPr>
        <w:pStyle w:val="ListParagraph"/>
        <w:numPr>
          <w:ilvl w:val="0"/>
          <w:numId w:val="4"/>
        </w:numPr>
        <w:tabs>
          <w:tab w:val="clear" w:pos="567"/>
          <w:tab w:val="clear" w:pos="1134"/>
          <w:tab w:val="clear" w:pos="1701"/>
          <w:tab w:val="clear" w:pos="2268"/>
          <w:tab w:val="clear" w:pos="2835"/>
        </w:tabs>
        <w:snapToGrid w:val="0"/>
        <w:spacing w:before="60" w:after="60"/>
        <w:ind w:left="714" w:hanging="357"/>
        <w:contextualSpacing w:val="0"/>
        <w:jc w:val="both"/>
        <w:rPr>
          <w:lang w:val="en-US"/>
        </w:rPr>
      </w:pPr>
      <w:r w:rsidRPr="00662EAE">
        <w:rPr>
          <w:lang w:val="en-US"/>
        </w:rPr>
        <w:t>EMF Guide</w:t>
      </w:r>
    </w:p>
    <w:p w:rsidR="0052306C" w:rsidRPr="00662EAE" w:rsidRDefault="0052306C" w:rsidP="00D94C1C">
      <w:pPr>
        <w:pStyle w:val="ListParagraph"/>
        <w:numPr>
          <w:ilvl w:val="0"/>
          <w:numId w:val="4"/>
        </w:numPr>
        <w:tabs>
          <w:tab w:val="clear" w:pos="567"/>
          <w:tab w:val="clear" w:pos="1134"/>
          <w:tab w:val="clear" w:pos="1701"/>
          <w:tab w:val="clear" w:pos="2268"/>
          <w:tab w:val="clear" w:pos="2835"/>
        </w:tabs>
        <w:snapToGrid w:val="0"/>
        <w:spacing w:before="60" w:after="60"/>
        <w:ind w:left="714" w:hanging="357"/>
        <w:contextualSpacing w:val="0"/>
        <w:jc w:val="both"/>
        <w:rPr>
          <w:lang w:val="en-US"/>
        </w:rPr>
      </w:pPr>
      <w:r w:rsidRPr="00662EAE">
        <w:rPr>
          <w:lang w:val="en-US"/>
        </w:rPr>
        <w:t>IPTV green book</w:t>
      </w:r>
    </w:p>
    <w:p w:rsidR="0052306C" w:rsidRPr="00662EAE" w:rsidRDefault="0052306C" w:rsidP="00D94C1C">
      <w:pPr>
        <w:pStyle w:val="ListParagraph"/>
        <w:numPr>
          <w:ilvl w:val="0"/>
          <w:numId w:val="4"/>
        </w:numPr>
        <w:tabs>
          <w:tab w:val="clear" w:pos="567"/>
          <w:tab w:val="clear" w:pos="1134"/>
          <w:tab w:val="clear" w:pos="1701"/>
          <w:tab w:val="clear" w:pos="2268"/>
          <w:tab w:val="clear" w:pos="2835"/>
        </w:tabs>
        <w:snapToGrid w:val="0"/>
        <w:spacing w:before="60" w:after="60"/>
        <w:ind w:left="714" w:hanging="357"/>
        <w:contextualSpacing w:val="0"/>
        <w:jc w:val="both"/>
        <w:rPr>
          <w:lang w:val="en-US"/>
        </w:rPr>
      </w:pPr>
      <w:r w:rsidRPr="00662EAE">
        <w:rPr>
          <w:lang w:val="en-US"/>
        </w:rPr>
        <w:t xml:space="preserve">New challenges for Public-Key Infrastructure standardization in Mobile Networks, Machine-to-Machine communication, Cloud Computing and Smart Grid </w:t>
      </w:r>
    </w:p>
    <w:p w:rsidR="0052306C" w:rsidRPr="00662EAE" w:rsidRDefault="0052306C" w:rsidP="00D94C1C">
      <w:pPr>
        <w:pStyle w:val="ListParagraph"/>
        <w:numPr>
          <w:ilvl w:val="0"/>
          <w:numId w:val="4"/>
        </w:numPr>
        <w:tabs>
          <w:tab w:val="clear" w:pos="567"/>
          <w:tab w:val="clear" w:pos="1134"/>
          <w:tab w:val="clear" w:pos="1701"/>
          <w:tab w:val="clear" w:pos="2268"/>
          <w:tab w:val="clear" w:pos="2835"/>
        </w:tabs>
        <w:snapToGrid w:val="0"/>
        <w:spacing w:before="60" w:after="60"/>
        <w:ind w:left="714" w:hanging="357"/>
        <w:contextualSpacing w:val="0"/>
        <w:jc w:val="both"/>
        <w:rPr>
          <w:lang w:val="en-US"/>
        </w:rPr>
      </w:pPr>
      <w:r w:rsidRPr="00662EAE">
        <w:rPr>
          <w:lang w:val="en-US"/>
        </w:rPr>
        <w:t>Production of overvoltage protection guide</w:t>
      </w:r>
    </w:p>
    <w:p w:rsidR="0052306C" w:rsidRPr="00662EAE" w:rsidRDefault="0052306C" w:rsidP="00D94C1C">
      <w:pPr>
        <w:pStyle w:val="ListParagraph"/>
        <w:numPr>
          <w:ilvl w:val="0"/>
          <w:numId w:val="4"/>
        </w:numPr>
        <w:tabs>
          <w:tab w:val="clear" w:pos="567"/>
          <w:tab w:val="clear" w:pos="1134"/>
          <w:tab w:val="clear" w:pos="1701"/>
          <w:tab w:val="clear" w:pos="2268"/>
          <w:tab w:val="clear" w:pos="2835"/>
        </w:tabs>
        <w:snapToGrid w:val="0"/>
        <w:spacing w:before="60" w:after="60"/>
        <w:ind w:left="714" w:hanging="357"/>
        <w:contextualSpacing w:val="0"/>
        <w:jc w:val="both"/>
        <w:rPr>
          <w:lang w:val="en-US"/>
        </w:rPr>
      </w:pPr>
      <w:r w:rsidRPr="00662EAE">
        <w:rPr>
          <w:lang w:val="en-US"/>
        </w:rPr>
        <w:t xml:space="preserve">Mobility Management in ITU-T: Its current development and next steps heading towards future networks </w:t>
      </w:r>
    </w:p>
    <w:p w:rsidR="0052306C" w:rsidRPr="00662EAE" w:rsidRDefault="0052306C" w:rsidP="00D94C1C">
      <w:pPr>
        <w:pStyle w:val="ListParagraph"/>
        <w:numPr>
          <w:ilvl w:val="0"/>
          <w:numId w:val="4"/>
        </w:numPr>
        <w:tabs>
          <w:tab w:val="clear" w:pos="567"/>
          <w:tab w:val="clear" w:pos="1134"/>
          <w:tab w:val="clear" w:pos="1701"/>
          <w:tab w:val="clear" w:pos="2268"/>
          <w:tab w:val="clear" w:pos="2835"/>
        </w:tabs>
        <w:snapToGrid w:val="0"/>
        <w:spacing w:before="60" w:after="120"/>
        <w:ind w:left="714" w:hanging="357"/>
        <w:contextualSpacing w:val="0"/>
        <w:jc w:val="both"/>
        <w:rPr>
          <w:lang w:val="en-US"/>
        </w:rPr>
      </w:pPr>
      <w:r w:rsidRPr="00662EAE">
        <w:rPr>
          <w:lang w:val="en-US"/>
        </w:rPr>
        <w:t>Towards a Roa</w:t>
      </w:r>
      <w:r w:rsidR="00662EAE" w:rsidRPr="00662EAE">
        <w:rPr>
          <w:lang w:val="en-US"/>
        </w:rPr>
        <w:t>ming Cost Model for Regulators</w:t>
      </w:r>
    </w:p>
    <w:p w:rsidR="0052306C" w:rsidRPr="00662EAE" w:rsidRDefault="0052306C" w:rsidP="00D94C1C">
      <w:pPr>
        <w:keepNext/>
        <w:keepLines/>
        <w:tabs>
          <w:tab w:val="clear" w:pos="567"/>
          <w:tab w:val="clear" w:pos="1134"/>
          <w:tab w:val="clear" w:pos="1701"/>
          <w:tab w:val="clear" w:pos="2268"/>
          <w:tab w:val="clear" w:pos="2835"/>
        </w:tabs>
        <w:snapToGrid w:val="0"/>
        <w:spacing w:after="120"/>
        <w:jc w:val="both"/>
        <w:rPr>
          <w:b/>
          <w:bCs/>
          <w:lang w:val="en-US"/>
        </w:rPr>
      </w:pPr>
      <w:r w:rsidRPr="00662EAE">
        <w:rPr>
          <w:b/>
          <w:bCs/>
          <w:lang w:val="en-US"/>
        </w:rPr>
        <w:t>2.3.</w:t>
      </w:r>
      <w:r w:rsidRPr="00662EAE">
        <w:rPr>
          <w:b/>
          <w:bCs/>
          <w:lang w:val="en-US"/>
        </w:rPr>
        <w:tab/>
        <w:t>Mentoring for new delegates in ITU-T study groups</w:t>
      </w:r>
    </w:p>
    <w:p w:rsidR="0052306C" w:rsidRPr="0052306C" w:rsidRDefault="0052306C" w:rsidP="00D94C1C">
      <w:pPr>
        <w:keepNext/>
        <w:keepLines/>
        <w:tabs>
          <w:tab w:val="clear" w:pos="567"/>
          <w:tab w:val="clear" w:pos="1134"/>
          <w:tab w:val="clear" w:pos="1701"/>
          <w:tab w:val="clear" w:pos="2268"/>
          <w:tab w:val="clear" w:pos="2835"/>
        </w:tabs>
        <w:snapToGrid w:val="0"/>
        <w:spacing w:after="120"/>
        <w:jc w:val="both"/>
        <w:rPr>
          <w:lang w:val="en-US"/>
        </w:rPr>
      </w:pPr>
      <w:r w:rsidRPr="0052306C">
        <w:rPr>
          <w:lang w:val="en-US"/>
        </w:rPr>
        <w:t xml:space="preserve">A mentoring </w:t>
      </w:r>
      <w:proofErr w:type="spellStart"/>
      <w:r w:rsidRPr="0052306C">
        <w:rPr>
          <w:lang w:val="en-US"/>
        </w:rPr>
        <w:t>programme</w:t>
      </w:r>
      <w:proofErr w:type="spellEnd"/>
      <w:r w:rsidRPr="0052306C">
        <w:rPr>
          <w:lang w:val="en-US"/>
        </w:rPr>
        <w:t xml:space="preserve"> for ITU-T study group members from developing countries was introduced for the first time in August 2011 to provide more information to new delegates about the procedures of ITU-T meetings and to enhance the contribution from developing countries. It has since featured as a regular part of ITU-T</w:t>
      </w:r>
      <w:r w:rsidR="00624442">
        <w:rPr>
          <w:lang w:val="en-US"/>
        </w:rPr>
        <w:t xml:space="preserve"> study group meetings and TSAG.</w:t>
      </w:r>
    </w:p>
    <w:p w:rsidR="0052306C" w:rsidRPr="0052306C" w:rsidRDefault="0052306C" w:rsidP="00D94C1C">
      <w:pPr>
        <w:tabs>
          <w:tab w:val="clear" w:pos="567"/>
          <w:tab w:val="clear" w:pos="1134"/>
          <w:tab w:val="clear" w:pos="1701"/>
          <w:tab w:val="clear" w:pos="2268"/>
          <w:tab w:val="clear" w:pos="2835"/>
        </w:tabs>
        <w:snapToGrid w:val="0"/>
        <w:spacing w:after="120"/>
        <w:jc w:val="both"/>
        <w:rPr>
          <w:lang w:val="en-US"/>
        </w:rPr>
      </w:pPr>
      <w:r w:rsidRPr="0052306C">
        <w:rPr>
          <w:lang w:val="en-US"/>
        </w:rPr>
        <w:t xml:space="preserve">At the TSAG meeting in January 2012, a new position of mentor was established in study groups. The main role of the mentor will be to coordinate with representatives from developing countries in the study group with the objective of sharing information and best practices with regards to the application of ITU-T Recommendations to enhance the standardization activities in developing countries and in the regional groups. Through interaction with members from developing countries, the mentor could also identify capacity building </w:t>
      </w:r>
      <w:proofErr w:type="spellStart"/>
      <w:r w:rsidRPr="0052306C">
        <w:rPr>
          <w:lang w:val="en-US"/>
        </w:rPr>
        <w:t>programmes</w:t>
      </w:r>
      <w:proofErr w:type="spellEnd"/>
      <w:r w:rsidRPr="0052306C">
        <w:rPr>
          <w:lang w:val="en-US"/>
        </w:rPr>
        <w:t xml:space="preserve"> for ITU-T Recommendations which could be implemented by TSB thereafter under BSG.</w:t>
      </w:r>
    </w:p>
    <w:p w:rsidR="0052306C" w:rsidRPr="00662EAE" w:rsidRDefault="0052306C" w:rsidP="00D94C1C">
      <w:pPr>
        <w:tabs>
          <w:tab w:val="clear" w:pos="567"/>
          <w:tab w:val="clear" w:pos="1134"/>
          <w:tab w:val="clear" w:pos="1701"/>
          <w:tab w:val="clear" w:pos="2268"/>
          <w:tab w:val="clear" w:pos="2835"/>
        </w:tabs>
        <w:snapToGrid w:val="0"/>
        <w:spacing w:before="240" w:after="120"/>
        <w:jc w:val="both"/>
        <w:rPr>
          <w:b/>
          <w:bCs/>
          <w:lang w:val="en-US"/>
        </w:rPr>
      </w:pPr>
      <w:r w:rsidRPr="00662EAE">
        <w:rPr>
          <w:b/>
          <w:bCs/>
          <w:lang w:val="en-US"/>
        </w:rPr>
        <w:t>2.4.</w:t>
      </w:r>
      <w:r w:rsidRPr="00662EAE">
        <w:rPr>
          <w:b/>
          <w:bCs/>
          <w:lang w:val="en-US"/>
        </w:rPr>
        <w:tab/>
        <w:t>Remote Participation and Interpretation</w:t>
      </w:r>
    </w:p>
    <w:p w:rsidR="0052306C" w:rsidRPr="0052306C" w:rsidRDefault="0052306C" w:rsidP="00D94C1C">
      <w:pPr>
        <w:tabs>
          <w:tab w:val="clear" w:pos="567"/>
          <w:tab w:val="clear" w:pos="1134"/>
          <w:tab w:val="clear" w:pos="1701"/>
          <w:tab w:val="clear" w:pos="2268"/>
          <w:tab w:val="clear" w:pos="2835"/>
        </w:tabs>
        <w:snapToGrid w:val="0"/>
        <w:spacing w:after="120"/>
        <w:jc w:val="both"/>
        <w:rPr>
          <w:lang w:val="en-US"/>
        </w:rPr>
      </w:pPr>
      <w:r w:rsidRPr="0052306C">
        <w:rPr>
          <w:lang w:val="en-US"/>
        </w:rPr>
        <w:t>Remote participation is offered during all study group meetings at no cost (using a call-back option). Opening and closing plenaries benefit from full interpretation. Contributions to study groups can be translated into six languages if received two months before a meeting. Some of the Recommendations approved by AAP are also being translated. The new service of direct document posting for the m</w:t>
      </w:r>
      <w:r w:rsidR="00624442">
        <w:rPr>
          <w:lang w:val="en-US"/>
        </w:rPr>
        <w:t>embership was much appreciated.</w:t>
      </w:r>
    </w:p>
    <w:p w:rsidR="0052306C" w:rsidRPr="00662EAE" w:rsidRDefault="0052306C" w:rsidP="00D94C1C">
      <w:pPr>
        <w:tabs>
          <w:tab w:val="clear" w:pos="567"/>
          <w:tab w:val="clear" w:pos="1134"/>
          <w:tab w:val="clear" w:pos="1701"/>
          <w:tab w:val="clear" w:pos="2268"/>
          <w:tab w:val="clear" w:pos="2835"/>
        </w:tabs>
        <w:snapToGrid w:val="0"/>
        <w:spacing w:before="480" w:after="120"/>
        <w:jc w:val="both"/>
        <w:rPr>
          <w:b/>
          <w:bCs/>
          <w:lang w:val="en-US"/>
        </w:rPr>
      </w:pPr>
      <w:r w:rsidRPr="00662EAE">
        <w:rPr>
          <w:b/>
          <w:bCs/>
          <w:lang w:val="en-US"/>
        </w:rPr>
        <w:t>3.</w:t>
      </w:r>
      <w:r w:rsidRPr="00662EAE">
        <w:rPr>
          <w:b/>
          <w:bCs/>
          <w:lang w:val="en-US"/>
        </w:rPr>
        <w:tab/>
      </w:r>
      <w:proofErr w:type="spellStart"/>
      <w:r w:rsidRPr="00662EAE">
        <w:rPr>
          <w:b/>
          <w:bCs/>
          <w:lang w:val="en-US"/>
        </w:rPr>
        <w:t>Programme</w:t>
      </w:r>
      <w:proofErr w:type="spellEnd"/>
      <w:r w:rsidRPr="00662EAE">
        <w:rPr>
          <w:b/>
          <w:bCs/>
          <w:lang w:val="en-US"/>
        </w:rPr>
        <w:t xml:space="preserve"> 2: Assist developing countries with respect to the application of standards </w:t>
      </w:r>
    </w:p>
    <w:p w:rsidR="0052306C" w:rsidRPr="0052306C" w:rsidRDefault="0052306C" w:rsidP="00D94C1C">
      <w:pPr>
        <w:tabs>
          <w:tab w:val="clear" w:pos="567"/>
          <w:tab w:val="clear" w:pos="1134"/>
          <w:tab w:val="clear" w:pos="1701"/>
          <w:tab w:val="clear" w:pos="2268"/>
          <w:tab w:val="clear" w:pos="2835"/>
        </w:tabs>
        <w:snapToGrid w:val="0"/>
        <w:spacing w:after="120"/>
        <w:jc w:val="both"/>
        <w:rPr>
          <w:lang w:val="en-US"/>
        </w:rPr>
      </w:pPr>
      <w:r w:rsidRPr="00624442">
        <w:rPr>
          <w:b/>
          <w:bCs/>
          <w:lang w:val="en-US"/>
        </w:rPr>
        <w:t>3.1.</w:t>
      </w:r>
      <w:r w:rsidRPr="0052306C">
        <w:rPr>
          <w:lang w:val="en-US"/>
        </w:rPr>
        <w:tab/>
      </w:r>
      <w:r w:rsidRPr="00662EAE">
        <w:rPr>
          <w:b/>
          <w:bCs/>
          <w:lang w:val="en-US"/>
        </w:rPr>
        <w:t xml:space="preserve">Technical assistance to establish a </w:t>
      </w:r>
      <w:r w:rsidR="00B54AAC">
        <w:rPr>
          <w:b/>
          <w:bCs/>
          <w:lang w:val="en-US"/>
        </w:rPr>
        <w:t>N</w:t>
      </w:r>
      <w:r w:rsidRPr="00662EAE">
        <w:rPr>
          <w:b/>
          <w:bCs/>
          <w:lang w:val="en-US"/>
        </w:rPr>
        <w:t xml:space="preserve">ational </w:t>
      </w:r>
      <w:r w:rsidR="00B54AAC">
        <w:rPr>
          <w:b/>
          <w:bCs/>
          <w:lang w:val="en-US"/>
        </w:rPr>
        <w:t>S</w:t>
      </w:r>
      <w:r w:rsidRPr="00662EAE">
        <w:rPr>
          <w:b/>
          <w:bCs/>
          <w:lang w:val="en-US"/>
        </w:rPr>
        <w:t xml:space="preserve">tandardization </w:t>
      </w:r>
      <w:r w:rsidR="00B54AAC">
        <w:rPr>
          <w:b/>
          <w:bCs/>
          <w:lang w:val="en-US"/>
        </w:rPr>
        <w:t>S</w:t>
      </w:r>
      <w:r w:rsidRPr="00662EAE">
        <w:rPr>
          <w:b/>
          <w:bCs/>
          <w:lang w:val="en-US"/>
        </w:rPr>
        <w:t>ecretariat</w:t>
      </w:r>
      <w:r w:rsidR="00B54AAC">
        <w:rPr>
          <w:b/>
          <w:bCs/>
          <w:lang w:val="en-US"/>
        </w:rPr>
        <w:t xml:space="preserve"> (NSS)</w:t>
      </w:r>
    </w:p>
    <w:p w:rsidR="0052306C" w:rsidRPr="0052306C" w:rsidRDefault="0052306C" w:rsidP="00D94C1C">
      <w:pPr>
        <w:tabs>
          <w:tab w:val="clear" w:pos="567"/>
          <w:tab w:val="clear" w:pos="1134"/>
          <w:tab w:val="clear" w:pos="1701"/>
          <w:tab w:val="clear" w:pos="2268"/>
          <w:tab w:val="clear" w:pos="2835"/>
        </w:tabs>
        <w:snapToGrid w:val="0"/>
        <w:spacing w:after="120"/>
        <w:jc w:val="both"/>
        <w:rPr>
          <w:lang w:val="en-US"/>
        </w:rPr>
      </w:pPr>
      <w:r w:rsidRPr="0052306C">
        <w:rPr>
          <w:lang w:val="en-US"/>
        </w:rPr>
        <w:t xml:space="preserve">A set of guidelines for developing countries to establish a </w:t>
      </w:r>
      <w:r w:rsidR="00D94C1C">
        <w:rPr>
          <w:lang w:val="en-US"/>
        </w:rPr>
        <w:t>‘</w:t>
      </w:r>
      <w:r w:rsidRPr="0052306C">
        <w:rPr>
          <w:lang w:val="en-US"/>
        </w:rPr>
        <w:t>national standardization secretariat</w:t>
      </w:r>
      <w:r w:rsidR="00D94C1C">
        <w:rPr>
          <w:lang w:val="en-US"/>
        </w:rPr>
        <w:t>’</w:t>
      </w:r>
      <w:r w:rsidRPr="0052306C">
        <w:rPr>
          <w:lang w:val="en-US"/>
        </w:rPr>
        <w:t xml:space="preserve"> charged with marshalling ICT standardization domestically and representing a country</w:t>
      </w:r>
      <w:r w:rsidR="00D94C1C">
        <w:rPr>
          <w:lang w:val="en-US"/>
        </w:rPr>
        <w:t>’</w:t>
      </w:r>
      <w:r w:rsidRPr="0052306C">
        <w:rPr>
          <w:lang w:val="en-US"/>
        </w:rPr>
        <w:t>s interests in the international standardization work of ITU-T was published in 2014.</w:t>
      </w:r>
    </w:p>
    <w:p w:rsidR="0052306C" w:rsidRPr="0052306C" w:rsidRDefault="0052306C" w:rsidP="00D94C1C">
      <w:pPr>
        <w:tabs>
          <w:tab w:val="clear" w:pos="567"/>
          <w:tab w:val="clear" w:pos="1134"/>
          <w:tab w:val="clear" w:pos="1701"/>
          <w:tab w:val="clear" w:pos="2268"/>
          <w:tab w:val="clear" w:pos="2835"/>
        </w:tabs>
        <w:snapToGrid w:val="0"/>
        <w:spacing w:after="120"/>
        <w:jc w:val="both"/>
        <w:rPr>
          <w:lang w:val="en-US"/>
        </w:rPr>
      </w:pPr>
      <w:r w:rsidRPr="0052306C">
        <w:rPr>
          <w:lang w:val="en-US"/>
        </w:rPr>
        <w:t xml:space="preserve">The </w:t>
      </w:r>
      <w:r w:rsidR="00D94C1C">
        <w:rPr>
          <w:lang w:val="en-US"/>
        </w:rPr>
        <w:t>“</w:t>
      </w:r>
      <w:hyperlink r:id="rId25" w:history="1">
        <w:r w:rsidRPr="00662EAE">
          <w:rPr>
            <w:rStyle w:val="Hyperlink"/>
            <w:lang w:val="en-US"/>
          </w:rPr>
          <w:t>Guidelines on the establishment of a National Standardization Secretariat (NSS) for ITU-T</w:t>
        </w:r>
      </w:hyperlink>
      <w:r w:rsidR="00D94C1C">
        <w:rPr>
          <w:lang w:val="en-US"/>
        </w:rPr>
        <w:t>“</w:t>
      </w:r>
      <w:r w:rsidRPr="0052306C">
        <w:rPr>
          <w:lang w:val="en-US"/>
        </w:rPr>
        <w:t>, which are currently undergoing translation into the six official languages of the Union, respond to the extended mandate given by the revised Resolution 44.</w:t>
      </w:r>
    </w:p>
    <w:p w:rsidR="0052306C" w:rsidRPr="0052306C" w:rsidRDefault="0052306C" w:rsidP="00D94C1C">
      <w:pPr>
        <w:tabs>
          <w:tab w:val="clear" w:pos="567"/>
          <w:tab w:val="clear" w:pos="1134"/>
          <w:tab w:val="clear" w:pos="1701"/>
          <w:tab w:val="clear" w:pos="2268"/>
          <w:tab w:val="clear" w:pos="2835"/>
        </w:tabs>
        <w:snapToGrid w:val="0"/>
        <w:spacing w:after="120"/>
        <w:jc w:val="both"/>
        <w:rPr>
          <w:lang w:val="en-US"/>
        </w:rPr>
      </w:pPr>
      <w:r w:rsidRPr="0052306C">
        <w:rPr>
          <w:lang w:val="en-US"/>
        </w:rPr>
        <w:t>The Guidelines present a step-by-step roadmap to the establishment of an NSS, spanning from the determination of the legal basis of the entity responsible for its management to best practices in the analysis of resource requirements and the creation of national-level standardization expert groups. Guidance is also offered on the responsibilities, leadership, membership and working methods of each committee or expert group comprising an efficient NSS. Countries wishing to set up the national standardization secretariat can contact TSB for technical assistance. Already Gambia has contacted TSB for technical assistance for establishing a national standardization secretariat.</w:t>
      </w:r>
    </w:p>
    <w:p w:rsidR="0052306C" w:rsidRPr="00662EAE" w:rsidRDefault="0052306C" w:rsidP="00D94C1C">
      <w:pPr>
        <w:tabs>
          <w:tab w:val="clear" w:pos="567"/>
          <w:tab w:val="clear" w:pos="1134"/>
          <w:tab w:val="clear" w:pos="1701"/>
          <w:tab w:val="clear" w:pos="2268"/>
          <w:tab w:val="clear" w:pos="2835"/>
        </w:tabs>
        <w:snapToGrid w:val="0"/>
        <w:spacing w:before="240" w:after="120"/>
        <w:jc w:val="both"/>
        <w:rPr>
          <w:b/>
          <w:bCs/>
          <w:lang w:val="en-US"/>
        </w:rPr>
      </w:pPr>
      <w:r w:rsidRPr="00662EAE">
        <w:rPr>
          <w:b/>
          <w:bCs/>
          <w:lang w:val="en-US"/>
        </w:rPr>
        <w:t>3.2.</w:t>
      </w:r>
      <w:r w:rsidRPr="00662EAE">
        <w:rPr>
          <w:b/>
          <w:bCs/>
          <w:lang w:val="en-US"/>
        </w:rPr>
        <w:tab/>
        <w:t>Standards Q&amp;A Forum</w:t>
      </w:r>
    </w:p>
    <w:p w:rsidR="0052306C" w:rsidRPr="0052306C" w:rsidRDefault="0052306C" w:rsidP="00D94C1C">
      <w:pPr>
        <w:tabs>
          <w:tab w:val="clear" w:pos="567"/>
          <w:tab w:val="clear" w:pos="1134"/>
          <w:tab w:val="clear" w:pos="1701"/>
          <w:tab w:val="clear" w:pos="2268"/>
          <w:tab w:val="clear" w:pos="2835"/>
        </w:tabs>
        <w:snapToGrid w:val="0"/>
        <w:spacing w:after="120"/>
        <w:jc w:val="both"/>
        <w:rPr>
          <w:lang w:val="en-US"/>
        </w:rPr>
      </w:pPr>
      <w:r w:rsidRPr="0052306C">
        <w:rPr>
          <w:lang w:val="en-US"/>
        </w:rPr>
        <w:t>In September 2011, TSB launched the Standards Q&amp;A forum</w:t>
      </w:r>
      <w:r w:rsidR="00841C0D">
        <w:rPr>
          <w:rStyle w:val="FootnoteReference"/>
          <w:lang w:val="en-US"/>
        </w:rPr>
        <w:footnoteReference w:id="1"/>
      </w:r>
      <w:r w:rsidRPr="0052306C">
        <w:rPr>
          <w:lang w:val="en-US"/>
        </w:rPr>
        <w:t xml:space="preserve"> which allows anyone to send their queries regarding implementation of ITU-T Recommendations directly to the study group experts. It is an open forum allowing anyone to ask questions concerning standardization work, moderated by TSB</w:t>
      </w:r>
      <w:r w:rsidR="00D94C1C">
        <w:rPr>
          <w:lang w:val="en-US"/>
        </w:rPr>
        <w:t>’</w:t>
      </w:r>
      <w:r w:rsidRPr="0052306C">
        <w:rPr>
          <w:lang w:val="en-US"/>
        </w:rPr>
        <w:t xml:space="preserve">s study group </w:t>
      </w:r>
      <w:proofErr w:type="spellStart"/>
      <w:r w:rsidR="00B54AAC">
        <w:rPr>
          <w:lang w:val="en-US"/>
        </w:rPr>
        <w:t>councillors</w:t>
      </w:r>
      <w:proofErr w:type="spellEnd"/>
      <w:r w:rsidRPr="0052306C">
        <w:rPr>
          <w:lang w:val="en-US"/>
        </w:rPr>
        <w:t>. It offers a unique opportunity to engage with the experts that develop the standards that underpin ICTs. The Forum also offers a platform where exchange of information between developed and developing countries on application of ITU-T Recommendations can be facilitated.</w:t>
      </w:r>
    </w:p>
    <w:p w:rsidR="0052306C" w:rsidRPr="00662EAE" w:rsidRDefault="0052306C" w:rsidP="00D94C1C">
      <w:pPr>
        <w:tabs>
          <w:tab w:val="clear" w:pos="567"/>
          <w:tab w:val="clear" w:pos="1134"/>
          <w:tab w:val="clear" w:pos="1701"/>
          <w:tab w:val="clear" w:pos="2268"/>
          <w:tab w:val="clear" w:pos="2835"/>
        </w:tabs>
        <w:snapToGrid w:val="0"/>
        <w:spacing w:before="480" w:after="120"/>
        <w:jc w:val="both"/>
        <w:rPr>
          <w:b/>
          <w:bCs/>
          <w:lang w:val="en-US"/>
        </w:rPr>
      </w:pPr>
      <w:r w:rsidRPr="00662EAE">
        <w:rPr>
          <w:b/>
          <w:bCs/>
          <w:lang w:val="en-US"/>
        </w:rPr>
        <w:t>4.</w:t>
      </w:r>
      <w:r w:rsidRPr="00662EAE">
        <w:rPr>
          <w:b/>
          <w:bCs/>
          <w:lang w:val="en-US"/>
        </w:rPr>
        <w:tab/>
      </w:r>
      <w:proofErr w:type="spellStart"/>
      <w:r w:rsidRPr="00662EAE">
        <w:rPr>
          <w:b/>
          <w:bCs/>
          <w:lang w:val="en-US"/>
        </w:rPr>
        <w:t>Programme</w:t>
      </w:r>
      <w:proofErr w:type="spellEnd"/>
      <w:r w:rsidRPr="00662EAE">
        <w:rPr>
          <w:b/>
          <w:bCs/>
          <w:lang w:val="en-US"/>
        </w:rPr>
        <w:t xml:space="preserve"> 3: Human resource capacity building</w:t>
      </w:r>
    </w:p>
    <w:p w:rsidR="0052306C" w:rsidRPr="00662EAE" w:rsidRDefault="0052306C" w:rsidP="00D94C1C">
      <w:pPr>
        <w:tabs>
          <w:tab w:val="clear" w:pos="567"/>
          <w:tab w:val="clear" w:pos="1134"/>
          <w:tab w:val="clear" w:pos="1701"/>
          <w:tab w:val="clear" w:pos="2268"/>
          <w:tab w:val="clear" w:pos="2835"/>
        </w:tabs>
        <w:snapToGrid w:val="0"/>
        <w:spacing w:after="120"/>
        <w:jc w:val="both"/>
        <w:rPr>
          <w:b/>
          <w:bCs/>
          <w:lang w:val="en-US"/>
        </w:rPr>
      </w:pPr>
      <w:r w:rsidRPr="00662EAE">
        <w:rPr>
          <w:b/>
          <w:bCs/>
          <w:lang w:val="en-US"/>
        </w:rPr>
        <w:t>4.1.</w:t>
      </w:r>
      <w:r w:rsidRPr="00662EAE">
        <w:rPr>
          <w:b/>
          <w:bCs/>
          <w:lang w:val="en-US"/>
        </w:rPr>
        <w:tab/>
        <w:t>E-Learning Course on the Working Methods of ITU-T Study Groups</w:t>
      </w:r>
    </w:p>
    <w:p w:rsidR="0052306C" w:rsidRPr="0052306C" w:rsidRDefault="0052306C" w:rsidP="00D94C1C">
      <w:pPr>
        <w:tabs>
          <w:tab w:val="clear" w:pos="567"/>
          <w:tab w:val="clear" w:pos="1134"/>
          <w:tab w:val="clear" w:pos="1701"/>
          <w:tab w:val="clear" w:pos="2268"/>
          <w:tab w:val="clear" w:pos="2835"/>
        </w:tabs>
        <w:snapToGrid w:val="0"/>
        <w:spacing w:after="120"/>
        <w:jc w:val="both"/>
        <w:rPr>
          <w:lang w:val="en-US"/>
        </w:rPr>
      </w:pPr>
      <w:r w:rsidRPr="00624442">
        <w:rPr>
          <w:spacing w:val="2"/>
          <w:lang w:val="en-US"/>
        </w:rPr>
        <w:t>Resolution 44 revised during WTSA-12 in Dubai calls for the TSB Director to also consider using</w:t>
      </w:r>
      <w:r w:rsidRPr="0052306C">
        <w:rPr>
          <w:lang w:val="en-US"/>
        </w:rPr>
        <w:t xml:space="preserve"> e-learning channels to diffuse information and knowled</w:t>
      </w:r>
      <w:r w:rsidR="00624442">
        <w:rPr>
          <w:lang w:val="en-US"/>
        </w:rPr>
        <w:t>ge about ITU-T Recommendations.</w:t>
      </w:r>
    </w:p>
    <w:p w:rsidR="0052306C" w:rsidRPr="0052306C" w:rsidRDefault="0052306C" w:rsidP="00D94C1C">
      <w:pPr>
        <w:tabs>
          <w:tab w:val="clear" w:pos="567"/>
          <w:tab w:val="clear" w:pos="1134"/>
          <w:tab w:val="clear" w:pos="1701"/>
          <w:tab w:val="clear" w:pos="2268"/>
          <w:tab w:val="clear" w:pos="2835"/>
        </w:tabs>
        <w:snapToGrid w:val="0"/>
        <w:spacing w:after="120"/>
        <w:jc w:val="both"/>
        <w:rPr>
          <w:lang w:val="en-US"/>
        </w:rPr>
      </w:pPr>
      <w:r w:rsidRPr="0052306C">
        <w:rPr>
          <w:lang w:val="en-US"/>
        </w:rPr>
        <w:t xml:space="preserve">The </w:t>
      </w:r>
      <w:hyperlink r:id="rId26" w:history="1">
        <w:r w:rsidRPr="00662EAE">
          <w:rPr>
            <w:rStyle w:val="Hyperlink"/>
            <w:lang w:val="en-US"/>
          </w:rPr>
          <w:t>first in a series</w:t>
        </w:r>
      </w:hyperlink>
      <w:r w:rsidRPr="0052306C">
        <w:rPr>
          <w:lang w:val="en-US"/>
        </w:rPr>
        <w:t xml:space="preserve"> of new ITU-T e-learning courses is now available on the </w:t>
      </w:r>
      <w:hyperlink r:id="rId27" w:history="1">
        <w:r w:rsidRPr="00841C0D">
          <w:rPr>
            <w:rStyle w:val="Hyperlink"/>
            <w:lang w:val="en-US"/>
          </w:rPr>
          <w:t>ITU Academy</w:t>
        </w:r>
      </w:hyperlink>
      <w:r w:rsidRPr="0052306C">
        <w:rPr>
          <w:lang w:val="en-US"/>
        </w:rPr>
        <w:t xml:space="preserve"> platform. The course is based on </w:t>
      </w:r>
      <w:hyperlink r:id="rId28" w:history="1">
        <w:r w:rsidRPr="00841C0D">
          <w:rPr>
            <w:rStyle w:val="Hyperlink"/>
            <w:lang w:val="en-US"/>
          </w:rPr>
          <w:t>Recommendation ITU-T A.1</w:t>
        </w:r>
      </w:hyperlink>
      <w:r w:rsidRPr="0052306C">
        <w:rPr>
          <w:lang w:val="en-US"/>
        </w:rPr>
        <w:t xml:space="preserve"> </w:t>
      </w:r>
      <w:r w:rsidR="00D94C1C">
        <w:rPr>
          <w:lang w:val="en-US"/>
        </w:rPr>
        <w:t>“</w:t>
      </w:r>
      <w:r w:rsidRPr="0052306C">
        <w:rPr>
          <w:lang w:val="en-US"/>
        </w:rPr>
        <w:t>Work methods for study groups of the ITU Telecommunication Standardization Sector</w:t>
      </w:r>
      <w:r w:rsidR="00D94C1C">
        <w:rPr>
          <w:lang w:val="en-US"/>
        </w:rPr>
        <w:t>”</w:t>
      </w:r>
      <w:r w:rsidRPr="0052306C">
        <w:rPr>
          <w:lang w:val="en-US"/>
        </w:rPr>
        <w:t>, providing an introduction to the management structures, coordination mechanisms and operating procedures of ITU-T Study Groups.</w:t>
      </w:r>
    </w:p>
    <w:p w:rsidR="0052306C" w:rsidRPr="0052306C" w:rsidRDefault="0052306C" w:rsidP="00D94C1C">
      <w:pPr>
        <w:tabs>
          <w:tab w:val="clear" w:pos="567"/>
          <w:tab w:val="clear" w:pos="1134"/>
          <w:tab w:val="clear" w:pos="1701"/>
          <w:tab w:val="clear" w:pos="2268"/>
          <w:tab w:val="clear" w:pos="2835"/>
        </w:tabs>
        <w:snapToGrid w:val="0"/>
        <w:spacing w:after="120"/>
        <w:jc w:val="both"/>
        <w:rPr>
          <w:lang w:val="en-US"/>
        </w:rPr>
      </w:pPr>
      <w:r w:rsidRPr="0052306C">
        <w:rPr>
          <w:lang w:val="en-US"/>
        </w:rPr>
        <w:t>The main objectives of the e-learning course are to introduce the structures, management, coordination mechanisms and operating procedures of ITU-T study groups as defined in Recommendation ITU-T A.1. Recommendation ITU-T A.1 describes general work methods for ITU-T study groups. The course is intended for delegates participating in ITU-T study group meetings, especially new participants. Each module is a self-contained unit, including course content and quizzes. After going through the course, participants need to take a final assessment online which upon scoring at least 80%; they can obtain a certificate of achievement.</w:t>
      </w:r>
    </w:p>
    <w:p w:rsidR="0052306C" w:rsidRPr="0052306C" w:rsidRDefault="0052306C" w:rsidP="00D94C1C">
      <w:pPr>
        <w:tabs>
          <w:tab w:val="clear" w:pos="567"/>
          <w:tab w:val="clear" w:pos="1134"/>
          <w:tab w:val="clear" w:pos="1701"/>
          <w:tab w:val="clear" w:pos="2268"/>
          <w:tab w:val="clear" w:pos="2835"/>
        </w:tabs>
        <w:snapToGrid w:val="0"/>
        <w:spacing w:after="120"/>
        <w:jc w:val="both"/>
        <w:rPr>
          <w:lang w:val="en-US"/>
        </w:rPr>
      </w:pPr>
      <w:r w:rsidRPr="0052306C">
        <w:rPr>
          <w:lang w:val="en-US"/>
        </w:rPr>
        <w:t>An e-learning course on quality of service for mobile networks is under development in 2014 in collaboration with BDT.</w:t>
      </w:r>
    </w:p>
    <w:p w:rsidR="0052306C" w:rsidRPr="00662EAE" w:rsidRDefault="0052306C" w:rsidP="00D94C1C">
      <w:pPr>
        <w:tabs>
          <w:tab w:val="clear" w:pos="567"/>
          <w:tab w:val="clear" w:pos="1134"/>
          <w:tab w:val="clear" w:pos="1701"/>
          <w:tab w:val="clear" w:pos="2268"/>
          <w:tab w:val="clear" w:pos="2835"/>
        </w:tabs>
        <w:snapToGrid w:val="0"/>
        <w:spacing w:before="240" w:after="120"/>
        <w:jc w:val="both"/>
        <w:rPr>
          <w:b/>
          <w:bCs/>
          <w:lang w:val="en-US"/>
        </w:rPr>
      </w:pPr>
      <w:r w:rsidRPr="00662EAE">
        <w:rPr>
          <w:b/>
          <w:bCs/>
          <w:lang w:val="en-US"/>
        </w:rPr>
        <w:t>4.2.</w:t>
      </w:r>
      <w:r w:rsidRPr="00662EAE">
        <w:rPr>
          <w:b/>
          <w:bCs/>
          <w:lang w:val="en-US"/>
        </w:rPr>
        <w:tab/>
        <w:t>Organization of seminars and workshops on ICT standardization</w:t>
      </w:r>
    </w:p>
    <w:p w:rsidR="0052306C" w:rsidRPr="0052306C" w:rsidRDefault="0052306C" w:rsidP="00D94C1C">
      <w:pPr>
        <w:tabs>
          <w:tab w:val="clear" w:pos="567"/>
          <w:tab w:val="clear" w:pos="1134"/>
          <w:tab w:val="clear" w:pos="1701"/>
          <w:tab w:val="clear" w:pos="2268"/>
          <w:tab w:val="clear" w:pos="2835"/>
        </w:tabs>
        <w:snapToGrid w:val="0"/>
        <w:spacing w:after="120"/>
        <w:jc w:val="both"/>
        <w:rPr>
          <w:lang w:val="en-US"/>
        </w:rPr>
      </w:pPr>
      <w:r w:rsidRPr="0052306C">
        <w:rPr>
          <w:lang w:val="en-US"/>
        </w:rPr>
        <w:t>Regional BSG workshops were held: in 2011, in Fiji, Alger</w:t>
      </w:r>
      <w:r w:rsidR="00B54AAC">
        <w:rPr>
          <w:lang w:val="en-US"/>
        </w:rPr>
        <w:t>ia and Moldova; in 2012, in Lao (P.D.R.)</w:t>
      </w:r>
      <w:r w:rsidRPr="0052306C">
        <w:rPr>
          <w:lang w:val="en-US"/>
        </w:rPr>
        <w:t xml:space="preserve"> and India, as well as Regional ICT Standardization Forum in 2013 in Myanmar. A two-week tutorial on ITU-T Recommendations for Optical </w:t>
      </w:r>
      <w:proofErr w:type="spellStart"/>
      <w:r w:rsidRPr="0052306C">
        <w:rPr>
          <w:lang w:val="en-US"/>
        </w:rPr>
        <w:t>Fibres</w:t>
      </w:r>
      <w:proofErr w:type="spellEnd"/>
      <w:r w:rsidRPr="0052306C">
        <w:rPr>
          <w:lang w:val="en-US"/>
        </w:rPr>
        <w:t>, Cables, and Systems took place in Mexico in September 2011, based on ITU-T</w:t>
      </w:r>
      <w:r w:rsidR="00D94C1C">
        <w:rPr>
          <w:lang w:val="en-US"/>
        </w:rPr>
        <w:t>’</w:t>
      </w:r>
      <w:r w:rsidRPr="0052306C">
        <w:rPr>
          <w:lang w:val="en-US"/>
        </w:rPr>
        <w:t xml:space="preserve">s </w:t>
      </w:r>
      <w:r w:rsidR="00624442">
        <w:rPr>
          <w:lang w:val="en-US"/>
        </w:rPr>
        <w:t xml:space="preserve">Handbook on </w:t>
      </w:r>
      <w:proofErr w:type="spellStart"/>
      <w:r w:rsidR="00624442">
        <w:rPr>
          <w:lang w:val="en-US"/>
        </w:rPr>
        <w:t>Fibre</w:t>
      </w:r>
      <w:proofErr w:type="spellEnd"/>
      <w:r w:rsidR="00624442">
        <w:rPr>
          <w:lang w:val="en-US"/>
        </w:rPr>
        <w:t xml:space="preserve"> Optic Cables.</w:t>
      </w:r>
      <w:bookmarkStart w:id="9" w:name="_GoBack"/>
      <w:bookmarkEnd w:id="9"/>
    </w:p>
    <w:p w:rsidR="0052306C" w:rsidRPr="0052306C" w:rsidRDefault="0052306C" w:rsidP="00D94C1C">
      <w:pPr>
        <w:tabs>
          <w:tab w:val="clear" w:pos="567"/>
          <w:tab w:val="clear" w:pos="1134"/>
          <w:tab w:val="clear" w:pos="1701"/>
          <w:tab w:val="clear" w:pos="2268"/>
          <w:tab w:val="clear" w:pos="2835"/>
        </w:tabs>
        <w:snapToGrid w:val="0"/>
        <w:spacing w:after="120"/>
        <w:jc w:val="both"/>
        <w:rPr>
          <w:lang w:val="en-US"/>
        </w:rPr>
      </w:pPr>
      <w:r w:rsidRPr="0052306C">
        <w:rPr>
          <w:lang w:val="en-US"/>
        </w:rPr>
        <w:t>One Regional ICT Standardization Forum for the Arab region was held on 27 January 2014 in Tunis. Three more regional standardization forums are pla</w:t>
      </w:r>
      <w:r w:rsidR="00624442">
        <w:rPr>
          <w:lang w:val="en-US"/>
        </w:rPr>
        <w:t>nned in 2014 for other regions.</w:t>
      </w:r>
    </w:p>
    <w:p w:rsidR="0052306C" w:rsidRPr="0052306C" w:rsidRDefault="0052306C" w:rsidP="00D94C1C">
      <w:pPr>
        <w:tabs>
          <w:tab w:val="clear" w:pos="567"/>
          <w:tab w:val="clear" w:pos="1134"/>
          <w:tab w:val="clear" w:pos="1701"/>
          <w:tab w:val="clear" w:pos="2268"/>
          <w:tab w:val="clear" w:pos="2835"/>
        </w:tabs>
        <w:snapToGrid w:val="0"/>
        <w:spacing w:after="120"/>
        <w:jc w:val="both"/>
        <w:rPr>
          <w:lang w:val="en-US"/>
        </w:rPr>
      </w:pPr>
      <w:r w:rsidRPr="0052306C">
        <w:rPr>
          <w:lang w:val="en-US"/>
        </w:rPr>
        <w:t xml:space="preserve">Tutorials targeting delegates and those in leadership positions in ITU-T study groups took place in 2012 in Geneva, Korea and Thailand, as well as a tutorial for the new study group and TSAG </w:t>
      </w:r>
      <w:r w:rsidRPr="00624442">
        <w:rPr>
          <w:spacing w:val="2"/>
          <w:lang w:val="en-US"/>
        </w:rPr>
        <w:t>leadership teams in January 2013. ITU-T</w:t>
      </w:r>
      <w:r w:rsidR="00D94C1C">
        <w:rPr>
          <w:spacing w:val="2"/>
          <w:lang w:val="en-US"/>
        </w:rPr>
        <w:t>’</w:t>
      </w:r>
      <w:r w:rsidRPr="00624442">
        <w:rPr>
          <w:spacing w:val="2"/>
          <w:lang w:val="en-US"/>
        </w:rPr>
        <w:t>s first e-learning online course, a two-hour course on</w:t>
      </w:r>
      <w:r w:rsidRPr="0052306C">
        <w:rPr>
          <w:lang w:val="en-US"/>
        </w:rPr>
        <w:t xml:space="preserve"> ITU-T A.1 (ITU-T</w:t>
      </w:r>
      <w:r w:rsidR="00D94C1C">
        <w:rPr>
          <w:lang w:val="en-US"/>
        </w:rPr>
        <w:t>’</w:t>
      </w:r>
      <w:r w:rsidRPr="0052306C">
        <w:rPr>
          <w:lang w:val="en-US"/>
        </w:rPr>
        <w:t>s working methods</w:t>
      </w:r>
      <w:r w:rsidR="00624442">
        <w:rPr>
          <w:lang w:val="en-US"/>
        </w:rPr>
        <w:t>) was launched in January 2014.</w:t>
      </w:r>
    </w:p>
    <w:p w:rsidR="0052306C" w:rsidRPr="0052306C" w:rsidRDefault="0052306C" w:rsidP="00D94C1C">
      <w:pPr>
        <w:tabs>
          <w:tab w:val="clear" w:pos="567"/>
          <w:tab w:val="clear" w:pos="1134"/>
          <w:tab w:val="clear" w:pos="1701"/>
          <w:tab w:val="clear" w:pos="2268"/>
          <w:tab w:val="clear" w:pos="2835"/>
        </w:tabs>
        <w:snapToGrid w:val="0"/>
        <w:spacing w:after="120"/>
        <w:jc w:val="both"/>
        <w:rPr>
          <w:lang w:val="en-US"/>
        </w:rPr>
      </w:pPr>
      <w:r w:rsidRPr="0052306C">
        <w:rPr>
          <w:lang w:val="en-US"/>
        </w:rPr>
        <w:t>Four standardization tutorials were held namely in Malaysia, India, Fiji and Algeria. The standardization tutorials provided an interactive learning experience through a simulated study group meeting. The tutorial covered background information on how standardization works and how participants can increase their effectiveness in ITU-T meetings.</w:t>
      </w:r>
    </w:p>
    <w:p w:rsidR="0052306C" w:rsidRPr="0052306C" w:rsidRDefault="0052306C" w:rsidP="00D94C1C">
      <w:pPr>
        <w:tabs>
          <w:tab w:val="clear" w:pos="567"/>
          <w:tab w:val="clear" w:pos="1134"/>
          <w:tab w:val="clear" w:pos="1701"/>
          <w:tab w:val="clear" w:pos="2268"/>
          <w:tab w:val="clear" w:pos="2835"/>
        </w:tabs>
        <w:snapToGrid w:val="0"/>
        <w:spacing w:after="120"/>
        <w:jc w:val="both"/>
        <w:rPr>
          <w:lang w:val="en-US"/>
        </w:rPr>
      </w:pPr>
      <w:r w:rsidRPr="0052306C">
        <w:rPr>
          <w:lang w:val="en-US"/>
        </w:rPr>
        <w:t>Workshops and capacity</w:t>
      </w:r>
      <w:r w:rsidR="00B54AAC">
        <w:rPr>
          <w:lang w:val="en-US"/>
        </w:rPr>
        <w:t>-</w:t>
      </w:r>
      <w:r w:rsidRPr="0052306C">
        <w:rPr>
          <w:lang w:val="en-US"/>
        </w:rPr>
        <w:t>building events were organized in close collaboration with BDT and BR</w:t>
      </w:r>
      <w:r w:rsidR="00B54AAC">
        <w:rPr>
          <w:lang w:val="en-US"/>
        </w:rPr>
        <w:t>,</w:t>
      </w:r>
      <w:r w:rsidRPr="0052306C">
        <w:rPr>
          <w:lang w:val="en-US"/>
        </w:rPr>
        <w:t xml:space="preserve"> including ITU</w:t>
      </w:r>
      <w:r w:rsidR="00D94C1C">
        <w:rPr>
          <w:lang w:val="en-US"/>
        </w:rPr>
        <w:t>’</w:t>
      </w:r>
      <w:r w:rsidRPr="0052306C">
        <w:rPr>
          <w:lang w:val="en-US"/>
        </w:rPr>
        <w:t>s Regional and Area Offices.</w:t>
      </w:r>
    </w:p>
    <w:p w:rsidR="0052306C" w:rsidRPr="00662EAE" w:rsidRDefault="0052306C" w:rsidP="00D94C1C">
      <w:pPr>
        <w:keepNext/>
        <w:keepLines/>
        <w:tabs>
          <w:tab w:val="clear" w:pos="567"/>
          <w:tab w:val="clear" w:pos="1134"/>
          <w:tab w:val="clear" w:pos="1701"/>
          <w:tab w:val="clear" w:pos="2268"/>
          <w:tab w:val="clear" w:pos="2835"/>
        </w:tabs>
        <w:snapToGrid w:val="0"/>
        <w:spacing w:after="120"/>
        <w:jc w:val="both"/>
        <w:rPr>
          <w:b/>
          <w:bCs/>
          <w:lang w:val="en-US"/>
        </w:rPr>
      </w:pPr>
      <w:r w:rsidRPr="00662EAE">
        <w:rPr>
          <w:b/>
          <w:bCs/>
          <w:lang w:val="en-US"/>
        </w:rPr>
        <w:t>4.3.</w:t>
      </w:r>
      <w:r w:rsidRPr="00662EAE">
        <w:rPr>
          <w:b/>
          <w:bCs/>
          <w:lang w:val="en-US"/>
        </w:rPr>
        <w:tab/>
        <w:t>Fellowships to developing countries</w:t>
      </w:r>
    </w:p>
    <w:p w:rsidR="0052306C" w:rsidRPr="0052306C" w:rsidRDefault="0052306C" w:rsidP="00D94C1C">
      <w:pPr>
        <w:keepNext/>
        <w:keepLines/>
        <w:tabs>
          <w:tab w:val="clear" w:pos="567"/>
          <w:tab w:val="clear" w:pos="1134"/>
          <w:tab w:val="clear" w:pos="1701"/>
          <w:tab w:val="clear" w:pos="2268"/>
          <w:tab w:val="clear" w:pos="2835"/>
        </w:tabs>
        <w:snapToGrid w:val="0"/>
        <w:spacing w:after="120"/>
        <w:jc w:val="both"/>
        <w:rPr>
          <w:lang w:val="en-US"/>
        </w:rPr>
      </w:pPr>
      <w:r w:rsidRPr="0052306C">
        <w:rPr>
          <w:lang w:val="en-US"/>
        </w:rPr>
        <w:t xml:space="preserve">The fellowship </w:t>
      </w:r>
      <w:proofErr w:type="spellStart"/>
      <w:r w:rsidRPr="0052306C">
        <w:rPr>
          <w:lang w:val="en-US"/>
        </w:rPr>
        <w:t>programme</w:t>
      </w:r>
      <w:proofErr w:type="spellEnd"/>
      <w:r w:rsidRPr="0052306C">
        <w:rPr>
          <w:lang w:val="en-US"/>
        </w:rPr>
        <w:t>, available for eligible countries to attend meetings of any of the ten ITU-T study groups, finds strong resonance. The number of meetings in the regions continues to increase, and remote participation is now offered in all study group meetings.</w:t>
      </w:r>
    </w:p>
    <w:p w:rsidR="0052306C" w:rsidRPr="0052306C" w:rsidRDefault="00B54AAC" w:rsidP="00D94C1C">
      <w:pPr>
        <w:tabs>
          <w:tab w:val="clear" w:pos="567"/>
          <w:tab w:val="clear" w:pos="1134"/>
          <w:tab w:val="clear" w:pos="1701"/>
          <w:tab w:val="clear" w:pos="2268"/>
          <w:tab w:val="clear" w:pos="2835"/>
        </w:tabs>
        <w:snapToGrid w:val="0"/>
        <w:spacing w:after="120"/>
        <w:jc w:val="both"/>
        <w:rPr>
          <w:lang w:val="en-US"/>
        </w:rPr>
      </w:pPr>
      <w:r>
        <w:rPr>
          <w:lang w:val="en-US"/>
        </w:rPr>
        <w:t>ITU has</w:t>
      </w:r>
      <w:r w:rsidR="0052306C" w:rsidRPr="0052306C">
        <w:rPr>
          <w:lang w:val="en-US"/>
        </w:rPr>
        <w:t xml:space="preserve"> facilitated participation in </w:t>
      </w:r>
      <w:r>
        <w:rPr>
          <w:lang w:val="en-US"/>
        </w:rPr>
        <w:t>its</w:t>
      </w:r>
      <w:r w:rsidR="0052306C" w:rsidRPr="0052306C">
        <w:rPr>
          <w:lang w:val="en-US"/>
        </w:rPr>
        <w:t xml:space="preserve"> meetings in a number of ways. Previously, partial fellowships were only available for ITU-T Study Group 3, now either one full fellowship or two partial fellowships are av</w:t>
      </w:r>
      <w:r>
        <w:rPr>
          <w:lang w:val="en-US"/>
        </w:rPr>
        <w:t>ailable for meetings of all ten</w:t>
      </w:r>
      <w:r w:rsidR="0052306C" w:rsidRPr="0052306C">
        <w:rPr>
          <w:lang w:val="en-US"/>
        </w:rPr>
        <w:t xml:space="preserve"> study groups. The ITU fellowships are limited to countries with annual GDP per capita not exceeding </w:t>
      </w:r>
      <w:r>
        <w:rPr>
          <w:lang w:val="en-US"/>
        </w:rPr>
        <w:t>USD </w:t>
      </w:r>
      <w:r w:rsidR="0052306C" w:rsidRPr="0052306C">
        <w:rPr>
          <w:lang w:val="en-US"/>
        </w:rPr>
        <w:t>2000 as measured by the World Bank.</w:t>
      </w:r>
    </w:p>
    <w:p w:rsidR="0052306C" w:rsidRPr="00662EAE" w:rsidRDefault="0052306C" w:rsidP="00D94C1C">
      <w:pPr>
        <w:tabs>
          <w:tab w:val="clear" w:pos="567"/>
          <w:tab w:val="clear" w:pos="1134"/>
          <w:tab w:val="clear" w:pos="1701"/>
          <w:tab w:val="clear" w:pos="2268"/>
          <w:tab w:val="clear" w:pos="2835"/>
        </w:tabs>
        <w:snapToGrid w:val="0"/>
        <w:spacing w:before="400" w:after="120"/>
        <w:jc w:val="both"/>
        <w:rPr>
          <w:b/>
          <w:bCs/>
          <w:lang w:val="en-US"/>
        </w:rPr>
      </w:pPr>
      <w:r w:rsidRPr="00662EAE">
        <w:rPr>
          <w:b/>
          <w:bCs/>
          <w:lang w:val="en-US"/>
        </w:rPr>
        <w:t>5.</w:t>
      </w:r>
      <w:r w:rsidRPr="00662EAE">
        <w:rPr>
          <w:b/>
          <w:bCs/>
          <w:lang w:val="en-US"/>
        </w:rPr>
        <w:tab/>
        <w:t>Fundraising for BSG</w:t>
      </w:r>
    </w:p>
    <w:p w:rsidR="0052306C" w:rsidRPr="0052306C" w:rsidRDefault="0052306C" w:rsidP="00D94C1C">
      <w:pPr>
        <w:tabs>
          <w:tab w:val="clear" w:pos="567"/>
          <w:tab w:val="clear" w:pos="1134"/>
          <w:tab w:val="clear" w:pos="1701"/>
          <w:tab w:val="clear" w:pos="2268"/>
          <w:tab w:val="clear" w:pos="2835"/>
        </w:tabs>
        <w:snapToGrid w:val="0"/>
        <w:spacing w:after="120"/>
        <w:jc w:val="both"/>
        <w:rPr>
          <w:lang w:val="en-US"/>
        </w:rPr>
      </w:pPr>
      <w:r w:rsidRPr="0052306C">
        <w:rPr>
          <w:lang w:val="en-US"/>
        </w:rPr>
        <w:t>The voluntary fund to help bridge the standardization gap was established in August 2007 pursuant to WTSA-04 Resolution 44. Contributors include Nokia Siemens Networks, Microsoft, Cisco</w:t>
      </w:r>
      <w:r w:rsidR="00B54AAC">
        <w:rPr>
          <w:lang w:val="en-US"/>
        </w:rPr>
        <w:t>,</w:t>
      </w:r>
      <w:r w:rsidRPr="0052306C">
        <w:rPr>
          <w:lang w:val="en-US"/>
        </w:rPr>
        <w:t xml:space="preserve"> and Korea. The Fund was used, </w:t>
      </w:r>
      <w:r w:rsidRPr="00B54AAC">
        <w:rPr>
          <w:i/>
          <w:iCs/>
          <w:lang w:val="en-US"/>
        </w:rPr>
        <w:t>inter alia</w:t>
      </w:r>
      <w:r w:rsidRPr="0052306C">
        <w:rPr>
          <w:lang w:val="en-US"/>
        </w:rPr>
        <w:t xml:space="preserve">, for supporting more events taking place in developing countries, including the tutorial on optical </w:t>
      </w:r>
      <w:proofErr w:type="spellStart"/>
      <w:r w:rsidRPr="0052306C">
        <w:rPr>
          <w:lang w:val="en-US"/>
        </w:rPr>
        <w:t>fibre</w:t>
      </w:r>
      <w:proofErr w:type="spellEnd"/>
      <w:r w:rsidRPr="0052306C">
        <w:rPr>
          <w:lang w:val="en-US"/>
        </w:rPr>
        <w:t xml:space="preserve"> cables and systems in Rwanda and Mexico. Funds were also used to provide fellowships to participants from developing countries to attend BSG Workshops and to develop technical manuals and reports. </w:t>
      </w:r>
    </w:p>
    <w:p w:rsidR="0052306C" w:rsidRPr="0052306C" w:rsidRDefault="0052306C" w:rsidP="00D94C1C">
      <w:pPr>
        <w:tabs>
          <w:tab w:val="clear" w:pos="567"/>
          <w:tab w:val="clear" w:pos="1134"/>
          <w:tab w:val="clear" w:pos="1701"/>
          <w:tab w:val="clear" w:pos="2268"/>
          <w:tab w:val="clear" w:pos="2835"/>
        </w:tabs>
        <w:snapToGrid w:val="0"/>
        <w:spacing w:after="120"/>
        <w:jc w:val="both"/>
        <w:rPr>
          <w:lang w:val="en-US"/>
        </w:rPr>
      </w:pPr>
      <w:r w:rsidRPr="0052306C">
        <w:rPr>
          <w:lang w:val="en-US"/>
        </w:rPr>
        <w:t>A total amount of CHF 289,070 was received in the BSG Fund in 2010. Additional contributions from Canada and Microsoft were received in 2012 and 2013 respectively. The amount available in the BSG Fund at end of May 2014 is CHF 158,679.</w:t>
      </w:r>
    </w:p>
    <w:p w:rsidR="0052306C" w:rsidRPr="00662EAE" w:rsidRDefault="00662EAE" w:rsidP="00D94C1C">
      <w:pPr>
        <w:tabs>
          <w:tab w:val="clear" w:pos="567"/>
          <w:tab w:val="clear" w:pos="1134"/>
          <w:tab w:val="clear" w:pos="1701"/>
          <w:tab w:val="clear" w:pos="2268"/>
          <w:tab w:val="clear" w:pos="2835"/>
        </w:tabs>
        <w:snapToGrid w:val="0"/>
        <w:spacing w:before="400" w:after="120"/>
        <w:jc w:val="both"/>
        <w:rPr>
          <w:b/>
          <w:bCs/>
          <w:lang w:val="en-US"/>
        </w:rPr>
      </w:pPr>
      <w:r w:rsidRPr="00662EAE">
        <w:rPr>
          <w:b/>
          <w:bCs/>
          <w:lang w:val="en-US"/>
        </w:rPr>
        <w:t>6.</w:t>
      </w:r>
      <w:r w:rsidRPr="00662EAE">
        <w:rPr>
          <w:b/>
          <w:bCs/>
          <w:lang w:val="en-US"/>
        </w:rPr>
        <w:tab/>
      </w:r>
      <w:r w:rsidR="0052306C" w:rsidRPr="00662EAE">
        <w:rPr>
          <w:b/>
          <w:bCs/>
          <w:lang w:val="en-US"/>
        </w:rPr>
        <w:t xml:space="preserve">Outcomes of World Telecommunication Development Conference - Dubai 2014 </w:t>
      </w:r>
      <w:r w:rsidR="00624442">
        <w:rPr>
          <w:b/>
          <w:bCs/>
          <w:lang w:val="en-US"/>
        </w:rPr>
        <w:br/>
      </w:r>
      <w:r w:rsidR="00624442">
        <w:rPr>
          <w:b/>
          <w:bCs/>
          <w:lang w:val="en-US"/>
        </w:rPr>
        <w:tab/>
      </w:r>
      <w:r w:rsidR="0052306C" w:rsidRPr="00662EAE">
        <w:rPr>
          <w:b/>
          <w:bCs/>
          <w:lang w:val="en-US"/>
        </w:rPr>
        <w:t>(WTDC-14)</w:t>
      </w:r>
    </w:p>
    <w:p w:rsidR="0052306C" w:rsidRPr="0052306C" w:rsidRDefault="0052306C" w:rsidP="00D94C1C">
      <w:pPr>
        <w:tabs>
          <w:tab w:val="clear" w:pos="567"/>
          <w:tab w:val="clear" w:pos="1134"/>
          <w:tab w:val="clear" w:pos="1701"/>
          <w:tab w:val="clear" w:pos="2268"/>
          <w:tab w:val="clear" w:pos="2835"/>
        </w:tabs>
        <w:snapToGrid w:val="0"/>
        <w:spacing w:after="120"/>
        <w:jc w:val="both"/>
        <w:rPr>
          <w:lang w:val="en-US"/>
        </w:rPr>
      </w:pPr>
      <w:r w:rsidRPr="0052306C">
        <w:rPr>
          <w:lang w:val="en-US"/>
        </w:rPr>
        <w:t>ITU</w:t>
      </w:r>
      <w:r w:rsidR="00D94C1C">
        <w:rPr>
          <w:lang w:val="en-US"/>
        </w:rPr>
        <w:t>’</w:t>
      </w:r>
      <w:r w:rsidRPr="0052306C">
        <w:rPr>
          <w:lang w:val="en-US"/>
        </w:rPr>
        <w:t xml:space="preserve">s sixth </w:t>
      </w:r>
      <w:hyperlink r:id="rId29" w:history="1">
        <w:r w:rsidRPr="00841C0D">
          <w:rPr>
            <w:rStyle w:val="Hyperlink"/>
            <w:lang w:val="en-US"/>
          </w:rPr>
          <w:t>World Telecommunication Development Conference (WTDC)</w:t>
        </w:r>
      </w:hyperlink>
      <w:r w:rsidRPr="0052306C">
        <w:rPr>
          <w:lang w:val="en-US"/>
        </w:rPr>
        <w:t xml:space="preserve"> was held in Dubai, United Arab Emirates, from 30 March to 10 April 2014 under the theme of </w:t>
      </w:r>
      <w:r w:rsidR="00D94C1C">
        <w:rPr>
          <w:lang w:val="en-US"/>
        </w:rPr>
        <w:t>“</w:t>
      </w:r>
      <w:r w:rsidRPr="0052306C">
        <w:rPr>
          <w:lang w:val="en-US"/>
        </w:rPr>
        <w:t>Broadband for Sustainable Development</w:t>
      </w:r>
      <w:r w:rsidR="00D94C1C">
        <w:rPr>
          <w:lang w:val="en-US"/>
        </w:rPr>
        <w:t>”</w:t>
      </w:r>
      <w:r w:rsidRPr="0052306C">
        <w:rPr>
          <w:lang w:val="en-US"/>
        </w:rPr>
        <w:t>.</w:t>
      </w:r>
    </w:p>
    <w:p w:rsidR="0052306C" w:rsidRPr="0052306C" w:rsidRDefault="0052306C" w:rsidP="00D94C1C">
      <w:pPr>
        <w:tabs>
          <w:tab w:val="clear" w:pos="567"/>
          <w:tab w:val="clear" w:pos="1134"/>
          <w:tab w:val="clear" w:pos="1701"/>
          <w:tab w:val="clear" w:pos="2268"/>
          <w:tab w:val="clear" w:pos="2835"/>
        </w:tabs>
        <w:snapToGrid w:val="0"/>
        <w:spacing w:after="120"/>
        <w:jc w:val="both"/>
        <w:rPr>
          <w:lang w:val="en-US"/>
        </w:rPr>
      </w:pPr>
      <w:r w:rsidRPr="0052306C">
        <w:rPr>
          <w:lang w:val="en-US"/>
        </w:rPr>
        <w:t xml:space="preserve">The </w:t>
      </w:r>
      <w:hyperlink r:id="rId30" w:history="1">
        <w:r w:rsidRPr="00841C0D">
          <w:rPr>
            <w:rStyle w:val="Hyperlink"/>
            <w:lang w:val="en-US"/>
          </w:rPr>
          <w:t>Conference</w:t>
        </w:r>
      </w:hyperlink>
      <w:r w:rsidRPr="0052306C">
        <w:rPr>
          <w:lang w:val="en-US"/>
        </w:rPr>
        <w:t xml:space="preserve"> endorsed relevant regional activities on bridging the standardization gap between developing and developed countries. Below is a list of major outcomes of the Conference related to bridging the standardization </w:t>
      </w:r>
      <w:proofErr w:type="gramStart"/>
      <w:r w:rsidRPr="0052306C">
        <w:rPr>
          <w:lang w:val="en-US"/>
        </w:rPr>
        <w:t>gap.</w:t>
      </w:r>
      <w:proofErr w:type="gramEnd"/>
    </w:p>
    <w:p w:rsidR="0052306C" w:rsidRPr="0052306C" w:rsidRDefault="0052306C" w:rsidP="00D94C1C">
      <w:pPr>
        <w:tabs>
          <w:tab w:val="clear" w:pos="567"/>
          <w:tab w:val="clear" w:pos="1134"/>
          <w:tab w:val="clear" w:pos="1701"/>
          <w:tab w:val="clear" w:pos="2268"/>
          <w:tab w:val="clear" w:pos="2835"/>
        </w:tabs>
        <w:snapToGrid w:val="0"/>
        <w:spacing w:after="120"/>
        <w:jc w:val="both"/>
        <w:rPr>
          <w:lang w:val="en-US"/>
        </w:rPr>
      </w:pPr>
      <w:r w:rsidRPr="0052306C">
        <w:rPr>
          <w:lang w:val="en-US"/>
        </w:rPr>
        <w:t>•</w:t>
      </w:r>
      <w:r w:rsidRPr="0052306C">
        <w:rPr>
          <w:lang w:val="en-US"/>
        </w:rPr>
        <w:tab/>
        <w:t xml:space="preserve">The </w:t>
      </w:r>
      <w:hyperlink r:id="rId31" w:history="1">
        <w:r w:rsidRPr="00841C0D">
          <w:rPr>
            <w:rStyle w:val="Hyperlink"/>
            <w:lang w:val="en-US"/>
          </w:rPr>
          <w:t>Dubai Declaration</w:t>
        </w:r>
      </w:hyperlink>
      <w:r w:rsidRPr="0052306C">
        <w:rPr>
          <w:lang w:val="en-US"/>
        </w:rPr>
        <w:t xml:space="preserve"> specifically asserted that </w:t>
      </w:r>
      <w:r w:rsidR="00D94C1C">
        <w:rPr>
          <w:lang w:val="en-US"/>
        </w:rPr>
        <w:t>“</w:t>
      </w:r>
      <w:r w:rsidRPr="0052306C">
        <w:rPr>
          <w:lang w:val="en-US"/>
        </w:rPr>
        <w:t>increased participation of developing countries in ITU activities to bridge the standardization gap is needed to ensure that they experience the economic benefits associated with technological development, and to better reflect the requirements and interests of developing countries in this area</w:t>
      </w:r>
      <w:r w:rsidR="00D94C1C">
        <w:rPr>
          <w:lang w:val="en-US"/>
        </w:rPr>
        <w:t>”</w:t>
      </w:r>
      <w:r w:rsidR="00B54AAC">
        <w:rPr>
          <w:lang w:val="en-US"/>
        </w:rPr>
        <w:t>.</w:t>
      </w:r>
    </w:p>
    <w:p w:rsidR="0052306C" w:rsidRPr="0052306C" w:rsidRDefault="0052306C" w:rsidP="00D94C1C">
      <w:pPr>
        <w:tabs>
          <w:tab w:val="clear" w:pos="567"/>
          <w:tab w:val="clear" w:pos="1134"/>
          <w:tab w:val="clear" w:pos="1701"/>
          <w:tab w:val="clear" w:pos="2268"/>
          <w:tab w:val="clear" w:pos="2835"/>
        </w:tabs>
        <w:snapToGrid w:val="0"/>
        <w:spacing w:after="120"/>
        <w:jc w:val="both"/>
        <w:rPr>
          <w:lang w:val="en-US"/>
        </w:rPr>
      </w:pPr>
      <w:r w:rsidRPr="0052306C">
        <w:rPr>
          <w:lang w:val="en-US"/>
        </w:rPr>
        <w:t>•</w:t>
      </w:r>
      <w:r w:rsidRPr="0052306C">
        <w:rPr>
          <w:lang w:val="en-US"/>
        </w:rPr>
        <w:tab/>
        <w:t xml:space="preserve">Fostering </w:t>
      </w:r>
      <w:r w:rsidR="00D94C1C">
        <w:rPr>
          <w:lang w:val="en-US"/>
        </w:rPr>
        <w:t>“</w:t>
      </w:r>
      <w:r w:rsidRPr="0052306C">
        <w:rPr>
          <w:lang w:val="en-US"/>
        </w:rPr>
        <w:t>the development of telecommunication/ICT networks as well as relevant applications and services, including bridging the standardization gap</w:t>
      </w:r>
      <w:r w:rsidR="00D94C1C">
        <w:rPr>
          <w:lang w:val="en-US"/>
        </w:rPr>
        <w:t>”</w:t>
      </w:r>
      <w:r w:rsidRPr="0052306C">
        <w:rPr>
          <w:lang w:val="en-US"/>
        </w:rPr>
        <w:t xml:space="preserve"> was set as a specific Objective in the </w:t>
      </w:r>
      <w:r w:rsidR="00B54AAC">
        <w:rPr>
          <w:lang w:val="en-US"/>
        </w:rPr>
        <w:t>ITU-D Action Plan (Objective 2).</w:t>
      </w:r>
    </w:p>
    <w:p w:rsidR="0052306C" w:rsidRPr="0052306C" w:rsidRDefault="0052306C" w:rsidP="00D94C1C">
      <w:pPr>
        <w:tabs>
          <w:tab w:val="clear" w:pos="567"/>
          <w:tab w:val="clear" w:pos="1134"/>
          <w:tab w:val="clear" w:pos="1701"/>
          <w:tab w:val="clear" w:pos="2268"/>
          <w:tab w:val="clear" w:pos="2835"/>
        </w:tabs>
        <w:snapToGrid w:val="0"/>
        <w:spacing w:after="120"/>
        <w:jc w:val="both"/>
        <w:rPr>
          <w:lang w:val="en-US"/>
        </w:rPr>
      </w:pPr>
      <w:r w:rsidRPr="0052306C">
        <w:rPr>
          <w:lang w:val="en-US"/>
        </w:rPr>
        <w:t>•</w:t>
      </w:r>
      <w:r w:rsidRPr="0052306C">
        <w:rPr>
          <w:lang w:val="en-US"/>
        </w:rPr>
        <w:tab/>
        <w:t>Resolution 47 on the enhancement of knowledge and effective application of ITU Recommendations in developing countries, was revised to stress of the usefulness of ITU guidelines on the app</w:t>
      </w:r>
      <w:r w:rsidR="00B54AAC">
        <w:rPr>
          <w:lang w:val="en-US"/>
        </w:rPr>
        <w:t>lication of ITU Recommendations.</w:t>
      </w:r>
    </w:p>
    <w:p w:rsidR="0052306C" w:rsidRPr="0052306C" w:rsidRDefault="0052306C" w:rsidP="00D94C1C">
      <w:pPr>
        <w:tabs>
          <w:tab w:val="clear" w:pos="567"/>
          <w:tab w:val="clear" w:pos="1134"/>
          <w:tab w:val="clear" w:pos="1701"/>
          <w:tab w:val="clear" w:pos="2268"/>
          <w:tab w:val="clear" w:pos="2835"/>
        </w:tabs>
        <w:snapToGrid w:val="0"/>
        <w:spacing w:after="120"/>
        <w:jc w:val="both"/>
        <w:rPr>
          <w:lang w:val="en-US"/>
        </w:rPr>
      </w:pPr>
      <w:r w:rsidRPr="0052306C">
        <w:rPr>
          <w:lang w:val="en-US"/>
        </w:rPr>
        <w:t>•</w:t>
      </w:r>
      <w:r w:rsidRPr="0052306C">
        <w:rPr>
          <w:lang w:val="en-US"/>
        </w:rPr>
        <w:tab/>
        <w:t>A new ITU-D Recommendation was approved on bridging the standardization gap in association with regional groups of the study groups.</w:t>
      </w:r>
    </w:p>
    <w:p w:rsidR="0052306C" w:rsidRPr="0052306C" w:rsidRDefault="0052306C" w:rsidP="00624442">
      <w:pPr>
        <w:tabs>
          <w:tab w:val="clear" w:pos="567"/>
          <w:tab w:val="clear" w:pos="1134"/>
          <w:tab w:val="clear" w:pos="1701"/>
          <w:tab w:val="clear" w:pos="2268"/>
          <w:tab w:val="clear" w:pos="2835"/>
        </w:tabs>
        <w:snapToGrid w:val="0"/>
        <w:spacing w:before="240"/>
        <w:jc w:val="center"/>
        <w:rPr>
          <w:lang w:val="es-ES"/>
        </w:rPr>
      </w:pPr>
      <w:r w:rsidRPr="0052306C">
        <w:rPr>
          <w:lang w:val="es-ES"/>
        </w:rPr>
        <w:t>________________________</w:t>
      </w:r>
    </w:p>
    <w:sectPr w:rsidR="0052306C" w:rsidRPr="0052306C" w:rsidSect="00361097">
      <w:headerReference w:type="default" r:id="rId32"/>
      <w:footerReference w:type="first" r:id="rId33"/>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90" w:rsidRDefault="00B55090">
      <w:r>
        <w:separator/>
      </w:r>
    </w:p>
  </w:endnote>
  <w:endnote w:type="continuationSeparator" w:id="0">
    <w:p w:rsidR="00B55090" w:rsidRDefault="00B5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C6" w:rsidRPr="007D34DD" w:rsidRDefault="008263C6" w:rsidP="007D34DD">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90" w:rsidRDefault="00B55090" w:rsidP="00624442">
      <w:pPr>
        <w:spacing w:before="60"/>
      </w:pPr>
      <w:r>
        <w:t>____________________</w:t>
      </w:r>
    </w:p>
  </w:footnote>
  <w:footnote w:type="continuationSeparator" w:id="0">
    <w:p w:rsidR="00B55090" w:rsidRDefault="00B55090">
      <w:r>
        <w:continuationSeparator/>
      </w:r>
    </w:p>
  </w:footnote>
  <w:footnote w:id="1">
    <w:p w:rsidR="00841C0D" w:rsidRPr="00841C0D" w:rsidRDefault="00841C0D" w:rsidP="00624442">
      <w:pPr>
        <w:pStyle w:val="FootnoteText"/>
        <w:spacing w:before="60"/>
        <w:rPr>
          <w:lang w:val="fr-CH"/>
        </w:rPr>
      </w:pPr>
      <w:r>
        <w:rPr>
          <w:rStyle w:val="FootnoteReference"/>
        </w:rPr>
        <w:footnoteRef/>
      </w:r>
      <w:r>
        <w:t xml:space="preserve"> </w:t>
      </w:r>
      <w:r>
        <w:tab/>
      </w:r>
      <w:hyperlink r:id="rId1" w:history="1">
        <w:r w:rsidRPr="00841C0D">
          <w:rPr>
            <w:rStyle w:val="Hyperlink"/>
            <w:sz w:val="20"/>
          </w:rPr>
          <w:t>http://groups.itu.int/itu-t/StandardsQA.aspx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C6" w:rsidRDefault="008263C6" w:rsidP="008263C6">
    <w:pPr>
      <w:pStyle w:val="Header"/>
      <w:ind w:left="567" w:hanging="567"/>
    </w:pPr>
    <w:r>
      <w:fldChar w:fldCharType="begin"/>
    </w:r>
    <w:r>
      <w:instrText xml:space="preserve"> PAGE   \* MERGEFORMAT </w:instrText>
    </w:r>
    <w:r>
      <w:fldChar w:fldCharType="separate"/>
    </w:r>
    <w:r w:rsidR="00D94C1C">
      <w:rPr>
        <w:noProof/>
      </w:rPr>
      <w:t>6</w:t>
    </w:r>
    <w:r>
      <w:fldChar w:fldCharType="end"/>
    </w:r>
    <w:r w:rsidR="007D34DD">
      <w:t>/</w:t>
    </w:r>
    <w:r w:rsidR="00D94C1C">
      <w:fldChar w:fldCharType="begin"/>
    </w:r>
    <w:r w:rsidR="00D94C1C">
      <w:instrText xml:space="preserve"> NUMPAGES   \* MERGEFORMAT </w:instrText>
    </w:r>
    <w:r w:rsidR="00D94C1C">
      <w:fldChar w:fldCharType="separate"/>
    </w:r>
    <w:r w:rsidR="00D94C1C">
      <w:rPr>
        <w:noProof/>
      </w:rPr>
      <w:t>6</w:t>
    </w:r>
    <w:r w:rsidR="00D94C1C">
      <w:rPr>
        <w:noProof/>
      </w:rPr>
      <w:fldChar w:fldCharType="end"/>
    </w:r>
  </w:p>
  <w:p w:rsidR="008263C6" w:rsidRPr="001A16ED" w:rsidRDefault="008263C6" w:rsidP="007D34DD">
    <w:pPr>
      <w:pStyle w:val="Header"/>
      <w:ind w:left="567" w:hanging="567"/>
    </w:pPr>
    <w:r w:rsidRPr="007D34DD">
      <w:t>PP14/</w:t>
    </w:r>
    <w:r w:rsidR="0052306C">
      <w:t>54</w:t>
    </w:r>
    <w:r w:rsidRPr="007D34DD">
      <w:t>-E</w:t>
    </w:r>
  </w:p>
  <w:p w:rsidR="002F5FA2" w:rsidRPr="008263C6" w:rsidRDefault="002F5FA2" w:rsidP="00826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3495C"/>
    <w:multiLevelType w:val="hybridMultilevel"/>
    <w:tmpl w:val="9D06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C2F95"/>
    <w:multiLevelType w:val="hybridMultilevel"/>
    <w:tmpl w:val="A9CC9B5A"/>
    <w:lvl w:ilvl="0" w:tplc="6E9E0F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7A32A1E"/>
    <w:multiLevelType w:val="multilevel"/>
    <w:tmpl w:val="5EA69412"/>
    <w:lvl w:ilvl="0">
      <w:start w:val="1"/>
      <w:numFmt w:val="decimal"/>
      <w:lvlText w:val="%1."/>
      <w:lvlJc w:val="left"/>
      <w:pPr>
        <w:ind w:left="360" w:hanging="360"/>
      </w:pPr>
      <w:rPr>
        <w:rFonts w:hint="default"/>
        <w:sz w:val="24"/>
        <w:szCs w:val="24"/>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7F215FA0"/>
    <w:multiLevelType w:val="hybridMultilevel"/>
    <w:tmpl w:val="7CA2E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00AF8"/>
    <w:rsid w:val="00001935"/>
    <w:rsid w:val="000048E4"/>
    <w:rsid w:val="00010B2A"/>
    <w:rsid w:val="00011208"/>
    <w:rsid w:val="000143FA"/>
    <w:rsid w:val="00014808"/>
    <w:rsid w:val="00015E97"/>
    <w:rsid w:val="000803AA"/>
    <w:rsid w:val="00082EB9"/>
    <w:rsid w:val="0008540E"/>
    <w:rsid w:val="00094B4F"/>
    <w:rsid w:val="000A1015"/>
    <w:rsid w:val="000B03F9"/>
    <w:rsid w:val="000B0A77"/>
    <w:rsid w:val="000B0D6C"/>
    <w:rsid w:val="000B5BB9"/>
    <w:rsid w:val="000B7152"/>
    <w:rsid w:val="000C4701"/>
    <w:rsid w:val="000D6DBD"/>
    <w:rsid w:val="000E4C7A"/>
    <w:rsid w:val="000E5E15"/>
    <w:rsid w:val="000F5A9A"/>
    <w:rsid w:val="000F73D1"/>
    <w:rsid w:val="001001C5"/>
    <w:rsid w:val="00105EFE"/>
    <w:rsid w:val="00106777"/>
    <w:rsid w:val="0011489E"/>
    <w:rsid w:val="00114BA3"/>
    <w:rsid w:val="00115DEC"/>
    <w:rsid w:val="00123F09"/>
    <w:rsid w:val="00136175"/>
    <w:rsid w:val="001378AC"/>
    <w:rsid w:val="00140FF0"/>
    <w:rsid w:val="00146057"/>
    <w:rsid w:val="00151858"/>
    <w:rsid w:val="0016633C"/>
    <w:rsid w:val="00171990"/>
    <w:rsid w:val="001805A8"/>
    <w:rsid w:val="00195B70"/>
    <w:rsid w:val="001961C1"/>
    <w:rsid w:val="001A0EEB"/>
    <w:rsid w:val="001A16ED"/>
    <w:rsid w:val="001B18AB"/>
    <w:rsid w:val="001B4B4A"/>
    <w:rsid w:val="001B70D1"/>
    <w:rsid w:val="001C3804"/>
    <w:rsid w:val="001D3322"/>
    <w:rsid w:val="001E01A5"/>
    <w:rsid w:val="001E18AB"/>
    <w:rsid w:val="001E1C8F"/>
    <w:rsid w:val="002115E0"/>
    <w:rsid w:val="002279D8"/>
    <w:rsid w:val="00232B31"/>
    <w:rsid w:val="00235A3B"/>
    <w:rsid w:val="00243BE4"/>
    <w:rsid w:val="00257188"/>
    <w:rsid w:val="002578B4"/>
    <w:rsid w:val="00267D12"/>
    <w:rsid w:val="00281792"/>
    <w:rsid w:val="0028799E"/>
    <w:rsid w:val="002962A8"/>
    <w:rsid w:val="002A56C0"/>
    <w:rsid w:val="002D30D4"/>
    <w:rsid w:val="002F36B9"/>
    <w:rsid w:val="002F5FA2"/>
    <w:rsid w:val="003126B0"/>
    <w:rsid w:val="00314127"/>
    <w:rsid w:val="00314C12"/>
    <w:rsid w:val="003261C3"/>
    <w:rsid w:val="00344228"/>
    <w:rsid w:val="003453DA"/>
    <w:rsid w:val="00357754"/>
    <w:rsid w:val="003578E4"/>
    <w:rsid w:val="00361097"/>
    <w:rsid w:val="00373A0D"/>
    <w:rsid w:val="00375076"/>
    <w:rsid w:val="00375BBA"/>
    <w:rsid w:val="00395CE4"/>
    <w:rsid w:val="003A5FFB"/>
    <w:rsid w:val="003A7FB6"/>
    <w:rsid w:val="003B3751"/>
    <w:rsid w:val="003C7CB8"/>
    <w:rsid w:val="003F0763"/>
    <w:rsid w:val="003F5771"/>
    <w:rsid w:val="004014B0"/>
    <w:rsid w:val="004059B0"/>
    <w:rsid w:val="00412AE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2306C"/>
    <w:rsid w:val="005356FD"/>
    <w:rsid w:val="00547D75"/>
    <w:rsid w:val="00551C8B"/>
    <w:rsid w:val="00554E24"/>
    <w:rsid w:val="00555A0F"/>
    <w:rsid w:val="00567130"/>
    <w:rsid w:val="0057034B"/>
    <w:rsid w:val="00581E8F"/>
    <w:rsid w:val="00586A98"/>
    <w:rsid w:val="005927A4"/>
    <w:rsid w:val="00596B48"/>
    <w:rsid w:val="005A1A93"/>
    <w:rsid w:val="005B10E8"/>
    <w:rsid w:val="005B5026"/>
    <w:rsid w:val="005C3315"/>
    <w:rsid w:val="005E1CC3"/>
    <w:rsid w:val="005F05C8"/>
    <w:rsid w:val="00604079"/>
    <w:rsid w:val="00605E2F"/>
    <w:rsid w:val="00617BE4"/>
    <w:rsid w:val="00620233"/>
    <w:rsid w:val="00624442"/>
    <w:rsid w:val="006404B0"/>
    <w:rsid w:val="00662EAE"/>
    <w:rsid w:val="0066499C"/>
    <w:rsid w:val="006A481B"/>
    <w:rsid w:val="006A7108"/>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5067"/>
    <w:rsid w:val="007561B6"/>
    <w:rsid w:val="007649DA"/>
    <w:rsid w:val="00765553"/>
    <w:rsid w:val="00777B8B"/>
    <w:rsid w:val="00794795"/>
    <w:rsid w:val="007949EA"/>
    <w:rsid w:val="00796849"/>
    <w:rsid w:val="007A59C3"/>
    <w:rsid w:val="007B0E06"/>
    <w:rsid w:val="007B30FC"/>
    <w:rsid w:val="007C3643"/>
    <w:rsid w:val="007D34DD"/>
    <w:rsid w:val="007E00D2"/>
    <w:rsid w:val="007E2AD4"/>
    <w:rsid w:val="00807407"/>
    <w:rsid w:val="008263C6"/>
    <w:rsid w:val="0082780C"/>
    <w:rsid w:val="008333C7"/>
    <w:rsid w:val="00833E0F"/>
    <w:rsid w:val="008404FD"/>
    <w:rsid w:val="00841C0D"/>
    <w:rsid w:val="00846DBA"/>
    <w:rsid w:val="00850AEF"/>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8F4F35"/>
    <w:rsid w:val="00900D5B"/>
    <w:rsid w:val="009236FE"/>
    <w:rsid w:val="00940E00"/>
    <w:rsid w:val="00945D4B"/>
    <w:rsid w:val="00950E0F"/>
    <w:rsid w:val="009630FA"/>
    <w:rsid w:val="00967103"/>
    <w:rsid w:val="00967670"/>
    <w:rsid w:val="00970996"/>
    <w:rsid w:val="009800CC"/>
    <w:rsid w:val="009A078E"/>
    <w:rsid w:val="009A2B30"/>
    <w:rsid w:val="009A4211"/>
    <w:rsid w:val="009A47A2"/>
    <w:rsid w:val="009B4E7C"/>
    <w:rsid w:val="009E425E"/>
    <w:rsid w:val="009E4322"/>
    <w:rsid w:val="009F4384"/>
    <w:rsid w:val="009F442D"/>
    <w:rsid w:val="009F50DA"/>
    <w:rsid w:val="00A06D56"/>
    <w:rsid w:val="00A314A2"/>
    <w:rsid w:val="00A619C5"/>
    <w:rsid w:val="00A808E1"/>
    <w:rsid w:val="00A8262F"/>
    <w:rsid w:val="00A84B32"/>
    <w:rsid w:val="00A84B3A"/>
    <w:rsid w:val="00A93B71"/>
    <w:rsid w:val="00AB0B32"/>
    <w:rsid w:val="00AB5C39"/>
    <w:rsid w:val="00AB75A9"/>
    <w:rsid w:val="00AD1C5C"/>
    <w:rsid w:val="00AD49AC"/>
    <w:rsid w:val="00AD566F"/>
    <w:rsid w:val="00B01E37"/>
    <w:rsid w:val="00B1733E"/>
    <w:rsid w:val="00B25A86"/>
    <w:rsid w:val="00B304B9"/>
    <w:rsid w:val="00B54AAC"/>
    <w:rsid w:val="00B55090"/>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29DB"/>
    <w:rsid w:val="00C16846"/>
    <w:rsid w:val="00C34851"/>
    <w:rsid w:val="00C42A5B"/>
    <w:rsid w:val="00C56038"/>
    <w:rsid w:val="00C72664"/>
    <w:rsid w:val="00C86F24"/>
    <w:rsid w:val="00CA38C9"/>
    <w:rsid w:val="00CB4984"/>
    <w:rsid w:val="00CB5DD7"/>
    <w:rsid w:val="00CB673E"/>
    <w:rsid w:val="00CB77D5"/>
    <w:rsid w:val="00CC14F0"/>
    <w:rsid w:val="00CE3B0F"/>
    <w:rsid w:val="00CE40BB"/>
    <w:rsid w:val="00CF1C71"/>
    <w:rsid w:val="00D07696"/>
    <w:rsid w:val="00D11956"/>
    <w:rsid w:val="00D15A98"/>
    <w:rsid w:val="00D500DC"/>
    <w:rsid w:val="00D54B39"/>
    <w:rsid w:val="00D626D7"/>
    <w:rsid w:val="00D64FF3"/>
    <w:rsid w:val="00D657A2"/>
    <w:rsid w:val="00D760C8"/>
    <w:rsid w:val="00D83FFD"/>
    <w:rsid w:val="00D8617D"/>
    <w:rsid w:val="00D92563"/>
    <w:rsid w:val="00D94C1C"/>
    <w:rsid w:val="00D9781B"/>
    <w:rsid w:val="00DC7C10"/>
    <w:rsid w:val="00DD26B1"/>
    <w:rsid w:val="00DD5177"/>
    <w:rsid w:val="00DE16B8"/>
    <w:rsid w:val="00DE4CC2"/>
    <w:rsid w:val="00DF23FC"/>
    <w:rsid w:val="00DF39CD"/>
    <w:rsid w:val="00E002D8"/>
    <w:rsid w:val="00E0094D"/>
    <w:rsid w:val="00E0127D"/>
    <w:rsid w:val="00E016D9"/>
    <w:rsid w:val="00E13427"/>
    <w:rsid w:val="00E1374D"/>
    <w:rsid w:val="00E20134"/>
    <w:rsid w:val="00E22B27"/>
    <w:rsid w:val="00E24CB2"/>
    <w:rsid w:val="00E3536D"/>
    <w:rsid w:val="00E44456"/>
    <w:rsid w:val="00E553B9"/>
    <w:rsid w:val="00E56E57"/>
    <w:rsid w:val="00E6599B"/>
    <w:rsid w:val="00E664F5"/>
    <w:rsid w:val="00E70FC2"/>
    <w:rsid w:val="00E71AAC"/>
    <w:rsid w:val="00E726DE"/>
    <w:rsid w:val="00E871C2"/>
    <w:rsid w:val="00EA1BAA"/>
    <w:rsid w:val="00EA47D4"/>
    <w:rsid w:val="00ED401C"/>
    <w:rsid w:val="00ED6003"/>
    <w:rsid w:val="00EE333B"/>
    <w:rsid w:val="00EF2642"/>
    <w:rsid w:val="00EF3681"/>
    <w:rsid w:val="00F10790"/>
    <w:rsid w:val="00F10E7C"/>
    <w:rsid w:val="00F13C1E"/>
    <w:rsid w:val="00F16F17"/>
    <w:rsid w:val="00F20BC2"/>
    <w:rsid w:val="00F342E4"/>
    <w:rsid w:val="00F35330"/>
    <w:rsid w:val="00F41C91"/>
    <w:rsid w:val="00F433A4"/>
    <w:rsid w:val="00F4421A"/>
    <w:rsid w:val="00F47316"/>
    <w:rsid w:val="00F55DA5"/>
    <w:rsid w:val="00F65A4E"/>
    <w:rsid w:val="00F95ABE"/>
    <w:rsid w:val="00F9756D"/>
    <w:rsid w:val="00FB5F12"/>
    <w:rsid w:val="00FD417F"/>
    <w:rsid w:val="00FD7B1D"/>
    <w:rsid w:val="00FE1E22"/>
    <w:rsid w:val="00FE36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D831DF0-4C1F-4299-9090-0A35E31E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Appel note de bas de p + 11 pt,Italic,Footnote,Appel note de bas de p1,Appel note de bas de p2,Appel note de bas de p3,Style 12,(NECG) Footnote Reference,Style 124,Footnote symbol"/>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styleId="ListParagraph">
    <w:name w:val="List Paragraph"/>
    <w:basedOn w:val="Normal"/>
    <w:uiPriority w:val="34"/>
    <w:qFormat/>
    <w:rsid w:val="00662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pub/T-HDB-IMPL.08-2010/en" TargetMode="External"/><Relationship Id="rId18" Type="http://schemas.openxmlformats.org/officeDocument/2006/relationships/hyperlink" Target="http://www.itu.int/pub/publications.aspx?lang=en&amp;parent=T-HDB-PLN.03-2012" TargetMode="External"/><Relationship Id="rId26" Type="http://schemas.openxmlformats.org/officeDocument/2006/relationships/hyperlink" Target="http://academy.itu.int/index.php/component/k2/item/1115" TargetMode="External"/><Relationship Id="rId3" Type="http://schemas.openxmlformats.org/officeDocument/2006/relationships/styles" Target="styles.xml"/><Relationship Id="rId21" Type="http://schemas.openxmlformats.org/officeDocument/2006/relationships/hyperlink" Target="http://www.itu.int/pub/T-TUT-NGN-201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publ/T-HDB-IMPL.07-2010/en" TargetMode="External"/><Relationship Id="rId17" Type="http://schemas.openxmlformats.org/officeDocument/2006/relationships/hyperlink" Target="http://www.itu.int/pub/publications.aspx?lang=en&amp;parent=T-TUT-HOME-2011" TargetMode="External"/><Relationship Id="rId25" Type="http://schemas.openxmlformats.org/officeDocument/2006/relationships/hyperlink" Target="http://www.itu.int/en/ITU-T/gap/Documents/NSSGuidelines.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pub/publications.aspx?lang=en&amp;parent=T-HDB-SEC.05-2011" TargetMode="External"/><Relationship Id="rId20" Type="http://schemas.openxmlformats.org/officeDocument/2006/relationships/hyperlink" Target="http://www.itu.int/pub/T-TUT-IOT-2012-M2M" TargetMode="External"/><Relationship Id="rId29" Type="http://schemas.openxmlformats.org/officeDocument/2006/relationships/hyperlink" Target="http://www.itu.int/en/ITU-D/Conferences/WTDC/WTDC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T-HDB-IMPL.06-2010/en" TargetMode="External"/><Relationship Id="rId24" Type="http://schemas.openxmlformats.org/officeDocument/2006/relationships/hyperlink" Target="http://www.itu.int/pub/publications.aspx?lang=en&amp;parent=T-TUT-NGN-2014"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tu.int/pub/T-HDB-QOS.02-2011" TargetMode="External"/><Relationship Id="rId23" Type="http://schemas.openxmlformats.org/officeDocument/2006/relationships/hyperlink" Target="http://www.itu.int/en/ITU-T/focusgroups/drnrr/Documents/Technical_report-2013-06.pdf" TargetMode="External"/><Relationship Id="rId28" Type="http://schemas.openxmlformats.org/officeDocument/2006/relationships/hyperlink" Target="http://www.itu.int/ITU-T/recommendations/rec.aspx?rec=11920" TargetMode="External"/><Relationship Id="rId10" Type="http://schemas.openxmlformats.org/officeDocument/2006/relationships/hyperlink" Target="http://www.itu.int/publ/T-HDB-IMPL.05-2009/en" TargetMode="External"/><Relationship Id="rId19" Type="http://schemas.openxmlformats.org/officeDocument/2006/relationships/hyperlink" Target="http://www.itu.int/pub/publications.aspx?lang=en&amp;parent=T-TUT-MRA-2012" TargetMode="External"/><Relationship Id="rId31" Type="http://schemas.openxmlformats.org/officeDocument/2006/relationships/hyperlink" Target="http://www.itu.int/en/newsroom/wtdc-14/Pages/dubai-declaration.aspx" TargetMode="External"/><Relationship Id="rId4" Type="http://schemas.openxmlformats.org/officeDocument/2006/relationships/settings" Target="settings.xml"/><Relationship Id="rId9" Type="http://schemas.openxmlformats.org/officeDocument/2006/relationships/hyperlink" Target="http://www.itu.int/publ/T-HDB-IMPL.05-2009/en" TargetMode="External"/><Relationship Id="rId14" Type="http://schemas.openxmlformats.org/officeDocument/2006/relationships/hyperlink" Target="http://www.itu.int/pub/T-HDB-LNG.4-2010" TargetMode="External"/><Relationship Id="rId22" Type="http://schemas.openxmlformats.org/officeDocument/2006/relationships/hyperlink" Target="http://www.itu.int/pub/T-TUT-QOS-2013" TargetMode="External"/><Relationship Id="rId27" Type="http://schemas.openxmlformats.org/officeDocument/2006/relationships/hyperlink" Target="http://academy.itu.int/" TargetMode="External"/><Relationship Id="rId30" Type="http://schemas.openxmlformats.org/officeDocument/2006/relationships/hyperlink" Target="https://www.itu.int/md/dologin_md.asp?lang=en&amp;id=D10-WTDC14-C-0118!!MSW-E"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groups.itu.int/itu-t/StandardsQ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917A3-9205-45D2-8C88-67EB2279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2457</Words>
  <Characters>14011</Characters>
  <Application>Microsoft Office Word</Application>
  <DocSecurity>0</DocSecurity>
  <Lines>116</Lines>
  <Paragraphs>32</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16436</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(PP-14)</dc:subject>
  <dc:creator>unknown</dc:creator>
  <cp:keywords>PP-14</cp:keywords>
  <cp:lastModifiedBy>Aschenbrener, Elizabeth</cp:lastModifiedBy>
  <cp:revision>7</cp:revision>
  <cp:lastPrinted>2014-07-09T06:34:00Z</cp:lastPrinted>
  <dcterms:created xsi:type="dcterms:W3CDTF">2014-06-26T14:24:00Z</dcterms:created>
  <dcterms:modified xsi:type="dcterms:W3CDTF">2014-07-09T07:10:00Z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