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6A046E">
        <w:trPr>
          <w:cantSplit/>
        </w:trPr>
        <w:tc>
          <w:tcPr>
            <w:tcW w:w="6911" w:type="dxa"/>
          </w:tcPr>
          <w:p w:rsidR="00BD1614" w:rsidRPr="00960D89" w:rsidRDefault="00BD1614" w:rsidP="006A046E">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4</w:t>
            </w:r>
            <w:r w:rsidRPr="000F6395">
              <w:rPr>
                <w:b/>
                <w:smallCaps/>
                <w:sz w:val="30"/>
                <w:szCs w:val="30"/>
                <w:lang w:val="fr-CH"/>
              </w:rPr>
              <w:t>)</w:t>
            </w:r>
            <w:r w:rsidRPr="000F6395">
              <w:rPr>
                <w:b/>
                <w:smallCaps/>
                <w:sz w:val="36"/>
                <w:lang w:val="fr-CH"/>
              </w:rPr>
              <w:br/>
            </w:r>
            <w:r>
              <w:rPr>
                <w:rFonts w:cs="Times New Roman Bold"/>
                <w:b/>
                <w:bCs/>
                <w:szCs w:val="24"/>
                <w:lang w:val="fr-CH"/>
              </w:rPr>
              <w:t>Busan</w:t>
            </w:r>
            <w:r w:rsidRPr="000F6395">
              <w:rPr>
                <w:rFonts w:cs="Times New Roman Bold"/>
                <w:b/>
                <w:bCs/>
                <w:szCs w:val="24"/>
                <w:lang w:val="fr-CH"/>
              </w:rPr>
              <w:t xml:space="preserve">, </w:t>
            </w:r>
            <w:r>
              <w:rPr>
                <w:rFonts w:cs="Times New Roman Bold"/>
                <w:b/>
                <w:bCs/>
                <w:szCs w:val="24"/>
                <w:lang w:val="fr-CH"/>
              </w:rPr>
              <w:t>20</w:t>
            </w:r>
            <w:r w:rsidRPr="000F6395">
              <w:rPr>
                <w:rFonts w:cs="Times New Roman Bold"/>
                <w:b/>
                <w:bCs/>
                <w:szCs w:val="24"/>
                <w:lang w:val="fr-CH"/>
              </w:rPr>
              <w:t xml:space="preserve"> octobre </w:t>
            </w:r>
            <w:r>
              <w:rPr>
                <w:rFonts w:cs="Times New Roman Bold"/>
                <w:b/>
                <w:bCs/>
                <w:szCs w:val="24"/>
                <w:lang w:val="fr-CH"/>
              </w:rPr>
              <w:t>- 7 novembre 2014</w:t>
            </w:r>
          </w:p>
        </w:tc>
        <w:tc>
          <w:tcPr>
            <w:tcW w:w="3120" w:type="dxa"/>
          </w:tcPr>
          <w:p w:rsidR="00BD1614" w:rsidRPr="008C10D9" w:rsidRDefault="00BD1614" w:rsidP="006A046E">
            <w:pPr>
              <w:spacing w:before="0" w:line="240" w:lineRule="atLeast"/>
              <w:rPr>
                <w:rFonts w:cstheme="minorHAnsi"/>
                <w:lang w:val="en-US"/>
              </w:rPr>
            </w:pPr>
            <w:bookmarkStart w:id="2" w:name="ditulogo"/>
            <w:bookmarkEnd w:id="2"/>
            <w:r w:rsidRPr="008C10D9">
              <w:rPr>
                <w:rFonts w:cstheme="minorHAnsi"/>
                <w:b/>
                <w:bCs/>
                <w:noProof/>
                <w:lang w:val="en-US" w:eastAsia="zh-CN"/>
              </w:rPr>
              <w:drawing>
                <wp:inline distT="0" distB="0" distL="0" distR="0" wp14:anchorId="5B2504BA" wp14:editId="363344F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2A6F8F" w:rsidTr="006A046E">
        <w:trPr>
          <w:cantSplit/>
        </w:trPr>
        <w:tc>
          <w:tcPr>
            <w:tcW w:w="6911" w:type="dxa"/>
            <w:tcBorders>
              <w:bottom w:val="single" w:sz="12" w:space="0" w:color="auto"/>
            </w:tcBorders>
          </w:tcPr>
          <w:p w:rsidR="00BD1614" w:rsidRPr="008C10D9" w:rsidRDefault="00BD1614" w:rsidP="006A046E">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BD1614" w:rsidRPr="008C10D9" w:rsidRDefault="00BD1614" w:rsidP="006A046E">
            <w:pPr>
              <w:spacing w:before="0" w:line="240" w:lineRule="atLeast"/>
              <w:rPr>
                <w:rFonts w:cstheme="minorHAnsi"/>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6A046E">
            <w:pPr>
              <w:spacing w:before="0" w:after="48" w:line="240" w:lineRule="atLeast"/>
              <w:rPr>
                <w:rFonts w:cstheme="minorHAnsi"/>
                <w:b/>
                <w:smallCaps/>
                <w:szCs w:val="24"/>
                <w:lang w:val="en-US"/>
              </w:rPr>
            </w:pPr>
          </w:p>
        </w:tc>
        <w:tc>
          <w:tcPr>
            <w:tcW w:w="3120" w:type="dxa"/>
            <w:tcBorders>
              <w:top w:val="single" w:sz="12" w:space="0" w:color="auto"/>
            </w:tcBorders>
          </w:tcPr>
          <w:p w:rsidR="00BD1614" w:rsidRPr="008C10D9" w:rsidRDefault="00BD1614" w:rsidP="006A046E">
            <w:pPr>
              <w:spacing w:before="0" w:line="240" w:lineRule="atLeast"/>
              <w:rPr>
                <w:rFonts w:cstheme="minorHAnsi"/>
                <w:szCs w:val="24"/>
                <w:lang w:val="en-US"/>
              </w:rPr>
            </w:pPr>
          </w:p>
        </w:tc>
      </w:tr>
      <w:tr w:rsidR="00BD1614" w:rsidRPr="002A6F8F" w:rsidTr="006A046E">
        <w:trPr>
          <w:cantSplit/>
        </w:trPr>
        <w:tc>
          <w:tcPr>
            <w:tcW w:w="6911" w:type="dxa"/>
          </w:tcPr>
          <w:p w:rsidR="00BD1614" w:rsidRPr="008C10D9" w:rsidRDefault="00407795" w:rsidP="006A046E">
            <w:pPr>
              <w:pStyle w:val="Committee"/>
              <w:framePr w:hSpace="0" w:wrap="auto" w:hAnchor="text" w:yAlign="inline"/>
            </w:pPr>
            <w:r w:rsidRPr="008C10D9">
              <w:t>SÉANCE PLÉNIÈRE</w:t>
            </w:r>
          </w:p>
        </w:tc>
        <w:tc>
          <w:tcPr>
            <w:tcW w:w="3120" w:type="dxa"/>
          </w:tcPr>
          <w:p w:rsidR="00BD1614" w:rsidRPr="008C10D9" w:rsidRDefault="00407795" w:rsidP="00E01500">
            <w:pPr>
              <w:spacing w:before="0" w:line="240" w:lineRule="atLeast"/>
              <w:rPr>
                <w:rFonts w:cstheme="minorHAnsi"/>
                <w:szCs w:val="24"/>
                <w:lang w:val="en-US"/>
              </w:rPr>
            </w:pPr>
            <w:r>
              <w:rPr>
                <w:rFonts w:cstheme="minorHAnsi"/>
                <w:b/>
                <w:szCs w:val="24"/>
                <w:lang w:val="en-US"/>
              </w:rPr>
              <w:t xml:space="preserve">Document </w:t>
            </w:r>
            <w:r w:rsidR="00E01500">
              <w:rPr>
                <w:rFonts w:cstheme="minorHAnsi"/>
                <w:b/>
                <w:szCs w:val="24"/>
                <w:lang w:val="en-US"/>
              </w:rPr>
              <w:t>53</w:t>
            </w:r>
            <w:r>
              <w:rPr>
                <w:rFonts w:cstheme="minorHAnsi"/>
                <w:b/>
                <w:szCs w:val="24"/>
                <w:lang w:val="en-US"/>
              </w:rPr>
              <w:t>-F</w:t>
            </w:r>
          </w:p>
        </w:tc>
      </w:tr>
      <w:tr w:rsidR="00BD1614" w:rsidRPr="002A6F8F" w:rsidTr="006A046E">
        <w:trPr>
          <w:cantSplit/>
        </w:trPr>
        <w:tc>
          <w:tcPr>
            <w:tcW w:w="6911" w:type="dxa"/>
          </w:tcPr>
          <w:p w:rsidR="00BD1614" w:rsidRPr="008C10D9" w:rsidRDefault="00BD1614" w:rsidP="006A046E">
            <w:pPr>
              <w:spacing w:before="0" w:after="48" w:line="240" w:lineRule="atLeast"/>
              <w:rPr>
                <w:rFonts w:cstheme="minorHAnsi"/>
                <w:b/>
                <w:smallCaps/>
                <w:szCs w:val="24"/>
                <w:lang w:val="en-US"/>
              </w:rPr>
            </w:pPr>
          </w:p>
        </w:tc>
        <w:tc>
          <w:tcPr>
            <w:tcW w:w="3120" w:type="dxa"/>
          </w:tcPr>
          <w:p w:rsidR="00BD1614" w:rsidRPr="008C10D9" w:rsidRDefault="0027181D" w:rsidP="0027181D">
            <w:pPr>
              <w:spacing w:before="0" w:line="240" w:lineRule="atLeast"/>
              <w:rPr>
                <w:rFonts w:cstheme="minorHAnsi"/>
                <w:b/>
                <w:szCs w:val="24"/>
                <w:lang w:val="en-US"/>
              </w:rPr>
            </w:pPr>
            <w:r>
              <w:rPr>
                <w:rFonts w:cstheme="minorHAnsi"/>
                <w:b/>
                <w:szCs w:val="24"/>
                <w:lang w:val="en-US"/>
              </w:rPr>
              <w:t>24</w:t>
            </w:r>
            <w:r w:rsidR="00407795" w:rsidRPr="008C10D9">
              <w:rPr>
                <w:rFonts w:cstheme="minorHAnsi"/>
                <w:b/>
                <w:szCs w:val="24"/>
                <w:lang w:val="en-US"/>
              </w:rPr>
              <w:t xml:space="preserve"> </w:t>
            </w:r>
            <w:r w:rsidRPr="00E01500">
              <w:rPr>
                <w:rFonts w:cstheme="minorHAnsi"/>
                <w:b/>
                <w:szCs w:val="24"/>
                <w:lang w:val="fr-CH"/>
              </w:rPr>
              <w:t>juin</w:t>
            </w:r>
            <w:r w:rsidR="00407795" w:rsidRPr="008C10D9">
              <w:rPr>
                <w:rFonts w:cstheme="minorHAnsi"/>
                <w:b/>
                <w:szCs w:val="24"/>
                <w:lang w:val="en-US"/>
              </w:rPr>
              <w:t xml:space="preserve"> 201</w:t>
            </w:r>
            <w:r>
              <w:rPr>
                <w:rFonts w:cstheme="minorHAnsi"/>
                <w:b/>
                <w:szCs w:val="24"/>
                <w:lang w:val="en-US"/>
              </w:rPr>
              <w:t>4</w:t>
            </w:r>
          </w:p>
        </w:tc>
      </w:tr>
      <w:tr w:rsidR="00BD1614" w:rsidRPr="002A6F8F" w:rsidTr="006A046E">
        <w:trPr>
          <w:cantSplit/>
        </w:trPr>
        <w:tc>
          <w:tcPr>
            <w:tcW w:w="6911" w:type="dxa"/>
          </w:tcPr>
          <w:p w:rsidR="00BD1614" w:rsidRPr="008C10D9" w:rsidRDefault="00BD1614" w:rsidP="006A046E">
            <w:pPr>
              <w:spacing w:before="0" w:after="48" w:line="240" w:lineRule="atLeast"/>
              <w:rPr>
                <w:rFonts w:cstheme="minorHAnsi"/>
                <w:b/>
                <w:smallCaps/>
                <w:szCs w:val="24"/>
                <w:lang w:val="en-US"/>
              </w:rPr>
            </w:pPr>
          </w:p>
        </w:tc>
        <w:tc>
          <w:tcPr>
            <w:tcW w:w="3120" w:type="dxa"/>
          </w:tcPr>
          <w:p w:rsidR="00BD1614" w:rsidRPr="008C10D9" w:rsidRDefault="00407795" w:rsidP="006A046E">
            <w:pPr>
              <w:spacing w:before="0" w:line="240" w:lineRule="atLeast"/>
              <w:rPr>
                <w:rFonts w:cstheme="minorHAnsi"/>
                <w:b/>
                <w:szCs w:val="24"/>
                <w:lang w:val="en-US"/>
              </w:rPr>
            </w:pPr>
            <w:r w:rsidRPr="008C10D9">
              <w:rPr>
                <w:rFonts w:cstheme="minorHAnsi"/>
                <w:b/>
                <w:szCs w:val="24"/>
                <w:lang w:val="en-US"/>
              </w:rPr>
              <w:t xml:space="preserve">Original: </w:t>
            </w:r>
            <w:r w:rsidRPr="00E01500">
              <w:rPr>
                <w:rFonts w:cstheme="minorHAnsi"/>
                <w:b/>
                <w:szCs w:val="24"/>
                <w:lang w:val="fr-CH"/>
              </w:rPr>
              <w:t>anglais</w:t>
            </w:r>
          </w:p>
        </w:tc>
      </w:tr>
      <w:tr w:rsidR="00BD1614" w:rsidRPr="002A6F8F" w:rsidTr="006A046E">
        <w:trPr>
          <w:cantSplit/>
        </w:trPr>
        <w:tc>
          <w:tcPr>
            <w:tcW w:w="10031" w:type="dxa"/>
            <w:gridSpan w:val="2"/>
          </w:tcPr>
          <w:p w:rsidR="00BD1614" w:rsidRPr="008C10D9" w:rsidRDefault="00BD1614" w:rsidP="006A046E">
            <w:pPr>
              <w:spacing w:before="0" w:line="240" w:lineRule="atLeast"/>
              <w:rPr>
                <w:rFonts w:cstheme="minorHAnsi"/>
                <w:b/>
                <w:szCs w:val="24"/>
                <w:lang w:val="en-US"/>
              </w:rPr>
            </w:pPr>
          </w:p>
        </w:tc>
      </w:tr>
      <w:tr w:rsidR="0027181D" w:rsidRPr="002A6F8F" w:rsidTr="006A046E">
        <w:trPr>
          <w:cantSplit/>
        </w:trPr>
        <w:tc>
          <w:tcPr>
            <w:tcW w:w="10031" w:type="dxa"/>
            <w:gridSpan w:val="2"/>
          </w:tcPr>
          <w:p w:rsidR="0027181D" w:rsidRPr="000138BE" w:rsidRDefault="0027181D" w:rsidP="0027181D">
            <w:pPr>
              <w:pStyle w:val="Source"/>
              <w:rPr>
                <w:lang w:val="fr-CH"/>
              </w:rPr>
            </w:pPr>
            <w:bookmarkStart w:id="4" w:name="dsource" w:colFirst="0" w:colLast="0"/>
            <w:bookmarkEnd w:id="3"/>
            <w:r>
              <w:rPr>
                <w:lang w:val="fr-CH"/>
              </w:rPr>
              <w:t>Rapport du Conseil</w:t>
            </w:r>
          </w:p>
        </w:tc>
      </w:tr>
      <w:tr w:rsidR="0027181D" w:rsidRPr="002A6F8F" w:rsidTr="006A046E">
        <w:trPr>
          <w:cantSplit/>
        </w:trPr>
        <w:tc>
          <w:tcPr>
            <w:tcW w:w="10031" w:type="dxa"/>
            <w:gridSpan w:val="2"/>
          </w:tcPr>
          <w:p w:rsidR="0027181D" w:rsidRPr="000138BE" w:rsidRDefault="0027181D" w:rsidP="0027181D">
            <w:pPr>
              <w:pStyle w:val="Title1"/>
              <w:rPr>
                <w:lang w:val="fr-CH"/>
              </w:rPr>
            </w:pPr>
            <w:bookmarkStart w:id="5" w:name="dtitle1" w:colFirst="0" w:colLast="0"/>
            <w:bookmarkEnd w:id="4"/>
          </w:p>
        </w:tc>
      </w:tr>
      <w:tr w:rsidR="0027181D" w:rsidRPr="002A6F8F" w:rsidTr="006A046E">
        <w:trPr>
          <w:cantSplit/>
        </w:trPr>
        <w:tc>
          <w:tcPr>
            <w:tcW w:w="10031" w:type="dxa"/>
            <w:gridSpan w:val="2"/>
          </w:tcPr>
          <w:p w:rsidR="0027181D" w:rsidRPr="000D47A5" w:rsidRDefault="0027181D" w:rsidP="0027181D">
            <w:pPr>
              <w:pStyle w:val="Title2"/>
              <w:rPr>
                <w:rFonts w:cs="Times New Roman Bold"/>
                <w:b/>
                <w:caps w:val="0"/>
                <w:lang w:val="fr-CH"/>
              </w:rPr>
            </w:pPr>
            <w:bookmarkStart w:id="6" w:name="dtitle2" w:colFirst="0" w:colLast="0"/>
            <w:bookmarkEnd w:id="5"/>
          </w:p>
        </w:tc>
      </w:tr>
      <w:tr w:rsidR="00BD1614" w:rsidTr="006A046E">
        <w:trPr>
          <w:cantSplit/>
        </w:trPr>
        <w:tc>
          <w:tcPr>
            <w:tcW w:w="10031" w:type="dxa"/>
            <w:gridSpan w:val="2"/>
          </w:tcPr>
          <w:p w:rsidR="00BD1614" w:rsidRDefault="00BD1614" w:rsidP="006A046E">
            <w:pPr>
              <w:pStyle w:val="Agendaitem"/>
            </w:pPr>
            <w:bookmarkStart w:id="7" w:name="dtitle3" w:colFirst="0" w:colLast="0"/>
            <w:bookmarkEnd w:id="6"/>
          </w:p>
        </w:tc>
      </w:tr>
    </w:tbl>
    <w:bookmarkEnd w:id="7"/>
    <w:p w:rsidR="000D15FB" w:rsidRDefault="0027181D" w:rsidP="0027181D">
      <w:pPr>
        <w:pStyle w:val="ResNo"/>
      </w:pPr>
      <w:r>
        <w:rPr>
          <w:lang w:val="fr-CH"/>
        </w:rPr>
        <w:t>projet de nouvelle résolution</w:t>
      </w:r>
    </w:p>
    <w:p w:rsidR="0027181D" w:rsidRDefault="0027181D">
      <w:pPr>
        <w:tabs>
          <w:tab w:val="clear" w:pos="567"/>
          <w:tab w:val="clear" w:pos="1134"/>
          <w:tab w:val="clear" w:pos="1701"/>
          <w:tab w:val="clear" w:pos="2268"/>
          <w:tab w:val="clear" w:pos="2835"/>
        </w:tabs>
        <w:overflowPunct/>
        <w:autoSpaceDE/>
        <w:autoSpaceDN/>
        <w:adjustRightInd/>
        <w:spacing w:before="0"/>
        <w:textAlignment w:val="auto"/>
      </w:pPr>
    </w:p>
    <w:p w:rsidR="0027181D" w:rsidRDefault="0027181D" w:rsidP="0027181D">
      <w:pPr>
        <w:pStyle w:val="Restitle"/>
      </w:pPr>
      <w:r w:rsidRPr="000D47A5">
        <w:rPr>
          <w:lang w:val="fr-CH"/>
        </w:rPr>
        <w:t xml:space="preserve">Examen des méthodes existantes et définition d'une vision de l'avenir </w:t>
      </w:r>
      <w:r w:rsidRPr="000D47A5">
        <w:rPr>
          <w:lang w:val="fr-CH"/>
        </w:rPr>
        <w:br/>
        <w:t xml:space="preserve">concernant la participation des Membres de Secteur, des Associés </w:t>
      </w:r>
      <w:r w:rsidRPr="000D47A5">
        <w:rPr>
          <w:lang w:val="fr-CH"/>
        </w:rPr>
        <w:br/>
        <w:t>et des établissements universitaires aux activités de l'UIT</w:t>
      </w:r>
      <w:r>
        <w:t xml:space="preserve"> </w:t>
      </w:r>
    </w:p>
    <w:p w:rsidR="0027181D" w:rsidRDefault="0027181D" w:rsidP="0027181D">
      <w:pPr>
        <w:pStyle w:val="Normalaftertitle"/>
      </w:pPr>
      <w:r>
        <w:rPr>
          <w:lang w:val="fr-CH"/>
        </w:rPr>
        <w:t>Le projet ci-joint de nouvelle Résolution relative à l'e</w:t>
      </w:r>
      <w:r w:rsidRPr="00633DC9">
        <w:rPr>
          <w:lang w:val="fr-CH"/>
        </w:rPr>
        <w:t>xamen des méthodes</w:t>
      </w:r>
      <w:r>
        <w:rPr>
          <w:lang w:val="fr-CH"/>
        </w:rPr>
        <w:t xml:space="preserve"> existantes et </w:t>
      </w:r>
      <w:r w:rsidR="009D07B1">
        <w:rPr>
          <w:lang w:val="fr-CH"/>
        </w:rPr>
        <w:t xml:space="preserve">à la </w:t>
      </w:r>
      <w:r>
        <w:rPr>
          <w:lang w:val="fr-CH"/>
        </w:rPr>
        <w:t xml:space="preserve">définition d'une vision de l'avenir concernant la </w:t>
      </w:r>
      <w:r w:rsidRPr="00633DC9">
        <w:rPr>
          <w:lang w:val="fr-CH"/>
        </w:rPr>
        <w:t>participation des Membres</w:t>
      </w:r>
      <w:r>
        <w:rPr>
          <w:lang w:val="fr-CH"/>
        </w:rPr>
        <w:t xml:space="preserve"> </w:t>
      </w:r>
      <w:r w:rsidRPr="00633DC9">
        <w:rPr>
          <w:lang w:val="fr-CH"/>
        </w:rPr>
        <w:t xml:space="preserve">de Secteur, des Associés et des </w:t>
      </w:r>
      <w:r>
        <w:rPr>
          <w:lang w:val="fr-CH"/>
        </w:rPr>
        <w:t>é</w:t>
      </w:r>
      <w:r w:rsidRPr="00633DC9">
        <w:rPr>
          <w:lang w:val="fr-CH"/>
        </w:rPr>
        <w:t>tablissements universitaires aux activités de l</w:t>
      </w:r>
      <w:r>
        <w:rPr>
          <w:lang w:val="fr-CH"/>
        </w:rPr>
        <w:t>'</w:t>
      </w:r>
      <w:r w:rsidRPr="00633DC9">
        <w:rPr>
          <w:lang w:val="fr-CH"/>
        </w:rPr>
        <w:t>UIT</w:t>
      </w:r>
      <w:r>
        <w:rPr>
          <w:lang w:val="fr-CH"/>
        </w:rPr>
        <w:t>, tel qu'il a été examiné par le Conseil à sa session de mai 2014, est soumis à la Conférence de plénipotentiaires pour examen.</w:t>
      </w:r>
    </w:p>
    <w:p w:rsidR="00E01500" w:rsidRDefault="00E01500" w:rsidP="0027181D"/>
    <w:p w:rsidR="00BD1614" w:rsidRDefault="00BD1614" w:rsidP="0027181D">
      <w:r>
        <w:br w:type="page"/>
      </w:r>
    </w:p>
    <w:p w:rsidR="00DD4760" w:rsidRDefault="00DD4760" w:rsidP="00DD4760">
      <w:pPr>
        <w:pStyle w:val="Proposal"/>
        <w:rPr>
          <w:lang w:eastAsia="zh-CN"/>
        </w:rPr>
      </w:pPr>
      <w:r>
        <w:rPr>
          <w:lang w:eastAsia="zh-CN"/>
        </w:rPr>
        <w:lastRenderedPageBreak/>
        <w:t>ADD</w:t>
      </w:r>
      <w:r>
        <w:rPr>
          <w:lang w:eastAsia="zh-CN"/>
        </w:rPr>
        <w:tab/>
        <w:t>CL/53/1</w:t>
      </w:r>
    </w:p>
    <w:p w:rsidR="00781D50" w:rsidRDefault="00781D50" w:rsidP="00781D50">
      <w:pPr>
        <w:pStyle w:val="ResNo"/>
      </w:pPr>
      <w:r>
        <w:t>Projet de nouvelle Résolution [CL</w:t>
      </w:r>
      <w:bookmarkStart w:id="8" w:name="_GoBack"/>
      <w:bookmarkEnd w:id="8"/>
      <w:r>
        <w:t>-1]</w:t>
      </w:r>
    </w:p>
    <w:p w:rsidR="0027181D" w:rsidRPr="00633DC9" w:rsidRDefault="0027181D" w:rsidP="0027181D">
      <w:pPr>
        <w:pStyle w:val="Restitle"/>
        <w:rPr>
          <w:lang w:val="fr-CH"/>
        </w:rPr>
      </w:pPr>
      <w:r w:rsidRPr="00633DC9">
        <w:rPr>
          <w:lang w:val="fr-CH"/>
        </w:rPr>
        <w:t>Examen des méthodes</w:t>
      </w:r>
      <w:r>
        <w:rPr>
          <w:lang w:val="fr-CH"/>
        </w:rPr>
        <w:t xml:space="preserve"> existantes et définition d'une vision de l'avenir </w:t>
      </w:r>
      <w:r>
        <w:rPr>
          <w:lang w:val="fr-CH"/>
        </w:rPr>
        <w:br/>
        <w:t xml:space="preserve">concernant la </w:t>
      </w:r>
      <w:r w:rsidRPr="00633DC9">
        <w:rPr>
          <w:lang w:val="fr-CH"/>
        </w:rPr>
        <w:t>participation des Membres</w:t>
      </w:r>
      <w:r>
        <w:rPr>
          <w:lang w:val="fr-CH"/>
        </w:rPr>
        <w:t xml:space="preserve"> </w:t>
      </w:r>
      <w:r w:rsidRPr="00633DC9">
        <w:rPr>
          <w:lang w:val="fr-CH"/>
        </w:rPr>
        <w:t xml:space="preserve">de Secteur, des Associés </w:t>
      </w:r>
      <w:r>
        <w:rPr>
          <w:lang w:val="fr-CH"/>
        </w:rPr>
        <w:br/>
      </w:r>
      <w:r w:rsidRPr="00633DC9">
        <w:rPr>
          <w:lang w:val="fr-CH"/>
        </w:rPr>
        <w:t xml:space="preserve">et des </w:t>
      </w:r>
      <w:r>
        <w:rPr>
          <w:lang w:val="fr-CH"/>
        </w:rPr>
        <w:t>é</w:t>
      </w:r>
      <w:r w:rsidRPr="00633DC9">
        <w:rPr>
          <w:lang w:val="fr-CH"/>
        </w:rPr>
        <w:t>tablissements universitaires aux activités de l</w:t>
      </w:r>
      <w:r>
        <w:rPr>
          <w:lang w:val="fr-CH"/>
        </w:rPr>
        <w:t>'</w:t>
      </w:r>
      <w:r w:rsidRPr="00633DC9">
        <w:rPr>
          <w:lang w:val="fr-CH"/>
        </w:rPr>
        <w:t>UIT</w:t>
      </w:r>
    </w:p>
    <w:p w:rsidR="0027181D" w:rsidRPr="00CF49EA" w:rsidRDefault="0027181D" w:rsidP="00E01500">
      <w:pPr>
        <w:pStyle w:val="Normalaftertitle"/>
        <w:rPr>
          <w:lang w:val="fr-CH"/>
        </w:rPr>
      </w:pPr>
      <w:r>
        <w:rPr>
          <w:lang w:val="fr-CH"/>
        </w:rPr>
        <w:t>La C</w:t>
      </w:r>
      <w:r w:rsidRPr="00CF49EA">
        <w:rPr>
          <w:lang w:val="fr-CH"/>
        </w:rPr>
        <w:t>onférence de plénipotentiaires de l</w:t>
      </w:r>
      <w:r>
        <w:rPr>
          <w:lang w:val="fr-CH"/>
        </w:rPr>
        <w:t>'U</w:t>
      </w:r>
      <w:r w:rsidRPr="00CF49EA">
        <w:rPr>
          <w:lang w:val="fr-CH"/>
        </w:rPr>
        <w:t>nion internationale</w:t>
      </w:r>
      <w:r>
        <w:rPr>
          <w:lang w:val="fr-CH"/>
        </w:rPr>
        <w:t xml:space="preserve"> des télécommunications (Busan, </w:t>
      </w:r>
      <w:r w:rsidRPr="00CF49EA">
        <w:rPr>
          <w:lang w:val="fr-CH"/>
        </w:rPr>
        <w:t xml:space="preserve">2014), </w:t>
      </w:r>
    </w:p>
    <w:p w:rsidR="0027181D" w:rsidRPr="008F4B9A" w:rsidRDefault="0027181D" w:rsidP="0027181D">
      <w:pPr>
        <w:pStyle w:val="Call"/>
        <w:rPr>
          <w:lang w:val="fr-CH"/>
        </w:rPr>
      </w:pPr>
      <w:r w:rsidRPr="008F4B9A">
        <w:rPr>
          <w:lang w:val="fr-CH"/>
        </w:rPr>
        <w:t xml:space="preserve">reconnaissant </w:t>
      </w:r>
    </w:p>
    <w:p w:rsidR="0027181D" w:rsidRPr="00CF49EA" w:rsidRDefault="0027181D" w:rsidP="0027181D">
      <w:pPr>
        <w:rPr>
          <w:lang w:val="fr-CH"/>
        </w:rPr>
      </w:pPr>
      <w:r w:rsidRPr="00CF49EA">
        <w:rPr>
          <w:i/>
          <w:lang w:val="fr-CH"/>
        </w:rPr>
        <w:t>a)</w:t>
      </w:r>
      <w:r w:rsidRPr="00CF49EA">
        <w:rPr>
          <w:i/>
          <w:lang w:val="fr-CH"/>
        </w:rPr>
        <w:tab/>
      </w:r>
      <w:r w:rsidRPr="00CF49EA">
        <w:rPr>
          <w:iCs/>
          <w:lang w:val="fr-CH"/>
        </w:rPr>
        <w:t>la Résolution</w:t>
      </w:r>
      <w:r w:rsidRPr="00CF49EA">
        <w:rPr>
          <w:i/>
          <w:lang w:val="fr-CH"/>
        </w:rPr>
        <w:t xml:space="preserve"> </w:t>
      </w:r>
      <w:r>
        <w:rPr>
          <w:lang w:val="fr-CH"/>
        </w:rPr>
        <w:t>152 (Ré</w:t>
      </w:r>
      <w:r w:rsidRPr="00CF49EA">
        <w:rPr>
          <w:lang w:val="fr-CH"/>
        </w:rPr>
        <w:t>v. Guadalajara, 2010) de la Conférence de plénipotentiaires relative à l</w:t>
      </w:r>
      <w:r>
        <w:rPr>
          <w:lang w:val="fr-CH"/>
        </w:rPr>
        <w:t>'</w:t>
      </w:r>
      <w:r w:rsidRPr="00CF49EA">
        <w:rPr>
          <w:lang w:val="fr-CH"/>
        </w:rPr>
        <w:t>amélioration de la gestion et du suivi de la contribution des Membres des Secteurs et des Associés aux dépenses de l</w:t>
      </w:r>
      <w:r>
        <w:rPr>
          <w:lang w:val="fr-CH"/>
        </w:rPr>
        <w:t>'</w:t>
      </w:r>
      <w:r w:rsidRPr="00CF49EA">
        <w:rPr>
          <w:lang w:val="fr-CH"/>
        </w:rPr>
        <w:t>UIT</w:t>
      </w:r>
      <w:r>
        <w:rPr>
          <w:lang w:val="fr-CH"/>
        </w:rPr>
        <w:t xml:space="preserve"> par laquelle les procédures de paiement des droits ont été révisées</w:t>
      </w:r>
      <w:r w:rsidRPr="00CF49EA">
        <w:rPr>
          <w:lang w:val="fr-CH"/>
        </w:rPr>
        <w:t>;</w:t>
      </w:r>
    </w:p>
    <w:p w:rsidR="0027181D" w:rsidRPr="00CF49EA" w:rsidRDefault="0027181D" w:rsidP="0027181D">
      <w:pPr>
        <w:rPr>
          <w:lang w:val="fr-CH"/>
        </w:rPr>
      </w:pPr>
      <w:r w:rsidRPr="00CF49EA">
        <w:rPr>
          <w:i/>
          <w:lang w:val="fr-CH"/>
        </w:rPr>
        <w:t>b)</w:t>
      </w:r>
      <w:r w:rsidRPr="00CF49EA">
        <w:rPr>
          <w:i/>
          <w:lang w:val="fr-CH"/>
        </w:rPr>
        <w:tab/>
      </w:r>
      <w:r w:rsidRPr="00CF49EA">
        <w:rPr>
          <w:iCs/>
          <w:lang w:val="fr-CH"/>
        </w:rPr>
        <w:t>la R</w:t>
      </w:r>
      <w:r>
        <w:rPr>
          <w:lang w:val="fr-CH"/>
        </w:rPr>
        <w:t>ésolution 158 (Ré</w:t>
      </w:r>
      <w:r w:rsidRPr="00CF49EA">
        <w:rPr>
          <w:lang w:val="fr-CH"/>
        </w:rPr>
        <w:t>v. Guadalajara, 2010) de la Conférence de plénipotentiaires relative aux questions financières que doit examiner le Conseil par laquelle le Conseil</w:t>
      </w:r>
      <w:r>
        <w:rPr>
          <w:lang w:val="fr-CH"/>
        </w:rPr>
        <w:t>, d'une part,</w:t>
      </w:r>
      <w:r w:rsidRPr="00CF49EA">
        <w:rPr>
          <w:lang w:val="fr-CH"/>
        </w:rPr>
        <w:t xml:space="preserve"> est chargé d</w:t>
      </w:r>
      <w:r>
        <w:rPr>
          <w:lang w:val="fr-CH"/>
        </w:rPr>
        <w:t>'</w:t>
      </w:r>
      <w:r w:rsidRPr="00CF49EA">
        <w:rPr>
          <w:lang w:val="fr-CH"/>
        </w:rPr>
        <w:t>examiner l</w:t>
      </w:r>
      <w:r>
        <w:rPr>
          <w:lang w:val="fr-CH"/>
        </w:rPr>
        <w:t>'</w:t>
      </w:r>
      <w:r w:rsidRPr="00CF49EA">
        <w:rPr>
          <w:lang w:val="fr-CH"/>
        </w:rPr>
        <w:t>approche actuelle concernant les Membres de Secteur, y compris la possibilité d</w:t>
      </w:r>
      <w:r>
        <w:rPr>
          <w:lang w:val="fr-CH"/>
        </w:rPr>
        <w:t>'</w:t>
      </w:r>
      <w:r w:rsidRPr="00CF49EA">
        <w:rPr>
          <w:lang w:val="fr-CH"/>
        </w:rPr>
        <w:t>apporter des modifications dans des domaines comme la structure des dro</w:t>
      </w:r>
      <w:r>
        <w:rPr>
          <w:lang w:val="fr-CH"/>
        </w:rPr>
        <w:t>its et les catégories de membre, la possibilité de combiner la participation aux travaux des Secteurs (en d'autres termes un statut de membre de l'UIT unique tous Secteurs confondus) et, d'autre part, est prié d'examiner l'état d'avancement de la mise en œuvre et de recommander des modifications si nécessaire</w:t>
      </w:r>
      <w:r w:rsidRPr="00CF49EA">
        <w:rPr>
          <w:lang w:val="fr-CH"/>
        </w:rPr>
        <w:t>;</w:t>
      </w:r>
    </w:p>
    <w:p w:rsidR="0027181D" w:rsidRPr="00181DDF" w:rsidRDefault="0027181D" w:rsidP="0027181D">
      <w:pPr>
        <w:rPr>
          <w:lang w:val="fr-CH"/>
        </w:rPr>
      </w:pPr>
      <w:r w:rsidRPr="00181DDF">
        <w:rPr>
          <w:i/>
          <w:lang w:val="fr-CH"/>
        </w:rPr>
        <w:t>c)</w:t>
      </w:r>
      <w:r w:rsidRPr="00181DDF">
        <w:rPr>
          <w:i/>
          <w:lang w:val="fr-CH"/>
        </w:rPr>
        <w:tab/>
      </w:r>
      <w:r w:rsidRPr="00181DDF">
        <w:rPr>
          <w:iCs/>
          <w:lang w:val="fr-CH"/>
        </w:rPr>
        <w:t xml:space="preserve">la </w:t>
      </w:r>
      <w:r w:rsidRPr="00181DDF">
        <w:rPr>
          <w:lang w:val="fr-CH"/>
        </w:rPr>
        <w:t>Résolution 169 (Guadalajara, 2010) de la Conférence de plénipotentiaires relative à l</w:t>
      </w:r>
      <w:r>
        <w:rPr>
          <w:lang w:val="fr-CH"/>
        </w:rPr>
        <w:t>'</w:t>
      </w:r>
      <w:r w:rsidRPr="00181DDF">
        <w:rPr>
          <w:lang w:val="fr-CH"/>
        </w:rPr>
        <w:t>admission d</w:t>
      </w:r>
      <w:r>
        <w:rPr>
          <w:lang w:val="fr-CH"/>
        </w:rPr>
        <w:t>'</w:t>
      </w:r>
      <w:r w:rsidRPr="00181DDF">
        <w:rPr>
          <w:lang w:val="fr-CH"/>
        </w:rPr>
        <w:t>établissements universitaires, d</w:t>
      </w:r>
      <w:r>
        <w:rPr>
          <w:lang w:val="fr-CH"/>
        </w:rPr>
        <w:t>'</w:t>
      </w:r>
      <w:r w:rsidRPr="00181DDF">
        <w:rPr>
          <w:lang w:val="fr-CH"/>
        </w:rPr>
        <w:t>universités et d</w:t>
      </w:r>
      <w:r>
        <w:rPr>
          <w:lang w:val="fr-CH"/>
        </w:rPr>
        <w:t>'instituts de recherche associés</w:t>
      </w:r>
      <w:r w:rsidRPr="00181DDF">
        <w:rPr>
          <w:lang w:val="fr-CH"/>
        </w:rPr>
        <w:t xml:space="preserve"> à participer aux travaux des trois Secteurs de l</w:t>
      </w:r>
      <w:r>
        <w:rPr>
          <w:lang w:val="fr-CH"/>
        </w:rPr>
        <w:t>'</w:t>
      </w:r>
      <w:r w:rsidRPr="00181DDF">
        <w:rPr>
          <w:lang w:val="fr-CH"/>
        </w:rPr>
        <w:t>Union qui porte création de cette nouvelle catégorie de membres</w:t>
      </w:r>
      <w:r>
        <w:rPr>
          <w:lang w:val="fr-CH"/>
        </w:rPr>
        <w:t xml:space="preserve"> admis à participer aux travaux de l'Union pendant une période d'essai et par laquelle le Conseil est chargé d'ajouter les éventuelles conditions supplémentaires ou procédures qu'il jugera appropriées et de soumettre un rapport à la prochaine Conférence de plénipotentiaires qui prendra une décision finale sur cette participation;</w:t>
      </w:r>
    </w:p>
    <w:p w:rsidR="0027181D" w:rsidRPr="00181DDF" w:rsidRDefault="0027181D" w:rsidP="0027181D">
      <w:pPr>
        <w:rPr>
          <w:lang w:val="fr-CH"/>
        </w:rPr>
      </w:pPr>
      <w:r w:rsidRPr="00181DDF">
        <w:rPr>
          <w:i/>
          <w:lang w:val="fr-CH"/>
        </w:rPr>
        <w:t>d)</w:t>
      </w:r>
      <w:r w:rsidRPr="00181DDF">
        <w:rPr>
          <w:i/>
          <w:lang w:val="fr-CH"/>
        </w:rPr>
        <w:tab/>
      </w:r>
      <w:r w:rsidRPr="00181DDF">
        <w:rPr>
          <w:iCs/>
          <w:lang w:val="fr-CH"/>
        </w:rPr>
        <w:t xml:space="preserve">la </w:t>
      </w:r>
      <w:r w:rsidRPr="00181DDF">
        <w:rPr>
          <w:lang w:val="fr-CH"/>
        </w:rPr>
        <w:t>Résolution 170 (Guadalajara, 2010) de la Conférence de plénipotentiaires relative à l</w:t>
      </w:r>
      <w:r>
        <w:rPr>
          <w:lang w:val="fr-CH"/>
        </w:rPr>
        <w:t>'</w:t>
      </w:r>
      <w:r w:rsidRPr="00181DDF">
        <w:rPr>
          <w:lang w:val="fr-CH"/>
        </w:rPr>
        <w:t>admission de Membres de Secteur des pays en développement à participer aux travaux du Secteur de la normalisation des télécommunications</w:t>
      </w:r>
      <w:r>
        <w:rPr>
          <w:lang w:val="fr-CH"/>
        </w:rPr>
        <w:t xml:space="preserve"> et du Secteur des radiocommunications de l'UIT</w:t>
      </w:r>
      <w:r w:rsidRPr="00181DDF">
        <w:rPr>
          <w:lang w:val="fr-CH"/>
        </w:rPr>
        <w:t>,</w:t>
      </w:r>
      <w:r>
        <w:rPr>
          <w:lang w:val="fr-CH"/>
        </w:rPr>
        <w:t xml:space="preserve"> par laquelle est mise en place une structure prévoyant une réduction des droits pour encourager la participation aux activités des deux Secteurs</w:t>
      </w:r>
      <w:r w:rsidRPr="00181DDF">
        <w:rPr>
          <w:lang w:val="fr-CH"/>
        </w:rPr>
        <w:t>,</w:t>
      </w:r>
    </w:p>
    <w:p w:rsidR="0027181D" w:rsidRPr="00CA4509" w:rsidRDefault="0027181D" w:rsidP="0027181D">
      <w:pPr>
        <w:pStyle w:val="Call"/>
        <w:rPr>
          <w:lang w:val="fr-CH"/>
        </w:rPr>
      </w:pPr>
      <w:r w:rsidRPr="00CA4509">
        <w:rPr>
          <w:lang w:val="fr-CH"/>
        </w:rPr>
        <w:t>rappelant</w:t>
      </w:r>
    </w:p>
    <w:p w:rsidR="0027181D" w:rsidRPr="00B21F76" w:rsidRDefault="0027181D" w:rsidP="0027181D">
      <w:pPr>
        <w:rPr>
          <w:lang w:val="fr-CH"/>
        </w:rPr>
      </w:pPr>
      <w:r w:rsidRPr="00B21F76">
        <w:rPr>
          <w:lang w:val="fr-CH"/>
        </w:rPr>
        <w:t xml:space="preserve">la Résolution 1360, </w:t>
      </w:r>
      <w:r>
        <w:rPr>
          <w:lang w:val="fr-CH"/>
        </w:rPr>
        <w:t>"</w:t>
      </w:r>
      <w:r w:rsidRPr="00B21F76">
        <w:rPr>
          <w:lang w:val="fr-CH"/>
        </w:rPr>
        <w:t>Etude des méthodes existantes concernant la participation des Membres</w:t>
      </w:r>
      <w:r>
        <w:rPr>
          <w:lang w:val="fr-CH"/>
        </w:rPr>
        <w:t xml:space="preserve"> </w:t>
      </w:r>
      <w:r w:rsidRPr="00B21F76">
        <w:rPr>
          <w:lang w:val="fr-CH"/>
        </w:rPr>
        <w:t>de Secteur, des Associés et des</w:t>
      </w:r>
      <w:r>
        <w:rPr>
          <w:lang w:val="fr-CH"/>
        </w:rPr>
        <w:t xml:space="preserve"> établissements universitaires",</w:t>
      </w:r>
      <w:r w:rsidRPr="00B21F76">
        <w:rPr>
          <w:lang w:val="fr-CH"/>
        </w:rPr>
        <w:t xml:space="preserve"> adopté</w:t>
      </w:r>
      <w:r>
        <w:rPr>
          <w:lang w:val="fr-CH"/>
        </w:rPr>
        <w:t>e par le Conseil à sa session de </w:t>
      </w:r>
      <w:r w:rsidRPr="00B21F76">
        <w:rPr>
          <w:lang w:val="fr-CH"/>
        </w:rPr>
        <w:t>2013,</w:t>
      </w:r>
    </w:p>
    <w:p w:rsidR="0027181D" w:rsidRPr="00CA4509" w:rsidRDefault="0027181D" w:rsidP="00575F9E">
      <w:pPr>
        <w:pStyle w:val="Call"/>
        <w:rPr>
          <w:lang w:val="fr-CH"/>
        </w:rPr>
      </w:pPr>
      <w:r w:rsidRPr="00CA4509">
        <w:rPr>
          <w:lang w:val="fr-CH"/>
        </w:rPr>
        <w:t>considérant</w:t>
      </w:r>
    </w:p>
    <w:p w:rsidR="0027181D" w:rsidRPr="00B21F76" w:rsidRDefault="0027181D" w:rsidP="00E01500">
      <w:pPr>
        <w:rPr>
          <w:lang w:val="fr-CH"/>
        </w:rPr>
      </w:pPr>
      <w:r w:rsidRPr="00B21F76">
        <w:rPr>
          <w:lang w:val="fr-CH"/>
        </w:rPr>
        <w:t xml:space="preserve">que le Conseil, à sa session de 2011, </w:t>
      </w:r>
      <w:r>
        <w:rPr>
          <w:lang w:val="fr-CH"/>
        </w:rPr>
        <w:t>s'en est remis au Groupe de travail du C</w:t>
      </w:r>
      <w:r w:rsidRPr="00B21F76">
        <w:rPr>
          <w:lang w:val="fr-CH"/>
        </w:rPr>
        <w:t>onseil sur les ressources financières et les ressources humaines (CWG-FHR)</w:t>
      </w:r>
      <w:r>
        <w:rPr>
          <w:lang w:val="fr-CH"/>
        </w:rPr>
        <w:t xml:space="preserve"> pour</w:t>
      </w:r>
      <w:r w:rsidRPr="00B21F76">
        <w:rPr>
          <w:lang w:val="fr-CH"/>
        </w:rPr>
        <w:t xml:space="preserve"> le suivi de la Résolution 158 sur </w:t>
      </w:r>
      <w:r w:rsidRPr="00B21F76">
        <w:rPr>
          <w:lang w:val="fr-CH"/>
        </w:rPr>
        <w:lastRenderedPageBreak/>
        <w:t xml:space="preserve">ces questions </w:t>
      </w:r>
      <w:r>
        <w:rPr>
          <w:lang w:val="fr-CH"/>
        </w:rPr>
        <w:t>afin qu'il élabore des recommandations, et qu'il a lui aussi réfléchi à cette question pendant les sessions qu'il a tenues entre 2012 et 2014, en organisant une consultation ouverte spéciale avec les Membres de Secteur, les Associés et les établissements universitaires</w:t>
      </w:r>
      <w:r w:rsidRPr="00B21F76">
        <w:rPr>
          <w:lang w:val="fr-CH"/>
        </w:rPr>
        <w:t>,</w:t>
      </w:r>
    </w:p>
    <w:p w:rsidR="0027181D" w:rsidRPr="00CA4509" w:rsidRDefault="0027181D" w:rsidP="0027181D">
      <w:pPr>
        <w:pStyle w:val="Call"/>
        <w:rPr>
          <w:lang w:val="fr-CH"/>
        </w:rPr>
      </w:pPr>
      <w:r w:rsidRPr="00CA4509">
        <w:rPr>
          <w:lang w:val="fr-CH"/>
        </w:rPr>
        <w:t>notant</w:t>
      </w:r>
    </w:p>
    <w:p w:rsidR="0027181D" w:rsidRPr="00B21F76" w:rsidRDefault="0027181D" w:rsidP="0027181D">
      <w:pPr>
        <w:rPr>
          <w:lang w:val="fr-CH"/>
        </w:rPr>
      </w:pPr>
      <w:r w:rsidRPr="00B21F76">
        <w:rPr>
          <w:lang w:val="fr-CH"/>
        </w:rPr>
        <w:t xml:space="preserve">que le Conseil, sur la base des contributions reçues du </w:t>
      </w:r>
      <w:r>
        <w:rPr>
          <w:lang w:val="fr-CH"/>
        </w:rPr>
        <w:t>Groupe de travail du C</w:t>
      </w:r>
      <w:r w:rsidRPr="00B21F76">
        <w:rPr>
          <w:lang w:val="fr-CH"/>
        </w:rPr>
        <w:t>onseil sur les ressources financières et les ressources humaines, a recommandé que l</w:t>
      </w:r>
      <w:r>
        <w:rPr>
          <w:lang w:val="fr-CH"/>
        </w:rPr>
        <w:t>'</w:t>
      </w:r>
      <w:r w:rsidRPr="00B21F76">
        <w:rPr>
          <w:lang w:val="fr-CH"/>
        </w:rPr>
        <w:t xml:space="preserve">Union </w:t>
      </w:r>
      <w:r>
        <w:rPr>
          <w:lang w:val="fr-CH"/>
        </w:rPr>
        <w:t>procède à</w:t>
      </w:r>
      <w:r w:rsidRPr="00B21F76">
        <w:rPr>
          <w:lang w:val="fr-CH"/>
        </w:rPr>
        <w:t xml:space="preserve"> des changements </w:t>
      </w:r>
      <w:r>
        <w:rPr>
          <w:lang w:val="fr-CH"/>
        </w:rPr>
        <w:t xml:space="preserve">visant à </w:t>
      </w:r>
      <w:r w:rsidRPr="00B21F76">
        <w:rPr>
          <w:lang w:val="fr-CH"/>
        </w:rPr>
        <w:t xml:space="preserve">simplifier, rendre plus équitable et moderniser la catégorie de Membre de Secteur </w:t>
      </w:r>
      <w:r>
        <w:rPr>
          <w:lang w:val="fr-CH"/>
        </w:rPr>
        <w:t>tout en conservant la structure actuelle des trois Secteurs pour les Membres de Secteur, y compris les Associés et les établissements universitaires</w:t>
      </w:r>
      <w:r w:rsidRPr="00B21F76">
        <w:rPr>
          <w:lang w:val="fr-CH"/>
        </w:rPr>
        <w:t>,</w:t>
      </w:r>
    </w:p>
    <w:p w:rsidR="0027181D" w:rsidRPr="00CA4509" w:rsidRDefault="0027181D" w:rsidP="0027181D">
      <w:pPr>
        <w:pStyle w:val="Call"/>
        <w:rPr>
          <w:lang w:val="fr-CH"/>
        </w:rPr>
      </w:pPr>
      <w:r w:rsidRPr="00CA4509">
        <w:rPr>
          <w:lang w:val="fr-CH"/>
        </w:rPr>
        <w:t xml:space="preserve">décide de charger le Conseil </w:t>
      </w:r>
    </w:p>
    <w:p w:rsidR="0027181D" w:rsidRPr="00B21F76" w:rsidRDefault="0027181D" w:rsidP="00DF1B0F">
      <w:pPr>
        <w:rPr>
          <w:lang w:val="fr-CH"/>
        </w:rPr>
      </w:pPr>
      <w:r w:rsidRPr="00B21F76">
        <w:rPr>
          <w:lang w:val="fr-CH"/>
        </w:rPr>
        <w:t>1</w:t>
      </w:r>
      <w:r w:rsidRPr="00B21F76">
        <w:rPr>
          <w:lang w:val="fr-CH"/>
        </w:rPr>
        <w:tab/>
      </w:r>
      <w:r>
        <w:rPr>
          <w:lang w:val="fr-CH"/>
        </w:rPr>
        <w:t>d'analyser les incidences de diverses</w:t>
      </w:r>
      <w:r w:rsidRPr="00B21F76">
        <w:rPr>
          <w:lang w:val="fr-CH"/>
        </w:rPr>
        <w:t xml:space="preserve"> méthode</w:t>
      </w:r>
      <w:r>
        <w:rPr>
          <w:lang w:val="fr-CH"/>
        </w:rPr>
        <w:t>s</w:t>
      </w:r>
      <w:r w:rsidRPr="00B21F76">
        <w:rPr>
          <w:lang w:val="fr-CH"/>
        </w:rPr>
        <w:t xml:space="preserve"> de détermination des prix </w:t>
      </w:r>
      <w:r>
        <w:rPr>
          <w:lang w:val="fr-CH"/>
        </w:rPr>
        <w:t>pour les Membres de Secteur et les Associés</w:t>
      </w:r>
      <w:r w:rsidR="00DF1B0F">
        <w:rPr>
          <w:lang w:val="fr-CH"/>
        </w:rPr>
        <w:t>,</w:t>
      </w:r>
      <w:r>
        <w:rPr>
          <w:lang w:val="fr-CH"/>
        </w:rPr>
        <w:t xml:space="preserve"> d'examiner quels seraient les avantages et les inconvénients de ces méthode</w:t>
      </w:r>
      <w:r w:rsidR="00DF1B0F">
        <w:rPr>
          <w:lang w:val="fr-CH"/>
        </w:rPr>
        <w:t>s</w:t>
      </w:r>
      <w:r>
        <w:rPr>
          <w:lang w:val="fr-CH"/>
        </w:rPr>
        <w:t xml:space="preserve"> et d'envisager des avantages additionnels, notamment l'octroi d'un statut spécial pour les Membres des trois Secteurs</w:t>
      </w:r>
      <w:r w:rsidRPr="00B21F76">
        <w:rPr>
          <w:lang w:val="fr-CH"/>
        </w:rPr>
        <w:t>;</w:t>
      </w:r>
    </w:p>
    <w:p w:rsidR="0027181D" w:rsidRPr="007D7517" w:rsidRDefault="0027181D" w:rsidP="0027181D">
      <w:pPr>
        <w:rPr>
          <w:lang w:val="fr-CH"/>
        </w:rPr>
      </w:pPr>
      <w:r w:rsidRPr="007D7517">
        <w:rPr>
          <w:lang w:val="fr-CH"/>
        </w:rPr>
        <w:t>2</w:t>
      </w:r>
      <w:r w:rsidRPr="007D7517">
        <w:rPr>
          <w:lang w:val="fr-CH"/>
        </w:rPr>
        <w:tab/>
        <w:t>d</w:t>
      </w:r>
      <w:r>
        <w:rPr>
          <w:lang w:val="fr-CH"/>
        </w:rPr>
        <w:t>'</w:t>
      </w:r>
      <w:r w:rsidRPr="007D7517">
        <w:rPr>
          <w:lang w:val="fr-CH"/>
        </w:rPr>
        <w:t xml:space="preserve">étudier la structure actuelle </w:t>
      </w:r>
      <w:r>
        <w:rPr>
          <w:lang w:val="fr-CH"/>
        </w:rPr>
        <w:t>concernant les</w:t>
      </w:r>
      <w:r w:rsidRPr="007D7517">
        <w:rPr>
          <w:lang w:val="fr-CH"/>
        </w:rPr>
        <w:t xml:space="preserve"> catégories de membres ainsi que les avantages </w:t>
      </w:r>
      <w:r>
        <w:rPr>
          <w:lang w:val="fr-CH"/>
        </w:rPr>
        <w:t xml:space="preserve">dont bénéficient les </w:t>
      </w:r>
      <w:r w:rsidRPr="007D7517">
        <w:rPr>
          <w:lang w:val="fr-CH"/>
        </w:rPr>
        <w:t xml:space="preserve">Membres de Secteur, </w:t>
      </w:r>
      <w:r>
        <w:rPr>
          <w:lang w:val="fr-CH"/>
        </w:rPr>
        <w:t>les Associés et l</w:t>
      </w:r>
      <w:r w:rsidRPr="007D7517">
        <w:rPr>
          <w:lang w:val="fr-CH"/>
        </w:rPr>
        <w:t xml:space="preserve">es </w:t>
      </w:r>
      <w:r>
        <w:rPr>
          <w:lang w:val="fr-CH"/>
        </w:rPr>
        <w:t>é</w:t>
      </w:r>
      <w:r w:rsidRPr="007D7517">
        <w:rPr>
          <w:lang w:val="fr-CH"/>
        </w:rPr>
        <w:t xml:space="preserve">tablissements universitaires </w:t>
      </w:r>
      <w:r>
        <w:rPr>
          <w:lang w:val="fr-CH"/>
        </w:rPr>
        <w:t>et les droits liés à leur participation en vue de garantir une cohérence et une équité entre les catégories de membres</w:t>
      </w:r>
      <w:r w:rsidRPr="007D7517">
        <w:rPr>
          <w:lang w:val="fr-CH"/>
        </w:rPr>
        <w:t>;</w:t>
      </w:r>
    </w:p>
    <w:p w:rsidR="0027181D" w:rsidRDefault="0027181D" w:rsidP="00575F9E">
      <w:pPr>
        <w:rPr>
          <w:lang w:val="fr-CH"/>
        </w:rPr>
      </w:pPr>
      <w:r>
        <w:rPr>
          <w:lang w:val="fr-CH"/>
        </w:rPr>
        <w:t>3</w:t>
      </w:r>
      <w:r>
        <w:rPr>
          <w:lang w:val="fr-CH"/>
        </w:rPr>
        <w:tab/>
        <w:t>d'examiner l'application pratique des droits et d</w:t>
      </w:r>
      <w:r w:rsidRPr="007D7517">
        <w:rPr>
          <w:lang w:val="fr-CH"/>
        </w:rPr>
        <w:t xml:space="preserve">es obligations des Membres de Secteur, </w:t>
      </w:r>
      <w:r>
        <w:rPr>
          <w:lang w:val="fr-CH"/>
        </w:rPr>
        <w:t>tels qu'ils sont énoncés dans la Constitution et la Convention de l'UIT et dans la Résolution 14 (Rév.</w:t>
      </w:r>
      <w:r w:rsidR="00575F9E">
        <w:rPr>
          <w:lang w:val="fr-CH"/>
        </w:rPr>
        <w:t> </w:t>
      </w:r>
      <w:r>
        <w:rPr>
          <w:lang w:val="fr-CH"/>
        </w:rPr>
        <w:t xml:space="preserve">Antalya, 2006) de la Conférences de plénipotentiaires ainsi que les modalités de participation </w:t>
      </w:r>
      <w:r w:rsidRPr="007D7517">
        <w:rPr>
          <w:lang w:val="fr-CH"/>
        </w:rPr>
        <w:t xml:space="preserve">des Associés et des </w:t>
      </w:r>
      <w:r>
        <w:rPr>
          <w:lang w:val="fr-CH"/>
        </w:rPr>
        <w:t>é</w:t>
      </w:r>
      <w:r w:rsidRPr="007D7517">
        <w:rPr>
          <w:lang w:val="fr-CH"/>
        </w:rPr>
        <w:t xml:space="preserve">tablissements universitaires </w:t>
      </w:r>
      <w:r>
        <w:rPr>
          <w:lang w:val="fr-CH"/>
        </w:rPr>
        <w:t>pour veiller à ce qu'ils soient</w:t>
      </w:r>
      <w:r w:rsidRPr="007D7517">
        <w:rPr>
          <w:lang w:val="fr-CH"/>
        </w:rPr>
        <w:t xml:space="preserve"> dûment reconnus </w:t>
      </w:r>
      <w:r>
        <w:rPr>
          <w:lang w:val="fr-CH"/>
        </w:rPr>
        <w:t>lors</w:t>
      </w:r>
      <w:r w:rsidRPr="007D7517">
        <w:rPr>
          <w:lang w:val="fr-CH"/>
        </w:rPr>
        <w:t xml:space="preserve"> des conférences</w:t>
      </w:r>
      <w:r>
        <w:rPr>
          <w:lang w:val="fr-CH"/>
        </w:rPr>
        <w:t>,</w:t>
      </w:r>
      <w:r w:rsidRPr="007D7517">
        <w:rPr>
          <w:lang w:val="fr-CH"/>
        </w:rPr>
        <w:t xml:space="preserve"> </w:t>
      </w:r>
      <w:r>
        <w:rPr>
          <w:lang w:val="fr-CH"/>
        </w:rPr>
        <w:t xml:space="preserve">des assemblées et des réunions des commissions d'études, des groupes de travail, des groupes consultatifs et autres activités de l'UIT; </w:t>
      </w:r>
    </w:p>
    <w:p w:rsidR="0027181D" w:rsidRPr="007D7517" w:rsidRDefault="0027181D" w:rsidP="0027181D">
      <w:pPr>
        <w:rPr>
          <w:lang w:val="fr-CH"/>
        </w:rPr>
      </w:pPr>
      <w:r>
        <w:rPr>
          <w:lang w:val="fr-CH"/>
        </w:rPr>
        <w:t>4</w:t>
      </w:r>
      <w:r>
        <w:rPr>
          <w:lang w:val="fr-CH"/>
        </w:rPr>
        <w:tab/>
        <w:t>d'élaborer des lignes directrices et de prévoir une formation à l'intention des présidents/vice-présidents, des conseillers des commissions d'études, entre autres, sur les modalités relatives aux diverses catégories de membres et sur la participation, à la suite de l'examen visé au point 3 ci</w:t>
      </w:r>
      <w:r>
        <w:rPr>
          <w:lang w:val="fr-CH"/>
        </w:rPr>
        <w:noBreakHyphen/>
        <w:t>dessus</w:t>
      </w:r>
      <w:r w:rsidRPr="007D7517">
        <w:rPr>
          <w:lang w:val="fr-CH"/>
        </w:rPr>
        <w:t>;</w:t>
      </w:r>
    </w:p>
    <w:p w:rsidR="0027181D" w:rsidRPr="007D7517" w:rsidRDefault="0027181D" w:rsidP="00E01500">
      <w:pPr>
        <w:rPr>
          <w:lang w:val="fr-CH"/>
        </w:rPr>
      </w:pPr>
      <w:r w:rsidRPr="007D7517">
        <w:rPr>
          <w:lang w:val="fr-CH"/>
        </w:rPr>
        <w:t>5</w:t>
      </w:r>
      <w:r w:rsidRPr="007D7517">
        <w:rPr>
          <w:lang w:val="fr-CH"/>
        </w:rPr>
        <w:tab/>
      </w:r>
      <w:r>
        <w:rPr>
          <w:lang w:val="fr-CH"/>
        </w:rPr>
        <w:t>de r</w:t>
      </w:r>
      <w:r w:rsidRPr="007D7517">
        <w:rPr>
          <w:lang w:val="fr-CH"/>
        </w:rPr>
        <w:t xml:space="preserve">éfléchir </w:t>
      </w:r>
      <w:r>
        <w:rPr>
          <w:lang w:val="fr-CH"/>
        </w:rPr>
        <w:t xml:space="preserve">aux moyens de renforcer la participation des entités à but non lucratif aux travaux de l'Union, et notamment </w:t>
      </w:r>
      <w:r w:rsidRPr="007D7517">
        <w:rPr>
          <w:lang w:val="fr-CH"/>
        </w:rPr>
        <w:t>à l</w:t>
      </w:r>
      <w:r>
        <w:rPr>
          <w:lang w:val="fr-CH"/>
        </w:rPr>
        <w:t>'</w:t>
      </w:r>
      <w:r w:rsidRPr="007D7517">
        <w:rPr>
          <w:lang w:val="fr-CH"/>
        </w:rPr>
        <w:t xml:space="preserve">opportunité de créer une nouvelle catégorie </w:t>
      </w:r>
      <w:r>
        <w:rPr>
          <w:lang w:val="fr-CH"/>
        </w:rPr>
        <w:t xml:space="preserve">de </w:t>
      </w:r>
      <w:r w:rsidRPr="007D7517">
        <w:rPr>
          <w:lang w:val="fr-CH"/>
        </w:rPr>
        <w:t xml:space="preserve">participation </w:t>
      </w:r>
      <w:r>
        <w:rPr>
          <w:lang w:val="fr-CH"/>
        </w:rPr>
        <w:t>assortie des droits et obligations correspondants</w:t>
      </w:r>
      <w:r w:rsidRPr="007D7517">
        <w:rPr>
          <w:lang w:val="fr-CH"/>
        </w:rPr>
        <w:t>;</w:t>
      </w:r>
    </w:p>
    <w:p w:rsidR="0027181D" w:rsidRDefault="0027181D" w:rsidP="00DF1B0F">
      <w:pPr>
        <w:rPr>
          <w:lang w:val="fr-CH"/>
        </w:rPr>
      </w:pPr>
      <w:r>
        <w:rPr>
          <w:lang w:val="fr-CH"/>
        </w:rPr>
        <w:t>6</w:t>
      </w:r>
      <w:r w:rsidRPr="007D7517">
        <w:rPr>
          <w:lang w:val="fr-CH"/>
        </w:rPr>
        <w:tab/>
        <w:t>d</w:t>
      </w:r>
      <w:r>
        <w:rPr>
          <w:lang w:val="fr-CH"/>
        </w:rPr>
        <w:t>'</w:t>
      </w:r>
      <w:r w:rsidRPr="007D7517">
        <w:rPr>
          <w:lang w:val="fr-CH"/>
        </w:rPr>
        <w:t xml:space="preserve">examiner la pratique qui consiste à exonérer certaines entités </w:t>
      </w:r>
      <w:r>
        <w:rPr>
          <w:lang w:val="fr-CH"/>
        </w:rPr>
        <w:t>d</w:t>
      </w:r>
      <w:r w:rsidR="00DF1B0F">
        <w:rPr>
          <w:lang w:val="fr-CH"/>
        </w:rPr>
        <w:t>u</w:t>
      </w:r>
      <w:r>
        <w:rPr>
          <w:lang w:val="fr-CH"/>
        </w:rPr>
        <w:t xml:space="preserve"> paiement </w:t>
      </w:r>
      <w:r w:rsidRPr="007D7517">
        <w:rPr>
          <w:lang w:val="fr-CH"/>
        </w:rPr>
        <w:t>des droits de membre (s</w:t>
      </w:r>
      <w:r>
        <w:rPr>
          <w:lang w:val="fr-CH"/>
        </w:rPr>
        <w:t>ur la base de critères tels que la réciprocité) e</w:t>
      </w:r>
      <w:r w:rsidRPr="007D7517">
        <w:rPr>
          <w:lang w:val="fr-CH"/>
        </w:rPr>
        <w:t>t d</w:t>
      </w:r>
      <w:r>
        <w:rPr>
          <w:lang w:val="fr-CH"/>
        </w:rPr>
        <w:t>'</w:t>
      </w:r>
      <w:r w:rsidRPr="007D7517">
        <w:rPr>
          <w:lang w:val="fr-CH"/>
        </w:rPr>
        <w:t>apporter</w:t>
      </w:r>
      <w:r>
        <w:rPr>
          <w:lang w:val="fr-CH"/>
        </w:rPr>
        <w:t>, le cas échéant, des</w:t>
      </w:r>
      <w:r w:rsidRPr="007D7517">
        <w:rPr>
          <w:lang w:val="fr-CH"/>
        </w:rPr>
        <w:t xml:space="preserve"> modifications </w:t>
      </w:r>
      <w:r>
        <w:rPr>
          <w:lang w:val="fr-CH"/>
        </w:rPr>
        <w:t>aux critères d'admissibilité</w:t>
      </w:r>
      <w:r w:rsidRPr="007D7517">
        <w:rPr>
          <w:lang w:val="fr-CH"/>
        </w:rPr>
        <w:t>;</w:t>
      </w:r>
    </w:p>
    <w:p w:rsidR="0027181D" w:rsidRPr="00A33FEE" w:rsidRDefault="0027181D" w:rsidP="0027181D">
      <w:pPr>
        <w:rPr>
          <w:lang w:val="fr-CH"/>
        </w:rPr>
      </w:pPr>
      <w:r>
        <w:rPr>
          <w:lang w:val="fr-CH"/>
        </w:rPr>
        <w:t>7</w:t>
      </w:r>
      <w:r w:rsidRPr="00A33FEE">
        <w:rPr>
          <w:lang w:val="fr-CH"/>
        </w:rPr>
        <w:tab/>
        <w:t xml:space="preserve">de mettre en place une stratégie globale de consultation avec </w:t>
      </w:r>
      <w:r>
        <w:rPr>
          <w:lang w:val="fr-CH"/>
        </w:rPr>
        <w:t xml:space="preserve">les Etats Membres, </w:t>
      </w:r>
      <w:r w:rsidRPr="00A33FEE">
        <w:rPr>
          <w:lang w:val="fr-CH"/>
        </w:rPr>
        <w:t xml:space="preserve">les Membres de </w:t>
      </w:r>
      <w:r w:rsidRPr="002A5CEA">
        <w:t>S</w:t>
      </w:r>
      <w:r w:rsidRPr="00A33FEE">
        <w:rPr>
          <w:lang w:val="fr-CH"/>
        </w:rPr>
        <w:t xml:space="preserve">ecteur, les Associés </w:t>
      </w:r>
      <w:r>
        <w:rPr>
          <w:lang w:val="fr-CH"/>
        </w:rPr>
        <w:t>et les établissements universitaires, et d'autres entités, selon le cas, afin que tous les points de vue soient pleinement pris en considération</w:t>
      </w:r>
      <w:r w:rsidRPr="00A33FEE">
        <w:rPr>
          <w:lang w:val="fr-CH"/>
        </w:rPr>
        <w:t>,</w:t>
      </w:r>
    </w:p>
    <w:p w:rsidR="0027181D" w:rsidRPr="00A33FEE" w:rsidRDefault="0027181D" w:rsidP="0027181D">
      <w:pPr>
        <w:pStyle w:val="Call"/>
        <w:rPr>
          <w:lang w:val="fr-CH"/>
        </w:rPr>
      </w:pPr>
      <w:r w:rsidRPr="00A33FEE">
        <w:rPr>
          <w:lang w:val="fr-CH"/>
        </w:rPr>
        <w:t>charge le Secrétaire général et les Directeurs des trois Bureaux</w:t>
      </w:r>
    </w:p>
    <w:p w:rsidR="0027181D" w:rsidRPr="00A33FEE" w:rsidRDefault="0027181D" w:rsidP="00E01500">
      <w:pPr>
        <w:rPr>
          <w:lang w:val="fr-CH"/>
        </w:rPr>
      </w:pPr>
      <w:r w:rsidRPr="00A33FEE">
        <w:rPr>
          <w:lang w:val="fr-CH"/>
        </w:rPr>
        <w:t>d</w:t>
      </w:r>
      <w:r>
        <w:rPr>
          <w:lang w:val="fr-CH"/>
        </w:rPr>
        <w:t>'</w:t>
      </w:r>
      <w:r w:rsidRPr="00A33FEE">
        <w:rPr>
          <w:lang w:val="fr-CH"/>
        </w:rPr>
        <w:t>apporter l</w:t>
      </w:r>
      <w:r>
        <w:rPr>
          <w:lang w:val="fr-CH"/>
        </w:rPr>
        <w:t>'</w:t>
      </w:r>
      <w:r w:rsidRPr="00A33FEE">
        <w:rPr>
          <w:lang w:val="fr-CH"/>
        </w:rPr>
        <w:t xml:space="preserve">appui nécessaire au Conseil pour que tous les membres et tous les participants </w:t>
      </w:r>
      <w:r>
        <w:rPr>
          <w:lang w:val="fr-CH"/>
        </w:rPr>
        <w:t>aient</w:t>
      </w:r>
      <w:r w:rsidRPr="00A33FEE">
        <w:rPr>
          <w:lang w:val="fr-CH"/>
        </w:rPr>
        <w:t xml:space="preserve"> la possibilité</w:t>
      </w:r>
      <w:r>
        <w:rPr>
          <w:lang w:val="fr-CH"/>
        </w:rPr>
        <w:t xml:space="preserve"> de fournir des informations en retour sur cette initiative</w:t>
      </w:r>
      <w:r w:rsidRPr="00A33FEE">
        <w:rPr>
          <w:lang w:val="fr-CH"/>
        </w:rPr>
        <w:t>,</w:t>
      </w:r>
    </w:p>
    <w:p w:rsidR="0027181D" w:rsidRPr="002A5CEA" w:rsidRDefault="0027181D" w:rsidP="0027181D">
      <w:pPr>
        <w:pStyle w:val="Call"/>
        <w:rPr>
          <w:lang w:val="fr-CH"/>
        </w:rPr>
      </w:pPr>
      <w:r w:rsidRPr="002A5CEA">
        <w:rPr>
          <w:lang w:val="fr-CH"/>
        </w:rPr>
        <w:lastRenderedPageBreak/>
        <w:t xml:space="preserve">invite les Etats Membres, les Membres de Secteur, les Associés et les </w:t>
      </w:r>
      <w:r>
        <w:rPr>
          <w:lang w:val="fr-CH"/>
        </w:rPr>
        <w:t>é</w:t>
      </w:r>
      <w:r w:rsidRPr="002A5CEA">
        <w:rPr>
          <w:lang w:val="fr-CH"/>
        </w:rPr>
        <w:t xml:space="preserve">tablissements universitaires </w:t>
      </w:r>
    </w:p>
    <w:p w:rsidR="0027181D" w:rsidRDefault="0027181D" w:rsidP="00575F9E">
      <w:pPr>
        <w:rPr>
          <w:lang w:val="fr-CH"/>
        </w:rPr>
      </w:pPr>
      <w:r w:rsidRPr="00A33FEE">
        <w:rPr>
          <w:lang w:val="fr-CH"/>
        </w:rPr>
        <w:t xml:space="preserve">à participer aux consultations sur cette question </w:t>
      </w:r>
      <w:r>
        <w:rPr>
          <w:lang w:val="fr-CH"/>
        </w:rPr>
        <w:t>et à faire part régulièrement de leurs observations.</w:t>
      </w:r>
    </w:p>
    <w:p w:rsidR="00DD4760" w:rsidRDefault="00DD4760" w:rsidP="00DD4760">
      <w:pPr>
        <w:pStyle w:val="Reasons"/>
      </w:pPr>
    </w:p>
    <w:p w:rsidR="00BD1614" w:rsidRPr="00BD1614" w:rsidRDefault="00E01500" w:rsidP="00575F9E">
      <w:pPr>
        <w:spacing w:before="0"/>
        <w:jc w:val="center"/>
      </w:pPr>
      <w:r>
        <w:t>______________</w:t>
      </w:r>
    </w:p>
    <w:sectPr w:rsidR="00BD1614" w:rsidRPr="00BD1614" w:rsidSect="003A0B7D">
      <w:headerReference w:type="default" r:id="rId8"/>
      <w:footerReference w:type="default" r:id="rId9"/>
      <w:footerReference w:type="first" r:id="rId10"/>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81D" w:rsidRDefault="0027181D">
      <w:r>
        <w:separator/>
      </w:r>
    </w:p>
  </w:endnote>
  <w:endnote w:type="continuationSeparator" w:id="0">
    <w:p w:rsidR="0027181D" w:rsidRDefault="0027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7B" w:rsidRDefault="00781D50">
    <w:pPr>
      <w:pStyle w:val="Footer"/>
    </w:pPr>
    <w:r>
      <w:fldChar w:fldCharType="begin"/>
    </w:r>
    <w:r>
      <w:instrText xml:space="preserve"> FILENAME \p \* MERGEFORMAT </w:instrText>
    </w:r>
    <w:r>
      <w:fldChar w:fldCharType="separate"/>
    </w:r>
    <w:r w:rsidR="00E01500">
      <w:t>P:\FRA\SG\CONF-SG\PP14\000\053F.docx</w:t>
    </w:r>
    <w:r>
      <w:fldChar w:fldCharType="end"/>
    </w:r>
    <w:r w:rsidR="00E01500">
      <w:t xml:space="preserve"> (365523)</w:t>
    </w:r>
    <w:r w:rsidR="000C467B">
      <w:tab/>
    </w:r>
    <w:r w:rsidR="00575DC7">
      <w:fldChar w:fldCharType="begin"/>
    </w:r>
    <w:r w:rsidR="000C467B">
      <w:instrText xml:space="preserve"> savedate \@ dd.MM.yy </w:instrText>
    </w:r>
    <w:r w:rsidR="00575DC7">
      <w:fldChar w:fldCharType="separate"/>
    </w:r>
    <w:r>
      <w:t>04.10.14</w:t>
    </w:r>
    <w:r w:rsidR="00575DC7">
      <w:fldChar w:fldCharType="end"/>
    </w:r>
    <w:r w:rsidR="000C467B">
      <w:tab/>
    </w:r>
    <w:r w:rsidR="00575DC7">
      <w:fldChar w:fldCharType="begin"/>
    </w:r>
    <w:r w:rsidR="000C467B">
      <w:instrText xml:space="preserve"> printdate \@ dd.MM.yy </w:instrText>
    </w:r>
    <w:r w:rsidR="00575DC7">
      <w:fldChar w:fldCharType="separate"/>
    </w:r>
    <w:r w:rsidR="00E01500">
      <w:t>30.09.02</w:t>
    </w:r>
    <w:r w:rsidR="00575DC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Default="000C467B">
    <w:pPr>
      <w:pStyle w:val="FirstFooter"/>
      <w:jc w:val="center"/>
    </w:pPr>
  </w:p>
  <w:p w:rsidR="00E01500" w:rsidRDefault="00781D50" w:rsidP="00E01500">
    <w:pPr>
      <w:pStyle w:val="Footer"/>
    </w:pPr>
    <w:r>
      <w:fldChar w:fldCharType="begin"/>
    </w:r>
    <w:r>
      <w:instrText xml:space="preserve"> FILENAME \p \* MERGEFORMAT </w:instrText>
    </w:r>
    <w:r>
      <w:fldChar w:fldCharType="separate"/>
    </w:r>
    <w:r w:rsidR="00E01500">
      <w:t>P:\FRA\SG\CONF-SG\PP14\000\053F.docx</w:t>
    </w:r>
    <w:r>
      <w:fldChar w:fldCharType="end"/>
    </w:r>
    <w:r w:rsidR="00E01500">
      <w:t xml:space="preserve"> (365523)</w:t>
    </w:r>
    <w:r w:rsidR="00E01500">
      <w:tab/>
    </w:r>
    <w:r w:rsidR="00E01500">
      <w:fldChar w:fldCharType="begin"/>
    </w:r>
    <w:r w:rsidR="00E01500">
      <w:instrText xml:space="preserve"> savedate \@ dd.MM.yy </w:instrText>
    </w:r>
    <w:r w:rsidR="00E01500">
      <w:fldChar w:fldCharType="separate"/>
    </w:r>
    <w:r>
      <w:t>04.10.14</w:t>
    </w:r>
    <w:r w:rsidR="00E01500">
      <w:fldChar w:fldCharType="end"/>
    </w:r>
    <w:r w:rsidR="00E01500">
      <w:tab/>
    </w:r>
    <w:r w:rsidR="00E01500">
      <w:fldChar w:fldCharType="begin"/>
    </w:r>
    <w:r w:rsidR="00E01500">
      <w:instrText xml:space="preserve"> printdate \@ dd.MM.yy </w:instrText>
    </w:r>
    <w:r w:rsidR="00E01500">
      <w:fldChar w:fldCharType="separate"/>
    </w:r>
    <w:r w:rsidR="00E01500">
      <w:t>30.09.02</w:t>
    </w:r>
    <w:r w:rsidR="00E015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81D" w:rsidRDefault="0027181D">
      <w:r>
        <w:t>____________________</w:t>
      </w:r>
    </w:p>
  </w:footnote>
  <w:footnote w:type="continuationSeparator" w:id="0">
    <w:p w:rsidR="0027181D" w:rsidRDefault="00271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95" w:rsidRDefault="00407795" w:rsidP="00407795">
    <w:pPr>
      <w:pStyle w:val="Header"/>
    </w:pPr>
    <w:r>
      <w:fldChar w:fldCharType="begin"/>
    </w:r>
    <w:r>
      <w:instrText xml:space="preserve"> PAGE </w:instrText>
    </w:r>
    <w:r>
      <w:fldChar w:fldCharType="separate"/>
    </w:r>
    <w:r w:rsidR="00781D50">
      <w:rPr>
        <w:noProof/>
      </w:rPr>
      <w:t>2</w:t>
    </w:r>
    <w:r>
      <w:fldChar w:fldCharType="end"/>
    </w:r>
  </w:p>
  <w:p w:rsidR="00BD1614" w:rsidRPr="00407795" w:rsidRDefault="00407795" w:rsidP="00E01500">
    <w:pPr>
      <w:pStyle w:val="Header"/>
    </w:pPr>
    <w:r>
      <w:t>PP14/</w:t>
    </w:r>
    <w:r w:rsidR="00E01500">
      <w:t>53</w:t>
    </w:r>
    <w:r>
      <w:t>-</w:t>
    </w:r>
    <w:r w:rsidRPr="00010B43">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1D"/>
    <w:rsid w:val="000054D8"/>
    <w:rsid w:val="00072D5C"/>
    <w:rsid w:val="00084308"/>
    <w:rsid w:val="000B14B6"/>
    <w:rsid w:val="000C467B"/>
    <w:rsid w:val="000D15FB"/>
    <w:rsid w:val="001051E4"/>
    <w:rsid w:val="00133915"/>
    <w:rsid w:val="001354EA"/>
    <w:rsid w:val="00136FCE"/>
    <w:rsid w:val="00153BA4"/>
    <w:rsid w:val="00190BCE"/>
    <w:rsid w:val="001941AD"/>
    <w:rsid w:val="001A0682"/>
    <w:rsid w:val="001E1B9B"/>
    <w:rsid w:val="001F6233"/>
    <w:rsid w:val="0027181D"/>
    <w:rsid w:val="002C1059"/>
    <w:rsid w:val="002C2F9C"/>
    <w:rsid w:val="003A0B7D"/>
    <w:rsid w:val="003A45C2"/>
    <w:rsid w:val="003C4BE2"/>
    <w:rsid w:val="003D147D"/>
    <w:rsid w:val="00407795"/>
    <w:rsid w:val="00430015"/>
    <w:rsid w:val="004678D0"/>
    <w:rsid w:val="00471BF7"/>
    <w:rsid w:val="00482954"/>
    <w:rsid w:val="00524001"/>
    <w:rsid w:val="00564B63"/>
    <w:rsid w:val="00575DC7"/>
    <w:rsid w:val="00575F9E"/>
    <w:rsid w:val="005836C2"/>
    <w:rsid w:val="005A4EFD"/>
    <w:rsid w:val="005A5ABE"/>
    <w:rsid w:val="005C2ECC"/>
    <w:rsid w:val="005E419E"/>
    <w:rsid w:val="00611CF1"/>
    <w:rsid w:val="006201D9"/>
    <w:rsid w:val="006277DB"/>
    <w:rsid w:val="00635B7B"/>
    <w:rsid w:val="006548C0"/>
    <w:rsid w:val="00655B98"/>
    <w:rsid w:val="00686973"/>
    <w:rsid w:val="006A6342"/>
    <w:rsid w:val="006B6C9C"/>
    <w:rsid w:val="006C7AE3"/>
    <w:rsid w:val="006D55E8"/>
    <w:rsid w:val="006E1921"/>
    <w:rsid w:val="006F36F9"/>
    <w:rsid w:val="0070576B"/>
    <w:rsid w:val="00713335"/>
    <w:rsid w:val="00727C2F"/>
    <w:rsid w:val="00735F13"/>
    <w:rsid w:val="007717F2"/>
    <w:rsid w:val="0078134C"/>
    <w:rsid w:val="00781D50"/>
    <w:rsid w:val="007A5830"/>
    <w:rsid w:val="00801256"/>
    <w:rsid w:val="008703CB"/>
    <w:rsid w:val="008C33C2"/>
    <w:rsid w:val="008C6137"/>
    <w:rsid w:val="008E2DB4"/>
    <w:rsid w:val="00901DD5"/>
    <w:rsid w:val="0090735B"/>
    <w:rsid w:val="00912D5E"/>
    <w:rsid w:val="00934340"/>
    <w:rsid w:val="00966CD3"/>
    <w:rsid w:val="00987A20"/>
    <w:rsid w:val="009A0E15"/>
    <w:rsid w:val="009D07B1"/>
    <w:rsid w:val="009F0592"/>
    <w:rsid w:val="00A20E72"/>
    <w:rsid w:val="00A246DC"/>
    <w:rsid w:val="00A47BAF"/>
    <w:rsid w:val="00A5784F"/>
    <w:rsid w:val="00A8436E"/>
    <w:rsid w:val="00A95B66"/>
    <w:rsid w:val="00AE0667"/>
    <w:rsid w:val="00B41E0A"/>
    <w:rsid w:val="00B56DE0"/>
    <w:rsid w:val="00B71F12"/>
    <w:rsid w:val="00B96B1E"/>
    <w:rsid w:val="00BB2A6F"/>
    <w:rsid w:val="00BD1614"/>
    <w:rsid w:val="00BF7D25"/>
    <w:rsid w:val="00C010C0"/>
    <w:rsid w:val="00C54CE6"/>
    <w:rsid w:val="00C575E2"/>
    <w:rsid w:val="00C7368B"/>
    <w:rsid w:val="00C92746"/>
    <w:rsid w:val="00CC4DC5"/>
    <w:rsid w:val="00CE1A7C"/>
    <w:rsid w:val="00D12C74"/>
    <w:rsid w:val="00D56483"/>
    <w:rsid w:val="00D56AD6"/>
    <w:rsid w:val="00D70019"/>
    <w:rsid w:val="00D74B58"/>
    <w:rsid w:val="00D82ABE"/>
    <w:rsid w:val="00DA685B"/>
    <w:rsid w:val="00DA742B"/>
    <w:rsid w:val="00DD4760"/>
    <w:rsid w:val="00DF1B0F"/>
    <w:rsid w:val="00DF25C1"/>
    <w:rsid w:val="00DF48F7"/>
    <w:rsid w:val="00DF4964"/>
    <w:rsid w:val="00DF4D73"/>
    <w:rsid w:val="00DF79B0"/>
    <w:rsid w:val="00E01500"/>
    <w:rsid w:val="00E1047D"/>
    <w:rsid w:val="00E443FA"/>
    <w:rsid w:val="00E54FCE"/>
    <w:rsid w:val="00E93D35"/>
    <w:rsid w:val="00EA45DB"/>
    <w:rsid w:val="00ED2CD9"/>
    <w:rsid w:val="00F564C1"/>
    <w:rsid w:val="00F77FA2"/>
    <w:rsid w:val="00F8357A"/>
    <w:rsid w:val="00FA1B77"/>
    <w:rsid w:val="00FB4B65"/>
    <w:rsid w:val="00FB74B8"/>
    <w:rsid w:val="00FC49E0"/>
    <w:rsid w:val="00FF0484"/>
    <w:rsid w:val="00FF439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link w:val="AnnexNoChar"/>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link w:val="CallChar"/>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link w:val="RestitleChar"/>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link w:val="ProposalChar"/>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character" w:customStyle="1" w:styleId="CallChar">
    <w:name w:val="Call Char"/>
    <w:basedOn w:val="DefaultParagraphFont"/>
    <w:link w:val="Call"/>
    <w:locked/>
    <w:rsid w:val="0027181D"/>
    <w:rPr>
      <w:rFonts w:ascii="Calibri" w:hAnsi="Calibri"/>
      <w:i/>
      <w:sz w:val="24"/>
      <w:lang w:val="fr-FR" w:eastAsia="en-US"/>
    </w:rPr>
  </w:style>
  <w:style w:type="character" w:customStyle="1" w:styleId="AnnexNoChar">
    <w:name w:val="Annex_No Char"/>
    <w:basedOn w:val="DefaultParagraphFont"/>
    <w:link w:val="AnnexNo"/>
    <w:rsid w:val="0027181D"/>
    <w:rPr>
      <w:rFonts w:ascii="Calibri" w:hAnsi="Calibri"/>
      <w:caps/>
      <w:sz w:val="28"/>
      <w:lang w:val="fr-FR" w:eastAsia="en-US"/>
    </w:rPr>
  </w:style>
  <w:style w:type="character" w:customStyle="1" w:styleId="RestitleChar">
    <w:name w:val="Res_title Char"/>
    <w:basedOn w:val="DefaultParagraphFont"/>
    <w:link w:val="Restitle"/>
    <w:locked/>
    <w:rsid w:val="0027181D"/>
    <w:rPr>
      <w:rFonts w:ascii="Calibri" w:hAnsi="Calibri"/>
      <w:b/>
      <w:sz w:val="28"/>
      <w:lang w:val="fr-FR" w:eastAsia="en-US"/>
    </w:rPr>
  </w:style>
  <w:style w:type="character" w:customStyle="1" w:styleId="ProposalChar">
    <w:name w:val="Proposal Char"/>
    <w:basedOn w:val="DefaultParagraphFont"/>
    <w:link w:val="Proposal"/>
    <w:locked/>
    <w:rsid w:val="00DD4760"/>
    <w:rPr>
      <w:rFonts w:asciiTheme="minorHAnsi" w:hAnsi="Times New Roman Bold"/>
      <w:b/>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link w:val="AnnexNoChar"/>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link w:val="CallChar"/>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link w:val="RestitleChar"/>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link w:val="ProposalChar"/>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character" w:customStyle="1" w:styleId="CallChar">
    <w:name w:val="Call Char"/>
    <w:basedOn w:val="DefaultParagraphFont"/>
    <w:link w:val="Call"/>
    <w:locked/>
    <w:rsid w:val="0027181D"/>
    <w:rPr>
      <w:rFonts w:ascii="Calibri" w:hAnsi="Calibri"/>
      <w:i/>
      <w:sz w:val="24"/>
      <w:lang w:val="fr-FR" w:eastAsia="en-US"/>
    </w:rPr>
  </w:style>
  <w:style w:type="character" w:customStyle="1" w:styleId="AnnexNoChar">
    <w:name w:val="Annex_No Char"/>
    <w:basedOn w:val="DefaultParagraphFont"/>
    <w:link w:val="AnnexNo"/>
    <w:rsid w:val="0027181D"/>
    <w:rPr>
      <w:rFonts w:ascii="Calibri" w:hAnsi="Calibri"/>
      <w:caps/>
      <w:sz w:val="28"/>
      <w:lang w:val="fr-FR" w:eastAsia="en-US"/>
    </w:rPr>
  </w:style>
  <w:style w:type="character" w:customStyle="1" w:styleId="RestitleChar">
    <w:name w:val="Res_title Char"/>
    <w:basedOn w:val="DefaultParagraphFont"/>
    <w:link w:val="Restitle"/>
    <w:locked/>
    <w:rsid w:val="0027181D"/>
    <w:rPr>
      <w:rFonts w:ascii="Calibri" w:hAnsi="Calibri"/>
      <w:b/>
      <w:sz w:val="28"/>
      <w:lang w:val="fr-FR" w:eastAsia="en-US"/>
    </w:rPr>
  </w:style>
  <w:style w:type="character" w:customStyle="1" w:styleId="ProposalChar">
    <w:name w:val="Proposal Char"/>
    <w:basedOn w:val="DefaultParagraphFont"/>
    <w:link w:val="Proposal"/>
    <w:locked/>
    <w:rsid w:val="00DD4760"/>
    <w:rPr>
      <w:rFonts w:asciiTheme="minorHAnsi" w:hAnsi="Times New Roman Bold"/>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PF_PP14.dotx</Template>
  <TotalTime>13</TotalTime>
  <Pages>4</Pages>
  <Words>1045</Words>
  <Characters>5957</Characters>
  <Application>Microsoft Office Word</Application>
  <DocSecurity>0</DocSecurity>
  <Lines>49</Lines>
  <Paragraphs>13</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6989</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Sane, Marie Henriette</dc:creator>
  <cp:keywords>PP-06</cp:keywords>
  <dc:description>PF_PP14.dotx  For: _x000d_Document date: _x000d_Saved by ITU51009317 at 10:31:32 on 19/03/2013</dc:description>
  <cp:lastModifiedBy>IS / INFRASTRUCTURE</cp:lastModifiedBy>
  <cp:revision>7</cp:revision>
  <cp:lastPrinted>2002-09-30T08:27:00Z</cp:lastPrinted>
  <dcterms:created xsi:type="dcterms:W3CDTF">2014-07-08T07:31:00Z</dcterms:created>
  <dcterms:modified xsi:type="dcterms:W3CDTF">2014-10-05T18:29:00Z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