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F2F88">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35F77027" wp14:editId="709649B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C06B4B">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C06B4B">
              <w:rPr>
                <w:rFonts w:cstheme="minorHAnsi" w:hint="eastAsia"/>
                <w:b/>
                <w:szCs w:val="24"/>
                <w:lang w:eastAsia="zh-CN"/>
              </w:rPr>
              <w:t>53</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C06B4B" w:rsidP="00223330">
            <w:pPr>
              <w:spacing w:before="0" w:line="240" w:lineRule="atLeast"/>
              <w:rPr>
                <w:rFonts w:cstheme="minorHAnsi"/>
                <w:szCs w:val="24"/>
              </w:rPr>
            </w:pPr>
            <w:r>
              <w:rPr>
                <w:rFonts w:cstheme="minorHAnsi"/>
                <w:b/>
                <w:bCs/>
                <w:szCs w:val="24"/>
              </w:rPr>
              <w:t>201</w:t>
            </w:r>
            <w:r>
              <w:rPr>
                <w:rFonts w:cstheme="minorHAnsi" w:hint="eastAsia"/>
                <w:b/>
                <w:bCs/>
                <w:szCs w:val="24"/>
                <w:lang w:eastAsia="zh-CN"/>
              </w:rPr>
              <w:t>4</w:t>
            </w:r>
            <w:r w:rsidR="00811D55" w:rsidRPr="007F0374">
              <w:rPr>
                <w:rFonts w:cstheme="minorHAnsi"/>
                <w:b/>
                <w:bCs/>
                <w:szCs w:val="24"/>
              </w:rPr>
              <w:t>年</w:t>
            </w:r>
            <w:r>
              <w:rPr>
                <w:rFonts w:cstheme="minorHAnsi" w:hint="eastAsia"/>
                <w:b/>
                <w:bCs/>
                <w:szCs w:val="24"/>
                <w:lang w:eastAsia="zh-CN"/>
              </w:rPr>
              <w:t>6</w:t>
            </w:r>
            <w:r w:rsidR="00811D55" w:rsidRPr="007F0374">
              <w:rPr>
                <w:rFonts w:cstheme="minorHAnsi"/>
                <w:b/>
                <w:bCs/>
                <w:szCs w:val="24"/>
              </w:rPr>
              <w:t>月</w:t>
            </w:r>
            <w:r>
              <w:rPr>
                <w:rFonts w:cstheme="minorHAnsi" w:hint="eastAsia"/>
                <w:b/>
                <w:bCs/>
                <w:szCs w:val="24"/>
                <w:lang w:eastAsia="zh-CN"/>
              </w:rPr>
              <w:t>24</w:t>
            </w:r>
            <w:r w:rsidR="00811D55"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C06B4B" w:rsidP="00223330">
            <w:pPr>
              <w:pStyle w:val="Source"/>
              <w:rPr>
                <w:lang w:eastAsia="zh-CN"/>
              </w:rPr>
            </w:pPr>
            <w:bookmarkStart w:id="4" w:name="dsource" w:colFirst="0" w:colLast="0"/>
            <w:bookmarkEnd w:id="1"/>
            <w:bookmarkEnd w:id="3"/>
            <w:r>
              <w:rPr>
                <w:rFonts w:hint="eastAsia"/>
                <w:lang w:eastAsia="zh-CN"/>
              </w:rPr>
              <w:t>理事会的报告</w:t>
            </w:r>
          </w:p>
        </w:tc>
      </w:tr>
      <w:tr w:rsidR="00C710E5" w:rsidTr="00223330">
        <w:trPr>
          <w:cantSplit/>
        </w:trPr>
        <w:tc>
          <w:tcPr>
            <w:tcW w:w="10031" w:type="dxa"/>
            <w:gridSpan w:val="2"/>
          </w:tcPr>
          <w:p w:rsidR="00C710E5" w:rsidRDefault="00C06B4B" w:rsidP="00223330">
            <w:pPr>
              <w:pStyle w:val="Title1"/>
              <w:rPr>
                <w:lang w:eastAsia="zh-CN"/>
              </w:rPr>
            </w:pPr>
            <w:bookmarkStart w:id="5" w:name="dtitle1" w:colFirst="0" w:colLast="0"/>
            <w:bookmarkEnd w:id="4"/>
            <w:r>
              <w:rPr>
                <w:rFonts w:hint="eastAsia"/>
                <w:lang w:eastAsia="zh-CN"/>
              </w:rPr>
              <w:t>新决议草案</w:t>
            </w:r>
          </w:p>
        </w:tc>
      </w:tr>
      <w:tr w:rsidR="00C710E5" w:rsidTr="00223330">
        <w:trPr>
          <w:cantSplit/>
        </w:trPr>
        <w:tc>
          <w:tcPr>
            <w:tcW w:w="10031" w:type="dxa"/>
            <w:gridSpan w:val="2"/>
          </w:tcPr>
          <w:p w:rsidR="00C710E5" w:rsidRDefault="00C06B4B" w:rsidP="00C06B4B">
            <w:pPr>
              <w:pStyle w:val="Title2"/>
              <w:rPr>
                <w:lang w:eastAsia="zh-CN"/>
              </w:rPr>
            </w:pPr>
            <w:bookmarkStart w:id="6" w:name="dtitle2" w:colFirst="0" w:colLast="0"/>
            <w:bookmarkEnd w:id="5"/>
            <w:r>
              <w:rPr>
                <w:rFonts w:hint="eastAsia"/>
                <w:lang w:eastAsia="zh-CN"/>
              </w:rPr>
              <w:t>审议部门成员、部门准成员和学术成员参加国际电联活动的</w:t>
            </w:r>
            <w:r>
              <w:rPr>
                <w:lang w:eastAsia="zh-CN"/>
              </w:rPr>
              <w:br/>
            </w:r>
            <w:r>
              <w:rPr>
                <w:rFonts w:hint="eastAsia"/>
                <w:lang w:eastAsia="zh-CN"/>
              </w:rPr>
              <w:t>现行参与方法并形成对未来的展望</w:t>
            </w:r>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C710E5" w:rsidRDefault="00C06B4B" w:rsidP="00C06B4B">
      <w:pPr>
        <w:ind w:firstLineChars="200" w:firstLine="480"/>
        <w:rPr>
          <w:lang w:val="en-US" w:eastAsia="zh-CN"/>
        </w:rPr>
      </w:pPr>
      <w:r w:rsidRPr="00C06B4B">
        <w:rPr>
          <w:rFonts w:hint="eastAsia"/>
          <w:lang w:val="en-US" w:eastAsia="zh-CN"/>
        </w:rPr>
        <w:t>现将理事会</w:t>
      </w:r>
      <w:r w:rsidRPr="00C06B4B">
        <w:rPr>
          <w:rFonts w:hint="eastAsia"/>
          <w:lang w:val="en-US" w:eastAsia="zh-CN"/>
        </w:rPr>
        <w:t>2014</w:t>
      </w:r>
      <w:r w:rsidRPr="00C06B4B">
        <w:rPr>
          <w:rFonts w:hint="eastAsia"/>
          <w:lang w:val="en-US" w:eastAsia="zh-CN"/>
        </w:rPr>
        <w:t>年</w:t>
      </w:r>
      <w:r w:rsidRPr="00C06B4B">
        <w:rPr>
          <w:rFonts w:hint="eastAsia"/>
          <w:lang w:val="en-US" w:eastAsia="zh-CN"/>
        </w:rPr>
        <w:t>5</w:t>
      </w:r>
      <w:r w:rsidRPr="00C06B4B">
        <w:rPr>
          <w:rFonts w:hint="eastAsia"/>
          <w:lang w:val="en-US" w:eastAsia="zh-CN"/>
        </w:rPr>
        <w:t>月会议上讨论的有关审议部门成员</w:t>
      </w:r>
      <w:r w:rsidR="005E18E1">
        <w:rPr>
          <w:rFonts w:hint="eastAsia"/>
          <w:lang w:val="en-US" w:eastAsia="zh-CN"/>
        </w:rPr>
        <w:t>、部门准成员和学术成员参加国际电联活动现行参与方法并形成对未来</w:t>
      </w:r>
      <w:r w:rsidRPr="00C06B4B">
        <w:rPr>
          <w:rFonts w:hint="eastAsia"/>
          <w:lang w:val="en-US" w:eastAsia="zh-CN"/>
        </w:rPr>
        <w:t>展望的新决议草案附后，供全权代表大会审议。</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B72AF0" w:rsidRDefault="00B72AF0" w:rsidP="00B72AF0">
      <w:pPr>
        <w:pStyle w:val="Proposal"/>
        <w:rPr>
          <w:lang w:eastAsia="zh-CN"/>
        </w:rPr>
      </w:pPr>
      <w:r>
        <w:rPr>
          <w:lang w:eastAsia="zh-CN"/>
        </w:rPr>
        <w:lastRenderedPageBreak/>
        <w:t>ADD</w:t>
      </w:r>
      <w:r>
        <w:rPr>
          <w:lang w:eastAsia="zh-CN"/>
        </w:rPr>
        <w:tab/>
        <w:t>CL/53/1</w:t>
      </w:r>
    </w:p>
    <w:p w:rsidR="00C06B4B" w:rsidRPr="00B72AF0" w:rsidRDefault="00C06B4B" w:rsidP="00B72AF0">
      <w:pPr>
        <w:pStyle w:val="ResNo"/>
        <w:rPr>
          <w:lang w:val="en-US" w:eastAsia="zh-CN"/>
        </w:rPr>
      </w:pPr>
      <w:r>
        <w:rPr>
          <w:rFonts w:hint="eastAsia"/>
          <w:lang w:eastAsia="zh-CN"/>
        </w:rPr>
        <w:t>新</w:t>
      </w:r>
      <w:r w:rsidRPr="00360C55">
        <w:rPr>
          <w:lang w:eastAsia="zh-CN"/>
        </w:rPr>
        <w:t>决议草案</w:t>
      </w:r>
      <w:r w:rsidR="00B72AF0">
        <w:rPr>
          <w:lang w:val="en-US" w:eastAsia="zh-CN"/>
        </w:rPr>
        <w:t xml:space="preserve"> [cL-1]</w:t>
      </w:r>
    </w:p>
    <w:p w:rsidR="00C06B4B" w:rsidRPr="00360C55" w:rsidRDefault="00C06B4B" w:rsidP="00B72AF0">
      <w:pPr>
        <w:pStyle w:val="Restitle"/>
        <w:rPr>
          <w:lang w:eastAsia="zh-CN"/>
        </w:rPr>
      </w:pPr>
      <w:r w:rsidRPr="00360C55">
        <w:rPr>
          <w:lang w:eastAsia="zh-CN"/>
        </w:rPr>
        <w:t>审议部门成员、部门准成员和学术成员</w:t>
      </w:r>
      <w:r w:rsidRPr="00360C55">
        <w:rPr>
          <w:rFonts w:hint="eastAsia"/>
          <w:lang w:eastAsia="zh-CN"/>
        </w:rPr>
        <w:t>参加国际电联活动</w:t>
      </w:r>
      <w:r w:rsidRPr="00360C55">
        <w:rPr>
          <w:lang w:eastAsia="zh-CN"/>
        </w:rPr>
        <w:t>的</w:t>
      </w:r>
      <w:r w:rsidRPr="00360C55">
        <w:rPr>
          <w:lang w:eastAsia="zh-CN"/>
        </w:rPr>
        <w:br/>
      </w:r>
      <w:r w:rsidRPr="00360C55">
        <w:rPr>
          <w:lang w:eastAsia="zh-CN"/>
        </w:rPr>
        <w:t>现行参与方法</w:t>
      </w:r>
      <w:r w:rsidRPr="00360C55">
        <w:rPr>
          <w:rFonts w:hint="eastAsia"/>
          <w:lang w:eastAsia="zh-CN"/>
        </w:rPr>
        <w:t>并形成对未来的展望</w:t>
      </w:r>
    </w:p>
    <w:p w:rsidR="00C06B4B" w:rsidRPr="00360C55" w:rsidRDefault="00C06B4B" w:rsidP="00C06B4B">
      <w:pPr>
        <w:tabs>
          <w:tab w:val="left" w:pos="794"/>
          <w:tab w:val="left" w:pos="1191"/>
          <w:tab w:val="left" w:pos="1588"/>
          <w:tab w:val="left" w:pos="1985"/>
        </w:tabs>
        <w:spacing w:before="320"/>
        <w:rPr>
          <w:lang w:eastAsia="zh-CN"/>
        </w:rPr>
      </w:pPr>
      <w:r w:rsidRPr="00360C55">
        <w:rPr>
          <w:lang w:eastAsia="zh-CN"/>
        </w:rPr>
        <w:t>国际电信联盟全权代表大会（</w:t>
      </w:r>
      <w:r w:rsidRPr="00360C55">
        <w:rPr>
          <w:lang w:eastAsia="zh-CN"/>
        </w:rPr>
        <w:t>2014</w:t>
      </w:r>
      <w:r w:rsidRPr="00360C55">
        <w:rPr>
          <w:lang w:eastAsia="zh-CN"/>
        </w:rPr>
        <w:t>年，釜山），</w:t>
      </w:r>
    </w:p>
    <w:p w:rsidR="00C06B4B" w:rsidRPr="00360C55" w:rsidRDefault="00C06B4B" w:rsidP="00C06B4B">
      <w:pPr>
        <w:keepNext/>
        <w:keepLines/>
        <w:tabs>
          <w:tab w:val="left" w:pos="794"/>
          <w:tab w:val="left" w:pos="1191"/>
          <w:tab w:val="left" w:pos="1588"/>
          <w:tab w:val="left" w:pos="1985"/>
        </w:tabs>
        <w:spacing w:before="160"/>
        <w:ind w:left="794"/>
        <w:rPr>
          <w:rFonts w:ascii="STKaiti" w:eastAsia="STKaiti" w:hAnsi="STKaiti" w:cs="Calibri"/>
          <w:szCs w:val="24"/>
          <w:lang w:eastAsia="zh-CN"/>
        </w:rPr>
      </w:pPr>
      <w:r w:rsidRPr="00360C55">
        <w:rPr>
          <w:rFonts w:ascii="STKaiti" w:eastAsia="STKaiti" w:hAnsi="STKaiti" w:cs="Calibri"/>
          <w:szCs w:val="24"/>
          <w:lang w:eastAsia="zh-CN"/>
        </w:rPr>
        <w:t>认识到</w:t>
      </w:r>
    </w:p>
    <w:p w:rsidR="00C06B4B" w:rsidRPr="00360C55" w:rsidRDefault="00C06B4B" w:rsidP="005E18E1">
      <w:pPr>
        <w:tabs>
          <w:tab w:val="left" w:pos="794"/>
          <w:tab w:val="left" w:pos="1191"/>
          <w:tab w:val="left" w:pos="1588"/>
          <w:tab w:val="left" w:pos="1985"/>
        </w:tabs>
        <w:rPr>
          <w:rFonts w:cs="Calibri"/>
          <w:lang w:eastAsia="zh-CN"/>
        </w:rPr>
      </w:pPr>
      <w:r w:rsidRPr="00360C55">
        <w:rPr>
          <w:rFonts w:cs="Calibri"/>
          <w:i/>
          <w:iCs/>
          <w:lang w:eastAsia="zh-CN"/>
        </w:rPr>
        <w:t>a)</w:t>
      </w:r>
      <w:r w:rsidRPr="00360C55">
        <w:rPr>
          <w:rFonts w:cs="Calibri"/>
          <w:i/>
          <w:iCs/>
          <w:lang w:eastAsia="zh-CN"/>
        </w:rPr>
        <w:tab/>
      </w:r>
      <w:r>
        <w:rPr>
          <w:rFonts w:cs="Calibri" w:hint="eastAsia"/>
          <w:lang w:eastAsia="zh-CN"/>
        </w:rPr>
        <w:t>有关</w:t>
      </w:r>
      <w:r w:rsidRPr="00360C55">
        <w:rPr>
          <w:rFonts w:ascii="STKaiti" w:eastAsia="STKaiti" w:hAnsi="STKaiti" w:cs="Calibri"/>
          <w:lang w:eastAsia="zh-CN"/>
        </w:rPr>
        <w:t>改进对部门成员和部门准成员摊付国际电联费用的管理和跟踪</w:t>
      </w:r>
      <w:r w:rsidRPr="00360C55">
        <w:rPr>
          <w:rFonts w:cs="Calibri"/>
          <w:lang w:eastAsia="zh-CN"/>
        </w:rPr>
        <w:t>的第</w:t>
      </w:r>
      <w:r w:rsidRPr="00360C55">
        <w:rPr>
          <w:rFonts w:cs="Calibri"/>
          <w:lang w:eastAsia="zh-CN"/>
        </w:rPr>
        <w:t>152</w:t>
      </w:r>
      <w:r w:rsidRPr="00360C55">
        <w:rPr>
          <w:rFonts w:cs="Calibri"/>
          <w:lang w:eastAsia="zh-CN"/>
        </w:rPr>
        <w:t>号决议（</w:t>
      </w:r>
      <w:r w:rsidRPr="00360C55">
        <w:rPr>
          <w:rFonts w:cs="Calibri"/>
          <w:lang w:eastAsia="zh-CN"/>
        </w:rPr>
        <w:t>2010</w:t>
      </w:r>
      <w:r w:rsidRPr="00360C55">
        <w:rPr>
          <w:rFonts w:cs="Calibri"/>
          <w:lang w:eastAsia="zh-CN"/>
        </w:rPr>
        <w:t>年，瓜达拉哈拉，修订版），对有关付费程序</w:t>
      </w:r>
      <w:r w:rsidR="005E18E1">
        <w:rPr>
          <w:rFonts w:cs="Calibri" w:hint="eastAsia"/>
          <w:lang w:eastAsia="zh-CN"/>
        </w:rPr>
        <w:t>做出修订</w:t>
      </w:r>
      <w:r w:rsidRPr="00360C55">
        <w:rPr>
          <w:rFonts w:cs="Calibri"/>
          <w:lang w:eastAsia="zh-CN"/>
        </w:rPr>
        <w:t>；</w:t>
      </w:r>
    </w:p>
    <w:p w:rsidR="00C06B4B" w:rsidRPr="00360C55" w:rsidRDefault="00C06B4B" w:rsidP="005917D9">
      <w:pPr>
        <w:tabs>
          <w:tab w:val="left" w:pos="794"/>
          <w:tab w:val="left" w:pos="1191"/>
          <w:tab w:val="left" w:pos="1588"/>
          <w:tab w:val="left" w:pos="1985"/>
        </w:tabs>
        <w:rPr>
          <w:rFonts w:cs="Calibri"/>
          <w:lang w:eastAsia="zh-CN"/>
        </w:rPr>
      </w:pPr>
      <w:r w:rsidRPr="00360C55">
        <w:rPr>
          <w:rFonts w:cs="Calibri"/>
          <w:i/>
          <w:iCs/>
          <w:lang w:eastAsia="zh-CN"/>
        </w:rPr>
        <w:t>b)</w:t>
      </w:r>
      <w:r w:rsidRPr="00360C55">
        <w:rPr>
          <w:rFonts w:cs="Calibri"/>
          <w:i/>
          <w:iCs/>
          <w:lang w:eastAsia="zh-CN"/>
        </w:rPr>
        <w:tab/>
      </w:r>
      <w:r>
        <w:rPr>
          <w:rFonts w:cs="Calibri" w:hint="eastAsia"/>
          <w:lang w:eastAsia="zh-CN"/>
        </w:rPr>
        <w:t>有关</w:t>
      </w:r>
      <w:r w:rsidRPr="00360C55">
        <w:rPr>
          <w:rFonts w:eastAsia="STKaiti" w:cs="Calibri"/>
          <w:lang w:eastAsia="zh-CN"/>
        </w:rPr>
        <w:t>由理事会审议的财务问题</w:t>
      </w:r>
      <w:r w:rsidRPr="00360C55">
        <w:rPr>
          <w:rFonts w:cs="Calibri"/>
          <w:lang w:eastAsia="zh-CN"/>
        </w:rPr>
        <w:t>的第</w:t>
      </w:r>
      <w:r w:rsidRPr="00360C55">
        <w:rPr>
          <w:rFonts w:cs="Calibri"/>
          <w:lang w:eastAsia="zh-CN"/>
        </w:rPr>
        <w:t>158</w:t>
      </w:r>
      <w:r w:rsidRPr="00360C55">
        <w:rPr>
          <w:rFonts w:cs="Calibri"/>
          <w:lang w:eastAsia="zh-CN"/>
        </w:rPr>
        <w:t>号决议（</w:t>
      </w:r>
      <w:r w:rsidRPr="00360C55">
        <w:rPr>
          <w:rFonts w:cs="Calibri"/>
          <w:lang w:eastAsia="zh-CN"/>
        </w:rPr>
        <w:t>2010</w:t>
      </w:r>
      <w:r w:rsidRPr="00360C55">
        <w:rPr>
          <w:rFonts w:cs="Calibri"/>
          <w:lang w:eastAsia="zh-CN"/>
        </w:rPr>
        <w:t>年，瓜达拉哈拉，修订版）责成理事会审议部门成员和部门准成员的现行参与方法，包括</w:t>
      </w:r>
      <w:r w:rsidR="005917D9">
        <w:rPr>
          <w:rFonts w:cs="Calibri" w:hint="eastAsia"/>
          <w:lang w:eastAsia="zh-CN"/>
        </w:rPr>
        <w:t>修改</w:t>
      </w:r>
      <w:r w:rsidRPr="00360C55">
        <w:rPr>
          <w:rFonts w:cs="Calibri"/>
          <w:lang w:eastAsia="zh-CN"/>
        </w:rPr>
        <w:t>收费结构和成员类别的可能性和部门合并参与（</w:t>
      </w:r>
      <w:r w:rsidR="005E18E1">
        <w:rPr>
          <w:rFonts w:cs="Calibri" w:hint="eastAsia"/>
          <w:lang w:eastAsia="zh-CN"/>
        </w:rPr>
        <w:t>即，</w:t>
      </w:r>
      <w:r w:rsidR="005E18E1">
        <w:rPr>
          <w:rFonts w:cs="Calibri"/>
          <w:lang w:eastAsia="zh-CN"/>
        </w:rPr>
        <w:t>一个国际电联成员参与所有三个部门</w:t>
      </w:r>
      <w:r w:rsidRPr="00360C55">
        <w:rPr>
          <w:rFonts w:cs="Calibri"/>
          <w:lang w:eastAsia="zh-CN"/>
        </w:rPr>
        <w:t>工作）的可行性，并请理事会审议实施进展和根据需要提出修改建议；</w:t>
      </w:r>
    </w:p>
    <w:p w:rsidR="00C06B4B" w:rsidRPr="00360C55" w:rsidRDefault="00C06B4B" w:rsidP="005E18E1">
      <w:pPr>
        <w:tabs>
          <w:tab w:val="left" w:pos="794"/>
          <w:tab w:val="left" w:pos="1191"/>
          <w:tab w:val="left" w:pos="1588"/>
          <w:tab w:val="left" w:pos="1985"/>
        </w:tabs>
        <w:rPr>
          <w:rFonts w:cs="Calibri"/>
          <w:lang w:eastAsia="zh-CN"/>
        </w:rPr>
      </w:pPr>
      <w:r w:rsidRPr="00360C55">
        <w:rPr>
          <w:rFonts w:cs="Calibri"/>
          <w:i/>
          <w:iCs/>
          <w:lang w:eastAsia="zh-CN"/>
        </w:rPr>
        <w:t>c)</w:t>
      </w:r>
      <w:r w:rsidRPr="00360C55">
        <w:rPr>
          <w:rFonts w:cs="Calibri"/>
          <w:lang w:eastAsia="zh-CN"/>
        </w:rPr>
        <w:tab/>
      </w:r>
      <w:r>
        <w:rPr>
          <w:rFonts w:cs="Calibri" w:hint="eastAsia"/>
          <w:lang w:eastAsia="zh-CN"/>
        </w:rPr>
        <w:t>有关</w:t>
      </w:r>
      <w:r>
        <w:rPr>
          <w:rFonts w:eastAsia="STKaiti" w:cs="Calibri"/>
          <w:lang w:eastAsia="zh-CN"/>
        </w:rPr>
        <w:t>接纳学术界、大学及其相关研究机构参加国际电联三个部门</w:t>
      </w:r>
      <w:r w:rsidRPr="00360C55">
        <w:rPr>
          <w:rFonts w:eastAsia="STKaiti" w:cs="Calibri"/>
          <w:lang w:eastAsia="zh-CN"/>
        </w:rPr>
        <w:t>工作</w:t>
      </w:r>
      <w:r w:rsidRPr="00360C55">
        <w:rPr>
          <w:rFonts w:cs="Calibri"/>
          <w:lang w:eastAsia="zh-CN"/>
        </w:rPr>
        <w:t>的第</w:t>
      </w:r>
      <w:r w:rsidRPr="00360C55">
        <w:rPr>
          <w:rFonts w:cs="Calibri"/>
          <w:lang w:eastAsia="zh-CN"/>
        </w:rPr>
        <w:t>169</w:t>
      </w:r>
      <w:r w:rsidRPr="00360C55">
        <w:rPr>
          <w:rFonts w:cs="Calibri"/>
          <w:lang w:eastAsia="zh-CN"/>
        </w:rPr>
        <w:t>号决议（</w:t>
      </w:r>
      <w:r w:rsidRPr="00360C55">
        <w:rPr>
          <w:rFonts w:cs="Calibri"/>
          <w:lang w:eastAsia="zh-CN"/>
        </w:rPr>
        <w:t>2010</w:t>
      </w:r>
      <w:r w:rsidRPr="00360C55">
        <w:rPr>
          <w:rFonts w:cs="Calibri"/>
          <w:lang w:eastAsia="zh-CN"/>
        </w:rPr>
        <w:t>年，瓜达拉哈拉），试</w:t>
      </w:r>
      <w:r w:rsidR="005E18E1">
        <w:rPr>
          <w:rFonts w:cs="Calibri" w:hint="eastAsia"/>
          <w:lang w:eastAsia="zh-CN"/>
        </w:rPr>
        <w:t>行设立</w:t>
      </w:r>
      <w:r w:rsidRPr="00360C55">
        <w:rPr>
          <w:rFonts w:cs="Calibri"/>
          <w:lang w:eastAsia="zh-CN"/>
        </w:rPr>
        <w:t>这一新的参与类别，并责成理事会增加</w:t>
      </w:r>
      <w:r w:rsidR="005E18E1">
        <w:rPr>
          <w:rFonts w:cs="Calibri" w:hint="eastAsia"/>
          <w:lang w:eastAsia="zh-CN"/>
        </w:rPr>
        <w:t>其</w:t>
      </w:r>
      <w:r w:rsidRPr="00360C55">
        <w:rPr>
          <w:rFonts w:cs="Calibri"/>
          <w:lang w:eastAsia="zh-CN"/>
        </w:rPr>
        <w:t>认为适当的补充条件或程序，并向下届全权代表大会提交报告，以便就</w:t>
      </w:r>
      <w:r w:rsidR="005E18E1">
        <w:rPr>
          <w:rFonts w:cs="Calibri" w:hint="eastAsia"/>
          <w:lang w:eastAsia="zh-CN"/>
        </w:rPr>
        <w:t>此类</w:t>
      </w:r>
      <w:r w:rsidRPr="00360C55">
        <w:rPr>
          <w:rFonts w:cs="Calibri"/>
          <w:lang w:eastAsia="zh-CN"/>
        </w:rPr>
        <w:t>参与问题做出最终决定；</w:t>
      </w:r>
    </w:p>
    <w:p w:rsidR="00C06B4B" w:rsidRPr="00360C55" w:rsidRDefault="00C06B4B" w:rsidP="005E18E1">
      <w:pPr>
        <w:tabs>
          <w:tab w:val="left" w:pos="794"/>
          <w:tab w:val="left" w:pos="1191"/>
          <w:tab w:val="left" w:pos="1588"/>
          <w:tab w:val="left" w:pos="1985"/>
        </w:tabs>
        <w:rPr>
          <w:rFonts w:cs="Calibri"/>
          <w:lang w:eastAsia="zh-CN"/>
        </w:rPr>
      </w:pPr>
      <w:r w:rsidRPr="00360C55">
        <w:rPr>
          <w:rFonts w:cs="Calibri"/>
          <w:i/>
          <w:iCs/>
          <w:lang w:eastAsia="zh-CN"/>
        </w:rPr>
        <w:t>d)</w:t>
      </w:r>
      <w:r w:rsidRPr="00360C55">
        <w:rPr>
          <w:rFonts w:cs="Calibri"/>
          <w:lang w:eastAsia="zh-CN"/>
        </w:rPr>
        <w:tab/>
      </w:r>
      <w:r>
        <w:rPr>
          <w:rFonts w:cs="Calibri" w:hint="eastAsia"/>
          <w:lang w:eastAsia="zh-CN"/>
        </w:rPr>
        <w:t>有关</w:t>
      </w:r>
      <w:r w:rsidRPr="00360C55">
        <w:rPr>
          <w:rFonts w:eastAsia="STKaiti" w:cs="Calibri"/>
          <w:lang w:eastAsia="zh-CN"/>
        </w:rPr>
        <w:t>接纳发展中国家部门成员参加国际电联无线电通信部门和国际电联电信标准化部门工作</w:t>
      </w:r>
      <w:r w:rsidRPr="00360C55">
        <w:rPr>
          <w:rFonts w:cs="Calibri"/>
          <w:lang w:eastAsia="zh-CN"/>
        </w:rPr>
        <w:t>的第</w:t>
      </w:r>
      <w:r w:rsidRPr="00360C55">
        <w:rPr>
          <w:rFonts w:cs="Calibri"/>
          <w:lang w:eastAsia="zh-CN"/>
        </w:rPr>
        <w:t>170</w:t>
      </w:r>
      <w:r w:rsidRPr="00360C55">
        <w:rPr>
          <w:rFonts w:cs="Calibri"/>
          <w:lang w:eastAsia="zh-CN"/>
        </w:rPr>
        <w:t>号决议（</w:t>
      </w:r>
      <w:r w:rsidRPr="00360C55">
        <w:rPr>
          <w:rFonts w:cs="Calibri"/>
          <w:lang w:eastAsia="zh-CN"/>
        </w:rPr>
        <w:t>2010</w:t>
      </w:r>
      <w:r w:rsidRPr="00360C55">
        <w:rPr>
          <w:rFonts w:cs="Calibri"/>
          <w:lang w:eastAsia="zh-CN"/>
        </w:rPr>
        <w:t>年，瓜达拉哈拉），确</w:t>
      </w:r>
      <w:r w:rsidR="005E18E1">
        <w:rPr>
          <w:rFonts w:cs="Calibri" w:hint="eastAsia"/>
          <w:lang w:eastAsia="zh-CN"/>
        </w:rPr>
        <w:t>立</w:t>
      </w:r>
      <w:r w:rsidRPr="00360C55">
        <w:rPr>
          <w:rFonts w:cs="Calibri"/>
          <w:lang w:eastAsia="zh-CN"/>
        </w:rPr>
        <w:t>了促进参与两个部门活动的</w:t>
      </w:r>
      <w:r w:rsidR="005E18E1">
        <w:rPr>
          <w:rFonts w:cs="Calibri" w:hint="eastAsia"/>
          <w:lang w:eastAsia="zh-CN"/>
        </w:rPr>
        <w:t>较低收费</w:t>
      </w:r>
      <w:r w:rsidRPr="00360C55">
        <w:rPr>
          <w:rFonts w:cs="Calibri"/>
          <w:lang w:eastAsia="zh-CN"/>
        </w:rPr>
        <w:t>结构，</w:t>
      </w:r>
    </w:p>
    <w:p w:rsidR="00C06B4B" w:rsidRPr="00360C55" w:rsidRDefault="00C06B4B" w:rsidP="00C06B4B">
      <w:pPr>
        <w:keepNext/>
        <w:keepLines/>
        <w:tabs>
          <w:tab w:val="left" w:pos="794"/>
          <w:tab w:val="left" w:pos="1191"/>
          <w:tab w:val="left" w:pos="1588"/>
          <w:tab w:val="left" w:pos="1985"/>
        </w:tabs>
        <w:spacing w:before="160"/>
        <w:ind w:left="794"/>
        <w:rPr>
          <w:rFonts w:ascii="STKaiti" w:eastAsia="STKaiti" w:hAnsi="STKaiti" w:cs="Calibri"/>
          <w:szCs w:val="24"/>
          <w:lang w:eastAsia="zh-CN"/>
        </w:rPr>
      </w:pPr>
      <w:r w:rsidRPr="00360C55">
        <w:rPr>
          <w:rFonts w:ascii="STKaiti" w:eastAsia="STKaiti" w:hAnsi="STKaiti" w:cs="Calibri"/>
          <w:szCs w:val="24"/>
          <w:lang w:eastAsia="zh-CN"/>
        </w:rPr>
        <w:t>忆及</w:t>
      </w:r>
    </w:p>
    <w:p w:rsidR="00C06B4B" w:rsidRPr="00360C55" w:rsidRDefault="00C06B4B" w:rsidP="00C06B4B">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w:t>
      </w:r>
      <w:r w:rsidRPr="00360C55">
        <w:rPr>
          <w:rFonts w:cs="Calibri"/>
          <w:lang w:eastAsia="zh-CN"/>
        </w:rPr>
        <w:t>2013</w:t>
      </w:r>
      <w:r w:rsidRPr="00360C55">
        <w:rPr>
          <w:rFonts w:cs="Calibri"/>
          <w:lang w:eastAsia="zh-CN"/>
        </w:rPr>
        <w:t>年会议通过的</w:t>
      </w:r>
      <w:r>
        <w:rPr>
          <w:rFonts w:eastAsia="STKaiti" w:cs="Calibri"/>
          <w:lang w:eastAsia="zh-CN"/>
        </w:rPr>
        <w:t>有关部门成员、部门准成员和学术成员现行参与方法</w:t>
      </w:r>
      <w:r w:rsidRPr="00360C55">
        <w:rPr>
          <w:rFonts w:eastAsia="STKaiti" w:cs="Calibri"/>
          <w:lang w:eastAsia="zh-CN"/>
        </w:rPr>
        <w:t>研究</w:t>
      </w:r>
      <w:r w:rsidRPr="00360C55">
        <w:rPr>
          <w:rFonts w:cs="Calibri"/>
          <w:lang w:eastAsia="zh-CN"/>
        </w:rPr>
        <w:t>的</w:t>
      </w:r>
      <w:r w:rsidR="005917D9">
        <w:rPr>
          <w:rFonts w:cs="Calibri" w:hint="eastAsia"/>
          <w:lang w:eastAsia="zh-CN"/>
        </w:rPr>
        <w:br/>
      </w:r>
      <w:r w:rsidRPr="00360C55">
        <w:rPr>
          <w:rFonts w:cs="Calibri"/>
          <w:lang w:eastAsia="zh-CN"/>
        </w:rPr>
        <w:t>第</w:t>
      </w:r>
      <w:r w:rsidRPr="00360C55">
        <w:rPr>
          <w:rFonts w:cs="Calibri"/>
          <w:lang w:eastAsia="zh-CN"/>
        </w:rPr>
        <w:t>1360</w:t>
      </w:r>
      <w:r w:rsidRPr="00360C55">
        <w:rPr>
          <w:rFonts w:cs="Calibri"/>
          <w:bCs/>
          <w:lang w:eastAsia="zh-CN"/>
        </w:rPr>
        <w:t>号决议</w:t>
      </w:r>
      <w:r w:rsidRPr="00360C55">
        <w:rPr>
          <w:rFonts w:cs="Calibri"/>
          <w:lang w:eastAsia="zh-CN"/>
        </w:rPr>
        <w:t>，</w:t>
      </w:r>
    </w:p>
    <w:p w:rsidR="00C06B4B" w:rsidRPr="00360C55" w:rsidRDefault="00C06B4B" w:rsidP="00C06B4B">
      <w:pPr>
        <w:keepNext/>
        <w:keepLines/>
        <w:tabs>
          <w:tab w:val="left" w:pos="794"/>
          <w:tab w:val="left" w:pos="1191"/>
          <w:tab w:val="left" w:pos="1588"/>
          <w:tab w:val="left" w:pos="1985"/>
        </w:tabs>
        <w:spacing w:before="160"/>
        <w:ind w:left="794"/>
        <w:rPr>
          <w:rFonts w:ascii="STKaiti" w:eastAsia="STKaiti" w:hAnsi="STKaiti" w:cs="Calibri"/>
          <w:lang w:eastAsia="zh-CN"/>
        </w:rPr>
      </w:pPr>
      <w:r w:rsidRPr="00360C55">
        <w:rPr>
          <w:rFonts w:ascii="STKaiti" w:eastAsia="STKaiti" w:hAnsi="STKaiti" w:cs="Calibri"/>
          <w:szCs w:val="24"/>
          <w:lang w:eastAsia="zh-CN"/>
        </w:rPr>
        <w:t>考虑到</w:t>
      </w:r>
    </w:p>
    <w:p w:rsidR="00C06B4B" w:rsidRPr="00360C55" w:rsidRDefault="00C06B4B" w:rsidP="005E18E1">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w:t>
      </w:r>
      <w:r w:rsidRPr="00360C55">
        <w:rPr>
          <w:rFonts w:cs="Calibri"/>
          <w:lang w:eastAsia="zh-CN"/>
        </w:rPr>
        <w:t>2011</w:t>
      </w:r>
      <w:r w:rsidRPr="00360C55">
        <w:rPr>
          <w:rFonts w:cs="Calibri"/>
          <w:lang w:eastAsia="zh-CN"/>
        </w:rPr>
        <w:t>年会议</w:t>
      </w:r>
      <w:r w:rsidR="005E18E1">
        <w:rPr>
          <w:rFonts w:cs="Calibri" w:hint="eastAsia"/>
          <w:lang w:eastAsia="zh-CN"/>
        </w:rPr>
        <w:t>将</w:t>
      </w:r>
      <w:r w:rsidRPr="00360C55">
        <w:rPr>
          <w:rFonts w:cs="Calibri"/>
          <w:lang w:eastAsia="zh-CN"/>
        </w:rPr>
        <w:t>有关这些问题的第</w:t>
      </w:r>
      <w:r w:rsidRPr="00360C55">
        <w:rPr>
          <w:rFonts w:cs="Calibri"/>
          <w:lang w:eastAsia="zh-CN"/>
        </w:rPr>
        <w:t>158</w:t>
      </w:r>
      <w:r w:rsidRPr="00360C55">
        <w:rPr>
          <w:rFonts w:cs="Calibri"/>
          <w:lang w:eastAsia="zh-CN"/>
        </w:rPr>
        <w:t>号决议后续工作</w:t>
      </w:r>
      <w:r w:rsidR="005E18E1">
        <w:rPr>
          <w:rFonts w:cs="Calibri" w:hint="eastAsia"/>
          <w:lang w:eastAsia="zh-CN"/>
        </w:rPr>
        <w:t>交予</w:t>
      </w:r>
      <w:r w:rsidRPr="00360C55">
        <w:rPr>
          <w:rFonts w:cs="Calibri"/>
          <w:lang w:eastAsia="zh-CN"/>
        </w:rPr>
        <w:t>理事会财务和人力资源工作组（</w:t>
      </w:r>
      <w:r w:rsidRPr="00360C55">
        <w:rPr>
          <w:rFonts w:cs="Calibri"/>
          <w:lang w:eastAsia="zh-CN"/>
        </w:rPr>
        <w:t>CWG-FHR</w:t>
      </w:r>
      <w:r w:rsidRPr="00360C55">
        <w:rPr>
          <w:rFonts w:cs="Calibri"/>
          <w:lang w:eastAsia="zh-CN"/>
        </w:rPr>
        <w:t>）</w:t>
      </w:r>
      <w:r w:rsidR="005E18E1">
        <w:rPr>
          <w:rFonts w:cs="Calibri" w:hint="eastAsia"/>
          <w:lang w:eastAsia="zh-CN"/>
        </w:rPr>
        <w:t>并请他们提出建议</w:t>
      </w:r>
      <w:r w:rsidRPr="00360C55">
        <w:rPr>
          <w:rFonts w:cs="Calibri"/>
          <w:lang w:eastAsia="zh-CN"/>
        </w:rPr>
        <w:t>，该工作组在其</w:t>
      </w:r>
      <w:r w:rsidRPr="00360C55">
        <w:rPr>
          <w:rFonts w:cs="Calibri"/>
          <w:lang w:eastAsia="zh-CN"/>
        </w:rPr>
        <w:t>2012-2014</w:t>
      </w:r>
      <w:r w:rsidRPr="00360C55">
        <w:rPr>
          <w:rFonts w:cs="Calibri"/>
          <w:lang w:eastAsia="zh-CN"/>
        </w:rPr>
        <w:t>年会议上审议了这一议题，还与部门成员、部门准成员和学术成员开展了特别公开磋商，</w:t>
      </w:r>
    </w:p>
    <w:p w:rsidR="00C06B4B" w:rsidRPr="00360C55" w:rsidRDefault="00C06B4B" w:rsidP="00C06B4B">
      <w:pPr>
        <w:keepNext/>
        <w:keepLines/>
        <w:tabs>
          <w:tab w:val="left" w:pos="794"/>
          <w:tab w:val="left" w:pos="1191"/>
          <w:tab w:val="left" w:pos="1588"/>
          <w:tab w:val="left" w:pos="1985"/>
        </w:tabs>
        <w:spacing w:before="160"/>
        <w:ind w:left="794"/>
        <w:rPr>
          <w:rFonts w:ascii="STKaiti" w:eastAsia="STKaiti" w:hAnsi="STKaiti" w:cs="Calibri"/>
          <w:szCs w:val="24"/>
          <w:lang w:eastAsia="zh-CN"/>
        </w:rPr>
      </w:pPr>
      <w:r w:rsidRPr="00360C55">
        <w:rPr>
          <w:rFonts w:ascii="STKaiti" w:eastAsia="STKaiti" w:hAnsi="STKaiti" w:cs="Calibri"/>
          <w:szCs w:val="24"/>
          <w:lang w:eastAsia="zh-CN"/>
        </w:rPr>
        <w:t>注意到</w:t>
      </w:r>
    </w:p>
    <w:p w:rsidR="00C06B4B" w:rsidRPr="00360C55" w:rsidRDefault="00C06B4B" w:rsidP="00C06B4B">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理事会根据</w:t>
      </w:r>
      <w:r w:rsidRPr="00360C55">
        <w:rPr>
          <w:rFonts w:cs="Calibri"/>
          <w:lang w:eastAsia="zh-CN"/>
        </w:rPr>
        <w:t>CWG-FHR</w:t>
      </w:r>
      <w:r w:rsidRPr="00360C55">
        <w:rPr>
          <w:rFonts w:cs="Calibri"/>
          <w:lang w:eastAsia="zh-CN"/>
        </w:rPr>
        <w:t>的意见建议国际电联</w:t>
      </w:r>
      <w:r>
        <w:rPr>
          <w:rFonts w:cs="Calibri" w:hint="eastAsia"/>
          <w:lang w:eastAsia="zh-CN"/>
        </w:rPr>
        <w:t>进行</w:t>
      </w:r>
      <w:r w:rsidRPr="00360C55">
        <w:rPr>
          <w:rFonts w:cs="Calibri"/>
          <w:lang w:eastAsia="zh-CN"/>
        </w:rPr>
        <w:t>改革，</w:t>
      </w:r>
      <w:r>
        <w:rPr>
          <w:rFonts w:cs="Calibri" w:hint="eastAsia"/>
          <w:lang w:eastAsia="zh-CN"/>
        </w:rPr>
        <w:t>在</w:t>
      </w:r>
      <w:r>
        <w:rPr>
          <w:rFonts w:cs="Calibri"/>
          <w:lang w:eastAsia="zh-CN"/>
        </w:rPr>
        <w:t>保留现行</w:t>
      </w:r>
      <w:r w:rsidRPr="00360C55">
        <w:rPr>
          <w:rFonts w:cs="Calibri"/>
          <w:lang w:eastAsia="zh-CN"/>
        </w:rPr>
        <w:t>三个部门部门成员结构</w:t>
      </w:r>
      <w:r>
        <w:rPr>
          <w:rFonts w:cs="Calibri" w:hint="eastAsia"/>
          <w:lang w:eastAsia="zh-CN"/>
        </w:rPr>
        <w:t>（</w:t>
      </w:r>
      <w:r w:rsidRPr="00360C55">
        <w:rPr>
          <w:rFonts w:cs="Calibri"/>
          <w:lang w:eastAsia="zh-CN"/>
        </w:rPr>
        <w:t>包括部门准成员和学术成员</w:t>
      </w:r>
      <w:r>
        <w:rPr>
          <w:rFonts w:cs="Calibri" w:hint="eastAsia"/>
          <w:lang w:eastAsia="zh-CN"/>
        </w:rPr>
        <w:t>）</w:t>
      </w:r>
      <w:r w:rsidRPr="00360C55">
        <w:rPr>
          <w:rFonts w:cs="Calibri"/>
          <w:lang w:eastAsia="zh-CN"/>
        </w:rPr>
        <w:t>的同时，</w:t>
      </w:r>
      <w:r>
        <w:rPr>
          <w:rFonts w:cs="Calibri"/>
          <w:lang w:eastAsia="zh-CN"/>
        </w:rPr>
        <w:t>使部门成员</w:t>
      </w:r>
      <w:r w:rsidRPr="00360C55">
        <w:rPr>
          <w:rFonts w:cs="Calibri"/>
          <w:lang w:eastAsia="zh-CN"/>
        </w:rPr>
        <w:t>得到简化、更加公平</w:t>
      </w:r>
      <w:r>
        <w:rPr>
          <w:rFonts w:cs="Calibri" w:hint="eastAsia"/>
          <w:lang w:eastAsia="zh-CN"/>
        </w:rPr>
        <w:t>且</w:t>
      </w:r>
      <w:r w:rsidRPr="00360C55">
        <w:rPr>
          <w:rFonts w:cs="Calibri"/>
          <w:lang w:eastAsia="zh-CN"/>
        </w:rPr>
        <w:t>与时俱进，</w:t>
      </w:r>
    </w:p>
    <w:p w:rsidR="00C06B4B" w:rsidRPr="00360C55" w:rsidRDefault="00C06B4B" w:rsidP="00C06B4B">
      <w:pPr>
        <w:keepNext/>
        <w:keepLines/>
        <w:tabs>
          <w:tab w:val="left" w:pos="794"/>
          <w:tab w:val="left" w:pos="1191"/>
          <w:tab w:val="left" w:pos="1588"/>
          <w:tab w:val="left" w:pos="1985"/>
        </w:tabs>
        <w:spacing w:before="160"/>
        <w:ind w:left="794"/>
        <w:rPr>
          <w:rFonts w:ascii="STKaiti" w:eastAsia="STKaiti" w:hAnsi="STKaiti" w:cs="Calibri"/>
          <w:szCs w:val="24"/>
          <w:lang w:eastAsia="zh-CN"/>
        </w:rPr>
      </w:pPr>
      <w:r w:rsidRPr="00360C55">
        <w:rPr>
          <w:rFonts w:ascii="STKaiti" w:eastAsia="STKaiti" w:hAnsi="STKaiti" w:cs="Calibri"/>
          <w:szCs w:val="24"/>
          <w:lang w:eastAsia="zh-CN"/>
        </w:rPr>
        <w:t>做出决议，责成理事会</w:t>
      </w:r>
    </w:p>
    <w:p w:rsidR="00C06B4B" w:rsidRPr="00360C55" w:rsidRDefault="00C06B4B" w:rsidP="005917D9">
      <w:pPr>
        <w:tabs>
          <w:tab w:val="left" w:pos="794"/>
          <w:tab w:val="left" w:pos="1191"/>
          <w:tab w:val="left" w:pos="1588"/>
          <w:tab w:val="left" w:pos="1985"/>
        </w:tabs>
        <w:rPr>
          <w:rFonts w:cs="Calibri"/>
          <w:lang w:eastAsia="zh-CN"/>
        </w:rPr>
      </w:pPr>
      <w:r w:rsidRPr="00360C55">
        <w:rPr>
          <w:rFonts w:cs="Calibri"/>
          <w:lang w:eastAsia="zh-CN"/>
        </w:rPr>
        <w:t>1</w:t>
      </w:r>
      <w:r w:rsidRPr="00360C55">
        <w:rPr>
          <w:rFonts w:cs="Calibri"/>
          <w:lang w:eastAsia="zh-CN"/>
        </w:rPr>
        <w:tab/>
      </w:r>
      <w:r w:rsidRPr="00360C55">
        <w:rPr>
          <w:rFonts w:cs="Calibri" w:hint="eastAsia"/>
          <w:lang w:eastAsia="zh-CN"/>
        </w:rPr>
        <w:t>分析不同的定价方法对部门成员和部门准成员的利弊影响并审议更多的益处，其中包括给予所有三个部门</w:t>
      </w:r>
      <w:r w:rsidR="005917D9">
        <w:rPr>
          <w:rFonts w:cs="Calibri" w:hint="eastAsia"/>
          <w:lang w:eastAsia="zh-CN"/>
        </w:rPr>
        <w:t>的</w:t>
      </w:r>
      <w:r w:rsidRPr="00360C55">
        <w:rPr>
          <w:rFonts w:cs="Calibri" w:hint="eastAsia"/>
          <w:lang w:eastAsia="zh-CN"/>
        </w:rPr>
        <w:t>部门成员特殊地位；</w:t>
      </w:r>
    </w:p>
    <w:p w:rsidR="00C06B4B" w:rsidRPr="00360C55" w:rsidRDefault="00C06B4B" w:rsidP="005E18E1">
      <w:pPr>
        <w:tabs>
          <w:tab w:val="left" w:pos="794"/>
          <w:tab w:val="left" w:pos="1191"/>
          <w:tab w:val="left" w:pos="1588"/>
          <w:tab w:val="left" w:pos="1985"/>
        </w:tabs>
        <w:rPr>
          <w:rFonts w:cs="Calibri"/>
          <w:lang w:eastAsia="zh-CN"/>
        </w:rPr>
      </w:pPr>
      <w:r w:rsidRPr="00360C55">
        <w:rPr>
          <w:rFonts w:cs="Calibri"/>
          <w:lang w:eastAsia="zh-CN"/>
        </w:rPr>
        <w:t>2</w:t>
      </w:r>
      <w:r w:rsidRPr="00360C55">
        <w:rPr>
          <w:rFonts w:cs="Calibri"/>
          <w:lang w:eastAsia="zh-CN"/>
        </w:rPr>
        <w:tab/>
      </w:r>
      <w:r w:rsidRPr="00360C55">
        <w:rPr>
          <w:rFonts w:cs="Calibri"/>
          <w:lang w:eastAsia="zh-CN"/>
        </w:rPr>
        <w:t>研究成员队伍的现有结构</w:t>
      </w:r>
      <w:r w:rsidR="005E18E1">
        <w:rPr>
          <w:rFonts w:cs="Calibri" w:hint="eastAsia"/>
          <w:lang w:eastAsia="zh-CN"/>
        </w:rPr>
        <w:t>以及</w:t>
      </w:r>
      <w:r w:rsidRPr="00360C55">
        <w:rPr>
          <w:rFonts w:cs="Calibri"/>
          <w:lang w:eastAsia="zh-CN"/>
        </w:rPr>
        <w:t>部门成员、部门准成员和学术成员的优势和参与权，以确保各类</w:t>
      </w:r>
      <w:r w:rsidR="005E18E1">
        <w:rPr>
          <w:rFonts w:cs="Calibri" w:hint="eastAsia"/>
          <w:lang w:eastAsia="zh-CN"/>
        </w:rPr>
        <w:t>别</w:t>
      </w:r>
      <w:r w:rsidRPr="00360C55">
        <w:rPr>
          <w:rFonts w:cs="Calibri"/>
          <w:lang w:eastAsia="zh-CN"/>
        </w:rPr>
        <w:t>成员之间的统一性和公平性；</w:t>
      </w:r>
    </w:p>
    <w:p w:rsidR="00C06B4B" w:rsidRPr="00360C55" w:rsidRDefault="00C06B4B" w:rsidP="00C06B4B">
      <w:pPr>
        <w:tabs>
          <w:tab w:val="left" w:pos="794"/>
          <w:tab w:val="left" w:pos="1191"/>
          <w:tab w:val="left" w:pos="1588"/>
          <w:tab w:val="left" w:pos="1985"/>
        </w:tabs>
        <w:rPr>
          <w:lang w:eastAsia="zh-CN"/>
        </w:rPr>
      </w:pPr>
      <w:r w:rsidRPr="00360C55">
        <w:rPr>
          <w:lang w:eastAsia="zh-CN"/>
        </w:rPr>
        <w:lastRenderedPageBreak/>
        <w:t>3</w:t>
      </w:r>
      <w:r w:rsidRPr="00360C55">
        <w:rPr>
          <w:lang w:eastAsia="zh-CN"/>
        </w:rPr>
        <w:tab/>
      </w:r>
      <w:r w:rsidRPr="005E18E1">
        <w:rPr>
          <w:rFonts w:hint="eastAsia"/>
          <w:lang w:eastAsia="zh-CN"/>
        </w:rPr>
        <w:t>审议国际电联《组织法》和《公约》、第</w:t>
      </w:r>
      <w:r w:rsidRPr="005E18E1">
        <w:rPr>
          <w:lang w:eastAsia="zh-CN"/>
        </w:rPr>
        <w:t>14</w:t>
      </w:r>
      <w:r w:rsidRPr="005E18E1">
        <w:rPr>
          <w:rFonts w:hint="eastAsia"/>
          <w:lang w:eastAsia="zh-CN"/>
        </w:rPr>
        <w:t>号决议（</w:t>
      </w:r>
      <w:r w:rsidRPr="005E18E1">
        <w:rPr>
          <w:lang w:eastAsia="zh-CN"/>
        </w:rPr>
        <w:t>2006</w:t>
      </w:r>
      <w:r w:rsidRPr="005E18E1">
        <w:rPr>
          <w:rFonts w:hint="eastAsia"/>
          <w:lang w:eastAsia="zh-CN"/>
        </w:rPr>
        <w:t>年，安塔利亚，修订版）以及有关部门准成员和学术成员参与安排中所规定的权利和义务的实际应用</w:t>
      </w:r>
      <w:r w:rsidRPr="00360C55">
        <w:rPr>
          <w:rFonts w:hint="eastAsia"/>
          <w:lang w:eastAsia="zh-CN"/>
        </w:rPr>
        <w:t>，并确保这些</w:t>
      </w:r>
      <w:r w:rsidRPr="005E18E1">
        <w:rPr>
          <w:rFonts w:hint="eastAsia"/>
          <w:lang w:eastAsia="zh-CN"/>
        </w:rPr>
        <w:t>权利和义务在国际电联大会、全会、研究组</w:t>
      </w:r>
      <w:r w:rsidRPr="00360C55">
        <w:rPr>
          <w:rFonts w:hint="eastAsia"/>
          <w:lang w:eastAsia="zh-CN"/>
        </w:rPr>
        <w:t>、</w:t>
      </w:r>
      <w:r w:rsidRPr="005E18E1">
        <w:rPr>
          <w:rFonts w:hint="eastAsia"/>
          <w:lang w:eastAsia="zh-CN"/>
        </w:rPr>
        <w:t>工作组、顾问组</w:t>
      </w:r>
      <w:r w:rsidRPr="00360C55">
        <w:rPr>
          <w:rFonts w:hint="eastAsia"/>
          <w:lang w:eastAsia="zh-CN"/>
        </w:rPr>
        <w:t>及其它</w:t>
      </w:r>
      <w:r w:rsidRPr="005E18E1">
        <w:rPr>
          <w:rFonts w:hint="eastAsia"/>
          <w:lang w:eastAsia="zh-CN"/>
        </w:rPr>
        <w:t>活动中得到</w:t>
      </w:r>
      <w:r w:rsidRPr="00360C55">
        <w:rPr>
          <w:rFonts w:hint="eastAsia"/>
          <w:lang w:eastAsia="zh-CN"/>
        </w:rPr>
        <w:t>适当</w:t>
      </w:r>
      <w:r w:rsidRPr="005E18E1">
        <w:rPr>
          <w:rFonts w:hint="eastAsia"/>
          <w:lang w:eastAsia="zh-CN"/>
        </w:rPr>
        <w:t>承认；</w:t>
      </w:r>
    </w:p>
    <w:p w:rsidR="00C06B4B" w:rsidRPr="00360C55" w:rsidRDefault="00C06B4B" w:rsidP="00C06B4B">
      <w:pPr>
        <w:tabs>
          <w:tab w:val="left" w:pos="794"/>
          <w:tab w:val="left" w:pos="1191"/>
          <w:tab w:val="left" w:pos="1588"/>
          <w:tab w:val="left" w:pos="1985"/>
        </w:tabs>
        <w:rPr>
          <w:rFonts w:cs="Calibri"/>
          <w:lang w:eastAsia="zh-CN"/>
        </w:rPr>
      </w:pPr>
      <w:proofErr w:type="gramStart"/>
      <w:r w:rsidRPr="00360C55">
        <w:rPr>
          <w:rFonts w:cs="Calibri"/>
          <w:lang w:eastAsia="zh-CN"/>
        </w:rPr>
        <w:t>4</w:t>
      </w:r>
      <w:r w:rsidRPr="00360C55">
        <w:rPr>
          <w:rFonts w:cs="Calibri"/>
          <w:lang w:eastAsia="zh-CN"/>
        </w:rPr>
        <w:tab/>
      </w:r>
      <w:r w:rsidRPr="00360C55">
        <w:rPr>
          <w:rFonts w:cs="Calibri" w:hint="eastAsia"/>
          <w:lang w:eastAsia="zh-CN"/>
        </w:rPr>
        <w:t>在根据上述第</w:t>
      </w:r>
      <w:r w:rsidRPr="00360C55">
        <w:rPr>
          <w:rFonts w:cs="Calibri"/>
          <w:lang w:eastAsia="zh-CN"/>
        </w:rPr>
        <w:t>3</w:t>
      </w:r>
      <w:r w:rsidRPr="00360C55">
        <w:rPr>
          <w:rFonts w:cs="Calibri" w:hint="eastAsia"/>
          <w:lang w:eastAsia="zh-CN"/>
        </w:rPr>
        <w:t>点进行审议后，为与各类别成员及参与的此类安排相关的主席</w:t>
      </w:r>
      <w:r w:rsidRPr="00360C55">
        <w:rPr>
          <w:rFonts w:cs="Calibri"/>
          <w:lang w:eastAsia="zh-CN"/>
        </w:rPr>
        <w:t>/</w:t>
      </w:r>
      <w:r w:rsidRPr="00360C55">
        <w:rPr>
          <w:rFonts w:cs="Calibri" w:hint="eastAsia"/>
          <w:lang w:eastAsia="zh-CN"/>
        </w:rPr>
        <w:t>副主席、研究组顾问及其他人员制定导则并开展培训；</w:t>
      </w:r>
      <w:proofErr w:type="gramEnd"/>
    </w:p>
    <w:p w:rsidR="00C06B4B" w:rsidRPr="00360C55" w:rsidRDefault="00C06B4B" w:rsidP="005E18E1">
      <w:pPr>
        <w:tabs>
          <w:tab w:val="left" w:pos="794"/>
          <w:tab w:val="left" w:pos="1191"/>
          <w:tab w:val="left" w:pos="1588"/>
          <w:tab w:val="left" w:pos="1985"/>
        </w:tabs>
        <w:rPr>
          <w:rFonts w:cs="Calibri"/>
          <w:lang w:eastAsia="zh-CN"/>
        </w:rPr>
      </w:pPr>
      <w:r w:rsidRPr="00360C55">
        <w:rPr>
          <w:rFonts w:cs="Calibri"/>
          <w:lang w:eastAsia="zh-CN"/>
        </w:rPr>
        <w:t>5</w:t>
      </w:r>
      <w:r w:rsidRPr="00360C55">
        <w:rPr>
          <w:rFonts w:cs="Calibri"/>
          <w:lang w:eastAsia="zh-CN"/>
        </w:rPr>
        <w:tab/>
      </w:r>
      <w:r w:rsidRPr="00360C55">
        <w:rPr>
          <w:rFonts w:cs="Calibri"/>
          <w:lang w:eastAsia="zh-CN"/>
        </w:rPr>
        <w:t>研究</w:t>
      </w:r>
      <w:r w:rsidRPr="00360C55">
        <w:rPr>
          <w:rFonts w:cs="Calibri" w:hint="eastAsia"/>
          <w:lang w:eastAsia="zh-CN"/>
        </w:rPr>
        <w:t>增加非盈利性实体参加国际电联活动的途径，其中包括</w:t>
      </w:r>
      <w:r w:rsidR="005E18E1">
        <w:rPr>
          <w:rFonts w:cs="Calibri" w:hint="eastAsia"/>
          <w:lang w:eastAsia="zh-CN"/>
        </w:rPr>
        <w:t>设立</w:t>
      </w:r>
      <w:r w:rsidRPr="00360C55">
        <w:rPr>
          <w:rFonts w:cs="Calibri"/>
          <w:lang w:eastAsia="zh-CN"/>
        </w:rPr>
        <w:t>新的非</w:t>
      </w:r>
      <w:r w:rsidRPr="00360C55">
        <w:rPr>
          <w:rFonts w:cs="Calibri" w:hint="eastAsia"/>
          <w:lang w:eastAsia="zh-CN"/>
        </w:rPr>
        <w:t>盈利</w:t>
      </w:r>
      <w:r w:rsidRPr="00360C55">
        <w:rPr>
          <w:rFonts w:cs="Calibri"/>
          <w:lang w:eastAsia="zh-CN"/>
        </w:rPr>
        <w:t>实体参与类别的可行性</w:t>
      </w:r>
      <w:r w:rsidR="005E18E1">
        <w:rPr>
          <w:rFonts w:cs="Calibri" w:hint="eastAsia"/>
          <w:lang w:eastAsia="zh-CN"/>
        </w:rPr>
        <w:t>以及</w:t>
      </w:r>
      <w:r w:rsidRPr="00360C55">
        <w:rPr>
          <w:rFonts w:cs="Calibri" w:hint="eastAsia"/>
          <w:lang w:eastAsia="zh-CN"/>
        </w:rPr>
        <w:t>相应的权利和义务</w:t>
      </w:r>
      <w:r w:rsidRPr="00360C55">
        <w:rPr>
          <w:rFonts w:cs="Calibri"/>
          <w:lang w:eastAsia="zh-CN"/>
        </w:rPr>
        <w:t>；</w:t>
      </w:r>
    </w:p>
    <w:p w:rsidR="00C06B4B" w:rsidRPr="00360C55" w:rsidRDefault="00C06B4B" w:rsidP="00C06B4B">
      <w:pPr>
        <w:tabs>
          <w:tab w:val="left" w:pos="794"/>
          <w:tab w:val="left" w:pos="1191"/>
          <w:tab w:val="left" w:pos="1588"/>
          <w:tab w:val="left" w:pos="1985"/>
        </w:tabs>
        <w:rPr>
          <w:rFonts w:cs="Calibri"/>
          <w:lang w:eastAsia="zh-CN"/>
        </w:rPr>
      </w:pPr>
      <w:r w:rsidRPr="00360C55">
        <w:rPr>
          <w:rFonts w:cs="Calibri" w:hint="eastAsia"/>
          <w:lang w:eastAsia="zh-CN"/>
        </w:rPr>
        <w:t>6</w:t>
      </w:r>
      <w:r w:rsidRPr="00360C55">
        <w:rPr>
          <w:rFonts w:cs="Calibri" w:hint="eastAsia"/>
          <w:lang w:eastAsia="zh-CN"/>
        </w:rPr>
        <w:tab/>
      </w:r>
      <w:r w:rsidRPr="00360C55">
        <w:rPr>
          <w:rFonts w:cs="Calibri" w:hint="eastAsia"/>
          <w:lang w:eastAsia="zh-CN"/>
        </w:rPr>
        <w:t>审议（根据互利等标准）免予实体缴纳成员会费的做法，必要时修订资格标准；</w:t>
      </w:r>
    </w:p>
    <w:p w:rsidR="00C06B4B" w:rsidRPr="00360C55" w:rsidRDefault="00C06B4B" w:rsidP="00C06B4B">
      <w:pPr>
        <w:tabs>
          <w:tab w:val="left" w:pos="794"/>
          <w:tab w:val="left" w:pos="1191"/>
          <w:tab w:val="left" w:pos="1588"/>
          <w:tab w:val="left" w:pos="1985"/>
        </w:tabs>
        <w:rPr>
          <w:rFonts w:cs="Calibri"/>
          <w:lang w:eastAsia="zh-CN"/>
        </w:rPr>
      </w:pPr>
      <w:r w:rsidRPr="00360C55">
        <w:rPr>
          <w:rFonts w:cs="Calibri" w:hint="eastAsia"/>
          <w:lang w:eastAsia="zh-CN"/>
        </w:rPr>
        <w:t>7</w:t>
      </w:r>
      <w:r w:rsidRPr="00360C55">
        <w:rPr>
          <w:rFonts w:cs="Calibri"/>
          <w:lang w:eastAsia="zh-CN"/>
        </w:rPr>
        <w:tab/>
      </w:r>
      <w:r w:rsidRPr="00360C55">
        <w:rPr>
          <w:rFonts w:cs="Calibri"/>
          <w:lang w:eastAsia="zh-CN"/>
        </w:rPr>
        <w:t>与</w:t>
      </w:r>
      <w:r w:rsidRPr="00360C55">
        <w:rPr>
          <w:rFonts w:cs="Calibri" w:hint="eastAsia"/>
          <w:lang w:eastAsia="zh-CN"/>
        </w:rPr>
        <w:t>成员国、</w:t>
      </w:r>
      <w:r w:rsidRPr="00360C55">
        <w:rPr>
          <w:rFonts w:cs="Calibri"/>
          <w:lang w:eastAsia="zh-CN"/>
        </w:rPr>
        <w:t>部门成员、部门准成员、学术成员</w:t>
      </w:r>
      <w:r w:rsidRPr="00360C55">
        <w:rPr>
          <w:rFonts w:cs="Calibri" w:hint="eastAsia"/>
          <w:lang w:eastAsia="zh-CN"/>
        </w:rPr>
        <w:t>及其他适当方</w:t>
      </w:r>
      <w:r w:rsidRPr="00360C55">
        <w:rPr>
          <w:rFonts w:cs="Calibri"/>
          <w:lang w:eastAsia="zh-CN"/>
        </w:rPr>
        <w:t>制定全面</w:t>
      </w:r>
      <w:r w:rsidRPr="00360C55">
        <w:rPr>
          <w:rFonts w:cs="Calibri" w:hint="eastAsia"/>
          <w:lang w:eastAsia="zh-CN"/>
        </w:rPr>
        <w:t>的</w:t>
      </w:r>
      <w:r w:rsidRPr="00360C55">
        <w:rPr>
          <w:rFonts w:cs="Calibri"/>
          <w:lang w:eastAsia="zh-CN"/>
        </w:rPr>
        <w:t>磋商战略，以确保所有观点</w:t>
      </w:r>
      <w:r w:rsidRPr="00360C55">
        <w:rPr>
          <w:rFonts w:cs="Calibri" w:hint="eastAsia"/>
          <w:lang w:eastAsia="zh-CN"/>
        </w:rPr>
        <w:t>均</w:t>
      </w:r>
      <w:r w:rsidRPr="00360C55">
        <w:rPr>
          <w:rFonts w:cs="Calibri"/>
          <w:lang w:eastAsia="zh-CN"/>
        </w:rPr>
        <w:t>得到充分审议，</w:t>
      </w:r>
    </w:p>
    <w:p w:rsidR="00C06B4B" w:rsidRPr="00360C55" w:rsidRDefault="00C06B4B" w:rsidP="00C06B4B">
      <w:pPr>
        <w:keepNext/>
        <w:keepLines/>
        <w:tabs>
          <w:tab w:val="left" w:pos="794"/>
          <w:tab w:val="left" w:pos="1191"/>
          <w:tab w:val="left" w:pos="1588"/>
          <w:tab w:val="left" w:pos="1985"/>
        </w:tabs>
        <w:spacing w:before="160"/>
        <w:ind w:left="794"/>
        <w:rPr>
          <w:rFonts w:cs="Calibri"/>
          <w:szCs w:val="24"/>
          <w:lang w:eastAsia="zh-CN"/>
        </w:rPr>
      </w:pPr>
      <w:r w:rsidRPr="00360C55">
        <w:rPr>
          <w:rFonts w:ascii="STKaiti" w:eastAsia="STKaiti" w:hAnsi="STKaiti" w:cs="Calibri"/>
          <w:szCs w:val="24"/>
          <w:lang w:eastAsia="zh-CN"/>
        </w:rPr>
        <w:t>责成秘书长和三个局的主任</w:t>
      </w:r>
    </w:p>
    <w:p w:rsidR="00C06B4B" w:rsidRPr="00360C55" w:rsidRDefault="00C06B4B" w:rsidP="005E18E1">
      <w:pPr>
        <w:tabs>
          <w:tab w:val="left" w:pos="794"/>
          <w:tab w:val="left" w:pos="1191"/>
          <w:tab w:val="left" w:pos="1588"/>
          <w:tab w:val="left" w:pos="1985"/>
        </w:tabs>
        <w:ind w:firstLineChars="200" w:firstLine="480"/>
        <w:rPr>
          <w:rFonts w:cs="Calibri"/>
          <w:lang w:eastAsia="zh-CN"/>
        </w:rPr>
      </w:pPr>
      <w:r w:rsidRPr="00360C55">
        <w:rPr>
          <w:rFonts w:cs="Calibri"/>
          <w:lang w:eastAsia="zh-CN"/>
        </w:rPr>
        <w:t>向理事会提供必要支持，以确保所有成员和与会者</w:t>
      </w:r>
      <w:r w:rsidR="005E18E1">
        <w:rPr>
          <w:rFonts w:cs="Calibri" w:hint="eastAsia"/>
          <w:lang w:eastAsia="zh-CN"/>
        </w:rPr>
        <w:t>均</w:t>
      </w:r>
      <w:r w:rsidRPr="00360C55">
        <w:rPr>
          <w:rFonts w:cs="Calibri"/>
          <w:lang w:eastAsia="zh-CN"/>
        </w:rPr>
        <w:t>有机会</w:t>
      </w:r>
      <w:r w:rsidR="005E18E1">
        <w:rPr>
          <w:rFonts w:cs="Calibri" w:hint="eastAsia"/>
          <w:lang w:eastAsia="zh-CN"/>
        </w:rPr>
        <w:t>针对</w:t>
      </w:r>
      <w:r w:rsidRPr="00360C55">
        <w:rPr>
          <w:rFonts w:cs="Calibri"/>
          <w:lang w:eastAsia="zh-CN"/>
        </w:rPr>
        <w:t>此项举措提供反馈，</w:t>
      </w:r>
    </w:p>
    <w:p w:rsidR="00C06B4B" w:rsidRPr="00360C55" w:rsidRDefault="00C06B4B" w:rsidP="00C06B4B">
      <w:pPr>
        <w:keepNext/>
        <w:keepLines/>
        <w:tabs>
          <w:tab w:val="left" w:pos="794"/>
          <w:tab w:val="left" w:pos="1191"/>
          <w:tab w:val="left" w:pos="1588"/>
          <w:tab w:val="left" w:pos="1985"/>
        </w:tabs>
        <w:spacing w:before="160"/>
        <w:ind w:left="794"/>
        <w:rPr>
          <w:rFonts w:ascii="STKaiti" w:eastAsia="STKaiti" w:hAnsi="STKaiti" w:cs="Calibri"/>
          <w:szCs w:val="24"/>
          <w:lang w:eastAsia="zh-CN"/>
        </w:rPr>
      </w:pPr>
      <w:r w:rsidRPr="00360C55">
        <w:rPr>
          <w:rFonts w:ascii="STKaiti" w:eastAsia="STKaiti" w:hAnsi="STKaiti" w:cs="Calibri"/>
          <w:szCs w:val="24"/>
          <w:lang w:eastAsia="zh-CN"/>
        </w:rPr>
        <w:t>请成员国、部门成员、部门准成员和学术成员</w:t>
      </w:r>
    </w:p>
    <w:p w:rsidR="00C06B4B" w:rsidRPr="00360C55" w:rsidRDefault="00C06B4B" w:rsidP="005E18E1">
      <w:pPr>
        <w:tabs>
          <w:tab w:val="left" w:pos="794"/>
          <w:tab w:val="left" w:pos="1191"/>
          <w:tab w:val="left" w:pos="1588"/>
          <w:tab w:val="left" w:pos="1985"/>
        </w:tabs>
        <w:ind w:firstLineChars="200" w:firstLine="480"/>
        <w:rPr>
          <w:rFonts w:cs="Calibri"/>
          <w:lang w:eastAsia="zh-CN"/>
        </w:rPr>
      </w:pPr>
      <w:r w:rsidRPr="00360C55">
        <w:rPr>
          <w:rFonts w:cs="Calibri"/>
          <w:lang w:eastAsia="zh-CN"/>
        </w:rPr>
        <w:t>参与</w:t>
      </w:r>
      <w:r w:rsidR="005E18E1">
        <w:rPr>
          <w:rFonts w:cs="Calibri" w:hint="eastAsia"/>
          <w:lang w:eastAsia="zh-CN"/>
        </w:rPr>
        <w:t>此</w:t>
      </w:r>
      <w:r w:rsidRPr="00360C55">
        <w:rPr>
          <w:rFonts w:cs="Calibri"/>
          <w:lang w:eastAsia="zh-CN"/>
        </w:rPr>
        <w:t>议题的磋商并不断提出意见。</w:t>
      </w:r>
    </w:p>
    <w:p w:rsidR="005E18E1" w:rsidRDefault="005E18E1" w:rsidP="0032202E">
      <w:pPr>
        <w:pStyle w:val="Reasons"/>
        <w:rPr>
          <w:lang w:eastAsia="zh-CN"/>
        </w:rPr>
      </w:pPr>
      <w:bookmarkStart w:id="8" w:name="_GoBack"/>
    </w:p>
    <w:bookmarkEnd w:id="8"/>
    <w:p w:rsidR="005E18E1" w:rsidRDefault="005E18E1">
      <w:pPr>
        <w:jc w:val="center"/>
      </w:pPr>
      <w:r>
        <w:t>______________</w:t>
      </w:r>
    </w:p>
    <w:p w:rsidR="00476923" w:rsidRPr="00C06B4B" w:rsidRDefault="00476923" w:rsidP="00231ABC">
      <w:pPr>
        <w:rPr>
          <w:lang w:eastAsia="zh-CN"/>
        </w:rPr>
      </w:pPr>
    </w:p>
    <w:sectPr w:rsidR="00476923" w:rsidRPr="00C06B4B"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B4B" w:rsidRDefault="00C06B4B">
      <w:r>
        <w:separator/>
      </w:r>
    </w:p>
  </w:endnote>
  <w:endnote w:type="continuationSeparator" w:id="0">
    <w:p w:rsidR="00C06B4B" w:rsidRDefault="00C0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907C4" w:rsidRDefault="005917D9">
    <w:pPr>
      <w:pStyle w:val="Footer"/>
      <w:rPr>
        <w:lang w:val="en-US"/>
      </w:rPr>
    </w:pPr>
    <w:fldSimple w:instr=" FILENAME \p \* MERGEFORMAT ">
      <w:r w:rsidR="005E18E1" w:rsidRPr="005E18E1">
        <w:rPr>
          <w:lang w:val="en-US"/>
        </w:rPr>
        <w:t>P:\CHI\SG\CONF-SG\PP14\000\053C.docx</w:t>
      </w:r>
    </w:fldSimple>
    <w:r w:rsidR="005E18E1">
      <w:rPr>
        <w:rFonts w:hint="eastAsia"/>
        <w:lang w:eastAsia="zh-CN"/>
      </w:rPr>
      <w:t xml:space="preserve"> (365523)</w:t>
    </w:r>
    <w:r w:rsidR="007B558F" w:rsidRPr="003907C4">
      <w:rPr>
        <w:lang w:val="en-US"/>
      </w:rPr>
      <w:tab/>
    </w:r>
    <w:r w:rsidR="005A6A1D">
      <w:fldChar w:fldCharType="begin"/>
    </w:r>
    <w:r w:rsidR="007B558F">
      <w:instrText xml:space="preserve"> savedate \@ dd.MM.yy </w:instrText>
    </w:r>
    <w:r w:rsidR="005A6A1D">
      <w:fldChar w:fldCharType="separate"/>
    </w:r>
    <w:r w:rsidR="00B72AF0">
      <w:t>07.07.14</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5E18E1">
      <w:t>07.07.14</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5917D9">
    <w:pPr>
      <w:pStyle w:val="Footer"/>
    </w:pPr>
    <w:fldSimple w:instr=" FILENAME \p \* MERGEFORMAT ">
      <w:r w:rsidR="005E18E1">
        <w:t>P:\CHI\SG\CONF-SG\PP14\000\053C.docx</w:t>
      </w:r>
    </w:fldSimple>
    <w:r>
      <w:rPr>
        <w:rFonts w:hint="eastAsia"/>
        <w:lang w:eastAsia="zh-CN"/>
      </w:rPr>
      <w:t xml:space="preserve"> (365523)</w:t>
    </w:r>
    <w:r w:rsidR="007B558F">
      <w:tab/>
    </w:r>
    <w:r w:rsidR="005A6A1D">
      <w:fldChar w:fldCharType="begin"/>
    </w:r>
    <w:r w:rsidR="007B558F">
      <w:instrText xml:space="preserve"> savedate \@ dd.MM.yy </w:instrText>
    </w:r>
    <w:r w:rsidR="005A6A1D">
      <w:fldChar w:fldCharType="separate"/>
    </w:r>
    <w:r w:rsidR="00B72AF0">
      <w:t>07.07.14</w:t>
    </w:r>
    <w:r w:rsidR="005A6A1D">
      <w:fldChar w:fldCharType="end"/>
    </w:r>
    <w:r w:rsidR="007B558F">
      <w:tab/>
    </w:r>
    <w:r w:rsidR="005A6A1D">
      <w:fldChar w:fldCharType="begin"/>
    </w:r>
    <w:r w:rsidR="007B558F">
      <w:instrText xml:space="preserve"> printdate \@ dd.MM.yy </w:instrText>
    </w:r>
    <w:r w:rsidR="005A6A1D">
      <w:fldChar w:fldCharType="separate"/>
    </w:r>
    <w:r w:rsidR="005E18E1">
      <w:t>07.07.14</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B4B" w:rsidRDefault="00C06B4B">
      <w:r>
        <w:t>____________________</w:t>
      </w:r>
    </w:p>
  </w:footnote>
  <w:footnote w:type="continuationSeparator" w:id="0">
    <w:p w:rsidR="00C06B4B" w:rsidRDefault="00C0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B72AF0">
      <w:rPr>
        <w:noProof/>
      </w:rPr>
      <w:t>3</w:t>
    </w:r>
    <w:r>
      <w:fldChar w:fldCharType="end"/>
    </w:r>
  </w:p>
  <w:p w:rsidR="00811D55" w:rsidRPr="00C710E5" w:rsidRDefault="00C06B4B" w:rsidP="00811D55">
    <w:pPr>
      <w:pStyle w:val="Header"/>
    </w:pPr>
    <w:r>
      <w:t>PP14/</w:t>
    </w:r>
    <w:r>
      <w:rPr>
        <w:rFonts w:hint="eastAsia"/>
        <w:lang w:eastAsia="zh-CN"/>
      </w:rPr>
      <w:t>53</w:t>
    </w:r>
    <w:r w:rsidR="00811D55">
      <w:t>-</w:t>
    </w:r>
    <w:r w:rsidR="00811D55"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57B6E"/>
    <w:rsid w:val="00076062"/>
    <w:rsid w:val="0009673E"/>
    <w:rsid w:val="000B5327"/>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17D9"/>
    <w:rsid w:val="00596A53"/>
    <w:rsid w:val="005A6A1D"/>
    <w:rsid w:val="005C1E39"/>
    <w:rsid w:val="005E18E1"/>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811D55"/>
    <w:rsid w:val="00814482"/>
    <w:rsid w:val="008160BF"/>
    <w:rsid w:val="008433E4"/>
    <w:rsid w:val="00850AEF"/>
    <w:rsid w:val="008726C7"/>
    <w:rsid w:val="008B44F5"/>
    <w:rsid w:val="008D3BE2"/>
    <w:rsid w:val="008D7300"/>
    <w:rsid w:val="008E4324"/>
    <w:rsid w:val="008E45D4"/>
    <w:rsid w:val="008E6AE7"/>
    <w:rsid w:val="008E6BC6"/>
    <w:rsid w:val="00904E65"/>
    <w:rsid w:val="00905B6A"/>
    <w:rsid w:val="00950E0F"/>
    <w:rsid w:val="0099173A"/>
    <w:rsid w:val="009A47A2"/>
    <w:rsid w:val="009C4B97"/>
    <w:rsid w:val="009D1E93"/>
    <w:rsid w:val="00A03693"/>
    <w:rsid w:val="00A23536"/>
    <w:rsid w:val="00A6085C"/>
    <w:rsid w:val="00A62DA7"/>
    <w:rsid w:val="00AA7BEE"/>
    <w:rsid w:val="00AD1198"/>
    <w:rsid w:val="00AD2C62"/>
    <w:rsid w:val="00AE49B9"/>
    <w:rsid w:val="00AF2F88"/>
    <w:rsid w:val="00B04E59"/>
    <w:rsid w:val="00B05785"/>
    <w:rsid w:val="00B11373"/>
    <w:rsid w:val="00B15AF8"/>
    <w:rsid w:val="00B1733E"/>
    <w:rsid w:val="00B23943"/>
    <w:rsid w:val="00B60A63"/>
    <w:rsid w:val="00B650EC"/>
    <w:rsid w:val="00B72AF0"/>
    <w:rsid w:val="00B96F78"/>
    <w:rsid w:val="00BA154E"/>
    <w:rsid w:val="00BA20B6"/>
    <w:rsid w:val="00BF720B"/>
    <w:rsid w:val="00C04511"/>
    <w:rsid w:val="00C06B4B"/>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link w:val="ProposalChar"/>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ref">
    <w:name w:val="href"/>
    <w:basedOn w:val="DefaultParagraphFont"/>
    <w:rsid w:val="00C06B4B"/>
    <w:rPr>
      <w:color w:val="auto"/>
    </w:rPr>
  </w:style>
  <w:style w:type="character" w:customStyle="1" w:styleId="ProposalChar">
    <w:name w:val="Proposal Char"/>
    <w:basedOn w:val="DefaultParagraphFont"/>
    <w:link w:val="Proposal"/>
    <w:locked/>
    <w:rsid w:val="00B72AF0"/>
    <w:rPr>
      <w:rFonts w:asciiTheme="minorHAnsi" w:eastAsia="SimSun" w:hAnsiTheme="minorHAnsi"/>
      <w:b/>
      <w:cap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link w:val="ProposalChar"/>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ref">
    <w:name w:val="href"/>
    <w:basedOn w:val="DefaultParagraphFont"/>
    <w:rsid w:val="00C06B4B"/>
    <w:rPr>
      <w:color w:val="auto"/>
    </w:rPr>
  </w:style>
  <w:style w:type="character" w:customStyle="1" w:styleId="ProposalChar">
    <w:name w:val="Proposal Char"/>
    <w:basedOn w:val="DefaultParagraphFont"/>
    <w:link w:val="Proposal"/>
    <w:locked/>
    <w:rsid w:val="00B72AF0"/>
    <w:rPr>
      <w:rFonts w:asciiTheme="minorHAnsi" w:eastAsia="SimSun" w:hAnsiTheme="minorHAnsi"/>
      <w:b/>
      <w:cap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1375</Words>
  <Characters>189</Characters>
  <Application>Microsoft Office Word</Application>
  <DocSecurity>0</DocSecurity>
  <Lines>1</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1561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IS / INFRASTRUCTURE</cp:lastModifiedBy>
  <cp:revision>3</cp:revision>
  <cp:lastPrinted>2014-07-07T14:33:00Z</cp:lastPrinted>
  <dcterms:created xsi:type="dcterms:W3CDTF">2014-07-07T14:17:00Z</dcterms:created>
  <dcterms:modified xsi:type="dcterms:W3CDTF">2014-10-04T17:24:00Z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