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bookmarkStart w:id="0" w:name="_GoBack"/>
            <w:bookmarkEnd w:id="0"/>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1" w:name="ditulogo"/>
            <w:bookmarkEnd w:id="1"/>
            <w:r w:rsidRPr="009F279B">
              <w:rPr>
                <w:rFonts w:asciiTheme="minorHAnsi" w:hAnsiTheme="minorHAnsi"/>
                <w:noProof/>
                <w:lang w:val="en-US" w:eastAsia="zh-CN" w:bidi="ar-SA"/>
              </w:rPr>
              <w:drawing>
                <wp:inline distT="0" distB="0" distL="0" distR="0" wp14:anchorId="307EC3AE" wp14:editId="0A25C7A6">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515BDB">
        <w:trPr>
          <w:cantSplit/>
        </w:trPr>
        <w:tc>
          <w:tcPr>
            <w:tcW w:w="6770"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119" w:type="dxa"/>
            <w:vAlign w:val="center"/>
          </w:tcPr>
          <w:p w:rsidR="009F279B" w:rsidRPr="00263B70" w:rsidRDefault="006A7C71" w:rsidP="005142CC">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5142CC">
              <w:rPr>
                <w:rFonts w:ascii="Calibri" w:hAnsi="Calibri"/>
                <w:sz w:val="22"/>
              </w:rPr>
              <w:t>43</w:t>
            </w:r>
            <w:r w:rsidRPr="00263B70">
              <w:rPr>
                <w:rFonts w:ascii="Calibri" w:hAnsi="Calibri"/>
                <w:sz w:val="22"/>
              </w:rPr>
              <w:t>-A</w:t>
            </w:r>
          </w:p>
        </w:tc>
      </w:tr>
      <w:tr w:rsidR="009F279B" w:rsidRPr="00263B70" w:rsidTr="00515BDB">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263B70" w:rsidRDefault="005142CC" w:rsidP="005142CC">
            <w:pPr>
              <w:pStyle w:val="Adress"/>
              <w:framePr w:hSpace="0" w:wrap="auto" w:xAlign="left" w:yAlign="inline"/>
              <w:spacing w:before="20" w:after="20" w:line="300" w:lineRule="exact"/>
              <w:rPr>
                <w:rFonts w:ascii="Calibri" w:hAnsi="Calibri" w:cstheme="minorHAnsi"/>
                <w:sz w:val="22"/>
                <w:rtl/>
              </w:rPr>
            </w:pPr>
            <w:r>
              <w:rPr>
                <w:rFonts w:ascii="Calibri" w:hAnsi="Calibri"/>
                <w:sz w:val="22"/>
              </w:rPr>
              <w:t>10</w:t>
            </w:r>
            <w:r w:rsidR="006A7C71" w:rsidRPr="00263B70">
              <w:rPr>
                <w:rFonts w:ascii="Calibri" w:hAnsi="Calibri" w:hint="cs"/>
                <w:sz w:val="22"/>
                <w:rtl/>
              </w:rPr>
              <w:t xml:space="preserve"> </w:t>
            </w:r>
            <w:r>
              <w:rPr>
                <w:rFonts w:ascii="Calibri" w:hAnsi="Calibri" w:hint="cs"/>
                <w:sz w:val="22"/>
                <w:rtl/>
              </w:rPr>
              <w:t>يونيو</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515BDB">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515BDB">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515BDB">
        <w:trPr>
          <w:cantSplit/>
        </w:trPr>
        <w:tc>
          <w:tcPr>
            <w:tcW w:w="9889" w:type="dxa"/>
            <w:gridSpan w:val="2"/>
          </w:tcPr>
          <w:p w:rsidR="009F279B" w:rsidRPr="007161E9" w:rsidRDefault="005142CC" w:rsidP="007161E9">
            <w:pPr>
              <w:pStyle w:val="Source"/>
              <w:framePr w:hSpace="0" w:wrap="auto" w:yAlign="inline"/>
              <w:rPr>
                <w:szCs w:val="28"/>
                <w:rtl/>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5142CC" w:rsidP="007161E9">
            <w:pPr>
              <w:pStyle w:val="Title1"/>
              <w:framePr w:hSpace="0" w:wrap="auto" w:yAlign="inline"/>
              <w:rPr>
                <w:szCs w:val="28"/>
                <w:rtl/>
                <w:lang w:bidi="ar-SY"/>
              </w:rPr>
            </w:pPr>
            <w:r>
              <w:rPr>
                <w:rFonts w:hint="cs"/>
                <w:rtl/>
              </w:rPr>
              <w:t xml:space="preserve">القرار </w:t>
            </w:r>
            <w:r>
              <w:t>4</w:t>
            </w:r>
            <w:r>
              <w:rPr>
                <w:rFonts w:hint="cs"/>
                <w:rtl/>
                <w:lang w:bidi="ar-SY"/>
              </w:rPr>
              <w:t xml:space="preserve"> (دبي، </w:t>
            </w:r>
            <w:r>
              <w:rPr>
                <w:lang w:bidi="ar-SY"/>
              </w:rPr>
              <w:t>2012</w:t>
            </w:r>
            <w:r>
              <w:rPr>
                <w:rFonts w:hint="cs"/>
                <w:rtl/>
                <w:lang w:bidi="ar-SY"/>
              </w:rPr>
              <w:t>)</w:t>
            </w:r>
          </w:p>
        </w:tc>
      </w:tr>
      <w:tr w:rsidR="009F279B" w:rsidRPr="009F279B" w:rsidTr="00515BDB">
        <w:trPr>
          <w:cantSplit/>
        </w:trPr>
        <w:tc>
          <w:tcPr>
            <w:tcW w:w="9889" w:type="dxa"/>
            <w:gridSpan w:val="2"/>
          </w:tcPr>
          <w:p w:rsidR="009F279B" w:rsidRPr="005142CC" w:rsidRDefault="005142CC" w:rsidP="005142CC">
            <w:pPr>
              <w:pStyle w:val="Title2"/>
              <w:framePr w:hSpace="0" w:wrap="auto" w:yAlign="inline"/>
              <w:rPr>
                <w:b/>
                <w:bCs/>
                <w:szCs w:val="28"/>
                <w:rtl/>
              </w:rPr>
            </w:pPr>
            <w:r w:rsidRPr="005142CC">
              <w:rPr>
                <w:rFonts w:hint="cs"/>
                <w:b/>
                <w:bCs/>
                <w:rtl/>
              </w:rPr>
              <w:t>الاستعراض الدوري للوائح الاتصالات الدولية</w:t>
            </w:r>
          </w:p>
        </w:tc>
      </w:tr>
      <w:tr w:rsidR="009F279B" w:rsidRPr="009F279B" w:rsidTr="00515BDB">
        <w:trPr>
          <w:cantSplit/>
        </w:trPr>
        <w:tc>
          <w:tcPr>
            <w:tcW w:w="9889" w:type="dxa"/>
            <w:gridSpan w:val="2"/>
          </w:tcPr>
          <w:p w:rsidR="009F279B" w:rsidRPr="009F279B" w:rsidRDefault="009F279B" w:rsidP="00B872A2">
            <w:pPr>
              <w:pStyle w:val="Title3"/>
              <w:framePr w:hSpace="0" w:wrap="auto" w:yAlign="inline"/>
            </w:pPr>
          </w:p>
        </w:tc>
      </w:tr>
    </w:tbl>
    <w:p w:rsidR="00E67692" w:rsidRPr="00515402" w:rsidRDefault="00515402" w:rsidP="00515402">
      <w:pPr>
        <w:rPr>
          <w:rtl/>
          <w:lang w:val="en-US" w:bidi="ar-SA"/>
        </w:rPr>
      </w:pPr>
      <w:r w:rsidRPr="00515402">
        <w:rPr>
          <w:rFonts w:hint="cs"/>
          <w:rtl/>
        </w:rPr>
        <w:t>اعتمد</w:t>
      </w:r>
      <w:r w:rsidRPr="00515402">
        <w:rPr>
          <w:rtl/>
          <w:lang w:val="en-US" w:bidi="ar-SA"/>
        </w:rPr>
        <w:t xml:space="preserve"> المؤتمر العالمي للاتصالات الدولية</w:t>
      </w:r>
      <w:r w:rsidR="00B13939">
        <w:rPr>
          <w:rFonts w:hint="cs"/>
          <w:rtl/>
          <w:lang w:val="en-US" w:bidi="ar-SA"/>
        </w:rPr>
        <w:t xml:space="preserve"> </w:t>
      </w:r>
      <w:r w:rsidR="00B13939">
        <w:rPr>
          <w:lang w:val="en-US" w:bidi="ar-SA"/>
        </w:rPr>
        <w:t>(WCIT-12)</w:t>
      </w:r>
      <w:r w:rsidRPr="00515402">
        <w:rPr>
          <w:rtl/>
          <w:lang w:val="en-US" w:bidi="ar-SA"/>
        </w:rPr>
        <w:t xml:space="preserve"> </w:t>
      </w:r>
      <w:r w:rsidRPr="00515402">
        <w:rPr>
          <w:rFonts w:hint="cs"/>
          <w:rtl/>
          <w:lang w:val="en-US" w:bidi="ar-SA"/>
        </w:rPr>
        <w:t>(دبي،</w:t>
      </w:r>
      <w:r w:rsidRPr="00515402">
        <w:rPr>
          <w:rtl/>
          <w:lang w:val="en-US" w:bidi="ar-SA"/>
        </w:rPr>
        <w:t xml:space="preserve"> </w:t>
      </w:r>
      <w:r w:rsidRPr="00515402">
        <w:rPr>
          <w:lang w:val="en-US" w:bidi="ar-SA"/>
        </w:rPr>
        <w:t>2012</w:t>
      </w:r>
      <w:r w:rsidRPr="00515402">
        <w:rPr>
          <w:rtl/>
          <w:lang w:val="en-US" w:bidi="ar-SA"/>
        </w:rPr>
        <w:t>)،</w:t>
      </w:r>
      <w:r w:rsidRPr="00515402">
        <w:rPr>
          <w:rFonts w:hint="cs"/>
          <w:rtl/>
          <w:lang w:val="en-US" w:bidi="ar-SA"/>
        </w:rPr>
        <w:t xml:space="preserve"> القرار </w:t>
      </w:r>
      <w:r w:rsidRPr="00515402">
        <w:rPr>
          <w:lang w:val="en-US" w:bidi="ar-SA"/>
        </w:rPr>
        <w:t>4</w:t>
      </w:r>
      <w:r w:rsidRPr="00515402">
        <w:rPr>
          <w:rFonts w:hint="cs"/>
          <w:rtl/>
          <w:lang w:val="en-US" w:bidi="ar-SA"/>
        </w:rPr>
        <w:t xml:space="preserve"> الخاص بالاستعراض الدوري للوائح الاتصالات الدولية وطلب رفعه إلى عناية مؤتمر المندوبين المفوضين.</w:t>
      </w:r>
    </w:p>
    <w:p w:rsidR="00515402" w:rsidRPr="00004C7A" w:rsidRDefault="00515402" w:rsidP="00CE168D">
      <w:pPr>
        <w:rPr>
          <w:rtl/>
          <w:lang w:bidi="ar-SA"/>
        </w:rPr>
      </w:pPr>
      <w:r w:rsidRPr="00515402">
        <w:rPr>
          <w:rtl/>
          <w:lang w:val="en-US" w:bidi="ar-SA"/>
        </w:rPr>
        <w:t xml:space="preserve">ويرد </w:t>
      </w:r>
      <w:r w:rsidRPr="00515402">
        <w:rPr>
          <w:rFonts w:hint="cs"/>
          <w:rtl/>
          <w:lang w:val="en-US" w:bidi="ar-SA"/>
        </w:rPr>
        <w:t xml:space="preserve">نص القرار </w:t>
      </w:r>
      <w:r w:rsidRPr="00515402">
        <w:rPr>
          <w:lang w:val="en-US" w:bidi="ar-SA"/>
        </w:rPr>
        <w:t>4</w:t>
      </w:r>
      <w:r w:rsidRPr="00515402">
        <w:rPr>
          <w:rFonts w:hint="cs"/>
          <w:rtl/>
          <w:lang w:val="en-US" w:bidi="ar-SA"/>
        </w:rPr>
        <w:t xml:space="preserve"> (دبي، </w:t>
      </w:r>
      <w:r w:rsidRPr="00515402">
        <w:rPr>
          <w:lang w:val="en-US" w:bidi="ar-SA"/>
        </w:rPr>
        <w:t>2012</w:t>
      </w:r>
      <w:r w:rsidRPr="00515402">
        <w:rPr>
          <w:rFonts w:hint="cs"/>
          <w:rtl/>
          <w:lang w:val="en-US" w:bidi="ar-SA"/>
        </w:rPr>
        <w:t xml:space="preserve">) </w:t>
      </w:r>
      <w:r w:rsidRPr="00515402">
        <w:rPr>
          <w:rtl/>
          <w:lang w:val="en-US" w:bidi="ar-SA"/>
        </w:rPr>
        <w:t>في الملحق بهذه الوثيقة</w:t>
      </w:r>
      <w:r w:rsidRPr="00515402">
        <w:rPr>
          <w:rFonts w:hint="cs"/>
          <w:rtl/>
          <w:lang w:val="en-US" w:bidi="ar-SA"/>
        </w:rPr>
        <w:t>.</w:t>
      </w:r>
    </w:p>
    <w:p w:rsidR="00E67692" w:rsidRDefault="00E67692" w:rsidP="00620BC1">
      <w:pPr>
        <w:spacing w:before="1440"/>
        <w:ind w:left="5103"/>
        <w:jc w:val="center"/>
        <w:rPr>
          <w:rtl/>
          <w:lang w:bidi="ar-SY"/>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515402" w:rsidRPr="00515402" w:rsidRDefault="00515402" w:rsidP="001F3993">
      <w:pPr>
        <w:spacing w:before="1440"/>
        <w:rPr>
          <w:rtl/>
          <w:lang w:val="en-US" w:bidi="ar-SY"/>
        </w:rPr>
      </w:pPr>
      <w:r w:rsidRPr="00515402">
        <w:rPr>
          <w:rFonts w:hint="cs"/>
          <w:b/>
          <w:bCs/>
          <w:rtl/>
        </w:rPr>
        <w:t>ال</w:t>
      </w:r>
      <w:r w:rsidR="00B13939">
        <w:rPr>
          <w:rFonts w:hint="cs"/>
          <w:b/>
          <w:bCs/>
          <w:rtl/>
        </w:rPr>
        <w:t>‍</w:t>
      </w:r>
      <w:r w:rsidRPr="00515402">
        <w:rPr>
          <w:rFonts w:hint="cs"/>
          <w:b/>
          <w:bCs/>
          <w:rtl/>
        </w:rPr>
        <w:t xml:space="preserve">ملحقات: </w:t>
      </w:r>
      <w:r>
        <w:rPr>
          <w:lang w:val="en-US"/>
        </w:rPr>
        <w:t>1</w:t>
      </w:r>
    </w:p>
    <w:p w:rsidR="00324C72" w:rsidRDefault="00324C72" w:rsidP="00324C72">
      <w:pPr>
        <w:spacing w:before="1440"/>
        <w:jc w:val="left"/>
        <w:rPr>
          <w:rtl/>
        </w:rPr>
      </w:pPr>
      <w:r>
        <w:rPr>
          <w:rtl/>
        </w:rPr>
        <w:br w:type="page"/>
      </w:r>
    </w:p>
    <w:p w:rsidR="00515402" w:rsidRPr="00515402" w:rsidRDefault="00515402" w:rsidP="00B872A2">
      <w:pPr>
        <w:pStyle w:val="AnnexNo"/>
        <w:rPr>
          <w:rtl/>
        </w:rPr>
      </w:pPr>
      <w:bookmarkStart w:id="2" w:name="_Toc352859831"/>
      <w:bookmarkStart w:id="3" w:name="_Toc352860173"/>
      <w:bookmarkStart w:id="4" w:name="_Toc352860534"/>
      <w:bookmarkStart w:id="5" w:name="_Toc352919519"/>
      <w:r w:rsidRPr="00515402">
        <w:rPr>
          <w:rFonts w:hint="cs"/>
          <w:rtl/>
        </w:rPr>
        <w:lastRenderedPageBreak/>
        <w:t>ال</w:t>
      </w:r>
      <w:r w:rsidR="00B13939">
        <w:rPr>
          <w:rFonts w:hint="cs"/>
          <w:rtl/>
        </w:rPr>
        <w:t>‍</w:t>
      </w:r>
      <w:r w:rsidRPr="00515402">
        <w:rPr>
          <w:rFonts w:hint="cs"/>
          <w:rtl/>
        </w:rPr>
        <w:t>ملح</w:t>
      </w:r>
      <w:r w:rsidR="00B13939">
        <w:rPr>
          <w:rFonts w:hint="cs"/>
          <w:rtl/>
        </w:rPr>
        <w:t>ـ</w:t>
      </w:r>
      <w:r w:rsidRPr="00515402">
        <w:rPr>
          <w:rFonts w:hint="cs"/>
          <w:rtl/>
        </w:rPr>
        <w:t>ق</w:t>
      </w:r>
    </w:p>
    <w:p w:rsidR="00515402" w:rsidRPr="00515402" w:rsidRDefault="00515402" w:rsidP="00B872A2">
      <w:pPr>
        <w:pStyle w:val="ResNo"/>
        <w:rPr>
          <w:rtl/>
        </w:rPr>
      </w:pPr>
      <w:r w:rsidRPr="00515402">
        <w:rPr>
          <w:rFonts w:hint="cs"/>
          <w:rtl/>
        </w:rPr>
        <w:t xml:space="preserve">القرار </w:t>
      </w:r>
      <w:r w:rsidRPr="00515402">
        <w:rPr>
          <w:lang w:bidi="ar-SA"/>
        </w:rPr>
        <w:t>4</w:t>
      </w:r>
      <w:r w:rsidRPr="00515402">
        <w:rPr>
          <w:rFonts w:hint="cs"/>
          <w:rtl/>
        </w:rPr>
        <w:t xml:space="preserve"> (دبي، </w:t>
      </w:r>
      <w:r w:rsidRPr="00515402">
        <w:rPr>
          <w:lang w:bidi="ar-SA"/>
        </w:rPr>
        <w:t>2012</w:t>
      </w:r>
      <w:r w:rsidRPr="00515402">
        <w:rPr>
          <w:rFonts w:hint="cs"/>
          <w:rtl/>
        </w:rPr>
        <w:t>)</w:t>
      </w:r>
      <w:bookmarkEnd w:id="2"/>
      <w:bookmarkEnd w:id="3"/>
      <w:bookmarkEnd w:id="4"/>
      <w:bookmarkEnd w:id="5"/>
    </w:p>
    <w:p w:rsidR="00515402" w:rsidRPr="00515402" w:rsidRDefault="00515402" w:rsidP="00B872A2">
      <w:pPr>
        <w:pStyle w:val="Restitle"/>
        <w:rPr>
          <w:rtl/>
        </w:rPr>
      </w:pPr>
      <w:r w:rsidRPr="00515402">
        <w:rPr>
          <w:rFonts w:hint="cs"/>
          <w:rtl/>
        </w:rPr>
        <w:t>الاستعراض الدوري للوائح الاتصالات الدولية</w:t>
      </w:r>
    </w:p>
    <w:p w:rsidR="00515402" w:rsidRPr="00515402" w:rsidRDefault="00515402" w:rsidP="00B872A2">
      <w:pPr>
        <w:pStyle w:val="Normalaftertitle"/>
        <w:rPr>
          <w:rtl/>
        </w:rPr>
      </w:pPr>
      <w:r w:rsidRPr="00515402">
        <w:rPr>
          <w:rtl/>
        </w:rPr>
        <w:t xml:space="preserve">إن المؤتمر العالمي للاتصالات الدولية </w:t>
      </w:r>
      <w:r w:rsidRPr="00515402">
        <w:rPr>
          <w:rFonts w:hint="cs"/>
          <w:rtl/>
        </w:rPr>
        <w:t>(دبي،</w:t>
      </w:r>
      <w:r w:rsidRPr="00515402">
        <w:rPr>
          <w:rtl/>
        </w:rPr>
        <w:t xml:space="preserve"> </w:t>
      </w:r>
      <w:r w:rsidRPr="00515402">
        <w:t>2012</w:t>
      </w:r>
      <w:r w:rsidRPr="00515402">
        <w:rPr>
          <w:rtl/>
        </w:rPr>
        <w:t>)،</w:t>
      </w:r>
    </w:p>
    <w:p w:rsidR="00515402" w:rsidRPr="00515402" w:rsidRDefault="00515402" w:rsidP="00B872A2">
      <w:pPr>
        <w:pStyle w:val="Call"/>
        <w:rPr>
          <w:rtl/>
        </w:rPr>
      </w:pPr>
      <w:r w:rsidRPr="00515402">
        <w:rPr>
          <w:rFonts w:hint="cs"/>
          <w:rtl/>
        </w:rPr>
        <w:t>إذ يُذكّر</w:t>
      </w:r>
    </w:p>
    <w:p w:rsidR="00515402" w:rsidRPr="00515402" w:rsidRDefault="00515402" w:rsidP="00B872A2">
      <w:pPr>
        <w:rPr>
          <w:rtl/>
        </w:rPr>
      </w:pPr>
      <w:r w:rsidRPr="00515402">
        <w:rPr>
          <w:rFonts w:hint="cs"/>
          <w:rtl/>
        </w:rPr>
        <w:t>بالقرار</w:t>
      </w:r>
      <w:r w:rsidR="00B872A2">
        <w:rPr>
          <w:rFonts w:hint="cs"/>
          <w:rtl/>
        </w:rPr>
        <w:t xml:space="preserve"> </w:t>
      </w:r>
      <w:r w:rsidRPr="00515402">
        <w:t>171</w:t>
      </w:r>
      <w:r w:rsidRPr="00515402">
        <w:rPr>
          <w:rFonts w:hint="cs"/>
          <w:rtl/>
        </w:rPr>
        <w:t xml:space="preserve"> (غوادالاخارا،</w:t>
      </w:r>
      <w:r w:rsidR="00B872A2">
        <w:rPr>
          <w:rFonts w:hint="cs"/>
          <w:rtl/>
        </w:rPr>
        <w:t xml:space="preserve"> </w:t>
      </w:r>
      <w:r w:rsidRPr="00515402">
        <w:t>2010</w:t>
      </w:r>
      <w:r w:rsidRPr="00515402">
        <w:rPr>
          <w:rFonts w:hint="cs"/>
          <w:rtl/>
        </w:rPr>
        <w:t xml:space="preserve">) لمؤتمر المندوبين المفوضين، بشأن الأعمال التحضيرية لهذا المؤتمر </w:t>
      </w:r>
      <w:r w:rsidRPr="00515402">
        <w:t>(WCIT)</w:t>
      </w:r>
      <w:r w:rsidRPr="00515402">
        <w:rPr>
          <w:rFonts w:hint="cs"/>
          <w:rtl/>
        </w:rPr>
        <w:t xml:space="preserve"> لعام </w:t>
      </w:r>
      <w:r w:rsidRPr="00515402">
        <w:t>2012</w:t>
      </w:r>
      <w:r w:rsidRPr="00515402">
        <w:rPr>
          <w:rFonts w:hint="cs"/>
          <w:rtl/>
        </w:rPr>
        <w:t xml:space="preserve"> بخصوص لوائح الاتصالات الدولية</w:t>
      </w:r>
      <w:r w:rsidRPr="00515402">
        <w:rPr>
          <w:rFonts w:hint="eastAsia"/>
          <w:rtl/>
        </w:rPr>
        <w:t> </w:t>
      </w:r>
      <w:r w:rsidRPr="00515402">
        <w:t>(ITR)</w:t>
      </w:r>
      <w:r w:rsidRPr="00515402">
        <w:rPr>
          <w:rFonts w:hint="cs"/>
          <w:rtl/>
        </w:rPr>
        <w:t>،</w:t>
      </w:r>
    </w:p>
    <w:p w:rsidR="00515402" w:rsidRPr="00515402" w:rsidRDefault="00515402" w:rsidP="00B872A2">
      <w:pPr>
        <w:pStyle w:val="Call"/>
        <w:rPr>
          <w:rtl/>
        </w:rPr>
      </w:pPr>
      <w:r w:rsidRPr="00515402">
        <w:rPr>
          <w:rFonts w:hint="cs"/>
          <w:rtl/>
        </w:rPr>
        <w:t>و</w:t>
      </w:r>
      <w:r w:rsidRPr="00515402">
        <w:rPr>
          <w:rtl/>
        </w:rPr>
        <w:t xml:space="preserve">إذ </w:t>
      </w:r>
      <w:r w:rsidRPr="00515402">
        <w:rPr>
          <w:rFonts w:hint="cs"/>
          <w:rtl/>
        </w:rPr>
        <w:t>يضع في اعتباره</w:t>
      </w:r>
    </w:p>
    <w:p w:rsidR="00515402" w:rsidRPr="00515402" w:rsidRDefault="00515402" w:rsidP="00B872A2">
      <w:pPr>
        <w:rPr>
          <w:rtl/>
        </w:rPr>
      </w:pPr>
      <w:r w:rsidRPr="00515402">
        <w:rPr>
          <w:rFonts w:hint="cs"/>
          <w:i/>
          <w:iCs/>
          <w:rtl/>
        </w:rPr>
        <w:t xml:space="preserve"> أ )</w:t>
      </w:r>
      <w:r w:rsidRPr="00515402">
        <w:rPr>
          <w:rFonts w:hint="cs"/>
          <w:rtl/>
        </w:rPr>
        <w:tab/>
        <w:t>أن فريق العمل التابع لمجلس الاتحاد المعني بالتحضير للمؤتمر العالمي للاتصالات الدولية لعام</w:t>
      </w:r>
      <w:r w:rsidRPr="00515402">
        <w:rPr>
          <w:rFonts w:hint="eastAsia"/>
          <w:rtl/>
        </w:rPr>
        <w:t> </w:t>
      </w:r>
      <w:r w:rsidRPr="00515402">
        <w:t>2012</w:t>
      </w:r>
      <w:r w:rsidRPr="00515402">
        <w:rPr>
          <w:rFonts w:hint="eastAsia"/>
          <w:rtl/>
        </w:rPr>
        <w:t> </w:t>
      </w:r>
      <w:r w:rsidRPr="00515402">
        <w:t>(WCIT</w:t>
      </w:r>
      <w:r w:rsidR="00B872A2">
        <w:noBreakHyphen/>
      </w:r>
      <w:r w:rsidRPr="00515402">
        <w:t>12)</w:t>
      </w:r>
      <w:r w:rsidRPr="00515402">
        <w:rPr>
          <w:rFonts w:hint="cs"/>
          <w:rtl/>
        </w:rPr>
        <w:t xml:space="preserve"> أجرى مناقشات مستفيضة بشأن لوائح الاتصالات الدولية؛</w:t>
      </w:r>
    </w:p>
    <w:p w:rsidR="00515402" w:rsidRPr="00515402" w:rsidRDefault="00515402" w:rsidP="00B872A2">
      <w:pPr>
        <w:rPr>
          <w:rtl/>
        </w:rPr>
      </w:pPr>
      <w:r w:rsidRPr="00515402">
        <w:rPr>
          <w:rFonts w:hint="cs"/>
          <w:i/>
          <w:iCs/>
          <w:rtl/>
        </w:rPr>
        <w:t>ب)</w:t>
      </w:r>
      <w:r w:rsidRPr="00515402">
        <w:rPr>
          <w:rFonts w:hint="cs"/>
          <w:i/>
          <w:iCs/>
          <w:rtl/>
        </w:rPr>
        <w:tab/>
      </w:r>
      <w:r w:rsidRPr="00515402">
        <w:rPr>
          <w:rFonts w:hint="cs"/>
          <w:rtl/>
        </w:rPr>
        <w:t>أن جميع مناطق الاتحاد شهدت مشاورات موسعة، شاركت فيها الدول الأعضاء في الاتحاد وأعضاء قطاعات الاتحاد والمنتسبين إليه والهيئات الأكاديمية ومجموعات من المجتمع المدني، مما أظهر اهتماماً بالغاً بمراجعة لوائح الاتصالات الدولية؛</w:t>
      </w:r>
    </w:p>
    <w:p w:rsidR="00515402" w:rsidRPr="00515402" w:rsidRDefault="00515402" w:rsidP="00B872A2">
      <w:pPr>
        <w:rPr>
          <w:rtl/>
        </w:rPr>
      </w:pPr>
      <w:r w:rsidRPr="00515402">
        <w:rPr>
          <w:rFonts w:hint="cs"/>
          <w:i/>
          <w:iCs/>
          <w:rtl/>
        </w:rPr>
        <w:t>ج)</w:t>
      </w:r>
      <w:r w:rsidRPr="00515402">
        <w:rPr>
          <w:rFonts w:hint="cs"/>
          <w:i/>
          <w:iCs/>
          <w:rtl/>
        </w:rPr>
        <w:tab/>
      </w:r>
      <w:r w:rsidRPr="00515402">
        <w:rPr>
          <w:rFonts w:hint="cs"/>
          <w:rtl/>
        </w:rPr>
        <w:t>أن الكثير من وثائق المدخلات قد تقدم بها أعضاء الاتحاد؛</w:t>
      </w:r>
    </w:p>
    <w:p w:rsidR="00515402" w:rsidRPr="00515402" w:rsidRDefault="00515402" w:rsidP="00B872A2">
      <w:pPr>
        <w:rPr>
          <w:rtl/>
        </w:rPr>
      </w:pPr>
      <w:r w:rsidRPr="00515402">
        <w:rPr>
          <w:rFonts w:hint="cs"/>
          <w:i/>
          <w:iCs/>
          <w:rtl/>
        </w:rPr>
        <w:t>د )</w:t>
      </w:r>
      <w:r w:rsidRPr="00515402">
        <w:rPr>
          <w:rFonts w:hint="cs"/>
          <w:i/>
          <w:iCs/>
          <w:rtl/>
        </w:rPr>
        <w:tab/>
      </w:r>
      <w:r w:rsidRPr="00515402">
        <w:rPr>
          <w:rFonts w:hint="cs"/>
          <w:rtl/>
        </w:rPr>
        <w:t>نتائج هذا المؤتمر،</w:t>
      </w:r>
    </w:p>
    <w:p w:rsidR="00515402" w:rsidRPr="00515402" w:rsidRDefault="00515402" w:rsidP="00B872A2">
      <w:pPr>
        <w:pStyle w:val="Call"/>
        <w:rPr>
          <w:rtl/>
        </w:rPr>
      </w:pPr>
      <w:r w:rsidRPr="00515402">
        <w:rPr>
          <w:rFonts w:hint="cs"/>
          <w:rtl/>
        </w:rPr>
        <w:t>و</w:t>
      </w:r>
      <w:r w:rsidRPr="00515402">
        <w:rPr>
          <w:rtl/>
        </w:rPr>
        <w:t xml:space="preserve">إذ </w:t>
      </w:r>
      <w:r w:rsidRPr="00515402">
        <w:rPr>
          <w:rFonts w:hint="cs"/>
          <w:rtl/>
        </w:rPr>
        <w:t>يأخذ بعين الاعتبار</w:t>
      </w:r>
    </w:p>
    <w:p w:rsidR="00515402" w:rsidRPr="00515402" w:rsidRDefault="00515402" w:rsidP="00B872A2">
      <w:pPr>
        <w:rPr>
          <w:rtl/>
          <w:lang w:bidi="ar-SY"/>
        </w:rPr>
      </w:pPr>
      <w:r w:rsidRPr="00515402">
        <w:rPr>
          <w:rFonts w:hint="cs"/>
          <w:i/>
          <w:iCs/>
          <w:rtl/>
          <w:lang w:bidi="ar-SA"/>
        </w:rPr>
        <w:t xml:space="preserve"> أ )</w:t>
      </w:r>
      <w:r w:rsidRPr="00515402">
        <w:rPr>
          <w:rFonts w:hint="cs"/>
          <w:rtl/>
          <w:lang w:bidi="ar-SA"/>
        </w:rPr>
        <w:tab/>
        <w:t xml:space="preserve">المادتين </w:t>
      </w:r>
      <w:r w:rsidRPr="00515402">
        <w:rPr>
          <w:lang w:bidi="ar-SA"/>
        </w:rPr>
        <w:t>13</w:t>
      </w:r>
      <w:r w:rsidRPr="00515402">
        <w:rPr>
          <w:rFonts w:hint="cs"/>
          <w:rtl/>
        </w:rPr>
        <w:t xml:space="preserve"> و</w:t>
      </w:r>
      <w:r w:rsidRPr="00515402">
        <w:rPr>
          <w:lang w:bidi="ar-SA"/>
        </w:rPr>
        <w:t>25</w:t>
      </w:r>
      <w:r w:rsidRPr="00515402">
        <w:rPr>
          <w:rFonts w:hint="cs"/>
          <w:rtl/>
          <w:lang w:bidi="ar-SY"/>
        </w:rPr>
        <w:t xml:space="preserve"> من دستور الاتحاد الدولي للاتصالات؛</w:t>
      </w:r>
    </w:p>
    <w:p w:rsidR="00515402" w:rsidRPr="00515402" w:rsidRDefault="00515402" w:rsidP="00B872A2">
      <w:pPr>
        <w:rPr>
          <w:rtl/>
          <w:lang w:bidi="ar-SY"/>
        </w:rPr>
      </w:pPr>
      <w:r w:rsidRPr="00515402">
        <w:rPr>
          <w:rFonts w:hint="cs"/>
          <w:rtl/>
          <w:lang w:bidi="ar-SY"/>
        </w:rPr>
        <w:t>ب)</w:t>
      </w:r>
      <w:r w:rsidRPr="00515402">
        <w:rPr>
          <w:rFonts w:hint="cs"/>
          <w:rtl/>
          <w:lang w:bidi="ar-SY"/>
        </w:rPr>
        <w:tab/>
        <w:t>الحكم</w:t>
      </w:r>
      <w:r w:rsidR="00B872A2">
        <w:rPr>
          <w:rFonts w:hint="eastAsia"/>
          <w:rtl/>
          <w:lang w:bidi="ar-SY"/>
        </w:rPr>
        <w:t> </w:t>
      </w:r>
      <w:r w:rsidRPr="00515402">
        <w:rPr>
          <w:lang w:bidi="ar-SA"/>
        </w:rPr>
        <w:t>48</w:t>
      </w:r>
      <w:r w:rsidRPr="00515402">
        <w:rPr>
          <w:rFonts w:hint="cs"/>
          <w:rtl/>
          <w:lang w:bidi="ar-SY"/>
        </w:rPr>
        <w:t xml:space="preserve"> (المادة </w:t>
      </w:r>
      <w:r w:rsidRPr="00515402">
        <w:rPr>
          <w:lang w:bidi="ar-SA"/>
        </w:rPr>
        <w:t>3</w:t>
      </w:r>
      <w:r w:rsidRPr="00515402">
        <w:rPr>
          <w:rFonts w:hint="cs"/>
          <w:rtl/>
          <w:lang w:bidi="ar-SY"/>
        </w:rPr>
        <w:t>) من اتفاقية الاتحاد الدولي للاتصالات؛</w:t>
      </w:r>
    </w:p>
    <w:p w:rsidR="00515402" w:rsidRPr="00515402" w:rsidRDefault="00515402" w:rsidP="00B872A2">
      <w:pPr>
        <w:rPr>
          <w:rtl/>
          <w:lang w:bidi="ar-SA"/>
        </w:rPr>
      </w:pPr>
      <w:r w:rsidRPr="00515402">
        <w:rPr>
          <w:rFonts w:hint="cs"/>
          <w:i/>
          <w:iCs/>
          <w:rtl/>
          <w:lang w:bidi="ar-SA"/>
        </w:rPr>
        <w:t>ج)</w:t>
      </w:r>
      <w:r w:rsidRPr="00515402">
        <w:rPr>
          <w:rFonts w:hint="cs"/>
          <w:rtl/>
          <w:lang w:bidi="ar-SA"/>
        </w:rPr>
        <w:tab/>
        <w:t>أن لوائح الاتصالات الدولية هي من بين الركائز الداعمة لمهمة الاتحاد</w:t>
      </w:r>
      <w:r w:rsidRPr="00515402">
        <w:rPr>
          <w:rtl/>
          <w:lang w:bidi="ar-SA"/>
        </w:rPr>
        <w:t>؛</w:t>
      </w:r>
    </w:p>
    <w:p w:rsidR="00515402" w:rsidRPr="00515402" w:rsidRDefault="00515402" w:rsidP="00B872A2">
      <w:pPr>
        <w:rPr>
          <w:rtl/>
          <w:lang w:bidi="ar-SA"/>
        </w:rPr>
      </w:pPr>
      <w:r w:rsidRPr="00515402">
        <w:rPr>
          <w:rFonts w:hint="cs"/>
          <w:i/>
          <w:iCs/>
          <w:rtl/>
          <w:lang w:bidi="ar-SY"/>
        </w:rPr>
        <w:t xml:space="preserve">د </w:t>
      </w:r>
      <w:r w:rsidRPr="00515402">
        <w:rPr>
          <w:rFonts w:hint="cs"/>
          <w:i/>
          <w:iCs/>
          <w:rtl/>
          <w:lang w:bidi="ar-SA"/>
        </w:rPr>
        <w:t>)</w:t>
      </w:r>
      <w:r w:rsidRPr="00515402">
        <w:rPr>
          <w:rFonts w:hint="cs"/>
          <w:rtl/>
          <w:lang w:bidi="ar-SA"/>
        </w:rPr>
        <w:tab/>
        <w:t xml:space="preserve">أن </w:t>
      </w:r>
      <w:r w:rsidRPr="00515402">
        <w:rPr>
          <w:lang w:bidi="ar-SA"/>
        </w:rPr>
        <w:t>24</w:t>
      </w:r>
      <w:r w:rsidRPr="00515402">
        <w:rPr>
          <w:rFonts w:hint="cs"/>
          <w:rtl/>
          <w:lang w:bidi="ar-SA"/>
        </w:rPr>
        <w:t xml:space="preserve"> سنة قد مضت بين اعتماد لوائح الاتصالات الدولية ومراجعتها في هذا المؤتمر؛</w:t>
      </w:r>
    </w:p>
    <w:p w:rsidR="00515402" w:rsidRPr="00515402" w:rsidRDefault="00515402" w:rsidP="00B872A2">
      <w:pPr>
        <w:rPr>
          <w:rtl/>
          <w:lang w:bidi="ar-SA"/>
        </w:rPr>
      </w:pPr>
      <w:r w:rsidRPr="00515402">
        <w:rPr>
          <w:rFonts w:hint="cs"/>
          <w:i/>
          <w:iCs/>
          <w:rtl/>
          <w:lang w:bidi="ar-SA"/>
        </w:rPr>
        <w:t>ﻫ )</w:t>
      </w:r>
      <w:r w:rsidRPr="00515402">
        <w:rPr>
          <w:rFonts w:hint="cs"/>
          <w:i/>
          <w:iCs/>
          <w:rtl/>
          <w:lang w:bidi="ar-SA"/>
        </w:rPr>
        <w:tab/>
      </w:r>
      <w:r w:rsidRPr="00515402">
        <w:rPr>
          <w:rFonts w:hint="cs"/>
          <w:rtl/>
          <w:lang w:bidi="ar-SA"/>
        </w:rPr>
        <w:t>أن لوائح الاتصالات الدولية تتضمن مبادئ توجيهية رفيعة المستوى ينبغي ألا تتطلب إجراء تعديلات على فترات زمنية متقاربة</w:t>
      </w:r>
      <w:r w:rsidRPr="00515402">
        <w:rPr>
          <w:rFonts w:hint="cs"/>
          <w:rtl/>
        </w:rPr>
        <w:t>، إلا أن طبيعة قطاع الاتصالات/تكنولوجيا المعلومات والاتصالات سريع الحركة قد تقتضي استعراضها بصورة</w:t>
      </w:r>
      <w:r w:rsidRPr="00515402">
        <w:rPr>
          <w:rFonts w:hint="eastAsia"/>
          <w:rtl/>
        </w:rPr>
        <w:t> </w:t>
      </w:r>
      <w:r w:rsidRPr="00515402">
        <w:rPr>
          <w:rFonts w:hint="cs"/>
          <w:rtl/>
        </w:rPr>
        <w:t>دورية</w:t>
      </w:r>
      <w:r w:rsidRPr="00515402">
        <w:rPr>
          <w:rtl/>
          <w:lang w:bidi="ar-SA"/>
        </w:rPr>
        <w:t>،</w:t>
      </w:r>
    </w:p>
    <w:p w:rsidR="00515402" w:rsidRPr="00515402" w:rsidRDefault="00515402" w:rsidP="00B872A2">
      <w:pPr>
        <w:pStyle w:val="Call"/>
        <w:rPr>
          <w:rtl/>
        </w:rPr>
      </w:pPr>
      <w:r w:rsidRPr="00515402">
        <w:rPr>
          <w:rtl/>
        </w:rPr>
        <w:t>وإذ يلاحظ</w:t>
      </w:r>
    </w:p>
    <w:p w:rsidR="00515402" w:rsidRPr="00515402" w:rsidRDefault="00515402" w:rsidP="00B872A2">
      <w:pPr>
        <w:rPr>
          <w:rtl/>
        </w:rPr>
      </w:pPr>
      <w:r w:rsidRPr="00515402">
        <w:rPr>
          <w:rFonts w:hint="cs"/>
          <w:i/>
          <w:iCs/>
          <w:rtl/>
        </w:rPr>
        <w:t xml:space="preserve"> أ )</w:t>
      </w:r>
      <w:r w:rsidRPr="00515402">
        <w:rPr>
          <w:rFonts w:hint="cs"/>
          <w:i/>
          <w:iCs/>
          <w:rtl/>
        </w:rPr>
        <w:tab/>
      </w:r>
      <w:r w:rsidRPr="00515402">
        <w:rPr>
          <w:rFonts w:hint="cs"/>
          <w:rtl/>
        </w:rPr>
        <w:t>تزايد التطور التكنولوجي للخدمات التي تتطلب عرض نطاق كبيراً والطلب عليها باستمرار؛</w:t>
      </w:r>
    </w:p>
    <w:p w:rsidR="00515402" w:rsidRPr="00515402" w:rsidRDefault="00515402" w:rsidP="00B872A2">
      <w:pPr>
        <w:rPr>
          <w:rtl/>
        </w:rPr>
      </w:pPr>
      <w:r w:rsidRPr="00515402">
        <w:rPr>
          <w:rFonts w:hint="cs"/>
          <w:i/>
          <w:iCs/>
          <w:rtl/>
        </w:rPr>
        <w:t>ب)</w:t>
      </w:r>
      <w:r w:rsidRPr="00515402">
        <w:rPr>
          <w:rFonts w:hint="cs"/>
          <w:rtl/>
        </w:rPr>
        <w:tab/>
        <w:t>أن لوائح الاتصالات الدولية:</w:t>
      </w:r>
    </w:p>
    <w:p w:rsidR="00515402" w:rsidRPr="00515402" w:rsidRDefault="00B872A2" w:rsidP="00B872A2">
      <w:pPr>
        <w:pStyle w:val="enumlev2"/>
        <w:rPr>
          <w:rtl/>
        </w:rPr>
      </w:pPr>
      <w:r>
        <w:t>'</w:t>
      </w:r>
      <w:r w:rsidR="00515402" w:rsidRPr="00515402">
        <w:rPr>
          <w:lang w:bidi="ar-SA"/>
        </w:rPr>
        <w:t>1</w:t>
      </w:r>
      <w:r>
        <w:t>'</w:t>
      </w:r>
      <w:r w:rsidR="00515402" w:rsidRPr="00515402">
        <w:rPr>
          <w:rFonts w:hint="cs"/>
          <w:rtl/>
          <w:lang w:bidi="ar-SA"/>
        </w:rPr>
        <w:tab/>
      </w:r>
      <w:r w:rsidR="00515402" w:rsidRPr="00515402">
        <w:rPr>
          <w:rFonts w:hint="cs"/>
          <w:rtl/>
        </w:rPr>
        <w:t>ترسي مبادئ عامة بشأن توفير الاتصالات الدولية وتشغيلها؛</w:t>
      </w:r>
    </w:p>
    <w:p w:rsidR="00515402" w:rsidRPr="00515402" w:rsidRDefault="00B872A2" w:rsidP="00B872A2">
      <w:pPr>
        <w:pStyle w:val="enumlev2"/>
        <w:rPr>
          <w:rtl/>
          <w:lang w:bidi="ar-SY"/>
        </w:rPr>
      </w:pPr>
      <w:r>
        <w:t>'</w:t>
      </w:r>
      <w:r w:rsidR="00515402" w:rsidRPr="00515402">
        <w:rPr>
          <w:lang w:bidi="ar-SA"/>
        </w:rPr>
        <w:t>2</w:t>
      </w:r>
      <w:r>
        <w:t>'</w:t>
      </w:r>
      <w:r w:rsidR="00515402" w:rsidRPr="00515402">
        <w:rPr>
          <w:rFonts w:hint="cs"/>
          <w:rtl/>
        </w:rPr>
        <w:tab/>
        <w:t>تسهل التوصيل البيني وقابلية التشغيل البيني على الصعيد العالمي</w:t>
      </w:r>
      <w:r w:rsidR="00515402" w:rsidRPr="00515402">
        <w:rPr>
          <w:rFonts w:hint="cs"/>
          <w:rtl/>
          <w:lang w:bidi="ar-SY"/>
        </w:rPr>
        <w:t>؛</w:t>
      </w:r>
    </w:p>
    <w:p w:rsidR="00515402" w:rsidRPr="00515402" w:rsidRDefault="00B872A2" w:rsidP="00B872A2">
      <w:pPr>
        <w:pStyle w:val="enumlev2"/>
        <w:rPr>
          <w:rtl/>
        </w:rPr>
      </w:pPr>
      <w:r>
        <w:t>'</w:t>
      </w:r>
      <w:r w:rsidR="00515402" w:rsidRPr="00515402">
        <w:rPr>
          <w:lang w:bidi="ar-SA"/>
        </w:rPr>
        <w:t>3</w:t>
      </w:r>
      <w:r>
        <w:t>'</w:t>
      </w:r>
      <w:r w:rsidR="00515402" w:rsidRPr="00515402">
        <w:rPr>
          <w:rFonts w:hint="cs"/>
          <w:rtl/>
        </w:rPr>
        <w:tab/>
        <w:t>تعزز كفاءة خدمات الاتصالات الدولية وفائدتها وتوافرها،</w:t>
      </w:r>
    </w:p>
    <w:p w:rsidR="00515402" w:rsidRPr="00515402" w:rsidRDefault="00515402" w:rsidP="00B872A2">
      <w:pPr>
        <w:pStyle w:val="Call"/>
        <w:rPr>
          <w:rtl/>
        </w:rPr>
      </w:pPr>
      <w:r w:rsidRPr="00515402">
        <w:rPr>
          <w:rtl/>
        </w:rPr>
        <w:lastRenderedPageBreak/>
        <w:t>ي</w:t>
      </w:r>
      <w:r w:rsidRPr="00515402">
        <w:rPr>
          <w:rFonts w:hint="cs"/>
          <w:rtl/>
        </w:rPr>
        <w:t>قـرر</w:t>
      </w:r>
    </w:p>
    <w:p w:rsidR="00515402" w:rsidRPr="00515402" w:rsidRDefault="00515402" w:rsidP="00B872A2">
      <w:pPr>
        <w:rPr>
          <w:rtl/>
        </w:rPr>
      </w:pPr>
      <w:r w:rsidRPr="00515402">
        <w:rPr>
          <w:rFonts w:hint="cs"/>
          <w:rtl/>
          <w:lang w:bidi="ar-SA"/>
        </w:rPr>
        <w:t xml:space="preserve">دعوة مؤتمر المندوبين المفوضين لعام </w:t>
      </w:r>
      <w:r w:rsidRPr="00515402">
        <w:rPr>
          <w:lang w:bidi="ar-SA"/>
        </w:rPr>
        <w:t>2014</w:t>
      </w:r>
      <w:r w:rsidRPr="00515402">
        <w:rPr>
          <w:rFonts w:hint="cs"/>
          <w:rtl/>
        </w:rPr>
        <w:t xml:space="preserve"> إلى النظر في هذا القرار واتخاذ الإجراءات الضرورية، حسب الاقتضاء، لعقد مؤتمر عالمي للاتصالات الدولية بصورة دورية (كل ثماني سنوات، على سبيل المثال) لمراجعة لوائح الاتصالات الدولية، مع مراعاة التبعات المالية التي يتحملها الاتحاد،</w:t>
      </w:r>
    </w:p>
    <w:p w:rsidR="00515402" w:rsidRPr="00515402" w:rsidRDefault="00515402" w:rsidP="00B872A2">
      <w:pPr>
        <w:pStyle w:val="Call"/>
        <w:rPr>
          <w:rtl/>
        </w:rPr>
      </w:pPr>
      <w:r w:rsidRPr="00515402">
        <w:rPr>
          <w:rFonts w:hint="cs"/>
          <w:rtl/>
        </w:rPr>
        <w:t>يكلف</w:t>
      </w:r>
      <w:r w:rsidRPr="00515402">
        <w:rPr>
          <w:rtl/>
        </w:rPr>
        <w:t xml:space="preserve"> الأمين العام</w:t>
      </w:r>
    </w:p>
    <w:p w:rsidR="00515402" w:rsidRPr="00515402" w:rsidRDefault="00515402" w:rsidP="00B872A2">
      <w:pPr>
        <w:rPr>
          <w:rtl/>
        </w:rPr>
      </w:pPr>
      <w:r w:rsidRPr="00515402">
        <w:t>1</w:t>
      </w:r>
      <w:r w:rsidRPr="00515402">
        <w:rPr>
          <w:rFonts w:hint="cs"/>
          <w:rtl/>
        </w:rPr>
        <w:tab/>
        <w:t>بإحاطة مؤتمر المندوبين المفوضين علماً بهذا القرار؛</w:t>
      </w:r>
    </w:p>
    <w:p w:rsidR="00515402" w:rsidRPr="00B872A2" w:rsidRDefault="00515402" w:rsidP="00B872A2">
      <w:pPr>
        <w:rPr>
          <w:spacing w:val="-4"/>
          <w:rtl/>
          <w:lang w:bidi="ar-SY"/>
        </w:rPr>
      </w:pPr>
      <w:r w:rsidRPr="00B872A2">
        <w:rPr>
          <w:spacing w:val="-4"/>
        </w:rPr>
        <w:t>2</w:t>
      </w:r>
      <w:r w:rsidRPr="00B872A2">
        <w:rPr>
          <w:rFonts w:hint="cs"/>
          <w:spacing w:val="-4"/>
          <w:rtl/>
          <w:lang w:bidi="ar-SY"/>
        </w:rPr>
        <w:tab/>
      </w:r>
      <w:r w:rsidRPr="00B872A2">
        <w:rPr>
          <w:rFonts w:hint="cs"/>
          <w:spacing w:val="-4"/>
          <w:rtl/>
        </w:rPr>
        <w:t>ب</w:t>
      </w:r>
      <w:r w:rsidRPr="00B872A2">
        <w:rPr>
          <w:rFonts w:hint="cs"/>
          <w:spacing w:val="-4"/>
          <w:rtl/>
          <w:lang w:bidi="ar-SY"/>
        </w:rPr>
        <w:t>توفير المعلومات لتمكين مؤتمر المندوبين المفوضين من النظر في التبعات التكاليفية لعقد المؤتمر العالمي للاتصالات</w:t>
      </w:r>
      <w:r w:rsidR="00B872A2" w:rsidRPr="00B872A2">
        <w:rPr>
          <w:rFonts w:hint="cs"/>
          <w:spacing w:val="-4"/>
          <w:rtl/>
          <w:lang w:bidi="ar-SY"/>
        </w:rPr>
        <w:t xml:space="preserve"> </w:t>
      </w:r>
      <w:r w:rsidRPr="00B872A2">
        <w:rPr>
          <w:rFonts w:hint="cs"/>
          <w:spacing w:val="-4"/>
          <w:rtl/>
          <w:lang w:bidi="ar-SY"/>
        </w:rPr>
        <w:t>الدولية،</w:t>
      </w:r>
    </w:p>
    <w:p w:rsidR="00515402" w:rsidRPr="00515402" w:rsidRDefault="00515402" w:rsidP="00B872A2">
      <w:pPr>
        <w:pStyle w:val="Call"/>
        <w:rPr>
          <w:rtl/>
        </w:rPr>
      </w:pPr>
      <w:r w:rsidRPr="00515402">
        <w:rPr>
          <w:rFonts w:hint="cs"/>
          <w:rtl/>
        </w:rPr>
        <w:t>ي</w:t>
      </w:r>
      <w:r w:rsidRPr="00515402">
        <w:rPr>
          <w:rtl/>
        </w:rPr>
        <w:t>دعو الدول الأعضاء</w:t>
      </w:r>
    </w:p>
    <w:p w:rsidR="00515402" w:rsidRPr="00515402" w:rsidRDefault="00515402" w:rsidP="00B872A2">
      <w:pPr>
        <w:rPr>
          <w:b/>
          <w:bCs/>
          <w:rtl/>
        </w:rPr>
      </w:pPr>
      <w:r w:rsidRPr="00515402">
        <w:rPr>
          <w:rFonts w:hint="cs"/>
          <w:rtl/>
        </w:rPr>
        <w:t>إلى المساهمة في العمل المشار إليه في هذا القرار.</w:t>
      </w:r>
    </w:p>
    <w:p w:rsidR="00324C72" w:rsidRPr="0014473E" w:rsidRDefault="00515402" w:rsidP="004964A8">
      <w:pPr>
        <w:pStyle w:val="ReasonsS2"/>
        <w:spacing w:before="600"/>
        <w:jc w:val="center"/>
        <w:rPr>
          <w:rtl/>
        </w:rPr>
      </w:pPr>
      <w:r w:rsidRPr="00515402">
        <w:rPr>
          <w:rFonts w:hint="cs"/>
          <w:rtl/>
          <w:lang w:bidi="ar-EG"/>
        </w:rPr>
        <w:t>___________</w:t>
      </w:r>
    </w:p>
    <w:sectPr w:rsidR="00324C72" w:rsidRPr="0014473E" w:rsidSect="00B541A1">
      <w:headerReference w:type="even" r:id="rId10"/>
      <w:headerReference w:type="default" r:id="rId11"/>
      <w:headerReference w:type="first" r:id="rId12"/>
      <w:footerReference w:type="first" r:id="rId13"/>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4F0" w:rsidRDefault="00FC14F0" w:rsidP="00FE7FCA">
      <w:r>
        <w:separator/>
      </w:r>
    </w:p>
  </w:endnote>
  <w:endnote w:type="continuationSeparator" w:id="0">
    <w:p w:rsidR="00FC14F0" w:rsidRDefault="00FC14F0"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7D6" w:rsidRPr="002B2FFC" w:rsidRDefault="00255055" w:rsidP="002B2FFC">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4F0" w:rsidRDefault="00FC14F0">
      <w:r>
        <w:t>_______________</w:t>
      </w:r>
    </w:p>
  </w:footnote>
  <w:footnote w:type="continuationSeparator" w:id="0">
    <w:p w:rsidR="00FC14F0" w:rsidRDefault="00FC14F0"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620BC1">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4E79FD">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2B2FFC">
      <w:rPr>
        <w:rStyle w:val="PageNumber"/>
        <w:rFonts w:ascii="Calibri" w:hAnsi="Calibri"/>
        <w:noProof/>
      </w:rPr>
      <w:t>2</w:t>
    </w:r>
    <w:r w:rsidRPr="006A7C71">
      <w:rPr>
        <w:rStyle w:val="PageNumber"/>
        <w:rFonts w:ascii="Calibri" w:hAnsi="Calibri"/>
      </w:rPr>
      <w:fldChar w:fldCharType="end"/>
    </w:r>
    <w:r w:rsidR="002B2FFC">
      <w:rPr>
        <w:rStyle w:val="PageNumber"/>
        <w:rFonts w:ascii="Calibri" w:hAnsi="Calibri"/>
      </w:rPr>
      <w:t>/</w:t>
    </w:r>
    <w:r w:rsidR="002B2FFC">
      <w:rPr>
        <w:rStyle w:val="PageNumber"/>
        <w:rFonts w:ascii="Calibri" w:hAnsi="Calibri"/>
      </w:rPr>
      <w:fldChar w:fldCharType="begin"/>
    </w:r>
    <w:r w:rsidR="002B2FFC">
      <w:rPr>
        <w:rStyle w:val="PageNumber"/>
        <w:rFonts w:ascii="Calibri" w:hAnsi="Calibri"/>
      </w:rPr>
      <w:instrText xml:space="preserve"> NUMPAGES   \* MERGEFORMAT </w:instrText>
    </w:r>
    <w:r w:rsidR="002B2FFC">
      <w:rPr>
        <w:rStyle w:val="PageNumber"/>
        <w:rFonts w:ascii="Calibri" w:hAnsi="Calibri"/>
      </w:rPr>
      <w:fldChar w:fldCharType="separate"/>
    </w:r>
    <w:r w:rsidR="002B2FFC">
      <w:rPr>
        <w:rStyle w:val="PageNumber"/>
        <w:rFonts w:ascii="Calibri" w:hAnsi="Calibri"/>
        <w:noProof/>
      </w:rPr>
      <w:t>3</w:t>
    </w:r>
    <w:r w:rsidR="002B2FFC">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4E79FD">
      <w:rPr>
        <w:rStyle w:val="PageNumber"/>
        <w:rFonts w:ascii="Calibri" w:hAnsi="Calibri"/>
      </w:rPr>
      <w:t>43</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4F0"/>
    <w:rsid w:val="00004A19"/>
    <w:rsid w:val="00004C7A"/>
    <w:rsid w:val="00005A03"/>
    <w:rsid w:val="00006678"/>
    <w:rsid w:val="000075F1"/>
    <w:rsid w:val="0001331F"/>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3993"/>
    <w:rsid w:val="001F5D70"/>
    <w:rsid w:val="00200A2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2FFC"/>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964A8"/>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79FD"/>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42CC"/>
    <w:rsid w:val="00515402"/>
    <w:rsid w:val="00516700"/>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BC1"/>
    <w:rsid w:val="0062228A"/>
    <w:rsid w:val="006422DC"/>
    <w:rsid w:val="006438BD"/>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1692A"/>
    <w:rsid w:val="00717E1D"/>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1C63"/>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3939"/>
    <w:rsid w:val="00B14684"/>
    <w:rsid w:val="00B14E40"/>
    <w:rsid w:val="00B1523B"/>
    <w:rsid w:val="00B1733E"/>
    <w:rsid w:val="00B22596"/>
    <w:rsid w:val="00B237D6"/>
    <w:rsid w:val="00B26D73"/>
    <w:rsid w:val="00B3661A"/>
    <w:rsid w:val="00B40192"/>
    <w:rsid w:val="00B40AF4"/>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2A2"/>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4664"/>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0189"/>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14F0"/>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B872A2"/>
    <w:pPr>
      <w:spacing w:before="360"/>
    </w:p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B872A2"/>
    <w:pPr>
      <w:spacing w:before="360"/>
    </w:p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79D5A-2618-460F-965C-D41587B8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2243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2644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Brouard, Ricarda</cp:lastModifiedBy>
  <cp:revision>2</cp:revision>
  <cp:lastPrinted>2014-06-25T13:50:00Z</cp:lastPrinted>
  <dcterms:created xsi:type="dcterms:W3CDTF">2014-06-26T12:55:00Z</dcterms:created>
  <dcterms:modified xsi:type="dcterms:W3CDTF">2014-06-26T12:55:00Z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