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90940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90940">
            <w:pPr>
              <w:spacing w:before="0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FBBD25D" wp14:editId="7382236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0F58F7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9094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0F58F7" w:rsidRDefault="00BD1614" w:rsidP="00690940">
            <w:pPr>
              <w:spacing w:before="0" w:after="48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90940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90940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90940">
            <w:pPr>
              <w:pStyle w:val="Committee"/>
              <w:framePr w:hSpace="0" w:wrap="auto" w:hAnchor="text" w:yAlign="inline"/>
              <w:spacing w:after="0" w:line="240" w:lineRule="auto"/>
            </w:pPr>
            <w:r w:rsidRPr="008C10D9">
              <w:t>SÉANCE PLÉNIÈRE</w:t>
            </w:r>
          </w:p>
        </w:tc>
        <w:tc>
          <w:tcPr>
            <w:tcW w:w="3120" w:type="dxa"/>
          </w:tcPr>
          <w:p w:rsidR="00BD1614" w:rsidRPr="008C10D9" w:rsidRDefault="00BD1614" w:rsidP="00690940">
            <w:pPr>
              <w:spacing w:before="0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31</w:t>
            </w:r>
            <w:r w:rsidR="005F63BD" w:rsidRPr="00F44B1A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D0464B" w:rsidRDefault="00BD1614" w:rsidP="00690940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690940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20 </w:t>
            </w:r>
            <w:r w:rsidRPr="00B03CA0">
              <w:rPr>
                <w:rFonts w:cstheme="minorHAnsi"/>
                <w:b/>
                <w:szCs w:val="24"/>
                <w:lang w:val="fr-CH"/>
              </w:rPr>
              <w:t>février</w:t>
            </w:r>
            <w:r w:rsidRPr="008C10D9">
              <w:rPr>
                <w:rFonts w:cstheme="minorHAnsi"/>
                <w:b/>
                <w:szCs w:val="24"/>
                <w:lang w:val="en-US"/>
              </w:rPr>
              <w:t xml:space="preserve"> 2014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90940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1614" w:rsidP="00690940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B03CA0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90940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370DF3" w:rsidRDefault="00BD1614" w:rsidP="004C20E6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370DF3">
              <w:rPr>
                <w:lang w:val="fr-CH"/>
              </w:rPr>
              <w:t>Brésil/Canada/Colombie/Etats-Unis d'Amérique</w:t>
            </w:r>
          </w:p>
        </w:tc>
      </w:tr>
      <w:tr w:rsidR="00370DF3" w:rsidRPr="002A6F8F" w:rsidTr="006A046E">
        <w:trPr>
          <w:cantSplit/>
        </w:trPr>
        <w:tc>
          <w:tcPr>
            <w:tcW w:w="10031" w:type="dxa"/>
            <w:gridSpan w:val="2"/>
          </w:tcPr>
          <w:p w:rsidR="00370DF3" w:rsidRPr="00526326" w:rsidRDefault="00370DF3" w:rsidP="00690940">
            <w:pPr>
              <w:pStyle w:val="Title1"/>
            </w:pPr>
            <w:bookmarkStart w:id="5" w:name="dtitle1" w:colFirst="0" w:colLast="0"/>
            <w:bookmarkEnd w:id="4"/>
            <w:r w:rsidRPr="00526326">
              <w:t>PROPOSITI</w:t>
            </w:r>
            <w:r w:rsidR="000176A9">
              <w:t>ONS POUR LES TRAVAUX DE LA CONFé</w:t>
            </w:r>
            <w:r w:rsidRPr="00526326">
              <w:t>RENCE</w:t>
            </w:r>
          </w:p>
        </w:tc>
      </w:tr>
      <w:tr w:rsidR="00370DF3" w:rsidRPr="002A6F8F" w:rsidTr="006A046E">
        <w:trPr>
          <w:cantSplit/>
        </w:trPr>
        <w:tc>
          <w:tcPr>
            <w:tcW w:w="10031" w:type="dxa"/>
            <w:gridSpan w:val="2"/>
          </w:tcPr>
          <w:p w:rsidR="00370DF3" w:rsidRPr="00526326" w:rsidRDefault="00370DF3" w:rsidP="00690940">
            <w:pPr>
              <w:pStyle w:val="Title2"/>
            </w:pPr>
            <w:bookmarkStart w:id="6" w:name="dtitle2" w:colFirst="0" w:colLast="0"/>
            <w:bookmarkEnd w:id="5"/>
            <w:r w:rsidRPr="00526326">
              <w:t>stabilisation des instruments fondamentaux de l</w:t>
            </w:r>
            <w:r w:rsidR="00690940">
              <w:t>'</w:t>
            </w:r>
            <w:r w:rsidRPr="00526326">
              <w:t>union</w:t>
            </w:r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90940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370DF3" w:rsidRPr="00526326" w:rsidRDefault="00370DF3" w:rsidP="009C3703">
      <w:pPr>
        <w:pStyle w:val="Normalaftertitle"/>
      </w:pPr>
      <w:r w:rsidRPr="00526326">
        <w:t xml:space="preserve">Les </w:t>
      </w:r>
      <w:r>
        <w:t>Etats M</w:t>
      </w:r>
      <w:r w:rsidRPr="00526326">
        <w:t>embres susmentionnés considèrent que la Constitution et la Convention de l</w:t>
      </w:r>
      <w:r w:rsidR="00690940">
        <w:t>'</w:t>
      </w:r>
      <w:r w:rsidRPr="00526326">
        <w:t>Union, adoptées par la Conférence de plénipotentiaires additionnelle (Genève, 1992), sont des instruments pérennes qui constituent une base juridique solide pour l</w:t>
      </w:r>
      <w:r w:rsidR="00690940">
        <w:t>'</w:t>
      </w:r>
      <w:r w:rsidRPr="00526326">
        <w:t xml:space="preserve">Union internationale des télécommunications (UIT). La Constitution </w:t>
      </w:r>
      <w:r>
        <w:t xml:space="preserve">a fait la preuve de sa stabilité intrinsèque </w:t>
      </w:r>
      <w:r w:rsidRPr="00526326">
        <w:t>depuis son adoption il y a plus de vingt ans, et elle n</w:t>
      </w:r>
      <w:r w:rsidR="00690940">
        <w:t>'</w:t>
      </w:r>
      <w:r w:rsidRPr="00526326">
        <w:t>a fait l</w:t>
      </w:r>
      <w:r w:rsidR="00690940">
        <w:t>'</w:t>
      </w:r>
      <w:r w:rsidRPr="00526326">
        <w:t>objet que de légères modifications lorsque cela était nécessaire. Nous sommes d</w:t>
      </w:r>
      <w:r w:rsidR="00690940">
        <w:t>'</w:t>
      </w:r>
      <w:r w:rsidRPr="00526326">
        <w:t>avis que la structure des instruments de l</w:t>
      </w:r>
      <w:r w:rsidR="00690940">
        <w:t>'</w:t>
      </w:r>
      <w:r w:rsidRPr="00526326">
        <w:t>Union ne doit pas être modifiée, et que</w:t>
      </w:r>
      <w:r>
        <w:t xml:space="preserve"> </w:t>
      </w:r>
      <w:r w:rsidR="009C3703">
        <w:t>toute tentative de restructuration</w:t>
      </w:r>
      <w:r>
        <w:t xml:space="preserve"> </w:t>
      </w:r>
      <w:r w:rsidRPr="00526326">
        <w:t>déstabiliserait à la fois ces instruments et l</w:t>
      </w:r>
      <w:r w:rsidR="00690940">
        <w:t>'</w:t>
      </w:r>
      <w:r w:rsidRPr="00526326">
        <w:t>UIT.</w:t>
      </w:r>
    </w:p>
    <w:p w:rsidR="00370DF3" w:rsidRPr="00526326" w:rsidRDefault="00690940" w:rsidP="00690940">
      <w:pPr>
        <w:pStyle w:val="Headingb"/>
      </w:pPr>
      <w:r w:rsidRPr="00526326">
        <w:t xml:space="preserve">Considérations </w:t>
      </w:r>
      <w:r>
        <w:t>g</w:t>
      </w:r>
      <w:r w:rsidRPr="00526326">
        <w:t>énérales</w:t>
      </w:r>
    </w:p>
    <w:p w:rsidR="00370DF3" w:rsidRPr="00526326" w:rsidRDefault="00370DF3" w:rsidP="004C20E6">
      <w:r w:rsidRPr="00526326">
        <w:t xml:space="preserve">En application de la Résolution 163 (Guadalajara, 2010) de la Conférence de plénipotentiaires, le Groupe de travail du Conseil a produit </w:t>
      </w:r>
      <w:r>
        <w:t>le</w:t>
      </w:r>
      <w:r w:rsidRPr="00526326">
        <w:t xml:space="preserve"> </w:t>
      </w:r>
      <w:r w:rsidR="00B03CA0">
        <w:t>"</w:t>
      </w:r>
      <w:r w:rsidRPr="00526326">
        <w:t xml:space="preserve">Rapport </w:t>
      </w:r>
      <w:r w:rsidRPr="00526326">
        <w:rPr>
          <w:rFonts w:cs="Calibri"/>
          <w:szCs w:val="28"/>
        </w:rPr>
        <w:t>de la Présidente du Groupe de travail du Conseil sur une Constitution stable de l'UIT</w:t>
      </w:r>
      <w:r w:rsidR="00B03CA0">
        <w:rPr>
          <w:rFonts w:cs="Calibri"/>
          <w:szCs w:val="28"/>
        </w:rPr>
        <w:t>"</w:t>
      </w:r>
      <w:r w:rsidRPr="00526326">
        <w:rPr>
          <w:rFonts w:cs="Calibri"/>
          <w:szCs w:val="28"/>
        </w:rPr>
        <w:t xml:space="preserve">, qui </w:t>
      </w:r>
      <w:r w:rsidR="004C20E6">
        <w:rPr>
          <w:rFonts w:cs="Calibri"/>
          <w:szCs w:val="28"/>
        </w:rPr>
        <w:t>sera</w:t>
      </w:r>
      <w:r w:rsidRPr="00526326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présenté à</w:t>
      </w:r>
      <w:r w:rsidRPr="00526326">
        <w:rPr>
          <w:rFonts w:cs="Calibri"/>
        </w:rPr>
        <w:t xml:space="preserve"> la PP-14</w:t>
      </w:r>
      <w:r>
        <w:rPr>
          <w:rFonts w:cs="Calibri"/>
        </w:rPr>
        <w:t xml:space="preserve"> </w:t>
      </w:r>
      <w:r w:rsidR="009C3703">
        <w:rPr>
          <w:rFonts w:cs="Calibri"/>
        </w:rPr>
        <w:t>pour examen.</w:t>
      </w:r>
      <w:r w:rsidRPr="00526326">
        <w:rPr>
          <w:rFonts w:cs="Calibri"/>
        </w:rPr>
        <w:t xml:space="preserve"> Malgré les efforts considérables qui ont été fournis et l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excellente direction des travaux, les résultats auxquels le Groupe de travail du Conseil sur une Constitution stable </w:t>
      </w:r>
      <w:r w:rsidRPr="00526326">
        <w:t>(CWG-STB-CS)</w:t>
      </w:r>
      <w:r w:rsidRPr="00526326">
        <w:rPr>
          <w:rFonts w:cs="Calibri"/>
        </w:rPr>
        <w:t xml:space="preserve"> est parvenu, tels qu</w:t>
      </w:r>
      <w:r w:rsidR="00690940">
        <w:rPr>
          <w:rFonts w:cs="Calibri"/>
        </w:rPr>
        <w:t>'</w:t>
      </w:r>
      <w:r w:rsidRPr="00526326">
        <w:rPr>
          <w:rFonts w:cs="Calibri"/>
        </w:rPr>
        <w:t>ils ressortent dudit Rapport, n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ont pas débouché sur une proposition de Constitution contenant </w:t>
      </w:r>
      <w:r w:rsidR="009C3703">
        <w:rPr>
          <w:rFonts w:cs="Calibri"/>
        </w:rPr>
        <w:t xml:space="preserve">un </w:t>
      </w:r>
      <w:r w:rsidRPr="00526326">
        <w:rPr>
          <w:rFonts w:cs="Calibri"/>
        </w:rPr>
        <w:t xml:space="preserve">moins </w:t>
      </w:r>
      <w:r w:rsidR="009C3703">
        <w:rPr>
          <w:rFonts w:cs="Calibri"/>
        </w:rPr>
        <w:t xml:space="preserve">grand nombre </w:t>
      </w:r>
      <w:r w:rsidRPr="00526326">
        <w:rPr>
          <w:rFonts w:cs="Calibri"/>
        </w:rPr>
        <w:t>d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articles. De fait, ce </w:t>
      </w:r>
      <w:r w:rsidR="009C3703">
        <w:rPr>
          <w:rFonts w:cs="Calibri"/>
        </w:rPr>
        <w:t>r</w:t>
      </w:r>
      <w:r w:rsidRPr="00526326">
        <w:rPr>
          <w:rFonts w:cs="Calibri"/>
        </w:rPr>
        <w:t>apport de deux cents pages présente le texte d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un projet de nouvelle </w:t>
      </w:r>
      <w:r w:rsidR="00B03CA0">
        <w:rPr>
          <w:rFonts w:cs="Calibri"/>
        </w:rPr>
        <w:t>"</w:t>
      </w:r>
      <w:bookmarkStart w:id="8" w:name="_GoBack"/>
      <w:bookmarkEnd w:id="8"/>
      <w:r w:rsidRPr="00526326">
        <w:rPr>
          <w:rFonts w:cs="Calibri"/>
        </w:rPr>
        <w:t>Constitution stable</w:t>
      </w:r>
      <w:r w:rsidR="00B03CA0">
        <w:rPr>
          <w:rFonts w:cs="Calibri"/>
        </w:rPr>
        <w:t>"</w:t>
      </w:r>
      <w:r w:rsidRPr="00526326">
        <w:rPr>
          <w:rFonts w:cs="Calibri"/>
        </w:rPr>
        <w:t xml:space="preserve"> qui serait plus longue et plus complexe que la Constitution actuelle, et d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un </w:t>
      </w:r>
      <w:r w:rsidR="00B03CA0">
        <w:rPr>
          <w:rFonts w:cs="Calibri"/>
        </w:rPr>
        <w:t>"</w:t>
      </w:r>
      <w:r w:rsidRPr="00526326">
        <w:rPr>
          <w:rFonts w:cs="Calibri"/>
        </w:rPr>
        <w:t>autre document</w:t>
      </w:r>
      <w:r w:rsidR="00B03CA0">
        <w:rPr>
          <w:rFonts w:cs="Calibri"/>
        </w:rPr>
        <w:t>"</w:t>
      </w:r>
      <w:r w:rsidRPr="00526326">
        <w:rPr>
          <w:rFonts w:cs="Calibri"/>
        </w:rPr>
        <w:t xml:space="preserve"> qui aurait un caractère juridiquement contraignant mais ne serait pas assujetti à la ratification, à l</w:t>
      </w:r>
      <w:r w:rsidR="00690940">
        <w:rPr>
          <w:rFonts w:cs="Calibri"/>
        </w:rPr>
        <w:t>'</w:t>
      </w:r>
      <w:r w:rsidRPr="00526326">
        <w:rPr>
          <w:rFonts w:cs="Calibri"/>
        </w:rPr>
        <w:t>approbation ni à l</w:t>
      </w:r>
      <w:r w:rsidR="00690940">
        <w:rPr>
          <w:rFonts w:cs="Calibri"/>
        </w:rPr>
        <w:t>'</w:t>
      </w:r>
      <w:r w:rsidR="009C3703">
        <w:rPr>
          <w:rFonts w:cs="Calibri"/>
        </w:rPr>
        <w:t>adhésion des Etats Membres. Ce r</w:t>
      </w:r>
      <w:r w:rsidRPr="00526326">
        <w:rPr>
          <w:rFonts w:cs="Calibri"/>
        </w:rPr>
        <w:t xml:space="preserve">apport met en évidence plusieurs </w:t>
      </w:r>
      <w:r>
        <w:rPr>
          <w:rFonts w:cs="Calibri"/>
        </w:rPr>
        <w:t>points</w:t>
      </w:r>
      <w:r w:rsidRPr="00526326">
        <w:rPr>
          <w:rFonts w:cs="Calibri"/>
        </w:rPr>
        <w:t xml:space="preserve"> que le Groupe </w:t>
      </w:r>
      <w:r w:rsidRPr="00526326">
        <w:t>CWG-STB-CS</w:t>
      </w:r>
      <w:r>
        <w:rPr>
          <w:rFonts w:cs="Calibri"/>
        </w:rPr>
        <w:t xml:space="preserve"> </w:t>
      </w:r>
      <w:r w:rsidRPr="00526326">
        <w:rPr>
          <w:rFonts w:cs="Calibri"/>
        </w:rPr>
        <w:t>n</w:t>
      </w:r>
      <w:r w:rsidR="00690940">
        <w:rPr>
          <w:rFonts w:cs="Calibri"/>
        </w:rPr>
        <w:t>'</w:t>
      </w:r>
      <w:r w:rsidRPr="00526326">
        <w:rPr>
          <w:rFonts w:cs="Calibri"/>
        </w:rPr>
        <w:t>a pas été en mesure de résoudre, notamment l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ordre de priorité et les relations entre la nouvelle </w:t>
      </w:r>
      <w:r w:rsidR="00B03CA0">
        <w:rPr>
          <w:rFonts w:cs="Calibri"/>
        </w:rPr>
        <w:t>"</w:t>
      </w:r>
      <w:r w:rsidRPr="00526326">
        <w:rPr>
          <w:rFonts w:cs="Calibri"/>
        </w:rPr>
        <w:t>Constitution stable</w:t>
      </w:r>
      <w:r w:rsidR="00B03CA0">
        <w:rPr>
          <w:rFonts w:cs="Calibri"/>
        </w:rPr>
        <w:t>"</w:t>
      </w:r>
      <w:r w:rsidRPr="00526326">
        <w:rPr>
          <w:rFonts w:cs="Calibri"/>
        </w:rPr>
        <w:t>, l</w:t>
      </w:r>
      <w:r w:rsidR="00690940">
        <w:rPr>
          <w:rFonts w:cs="Calibri"/>
        </w:rPr>
        <w:t>'</w:t>
      </w:r>
      <w:r w:rsidR="000176A9">
        <w:rPr>
          <w:rFonts w:cs="Calibri"/>
        </w:rPr>
        <w:t>"</w:t>
      </w:r>
      <w:r w:rsidRPr="00526326">
        <w:rPr>
          <w:rFonts w:cs="Calibri"/>
        </w:rPr>
        <w:t>autre document</w:t>
      </w:r>
      <w:r w:rsidR="00B03CA0">
        <w:rPr>
          <w:rFonts w:cs="Calibri"/>
        </w:rPr>
        <w:t>"</w:t>
      </w:r>
      <w:r w:rsidRPr="00526326">
        <w:rPr>
          <w:rFonts w:cs="Calibri"/>
        </w:rPr>
        <w:t xml:space="preserve">, les </w:t>
      </w:r>
      <w:r w:rsidRPr="00526326">
        <w:t>Règlements administratifs et les Règles générales régissant les conférences, assemblées et réunions</w:t>
      </w:r>
      <w:r w:rsidR="009C3703">
        <w:t xml:space="preserve"> de l'Union</w:t>
      </w:r>
      <w:r w:rsidRPr="00526326">
        <w:t>.</w:t>
      </w:r>
    </w:p>
    <w:p w:rsidR="00370DF3" w:rsidRPr="00526326" w:rsidRDefault="009C3703" w:rsidP="00E36340">
      <w:pPr>
        <w:pStyle w:val="Headingb"/>
        <w:rPr>
          <w:rFonts w:cs="Calibri"/>
        </w:rPr>
      </w:pPr>
      <w:r>
        <w:lastRenderedPageBreak/>
        <w:t>Analyse</w:t>
      </w:r>
    </w:p>
    <w:p w:rsidR="00370DF3" w:rsidRPr="00526326" w:rsidRDefault="00370DF3" w:rsidP="009C3703">
      <w:pPr>
        <w:keepNext/>
        <w:keepLines/>
        <w:rPr>
          <w:rFonts w:cs="Calibri"/>
        </w:rPr>
      </w:pPr>
      <w:r w:rsidRPr="00526326">
        <w:rPr>
          <w:rFonts w:cs="Calibri"/>
        </w:rPr>
        <w:t xml:space="preserve">Les Etats Membres susmentionnés saluent les travaux menés par le Groupe </w:t>
      </w:r>
      <w:r w:rsidRPr="00526326">
        <w:t>CWG-STB-CS</w:t>
      </w:r>
      <w:r w:rsidRPr="00526326">
        <w:rPr>
          <w:rFonts w:cs="Calibri"/>
        </w:rPr>
        <w:t xml:space="preserve">, établi en </w:t>
      </w:r>
      <w:r w:rsidR="009C3703">
        <w:rPr>
          <w:rFonts w:cs="Calibri"/>
        </w:rPr>
        <w:t>application</w:t>
      </w:r>
      <w:r w:rsidRPr="00526326">
        <w:rPr>
          <w:rFonts w:cs="Calibri"/>
        </w:rPr>
        <w:t xml:space="preserve"> de la Résolution 163 (Guadalajara, 2010) de la Conférence de plénipotentiaires, </w:t>
      </w:r>
      <w:r>
        <w:rPr>
          <w:rFonts w:cs="Calibri"/>
        </w:rPr>
        <w:t>en vue de</w:t>
      </w:r>
      <w:r w:rsidRPr="00526326">
        <w:rPr>
          <w:rFonts w:cs="Calibri"/>
        </w:rPr>
        <w:t xml:space="preserve"> proposer des mécanismes visant à assurer la stabilité de la Constitution. Toutefois, nous sommes d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avis que les résultats </w:t>
      </w:r>
      <w:r>
        <w:rPr>
          <w:rFonts w:cs="Calibri"/>
        </w:rPr>
        <w:t>de ces travaux</w:t>
      </w:r>
      <w:r w:rsidRPr="00526326">
        <w:rPr>
          <w:rFonts w:cs="Calibri"/>
        </w:rPr>
        <w:t xml:space="preserve"> indiquent que les efforts déployés aux fins d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une stabilisation pourraient en fait </w:t>
      </w:r>
      <w:r>
        <w:rPr>
          <w:rFonts w:cs="Calibri"/>
        </w:rPr>
        <w:t>se traduire par la création d</w:t>
      </w:r>
      <w:r w:rsidR="00690940">
        <w:rPr>
          <w:rFonts w:cs="Calibri"/>
        </w:rPr>
        <w:t>'</w:t>
      </w:r>
      <w:r w:rsidRPr="00526326">
        <w:rPr>
          <w:rFonts w:cs="Calibri"/>
        </w:rPr>
        <w:t>instruments juridiques moins stables. L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expérience acquise par </w:t>
      </w:r>
      <w:r>
        <w:rPr>
          <w:rFonts w:cs="Calibri"/>
        </w:rPr>
        <w:t>le</w:t>
      </w:r>
      <w:r w:rsidRPr="00526326">
        <w:rPr>
          <w:rFonts w:cs="Calibri"/>
        </w:rPr>
        <w:t xml:space="preserve"> Groupe</w:t>
      </w:r>
      <w:r w:rsidRPr="003C62DA">
        <w:t xml:space="preserve"> </w:t>
      </w:r>
      <w:r w:rsidRPr="00526326">
        <w:t>CWG-STB-CS</w:t>
      </w:r>
      <w:r w:rsidRPr="00526326">
        <w:rPr>
          <w:rFonts w:cs="Calibri"/>
        </w:rPr>
        <w:t xml:space="preserve"> montre que l</w:t>
      </w:r>
      <w:r w:rsidR="00690940">
        <w:rPr>
          <w:rFonts w:cs="Calibri"/>
        </w:rPr>
        <w:t>'</w:t>
      </w:r>
      <w:r w:rsidRPr="00526326">
        <w:rPr>
          <w:rFonts w:cs="Calibri"/>
        </w:rPr>
        <w:t>appr</w:t>
      </w:r>
      <w:r w:rsidR="000176A9">
        <w:rPr>
          <w:rFonts w:cs="Calibri"/>
        </w:rPr>
        <w:t>oche définie dans la Résolution </w:t>
      </w:r>
      <w:r w:rsidRPr="00526326">
        <w:rPr>
          <w:rFonts w:cs="Calibri"/>
        </w:rPr>
        <w:t>163 (Guadalajara, 2010) de la Conférence de plénipotentiaires – consistant à trans</w:t>
      </w:r>
      <w:r w:rsidR="009C3703">
        <w:rPr>
          <w:rFonts w:cs="Calibri"/>
        </w:rPr>
        <w:t>fér</w:t>
      </w:r>
      <w:r w:rsidRPr="00526326">
        <w:rPr>
          <w:rFonts w:cs="Calibri"/>
        </w:rPr>
        <w:t xml:space="preserve">er les textes fondamentaux et stables dans une nouvelle </w:t>
      </w:r>
      <w:r w:rsidR="00B03CA0">
        <w:rPr>
          <w:rFonts w:cs="Calibri"/>
        </w:rPr>
        <w:t>"</w:t>
      </w:r>
      <w:r w:rsidRPr="00526326">
        <w:rPr>
          <w:rFonts w:cs="Calibri"/>
        </w:rPr>
        <w:t>Constitution stable</w:t>
      </w:r>
      <w:r w:rsidR="00B03CA0">
        <w:rPr>
          <w:rFonts w:cs="Calibri"/>
        </w:rPr>
        <w:t>"</w:t>
      </w:r>
      <w:r w:rsidRPr="00526326">
        <w:rPr>
          <w:rFonts w:cs="Calibri"/>
        </w:rPr>
        <w:t>, et tous les autres textes dans un nouveau document n</w:t>
      </w:r>
      <w:r w:rsidR="00690940">
        <w:rPr>
          <w:rFonts w:cs="Calibri"/>
        </w:rPr>
        <w:t>'</w:t>
      </w:r>
      <w:r w:rsidRPr="00526326">
        <w:rPr>
          <w:rFonts w:cs="Calibri"/>
        </w:rPr>
        <w:t>ayant pas valeur de traité – ne permettra pas d</w:t>
      </w:r>
      <w:r w:rsidR="00690940">
        <w:rPr>
          <w:rFonts w:cs="Calibri"/>
        </w:rPr>
        <w:t>'</w:t>
      </w:r>
      <w:r w:rsidRPr="00526326">
        <w:rPr>
          <w:rFonts w:cs="Calibri"/>
        </w:rPr>
        <w:t>atteindre l</w:t>
      </w:r>
      <w:r w:rsidR="00690940">
        <w:rPr>
          <w:rFonts w:cs="Calibri"/>
        </w:rPr>
        <w:t>'</w:t>
      </w:r>
      <w:r w:rsidRPr="00526326">
        <w:rPr>
          <w:rFonts w:cs="Calibri"/>
        </w:rPr>
        <w:t xml:space="preserve">objectif </w:t>
      </w:r>
      <w:r w:rsidR="009C3703">
        <w:rPr>
          <w:rFonts w:cs="Calibri"/>
        </w:rPr>
        <w:t>qui consiste à établir</w:t>
      </w:r>
      <w:r>
        <w:rPr>
          <w:rFonts w:cs="Calibri"/>
        </w:rPr>
        <w:t xml:space="preserve"> </w:t>
      </w:r>
      <w:r w:rsidRPr="00526326">
        <w:rPr>
          <w:rFonts w:cs="Calibri"/>
        </w:rPr>
        <w:t xml:space="preserve">une Constitution stable et, au contraire, </w:t>
      </w:r>
      <w:r>
        <w:rPr>
          <w:rFonts w:cs="Calibri"/>
        </w:rPr>
        <w:t>compromettrait</w:t>
      </w:r>
      <w:r w:rsidRPr="00526326">
        <w:rPr>
          <w:rFonts w:cs="Calibri"/>
        </w:rPr>
        <w:t xml:space="preserve"> la stabilité d</w:t>
      </w:r>
      <w:r w:rsidR="00690940">
        <w:rPr>
          <w:rFonts w:cs="Calibri"/>
        </w:rPr>
        <w:t>'</w:t>
      </w:r>
      <w:r w:rsidRPr="00526326">
        <w:rPr>
          <w:rFonts w:cs="Calibri"/>
        </w:rPr>
        <w:t>un ensemble de traités qui ont fait la preuve de leur solidité depuis leur adoption en 1992.</w:t>
      </w:r>
    </w:p>
    <w:p w:rsidR="00370DF3" w:rsidRPr="00526326" w:rsidRDefault="00690940" w:rsidP="00690940">
      <w:pPr>
        <w:pStyle w:val="Headingb"/>
      </w:pPr>
      <w:r w:rsidRPr="00526326">
        <w:t>Proposition</w:t>
      </w:r>
    </w:p>
    <w:p w:rsidR="00370DF3" w:rsidRPr="00526326" w:rsidRDefault="00370DF3" w:rsidP="00690940">
      <w:r w:rsidRPr="00526326">
        <w:t>Les Etats Membres susmentionnés proposent que l</w:t>
      </w:r>
      <w:r w:rsidR="00690940">
        <w:t>'</w:t>
      </w:r>
      <w:r w:rsidRPr="00526326">
        <w:t>UIT conserve le cadre actuel en ce qui concerne les instruments juridiques de l</w:t>
      </w:r>
      <w:r w:rsidR="00690940">
        <w:t>'</w:t>
      </w:r>
      <w:r w:rsidRPr="00526326">
        <w:t>Union et, partant, qu</w:t>
      </w:r>
      <w:r w:rsidR="00690940">
        <w:t>'</w:t>
      </w:r>
      <w:r w:rsidR="000176A9">
        <w:t>"</w:t>
      </w:r>
      <w:r w:rsidRPr="00526326">
        <w:t>aucune modification</w:t>
      </w:r>
      <w:r w:rsidR="00B03CA0">
        <w:t>"</w:t>
      </w:r>
      <w:r w:rsidRPr="00526326">
        <w:t xml:space="preserve"> ne soit apportée à l</w:t>
      </w:r>
      <w:r w:rsidR="00690940">
        <w:t>'</w:t>
      </w:r>
      <w:r w:rsidRPr="00526326">
        <w:t>article 4 de la Constitution de l</w:t>
      </w:r>
      <w:r w:rsidR="00690940">
        <w:t>'</w:t>
      </w:r>
      <w:r w:rsidRPr="00526326">
        <w:t>UIT.</w:t>
      </w:r>
    </w:p>
    <w:p w:rsidR="000D15FB" w:rsidRPr="00370DF3" w:rsidRDefault="00370DF3" w:rsidP="009C3703">
      <w:pPr>
        <w:spacing w:after="240"/>
        <w:rPr>
          <w:lang w:val="fr-CH"/>
        </w:rPr>
      </w:pPr>
      <w:r w:rsidRPr="00526326">
        <w:t>L</w:t>
      </w:r>
      <w:r w:rsidR="00690940">
        <w:t>'</w:t>
      </w:r>
      <w:r w:rsidRPr="00526326">
        <w:t xml:space="preserve">article 4 de la Constitution </w:t>
      </w:r>
      <w:r w:rsidRPr="003B4A6F">
        <w:t>définit les instruments de l</w:t>
      </w:r>
      <w:r w:rsidR="00690940">
        <w:t>'</w:t>
      </w:r>
      <w:r w:rsidRPr="003B4A6F">
        <w:t>Union, ainsi que les relations et l</w:t>
      </w:r>
      <w:r w:rsidR="00690940">
        <w:t>'</w:t>
      </w:r>
      <w:r w:rsidRPr="003B4A6F">
        <w:t xml:space="preserve">ordre de priorité entre </w:t>
      </w:r>
      <w:r w:rsidR="009C3703">
        <w:t>eux</w:t>
      </w:r>
      <w:r w:rsidRPr="003B4A6F">
        <w:t>. De</w:t>
      </w:r>
      <w:r w:rsidRPr="00526326">
        <w:t xml:space="preserve"> ce fait, il établit quel instrument prévaudrait en cas </w:t>
      </w:r>
      <w:r w:rsidR="009C3703">
        <w:t>d'incohérence</w:t>
      </w:r>
      <w:r w:rsidRPr="00526326">
        <w:t xml:space="preserve"> entre leurs dispositions. L</w:t>
      </w:r>
      <w:r w:rsidR="00690940">
        <w:t>'</w:t>
      </w:r>
      <w:r w:rsidRPr="00526326">
        <w:t>article 4, tel qu</w:t>
      </w:r>
      <w:r w:rsidR="00690940">
        <w:t>'</w:t>
      </w:r>
      <w:r w:rsidRPr="00526326">
        <w:t xml:space="preserve">il est actuellement libellé, est essentiel </w:t>
      </w:r>
      <w:r>
        <w:t>pour</w:t>
      </w:r>
      <w:r w:rsidRPr="00526326">
        <w:t xml:space="preserve"> </w:t>
      </w:r>
      <w:r>
        <w:t>que l</w:t>
      </w:r>
      <w:r w:rsidR="00690940">
        <w:t>'</w:t>
      </w:r>
      <w:r>
        <w:t>Union conserve un</w:t>
      </w:r>
      <w:r w:rsidRPr="00526326">
        <w:t xml:space="preserve"> cadre juridique stable. </w:t>
      </w:r>
      <w:r>
        <w:t>En conséquence</w:t>
      </w:r>
      <w:r w:rsidRPr="00526326">
        <w:t>, il est proposé de n</w:t>
      </w:r>
      <w:r w:rsidR="00690940">
        <w:t>'</w:t>
      </w:r>
      <w:r w:rsidRPr="00526326">
        <w:t>apporter aucune modification à cet article important.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BB03CE" w:rsidRPr="005B5D60" w:rsidTr="00EB6A70">
        <w:tc>
          <w:tcPr>
            <w:tcW w:w="1985" w:type="dxa"/>
            <w:tcMar>
              <w:left w:w="108" w:type="dxa"/>
              <w:right w:w="108" w:type="dxa"/>
            </w:tcMar>
          </w:tcPr>
          <w:p w:rsidR="00BB03CE" w:rsidRPr="00370DF3" w:rsidRDefault="004C20E6" w:rsidP="00E867B9">
            <w:pPr>
              <w:pStyle w:val="VolumeTitleS2"/>
              <w:rPr>
                <w:lang w:val="fr-CH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BB03CE" w:rsidRPr="002D6AC0" w:rsidRDefault="009C3703" w:rsidP="00E867B9">
            <w:pPr>
              <w:pStyle w:val="VolumeTitle"/>
              <w:rPr>
                <w:lang w:val="fr-CH"/>
              </w:rPr>
            </w:pPr>
            <w:r w:rsidRPr="002D6AC0">
              <w:rPr>
                <w:lang w:val="fr-CH"/>
              </w:rPr>
              <w:t>CONSTITUTION</w:t>
            </w:r>
            <w:r>
              <w:rPr>
                <w:lang w:val="fr-CH"/>
              </w:rPr>
              <w:t xml:space="preserve"> </w:t>
            </w:r>
            <w:r w:rsidRPr="002D6AC0">
              <w:rPr>
                <w:lang w:val="fr-CH"/>
              </w:rPr>
              <w:t>DE</w:t>
            </w:r>
            <w:r>
              <w:rPr>
                <w:lang w:val="fr-CH"/>
              </w:rPr>
              <w:t xml:space="preserve"> </w:t>
            </w:r>
            <w:r w:rsidRPr="002D6AC0">
              <w:rPr>
                <w:lang w:val="fr-CH"/>
              </w:rPr>
              <w:br/>
              <w:t>L'UNION</w:t>
            </w:r>
            <w:r>
              <w:rPr>
                <w:lang w:val="fr-CH"/>
              </w:rPr>
              <w:t xml:space="preserve"> </w:t>
            </w:r>
            <w:r w:rsidRPr="002D6AC0">
              <w:rPr>
                <w:lang w:val="fr-CH"/>
              </w:rPr>
              <w:t>INTERNATIONALE</w:t>
            </w:r>
            <w:r w:rsidRPr="002D6AC0">
              <w:rPr>
                <w:lang w:val="fr-CH"/>
              </w:rPr>
              <w:br/>
              <w:t>DES</w:t>
            </w:r>
            <w:r>
              <w:rPr>
                <w:lang w:val="fr-CH"/>
              </w:rPr>
              <w:t xml:space="preserve"> </w:t>
            </w:r>
            <w:r w:rsidRPr="002D6AC0">
              <w:rPr>
                <w:lang w:val="fr-CH"/>
              </w:rPr>
              <w:t>TÉLÉCOMMUNICATIONS</w:t>
            </w:r>
          </w:p>
        </w:tc>
      </w:tr>
      <w:tr w:rsidR="00411C13" w:rsidRPr="00D64A3C" w:rsidTr="00EB6A70">
        <w:tc>
          <w:tcPr>
            <w:tcW w:w="1985" w:type="dxa"/>
            <w:tcMar>
              <w:left w:w="108" w:type="dxa"/>
              <w:right w:w="108" w:type="dxa"/>
            </w:tcMar>
          </w:tcPr>
          <w:p w:rsidR="00411C13" w:rsidRPr="00A05F58" w:rsidRDefault="004C20E6" w:rsidP="00CB7F55">
            <w:pPr>
              <w:pStyle w:val="ChapNoS2"/>
              <w:rPr>
                <w:lang w:val="fr-CH"/>
              </w:rPr>
            </w:pPr>
          </w:p>
          <w:p w:rsidR="00411C13" w:rsidRPr="00A05F58" w:rsidRDefault="004C20E6" w:rsidP="00CB7F55">
            <w:pPr>
              <w:pStyle w:val="ChaptitleS2"/>
              <w:rPr>
                <w:lang w:val="fr-CH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411C13" w:rsidRPr="00A05F58" w:rsidRDefault="009C3703" w:rsidP="00CB7F55">
            <w:pPr>
              <w:pStyle w:val="ChapNo"/>
              <w:rPr>
                <w:lang w:val="fr-CH"/>
              </w:rPr>
            </w:pPr>
            <w:r>
              <w:t>CHAPITRE</w:t>
            </w:r>
            <w:r>
              <w:rPr>
                <w:lang w:val="fr-CH"/>
              </w:rPr>
              <w:t xml:space="preserve"> </w:t>
            </w:r>
            <w:r w:rsidRPr="00A05F58">
              <w:rPr>
                <w:lang w:val="fr-CH"/>
              </w:rPr>
              <w:t>I</w:t>
            </w:r>
          </w:p>
          <w:p w:rsidR="00411C13" w:rsidRPr="00A05F58" w:rsidRDefault="009C3703" w:rsidP="00CB7F55">
            <w:pPr>
              <w:pStyle w:val="Chaptitle"/>
              <w:rPr>
                <w:lang w:val="fr-CH"/>
              </w:rPr>
            </w:pPr>
            <w:bookmarkStart w:id="9" w:name="_Toc37575191"/>
            <w:r>
              <w:t>Dispositions de base</w:t>
            </w:r>
            <w:bookmarkEnd w:id="9"/>
          </w:p>
        </w:tc>
      </w:tr>
    </w:tbl>
    <w:p w:rsidR="00A40823" w:rsidRPr="00370DF3" w:rsidRDefault="009C3703">
      <w:pPr>
        <w:pStyle w:val="Proposal"/>
        <w:rPr>
          <w:lang w:val="en-US"/>
        </w:rPr>
      </w:pPr>
      <w:r w:rsidRPr="00370DF3">
        <w:rPr>
          <w:u w:val="single"/>
          <w:lang w:val="en-US"/>
        </w:rPr>
        <w:t>NOC</w:t>
      </w:r>
      <w:r w:rsidRPr="00370DF3">
        <w:rPr>
          <w:lang w:val="en-US"/>
        </w:rPr>
        <w:tab/>
        <w:t>B/CAN/CLM/USA/31/1</w:t>
      </w:r>
    </w:p>
    <w:tbl>
      <w:tblPr>
        <w:tblW w:w="9810" w:type="dxa"/>
        <w:tblInd w:w="8" w:type="dxa"/>
        <w:tblLayout w:type="fixed"/>
        <w:tblCellMar>
          <w:left w:w="57" w:type="dxa"/>
          <w:right w:w="57" w:type="dxa"/>
        </w:tblCellMar>
        <w:tblLook w:val="0100" w:firstRow="0" w:lastRow="0" w:firstColumn="0" w:lastColumn="1" w:noHBand="0" w:noVBand="0"/>
      </w:tblPr>
      <w:tblGrid>
        <w:gridCol w:w="1985"/>
        <w:gridCol w:w="7825"/>
      </w:tblGrid>
      <w:tr w:rsidR="00411C13" w:rsidRPr="00861F5C" w:rsidTr="00EB6A70">
        <w:tc>
          <w:tcPr>
            <w:tcW w:w="1985" w:type="dxa"/>
            <w:tcMar>
              <w:left w:w="108" w:type="dxa"/>
              <w:right w:w="108" w:type="dxa"/>
            </w:tcMar>
          </w:tcPr>
          <w:p w:rsidR="00411C13" w:rsidRPr="00370DF3" w:rsidRDefault="004C20E6" w:rsidP="00CB7F55">
            <w:pPr>
              <w:pStyle w:val="ArtNoS2"/>
              <w:rPr>
                <w:lang w:val="en-US"/>
              </w:rPr>
            </w:pPr>
          </w:p>
          <w:p w:rsidR="00411C13" w:rsidRPr="00370DF3" w:rsidRDefault="004C20E6" w:rsidP="00CB7F55">
            <w:pPr>
              <w:pStyle w:val="ArttitleS2"/>
              <w:rPr>
                <w:lang w:val="en-US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:rsidR="00411C13" w:rsidRPr="002D6AC0" w:rsidRDefault="009C3703" w:rsidP="00CB7F55">
            <w:pPr>
              <w:pStyle w:val="ArtNo"/>
            </w:pPr>
            <w:r>
              <w:t xml:space="preserve">ARTICLE </w:t>
            </w:r>
            <w:r w:rsidRPr="002D6AC0">
              <w:t>4</w:t>
            </w:r>
          </w:p>
          <w:p w:rsidR="00411C13" w:rsidRPr="00D35EC2" w:rsidRDefault="009C3703" w:rsidP="00CB7F55">
            <w:pPr>
              <w:pStyle w:val="Arttitle"/>
            </w:pPr>
            <w:bookmarkStart w:id="10" w:name="_Toc37575199"/>
            <w:r>
              <w:t>Instruments de l'Union</w:t>
            </w:r>
            <w:bookmarkEnd w:id="10"/>
          </w:p>
        </w:tc>
      </w:tr>
    </w:tbl>
    <w:p w:rsidR="00B03CA0" w:rsidRDefault="00B03CA0" w:rsidP="0032202E">
      <w:pPr>
        <w:pStyle w:val="Reasons"/>
      </w:pPr>
    </w:p>
    <w:p w:rsidR="00A40823" w:rsidRDefault="00B03CA0" w:rsidP="00B03CA0">
      <w:pPr>
        <w:jc w:val="center"/>
      </w:pPr>
      <w:r>
        <w:t>______________</w:t>
      </w:r>
    </w:p>
    <w:sectPr w:rsidR="00A40823" w:rsidSect="003A0B7D">
      <w:headerReference w:type="default" r:id="rId13"/>
      <w:foot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B5" w:rsidRDefault="00C40CB5">
      <w:r>
        <w:separator/>
      </w:r>
    </w:p>
  </w:endnote>
  <w:endnote w:type="continuationSeparator" w:id="0">
    <w:p w:rsidR="00C40CB5" w:rsidRDefault="00C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7B" w:rsidRDefault="000176A9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  <w:fldSimple w:instr=" FILENAME \p \* MERGEFORMAT ">
      <w:r w:rsidR="004C20E6">
        <w:t>P:\FRA\SG\CONF-SG\PP14\000\031F.docx</w:t>
      </w:r>
    </w:fldSimple>
    <w:r w:rsidR="00B03CA0">
      <w:t xml:space="preserve"> (359282)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 w:rsidR="004C20E6">
      <w:t>07.05.14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 w:rsidR="004C20E6">
      <w:t>00.00.00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B03CA0" w:rsidRDefault="004C20E6" w:rsidP="00B03CA0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P:\FRA\SG\CONF-SG\PP14\000\031F.docx</w:t>
    </w:r>
    <w:r>
      <w:fldChar w:fldCharType="end"/>
    </w:r>
    <w:r w:rsidR="00B03CA0">
      <w:t xml:space="preserve"> (359282)</w:t>
    </w:r>
    <w:r w:rsidR="00B03CA0">
      <w:tab/>
    </w:r>
    <w:r w:rsidR="00B03CA0">
      <w:fldChar w:fldCharType="begin"/>
    </w:r>
    <w:r w:rsidR="00B03CA0">
      <w:instrText xml:space="preserve"> savedate \@ dd.MM.yy </w:instrText>
    </w:r>
    <w:r w:rsidR="00B03CA0">
      <w:fldChar w:fldCharType="separate"/>
    </w:r>
    <w:r>
      <w:t>07.05.14</w:t>
    </w:r>
    <w:r w:rsidR="00B03CA0">
      <w:fldChar w:fldCharType="end"/>
    </w:r>
    <w:r w:rsidR="00B03CA0">
      <w:tab/>
    </w:r>
    <w:r w:rsidR="00B03CA0">
      <w:fldChar w:fldCharType="begin"/>
    </w:r>
    <w:r w:rsidR="00B03CA0">
      <w:instrText xml:space="preserve"> printdate \@ dd.MM.yy </w:instrText>
    </w:r>
    <w:r w:rsidR="00B03CA0">
      <w:fldChar w:fldCharType="separate"/>
    </w:r>
    <w:r>
      <w:t>00.00.00</w:t>
    </w:r>
    <w:r w:rsidR="00B03C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B5" w:rsidRDefault="00C40CB5">
      <w:r>
        <w:t>____________________</w:t>
      </w:r>
    </w:p>
  </w:footnote>
  <w:footnote w:type="continuationSeparator" w:id="0">
    <w:p w:rsidR="00C40CB5" w:rsidRDefault="00C4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C20E6">
      <w:rPr>
        <w:noProof/>
      </w:rPr>
      <w:t>2</w:t>
    </w:r>
    <w:r>
      <w:fldChar w:fldCharType="end"/>
    </w:r>
  </w:p>
  <w:p w:rsidR="00BD1614" w:rsidRDefault="00BD1614" w:rsidP="00BD1614">
    <w:pPr>
      <w:pStyle w:val="Header"/>
    </w:pPr>
    <w:r>
      <w:t>PP14/31-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903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0B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E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A03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8A7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6C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6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00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08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04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176A9"/>
    <w:rsid w:val="00060D74"/>
    <w:rsid w:val="00072D5C"/>
    <w:rsid w:val="0008398C"/>
    <w:rsid w:val="00084308"/>
    <w:rsid w:val="000B14B6"/>
    <w:rsid w:val="000C467B"/>
    <w:rsid w:val="000D15FB"/>
    <w:rsid w:val="000F58F7"/>
    <w:rsid w:val="00104738"/>
    <w:rsid w:val="001051E4"/>
    <w:rsid w:val="001354EA"/>
    <w:rsid w:val="00136FCE"/>
    <w:rsid w:val="00153BA4"/>
    <w:rsid w:val="001941AD"/>
    <w:rsid w:val="001A0682"/>
    <w:rsid w:val="001B4D8D"/>
    <w:rsid w:val="001D31B2"/>
    <w:rsid w:val="001E1B9B"/>
    <w:rsid w:val="001F6233"/>
    <w:rsid w:val="002355CD"/>
    <w:rsid w:val="00270B2F"/>
    <w:rsid w:val="002A0E1B"/>
    <w:rsid w:val="002C1059"/>
    <w:rsid w:val="002C2F9C"/>
    <w:rsid w:val="00322DEA"/>
    <w:rsid w:val="00370DF3"/>
    <w:rsid w:val="003A0B7D"/>
    <w:rsid w:val="003A45C2"/>
    <w:rsid w:val="003C4BE2"/>
    <w:rsid w:val="003D147D"/>
    <w:rsid w:val="003D637A"/>
    <w:rsid w:val="00430015"/>
    <w:rsid w:val="004678D0"/>
    <w:rsid w:val="00482954"/>
    <w:rsid w:val="004C20E6"/>
    <w:rsid w:val="00524001"/>
    <w:rsid w:val="00564B63"/>
    <w:rsid w:val="00575DC7"/>
    <w:rsid w:val="005836C2"/>
    <w:rsid w:val="005A4EFD"/>
    <w:rsid w:val="005A5ABE"/>
    <w:rsid w:val="005C2ECC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0940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A5830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C3703"/>
    <w:rsid w:val="009D4037"/>
    <w:rsid w:val="009F0592"/>
    <w:rsid w:val="00A20E72"/>
    <w:rsid w:val="00A246DC"/>
    <w:rsid w:val="00A40823"/>
    <w:rsid w:val="00A47BAF"/>
    <w:rsid w:val="00A542D3"/>
    <w:rsid w:val="00A5784F"/>
    <w:rsid w:val="00A8436E"/>
    <w:rsid w:val="00A95B66"/>
    <w:rsid w:val="00AE0667"/>
    <w:rsid w:val="00B03CA0"/>
    <w:rsid w:val="00B41E0A"/>
    <w:rsid w:val="00B56DE0"/>
    <w:rsid w:val="00B71F12"/>
    <w:rsid w:val="00B96B1E"/>
    <w:rsid w:val="00BB2A6F"/>
    <w:rsid w:val="00BD1614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36340"/>
    <w:rsid w:val="00E443FA"/>
    <w:rsid w:val="00E54FCE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customStyle="1" w:styleId="VolumeTitleS2">
    <w:name w:val="VolumeTitle_S2"/>
    <w:basedOn w:val="VolumeTitle"/>
    <w:next w:val="Normal"/>
    <w:qFormat/>
    <w:rsid w:val="00E867B9"/>
  </w:style>
  <w:style w:type="character" w:styleId="CommentReference">
    <w:name w:val="annotation reference"/>
    <w:basedOn w:val="DefaultParagraphFont"/>
    <w:semiHidden/>
    <w:unhideWhenUsed/>
    <w:rsid w:val="00370D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D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DF3"/>
    <w:rPr>
      <w:rFonts w:ascii="Calibri" w:hAnsi="Calibri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03CA0"/>
    <w:rPr>
      <w:rFonts w:ascii="Calibri" w:hAnsi="Calibri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customStyle="1" w:styleId="VolumeTitleS2">
    <w:name w:val="VolumeTitle_S2"/>
    <w:basedOn w:val="VolumeTitle"/>
    <w:next w:val="Normal"/>
    <w:qFormat/>
    <w:rsid w:val="00E867B9"/>
  </w:style>
  <w:style w:type="character" w:styleId="CommentReference">
    <w:name w:val="annotation reference"/>
    <w:basedOn w:val="DefaultParagraphFont"/>
    <w:semiHidden/>
    <w:unhideWhenUsed/>
    <w:rsid w:val="00370D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D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DF3"/>
    <w:rPr>
      <w:rFonts w:ascii="Calibri" w:hAnsi="Calibri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03CA0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c058c4c-bc35-4009-827e-e4ef109a5816" targetNamespace="http://schemas.microsoft.com/office/2006/metadata/properties" ma:root="true" ma:fieldsID="d41af5c836d734370eb92e7ee5f83852" ns2:_="" ns3:_="">
    <xsd:import namespace="996b2e75-67fd-4955-a3b0-5ab9934cb50b"/>
    <xsd:import namespace="5c058c4c-bc35-4009-827e-e4ef109a581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8c4c-bc35-4009-827e-e4ef109a581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c058c4c-bc35-4009-827e-e4ef109a5816">Documents Proposals Manager (DPM)</DPM_x0020_Author>
    <DPM_x0020_File_x0020_name xmlns="5c058c4c-bc35-4009-827e-e4ef109a5816">S14-PP-C-0031!!MSW-F</DPM_x0020_File_x0020_name>
    <DPM_x0020_Version xmlns="5c058c4c-bc35-4009-827e-e4ef109a5816">DPM_v5.7.0.12_prod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c058c4c-bc35-4009-827e-e4ef109a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5c058c4c-bc35-4009-827e-e4ef109a5816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1B2494-7539-4E4D-9DEB-69037BD7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S14-PP-C-0031!!MSW-F</vt:lpstr>
    </vt:vector>
  </TitlesOfParts>
  <Manager/>
  <Company/>
  <LinksUpToDate>false</LinksUpToDate>
  <CharactersWithSpaces>4204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S14-PP-C-0031!!MSW-F</dc:title>
  <dc:subject>Plenipotentiary Conference (PP-14)</dc:subject>
  <dc:creator/>
  <cp:keywords>DPM_v5.7.0.12_prod</cp:keywords>
  <dc:description/>
  <cp:lastModifiedBy/>
  <cp:revision>1</cp:revision>
  <dcterms:created xsi:type="dcterms:W3CDTF">2014-05-06T20:44:00Z</dcterms:created>
  <dcterms:modified xsi:type="dcterms:W3CDTF">2014-05-07T08:01:00Z</dcterms:modified>
  <cp:category>Conference document</cp:category>
</cp:coreProperties>
</file>