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5900F1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3907C4">
              <w:rPr>
                <w:rFonts w:ascii="Verdana" w:hAnsi="SimSun"/>
                <w:b/>
                <w:smallCaps/>
                <w:sz w:val="26"/>
                <w:szCs w:val="26"/>
                <w:lang w:val="en-US" w:eastAsia="zh-CN"/>
              </w:rPr>
              <w:t>全权代表大会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（</w:t>
            </w:r>
            <w:r w:rsidRPr="003907C4"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PP-1</w:t>
            </w:r>
            <w:r>
              <w:rPr>
                <w:rFonts w:asciiTheme="minorHAnsi" w:hAnsiTheme="minorHAnsi"/>
                <w:b/>
                <w:smallCaps/>
                <w:sz w:val="26"/>
                <w:szCs w:val="26"/>
                <w:lang w:val="en-US" w:eastAsia="zh-CN"/>
              </w:rPr>
              <w:t>4</w:t>
            </w:r>
            <w:r w:rsidRPr="003907C4">
              <w:rPr>
                <w:rFonts w:ascii="Verdana" w:hAnsi="SimSun" w:cs="SimSun"/>
                <w:b/>
                <w:smallCaps/>
                <w:sz w:val="26"/>
                <w:szCs w:val="26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r w:rsidRPr="00040A47">
              <w:rPr>
                <w:b/>
                <w:bCs/>
                <w:sz w:val="20"/>
                <w:szCs w:val="16"/>
                <w:lang w:eastAsia="zh-CN"/>
              </w:rPr>
              <w:t>2014</w:t>
            </w:r>
            <w:r w:rsidRPr="00040A47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Pr="00040A47">
              <w:rPr>
                <w:b/>
                <w:bCs/>
                <w:sz w:val="22"/>
                <w:szCs w:val="18"/>
                <w:lang w:eastAsia="zh-CN"/>
              </w:rPr>
              <w:t>10</w:t>
            </w:r>
            <w:r w:rsidRPr="00040A47">
              <w:rPr>
                <w:rFonts w:ascii="SimSun" w:hAnsi="SimSun" w:hint="eastAsia"/>
                <w:b/>
                <w:bCs/>
                <w:sz w:val="22"/>
                <w:szCs w:val="18"/>
                <w:lang w:eastAsia="zh-CN"/>
              </w:rPr>
              <w:t>月</w:t>
            </w:r>
            <w:r w:rsidRPr="00040A47">
              <w:rPr>
                <w:b/>
                <w:bCs/>
                <w:sz w:val="22"/>
                <w:szCs w:val="18"/>
                <w:lang w:eastAsia="zh-CN"/>
              </w:rPr>
              <w:t>20</w:t>
            </w:r>
            <w:r w:rsidRPr="00040A47">
              <w:rPr>
                <w:rFonts w:ascii="SimSun" w:hAnsi="SimSun" w:hint="eastAsia"/>
                <w:b/>
                <w:bCs/>
                <w:sz w:val="22"/>
                <w:szCs w:val="18"/>
                <w:lang w:eastAsia="zh-CN"/>
              </w:rPr>
              <w:t>日</w:t>
            </w:r>
            <w:r w:rsidRPr="00040A47">
              <w:rPr>
                <w:b/>
                <w:bCs/>
                <w:sz w:val="22"/>
                <w:szCs w:val="18"/>
                <w:lang w:eastAsia="zh-CN"/>
              </w:rPr>
              <w:t>-11</w:t>
            </w:r>
            <w:r w:rsidRPr="00040A47">
              <w:rPr>
                <w:rFonts w:ascii="SimSun" w:hAnsi="SimSun" w:hint="eastAsia"/>
                <w:b/>
                <w:bCs/>
                <w:sz w:val="22"/>
                <w:szCs w:val="18"/>
                <w:lang w:eastAsia="zh-CN"/>
              </w:rPr>
              <w:t>月</w:t>
            </w:r>
            <w:r w:rsidRPr="00040A47">
              <w:rPr>
                <w:b/>
                <w:bCs/>
                <w:sz w:val="22"/>
                <w:szCs w:val="18"/>
                <w:lang w:eastAsia="zh-CN"/>
              </w:rPr>
              <w:t>7</w:t>
            </w:r>
            <w:r w:rsidRPr="00040A47">
              <w:rPr>
                <w:rFonts w:ascii="SimSun" w:hAnsi="SimSun" w:hint="eastAsia"/>
                <w:b/>
                <w:bCs/>
                <w:sz w:val="22"/>
                <w:szCs w:val="18"/>
                <w:lang w:eastAsia="zh-CN"/>
              </w:rPr>
              <w:t>日，釜山</w:t>
            </w:r>
            <w:bookmarkEnd w:id="0"/>
          </w:p>
        </w:tc>
        <w:tc>
          <w:tcPr>
            <w:tcW w:w="3120" w:type="dxa"/>
          </w:tcPr>
          <w:p w:rsidR="00C710E5" w:rsidRPr="00622560" w:rsidRDefault="00C710E5" w:rsidP="005900F1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6C7A7373" wp14:editId="30AC000F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AC79BA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5900F1">
            <w:pPr>
              <w:spacing w:after="48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AC79BA" w:rsidRDefault="00C710E5" w:rsidP="005900F1">
            <w:pPr>
              <w:spacing w:after="48"/>
              <w:rPr>
                <w:b/>
                <w:smallCaps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5900F1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5900F1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5900F1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C710E5" w:rsidRPr="007F0374" w:rsidRDefault="00C710E5" w:rsidP="005900F1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文件</w:t>
            </w:r>
            <w:r>
              <w:rPr>
                <w:rFonts w:cstheme="minorHAnsi"/>
                <w:b/>
                <w:szCs w:val="24"/>
              </w:rPr>
              <w:t xml:space="preserve"> 31</w:t>
            </w:r>
            <w:r w:rsidR="003B74F0" w:rsidRPr="00F44B1A"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5900F1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C710E5" w:rsidP="005900F1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2014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</w:rPr>
              <w:t>2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</w:rPr>
              <w:t>20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5900F1">
            <w:pPr>
              <w:spacing w:before="0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C710E5" w:rsidP="005900F1">
            <w:pPr>
              <w:spacing w:before="0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5900F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5900F1">
            <w:pPr>
              <w:pStyle w:val="Source"/>
              <w:rPr>
                <w:lang w:eastAsia="zh-CN"/>
              </w:rPr>
            </w:pPr>
            <w:bookmarkStart w:id="4" w:name="dsource" w:colFirst="0" w:colLast="0"/>
            <w:bookmarkEnd w:id="1"/>
            <w:bookmarkEnd w:id="3"/>
            <w:r w:rsidRPr="000273B7">
              <w:rPr>
                <w:lang w:eastAsia="zh-CN"/>
              </w:rPr>
              <w:t>巴西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加拿大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哥伦比亚</w:t>
            </w:r>
            <w:r w:rsidRPr="000273B7">
              <w:rPr>
                <w:lang w:eastAsia="zh-CN"/>
              </w:rPr>
              <w:t>/</w:t>
            </w:r>
            <w:r w:rsidRPr="000273B7">
              <w:rPr>
                <w:lang w:eastAsia="zh-CN"/>
              </w:rPr>
              <w:t>美国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2B67BD" w:rsidP="005900F1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2B67BD" w:rsidP="005900F1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  <w:r>
              <w:rPr>
                <w:rFonts w:hint="eastAsia"/>
                <w:lang w:eastAsia="zh-CN"/>
              </w:rPr>
              <w:t>国际电联基本法律文件的稳定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5900F1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814B9B" w:rsidRPr="002F5DCD" w:rsidRDefault="002B67BD" w:rsidP="005900F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上述成员国将增开的全权代表大会（</w:t>
      </w:r>
      <w:r>
        <w:rPr>
          <w:rFonts w:hint="eastAsia"/>
          <w:lang w:eastAsia="zh-CN"/>
        </w:rPr>
        <w:t>1992</w:t>
      </w:r>
      <w:r>
        <w:rPr>
          <w:rFonts w:hint="eastAsia"/>
          <w:lang w:eastAsia="zh-CN"/>
        </w:rPr>
        <w:t>年，日内瓦）通过的国际电联《组织法》和《公约》视为为国际电信联盟（</w:t>
      </w:r>
      <w:r>
        <w:rPr>
          <w:rFonts w:hint="eastAsia"/>
          <w:lang w:eastAsia="zh-CN"/>
        </w:rPr>
        <w:t>ITU</w:t>
      </w:r>
      <w:r>
        <w:rPr>
          <w:rFonts w:hint="eastAsia"/>
          <w:lang w:eastAsia="zh-CN"/>
        </w:rPr>
        <w:t>）长期提供稳固法律基础的法律文件。事实证明，《组织法》自通过后的二十多年来基本保持稳定，仅在必要时进行了微不足道的修改。我们认为，国际电联的法律文件无需重新组织。这样的尝试将使这些法律文件乃至国际电联丧失稳定性。</w:t>
      </w:r>
    </w:p>
    <w:p w:rsidR="00814B9B" w:rsidRPr="002F5DCD" w:rsidRDefault="002B67BD" w:rsidP="0051282F">
      <w:pPr>
        <w:pStyle w:val="Headingb"/>
        <w:rPr>
          <w:lang w:eastAsia="zh-CN"/>
        </w:rPr>
      </w:pPr>
      <w:r>
        <w:rPr>
          <w:rFonts w:hint="eastAsia"/>
          <w:lang w:eastAsia="zh-CN"/>
        </w:rPr>
        <w:t>背景</w:t>
      </w:r>
    </w:p>
    <w:p w:rsidR="00814B9B" w:rsidRPr="002F5DCD" w:rsidRDefault="002B67BD" w:rsidP="005900F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根据第</w:t>
      </w:r>
      <w:r w:rsidR="00814B9B" w:rsidRPr="002F5DCD">
        <w:rPr>
          <w:lang w:eastAsia="zh-CN"/>
        </w:rPr>
        <w:t>163</w:t>
      </w:r>
      <w:r>
        <w:rPr>
          <w:rFonts w:hint="eastAsia"/>
          <w:lang w:eastAsia="zh-CN"/>
        </w:rPr>
        <w:t>号决议</w:t>
      </w:r>
      <w:r w:rsidR="00EA1C26">
        <w:rPr>
          <w:lang w:eastAsia="zh-CN"/>
        </w:rPr>
        <w:t>（</w:t>
      </w:r>
      <w:r w:rsidR="00814B9B" w:rsidRPr="002F5DCD">
        <w:rPr>
          <w:lang w:eastAsia="zh-CN"/>
        </w:rPr>
        <w:t>2010</w:t>
      </w:r>
      <w:r>
        <w:rPr>
          <w:rFonts w:hint="eastAsia"/>
          <w:lang w:eastAsia="zh-CN"/>
        </w:rPr>
        <w:t>年，瓜达拉哈拉</w:t>
      </w:r>
      <w:r w:rsidR="00EA1C26">
        <w:rPr>
          <w:lang w:eastAsia="zh-CN"/>
        </w:rPr>
        <w:t>）</w:t>
      </w:r>
      <w:r w:rsidR="00EA1C26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理事会工作组提交了</w:t>
      </w:r>
      <w:r w:rsidR="00C80ED9" w:rsidRPr="00C80ED9">
        <w:rPr>
          <w:rFonts w:ascii="SimSun" w:hAnsi="SimSun"/>
          <w:lang w:eastAsia="zh-CN"/>
        </w:rPr>
        <w:t>“</w:t>
      </w:r>
      <w:r w:rsidR="00C80ED9" w:rsidRPr="00C13310">
        <w:rPr>
          <w:rFonts w:cs="Calibri"/>
          <w:lang w:eastAsia="zh-CN"/>
        </w:rPr>
        <w:t>理事会</w:t>
      </w:r>
      <w:r w:rsidR="00C80ED9" w:rsidRPr="00C13310">
        <w:rPr>
          <w:rFonts w:cs="Calibri" w:hint="eastAsia"/>
          <w:lang w:eastAsia="zh-CN"/>
        </w:rPr>
        <w:t>制定</w:t>
      </w:r>
      <w:r w:rsidR="00C80ED9" w:rsidRPr="00C13310">
        <w:rPr>
          <w:rFonts w:cs="Calibri"/>
          <w:lang w:eastAsia="zh-CN"/>
        </w:rPr>
        <w:t>稳定的国际电联</w:t>
      </w:r>
      <w:r w:rsidR="00C80ED9" w:rsidRPr="00C13310">
        <w:rPr>
          <w:rFonts w:cs="Calibri" w:hint="eastAsia"/>
          <w:lang w:eastAsia="zh-CN"/>
        </w:rPr>
        <w:t>《</w:t>
      </w:r>
      <w:r w:rsidR="00C80ED9" w:rsidRPr="00C13310">
        <w:rPr>
          <w:rFonts w:cs="Calibri"/>
          <w:lang w:eastAsia="zh-CN"/>
        </w:rPr>
        <w:t>组织法</w:t>
      </w:r>
      <w:r w:rsidR="00C80ED9" w:rsidRPr="00C13310">
        <w:rPr>
          <w:rFonts w:cs="Calibri" w:hint="eastAsia"/>
          <w:lang w:eastAsia="zh-CN"/>
        </w:rPr>
        <w:t>》</w:t>
      </w:r>
      <w:r w:rsidR="00C80ED9" w:rsidRPr="00C13310">
        <w:rPr>
          <w:rFonts w:cs="Calibri"/>
          <w:lang w:eastAsia="zh-CN"/>
        </w:rPr>
        <w:t>工作组</w:t>
      </w:r>
      <w:r w:rsidR="007A15D1">
        <w:rPr>
          <w:rFonts w:cs="Calibri" w:hint="eastAsia"/>
          <w:lang w:eastAsia="zh-CN"/>
        </w:rPr>
        <w:t>（</w:t>
      </w:r>
      <w:r w:rsidR="007A15D1" w:rsidRPr="002F5DCD">
        <w:rPr>
          <w:lang w:eastAsia="zh-CN"/>
        </w:rPr>
        <w:t>CWG-STB-CS</w:t>
      </w:r>
      <w:r w:rsidR="007A15D1">
        <w:rPr>
          <w:rFonts w:cs="Calibri" w:hint="eastAsia"/>
          <w:lang w:eastAsia="zh-CN"/>
        </w:rPr>
        <w:t>）</w:t>
      </w:r>
      <w:r w:rsidR="00C80ED9" w:rsidRPr="00C13310">
        <w:rPr>
          <w:rFonts w:cs="Calibri"/>
          <w:lang w:eastAsia="zh-CN"/>
        </w:rPr>
        <w:t>主席</w:t>
      </w:r>
      <w:r w:rsidR="00C80ED9">
        <w:rPr>
          <w:rFonts w:cs="Calibri" w:hint="eastAsia"/>
          <w:lang w:eastAsia="zh-CN"/>
        </w:rPr>
        <w:t>的</w:t>
      </w:r>
      <w:r w:rsidR="00C80ED9" w:rsidRPr="00C13310">
        <w:rPr>
          <w:rFonts w:cs="Calibri"/>
          <w:lang w:eastAsia="zh-CN"/>
        </w:rPr>
        <w:t>报告</w:t>
      </w:r>
      <w:r w:rsidR="00C80ED9" w:rsidRPr="00C80ED9">
        <w:rPr>
          <w:rFonts w:ascii="SimSun" w:hAnsi="SimSun"/>
          <w:lang w:eastAsia="zh-CN"/>
        </w:rPr>
        <w:t>”</w:t>
      </w:r>
      <w:r>
        <w:rPr>
          <w:rFonts w:hint="eastAsia"/>
          <w:lang w:eastAsia="zh-CN"/>
        </w:rPr>
        <w:t>，供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年全权代表大会审议。正如报告所述，</w:t>
      </w:r>
      <w:r w:rsidRPr="002B67BD">
        <w:rPr>
          <w:lang w:eastAsia="zh-CN"/>
        </w:rPr>
        <w:t>理事会</w:t>
      </w:r>
      <w:r w:rsidRPr="002B67BD">
        <w:rPr>
          <w:rFonts w:hint="eastAsia"/>
          <w:lang w:eastAsia="zh-CN"/>
        </w:rPr>
        <w:t>制定</w:t>
      </w:r>
      <w:r w:rsidRPr="002B67BD">
        <w:rPr>
          <w:lang w:eastAsia="zh-CN"/>
        </w:rPr>
        <w:t>稳定的国际电联</w:t>
      </w:r>
      <w:r w:rsidRPr="002B67BD">
        <w:rPr>
          <w:rFonts w:hint="eastAsia"/>
          <w:lang w:eastAsia="zh-CN"/>
        </w:rPr>
        <w:t>《</w:t>
      </w:r>
      <w:r w:rsidRPr="002B67BD">
        <w:rPr>
          <w:lang w:eastAsia="zh-CN"/>
        </w:rPr>
        <w:t>组织法</w:t>
      </w:r>
      <w:r w:rsidRPr="002B67BD">
        <w:rPr>
          <w:rFonts w:hint="eastAsia"/>
          <w:lang w:eastAsia="zh-CN"/>
        </w:rPr>
        <w:t>》</w:t>
      </w:r>
      <w:r w:rsidRPr="002B67BD">
        <w:rPr>
          <w:lang w:eastAsia="zh-CN"/>
        </w:rPr>
        <w:t>工作组</w:t>
      </w:r>
      <w:r>
        <w:rPr>
          <w:rFonts w:hint="eastAsia"/>
          <w:lang w:eastAsia="zh-CN"/>
        </w:rPr>
        <w:t>尽管付出了巨大的努力并表现出杰出的领导能力，并未产生拟议的条款精简的《组织法》。实际上，两百页报告所提供的是比现有《组织法》更加冗长而复杂的新的“稳定的</w:t>
      </w:r>
      <w:r w:rsidR="007A15D1">
        <w:rPr>
          <w:rFonts w:hint="eastAsia"/>
          <w:lang w:eastAsia="zh-CN"/>
        </w:rPr>
        <w:t>《</w:t>
      </w:r>
      <w:r>
        <w:rPr>
          <w:rFonts w:hint="eastAsia"/>
          <w:lang w:eastAsia="zh-CN"/>
        </w:rPr>
        <w:t>组织法</w:t>
      </w:r>
      <w:r w:rsidR="007A15D1">
        <w:rPr>
          <w:rFonts w:hint="eastAsia"/>
          <w:lang w:eastAsia="zh-CN"/>
        </w:rPr>
        <w:t>》</w:t>
      </w:r>
      <w:r>
        <w:rPr>
          <w:rFonts w:hint="eastAsia"/>
          <w:lang w:eastAsia="zh-CN"/>
        </w:rPr>
        <w:t>”</w:t>
      </w:r>
      <w:r w:rsidR="002F37D5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旨在发挥法律约束力但无须成员国核准、批准和加入的“其他文件”</w:t>
      </w:r>
      <w:r w:rsidR="007A15D1">
        <w:rPr>
          <w:rFonts w:hint="eastAsia"/>
          <w:lang w:eastAsia="zh-CN"/>
        </w:rPr>
        <w:t>的案文草案</w:t>
      </w:r>
      <w:r w:rsidR="002F37D5">
        <w:rPr>
          <w:rFonts w:hint="eastAsia"/>
          <w:lang w:eastAsia="zh-CN"/>
        </w:rPr>
        <w:t>。报告突出了若干</w:t>
      </w:r>
      <w:r w:rsidR="002F37D5" w:rsidRPr="002F5DCD">
        <w:rPr>
          <w:lang w:eastAsia="zh-CN"/>
        </w:rPr>
        <w:t>CWG-STB-CS</w:t>
      </w:r>
      <w:r w:rsidR="002F37D5">
        <w:rPr>
          <w:rFonts w:hint="eastAsia"/>
          <w:lang w:eastAsia="zh-CN"/>
        </w:rPr>
        <w:t>无法解决的问题，其中包括新的“稳定的《组织法》”、“其他文件”、《行政规则》和</w:t>
      </w:r>
      <w:r w:rsidR="007A15D1">
        <w:rPr>
          <w:rFonts w:hint="eastAsia"/>
          <w:lang w:eastAsia="zh-CN"/>
        </w:rPr>
        <w:t>有关</w:t>
      </w:r>
      <w:r w:rsidR="002F37D5">
        <w:rPr>
          <w:rFonts w:hint="eastAsia"/>
          <w:lang w:eastAsia="zh-CN"/>
        </w:rPr>
        <w:t>《大会、全会和会议的总规则》之间的层次划分和相互关系。</w:t>
      </w:r>
    </w:p>
    <w:p w:rsidR="00814B9B" w:rsidRPr="002F5DCD" w:rsidRDefault="002F37D5" w:rsidP="0051282F">
      <w:pPr>
        <w:pStyle w:val="Headingb"/>
        <w:rPr>
          <w:lang w:eastAsia="zh-CN"/>
        </w:rPr>
      </w:pPr>
      <w:r>
        <w:rPr>
          <w:rFonts w:hint="eastAsia"/>
          <w:lang w:eastAsia="zh-CN"/>
        </w:rPr>
        <w:t>讨论</w:t>
      </w:r>
    </w:p>
    <w:p w:rsidR="00814B9B" w:rsidRPr="002F5DCD" w:rsidRDefault="002F37D5" w:rsidP="005900F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上述成员国对按照第</w:t>
      </w:r>
      <w:r w:rsidRPr="002F5DCD">
        <w:rPr>
          <w:lang w:eastAsia="zh-CN"/>
        </w:rPr>
        <w:t>163</w:t>
      </w:r>
      <w:r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年，瓜达拉哈拉）成立的</w:t>
      </w:r>
      <w:r w:rsidR="00814B9B" w:rsidRPr="002F5DCD">
        <w:rPr>
          <w:lang w:eastAsia="zh-CN"/>
        </w:rPr>
        <w:t>CWG-STB-CS</w:t>
      </w:r>
      <w:r w:rsidR="007A15D1">
        <w:rPr>
          <w:rFonts w:hint="eastAsia"/>
          <w:lang w:eastAsia="zh-CN"/>
        </w:rPr>
        <w:t>开展的工作</w:t>
      </w:r>
      <w:r>
        <w:rPr>
          <w:rFonts w:hint="eastAsia"/>
          <w:lang w:eastAsia="zh-CN"/>
        </w:rPr>
        <w:t>表示赞赏。该组的成立旨在</w:t>
      </w:r>
      <w:r w:rsidR="00AE3BD5">
        <w:rPr>
          <w:rFonts w:hint="eastAsia"/>
          <w:lang w:eastAsia="zh-CN"/>
        </w:rPr>
        <w:t>为确保《组织法》的稳定提出机制。然而，我们认为，理事会工作组的成果表明，为实现稳定付出的努力在事实上可能导致法律文件稳定性的降低。</w:t>
      </w:r>
      <w:r w:rsidR="00AE3BD5" w:rsidRPr="002F5DCD">
        <w:rPr>
          <w:lang w:eastAsia="zh-CN"/>
        </w:rPr>
        <w:t>CWG-STB-CS</w:t>
      </w:r>
      <w:r w:rsidR="00AE3BD5">
        <w:rPr>
          <w:rFonts w:hint="eastAsia"/>
          <w:lang w:eastAsia="zh-CN"/>
        </w:rPr>
        <w:t>的经验表明，有关将基本和稳定案文移入新的“稳定的《组织法》”并将所有其他案文放入新的非</w:t>
      </w:r>
      <w:r w:rsidR="007A15D1">
        <w:rPr>
          <w:rFonts w:hint="eastAsia"/>
          <w:lang w:eastAsia="zh-CN"/>
        </w:rPr>
        <w:t>条约</w:t>
      </w:r>
      <w:r w:rsidR="00AE3BD5">
        <w:rPr>
          <w:rFonts w:hint="eastAsia"/>
          <w:lang w:eastAsia="zh-CN"/>
        </w:rPr>
        <w:t>性文件的第</w:t>
      </w:r>
      <w:r w:rsidR="00AE3BD5">
        <w:rPr>
          <w:rFonts w:hint="eastAsia"/>
          <w:lang w:eastAsia="zh-CN"/>
        </w:rPr>
        <w:t>163</w:t>
      </w:r>
      <w:r w:rsidR="00AE3BD5">
        <w:rPr>
          <w:rFonts w:hint="eastAsia"/>
          <w:lang w:eastAsia="zh-CN"/>
        </w:rPr>
        <w:t>号决议（</w:t>
      </w:r>
      <w:r w:rsidR="00AE3BD5">
        <w:rPr>
          <w:rFonts w:hint="eastAsia"/>
          <w:lang w:eastAsia="zh-CN"/>
        </w:rPr>
        <w:t>2010</w:t>
      </w:r>
      <w:r w:rsidR="007A15D1">
        <w:rPr>
          <w:rFonts w:hint="eastAsia"/>
          <w:lang w:eastAsia="zh-CN"/>
        </w:rPr>
        <w:t>年，瓜达拉哈拉）所确定的方式不但无法实现稳定</w:t>
      </w:r>
      <w:r w:rsidR="00AE3BD5">
        <w:rPr>
          <w:rFonts w:hint="eastAsia"/>
          <w:lang w:eastAsia="zh-CN"/>
        </w:rPr>
        <w:t>《组织法》的目标，而且还将对自</w:t>
      </w:r>
      <w:r w:rsidR="00AE3BD5">
        <w:rPr>
          <w:rFonts w:hint="eastAsia"/>
          <w:lang w:eastAsia="zh-CN"/>
        </w:rPr>
        <w:t>1992</w:t>
      </w:r>
      <w:r w:rsidR="00AE3BD5">
        <w:rPr>
          <w:rFonts w:hint="eastAsia"/>
          <w:lang w:eastAsia="zh-CN"/>
        </w:rPr>
        <w:t>年通过以来一直沿用的整套条约的稳定性造成实际影响。</w:t>
      </w:r>
    </w:p>
    <w:p w:rsidR="00814B9B" w:rsidRPr="002F5DCD" w:rsidRDefault="00AE3BD5" w:rsidP="0051282F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:rsidR="00814B9B" w:rsidRPr="002F5DCD" w:rsidRDefault="00AE3BD5" w:rsidP="005900F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上述成员国建议国际电联保留国际电联目前的法律文件框架，因此，建议对国际电联《组织法》第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条“不做修改”。</w:t>
      </w:r>
    </w:p>
    <w:p w:rsidR="00814B9B" w:rsidRPr="002F5DCD" w:rsidRDefault="001E6D33" w:rsidP="005900F1">
      <w:pPr>
        <w:ind w:firstLineChars="200" w:firstLine="48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lang w:eastAsia="zh-CN"/>
        </w:rPr>
        <w:t>《组织法》第</w:t>
      </w:r>
      <w:r>
        <w:rPr>
          <w:rFonts w:asciiTheme="minorHAnsi" w:hAnsiTheme="minorHAnsi" w:hint="eastAsia"/>
          <w:lang w:eastAsia="zh-CN"/>
        </w:rPr>
        <w:t>4</w:t>
      </w:r>
      <w:r>
        <w:rPr>
          <w:rFonts w:asciiTheme="minorHAnsi" w:hAnsiTheme="minorHAnsi" w:hint="eastAsia"/>
          <w:lang w:eastAsia="zh-CN"/>
        </w:rPr>
        <w:t>条对国际电联的法律文件、其相互关系及其之间的等级高下做出规定。为此，确定了</w:t>
      </w:r>
      <w:r w:rsidR="008C424D">
        <w:rPr>
          <w:rFonts w:asciiTheme="minorHAnsi" w:hAnsiTheme="minorHAnsi" w:hint="eastAsia"/>
          <w:lang w:eastAsia="zh-CN"/>
        </w:rPr>
        <w:t>当出现</w:t>
      </w:r>
      <w:r>
        <w:rPr>
          <w:rFonts w:asciiTheme="minorHAnsi" w:hAnsiTheme="minorHAnsi" w:hint="eastAsia"/>
          <w:lang w:eastAsia="zh-CN"/>
        </w:rPr>
        <w:t>条款不一致时</w:t>
      </w:r>
      <w:r w:rsidR="008C424D">
        <w:rPr>
          <w:rFonts w:asciiTheme="minorHAnsi" w:hAnsiTheme="minorHAnsi" w:hint="eastAsia"/>
          <w:lang w:eastAsia="zh-CN"/>
        </w:rPr>
        <w:t>可依据的法律文件。</w:t>
      </w:r>
      <w:r w:rsidR="008C424D">
        <w:rPr>
          <w:rFonts w:asciiTheme="minorHAnsi" w:hAnsiTheme="minorHAnsi" w:hint="eastAsia"/>
          <w:lang w:eastAsia="zh-CN"/>
        </w:rPr>
        <w:t xml:space="preserve"> </w:t>
      </w:r>
      <w:r w:rsidR="008C424D">
        <w:rPr>
          <w:rFonts w:asciiTheme="minorHAnsi" w:hAnsiTheme="minorHAnsi" w:hint="eastAsia"/>
          <w:lang w:eastAsia="zh-CN"/>
        </w:rPr>
        <w:t>采用目前措辞的第</w:t>
      </w:r>
      <w:r w:rsidR="008C424D">
        <w:rPr>
          <w:rFonts w:asciiTheme="minorHAnsi" w:hAnsiTheme="minorHAnsi" w:hint="eastAsia"/>
          <w:lang w:eastAsia="zh-CN"/>
        </w:rPr>
        <w:t>4</w:t>
      </w:r>
      <w:r w:rsidR="008C424D">
        <w:rPr>
          <w:rFonts w:asciiTheme="minorHAnsi" w:hAnsiTheme="minorHAnsi" w:hint="eastAsia"/>
          <w:lang w:eastAsia="zh-CN"/>
        </w:rPr>
        <w:t>条是维护国际电联稳定的法律文件的基石。</w:t>
      </w:r>
      <w:r w:rsidR="008C424D">
        <w:rPr>
          <w:rFonts w:asciiTheme="minorHAnsi" w:hAnsiTheme="minorHAnsi" w:hint="eastAsia"/>
          <w:lang w:eastAsia="zh-CN"/>
        </w:rPr>
        <w:t xml:space="preserve"> </w:t>
      </w:r>
      <w:r w:rsidR="008C424D">
        <w:rPr>
          <w:rFonts w:asciiTheme="minorHAnsi" w:hAnsiTheme="minorHAnsi" w:hint="eastAsia"/>
          <w:lang w:eastAsia="zh-CN"/>
        </w:rPr>
        <w:t>据此，我们建议不对此重要条款做出任何修改。</w:t>
      </w:r>
    </w:p>
    <w:p w:rsidR="00476923" w:rsidRDefault="00476923" w:rsidP="005900F1">
      <w:pPr>
        <w:rPr>
          <w:lang w:val="en-US" w:eastAsia="zh-CN"/>
        </w:rPr>
      </w:pPr>
    </w:p>
    <w:tbl>
      <w:tblPr>
        <w:tblW w:w="9810" w:type="dxa"/>
        <w:tblLayout w:type="fixed"/>
        <w:tblLook w:val="0100" w:firstRow="0" w:lastRow="0" w:firstColumn="0" w:lastColumn="1" w:noHBand="0" w:noVBand="0"/>
      </w:tblPr>
      <w:tblGrid>
        <w:gridCol w:w="1985"/>
        <w:gridCol w:w="7825"/>
      </w:tblGrid>
      <w:tr w:rsidR="00F80F13" w:rsidRPr="005B5D60" w:rsidTr="00DB5DBA">
        <w:tc>
          <w:tcPr>
            <w:tcW w:w="1985" w:type="dxa"/>
            <w:tcMar>
              <w:left w:w="108" w:type="dxa"/>
              <w:right w:w="108" w:type="dxa"/>
            </w:tcMar>
          </w:tcPr>
          <w:p w:rsidR="00F80F13" w:rsidRPr="00595BE0" w:rsidRDefault="0051282F" w:rsidP="005900F1">
            <w:pPr>
              <w:pStyle w:val="VolumeTitleS2"/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F80F13" w:rsidRPr="008F13B2" w:rsidRDefault="001F169A" w:rsidP="005900F1">
            <w:pPr>
              <w:pStyle w:val="VolumeTitle"/>
              <w:rPr>
                <w:rFonts w:eastAsia="SimSun"/>
              </w:rPr>
            </w:pPr>
            <w:r w:rsidRPr="008F13B2">
              <w:rPr>
                <w:rFonts w:eastAsia="SimSun" w:hint="eastAsia"/>
              </w:rPr>
              <w:t>《国际电信联盟组织法》</w:t>
            </w:r>
          </w:p>
        </w:tc>
      </w:tr>
      <w:tr w:rsidR="00B273AB" w:rsidTr="00DB5DBA">
        <w:tc>
          <w:tcPr>
            <w:tcW w:w="1985" w:type="dxa"/>
            <w:tcMar>
              <w:left w:w="108" w:type="dxa"/>
              <w:right w:w="108" w:type="dxa"/>
            </w:tcMar>
          </w:tcPr>
          <w:p w:rsidR="00B273AB" w:rsidRDefault="0051282F" w:rsidP="005900F1">
            <w:pPr>
              <w:pStyle w:val="ChapNoS2"/>
              <w:rPr>
                <w:lang w:eastAsia="zh-CN"/>
              </w:rPr>
            </w:pPr>
          </w:p>
          <w:p w:rsidR="00B273AB" w:rsidRPr="0024553B" w:rsidRDefault="0051282F" w:rsidP="005900F1">
            <w:pPr>
              <w:pStyle w:val="ChaptitleS2"/>
              <w:rPr>
                <w:lang w:eastAsia="zh-CN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76565D" w:rsidRDefault="001F169A" w:rsidP="005900F1">
            <w:pPr>
              <w:pStyle w:val="ChapNo"/>
              <w:rPr>
                <w:lang w:val="fr-FR" w:eastAsia="zh-CN"/>
              </w:rPr>
            </w:pPr>
            <w:bookmarkStart w:id="8" w:name="_Toc37575190"/>
            <w:r>
              <w:rPr>
                <w:rFonts w:hint="eastAsia"/>
                <w:lang w:val="fr-FR" w:eastAsia="zh-CN"/>
              </w:rPr>
              <w:t>第</w:t>
            </w:r>
            <w:r>
              <w:rPr>
                <w:lang w:val="fr-FR" w:eastAsia="zh-CN"/>
              </w:rPr>
              <w:t xml:space="preserve"> </w:t>
            </w:r>
            <w:bookmarkEnd w:id="8"/>
            <w:r>
              <w:rPr>
                <w:rFonts w:hint="eastAsia"/>
                <w:lang w:val="fr-FR" w:eastAsia="zh-CN"/>
              </w:rPr>
              <w:t>一</w:t>
            </w:r>
            <w:r>
              <w:rPr>
                <w:rFonts w:hint="eastAsia"/>
                <w:lang w:val="fr-FR" w:eastAsia="zh-CN"/>
              </w:rPr>
              <w:t xml:space="preserve"> </w:t>
            </w:r>
            <w:r>
              <w:rPr>
                <w:rFonts w:hint="eastAsia"/>
                <w:lang w:val="fr-FR" w:eastAsia="zh-CN"/>
              </w:rPr>
              <w:t>章</w:t>
            </w:r>
          </w:p>
          <w:p w:rsidR="00B273AB" w:rsidRPr="0024553B" w:rsidRDefault="001F169A" w:rsidP="005900F1">
            <w:pPr>
              <w:pStyle w:val="Chaptitle"/>
            </w:pPr>
            <w:r w:rsidRPr="005D7C50">
              <w:rPr>
                <w:rFonts w:hint="eastAsia"/>
                <w:lang w:val="fr-FR" w:eastAsia="zh-CN"/>
              </w:rPr>
              <w:t>基本条款</w:t>
            </w:r>
          </w:p>
        </w:tc>
      </w:tr>
    </w:tbl>
    <w:p w:rsidR="005F1297" w:rsidRDefault="001F169A" w:rsidP="005900F1">
      <w:pPr>
        <w:pStyle w:val="Proposal"/>
      </w:pPr>
      <w:r>
        <w:rPr>
          <w:u w:val="single"/>
        </w:rPr>
        <w:t>NOC</w:t>
      </w:r>
      <w:r>
        <w:tab/>
        <w:t>B/CAN/CLM/USA/31/1</w:t>
      </w:r>
    </w:p>
    <w:tbl>
      <w:tblPr>
        <w:tblW w:w="9810" w:type="dxa"/>
        <w:tblLayout w:type="fixed"/>
        <w:tblLook w:val="0100" w:firstRow="0" w:lastRow="0" w:firstColumn="0" w:lastColumn="1" w:noHBand="0" w:noVBand="0"/>
      </w:tblPr>
      <w:tblGrid>
        <w:gridCol w:w="1985"/>
        <w:gridCol w:w="7825"/>
      </w:tblGrid>
      <w:tr w:rsidR="00B273AB" w:rsidRPr="00861F5C" w:rsidTr="00DB5DBA">
        <w:tc>
          <w:tcPr>
            <w:tcW w:w="1985" w:type="dxa"/>
            <w:tcMar>
              <w:left w:w="108" w:type="dxa"/>
              <w:right w:w="108" w:type="dxa"/>
            </w:tcMar>
          </w:tcPr>
          <w:p w:rsidR="00B273AB" w:rsidRDefault="0051282F" w:rsidP="005900F1">
            <w:pPr>
              <w:pStyle w:val="ArtNoS2"/>
              <w:rPr>
                <w:lang w:eastAsia="zh-CN"/>
              </w:rPr>
            </w:pPr>
          </w:p>
          <w:p w:rsidR="00B273AB" w:rsidRPr="00D35EC2" w:rsidRDefault="0051282F" w:rsidP="005900F1">
            <w:pPr>
              <w:pStyle w:val="ArttitleS2"/>
              <w:rPr>
                <w:lang w:eastAsia="zh-CN"/>
              </w:rPr>
            </w:pPr>
          </w:p>
        </w:tc>
        <w:tc>
          <w:tcPr>
            <w:tcW w:w="7825" w:type="dxa"/>
            <w:tcMar>
              <w:left w:w="108" w:type="dxa"/>
              <w:right w:w="108" w:type="dxa"/>
            </w:tcMar>
          </w:tcPr>
          <w:p w:rsidR="009B4CA2" w:rsidRDefault="001F169A" w:rsidP="005900F1">
            <w:pPr>
              <w:pStyle w:val="ArtNo"/>
              <w:rPr>
                <w:lang w:eastAsia="zh-CN"/>
              </w:rPr>
            </w:pPr>
            <w:bookmarkStart w:id="9" w:name="_Toc37575198"/>
            <w:r w:rsidRPr="003D1DA1">
              <w:rPr>
                <w:rFonts w:hint="eastAsia"/>
              </w:rPr>
              <w:t>第</w:t>
            </w:r>
            <w:r w:rsidRPr="003D1DA1">
              <w:t xml:space="preserve"> 4</w:t>
            </w:r>
            <w:bookmarkEnd w:id="9"/>
            <w:r w:rsidRPr="003D1DA1">
              <w:t xml:space="preserve"> </w:t>
            </w:r>
            <w:r w:rsidRPr="003D1DA1">
              <w:rPr>
                <w:rFonts w:hint="eastAsia"/>
              </w:rPr>
              <w:t>条</w:t>
            </w:r>
          </w:p>
          <w:p w:rsidR="00B273AB" w:rsidRPr="00D35EC2" w:rsidRDefault="001F169A" w:rsidP="005900F1">
            <w:pPr>
              <w:pStyle w:val="Arttitle"/>
            </w:pPr>
            <w:r w:rsidRPr="003D1DA1">
              <w:rPr>
                <w:rFonts w:hint="eastAsia"/>
              </w:rPr>
              <w:t>国际电联的</w:t>
            </w:r>
            <w:bookmarkStart w:id="10" w:name="_GoBack"/>
            <w:bookmarkEnd w:id="10"/>
            <w:r w:rsidRPr="003D1DA1">
              <w:rPr>
                <w:rFonts w:hint="eastAsia"/>
              </w:rPr>
              <w:t>法规</w:t>
            </w:r>
          </w:p>
        </w:tc>
      </w:tr>
    </w:tbl>
    <w:p w:rsidR="005F1297" w:rsidRDefault="005F1297" w:rsidP="005900F1">
      <w:pPr>
        <w:pStyle w:val="Reasons"/>
        <w:rPr>
          <w:lang w:eastAsia="zh-CN"/>
        </w:rPr>
      </w:pPr>
    </w:p>
    <w:p w:rsidR="00814B9B" w:rsidRDefault="00814B9B" w:rsidP="005900F1">
      <w:pPr>
        <w:pStyle w:val="Reasons"/>
        <w:rPr>
          <w:lang w:eastAsia="zh-CN"/>
        </w:rPr>
      </w:pPr>
    </w:p>
    <w:p w:rsidR="00415847" w:rsidRDefault="00415847" w:rsidP="005900F1">
      <w:pPr>
        <w:pStyle w:val="Reasons"/>
      </w:pPr>
    </w:p>
    <w:p w:rsidR="00415847" w:rsidRDefault="00415847" w:rsidP="005900F1">
      <w:pPr>
        <w:jc w:val="center"/>
      </w:pPr>
      <w:r>
        <w:t>______________</w:t>
      </w:r>
    </w:p>
    <w:sectPr w:rsidR="00415847" w:rsidSect="00BA20B6">
      <w:headerReference w:type="default" r:id="rId12"/>
      <w:footerReference w:type="default" r:id="rId13"/>
      <w:footerReference w:type="first" r:id="rId14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A6" w:rsidRDefault="000105A6">
      <w:r>
        <w:separator/>
      </w:r>
    </w:p>
  </w:endnote>
  <w:endnote w:type="continuationSeparator" w:id="0">
    <w:p w:rsidR="000105A6" w:rsidRDefault="0001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Kaiti">
    <w:altName w:val="MS Mincho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58F" w:rsidRPr="00064A28" w:rsidRDefault="0051282F" w:rsidP="00064A28">
    <w:pPr>
      <w:pStyle w:val="Footer"/>
      <w:rPr>
        <w:lang w:eastAsia="zh-CN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P:\CHI\SG\CONF-SG\PP14\000\031C.docx</w:t>
    </w:r>
    <w:r>
      <w:fldChar w:fldCharType="end"/>
    </w:r>
    <w:r w:rsidR="00064A28">
      <w:rPr>
        <w:rFonts w:hint="eastAsia"/>
        <w:lang w:eastAsia="zh-CN"/>
      </w:rPr>
      <w:t xml:space="preserve"> (359282)</w:t>
    </w:r>
    <w:r w:rsidR="00064A28">
      <w:tab/>
    </w:r>
    <w:r w:rsidR="00064A28">
      <w:fldChar w:fldCharType="begin"/>
    </w:r>
    <w:r w:rsidR="00064A28">
      <w:instrText xml:space="preserve"> SAVEDATE \@ DD.MM.YY </w:instrText>
    </w:r>
    <w:r w:rsidR="00064A28">
      <w:fldChar w:fldCharType="separate"/>
    </w:r>
    <w:r>
      <w:t>26.03.14</w:t>
    </w:r>
    <w:r w:rsidR="00064A28">
      <w:fldChar w:fldCharType="end"/>
    </w:r>
    <w:r w:rsidR="00064A28">
      <w:tab/>
    </w:r>
    <w:r w:rsidR="00064A28">
      <w:fldChar w:fldCharType="begin"/>
    </w:r>
    <w:r w:rsidR="00064A28">
      <w:instrText xml:space="preserve"> PRINTDATE \@ DD.MM.YY </w:instrText>
    </w:r>
    <w:r w:rsidR="00064A28">
      <w:fldChar w:fldCharType="separate"/>
    </w:r>
    <w:r>
      <w:t>00.00.00</w:t>
    </w:r>
    <w:r w:rsidR="00064A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7B558F" w:rsidRDefault="007B558F" w:rsidP="002155B0">
    <w:pPr>
      <w:pStyle w:val="FirstFooter"/>
      <w:jc w:val="center"/>
    </w:pPr>
  </w:p>
  <w:p w:rsidR="007B558F" w:rsidRDefault="0051282F" w:rsidP="00064A28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P:\CHI\SG\CONF-SG\PP14\000\031C.docx</w:t>
    </w:r>
    <w:r>
      <w:fldChar w:fldCharType="end"/>
    </w:r>
    <w:r w:rsidR="00064A28">
      <w:rPr>
        <w:rFonts w:hint="eastAsia"/>
      </w:rPr>
      <w:t xml:space="preserve"> (359282)</w:t>
    </w:r>
    <w:r w:rsidR="00064A28">
      <w:tab/>
    </w:r>
    <w:r w:rsidR="00064A28">
      <w:fldChar w:fldCharType="begin"/>
    </w:r>
    <w:r w:rsidR="00064A28">
      <w:instrText xml:space="preserve"> SAVEDATE \@ DD.MM.YY </w:instrText>
    </w:r>
    <w:r w:rsidR="00064A28">
      <w:fldChar w:fldCharType="separate"/>
    </w:r>
    <w:r>
      <w:t>26.03.14</w:t>
    </w:r>
    <w:r w:rsidR="00064A28">
      <w:fldChar w:fldCharType="end"/>
    </w:r>
    <w:r w:rsidR="00064A28">
      <w:tab/>
    </w:r>
    <w:r w:rsidR="00064A28">
      <w:fldChar w:fldCharType="begin"/>
    </w:r>
    <w:r w:rsidR="00064A28">
      <w:instrText xml:space="preserve"> PRINTDATE \@ DD.MM.YY </w:instrText>
    </w:r>
    <w:r w:rsidR="00064A28">
      <w:fldChar w:fldCharType="separate"/>
    </w:r>
    <w:r>
      <w:t>00.00.00</w:t>
    </w:r>
    <w:r w:rsidR="00064A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A6" w:rsidRDefault="000105A6">
      <w:r>
        <w:t>____________________</w:t>
      </w:r>
    </w:p>
  </w:footnote>
  <w:footnote w:type="continuationSeparator" w:id="0">
    <w:p w:rsidR="000105A6" w:rsidRDefault="00010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E5" w:rsidRDefault="00C710E5" w:rsidP="00C710E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51282F">
      <w:rPr>
        <w:noProof/>
      </w:rPr>
      <w:t>2</w:t>
    </w:r>
    <w:r>
      <w:fldChar w:fldCharType="end"/>
    </w:r>
  </w:p>
  <w:p w:rsidR="00C710E5" w:rsidRPr="00C710E5" w:rsidRDefault="00C710E5" w:rsidP="00C710E5">
    <w:pPr>
      <w:pStyle w:val="Header"/>
    </w:pPr>
    <w:r>
      <w:t>PP14/31-</w:t>
    </w:r>
    <w:r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05A6"/>
    <w:rsid w:val="000134DB"/>
    <w:rsid w:val="00014808"/>
    <w:rsid w:val="00040A47"/>
    <w:rsid w:val="00057B6E"/>
    <w:rsid w:val="00064A28"/>
    <w:rsid w:val="00076062"/>
    <w:rsid w:val="0009673E"/>
    <w:rsid w:val="000C4701"/>
    <w:rsid w:val="000E4C7A"/>
    <w:rsid w:val="000F68C6"/>
    <w:rsid w:val="00124C8F"/>
    <w:rsid w:val="00125484"/>
    <w:rsid w:val="00126FE1"/>
    <w:rsid w:val="0013327E"/>
    <w:rsid w:val="00137909"/>
    <w:rsid w:val="0014254A"/>
    <w:rsid w:val="00167FD3"/>
    <w:rsid w:val="00171990"/>
    <w:rsid w:val="00171B68"/>
    <w:rsid w:val="001A0EEB"/>
    <w:rsid w:val="001A4A66"/>
    <w:rsid w:val="001B25D1"/>
    <w:rsid w:val="001D7454"/>
    <w:rsid w:val="001E6D33"/>
    <w:rsid w:val="001F169A"/>
    <w:rsid w:val="002043DD"/>
    <w:rsid w:val="00214F02"/>
    <w:rsid w:val="002155B0"/>
    <w:rsid w:val="00226B70"/>
    <w:rsid w:val="00231ABC"/>
    <w:rsid w:val="00241DDB"/>
    <w:rsid w:val="002578B4"/>
    <w:rsid w:val="002A0F5C"/>
    <w:rsid w:val="002A2125"/>
    <w:rsid w:val="002B39F5"/>
    <w:rsid w:val="002B67BD"/>
    <w:rsid w:val="002E37AF"/>
    <w:rsid w:val="002F37D5"/>
    <w:rsid w:val="00307225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3B74F0"/>
    <w:rsid w:val="004014B0"/>
    <w:rsid w:val="00414872"/>
    <w:rsid w:val="00415847"/>
    <w:rsid w:val="00426AC1"/>
    <w:rsid w:val="0045019C"/>
    <w:rsid w:val="004676C0"/>
    <w:rsid w:val="00476923"/>
    <w:rsid w:val="00476CAF"/>
    <w:rsid w:val="00485E71"/>
    <w:rsid w:val="004A0FD5"/>
    <w:rsid w:val="004C2CF2"/>
    <w:rsid w:val="004D3182"/>
    <w:rsid w:val="005061F9"/>
    <w:rsid w:val="0051282F"/>
    <w:rsid w:val="00517E65"/>
    <w:rsid w:val="005356FD"/>
    <w:rsid w:val="00542073"/>
    <w:rsid w:val="00552BA5"/>
    <w:rsid w:val="00554E24"/>
    <w:rsid w:val="00564B8D"/>
    <w:rsid w:val="00567130"/>
    <w:rsid w:val="005900F1"/>
    <w:rsid w:val="00596A53"/>
    <w:rsid w:val="005A6A1D"/>
    <w:rsid w:val="005C1E39"/>
    <w:rsid w:val="005E4794"/>
    <w:rsid w:val="005F1297"/>
    <w:rsid w:val="005F67CE"/>
    <w:rsid w:val="00617BE4"/>
    <w:rsid w:val="00622189"/>
    <w:rsid w:val="0067125A"/>
    <w:rsid w:val="00680265"/>
    <w:rsid w:val="006A0092"/>
    <w:rsid w:val="006E57C8"/>
    <w:rsid w:val="006E6BA4"/>
    <w:rsid w:val="006F0211"/>
    <w:rsid w:val="00722343"/>
    <w:rsid w:val="007235A4"/>
    <w:rsid w:val="0073319E"/>
    <w:rsid w:val="00750829"/>
    <w:rsid w:val="00770CF8"/>
    <w:rsid w:val="007917DE"/>
    <w:rsid w:val="007A15D1"/>
    <w:rsid w:val="007B558F"/>
    <w:rsid w:val="007C3E54"/>
    <w:rsid w:val="007C4DC3"/>
    <w:rsid w:val="007D7764"/>
    <w:rsid w:val="00814482"/>
    <w:rsid w:val="00814B9B"/>
    <w:rsid w:val="008160BF"/>
    <w:rsid w:val="008433E4"/>
    <w:rsid w:val="00850AEF"/>
    <w:rsid w:val="008652E7"/>
    <w:rsid w:val="008726C7"/>
    <w:rsid w:val="00873D04"/>
    <w:rsid w:val="008B44F5"/>
    <w:rsid w:val="008C424D"/>
    <w:rsid w:val="008D3BE2"/>
    <w:rsid w:val="008D7300"/>
    <w:rsid w:val="008E2996"/>
    <w:rsid w:val="008E4324"/>
    <w:rsid w:val="008E45D4"/>
    <w:rsid w:val="008E6AE7"/>
    <w:rsid w:val="008E6BC6"/>
    <w:rsid w:val="00904E65"/>
    <w:rsid w:val="00905B6A"/>
    <w:rsid w:val="009361C2"/>
    <w:rsid w:val="00950E0F"/>
    <w:rsid w:val="0099173A"/>
    <w:rsid w:val="009A47A2"/>
    <w:rsid w:val="009C4B97"/>
    <w:rsid w:val="009D1E93"/>
    <w:rsid w:val="00A03693"/>
    <w:rsid w:val="00A23536"/>
    <w:rsid w:val="00A6085C"/>
    <w:rsid w:val="00A62DA7"/>
    <w:rsid w:val="00A865E4"/>
    <w:rsid w:val="00AC79BA"/>
    <w:rsid w:val="00AD1198"/>
    <w:rsid w:val="00AD2C62"/>
    <w:rsid w:val="00AE3BD5"/>
    <w:rsid w:val="00AE49B9"/>
    <w:rsid w:val="00AF45E1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80ED9"/>
    <w:rsid w:val="00C925D8"/>
    <w:rsid w:val="00C948C8"/>
    <w:rsid w:val="00CA38C9"/>
    <w:rsid w:val="00CA3AF2"/>
    <w:rsid w:val="00CA401B"/>
    <w:rsid w:val="00CB1CAA"/>
    <w:rsid w:val="00CB57E1"/>
    <w:rsid w:val="00CB66EF"/>
    <w:rsid w:val="00CE40BB"/>
    <w:rsid w:val="00CF05C0"/>
    <w:rsid w:val="00D2057D"/>
    <w:rsid w:val="00D215E8"/>
    <w:rsid w:val="00D57C64"/>
    <w:rsid w:val="00D65220"/>
    <w:rsid w:val="00D70FF1"/>
    <w:rsid w:val="00D82A9F"/>
    <w:rsid w:val="00D97614"/>
    <w:rsid w:val="00DD26B1"/>
    <w:rsid w:val="00DF23FC"/>
    <w:rsid w:val="00DF39CD"/>
    <w:rsid w:val="00DF51DD"/>
    <w:rsid w:val="00E121F2"/>
    <w:rsid w:val="00E26F09"/>
    <w:rsid w:val="00E56E57"/>
    <w:rsid w:val="00EA1C26"/>
    <w:rsid w:val="00EF2642"/>
    <w:rsid w:val="00EF3681"/>
    <w:rsid w:val="00EF5523"/>
    <w:rsid w:val="00F00FD0"/>
    <w:rsid w:val="00F02A26"/>
    <w:rsid w:val="00F03B04"/>
    <w:rsid w:val="00F20BC2"/>
    <w:rsid w:val="00F24F0A"/>
    <w:rsid w:val="00F342E4"/>
    <w:rsid w:val="00F44613"/>
    <w:rsid w:val="00F46EB8"/>
    <w:rsid w:val="00F574D8"/>
    <w:rsid w:val="00FC53DB"/>
    <w:rsid w:val="00FC63DE"/>
    <w:rsid w:val="00FD7B1D"/>
    <w:rsid w:val="00F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D70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FC53DB"/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FC53DB"/>
    <w:rPr>
      <w:rFonts w:cs="Times New Roman Bold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qFormat/>
    <w:rsid w:val="00A865E4"/>
    <w:pPr>
      <w:jc w:val="center"/>
    </w:pPr>
    <w:rPr>
      <w:rFonts w:eastAsiaTheme="minorEastAsia"/>
      <w:b/>
      <w:sz w:val="32"/>
    </w:rPr>
  </w:style>
  <w:style w:type="paragraph" w:customStyle="1" w:styleId="OPtitle">
    <w:name w:val="OP_title"/>
    <w:basedOn w:val="Normal"/>
    <w:next w:val="Normalaftertitle"/>
    <w:qFormat/>
    <w:rsid w:val="00A865E4"/>
    <w:pPr>
      <w:jc w:val="center"/>
    </w:pPr>
    <w:rPr>
      <w:rFonts w:eastAsiaTheme="minorEastAsia"/>
      <w:b/>
    </w:rPr>
  </w:style>
  <w:style w:type="paragraph" w:customStyle="1" w:styleId="VolumeTitle">
    <w:name w:val="VolumeTitle"/>
    <w:basedOn w:val="Normal"/>
    <w:next w:val="Normal"/>
    <w:rsid w:val="002043D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D70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278602c-bb19-4ed7-89df-f4d80fb9f45c" targetNamespace="http://schemas.microsoft.com/office/2006/metadata/properties" ma:root="true" ma:fieldsID="d41af5c836d734370eb92e7ee5f83852" ns2:_="" ns3:_="">
    <xsd:import namespace="996b2e75-67fd-4955-a3b0-5ab9934cb50b"/>
    <xsd:import namespace="2278602c-bb19-4ed7-89df-f4d80fb9f45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8602c-bb19-4ed7-89df-f4d80fb9f45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278602c-bb19-4ed7-89df-f4d80fb9f45c">Documents Proposals Manager (DPM)</DPM_x0020_Author>
    <DPM_x0020_File_x0020_name xmlns="2278602c-bb19-4ed7-89df-f4d80fb9f45c">S14-PP-C-0031!!MSW-C</DPM_x0020_File_x0020_name>
    <DPM_x0020_Version xmlns="2278602c-bb19-4ed7-89df-f4d80fb9f45c">DPM_v5.7.0.6_prod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278602c-bb19-4ed7-89df-f4d80fb9f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996b2e75-67fd-4955-a3b0-5ab9934cb50b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278602c-bb19-4ed7-89df-f4d80fb9f45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6FF751-C4BA-4849-A3CD-3A5BCF764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177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S14-PP-C-0031!!MSW-C</vt:lpstr>
    </vt:vector>
  </TitlesOfParts>
  <LinksUpToDate>false</LinksUpToDate>
  <CharactersWithSpaces>1129</CharactersWithSpaces>
  <SharedDoc>false</SharedDoc>
  <HyperlinkBase>http://www.itu.int/en/plenipotentiary/2014/Pages/about.aspx</HyperlinkBase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S14-PP-C-0031!!MSW-C</dc:title>
  <dc:subject>Plenipotentiary Conference (PP-14)</dc:subject>
  <dc:creator/>
  <cp:keywords>DPM_v5.7.0.6_prod</cp:keywords>
  <cp:lastModifiedBy/>
  <cp:revision>1</cp:revision>
  <dcterms:created xsi:type="dcterms:W3CDTF">2014-03-26T10:27:00Z</dcterms:created>
  <dcterms:modified xsi:type="dcterms:W3CDTF">2014-04-07T12:01:00Z</dcterms:modified>
  <cp:category>Conference document</cp:category>
</cp:coreProperties>
</file>