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88EE0D9" wp14:editId="6C5487D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D91750" w:rsidP="00D91750">
            <w:pPr>
              <w:tabs>
                <w:tab w:val="left" w:pos="851"/>
              </w:tabs>
              <w:spacing w:before="0"/>
              <w:rPr>
                <w:rFonts w:cstheme="minorHAnsi"/>
                <w:b/>
                <w:szCs w:val="24"/>
              </w:rPr>
            </w:pPr>
            <w:r>
              <w:rPr>
                <w:rFonts w:cstheme="minorHAnsi"/>
                <w:b/>
                <w:szCs w:val="24"/>
              </w:rPr>
              <w:t>Document 29</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65768D">
            <w:pPr>
              <w:spacing w:before="0"/>
              <w:rPr>
                <w:rFonts w:cstheme="minorHAnsi"/>
                <w:szCs w:val="24"/>
              </w:rPr>
            </w:pPr>
            <w:r w:rsidRPr="00D96B4B">
              <w:rPr>
                <w:rFonts w:cstheme="minorHAnsi"/>
                <w:b/>
                <w:szCs w:val="24"/>
              </w:rPr>
              <w:t>1</w:t>
            </w:r>
            <w:r w:rsidR="0065768D">
              <w:rPr>
                <w:rFonts w:cstheme="minorHAnsi"/>
                <w:b/>
                <w:szCs w:val="24"/>
              </w:rPr>
              <w:t>8</w:t>
            </w:r>
            <w:r w:rsidRPr="00D96B4B">
              <w:rPr>
                <w:rFonts w:cstheme="minorHAnsi"/>
                <w:b/>
                <w:szCs w:val="24"/>
              </w:rPr>
              <w:t xml:space="preserve"> February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r w:rsidR="00D91750">
              <w:rPr>
                <w:rFonts w:cstheme="minorHAnsi"/>
                <w:b/>
                <w:szCs w:val="24"/>
              </w:rPr>
              <w:t>/Spanish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Argentina/Brazil/Canada/Uruguay</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Pr="00D91750" w:rsidRDefault="00D91750" w:rsidP="00D91750">
            <w:pPr>
              <w:pStyle w:val="Title2"/>
            </w:pPr>
            <w:r w:rsidRPr="00D91750">
              <w:t>DUTIES AND FUNCTIONS OF THE DEPUTY SECRETARY-GENERAL</w:t>
            </w:r>
          </w:p>
        </w:tc>
      </w:tr>
      <w:tr w:rsidR="001A16ED" w:rsidRPr="00C324A8" w:rsidTr="006A046E">
        <w:trPr>
          <w:cantSplit/>
          <w:trHeight w:val="23"/>
        </w:trPr>
        <w:tc>
          <w:tcPr>
            <w:tcW w:w="10031" w:type="dxa"/>
            <w:gridSpan w:val="2"/>
            <w:shd w:val="clear" w:color="auto" w:fill="auto"/>
          </w:tcPr>
          <w:p w:rsidR="001A16ED" w:rsidRDefault="001A16ED" w:rsidP="006A046E">
            <w:pPr>
              <w:pStyle w:val="Agendaitem"/>
            </w:pPr>
          </w:p>
        </w:tc>
      </w:tr>
    </w:tbl>
    <w:bookmarkEnd w:id="7"/>
    <w:bookmarkEnd w:id="8"/>
    <w:p w:rsidR="001A16ED" w:rsidRDefault="00D91750" w:rsidP="00D91750">
      <w:pPr>
        <w:pStyle w:val="Heading1"/>
      </w:pPr>
      <w:r>
        <w:t>Background</w:t>
      </w:r>
    </w:p>
    <w:p w:rsidR="00D91750" w:rsidRPr="004640B8" w:rsidRDefault="00D91750" w:rsidP="00AB2D04">
      <w:pPr>
        <w:rPr>
          <w:szCs w:val="24"/>
          <w:lang w:val="en-CA"/>
        </w:rPr>
      </w:pPr>
      <w:r w:rsidRPr="004640B8">
        <w:rPr>
          <w:szCs w:val="24"/>
          <w:lang w:val="en-CA"/>
        </w:rPr>
        <w:t xml:space="preserve">The duties and responsibilities of the elected officials are outlined in the relevant Articles of the Constitution and Convention, namely Article 11 of the Constitution and Article 5 of the Convention for the Secretary-General, CV Article 12 for the Director of the </w:t>
      </w:r>
      <w:proofErr w:type="spellStart"/>
      <w:r w:rsidRPr="004640B8">
        <w:rPr>
          <w:szCs w:val="24"/>
          <w:lang w:val="en-CA"/>
        </w:rPr>
        <w:t>Radiocommunication</w:t>
      </w:r>
      <w:proofErr w:type="spellEnd"/>
      <w:r w:rsidRPr="004640B8">
        <w:rPr>
          <w:szCs w:val="24"/>
          <w:lang w:val="en-CA"/>
        </w:rPr>
        <w:t xml:space="preserve"> Bureau, CV Article 18 for the Director of the Telecommunication Development Bureau, and CV Article 15 for the Director of the Telecommunication Standardization Bureau.</w:t>
      </w:r>
    </w:p>
    <w:p w:rsidR="00D91750" w:rsidRPr="004640B8" w:rsidRDefault="00D91750" w:rsidP="00EB3078">
      <w:pPr>
        <w:rPr>
          <w:szCs w:val="24"/>
          <w:lang w:val="en-CA"/>
        </w:rPr>
      </w:pPr>
      <w:r w:rsidRPr="004640B8">
        <w:rPr>
          <w:szCs w:val="24"/>
          <w:lang w:val="en-CA"/>
        </w:rPr>
        <w:t xml:space="preserve">With reference to Article 11 of the Constitution and Article 5 of the Convention, the functions of the Deputy Secretary-General are only specified in terms of acting on behalf of the Secretary-General in his absence. With the exception of a general description of duties in Resolution 148 (Antalya, 2006), </w:t>
      </w:r>
      <w:r w:rsidRPr="004640B8">
        <w:rPr>
          <w:i/>
          <w:szCs w:val="24"/>
          <w:lang w:val="en-CA"/>
        </w:rPr>
        <w:t>Tasks and functions of the Deputy Secretary-General,</w:t>
      </w:r>
      <w:r w:rsidRPr="004640B8">
        <w:rPr>
          <w:szCs w:val="24"/>
          <w:lang w:val="en-CA"/>
        </w:rPr>
        <w:t xml:space="preserve"> there is no specific reference in the Basic Instruments of the management responsibilities of the Deputy Secretary-General, with the exception of a note that the Secretary-General should partially delegate the management functions of the Union to the Deputy. Moreover, it is resolved that, in the interests of greater transparency and efficiency in the management of the Union, the tasks of the Deputy Secretary-General, consistent with the Basic Instruments, should be set out in order to create clear operational and management responsibilities.</w:t>
      </w:r>
    </w:p>
    <w:p w:rsidR="004640B8" w:rsidRDefault="004640B8">
      <w:pPr>
        <w:tabs>
          <w:tab w:val="clear" w:pos="567"/>
          <w:tab w:val="clear" w:pos="1134"/>
          <w:tab w:val="clear" w:pos="1701"/>
          <w:tab w:val="clear" w:pos="2268"/>
          <w:tab w:val="clear" w:pos="2835"/>
        </w:tabs>
        <w:overflowPunct/>
        <w:autoSpaceDE/>
        <w:autoSpaceDN/>
        <w:adjustRightInd/>
        <w:spacing w:before="0"/>
        <w:textAlignment w:val="auto"/>
        <w:rPr>
          <w:b/>
          <w:sz w:val="28"/>
          <w:lang w:val="en-CA"/>
        </w:rPr>
      </w:pPr>
      <w:r>
        <w:rPr>
          <w:lang w:val="en-CA"/>
        </w:rPr>
        <w:br w:type="page"/>
      </w:r>
    </w:p>
    <w:p w:rsidR="00D91750" w:rsidRDefault="00D91750" w:rsidP="00D91750">
      <w:pPr>
        <w:pStyle w:val="Heading1"/>
        <w:rPr>
          <w:lang w:val="en-CA"/>
        </w:rPr>
      </w:pPr>
      <w:r>
        <w:rPr>
          <w:lang w:val="en-CA"/>
        </w:rPr>
        <w:lastRenderedPageBreak/>
        <w:t>Proposal</w:t>
      </w:r>
    </w:p>
    <w:p w:rsidR="00D91750" w:rsidRPr="004640B8" w:rsidRDefault="00D91750" w:rsidP="00EB3078">
      <w:pPr>
        <w:rPr>
          <w:szCs w:val="24"/>
        </w:rPr>
      </w:pPr>
      <w:r w:rsidRPr="004640B8">
        <w:rPr>
          <w:szCs w:val="24"/>
          <w:lang w:val="en-CA"/>
        </w:rPr>
        <w:t xml:space="preserve">It is proposed that the duties and functions of the Deputy Secretary-General be outlined in general terms insofar as they pertain to the management oversight of the General Secretariat. Specific amendments to Article 11 of the Constitution (No. 77) and Article 5 of the Convention (No. 105) are proposed </w:t>
      </w:r>
      <w:r w:rsidR="00EB3078">
        <w:rPr>
          <w:szCs w:val="24"/>
          <w:lang w:val="en-CA"/>
        </w:rPr>
        <w:t>as per the</w:t>
      </w:r>
      <w:r w:rsidRPr="004640B8">
        <w:rPr>
          <w:szCs w:val="24"/>
          <w:lang w:val="en-CA"/>
        </w:rPr>
        <w:t xml:space="preserve"> attached.</w:t>
      </w:r>
    </w:p>
    <w:p w:rsidR="0008540E" w:rsidRPr="0008540E" w:rsidRDefault="0008540E" w:rsidP="00846DBA"/>
    <w:tbl>
      <w:tblPr>
        <w:tblW w:w="9809" w:type="dxa"/>
        <w:tblInd w:w="8" w:type="dxa"/>
        <w:tblLayout w:type="fixed"/>
        <w:tblLook w:val="0100" w:firstRow="0" w:lastRow="0" w:firstColumn="0" w:lastColumn="1" w:noHBand="0" w:noVBand="0"/>
      </w:tblPr>
      <w:tblGrid>
        <w:gridCol w:w="1985"/>
        <w:gridCol w:w="7824"/>
      </w:tblGrid>
      <w:tr w:rsidR="004B12F7" w:rsidRPr="005B5D60" w:rsidTr="00D91750">
        <w:tc>
          <w:tcPr>
            <w:tcW w:w="1985" w:type="dxa"/>
            <w:tcMar>
              <w:left w:w="108" w:type="dxa"/>
              <w:right w:w="108" w:type="dxa"/>
            </w:tcMar>
          </w:tcPr>
          <w:p w:rsidR="004B12F7" w:rsidRPr="00595BE0" w:rsidRDefault="00EB3078" w:rsidP="00A32E2B">
            <w:pPr>
              <w:pStyle w:val="VolumeTitleS2"/>
            </w:pPr>
          </w:p>
        </w:tc>
        <w:tc>
          <w:tcPr>
            <w:tcW w:w="7824" w:type="dxa"/>
            <w:tcMar>
              <w:left w:w="108" w:type="dxa"/>
              <w:right w:w="108" w:type="dxa"/>
            </w:tcMar>
          </w:tcPr>
          <w:p w:rsidR="004B12F7" w:rsidRDefault="00D91750" w:rsidP="00A32E2B">
            <w:pPr>
              <w:pStyle w:val="VolumeTitle"/>
            </w:pPr>
            <w:r>
              <w:t>CONSTITUTION OF</w:t>
            </w:r>
            <w:r>
              <w:br/>
              <w:t>THE INTERNATIONAL</w:t>
            </w:r>
            <w:r>
              <w:br/>
              <w:t xml:space="preserve">TELECOMMUNICATION </w:t>
            </w:r>
            <w:r w:rsidRPr="00420DC6">
              <w:t>UNION</w:t>
            </w:r>
          </w:p>
        </w:tc>
      </w:tr>
      <w:tr w:rsidR="004B12F7" w:rsidTr="00D91750">
        <w:tc>
          <w:tcPr>
            <w:tcW w:w="1985" w:type="dxa"/>
            <w:tcMar>
              <w:left w:w="108" w:type="dxa"/>
              <w:right w:w="108" w:type="dxa"/>
            </w:tcMar>
          </w:tcPr>
          <w:p w:rsidR="004B12F7" w:rsidRDefault="00EB3078" w:rsidP="00420DC6">
            <w:pPr>
              <w:pStyle w:val="ChapNoS2"/>
            </w:pPr>
          </w:p>
          <w:p w:rsidR="004B12F7" w:rsidRPr="0024553B" w:rsidRDefault="00EB3078" w:rsidP="0024553B">
            <w:pPr>
              <w:pStyle w:val="ChaptitleS2"/>
            </w:pPr>
          </w:p>
        </w:tc>
        <w:tc>
          <w:tcPr>
            <w:tcW w:w="7824" w:type="dxa"/>
            <w:tcMar>
              <w:left w:w="108" w:type="dxa"/>
              <w:right w:w="108" w:type="dxa"/>
            </w:tcMar>
          </w:tcPr>
          <w:p w:rsidR="004B12F7" w:rsidRDefault="00D91750" w:rsidP="00420DC6">
            <w:pPr>
              <w:pStyle w:val="ChapNo"/>
            </w:pPr>
            <w:r>
              <w:t>CHAPTER</w:t>
            </w:r>
            <w:r w:rsidRPr="005602B7">
              <w:t xml:space="preserve"> I</w:t>
            </w:r>
          </w:p>
          <w:p w:rsidR="004B12F7" w:rsidRPr="0024553B" w:rsidRDefault="00D91750" w:rsidP="0024553B">
            <w:pPr>
              <w:pStyle w:val="Chaptitle"/>
            </w:pPr>
            <w:r w:rsidRPr="005602B7">
              <w:t>Basic Provisions</w:t>
            </w:r>
          </w:p>
        </w:tc>
      </w:tr>
      <w:tr w:rsidR="00D91750" w:rsidRPr="00861F5C" w:rsidTr="00D91750">
        <w:tc>
          <w:tcPr>
            <w:tcW w:w="1985" w:type="dxa"/>
            <w:tcMar>
              <w:left w:w="108" w:type="dxa"/>
              <w:right w:w="108" w:type="dxa"/>
            </w:tcMar>
          </w:tcPr>
          <w:p w:rsidR="00D91750" w:rsidRDefault="00D91750" w:rsidP="00393752">
            <w:pPr>
              <w:pStyle w:val="ArtNoS2"/>
            </w:pPr>
          </w:p>
          <w:p w:rsidR="00D91750" w:rsidRPr="00C172FD" w:rsidRDefault="00D91750" w:rsidP="00393752">
            <w:pPr>
              <w:pStyle w:val="ArttitleS2"/>
            </w:pPr>
          </w:p>
        </w:tc>
        <w:tc>
          <w:tcPr>
            <w:tcW w:w="7824" w:type="dxa"/>
            <w:tcMar>
              <w:left w:w="108" w:type="dxa"/>
              <w:right w:w="108" w:type="dxa"/>
            </w:tcMar>
          </w:tcPr>
          <w:p w:rsidR="00D91750" w:rsidRDefault="00D91750" w:rsidP="00393752">
            <w:pPr>
              <w:pStyle w:val="ArtNo"/>
              <w:rPr>
                <w:rStyle w:val="href"/>
              </w:rPr>
            </w:pPr>
            <w:r w:rsidRPr="00861F5C">
              <w:t xml:space="preserve">ARTICLE </w:t>
            </w:r>
            <w:r>
              <w:rPr>
                <w:rStyle w:val="href"/>
              </w:rPr>
              <w:t>11</w:t>
            </w:r>
          </w:p>
          <w:p w:rsidR="00D91750" w:rsidRPr="00C172FD" w:rsidRDefault="00D91750" w:rsidP="00393752">
            <w:pPr>
              <w:pStyle w:val="Arttitle"/>
            </w:pPr>
            <w:bookmarkStart w:id="9" w:name="_Toc404149511"/>
            <w:bookmarkStart w:id="10" w:name="_Toc414236344"/>
            <w:bookmarkStart w:id="11" w:name="_Toc414236620"/>
            <w:r w:rsidRPr="00511C81">
              <w:t>General</w:t>
            </w:r>
            <w:r>
              <w:t xml:space="preserve"> Secretariat</w:t>
            </w:r>
            <w:bookmarkEnd w:id="9"/>
            <w:bookmarkEnd w:id="10"/>
            <w:bookmarkEnd w:id="11"/>
          </w:p>
        </w:tc>
      </w:tr>
      <w:tr w:rsidR="004B12F7" w:rsidRPr="00EC043A" w:rsidTr="00D91750">
        <w:tc>
          <w:tcPr>
            <w:tcW w:w="1985" w:type="dxa"/>
            <w:tcMar>
              <w:left w:w="108" w:type="dxa"/>
              <w:right w:w="108" w:type="dxa"/>
            </w:tcMar>
          </w:tcPr>
          <w:p w:rsidR="004B12F7" w:rsidRPr="00EC043A" w:rsidRDefault="00D91750" w:rsidP="00511C81">
            <w:pPr>
              <w:pStyle w:val="NormalS2"/>
            </w:pPr>
            <w:r w:rsidRPr="00511C81">
              <w:t>77</w:t>
            </w:r>
          </w:p>
        </w:tc>
        <w:tc>
          <w:tcPr>
            <w:tcW w:w="7824" w:type="dxa"/>
            <w:tcMar>
              <w:left w:w="108" w:type="dxa"/>
              <w:right w:w="108" w:type="dxa"/>
            </w:tcMar>
          </w:tcPr>
          <w:p w:rsidR="004B12F7" w:rsidRPr="00EC043A" w:rsidRDefault="00D91750" w:rsidP="00511C81">
            <w:r w:rsidRPr="00EC043A">
              <w:t>2</w:t>
            </w:r>
            <w:r w:rsidRPr="00EC043A">
              <w:tab/>
              <w:t>The Deputy Secretary-General shall be responsible to the Secretary-General; he shall assist the Secretary-General in the performance of his duties and undertake such specific tasks as may be entrusted to him by the Secretary-General. He shall perform the duties of the Secretary-General in the absence of the latter.</w:t>
            </w:r>
          </w:p>
        </w:tc>
      </w:tr>
    </w:tbl>
    <w:p w:rsidR="008D53AC" w:rsidRDefault="008D53AC">
      <w:pPr>
        <w:pStyle w:val="Reasons"/>
      </w:pPr>
    </w:p>
    <w:p w:rsidR="008D53AC" w:rsidRDefault="00D91750" w:rsidP="00D91750">
      <w:pPr>
        <w:pStyle w:val="Proposal"/>
      </w:pPr>
      <w:r>
        <w:t>ADD</w:t>
      </w:r>
      <w:r>
        <w:tab/>
        <w:t>ARG/B/CAN/URG/29/1</w:t>
      </w:r>
    </w:p>
    <w:tbl>
      <w:tblPr>
        <w:tblW w:w="0" w:type="auto"/>
        <w:tblInd w:w="8" w:type="dxa"/>
        <w:tblLayout w:type="fixed"/>
        <w:tblLook w:val="04A0" w:firstRow="1" w:lastRow="0" w:firstColumn="1" w:lastColumn="0" w:noHBand="0" w:noVBand="1"/>
      </w:tblPr>
      <w:tblGrid>
        <w:gridCol w:w="1985"/>
        <w:gridCol w:w="7824"/>
      </w:tblGrid>
      <w:tr w:rsidR="008D53AC">
        <w:tc>
          <w:tcPr>
            <w:tcW w:w="1985" w:type="dxa"/>
            <w:tcMar>
              <w:left w:w="108" w:type="dxa"/>
              <w:right w:w="108" w:type="dxa"/>
            </w:tcMar>
          </w:tcPr>
          <w:p w:rsidR="008D53AC" w:rsidRDefault="00D91750">
            <w:r>
              <w:rPr>
                <w:b/>
              </w:rPr>
              <w:t>77A</w:t>
            </w:r>
          </w:p>
        </w:tc>
        <w:tc>
          <w:tcPr>
            <w:tcW w:w="7824" w:type="dxa"/>
            <w:tcMar>
              <w:left w:w="108" w:type="dxa"/>
              <w:right w:w="108" w:type="dxa"/>
            </w:tcMar>
          </w:tcPr>
          <w:p w:rsidR="008D53AC" w:rsidRDefault="00D91750" w:rsidP="00EB3078">
            <w:r>
              <w:t>2A</w:t>
            </w:r>
            <w:r>
              <w:tab/>
            </w:r>
            <w:r w:rsidRPr="00D91750">
              <w:t xml:space="preserve">The Deputy Secretary-General shall </w:t>
            </w:r>
            <w:r w:rsidR="00EB3078">
              <w:t>assist the Secretary-General in providing</w:t>
            </w:r>
            <w:r w:rsidRPr="00D91750">
              <w:t xml:space="preserve"> effective management oversight over the functions and operations of the General Secretariat, providing advice and recommendations to the Secretary-General and the Coordination Committee on the effective and efficient use of ITU resources</w:t>
            </w:r>
            <w:r>
              <w:t>.</w:t>
            </w:r>
          </w:p>
        </w:tc>
      </w:tr>
    </w:tbl>
    <w:p w:rsidR="008D53AC" w:rsidRDefault="008D53AC">
      <w:pPr>
        <w:pStyle w:val="Reasons"/>
      </w:pPr>
    </w:p>
    <w:tbl>
      <w:tblPr>
        <w:tblW w:w="9809" w:type="dxa"/>
        <w:tblInd w:w="8" w:type="dxa"/>
        <w:tblLayout w:type="fixed"/>
        <w:tblLook w:val="0100" w:firstRow="0" w:lastRow="0" w:firstColumn="0" w:lastColumn="1" w:noHBand="0" w:noVBand="0"/>
      </w:tblPr>
      <w:tblGrid>
        <w:gridCol w:w="1985"/>
        <w:gridCol w:w="7824"/>
      </w:tblGrid>
      <w:tr w:rsidR="0034662D" w:rsidRPr="005B5D60" w:rsidTr="00773CB1">
        <w:tc>
          <w:tcPr>
            <w:tcW w:w="1985" w:type="dxa"/>
            <w:tcMar>
              <w:left w:w="108" w:type="dxa"/>
              <w:right w:w="108" w:type="dxa"/>
            </w:tcMar>
          </w:tcPr>
          <w:p w:rsidR="0034662D" w:rsidRPr="00595BE0" w:rsidRDefault="00EB3078" w:rsidP="004640B8">
            <w:pPr>
              <w:pStyle w:val="VolumeTitleS2"/>
              <w:keepNext/>
              <w:keepLines/>
            </w:pPr>
          </w:p>
        </w:tc>
        <w:tc>
          <w:tcPr>
            <w:tcW w:w="7824" w:type="dxa"/>
            <w:tcMar>
              <w:left w:w="108" w:type="dxa"/>
              <w:right w:w="108" w:type="dxa"/>
            </w:tcMar>
          </w:tcPr>
          <w:p w:rsidR="0034662D" w:rsidRPr="00420DC6" w:rsidRDefault="00D91750" w:rsidP="004640B8">
            <w:pPr>
              <w:pStyle w:val="VolumeTitle"/>
              <w:keepNext/>
              <w:keepLines/>
            </w:pPr>
            <w:r w:rsidRPr="00420DC6">
              <w:t>CON</w:t>
            </w:r>
            <w:r>
              <w:t>VENTION OF</w:t>
            </w:r>
            <w:r>
              <w:br/>
              <w:t>THE INTERNATIONAL</w:t>
            </w:r>
            <w:r>
              <w:br/>
              <w:t>TELECOMMUNICATION</w:t>
            </w:r>
            <w:r w:rsidRPr="00420DC6">
              <w:t xml:space="preserve"> UNION</w:t>
            </w:r>
          </w:p>
        </w:tc>
      </w:tr>
      <w:tr w:rsidR="0034662D" w:rsidTr="00773CB1">
        <w:tc>
          <w:tcPr>
            <w:tcW w:w="1985" w:type="dxa"/>
            <w:tcMar>
              <w:left w:w="108" w:type="dxa"/>
              <w:right w:w="108" w:type="dxa"/>
            </w:tcMar>
          </w:tcPr>
          <w:p w:rsidR="0034662D" w:rsidRDefault="00EB3078" w:rsidP="004640B8">
            <w:pPr>
              <w:pStyle w:val="ChapNoS2"/>
              <w:keepNext/>
              <w:keepLines/>
            </w:pPr>
          </w:p>
          <w:p w:rsidR="0034662D" w:rsidRPr="00A21691" w:rsidRDefault="00EB3078" w:rsidP="004640B8">
            <w:pPr>
              <w:pStyle w:val="ChaptitleS2"/>
              <w:keepNext/>
              <w:keepLines/>
            </w:pPr>
          </w:p>
        </w:tc>
        <w:tc>
          <w:tcPr>
            <w:tcW w:w="7824" w:type="dxa"/>
            <w:tcMar>
              <w:left w:w="108" w:type="dxa"/>
              <w:right w:w="108" w:type="dxa"/>
            </w:tcMar>
          </w:tcPr>
          <w:p w:rsidR="0034662D" w:rsidRDefault="00D91750" w:rsidP="004640B8">
            <w:pPr>
              <w:pStyle w:val="ChapNo"/>
              <w:keepNext/>
              <w:keepLines/>
            </w:pPr>
            <w:r>
              <w:t xml:space="preserve">CHAPTER </w:t>
            </w:r>
            <w:r w:rsidRPr="00F21622">
              <w:t>I</w:t>
            </w:r>
          </w:p>
          <w:p w:rsidR="0034662D" w:rsidRPr="00A21691" w:rsidRDefault="00D91750" w:rsidP="004640B8">
            <w:pPr>
              <w:pStyle w:val="Chaptitle"/>
              <w:keepNext/>
              <w:keepLines/>
            </w:pPr>
            <w:r w:rsidRPr="00F21622">
              <w:t>Functioning</w:t>
            </w:r>
            <w:r>
              <w:t xml:space="preserve"> of the Union</w:t>
            </w:r>
          </w:p>
        </w:tc>
      </w:tr>
      <w:tr w:rsidR="0034662D" w:rsidRPr="00F21622" w:rsidTr="00773CB1">
        <w:tc>
          <w:tcPr>
            <w:tcW w:w="1985" w:type="dxa"/>
            <w:tcMar>
              <w:left w:w="108" w:type="dxa"/>
              <w:right w:w="108" w:type="dxa"/>
            </w:tcMar>
          </w:tcPr>
          <w:p w:rsidR="0034662D" w:rsidRPr="00420DC6" w:rsidRDefault="00EB3078" w:rsidP="004640B8">
            <w:pPr>
              <w:pStyle w:val="SectionNoS2"/>
              <w:keepNext/>
              <w:keepLines/>
            </w:pPr>
          </w:p>
        </w:tc>
        <w:tc>
          <w:tcPr>
            <w:tcW w:w="7824" w:type="dxa"/>
            <w:tcMar>
              <w:left w:w="108" w:type="dxa"/>
              <w:right w:w="108" w:type="dxa"/>
            </w:tcMar>
          </w:tcPr>
          <w:p w:rsidR="0034662D" w:rsidRPr="00F21622" w:rsidRDefault="00D91750" w:rsidP="004640B8">
            <w:pPr>
              <w:pStyle w:val="SectionNo"/>
              <w:keepNext/>
              <w:keepLines/>
            </w:pPr>
            <w:r>
              <w:t>SECTION 3</w:t>
            </w:r>
          </w:p>
        </w:tc>
      </w:tr>
      <w:tr w:rsidR="00D91750" w:rsidRPr="005602B7" w:rsidTr="00393752">
        <w:tc>
          <w:tcPr>
            <w:tcW w:w="1985" w:type="dxa"/>
            <w:tcMar>
              <w:left w:w="108" w:type="dxa"/>
              <w:right w:w="108" w:type="dxa"/>
            </w:tcMar>
          </w:tcPr>
          <w:p w:rsidR="00D91750" w:rsidRDefault="00D91750" w:rsidP="00393752">
            <w:pPr>
              <w:pStyle w:val="ArtNoS2"/>
            </w:pPr>
          </w:p>
          <w:p w:rsidR="00D91750" w:rsidRPr="00A21691" w:rsidRDefault="00D91750" w:rsidP="00393752">
            <w:pPr>
              <w:pStyle w:val="ArttitleS2"/>
            </w:pPr>
          </w:p>
        </w:tc>
        <w:tc>
          <w:tcPr>
            <w:tcW w:w="7824" w:type="dxa"/>
            <w:tcMar>
              <w:left w:w="108" w:type="dxa"/>
              <w:right w:w="108" w:type="dxa"/>
            </w:tcMar>
          </w:tcPr>
          <w:p w:rsidR="00D91750" w:rsidRDefault="00D91750" w:rsidP="00393752">
            <w:pPr>
              <w:pStyle w:val="ArtNo"/>
            </w:pPr>
            <w:r>
              <w:t>ARTICLE 5</w:t>
            </w:r>
          </w:p>
          <w:p w:rsidR="00D91750" w:rsidRPr="00A21691" w:rsidRDefault="00D91750" w:rsidP="00393752">
            <w:pPr>
              <w:pStyle w:val="Arttitle"/>
            </w:pPr>
            <w:r w:rsidRPr="000538E6">
              <w:t>General</w:t>
            </w:r>
            <w:r>
              <w:t xml:space="preserve"> Secretariat</w:t>
            </w:r>
          </w:p>
        </w:tc>
      </w:tr>
      <w:tr w:rsidR="0034662D" w:rsidTr="00773CB1">
        <w:tblPrEx>
          <w:tblLook w:val="0000" w:firstRow="0" w:lastRow="0" w:firstColumn="0" w:lastColumn="0" w:noHBand="0" w:noVBand="0"/>
        </w:tblPrEx>
        <w:tc>
          <w:tcPr>
            <w:tcW w:w="1985" w:type="dxa"/>
            <w:tcMar>
              <w:left w:w="108" w:type="dxa"/>
              <w:right w:w="108" w:type="dxa"/>
            </w:tcMar>
          </w:tcPr>
          <w:p w:rsidR="0034662D" w:rsidRDefault="00D91750" w:rsidP="00ED0881">
            <w:pPr>
              <w:pStyle w:val="NormalS2"/>
            </w:pPr>
            <w:r>
              <w:t>105</w:t>
            </w:r>
            <w:r>
              <w:br/>
              <w:t>PP-06</w:t>
            </w:r>
          </w:p>
        </w:tc>
        <w:tc>
          <w:tcPr>
            <w:tcW w:w="7824" w:type="dxa"/>
            <w:tcMar>
              <w:left w:w="108" w:type="dxa"/>
              <w:right w:w="108" w:type="dxa"/>
            </w:tcMar>
          </w:tcPr>
          <w:p w:rsidR="0034662D" w:rsidRDefault="00D91750" w:rsidP="00ED0881">
            <w:r>
              <w:t>2</w:t>
            </w:r>
            <w:r w:rsidRPr="000A181B">
              <w:tab/>
            </w:r>
            <w:r>
              <w:t>The Secretary-General or the Deputy Secretary-General may participate, in an advisory capacity, in conferences of the Union; the Secretary-General or his representative may participate in an advisory capacity in all other meetings of the Union.</w:t>
            </w:r>
          </w:p>
        </w:tc>
      </w:tr>
    </w:tbl>
    <w:p w:rsidR="008D53AC" w:rsidRDefault="008D53AC">
      <w:pPr>
        <w:pStyle w:val="Reasons"/>
      </w:pPr>
    </w:p>
    <w:p w:rsidR="008D53AC" w:rsidRDefault="00D91750" w:rsidP="00D91750">
      <w:pPr>
        <w:pStyle w:val="Proposal"/>
      </w:pPr>
      <w:r>
        <w:t>ADD</w:t>
      </w:r>
      <w:r>
        <w:tab/>
        <w:t>ARG/B/CAN/URG/29/2</w:t>
      </w:r>
    </w:p>
    <w:tbl>
      <w:tblPr>
        <w:tblW w:w="0" w:type="auto"/>
        <w:tblInd w:w="8" w:type="dxa"/>
        <w:tblLayout w:type="fixed"/>
        <w:tblLook w:val="04A0" w:firstRow="1" w:lastRow="0" w:firstColumn="1" w:lastColumn="0" w:noHBand="0" w:noVBand="1"/>
      </w:tblPr>
      <w:tblGrid>
        <w:gridCol w:w="1985"/>
        <w:gridCol w:w="7824"/>
      </w:tblGrid>
      <w:tr w:rsidR="008D53AC">
        <w:tc>
          <w:tcPr>
            <w:tcW w:w="1985" w:type="dxa"/>
            <w:tcMar>
              <w:left w:w="108" w:type="dxa"/>
              <w:right w:w="108" w:type="dxa"/>
            </w:tcMar>
          </w:tcPr>
          <w:p w:rsidR="008D53AC" w:rsidRDefault="00D91750">
            <w:r>
              <w:rPr>
                <w:b/>
              </w:rPr>
              <w:t>105A</w:t>
            </w:r>
          </w:p>
        </w:tc>
        <w:tc>
          <w:tcPr>
            <w:tcW w:w="7824" w:type="dxa"/>
            <w:tcMar>
              <w:left w:w="108" w:type="dxa"/>
              <w:right w:w="108" w:type="dxa"/>
            </w:tcMar>
          </w:tcPr>
          <w:p w:rsidR="008D53AC" w:rsidRDefault="00D91750" w:rsidP="00EB3078">
            <w:r>
              <w:t>2A</w:t>
            </w:r>
            <w:r>
              <w:tab/>
            </w:r>
            <w:r w:rsidRPr="00D91750">
              <w:t xml:space="preserve">The Deputy Secretary-General shall </w:t>
            </w:r>
            <w:r w:rsidR="00EB3078">
              <w:t>assist the Secretary-General in providing</w:t>
            </w:r>
            <w:bookmarkStart w:id="12" w:name="_GoBack"/>
            <w:bookmarkEnd w:id="12"/>
            <w:r w:rsidRPr="00D91750">
              <w:t xml:space="preserve"> effective management oversight over the functions and operations of the General Secretariat, providing advice and recommendations to the Secretary-General </w:t>
            </w:r>
            <w:proofErr w:type="gramStart"/>
            <w:r w:rsidRPr="00D91750">
              <w:t>and  the</w:t>
            </w:r>
            <w:proofErr w:type="gramEnd"/>
            <w:r w:rsidRPr="00D91750">
              <w:t xml:space="preserve"> Coordination Committee on the effective and efficient use of ITU resources</w:t>
            </w:r>
            <w:r w:rsidR="00E109D6">
              <w:t>.</w:t>
            </w:r>
          </w:p>
        </w:tc>
      </w:tr>
    </w:tbl>
    <w:p w:rsidR="008D53AC" w:rsidRDefault="008D53AC">
      <w:pPr>
        <w:pStyle w:val="Reasons"/>
      </w:pPr>
    </w:p>
    <w:p w:rsidR="00D91750" w:rsidRPr="00D91750" w:rsidRDefault="00D91750" w:rsidP="00D91750">
      <w:pPr>
        <w:pStyle w:val="Reasons"/>
        <w:jc w:val="center"/>
        <w:rPr>
          <w:u w:val="single"/>
        </w:rPr>
      </w:pPr>
      <w:r>
        <w:rPr>
          <w:u w:val="single"/>
        </w:rPr>
        <w:t>                             </w:t>
      </w:r>
    </w:p>
    <w:sectPr w:rsidR="00D91750" w:rsidRPr="00D91750" w:rsidSect="00361097">
      <w:headerReference w:type="default" r:id="rId13"/>
      <w:footerReference w:type="default" r:id="rId14"/>
      <w:footerReference w:type="first" r:id="rId15"/>
      <w:type w:val="continuous"/>
      <w:pgSz w:w="11913" w:h="16834"/>
      <w:pgMar w:top="1418" w:right="1134" w:bottom="1418"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516BB"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E" w:rsidRDefault="00DF3BBE">
      <w:r>
        <w:t>____________________</w:t>
      </w:r>
    </w:p>
  </w:footnote>
  <w:footnote w:type="continuationSeparator" w:id="0">
    <w:p w:rsidR="00DF3BBE" w:rsidRDefault="00DF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EB3078">
      <w:rPr>
        <w:noProof/>
      </w:rPr>
      <w:t>3</w:t>
    </w:r>
    <w:r>
      <w:fldChar w:fldCharType="end"/>
    </w:r>
  </w:p>
  <w:p w:rsidR="00CE1B90" w:rsidRDefault="00CE1B90" w:rsidP="00CE1B90">
    <w:pPr>
      <w:pStyle w:val="Header"/>
    </w:pPr>
    <w:r>
      <w:t>PP14/</w:t>
    </w:r>
    <w:r w:rsidR="00D91750">
      <w:t>29</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B46FF0"/>
    <w:lvl w:ilvl="0">
      <w:start w:val="1"/>
      <w:numFmt w:val="decimal"/>
      <w:lvlText w:val="%1."/>
      <w:lvlJc w:val="left"/>
      <w:pPr>
        <w:tabs>
          <w:tab w:val="num" w:pos="1492"/>
        </w:tabs>
        <w:ind w:left="1492" w:hanging="360"/>
      </w:pPr>
    </w:lvl>
  </w:abstractNum>
  <w:abstractNum w:abstractNumId="1">
    <w:nsid w:val="FFFFFF7D"/>
    <w:multiLevelType w:val="singleLevel"/>
    <w:tmpl w:val="49DA96A0"/>
    <w:lvl w:ilvl="0">
      <w:start w:val="1"/>
      <w:numFmt w:val="decimal"/>
      <w:lvlText w:val="%1."/>
      <w:lvlJc w:val="left"/>
      <w:pPr>
        <w:tabs>
          <w:tab w:val="num" w:pos="1209"/>
        </w:tabs>
        <w:ind w:left="1209" w:hanging="360"/>
      </w:pPr>
    </w:lvl>
  </w:abstractNum>
  <w:abstractNum w:abstractNumId="2">
    <w:nsid w:val="FFFFFF7E"/>
    <w:multiLevelType w:val="singleLevel"/>
    <w:tmpl w:val="EB3A9A20"/>
    <w:lvl w:ilvl="0">
      <w:start w:val="1"/>
      <w:numFmt w:val="decimal"/>
      <w:lvlText w:val="%1."/>
      <w:lvlJc w:val="left"/>
      <w:pPr>
        <w:tabs>
          <w:tab w:val="num" w:pos="926"/>
        </w:tabs>
        <w:ind w:left="926" w:hanging="360"/>
      </w:pPr>
    </w:lvl>
  </w:abstractNum>
  <w:abstractNum w:abstractNumId="3">
    <w:nsid w:val="FFFFFF7F"/>
    <w:multiLevelType w:val="singleLevel"/>
    <w:tmpl w:val="13A4DB92"/>
    <w:lvl w:ilvl="0">
      <w:start w:val="1"/>
      <w:numFmt w:val="decimal"/>
      <w:lvlText w:val="%1."/>
      <w:lvlJc w:val="left"/>
      <w:pPr>
        <w:tabs>
          <w:tab w:val="num" w:pos="643"/>
        </w:tabs>
        <w:ind w:left="643" w:hanging="360"/>
      </w:pPr>
    </w:lvl>
  </w:abstractNum>
  <w:abstractNum w:abstractNumId="4">
    <w:nsid w:val="FFFFFF80"/>
    <w:multiLevelType w:val="singleLevel"/>
    <w:tmpl w:val="7F4AAB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7CA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2E0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48E0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763E4A"/>
    <w:lvl w:ilvl="0">
      <w:start w:val="1"/>
      <w:numFmt w:val="decimal"/>
      <w:lvlText w:val="%1."/>
      <w:lvlJc w:val="left"/>
      <w:pPr>
        <w:tabs>
          <w:tab w:val="num" w:pos="360"/>
        </w:tabs>
        <w:ind w:left="360" w:hanging="360"/>
      </w:pPr>
    </w:lvl>
  </w:abstractNum>
  <w:abstractNum w:abstractNumId="9">
    <w:nsid w:val="FFFFFF89"/>
    <w:multiLevelType w:val="singleLevel"/>
    <w:tmpl w:val="396062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6922"/>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40B8"/>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2504D"/>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5F114F"/>
    <w:rsid w:val="00604079"/>
    <w:rsid w:val="00617BE4"/>
    <w:rsid w:val="00620233"/>
    <w:rsid w:val="006404B0"/>
    <w:rsid w:val="0065768D"/>
    <w:rsid w:val="0066499C"/>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D53AC"/>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729F"/>
    <w:rsid w:val="00C72664"/>
    <w:rsid w:val="00C86F24"/>
    <w:rsid w:val="00CA38C9"/>
    <w:rsid w:val="00CB4984"/>
    <w:rsid w:val="00CB5DD7"/>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1750"/>
    <w:rsid w:val="00D92563"/>
    <w:rsid w:val="00DC7C10"/>
    <w:rsid w:val="00DD26B1"/>
    <w:rsid w:val="00DD5177"/>
    <w:rsid w:val="00DE16B8"/>
    <w:rsid w:val="00DE20DF"/>
    <w:rsid w:val="00DE4CC2"/>
    <w:rsid w:val="00DF23FC"/>
    <w:rsid w:val="00DF39CD"/>
    <w:rsid w:val="00DF3BBE"/>
    <w:rsid w:val="00E0094D"/>
    <w:rsid w:val="00E109D6"/>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B3078"/>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D9175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D9175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18d7ef-e6eb-4399-9fa6-c472a7f6edf4">Documents Proposals Manager (DPM)</DPM_x0020_Author>
    <DPM_x0020_File_x0020_name xmlns="e518d7ef-e6eb-4399-9fa6-c472a7f6edf4">S14-PP-C-4301!!MSW-E</DPM_x0020_File_x0020_name>
    <DPM_x0020_Version xmlns="e518d7ef-e6eb-4399-9fa6-c472a7f6edf4">DPM_v1.0.0.0_test</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18d7ef-e6eb-4399-9fa6-c472a7f6edf4" targetNamespace="http://schemas.microsoft.com/office/2006/metadata/properties" ma:root="true" ma:fieldsID="d41af5c836d734370eb92e7ee5f83852" ns2:_="" ns3:_="">
    <xsd:import namespace="996b2e75-67fd-4955-a3b0-5ab9934cb50b"/>
    <xsd:import namespace="e518d7ef-e6eb-4399-9fa6-c472a7f6ed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18d7ef-e6eb-4399-9fa6-c472a7f6ed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e518d7ef-e6eb-4399-9fa6-c472a7f6edf4"/>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18d7ef-e6eb-4399-9fa6-c472a7f6e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28936-36AB-44C0-9F60-B1AD1E48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S14-PP-C-4301!!MSW-E</vt:lpstr>
    </vt:vector>
  </TitlesOfParts>
  <Manager/>
  <Company/>
  <LinksUpToDate>false</LinksUpToDate>
  <CharactersWithSpaces>3568</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S14-PP-C-4301!!MSW-E</dc:title>
  <dc:subject>Plenipotentiary Conference (PP-14)</dc:subject>
  <dc:creator/>
  <cp:keywords>DPM_v1.0.0.0_test</cp:keywords>
  <cp:lastModifiedBy/>
  <cp:revision>1</cp:revision>
  <dcterms:created xsi:type="dcterms:W3CDTF">2014-02-28T12:52:00Z</dcterms:created>
  <dcterms:modified xsi:type="dcterms:W3CDTF">2014-02-28T12:53:00Z</dcterms:modified>
  <cp:category>Conference document</cp:category>
</cp:coreProperties>
</file>