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0307C" w:rsidRPr="002673D1">
        <w:trPr>
          <w:cantSplit/>
        </w:trPr>
        <w:tc>
          <w:tcPr>
            <w:tcW w:w="6912" w:type="dxa"/>
          </w:tcPr>
          <w:p w:rsidR="00C0307C" w:rsidRPr="002673D1" w:rsidRDefault="00C0307C" w:rsidP="00A52625">
            <w:pPr>
              <w:spacing w:before="360"/>
              <w:rPr>
                <w:szCs w:val="24"/>
              </w:rPr>
            </w:pPr>
            <w:bookmarkStart w:id="0" w:name="dc06"/>
            <w:bookmarkStart w:id="1" w:name="dbluepink" w:colFirst="0" w:colLast="0"/>
            <w:bookmarkEnd w:id="0"/>
            <w:r w:rsidRPr="002673D1">
              <w:rPr>
                <w:b/>
                <w:bCs/>
                <w:sz w:val="30"/>
                <w:szCs w:val="30"/>
              </w:rPr>
              <w:t>Consejo 2014</w:t>
            </w:r>
            <w:r w:rsidRPr="002673D1">
              <w:rPr>
                <w:b/>
                <w:bCs/>
                <w:sz w:val="26"/>
                <w:szCs w:val="26"/>
              </w:rPr>
              <w:br/>
            </w:r>
            <w:r w:rsidRPr="002673D1">
              <w:rPr>
                <w:b/>
                <w:bCs/>
                <w:szCs w:val="24"/>
              </w:rPr>
              <w:t>Última sesión, Busán, 18 de octubre de 2014</w:t>
            </w:r>
          </w:p>
        </w:tc>
        <w:tc>
          <w:tcPr>
            <w:tcW w:w="3261" w:type="dxa"/>
          </w:tcPr>
          <w:p w:rsidR="00C0307C" w:rsidRPr="002673D1" w:rsidRDefault="00C0307C" w:rsidP="00A52625">
            <w:pPr>
              <w:spacing w:before="0"/>
              <w:rPr>
                <w:szCs w:val="24"/>
              </w:rPr>
            </w:pPr>
            <w:bookmarkStart w:id="2" w:name="ditulogo"/>
            <w:bookmarkEnd w:id="2"/>
            <w:r w:rsidRPr="002673D1">
              <w:rPr>
                <w:rFonts w:ascii="Verdana" w:hAnsi="Verdana"/>
                <w:b/>
                <w:bCs/>
                <w:noProof/>
                <w:szCs w:val="24"/>
                <w:lang w:val="en-US" w:eastAsia="zh-CN"/>
              </w:rPr>
              <w:drawing>
                <wp:inline distT="0" distB="0" distL="0" distR="0">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C0307C" w:rsidRPr="002673D1">
        <w:trPr>
          <w:cantSplit/>
          <w:trHeight w:val="20"/>
        </w:trPr>
        <w:tc>
          <w:tcPr>
            <w:tcW w:w="10173" w:type="dxa"/>
            <w:gridSpan w:val="2"/>
            <w:tcBorders>
              <w:bottom w:val="single" w:sz="12" w:space="0" w:color="auto"/>
            </w:tcBorders>
          </w:tcPr>
          <w:p w:rsidR="00C0307C" w:rsidRPr="002673D1" w:rsidRDefault="00C0307C" w:rsidP="00A52625">
            <w:pPr>
              <w:spacing w:before="0"/>
              <w:rPr>
                <w:b/>
                <w:bCs/>
                <w:szCs w:val="24"/>
              </w:rPr>
            </w:pPr>
          </w:p>
        </w:tc>
      </w:tr>
      <w:tr w:rsidR="00C0307C" w:rsidRPr="002673D1">
        <w:trPr>
          <w:cantSplit/>
          <w:trHeight w:val="20"/>
        </w:trPr>
        <w:tc>
          <w:tcPr>
            <w:tcW w:w="6912" w:type="dxa"/>
            <w:tcBorders>
              <w:top w:val="single" w:sz="12" w:space="0" w:color="auto"/>
            </w:tcBorders>
          </w:tcPr>
          <w:p w:rsidR="00C0307C" w:rsidRPr="002673D1" w:rsidRDefault="00C0307C" w:rsidP="00A52625">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C0307C" w:rsidRPr="002673D1" w:rsidRDefault="00C0307C" w:rsidP="00A52625">
            <w:pPr>
              <w:spacing w:before="0"/>
              <w:rPr>
                <w:b/>
                <w:bCs/>
                <w:szCs w:val="24"/>
              </w:rPr>
            </w:pPr>
          </w:p>
        </w:tc>
      </w:tr>
      <w:tr w:rsidR="00C0307C" w:rsidRPr="002673D1">
        <w:trPr>
          <w:cantSplit/>
          <w:trHeight w:val="20"/>
        </w:trPr>
        <w:tc>
          <w:tcPr>
            <w:tcW w:w="6912" w:type="dxa"/>
            <w:shd w:val="clear" w:color="auto" w:fill="auto"/>
          </w:tcPr>
          <w:p w:rsidR="00C0307C" w:rsidRPr="002673D1" w:rsidRDefault="00C0307C" w:rsidP="00A52625">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p>
        </w:tc>
        <w:tc>
          <w:tcPr>
            <w:tcW w:w="3261" w:type="dxa"/>
          </w:tcPr>
          <w:p w:rsidR="00C0307C" w:rsidRPr="002673D1" w:rsidRDefault="00C0307C" w:rsidP="00A52625">
            <w:pPr>
              <w:spacing w:before="0"/>
              <w:rPr>
                <w:b/>
                <w:bCs/>
                <w:szCs w:val="24"/>
              </w:rPr>
            </w:pPr>
            <w:r w:rsidRPr="002673D1">
              <w:rPr>
                <w:b/>
                <w:bCs/>
                <w:szCs w:val="24"/>
              </w:rPr>
              <w:t>Documento C14/106-S</w:t>
            </w:r>
          </w:p>
        </w:tc>
      </w:tr>
      <w:tr w:rsidR="00C0307C" w:rsidRPr="002673D1">
        <w:trPr>
          <w:cantSplit/>
          <w:trHeight w:val="20"/>
        </w:trPr>
        <w:tc>
          <w:tcPr>
            <w:tcW w:w="6912" w:type="dxa"/>
            <w:shd w:val="clear" w:color="auto" w:fill="auto"/>
          </w:tcPr>
          <w:p w:rsidR="00C0307C" w:rsidRPr="002673D1" w:rsidRDefault="00C0307C" w:rsidP="00A52625">
            <w:pPr>
              <w:shd w:val="solid" w:color="FFFFFF" w:fill="FFFFFF"/>
              <w:spacing w:before="0"/>
              <w:rPr>
                <w:smallCaps/>
                <w:szCs w:val="24"/>
              </w:rPr>
            </w:pPr>
            <w:bookmarkStart w:id="5" w:name="ddate" w:colFirst="1" w:colLast="1"/>
            <w:bookmarkEnd w:id="3"/>
            <w:bookmarkEnd w:id="4"/>
          </w:p>
        </w:tc>
        <w:tc>
          <w:tcPr>
            <w:tcW w:w="3261" w:type="dxa"/>
          </w:tcPr>
          <w:p w:rsidR="00C0307C" w:rsidRPr="002673D1" w:rsidRDefault="00C0307C" w:rsidP="00A52625">
            <w:pPr>
              <w:spacing w:before="0"/>
              <w:rPr>
                <w:b/>
                <w:bCs/>
                <w:szCs w:val="24"/>
              </w:rPr>
            </w:pPr>
            <w:r w:rsidRPr="002673D1">
              <w:rPr>
                <w:b/>
                <w:bCs/>
                <w:szCs w:val="24"/>
              </w:rPr>
              <w:t>1 de septiembre de 2014</w:t>
            </w:r>
          </w:p>
        </w:tc>
      </w:tr>
      <w:tr w:rsidR="00C0307C" w:rsidRPr="002673D1">
        <w:trPr>
          <w:cantSplit/>
          <w:trHeight w:val="20"/>
        </w:trPr>
        <w:tc>
          <w:tcPr>
            <w:tcW w:w="6912" w:type="dxa"/>
            <w:shd w:val="clear" w:color="auto" w:fill="auto"/>
          </w:tcPr>
          <w:p w:rsidR="00C0307C" w:rsidRPr="002673D1" w:rsidRDefault="00C0307C" w:rsidP="00A52625">
            <w:pPr>
              <w:shd w:val="solid" w:color="FFFFFF" w:fill="FFFFFF"/>
              <w:spacing w:before="0"/>
              <w:rPr>
                <w:smallCaps/>
                <w:szCs w:val="24"/>
              </w:rPr>
            </w:pPr>
            <w:bookmarkStart w:id="6" w:name="dorlang" w:colFirst="1" w:colLast="1"/>
            <w:bookmarkEnd w:id="5"/>
          </w:p>
        </w:tc>
        <w:tc>
          <w:tcPr>
            <w:tcW w:w="3261" w:type="dxa"/>
          </w:tcPr>
          <w:p w:rsidR="00C0307C" w:rsidRPr="002673D1" w:rsidRDefault="00C0307C" w:rsidP="00A52625">
            <w:pPr>
              <w:spacing w:before="0"/>
              <w:rPr>
                <w:b/>
                <w:bCs/>
                <w:szCs w:val="24"/>
              </w:rPr>
            </w:pPr>
            <w:r w:rsidRPr="002673D1">
              <w:rPr>
                <w:b/>
                <w:bCs/>
                <w:szCs w:val="24"/>
              </w:rPr>
              <w:t>Original: inglés</w:t>
            </w:r>
          </w:p>
        </w:tc>
      </w:tr>
      <w:tr w:rsidR="00C0307C" w:rsidRPr="002673D1">
        <w:trPr>
          <w:cantSplit/>
        </w:trPr>
        <w:tc>
          <w:tcPr>
            <w:tcW w:w="10173" w:type="dxa"/>
            <w:gridSpan w:val="2"/>
          </w:tcPr>
          <w:p w:rsidR="00C0307C" w:rsidRPr="002673D1" w:rsidRDefault="00C0307C" w:rsidP="00A52625">
            <w:pPr>
              <w:pStyle w:val="Source"/>
            </w:pPr>
            <w:bookmarkStart w:id="7" w:name="dsource" w:colFirst="0" w:colLast="0"/>
            <w:bookmarkEnd w:id="1"/>
            <w:bookmarkEnd w:id="6"/>
            <w:r w:rsidRPr="002673D1">
              <w:t>Informe del Secretario General</w:t>
            </w:r>
          </w:p>
        </w:tc>
      </w:tr>
      <w:tr w:rsidR="00C0307C" w:rsidRPr="002673D1">
        <w:trPr>
          <w:cantSplit/>
        </w:trPr>
        <w:tc>
          <w:tcPr>
            <w:tcW w:w="10173" w:type="dxa"/>
            <w:gridSpan w:val="2"/>
          </w:tcPr>
          <w:p w:rsidR="00C0307C" w:rsidRPr="002673D1" w:rsidRDefault="00460867" w:rsidP="00756923">
            <w:pPr>
              <w:pStyle w:val="Title1"/>
            </w:pPr>
            <w:bookmarkStart w:id="8" w:name="dtitle1" w:colFirst="0" w:colLast="0"/>
            <w:bookmarkEnd w:id="7"/>
            <w:r w:rsidRPr="002673D1">
              <w:t xml:space="preserve">AUDITORÍA EXTERNA DE LAS CUENTAS DE </w:t>
            </w:r>
            <w:r w:rsidR="00672175" w:rsidRPr="002673D1">
              <w:t xml:space="preserve">LA UNIÓN </w:t>
            </w:r>
            <w:r w:rsidR="00756923">
              <w:br/>
            </w:r>
            <w:r w:rsidR="00672175" w:rsidRPr="002673D1">
              <w:t>SOBRE</w:t>
            </w:r>
            <w:r w:rsidR="00756923">
              <w:t xml:space="preserve"> </w:t>
            </w:r>
            <w:r w:rsidRPr="002673D1">
              <w:t>ITU TELECOM WORLD 201</w:t>
            </w:r>
            <w:r w:rsidR="00672175" w:rsidRPr="002673D1">
              <w:t>3</w:t>
            </w:r>
          </w:p>
        </w:tc>
      </w:tr>
      <w:bookmarkEnd w:id="8"/>
    </w:tbl>
    <w:p w:rsidR="00C0307C" w:rsidRPr="002673D1" w:rsidRDefault="00C0307C" w:rsidP="00A52625"/>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0307C" w:rsidRPr="002673D1">
        <w:trPr>
          <w:trHeight w:val="3372"/>
        </w:trPr>
        <w:tc>
          <w:tcPr>
            <w:tcW w:w="8080" w:type="dxa"/>
            <w:tcBorders>
              <w:top w:val="single" w:sz="12" w:space="0" w:color="auto"/>
              <w:left w:val="single" w:sz="12" w:space="0" w:color="auto"/>
              <w:bottom w:val="single" w:sz="12" w:space="0" w:color="auto"/>
              <w:right w:val="single" w:sz="12" w:space="0" w:color="auto"/>
            </w:tcBorders>
          </w:tcPr>
          <w:p w:rsidR="00C0307C" w:rsidRPr="002673D1" w:rsidRDefault="00C0307C" w:rsidP="00A52625">
            <w:pPr>
              <w:pStyle w:val="Headingb"/>
            </w:pPr>
            <w:bookmarkStart w:id="9" w:name="_Toc400028310"/>
            <w:bookmarkStart w:id="10" w:name="_Toc400093932"/>
            <w:r w:rsidRPr="002673D1">
              <w:t>Resumen</w:t>
            </w:r>
            <w:bookmarkEnd w:id="9"/>
            <w:bookmarkEnd w:id="10"/>
          </w:p>
          <w:p w:rsidR="00C0307C" w:rsidRPr="002673D1" w:rsidRDefault="00460867" w:rsidP="00A52625">
            <w:r w:rsidRPr="002673D1">
              <w:t xml:space="preserve">El Informe del Auditor </w:t>
            </w:r>
            <w:r w:rsidR="00F85551" w:rsidRPr="002673D1">
              <w:t xml:space="preserve">Externo </w:t>
            </w:r>
            <w:r w:rsidRPr="002673D1">
              <w:t>versa sobre las cuentas de la exposición ITU TELECOM World 201</w:t>
            </w:r>
            <w:r w:rsidR="00F85551" w:rsidRPr="002673D1">
              <w:t>3</w:t>
            </w:r>
            <w:r w:rsidRPr="002673D1">
              <w:t>.</w:t>
            </w:r>
          </w:p>
          <w:p w:rsidR="00C0307C" w:rsidRPr="002673D1" w:rsidRDefault="00C0307C" w:rsidP="00A52625">
            <w:pPr>
              <w:pStyle w:val="Headingb"/>
            </w:pPr>
            <w:bookmarkStart w:id="11" w:name="_Toc400028311"/>
            <w:bookmarkStart w:id="12" w:name="_Toc400093933"/>
            <w:r w:rsidRPr="002673D1">
              <w:t>Acción solicitada</w:t>
            </w:r>
            <w:bookmarkEnd w:id="11"/>
            <w:bookmarkEnd w:id="12"/>
          </w:p>
          <w:p w:rsidR="00C0307C" w:rsidRPr="002673D1" w:rsidRDefault="00460867" w:rsidP="00A52625">
            <w:r w:rsidRPr="002673D1">
              <w:t xml:space="preserve">Se invita al Consejo a examinar el Informe del Auditor </w:t>
            </w:r>
            <w:r w:rsidR="00F85551" w:rsidRPr="002673D1">
              <w:t xml:space="preserve">Externo </w:t>
            </w:r>
            <w:r w:rsidRPr="002673D1">
              <w:t>sobre las cuentas correspondientes a 201</w:t>
            </w:r>
            <w:r w:rsidR="00F85551" w:rsidRPr="002673D1">
              <w:t>3</w:t>
            </w:r>
            <w:r w:rsidRPr="002673D1">
              <w:t xml:space="preserve"> y a </w:t>
            </w:r>
            <w:r w:rsidRPr="002673D1">
              <w:rPr>
                <w:b/>
                <w:bCs/>
              </w:rPr>
              <w:t>aprobar</w:t>
            </w:r>
            <w:r w:rsidRPr="002673D1">
              <w:t xml:space="preserve"> las cuentas verificadas.</w:t>
            </w:r>
          </w:p>
          <w:p w:rsidR="00C0307C" w:rsidRPr="002673D1" w:rsidRDefault="00C0307C" w:rsidP="00A52625">
            <w:pPr>
              <w:pStyle w:val="Table"/>
              <w:keepNext w:val="0"/>
              <w:spacing w:before="0" w:after="0"/>
              <w:rPr>
                <w:caps w:val="0"/>
                <w:sz w:val="22"/>
                <w:lang w:val="es-ES_tradnl"/>
              </w:rPr>
            </w:pPr>
            <w:r w:rsidRPr="002673D1">
              <w:rPr>
                <w:caps w:val="0"/>
                <w:sz w:val="22"/>
                <w:lang w:val="es-ES_tradnl"/>
              </w:rPr>
              <w:t>____________</w:t>
            </w:r>
          </w:p>
          <w:p w:rsidR="00C0307C" w:rsidRPr="002673D1" w:rsidRDefault="00C0307C" w:rsidP="00A52625">
            <w:pPr>
              <w:pStyle w:val="Headingb"/>
            </w:pPr>
            <w:bookmarkStart w:id="13" w:name="_Toc400028312"/>
            <w:bookmarkStart w:id="14" w:name="_Toc400093934"/>
            <w:r w:rsidRPr="002673D1">
              <w:t>Referencia</w:t>
            </w:r>
            <w:bookmarkEnd w:id="13"/>
            <w:r w:rsidR="00756923">
              <w:t>s</w:t>
            </w:r>
            <w:bookmarkEnd w:id="14"/>
          </w:p>
          <w:p w:rsidR="00C0307C" w:rsidRPr="002673D1" w:rsidRDefault="00756923" w:rsidP="00A52625">
            <w:pPr>
              <w:spacing w:after="120"/>
              <w:rPr>
                <w:b/>
                <w:bCs/>
                <w:i/>
                <w:iCs/>
              </w:rPr>
            </w:pPr>
            <w:hyperlink r:id="rId8" w:history="1">
              <w:r w:rsidR="00F85551" w:rsidRPr="002673D1">
                <w:rPr>
                  <w:rStyle w:val="Hyperlink"/>
                  <w:i/>
                  <w:iCs/>
                </w:rPr>
                <w:t>Reglamento Financiero (Edición de 2010</w:t>
              </w:r>
            </w:hyperlink>
            <w:r w:rsidR="00F85551" w:rsidRPr="002673D1">
              <w:rPr>
                <w:rStyle w:val="Hyperlink"/>
                <w:i/>
                <w:iCs/>
              </w:rPr>
              <w:t>)</w:t>
            </w:r>
            <w:r w:rsidR="00F85551" w:rsidRPr="00756923">
              <w:rPr>
                <w:i/>
                <w:iCs/>
              </w:rPr>
              <w:t>:</w:t>
            </w:r>
            <w:r w:rsidR="00F85551" w:rsidRPr="002673D1">
              <w:rPr>
                <w:i/>
                <w:iCs/>
              </w:rPr>
              <w:t xml:space="preserve"> A</w:t>
            </w:r>
            <w:r w:rsidR="00460867" w:rsidRPr="002673D1">
              <w:rPr>
                <w:i/>
                <w:iCs/>
              </w:rPr>
              <w:t xml:space="preserve">rtículo 28 y </w:t>
            </w:r>
            <w:r w:rsidR="00F85551" w:rsidRPr="002673D1">
              <w:rPr>
                <w:i/>
                <w:iCs/>
              </w:rPr>
              <w:t xml:space="preserve">mandato </w:t>
            </w:r>
            <w:r w:rsidR="00460867" w:rsidRPr="002673D1">
              <w:rPr>
                <w:i/>
                <w:iCs/>
              </w:rPr>
              <w:t>adicional</w:t>
            </w:r>
          </w:p>
        </w:tc>
      </w:tr>
    </w:tbl>
    <w:p w:rsidR="003578A3" w:rsidRPr="002673D1" w:rsidRDefault="003578A3" w:rsidP="00A52625"/>
    <w:p w:rsidR="003578A3" w:rsidRPr="002673D1" w:rsidRDefault="003578A3" w:rsidP="00A52625">
      <w:pPr>
        <w:sectPr w:rsidR="003578A3" w:rsidRPr="002673D1"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E067B8" w:rsidRPr="002673D1" w:rsidRDefault="00E067B8" w:rsidP="00A52625">
      <w:pPr>
        <w:jc w:val="center"/>
        <w:rPr>
          <w:rFonts w:asciiTheme="majorBidi" w:hAnsiTheme="majorBidi" w:cstheme="majorBidi"/>
          <w:iCs/>
          <w:szCs w:val="24"/>
        </w:rPr>
      </w:pPr>
      <w:r w:rsidRPr="002673D1">
        <w:rPr>
          <w:rFonts w:asciiTheme="majorBidi" w:hAnsiTheme="majorBidi" w:cstheme="majorBidi"/>
          <w:iCs/>
          <w:noProof/>
          <w:szCs w:val="24"/>
          <w:lang w:val="en-US" w:eastAsia="zh-CN"/>
        </w:rPr>
        <w:lastRenderedPageBreak/>
        <w:drawing>
          <wp:inline distT="0" distB="0" distL="0" distR="0" wp14:anchorId="560BA51F" wp14:editId="17CA6CCF">
            <wp:extent cx="598206" cy="67214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982" cy="671890"/>
                    </a:xfrm>
                    <a:prstGeom prst="rect">
                      <a:avLst/>
                    </a:prstGeom>
                  </pic:spPr>
                </pic:pic>
              </a:graphicData>
            </a:graphic>
          </wp:inline>
        </w:drawing>
      </w:r>
    </w:p>
    <w:p w:rsidR="00E067B8" w:rsidRPr="002673D1" w:rsidRDefault="00E067B8" w:rsidP="00A52625">
      <w:pPr>
        <w:jc w:val="center"/>
        <w:rPr>
          <w:rFonts w:ascii="Kunstler Script" w:hAnsi="Kunstler Script" w:cstheme="majorBidi"/>
          <w:sz w:val="96"/>
          <w:szCs w:val="96"/>
        </w:rPr>
      </w:pPr>
      <w:r w:rsidRPr="002673D1">
        <w:rPr>
          <w:rFonts w:ascii="Kunstler Script" w:hAnsi="Kunstler Script" w:cstheme="majorBidi"/>
          <w:iCs/>
          <w:sz w:val="96"/>
          <w:szCs w:val="96"/>
        </w:rPr>
        <w:t>Corte dei Conti</w:t>
      </w:r>
    </w:p>
    <w:p w:rsidR="00E067B8" w:rsidRPr="002673D1" w:rsidRDefault="00E067B8" w:rsidP="00150AA6">
      <w:pPr>
        <w:pStyle w:val="Title1"/>
        <w:spacing w:before="3960"/>
      </w:pPr>
      <w:r w:rsidRPr="002673D1">
        <w:t>INFORME DEL AUDITOR EXTERNO</w:t>
      </w:r>
    </w:p>
    <w:p w:rsidR="00A52625" w:rsidRPr="002673D1" w:rsidRDefault="00A52625" w:rsidP="00150AA6">
      <w:pPr>
        <w:spacing w:before="3960"/>
        <w:jc w:val="center"/>
        <w:rPr>
          <w:rFonts w:asciiTheme="majorBidi" w:hAnsiTheme="majorBidi" w:cstheme="majorBidi"/>
          <w:b/>
          <w:bCs/>
          <w:szCs w:val="24"/>
        </w:rPr>
      </w:pPr>
      <w:r w:rsidRPr="002673D1">
        <w:rPr>
          <w:rFonts w:asciiTheme="majorBidi" w:hAnsiTheme="majorBidi" w:cstheme="majorBidi"/>
          <w:b/>
          <w:bCs/>
          <w:szCs w:val="24"/>
        </w:rPr>
        <w:t>UNIÓN INTERNACIONAL DE TELECOMUNICACIONES</w:t>
      </w:r>
    </w:p>
    <w:p w:rsidR="00A52625" w:rsidRPr="00773DBE" w:rsidRDefault="00A52625" w:rsidP="00150AA6">
      <w:pPr>
        <w:spacing w:before="240"/>
        <w:jc w:val="center"/>
        <w:rPr>
          <w:rFonts w:asciiTheme="majorBidi" w:hAnsiTheme="majorBidi" w:cstheme="majorBidi"/>
          <w:bCs/>
          <w:szCs w:val="24"/>
        </w:rPr>
      </w:pPr>
      <w:r w:rsidRPr="00773DBE">
        <w:rPr>
          <w:rFonts w:asciiTheme="majorBidi" w:hAnsiTheme="majorBidi" w:cstheme="majorBidi"/>
          <w:bCs/>
          <w:szCs w:val="24"/>
        </w:rPr>
        <w:t>Auditor</w:t>
      </w:r>
      <w:r w:rsidR="00773DBE" w:rsidRPr="00773DBE">
        <w:rPr>
          <w:rFonts w:asciiTheme="majorBidi" w:hAnsiTheme="majorBidi" w:cstheme="majorBidi"/>
          <w:bCs/>
          <w:szCs w:val="24"/>
        </w:rPr>
        <w:t xml:space="preserve">ía del evento mundial </w:t>
      </w:r>
      <w:r w:rsidRPr="00773DBE">
        <w:rPr>
          <w:rFonts w:asciiTheme="majorBidi" w:hAnsiTheme="majorBidi" w:cstheme="majorBidi"/>
          <w:bCs/>
          <w:szCs w:val="24"/>
        </w:rPr>
        <w:t>ITU TELECOM World 2013</w:t>
      </w:r>
    </w:p>
    <w:p w:rsidR="00A52625" w:rsidRPr="002673D1" w:rsidRDefault="00A52625" w:rsidP="00150AA6">
      <w:pPr>
        <w:spacing w:before="240"/>
        <w:jc w:val="center"/>
      </w:pPr>
      <w:r w:rsidRPr="002673D1">
        <w:t>29.05.2014</w:t>
      </w:r>
    </w:p>
    <w:p w:rsidR="00CC754C" w:rsidRPr="002673D1" w:rsidRDefault="00CC754C" w:rsidP="00A52625">
      <w:pPr>
        <w:tabs>
          <w:tab w:val="clear" w:pos="567"/>
          <w:tab w:val="clear" w:pos="1134"/>
          <w:tab w:val="clear" w:pos="1701"/>
          <w:tab w:val="clear" w:pos="2268"/>
          <w:tab w:val="clear" w:pos="2835"/>
        </w:tabs>
        <w:overflowPunct/>
        <w:autoSpaceDE/>
        <w:autoSpaceDN/>
        <w:adjustRightInd/>
        <w:spacing w:before="0"/>
        <w:textAlignment w:val="auto"/>
        <w:rPr>
          <w:rFonts w:asciiTheme="majorBidi" w:hAnsiTheme="majorBidi" w:cstheme="majorBidi"/>
          <w:szCs w:val="24"/>
        </w:rPr>
      </w:pPr>
      <w:r w:rsidRPr="002673D1">
        <w:rPr>
          <w:rFonts w:asciiTheme="majorBidi" w:hAnsiTheme="majorBidi" w:cstheme="majorBidi"/>
          <w:szCs w:val="24"/>
        </w:rPr>
        <w:br w:type="page"/>
      </w:r>
    </w:p>
    <w:p w:rsidR="00E067B8" w:rsidRPr="002673D1" w:rsidRDefault="00E067B8" w:rsidP="00A52625">
      <w:pPr>
        <w:rPr>
          <w:rFonts w:asciiTheme="majorBidi" w:hAnsiTheme="majorBidi" w:cstheme="majorBidi"/>
          <w:b/>
          <w:szCs w:val="24"/>
        </w:rPr>
      </w:pPr>
      <w:r w:rsidRPr="002673D1">
        <w:rPr>
          <w:rFonts w:asciiTheme="majorBidi" w:hAnsiTheme="majorBidi" w:cstheme="majorBidi"/>
          <w:b/>
          <w:szCs w:val="24"/>
        </w:rPr>
        <w:lastRenderedPageBreak/>
        <w:t xml:space="preserve">Informe del </w:t>
      </w:r>
      <w:r w:rsidR="00F85551" w:rsidRPr="002673D1">
        <w:rPr>
          <w:rFonts w:asciiTheme="majorBidi" w:hAnsiTheme="majorBidi" w:cstheme="majorBidi"/>
          <w:b/>
          <w:szCs w:val="24"/>
        </w:rPr>
        <w:t>Auditor Externo</w:t>
      </w:r>
      <w:r w:rsidRPr="002673D1">
        <w:rPr>
          <w:rFonts w:asciiTheme="majorBidi" w:hAnsiTheme="majorBidi" w:cstheme="majorBidi"/>
          <w:b/>
          <w:szCs w:val="24"/>
        </w:rPr>
        <w:br/>
        <w:t>UNIÓN INTERNACIONAL DE TELECOMUNICACIONES (UIT)</w:t>
      </w:r>
    </w:p>
    <w:p w:rsidR="00E067B8" w:rsidRPr="002673D1" w:rsidRDefault="00E067B8" w:rsidP="00A52625">
      <w:pPr>
        <w:rPr>
          <w:rFonts w:asciiTheme="majorBidi" w:hAnsiTheme="majorBidi" w:cstheme="majorBidi"/>
          <w:b/>
          <w:szCs w:val="24"/>
        </w:rPr>
      </w:pPr>
      <w:r w:rsidRPr="002673D1">
        <w:rPr>
          <w:rFonts w:asciiTheme="majorBidi" w:hAnsiTheme="majorBidi" w:cstheme="majorBidi"/>
          <w:b/>
          <w:szCs w:val="24"/>
        </w:rPr>
        <w:t>Auditoría del evento mundial</w:t>
      </w:r>
      <w:r w:rsidRPr="002673D1">
        <w:rPr>
          <w:rFonts w:asciiTheme="majorBidi" w:hAnsiTheme="majorBidi" w:cstheme="majorBidi"/>
          <w:b/>
          <w:szCs w:val="24"/>
        </w:rPr>
        <w:br/>
        <w:t>ITU TELECOM World 2013</w:t>
      </w:r>
    </w:p>
    <w:p w:rsidR="00CC754C" w:rsidRPr="00A34F5B" w:rsidRDefault="00CC754C" w:rsidP="00150AA6">
      <w:pPr>
        <w:spacing w:before="360"/>
        <w:jc w:val="center"/>
      </w:pPr>
      <w:r w:rsidRPr="00A34F5B">
        <w:t>ÍNDICE</w:t>
      </w:r>
    </w:p>
    <w:p w:rsidR="00150AA6" w:rsidRDefault="00150AA6" w:rsidP="00150AA6">
      <w:pPr>
        <w:jc w:val="right"/>
        <w:rPr>
          <w:b/>
          <w:bCs/>
        </w:rPr>
      </w:pPr>
      <w:r>
        <w:rPr>
          <w:b/>
          <w:bCs/>
        </w:rPr>
        <w:t>Página</w:t>
      </w:r>
    </w:p>
    <w:p w:rsidR="00485C26" w:rsidRDefault="00485C26" w:rsidP="00485C26">
      <w:pPr>
        <w:pStyle w:val="TOC1"/>
        <w:spacing w:before="120"/>
        <w:rPr>
          <w:rFonts w:asciiTheme="minorHAnsi" w:eastAsiaTheme="minorEastAsia" w:hAnsiTheme="minorHAnsi" w:cstheme="minorBidi"/>
          <w:noProof/>
          <w:sz w:val="22"/>
          <w:szCs w:val="22"/>
          <w:lang w:val="en-US" w:eastAsia="zh-CN"/>
        </w:rPr>
      </w:pPr>
      <w:r>
        <w:fldChar w:fldCharType="begin"/>
      </w:r>
      <w:r>
        <w:instrText xml:space="preserve"> TOC \h \z \t "Annex_No,1,Annex_title,1,Heading_b,1,Heading_i,1" </w:instrText>
      </w:r>
      <w:r>
        <w:fldChar w:fldCharType="separate"/>
      </w:r>
      <w:hyperlink w:anchor="_Toc400093935" w:history="1">
        <w:r w:rsidRPr="00CE3AEA">
          <w:rPr>
            <w:rStyle w:val="Hyperlink"/>
            <w:noProof/>
          </w:rPr>
          <w:t>Resumen de la auditoría</w:t>
        </w:r>
        <w:r>
          <w:rPr>
            <w:noProof/>
            <w:webHidden/>
          </w:rPr>
          <w:tab/>
        </w:r>
        <w:r>
          <w:rPr>
            <w:noProof/>
            <w:webHidden/>
          </w:rPr>
          <w:tab/>
        </w:r>
        <w:r>
          <w:rPr>
            <w:noProof/>
            <w:webHidden/>
          </w:rPr>
          <w:fldChar w:fldCharType="begin"/>
        </w:r>
        <w:r>
          <w:rPr>
            <w:noProof/>
            <w:webHidden/>
          </w:rPr>
          <w:instrText xml:space="preserve"> PAGEREF _Toc400093935 \h </w:instrText>
        </w:r>
        <w:r>
          <w:rPr>
            <w:noProof/>
            <w:webHidden/>
          </w:rPr>
        </w:r>
        <w:r>
          <w:rPr>
            <w:noProof/>
            <w:webHidden/>
          </w:rPr>
          <w:fldChar w:fldCharType="separate"/>
        </w:r>
        <w:r w:rsidR="00520DC3">
          <w:rPr>
            <w:noProof/>
            <w:webHidden/>
          </w:rPr>
          <w:t>5</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36" w:history="1">
        <w:r w:rsidRPr="00CE3AEA">
          <w:rPr>
            <w:rStyle w:val="Hyperlink"/>
            <w:noProof/>
          </w:rPr>
          <w:t>Marco jurídico y alcance de la verificación</w:t>
        </w:r>
        <w:r>
          <w:rPr>
            <w:noProof/>
            <w:webHidden/>
          </w:rPr>
          <w:tab/>
        </w:r>
        <w:r>
          <w:rPr>
            <w:noProof/>
            <w:webHidden/>
          </w:rPr>
          <w:tab/>
        </w:r>
        <w:r>
          <w:rPr>
            <w:noProof/>
            <w:webHidden/>
          </w:rPr>
          <w:fldChar w:fldCharType="begin"/>
        </w:r>
        <w:r>
          <w:rPr>
            <w:noProof/>
            <w:webHidden/>
          </w:rPr>
          <w:instrText xml:space="preserve"> PAGEREF _Toc400093936 \h </w:instrText>
        </w:r>
        <w:r>
          <w:rPr>
            <w:noProof/>
            <w:webHidden/>
          </w:rPr>
        </w:r>
        <w:r>
          <w:rPr>
            <w:noProof/>
            <w:webHidden/>
          </w:rPr>
          <w:fldChar w:fldCharType="separate"/>
        </w:r>
        <w:r w:rsidR="00520DC3">
          <w:rPr>
            <w:noProof/>
            <w:webHidden/>
          </w:rPr>
          <w:t>5</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37" w:history="1">
        <w:r w:rsidRPr="00CE3AEA">
          <w:rPr>
            <w:rStyle w:val="Hyperlink"/>
            <w:noProof/>
          </w:rPr>
          <w:t>Actividades de auditoría</w:t>
        </w:r>
        <w:r>
          <w:rPr>
            <w:noProof/>
            <w:webHidden/>
          </w:rPr>
          <w:tab/>
        </w:r>
        <w:r>
          <w:rPr>
            <w:noProof/>
            <w:webHidden/>
          </w:rPr>
          <w:tab/>
        </w:r>
        <w:r>
          <w:rPr>
            <w:noProof/>
            <w:webHidden/>
          </w:rPr>
          <w:fldChar w:fldCharType="begin"/>
        </w:r>
        <w:r>
          <w:rPr>
            <w:noProof/>
            <w:webHidden/>
          </w:rPr>
          <w:instrText xml:space="preserve"> PAGEREF _Toc400093937 \h </w:instrText>
        </w:r>
        <w:r>
          <w:rPr>
            <w:noProof/>
            <w:webHidden/>
          </w:rPr>
        </w:r>
        <w:r>
          <w:rPr>
            <w:noProof/>
            <w:webHidden/>
          </w:rPr>
          <w:fldChar w:fldCharType="separate"/>
        </w:r>
        <w:r w:rsidR="00520DC3">
          <w:rPr>
            <w:noProof/>
            <w:webHidden/>
          </w:rPr>
          <w:t>6</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38" w:history="1">
        <w:r w:rsidRPr="00CE3AEA">
          <w:rPr>
            <w:rStyle w:val="Hyperlink"/>
            <w:noProof/>
          </w:rPr>
          <w:t>Agradecimientos</w:t>
        </w:r>
        <w:r>
          <w:rPr>
            <w:noProof/>
            <w:webHidden/>
          </w:rPr>
          <w:tab/>
        </w:r>
        <w:r>
          <w:rPr>
            <w:noProof/>
            <w:webHidden/>
          </w:rPr>
          <w:tab/>
        </w:r>
        <w:r>
          <w:rPr>
            <w:noProof/>
            <w:webHidden/>
          </w:rPr>
          <w:fldChar w:fldCharType="begin"/>
        </w:r>
        <w:r>
          <w:rPr>
            <w:noProof/>
            <w:webHidden/>
          </w:rPr>
          <w:instrText xml:space="preserve"> PAGEREF _Toc400093938 \h </w:instrText>
        </w:r>
        <w:r>
          <w:rPr>
            <w:noProof/>
            <w:webHidden/>
          </w:rPr>
        </w:r>
        <w:r>
          <w:rPr>
            <w:noProof/>
            <w:webHidden/>
          </w:rPr>
          <w:fldChar w:fldCharType="separate"/>
        </w:r>
        <w:r w:rsidR="00520DC3">
          <w:rPr>
            <w:noProof/>
            <w:webHidden/>
          </w:rPr>
          <w:t>6</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39" w:history="1">
        <w:r w:rsidRPr="00CE3AEA">
          <w:rPr>
            <w:rStyle w:val="Hyperlink"/>
            <w:noProof/>
          </w:rPr>
          <w:t>Transición hacia las NICSP</w:t>
        </w:r>
        <w:r>
          <w:rPr>
            <w:noProof/>
            <w:webHidden/>
          </w:rPr>
          <w:tab/>
        </w:r>
        <w:r>
          <w:rPr>
            <w:noProof/>
            <w:webHidden/>
          </w:rPr>
          <w:tab/>
        </w:r>
        <w:r>
          <w:rPr>
            <w:noProof/>
            <w:webHidden/>
          </w:rPr>
          <w:fldChar w:fldCharType="begin"/>
        </w:r>
        <w:r>
          <w:rPr>
            <w:noProof/>
            <w:webHidden/>
          </w:rPr>
          <w:instrText xml:space="preserve"> PAGEREF _Toc400093939 \h </w:instrText>
        </w:r>
        <w:r>
          <w:rPr>
            <w:noProof/>
            <w:webHidden/>
          </w:rPr>
        </w:r>
        <w:r>
          <w:rPr>
            <w:noProof/>
            <w:webHidden/>
          </w:rPr>
          <w:fldChar w:fldCharType="separate"/>
        </w:r>
        <w:r w:rsidR="00520DC3">
          <w:rPr>
            <w:noProof/>
            <w:webHidden/>
          </w:rPr>
          <w:t>7</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40" w:history="1">
        <w:r w:rsidRPr="00CE3AEA">
          <w:rPr>
            <w:rStyle w:val="Hyperlink"/>
            <w:noProof/>
          </w:rPr>
          <w:t>Cifras clave</w:t>
        </w:r>
        <w:r>
          <w:rPr>
            <w:noProof/>
            <w:webHidden/>
          </w:rPr>
          <w:tab/>
        </w:r>
        <w:r>
          <w:rPr>
            <w:noProof/>
            <w:webHidden/>
          </w:rPr>
          <w:tab/>
        </w:r>
        <w:r>
          <w:rPr>
            <w:noProof/>
            <w:webHidden/>
          </w:rPr>
          <w:fldChar w:fldCharType="begin"/>
        </w:r>
        <w:r>
          <w:rPr>
            <w:noProof/>
            <w:webHidden/>
          </w:rPr>
          <w:instrText xml:space="preserve"> PAGEREF _Toc400093940 \h </w:instrText>
        </w:r>
        <w:r>
          <w:rPr>
            <w:noProof/>
            <w:webHidden/>
          </w:rPr>
        </w:r>
        <w:r>
          <w:rPr>
            <w:noProof/>
            <w:webHidden/>
          </w:rPr>
          <w:fldChar w:fldCharType="separate"/>
        </w:r>
        <w:r w:rsidR="00520DC3">
          <w:rPr>
            <w:noProof/>
            <w:webHidden/>
          </w:rPr>
          <w:t>7</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41" w:history="1">
        <w:r w:rsidRPr="00CE3AEA">
          <w:rPr>
            <w:rStyle w:val="Hyperlink"/>
            <w:noProof/>
          </w:rPr>
          <w:t>Fondo de Operaciones de las Exposiciones</w:t>
        </w:r>
        <w:r>
          <w:rPr>
            <w:noProof/>
            <w:webHidden/>
          </w:rPr>
          <w:tab/>
        </w:r>
        <w:r>
          <w:rPr>
            <w:noProof/>
            <w:webHidden/>
          </w:rPr>
          <w:tab/>
        </w:r>
        <w:r>
          <w:rPr>
            <w:noProof/>
            <w:webHidden/>
          </w:rPr>
          <w:fldChar w:fldCharType="begin"/>
        </w:r>
        <w:r>
          <w:rPr>
            <w:noProof/>
            <w:webHidden/>
          </w:rPr>
          <w:instrText xml:space="preserve"> PAGEREF _Toc400093941 \h </w:instrText>
        </w:r>
        <w:r>
          <w:rPr>
            <w:noProof/>
            <w:webHidden/>
          </w:rPr>
        </w:r>
        <w:r>
          <w:rPr>
            <w:noProof/>
            <w:webHidden/>
          </w:rPr>
          <w:fldChar w:fldCharType="separate"/>
        </w:r>
        <w:r w:rsidR="00520DC3">
          <w:rPr>
            <w:noProof/>
            <w:webHidden/>
          </w:rPr>
          <w:t>7</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42" w:history="1">
        <w:r w:rsidRPr="00CE3AEA">
          <w:rPr>
            <w:rStyle w:val="Hyperlink"/>
            <w:noProof/>
          </w:rPr>
          <w:t>Cambios pertinentes, revisión del presupuesto y resultados reales</w:t>
        </w:r>
        <w:r>
          <w:rPr>
            <w:noProof/>
            <w:webHidden/>
          </w:rPr>
          <w:tab/>
        </w:r>
        <w:r>
          <w:rPr>
            <w:noProof/>
            <w:webHidden/>
          </w:rPr>
          <w:tab/>
        </w:r>
        <w:r>
          <w:rPr>
            <w:noProof/>
            <w:webHidden/>
          </w:rPr>
          <w:fldChar w:fldCharType="begin"/>
        </w:r>
        <w:r>
          <w:rPr>
            <w:noProof/>
            <w:webHidden/>
          </w:rPr>
          <w:instrText xml:space="preserve"> PAGEREF _Toc400093942 \h </w:instrText>
        </w:r>
        <w:r>
          <w:rPr>
            <w:noProof/>
            <w:webHidden/>
          </w:rPr>
        </w:r>
        <w:r>
          <w:rPr>
            <w:noProof/>
            <w:webHidden/>
          </w:rPr>
          <w:fldChar w:fldCharType="separate"/>
        </w:r>
        <w:r w:rsidR="00520DC3">
          <w:rPr>
            <w:noProof/>
            <w:webHidden/>
          </w:rPr>
          <w:t>8</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43" w:history="1">
        <w:r w:rsidRPr="00485C26">
          <w:rPr>
            <w:rStyle w:val="Hyperlink"/>
            <w:i/>
            <w:iCs/>
            <w:noProof/>
          </w:rPr>
          <w:t>Mayor exactitud en las previsiones iniciales</w:t>
        </w:r>
        <w:r>
          <w:rPr>
            <w:noProof/>
            <w:webHidden/>
          </w:rPr>
          <w:tab/>
        </w:r>
        <w:r>
          <w:rPr>
            <w:noProof/>
            <w:webHidden/>
          </w:rPr>
          <w:tab/>
        </w:r>
        <w:r>
          <w:rPr>
            <w:noProof/>
            <w:webHidden/>
          </w:rPr>
          <w:fldChar w:fldCharType="begin"/>
        </w:r>
        <w:r>
          <w:rPr>
            <w:noProof/>
            <w:webHidden/>
          </w:rPr>
          <w:instrText xml:space="preserve"> PAGEREF _Toc400093943 \h </w:instrText>
        </w:r>
        <w:r>
          <w:rPr>
            <w:noProof/>
            <w:webHidden/>
          </w:rPr>
        </w:r>
        <w:r>
          <w:rPr>
            <w:noProof/>
            <w:webHidden/>
          </w:rPr>
          <w:fldChar w:fldCharType="separate"/>
        </w:r>
        <w:r w:rsidR="00520DC3">
          <w:rPr>
            <w:noProof/>
            <w:webHidden/>
          </w:rPr>
          <w:t>8</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44" w:history="1">
        <w:r w:rsidRPr="00485C26">
          <w:rPr>
            <w:rStyle w:val="Hyperlink"/>
            <w:i/>
            <w:iCs/>
            <w:noProof/>
          </w:rPr>
          <w:t>Examen de la situación real en el presupuesto revisado</w:t>
        </w:r>
        <w:r>
          <w:rPr>
            <w:noProof/>
            <w:webHidden/>
          </w:rPr>
          <w:tab/>
        </w:r>
        <w:r>
          <w:rPr>
            <w:noProof/>
            <w:webHidden/>
          </w:rPr>
          <w:tab/>
        </w:r>
        <w:r>
          <w:rPr>
            <w:noProof/>
            <w:webHidden/>
          </w:rPr>
          <w:fldChar w:fldCharType="begin"/>
        </w:r>
        <w:r>
          <w:rPr>
            <w:noProof/>
            <w:webHidden/>
          </w:rPr>
          <w:instrText xml:space="preserve"> PAGEREF _Toc400093944 \h </w:instrText>
        </w:r>
        <w:r>
          <w:rPr>
            <w:noProof/>
            <w:webHidden/>
          </w:rPr>
        </w:r>
        <w:r>
          <w:rPr>
            <w:noProof/>
            <w:webHidden/>
          </w:rPr>
          <w:fldChar w:fldCharType="separate"/>
        </w:r>
        <w:r w:rsidR="00520DC3">
          <w:rPr>
            <w:noProof/>
            <w:webHidden/>
          </w:rPr>
          <w:t>8</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45" w:history="1">
        <w:r w:rsidRPr="00485C26">
          <w:rPr>
            <w:rStyle w:val="Hyperlink"/>
            <w:i/>
            <w:iCs/>
            <w:noProof/>
          </w:rPr>
          <w:t>La firma a tiempo de un Acuerdo con el país anfitrión contribuirá a reducir las discrepancias</w:t>
        </w:r>
        <w:r>
          <w:rPr>
            <w:noProof/>
            <w:webHidden/>
          </w:rPr>
          <w:tab/>
        </w:r>
        <w:r>
          <w:rPr>
            <w:noProof/>
            <w:webHidden/>
          </w:rPr>
          <w:tab/>
        </w:r>
        <w:r>
          <w:rPr>
            <w:noProof/>
            <w:webHidden/>
          </w:rPr>
          <w:fldChar w:fldCharType="begin"/>
        </w:r>
        <w:r>
          <w:rPr>
            <w:noProof/>
            <w:webHidden/>
          </w:rPr>
          <w:instrText xml:space="preserve"> PAGEREF _Toc400093945 \h </w:instrText>
        </w:r>
        <w:r>
          <w:rPr>
            <w:noProof/>
            <w:webHidden/>
          </w:rPr>
        </w:r>
        <w:r>
          <w:rPr>
            <w:noProof/>
            <w:webHidden/>
          </w:rPr>
          <w:fldChar w:fldCharType="separate"/>
        </w:r>
        <w:r w:rsidR="00520DC3">
          <w:rPr>
            <w:noProof/>
            <w:webHidden/>
          </w:rPr>
          <w:t>9</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46" w:history="1">
        <w:r w:rsidRPr="00485C26">
          <w:rPr>
            <w:rStyle w:val="Hyperlink"/>
            <w:i/>
            <w:iCs/>
            <w:noProof/>
          </w:rPr>
          <w:t xml:space="preserve">En los informes sobre el evento, hay que vincular los resultados y los objetivos </w:t>
        </w:r>
        <w:r w:rsidRPr="00485C26">
          <w:rPr>
            <w:rStyle w:val="Hyperlink"/>
            <w:i/>
            <w:iCs/>
            <w:noProof/>
          </w:rPr>
          <w:br/>
          <w:t>generales de la Resolución 11 con los IFR</w:t>
        </w:r>
        <w:r>
          <w:rPr>
            <w:noProof/>
            <w:webHidden/>
          </w:rPr>
          <w:tab/>
        </w:r>
        <w:r>
          <w:rPr>
            <w:noProof/>
            <w:webHidden/>
          </w:rPr>
          <w:tab/>
        </w:r>
        <w:r>
          <w:rPr>
            <w:noProof/>
            <w:webHidden/>
          </w:rPr>
          <w:fldChar w:fldCharType="begin"/>
        </w:r>
        <w:r>
          <w:rPr>
            <w:noProof/>
            <w:webHidden/>
          </w:rPr>
          <w:instrText xml:space="preserve"> PAGEREF _Toc400093946 \h </w:instrText>
        </w:r>
        <w:r>
          <w:rPr>
            <w:noProof/>
            <w:webHidden/>
          </w:rPr>
        </w:r>
        <w:r>
          <w:rPr>
            <w:noProof/>
            <w:webHidden/>
          </w:rPr>
          <w:fldChar w:fldCharType="separate"/>
        </w:r>
        <w:r w:rsidR="00520DC3">
          <w:rPr>
            <w:noProof/>
            <w:webHidden/>
          </w:rPr>
          <w:t>9</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47" w:history="1">
        <w:r w:rsidRPr="00CE3AEA">
          <w:rPr>
            <w:rStyle w:val="Hyperlink"/>
            <w:noProof/>
          </w:rPr>
          <w:t>Ingresos</w:t>
        </w:r>
        <w:r>
          <w:rPr>
            <w:noProof/>
            <w:webHidden/>
          </w:rPr>
          <w:tab/>
        </w:r>
        <w:r>
          <w:rPr>
            <w:noProof/>
            <w:webHidden/>
          </w:rPr>
          <w:tab/>
        </w:r>
        <w:r>
          <w:rPr>
            <w:noProof/>
            <w:webHidden/>
          </w:rPr>
          <w:tab/>
        </w:r>
        <w:r>
          <w:rPr>
            <w:noProof/>
            <w:webHidden/>
          </w:rPr>
          <w:fldChar w:fldCharType="begin"/>
        </w:r>
        <w:r>
          <w:rPr>
            <w:noProof/>
            <w:webHidden/>
          </w:rPr>
          <w:instrText xml:space="preserve"> PAGEREF _Toc400093947 \h </w:instrText>
        </w:r>
        <w:r>
          <w:rPr>
            <w:noProof/>
            <w:webHidden/>
          </w:rPr>
        </w:r>
        <w:r>
          <w:rPr>
            <w:noProof/>
            <w:webHidden/>
          </w:rPr>
          <w:fldChar w:fldCharType="separate"/>
        </w:r>
        <w:r w:rsidR="00520DC3">
          <w:rPr>
            <w:noProof/>
            <w:webHidden/>
          </w:rPr>
          <w:t>10</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48" w:history="1">
        <w:r w:rsidRPr="00485C26">
          <w:rPr>
            <w:rStyle w:val="Hyperlink"/>
            <w:i/>
            <w:iCs/>
            <w:noProof/>
          </w:rPr>
          <w:t>Reconsideración de la cuota anticipada</w:t>
        </w:r>
        <w:r>
          <w:rPr>
            <w:noProof/>
            <w:webHidden/>
          </w:rPr>
          <w:tab/>
        </w:r>
        <w:r>
          <w:rPr>
            <w:noProof/>
            <w:webHidden/>
          </w:rPr>
          <w:tab/>
        </w:r>
        <w:r>
          <w:rPr>
            <w:noProof/>
            <w:webHidden/>
          </w:rPr>
          <w:fldChar w:fldCharType="begin"/>
        </w:r>
        <w:r>
          <w:rPr>
            <w:noProof/>
            <w:webHidden/>
          </w:rPr>
          <w:instrText xml:space="preserve"> PAGEREF _Toc400093948 \h </w:instrText>
        </w:r>
        <w:r>
          <w:rPr>
            <w:noProof/>
            <w:webHidden/>
          </w:rPr>
        </w:r>
        <w:r>
          <w:rPr>
            <w:noProof/>
            <w:webHidden/>
          </w:rPr>
          <w:fldChar w:fldCharType="separate"/>
        </w:r>
        <w:r w:rsidR="00520DC3">
          <w:rPr>
            <w:noProof/>
            <w:webHidden/>
          </w:rPr>
          <w:t>10</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49" w:history="1">
        <w:r w:rsidRPr="00485C26">
          <w:rPr>
            <w:rStyle w:val="Hyperlink"/>
            <w:i/>
            <w:iCs/>
            <w:noProof/>
          </w:rPr>
          <w:t>Procedimiento de los "pases de promoción in situ"</w:t>
        </w:r>
        <w:r>
          <w:rPr>
            <w:noProof/>
            <w:webHidden/>
          </w:rPr>
          <w:tab/>
        </w:r>
        <w:r>
          <w:rPr>
            <w:noProof/>
            <w:webHidden/>
          </w:rPr>
          <w:tab/>
        </w:r>
        <w:r>
          <w:rPr>
            <w:noProof/>
            <w:webHidden/>
          </w:rPr>
          <w:fldChar w:fldCharType="begin"/>
        </w:r>
        <w:r>
          <w:rPr>
            <w:noProof/>
            <w:webHidden/>
          </w:rPr>
          <w:instrText xml:space="preserve"> PAGEREF _Toc400093949 \h </w:instrText>
        </w:r>
        <w:r>
          <w:rPr>
            <w:noProof/>
            <w:webHidden/>
          </w:rPr>
        </w:r>
        <w:r>
          <w:rPr>
            <w:noProof/>
            <w:webHidden/>
          </w:rPr>
          <w:fldChar w:fldCharType="separate"/>
        </w:r>
        <w:r w:rsidR="00520DC3">
          <w:rPr>
            <w:noProof/>
            <w:webHidden/>
          </w:rPr>
          <w:t>11</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50" w:history="1">
        <w:r w:rsidRPr="00485C26">
          <w:rPr>
            <w:rStyle w:val="Hyperlink"/>
            <w:i/>
            <w:iCs/>
            <w:noProof/>
          </w:rPr>
          <w:t>Presencia de los medios de comunicación</w:t>
        </w:r>
        <w:r>
          <w:rPr>
            <w:noProof/>
            <w:webHidden/>
          </w:rPr>
          <w:tab/>
        </w:r>
        <w:r>
          <w:rPr>
            <w:noProof/>
            <w:webHidden/>
          </w:rPr>
          <w:tab/>
        </w:r>
        <w:r>
          <w:rPr>
            <w:noProof/>
            <w:webHidden/>
          </w:rPr>
          <w:fldChar w:fldCharType="begin"/>
        </w:r>
        <w:r>
          <w:rPr>
            <w:noProof/>
            <w:webHidden/>
          </w:rPr>
          <w:instrText xml:space="preserve"> PAGEREF _Toc400093950 \h </w:instrText>
        </w:r>
        <w:r>
          <w:rPr>
            <w:noProof/>
            <w:webHidden/>
          </w:rPr>
        </w:r>
        <w:r>
          <w:rPr>
            <w:noProof/>
            <w:webHidden/>
          </w:rPr>
          <w:fldChar w:fldCharType="separate"/>
        </w:r>
        <w:r w:rsidR="00520DC3">
          <w:rPr>
            <w:noProof/>
            <w:webHidden/>
          </w:rPr>
          <w:t>11</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51" w:history="1">
        <w:r w:rsidRPr="00485C26">
          <w:rPr>
            <w:rStyle w:val="Hyperlink"/>
            <w:i/>
            <w:iCs/>
            <w:noProof/>
          </w:rPr>
          <w:t>Los acuerdos de intercambio deberían divulgarse mejor</w:t>
        </w:r>
        <w:r>
          <w:rPr>
            <w:noProof/>
            <w:webHidden/>
          </w:rPr>
          <w:tab/>
        </w:r>
        <w:r>
          <w:rPr>
            <w:noProof/>
            <w:webHidden/>
          </w:rPr>
          <w:tab/>
        </w:r>
        <w:r>
          <w:rPr>
            <w:noProof/>
            <w:webHidden/>
          </w:rPr>
          <w:fldChar w:fldCharType="begin"/>
        </w:r>
        <w:r>
          <w:rPr>
            <w:noProof/>
            <w:webHidden/>
          </w:rPr>
          <w:instrText xml:space="preserve"> PAGEREF _Toc400093951 \h </w:instrText>
        </w:r>
        <w:r>
          <w:rPr>
            <w:noProof/>
            <w:webHidden/>
          </w:rPr>
        </w:r>
        <w:r>
          <w:rPr>
            <w:noProof/>
            <w:webHidden/>
          </w:rPr>
          <w:fldChar w:fldCharType="separate"/>
        </w:r>
        <w:r w:rsidR="00520DC3">
          <w:rPr>
            <w:noProof/>
            <w:webHidden/>
          </w:rPr>
          <w:t>12</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52" w:history="1">
        <w:r w:rsidRPr="00CE3AEA">
          <w:rPr>
            <w:rStyle w:val="Hyperlink"/>
            <w:noProof/>
          </w:rPr>
          <w:t>Gastos</w:t>
        </w:r>
        <w:r>
          <w:rPr>
            <w:noProof/>
            <w:webHidden/>
          </w:rPr>
          <w:tab/>
        </w:r>
        <w:r>
          <w:rPr>
            <w:noProof/>
            <w:webHidden/>
          </w:rPr>
          <w:tab/>
        </w:r>
        <w:r>
          <w:rPr>
            <w:noProof/>
            <w:webHidden/>
          </w:rPr>
          <w:tab/>
        </w:r>
        <w:r>
          <w:rPr>
            <w:noProof/>
            <w:webHidden/>
          </w:rPr>
          <w:fldChar w:fldCharType="begin"/>
        </w:r>
        <w:r>
          <w:rPr>
            <w:noProof/>
            <w:webHidden/>
          </w:rPr>
          <w:instrText xml:space="preserve"> PAGEREF _Toc400093952 \h </w:instrText>
        </w:r>
        <w:r>
          <w:rPr>
            <w:noProof/>
            <w:webHidden/>
          </w:rPr>
        </w:r>
        <w:r>
          <w:rPr>
            <w:noProof/>
            <w:webHidden/>
          </w:rPr>
          <w:fldChar w:fldCharType="separate"/>
        </w:r>
        <w:r w:rsidR="00520DC3">
          <w:rPr>
            <w:noProof/>
            <w:webHidden/>
          </w:rPr>
          <w:t>13</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53" w:history="1">
        <w:r w:rsidRPr="00CE3AEA">
          <w:rPr>
            <w:rStyle w:val="Hyperlink"/>
            <w:noProof/>
          </w:rPr>
          <w:t>Recuperación de costes</w:t>
        </w:r>
        <w:r>
          <w:rPr>
            <w:noProof/>
            <w:webHidden/>
          </w:rPr>
          <w:tab/>
        </w:r>
        <w:r>
          <w:rPr>
            <w:noProof/>
            <w:webHidden/>
          </w:rPr>
          <w:tab/>
        </w:r>
        <w:r>
          <w:rPr>
            <w:noProof/>
            <w:webHidden/>
          </w:rPr>
          <w:fldChar w:fldCharType="begin"/>
        </w:r>
        <w:r>
          <w:rPr>
            <w:noProof/>
            <w:webHidden/>
          </w:rPr>
          <w:instrText xml:space="preserve"> PAGEREF _Toc400093953 \h </w:instrText>
        </w:r>
        <w:r>
          <w:rPr>
            <w:noProof/>
            <w:webHidden/>
          </w:rPr>
        </w:r>
        <w:r>
          <w:rPr>
            <w:noProof/>
            <w:webHidden/>
          </w:rPr>
          <w:fldChar w:fldCharType="separate"/>
        </w:r>
        <w:r w:rsidR="00520DC3">
          <w:rPr>
            <w:noProof/>
            <w:webHidden/>
          </w:rPr>
          <w:t>13</w:t>
        </w:r>
        <w:r>
          <w:rPr>
            <w:noProof/>
            <w:webHidden/>
          </w:rPr>
          <w:fldChar w:fldCharType="end"/>
        </w:r>
      </w:hyperlink>
    </w:p>
    <w:p w:rsidR="00485C26" w:rsidRDefault="00485C26" w:rsidP="00485C26">
      <w:pPr>
        <w:pStyle w:val="TOC1"/>
        <w:spacing w:before="80"/>
        <w:ind w:left="1531"/>
        <w:rPr>
          <w:rFonts w:asciiTheme="minorHAnsi" w:eastAsiaTheme="minorEastAsia" w:hAnsiTheme="minorHAnsi" w:cstheme="minorBidi"/>
          <w:noProof/>
          <w:sz w:val="22"/>
          <w:szCs w:val="22"/>
          <w:lang w:val="en-US" w:eastAsia="zh-CN"/>
        </w:rPr>
      </w:pPr>
      <w:hyperlink w:anchor="_Toc400093954" w:history="1">
        <w:r w:rsidRPr="00485C26">
          <w:rPr>
            <w:rStyle w:val="Hyperlink"/>
            <w:i/>
            <w:iCs/>
            <w:noProof/>
          </w:rPr>
          <w:t>Calidad de lo</w:t>
        </w:r>
        <w:r w:rsidRPr="00485C26">
          <w:rPr>
            <w:rStyle w:val="Hyperlink"/>
            <w:i/>
            <w:iCs/>
            <w:noProof/>
          </w:rPr>
          <w:t>s</w:t>
        </w:r>
        <w:r w:rsidRPr="00485C26">
          <w:rPr>
            <w:rStyle w:val="Hyperlink"/>
            <w:i/>
            <w:iCs/>
            <w:noProof/>
          </w:rPr>
          <w:t xml:space="preserve"> servicios gratuitos</w:t>
        </w:r>
        <w:r>
          <w:rPr>
            <w:noProof/>
            <w:webHidden/>
          </w:rPr>
          <w:tab/>
        </w:r>
        <w:r>
          <w:rPr>
            <w:noProof/>
            <w:webHidden/>
          </w:rPr>
          <w:tab/>
        </w:r>
        <w:r>
          <w:rPr>
            <w:noProof/>
            <w:webHidden/>
          </w:rPr>
          <w:fldChar w:fldCharType="begin"/>
        </w:r>
        <w:r>
          <w:rPr>
            <w:noProof/>
            <w:webHidden/>
          </w:rPr>
          <w:instrText xml:space="preserve"> PAGEREF _Toc400093954 \h </w:instrText>
        </w:r>
        <w:r>
          <w:rPr>
            <w:noProof/>
            <w:webHidden/>
          </w:rPr>
        </w:r>
        <w:r>
          <w:rPr>
            <w:noProof/>
            <w:webHidden/>
          </w:rPr>
          <w:fldChar w:fldCharType="separate"/>
        </w:r>
        <w:r w:rsidR="00520DC3">
          <w:rPr>
            <w:noProof/>
            <w:webHidden/>
          </w:rPr>
          <w:t>14</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55" w:history="1">
        <w:r w:rsidRPr="00CE3AEA">
          <w:rPr>
            <w:rStyle w:val="Hyperlink"/>
            <w:noProof/>
          </w:rPr>
          <w:t>Coincidencias con conferencias, asambleas u otros eventos importantes de la UIT</w:t>
        </w:r>
        <w:r>
          <w:rPr>
            <w:noProof/>
            <w:webHidden/>
          </w:rPr>
          <w:tab/>
        </w:r>
        <w:r>
          <w:rPr>
            <w:noProof/>
            <w:webHidden/>
          </w:rPr>
          <w:tab/>
        </w:r>
        <w:r>
          <w:rPr>
            <w:noProof/>
            <w:webHidden/>
          </w:rPr>
          <w:fldChar w:fldCharType="begin"/>
        </w:r>
        <w:r>
          <w:rPr>
            <w:noProof/>
            <w:webHidden/>
          </w:rPr>
          <w:instrText xml:space="preserve"> PAGEREF _Toc400093955 \h </w:instrText>
        </w:r>
        <w:r>
          <w:rPr>
            <w:noProof/>
            <w:webHidden/>
          </w:rPr>
        </w:r>
        <w:r>
          <w:rPr>
            <w:noProof/>
            <w:webHidden/>
          </w:rPr>
          <w:fldChar w:fldCharType="separate"/>
        </w:r>
        <w:r w:rsidR="00520DC3">
          <w:rPr>
            <w:noProof/>
            <w:webHidden/>
          </w:rPr>
          <w:t>15</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56" w:history="1">
        <w:r w:rsidRPr="00CE3AEA">
          <w:rPr>
            <w:rStyle w:val="Hyperlink"/>
            <w:noProof/>
          </w:rPr>
          <w:t>Proceso de licitación</w:t>
        </w:r>
        <w:r>
          <w:rPr>
            <w:noProof/>
            <w:webHidden/>
          </w:rPr>
          <w:tab/>
        </w:r>
        <w:r>
          <w:rPr>
            <w:noProof/>
            <w:webHidden/>
          </w:rPr>
          <w:tab/>
        </w:r>
        <w:r>
          <w:rPr>
            <w:noProof/>
            <w:webHidden/>
          </w:rPr>
          <w:fldChar w:fldCharType="begin"/>
        </w:r>
        <w:r>
          <w:rPr>
            <w:noProof/>
            <w:webHidden/>
          </w:rPr>
          <w:instrText xml:space="preserve"> PAGEREF _Toc400093956 \h </w:instrText>
        </w:r>
        <w:r>
          <w:rPr>
            <w:noProof/>
            <w:webHidden/>
          </w:rPr>
        </w:r>
        <w:r>
          <w:rPr>
            <w:noProof/>
            <w:webHidden/>
          </w:rPr>
          <w:fldChar w:fldCharType="separate"/>
        </w:r>
        <w:r w:rsidR="00520DC3">
          <w:rPr>
            <w:noProof/>
            <w:webHidden/>
          </w:rPr>
          <w:t>15</w:t>
        </w:r>
        <w:r>
          <w:rPr>
            <w:noProof/>
            <w:webHidden/>
          </w:rPr>
          <w:fldChar w:fldCharType="end"/>
        </w:r>
      </w:hyperlink>
    </w:p>
    <w:p w:rsidR="00485C26" w:rsidRDefault="00485C26" w:rsidP="00A34F5B">
      <w:pPr>
        <w:pStyle w:val="TOC1"/>
        <w:spacing w:before="80"/>
        <w:ind w:left="1531"/>
        <w:rPr>
          <w:rFonts w:asciiTheme="minorHAnsi" w:eastAsiaTheme="minorEastAsia" w:hAnsiTheme="minorHAnsi" w:cstheme="minorBidi"/>
          <w:noProof/>
          <w:sz w:val="22"/>
          <w:szCs w:val="22"/>
          <w:lang w:val="en-US" w:eastAsia="zh-CN"/>
        </w:rPr>
      </w:pPr>
      <w:hyperlink w:anchor="_Toc400093957" w:history="1">
        <w:r w:rsidRPr="00A34F5B">
          <w:rPr>
            <w:rStyle w:val="Hyperlink"/>
            <w:i/>
            <w:iCs/>
            <w:noProof/>
          </w:rPr>
          <w:t>Lograr que el evento sea asequible para más países anfitriones aspirantes</w:t>
        </w:r>
        <w:r>
          <w:rPr>
            <w:noProof/>
            <w:webHidden/>
          </w:rPr>
          <w:tab/>
        </w:r>
        <w:r>
          <w:rPr>
            <w:noProof/>
            <w:webHidden/>
          </w:rPr>
          <w:tab/>
        </w:r>
        <w:r>
          <w:rPr>
            <w:noProof/>
            <w:webHidden/>
          </w:rPr>
          <w:fldChar w:fldCharType="begin"/>
        </w:r>
        <w:r>
          <w:rPr>
            <w:noProof/>
            <w:webHidden/>
          </w:rPr>
          <w:instrText xml:space="preserve"> PAGEREF _Toc400093957 \h </w:instrText>
        </w:r>
        <w:r>
          <w:rPr>
            <w:noProof/>
            <w:webHidden/>
          </w:rPr>
        </w:r>
        <w:r>
          <w:rPr>
            <w:noProof/>
            <w:webHidden/>
          </w:rPr>
          <w:fldChar w:fldCharType="separate"/>
        </w:r>
        <w:r w:rsidR="00520DC3">
          <w:rPr>
            <w:noProof/>
            <w:webHidden/>
          </w:rPr>
          <w:t>15</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58" w:history="1">
        <w:r w:rsidRPr="00CE3AEA">
          <w:rPr>
            <w:rStyle w:val="Hyperlink"/>
            <w:noProof/>
          </w:rPr>
          <w:t>Participación de países en desarrollo en los eventos</w:t>
        </w:r>
        <w:r>
          <w:rPr>
            <w:noProof/>
            <w:webHidden/>
          </w:rPr>
          <w:tab/>
        </w:r>
        <w:r>
          <w:rPr>
            <w:noProof/>
            <w:webHidden/>
          </w:rPr>
          <w:tab/>
        </w:r>
        <w:r>
          <w:rPr>
            <w:noProof/>
            <w:webHidden/>
          </w:rPr>
          <w:fldChar w:fldCharType="begin"/>
        </w:r>
        <w:r>
          <w:rPr>
            <w:noProof/>
            <w:webHidden/>
          </w:rPr>
          <w:instrText xml:space="preserve"> PAGEREF _Toc400093958 \h </w:instrText>
        </w:r>
        <w:r>
          <w:rPr>
            <w:noProof/>
            <w:webHidden/>
          </w:rPr>
        </w:r>
        <w:r>
          <w:rPr>
            <w:noProof/>
            <w:webHidden/>
          </w:rPr>
          <w:fldChar w:fldCharType="separate"/>
        </w:r>
        <w:r w:rsidR="00520DC3">
          <w:rPr>
            <w:noProof/>
            <w:webHidden/>
          </w:rPr>
          <w:t>16</w:t>
        </w:r>
        <w:r>
          <w:rPr>
            <w:noProof/>
            <w:webHidden/>
          </w:rPr>
          <w:fldChar w:fldCharType="end"/>
        </w:r>
      </w:hyperlink>
    </w:p>
    <w:p w:rsidR="00485C26" w:rsidRDefault="00485C26" w:rsidP="00A34F5B">
      <w:pPr>
        <w:pStyle w:val="TOC1"/>
        <w:spacing w:before="80"/>
        <w:ind w:left="1531"/>
        <w:rPr>
          <w:rFonts w:asciiTheme="minorHAnsi" w:eastAsiaTheme="minorEastAsia" w:hAnsiTheme="minorHAnsi" w:cstheme="minorBidi"/>
          <w:noProof/>
          <w:sz w:val="22"/>
          <w:szCs w:val="22"/>
          <w:lang w:val="en-US" w:eastAsia="zh-CN"/>
        </w:rPr>
      </w:pPr>
      <w:hyperlink w:anchor="_Toc400093959" w:history="1">
        <w:r w:rsidRPr="00A34F5B">
          <w:rPr>
            <w:rStyle w:val="Hyperlink"/>
            <w:i/>
            <w:iCs/>
            <w:noProof/>
          </w:rPr>
          <w:t>IFR y encuesta posterior al evento</w:t>
        </w:r>
        <w:r>
          <w:rPr>
            <w:noProof/>
            <w:webHidden/>
          </w:rPr>
          <w:tab/>
        </w:r>
        <w:r>
          <w:rPr>
            <w:noProof/>
            <w:webHidden/>
          </w:rPr>
          <w:tab/>
        </w:r>
        <w:r>
          <w:rPr>
            <w:noProof/>
            <w:webHidden/>
          </w:rPr>
          <w:fldChar w:fldCharType="begin"/>
        </w:r>
        <w:r>
          <w:rPr>
            <w:noProof/>
            <w:webHidden/>
          </w:rPr>
          <w:instrText xml:space="preserve"> PAGEREF _Toc400093959 \h </w:instrText>
        </w:r>
        <w:r>
          <w:rPr>
            <w:noProof/>
            <w:webHidden/>
          </w:rPr>
        </w:r>
        <w:r>
          <w:rPr>
            <w:noProof/>
            <w:webHidden/>
          </w:rPr>
          <w:fldChar w:fldCharType="separate"/>
        </w:r>
        <w:r w:rsidR="00520DC3">
          <w:rPr>
            <w:noProof/>
            <w:webHidden/>
          </w:rPr>
          <w:t>17</w:t>
        </w:r>
        <w:r>
          <w:rPr>
            <w:noProof/>
            <w:webHidden/>
          </w:rPr>
          <w:fldChar w:fldCharType="end"/>
        </w:r>
      </w:hyperlink>
    </w:p>
    <w:p w:rsidR="00485C26" w:rsidRDefault="00485C26" w:rsidP="00A34F5B">
      <w:pPr>
        <w:pStyle w:val="TOC1"/>
        <w:spacing w:before="80"/>
        <w:ind w:left="1531"/>
        <w:rPr>
          <w:rFonts w:asciiTheme="minorHAnsi" w:eastAsiaTheme="minorEastAsia" w:hAnsiTheme="minorHAnsi" w:cstheme="minorBidi"/>
          <w:noProof/>
          <w:sz w:val="22"/>
          <w:szCs w:val="22"/>
          <w:lang w:val="en-US" w:eastAsia="zh-CN"/>
        </w:rPr>
      </w:pPr>
      <w:hyperlink w:anchor="_Toc400093960" w:history="1">
        <w:r w:rsidRPr="00A34F5B">
          <w:rPr>
            <w:rStyle w:val="Hyperlink"/>
            <w:i/>
            <w:iCs/>
            <w:noProof/>
          </w:rPr>
          <w:t>Paridad entre hombres y mujeres</w:t>
        </w:r>
        <w:r>
          <w:rPr>
            <w:noProof/>
            <w:webHidden/>
          </w:rPr>
          <w:tab/>
        </w:r>
        <w:r>
          <w:rPr>
            <w:noProof/>
            <w:webHidden/>
          </w:rPr>
          <w:tab/>
        </w:r>
        <w:r>
          <w:rPr>
            <w:noProof/>
            <w:webHidden/>
          </w:rPr>
          <w:fldChar w:fldCharType="begin"/>
        </w:r>
        <w:r>
          <w:rPr>
            <w:noProof/>
            <w:webHidden/>
          </w:rPr>
          <w:instrText xml:space="preserve"> PAGEREF _Toc400093960 \h </w:instrText>
        </w:r>
        <w:r>
          <w:rPr>
            <w:noProof/>
            <w:webHidden/>
          </w:rPr>
        </w:r>
        <w:r>
          <w:rPr>
            <w:noProof/>
            <w:webHidden/>
          </w:rPr>
          <w:fldChar w:fldCharType="separate"/>
        </w:r>
        <w:r w:rsidR="00520DC3">
          <w:rPr>
            <w:noProof/>
            <w:webHidden/>
          </w:rPr>
          <w:t>17</w:t>
        </w:r>
        <w:r>
          <w:rPr>
            <w:noProof/>
            <w:webHidden/>
          </w:rPr>
          <w:fldChar w:fldCharType="end"/>
        </w:r>
      </w:hyperlink>
    </w:p>
    <w:p w:rsidR="00485C26" w:rsidRDefault="00485C26" w:rsidP="00A34F5B">
      <w:pPr>
        <w:pStyle w:val="TOC1"/>
        <w:spacing w:before="80"/>
        <w:ind w:left="1531"/>
        <w:rPr>
          <w:rFonts w:asciiTheme="minorHAnsi" w:eastAsiaTheme="minorEastAsia" w:hAnsiTheme="minorHAnsi" w:cstheme="minorBidi"/>
          <w:noProof/>
          <w:sz w:val="22"/>
          <w:szCs w:val="22"/>
          <w:lang w:val="en-US" w:eastAsia="zh-CN"/>
        </w:rPr>
      </w:pPr>
      <w:hyperlink w:anchor="_Toc400093961" w:history="1">
        <w:r w:rsidRPr="00A34F5B">
          <w:rPr>
            <w:rStyle w:val="Hyperlink"/>
            <w:i/>
            <w:iCs/>
            <w:noProof/>
          </w:rPr>
          <w:t>Identidad de ITU Telecom World</w:t>
        </w:r>
        <w:r>
          <w:rPr>
            <w:noProof/>
            <w:webHidden/>
          </w:rPr>
          <w:tab/>
        </w:r>
        <w:r>
          <w:rPr>
            <w:noProof/>
            <w:webHidden/>
          </w:rPr>
          <w:tab/>
        </w:r>
        <w:r>
          <w:rPr>
            <w:noProof/>
            <w:webHidden/>
          </w:rPr>
          <w:fldChar w:fldCharType="begin"/>
        </w:r>
        <w:r>
          <w:rPr>
            <w:noProof/>
            <w:webHidden/>
          </w:rPr>
          <w:instrText xml:space="preserve"> PAGEREF _Toc400093961 \h </w:instrText>
        </w:r>
        <w:r>
          <w:rPr>
            <w:noProof/>
            <w:webHidden/>
          </w:rPr>
        </w:r>
        <w:r>
          <w:rPr>
            <w:noProof/>
            <w:webHidden/>
          </w:rPr>
          <w:fldChar w:fldCharType="separate"/>
        </w:r>
        <w:r w:rsidR="00520DC3">
          <w:rPr>
            <w:noProof/>
            <w:webHidden/>
          </w:rPr>
          <w:t>17</w:t>
        </w:r>
        <w:r>
          <w:rPr>
            <w:noProof/>
            <w:webHidden/>
          </w:rPr>
          <w:fldChar w:fldCharType="end"/>
        </w:r>
      </w:hyperlink>
    </w:p>
    <w:p w:rsidR="00A34F5B" w:rsidRDefault="00A34F5B" w:rsidP="00A34F5B">
      <w:pPr>
        <w:keepNext/>
        <w:keepLines/>
        <w:jc w:val="right"/>
        <w:rPr>
          <w:b/>
          <w:bCs/>
        </w:rPr>
      </w:pPr>
      <w:r>
        <w:rPr>
          <w:b/>
          <w:bCs/>
        </w:rPr>
        <w:lastRenderedPageBreak/>
        <w:t>Página</w:t>
      </w:r>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62" w:history="1">
        <w:r w:rsidRPr="00CE3AEA">
          <w:rPr>
            <w:rStyle w:val="Hyperlink"/>
            <w:noProof/>
          </w:rPr>
          <w:t>Anexos</w:t>
        </w:r>
        <w:r>
          <w:rPr>
            <w:noProof/>
            <w:webHidden/>
          </w:rPr>
          <w:tab/>
        </w:r>
        <w:r>
          <w:rPr>
            <w:noProof/>
            <w:webHidden/>
          </w:rPr>
          <w:tab/>
        </w:r>
        <w:r>
          <w:rPr>
            <w:noProof/>
            <w:webHidden/>
          </w:rPr>
          <w:tab/>
        </w:r>
        <w:r>
          <w:rPr>
            <w:noProof/>
            <w:webHidden/>
          </w:rPr>
          <w:fldChar w:fldCharType="begin"/>
        </w:r>
        <w:r>
          <w:rPr>
            <w:noProof/>
            <w:webHidden/>
          </w:rPr>
          <w:instrText xml:space="preserve"> PAGEREF _Toc400093962 \h </w:instrText>
        </w:r>
        <w:r>
          <w:rPr>
            <w:noProof/>
            <w:webHidden/>
          </w:rPr>
        </w:r>
        <w:r>
          <w:rPr>
            <w:noProof/>
            <w:webHidden/>
          </w:rPr>
          <w:fldChar w:fldCharType="separate"/>
        </w:r>
        <w:r w:rsidR="00520DC3">
          <w:rPr>
            <w:noProof/>
            <w:webHidden/>
          </w:rPr>
          <w:t>18</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64" w:history="1">
        <w:r w:rsidRPr="00485C26">
          <w:rPr>
            <w:rStyle w:val="Hyperlink"/>
            <w:noProof/>
          </w:rPr>
          <w:t>ANEXO I –</w:t>
        </w:r>
        <w:r>
          <w:rPr>
            <w:rStyle w:val="Hyperlink"/>
            <w:noProof/>
          </w:rPr>
          <w:t xml:space="preserve"> C</w:t>
        </w:r>
        <w:r w:rsidRPr="00CE3AEA">
          <w:rPr>
            <w:rStyle w:val="Hyperlink"/>
            <w:noProof/>
          </w:rPr>
          <w:t>uadro de cumplimiento con la Resolución 11 (Rev. Guadalajara, 2010)</w:t>
        </w:r>
        <w:r>
          <w:rPr>
            <w:noProof/>
            <w:webHidden/>
          </w:rPr>
          <w:tab/>
        </w:r>
        <w:r>
          <w:rPr>
            <w:noProof/>
            <w:webHidden/>
          </w:rPr>
          <w:tab/>
        </w:r>
        <w:r>
          <w:rPr>
            <w:noProof/>
            <w:webHidden/>
          </w:rPr>
          <w:fldChar w:fldCharType="begin"/>
        </w:r>
        <w:r>
          <w:rPr>
            <w:noProof/>
            <w:webHidden/>
          </w:rPr>
          <w:instrText xml:space="preserve"> PAGEREF _Toc400093964 \h </w:instrText>
        </w:r>
        <w:r>
          <w:rPr>
            <w:noProof/>
            <w:webHidden/>
          </w:rPr>
        </w:r>
        <w:r>
          <w:rPr>
            <w:noProof/>
            <w:webHidden/>
          </w:rPr>
          <w:fldChar w:fldCharType="separate"/>
        </w:r>
        <w:r w:rsidR="00520DC3">
          <w:rPr>
            <w:noProof/>
            <w:webHidden/>
          </w:rPr>
          <w:t>19</w:t>
        </w:r>
        <w:r>
          <w:rPr>
            <w:noProof/>
            <w:webHidden/>
          </w:rPr>
          <w:fldChar w:fldCharType="end"/>
        </w:r>
      </w:hyperlink>
    </w:p>
    <w:p w:rsidR="00485C26" w:rsidRDefault="00485C26" w:rsidP="00485C26">
      <w:pPr>
        <w:pStyle w:val="TOC1"/>
        <w:spacing w:before="120"/>
        <w:rPr>
          <w:rFonts w:asciiTheme="minorHAnsi" w:eastAsiaTheme="minorEastAsia" w:hAnsiTheme="minorHAnsi" w:cstheme="minorBidi"/>
          <w:noProof/>
          <w:sz w:val="22"/>
          <w:szCs w:val="22"/>
          <w:lang w:val="en-US" w:eastAsia="zh-CN"/>
        </w:rPr>
      </w:pPr>
      <w:hyperlink w:anchor="_Toc400093966" w:history="1">
        <w:r w:rsidRPr="00485C26">
          <w:rPr>
            <w:rStyle w:val="Hyperlink"/>
            <w:noProof/>
          </w:rPr>
          <w:t>ANEXO I</w:t>
        </w:r>
        <w:r>
          <w:rPr>
            <w:rStyle w:val="Hyperlink"/>
            <w:noProof/>
          </w:rPr>
          <w:t>I</w:t>
        </w:r>
        <w:r w:rsidRPr="00485C26">
          <w:rPr>
            <w:rStyle w:val="Hyperlink"/>
            <w:noProof/>
          </w:rPr>
          <w:t xml:space="preserve"> –</w:t>
        </w:r>
        <w:r>
          <w:rPr>
            <w:rStyle w:val="Hyperlink"/>
            <w:noProof/>
          </w:rPr>
          <w:t xml:space="preserve"> S</w:t>
        </w:r>
        <w:r w:rsidRPr="00CE3AEA">
          <w:rPr>
            <w:rStyle w:val="Hyperlink"/>
            <w:noProof/>
          </w:rPr>
          <w:t>eguimiento de las observaciones presentadas en el informe anterior Recomendaciones</w:t>
        </w:r>
        <w:r>
          <w:rPr>
            <w:noProof/>
            <w:webHidden/>
          </w:rPr>
          <w:tab/>
        </w:r>
        <w:r>
          <w:rPr>
            <w:noProof/>
            <w:webHidden/>
          </w:rPr>
          <w:tab/>
        </w:r>
        <w:r>
          <w:rPr>
            <w:noProof/>
            <w:webHidden/>
          </w:rPr>
          <w:fldChar w:fldCharType="begin"/>
        </w:r>
        <w:r>
          <w:rPr>
            <w:noProof/>
            <w:webHidden/>
          </w:rPr>
          <w:instrText xml:space="preserve"> PAGEREF _Toc400093966 \h </w:instrText>
        </w:r>
        <w:r>
          <w:rPr>
            <w:noProof/>
            <w:webHidden/>
          </w:rPr>
        </w:r>
        <w:r>
          <w:rPr>
            <w:noProof/>
            <w:webHidden/>
          </w:rPr>
          <w:fldChar w:fldCharType="separate"/>
        </w:r>
        <w:r w:rsidR="00520DC3">
          <w:rPr>
            <w:noProof/>
            <w:webHidden/>
          </w:rPr>
          <w:t>22</w:t>
        </w:r>
        <w:r>
          <w:rPr>
            <w:noProof/>
            <w:webHidden/>
          </w:rPr>
          <w:fldChar w:fldCharType="end"/>
        </w:r>
      </w:hyperlink>
    </w:p>
    <w:p w:rsidR="00544B0A" w:rsidRPr="002673D1" w:rsidRDefault="00485C26" w:rsidP="00485C26">
      <w:r>
        <w:fldChar w:fldCharType="end"/>
      </w:r>
    </w:p>
    <w:p w:rsidR="00CC754C" w:rsidRPr="002673D1" w:rsidRDefault="00CC754C" w:rsidP="00A52625">
      <w:pPr>
        <w:sectPr w:rsidR="00CC754C" w:rsidRPr="002673D1" w:rsidSect="00CC754C">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docGrid w:linePitch="326"/>
        </w:sectPr>
      </w:pPr>
    </w:p>
    <w:p w:rsidR="00CC754C" w:rsidRPr="002673D1" w:rsidRDefault="00CC754C" w:rsidP="00457694">
      <w:pPr>
        <w:pStyle w:val="Headingb"/>
      </w:pPr>
      <w:bookmarkStart w:id="15" w:name="_Toc357681306"/>
      <w:bookmarkStart w:id="16" w:name="_Toc400028313"/>
      <w:bookmarkStart w:id="17" w:name="_Toc400093935"/>
      <w:r w:rsidRPr="002673D1">
        <w:lastRenderedPageBreak/>
        <w:t>Resumen de la auditoría</w:t>
      </w:r>
      <w:bookmarkEnd w:id="15"/>
      <w:bookmarkEnd w:id="16"/>
      <w:bookmarkEnd w:id="17"/>
    </w:p>
    <w:p w:rsidR="00CC754C" w:rsidRPr="002673D1" w:rsidRDefault="00457694" w:rsidP="00756923">
      <w:r>
        <w:t>1</w:t>
      </w:r>
      <w:r w:rsidR="00CC754C" w:rsidRPr="002673D1">
        <w:tab/>
        <w:t xml:space="preserve">De acuerdo con lo que se establece en el </w:t>
      </w:r>
      <w:r w:rsidR="00CC754C" w:rsidRPr="002673D1">
        <w:rPr>
          <w:i/>
          <w:iCs/>
        </w:rPr>
        <w:t>resuelve</w:t>
      </w:r>
      <w:r w:rsidR="00CC754C" w:rsidRPr="002673D1">
        <w:t xml:space="preserve"> 6 de la Resolución 11 (revisada en la Conferencia de Plenipotenciarios</w:t>
      </w:r>
      <w:r w:rsidR="00724851" w:rsidRPr="002673D1">
        <w:t xml:space="preserve"> que tuvo lugar en Guadalajara</w:t>
      </w:r>
      <w:r w:rsidR="00CC754C" w:rsidRPr="002673D1">
        <w:t xml:space="preserve"> en 2010), "el Auditor </w:t>
      </w:r>
      <w:r w:rsidR="00756923">
        <w:t>E</w:t>
      </w:r>
      <w:r w:rsidR="00CC754C" w:rsidRPr="002673D1">
        <w:t>xterno de la Unión se encargará de la auditoría de cuentas de los eventos ITU Telecom".</w:t>
      </w:r>
    </w:p>
    <w:p w:rsidR="00CC754C" w:rsidRPr="002673D1" w:rsidRDefault="00457694" w:rsidP="00457694">
      <w:r>
        <w:t>2</w:t>
      </w:r>
      <w:r w:rsidR="00CC754C" w:rsidRPr="002673D1">
        <w:tab/>
        <w:t>El presente Informe contiene los resultados de nuestra auditoría de la</w:t>
      </w:r>
      <w:r w:rsidR="00724851" w:rsidRPr="002673D1">
        <w:t>s</w:t>
      </w:r>
      <w:r w:rsidR="00CC754C" w:rsidRPr="002673D1">
        <w:t xml:space="preserve"> cuenta</w:t>
      </w:r>
      <w:r w:rsidR="00724851" w:rsidRPr="002673D1">
        <w:t>s</w:t>
      </w:r>
      <w:r w:rsidR="00CC754C" w:rsidRPr="002673D1">
        <w:t xml:space="preserve"> </w:t>
      </w:r>
      <w:r w:rsidR="00724851" w:rsidRPr="002673D1">
        <w:t>de pérdidas y ganancias correspondientes al evento</w:t>
      </w:r>
      <w:r w:rsidR="00CC754C" w:rsidRPr="002673D1">
        <w:t xml:space="preserve"> ITU Telecom World 201</w:t>
      </w:r>
      <w:r w:rsidR="00724851" w:rsidRPr="002673D1">
        <w:t>3</w:t>
      </w:r>
      <w:r w:rsidR="00CC754C" w:rsidRPr="002673D1">
        <w:t xml:space="preserve">. Este examen no debe considerarse una verificación de los estados financieros establecidos con arreglo a las </w:t>
      </w:r>
      <w:r w:rsidR="00827BF5" w:rsidRPr="002673D1">
        <w:t>NICSP</w:t>
      </w:r>
      <w:r w:rsidR="00CC754C" w:rsidRPr="002673D1">
        <w:t xml:space="preserve">, tras la cual </w:t>
      </w:r>
      <w:r w:rsidR="00953BDA" w:rsidRPr="002673D1">
        <w:t>presentamos una Opinión</w:t>
      </w:r>
      <w:r w:rsidR="00CC754C" w:rsidRPr="002673D1">
        <w:t xml:space="preserve"> de auditoría. Su única finalidad es informar al Consejo de la UIT de que las operaciones relativas a este evento se han contabilizado correctamente.</w:t>
      </w:r>
    </w:p>
    <w:p w:rsidR="00CC754C" w:rsidRPr="002673D1" w:rsidRDefault="00457694" w:rsidP="00457694">
      <w:r>
        <w:t>3</w:t>
      </w:r>
      <w:r w:rsidR="00CC754C" w:rsidRPr="002673D1">
        <w:tab/>
        <w:t>La auditoría de las cuentas de ITU Te</w:t>
      </w:r>
      <w:r w:rsidR="0098760E" w:rsidRPr="002673D1">
        <w:t>lecom World 2013</w:t>
      </w:r>
      <w:r w:rsidR="00CC754C" w:rsidRPr="002673D1">
        <w:t xml:space="preserve"> que nos </w:t>
      </w:r>
      <w:r w:rsidR="009764EB">
        <w:t xml:space="preserve">fueron facilitadas </w:t>
      </w:r>
      <w:r w:rsidR="00CC754C" w:rsidRPr="002673D1">
        <w:t>(Doc. C13/5-S y véase el Anexo I</w:t>
      </w:r>
      <w:r w:rsidR="0098760E" w:rsidRPr="002673D1">
        <w:t>I</w:t>
      </w:r>
      <w:r w:rsidR="00CC754C" w:rsidRPr="002673D1">
        <w:t xml:space="preserve">I </w:t>
      </w:r>
      <w:r w:rsidR="00827BF5" w:rsidRPr="002673D1">
        <w:t>al</w:t>
      </w:r>
      <w:r w:rsidR="00CC754C" w:rsidRPr="002673D1">
        <w:t xml:space="preserve"> presente Informe) es exacta y las entradas relativas a este evento se han contabilizado correctamente.</w:t>
      </w:r>
    </w:p>
    <w:p w:rsidR="00CC754C" w:rsidRPr="002673D1" w:rsidRDefault="00457694" w:rsidP="00457694">
      <w:r>
        <w:t>4</w:t>
      </w:r>
      <w:r w:rsidR="00CC754C" w:rsidRPr="002673D1">
        <w:tab/>
        <w:t xml:space="preserve">El </w:t>
      </w:r>
      <w:r w:rsidR="00CC754C" w:rsidRPr="002673D1">
        <w:rPr>
          <w:i/>
          <w:iCs/>
        </w:rPr>
        <w:t>resuelve</w:t>
      </w:r>
      <w:r w:rsidR="00CC754C" w:rsidRPr="002673D1">
        <w:t xml:space="preserve"> 4 de la Resolución 11 (Rev. Guadalajara, 2010) prescribe que "cada evento ITU</w:t>
      </w:r>
      <w:r>
        <w:t> </w:t>
      </w:r>
      <w:r w:rsidR="00CC754C" w:rsidRPr="002673D1">
        <w:t xml:space="preserve">TELECOM sea viable desde el punto de vista financiero y no tenga consecuencias negativas en el </w:t>
      </w:r>
      <w:r w:rsidR="00DC6292" w:rsidRPr="002673D1">
        <w:t xml:space="preserve">presupuesto </w:t>
      </w:r>
      <w:r w:rsidR="00CC754C" w:rsidRPr="002673D1">
        <w:t>de la UIT sobre la base del actual sistema de asignación de costos definido por el Consejo".</w:t>
      </w:r>
    </w:p>
    <w:p w:rsidR="00CC754C" w:rsidRPr="002673D1" w:rsidRDefault="00457694" w:rsidP="001831A7">
      <w:r>
        <w:t>5</w:t>
      </w:r>
      <w:r w:rsidR="00CC754C" w:rsidRPr="002673D1">
        <w:tab/>
        <w:t xml:space="preserve">En lo que respecta al evento ITU Telecom World organizado en </w:t>
      </w:r>
      <w:r w:rsidR="00DC6292" w:rsidRPr="002673D1">
        <w:t>Bangkok</w:t>
      </w:r>
      <w:r w:rsidR="00CC754C" w:rsidRPr="002673D1">
        <w:t xml:space="preserve"> en 201</w:t>
      </w:r>
      <w:r w:rsidR="00DC6292" w:rsidRPr="002673D1">
        <w:t>3</w:t>
      </w:r>
      <w:r w:rsidR="00CC754C" w:rsidRPr="002673D1">
        <w:t>, a fecha de</w:t>
      </w:r>
      <w:r>
        <w:t> </w:t>
      </w:r>
      <w:r w:rsidR="00CC754C" w:rsidRPr="002673D1">
        <w:t>31 de diciembre de 201</w:t>
      </w:r>
      <w:r w:rsidR="00DC6292" w:rsidRPr="002673D1">
        <w:t>3</w:t>
      </w:r>
      <w:r w:rsidR="00CC754C" w:rsidRPr="002673D1">
        <w:t xml:space="preserve"> arrojaba un superávit de </w:t>
      </w:r>
      <w:r w:rsidR="00DC6292" w:rsidRPr="002673D1">
        <w:t>1</w:t>
      </w:r>
      <w:r w:rsidR="001831A7">
        <w:t> </w:t>
      </w:r>
      <w:r w:rsidR="00DC6292" w:rsidRPr="002673D1">
        <w:t>854</w:t>
      </w:r>
      <w:r w:rsidR="001831A7">
        <w:t> </w:t>
      </w:r>
      <w:r w:rsidR="00DC6292" w:rsidRPr="002673D1">
        <w:t xml:space="preserve">884 </w:t>
      </w:r>
      <w:r w:rsidR="00557F65">
        <w:t>CHF</w:t>
      </w:r>
      <w:r w:rsidR="00DC6292" w:rsidRPr="002673D1">
        <w:t xml:space="preserve">, como se indica en el párrafo 23, mientras que </w:t>
      </w:r>
      <w:r w:rsidR="00CC754C" w:rsidRPr="002673D1">
        <w:t xml:space="preserve">el evento celebrado en </w:t>
      </w:r>
      <w:r w:rsidR="00DC6292" w:rsidRPr="002673D1">
        <w:t>Dubái</w:t>
      </w:r>
      <w:r w:rsidR="00CC754C" w:rsidRPr="002673D1">
        <w:t xml:space="preserve"> en 201</w:t>
      </w:r>
      <w:r w:rsidR="00DC6292" w:rsidRPr="002673D1">
        <w:t>2</w:t>
      </w:r>
      <w:r w:rsidR="00CC754C" w:rsidRPr="002673D1">
        <w:t xml:space="preserve"> registró un </w:t>
      </w:r>
      <w:r w:rsidR="00DC6292" w:rsidRPr="002673D1">
        <w:t xml:space="preserve">superávit </w:t>
      </w:r>
      <w:r w:rsidR="00CC754C" w:rsidRPr="002673D1">
        <w:t>de</w:t>
      </w:r>
      <w:r>
        <w:t> </w:t>
      </w:r>
      <w:r w:rsidR="00DC6292" w:rsidRPr="002673D1">
        <w:t>637</w:t>
      </w:r>
      <w:r w:rsidR="001831A7">
        <w:t> </w:t>
      </w:r>
      <w:r w:rsidR="00DC6292" w:rsidRPr="002673D1">
        <w:t xml:space="preserve">946,26 </w:t>
      </w:r>
      <w:r w:rsidR="00557F65">
        <w:t>CHF</w:t>
      </w:r>
      <w:r w:rsidR="00CC754C" w:rsidRPr="002673D1">
        <w:t>.</w:t>
      </w:r>
    </w:p>
    <w:p w:rsidR="00CC754C" w:rsidRPr="002673D1" w:rsidRDefault="00CC754C" w:rsidP="00457694">
      <w:pPr>
        <w:pStyle w:val="Headingb"/>
      </w:pPr>
      <w:bookmarkStart w:id="18" w:name="_Toc357681307"/>
      <w:bookmarkStart w:id="19" w:name="_Toc400028314"/>
      <w:bookmarkStart w:id="20" w:name="_Toc400093936"/>
      <w:r w:rsidRPr="002673D1">
        <w:t>Marco jurídico y alcance de la verificación</w:t>
      </w:r>
      <w:bookmarkEnd w:id="18"/>
      <w:bookmarkEnd w:id="19"/>
      <w:bookmarkEnd w:id="20"/>
    </w:p>
    <w:p w:rsidR="00CC754C" w:rsidRPr="002673D1" w:rsidRDefault="00457694" w:rsidP="00457694">
      <w:r>
        <w:t>6</w:t>
      </w:r>
      <w:r w:rsidR="00CC754C" w:rsidRPr="002673D1">
        <w:tab/>
        <w:t xml:space="preserve">En el Artículo 19 del Reglamento Financiero y las Reglas Financieras de la UIT se establecen las normas aplicables a exposiciones y foros de telecomunicaciones mundiales y regionales y otros eventos similares organizados por la Unión. Sus características específicas también se enumeran en la Resolución 11 (Rev. Guadalajara, 2010), así como en el Manual de Reglas y Procedimientos Financieros de TELECOM, que entró en vigor el 13 de marzo de 1998, y en su versión actualizada. </w:t>
      </w:r>
    </w:p>
    <w:p w:rsidR="00CC754C" w:rsidRPr="002673D1" w:rsidRDefault="00457694" w:rsidP="00457694">
      <w:r>
        <w:t>7</w:t>
      </w:r>
      <w:r w:rsidR="00CC754C" w:rsidRPr="002673D1">
        <w:tab/>
        <w:t>La Conferencia de Plenipotenciarios celebrada en Guadalajara en 2010 adoptó, entre otras, la Resolución 11 sobre Eventos ITU Telecom, que empezó a aplicarse de manera efectiva en el evento ITU Telecom de 2012. En la presente auditoría se han examinado detenidamente varios puntos de dicha Resolución y, cuando lo hemos estimado oportuno, hemos incorporado al presente Informe nuestros análisis, comentarios y recomendaciones.</w:t>
      </w:r>
    </w:p>
    <w:p w:rsidR="00CC754C" w:rsidRPr="002673D1" w:rsidRDefault="00457694" w:rsidP="00756923">
      <w:r>
        <w:t>8</w:t>
      </w:r>
      <w:r w:rsidR="00CC754C" w:rsidRPr="002673D1">
        <w:tab/>
        <w:t>La verificación contenida en el presente Informe se refiere a las cuentas del evento ITU Telecom World 201</w:t>
      </w:r>
      <w:r w:rsidR="00827BF5" w:rsidRPr="002673D1">
        <w:t>3</w:t>
      </w:r>
      <w:r w:rsidR="00CC754C" w:rsidRPr="002673D1">
        <w:t xml:space="preserve"> para el periodo compren</w:t>
      </w:r>
      <w:r w:rsidR="00827BF5" w:rsidRPr="002673D1">
        <w:t>dido entre el 1 de enero de 2013</w:t>
      </w:r>
      <w:r w:rsidR="00CC754C" w:rsidRPr="002673D1">
        <w:t xml:space="preserve"> y el 31 de diciembre de 201</w:t>
      </w:r>
      <w:r w:rsidR="00827BF5" w:rsidRPr="002673D1">
        <w:t>3</w:t>
      </w:r>
      <w:r w:rsidR="00CC754C" w:rsidRPr="002673D1">
        <w:t xml:space="preserve">. Estas cuentas recogen los gastos y los ingresos correspondientes a dicho evento e incluyen </w:t>
      </w:r>
      <w:r w:rsidR="00CC754C" w:rsidRPr="002673D1">
        <w:rPr>
          <w:color w:val="000000"/>
        </w:rPr>
        <w:t xml:space="preserve">información adicional destinada al Consejo de la UIT. No obstante, estas cuentas no deben considerarse unos estados financieros establecidos conforme a las </w:t>
      </w:r>
      <w:r w:rsidR="00827BF5" w:rsidRPr="002673D1">
        <w:rPr>
          <w:color w:val="000000"/>
        </w:rPr>
        <w:t>NICSP</w:t>
      </w:r>
      <w:r w:rsidR="00CC754C" w:rsidRPr="002673D1">
        <w:rPr>
          <w:color w:val="000000"/>
        </w:rPr>
        <w:t>, pese a que la</w:t>
      </w:r>
      <w:r w:rsidR="00756923">
        <w:rPr>
          <w:color w:val="000000"/>
        </w:rPr>
        <w:t> </w:t>
      </w:r>
      <w:r w:rsidR="00CC754C" w:rsidRPr="002673D1">
        <w:rPr>
          <w:color w:val="000000"/>
        </w:rPr>
        <w:t xml:space="preserve">UIT empezó a aplicar estas normas el 1 de enero de 2010. Únicamente los estados financieros consolidados de la UIT, que no son objeto del presente Informe, se establecen de conformidad con las </w:t>
      </w:r>
      <w:r w:rsidR="00827BF5" w:rsidRPr="002673D1">
        <w:rPr>
          <w:color w:val="000000"/>
        </w:rPr>
        <w:t>NICSP</w:t>
      </w:r>
      <w:r w:rsidR="00CC754C" w:rsidRPr="002673D1">
        <w:t>.</w:t>
      </w:r>
    </w:p>
    <w:p w:rsidR="00CC754C" w:rsidRPr="002673D1" w:rsidRDefault="00457694" w:rsidP="00457694">
      <w:r>
        <w:rPr>
          <w:color w:val="000000"/>
        </w:rPr>
        <w:t>9</w:t>
      </w:r>
      <w:r w:rsidR="00CC754C" w:rsidRPr="002673D1">
        <w:rPr>
          <w:color w:val="000000"/>
        </w:rPr>
        <w:tab/>
        <w:t xml:space="preserve">Las cuentas verificadas se publican en los Anexos A y B al Documento </w:t>
      </w:r>
      <w:r w:rsidR="0070312B" w:rsidRPr="002673D1">
        <w:t>C14</w:t>
      </w:r>
      <w:r w:rsidR="00CC754C" w:rsidRPr="002673D1">
        <w:t>/</w:t>
      </w:r>
      <w:r w:rsidR="0070312B" w:rsidRPr="002673D1">
        <w:t>2</w:t>
      </w:r>
      <w:r w:rsidR="00CC754C" w:rsidRPr="002673D1">
        <w:t>7</w:t>
      </w:r>
      <w:r w:rsidR="0070312B" w:rsidRPr="002673D1">
        <w:t xml:space="preserve"> del Consejo de</w:t>
      </w:r>
      <w:r>
        <w:t> </w:t>
      </w:r>
      <w:r w:rsidR="0070312B" w:rsidRPr="002673D1">
        <w:t>2014</w:t>
      </w:r>
      <w:r w:rsidR="00CC754C" w:rsidRPr="002673D1">
        <w:t>, en inglés. No hemos examinado el resto de anexos a dicho documento (Anexos C, D, E y</w:t>
      </w:r>
      <w:r>
        <w:t> </w:t>
      </w:r>
      <w:r w:rsidR="00CC754C" w:rsidRPr="002673D1">
        <w:t xml:space="preserve">F). Tal y como se menciona asimismo en el párrafo 2 </w:t>
      </w:r>
      <w:r w:rsidR="00CC754C" w:rsidRPr="002673D1">
        <w:rPr>
          <w:i/>
          <w:iCs/>
        </w:rPr>
        <w:t>supra</w:t>
      </w:r>
      <w:r w:rsidR="00CC754C" w:rsidRPr="002673D1">
        <w:t xml:space="preserve">, la verificación </w:t>
      </w:r>
      <w:r w:rsidR="00CC754C" w:rsidRPr="002673D1">
        <w:rPr>
          <w:color w:val="000000"/>
        </w:rPr>
        <w:t>no va acompañada de un</w:t>
      </w:r>
      <w:r w:rsidR="001F32BE" w:rsidRPr="002673D1">
        <w:rPr>
          <w:color w:val="000000"/>
        </w:rPr>
        <w:t>a</w:t>
      </w:r>
      <w:r w:rsidR="00CC754C" w:rsidRPr="002673D1">
        <w:rPr>
          <w:color w:val="000000"/>
        </w:rPr>
        <w:t xml:space="preserve"> </w:t>
      </w:r>
      <w:r w:rsidR="001F32BE" w:rsidRPr="002673D1">
        <w:rPr>
          <w:color w:val="000000"/>
        </w:rPr>
        <w:t>Opinión</w:t>
      </w:r>
      <w:r w:rsidR="00CC754C" w:rsidRPr="002673D1">
        <w:rPr>
          <w:color w:val="000000"/>
        </w:rPr>
        <w:t xml:space="preserve"> </w:t>
      </w:r>
      <w:r w:rsidR="001F32BE" w:rsidRPr="002673D1">
        <w:rPr>
          <w:color w:val="000000"/>
        </w:rPr>
        <w:t xml:space="preserve">de auditoría, ya que dicha Opinión </w:t>
      </w:r>
      <w:r w:rsidR="00CC754C" w:rsidRPr="002673D1">
        <w:rPr>
          <w:color w:val="000000"/>
        </w:rPr>
        <w:t>acompaña únicamente los estados financieros consolidados de la UIT</w:t>
      </w:r>
      <w:r w:rsidR="00CC754C" w:rsidRPr="002673D1">
        <w:t>.</w:t>
      </w:r>
    </w:p>
    <w:p w:rsidR="00CC754C" w:rsidRPr="002673D1" w:rsidRDefault="00D40FCE" w:rsidP="00457694">
      <w:pPr>
        <w:pStyle w:val="Headingb"/>
      </w:pPr>
      <w:bookmarkStart w:id="21" w:name="_Toc400028315"/>
      <w:bookmarkStart w:id="22" w:name="_Toc400093937"/>
      <w:r w:rsidRPr="002673D1">
        <w:lastRenderedPageBreak/>
        <w:t>Actividades de auditoría</w:t>
      </w:r>
      <w:bookmarkEnd w:id="21"/>
      <w:bookmarkEnd w:id="22"/>
    </w:p>
    <w:p w:rsidR="00CC754C" w:rsidRPr="002673D1" w:rsidRDefault="00457694" w:rsidP="00457694">
      <w:r>
        <w:t>10</w:t>
      </w:r>
      <w:r w:rsidR="00CC754C" w:rsidRPr="002673D1">
        <w:tab/>
        <w:t xml:space="preserve">La </w:t>
      </w:r>
      <w:r w:rsidR="00553525" w:rsidRPr="002673D1">
        <w:t>auditoría</w:t>
      </w:r>
      <w:r w:rsidR="00CC754C" w:rsidRPr="002673D1">
        <w:t xml:space="preserve"> se llevó a cabo de acuerdo con los Principios Fundamentales de Auditoría de la International Organization of Supreme Audit Institution (INTOSAI), </w:t>
      </w:r>
      <w:r w:rsidR="00CC754C" w:rsidRPr="002673D1">
        <w:rPr>
          <w:color w:val="000000"/>
        </w:rPr>
        <w:t>así como respetando el mandato adicional que es parte integrante del Reglamento Financiero de la Unión</w:t>
      </w:r>
      <w:r w:rsidR="00CC754C" w:rsidRPr="002673D1">
        <w:t>.</w:t>
      </w:r>
    </w:p>
    <w:p w:rsidR="00CC754C" w:rsidRPr="002673D1" w:rsidRDefault="00457694" w:rsidP="00457694">
      <w:r>
        <w:t>11</w:t>
      </w:r>
      <w:r w:rsidR="00CC754C" w:rsidRPr="002673D1">
        <w:tab/>
        <w:t>A fin de obtener unas garantías razonables de que no había inexactitudes importantes, las actividades se llevaron a cabo de acuerdo con nuestra estrategia de auditoría.</w:t>
      </w:r>
    </w:p>
    <w:p w:rsidR="00CC754C" w:rsidRPr="002673D1" w:rsidRDefault="00457694" w:rsidP="00457694">
      <w:r>
        <w:t>12</w:t>
      </w:r>
      <w:r w:rsidR="00CC754C" w:rsidRPr="002673D1">
        <w:tab/>
      </w:r>
      <w:r w:rsidR="005F5ED0" w:rsidRPr="002673D1">
        <w:t xml:space="preserve">Del 18 al 22 de noviembre de 2013 realizamos una auditoría </w:t>
      </w:r>
      <w:r w:rsidR="005F5ED0" w:rsidRPr="002673D1">
        <w:rPr>
          <w:i/>
          <w:iCs/>
        </w:rPr>
        <w:t xml:space="preserve">in situ, </w:t>
      </w:r>
      <w:r w:rsidR="005F5ED0" w:rsidRPr="002673D1">
        <w:t xml:space="preserve">en la que verificamos </w:t>
      </w:r>
      <w:r w:rsidR="00F67F16">
        <w:t>los logros</w:t>
      </w:r>
      <w:r w:rsidR="005F5ED0" w:rsidRPr="002673D1">
        <w:t xml:space="preserve"> reales, las actividades en curso y los controles de caja.</w:t>
      </w:r>
    </w:p>
    <w:p w:rsidR="00CC754C" w:rsidRPr="002673D1" w:rsidRDefault="00457694" w:rsidP="00457694">
      <w:r>
        <w:t>13</w:t>
      </w:r>
      <w:r w:rsidR="00CC754C" w:rsidRPr="002673D1">
        <w:tab/>
      </w:r>
      <w:r w:rsidR="005F5ED0" w:rsidRPr="002673D1">
        <w:t>Dur</w:t>
      </w:r>
      <w:r w:rsidR="00A742E3" w:rsidRPr="002673D1">
        <w:t xml:space="preserve">ante la auditoría </w:t>
      </w:r>
      <w:r w:rsidR="00F67F16">
        <w:rPr>
          <w:i/>
          <w:iCs/>
        </w:rPr>
        <w:t>in situ</w:t>
      </w:r>
      <w:r w:rsidR="00A742E3" w:rsidRPr="002673D1">
        <w:t xml:space="preserve"> de </w:t>
      </w:r>
      <w:r w:rsidR="005F5ED0" w:rsidRPr="002673D1">
        <w:t xml:space="preserve">ITU Telecom World 2013 </w:t>
      </w:r>
      <w:r w:rsidR="00A742E3" w:rsidRPr="002673D1">
        <w:t>e</w:t>
      </w:r>
      <w:r w:rsidR="005F5ED0" w:rsidRPr="002673D1">
        <w:t xml:space="preserve">n Bangkok, </w:t>
      </w:r>
      <w:r w:rsidR="00E81FE7" w:rsidRPr="002673D1">
        <w:t>realizamos verificaciones sistemáticas con el fin de asegurarnos de que</w:t>
      </w:r>
      <w:r w:rsidR="00377D9D" w:rsidRPr="002673D1">
        <w:t xml:space="preserve"> se llevaba correctamente</w:t>
      </w:r>
      <w:r w:rsidR="00E81FE7" w:rsidRPr="002673D1">
        <w:t xml:space="preserve"> el registro de contabilidad </w:t>
      </w:r>
      <w:r w:rsidR="00377D9D" w:rsidRPr="002673D1">
        <w:t>relativo a los movimientos de liquidez</w:t>
      </w:r>
      <w:r w:rsidR="005F5ED0" w:rsidRPr="002673D1">
        <w:t xml:space="preserve">, </w:t>
      </w:r>
      <w:r w:rsidR="005F31DC" w:rsidRPr="002673D1">
        <w:t xml:space="preserve">y no detectamos ningún </w:t>
      </w:r>
      <w:r w:rsidR="005F5ED0" w:rsidRPr="002673D1">
        <w:t>error.</w:t>
      </w:r>
    </w:p>
    <w:p w:rsidR="00CC754C" w:rsidRPr="002673D1" w:rsidRDefault="00457694" w:rsidP="00457694">
      <w:r>
        <w:t>14</w:t>
      </w:r>
      <w:r w:rsidR="00CC754C" w:rsidRPr="002673D1">
        <w:tab/>
      </w:r>
      <w:r w:rsidR="00891D5C" w:rsidRPr="002673D1">
        <w:t>Además</w:t>
      </w:r>
      <w:r w:rsidR="005F5ED0" w:rsidRPr="002673D1">
        <w:t>, a</w:t>
      </w:r>
      <w:r w:rsidR="00891D5C" w:rsidRPr="002673D1">
        <w:t>l final del evento</w:t>
      </w:r>
      <w:r w:rsidR="005F5ED0" w:rsidRPr="002673D1">
        <w:t xml:space="preserve">, </w:t>
      </w:r>
      <w:r w:rsidR="00891D5C" w:rsidRPr="002673D1">
        <w:t xml:space="preserve">realizamos el recuento de caja </w:t>
      </w:r>
      <w:r w:rsidR="005F5ED0" w:rsidRPr="002673D1">
        <w:t xml:space="preserve">final </w:t>
      </w:r>
      <w:r w:rsidR="00891D5C" w:rsidRPr="002673D1">
        <w:t xml:space="preserve">en el Banco junto con el </w:t>
      </w:r>
      <w:r w:rsidR="00D873BE" w:rsidRPr="002673D1">
        <w:t xml:space="preserve">Controlador Financiero de </w:t>
      </w:r>
      <w:r w:rsidR="005F5ED0" w:rsidRPr="002673D1">
        <w:t xml:space="preserve">ITU TELECOM. </w:t>
      </w:r>
      <w:r w:rsidR="00DC5331" w:rsidRPr="002673D1">
        <w:t>Las escrituras contables coincidían con los documentos del Banco y no encontramos ningún error</w:t>
      </w:r>
      <w:r w:rsidR="005F5ED0" w:rsidRPr="002673D1">
        <w:t>.</w:t>
      </w:r>
    </w:p>
    <w:p w:rsidR="00CC754C" w:rsidRPr="002673D1" w:rsidRDefault="00457694" w:rsidP="00457694">
      <w:r>
        <w:t>15</w:t>
      </w:r>
      <w:r w:rsidR="00CC754C" w:rsidRPr="002673D1">
        <w:tab/>
      </w:r>
      <w:r w:rsidR="00357CB5" w:rsidRPr="002673D1">
        <w:t xml:space="preserve">A fin de evaluar el cumplimiento de las normas, las resoluciones, las recomendaciones y las mejores prácticas, también recopilamos datos sobre las ventas, los participantes y el acceso, así como pruebas directas, para compararlos con los datos examinados en el análisis presentado por la </w:t>
      </w:r>
      <w:r w:rsidR="001307A4" w:rsidRPr="002673D1">
        <w:t>Dirección</w:t>
      </w:r>
      <w:r w:rsidR="00357CB5" w:rsidRPr="002673D1">
        <w:t xml:space="preserve"> de los eventos </w:t>
      </w:r>
      <w:r w:rsidR="005F5ED0" w:rsidRPr="002673D1">
        <w:t>ITU Telecom.</w:t>
      </w:r>
    </w:p>
    <w:p w:rsidR="00CC754C" w:rsidRPr="002673D1" w:rsidRDefault="00457694" w:rsidP="00457694">
      <w:r>
        <w:t>16</w:t>
      </w:r>
      <w:r w:rsidR="00CC754C" w:rsidRPr="002673D1">
        <w:tab/>
      </w:r>
      <w:r w:rsidR="00B07F78" w:rsidRPr="002673D1">
        <w:t>Además de los resultados financieros</w:t>
      </w:r>
      <w:r w:rsidR="005F5ED0" w:rsidRPr="002673D1">
        <w:t xml:space="preserve">, </w:t>
      </w:r>
      <w:r w:rsidR="00B07F78" w:rsidRPr="002673D1">
        <w:t xml:space="preserve">también analizamos los indicadores fundamentales de rendimiento </w:t>
      </w:r>
      <w:r w:rsidR="005F5ED0" w:rsidRPr="002673D1">
        <w:t>(</w:t>
      </w:r>
      <w:r w:rsidR="00B156B1">
        <w:t>IFR</w:t>
      </w:r>
      <w:r w:rsidR="005F5ED0" w:rsidRPr="002673D1">
        <w:t xml:space="preserve">) </w:t>
      </w:r>
      <w:r w:rsidR="00B07F78" w:rsidRPr="002673D1">
        <w:t>adecuados para proseguir la evaluación antes mencionada</w:t>
      </w:r>
      <w:r w:rsidR="005F5ED0" w:rsidRPr="002673D1">
        <w:t>.</w:t>
      </w:r>
    </w:p>
    <w:p w:rsidR="00CC754C" w:rsidRPr="002673D1" w:rsidRDefault="00457694" w:rsidP="00457694">
      <w:pPr>
        <w:rPr>
          <w:bCs/>
        </w:rPr>
      </w:pPr>
      <w:r>
        <w:t>17</w:t>
      </w:r>
      <w:r w:rsidR="00CC754C" w:rsidRPr="002673D1">
        <w:tab/>
        <w:t>Comprobamos que la cuenta de resultados de ITU Telecom World 201</w:t>
      </w:r>
      <w:r w:rsidR="0089450A" w:rsidRPr="002673D1">
        <w:t>3</w:t>
      </w:r>
      <w:r w:rsidR="00CC754C" w:rsidRPr="002673D1">
        <w:t xml:space="preserve"> a </w:t>
      </w:r>
      <w:r w:rsidR="0089450A" w:rsidRPr="002673D1">
        <w:t>fecha de 31 de diciembre de 2013</w:t>
      </w:r>
      <w:r w:rsidR="00CC754C" w:rsidRPr="002673D1">
        <w:t xml:space="preserve"> estaba en consonancia con las cuentas que nos habían</w:t>
      </w:r>
      <w:r w:rsidR="00817A78">
        <w:t xml:space="preserve"> sido</w:t>
      </w:r>
      <w:r w:rsidR="00CC754C" w:rsidRPr="002673D1">
        <w:t xml:space="preserve"> presentad</w:t>
      </w:r>
      <w:r w:rsidR="00817A78">
        <w:t>as</w:t>
      </w:r>
      <w:r w:rsidR="00CC754C" w:rsidRPr="002673D1">
        <w:t>; para ello, tomamos algunas entradas y verificamos que se habían imputado correctamente. La auditoría ha versado sobre la teneduría de las cuentas, ingresos y gastos y la imputación del resultado en la contabilidad.</w:t>
      </w:r>
    </w:p>
    <w:p w:rsidR="00CC754C" w:rsidRPr="002673D1" w:rsidRDefault="00457694" w:rsidP="00457694">
      <w:r>
        <w:t>18</w:t>
      </w:r>
      <w:r w:rsidR="00CC754C" w:rsidRPr="002673D1">
        <w:tab/>
        <w:t>Durante la auditoría, discutimos y aclaramos todas las cuestiones con los funcionarios responsables; las pruebas realizadas por muestreo sobre una serie de transacciones y documentos pertinentes han arrojado unos resultados suficientes y fiables en lo que respecta a las cuentas del</w:t>
      </w:r>
      <w:r w:rsidR="0089450A" w:rsidRPr="002673D1">
        <w:t xml:space="preserve"> evento ITU Telecom World 2013</w:t>
      </w:r>
      <w:r w:rsidR="00CC754C" w:rsidRPr="002673D1">
        <w:t>.</w:t>
      </w:r>
    </w:p>
    <w:p w:rsidR="00CC754C" w:rsidRPr="002673D1" w:rsidRDefault="00457694" w:rsidP="00457694">
      <w:r>
        <w:t>19</w:t>
      </w:r>
      <w:r w:rsidR="00CC754C" w:rsidRPr="002673D1">
        <w:tab/>
      </w:r>
      <w:r w:rsidR="00D64767" w:rsidRPr="002673D1">
        <w:t xml:space="preserve">El </w:t>
      </w:r>
      <w:r w:rsidR="00FE2028" w:rsidRPr="002673D1">
        <w:t>23</w:t>
      </w:r>
      <w:r w:rsidR="00CC754C" w:rsidRPr="002673D1">
        <w:t xml:space="preserve"> de mayo de 2</w:t>
      </w:r>
      <w:r w:rsidR="00FE2028" w:rsidRPr="002673D1">
        <w:t>014</w:t>
      </w:r>
      <w:r w:rsidR="00CC754C" w:rsidRPr="002673D1">
        <w:t xml:space="preserve">, </w:t>
      </w:r>
      <w:r w:rsidR="00D64767" w:rsidRPr="002673D1">
        <w:t>presentamos nuestro proyecto de Informe de Auditoría al</w:t>
      </w:r>
      <w:r w:rsidR="00CC754C" w:rsidRPr="002673D1">
        <w:t xml:space="preserve"> Departamento de Gestión de Recursos Financieros y </w:t>
      </w:r>
      <w:r w:rsidR="00D64767" w:rsidRPr="002673D1">
        <w:t xml:space="preserve">a </w:t>
      </w:r>
      <w:r w:rsidR="00CC754C" w:rsidRPr="002673D1">
        <w:t>la Secretaría de ITU Telecom</w:t>
      </w:r>
      <w:r w:rsidR="00D64767" w:rsidRPr="002673D1">
        <w:t>.</w:t>
      </w:r>
      <w:r w:rsidR="00CC754C" w:rsidRPr="002673D1">
        <w:t xml:space="preserve"> </w:t>
      </w:r>
      <w:r w:rsidR="00D64767" w:rsidRPr="002673D1">
        <w:t xml:space="preserve">El </w:t>
      </w:r>
      <w:r w:rsidR="00CC754C" w:rsidRPr="002673D1">
        <w:t xml:space="preserve">Informe </w:t>
      </w:r>
      <w:r w:rsidR="00D64767" w:rsidRPr="002673D1">
        <w:t xml:space="preserve">incluye ámbitos que requieren mejorar, así como </w:t>
      </w:r>
      <w:r w:rsidR="00CC754C" w:rsidRPr="002673D1">
        <w:t>recomendaciones y sugerencias a fin de señalarlas a la atención del Consejo, de conformidad con lo establecido en el Artículo 19 del Reglamento Financiero y las Reglas Financieras de la UIT.</w:t>
      </w:r>
    </w:p>
    <w:p w:rsidR="00CC754C" w:rsidRPr="002673D1" w:rsidRDefault="00457694" w:rsidP="00457694">
      <w:r>
        <w:t>20</w:t>
      </w:r>
      <w:r w:rsidR="00CC754C" w:rsidRPr="002673D1">
        <w:tab/>
        <w:t xml:space="preserve">No se nos ha señalado ningún recurso ni juicio incoado oficialmente contra la Unión en el marco de ITU </w:t>
      </w:r>
      <w:r w:rsidR="00BA6F07" w:rsidRPr="002673D1">
        <w:t xml:space="preserve">Telecom </w:t>
      </w:r>
      <w:r w:rsidR="00CC754C" w:rsidRPr="002673D1">
        <w:t>World 201</w:t>
      </w:r>
      <w:r w:rsidR="00C04400" w:rsidRPr="002673D1">
        <w:t>3</w:t>
      </w:r>
      <w:r w:rsidR="00CC754C" w:rsidRPr="002673D1">
        <w:t>, ni ningún caso de fraude o presunto fraude.</w:t>
      </w:r>
    </w:p>
    <w:p w:rsidR="00CC754C" w:rsidRPr="002673D1" w:rsidRDefault="00CC754C" w:rsidP="00457694">
      <w:pPr>
        <w:pStyle w:val="Headingb"/>
      </w:pPr>
      <w:bookmarkStart w:id="23" w:name="_Toc357681308"/>
      <w:bookmarkStart w:id="24" w:name="_Toc400028316"/>
      <w:bookmarkStart w:id="25" w:name="_Toc400093938"/>
      <w:r w:rsidRPr="002673D1">
        <w:t>Agradecimientos</w:t>
      </w:r>
      <w:bookmarkEnd w:id="23"/>
      <w:bookmarkEnd w:id="24"/>
      <w:bookmarkEnd w:id="25"/>
    </w:p>
    <w:p w:rsidR="00CC754C" w:rsidRPr="002673D1" w:rsidRDefault="00457694" w:rsidP="00457694">
      <w:r>
        <w:t>21</w:t>
      </w:r>
      <w:r w:rsidR="00CC754C" w:rsidRPr="002673D1">
        <w:tab/>
        <w:t>Deseamos expresar nuestra gratitud a todo el personal de la UIT que ha colaborado sinceramente con nosotros</w:t>
      </w:r>
      <w:r w:rsidR="00A8075C" w:rsidRPr="002673D1">
        <w:t xml:space="preserve">, en Ginebra y durante el evento en Bangkok, y </w:t>
      </w:r>
      <w:r w:rsidR="00CC754C" w:rsidRPr="002673D1">
        <w:t xml:space="preserve">que </w:t>
      </w:r>
      <w:r w:rsidR="00A8075C" w:rsidRPr="002673D1">
        <w:t>nos ha facilitado toda la</w:t>
      </w:r>
      <w:r w:rsidR="00CC754C" w:rsidRPr="002673D1">
        <w:t xml:space="preserve"> información y </w:t>
      </w:r>
      <w:r w:rsidR="00A8075C" w:rsidRPr="002673D1">
        <w:t xml:space="preserve">los </w:t>
      </w:r>
      <w:r w:rsidR="00CC754C" w:rsidRPr="002673D1">
        <w:t>documentos</w:t>
      </w:r>
      <w:r w:rsidR="00A8075C" w:rsidRPr="002673D1">
        <w:t xml:space="preserve"> necesarios</w:t>
      </w:r>
      <w:r w:rsidR="00CC754C" w:rsidRPr="002673D1">
        <w:t>.</w:t>
      </w:r>
    </w:p>
    <w:p w:rsidR="00CC754C" w:rsidRPr="002673D1" w:rsidRDefault="00CC754C" w:rsidP="00457694">
      <w:pPr>
        <w:pStyle w:val="Headingb"/>
      </w:pPr>
      <w:bookmarkStart w:id="26" w:name="_Toc357681309"/>
      <w:bookmarkStart w:id="27" w:name="_Toc400028317"/>
      <w:bookmarkStart w:id="28" w:name="_Toc400093939"/>
      <w:r w:rsidRPr="002673D1">
        <w:lastRenderedPageBreak/>
        <w:t xml:space="preserve">Transición hacia las </w:t>
      </w:r>
      <w:r w:rsidR="00827BF5" w:rsidRPr="002673D1">
        <w:t>NICSP</w:t>
      </w:r>
      <w:bookmarkEnd w:id="26"/>
      <w:bookmarkEnd w:id="27"/>
      <w:bookmarkEnd w:id="28"/>
    </w:p>
    <w:p w:rsidR="00CC754C" w:rsidRPr="002673D1" w:rsidRDefault="00457694" w:rsidP="00457694">
      <w:r>
        <w:t>22</w:t>
      </w:r>
      <w:r w:rsidR="00CC754C" w:rsidRPr="002673D1">
        <w:tab/>
        <w:t xml:space="preserve">A causa de la transición a las </w:t>
      </w:r>
      <w:r w:rsidR="00827BF5" w:rsidRPr="002673D1">
        <w:t>NICSP</w:t>
      </w:r>
      <w:r w:rsidR="00CC754C" w:rsidRPr="002673D1">
        <w:t>, a partir de ahora las cuentas de los eventos TELECOM se cierran, a lo sumo, al final del ejercicio contable durante el cual se celebra la exposición, a fin de respetar el principio de delimitación periódica. Ésta es la razón por la cual las c</w:t>
      </w:r>
      <w:r w:rsidR="00DB7486" w:rsidRPr="002673D1">
        <w:t xml:space="preserve">uentas de ITU </w:t>
      </w:r>
      <w:r w:rsidR="00CB184A" w:rsidRPr="002673D1">
        <w:t xml:space="preserve">Telecom </w:t>
      </w:r>
      <w:r w:rsidR="00DB7486" w:rsidRPr="002673D1">
        <w:t>World 2013</w:t>
      </w:r>
      <w:r w:rsidR="00CC754C" w:rsidRPr="002673D1">
        <w:t xml:space="preserve"> se cer</w:t>
      </w:r>
      <w:r w:rsidR="00DB7486" w:rsidRPr="002673D1">
        <w:t>raron el 31 de diciembre de 2013</w:t>
      </w:r>
      <w:r w:rsidR="00CC754C" w:rsidRPr="002673D1">
        <w:t xml:space="preserve">. </w:t>
      </w:r>
    </w:p>
    <w:p w:rsidR="00CC754C" w:rsidRPr="002673D1" w:rsidRDefault="00CC754C" w:rsidP="00457694">
      <w:pPr>
        <w:pStyle w:val="Headingb"/>
      </w:pPr>
      <w:bookmarkStart w:id="29" w:name="_Toc357681310"/>
      <w:bookmarkStart w:id="30" w:name="_Toc400028318"/>
      <w:bookmarkStart w:id="31" w:name="_Toc400093940"/>
      <w:r w:rsidRPr="002673D1">
        <w:t>Cifras clave</w:t>
      </w:r>
      <w:bookmarkEnd w:id="29"/>
      <w:bookmarkEnd w:id="30"/>
      <w:bookmarkEnd w:id="31"/>
    </w:p>
    <w:p w:rsidR="00CC754C" w:rsidRPr="002673D1" w:rsidRDefault="00457694" w:rsidP="00457694">
      <w:r>
        <w:t>23</w:t>
      </w:r>
      <w:r w:rsidR="00CC754C" w:rsidRPr="002673D1">
        <w:tab/>
        <w:t>A continuación presentamos un cuadro con los gastos y los ingresos totales presupuestados:</w:t>
      </w:r>
    </w:p>
    <w:p w:rsidR="006745DA" w:rsidRPr="002673D1" w:rsidRDefault="006745DA" w:rsidP="003D35F1">
      <w:pPr>
        <w:spacing w:after="60"/>
        <w:ind w:right="340"/>
        <w:jc w:val="right"/>
      </w:pPr>
      <w:r w:rsidRPr="002673D1">
        <w:t>(CHF)</w:t>
      </w:r>
    </w:p>
    <w:tbl>
      <w:tblPr>
        <w:tblStyle w:val="TableGrid"/>
        <w:tblW w:w="0" w:type="auto"/>
        <w:jc w:val="center"/>
        <w:tblLayout w:type="fixed"/>
        <w:tblLook w:val="04A0" w:firstRow="1" w:lastRow="0" w:firstColumn="1" w:lastColumn="0" w:noHBand="0" w:noVBand="1"/>
      </w:tblPr>
      <w:tblGrid>
        <w:gridCol w:w="1594"/>
        <w:gridCol w:w="1747"/>
        <w:gridCol w:w="1582"/>
        <w:gridCol w:w="1763"/>
        <w:gridCol w:w="1470"/>
        <w:gridCol w:w="1420"/>
      </w:tblGrid>
      <w:tr w:rsidR="006745DA" w:rsidRPr="002673D1" w:rsidTr="00544B0A">
        <w:trPr>
          <w:jc w:val="center"/>
        </w:trPr>
        <w:tc>
          <w:tcPr>
            <w:tcW w:w="1594" w:type="dxa"/>
            <w:shd w:val="clear" w:color="auto" w:fill="auto"/>
            <w:vAlign w:val="center"/>
          </w:tcPr>
          <w:p w:rsidR="006745DA" w:rsidRPr="002673D1" w:rsidRDefault="006745DA" w:rsidP="003D35F1">
            <w:pPr>
              <w:pStyle w:val="Tablehead"/>
              <w:spacing w:before="60" w:after="60"/>
            </w:pPr>
            <w:r w:rsidRPr="002673D1">
              <w:t>W</w:t>
            </w:r>
            <w:r w:rsidR="00CB184A" w:rsidRPr="002673D1">
              <w:t xml:space="preserve">orld </w:t>
            </w:r>
            <w:r w:rsidRPr="002673D1">
              <w:t>T</w:t>
            </w:r>
            <w:r w:rsidR="00CB184A" w:rsidRPr="002673D1">
              <w:t>elecom</w:t>
            </w:r>
            <w:r w:rsidRPr="002673D1">
              <w:t xml:space="preserve"> 2013</w:t>
            </w:r>
          </w:p>
        </w:tc>
        <w:tc>
          <w:tcPr>
            <w:tcW w:w="1747" w:type="dxa"/>
            <w:shd w:val="clear" w:color="auto" w:fill="auto"/>
            <w:vAlign w:val="center"/>
          </w:tcPr>
          <w:p w:rsidR="006745DA" w:rsidRPr="002673D1" w:rsidRDefault="006745DA" w:rsidP="003D35F1">
            <w:pPr>
              <w:pStyle w:val="Tablehead"/>
              <w:spacing w:before="60" w:after="60"/>
            </w:pPr>
            <w:r w:rsidRPr="002673D1">
              <w:t>Cantidad presupuestada</w:t>
            </w:r>
          </w:p>
        </w:tc>
        <w:tc>
          <w:tcPr>
            <w:tcW w:w="1582" w:type="dxa"/>
            <w:vAlign w:val="center"/>
          </w:tcPr>
          <w:p w:rsidR="006745DA" w:rsidRPr="002673D1" w:rsidRDefault="00CB184A" w:rsidP="003D35F1">
            <w:pPr>
              <w:pStyle w:val="Tablehead"/>
              <w:spacing w:before="60" w:after="60"/>
            </w:pPr>
            <w:r w:rsidRPr="002673D1">
              <w:t>Cantidad presupuestada revisada</w:t>
            </w:r>
          </w:p>
        </w:tc>
        <w:tc>
          <w:tcPr>
            <w:tcW w:w="1763" w:type="dxa"/>
            <w:shd w:val="clear" w:color="auto" w:fill="auto"/>
            <w:vAlign w:val="center"/>
          </w:tcPr>
          <w:p w:rsidR="006745DA" w:rsidRPr="002673D1" w:rsidRDefault="006745DA" w:rsidP="003D35F1">
            <w:pPr>
              <w:pStyle w:val="Tablehead"/>
              <w:spacing w:before="60" w:after="60"/>
            </w:pPr>
            <w:r w:rsidRPr="002673D1">
              <w:t>Cantidad real</w:t>
            </w:r>
          </w:p>
        </w:tc>
        <w:tc>
          <w:tcPr>
            <w:tcW w:w="1470" w:type="dxa"/>
          </w:tcPr>
          <w:p w:rsidR="006745DA" w:rsidRPr="002673D1" w:rsidRDefault="00CB184A" w:rsidP="003D35F1">
            <w:pPr>
              <w:pStyle w:val="Tablehead"/>
              <w:spacing w:before="60" w:after="60"/>
              <w:ind w:left="-57" w:right="-57"/>
            </w:pPr>
            <w:r w:rsidRPr="002673D1">
              <w:t>Variación con respecto a</w:t>
            </w:r>
            <w:r w:rsidR="00817A78">
              <w:t xml:space="preserve"> </w:t>
            </w:r>
            <w:r w:rsidRPr="002673D1">
              <w:t>l</w:t>
            </w:r>
            <w:r w:rsidR="00817A78">
              <w:t>a</w:t>
            </w:r>
            <w:r w:rsidRPr="002673D1">
              <w:t xml:space="preserve"> </w:t>
            </w:r>
            <w:r w:rsidR="00817A78">
              <w:t>cantidad presupuesta</w:t>
            </w:r>
            <w:r w:rsidR="00446624">
              <w:t>da</w:t>
            </w:r>
            <w:r w:rsidRPr="002673D1">
              <w:t xml:space="preserve"> inicial</w:t>
            </w:r>
            <w:r w:rsidR="000D3C95">
              <w:t>mente</w:t>
            </w:r>
          </w:p>
        </w:tc>
        <w:tc>
          <w:tcPr>
            <w:tcW w:w="1420" w:type="dxa"/>
            <w:shd w:val="clear" w:color="auto" w:fill="auto"/>
          </w:tcPr>
          <w:p w:rsidR="006745DA" w:rsidRPr="002673D1" w:rsidRDefault="006745DA" w:rsidP="003D35F1">
            <w:pPr>
              <w:pStyle w:val="Tablehead"/>
              <w:spacing w:before="60" w:after="60"/>
            </w:pPr>
            <w:r w:rsidRPr="002673D1">
              <w:t>Varia</w:t>
            </w:r>
            <w:r w:rsidR="00CB184A" w:rsidRPr="002673D1">
              <w:t>ción con respecto a</w:t>
            </w:r>
            <w:r w:rsidR="00817A78">
              <w:t xml:space="preserve"> </w:t>
            </w:r>
            <w:r w:rsidR="00CB184A" w:rsidRPr="002673D1">
              <w:t>l</w:t>
            </w:r>
            <w:r w:rsidR="00817A78">
              <w:t>a</w:t>
            </w:r>
            <w:r w:rsidR="00CB184A" w:rsidRPr="002673D1">
              <w:t xml:space="preserve"> </w:t>
            </w:r>
            <w:r w:rsidR="00817A78">
              <w:t>cantidad presupuesta</w:t>
            </w:r>
            <w:r w:rsidR="00446624">
              <w:t>da</w:t>
            </w:r>
            <w:r w:rsidR="00CB184A" w:rsidRPr="002673D1">
              <w:t xml:space="preserve"> revisad</w:t>
            </w:r>
            <w:r w:rsidR="00817A78">
              <w:t>a</w:t>
            </w:r>
          </w:p>
        </w:tc>
      </w:tr>
      <w:tr w:rsidR="006745DA" w:rsidRPr="002673D1" w:rsidTr="00544B0A">
        <w:trPr>
          <w:jc w:val="center"/>
        </w:trPr>
        <w:tc>
          <w:tcPr>
            <w:tcW w:w="1594" w:type="dxa"/>
            <w:vAlign w:val="center"/>
          </w:tcPr>
          <w:p w:rsidR="006745DA" w:rsidRPr="002673D1" w:rsidRDefault="006745DA" w:rsidP="003D35F1">
            <w:pPr>
              <w:pStyle w:val="Tabletext"/>
            </w:pPr>
            <w:r w:rsidRPr="002673D1">
              <w:t>Ingresos</w:t>
            </w:r>
          </w:p>
        </w:tc>
        <w:tc>
          <w:tcPr>
            <w:tcW w:w="1747" w:type="dxa"/>
            <w:vAlign w:val="center"/>
          </w:tcPr>
          <w:p w:rsidR="006745DA" w:rsidRPr="002673D1" w:rsidRDefault="006745DA" w:rsidP="003D35F1">
            <w:pPr>
              <w:pStyle w:val="Tabletext"/>
              <w:ind w:right="170"/>
              <w:jc w:val="right"/>
            </w:pPr>
            <w:r w:rsidRPr="002673D1">
              <w:t>12</w:t>
            </w:r>
            <w:r w:rsidR="001831A7">
              <w:t> </w:t>
            </w:r>
            <w:r w:rsidRPr="002673D1">
              <w:t>465</w:t>
            </w:r>
            <w:r w:rsidR="001831A7">
              <w:t> </w:t>
            </w:r>
            <w:r w:rsidRPr="002673D1">
              <w:t>500,00</w:t>
            </w:r>
          </w:p>
        </w:tc>
        <w:tc>
          <w:tcPr>
            <w:tcW w:w="1582" w:type="dxa"/>
            <w:vAlign w:val="center"/>
          </w:tcPr>
          <w:p w:rsidR="006745DA" w:rsidRPr="002673D1" w:rsidRDefault="006745DA" w:rsidP="003D35F1">
            <w:pPr>
              <w:pStyle w:val="Tabletext"/>
              <w:ind w:right="57"/>
              <w:jc w:val="right"/>
            </w:pPr>
            <w:r w:rsidRPr="002673D1">
              <w:t>11</w:t>
            </w:r>
            <w:r w:rsidR="001831A7">
              <w:t> </w:t>
            </w:r>
            <w:r w:rsidRPr="002673D1">
              <w:t>007</w:t>
            </w:r>
            <w:r w:rsidR="001831A7">
              <w:t> </w:t>
            </w:r>
            <w:r w:rsidRPr="002673D1">
              <w:t>500,00</w:t>
            </w:r>
          </w:p>
        </w:tc>
        <w:tc>
          <w:tcPr>
            <w:tcW w:w="1763" w:type="dxa"/>
            <w:vAlign w:val="center"/>
          </w:tcPr>
          <w:p w:rsidR="006745DA" w:rsidRPr="002673D1" w:rsidRDefault="006745DA" w:rsidP="003D35F1">
            <w:pPr>
              <w:pStyle w:val="Tabletext"/>
              <w:ind w:right="170"/>
              <w:jc w:val="right"/>
            </w:pPr>
            <w:r w:rsidRPr="002673D1">
              <w:t>11</w:t>
            </w:r>
            <w:r w:rsidR="001831A7">
              <w:t> </w:t>
            </w:r>
            <w:r w:rsidRPr="002673D1">
              <w:t>394</w:t>
            </w:r>
            <w:r w:rsidR="001831A7">
              <w:t> </w:t>
            </w:r>
            <w:r w:rsidRPr="002673D1">
              <w:t>198,71</w:t>
            </w:r>
          </w:p>
        </w:tc>
        <w:tc>
          <w:tcPr>
            <w:tcW w:w="1470" w:type="dxa"/>
          </w:tcPr>
          <w:p w:rsidR="006745DA" w:rsidRPr="002673D1" w:rsidRDefault="006745DA" w:rsidP="003D35F1">
            <w:pPr>
              <w:pStyle w:val="Tabletext"/>
              <w:ind w:right="454"/>
              <w:jc w:val="right"/>
            </w:pPr>
            <w:r w:rsidRPr="002673D1">
              <w:t>-9%</w:t>
            </w:r>
          </w:p>
        </w:tc>
        <w:tc>
          <w:tcPr>
            <w:tcW w:w="1420" w:type="dxa"/>
          </w:tcPr>
          <w:p w:rsidR="006745DA" w:rsidRPr="002673D1" w:rsidRDefault="006745DA" w:rsidP="003D35F1">
            <w:pPr>
              <w:pStyle w:val="Tabletext"/>
              <w:ind w:right="454"/>
              <w:jc w:val="right"/>
            </w:pPr>
            <w:r w:rsidRPr="002673D1">
              <w:t>4%</w:t>
            </w:r>
          </w:p>
        </w:tc>
      </w:tr>
      <w:tr w:rsidR="006745DA" w:rsidRPr="002673D1" w:rsidTr="00544B0A">
        <w:trPr>
          <w:jc w:val="center"/>
        </w:trPr>
        <w:tc>
          <w:tcPr>
            <w:tcW w:w="1594" w:type="dxa"/>
            <w:vAlign w:val="center"/>
          </w:tcPr>
          <w:p w:rsidR="006745DA" w:rsidRPr="002673D1" w:rsidRDefault="006745DA" w:rsidP="003D35F1">
            <w:pPr>
              <w:pStyle w:val="Tabletext"/>
            </w:pPr>
            <w:r w:rsidRPr="002673D1">
              <w:t>Gastos</w:t>
            </w:r>
          </w:p>
        </w:tc>
        <w:tc>
          <w:tcPr>
            <w:tcW w:w="1747" w:type="dxa"/>
            <w:vAlign w:val="center"/>
          </w:tcPr>
          <w:p w:rsidR="006745DA" w:rsidRPr="002673D1" w:rsidRDefault="006745DA" w:rsidP="003D35F1">
            <w:pPr>
              <w:pStyle w:val="Tabletext"/>
              <w:ind w:right="170"/>
              <w:jc w:val="right"/>
            </w:pPr>
            <w:r w:rsidRPr="002673D1">
              <w:t>11</w:t>
            </w:r>
            <w:r w:rsidR="001831A7">
              <w:t> </w:t>
            </w:r>
            <w:r w:rsidRPr="002673D1">
              <w:t>379</w:t>
            </w:r>
            <w:r w:rsidR="001831A7">
              <w:t> </w:t>
            </w:r>
            <w:r w:rsidRPr="002673D1">
              <w:t>500,00</w:t>
            </w:r>
          </w:p>
        </w:tc>
        <w:tc>
          <w:tcPr>
            <w:tcW w:w="1582" w:type="dxa"/>
            <w:vAlign w:val="center"/>
          </w:tcPr>
          <w:p w:rsidR="006745DA" w:rsidRPr="002673D1" w:rsidRDefault="006745DA" w:rsidP="003D35F1">
            <w:pPr>
              <w:pStyle w:val="Tabletext"/>
              <w:ind w:right="57"/>
              <w:jc w:val="right"/>
            </w:pPr>
            <w:r w:rsidRPr="002673D1">
              <w:t>9</w:t>
            </w:r>
            <w:r w:rsidR="001831A7">
              <w:t> </w:t>
            </w:r>
            <w:r w:rsidRPr="002673D1">
              <w:t>687</w:t>
            </w:r>
            <w:r w:rsidR="001831A7">
              <w:t> </w:t>
            </w:r>
            <w:r w:rsidRPr="002673D1">
              <w:t>500,00</w:t>
            </w:r>
          </w:p>
        </w:tc>
        <w:tc>
          <w:tcPr>
            <w:tcW w:w="1763" w:type="dxa"/>
            <w:vAlign w:val="center"/>
          </w:tcPr>
          <w:p w:rsidR="006745DA" w:rsidRPr="002673D1" w:rsidRDefault="006745DA" w:rsidP="003D35F1">
            <w:pPr>
              <w:pStyle w:val="Tabletext"/>
              <w:ind w:right="170"/>
              <w:jc w:val="right"/>
            </w:pPr>
            <w:r w:rsidRPr="002673D1">
              <w:t>9</w:t>
            </w:r>
            <w:r w:rsidR="001831A7">
              <w:t> </w:t>
            </w:r>
            <w:r w:rsidRPr="002673D1">
              <w:t>539</w:t>
            </w:r>
            <w:r w:rsidR="001831A7">
              <w:t> </w:t>
            </w:r>
            <w:r w:rsidRPr="002673D1">
              <w:t>314,71</w:t>
            </w:r>
          </w:p>
        </w:tc>
        <w:tc>
          <w:tcPr>
            <w:tcW w:w="1470" w:type="dxa"/>
          </w:tcPr>
          <w:p w:rsidR="006745DA" w:rsidRPr="002673D1" w:rsidRDefault="006745DA" w:rsidP="003D35F1">
            <w:pPr>
              <w:pStyle w:val="Tabletext"/>
              <w:ind w:right="454"/>
              <w:jc w:val="right"/>
            </w:pPr>
            <w:r w:rsidRPr="002673D1">
              <w:t>-16%</w:t>
            </w:r>
          </w:p>
        </w:tc>
        <w:tc>
          <w:tcPr>
            <w:tcW w:w="1420" w:type="dxa"/>
          </w:tcPr>
          <w:p w:rsidR="006745DA" w:rsidRPr="002673D1" w:rsidRDefault="006745DA" w:rsidP="003D35F1">
            <w:pPr>
              <w:pStyle w:val="Tabletext"/>
              <w:ind w:right="454"/>
              <w:jc w:val="right"/>
            </w:pPr>
            <w:r w:rsidRPr="002673D1">
              <w:t>-2%</w:t>
            </w:r>
          </w:p>
        </w:tc>
      </w:tr>
      <w:tr w:rsidR="006745DA" w:rsidRPr="002673D1" w:rsidTr="00544B0A">
        <w:trPr>
          <w:jc w:val="center"/>
        </w:trPr>
        <w:tc>
          <w:tcPr>
            <w:tcW w:w="1594" w:type="dxa"/>
            <w:vAlign w:val="center"/>
          </w:tcPr>
          <w:p w:rsidR="006745DA" w:rsidRPr="002673D1" w:rsidRDefault="006745DA" w:rsidP="003D35F1">
            <w:pPr>
              <w:pStyle w:val="Tabletext"/>
              <w:rPr>
                <w:b/>
              </w:rPr>
            </w:pPr>
            <w:r w:rsidRPr="002673D1">
              <w:rPr>
                <w:b/>
              </w:rPr>
              <w:t>Resultado</w:t>
            </w:r>
          </w:p>
        </w:tc>
        <w:tc>
          <w:tcPr>
            <w:tcW w:w="1747" w:type="dxa"/>
            <w:vAlign w:val="center"/>
          </w:tcPr>
          <w:p w:rsidR="006745DA" w:rsidRPr="002673D1" w:rsidRDefault="006745DA" w:rsidP="003D35F1">
            <w:pPr>
              <w:pStyle w:val="Tabletext"/>
              <w:ind w:right="170"/>
              <w:jc w:val="right"/>
              <w:rPr>
                <w:b/>
              </w:rPr>
            </w:pPr>
            <w:r w:rsidRPr="002673D1">
              <w:rPr>
                <w:b/>
              </w:rPr>
              <w:t>1</w:t>
            </w:r>
            <w:r w:rsidR="001831A7">
              <w:rPr>
                <w:b/>
              </w:rPr>
              <w:t> </w:t>
            </w:r>
            <w:r w:rsidRPr="002673D1">
              <w:rPr>
                <w:b/>
              </w:rPr>
              <w:t>086</w:t>
            </w:r>
            <w:r w:rsidR="001831A7">
              <w:rPr>
                <w:b/>
              </w:rPr>
              <w:t> </w:t>
            </w:r>
            <w:r w:rsidRPr="002673D1">
              <w:rPr>
                <w:b/>
              </w:rPr>
              <w:t>000,00</w:t>
            </w:r>
          </w:p>
        </w:tc>
        <w:tc>
          <w:tcPr>
            <w:tcW w:w="1582" w:type="dxa"/>
            <w:vAlign w:val="center"/>
          </w:tcPr>
          <w:p w:rsidR="006745DA" w:rsidRPr="002673D1" w:rsidRDefault="006745DA" w:rsidP="003D35F1">
            <w:pPr>
              <w:pStyle w:val="Tabletext"/>
              <w:ind w:right="57"/>
              <w:jc w:val="right"/>
              <w:rPr>
                <w:b/>
              </w:rPr>
            </w:pPr>
            <w:r w:rsidRPr="002673D1">
              <w:rPr>
                <w:b/>
              </w:rPr>
              <w:t>1</w:t>
            </w:r>
            <w:r w:rsidR="001831A7">
              <w:rPr>
                <w:b/>
              </w:rPr>
              <w:t> </w:t>
            </w:r>
            <w:r w:rsidRPr="002673D1">
              <w:rPr>
                <w:b/>
              </w:rPr>
              <w:t>320</w:t>
            </w:r>
            <w:r w:rsidR="001831A7">
              <w:rPr>
                <w:b/>
              </w:rPr>
              <w:t> </w:t>
            </w:r>
            <w:r w:rsidRPr="002673D1">
              <w:rPr>
                <w:b/>
              </w:rPr>
              <w:t>000,00</w:t>
            </w:r>
          </w:p>
        </w:tc>
        <w:tc>
          <w:tcPr>
            <w:tcW w:w="1763" w:type="dxa"/>
            <w:vAlign w:val="center"/>
          </w:tcPr>
          <w:p w:rsidR="006745DA" w:rsidRPr="002673D1" w:rsidRDefault="006745DA" w:rsidP="003D35F1">
            <w:pPr>
              <w:pStyle w:val="Tabletext"/>
              <w:ind w:right="170"/>
              <w:jc w:val="right"/>
              <w:rPr>
                <w:b/>
              </w:rPr>
            </w:pPr>
            <w:r w:rsidRPr="002673D1">
              <w:rPr>
                <w:b/>
              </w:rPr>
              <w:t>1</w:t>
            </w:r>
            <w:r w:rsidR="001831A7">
              <w:rPr>
                <w:b/>
              </w:rPr>
              <w:t> </w:t>
            </w:r>
            <w:r w:rsidRPr="002673D1">
              <w:rPr>
                <w:b/>
              </w:rPr>
              <w:t>854</w:t>
            </w:r>
            <w:r w:rsidR="001831A7">
              <w:rPr>
                <w:b/>
              </w:rPr>
              <w:t> </w:t>
            </w:r>
            <w:r w:rsidRPr="002673D1">
              <w:rPr>
                <w:b/>
              </w:rPr>
              <w:t>884,00</w:t>
            </w:r>
          </w:p>
        </w:tc>
        <w:tc>
          <w:tcPr>
            <w:tcW w:w="1470" w:type="dxa"/>
          </w:tcPr>
          <w:p w:rsidR="006745DA" w:rsidRPr="002673D1" w:rsidRDefault="006745DA" w:rsidP="003D35F1">
            <w:pPr>
              <w:pStyle w:val="Tabletext"/>
              <w:ind w:right="454"/>
              <w:jc w:val="right"/>
              <w:rPr>
                <w:b/>
              </w:rPr>
            </w:pPr>
            <w:r w:rsidRPr="002673D1">
              <w:rPr>
                <w:b/>
              </w:rPr>
              <w:t>71%</w:t>
            </w:r>
          </w:p>
        </w:tc>
        <w:tc>
          <w:tcPr>
            <w:tcW w:w="1420" w:type="dxa"/>
          </w:tcPr>
          <w:p w:rsidR="006745DA" w:rsidRPr="002673D1" w:rsidRDefault="006745DA" w:rsidP="003D35F1">
            <w:pPr>
              <w:pStyle w:val="Tabletext"/>
              <w:ind w:right="454"/>
              <w:jc w:val="right"/>
              <w:rPr>
                <w:b/>
              </w:rPr>
            </w:pPr>
            <w:r w:rsidRPr="002673D1">
              <w:rPr>
                <w:b/>
              </w:rPr>
              <w:t>41%</w:t>
            </w:r>
          </w:p>
        </w:tc>
      </w:tr>
    </w:tbl>
    <w:p w:rsidR="00CC754C" w:rsidRPr="002673D1" w:rsidRDefault="00457694" w:rsidP="003D35F1">
      <w:pPr>
        <w:pStyle w:val="Normalaftertitle"/>
      </w:pPr>
      <w:r>
        <w:t>24</w:t>
      </w:r>
      <w:r w:rsidR="00CC754C" w:rsidRPr="002673D1">
        <w:tab/>
        <w:t>A 31 de diciembre de 201</w:t>
      </w:r>
      <w:r w:rsidR="004E4781" w:rsidRPr="002673D1">
        <w:t>3</w:t>
      </w:r>
      <w:r w:rsidR="00CC754C" w:rsidRPr="002673D1">
        <w:t>, el resultado final de este evento arroja</w:t>
      </w:r>
      <w:r w:rsidR="00ED5360">
        <w:t>ba</w:t>
      </w:r>
      <w:r w:rsidR="00CC754C" w:rsidRPr="002673D1">
        <w:t xml:space="preserve"> un superávit de unos</w:t>
      </w:r>
      <w:r>
        <w:t> </w:t>
      </w:r>
      <w:r w:rsidR="004E4781" w:rsidRPr="002673D1">
        <w:t>1,9</w:t>
      </w:r>
      <w:r w:rsidR="003D35F1">
        <w:t> </w:t>
      </w:r>
      <w:r w:rsidR="004E4781" w:rsidRPr="002673D1">
        <w:t xml:space="preserve">millones </w:t>
      </w:r>
      <w:r w:rsidR="00557F65">
        <w:t>CHF</w:t>
      </w:r>
      <w:r w:rsidR="00CC754C" w:rsidRPr="002673D1">
        <w:t>. Conviene señalar que en 201</w:t>
      </w:r>
      <w:r w:rsidR="00C01D25" w:rsidRPr="002673D1">
        <w:t>4</w:t>
      </w:r>
      <w:r w:rsidR="00CC754C" w:rsidRPr="002673D1">
        <w:t xml:space="preserve"> se han pagado </w:t>
      </w:r>
      <w:r w:rsidR="00C01D25" w:rsidRPr="002673D1">
        <w:t>dos</w:t>
      </w:r>
      <w:r w:rsidR="00CC754C" w:rsidRPr="002673D1">
        <w:t xml:space="preserve"> facturas </w:t>
      </w:r>
      <w:r w:rsidR="00C01D25" w:rsidRPr="002673D1">
        <w:t>a deudores, aprovisionadas al 100% a finales de año, por un monto de 124</w:t>
      </w:r>
      <w:r w:rsidR="001831A7">
        <w:t> </w:t>
      </w:r>
      <w:r w:rsidR="00C01D25" w:rsidRPr="002673D1">
        <w:t xml:space="preserve">400 </w:t>
      </w:r>
      <w:r w:rsidR="00557F65">
        <w:t>CHF</w:t>
      </w:r>
      <w:r w:rsidR="00C01D25" w:rsidRPr="002673D1">
        <w:t>, lo que incrementa el resultado del evento.</w:t>
      </w:r>
      <w:r w:rsidR="00BF5602" w:rsidRPr="002673D1">
        <w:t xml:space="preserve"> El evento Telecom World 2012 celebrado en Dubái arrojó un resultado positivo de 600</w:t>
      </w:r>
      <w:r w:rsidR="001831A7">
        <w:t> </w:t>
      </w:r>
      <w:r w:rsidR="00BF5602" w:rsidRPr="002673D1">
        <w:t>000</w:t>
      </w:r>
      <w:r w:rsidR="003D35F1">
        <w:t> </w:t>
      </w:r>
      <w:r w:rsidR="00557F65">
        <w:t>CHF</w:t>
      </w:r>
      <w:r w:rsidR="00BF5602" w:rsidRPr="002673D1">
        <w:t>. Celebramos esta mejora y, al mismo tiempo, analizamos sus posibles repercusiones.</w:t>
      </w:r>
    </w:p>
    <w:p w:rsidR="00CC754C" w:rsidRPr="002673D1" w:rsidRDefault="00CC754C" w:rsidP="00457694">
      <w:pPr>
        <w:pStyle w:val="Headingb"/>
      </w:pPr>
      <w:bookmarkStart w:id="32" w:name="_Toc357681311"/>
      <w:bookmarkStart w:id="33" w:name="_Toc400028319"/>
      <w:bookmarkStart w:id="34" w:name="_Toc400093941"/>
      <w:r w:rsidRPr="002673D1">
        <w:t>Fondo de Operaciones de las Exposiciones</w:t>
      </w:r>
      <w:bookmarkEnd w:id="32"/>
      <w:bookmarkEnd w:id="33"/>
      <w:bookmarkEnd w:id="34"/>
    </w:p>
    <w:p w:rsidR="00784822" w:rsidRPr="002673D1" w:rsidRDefault="00457694" w:rsidP="00457694">
      <w:r>
        <w:t>25</w:t>
      </w:r>
      <w:r w:rsidR="00784822" w:rsidRPr="002673D1">
        <w:tab/>
      </w:r>
      <w:r w:rsidR="007C20E3" w:rsidRPr="002673D1">
        <w:t xml:space="preserve">De conformidad con lo previsto en el párrafo 4 del </w:t>
      </w:r>
      <w:r w:rsidR="00784822" w:rsidRPr="002673D1">
        <w:t>A</w:t>
      </w:r>
      <w:r w:rsidR="007C20E3" w:rsidRPr="002673D1">
        <w:t xml:space="preserve">rtículo 19 del Reglamento Financiero de la UIT, </w:t>
      </w:r>
      <w:r w:rsidR="00784822" w:rsidRPr="002673D1">
        <w:t xml:space="preserve">todo excedente de ingresos o de gastos </w:t>
      </w:r>
      <w:r w:rsidR="007C20E3" w:rsidRPr="002673D1">
        <w:t xml:space="preserve">resultante de exposiciones mundiales o regionales </w:t>
      </w:r>
      <w:r w:rsidR="00784822" w:rsidRPr="002673D1">
        <w:t xml:space="preserve">será transferido a un Fondo de </w:t>
      </w:r>
      <w:r w:rsidR="00CE5243" w:rsidRPr="002673D1">
        <w:t xml:space="preserve">Operaciones </w:t>
      </w:r>
      <w:r w:rsidR="00784822" w:rsidRPr="002673D1">
        <w:t xml:space="preserve">de las </w:t>
      </w:r>
      <w:r w:rsidR="00CE5243" w:rsidRPr="002673D1">
        <w:t>Exposiciones</w:t>
      </w:r>
      <w:r w:rsidR="00784822" w:rsidRPr="002673D1">
        <w:t>.</w:t>
      </w:r>
    </w:p>
    <w:p w:rsidR="00CC754C" w:rsidRPr="002673D1" w:rsidRDefault="00784822" w:rsidP="003D35F1">
      <w:r w:rsidRPr="002673D1">
        <w:t>26</w:t>
      </w:r>
      <w:r w:rsidR="00CC754C" w:rsidRPr="002673D1">
        <w:tab/>
        <w:t>El resultado po</w:t>
      </w:r>
      <w:r w:rsidR="00CE5243" w:rsidRPr="002673D1">
        <w:t>sitivo de ITU Telecom World 2013</w:t>
      </w:r>
      <w:r w:rsidR="00CC754C" w:rsidRPr="002673D1">
        <w:t xml:space="preserve"> </w:t>
      </w:r>
      <w:r w:rsidR="00CE5243" w:rsidRPr="002673D1">
        <w:t xml:space="preserve">mejoró </w:t>
      </w:r>
      <w:r w:rsidR="00CC754C" w:rsidRPr="002673D1">
        <w:t xml:space="preserve">el balance del Fondo de Operaciones de las Exposiciones, </w:t>
      </w:r>
      <w:r w:rsidR="00CE5243" w:rsidRPr="002673D1">
        <w:t xml:space="preserve">cuyos niveles de 2009 a 2013 se muestran </w:t>
      </w:r>
      <w:r w:rsidR="006D00BB" w:rsidRPr="006D00BB">
        <w:t>a continuación</w:t>
      </w:r>
      <w:r w:rsidR="00CE5243" w:rsidRPr="002673D1">
        <w:t xml:space="preserve"> </w:t>
      </w:r>
      <w:r w:rsidR="00CC754C" w:rsidRPr="002673D1">
        <w:t>(en</w:t>
      </w:r>
      <w:r w:rsidR="003D35F1">
        <w:t> </w:t>
      </w:r>
      <w:r w:rsidR="00CC754C" w:rsidRPr="002673D1">
        <w:t>miles</w:t>
      </w:r>
      <w:r w:rsidR="003D35F1">
        <w:t> </w:t>
      </w:r>
      <w:r w:rsidR="00557F65">
        <w:t>CHF</w:t>
      </w:r>
      <w:r w:rsidR="00CC754C" w:rsidRPr="002673D1">
        <w:t>).</w:t>
      </w:r>
    </w:p>
    <w:p w:rsidR="00784822" w:rsidRPr="002673D1" w:rsidRDefault="00784822" w:rsidP="003D35F1">
      <w:pPr>
        <w:pStyle w:val="Normalaftertitle"/>
        <w:jc w:val="center"/>
        <w:rPr>
          <w:rFonts w:asciiTheme="majorBidi" w:hAnsiTheme="majorBidi" w:cstheme="majorBidi"/>
          <w:szCs w:val="24"/>
        </w:rPr>
      </w:pPr>
      <w:r w:rsidRPr="002673D1">
        <w:rPr>
          <w:noProof/>
          <w:lang w:val="en-US"/>
        </w:rPr>
        <w:drawing>
          <wp:inline distT="0" distB="0" distL="0" distR="0" wp14:anchorId="6C944F6C" wp14:editId="10B7D4BA">
            <wp:extent cx="5811141" cy="1709159"/>
            <wp:effectExtent l="0" t="0" r="18415"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754C" w:rsidRPr="002673D1" w:rsidRDefault="00CC754C" w:rsidP="00773DBE">
      <w:pPr>
        <w:pStyle w:val="Normalaftertitle"/>
      </w:pPr>
      <w:r w:rsidRPr="002673D1">
        <w:t>2</w:t>
      </w:r>
      <w:r w:rsidR="007524B6" w:rsidRPr="002673D1">
        <w:t>7</w:t>
      </w:r>
      <w:r w:rsidRPr="002673D1">
        <w:tab/>
        <w:t xml:space="preserve">Acogemos con satisfacción el </w:t>
      </w:r>
      <w:r w:rsidR="00843385" w:rsidRPr="002673D1">
        <w:t xml:space="preserve">segundo </w:t>
      </w:r>
      <w:r w:rsidRPr="002673D1">
        <w:t xml:space="preserve">incremento </w:t>
      </w:r>
      <w:r w:rsidR="00843385" w:rsidRPr="002673D1">
        <w:t xml:space="preserve">seguido </w:t>
      </w:r>
      <w:r w:rsidRPr="002673D1">
        <w:t>registrado en el Fondo, después de los resultados negativos de los últimos años.</w:t>
      </w:r>
    </w:p>
    <w:p w:rsidR="00CC754C" w:rsidRPr="002673D1" w:rsidRDefault="0057570F" w:rsidP="00457694">
      <w:pPr>
        <w:pStyle w:val="Headingb"/>
      </w:pPr>
      <w:bookmarkStart w:id="35" w:name="_Toc400028320"/>
      <w:bookmarkStart w:id="36" w:name="_Toc400093942"/>
      <w:r w:rsidRPr="002673D1">
        <w:lastRenderedPageBreak/>
        <w:t>Cambios pertinentes, revisión del presupuesto y resultados reales</w:t>
      </w:r>
      <w:bookmarkEnd w:id="35"/>
      <w:bookmarkEnd w:id="36"/>
    </w:p>
    <w:p w:rsidR="00CC754C" w:rsidRPr="002673D1" w:rsidRDefault="00CC754C" w:rsidP="00457694">
      <w:r w:rsidRPr="002673D1">
        <w:t>2</w:t>
      </w:r>
      <w:r w:rsidR="007524B6" w:rsidRPr="002673D1">
        <w:t>8</w:t>
      </w:r>
      <w:r w:rsidRPr="002673D1">
        <w:tab/>
        <w:t xml:space="preserve">El Artículo 1 del Capítulo X del </w:t>
      </w:r>
      <w:r w:rsidRPr="002673D1">
        <w:rPr>
          <w:i/>
          <w:iCs/>
        </w:rPr>
        <w:t>TELECOM Handbook of Financial Rules and Procedures</w:t>
      </w:r>
      <w:r w:rsidRPr="002673D1">
        <w:t xml:space="preserve"> </w:t>
      </w:r>
      <w:r w:rsidR="00557F65">
        <w:t>(</w:t>
      </w:r>
      <w:r w:rsidRPr="002673D1">
        <w:rPr>
          <w:i/>
          <w:iCs/>
        </w:rPr>
        <w:t>Manual de Reglas y Procedimientos Financieros de TELECOM</w:t>
      </w:r>
      <w:r w:rsidR="00557F65">
        <w:t>)</w:t>
      </w:r>
      <w:r w:rsidRPr="002673D1">
        <w:t xml:space="preserve"> establece que "el Secretario General elaborará, aprobará y firmará el presupuesto de cada exposición, foro u otro evento Telecom a más tardar seis meses antes de su fecha de inauguración". En lo que respecta a ITU Telecom World 2012, el Secretario General aprobó el presupuesto en abril de 2012, mientras que el evento se celebró en </w:t>
      </w:r>
      <w:r w:rsidR="00866621" w:rsidRPr="002673D1">
        <w:t>Dubái</w:t>
      </w:r>
      <w:r w:rsidRPr="002673D1">
        <w:t xml:space="preserve"> en octubre de 2012.</w:t>
      </w:r>
    </w:p>
    <w:p w:rsidR="00CC754C" w:rsidRPr="002673D1" w:rsidRDefault="00CC754C" w:rsidP="00457694">
      <w:r w:rsidRPr="002673D1">
        <w:t>2</w:t>
      </w:r>
      <w:r w:rsidR="007524B6" w:rsidRPr="002673D1">
        <w:t>9</w:t>
      </w:r>
      <w:r w:rsidRPr="002673D1">
        <w:tab/>
        <w:t>El presupuesto</w:t>
      </w:r>
      <w:r w:rsidR="00866621" w:rsidRPr="002673D1">
        <w:t xml:space="preserve"> para ITU Telecom World 2013 fue</w:t>
      </w:r>
      <w:r w:rsidRPr="002673D1">
        <w:t xml:space="preserve"> aprobado e</w:t>
      </w:r>
      <w:r w:rsidR="00866621" w:rsidRPr="002673D1">
        <w:t>l 20 de mayo</w:t>
      </w:r>
      <w:r w:rsidRPr="002673D1">
        <w:t xml:space="preserve"> de 201</w:t>
      </w:r>
      <w:r w:rsidR="00866621" w:rsidRPr="002673D1">
        <w:t>3.</w:t>
      </w:r>
      <w:r w:rsidRPr="002673D1">
        <w:t xml:space="preserve"> Según el Artículo 4 del Capítulo X del </w:t>
      </w:r>
      <w:r w:rsidRPr="002673D1">
        <w:rPr>
          <w:i/>
          <w:iCs/>
        </w:rPr>
        <w:t>TELECOM Handbook of Financial Rules and Procedures</w:t>
      </w:r>
      <w:r w:rsidRPr="002673D1">
        <w:t>, "el presupuesto se revisará si se prevén cambios significativos, a más tardar un mes antes de la inauguración del evento".</w:t>
      </w:r>
    </w:p>
    <w:p w:rsidR="007524B6" w:rsidRPr="002673D1" w:rsidRDefault="00457694" w:rsidP="00457694">
      <w:r>
        <w:t>30</w:t>
      </w:r>
      <w:r w:rsidR="007524B6" w:rsidRPr="002673D1">
        <w:tab/>
      </w:r>
      <w:r w:rsidR="00C300EB" w:rsidRPr="002673D1">
        <w:t>El 27 de septiembre de 2013 se aprobó un presupuesto revisado debido a las importantes variaciones registradas en las estimaciones de los ingresos y los gastos en el presupuesto inicial de abril de 2013.</w:t>
      </w:r>
    </w:p>
    <w:p w:rsidR="00CC754C" w:rsidRPr="002673D1" w:rsidRDefault="00457694" w:rsidP="00457694">
      <w:r>
        <w:t>31</w:t>
      </w:r>
      <w:r w:rsidR="007524B6" w:rsidRPr="002673D1">
        <w:tab/>
        <w:t xml:space="preserve">El </w:t>
      </w:r>
      <w:r w:rsidR="007524B6" w:rsidRPr="002673D1">
        <w:rPr>
          <w:i/>
          <w:iCs/>
        </w:rPr>
        <w:t>resuelve</w:t>
      </w:r>
      <w:r w:rsidR="007524B6" w:rsidRPr="002673D1">
        <w:t xml:space="preserve"> 2 de la Resolución 11 (Rev. Guadalajara, 2010) establece "que el Secretario General asuma toda la responsabilidad respecto de las actividades de ITU Telecom World (incluida su planificación, organización y financiación)", y dado que la comparación del presupuesto con los costes reales es una herramienta fundamental, no sólo para orientar las políticas y para una rendición de cuentas más clara, sino también para ayudar al Secretario General a cumplir con su deber, </w:t>
      </w:r>
      <w:r w:rsidR="00867106" w:rsidRPr="002673D1">
        <w:t xml:space="preserve">tal y como </w:t>
      </w:r>
      <w:r w:rsidR="007524B6" w:rsidRPr="002673D1">
        <w:t xml:space="preserve">recomendamos </w:t>
      </w:r>
      <w:r w:rsidR="00867106" w:rsidRPr="002673D1">
        <w:t>en el Informe de Auditoría para ITU Telecom World 2012, la revisión del presupuesto de ITU Telecom World 2013 fue necesaria y se llevó a cabo oportunamente, es decir</w:t>
      </w:r>
      <w:r w:rsidR="007524B6" w:rsidRPr="002673D1">
        <w:t>, a más tardar un mes antes de la inauguración del evento.</w:t>
      </w:r>
    </w:p>
    <w:p w:rsidR="00AE41EE" w:rsidRPr="001831A7" w:rsidRDefault="00AE41EE" w:rsidP="001831A7">
      <w:pPr>
        <w:pStyle w:val="Headingi"/>
      </w:pPr>
      <w:bookmarkStart w:id="37" w:name="_Toc400028321"/>
      <w:bookmarkStart w:id="38" w:name="_Toc400093943"/>
      <w:r w:rsidRPr="001831A7">
        <w:t>Mayor exactitud en las previsiones iniciales</w:t>
      </w:r>
      <w:bookmarkEnd w:id="37"/>
      <w:bookmarkEnd w:id="38"/>
    </w:p>
    <w:p w:rsidR="007524B6" w:rsidRDefault="00457694" w:rsidP="00457694">
      <w:r>
        <w:t>32</w:t>
      </w:r>
      <w:r w:rsidR="007524B6" w:rsidRPr="002673D1">
        <w:tab/>
      </w:r>
      <w:r w:rsidR="008748E7" w:rsidRPr="002673D1">
        <w:t xml:space="preserve">Como se indica </w:t>
      </w:r>
      <w:r w:rsidR="008748E7" w:rsidRPr="002673D1">
        <w:rPr>
          <w:i/>
          <w:iCs/>
        </w:rPr>
        <w:t>supra</w:t>
      </w:r>
      <w:r w:rsidR="008748E7" w:rsidRPr="002673D1">
        <w:t xml:space="preserve">, se registró un 16% de variación entre los gastos reales y los gastos inicialmente presupuestados, lo que representa una ligera mejora en comparación con la variación registrada en el evento anterior con respecto a las cifras presupuestadas, que era aproximadamente </w:t>
      </w:r>
      <w:r w:rsidR="00571448" w:rsidRPr="002673D1">
        <w:t>de</w:t>
      </w:r>
      <w:r w:rsidR="008748E7" w:rsidRPr="002673D1">
        <w:t>l 20%.</w:t>
      </w:r>
    </w:p>
    <w:p w:rsidR="00773DBE" w:rsidRDefault="00773DBE" w:rsidP="00457694">
      <w:pPr>
        <w:spacing w:before="0"/>
      </w:pPr>
    </w:p>
    <w:tbl>
      <w:tblPr>
        <w:tblStyle w:val="TableGrid"/>
        <w:tblW w:w="0" w:type="auto"/>
        <w:tblLook w:val="04A0" w:firstRow="1" w:lastRow="0" w:firstColumn="1" w:lastColumn="0" w:noHBand="0" w:noVBand="1"/>
      </w:tblPr>
      <w:tblGrid>
        <w:gridCol w:w="9629"/>
      </w:tblGrid>
      <w:tr w:rsidR="007524B6" w:rsidRPr="002673D1" w:rsidTr="00773DBE">
        <w:tc>
          <w:tcPr>
            <w:tcW w:w="9629" w:type="dxa"/>
            <w:tcBorders>
              <w:bottom w:val="nil"/>
            </w:tcBorders>
          </w:tcPr>
          <w:p w:rsidR="007524B6" w:rsidRPr="00457694" w:rsidRDefault="0065411D" w:rsidP="00457694">
            <w:pPr>
              <w:rPr>
                <w:b/>
                <w:bCs/>
                <w:u w:val="single"/>
              </w:rPr>
            </w:pPr>
            <w:r w:rsidRPr="00457694">
              <w:rPr>
                <w:b/>
                <w:bCs/>
                <w:u w:val="single"/>
              </w:rPr>
              <w:t xml:space="preserve">Recomendación </w:t>
            </w:r>
            <w:r w:rsidR="00BE0A42">
              <w:rPr>
                <w:b/>
                <w:bCs/>
                <w:u w:val="single"/>
              </w:rPr>
              <w:t>Nº</w:t>
            </w:r>
            <w:r w:rsidRPr="00457694">
              <w:rPr>
                <w:b/>
                <w:bCs/>
                <w:u w:val="single"/>
              </w:rPr>
              <w:t xml:space="preserve"> 1</w:t>
            </w:r>
          </w:p>
        </w:tc>
      </w:tr>
      <w:tr w:rsidR="007524B6" w:rsidRPr="002673D1" w:rsidTr="00773DBE">
        <w:tc>
          <w:tcPr>
            <w:tcW w:w="9629" w:type="dxa"/>
            <w:tcBorders>
              <w:top w:val="nil"/>
              <w:bottom w:val="nil"/>
            </w:tcBorders>
          </w:tcPr>
          <w:p w:rsidR="007524B6" w:rsidRPr="002673D1" w:rsidRDefault="00457694" w:rsidP="00457694">
            <w:r>
              <w:t>33</w:t>
            </w:r>
            <w:r w:rsidR="0065411D" w:rsidRPr="002673D1">
              <w:tab/>
            </w:r>
            <w:r w:rsidR="00362EFE" w:rsidRPr="002673D1">
              <w:t>Consideramos que el presupuesto debería basarse en suposiciones presupuestarias más realistas y alcanzables para evitar la carga que supone revisarlo</w:t>
            </w:r>
            <w:r w:rsidR="00505A65" w:rsidRPr="002673D1">
              <w:t xml:space="preserve">. </w:t>
            </w:r>
          </w:p>
        </w:tc>
      </w:tr>
      <w:tr w:rsidR="0065411D" w:rsidRPr="002673D1" w:rsidTr="00773DBE">
        <w:tc>
          <w:tcPr>
            <w:tcW w:w="9629" w:type="dxa"/>
            <w:tcBorders>
              <w:top w:val="nil"/>
            </w:tcBorders>
          </w:tcPr>
          <w:p w:rsidR="0065411D" w:rsidRPr="002673D1" w:rsidRDefault="00457694" w:rsidP="005B5BDF">
            <w:pPr>
              <w:spacing w:after="120"/>
            </w:pPr>
            <w:r>
              <w:t>34</w:t>
            </w:r>
            <w:r w:rsidR="0065411D" w:rsidRPr="002673D1">
              <w:tab/>
            </w:r>
            <w:r w:rsidR="003402E2" w:rsidRPr="002673D1">
              <w:t>Por consiguiente</w:t>
            </w:r>
            <w:r w:rsidR="00505A65" w:rsidRPr="002673D1">
              <w:t xml:space="preserve">, </w:t>
            </w:r>
            <w:r w:rsidR="00505A65" w:rsidRPr="00914FD6">
              <w:rPr>
                <w:u w:val="single"/>
              </w:rPr>
              <w:t>rec</w:t>
            </w:r>
            <w:r w:rsidR="003402E2" w:rsidRPr="00914FD6">
              <w:rPr>
                <w:u w:val="single"/>
              </w:rPr>
              <w:t>o</w:t>
            </w:r>
            <w:r w:rsidR="00505A65" w:rsidRPr="00914FD6">
              <w:rPr>
                <w:u w:val="single"/>
              </w:rPr>
              <w:t>mend</w:t>
            </w:r>
            <w:r w:rsidR="003402E2" w:rsidRPr="00914FD6">
              <w:rPr>
                <w:u w:val="single"/>
              </w:rPr>
              <w:t>amos</w:t>
            </w:r>
            <w:r w:rsidR="003402E2" w:rsidRPr="002673D1">
              <w:t xml:space="preserve"> que el presupuesto refleje suposiciones realistas y alcanzables</w:t>
            </w:r>
            <w:r w:rsidR="00505A65" w:rsidRPr="002673D1">
              <w:t>.</w:t>
            </w:r>
          </w:p>
        </w:tc>
      </w:tr>
    </w:tbl>
    <w:p w:rsidR="007524B6" w:rsidRPr="002673D1" w:rsidRDefault="007524B6" w:rsidP="00773DBE">
      <w:pPr>
        <w:spacing w:before="0"/>
      </w:pPr>
    </w:p>
    <w:tbl>
      <w:tblPr>
        <w:tblStyle w:val="TableGrid"/>
        <w:tblW w:w="0" w:type="auto"/>
        <w:tblLook w:val="04A0" w:firstRow="1" w:lastRow="0" w:firstColumn="1" w:lastColumn="0" w:noHBand="0" w:noVBand="1"/>
      </w:tblPr>
      <w:tblGrid>
        <w:gridCol w:w="9629"/>
      </w:tblGrid>
      <w:tr w:rsidR="00CC754C" w:rsidRPr="002673D1" w:rsidTr="00967692">
        <w:tc>
          <w:tcPr>
            <w:tcW w:w="9629" w:type="dxa"/>
            <w:tcBorders>
              <w:bottom w:val="nil"/>
            </w:tcBorders>
          </w:tcPr>
          <w:p w:rsidR="00CC754C" w:rsidRPr="002673D1" w:rsidRDefault="00CC754C" w:rsidP="00A52625">
            <w:pPr>
              <w:rPr>
                <w:b/>
                <w:bCs/>
                <w:u w:val="single"/>
              </w:rPr>
            </w:pPr>
            <w:r w:rsidRPr="002673D1">
              <w:rPr>
                <w:b/>
                <w:bCs/>
                <w:u w:val="single"/>
              </w:rPr>
              <w:t>Comentarios del Secretario General</w:t>
            </w:r>
            <w:r w:rsidRPr="00457694">
              <w:t>:</w:t>
            </w:r>
          </w:p>
        </w:tc>
      </w:tr>
      <w:tr w:rsidR="00CC754C" w:rsidRPr="002673D1" w:rsidTr="00967692">
        <w:tc>
          <w:tcPr>
            <w:tcW w:w="9629" w:type="dxa"/>
            <w:tcBorders>
              <w:top w:val="nil"/>
            </w:tcBorders>
          </w:tcPr>
          <w:p w:rsidR="00CC754C" w:rsidRPr="002673D1" w:rsidRDefault="00532FF0" w:rsidP="005B5BDF">
            <w:pPr>
              <w:spacing w:after="120"/>
            </w:pPr>
            <w:r>
              <w:t>Se seguirá</w:t>
            </w:r>
            <w:r w:rsidR="00914FD6">
              <w:t xml:space="preserve"> trabajando</w:t>
            </w:r>
            <w:r w:rsidR="00003726" w:rsidRPr="00914FD6">
              <w:t xml:space="preserve"> </w:t>
            </w:r>
            <w:r w:rsidR="00E77367" w:rsidRPr="00914FD6">
              <w:t>para</w:t>
            </w:r>
            <w:r w:rsidR="00003726" w:rsidRPr="00914FD6">
              <w:t xml:space="preserve"> </w:t>
            </w:r>
            <w:r w:rsidR="00781332" w:rsidRPr="00914FD6">
              <w:t>establecer</w:t>
            </w:r>
            <w:r w:rsidR="00E77367" w:rsidRPr="00914FD6">
              <w:t xml:space="preserve"> </w:t>
            </w:r>
            <w:r w:rsidR="00003726" w:rsidRPr="00914FD6">
              <w:t>suposiciones</w:t>
            </w:r>
            <w:r w:rsidR="00E77367" w:rsidRPr="00914FD6">
              <w:t xml:space="preserve"> más precisas</w:t>
            </w:r>
            <w:r w:rsidR="00003726" w:rsidRPr="00914FD6">
              <w:t xml:space="preserve">, teniendo en cuenta el apoyo de los países anfitriones, </w:t>
            </w:r>
            <w:r w:rsidR="00781332" w:rsidRPr="00914FD6">
              <w:t>lo cual</w:t>
            </w:r>
            <w:r w:rsidR="00003726" w:rsidRPr="00914FD6">
              <w:t xml:space="preserve"> </w:t>
            </w:r>
            <w:r w:rsidR="00781332" w:rsidRPr="00914FD6">
              <w:t xml:space="preserve">se traduce en la necesidad </w:t>
            </w:r>
            <w:r w:rsidR="0061040D" w:rsidRPr="00914FD6">
              <w:t>de</w:t>
            </w:r>
            <w:r w:rsidR="00781332" w:rsidRPr="00914FD6">
              <w:t xml:space="preserve"> que la UIT realice una planificación de contingencias adecuada</w:t>
            </w:r>
            <w:r w:rsidR="00003726" w:rsidRPr="00914FD6">
              <w:t>.</w:t>
            </w:r>
          </w:p>
        </w:tc>
      </w:tr>
    </w:tbl>
    <w:p w:rsidR="00CC754C" w:rsidRPr="001831A7" w:rsidRDefault="00C572C5" w:rsidP="005B5BDF">
      <w:pPr>
        <w:pStyle w:val="Headingi"/>
      </w:pPr>
      <w:bookmarkStart w:id="39" w:name="_Toc396899719"/>
      <w:bookmarkStart w:id="40" w:name="_Toc400028322"/>
      <w:bookmarkStart w:id="41" w:name="_Toc400093944"/>
      <w:r w:rsidRPr="001831A7">
        <w:t>Examen de la situación real en el presupuesto revisado</w:t>
      </w:r>
      <w:bookmarkEnd w:id="39"/>
      <w:bookmarkEnd w:id="40"/>
      <w:bookmarkEnd w:id="41"/>
    </w:p>
    <w:p w:rsidR="00773FDB" w:rsidRPr="002673D1" w:rsidRDefault="005B5BDF" w:rsidP="005B5BDF">
      <w:r>
        <w:t>35</w:t>
      </w:r>
      <w:r w:rsidR="00773FDB" w:rsidRPr="002673D1">
        <w:tab/>
      </w:r>
      <w:r w:rsidR="00BD0868" w:rsidRPr="002673D1">
        <w:t>Cuando surja la necesidad de revisar un presupuesto, deberá prepararse con toda la información actualizada disponible hasta el momento</w:t>
      </w:r>
      <w:r w:rsidR="00967692" w:rsidRPr="002673D1">
        <w:t>.</w:t>
      </w:r>
    </w:p>
    <w:p w:rsidR="00773FDB" w:rsidRPr="002673D1" w:rsidRDefault="005B5BDF" w:rsidP="005B5BDF">
      <w:r>
        <w:lastRenderedPageBreak/>
        <w:t>36</w:t>
      </w:r>
      <w:r w:rsidR="00773FDB" w:rsidRPr="002673D1">
        <w:tab/>
      </w:r>
      <w:r w:rsidR="002124EF" w:rsidRPr="002673D1">
        <w:t xml:space="preserve">Teniendo en cuenta el calendario del presupuesto revisado, entre la información disponible deberían figurar también datos </w:t>
      </w:r>
      <w:r w:rsidR="00CE5013" w:rsidRPr="002673D1">
        <w:t>sobre la situación real en una fecha determinada.</w:t>
      </w:r>
    </w:p>
    <w:p w:rsidR="00773FDB" w:rsidRPr="002673D1" w:rsidRDefault="00773FDB" w:rsidP="005B5BDF">
      <w:pPr>
        <w:spacing w:before="0"/>
      </w:pPr>
    </w:p>
    <w:tbl>
      <w:tblPr>
        <w:tblStyle w:val="TableGrid"/>
        <w:tblW w:w="0" w:type="auto"/>
        <w:tblLook w:val="04A0" w:firstRow="1" w:lastRow="0" w:firstColumn="1" w:lastColumn="0" w:noHBand="0" w:noVBand="1"/>
      </w:tblPr>
      <w:tblGrid>
        <w:gridCol w:w="9629"/>
      </w:tblGrid>
      <w:tr w:rsidR="00CC754C" w:rsidRPr="002673D1" w:rsidTr="00871099">
        <w:tc>
          <w:tcPr>
            <w:tcW w:w="9855" w:type="dxa"/>
            <w:tcBorders>
              <w:bottom w:val="nil"/>
            </w:tcBorders>
          </w:tcPr>
          <w:p w:rsidR="00CC754C" w:rsidRPr="002673D1" w:rsidRDefault="00CC754C" w:rsidP="00A52625">
            <w:pPr>
              <w:rPr>
                <w:b/>
                <w:bCs/>
                <w:u w:val="single"/>
              </w:rPr>
            </w:pPr>
            <w:r w:rsidRPr="002673D1">
              <w:rPr>
                <w:b/>
                <w:bCs/>
                <w:u w:val="single"/>
              </w:rPr>
              <w:t xml:space="preserve">Sugerencia </w:t>
            </w:r>
            <w:r w:rsidR="00BE0A42">
              <w:rPr>
                <w:b/>
                <w:bCs/>
                <w:u w:val="single"/>
              </w:rPr>
              <w:t>Nº</w:t>
            </w:r>
            <w:r w:rsidRPr="002673D1">
              <w:rPr>
                <w:b/>
                <w:bCs/>
                <w:u w:val="single"/>
              </w:rPr>
              <w:t xml:space="preserve"> 1</w:t>
            </w:r>
          </w:p>
        </w:tc>
      </w:tr>
      <w:tr w:rsidR="00CC754C" w:rsidRPr="002673D1" w:rsidTr="00871099">
        <w:tc>
          <w:tcPr>
            <w:tcW w:w="9855" w:type="dxa"/>
            <w:tcBorders>
              <w:top w:val="nil"/>
            </w:tcBorders>
          </w:tcPr>
          <w:p w:rsidR="00CC754C" w:rsidRPr="002673D1" w:rsidRDefault="00773FDB" w:rsidP="005B5BDF">
            <w:pPr>
              <w:spacing w:after="120"/>
            </w:pPr>
            <w:r w:rsidRPr="002673D1">
              <w:t>37</w:t>
            </w:r>
            <w:r w:rsidR="00CC754C" w:rsidRPr="002673D1">
              <w:tab/>
            </w:r>
            <w:r w:rsidR="00DC20CA" w:rsidRPr="002673D1">
              <w:t>Habida cuenta de que consideramos estas informaciones herramientas para realizar mejores evaluaciones</w:t>
            </w:r>
            <w:r w:rsidR="00675201" w:rsidRPr="002673D1">
              <w:t xml:space="preserve">, </w:t>
            </w:r>
            <w:r w:rsidR="00DC20CA" w:rsidRPr="00C578F0">
              <w:rPr>
                <w:u w:val="single"/>
              </w:rPr>
              <w:t>sugerimos</w:t>
            </w:r>
            <w:r w:rsidR="00DC20CA" w:rsidRPr="002673D1">
              <w:t xml:space="preserve"> añadir una referencia a la situación real en materia de </w:t>
            </w:r>
            <w:r w:rsidR="00505A7F" w:rsidRPr="002673D1">
              <w:t>ingresos y gastos a la hora de preparar el presupuesto revisado</w:t>
            </w:r>
            <w:r w:rsidR="00675201" w:rsidRPr="002673D1">
              <w:t>.</w:t>
            </w:r>
          </w:p>
        </w:tc>
      </w:tr>
    </w:tbl>
    <w:p w:rsidR="00CC754C" w:rsidRPr="002673D1" w:rsidRDefault="00CC754C" w:rsidP="00773DBE">
      <w:pPr>
        <w:spacing w:before="0"/>
      </w:pPr>
    </w:p>
    <w:tbl>
      <w:tblPr>
        <w:tblStyle w:val="TableGrid"/>
        <w:tblW w:w="0" w:type="auto"/>
        <w:tblLook w:val="04A0" w:firstRow="1" w:lastRow="0" w:firstColumn="1" w:lastColumn="0" w:noHBand="0" w:noVBand="1"/>
      </w:tblPr>
      <w:tblGrid>
        <w:gridCol w:w="9629"/>
      </w:tblGrid>
      <w:tr w:rsidR="00CC754C" w:rsidRPr="002673D1" w:rsidTr="00773FDB">
        <w:tc>
          <w:tcPr>
            <w:tcW w:w="9629" w:type="dxa"/>
            <w:tcBorders>
              <w:bottom w:val="nil"/>
            </w:tcBorders>
          </w:tcPr>
          <w:p w:rsidR="00CC754C" w:rsidRPr="002673D1" w:rsidRDefault="00CC754C" w:rsidP="00A52625">
            <w:pPr>
              <w:rPr>
                <w:b/>
                <w:bCs/>
                <w:u w:val="single"/>
              </w:rPr>
            </w:pPr>
            <w:r w:rsidRPr="002673D1">
              <w:rPr>
                <w:b/>
                <w:bCs/>
                <w:u w:val="single"/>
              </w:rPr>
              <w:t>Comentarios del Secretario General</w:t>
            </w:r>
            <w:r w:rsidRPr="00150AA6">
              <w:t>:</w:t>
            </w:r>
          </w:p>
        </w:tc>
      </w:tr>
      <w:tr w:rsidR="00CC754C" w:rsidRPr="002673D1" w:rsidTr="00773FDB">
        <w:tc>
          <w:tcPr>
            <w:tcW w:w="9629" w:type="dxa"/>
            <w:tcBorders>
              <w:top w:val="nil"/>
            </w:tcBorders>
          </w:tcPr>
          <w:p w:rsidR="00CC754C" w:rsidRPr="002673D1" w:rsidRDefault="00756193" w:rsidP="005B5BDF">
            <w:pPr>
              <w:spacing w:after="120"/>
            </w:pPr>
            <w:r w:rsidRPr="002673D1">
              <w:t xml:space="preserve">En los ejercicios de revisión del presupuesto siempre se tienen en cuenta los ingresos y gastos reales, cuyos montos </w:t>
            </w:r>
            <w:r w:rsidR="00C578F0">
              <w:t>varían</w:t>
            </w:r>
            <w:r w:rsidRPr="002673D1">
              <w:t xml:space="preserve"> constantemente. </w:t>
            </w:r>
            <w:r w:rsidR="002F6E90" w:rsidRPr="002673D1">
              <w:t>Las cifras pertinentes se darán a conocer en un documento aparte del presupuesto</w:t>
            </w:r>
            <w:r w:rsidRPr="002673D1">
              <w:t>.</w:t>
            </w:r>
          </w:p>
        </w:tc>
      </w:tr>
    </w:tbl>
    <w:p w:rsidR="00773FDB" w:rsidRPr="002673D1" w:rsidRDefault="00773FDB" w:rsidP="005B5BDF">
      <w:pPr>
        <w:pStyle w:val="Headingi"/>
      </w:pPr>
      <w:bookmarkStart w:id="42" w:name="_Toc357681313"/>
      <w:bookmarkStart w:id="43" w:name="_Toc400028323"/>
      <w:bookmarkStart w:id="44" w:name="_Toc400093945"/>
      <w:r w:rsidRPr="002673D1">
        <w:t>La firma a tiempo de un Acuerdo con el país anfitrión contribuirá a reducir las discrepancias</w:t>
      </w:r>
      <w:bookmarkEnd w:id="42"/>
      <w:bookmarkEnd w:id="43"/>
      <w:bookmarkEnd w:id="44"/>
    </w:p>
    <w:p w:rsidR="00773FDB" w:rsidRPr="002673D1" w:rsidRDefault="005B5BDF" w:rsidP="005B5BDF">
      <w:r>
        <w:t>38</w:t>
      </w:r>
      <w:r w:rsidR="00773FDB" w:rsidRPr="002673D1">
        <w:tab/>
      </w:r>
      <w:r w:rsidR="009424D4" w:rsidRPr="002673D1">
        <w:t xml:space="preserve">El punto 8 del </w:t>
      </w:r>
      <w:r w:rsidR="00773FDB" w:rsidRPr="002673D1">
        <w:rPr>
          <w:i/>
        </w:rPr>
        <w:t xml:space="preserve">encarga al Secretario General </w:t>
      </w:r>
      <w:r w:rsidR="009424D4" w:rsidRPr="002673D1">
        <w:t xml:space="preserve">de la Resolución 11 (Rev. Guadalajara, 2010) </w:t>
      </w:r>
      <w:r w:rsidR="003F3916" w:rsidRPr="002673D1">
        <w:t>dispone</w:t>
      </w:r>
      <w:r w:rsidR="009424D4" w:rsidRPr="002673D1">
        <w:t xml:space="preserve"> </w:t>
      </w:r>
      <w:r w:rsidR="00773FDB" w:rsidRPr="002673D1">
        <w:t>que</w:t>
      </w:r>
      <w:r w:rsidR="00BE0AF0" w:rsidRPr="002673D1">
        <w:t xml:space="preserve"> se</w:t>
      </w:r>
      <w:r w:rsidR="00773FDB" w:rsidRPr="002673D1">
        <w:t xml:space="preserve"> "elabore un modelo de Acuerdo con el país anfitrión y utilice todos los medios a su alcance para lograr que el Consejo lo apruebe lo antes posible (…)"</w:t>
      </w:r>
      <w:r w:rsidR="00BE0AF0" w:rsidRPr="002673D1">
        <w:t>,</w:t>
      </w:r>
      <w:r w:rsidR="00773FDB" w:rsidRPr="002673D1">
        <w:t xml:space="preserve"> </w:t>
      </w:r>
      <w:r w:rsidR="00BE0AF0" w:rsidRPr="002673D1">
        <w:t>y r</w:t>
      </w:r>
      <w:r w:rsidR="00773FDB" w:rsidRPr="002673D1">
        <w:t xml:space="preserve">econocemos que </w:t>
      </w:r>
      <w:r w:rsidR="00BE0AF0" w:rsidRPr="002673D1">
        <w:t xml:space="preserve">ese documento </w:t>
      </w:r>
      <w:r w:rsidR="00773FDB" w:rsidRPr="002673D1">
        <w:t xml:space="preserve">se ha </w:t>
      </w:r>
      <w:r w:rsidR="00BE0AF0" w:rsidRPr="002673D1">
        <w:t>elaborado debidamente para ITU Telecom World 2013</w:t>
      </w:r>
      <w:r w:rsidR="00773FDB" w:rsidRPr="002673D1">
        <w:t>.</w:t>
      </w:r>
    </w:p>
    <w:p w:rsidR="00773FDB" w:rsidRPr="002673D1" w:rsidRDefault="005B5BDF" w:rsidP="006C1ADF">
      <w:r>
        <w:t>39</w:t>
      </w:r>
      <w:r w:rsidR="00773FDB" w:rsidRPr="002673D1">
        <w:tab/>
        <w:t>El Acuerdo con el país anfitrión es uno de los principales documentos necesarios para elaborar un presupuesto riguroso y realista. Hemos observado que, en el caso de ITU Telecom World 201</w:t>
      </w:r>
      <w:r w:rsidR="00D90C73" w:rsidRPr="002673D1">
        <w:t>3</w:t>
      </w:r>
      <w:r w:rsidR="00773FDB" w:rsidRPr="002673D1">
        <w:t>, su firma se produjo e</w:t>
      </w:r>
      <w:r w:rsidR="00D90C73" w:rsidRPr="002673D1">
        <w:t>l 3 de mayo de 2013</w:t>
      </w:r>
      <w:r w:rsidR="00773FDB" w:rsidRPr="002673D1">
        <w:t xml:space="preserve">, </w:t>
      </w:r>
      <w:r w:rsidR="00D90C73" w:rsidRPr="002673D1">
        <w:t xml:space="preserve">antes de </w:t>
      </w:r>
      <w:r w:rsidR="0065472C" w:rsidRPr="002673D1">
        <w:t>aprobarse</w:t>
      </w:r>
      <w:r w:rsidR="00D90C73" w:rsidRPr="002673D1">
        <w:t xml:space="preserve"> el presupuesto, el</w:t>
      </w:r>
      <w:r w:rsidR="006C1ADF">
        <w:t> </w:t>
      </w:r>
      <w:r w:rsidR="00D90C73" w:rsidRPr="002673D1">
        <w:t>20</w:t>
      </w:r>
      <w:r w:rsidR="006C1ADF">
        <w:t> </w:t>
      </w:r>
      <w:r w:rsidR="00D90C73" w:rsidRPr="002673D1">
        <w:t>de mayo de 2013</w:t>
      </w:r>
      <w:r w:rsidR="00773FDB" w:rsidRPr="002673D1">
        <w:t>.</w:t>
      </w:r>
    </w:p>
    <w:p w:rsidR="00CC754C" w:rsidRPr="002673D1" w:rsidRDefault="00CC754C" w:rsidP="005B5BDF">
      <w:pPr>
        <w:pStyle w:val="Headingi"/>
        <w:ind w:left="0" w:firstLine="0"/>
      </w:pPr>
      <w:bookmarkStart w:id="45" w:name="_Toc357681314"/>
      <w:bookmarkStart w:id="46" w:name="_Toc400028324"/>
      <w:bookmarkStart w:id="47" w:name="_Toc400093946"/>
      <w:r w:rsidRPr="002673D1">
        <w:t>En los informes sobre el evento, hay que vincular los resultados y los objetivos generales de la Resolución 11 con los IFR</w:t>
      </w:r>
      <w:bookmarkEnd w:id="45"/>
      <w:bookmarkEnd w:id="46"/>
      <w:bookmarkEnd w:id="47"/>
    </w:p>
    <w:p w:rsidR="00CC754C" w:rsidRPr="002673D1" w:rsidRDefault="00773FDB" w:rsidP="005B5BDF">
      <w:r w:rsidRPr="002673D1">
        <w:t>4</w:t>
      </w:r>
      <w:r w:rsidR="005B5BDF">
        <w:t>0</w:t>
      </w:r>
      <w:r w:rsidR="00CC754C" w:rsidRPr="002673D1">
        <w:tab/>
        <w:t xml:space="preserve">El </w:t>
      </w:r>
      <w:r w:rsidR="00CC754C" w:rsidRPr="002673D1">
        <w:rPr>
          <w:i/>
          <w:iCs/>
        </w:rPr>
        <w:t>resuelve</w:t>
      </w:r>
      <w:r w:rsidR="00CC754C" w:rsidRPr="002673D1">
        <w:t xml:space="preserve"> 2 de la Resolución 11 (Rev. Guadalajara, 2010) </w:t>
      </w:r>
      <w:r w:rsidR="00F75C80" w:rsidRPr="002673D1">
        <w:t>establece</w:t>
      </w:r>
      <w:r w:rsidR="00CC754C" w:rsidRPr="002673D1">
        <w:t xml:space="preserve"> "que el Secretario General asuma toda la responsabilidad respecto de las actividades de ITU Telecom World (incluida su planificación, organización y financiación)".</w:t>
      </w:r>
    </w:p>
    <w:p w:rsidR="00CC754C" w:rsidRPr="002673D1" w:rsidRDefault="00773FDB" w:rsidP="005B5BDF">
      <w:r w:rsidRPr="002673D1">
        <w:t>4</w:t>
      </w:r>
      <w:r w:rsidR="005B5BDF">
        <w:t>1</w:t>
      </w:r>
      <w:r w:rsidR="00CC754C" w:rsidRPr="002673D1">
        <w:tab/>
        <w:t>Hemos analizado las distintas fases del proceso y, en la etapa de presentación de informes, hemos evaluado los informes pertinentes, en los que se proporciona información al Secretario General sobre los resultados y la rentabilidad del evento.</w:t>
      </w:r>
    </w:p>
    <w:p w:rsidR="00773FDB" w:rsidRPr="002673D1" w:rsidRDefault="005B5BDF" w:rsidP="005B5BDF">
      <w:r>
        <w:t>42</w:t>
      </w:r>
      <w:r w:rsidR="00773FDB" w:rsidRPr="002673D1">
        <w:tab/>
      </w:r>
      <w:r w:rsidR="006C5EAB" w:rsidRPr="002673D1">
        <w:t>Tal y como sugerimos en el Informe sobre ITU Telecom World 2</w:t>
      </w:r>
      <w:r w:rsidR="004A18E8" w:rsidRPr="002673D1">
        <w:t xml:space="preserve">012, </w:t>
      </w:r>
      <w:r w:rsidR="006C5EAB" w:rsidRPr="002673D1">
        <w:t>se han establecido y presentado vínculos y cotejos entre los IFR y los resultados, en el marco de los objetivos generales establecidos en la Resolución 11</w:t>
      </w:r>
      <w:r w:rsidR="004A18E8" w:rsidRPr="002673D1">
        <w:t>.</w:t>
      </w:r>
    </w:p>
    <w:p w:rsidR="00773FDB" w:rsidRPr="002673D1" w:rsidRDefault="005B5BDF" w:rsidP="005B5BDF">
      <w:r>
        <w:t>43</w:t>
      </w:r>
      <w:r w:rsidR="00773FDB" w:rsidRPr="002673D1">
        <w:tab/>
      </w:r>
      <w:r w:rsidR="000D037E" w:rsidRPr="002673D1">
        <w:t>Sin embargo</w:t>
      </w:r>
      <w:r w:rsidR="004A18E8" w:rsidRPr="002673D1">
        <w:t xml:space="preserve">, </w:t>
      </w:r>
      <w:r w:rsidR="000D037E" w:rsidRPr="002673D1">
        <w:t>a la hora de recopilar datos para su análisis</w:t>
      </w:r>
      <w:r w:rsidR="004A18E8" w:rsidRPr="002673D1">
        <w:t xml:space="preserve"> </w:t>
      </w:r>
      <w:r w:rsidR="006B45A9" w:rsidRPr="002673D1">
        <w:t>por</w:t>
      </w:r>
      <w:r w:rsidR="000D037E" w:rsidRPr="002673D1">
        <w:t xml:space="preserve"> categorías</w:t>
      </w:r>
      <w:r w:rsidR="004A18E8" w:rsidRPr="002673D1">
        <w:t xml:space="preserve">, </w:t>
      </w:r>
      <w:r w:rsidR="000D037E" w:rsidRPr="002673D1">
        <w:t xml:space="preserve">los autores de los informes sobre los IFR clasificaron un elevado número de casos en la categoría residual de </w:t>
      </w:r>
      <w:r w:rsidR="00BC3D04">
        <w:t>"</w:t>
      </w:r>
      <w:r w:rsidR="000D037E" w:rsidRPr="002673D1">
        <w:t>otros</w:t>
      </w:r>
      <w:r w:rsidR="00BC3D04">
        <w:t>"</w:t>
      </w:r>
      <w:r w:rsidR="000D037E" w:rsidRPr="002673D1">
        <w:t xml:space="preserve"> </w:t>
      </w:r>
      <w:r w:rsidR="004A18E8" w:rsidRPr="002673D1">
        <w:t>(</w:t>
      </w:r>
      <w:r w:rsidR="000D037E" w:rsidRPr="002673D1">
        <w:t>por ejemplo, entre los participantes en el foro</w:t>
      </w:r>
      <w:r w:rsidR="004A18E8" w:rsidRPr="002673D1">
        <w:t>).</w:t>
      </w:r>
    </w:p>
    <w:p w:rsidR="00CC754C" w:rsidRPr="002673D1" w:rsidRDefault="00CC754C" w:rsidP="00773DBE">
      <w:pPr>
        <w:spacing w:before="0"/>
      </w:pPr>
    </w:p>
    <w:tbl>
      <w:tblPr>
        <w:tblStyle w:val="TableGrid"/>
        <w:tblW w:w="0" w:type="auto"/>
        <w:tblLook w:val="04A0" w:firstRow="1" w:lastRow="0" w:firstColumn="1" w:lastColumn="0" w:noHBand="0" w:noVBand="1"/>
      </w:tblPr>
      <w:tblGrid>
        <w:gridCol w:w="9629"/>
      </w:tblGrid>
      <w:tr w:rsidR="00CC754C" w:rsidRPr="002673D1" w:rsidTr="00871099">
        <w:tc>
          <w:tcPr>
            <w:tcW w:w="9855" w:type="dxa"/>
            <w:tcBorders>
              <w:bottom w:val="nil"/>
            </w:tcBorders>
          </w:tcPr>
          <w:p w:rsidR="00CC754C" w:rsidRPr="002673D1" w:rsidRDefault="00CC754C" w:rsidP="00A52625">
            <w:pPr>
              <w:rPr>
                <w:b/>
                <w:bCs/>
                <w:u w:val="single"/>
              </w:rPr>
            </w:pPr>
            <w:r w:rsidRPr="002673D1">
              <w:rPr>
                <w:b/>
                <w:bCs/>
                <w:u w:val="single"/>
              </w:rPr>
              <w:t xml:space="preserve">Sugerencia </w:t>
            </w:r>
            <w:r w:rsidR="00BE0A42">
              <w:rPr>
                <w:b/>
                <w:bCs/>
                <w:u w:val="single"/>
              </w:rPr>
              <w:t>Nº</w:t>
            </w:r>
            <w:r w:rsidRPr="002673D1">
              <w:rPr>
                <w:b/>
                <w:bCs/>
                <w:u w:val="single"/>
              </w:rPr>
              <w:t xml:space="preserve"> 2</w:t>
            </w:r>
          </w:p>
        </w:tc>
      </w:tr>
      <w:tr w:rsidR="00CC754C" w:rsidRPr="002673D1" w:rsidTr="00871099">
        <w:tc>
          <w:tcPr>
            <w:tcW w:w="9855" w:type="dxa"/>
            <w:tcBorders>
              <w:top w:val="nil"/>
            </w:tcBorders>
          </w:tcPr>
          <w:p w:rsidR="00CC754C" w:rsidRPr="002673D1" w:rsidRDefault="00773FDB" w:rsidP="005B5BDF">
            <w:pPr>
              <w:spacing w:after="120"/>
            </w:pPr>
            <w:r w:rsidRPr="002673D1">
              <w:t>44</w:t>
            </w:r>
            <w:r w:rsidR="00CC754C" w:rsidRPr="002673D1">
              <w:tab/>
            </w:r>
            <w:r w:rsidR="006B45A9" w:rsidRPr="002673D1">
              <w:t>Consideramos</w:t>
            </w:r>
            <w:r w:rsidR="00EE0552">
              <w:t xml:space="preserve"> y, por tanto, </w:t>
            </w:r>
            <w:r w:rsidR="00EE0552" w:rsidRPr="00EE0552">
              <w:rPr>
                <w:u w:val="single"/>
              </w:rPr>
              <w:t>sugerimos</w:t>
            </w:r>
            <w:r w:rsidR="006B45A9" w:rsidRPr="002673D1">
              <w:t xml:space="preserve"> que sería útil mejorar el establecimiento de las categorías para presentar claramente los IFR y definirlos con más detalle.</w:t>
            </w:r>
          </w:p>
        </w:tc>
      </w:tr>
    </w:tbl>
    <w:p w:rsidR="00CC754C" w:rsidRPr="002673D1" w:rsidRDefault="00CC754C" w:rsidP="005B5BDF">
      <w:pPr>
        <w:spacing w:before="0"/>
      </w:pPr>
    </w:p>
    <w:tbl>
      <w:tblPr>
        <w:tblStyle w:val="TableGrid"/>
        <w:tblW w:w="0" w:type="auto"/>
        <w:tblLook w:val="04A0" w:firstRow="1" w:lastRow="0" w:firstColumn="1" w:lastColumn="0" w:noHBand="0" w:noVBand="1"/>
      </w:tblPr>
      <w:tblGrid>
        <w:gridCol w:w="9629"/>
      </w:tblGrid>
      <w:tr w:rsidR="00CC754C" w:rsidRPr="002673D1" w:rsidTr="00871099">
        <w:tc>
          <w:tcPr>
            <w:tcW w:w="9855" w:type="dxa"/>
            <w:tcBorders>
              <w:bottom w:val="nil"/>
            </w:tcBorders>
          </w:tcPr>
          <w:p w:rsidR="00CC754C" w:rsidRPr="002673D1" w:rsidRDefault="00CC754C" w:rsidP="00A52625">
            <w:pPr>
              <w:rPr>
                <w:b/>
                <w:bCs/>
                <w:u w:val="single"/>
              </w:rPr>
            </w:pPr>
            <w:r w:rsidRPr="002673D1">
              <w:rPr>
                <w:b/>
                <w:bCs/>
                <w:u w:val="single"/>
              </w:rPr>
              <w:lastRenderedPageBreak/>
              <w:t>Comentarios del Secretario General</w:t>
            </w:r>
            <w:r w:rsidRPr="005B5BDF">
              <w:t>:</w:t>
            </w:r>
          </w:p>
        </w:tc>
      </w:tr>
      <w:tr w:rsidR="00CC754C" w:rsidRPr="002673D1" w:rsidTr="00871099">
        <w:tc>
          <w:tcPr>
            <w:tcW w:w="9855" w:type="dxa"/>
            <w:tcBorders>
              <w:top w:val="nil"/>
            </w:tcBorders>
          </w:tcPr>
          <w:p w:rsidR="00CC754C" w:rsidRPr="002673D1" w:rsidRDefault="006B45A9" w:rsidP="005B5BDF">
            <w:pPr>
              <w:spacing w:after="120"/>
            </w:pPr>
            <w:r w:rsidRPr="002673D1">
              <w:t xml:space="preserve">Se ha definido los IFR y se está haciendo un seguimiento de los mismos. </w:t>
            </w:r>
            <w:r w:rsidR="007C183B" w:rsidRPr="002673D1">
              <w:t xml:space="preserve">Seguiremos procurando afinar los IFR y utilizarlos para orientar el diseño y </w:t>
            </w:r>
            <w:r w:rsidR="00181D44" w:rsidRPr="002673D1">
              <w:t>la organización</w:t>
            </w:r>
            <w:r w:rsidR="007C183B" w:rsidRPr="002673D1">
              <w:t xml:space="preserve"> de los eventos </w:t>
            </w:r>
            <w:r w:rsidRPr="002673D1">
              <w:t>ITU Telecom World.</w:t>
            </w:r>
          </w:p>
        </w:tc>
      </w:tr>
    </w:tbl>
    <w:p w:rsidR="00CC754C" w:rsidRPr="002673D1" w:rsidRDefault="00CC754C" w:rsidP="005B5BDF">
      <w:pPr>
        <w:pStyle w:val="Headingb"/>
        <w:rPr>
          <w:bCs/>
        </w:rPr>
      </w:pPr>
      <w:bookmarkStart w:id="48" w:name="_Toc357681315"/>
      <w:bookmarkStart w:id="49" w:name="_Toc400028325"/>
      <w:bookmarkStart w:id="50" w:name="_Toc400093947"/>
      <w:r w:rsidRPr="002673D1">
        <w:t>Ingresos</w:t>
      </w:r>
      <w:bookmarkEnd w:id="48"/>
      <w:bookmarkEnd w:id="49"/>
      <w:bookmarkEnd w:id="50"/>
    </w:p>
    <w:p w:rsidR="00CC754C" w:rsidRPr="002673D1" w:rsidRDefault="00773FDB" w:rsidP="00F41EFF">
      <w:r w:rsidRPr="002673D1">
        <w:t>45</w:t>
      </w:r>
      <w:r w:rsidR="00CC754C" w:rsidRPr="002673D1">
        <w:tab/>
      </w:r>
      <w:r w:rsidR="001B0D7E" w:rsidRPr="002673D1">
        <w:t>La variación positiv</w:t>
      </w:r>
      <w:r w:rsidR="00076DCC">
        <w:t>a</w:t>
      </w:r>
      <w:r w:rsidR="001B0D7E" w:rsidRPr="002673D1">
        <w:t xml:space="preserve"> de los ingresos reales con respecto a</w:t>
      </w:r>
      <w:r w:rsidR="00513885">
        <w:t xml:space="preserve"> </w:t>
      </w:r>
      <w:r w:rsidR="001B0D7E" w:rsidRPr="002673D1">
        <w:t>l</w:t>
      </w:r>
      <w:r w:rsidR="00513885">
        <w:t>a</w:t>
      </w:r>
      <w:r w:rsidR="001B0D7E" w:rsidRPr="002673D1">
        <w:t xml:space="preserve"> </w:t>
      </w:r>
      <w:r w:rsidR="00513885">
        <w:t>cantidad presupuestada</w:t>
      </w:r>
      <w:r w:rsidR="001B0D7E" w:rsidRPr="002673D1">
        <w:t xml:space="preserve"> </w:t>
      </w:r>
      <w:r w:rsidR="00584535" w:rsidRPr="002673D1">
        <w:t xml:space="preserve">(+4%) </w:t>
      </w:r>
      <w:r w:rsidR="001B0D7E" w:rsidRPr="002673D1">
        <w:t xml:space="preserve">se debe principalmente al valor significativamente mayor de los servicios de </w:t>
      </w:r>
      <w:r w:rsidR="00E6078C" w:rsidRPr="002673D1">
        <w:t>intercambio</w:t>
      </w:r>
      <w:r w:rsidR="001B0D7E" w:rsidRPr="002673D1">
        <w:t xml:space="preserve"> en el marco de las comunicaciones y el marketing</w:t>
      </w:r>
      <w:r w:rsidR="00584535" w:rsidRPr="002673D1">
        <w:t>.</w:t>
      </w:r>
    </w:p>
    <w:p w:rsidR="00773FDB" w:rsidRPr="002673D1" w:rsidRDefault="00F41EFF" w:rsidP="001831A7">
      <w:r>
        <w:t>46</w:t>
      </w:r>
      <w:r w:rsidR="00773FDB" w:rsidRPr="002673D1">
        <w:tab/>
      </w:r>
      <w:r w:rsidR="003605BA" w:rsidRPr="002673D1">
        <w:t xml:space="preserve">Los pases de admisión arrojaron unos ingresos imprevistos adicionales de </w:t>
      </w:r>
      <w:r w:rsidR="00584535" w:rsidRPr="002673D1">
        <w:t>180</w:t>
      </w:r>
      <w:r w:rsidR="001831A7">
        <w:t> </w:t>
      </w:r>
      <w:r w:rsidR="003605BA" w:rsidRPr="002673D1">
        <w:t xml:space="preserve">000 </w:t>
      </w:r>
      <w:r w:rsidR="00557F65">
        <w:t>CHF</w:t>
      </w:r>
      <w:r w:rsidR="00584535" w:rsidRPr="002673D1">
        <w:t>.</w:t>
      </w:r>
    </w:p>
    <w:p w:rsidR="00773FDB" w:rsidRPr="002673D1" w:rsidRDefault="00F41EFF" w:rsidP="00F41EFF">
      <w:r>
        <w:t>47</w:t>
      </w:r>
      <w:r w:rsidR="00773FDB" w:rsidRPr="002673D1">
        <w:tab/>
      </w:r>
      <w:r w:rsidR="000F3296" w:rsidRPr="002673D1">
        <w:t xml:space="preserve">El aumento de estos ingresos se debe sobre todo a la alta participación en la exposición, mientras que el número de participantes en el </w:t>
      </w:r>
      <w:r w:rsidR="00B178C4" w:rsidRPr="002673D1">
        <w:t>Foro</w:t>
      </w:r>
      <w:r w:rsidR="00B178C4">
        <w:t xml:space="preserve"> de</w:t>
      </w:r>
      <w:r w:rsidR="00B178C4" w:rsidRPr="002673D1">
        <w:t xml:space="preserve"> </w:t>
      </w:r>
      <w:r w:rsidR="000F3296" w:rsidRPr="002673D1">
        <w:t>ITU Telecom World 2013 ha sido solo ligeramente superior en comparación con</w:t>
      </w:r>
      <w:r w:rsidR="00B178C4">
        <w:t xml:space="preserve"> el de</w:t>
      </w:r>
      <w:r w:rsidR="000F3296" w:rsidRPr="002673D1">
        <w:t xml:space="preserve"> ITU Telecom World 2012, y la mitad que la registrada en ITU Telecom World 2011</w:t>
      </w:r>
      <w:r w:rsidR="00584535" w:rsidRPr="002673D1">
        <w:t xml:space="preserve"> (</w:t>
      </w:r>
      <w:r w:rsidR="000F3296" w:rsidRPr="002673D1">
        <w:t>como se indica también en el análisis de los IFR</w:t>
      </w:r>
      <w:r w:rsidR="00584535" w:rsidRPr="002673D1">
        <w:t>).</w:t>
      </w:r>
    </w:p>
    <w:p w:rsidR="00CC754C" w:rsidRPr="002673D1" w:rsidRDefault="00773FDB" w:rsidP="00F41EFF">
      <w:r w:rsidRPr="002673D1">
        <w:t>48</w:t>
      </w:r>
      <w:r w:rsidR="00CC754C" w:rsidRPr="002673D1">
        <w:tab/>
      </w:r>
      <w:r w:rsidR="00A57F39" w:rsidRPr="002673D1">
        <w:t xml:space="preserve">Con respecto a la flexibilidad y las políticas de descuentos, </w:t>
      </w:r>
      <w:r w:rsidR="00CC754C" w:rsidRPr="002673D1">
        <w:t>el 22 de marzo de 2012 se modificó y actualizó un documento titulado "ITU Telecom Policy and Procedures" [Política y procedimientos para ITU Telecom], prestando especial atención a los descuentos en los pases, la superficie y la publicidad. En el Anexo 1 del documento anteriormente mencionado se presenta una lista con 40 "posibles asociados para el evento y actores clave del ámbito de las TIC" a los que se ofrecieron descuentos.</w:t>
      </w:r>
      <w:r w:rsidR="00A57F39" w:rsidRPr="002673D1">
        <w:t xml:space="preserve"> El 5 de junio de 2013 volvió a modificarse ese documento para reflejar el plan de ventas de pases de acceso para ITU Telecom World 2013 [ref.: Memorando de 6 de junio de 2013 para el Secretario General].</w:t>
      </w:r>
    </w:p>
    <w:p w:rsidR="00CC754C" w:rsidRPr="002673D1" w:rsidRDefault="0036519A" w:rsidP="00F41EFF">
      <w:r w:rsidRPr="002673D1">
        <w:t>49</w:t>
      </w:r>
      <w:r w:rsidR="00CC754C" w:rsidRPr="002673D1">
        <w:tab/>
      </w:r>
      <w:r w:rsidR="009644CD" w:rsidRPr="002673D1">
        <w:t xml:space="preserve">Dichas modificaciones han introducido cambios específicos en torno a la </w:t>
      </w:r>
      <w:r w:rsidR="002827E3" w:rsidRPr="002673D1">
        <w:t>anulación</w:t>
      </w:r>
      <w:r w:rsidR="009644CD" w:rsidRPr="002673D1">
        <w:t xml:space="preserve"> de contratos de los participantes </w:t>
      </w:r>
      <w:r w:rsidR="00645392" w:rsidRPr="002673D1">
        <w:t>(</w:t>
      </w:r>
      <w:r w:rsidR="002827E3" w:rsidRPr="002673D1">
        <w:t>se ha incluido la anulación sin sanción</w:t>
      </w:r>
      <w:r w:rsidR="00645392" w:rsidRPr="002673D1">
        <w:t xml:space="preserve">) </w:t>
      </w:r>
      <w:r w:rsidR="0021323F" w:rsidRPr="002673D1">
        <w:t xml:space="preserve">y los pases de descuento </w:t>
      </w:r>
      <w:r w:rsidR="00645392" w:rsidRPr="002673D1">
        <w:t>(</w:t>
      </w:r>
      <w:r w:rsidR="0021323F" w:rsidRPr="002673D1">
        <w:t xml:space="preserve">para las compras </w:t>
      </w:r>
      <w:r w:rsidR="0028095D">
        <w:t>anticipadas</w:t>
      </w:r>
      <w:r w:rsidR="0021323F" w:rsidRPr="002673D1">
        <w:t xml:space="preserve"> y </w:t>
      </w:r>
      <w:r w:rsidR="002B45F7" w:rsidRPr="002673D1">
        <w:t>al por mayor</w:t>
      </w:r>
      <w:r w:rsidR="00645392" w:rsidRPr="002673D1">
        <w:t xml:space="preserve">). </w:t>
      </w:r>
      <w:r w:rsidR="001408E2" w:rsidRPr="002673D1">
        <w:t xml:space="preserve">Se ha proporcionado una lista de actores fundamentales de las TIC más </w:t>
      </w:r>
      <w:r w:rsidR="002E2955">
        <w:t>integrador</w:t>
      </w:r>
      <w:r w:rsidR="00532FF0">
        <w:t>a</w:t>
      </w:r>
      <w:r w:rsidR="001408E2" w:rsidRPr="002673D1">
        <w:t xml:space="preserve"> a nivel mundial</w:t>
      </w:r>
      <w:r w:rsidR="00645392" w:rsidRPr="002673D1">
        <w:t>.</w:t>
      </w:r>
    </w:p>
    <w:p w:rsidR="00CC754C" w:rsidRPr="002673D1" w:rsidRDefault="0036519A" w:rsidP="00F41EFF">
      <w:r w:rsidRPr="002673D1">
        <w:t>50</w:t>
      </w:r>
      <w:r w:rsidR="00CC754C" w:rsidRPr="002673D1">
        <w:tab/>
      </w:r>
      <w:r w:rsidR="00FB06FD" w:rsidRPr="002673D1">
        <w:t xml:space="preserve">Los resultados de la venta de pases de admisión para ITU Telecom World 2013, en comparación con los resultados de </w:t>
      </w:r>
      <w:r w:rsidR="00645392" w:rsidRPr="002673D1">
        <w:t xml:space="preserve">2012, </w:t>
      </w:r>
      <w:r w:rsidR="00FB06FD" w:rsidRPr="002673D1">
        <w:t>muestran un incremento del número de pases vendidos, pero una disminución de los ingresos</w:t>
      </w:r>
      <w:r w:rsidR="00645392" w:rsidRPr="002673D1">
        <w:t>.</w:t>
      </w:r>
    </w:p>
    <w:p w:rsidR="00CC754C" w:rsidRPr="002673D1" w:rsidRDefault="0036519A" w:rsidP="00F41EFF">
      <w:r w:rsidRPr="002673D1">
        <w:t>51</w:t>
      </w:r>
      <w:r w:rsidR="00CC754C" w:rsidRPr="002673D1">
        <w:tab/>
      </w:r>
      <w:r w:rsidR="007B78E0" w:rsidRPr="002673D1">
        <w:t>El</w:t>
      </w:r>
      <w:r w:rsidR="00645392" w:rsidRPr="002673D1">
        <w:t xml:space="preserve"> </w:t>
      </w:r>
      <w:r w:rsidR="00BC3D04">
        <w:t>"</w:t>
      </w:r>
      <w:r w:rsidR="007B78E0" w:rsidRPr="002673D1">
        <w:t xml:space="preserve">pase de </w:t>
      </w:r>
      <w:r w:rsidR="00645392" w:rsidRPr="002673D1">
        <w:t>Bron</w:t>
      </w:r>
      <w:r w:rsidR="007B78E0" w:rsidRPr="002673D1">
        <w:t>ce</w:t>
      </w:r>
      <w:r w:rsidR="00BC3D04">
        <w:t>"</w:t>
      </w:r>
      <w:r w:rsidR="00645392" w:rsidRPr="002673D1">
        <w:t xml:space="preserve"> ha</w:t>
      </w:r>
      <w:r w:rsidR="007B78E0" w:rsidRPr="002673D1">
        <w:t xml:space="preserve"> sido la categoría más vendida</w:t>
      </w:r>
      <w:r w:rsidR="00645392" w:rsidRPr="002673D1">
        <w:t xml:space="preserve"> (</w:t>
      </w:r>
      <w:r w:rsidR="007B78E0" w:rsidRPr="002673D1">
        <w:t>además de los pases para los visitantes locales</w:t>
      </w:r>
      <w:r w:rsidR="00645392" w:rsidRPr="002673D1">
        <w:t xml:space="preserve">), </w:t>
      </w:r>
      <w:r w:rsidR="007B78E0" w:rsidRPr="002673D1">
        <w:t xml:space="preserve">pero los </w:t>
      </w:r>
      <w:r w:rsidR="00BC3D04">
        <w:t>"</w:t>
      </w:r>
      <w:r w:rsidR="007B78E0" w:rsidRPr="002673D1">
        <w:t>pases de Oro</w:t>
      </w:r>
      <w:r w:rsidR="00BC3D04">
        <w:t>"</w:t>
      </w:r>
      <w:r w:rsidR="00645392" w:rsidRPr="002673D1">
        <w:t xml:space="preserve"> </w:t>
      </w:r>
      <w:r w:rsidR="007B78E0" w:rsidRPr="002673D1">
        <w:t>fueron la principal fuente de ingresos</w:t>
      </w:r>
      <w:r w:rsidR="00DA3305" w:rsidRPr="002673D1">
        <w:t xml:space="preserve"> en relación con los pases</w:t>
      </w:r>
      <w:r w:rsidR="00645392" w:rsidRPr="002673D1">
        <w:t>.</w:t>
      </w:r>
    </w:p>
    <w:p w:rsidR="0036519A" w:rsidRPr="002673D1" w:rsidRDefault="00F41EFF" w:rsidP="00F41EFF">
      <w:r>
        <w:t>52</w:t>
      </w:r>
      <w:r w:rsidR="0036519A" w:rsidRPr="002673D1">
        <w:tab/>
      </w:r>
      <w:r w:rsidR="009835DB" w:rsidRPr="002673D1">
        <w:t>Teniendo en cuenta que la pol</w:t>
      </w:r>
      <w:r w:rsidR="00FC1285" w:rsidRPr="002673D1">
        <w:t>ítica que debe seguirse en est</w:t>
      </w:r>
      <w:r w:rsidR="009835DB" w:rsidRPr="002673D1">
        <w:t>a materia</w:t>
      </w:r>
      <w:r w:rsidR="00645392" w:rsidRPr="002673D1">
        <w:t xml:space="preserve">, </w:t>
      </w:r>
      <w:r w:rsidR="009835DB" w:rsidRPr="002673D1">
        <w:t>en el cumplimiento de las resoluciones específicas</w:t>
      </w:r>
      <w:r w:rsidR="00645392" w:rsidRPr="002673D1">
        <w:t xml:space="preserve">, </w:t>
      </w:r>
      <w:r w:rsidR="00FC1285" w:rsidRPr="002673D1">
        <w:t>es encontrar un equilibrio entre la necesidad de facilitar la participación y la concesión de viabilidad financiera, valoramos este resultado y esperamos que se afine aún más este asunto</w:t>
      </w:r>
      <w:r w:rsidR="00645392" w:rsidRPr="002673D1">
        <w:t>.</w:t>
      </w:r>
    </w:p>
    <w:p w:rsidR="0036519A" w:rsidRPr="00F41EFF" w:rsidRDefault="00645392" w:rsidP="00F41EFF">
      <w:pPr>
        <w:pStyle w:val="Headingi"/>
      </w:pPr>
      <w:bookmarkStart w:id="51" w:name="_Toc400028326"/>
      <w:bookmarkStart w:id="52" w:name="_Toc400093948"/>
      <w:r w:rsidRPr="00F41EFF">
        <w:t>Re</w:t>
      </w:r>
      <w:r w:rsidR="00B54821" w:rsidRPr="00F41EFF">
        <w:t>consideración de la cuota anticipada</w:t>
      </w:r>
      <w:bookmarkEnd w:id="51"/>
      <w:bookmarkEnd w:id="52"/>
    </w:p>
    <w:p w:rsidR="0036519A" w:rsidRPr="002673D1" w:rsidRDefault="00F41EFF" w:rsidP="00F41EFF">
      <w:r>
        <w:t>53</w:t>
      </w:r>
      <w:r w:rsidR="0036519A" w:rsidRPr="002673D1">
        <w:tab/>
      </w:r>
      <w:r w:rsidR="00B54821" w:rsidRPr="002673D1">
        <w:t>Para ITU Telecom World 20</w:t>
      </w:r>
      <w:r w:rsidR="00645392" w:rsidRPr="002673D1">
        <w:t xml:space="preserve">13 </w:t>
      </w:r>
      <w:r w:rsidR="00B54821" w:rsidRPr="002673D1">
        <w:t>se aplicaron (al igual que para 2012</w:t>
      </w:r>
      <w:r w:rsidR="00645392" w:rsidRPr="002673D1">
        <w:t xml:space="preserve">) </w:t>
      </w:r>
      <w:r w:rsidR="00B54821" w:rsidRPr="002673D1">
        <w:t>muy distintas cuotas, según los distintos servicios, o las distintas maneras o momentos de compra</w:t>
      </w:r>
      <w:r w:rsidR="00645392" w:rsidRPr="002673D1">
        <w:t>.</w:t>
      </w:r>
    </w:p>
    <w:p w:rsidR="0036519A" w:rsidRPr="002673D1" w:rsidRDefault="00F41EFF" w:rsidP="00F41EFF">
      <w:r>
        <w:t>54</w:t>
      </w:r>
      <w:r w:rsidR="0036519A" w:rsidRPr="002673D1">
        <w:tab/>
      </w:r>
      <w:r w:rsidR="00CE4275" w:rsidRPr="002673D1">
        <w:t>Respecto de estos últimos</w:t>
      </w:r>
      <w:r w:rsidR="00645392" w:rsidRPr="002673D1">
        <w:t xml:space="preserve">, </w:t>
      </w:r>
      <w:r w:rsidR="00CE4275" w:rsidRPr="002673D1">
        <w:t xml:space="preserve">se aplicaron descuentos específicos para las inscripciones </w:t>
      </w:r>
      <w:r w:rsidR="00890939">
        <w:t>anticipadas</w:t>
      </w:r>
      <w:r w:rsidR="00645392" w:rsidRPr="002673D1">
        <w:t xml:space="preserve"> (</w:t>
      </w:r>
      <w:r w:rsidR="00CE4275" w:rsidRPr="002673D1">
        <w:t>hasta nueve semanas antes del evento</w:t>
      </w:r>
      <w:r w:rsidR="00645392" w:rsidRPr="002673D1">
        <w:t xml:space="preserve">), </w:t>
      </w:r>
      <w:r w:rsidR="00CE4275" w:rsidRPr="002673D1">
        <w:t xml:space="preserve">las </w:t>
      </w:r>
      <w:r w:rsidR="00DF5EE8">
        <w:t>llamadas</w:t>
      </w:r>
      <w:r w:rsidR="00CE4275" w:rsidRPr="002673D1">
        <w:t xml:space="preserve"> cuotas anticipadas</w:t>
      </w:r>
      <w:r w:rsidR="00645392" w:rsidRPr="002673D1">
        <w:t>.</w:t>
      </w:r>
    </w:p>
    <w:p w:rsidR="0036519A" w:rsidRPr="002673D1" w:rsidRDefault="00F41EFF" w:rsidP="00F41EFF">
      <w:r>
        <w:lastRenderedPageBreak/>
        <w:t>55</w:t>
      </w:r>
      <w:r w:rsidR="0036519A" w:rsidRPr="002673D1">
        <w:tab/>
      </w:r>
      <w:r w:rsidR="00CA24AC" w:rsidRPr="002673D1">
        <w:t>La curva de venta</w:t>
      </w:r>
      <w:r w:rsidR="00645392" w:rsidRPr="002673D1">
        <w:t xml:space="preserve"> (</w:t>
      </w:r>
      <w:r w:rsidR="00CA24AC" w:rsidRPr="002673D1">
        <w:t>tal y como se indica también en el Informe sobre los IFR</w:t>
      </w:r>
      <w:r w:rsidR="00645392" w:rsidRPr="002673D1">
        <w:t xml:space="preserve">) </w:t>
      </w:r>
      <w:r w:rsidR="00567323" w:rsidRPr="002673D1">
        <w:t xml:space="preserve">muestra que </w:t>
      </w:r>
      <w:r w:rsidR="00E55BEB" w:rsidRPr="002673D1">
        <w:t xml:space="preserve">la venta de pases </w:t>
      </w:r>
      <w:r w:rsidR="00567323" w:rsidRPr="002673D1">
        <w:t xml:space="preserve">no </w:t>
      </w:r>
      <w:r w:rsidR="00E55BEB" w:rsidRPr="002673D1">
        <w:t>incrementó</w:t>
      </w:r>
      <w:r w:rsidR="00567323" w:rsidRPr="002673D1">
        <w:t xml:space="preserve"> significati</w:t>
      </w:r>
      <w:r w:rsidR="00E55BEB" w:rsidRPr="002673D1">
        <w:t>vamente</w:t>
      </w:r>
      <w:r w:rsidR="00567323" w:rsidRPr="002673D1">
        <w:t xml:space="preserve"> en el periodo entre la decimoprimera y la novena semana anterior al evento</w:t>
      </w:r>
      <w:r w:rsidR="00645392" w:rsidRPr="002673D1">
        <w:t>.</w:t>
      </w:r>
    </w:p>
    <w:p w:rsidR="0036519A" w:rsidRDefault="00F41EFF" w:rsidP="00F41EFF">
      <w:r>
        <w:t>56</w:t>
      </w:r>
      <w:r w:rsidR="0036519A" w:rsidRPr="002673D1">
        <w:tab/>
      </w:r>
      <w:r w:rsidR="002D5758" w:rsidRPr="002673D1">
        <w:t>Observamos que esas cuotas reducidas no arrojaron resultados favorables en la venta de pases</w:t>
      </w:r>
      <w:r w:rsidR="00645392" w:rsidRPr="002673D1">
        <w:t xml:space="preserve">, </w:t>
      </w:r>
      <w:r w:rsidR="002D5758" w:rsidRPr="002673D1">
        <w:t xml:space="preserve">y posiblemente provocaron un descenso de los ingresos </w:t>
      </w:r>
      <w:r w:rsidR="00760433">
        <w:t>no equiparable con las ventajas</w:t>
      </w:r>
      <w:r w:rsidR="00645392" w:rsidRPr="002673D1">
        <w:t>.</w:t>
      </w:r>
    </w:p>
    <w:p w:rsidR="00F41EFF" w:rsidRPr="002673D1" w:rsidRDefault="00F41EFF" w:rsidP="00544B0A">
      <w:pPr>
        <w:spacing w:before="0"/>
      </w:pPr>
    </w:p>
    <w:tbl>
      <w:tblPr>
        <w:tblStyle w:val="TableGrid"/>
        <w:tblW w:w="0" w:type="auto"/>
        <w:tblLook w:val="04A0" w:firstRow="1" w:lastRow="0" w:firstColumn="1" w:lastColumn="0" w:noHBand="0" w:noVBand="1"/>
      </w:tblPr>
      <w:tblGrid>
        <w:gridCol w:w="9629"/>
      </w:tblGrid>
      <w:tr w:rsidR="00CC754C" w:rsidRPr="002673D1" w:rsidTr="0036519A">
        <w:tc>
          <w:tcPr>
            <w:tcW w:w="9629" w:type="dxa"/>
            <w:tcBorders>
              <w:bottom w:val="nil"/>
            </w:tcBorders>
          </w:tcPr>
          <w:p w:rsidR="00CC754C" w:rsidRPr="002673D1" w:rsidRDefault="00CC754C" w:rsidP="00A52625">
            <w:pPr>
              <w:rPr>
                <w:b/>
                <w:bCs/>
                <w:u w:val="single"/>
              </w:rPr>
            </w:pPr>
            <w:r w:rsidRPr="002673D1">
              <w:rPr>
                <w:b/>
                <w:bCs/>
                <w:u w:val="single"/>
              </w:rPr>
              <w:t xml:space="preserve">Sugerencia </w:t>
            </w:r>
            <w:r w:rsidR="00BE0A42">
              <w:rPr>
                <w:b/>
                <w:bCs/>
                <w:u w:val="single"/>
              </w:rPr>
              <w:t>Nº</w:t>
            </w:r>
            <w:r w:rsidRPr="002673D1">
              <w:rPr>
                <w:b/>
                <w:bCs/>
                <w:u w:val="single"/>
              </w:rPr>
              <w:t xml:space="preserve"> 3</w:t>
            </w:r>
          </w:p>
        </w:tc>
      </w:tr>
      <w:tr w:rsidR="00CC754C" w:rsidRPr="002673D1" w:rsidTr="0036519A">
        <w:tc>
          <w:tcPr>
            <w:tcW w:w="9629" w:type="dxa"/>
            <w:tcBorders>
              <w:top w:val="nil"/>
            </w:tcBorders>
          </w:tcPr>
          <w:p w:rsidR="00CC754C" w:rsidRPr="002673D1" w:rsidRDefault="0036519A" w:rsidP="00F41EFF">
            <w:pPr>
              <w:spacing w:after="120"/>
            </w:pPr>
            <w:r w:rsidRPr="002673D1">
              <w:t>57</w:t>
            </w:r>
            <w:r w:rsidR="00CC754C" w:rsidRPr="002673D1">
              <w:tab/>
            </w:r>
            <w:r w:rsidR="00FD5C04" w:rsidRPr="002673D1">
              <w:t>Por consiguiente</w:t>
            </w:r>
            <w:r w:rsidR="00645392" w:rsidRPr="002673D1">
              <w:t xml:space="preserve">, </w:t>
            </w:r>
            <w:r w:rsidR="00645392" w:rsidRPr="002673D1">
              <w:rPr>
                <w:u w:val="single"/>
              </w:rPr>
              <w:t>suge</w:t>
            </w:r>
            <w:r w:rsidR="00FD5C04" w:rsidRPr="002673D1">
              <w:rPr>
                <w:u w:val="single"/>
              </w:rPr>
              <w:t>rimo</w:t>
            </w:r>
            <w:r w:rsidR="00645392" w:rsidRPr="002673D1">
              <w:rPr>
                <w:u w:val="single"/>
              </w:rPr>
              <w:t>s</w:t>
            </w:r>
            <w:r w:rsidR="00645392" w:rsidRPr="002673D1">
              <w:t xml:space="preserve"> </w:t>
            </w:r>
            <w:r w:rsidR="00FD5C04" w:rsidRPr="002673D1">
              <w:t>analizar con mayor detenimiento el comportamiento de los compradores y modificar las condiciones de esta tarifa de descuento eligiendo un periodo posterior o eliminándola</w:t>
            </w:r>
            <w:r w:rsidR="00645392" w:rsidRPr="002673D1">
              <w:t>.</w:t>
            </w:r>
          </w:p>
        </w:tc>
      </w:tr>
    </w:tbl>
    <w:p w:rsidR="00CC754C" w:rsidRPr="002673D1" w:rsidRDefault="00CC754C" w:rsidP="00544B0A">
      <w:pPr>
        <w:spacing w:before="0"/>
      </w:pPr>
    </w:p>
    <w:tbl>
      <w:tblPr>
        <w:tblStyle w:val="TableGrid"/>
        <w:tblW w:w="0" w:type="auto"/>
        <w:tblLook w:val="04A0" w:firstRow="1" w:lastRow="0" w:firstColumn="1" w:lastColumn="0" w:noHBand="0" w:noVBand="1"/>
      </w:tblPr>
      <w:tblGrid>
        <w:gridCol w:w="9629"/>
      </w:tblGrid>
      <w:tr w:rsidR="00CC754C" w:rsidRPr="002673D1" w:rsidTr="000C1B8B">
        <w:tc>
          <w:tcPr>
            <w:tcW w:w="9629" w:type="dxa"/>
            <w:tcBorders>
              <w:bottom w:val="nil"/>
            </w:tcBorders>
          </w:tcPr>
          <w:p w:rsidR="00CC754C" w:rsidRPr="002673D1" w:rsidRDefault="00CC754C" w:rsidP="00A52625">
            <w:pPr>
              <w:rPr>
                <w:b/>
                <w:bCs/>
                <w:u w:val="single"/>
              </w:rPr>
            </w:pPr>
            <w:r w:rsidRPr="002673D1">
              <w:rPr>
                <w:b/>
                <w:bCs/>
                <w:u w:val="single"/>
              </w:rPr>
              <w:t>Comentarios del Secretario General</w:t>
            </w:r>
            <w:r w:rsidRPr="00F41EFF">
              <w:t>:</w:t>
            </w:r>
          </w:p>
        </w:tc>
      </w:tr>
      <w:tr w:rsidR="00CC754C" w:rsidRPr="002673D1" w:rsidTr="000C1B8B">
        <w:tc>
          <w:tcPr>
            <w:tcW w:w="9629" w:type="dxa"/>
            <w:tcBorders>
              <w:top w:val="nil"/>
            </w:tcBorders>
          </w:tcPr>
          <w:p w:rsidR="00CC754C" w:rsidRPr="002673D1" w:rsidRDefault="00CC754C" w:rsidP="00F41EFF">
            <w:pPr>
              <w:spacing w:after="120"/>
            </w:pPr>
            <w:r w:rsidRPr="002673D1">
              <w:t>Gracias a la flexibilidad que ofrecen las políticas de descuentos, ITU Telecom ha podido entrar en contacto con distintos actores clave del sector y asegurarse su participación. ITU Telecom realizará un seguimiento de esta política para velar por que cumpla de manera efectiva con su finalidad y se haga eco de los avances que se producen en un ecosistema como el nuestro, que cambia a gran velocidad. Los descuentos no son sino uno de los elementos que tienen en cuenta asociados/clientes antes de tomar la decisión de participar. No existe una relación directa entre ingresos y política de descuentos.</w:t>
            </w:r>
          </w:p>
        </w:tc>
      </w:tr>
    </w:tbl>
    <w:p w:rsidR="00CC754C" w:rsidRPr="00F41EFF" w:rsidRDefault="000C1B8B" w:rsidP="00F41EFF">
      <w:pPr>
        <w:pStyle w:val="Headingi"/>
      </w:pPr>
      <w:bookmarkStart w:id="53" w:name="_Toc396899724"/>
      <w:bookmarkStart w:id="54" w:name="_Toc400028327"/>
      <w:bookmarkStart w:id="55" w:name="_Toc400093949"/>
      <w:r w:rsidRPr="00F41EFF">
        <w:t xml:space="preserve">Procedimiento de </w:t>
      </w:r>
      <w:r w:rsidR="0059377B" w:rsidRPr="00F41EFF">
        <w:t xml:space="preserve">los </w:t>
      </w:r>
      <w:r w:rsidR="00BC3D04">
        <w:t>"</w:t>
      </w:r>
      <w:r w:rsidRPr="00F41EFF">
        <w:t>pases de promoción in situ</w:t>
      </w:r>
      <w:r w:rsidR="00BC3D04">
        <w:t>"</w:t>
      </w:r>
      <w:bookmarkEnd w:id="53"/>
      <w:bookmarkEnd w:id="54"/>
      <w:bookmarkEnd w:id="55"/>
    </w:p>
    <w:p w:rsidR="00CC754C" w:rsidRPr="002673D1" w:rsidRDefault="00537B34" w:rsidP="00F41EFF">
      <w:r w:rsidRPr="002673D1">
        <w:t>58</w:t>
      </w:r>
      <w:r w:rsidR="00CC754C" w:rsidRPr="002673D1">
        <w:tab/>
      </w:r>
      <w:r w:rsidR="000C1B8B" w:rsidRPr="002673D1">
        <w:t xml:space="preserve">Algunos ingresos procedentes de </w:t>
      </w:r>
      <w:r w:rsidR="0077782E">
        <w:t xml:space="preserve">los </w:t>
      </w:r>
      <w:r w:rsidR="000C1B8B" w:rsidRPr="0059377B">
        <w:t>pases de promoción</w:t>
      </w:r>
      <w:r w:rsidR="000C1B8B" w:rsidRPr="002673D1">
        <w:t xml:space="preserve">, </w:t>
      </w:r>
      <w:r w:rsidR="001625CD" w:rsidRPr="002673D1">
        <w:t>obtenidos</w:t>
      </w:r>
      <w:r w:rsidR="000C1B8B" w:rsidRPr="002673D1">
        <w:t xml:space="preserve"> directamente </w:t>
      </w:r>
      <w:r w:rsidR="001625CD" w:rsidRPr="002673D1">
        <w:t>a través de</w:t>
      </w:r>
      <w:r w:rsidR="000C1B8B" w:rsidRPr="002673D1">
        <w:t xml:space="preserve"> operaci</w:t>
      </w:r>
      <w:r w:rsidR="001625CD" w:rsidRPr="002673D1">
        <w:t>o</w:t>
      </w:r>
      <w:r w:rsidR="000C1B8B" w:rsidRPr="002673D1">
        <w:t>n</w:t>
      </w:r>
      <w:r w:rsidR="001625CD" w:rsidRPr="002673D1">
        <w:t>es</w:t>
      </w:r>
      <w:r w:rsidR="000C1B8B" w:rsidRPr="002673D1">
        <w:t xml:space="preserve"> en efectivo </w:t>
      </w:r>
      <w:r w:rsidR="001625CD" w:rsidRPr="002673D1">
        <w:t xml:space="preserve">efectuadas </w:t>
      </w:r>
      <w:r w:rsidR="000C1B8B" w:rsidRPr="002673D1">
        <w:t>en la inauguración del evento, no fueron registrados a tiempo en el sistema y han quedado regularizados solo recientemente.</w:t>
      </w:r>
    </w:p>
    <w:p w:rsidR="00CC754C" w:rsidRPr="002673D1" w:rsidRDefault="00CC754C" w:rsidP="00F41EFF">
      <w:pPr>
        <w:spacing w:before="0"/>
      </w:pPr>
    </w:p>
    <w:tbl>
      <w:tblPr>
        <w:tblStyle w:val="TableGrid"/>
        <w:tblW w:w="0" w:type="auto"/>
        <w:tblLook w:val="04A0" w:firstRow="1" w:lastRow="0" w:firstColumn="1" w:lastColumn="0" w:noHBand="0" w:noVBand="1"/>
      </w:tblPr>
      <w:tblGrid>
        <w:gridCol w:w="9629"/>
      </w:tblGrid>
      <w:tr w:rsidR="00CC754C" w:rsidRPr="002673D1" w:rsidTr="00871099">
        <w:tc>
          <w:tcPr>
            <w:tcW w:w="9855" w:type="dxa"/>
            <w:tcBorders>
              <w:bottom w:val="nil"/>
            </w:tcBorders>
          </w:tcPr>
          <w:p w:rsidR="00CC754C" w:rsidRPr="002673D1" w:rsidRDefault="00537B34" w:rsidP="00A52625">
            <w:pPr>
              <w:rPr>
                <w:b/>
                <w:bCs/>
                <w:u w:val="single"/>
              </w:rPr>
            </w:pPr>
            <w:r w:rsidRPr="002673D1">
              <w:rPr>
                <w:b/>
                <w:bCs/>
                <w:u w:val="single"/>
              </w:rPr>
              <w:t xml:space="preserve">Recomendación </w:t>
            </w:r>
            <w:r w:rsidR="00BE0A42">
              <w:rPr>
                <w:b/>
                <w:bCs/>
                <w:u w:val="single"/>
              </w:rPr>
              <w:t>Nº</w:t>
            </w:r>
            <w:r w:rsidRPr="002673D1">
              <w:rPr>
                <w:b/>
                <w:bCs/>
                <w:u w:val="single"/>
              </w:rPr>
              <w:t xml:space="preserve"> </w:t>
            </w:r>
            <w:r w:rsidR="00835D22" w:rsidRPr="002673D1">
              <w:rPr>
                <w:b/>
                <w:bCs/>
                <w:u w:val="single"/>
              </w:rPr>
              <w:t>2</w:t>
            </w:r>
          </w:p>
        </w:tc>
      </w:tr>
      <w:tr w:rsidR="00CC754C" w:rsidRPr="002673D1" w:rsidTr="00871099">
        <w:tc>
          <w:tcPr>
            <w:tcW w:w="9855" w:type="dxa"/>
            <w:tcBorders>
              <w:top w:val="nil"/>
            </w:tcBorders>
          </w:tcPr>
          <w:p w:rsidR="00CC754C" w:rsidRPr="002673D1" w:rsidRDefault="00537B34" w:rsidP="00F41EFF">
            <w:pPr>
              <w:spacing w:after="120"/>
            </w:pPr>
            <w:r w:rsidRPr="002673D1">
              <w:t>59</w:t>
            </w:r>
            <w:r w:rsidR="00CC754C" w:rsidRPr="002673D1">
              <w:tab/>
            </w:r>
            <w:r w:rsidR="00E74B6E" w:rsidRPr="002673D1">
              <w:t xml:space="preserve">Si bien este hecho tiene una importancia relativa, </w:t>
            </w:r>
            <w:r w:rsidR="00E74B6E" w:rsidRPr="002673D1">
              <w:rPr>
                <w:u w:val="single"/>
              </w:rPr>
              <w:t>recomendamos</w:t>
            </w:r>
            <w:r w:rsidR="00E74B6E" w:rsidRPr="002673D1">
              <w:t xml:space="preserve"> que se adopte un procedimiento normalizado para esos casos.</w:t>
            </w:r>
          </w:p>
        </w:tc>
      </w:tr>
    </w:tbl>
    <w:p w:rsidR="00CC754C" w:rsidRPr="002673D1" w:rsidRDefault="00CC754C" w:rsidP="00F41EFF">
      <w:pPr>
        <w:spacing w:before="0"/>
      </w:pPr>
    </w:p>
    <w:tbl>
      <w:tblPr>
        <w:tblStyle w:val="TableGrid"/>
        <w:tblW w:w="0" w:type="auto"/>
        <w:tblLook w:val="04A0" w:firstRow="1" w:lastRow="0" w:firstColumn="1" w:lastColumn="0" w:noHBand="0" w:noVBand="1"/>
      </w:tblPr>
      <w:tblGrid>
        <w:gridCol w:w="9629"/>
      </w:tblGrid>
      <w:tr w:rsidR="00CC754C" w:rsidRPr="002673D1" w:rsidTr="00871099">
        <w:trPr>
          <w:cantSplit/>
        </w:trPr>
        <w:tc>
          <w:tcPr>
            <w:tcW w:w="9855" w:type="dxa"/>
            <w:tcBorders>
              <w:bottom w:val="nil"/>
            </w:tcBorders>
          </w:tcPr>
          <w:p w:rsidR="00CC754C" w:rsidRPr="002673D1" w:rsidRDefault="00CC754C" w:rsidP="00A52625">
            <w:pPr>
              <w:keepNext/>
              <w:rPr>
                <w:b/>
                <w:bCs/>
                <w:u w:val="single"/>
              </w:rPr>
            </w:pPr>
            <w:r w:rsidRPr="002673D1">
              <w:rPr>
                <w:b/>
                <w:bCs/>
                <w:u w:val="single"/>
              </w:rPr>
              <w:t>Comentarios del Secretario General</w:t>
            </w:r>
            <w:r w:rsidRPr="00F41EFF">
              <w:t>:</w:t>
            </w:r>
          </w:p>
        </w:tc>
      </w:tr>
      <w:tr w:rsidR="00CC754C" w:rsidRPr="002673D1" w:rsidTr="00871099">
        <w:trPr>
          <w:cantSplit/>
        </w:trPr>
        <w:tc>
          <w:tcPr>
            <w:tcW w:w="9855" w:type="dxa"/>
            <w:tcBorders>
              <w:top w:val="nil"/>
            </w:tcBorders>
          </w:tcPr>
          <w:p w:rsidR="00CC754C" w:rsidRPr="002673D1" w:rsidRDefault="003A1F31" w:rsidP="00F41EFF">
            <w:pPr>
              <w:spacing w:after="120"/>
            </w:pPr>
            <w:r w:rsidRPr="002673D1">
              <w:t xml:space="preserve">Se establecerá un procedimiento normalizado por escrito para la </w:t>
            </w:r>
            <w:r w:rsidRPr="0077782E">
              <w:t>reclasificación de los pases</w:t>
            </w:r>
            <w:r w:rsidRPr="002673D1">
              <w:t>. Se está estudiando la posibilidad de que el equipo de inscripción refleje la reclasificación en el sistema en su gestión interna al final del día.</w:t>
            </w:r>
            <w:r w:rsidR="00BC3D04">
              <w:t xml:space="preserve"> </w:t>
            </w:r>
            <w:r w:rsidR="00D8410E" w:rsidRPr="002673D1">
              <w:t>Se está estudiando también la posibilidad de encontrar una solución técnica para las reclasificaciones en el sistema de inscripción</w:t>
            </w:r>
            <w:r w:rsidRPr="002673D1">
              <w:t>.</w:t>
            </w:r>
          </w:p>
        </w:tc>
      </w:tr>
    </w:tbl>
    <w:p w:rsidR="00CC754C" w:rsidRPr="00F41EFF" w:rsidRDefault="009D0565" w:rsidP="00F41EFF">
      <w:pPr>
        <w:pStyle w:val="Headingi"/>
      </w:pPr>
      <w:bookmarkStart w:id="56" w:name="_Toc400028328"/>
      <w:bookmarkStart w:id="57" w:name="_Toc400093950"/>
      <w:r w:rsidRPr="00F41EFF">
        <w:t>Presencia de los medios de comunicación</w:t>
      </w:r>
      <w:bookmarkEnd w:id="56"/>
      <w:bookmarkEnd w:id="57"/>
    </w:p>
    <w:p w:rsidR="00537B34" w:rsidRPr="002673D1" w:rsidRDefault="00537B34" w:rsidP="00F41EFF">
      <w:r w:rsidRPr="002673D1">
        <w:t>60</w:t>
      </w:r>
      <w:r w:rsidR="00CC754C" w:rsidRPr="002673D1">
        <w:tab/>
      </w:r>
      <w:r w:rsidR="009D0565" w:rsidRPr="002673D1">
        <w:t xml:space="preserve">Algunas zonas de la sala de exposiciones se destinaron a actividades y servicios de los medios de comunicación, y a vitrinas para revistas en la zona de lectura. </w:t>
      </w:r>
      <w:r w:rsidR="00D60370" w:rsidRPr="002673D1">
        <w:t>Observamos que casi todas las vitrinas carecieron de atención durante tod</w:t>
      </w:r>
      <w:r w:rsidR="00C23A5F" w:rsidRPr="002673D1">
        <w:t>o el</w:t>
      </w:r>
      <w:r w:rsidR="00D60370" w:rsidRPr="002673D1">
        <w:t xml:space="preserve"> evento</w:t>
      </w:r>
      <w:r w:rsidR="009D0565" w:rsidRPr="002673D1">
        <w:t>.</w:t>
      </w:r>
    </w:p>
    <w:p w:rsidR="003D35F1" w:rsidRDefault="003D35F1" w:rsidP="00F41EFF">
      <w:pPr>
        <w:spacing w:before="0"/>
      </w:pPr>
      <w:r>
        <w:br w:type="page"/>
      </w:r>
    </w:p>
    <w:tbl>
      <w:tblPr>
        <w:tblStyle w:val="TableGrid"/>
        <w:tblW w:w="0" w:type="auto"/>
        <w:tblLook w:val="04A0" w:firstRow="1" w:lastRow="0" w:firstColumn="1" w:lastColumn="0" w:noHBand="0" w:noVBand="1"/>
      </w:tblPr>
      <w:tblGrid>
        <w:gridCol w:w="9629"/>
      </w:tblGrid>
      <w:tr w:rsidR="00537B34" w:rsidRPr="002673D1" w:rsidTr="003D35F1">
        <w:tc>
          <w:tcPr>
            <w:tcW w:w="9629" w:type="dxa"/>
            <w:tcBorders>
              <w:bottom w:val="nil"/>
            </w:tcBorders>
          </w:tcPr>
          <w:p w:rsidR="00537B34" w:rsidRPr="002673D1" w:rsidRDefault="00537B34" w:rsidP="00A52625">
            <w:pPr>
              <w:rPr>
                <w:b/>
                <w:bCs/>
                <w:u w:val="single"/>
              </w:rPr>
            </w:pPr>
            <w:r w:rsidRPr="002673D1">
              <w:rPr>
                <w:b/>
                <w:bCs/>
                <w:u w:val="single"/>
              </w:rPr>
              <w:lastRenderedPageBreak/>
              <w:t xml:space="preserve">Sugerencia </w:t>
            </w:r>
            <w:r w:rsidR="00BE0A42">
              <w:rPr>
                <w:b/>
                <w:bCs/>
                <w:u w:val="single"/>
              </w:rPr>
              <w:t>Nº</w:t>
            </w:r>
            <w:r w:rsidRPr="002673D1">
              <w:rPr>
                <w:b/>
                <w:bCs/>
                <w:u w:val="single"/>
              </w:rPr>
              <w:t xml:space="preserve"> 4</w:t>
            </w:r>
          </w:p>
        </w:tc>
      </w:tr>
      <w:tr w:rsidR="00537B34" w:rsidRPr="002673D1" w:rsidTr="003D35F1">
        <w:tc>
          <w:tcPr>
            <w:tcW w:w="9629" w:type="dxa"/>
            <w:tcBorders>
              <w:top w:val="nil"/>
            </w:tcBorders>
          </w:tcPr>
          <w:p w:rsidR="00537B34" w:rsidRPr="002673D1" w:rsidRDefault="00F41EFF" w:rsidP="00F41EFF">
            <w:pPr>
              <w:spacing w:after="120"/>
            </w:pPr>
            <w:r>
              <w:t>61</w:t>
            </w:r>
            <w:r w:rsidR="00537B34" w:rsidRPr="002673D1">
              <w:tab/>
            </w:r>
            <w:r w:rsidR="00964771" w:rsidRPr="002673D1">
              <w:t>Si bien se admite que las personas pueden elegir no utilizar los espacios puestos a su disposición, una zona no concurrida de la sala de exposiciones podría tener efectos negativos en la percepción del interés de los medios de comunicación por el evento</w:t>
            </w:r>
            <w:r w:rsidR="00A11975" w:rsidRPr="002673D1">
              <w:t xml:space="preserve">. </w:t>
            </w:r>
            <w:r w:rsidR="004D40AB" w:rsidRPr="002673D1">
              <w:t xml:space="preserve">Por consiguiente, </w:t>
            </w:r>
            <w:r w:rsidR="00A11975" w:rsidRPr="002673D1">
              <w:rPr>
                <w:u w:val="single"/>
              </w:rPr>
              <w:t>suge</w:t>
            </w:r>
            <w:r w:rsidR="004D40AB" w:rsidRPr="002673D1">
              <w:rPr>
                <w:u w:val="single"/>
              </w:rPr>
              <w:t>rimo</w:t>
            </w:r>
            <w:r w:rsidR="00A11975" w:rsidRPr="002673D1">
              <w:rPr>
                <w:u w:val="single"/>
              </w:rPr>
              <w:t>s</w:t>
            </w:r>
            <w:r w:rsidR="00A11975" w:rsidRPr="002673D1">
              <w:t xml:space="preserve"> </w:t>
            </w:r>
            <w:r w:rsidR="004D40AB" w:rsidRPr="002673D1">
              <w:t xml:space="preserve">que se identifiquen lo antes posible esos espacios inutilizados y </w:t>
            </w:r>
            <w:r w:rsidR="0077782E">
              <w:t>se transformen</w:t>
            </w:r>
            <w:r w:rsidR="004D40AB" w:rsidRPr="002673D1">
              <w:t xml:space="preserve"> adecuadamente</w:t>
            </w:r>
            <w:r w:rsidR="00A11975" w:rsidRPr="002673D1">
              <w:t>.</w:t>
            </w:r>
          </w:p>
        </w:tc>
      </w:tr>
    </w:tbl>
    <w:p w:rsidR="00537B34" w:rsidRPr="002673D1" w:rsidRDefault="00537B34" w:rsidP="00F41EFF">
      <w:pPr>
        <w:spacing w:before="0"/>
      </w:pPr>
    </w:p>
    <w:tbl>
      <w:tblPr>
        <w:tblStyle w:val="TableGrid"/>
        <w:tblW w:w="0" w:type="auto"/>
        <w:tblLook w:val="04A0" w:firstRow="1" w:lastRow="0" w:firstColumn="1" w:lastColumn="0" w:noHBand="0" w:noVBand="1"/>
      </w:tblPr>
      <w:tblGrid>
        <w:gridCol w:w="9629"/>
      </w:tblGrid>
      <w:tr w:rsidR="00537B34" w:rsidRPr="002673D1" w:rsidTr="00871099">
        <w:tc>
          <w:tcPr>
            <w:tcW w:w="9855" w:type="dxa"/>
            <w:tcBorders>
              <w:bottom w:val="nil"/>
            </w:tcBorders>
          </w:tcPr>
          <w:p w:rsidR="00537B34" w:rsidRPr="002673D1" w:rsidRDefault="00537B34" w:rsidP="00A52625">
            <w:pPr>
              <w:rPr>
                <w:b/>
                <w:bCs/>
                <w:u w:val="single"/>
              </w:rPr>
            </w:pPr>
            <w:r w:rsidRPr="002673D1">
              <w:rPr>
                <w:b/>
                <w:bCs/>
                <w:u w:val="single"/>
              </w:rPr>
              <w:t>Comentarios del Secretario General</w:t>
            </w:r>
            <w:r w:rsidRPr="00150AA6">
              <w:t>:</w:t>
            </w:r>
          </w:p>
        </w:tc>
      </w:tr>
      <w:tr w:rsidR="00537B34" w:rsidRPr="002673D1" w:rsidTr="00871099">
        <w:tc>
          <w:tcPr>
            <w:tcW w:w="9855" w:type="dxa"/>
            <w:tcBorders>
              <w:top w:val="nil"/>
            </w:tcBorders>
          </w:tcPr>
          <w:p w:rsidR="00537B34" w:rsidRPr="002673D1" w:rsidRDefault="002B060F" w:rsidP="00F41EFF">
            <w:pPr>
              <w:spacing w:after="120"/>
            </w:pPr>
            <w:r w:rsidRPr="002673D1">
              <w:t>Se</w:t>
            </w:r>
            <w:r w:rsidR="00B41422">
              <w:t xml:space="preserve"> se</w:t>
            </w:r>
            <w:r w:rsidRPr="002673D1">
              <w:t xml:space="preserve">guirá </w:t>
            </w:r>
            <w:r w:rsidR="00B41422">
              <w:t xml:space="preserve">trabajando para </w:t>
            </w:r>
            <w:r w:rsidRPr="002673D1">
              <w:t xml:space="preserve">optimizar la utilización de la sala de exposiciones teniendo en cuenta las anulaciones de último minuto y el incremento de los gastos asociados a la readaptación de los espacios </w:t>
            </w:r>
            <w:r w:rsidR="00BC3D04">
              <w:t>"</w:t>
            </w:r>
            <w:r w:rsidRPr="002673D1">
              <w:t>inutilizados</w:t>
            </w:r>
            <w:r w:rsidR="00BC3D04">
              <w:t>"</w:t>
            </w:r>
            <w:r w:rsidR="00A11975" w:rsidRPr="002673D1">
              <w:t>.</w:t>
            </w:r>
          </w:p>
        </w:tc>
      </w:tr>
    </w:tbl>
    <w:p w:rsidR="00537B34" w:rsidRPr="002673D1" w:rsidRDefault="00F41EFF" w:rsidP="00DD7524">
      <w:pPr>
        <w:pStyle w:val="Normalaftertitle"/>
      </w:pPr>
      <w:r>
        <w:t>62</w:t>
      </w:r>
      <w:r w:rsidR="00537B34" w:rsidRPr="002673D1">
        <w:tab/>
      </w:r>
      <w:r w:rsidR="00C04759" w:rsidRPr="002673D1">
        <w:t xml:space="preserve">Los datos de presencia muestran que se ha reducido el porcentaje </w:t>
      </w:r>
      <w:r w:rsidR="00A11975" w:rsidRPr="002673D1">
        <w:t xml:space="preserve">(5%) </w:t>
      </w:r>
      <w:r w:rsidR="00C04759" w:rsidRPr="002673D1">
        <w:t>de visitantes procedentes del sector de los medios de comunicación</w:t>
      </w:r>
      <w:r w:rsidR="00A11975" w:rsidRPr="002673D1">
        <w:t xml:space="preserve"> (</w:t>
      </w:r>
      <w:r w:rsidR="00C04759" w:rsidRPr="002673D1">
        <w:t>era del</w:t>
      </w:r>
      <w:r w:rsidR="00A11975" w:rsidRPr="002673D1">
        <w:t xml:space="preserve"> 8% </w:t>
      </w:r>
      <w:r w:rsidR="00947B01">
        <w:t>en</w:t>
      </w:r>
      <w:r w:rsidR="00C04759" w:rsidRPr="002673D1">
        <w:t xml:space="preserve"> ITU Telecom World 20</w:t>
      </w:r>
      <w:r w:rsidR="00A11975" w:rsidRPr="002673D1">
        <w:t>12).</w:t>
      </w:r>
    </w:p>
    <w:p w:rsidR="00537B34" w:rsidRPr="002673D1" w:rsidRDefault="00F41EFF" w:rsidP="00F41EFF">
      <w:r>
        <w:t>63</w:t>
      </w:r>
      <w:r w:rsidR="00537B34" w:rsidRPr="002673D1">
        <w:tab/>
      </w:r>
      <w:r w:rsidR="00713BAB" w:rsidRPr="002673D1">
        <w:t>Si bien r</w:t>
      </w:r>
      <w:r w:rsidR="000B65B1" w:rsidRPr="002673D1">
        <w:t>econocemos que actualmente una proporción importante y creciente de las actividades de los medios de comunicación se realiza en línea</w:t>
      </w:r>
      <w:r w:rsidR="00A11975" w:rsidRPr="002673D1">
        <w:t xml:space="preserve">, </w:t>
      </w:r>
      <w:r w:rsidR="000B65B1" w:rsidRPr="002673D1">
        <w:t>esta reducción merece atención por significa</w:t>
      </w:r>
      <w:r w:rsidR="00713BAB" w:rsidRPr="002673D1">
        <w:t xml:space="preserve">r de manera </w:t>
      </w:r>
      <w:r w:rsidR="000B65B1" w:rsidRPr="002673D1">
        <w:t xml:space="preserve">inherente </w:t>
      </w:r>
      <w:r w:rsidR="00713BAB" w:rsidRPr="002673D1">
        <w:t>que los medios de comunicación se interesan menos por el evento</w:t>
      </w:r>
      <w:r w:rsidR="00A11975" w:rsidRPr="002673D1">
        <w:t>.</w:t>
      </w:r>
    </w:p>
    <w:p w:rsidR="00DD7524" w:rsidRDefault="00DD7524" w:rsidP="00F41EFF">
      <w:pPr>
        <w:spacing w:before="0"/>
      </w:pPr>
    </w:p>
    <w:tbl>
      <w:tblPr>
        <w:tblStyle w:val="TableGrid"/>
        <w:tblW w:w="0" w:type="auto"/>
        <w:tblLook w:val="04A0" w:firstRow="1" w:lastRow="0" w:firstColumn="1" w:lastColumn="0" w:noHBand="0" w:noVBand="1"/>
      </w:tblPr>
      <w:tblGrid>
        <w:gridCol w:w="9629"/>
      </w:tblGrid>
      <w:tr w:rsidR="00CC754C" w:rsidRPr="002673D1" w:rsidTr="00DD7524">
        <w:tc>
          <w:tcPr>
            <w:tcW w:w="9629" w:type="dxa"/>
            <w:tcBorders>
              <w:bottom w:val="nil"/>
            </w:tcBorders>
          </w:tcPr>
          <w:p w:rsidR="00CC754C" w:rsidRPr="002673D1" w:rsidRDefault="00CC754C" w:rsidP="00A52625">
            <w:pPr>
              <w:rPr>
                <w:b/>
                <w:bCs/>
                <w:u w:val="single"/>
              </w:rPr>
            </w:pPr>
            <w:r w:rsidRPr="002673D1">
              <w:rPr>
                <w:b/>
                <w:bCs/>
                <w:u w:val="single"/>
              </w:rPr>
              <w:t xml:space="preserve">Sugerencia </w:t>
            </w:r>
            <w:r w:rsidR="00BE0A42">
              <w:rPr>
                <w:b/>
                <w:bCs/>
                <w:u w:val="single"/>
              </w:rPr>
              <w:t>Nº</w:t>
            </w:r>
            <w:r w:rsidRPr="002673D1">
              <w:rPr>
                <w:b/>
                <w:bCs/>
                <w:u w:val="single"/>
              </w:rPr>
              <w:t xml:space="preserve"> 5</w:t>
            </w:r>
          </w:p>
        </w:tc>
      </w:tr>
      <w:tr w:rsidR="00CC754C" w:rsidRPr="002673D1" w:rsidTr="00DD7524">
        <w:tc>
          <w:tcPr>
            <w:tcW w:w="9629" w:type="dxa"/>
            <w:tcBorders>
              <w:top w:val="nil"/>
            </w:tcBorders>
          </w:tcPr>
          <w:p w:rsidR="00CC754C" w:rsidRPr="002673D1" w:rsidRDefault="00537B34" w:rsidP="00F41EFF">
            <w:pPr>
              <w:spacing w:after="120"/>
            </w:pPr>
            <w:r w:rsidRPr="002673D1">
              <w:t>6</w:t>
            </w:r>
            <w:r w:rsidR="00F41EFF">
              <w:t>4</w:t>
            </w:r>
            <w:r w:rsidR="00CC754C" w:rsidRPr="002673D1">
              <w:tab/>
            </w:r>
            <w:r w:rsidR="00C02EC8" w:rsidRPr="002673D1">
              <w:t>Por consiguiente,</w:t>
            </w:r>
            <w:r w:rsidR="00964771" w:rsidRPr="002673D1">
              <w:t xml:space="preserve"> </w:t>
            </w:r>
            <w:r w:rsidR="00964771" w:rsidRPr="002673D1">
              <w:rPr>
                <w:u w:val="single"/>
              </w:rPr>
              <w:t>suge</w:t>
            </w:r>
            <w:r w:rsidR="00C02EC8" w:rsidRPr="002673D1">
              <w:rPr>
                <w:u w:val="single"/>
              </w:rPr>
              <w:t>rimos</w:t>
            </w:r>
            <w:r w:rsidR="00964771" w:rsidRPr="002673D1">
              <w:t xml:space="preserve"> </w:t>
            </w:r>
            <w:r w:rsidR="00C02EC8" w:rsidRPr="002673D1">
              <w:t xml:space="preserve">que se examine y analice este descenso para obtener una visión clara del </w:t>
            </w:r>
            <w:r w:rsidR="00947B01">
              <w:t>grado</w:t>
            </w:r>
            <w:r w:rsidR="00C02EC8" w:rsidRPr="002673D1">
              <w:t xml:space="preserve"> de interés que levanta el evento en los distintos tipos de medios de comunicación</w:t>
            </w:r>
            <w:r w:rsidR="00964771" w:rsidRPr="002673D1">
              <w:t>.</w:t>
            </w:r>
          </w:p>
        </w:tc>
      </w:tr>
    </w:tbl>
    <w:p w:rsidR="00CC754C" w:rsidRPr="002673D1" w:rsidRDefault="00CC754C" w:rsidP="00F41EFF">
      <w:pPr>
        <w:spacing w:before="0"/>
      </w:pPr>
    </w:p>
    <w:tbl>
      <w:tblPr>
        <w:tblStyle w:val="TableGrid"/>
        <w:tblW w:w="0" w:type="auto"/>
        <w:tblLook w:val="04A0" w:firstRow="1" w:lastRow="0" w:firstColumn="1" w:lastColumn="0" w:noHBand="0" w:noVBand="1"/>
      </w:tblPr>
      <w:tblGrid>
        <w:gridCol w:w="9629"/>
      </w:tblGrid>
      <w:tr w:rsidR="00CC754C" w:rsidRPr="002673D1" w:rsidTr="0037078D">
        <w:tc>
          <w:tcPr>
            <w:tcW w:w="9629" w:type="dxa"/>
            <w:tcBorders>
              <w:bottom w:val="nil"/>
            </w:tcBorders>
          </w:tcPr>
          <w:p w:rsidR="00CC754C" w:rsidRPr="002673D1" w:rsidRDefault="00CC754C" w:rsidP="00A52625">
            <w:pPr>
              <w:rPr>
                <w:b/>
                <w:bCs/>
                <w:u w:val="single"/>
              </w:rPr>
            </w:pPr>
            <w:r w:rsidRPr="002673D1">
              <w:rPr>
                <w:b/>
                <w:bCs/>
                <w:u w:val="single"/>
              </w:rPr>
              <w:t>Comentarios del Secretario General</w:t>
            </w:r>
            <w:r w:rsidRPr="00F41EFF">
              <w:t>:</w:t>
            </w:r>
          </w:p>
        </w:tc>
      </w:tr>
      <w:tr w:rsidR="00CC754C" w:rsidRPr="002673D1" w:rsidTr="0037078D">
        <w:tc>
          <w:tcPr>
            <w:tcW w:w="9629" w:type="dxa"/>
            <w:tcBorders>
              <w:top w:val="nil"/>
            </w:tcBorders>
          </w:tcPr>
          <w:p w:rsidR="00CC754C" w:rsidRPr="002673D1" w:rsidRDefault="00EE45DF" w:rsidP="00FB619E">
            <w:pPr>
              <w:spacing w:after="120"/>
            </w:pPr>
            <w:r w:rsidRPr="002673D1">
              <w:t xml:space="preserve">Se mantendrán los esfuerzos en la </w:t>
            </w:r>
            <w:r w:rsidR="0079615D" w:rsidRPr="002673D1">
              <w:t>intensificación</w:t>
            </w:r>
            <w:r w:rsidRPr="002673D1">
              <w:t xml:space="preserve"> de la participación de los grupos de medios de calidad, incluidos los nuevos medios de comunicación, a través de alianzas creativas y la participación a distancia.</w:t>
            </w:r>
          </w:p>
        </w:tc>
      </w:tr>
    </w:tbl>
    <w:p w:rsidR="00537B34" w:rsidRPr="00FB619E" w:rsidRDefault="0037078D" w:rsidP="00FB619E">
      <w:pPr>
        <w:pStyle w:val="Headingi"/>
      </w:pPr>
      <w:bookmarkStart w:id="58" w:name="_Toc396899726"/>
      <w:bookmarkStart w:id="59" w:name="_Toc400028329"/>
      <w:bookmarkStart w:id="60" w:name="_Toc357681319"/>
      <w:bookmarkStart w:id="61" w:name="_Toc400093951"/>
      <w:r w:rsidRPr="00FB619E">
        <w:t xml:space="preserve">Los </w:t>
      </w:r>
      <w:r w:rsidR="00BB0E94" w:rsidRPr="00FB619E">
        <w:t>acuerdos de intercambio</w:t>
      </w:r>
      <w:r w:rsidRPr="00FB619E">
        <w:t xml:space="preserve"> deberían </w:t>
      </w:r>
      <w:r w:rsidR="00DF6A99" w:rsidRPr="00FB619E">
        <w:t>divulgarse</w:t>
      </w:r>
      <w:r w:rsidRPr="00FB619E">
        <w:t xml:space="preserve"> mejor</w:t>
      </w:r>
      <w:bookmarkEnd w:id="58"/>
      <w:bookmarkEnd w:id="59"/>
      <w:bookmarkEnd w:id="61"/>
    </w:p>
    <w:p w:rsidR="00537B34" w:rsidRPr="002673D1" w:rsidRDefault="00FB619E" w:rsidP="00557F65">
      <w:r>
        <w:t>65</w:t>
      </w:r>
      <w:r w:rsidR="00537B34" w:rsidRPr="002673D1">
        <w:tab/>
      </w:r>
      <w:r w:rsidR="00BB7089" w:rsidRPr="002673D1">
        <w:t xml:space="preserve">El valor </w:t>
      </w:r>
      <w:r w:rsidR="00007E03" w:rsidRPr="002673D1">
        <w:t xml:space="preserve">global </w:t>
      </w:r>
      <w:r w:rsidR="00BB7089" w:rsidRPr="002673D1">
        <w:t xml:space="preserve">de los servicios </w:t>
      </w:r>
      <w:r w:rsidR="00BB0E94" w:rsidRPr="002673D1">
        <w:t>de intercambio</w:t>
      </w:r>
      <w:r w:rsidR="00BB7089" w:rsidRPr="002673D1">
        <w:t xml:space="preserve"> se estipuló en 300</w:t>
      </w:r>
      <w:r w:rsidR="001831A7">
        <w:t> </w:t>
      </w:r>
      <w:r w:rsidR="00BB7089" w:rsidRPr="002673D1">
        <w:t xml:space="preserve">000 </w:t>
      </w:r>
      <w:r w:rsidR="00557F65">
        <w:t>CHF</w:t>
      </w:r>
      <w:r w:rsidR="00BB7089" w:rsidRPr="002673D1">
        <w:t xml:space="preserve">, mientras que las cifras reales ascendieron a más de 1,1 millones </w:t>
      </w:r>
      <w:r w:rsidR="00557F65">
        <w:t>CHF</w:t>
      </w:r>
      <w:r w:rsidR="00007E03" w:rsidRPr="002673D1">
        <w:t xml:space="preserve">, </w:t>
      </w:r>
      <w:r w:rsidR="00BB7089" w:rsidRPr="002673D1">
        <w:t>es decir, tres veces más de l</w:t>
      </w:r>
      <w:r w:rsidR="00342631">
        <w:t>a</w:t>
      </w:r>
      <w:r w:rsidR="00BB7089" w:rsidRPr="002673D1">
        <w:t xml:space="preserve"> </w:t>
      </w:r>
      <w:r w:rsidR="00342631">
        <w:t xml:space="preserve">cantidad </w:t>
      </w:r>
      <w:r w:rsidR="00BB7089" w:rsidRPr="002673D1">
        <w:t>presupuestad</w:t>
      </w:r>
      <w:r w:rsidR="00342631">
        <w:t>a</w:t>
      </w:r>
      <w:r w:rsidR="00007E03" w:rsidRPr="002673D1">
        <w:t xml:space="preserve">. </w:t>
      </w:r>
      <w:r w:rsidR="00BB7089" w:rsidRPr="002673D1">
        <w:t xml:space="preserve">Según las explicaciones ofrecidas por la Secretaría de </w:t>
      </w:r>
      <w:r w:rsidR="00007E03" w:rsidRPr="002673D1">
        <w:t xml:space="preserve">ITU Telecom, </w:t>
      </w:r>
      <w:r w:rsidR="00BB7089" w:rsidRPr="002673D1">
        <w:t>entendemos que la estimación fue muy conservadora y no incluyó importantes tipos de medios de comunicación, como los servicios en línea</w:t>
      </w:r>
      <w:r w:rsidR="00007E03" w:rsidRPr="002673D1">
        <w:t>.</w:t>
      </w:r>
    </w:p>
    <w:p w:rsidR="00537B34" w:rsidRPr="002673D1" w:rsidRDefault="00FB619E" w:rsidP="00FB619E">
      <w:r>
        <w:t>66</w:t>
      </w:r>
      <w:r w:rsidR="00537B34" w:rsidRPr="002673D1">
        <w:tab/>
      </w:r>
      <w:r w:rsidR="00412C48" w:rsidRPr="002673D1">
        <w:t>En general</w:t>
      </w:r>
      <w:r w:rsidR="00007E03" w:rsidRPr="002673D1">
        <w:t xml:space="preserve">, </w:t>
      </w:r>
      <w:r w:rsidR="00412C48" w:rsidRPr="002673D1">
        <w:t xml:space="preserve">los </w:t>
      </w:r>
      <w:r w:rsidR="00BB0E94" w:rsidRPr="002673D1">
        <w:t>intercambios</w:t>
      </w:r>
      <w:r w:rsidR="00412C48" w:rsidRPr="002673D1">
        <w:t xml:space="preserve"> han quedado debidamente registrados y su valor se ha reconocido correctamente</w:t>
      </w:r>
      <w:r w:rsidR="00007E03" w:rsidRPr="002673D1">
        <w:t xml:space="preserve">. </w:t>
      </w:r>
      <w:r w:rsidR="002B509D" w:rsidRPr="002673D1">
        <w:t>Se registra una ventaja importante para la UIT</w:t>
      </w:r>
      <w:r w:rsidR="00007E03" w:rsidRPr="002673D1">
        <w:t xml:space="preserve">. </w:t>
      </w:r>
      <w:r w:rsidR="002B509D" w:rsidRPr="002673D1">
        <w:t>Sin embargo</w:t>
      </w:r>
      <w:r w:rsidR="00007E03" w:rsidRPr="002673D1">
        <w:t xml:space="preserve">, </w:t>
      </w:r>
      <w:r w:rsidR="002B509D" w:rsidRPr="002673D1">
        <w:t xml:space="preserve">en el caso de algunos de los </w:t>
      </w:r>
      <w:r w:rsidR="00BB0E94" w:rsidRPr="002673D1">
        <w:t>intercambios</w:t>
      </w:r>
      <w:r w:rsidR="00007E03" w:rsidRPr="002673D1">
        <w:t xml:space="preserve"> (</w:t>
      </w:r>
      <w:r w:rsidR="002B509D" w:rsidRPr="002673D1">
        <w:t xml:space="preserve">por ejemplo, los realizados con </w:t>
      </w:r>
      <w:r w:rsidR="00F12179">
        <w:t xml:space="preserve">la </w:t>
      </w:r>
      <w:r w:rsidR="00007E03" w:rsidRPr="002673D1">
        <w:t xml:space="preserve">BBC, CNN </w:t>
      </w:r>
      <w:r w:rsidR="002B509D" w:rsidRPr="002673D1">
        <w:t xml:space="preserve">y </w:t>
      </w:r>
      <w:r w:rsidR="00007E03" w:rsidRPr="002673D1">
        <w:t xml:space="preserve">Markets&amp;Markets) </w:t>
      </w:r>
      <w:r w:rsidR="00D114E5" w:rsidRPr="002673D1">
        <w:t>observamos un grado de divulgación que todavía se puede mejorar</w:t>
      </w:r>
      <w:r w:rsidR="00007E03" w:rsidRPr="002673D1">
        <w:t xml:space="preserve">. </w:t>
      </w:r>
      <w:r w:rsidR="00D114E5" w:rsidRPr="002673D1">
        <w:t xml:space="preserve">Además, no se ha determinado el valor de la visibilidad otorgada a las empresas de los medios de comunicación </w:t>
      </w:r>
      <w:r w:rsidR="00B771E2" w:rsidRPr="002673D1">
        <w:t>en lo que respecta al material impreso y digital producido por la UIT</w:t>
      </w:r>
      <w:r w:rsidR="00007E03" w:rsidRPr="002673D1">
        <w:t>.</w:t>
      </w:r>
    </w:p>
    <w:p w:rsidR="00537B34" w:rsidRPr="002673D1" w:rsidRDefault="00537B34" w:rsidP="00FB619E">
      <w:pPr>
        <w:spacing w:before="0"/>
      </w:pPr>
    </w:p>
    <w:tbl>
      <w:tblPr>
        <w:tblStyle w:val="TableGrid"/>
        <w:tblW w:w="0" w:type="auto"/>
        <w:tblLook w:val="04A0" w:firstRow="1" w:lastRow="0" w:firstColumn="1" w:lastColumn="0" w:noHBand="0" w:noVBand="1"/>
      </w:tblPr>
      <w:tblGrid>
        <w:gridCol w:w="9629"/>
      </w:tblGrid>
      <w:tr w:rsidR="00537B34" w:rsidRPr="002673D1" w:rsidTr="00871099">
        <w:tc>
          <w:tcPr>
            <w:tcW w:w="9855" w:type="dxa"/>
            <w:tcBorders>
              <w:bottom w:val="nil"/>
            </w:tcBorders>
          </w:tcPr>
          <w:p w:rsidR="00537B34" w:rsidRPr="002673D1" w:rsidRDefault="00537B34" w:rsidP="00A52625">
            <w:pPr>
              <w:rPr>
                <w:b/>
                <w:bCs/>
                <w:u w:val="single"/>
              </w:rPr>
            </w:pPr>
            <w:r w:rsidRPr="002673D1">
              <w:rPr>
                <w:b/>
                <w:bCs/>
                <w:u w:val="single"/>
              </w:rPr>
              <w:lastRenderedPageBreak/>
              <w:t xml:space="preserve">Sugerencia </w:t>
            </w:r>
            <w:r w:rsidR="00BE0A42">
              <w:rPr>
                <w:b/>
                <w:bCs/>
                <w:u w:val="single"/>
              </w:rPr>
              <w:t>Nº</w:t>
            </w:r>
            <w:r w:rsidRPr="002673D1">
              <w:rPr>
                <w:b/>
                <w:bCs/>
                <w:u w:val="single"/>
              </w:rPr>
              <w:t xml:space="preserve"> </w:t>
            </w:r>
            <w:r w:rsidR="00835D22" w:rsidRPr="002673D1">
              <w:rPr>
                <w:b/>
                <w:bCs/>
                <w:u w:val="single"/>
              </w:rPr>
              <w:t>6</w:t>
            </w:r>
          </w:p>
        </w:tc>
      </w:tr>
      <w:tr w:rsidR="00537B34" w:rsidRPr="002673D1" w:rsidTr="00871099">
        <w:tc>
          <w:tcPr>
            <w:tcW w:w="9855" w:type="dxa"/>
            <w:tcBorders>
              <w:top w:val="nil"/>
            </w:tcBorders>
          </w:tcPr>
          <w:p w:rsidR="00537B34" w:rsidRPr="002673D1" w:rsidRDefault="00FB619E" w:rsidP="00FB619E">
            <w:pPr>
              <w:spacing w:after="120"/>
            </w:pPr>
            <w:r>
              <w:t>67</w:t>
            </w:r>
            <w:r w:rsidR="00537B34" w:rsidRPr="002673D1">
              <w:tab/>
            </w:r>
            <w:r w:rsidR="00F93793" w:rsidRPr="002673D1">
              <w:t xml:space="preserve">Por consiguiente, </w:t>
            </w:r>
            <w:r w:rsidR="00F12179">
              <w:t>debemos</w:t>
            </w:r>
            <w:r w:rsidR="00BE7DA6" w:rsidRPr="002673D1">
              <w:t xml:space="preserve"> </w:t>
            </w:r>
            <w:r w:rsidR="00F93793" w:rsidRPr="002673D1">
              <w:rPr>
                <w:u w:val="single"/>
              </w:rPr>
              <w:t>suge</w:t>
            </w:r>
            <w:r w:rsidR="00BE7DA6" w:rsidRPr="002673D1">
              <w:rPr>
                <w:u w:val="single"/>
              </w:rPr>
              <w:t>rir</w:t>
            </w:r>
            <w:r w:rsidR="00F93793" w:rsidRPr="002673D1">
              <w:t xml:space="preserve"> </w:t>
            </w:r>
            <w:r w:rsidR="00BE7DA6" w:rsidRPr="002673D1">
              <w:t>de nuevo</w:t>
            </w:r>
            <w:r w:rsidR="00F93793" w:rsidRPr="002673D1">
              <w:t xml:space="preserve"> (</w:t>
            </w:r>
            <w:r w:rsidR="00BE7DA6" w:rsidRPr="002673D1">
              <w:t>al igual que el año pasado,</w:t>
            </w:r>
            <w:r w:rsidR="00F93793" w:rsidRPr="002673D1">
              <w:t xml:space="preserve"> Rec</w:t>
            </w:r>
            <w:r w:rsidR="00BE7DA6" w:rsidRPr="002673D1">
              <w:t>omendación</w:t>
            </w:r>
            <w:r>
              <w:t> </w:t>
            </w:r>
            <w:r w:rsidR="00F93793" w:rsidRPr="002673D1">
              <w:t xml:space="preserve">5/2012) </w:t>
            </w:r>
            <w:r w:rsidR="00BE7DA6" w:rsidRPr="002673D1">
              <w:t xml:space="preserve">aumentar el grado de divulgación de esos servicios e instalaciones proporcionados por </w:t>
            </w:r>
            <w:r w:rsidR="00F93793" w:rsidRPr="002673D1">
              <w:t xml:space="preserve">ITU Telecom </w:t>
            </w:r>
            <w:r w:rsidR="00BE7DA6" w:rsidRPr="002673D1">
              <w:t xml:space="preserve">y supervisar el valor de cada </w:t>
            </w:r>
            <w:r w:rsidR="00E6078C" w:rsidRPr="002673D1">
              <w:t>intercambio</w:t>
            </w:r>
            <w:r w:rsidR="00F93793" w:rsidRPr="002673D1">
              <w:t>.</w:t>
            </w:r>
          </w:p>
        </w:tc>
      </w:tr>
    </w:tbl>
    <w:p w:rsidR="00537B34" w:rsidRPr="002673D1" w:rsidRDefault="00537B34" w:rsidP="00FB619E">
      <w:pPr>
        <w:spacing w:before="0"/>
      </w:pPr>
    </w:p>
    <w:tbl>
      <w:tblPr>
        <w:tblStyle w:val="TableGrid"/>
        <w:tblW w:w="0" w:type="auto"/>
        <w:tblLook w:val="04A0" w:firstRow="1" w:lastRow="0" w:firstColumn="1" w:lastColumn="0" w:noHBand="0" w:noVBand="1"/>
      </w:tblPr>
      <w:tblGrid>
        <w:gridCol w:w="9629"/>
      </w:tblGrid>
      <w:tr w:rsidR="00537B34" w:rsidRPr="002673D1" w:rsidTr="00871099">
        <w:tc>
          <w:tcPr>
            <w:tcW w:w="9855" w:type="dxa"/>
            <w:tcBorders>
              <w:bottom w:val="nil"/>
            </w:tcBorders>
          </w:tcPr>
          <w:p w:rsidR="00537B34" w:rsidRPr="002673D1" w:rsidRDefault="00537B34" w:rsidP="00A52625">
            <w:pPr>
              <w:rPr>
                <w:b/>
                <w:bCs/>
                <w:u w:val="single"/>
              </w:rPr>
            </w:pPr>
            <w:r w:rsidRPr="002673D1">
              <w:rPr>
                <w:b/>
                <w:bCs/>
                <w:u w:val="single"/>
              </w:rPr>
              <w:t>Comentarios del Secretario General</w:t>
            </w:r>
            <w:r w:rsidRPr="00FB619E">
              <w:t>:</w:t>
            </w:r>
          </w:p>
        </w:tc>
      </w:tr>
      <w:tr w:rsidR="00537B34" w:rsidRPr="002673D1" w:rsidTr="00871099">
        <w:tc>
          <w:tcPr>
            <w:tcW w:w="9855" w:type="dxa"/>
            <w:tcBorders>
              <w:top w:val="nil"/>
            </w:tcBorders>
          </w:tcPr>
          <w:p w:rsidR="00537B34" w:rsidRPr="002673D1" w:rsidRDefault="00A97146" w:rsidP="00FB619E">
            <w:pPr>
              <w:spacing w:after="120"/>
            </w:pPr>
            <w:r w:rsidRPr="002673D1">
              <w:t xml:space="preserve">Los acuerdos de </w:t>
            </w:r>
            <w:r w:rsidR="00BB0E94" w:rsidRPr="002673D1">
              <w:t>intercambio</w:t>
            </w:r>
            <w:r w:rsidRPr="002673D1">
              <w:t xml:space="preserve"> son importantes para atraer a empresas/inversores y adquirir servicios/productos fundamentales </w:t>
            </w:r>
            <w:r w:rsidR="00BB0E94" w:rsidRPr="002673D1">
              <w:t>a precios competitivos</w:t>
            </w:r>
            <w:r w:rsidR="00F93793" w:rsidRPr="002673D1">
              <w:t xml:space="preserve">. </w:t>
            </w:r>
            <w:r w:rsidR="000901A1" w:rsidRPr="002673D1">
              <w:t>Todo posible acuerdo de intercambio es objeto de una evaluación rigurosa; asimismo, puede consultarse tanto la información relativa a los beneficios para la UIT como la relativa a los servicios que presta la Unión</w:t>
            </w:r>
            <w:r w:rsidR="00F93793" w:rsidRPr="002673D1">
              <w:t>.</w:t>
            </w:r>
          </w:p>
        </w:tc>
      </w:tr>
    </w:tbl>
    <w:p w:rsidR="00CC754C" w:rsidRPr="002673D1" w:rsidRDefault="00CC754C" w:rsidP="00FB619E">
      <w:pPr>
        <w:pStyle w:val="Headingb"/>
        <w:rPr>
          <w:bCs/>
        </w:rPr>
      </w:pPr>
      <w:bookmarkStart w:id="62" w:name="_Toc400028330"/>
      <w:bookmarkStart w:id="63" w:name="_Toc400093952"/>
      <w:r w:rsidRPr="002673D1">
        <w:t>Gastos</w:t>
      </w:r>
      <w:bookmarkEnd w:id="60"/>
      <w:bookmarkEnd w:id="62"/>
      <w:bookmarkEnd w:id="63"/>
    </w:p>
    <w:p w:rsidR="00CC754C" w:rsidRPr="002673D1" w:rsidRDefault="00537B34" w:rsidP="00557F65">
      <w:r w:rsidRPr="002673D1">
        <w:t>68</w:t>
      </w:r>
      <w:r w:rsidR="00CC754C" w:rsidRPr="002673D1">
        <w:tab/>
        <w:t>El monto total de los gastos reales (</w:t>
      </w:r>
      <w:r w:rsidR="00B46429" w:rsidRPr="002673D1">
        <w:t>9,5</w:t>
      </w:r>
      <w:r w:rsidR="00CC754C" w:rsidRPr="002673D1">
        <w:t xml:space="preserve"> millones </w:t>
      </w:r>
      <w:r w:rsidR="00557F65">
        <w:t>CHF</w:t>
      </w:r>
      <w:r w:rsidR="00CC754C" w:rsidRPr="002673D1">
        <w:t xml:space="preserve">) </w:t>
      </w:r>
      <w:r w:rsidR="00882EE0">
        <w:t>fue sensiblemente inferior a la cantidad presupuestada inicialmente</w:t>
      </w:r>
      <w:r w:rsidR="00CC754C" w:rsidRPr="002673D1">
        <w:t xml:space="preserve"> (-</w:t>
      </w:r>
      <w:r w:rsidR="00B46429" w:rsidRPr="002673D1">
        <w:t>1,9</w:t>
      </w:r>
      <w:r w:rsidR="00CC754C" w:rsidRPr="002673D1">
        <w:t xml:space="preserve"> millones </w:t>
      </w:r>
      <w:r w:rsidR="00557F65">
        <w:t>CHF</w:t>
      </w:r>
      <w:r w:rsidR="00CC754C" w:rsidRPr="002673D1">
        <w:t xml:space="preserve">), </w:t>
      </w:r>
      <w:r w:rsidR="00B46429" w:rsidRPr="002673D1">
        <w:t xml:space="preserve">pero no </w:t>
      </w:r>
      <w:r w:rsidR="00D30020">
        <w:t>muy diferente</w:t>
      </w:r>
      <w:r w:rsidR="00B46429" w:rsidRPr="002673D1">
        <w:t xml:space="preserve"> de la </w:t>
      </w:r>
      <w:r w:rsidR="00EB39D3">
        <w:t>cantidad presupuest</w:t>
      </w:r>
      <w:r w:rsidR="00446624">
        <w:t>ad</w:t>
      </w:r>
      <w:r w:rsidR="00EB39D3">
        <w:t>a revisada</w:t>
      </w:r>
      <w:r w:rsidR="00B46429" w:rsidRPr="002673D1">
        <w:t xml:space="preserve"> (9,7 millones </w:t>
      </w:r>
      <w:r w:rsidR="00557F65">
        <w:t>CHF</w:t>
      </w:r>
      <w:r w:rsidR="00B46429" w:rsidRPr="002673D1">
        <w:t>)</w:t>
      </w:r>
      <w:r w:rsidR="00CC754C" w:rsidRPr="002673D1">
        <w:t>.</w:t>
      </w:r>
    </w:p>
    <w:p w:rsidR="00537B34" w:rsidRPr="002673D1" w:rsidRDefault="00FB619E" w:rsidP="00FB619E">
      <w:r>
        <w:t>69</w:t>
      </w:r>
      <w:r w:rsidR="00537B34" w:rsidRPr="002673D1">
        <w:tab/>
      </w:r>
      <w:r w:rsidR="00BB10A2" w:rsidRPr="002673D1">
        <w:t xml:space="preserve">Sin embargo, la composición del monto de los gastos difiere considerablemente de las previsiones. Los Gastos Directos han sido un 16% inferiores a las cifras que figuran en el Presupuesto Revisado (y un 38% inferior al presupuesto </w:t>
      </w:r>
      <w:r w:rsidR="006F5E75">
        <w:t>inicial</w:t>
      </w:r>
      <w:r w:rsidR="00BB10A2" w:rsidRPr="002673D1">
        <w:t xml:space="preserve">), principalmente debido a los servicios gratuitos prestados por el país anfitrión; </w:t>
      </w:r>
      <w:r w:rsidR="000C0023" w:rsidRPr="002673D1">
        <w:t xml:space="preserve">por el contrario, los Gastos </w:t>
      </w:r>
      <w:r w:rsidR="00BB10A2" w:rsidRPr="002673D1">
        <w:t>Indirect</w:t>
      </w:r>
      <w:r w:rsidR="000C0023" w:rsidRPr="002673D1">
        <w:t>os reales</w:t>
      </w:r>
      <w:r w:rsidR="00BB10A2" w:rsidRPr="002673D1">
        <w:t xml:space="preserve"> (</w:t>
      </w:r>
      <w:r w:rsidR="000C0023" w:rsidRPr="002673D1">
        <w:t>fundamentales</w:t>
      </w:r>
      <w:r w:rsidR="00BB10A2" w:rsidRPr="002673D1">
        <w:t>)</w:t>
      </w:r>
      <w:r w:rsidR="000C0023" w:rsidRPr="002673D1">
        <w:t xml:space="preserve"> han</w:t>
      </w:r>
      <w:r w:rsidR="00BB10A2" w:rsidRPr="002673D1">
        <w:t xml:space="preserve"> </w:t>
      </w:r>
      <w:r w:rsidR="000C0023" w:rsidRPr="002673D1">
        <w:t>sido un</w:t>
      </w:r>
      <w:r w:rsidR="00BB10A2" w:rsidRPr="002673D1">
        <w:t xml:space="preserve"> 10% </w:t>
      </w:r>
      <w:r w:rsidR="000C0023" w:rsidRPr="002673D1">
        <w:t>superiores a los presupuestados</w:t>
      </w:r>
      <w:r w:rsidR="00BB10A2" w:rsidRPr="002673D1">
        <w:t>.</w:t>
      </w:r>
    </w:p>
    <w:p w:rsidR="00537B34" w:rsidRPr="002673D1" w:rsidRDefault="00FB619E" w:rsidP="00FB619E">
      <w:r>
        <w:t>70</w:t>
      </w:r>
      <w:r w:rsidR="00537B34" w:rsidRPr="002673D1">
        <w:tab/>
      </w:r>
      <w:r w:rsidR="006574E3" w:rsidRPr="002673D1">
        <w:t>Esta segunda cifra debe analizarse como sigue</w:t>
      </w:r>
      <w:r w:rsidR="00BB10A2" w:rsidRPr="002673D1">
        <w:t>.</w:t>
      </w:r>
    </w:p>
    <w:p w:rsidR="00CC754C" w:rsidRPr="002673D1" w:rsidRDefault="00CC754C" w:rsidP="00FB619E">
      <w:pPr>
        <w:pStyle w:val="Headingb"/>
        <w:rPr>
          <w:bCs/>
        </w:rPr>
      </w:pPr>
      <w:bookmarkStart w:id="64" w:name="_Toc357681322"/>
      <w:bookmarkStart w:id="65" w:name="_Toc400028331"/>
      <w:bookmarkStart w:id="66" w:name="_Toc400093953"/>
      <w:r w:rsidRPr="002673D1">
        <w:t>Recuperación de costes</w:t>
      </w:r>
      <w:bookmarkEnd w:id="64"/>
      <w:bookmarkEnd w:id="65"/>
      <w:bookmarkEnd w:id="66"/>
    </w:p>
    <w:p w:rsidR="00CC754C" w:rsidRPr="002673D1" w:rsidRDefault="00537B34" w:rsidP="00557F65">
      <w:r w:rsidRPr="002673D1">
        <w:t>71</w:t>
      </w:r>
      <w:r w:rsidR="00CC754C" w:rsidRPr="002673D1">
        <w:tab/>
      </w:r>
      <w:r w:rsidR="008773A1" w:rsidRPr="002673D1">
        <w:t xml:space="preserve">Entre los </w:t>
      </w:r>
      <w:r w:rsidR="00BC3D04">
        <w:t>"</w:t>
      </w:r>
      <w:r w:rsidR="008773A1" w:rsidRPr="002673D1">
        <w:t>Gastos varios</w:t>
      </w:r>
      <w:r w:rsidR="00BC3D04">
        <w:t>"</w:t>
      </w:r>
      <w:r w:rsidR="008773A1" w:rsidRPr="002673D1">
        <w:t xml:space="preserve"> </w:t>
      </w:r>
      <w:r w:rsidR="00CC754C" w:rsidRPr="002673D1">
        <w:t xml:space="preserve">incluidos en el presupuesto figura una partida, </w:t>
      </w:r>
      <w:r w:rsidR="00BC3D04">
        <w:t>"</w:t>
      </w:r>
      <w:r w:rsidR="00CC754C" w:rsidRPr="002673D1">
        <w:t>Gastos principales</w:t>
      </w:r>
      <w:r w:rsidR="00BC3D04">
        <w:t>"</w:t>
      </w:r>
      <w:r w:rsidR="00CC754C" w:rsidRPr="002673D1">
        <w:t xml:space="preserve">, </w:t>
      </w:r>
      <w:r w:rsidR="008773A1" w:rsidRPr="002673D1">
        <w:t>correspondientes a la Secretaría</w:t>
      </w:r>
      <w:r w:rsidR="00CC754C" w:rsidRPr="002673D1">
        <w:t xml:space="preserve"> de ITU Telecom (</w:t>
      </w:r>
      <w:r w:rsidR="008773A1" w:rsidRPr="002673D1">
        <w:t xml:space="preserve">más de </w:t>
      </w:r>
      <w:r w:rsidR="00CC754C" w:rsidRPr="002673D1">
        <w:t xml:space="preserve">3 millones </w:t>
      </w:r>
      <w:r w:rsidR="00557F65">
        <w:t>CHF</w:t>
      </w:r>
      <w:r w:rsidR="00CC754C" w:rsidRPr="002673D1">
        <w:t>) y a la recuperación de los costes por parte de la UIT (cuya cifra real es de 2,</w:t>
      </w:r>
      <w:r w:rsidR="00534D39" w:rsidRPr="002673D1">
        <w:t>5</w:t>
      </w:r>
      <w:r w:rsidR="00CC754C" w:rsidRPr="002673D1">
        <w:t xml:space="preserve"> millones </w:t>
      </w:r>
      <w:r w:rsidR="00557F65">
        <w:t>CHF</w:t>
      </w:r>
      <w:r w:rsidR="00CC754C" w:rsidRPr="002673D1">
        <w:t xml:space="preserve">). La primera cifra la determina el porcentaje de tiempo que el personal de </w:t>
      </w:r>
      <w:r w:rsidR="00013D50" w:rsidRPr="002673D1">
        <w:t xml:space="preserve">la Secretaría de </w:t>
      </w:r>
      <w:r w:rsidR="00CC754C" w:rsidRPr="002673D1">
        <w:t>ITU Telecom dedicó al evento. Los gastos considerados como recuperación de costes para el personal de la UIT son una cantidad fija, cuyo monto lo d</w:t>
      </w:r>
      <w:r w:rsidRPr="002673D1">
        <w:t>etermina el Secretario General.</w:t>
      </w:r>
    </w:p>
    <w:p w:rsidR="00537B34" w:rsidRPr="002673D1" w:rsidRDefault="00FB619E" w:rsidP="00557F65">
      <w:r>
        <w:t>72</w:t>
      </w:r>
      <w:r w:rsidR="00537B34" w:rsidRPr="002673D1">
        <w:tab/>
      </w:r>
      <w:r w:rsidR="00543B43" w:rsidRPr="002673D1">
        <w:t xml:space="preserve">Por decisión del Secretario General (firmada el 3 de marzo de 2014), el monto correspondiente a la recuperación de costes </w:t>
      </w:r>
      <w:r w:rsidR="0003483F" w:rsidRPr="002673D1">
        <w:t>sobre</w:t>
      </w:r>
      <w:r w:rsidR="00543B43" w:rsidRPr="002673D1">
        <w:t xml:space="preserve"> los gastos indirectos pasó de 1,5 millones a 2,5</w:t>
      </w:r>
      <w:r w:rsidR="001831A7">
        <w:t> </w:t>
      </w:r>
      <w:r w:rsidR="00543B43" w:rsidRPr="002673D1">
        <w:t xml:space="preserve">millones </w:t>
      </w:r>
      <w:r w:rsidR="00557F65">
        <w:t>CHF</w:t>
      </w:r>
      <w:r w:rsidR="00543B43" w:rsidRPr="002673D1">
        <w:t>.</w:t>
      </w:r>
    </w:p>
    <w:p w:rsidR="00CC754C" w:rsidRPr="002673D1" w:rsidRDefault="00537B34" w:rsidP="00FB619E">
      <w:r w:rsidRPr="002673D1">
        <w:t>73</w:t>
      </w:r>
      <w:r w:rsidR="00CC754C" w:rsidRPr="002673D1">
        <w:tab/>
        <w:t xml:space="preserve">Estimamos que la aplicación de una política de recuperación de costes sobre </w:t>
      </w:r>
      <w:r w:rsidR="0003483F" w:rsidRPr="002673D1">
        <w:t>esos</w:t>
      </w:r>
      <w:r w:rsidR="00CC754C" w:rsidRPr="002673D1">
        <w:t xml:space="preserve"> gastos ha sido sustancialmente correcta y ha estado en consonancia con lo dispuesto en la Resolución 91 (Rev. Guada</w:t>
      </w:r>
      <w:r w:rsidR="00CC754C" w:rsidRPr="002673D1">
        <w:rPr>
          <w:bCs/>
        </w:rPr>
        <w:t>lajara, 2010).</w:t>
      </w:r>
    </w:p>
    <w:p w:rsidR="00CC754C" w:rsidRPr="002673D1" w:rsidRDefault="00537B34" w:rsidP="00FB619E">
      <w:r w:rsidRPr="002673D1">
        <w:rPr>
          <w:bCs/>
        </w:rPr>
        <w:t>74</w:t>
      </w:r>
      <w:r w:rsidR="00CC754C" w:rsidRPr="002673D1">
        <w:rPr>
          <w:bCs/>
        </w:rPr>
        <w:tab/>
        <w:t xml:space="preserve">Análogamente, el </w:t>
      </w:r>
      <w:r w:rsidR="00CC754C" w:rsidRPr="002673D1">
        <w:rPr>
          <w:bCs/>
          <w:i/>
          <w:iCs/>
        </w:rPr>
        <w:t>resuelve</w:t>
      </w:r>
      <w:r w:rsidR="00CC754C" w:rsidRPr="002673D1">
        <w:rPr>
          <w:bCs/>
        </w:rPr>
        <w:t xml:space="preserve"> 1 de la Resolución </w:t>
      </w:r>
      <w:r w:rsidR="00CC754C" w:rsidRPr="002673D1">
        <w:t>91</w:t>
      </w:r>
      <w:r w:rsidR="00CC754C" w:rsidRPr="002673D1">
        <w:rPr>
          <w:bCs/>
        </w:rPr>
        <w:t xml:space="preserve"> (Rev. Guadalajara, 2010), que establece </w:t>
      </w:r>
      <w:r w:rsidR="00BC3D04">
        <w:t>"</w:t>
      </w:r>
      <w:r w:rsidR="00CC754C" w:rsidRPr="002673D1">
        <w:t>seguir refrendando la aplicación de la recuperación de costes, en la medida de lo posible mediante el pago anticipado, para financiar determinados productos y servicios de la Unión para los cuales se ha adoptado el principio de la recuperación de costes</w:t>
      </w:r>
      <w:r w:rsidR="00BC3D04">
        <w:t>"</w:t>
      </w:r>
      <w:r w:rsidR="00CC754C" w:rsidRPr="002673D1">
        <w:t>, también tiene en cuenta distintos elementos que deben satisfacerse cuando es la Dirección la que fija la cantidad en concepto de recuperación de costes.</w:t>
      </w:r>
    </w:p>
    <w:p w:rsidR="00CC754C" w:rsidRDefault="00FB619E" w:rsidP="00FB619E">
      <w:r>
        <w:lastRenderedPageBreak/>
        <w:t>75</w:t>
      </w:r>
      <w:r w:rsidR="00EC0412" w:rsidRPr="002673D1">
        <w:tab/>
        <w:t>Pese a que somos plenamente conscientes de la necesidad de que la UIT aplique esta recuperación de costes en el caso de</w:t>
      </w:r>
      <w:r w:rsidR="00E41901" w:rsidRPr="002673D1">
        <w:t xml:space="preserve"> los eventos</w:t>
      </w:r>
      <w:r w:rsidR="00EC0412" w:rsidRPr="002673D1">
        <w:t xml:space="preserve"> ITU Telecom</w:t>
      </w:r>
      <w:r w:rsidR="00E41901" w:rsidRPr="002673D1">
        <w:t xml:space="preserve"> World</w:t>
      </w:r>
      <w:r w:rsidR="00EC0412" w:rsidRPr="002673D1">
        <w:t xml:space="preserve">, a causa del notable impacto que tiene la recuperación de costes en el resultado final del evento, </w:t>
      </w:r>
      <w:r w:rsidR="00E41901" w:rsidRPr="002673D1">
        <w:t xml:space="preserve">como ya lo señalamos en el Informe del año pasado, </w:t>
      </w:r>
      <w:r w:rsidR="00F1282B" w:rsidRPr="002673D1">
        <w:t>tenemos en cuenta</w:t>
      </w:r>
      <w:r w:rsidR="000B71B1" w:rsidRPr="002673D1">
        <w:t xml:space="preserve"> la falta de</w:t>
      </w:r>
      <w:r w:rsidR="00EC0412" w:rsidRPr="002673D1">
        <w:t xml:space="preserve"> pruebas </w:t>
      </w:r>
      <w:r w:rsidR="007178D3" w:rsidRPr="002673D1">
        <w:t>suficientes</w:t>
      </w:r>
      <w:r w:rsidR="00EC0412" w:rsidRPr="002673D1">
        <w:t xml:space="preserve"> </w:t>
      </w:r>
      <w:r w:rsidR="00F1282B" w:rsidRPr="002673D1">
        <w:t xml:space="preserve">en el proceso de </w:t>
      </w:r>
      <w:r w:rsidR="00EC0412" w:rsidRPr="002673D1">
        <w:t xml:space="preserve">contabilidad de los costes </w:t>
      </w:r>
      <w:r w:rsidR="00F1282B" w:rsidRPr="002673D1">
        <w:t>que implementa la determinación original del</w:t>
      </w:r>
      <w:r w:rsidR="00EC0412" w:rsidRPr="002673D1">
        <w:t xml:space="preserve"> valor correspondiente a la recuperación de costes. </w:t>
      </w:r>
      <w:r w:rsidR="00F1282B" w:rsidRPr="002673D1">
        <w:t>Esta consideración también se aplica a la decisión de aumentar ese valor y casi duplicarlo.</w:t>
      </w:r>
    </w:p>
    <w:p w:rsidR="00FB619E" w:rsidRPr="002673D1" w:rsidRDefault="00FB619E" w:rsidP="00FB619E">
      <w:pPr>
        <w:spacing w:before="0"/>
      </w:pPr>
    </w:p>
    <w:tbl>
      <w:tblPr>
        <w:tblStyle w:val="TableGrid"/>
        <w:tblW w:w="0" w:type="auto"/>
        <w:tblLook w:val="04A0" w:firstRow="1" w:lastRow="0" w:firstColumn="1" w:lastColumn="0" w:noHBand="0" w:noVBand="1"/>
      </w:tblPr>
      <w:tblGrid>
        <w:gridCol w:w="9629"/>
      </w:tblGrid>
      <w:tr w:rsidR="00CC754C" w:rsidRPr="002673D1" w:rsidTr="00871099">
        <w:tc>
          <w:tcPr>
            <w:tcW w:w="9855" w:type="dxa"/>
            <w:tcBorders>
              <w:bottom w:val="nil"/>
            </w:tcBorders>
          </w:tcPr>
          <w:p w:rsidR="00CC754C" w:rsidRPr="002673D1" w:rsidRDefault="00CC754C" w:rsidP="00A52625">
            <w:pPr>
              <w:rPr>
                <w:b/>
                <w:bCs/>
                <w:u w:val="single"/>
              </w:rPr>
            </w:pPr>
            <w:r w:rsidRPr="002673D1">
              <w:rPr>
                <w:b/>
                <w:bCs/>
                <w:u w:val="single"/>
              </w:rPr>
              <w:t xml:space="preserve">Recomendación </w:t>
            </w:r>
            <w:r w:rsidR="00BE0A42">
              <w:rPr>
                <w:b/>
                <w:bCs/>
                <w:u w:val="single"/>
              </w:rPr>
              <w:t>Nº</w:t>
            </w:r>
            <w:r w:rsidRPr="002673D1">
              <w:rPr>
                <w:b/>
                <w:bCs/>
                <w:u w:val="single"/>
              </w:rPr>
              <w:t xml:space="preserve"> 3</w:t>
            </w:r>
          </w:p>
        </w:tc>
      </w:tr>
      <w:tr w:rsidR="00CC754C" w:rsidRPr="002673D1" w:rsidTr="00871099">
        <w:tc>
          <w:tcPr>
            <w:tcW w:w="9855" w:type="dxa"/>
            <w:tcBorders>
              <w:top w:val="nil"/>
            </w:tcBorders>
          </w:tcPr>
          <w:p w:rsidR="00CC754C" w:rsidRPr="002673D1" w:rsidRDefault="00FB619E" w:rsidP="00FB619E">
            <w:pPr>
              <w:spacing w:after="120"/>
            </w:pPr>
            <w:r>
              <w:t>76</w:t>
            </w:r>
            <w:r w:rsidR="00871099" w:rsidRPr="002673D1">
              <w:tab/>
            </w:r>
            <w:r w:rsidR="004A2C16" w:rsidRPr="002673D1">
              <w:t xml:space="preserve">Teniendo en cuenta que no existen análisis recientes de la medida y la composición de esta suma global, </w:t>
            </w:r>
            <w:r w:rsidR="009C1B85" w:rsidRPr="002673D1">
              <w:rPr>
                <w:u w:val="single"/>
              </w:rPr>
              <w:t>recomend</w:t>
            </w:r>
            <w:r w:rsidR="004A2C16" w:rsidRPr="002673D1">
              <w:rPr>
                <w:u w:val="single"/>
              </w:rPr>
              <w:t>amos</w:t>
            </w:r>
            <w:r w:rsidR="009C1B85" w:rsidRPr="002673D1">
              <w:t xml:space="preserve"> </w:t>
            </w:r>
            <w:r w:rsidR="004A2C16" w:rsidRPr="002673D1">
              <w:t xml:space="preserve">a la </w:t>
            </w:r>
            <w:r w:rsidR="001307A4" w:rsidRPr="002673D1">
              <w:t xml:space="preserve">Dirección </w:t>
            </w:r>
            <w:r w:rsidR="004A2C16" w:rsidRPr="002673D1">
              <w:t>que proporcione una base clara sobre cómo se llega a</w:t>
            </w:r>
            <w:r w:rsidR="00FA00D1" w:rsidRPr="002673D1">
              <w:t>l monto</w:t>
            </w:r>
            <w:r w:rsidR="00AA792E" w:rsidRPr="002673D1">
              <w:t xml:space="preserve"> </w:t>
            </w:r>
            <w:r w:rsidR="004A2C16" w:rsidRPr="002673D1">
              <w:t>correspondiente a la recuperación de costes.</w:t>
            </w:r>
          </w:p>
        </w:tc>
      </w:tr>
    </w:tbl>
    <w:p w:rsidR="00CC754C" w:rsidRPr="002673D1" w:rsidRDefault="00CC754C" w:rsidP="00FB619E">
      <w:pPr>
        <w:spacing w:before="0"/>
        <w:rPr>
          <w:highlight w:val="cyan"/>
        </w:rPr>
      </w:pPr>
    </w:p>
    <w:tbl>
      <w:tblPr>
        <w:tblStyle w:val="TableGrid"/>
        <w:tblW w:w="0" w:type="auto"/>
        <w:tblLook w:val="04A0" w:firstRow="1" w:lastRow="0" w:firstColumn="1" w:lastColumn="0" w:noHBand="0" w:noVBand="1"/>
      </w:tblPr>
      <w:tblGrid>
        <w:gridCol w:w="9629"/>
      </w:tblGrid>
      <w:tr w:rsidR="00CC754C" w:rsidRPr="002673D1" w:rsidTr="00757314">
        <w:tc>
          <w:tcPr>
            <w:tcW w:w="9629" w:type="dxa"/>
            <w:tcBorders>
              <w:bottom w:val="nil"/>
            </w:tcBorders>
          </w:tcPr>
          <w:p w:rsidR="00CC754C" w:rsidRPr="002673D1" w:rsidRDefault="00CC754C" w:rsidP="00A52625">
            <w:pPr>
              <w:rPr>
                <w:b/>
                <w:bCs/>
                <w:u w:val="single"/>
              </w:rPr>
            </w:pPr>
            <w:r w:rsidRPr="002673D1">
              <w:rPr>
                <w:b/>
                <w:bCs/>
                <w:u w:val="single"/>
              </w:rPr>
              <w:t>Comentarios del Secretario General</w:t>
            </w:r>
            <w:r w:rsidRPr="00FB619E">
              <w:t>:</w:t>
            </w:r>
          </w:p>
        </w:tc>
      </w:tr>
      <w:tr w:rsidR="00CC754C" w:rsidRPr="002673D1" w:rsidTr="00757314">
        <w:tc>
          <w:tcPr>
            <w:tcW w:w="9629" w:type="dxa"/>
            <w:tcBorders>
              <w:top w:val="nil"/>
            </w:tcBorders>
          </w:tcPr>
          <w:p w:rsidR="00CC754C" w:rsidRPr="002673D1" w:rsidRDefault="00FA00D1" w:rsidP="00FB619E">
            <w:pPr>
              <w:spacing w:after="120"/>
              <w:rPr>
                <w:highlight w:val="cyan"/>
              </w:rPr>
            </w:pPr>
            <w:r w:rsidRPr="002673D1">
              <w:t xml:space="preserve">Los montos correspondientes a la recuperación de costes para </w:t>
            </w:r>
            <w:r w:rsidR="009C1B85" w:rsidRPr="002673D1">
              <w:t xml:space="preserve">2014 </w:t>
            </w:r>
            <w:r w:rsidRPr="002673D1">
              <w:t xml:space="preserve">y </w:t>
            </w:r>
            <w:r w:rsidR="009C1B85" w:rsidRPr="002673D1">
              <w:t xml:space="preserve">2015 </w:t>
            </w:r>
            <w:r w:rsidRPr="002673D1">
              <w:t>ya han quedado definidos en el presupuesto bienal aprobado</w:t>
            </w:r>
            <w:r w:rsidR="009C1B85" w:rsidRPr="002673D1">
              <w:t>.</w:t>
            </w:r>
            <w:r w:rsidR="00BC3D04">
              <w:t xml:space="preserve"> </w:t>
            </w:r>
            <w:r w:rsidR="009C7A5C" w:rsidRPr="002673D1">
              <w:t xml:space="preserve">En </w:t>
            </w:r>
            <w:r w:rsidR="00E259F0">
              <w:t xml:space="preserve">cuanto </w:t>
            </w:r>
            <w:r w:rsidR="009C7A5C" w:rsidRPr="002673D1">
              <w:t>a la recuperación de cost</w:t>
            </w:r>
            <w:r w:rsidR="00FF678F" w:rsidRPr="002673D1">
              <w:t>e</w:t>
            </w:r>
            <w:r w:rsidR="009C7A5C" w:rsidRPr="002673D1">
              <w:t xml:space="preserve">s para </w:t>
            </w:r>
            <w:r w:rsidR="009C1B85" w:rsidRPr="002673D1">
              <w:t xml:space="preserve">2016, </w:t>
            </w:r>
            <w:r w:rsidR="00C47AC3" w:rsidRPr="002673D1">
              <w:t xml:space="preserve">se realizará un estudio detallado que servirá de base para calcular </w:t>
            </w:r>
            <w:r w:rsidR="00FF678F" w:rsidRPr="002673D1">
              <w:t>los g</w:t>
            </w:r>
            <w:r w:rsidR="009C1B85" w:rsidRPr="002673D1">
              <w:t>a</w:t>
            </w:r>
            <w:r w:rsidR="00FF678F" w:rsidRPr="002673D1">
              <w:t>stos</w:t>
            </w:r>
            <w:r w:rsidR="00ED6640" w:rsidRPr="002673D1">
              <w:t>.</w:t>
            </w:r>
          </w:p>
        </w:tc>
      </w:tr>
    </w:tbl>
    <w:p w:rsidR="00EC0412" w:rsidRPr="002673D1" w:rsidRDefault="000F3BD0" w:rsidP="00FB619E">
      <w:pPr>
        <w:pStyle w:val="Headingi"/>
      </w:pPr>
      <w:bookmarkStart w:id="67" w:name="_Toc396899729"/>
      <w:bookmarkStart w:id="68" w:name="_Toc400028332"/>
      <w:bookmarkStart w:id="69" w:name="_Toc357681323"/>
      <w:bookmarkStart w:id="70" w:name="_Toc400093954"/>
      <w:r w:rsidRPr="00FB619E">
        <w:t>C</w:t>
      </w:r>
      <w:r w:rsidR="00757314" w:rsidRPr="00FB619E">
        <w:t>ali</w:t>
      </w:r>
      <w:r w:rsidRPr="00FB619E">
        <w:t>dad de los servicios gratuitos</w:t>
      </w:r>
      <w:bookmarkEnd w:id="67"/>
      <w:bookmarkEnd w:id="68"/>
      <w:bookmarkEnd w:id="70"/>
    </w:p>
    <w:p w:rsidR="00EC0412" w:rsidRPr="002673D1" w:rsidRDefault="00FB619E" w:rsidP="00FB619E">
      <w:r>
        <w:t>77</w:t>
      </w:r>
      <w:r w:rsidR="00EC0412" w:rsidRPr="002673D1">
        <w:tab/>
      </w:r>
      <w:r w:rsidR="00B77A69" w:rsidRPr="002673D1">
        <w:t>El país anfitrión prestó servicios gratuitos</w:t>
      </w:r>
      <w:r w:rsidR="00757314" w:rsidRPr="002673D1">
        <w:t xml:space="preserve">. </w:t>
      </w:r>
      <w:r w:rsidR="00B77A69" w:rsidRPr="002673D1">
        <w:t>En las puertas de la exposición, en la entrada de la zona reservada al Foro y en todas las salas de reuniones</w:t>
      </w:r>
      <w:r w:rsidR="0079578F" w:rsidRPr="002673D1">
        <w:t>,</w:t>
      </w:r>
      <w:r w:rsidR="00B77A69" w:rsidRPr="002673D1">
        <w:t xml:space="preserve"> se </w:t>
      </w:r>
      <w:r w:rsidR="006D49F0">
        <w:t>destinó</w:t>
      </w:r>
      <w:r w:rsidR="00B77A69" w:rsidRPr="002673D1">
        <w:t xml:space="preserve"> personal local y muy joven encargado de comprobar las tarjetas de identificación de los participantes que entraban y salían</w:t>
      </w:r>
      <w:r w:rsidR="00757314" w:rsidRPr="002673D1">
        <w:t>.</w:t>
      </w:r>
    </w:p>
    <w:p w:rsidR="00EC0412" w:rsidRPr="002673D1" w:rsidRDefault="00FB619E" w:rsidP="00FB619E">
      <w:r>
        <w:t>78</w:t>
      </w:r>
      <w:r w:rsidR="00EC0412" w:rsidRPr="002673D1">
        <w:tab/>
      </w:r>
      <w:r w:rsidR="00F01202" w:rsidRPr="002673D1">
        <w:t>Somos conscientes de que la organización del evento no tuvo posibilidades reales de elegir la calidad y el profesionalismo de ese personal</w:t>
      </w:r>
      <w:r w:rsidR="00757314" w:rsidRPr="002673D1">
        <w:t xml:space="preserve">. </w:t>
      </w:r>
      <w:r w:rsidR="001A0535" w:rsidRPr="002673D1">
        <w:t>También confirmamos que se celebraron reuniones informativas frecuentes para instruir mejor a esas unidades</w:t>
      </w:r>
      <w:r w:rsidR="00757314" w:rsidRPr="002673D1">
        <w:t>.</w:t>
      </w:r>
    </w:p>
    <w:p w:rsidR="00EC0412" w:rsidRPr="002673D1" w:rsidRDefault="00EC0412" w:rsidP="00FB619E">
      <w:r w:rsidRPr="002673D1">
        <w:t>79</w:t>
      </w:r>
      <w:r w:rsidRPr="002673D1">
        <w:tab/>
      </w:r>
      <w:r w:rsidR="00E34E8F" w:rsidRPr="002673D1">
        <w:t>Sin embargo, tuvimos pruebas directas de que algunos de los servicios no resultaron totalmente satisfactorios. Por ejemplo</w:t>
      </w:r>
      <w:r w:rsidR="00757314" w:rsidRPr="002673D1">
        <w:t xml:space="preserve">, </w:t>
      </w:r>
      <w:r w:rsidR="00E34E8F" w:rsidRPr="002673D1">
        <w:t xml:space="preserve">el personal encargado de leer y comprobar las tarjetas de identificación en la entrada de las reuniones del Foro aseguró una eficiencia cercana al </w:t>
      </w:r>
      <w:r w:rsidR="00757314" w:rsidRPr="002673D1">
        <w:t xml:space="preserve">80%, </w:t>
      </w:r>
      <w:r w:rsidR="00E34E8F" w:rsidRPr="002673D1">
        <w:t xml:space="preserve">lo que </w:t>
      </w:r>
      <w:r w:rsidR="003F2B59" w:rsidRPr="002673D1">
        <w:t>provocó que la información sobre los participantes fuera inexacta</w:t>
      </w:r>
      <w:r w:rsidR="00757314" w:rsidRPr="002673D1">
        <w:t xml:space="preserve">. </w:t>
      </w:r>
      <w:r w:rsidR="008146F6" w:rsidRPr="002673D1">
        <w:t>También comprobamos si dos personas podían entrar habiendo intercambiado sus tarjetas de identificación y resultó que no se detectó la falsa identidad</w:t>
      </w:r>
      <w:r w:rsidR="00757314" w:rsidRPr="002673D1">
        <w:t xml:space="preserve">. </w:t>
      </w:r>
      <w:r w:rsidR="00C65D82" w:rsidRPr="002673D1">
        <w:t>También se dejó de controlar las tarjetas de identificación en el acceso a la sala de exposiciones</w:t>
      </w:r>
      <w:r w:rsidR="00757314" w:rsidRPr="002673D1">
        <w:t xml:space="preserve">, </w:t>
      </w:r>
      <w:r w:rsidR="00670F87" w:rsidRPr="002673D1">
        <w:t>en algunas circunstancias de escasa importancia</w:t>
      </w:r>
      <w:r w:rsidR="00757314" w:rsidRPr="002673D1">
        <w:t>.</w:t>
      </w:r>
    </w:p>
    <w:p w:rsidR="00EC0412" w:rsidRDefault="00FB619E" w:rsidP="00FB619E">
      <w:r>
        <w:t>80</w:t>
      </w:r>
      <w:r w:rsidR="00EC0412" w:rsidRPr="002673D1">
        <w:tab/>
      </w:r>
      <w:r w:rsidR="002B7744" w:rsidRPr="002673D1">
        <w:t xml:space="preserve">También observamos que se solía comprobar la identidad de las personas que entraban en las reuniones del Foro, pero no se hacía de manera </w:t>
      </w:r>
      <w:r w:rsidR="00B46308">
        <w:t>sistemática</w:t>
      </w:r>
      <w:r w:rsidR="002B7744" w:rsidRPr="002673D1">
        <w:t xml:space="preserve"> a la salida. </w:t>
      </w:r>
      <w:r w:rsidR="002C0EBD" w:rsidRPr="002673D1">
        <w:t xml:space="preserve">En nuestra opinión, podría ser útil </w:t>
      </w:r>
      <w:r w:rsidR="00C43A31">
        <w:t>saber</w:t>
      </w:r>
      <w:r w:rsidR="002C0EBD" w:rsidRPr="002673D1">
        <w:t xml:space="preserve"> cuántas personas estuvieron presentes en cada reunión del Foro durante toda o parte de la duración del mismo para determinar cuántos oradores fueron </w:t>
      </w:r>
      <w:r w:rsidR="003E13AB" w:rsidRPr="002673D1">
        <w:t xml:space="preserve">bien </w:t>
      </w:r>
      <w:r w:rsidR="002C0EBD" w:rsidRPr="002673D1">
        <w:t>valorados</w:t>
      </w:r>
      <w:r w:rsidR="009110AC" w:rsidRPr="002673D1">
        <w:t xml:space="preserve"> </w:t>
      </w:r>
      <w:r w:rsidR="003E13AB" w:rsidRPr="002673D1">
        <w:t xml:space="preserve">y cuántos fueron capaces de retener a </w:t>
      </w:r>
      <w:r w:rsidR="00777E4F" w:rsidRPr="002673D1">
        <w:t xml:space="preserve">los </w:t>
      </w:r>
      <w:r w:rsidR="003E13AB" w:rsidRPr="002673D1">
        <w:t xml:space="preserve">participantes </w:t>
      </w:r>
      <w:r>
        <w:t xml:space="preserve">a efectos de </w:t>
      </w:r>
      <w:r w:rsidR="00BC3D04">
        <w:t>"</w:t>
      </w:r>
      <w:r>
        <w:t>rentabilidad</w:t>
      </w:r>
      <w:r w:rsidR="00BC3D04">
        <w:t>"</w:t>
      </w:r>
      <w:r>
        <w:t>.</w:t>
      </w:r>
    </w:p>
    <w:p w:rsidR="00FB619E" w:rsidRPr="002673D1" w:rsidRDefault="00FB619E" w:rsidP="00FB619E">
      <w:pPr>
        <w:spacing w:before="0"/>
      </w:pPr>
    </w:p>
    <w:tbl>
      <w:tblPr>
        <w:tblStyle w:val="TableGrid"/>
        <w:tblW w:w="0" w:type="auto"/>
        <w:tblLook w:val="04A0" w:firstRow="1" w:lastRow="0" w:firstColumn="1" w:lastColumn="0" w:noHBand="0" w:noVBand="1"/>
      </w:tblPr>
      <w:tblGrid>
        <w:gridCol w:w="9629"/>
      </w:tblGrid>
      <w:tr w:rsidR="00871099" w:rsidRPr="002673D1" w:rsidTr="00871099">
        <w:tc>
          <w:tcPr>
            <w:tcW w:w="9855" w:type="dxa"/>
            <w:tcBorders>
              <w:bottom w:val="nil"/>
            </w:tcBorders>
          </w:tcPr>
          <w:p w:rsidR="00871099" w:rsidRPr="002673D1" w:rsidRDefault="00871099" w:rsidP="00A52625">
            <w:pPr>
              <w:rPr>
                <w:b/>
                <w:bCs/>
                <w:u w:val="single"/>
              </w:rPr>
            </w:pPr>
            <w:r w:rsidRPr="002673D1">
              <w:rPr>
                <w:b/>
                <w:bCs/>
                <w:u w:val="single"/>
              </w:rPr>
              <w:t xml:space="preserve">Recomendación </w:t>
            </w:r>
            <w:r w:rsidR="00BE0A42">
              <w:rPr>
                <w:b/>
                <w:bCs/>
                <w:u w:val="single"/>
              </w:rPr>
              <w:t>Nº</w:t>
            </w:r>
            <w:r w:rsidRPr="002673D1">
              <w:rPr>
                <w:b/>
                <w:bCs/>
                <w:u w:val="single"/>
              </w:rPr>
              <w:t xml:space="preserve"> 4</w:t>
            </w:r>
          </w:p>
        </w:tc>
      </w:tr>
      <w:tr w:rsidR="00871099" w:rsidRPr="002673D1" w:rsidTr="00871099">
        <w:tc>
          <w:tcPr>
            <w:tcW w:w="9855" w:type="dxa"/>
            <w:tcBorders>
              <w:top w:val="nil"/>
            </w:tcBorders>
          </w:tcPr>
          <w:p w:rsidR="00871099" w:rsidRPr="002673D1" w:rsidRDefault="00FB619E" w:rsidP="00FB619E">
            <w:pPr>
              <w:spacing w:after="120"/>
            </w:pPr>
            <w:r>
              <w:t>81</w:t>
            </w:r>
            <w:r w:rsidR="00871099" w:rsidRPr="002673D1">
              <w:tab/>
            </w:r>
            <w:r w:rsidR="00192CA1" w:rsidRPr="002673D1">
              <w:t xml:space="preserve">Por consiguiente, </w:t>
            </w:r>
            <w:r w:rsidR="00757314" w:rsidRPr="002673D1">
              <w:rPr>
                <w:u w:val="single"/>
              </w:rPr>
              <w:t>recomend</w:t>
            </w:r>
            <w:r w:rsidR="00192CA1" w:rsidRPr="002673D1">
              <w:rPr>
                <w:u w:val="single"/>
              </w:rPr>
              <w:t>amos</w:t>
            </w:r>
            <w:r w:rsidR="00757314" w:rsidRPr="002673D1">
              <w:t xml:space="preserve"> </w:t>
            </w:r>
            <w:r w:rsidR="00192CA1" w:rsidRPr="002673D1">
              <w:t xml:space="preserve">que la organización de </w:t>
            </w:r>
            <w:r w:rsidR="00757314" w:rsidRPr="002673D1">
              <w:t>ITU</w:t>
            </w:r>
            <w:r w:rsidR="00192CA1" w:rsidRPr="002673D1">
              <w:t xml:space="preserve"> </w:t>
            </w:r>
            <w:r w:rsidR="00757314" w:rsidRPr="002673D1">
              <w:t xml:space="preserve">Telecom </w:t>
            </w:r>
            <w:r w:rsidR="00192CA1" w:rsidRPr="002673D1">
              <w:t xml:space="preserve">se asegure de tener posibilidades de elegir también en el caso de los servicios gratuitos que brinda el país anfitrión. </w:t>
            </w:r>
          </w:p>
        </w:tc>
      </w:tr>
    </w:tbl>
    <w:p w:rsidR="00871099" w:rsidRPr="002673D1" w:rsidRDefault="00871099" w:rsidP="00FB619E">
      <w:pPr>
        <w:spacing w:before="0"/>
        <w:rPr>
          <w:highlight w:val="cyan"/>
        </w:rPr>
      </w:pPr>
    </w:p>
    <w:tbl>
      <w:tblPr>
        <w:tblStyle w:val="TableGrid"/>
        <w:tblW w:w="0" w:type="auto"/>
        <w:tblLook w:val="04A0" w:firstRow="1" w:lastRow="0" w:firstColumn="1" w:lastColumn="0" w:noHBand="0" w:noVBand="1"/>
      </w:tblPr>
      <w:tblGrid>
        <w:gridCol w:w="9629"/>
      </w:tblGrid>
      <w:tr w:rsidR="00871099" w:rsidRPr="002673D1" w:rsidTr="00871099">
        <w:tc>
          <w:tcPr>
            <w:tcW w:w="9629" w:type="dxa"/>
            <w:tcBorders>
              <w:bottom w:val="nil"/>
            </w:tcBorders>
          </w:tcPr>
          <w:p w:rsidR="00871099" w:rsidRPr="002673D1" w:rsidRDefault="00871099" w:rsidP="00A52625">
            <w:pPr>
              <w:rPr>
                <w:b/>
                <w:bCs/>
                <w:u w:val="single"/>
              </w:rPr>
            </w:pPr>
            <w:r w:rsidRPr="002673D1">
              <w:rPr>
                <w:b/>
                <w:bCs/>
                <w:u w:val="single"/>
              </w:rPr>
              <w:lastRenderedPageBreak/>
              <w:t>Comentarios del Secretario General</w:t>
            </w:r>
            <w:r w:rsidRPr="00FB619E">
              <w:t>:</w:t>
            </w:r>
          </w:p>
        </w:tc>
      </w:tr>
      <w:tr w:rsidR="00871099" w:rsidRPr="002673D1" w:rsidTr="00871099">
        <w:tc>
          <w:tcPr>
            <w:tcW w:w="9629" w:type="dxa"/>
            <w:tcBorders>
              <w:top w:val="nil"/>
            </w:tcBorders>
          </w:tcPr>
          <w:p w:rsidR="00871099" w:rsidRPr="002673D1" w:rsidRDefault="00BB2A3C" w:rsidP="00FB619E">
            <w:pPr>
              <w:spacing w:after="120"/>
              <w:rPr>
                <w:highlight w:val="cyan"/>
              </w:rPr>
            </w:pPr>
            <w:r w:rsidRPr="002673D1">
              <w:t xml:space="preserve">La UIT examinará con cuidado los servicios gratuitos que proponga el país anfitrión a fin de evaluar la adecuación del nivel de calidad </w:t>
            </w:r>
            <w:r w:rsidR="008B0C6D" w:rsidRPr="002673D1">
              <w:t>esperado</w:t>
            </w:r>
            <w:r w:rsidR="00757314" w:rsidRPr="002673D1">
              <w:t>.</w:t>
            </w:r>
          </w:p>
        </w:tc>
      </w:tr>
    </w:tbl>
    <w:p w:rsidR="00871099" w:rsidRPr="002673D1" w:rsidRDefault="00871099" w:rsidP="00FB619E">
      <w:pPr>
        <w:pStyle w:val="Headingb"/>
        <w:rPr>
          <w:bCs/>
          <w:highlight w:val="green"/>
        </w:rPr>
      </w:pPr>
      <w:bookmarkStart w:id="71" w:name="_Toc357681321"/>
      <w:bookmarkStart w:id="72" w:name="_Toc400028333"/>
      <w:bookmarkStart w:id="73" w:name="_Toc400093955"/>
      <w:r w:rsidRPr="002673D1">
        <w:t>Coincidencias con conferencias, asambleas u otros eventos importantes de la UIT</w:t>
      </w:r>
      <w:bookmarkEnd w:id="71"/>
      <w:bookmarkEnd w:id="72"/>
      <w:bookmarkEnd w:id="73"/>
    </w:p>
    <w:p w:rsidR="00871099" w:rsidRPr="002673D1" w:rsidRDefault="00E80D06" w:rsidP="00FB619E">
      <w:r w:rsidRPr="002673D1">
        <w:t>82</w:t>
      </w:r>
      <w:r w:rsidR="00871099" w:rsidRPr="002673D1">
        <w:tab/>
        <w:t>En la Resolución 11</w:t>
      </w:r>
      <w:r w:rsidR="00871099" w:rsidRPr="002673D1">
        <w:rPr>
          <w:bCs/>
        </w:rPr>
        <w:t xml:space="preserve"> (Rev. Guadalajara, 2010) se encarga al Secretario General que garantice que el evento </w:t>
      </w:r>
      <w:r w:rsidR="00871099" w:rsidRPr="002673D1">
        <w:t xml:space="preserve">ITU Telecom World </w:t>
      </w:r>
      <w:r w:rsidR="00BC3D04">
        <w:t>"</w:t>
      </w:r>
      <w:r w:rsidR="00871099" w:rsidRPr="002673D1">
        <w:t>no coincida con ninguna conferencia o asamblea importante de la UIT…</w:t>
      </w:r>
      <w:r w:rsidR="00BC3D04">
        <w:t>"</w:t>
      </w:r>
      <w:r w:rsidR="00871099" w:rsidRPr="002673D1">
        <w:t>.</w:t>
      </w:r>
    </w:p>
    <w:p w:rsidR="00871099" w:rsidRPr="002673D1" w:rsidRDefault="00871099" w:rsidP="00FB619E">
      <w:r w:rsidRPr="002673D1">
        <w:t>8</w:t>
      </w:r>
      <w:r w:rsidR="00FB619E">
        <w:t>3</w:t>
      </w:r>
      <w:r w:rsidRPr="002673D1">
        <w:tab/>
      </w:r>
      <w:r w:rsidR="000222C7" w:rsidRPr="002673D1">
        <w:t>La Cumbre Conectar Asia-Pacífico 2013 se celebró la víspera de ITU Telecom World 2013.</w:t>
      </w:r>
    </w:p>
    <w:p w:rsidR="00871099" w:rsidRPr="002673D1" w:rsidRDefault="00FB619E" w:rsidP="00FB619E">
      <w:r>
        <w:t>84</w:t>
      </w:r>
      <w:r w:rsidR="00871099" w:rsidRPr="002673D1">
        <w:tab/>
      </w:r>
      <w:r w:rsidR="00DE33D0" w:rsidRPr="002673D1">
        <w:t xml:space="preserve">Consideramos positiva la buena sinergia entre los eventos regionales y mundiales, pero debemos evitar dar una orientación regional excesiva a un evento mundial. </w:t>
      </w:r>
    </w:p>
    <w:p w:rsidR="00871099" w:rsidRPr="002673D1" w:rsidRDefault="00FB619E" w:rsidP="00FB619E">
      <w:r>
        <w:t>85</w:t>
      </w:r>
      <w:r w:rsidR="00871099" w:rsidRPr="002673D1">
        <w:tab/>
        <w:t xml:space="preserve">No obstante, si consideramos que en la Resolución 11 se pide que se ponga el acento en el Foro y en los debates entre reguladores, líderes del sector y responsables de formular políticas en lugar de en la exposición en sí, </w:t>
      </w:r>
      <w:r w:rsidR="00D568D0" w:rsidRPr="002673D1">
        <w:t xml:space="preserve">la experiencia de tal proximidad, capaz de favorecer la presencia de esas personalidades, debe </w:t>
      </w:r>
      <w:r w:rsidR="00871099" w:rsidRPr="002673D1">
        <w:t>considerarse positiva.</w:t>
      </w:r>
    </w:p>
    <w:p w:rsidR="00CC754C" w:rsidRPr="002673D1" w:rsidRDefault="00CC754C" w:rsidP="00FB619E">
      <w:pPr>
        <w:pStyle w:val="Headingb"/>
      </w:pPr>
      <w:bookmarkStart w:id="74" w:name="_Toc400028334"/>
      <w:bookmarkStart w:id="75" w:name="_Toc400093956"/>
      <w:r w:rsidRPr="002673D1">
        <w:t>Proceso de licitación</w:t>
      </w:r>
      <w:bookmarkEnd w:id="69"/>
      <w:bookmarkEnd w:id="74"/>
      <w:bookmarkEnd w:id="75"/>
    </w:p>
    <w:p w:rsidR="00CC754C" w:rsidRPr="002673D1" w:rsidRDefault="00EC0412" w:rsidP="00FB619E">
      <w:r w:rsidRPr="002673D1">
        <w:rPr>
          <w:bCs/>
        </w:rPr>
        <w:t>86</w:t>
      </w:r>
      <w:r w:rsidR="00CC754C" w:rsidRPr="002673D1">
        <w:rPr>
          <w:bCs/>
        </w:rPr>
        <w:tab/>
        <w:t xml:space="preserve">En su </w:t>
      </w:r>
      <w:r w:rsidR="00CC754C" w:rsidRPr="002673D1">
        <w:rPr>
          <w:bCs/>
          <w:i/>
          <w:iCs/>
        </w:rPr>
        <w:t>resuelve</w:t>
      </w:r>
      <w:r w:rsidR="00CC754C" w:rsidRPr="002673D1">
        <w:rPr>
          <w:bCs/>
        </w:rPr>
        <w:t xml:space="preserve"> 5, la Resolución </w:t>
      </w:r>
      <w:r w:rsidR="00CC754C" w:rsidRPr="002673D1">
        <w:t>11</w:t>
      </w:r>
      <w:r w:rsidR="00CC754C" w:rsidRPr="002673D1">
        <w:rPr>
          <w:bCs/>
        </w:rPr>
        <w:t xml:space="preserve"> (Rev. Guadalajara, 2010) </w:t>
      </w:r>
      <w:r w:rsidR="00CC754C" w:rsidRPr="002673D1">
        <w:t xml:space="preserve">declara que </w:t>
      </w:r>
      <w:r w:rsidR="00BC3D04">
        <w:t>"</w:t>
      </w:r>
      <w:r w:rsidR="00CC754C" w:rsidRPr="002673D1">
        <w:t>la Unión, en su proceso de selección de los lugares de celebración de los eventos ITU Telecom, garantice: (5.1) un proceso de licitación abierto y transparente, basado en el modelo de Acuerdo con el país anfitrión (…), con criterios objetivos, incluido el de la viabilidad financiera; (…)</w:t>
      </w:r>
      <w:r w:rsidR="00BC3D04">
        <w:t>"</w:t>
      </w:r>
      <w:r w:rsidR="00CC754C" w:rsidRPr="002673D1">
        <w:t>.</w:t>
      </w:r>
    </w:p>
    <w:p w:rsidR="00CC754C" w:rsidRPr="002673D1" w:rsidRDefault="00403BE0" w:rsidP="00FB619E">
      <w:r w:rsidRPr="002673D1">
        <w:t>87</w:t>
      </w:r>
      <w:r w:rsidR="00CC754C" w:rsidRPr="002673D1">
        <w:tab/>
      </w:r>
      <w:r w:rsidR="00A26627" w:rsidRPr="002673D1">
        <w:t xml:space="preserve">Por </w:t>
      </w:r>
      <w:r w:rsidR="00A03CF5">
        <w:t>los siguientes</w:t>
      </w:r>
      <w:r w:rsidR="00BC20AE" w:rsidRPr="002673D1">
        <w:t xml:space="preserve"> motivos</w:t>
      </w:r>
      <w:r w:rsidR="00A26627" w:rsidRPr="002673D1">
        <w:t xml:space="preserve">, creemos que, en el espíritu de la Resolución 11, </w:t>
      </w:r>
      <w:r w:rsidR="00BE5F06" w:rsidRPr="002673D1">
        <w:t xml:space="preserve">en </w:t>
      </w:r>
      <w:r w:rsidR="00071AEB">
        <w:t>ese</w:t>
      </w:r>
      <w:r w:rsidR="00BE5F06" w:rsidRPr="002673D1">
        <w:t xml:space="preserve"> proceso se debe encontrar un equilibrio entre </w:t>
      </w:r>
      <w:r w:rsidR="00A26627" w:rsidRPr="002673D1">
        <w:t xml:space="preserve">la viabilidad financiera </w:t>
      </w:r>
      <w:r w:rsidR="00BE5F06" w:rsidRPr="002673D1">
        <w:t>y otras consideraciones igualmente importantes.</w:t>
      </w:r>
    </w:p>
    <w:p w:rsidR="00CC754C" w:rsidRPr="002673D1" w:rsidRDefault="00403BE0" w:rsidP="00FB619E">
      <w:r w:rsidRPr="002673D1">
        <w:t>88</w:t>
      </w:r>
      <w:r w:rsidR="00CC754C" w:rsidRPr="002673D1">
        <w:tab/>
      </w:r>
      <w:r w:rsidR="009D7AFF" w:rsidRPr="002673D1">
        <w:t xml:space="preserve">Como ya se señaló en el Informe </w:t>
      </w:r>
      <w:r w:rsidR="00380456" w:rsidRPr="002673D1">
        <w:t>para</w:t>
      </w:r>
      <w:r w:rsidR="009D7AFF" w:rsidRPr="002673D1">
        <w:t xml:space="preserve"> ITU Telecom World 2012</w:t>
      </w:r>
      <w:r w:rsidR="00A26627" w:rsidRPr="002673D1">
        <w:t xml:space="preserve">, </w:t>
      </w:r>
      <w:r w:rsidR="000478DE" w:rsidRPr="002673D1">
        <w:t xml:space="preserve">se enviaron cartas </w:t>
      </w:r>
      <w:r w:rsidR="00A26627" w:rsidRPr="002673D1">
        <w:t>circular</w:t>
      </w:r>
      <w:r w:rsidR="000478DE" w:rsidRPr="002673D1">
        <w:t>es</w:t>
      </w:r>
      <w:r w:rsidR="00A26627" w:rsidRPr="002673D1">
        <w:t xml:space="preserve"> </w:t>
      </w:r>
      <w:r w:rsidR="000478DE" w:rsidRPr="002673D1">
        <w:t xml:space="preserve">para </w:t>
      </w:r>
      <w:r w:rsidR="00A3583D" w:rsidRPr="002673D1">
        <w:t>invitar</w:t>
      </w:r>
      <w:r w:rsidR="000478DE" w:rsidRPr="002673D1">
        <w:t xml:space="preserve"> a los Estados Miembros de la UIT a ser candidatos y presentar ofertas para solicitar acoger el evento anual, </w:t>
      </w:r>
      <w:r w:rsidR="00A3583D" w:rsidRPr="002673D1">
        <w:t>aunque en realidad muy pocos Estados Miembros estarían interesados en acoger el evento y serían capaces de asumir la carga financiera</w:t>
      </w:r>
      <w:r w:rsidR="00A26627" w:rsidRPr="002673D1">
        <w:t xml:space="preserve">; </w:t>
      </w:r>
      <w:r w:rsidR="00EF7780" w:rsidRPr="002673D1">
        <w:t xml:space="preserve">por ello reconocemos que pese a existir un proceso de licitación correcto, abierto y normalizado, hay pocos candidatos, principalmente </w:t>
      </w:r>
      <w:r w:rsidR="00A670CA" w:rsidRPr="002673D1">
        <w:t>debido a que aún no se ha concluido la crisis del mercado y a la fuerte competencia con otras organizaciones privadas de eventos similares</w:t>
      </w:r>
      <w:r w:rsidR="00A26627" w:rsidRPr="002673D1">
        <w:t>.</w:t>
      </w:r>
    </w:p>
    <w:p w:rsidR="00403BE0" w:rsidRPr="00FB619E" w:rsidRDefault="00E83F14" w:rsidP="00FB619E">
      <w:pPr>
        <w:pStyle w:val="Headingi"/>
      </w:pPr>
      <w:bookmarkStart w:id="76" w:name="_Toc396899732"/>
      <w:bookmarkStart w:id="77" w:name="_Toc400028335"/>
      <w:bookmarkStart w:id="78" w:name="_Toc400093957"/>
      <w:r w:rsidRPr="00FB619E">
        <w:t>Lograr que el evento sea asequible para más países anfitriones aspirantes</w:t>
      </w:r>
      <w:bookmarkEnd w:id="76"/>
      <w:bookmarkEnd w:id="77"/>
      <w:bookmarkEnd w:id="78"/>
    </w:p>
    <w:p w:rsidR="00403BE0" w:rsidRPr="002673D1" w:rsidRDefault="00FB619E" w:rsidP="00FB619E">
      <w:r>
        <w:t>89</w:t>
      </w:r>
      <w:r w:rsidR="00403BE0" w:rsidRPr="002673D1">
        <w:tab/>
      </w:r>
      <w:r w:rsidR="009405F2" w:rsidRPr="002673D1">
        <w:t xml:space="preserve">Por esos mismos motivos, no se han aplicado plenamente otros </w:t>
      </w:r>
      <w:r w:rsidR="009405F2" w:rsidRPr="002673D1">
        <w:rPr>
          <w:i/>
          <w:iCs/>
        </w:rPr>
        <w:t xml:space="preserve">resuelve </w:t>
      </w:r>
      <w:r w:rsidR="009405F2" w:rsidRPr="002673D1">
        <w:t xml:space="preserve">de la Resolución </w:t>
      </w:r>
      <w:r w:rsidR="00A26627" w:rsidRPr="002673D1">
        <w:t xml:space="preserve">11, </w:t>
      </w:r>
      <w:r w:rsidR="009405F2" w:rsidRPr="002673D1">
        <w:t xml:space="preserve">como el relativo a la rotación </w:t>
      </w:r>
      <w:r w:rsidR="004D6EC6" w:rsidRPr="002673D1">
        <w:t xml:space="preserve">entre las </w:t>
      </w:r>
      <w:r w:rsidR="009405F2" w:rsidRPr="002673D1">
        <w:t>regiones</w:t>
      </w:r>
      <w:r w:rsidR="00A26627" w:rsidRPr="002673D1">
        <w:t xml:space="preserve"> (</w:t>
      </w:r>
      <w:r w:rsidR="00A26627" w:rsidRPr="002673D1">
        <w:rPr>
          <w:i/>
        </w:rPr>
        <w:t>res</w:t>
      </w:r>
      <w:r w:rsidR="004D6EC6" w:rsidRPr="002673D1">
        <w:rPr>
          <w:i/>
        </w:rPr>
        <w:t>uel</w:t>
      </w:r>
      <w:r w:rsidR="00A26627" w:rsidRPr="002673D1">
        <w:rPr>
          <w:i/>
        </w:rPr>
        <w:t>ve</w:t>
      </w:r>
      <w:r w:rsidR="00A26627" w:rsidRPr="002673D1">
        <w:t xml:space="preserve"> 5.5); </w:t>
      </w:r>
      <w:r w:rsidR="00CC6BB6" w:rsidRPr="002673D1">
        <w:t xml:space="preserve">si bien este </w:t>
      </w:r>
      <w:r w:rsidR="00CC6BB6" w:rsidRPr="002673D1">
        <w:rPr>
          <w:i/>
          <w:iCs/>
        </w:rPr>
        <w:t>resuelve</w:t>
      </w:r>
      <w:r w:rsidR="00CC6BB6" w:rsidRPr="002673D1">
        <w:t xml:space="preserve"> no es viable en este </w:t>
      </w:r>
      <w:r w:rsidR="00CF7DEB">
        <w:t xml:space="preserve">preciso </w:t>
      </w:r>
      <w:r w:rsidR="00CC6BB6" w:rsidRPr="002673D1">
        <w:t>momento histórico</w:t>
      </w:r>
      <w:r w:rsidR="00A26627" w:rsidRPr="002673D1">
        <w:t xml:space="preserve">, </w:t>
      </w:r>
      <w:r w:rsidR="008A2792" w:rsidRPr="002673D1">
        <w:t>ha de señalarse que mientras una parte importante de los costes corra a cargo del país anfitrión, no habrá una manera de salir de esta situación</w:t>
      </w:r>
      <w:r w:rsidR="00A26627" w:rsidRPr="002673D1">
        <w:t>.</w:t>
      </w:r>
    </w:p>
    <w:p w:rsidR="00CC754C" w:rsidRPr="002673D1" w:rsidRDefault="00CC754C" w:rsidP="00FB619E">
      <w:pPr>
        <w:spacing w:before="0"/>
      </w:pPr>
    </w:p>
    <w:tbl>
      <w:tblPr>
        <w:tblStyle w:val="TableGrid"/>
        <w:tblW w:w="0" w:type="auto"/>
        <w:tblLook w:val="04A0" w:firstRow="1" w:lastRow="0" w:firstColumn="1" w:lastColumn="0" w:noHBand="0" w:noVBand="1"/>
      </w:tblPr>
      <w:tblGrid>
        <w:gridCol w:w="9629"/>
      </w:tblGrid>
      <w:tr w:rsidR="00CC754C" w:rsidRPr="002673D1" w:rsidTr="00403BE0">
        <w:tc>
          <w:tcPr>
            <w:tcW w:w="9629" w:type="dxa"/>
            <w:tcBorders>
              <w:bottom w:val="nil"/>
            </w:tcBorders>
          </w:tcPr>
          <w:p w:rsidR="00CC754C" w:rsidRPr="002673D1" w:rsidRDefault="00CC754C" w:rsidP="00A52625">
            <w:pPr>
              <w:keepNext/>
              <w:rPr>
                <w:b/>
                <w:bCs/>
                <w:u w:val="single"/>
              </w:rPr>
            </w:pPr>
            <w:r w:rsidRPr="002673D1">
              <w:rPr>
                <w:b/>
                <w:bCs/>
                <w:u w:val="single"/>
              </w:rPr>
              <w:t xml:space="preserve">Sugerencia </w:t>
            </w:r>
            <w:r w:rsidR="00BE0A42">
              <w:rPr>
                <w:b/>
                <w:bCs/>
                <w:u w:val="single"/>
              </w:rPr>
              <w:t>Nº</w:t>
            </w:r>
            <w:r w:rsidRPr="002673D1">
              <w:rPr>
                <w:b/>
                <w:bCs/>
                <w:u w:val="single"/>
              </w:rPr>
              <w:t xml:space="preserve"> 7</w:t>
            </w:r>
          </w:p>
        </w:tc>
      </w:tr>
      <w:tr w:rsidR="00CC754C" w:rsidRPr="002673D1" w:rsidTr="00403BE0">
        <w:tc>
          <w:tcPr>
            <w:tcW w:w="9629" w:type="dxa"/>
            <w:tcBorders>
              <w:top w:val="nil"/>
            </w:tcBorders>
          </w:tcPr>
          <w:p w:rsidR="00CC754C" w:rsidRPr="002673D1" w:rsidRDefault="00403BE0" w:rsidP="00FB619E">
            <w:pPr>
              <w:spacing w:after="120"/>
            </w:pPr>
            <w:r w:rsidRPr="002673D1">
              <w:t>90</w:t>
            </w:r>
            <w:r w:rsidR="00CC754C" w:rsidRPr="002673D1">
              <w:tab/>
            </w:r>
            <w:r w:rsidR="00782510" w:rsidRPr="002673D1">
              <w:t xml:space="preserve">Por consiguiente, </w:t>
            </w:r>
            <w:r w:rsidR="00A26627" w:rsidRPr="002673D1">
              <w:rPr>
                <w:u w:val="single"/>
              </w:rPr>
              <w:t>suge</w:t>
            </w:r>
            <w:r w:rsidR="00782510" w:rsidRPr="002673D1">
              <w:rPr>
                <w:u w:val="single"/>
              </w:rPr>
              <w:t>rimo</w:t>
            </w:r>
            <w:r w:rsidR="00A26627" w:rsidRPr="002673D1">
              <w:rPr>
                <w:u w:val="single"/>
              </w:rPr>
              <w:t>s</w:t>
            </w:r>
            <w:r w:rsidR="00A26627" w:rsidRPr="002673D1">
              <w:t xml:space="preserve"> </w:t>
            </w:r>
            <w:r w:rsidR="00782510" w:rsidRPr="002673D1">
              <w:t>estudiar estrategias para que los países anfitriones aspirantes saquen pleno provecho de la inversión que habrían de hacer para acoger un evento</w:t>
            </w:r>
            <w:r w:rsidR="00A26627" w:rsidRPr="002673D1">
              <w:t xml:space="preserve"> ITU Telecom World, </w:t>
            </w:r>
            <w:r w:rsidR="00643A5B" w:rsidRPr="002673D1">
              <w:t>en aras de un mejor cumplimiento de la Resolución</w:t>
            </w:r>
            <w:r w:rsidR="00A26627" w:rsidRPr="002673D1">
              <w:t xml:space="preserve"> 11 (Guadalajara</w:t>
            </w:r>
            <w:r w:rsidR="00CC0A6C" w:rsidRPr="002673D1">
              <w:t>,</w:t>
            </w:r>
            <w:r w:rsidR="00A26627" w:rsidRPr="002673D1">
              <w:t xml:space="preserve"> 2010).</w:t>
            </w:r>
          </w:p>
        </w:tc>
      </w:tr>
    </w:tbl>
    <w:p w:rsidR="00CC754C" w:rsidRPr="002673D1" w:rsidRDefault="00CC754C" w:rsidP="00FB619E">
      <w:pPr>
        <w:spacing w:before="0"/>
        <w:rPr>
          <w:highlight w:val="green"/>
        </w:rPr>
      </w:pPr>
    </w:p>
    <w:tbl>
      <w:tblPr>
        <w:tblStyle w:val="TableGrid"/>
        <w:tblW w:w="0" w:type="auto"/>
        <w:tblLook w:val="04A0" w:firstRow="1" w:lastRow="0" w:firstColumn="1" w:lastColumn="0" w:noHBand="0" w:noVBand="1"/>
      </w:tblPr>
      <w:tblGrid>
        <w:gridCol w:w="9629"/>
      </w:tblGrid>
      <w:tr w:rsidR="00CC754C" w:rsidRPr="002673D1" w:rsidTr="00403BE0">
        <w:tc>
          <w:tcPr>
            <w:tcW w:w="9629" w:type="dxa"/>
            <w:tcBorders>
              <w:bottom w:val="nil"/>
            </w:tcBorders>
          </w:tcPr>
          <w:p w:rsidR="00CC754C" w:rsidRPr="002673D1" w:rsidRDefault="00CC754C" w:rsidP="00A52625">
            <w:pPr>
              <w:rPr>
                <w:b/>
                <w:bCs/>
                <w:u w:val="single"/>
              </w:rPr>
            </w:pPr>
            <w:r w:rsidRPr="002673D1">
              <w:rPr>
                <w:b/>
                <w:bCs/>
                <w:u w:val="single"/>
              </w:rPr>
              <w:lastRenderedPageBreak/>
              <w:t>Comentarios del Secretario General</w:t>
            </w:r>
            <w:r w:rsidRPr="00FB619E">
              <w:t>:</w:t>
            </w:r>
          </w:p>
        </w:tc>
      </w:tr>
      <w:tr w:rsidR="00CC754C" w:rsidRPr="002673D1" w:rsidTr="00403BE0">
        <w:tc>
          <w:tcPr>
            <w:tcW w:w="9629" w:type="dxa"/>
            <w:tcBorders>
              <w:top w:val="nil"/>
            </w:tcBorders>
          </w:tcPr>
          <w:p w:rsidR="00CC754C" w:rsidRPr="002673D1" w:rsidRDefault="00000F73" w:rsidP="00FB619E">
            <w:pPr>
              <w:spacing w:after="120"/>
              <w:rPr>
                <w:highlight w:val="green"/>
              </w:rPr>
            </w:pPr>
            <w:r w:rsidRPr="002673D1">
              <w:t xml:space="preserve">Los países anfitriones han expresado sistemáticamente su satisfacción por acoger eventos </w:t>
            </w:r>
            <w:r w:rsidR="00A26627" w:rsidRPr="002673D1">
              <w:t xml:space="preserve">ITU Telecom. </w:t>
            </w:r>
            <w:r w:rsidR="00790B02" w:rsidRPr="002673D1">
              <w:t>Se</w:t>
            </w:r>
            <w:r w:rsidR="009840F5">
              <w:t xml:space="preserve"> segui</w:t>
            </w:r>
            <w:r w:rsidR="00790B02" w:rsidRPr="002673D1">
              <w:t xml:space="preserve">rá </w:t>
            </w:r>
            <w:r w:rsidR="009840F5">
              <w:t xml:space="preserve">trabajando </w:t>
            </w:r>
            <w:r w:rsidR="00790B02" w:rsidRPr="002673D1">
              <w:t xml:space="preserve">para aumentar los efectos positivos que tiene acoger eventos </w:t>
            </w:r>
            <w:r w:rsidR="00A26627" w:rsidRPr="002673D1">
              <w:t>ITU Telecom</w:t>
            </w:r>
            <w:r w:rsidR="00790B02" w:rsidRPr="002673D1">
              <w:t>.</w:t>
            </w:r>
          </w:p>
        </w:tc>
      </w:tr>
    </w:tbl>
    <w:p w:rsidR="00403BE0" w:rsidRPr="002673D1" w:rsidRDefault="00FB619E" w:rsidP="00DD7524">
      <w:pPr>
        <w:pStyle w:val="Normalaftertitle"/>
      </w:pPr>
      <w:bookmarkStart w:id="79" w:name="_Toc357681325"/>
      <w:r>
        <w:t>91</w:t>
      </w:r>
      <w:r w:rsidR="00403BE0" w:rsidRPr="002673D1">
        <w:tab/>
      </w:r>
      <w:r w:rsidR="00453AE9" w:rsidRPr="002673D1">
        <w:t xml:space="preserve">Reconocemos que no se ha encontrado la manera de aplicar el </w:t>
      </w:r>
      <w:r w:rsidR="00453AE9" w:rsidRPr="002673D1">
        <w:rPr>
          <w:i/>
          <w:iCs/>
        </w:rPr>
        <w:t xml:space="preserve">resuelve </w:t>
      </w:r>
      <w:r w:rsidR="00A26627" w:rsidRPr="002673D1">
        <w:t xml:space="preserve">5.6 </w:t>
      </w:r>
      <w:r w:rsidR="00453AE9" w:rsidRPr="002673D1">
        <w:t>de la Resolución</w:t>
      </w:r>
      <w:r>
        <w:t> </w:t>
      </w:r>
      <w:r w:rsidR="00A26627" w:rsidRPr="002673D1">
        <w:t>11</w:t>
      </w:r>
      <w:r w:rsidR="00A26627" w:rsidRPr="002673D1">
        <w:rPr>
          <w:bCs/>
        </w:rPr>
        <w:t xml:space="preserve"> (Rev. Guadalajara, 2010)</w:t>
      </w:r>
      <w:r w:rsidR="00453AE9" w:rsidRPr="002673D1">
        <w:rPr>
          <w:bCs/>
        </w:rPr>
        <w:t xml:space="preserve">, en relación con </w:t>
      </w:r>
      <w:r w:rsidR="00BC3D04">
        <w:t>"</w:t>
      </w:r>
      <w:r w:rsidR="00453AE9" w:rsidRPr="002673D1">
        <w:t>los lugares de celebración fijos</w:t>
      </w:r>
      <w:r w:rsidR="00BC3D04">
        <w:t>"</w:t>
      </w:r>
      <w:r w:rsidR="00A26627" w:rsidRPr="002673D1">
        <w:t xml:space="preserve"> </w:t>
      </w:r>
      <w:r w:rsidR="00453AE9" w:rsidRPr="002673D1">
        <w:t>para tres eventos consecutivos</w:t>
      </w:r>
      <w:r w:rsidR="00A26627" w:rsidRPr="002673D1">
        <w:t xml:space="preserve">. </w:t>
      </w:r>
      <w:r w:rsidR="00547EE9" w:rsidRPr="002673D1">
        <w:t xml:space="preserve">Como ya se ha aclarado en las observaciones de la </w:t>
      </w:r>
      <w:r w:rsidR="001307A4" w:rsidRPr="002673D1">
        <w:t xml:space="preserve">Dirección </w:t>
      </w:r>
      <w:r w:rsidR="00547EE9" w:rsidRPr="002673D1">
        <w:t xml:space="preserve">respecto de nuestra recomendación al respecto en el </w:t>
      </w:r>
      <w:r w:rsidR="00F757A1" w:rsidRPr="002673D1">
        <w:t xml:space="preserve">Informe </w:t>
      </w:r>
      <w:r w:rsidR="00547EE9" w:rsidRPr="002673D1">
        <w:t xml:space="preserve">del año pasado, en estos momentos no se puede aconsejar de manera realista ningún </w:t>
      </w:r>
      <w:r w:rsidR="00BC3D04">
        <w:t>"</w:t>
      </w:r>
      <w:r w:rsidR="00547EE9" w:rsidRPr="002673D1">
        <w:t>lugar de celebración fijo</w:t>
      </w:r>
      <w:r w:rsidR="00BC3D04">
        <w:t>"</w:t>
      </w:r>
      <w:r w:rsidR="00547EE9" w:rsidRPr="002673D1">
        <w:t xml:space="preserve"> para el evento</w:t>
      </w:r>
      <w:r w:rsidR="0033125C" w:rsidRPr="002673D1">
        <w:t>.</w:t>
      </w:r>
    </w:p>
    <w:p w:rsidR="004B6381" w:rsidRPr="002673D1" w:rsidRDefault="004B6381" w:rsidP="00FB619E">
      <w:pPr>
        <w:pStyle w:val="Headingb"/>
      </w:pPr>
      <w:bookmarkStart w:id="80" w:name="_Toc357681324"/>
      <w:bookmarkStart w:id="81" w:name="_Toc400028336"/>
      <w:bookmarkStart w:id="82" w:name="_Toc400093958"/>
      <w:r w:rsidRPr="002673D1">
        <w:t>Participación de países en desarrollo en los eventos</w:t>
      </w:r>
      <w:bookmarkEnd w:id="80"/>
      <w:bookmarkEnd w:id="81"/>
      <w:bookmarkEnd w:id="82"/>
    </w:p>
    <w:p w:rsidR="004B6381" w:rsidRPr="002673D1" w:rsidRDefault="00FB619E" w:rsidP="00FB619E">
      <w:r>
        <w:t>92</w:t>
      </w:r>
      <w:r w:rsidR="00250C1A" w:rsidRPr="002673D1">
        <w:tab/>
        <w:t>En distinta</w:t>
      </w:r>
      <w:r w:rsidR="004B6381" w:rsidRPr="002673D1">
        <w:t xml:space="preserve">s </w:t>
      </w:r>
      <w:r w:rsidR="00250C1A" w:rsidRPr="002673D1">
        <w:t xml:space="preserve">secciones </w:t>
      </w:r>
      <w:r w:rsidR="004B6381" w:rsidRPr="002673D1">
        <w:t xml:space="preserve">de la Resolución 11 (Rev. Guadalajara, 2010) se subraya la necesidad de potenciar la participación de países en desarrollo, en particular en el </w:t>
      </w:r>
      <w:r w:rsidR="004B6381" w:rsidRPr="002673D1">
        <w:rPr>
          <w:i/>
          <w:iCs/>
        </w:rPr>
        <w:t>considerando</w:t>
      </w:r>
      <w:r w:rsidR="004B6381" w:rsidRPr="002673D1">
        <w:t xml:space="preserve"> </w:t>
      </w:r>
      <w:r w:rsidR="00BC3D04">
        <w:t>"</w:t>
      </w:r>
      <w:r w:rsidR="004B6381" w:rsidRPr="002673D1">
        <w:t>a) (...) promover la extensión de los beneficios de las nuevas tecnologías de telecomunicaciones a todos los habitantes del planeta (...)</w:t>
      </w:r>
      <w:r w:rsidR="00BC3D04">
        <w:t>"</w:t>
      </w:r>
      <w:r w:rsidR="004B6381" w:rsidRPr="002673D1">
        <w:t xml:space="preserve"> y en el </w:t>
      </w:r>
      <w:r w:rsidR="004B6381" w:rsidRPr="002673D1">
        <w:rPr>
          <w:i/>
        </w:rPr>
        <w:t>considerando</w:t>
      </w:r>
      <w:r w:rsidR="004B6381" w:rsidRPr="002673D1">
        <w:t xml:space="preserve"> </w:t>
      </w:r>
      <w:r w:rsidR="00BC3D04">
        <w:t>"</w:t>
      </w:r>
      <w:r w:rsidR="004B6381" w:rsidRPr="002673D1">
        <w:t>d) (...) las posibilidades de aplicar dichos adelantos en beneficio de todos los Estados Miembros y Miembros de Sector de la Unión, en particular de los países en desarrollo</w:t>
      </w:r>
      <w:r w:rsidR="00BC3D04">
        <w:t>"</w:t>
      </w:r>
      <w:r w:rsidR="004B6381" w:rsidRPr="002673D1">
        <w:t>.</w:t>
      </w:r>
    </w:p>
    <w:p w:rsidR="004B6381" w:rsidRPr="002673D1" w:rsidRDefault="00FB619E" w:rsidP="00FB619E">
      <w:r>
        <w:t>93</w:t>
      </w:r>
      <w:r w:rsidR="004B6381" w:rsidRPr="002673D1">
        <w:tab/>
        <w:t xml:space="preserve">Además, </w:t>
      </w:r>
      <w:r w:rsidR="00250C1A" w:rsidRPr="002673D1">
        <w:t>e</w:t>
      </w:r>
      <w:r w:rsidR="00E47E2A" w:rsidRPr="002673D1">
        <w:t>n e</w:t>
      </w:r>
      <w:r w:rsidR="00250C1A" w:rsidRPr="002673D1">
        <w:t xml:space="preserve">l </w:t>
      </w:r>
      <w:r w:rsidR="004B6381" w:rsidRPr="002673D1">
        <w:rPr>
          <w:i/>
        </w:rPr>
        <w:t xml:space="preserve">se encarga al Secretario General </w:t>
      </w:r>
      <w:r w:rsidR="004B6381" w:rsidRPr="002673D1">
        <w:t xml:space="preserve">3) </w:t>
      </w:r>
      <w:r w:rsidR="00250C1A" w:rsidRPr="002673D1">
        <w:t>de la Resolución 11</w:t>
      </w:r>
      <w:r w:rsidR="00E47E2A" w:rsidRPr="002673D1">
        <w:t xml:space="preserve"> se</w:t>
      </w:r>
      <w:r w:rsidR="00250C1A" w:rsidRPr="002673D1">
        <w:rPr>
          <w:i/>
        </w:rPr>
        <w:t xml:space="preserve"> </w:t>
      </w:r>
      <w:r w:rsidR="00E47E2A" w:rsidRPr="002673D1">
        <w:rPr>
          <w:iCs/>
        </w:rPr>
        <w:t>determina</w:t>
      </w:r>
      <w:r w:rsidR="00E47E2A" w:rsidRPr="002673D1">
        <w:rPr>
          <w:i/>
        </w:rPr>
        <w:t xml:space="preserve"> </w:t>
      </w:r>
      <w:r w:rsidR="00250C1A" w:rsidRPr="002673D1">
        <w:rPr>
          <w:iCs/>
        </w:rPr>
        <w:t xml:space="preserve">que </w:t>
      </w:r>
      <w:r w:rsidR="00BC3D04">
        <w:t>"</w:t>
      </w:r>
      <w:r w:rsidR="00250C1A" w:rsidRPr="002673D1">
        <w:t>[el Secretario General]</w:t>
      </w:r>
      <w:r w:rsidR="004B6381" w:rsidRPr="002673D1">
        <w:t xml:space="preserve"> estudie medidas que permitan a los Estados Miembros que lo deseen y estén en condiciones de hacerlo, y en particular a los países en desarrollo, organizar eventos ITU TELECOM</w:t>
      </w:r>
      <w:r w:rsidR="00BC3D04">
        <w:t>"</w:t>
      </w:r>
      <w:r w:rsidR="004B6381" w:rsidRPr="002673D1">
        <w:t>.</w:t>
      </w:r>
    </w:p>
    <w:p w:rsidR="004B6381" w:rsidRDefault="00FB619E" w:rsidP="00FB619E">
      <w:r>
        <w:t>94</w:t>
      </w:r>
      <w:r w:rsidR="004B6381" w:rsidRPr="002673D1">
        <w:tab/>
        <w:t>La Dirección claramente nos señaló que son varias las medidas para favorecer los objetivos enunciados en la Resolución 11 ante</w:t>
      </w:r>
      <w:r w:rsidR="006A1D4A" w:rsidRPr="002673D1">
        <w:t>s</w:t>
      </w:r>
      <w:r w:rsidR="004B6381" w:rsidRPr="002673D1">
        <w:t xml:space="preserve"> mencionada, como un programa de becas, descuentos, ayudas para la construcción de pabellones nacionales, la convocatoria de reuniones a fin de establecer redes, </w:t>
      </w:r>
      <w:r w:rsidR="00602D12" w:rsidRPr="002673D1">
        <w:t>etc.</w:t>
      </w:r>
    </w:p>
    <w:p w:rsidR="00FB619E" w:rsidRPr="002673D1" w:rsidRDefault="00FB619E" w:rsidP="00FB619E">
      <w:pPr>
        <w:spacing w:before="0"/>
      </w:pPr>
    </w:p>
    <w:tbl>
      <w:tblPr>
        <w:tblStyle w:val="TableGrid"/>
        <w:tblW w:w="0" w:type="auto"/>
        <w:tblLook w:val="04A0" w:firstRow="1" w:lastRow="0" w:firstColumn="1" w:lastColumn="0" w:noHBand="0" w:noVBand="1"/>
      </w:tblPr>
      <w:tblGrid>
        <w:gridCol w:w="9629"/>
      </w:tblGrid>
      <w:tr w:rsidR="004B6381" w:rsidRPr="002673D1" w:rsidTr="003B5DAB">
        <w:tc>
          <w:tcPr>
            <w:tcW w:w="9855" w:type="dxa"/>
            <w:tcBorders>
              <w:bottom w:val="nil"/>
            </w:tcBorders>
          </w:tcPr>
          <w:p w:rsidR="004B6381" w:rsidRPr="002673D1" w:rsidRDefault="004B6381" w:rsidP="00A52625">
            <w:pPr>
              <w:keepNext/>
              <w:rPr>
                <w:b/>
                <w:bCs/>
                <w:u w:val="single"/>
              </w:rPr>
            </w:pPr>
            <w:r w:rsidRPr="002673D1">
              <w:rPr>
                <w:b/>
                <w:bCs/>
                <w:u w:val="single"/>
              </w:rPr>
              <w:t xml:space="preserve">Sugerencia </w:t>
            </w:r>
            <w:r w:rsidR="00BE0A42">
              <w:rPr>
                <w:b/>
                <w:bCs/>
                <w:u w:val="single"/>
              </w:rPr>
              <w:t>Nº</w:t>
            </w:r>
            <w:r w:rsidRPr="002673D1">
              <w:rPr>
                <w:b/>
                <w:bCs/>
                <w:u w:val="single"/>
              </w:rPr>
              <w:t xml:space="preserve"> 8</w:t>
            </w:r>
          </w:p>
        </w:tc>
      </w:tr>
      <w:tr w:rsidR="004B6381" w:rsidRPr="002673D1" w:rsidTr="003B5DAB">
        <w:tc>
          <w:tcPr>
            <w:tcW w:w="9855" w:type="dxa"/>
            <w:tcBorders>
              <w:top w:val="nil"/>
            </w:tcBorders>
          </w:tcPr>
          <w:p w:rsidR="004B6381" w:rsidRPr="002673D1" w:rsidRDefault="00FB619E" w:rsidP="00FB619E">
            <w:pPr>
              <w:spacing w:after="120"/>
            </w:pPr>
            <w:r>
              <w:t>95</w:t>
            </w:r>
            <w:r w:rsidR="004B6381" w:rsidRPr="002673D1">
              <w:tab/>
              <w:t xml:space="preserve">Reconocemos el esfuerzo de la Dirección para promover la participación de países en desarrollo, </w:t>
            </w:r>
            <w:r w:rsidR="009019CE" w:rsidRPr="002673D1">
              <w:t xml:space="preserve">también como seguimiento de </w:t>
            </w:r>
            <w:r w:rsidR="00E86AB6" w:rsidRPr="002673D1">
              <w:t>nuestras</w:t>
            </w:r>
            <w:r w:rsidR="009019CE" w:rsidRPr="002673D1">
              <w:t xml:space="preserve"> recomendaciones y sugerencias </w:t>
            </w:r>
            <w:r w:rsidR="00E86AB6" w:rsidRPr="002673D1">
              <w:t xml:space="preserve">contenidas </w:t>
            </w:r>
            <w:r w:rsidR="009019CE" w:rsidRPr="002673D1">
              <w:t xml:space="preserve">en el informe del año pasado (véase la sugerencia 7/2012), </w:t>
            </w:r>
            <w:r w:rsidR="00C1537C" w:rsidRPr="002673D1">
              <w:t xml:space="preserve">y </w:t>
            </w:r>
            <w:r w:rsidR="004B6381" w:rsidRPr="002673D1">
              <w:rPr>
                <w:u w:val="single"/>
              </w:rPr>
              <w:t>sugerimos</w:t>
            </w:r>
            <w:r w:rsidR="004B6381" w:rsidRPr="002673D1">
              <w:t xml:space="preserve"> </w:t>
            </w:r>
            <w:r w:rsidR="00C1537C" w:rsidRPr="002673D1">
              <w:t>seguir</w:t>
            </w:r>
            <w:r w:rsidR="004B6381" w:rsidRPr="002673D1">
              <w:t xml:space="preserve"> trabajando para aplicar medidas encaminadas a ayudar a los países en desarrollo, posiblemente aumentando el número de iniciativas que se destinan a </w:t>
            </w:r>
            <w:r w:rsidR="00632722" w:rsidRPr="002673D1">
              <w:t>ellos</w:t>
            </w:r>
            <w:r w:rsidR="004B6381" w:rsidRPr="002673D1">
              <w:t>.</w:t>
            </w:r>
          </w:p>
        </w:tc>
      </w:tr>
    </w:tbl>
    <w:p w:rsidR="004B6381" w:rsidRPr="002673D1" w:rsidRDefault="004B6381" w:rsidP="00FB619E">
      <w:pPr>
        <w:spacing w:before="0"/>
        <w:rPr>
          <w:highlight w:val="green"/>
        </w:rPr>
      </w:pPr>
    </w:p>
    <w:tbl>
      <w:tblPr>
        <w:tblStyle w:val="TableGrid"/>
        <w:tblW w:w="0" w:type="auto"/>
        <w:tblLook w:val="04A0" w:firstRow="1" w:lastRow="0" w:firstColumn="1" w:lastColumn="0" w:noHBand="0" w:noVBand="1"/>
      </w:tblPr>
      <w:tblGrid>
        <w:gridCol w:w="9629"/>
      </w:tblGrid>
      <w:tr w:rsidR="004B6381" w:rsidRPr="002673D1" w:rsidTr="005F7D8F">
        <w:tc>
          <w:tcPr>
            <w:tcW w:w="9629" w:type="dxa"/>
            <w:tcBorders>
              <w:bottom w:val="nil"/>
            </w:tcBorders>
          </w:tcPr>
          <w:p w:rsidR="004B6381" w:rsidRPr="002673D1" w:rsidRDefault="004B6381" w:rsidP="00A52625">
            <w:pPr>
              <w:rPr>
                <w:b/>
                <w:bCs/>
                <w:u w:val="single"/>
              </w:rPr>
            </w:pPr>
            <w:r w:rsidRPr="002673D1">
              <w:rPr>
                <w:b/>
                <w:bCs/>
                <w:u w:val="single"/>
              </w:rPr>
              <w:t>Comentarios del Secretario General</w:t>
            </w:r>
            <w:r w:rsidRPr="00FB619E">
              <w:t>:</w:t>
            </w:r>
          </w:p>
        </w:tc>
      </w:tr>
      <w:tr w:rsidR="004B6381" w:rsidRPr="002673D1" w:rsidTr="005F7D8F">
        <w:tc>
          <w:tcPr>
            <w:tcW w:w="9629" w:type="dxa"/>
            <w:tcBorders>
              <w:top w:val="nil"/>
            </w:tcBorders>
          </w:tcPr>
          <w:p w:rsidR="004B6381" w:rsidRPr="002673D1" w:rsidRDefault="004B6381" w:rsidP="00FB619E">
            <w:pPr>
              <w:spacing w:after="120"/>
              <w:rPr>
                <w:highlight w:val="green"/>
              </w:rPr>
            </w:pPr>
            <w:r w:rsidRPr="002673D1">
              <w:t>Se seguirá trabajando para facilitar la participación de los países en desarrollo, así como en la aplicación de medidas para ayudar a estos países, al tiempo que se examinará la posibilidad de aumentar el número de iniciativas y los recursos económicos que se destinan a ese fin, en la medida en que lo permitan las limitaciones financieras de la Unión.</w:t>
            </w:r>
          </w:p>
        </w:tc>
      </w:tr>
    </w:tbl>
    <w:p w:rsidR="00403BE0" w:rsidRPr="002673D1" w:rsidRDefault="00F872FA" w:rsidP="00FB619E">
      <w:pPr>
        <w:pStyle w:val="Headingi"/>
      </w:pPr>
      <w:bookmarkStart w:id="83" w:name="_Toc396899734"/>
      <w:bookmarkStart w:id="84" w:name="_Toc400028337"/>
      <w:bookmarkStart w:id="85" w:name="_Toc400093959"/>
      <w:r w:rsidRPr="00FB619E">
        <w:lastRenderedPageBreak/>
        <w:t>IFR y encuesta posterior al evento</w:t>
      </w:r>
      <w:bookmarkEnd w:id="83"/>
      <w:bookmarkEnd w:id="84"/>
      <w:bookmarkEnd w:id="85"/>
    </w:p>
    <w:bookmarkEnd w:id="79"/>
    <w:p w:rsidR="00CC754C" w:rsidRPr="002673D1" w:rsidRDefault="00FB619E" w:rsidP="00FB619E">
      <w:r>
        <w:t>96</w:t>
      </w:r>
      <w:r w:rsidR="004B6381" w:rsidRPr="002673D1">
        <w:tab/>
      </w:r>
      <w:r w:rsidR="007E12CF" w:rsidRPr="002673D1">
        <w:t>Los resultados de los análisis de los IFR tienen fundamentalmente por objeto ayudar a la Dirección en sus decisiones estratégicas, y en parte también pueden ser útiles para consolidar algunas pruebas incompletas que se obtengan acerca del evento</w:t>
      </w:r>
      <w:r w:rsidR="005F7D8F" w:rsidRPr="002673D1">
        <w:t>.</w:t>
      </w:r>
    </w:p>
    <w:p w:rsidR="005F7D8F" w:rsidRPr="002673D1" w:rsidRDefault="00FB619E" w:rsidP="00FB619E">
      <w:r>
        <w:t>97</w:t>
      </w:r>
      <w:r w:rsidR="004B6381" w:rsidRPr="002673D1">
        <w:tab/>
      </w:r>
      <w:r w:rsidR="008829D5" w:rsidRPr="002673D1">
        <w:t xml:space="preserve">El </w:t>
      </w:r>
      <w:r w:rsidR="005F7D8F" w:rsidRPr="002673D1">
        <w:t xml:space="preserve">28 </w:t>
      </w:r>
      <w:r w:rsidR="008829D5" w:rsidRPr="002673D1">
        <w:t xml:space="preserve">de noviembre también se llevó a cabo una </w:t>
      </w:r>
      <w:r w:rsidR="00BC3D04">
        <w:t>"</w:t>
      </w:r>
      <w:r w:rsidR="008829D5" w:rsidRPr="002673D1">
        <w:t>encuesta en línea posterior al evento</w:t>
      </w:r>
      <w:r w:rsidR="00BC3D04">
        <w:t>"</w:t>
      </w:r>
      <w:r w:rsidR="005F7D8F" w:rsidRPr="002673D1">
        <w:t xml:space="preserve"> </w:t>
      </w:r>
      <w:r w:rsidR="008829D5" w:rsidRPr="002673D1">
        <w:t xml:space="preserve">acerca de algunos aspectos de </w:t>
      </w:r>
      <w:r w:rsidR="005F7D8F" w:rsidRPr="002673D1">
        <w:t>ITU Telecom World 2013, u</w:t>
      </w:r>
      <w:r w:rsidR="00864576" w:rsidRPr="002673D1">
        <w:t xml:space="preserve">tilizando un programa informático </w:t>
      </w:r>
      <w:r w:rsidR="00F757A1">
        <w:t>creado a tal efecto</w:t>
      </w:r>
      <w:r w:rsidR="00227007" w:rsidRPr="002673D1">
        <w:t>.</w:t>
      </w:r>
    </w:p>
    <w:p w:rsidR="005F7D8F" w:rsidRPr="002673D1" w:rsidRDefault="00FB619E" w:rsidP="00FB619E">
      <w:r>
        <w:t>98</w:t>
      </w:r>
      <w:r w:rsidR="005F7D8F" w:rsidRPr="002673D1">
        <w:tab/>
      </w:r>
      <w:r w:rsidR="00227007" w:rsidRPr="002673D1">
        <w:t>El porcentaje de asistentes registrados que cumplimentaron el formulario de la encuesta (7%)</w:t>
      </w:r>
      <w:r w:rsidR="005F7D8F" w:rsidRPr="002673D1">
        <w:t xml:space="preserve"> o</w:t>
      </w:r>
      <w:r w:rsidR="00227007" w:rsidRPr="002673D1">
        <w:t xml:space="preserve"> lo consultaron</w:t>
      </w:r>
      <w:r w:rsidR="005F7D8F" w:rsidRPr="002673D1">
        <w:t xml:space="preserve"> (18%) </w:t>
      </w:r>
      <w:r w:rsidR="00227007" w:rsidRPr="002673D1">
        <w:t>es bajo</w:t>
      </w:r>
      <w:r w:rsidR="005F7D8F" w:rsidRPr="002673D1">
        <w:t xml:space="preserve">. </w:t>
      </w:r>
      <w:r w:rsidR="00ED47B1" w:rsidRPr="002673D1">
        <w:t>No obstante, la información obtenida permite formular algunas observaciones</w:t>
      </w:r>
      <w:r w:rsidR="005F7D8F" w:rsidRPr="002673D1">
        <w:t>.</w:t>
      </w:r>
    </w:p>
    <w:p w:rsidR="005F7D8F" w:rsidRPr="002673D1" w:rsidRDefault="00FB619E" w:rsidP="00532FF0">
      <w:r>
        <w:t>99</w:t>
      </w:r>
      <w:r w:rsidR="005F7D8F" w:rsidRPr="002673D1">
        <w:tab/>
      </w:r>
      <w:r w:rsidR="000B03C1" w:rsidRPr="002673D1">
        <w:t xml:space="preserve">La documentación sobre los IFR nos permitió obtener la confirmación de que casi la mitad de los participantes en el Foro provenía de la </w:t>
      </w:r>
      <w:r w:rsidR="00532FF0">
        <w:t>R</w:t>
      </w:r>
      <w:r w:rsidR="000B03C1" w:rsidRPr="002673D1">
        <w:t>egión de Asia y el Pacífico</w:t>
      </w:r>
      <w:r w:rsidR="005F7D8F" w:rsidRPr="002673D1">
        <w:t xml:space="preserve">. </w:t>
      </w:r>
      <w:r w:rsidR="0040290D" w:rsidRPr="002673D1">
        <w:t xml:space="preserve">Más del </w:t>
      </w:r>
      <w:r w:rsidR="005F7D8F" w:rsidRPr="002673D1">
        <w:t xml:space="preserve">80% </w:t>
      </w:r>
      <w:r w:rsidR="00D81201">
        <w:t xml:space="preserve">de los asistentes </w:t>
      </w:r>
      <w:r w:rsidR="0040290D" w:rsidRPr="002673D1">
        <w:t xml:space="preserve">a la </w:t>
      </w:r>
      <w:r w:rsidR="00D81201" w:rsidRPr="002673D1">
        <w:t xml:space="preserve">Exposición </w:t>
      </w:r>
      <w:r w:rsidR="0040290D" w:rsidRPr="002673D1">
        <w:t>venía de la misma región</w:t>
      </w:r>
      <w:r w:rsidR="00BC3D04">
        <w:t>.</w:t>
      </w:r>
    </w:p>
    <w:p w:rsidR="005F7D8F" w:rsidRPr="002673D1" w:rsidRDefault="00FB619E" w:rsidP="001831A7">
      <w:r>
        <w:t>100</w:t>
      </w:r>
      <w:r w:rsidR="005F7D8F" w:rsidRPr="002673D1">
        <w:tab/>
      </w:r>
      <w:r w:rsidR="00632F0C" w:rsidRPr="002673D1">
        <w:t xml:space="preserve">Este hecho, sumado a las consideraciones formuladas en el párrafo </w:t>
      </w:r>
      <w:r w:rsidR="005F7D8F" w:rsidRPr="002673D1">
        <w:t xml:space="preserve">85, </w:t>
      </w:r>
      <w:r w:rsidR="00632F0C" w:rsidRPr="002673D1">
        <w:t xml:space="preserve">muestra que </w:t>
      </w:r>
      <w:r w:rsidR="005F7D8F" w:rsidRPr="002673D1">
        <w:t>Telecom</w:t>
      </w:r>
      <w:r w:rsidR="001831A7">
        <w:t> </w:t>
      </w:r>
      <w:r w:rsidR="005F7D8F" w:rsidRPr="002673D1">
        <w:t>World (</w:t>
      </w:r>
      <w:r w:rsidR="00632F0C" w:rsidRPr="002673D1">
        <w:t>pese al nombre que recibe</w:t>
      </w:r>
      <w:r w:rsidR="005F7D8F" w:rsidRPr="002673D1">
        <w:t xml:space="preserve">) </w:t>
      </w:r>
      <w:r w:rsidR="00632F0C" w:rsidRPr="002673D1">
        <w:t xml:space="preserve">podría estar en peligro de convertirse </w:t>
      </w:r>
      <w:r w:rsidR="00AA1F25" w:rsidRPr="002673D1">
        <w:t xml:space="preserve">en un evento difícilmente discernible de un evento regional. </w:t>
      </w:r>
    </w:p>
    <w:p w:rsidR="004B6381" w:rsidRPr="002673D1" w:rsidRDefault="00FB619E" w:rsidP="001831A7">
      <w:pPr>
        <w:keepLines/>
      </w:pPr>
      <w:r>
        <w:t>101</w:t>
      </w:r>
      <w:r w:rsidR="005F7D8F" w:rsidRPr="002673D1">
        <w:tab/>
      </w:r>
      <w:r w:rsidR="002B0045" w:rsidRPr="002673D1">
        <w:t xml:space="preserve">Como ya se ha mencionado en el párrafo </w:t>
      </w:r>
      <w:r w:rsidR="005F7D8F" w:rsidRPr="00CA1E52">
        <w:t>53</w:t>
      </w:r>
      <w:r w:rsidR="005F7D8F" w:rsidRPr="002673D1">
        <w:t xml:space="preserve">, </w:t>
      </w:r>
      <w:r w:rsidR="00235569" w:rsidRPr="002673D1">
        <w:t>se ha logrado un b</w:t>
      </w:r>
      <w:r w:rsidR="002424FB" w:rsidRPr="002673D1">
        <w:t>uen</w:t>
      </w:r>
      <w:r w:rsidR="00235569" w:rsidRPr="002673D1">
        <w:t xml:space="preserve"> </w:t>
      </w:r>
      <w:r w:rsidR="002424FB" w:rsidRPr="00CA1E52">
        <w:t>equilibrio</w:t>
      </w:r>
      <w:r w:rsidR="002424FB" w:rsidRPr="002673D1">
        <w:t xml:space="preserve"> </w:t>
      </w:r>
      <w:r w:rsidR="009F738F" w:rsidRPr="002673D1">
        <w:t>entre la facilitación del acceso y los resultados financieros aceptables</w:t>
      </w:r>
      <w:r w:rsidR="005F7D8F" w:rsidRPr="002673D1">
        <w:t xml:space="preserve">; </w:t>
      </w:r>
      <w:r w:rsidR="009B7F70" w:rsidRPr="002673D1">
        <w:t>con todo</w:t>
      </w:r>
      <w:r w:rsidR="005F7D8F" w:rsidRPr="002673D1">
        <w:t xml:space="preserve">, </w:t>
      </w:r>
      <w:r w:rsidR="009B7F70" w:rsidRPr="002673D1">
        <w:t>una parte importante de participantes que respondieron a la encuesta declaró que l</w:t>
      </w:r>
      <w:r w:rsidR="005F7D8F" w:rsidRPr="002673D1">
        <w:t>a</w:t>
      </w:r>
      <w:r w:rsidR="009B7F70" w:rsidRPr="002673D1">
        <w:t>s</w:t>
      </w:r>
      <w:r w:rsidR="005F7D8F" w:rsidRPr="002673D1">
        <w:t xml:space="preserve"> </w:t>
      </w:r>
      <w:r w:rsidR="009B7F70" w:rsidRPr="002673D1">
        <w:t>tasas y los precios habían tenido una influencia negativa en la posibilidad de lograr una mayor asistencia.</w:t>
      </w:r>
    </w:p>
    <w:p w:rsidR="005F7D8F" w:rsidRPr="00FB619E" w:rsidRDefault="00965B06" w:rsidP="00FB619E">
      <w:pPr>
        <w:pStyle w:val="Headingi"/>
      </w:pPr>
      <w:bookmarkStart w:id="86" w:name="_Toc396899735"/>
      <w:bookmarkStart w:id="87" w:name="_Toc400028338"/>
      <w:bookmarkStart w:id="88" w:name="_Toc400093960"/>
      <w:r w:rsidRPr="00FB619E">
        <w:t>Paridad entre hombres y mujeres</w:t>
      </w:r>
      <w:bookmarkEnd w:id="86"/>
      <w:bookmarkEnd w:id="87"/>
      <w:bookmarkEnd w:id="88"/>
    </w:p>
    <w:p w:rsidR="004B6381" w:rsidRPr="002673D1" w:rsidRDefault="00FB619E" w:rsidP="00FB619E">
      <w:r>
        <w:t>102</w:t>
      </w:r>
      <w:r w:rsidR="004B6381" w:rsidRPr="002673D1">
        <w:tab/>
      </w:r>
      <w:r w:rsidR="0003285A" w:rsidRPr="002673D1">
        <w:t>Desde el punto de vista de la paridad entre hombres y mujeres</w:t>
      </w:r>
      <w:r w:rsidR="005F7D8F" w:rsidRPr="002673D1">
        <w:t xml:space="preserve">, </w:t>
      </w:r>
      <w:r w:rsidR="008A4DDB" w:rsidRPr="002673D1">
        <w:t>la participación en las reuniones del Foro resultó muy desequilibrada en favor de la población masculina</w:t>
      </w:r>
      <w:r w:rsidR="005F7D8F" w:rsidRPr="002673D1">
        <w:t xml:space="preserve"> (82%).</w:t>
      </w:r>
    </w:p>
    <w:p w:rsidR="00727D6A" w:rsidRPr="002673D1" w:rsidRDefault="00727D6A" w:rsidP="00A52625">
      <w:pPr>
        <w:pStyle w:val="Reasons"/>
      </w:pPr>
    </w:p>
    <w:tbl>
      <w:tblPr>
        <w:tblStyle w:val="TableGrid"/>
        <w:tblW w:w="0" w:type="auto"/>
        <w:tblLook w:val="04A0" w:firstRow="1" w:lastRow="0" w:firstColumn="1" w:lastColumn="0" w:noHBand="0" w:noVBand="1"/>
      </w:tblPr>
      <w:tblGrid>
        <w:gridCol w:w="9629"/>
      </w:tblGrid>
      <w:tr w:rsidR="00727D6A" w:rsidRPr="002673D1" w:rsidTr="003B5DAB">
        <w:tc>
          <w:tcPr>
            <w:tcW w:w="9855" w:type="dxa"/>
            <w:tcBorders>
              <w:bottom w:val="nil"/>
            </w:tcBorders>
          </w:tcPr>
          <w:p w:rsidR="00727D6A" w:rsidRPr="002673D1" w:rsidRDefault="00727D6A" w:rsidP="00A52625">
            <w:pPr>
              <w:keepNext/>
              <w:rPr>
                <w:b/>
                <w:bCs/>
                <w:u w:val="single"/>
              </w:rPr>
            </w:pPr>
            <w:r w:rsidRPr="002673D1">
              <w:rPr>
                <w:b/>
                <w:bCs/>
                <w:u w:val="single"/>
              </w:rPr>
              <w:t xml:space="preserve">Sugerencia </w:t>
            </w:r>
            <w:r w:rsidR="00BE0A42">
              <w:rPr>
                <w:b/>
                <w:bCs/>
                <w:u w:val="single"/>
              </w:rPr>
              <w:t>Nº</w:t>
            </w:r>
            <w:r w:rsidRPr="002673D1">
              <w:rPr>
                <w:b/>
                <w:bCs/>
                <w:u w:val="single"/>
              </w:rPr>
              <w:t xml:space="preserve"> 9</w:t>
            </w:r>
          </w:p>
        </w:tc>
      </w:tr>
      <w:tr w:rsidR="00727D6A" w:rsidRPr="002673D1" w:rsidTr="003B5DAB">
        <w:tc>
          <w:tcPr>
            <w:tcW w:w="9855" w:type="dxa"/>
            <w:tcBorders>
              <w:top w:val="nil"/>
            </w:tcBorders>
          </w:tcPr>
          <w:p w:rsidR="00727D6A" w:rsidRPr="002673D1" w:rsidRDefault="00FB619E" w:rsidP="00FB619E">
            <w:pPr>
              <w:spacing w:after="120"/>
            </w:pPr>
            <w:r>
              <w:t>103</w:t>
            </w:r>
            <w:r w:rsidR="00727D6A" w:rsidRPr="002673D1">
              <w:tab/>
            </w:r>
            <w:r w:rsidR="00805589" w:rsidRPr="002673D1">
              <w:t xml:space="preserve">Si bien la participación en el Foro no puede estar condicionada </w:t>
            </w:r>
            <w:r w:rsidR="00EA169A">
              <w:t>por</w:t>
            </w:r>
            <w:r w:rsidR="00805589" w:rsidRPr="002673D1">
              <w:t xml:space="preserve"> criterios de género</w:t>
            </w:r>
            <w:r w:rsidR="005F7D8F" w:rsidRPr="002673D1">
              <w:t xml:space="preserve">, </w:t>
            </w:r>
            <w:r w:rsidR="005F7D8F" w:rsidRPr="002673D1">
              <w:rPr>
                <w:u w:val="single"/>
              </w:rPr>
              <w:t>suge</w:t>
            </w:r>
            <w:r w:rsidR="00805589" w:rsidRPr="002673D1">
              <w:rPr>
                <w:u w:val="single"/>
              </w:rPr>
              <w:t>rimo</w:t>
            </w:r>
            <w:r w:rsidR="005F7D8F" w:rsidRPr="002673D1">
              <w:rPr>
                <w:u w:val="single"/>
              </w:rPr>
              <w:t>s</w:t>
            </w:r>
            <w:r w:rsidR="005F7D8F" w:rsidRPr="002673D1">
              <w:t xml:space="preserve"> </w:t>
            </w:r>
            <w:r w:rsidR="00805589" w:rsidRPr="002673D1">
              <w:t>abordar este asunto y encontrar una manera de corregir este desequilibrio</w:t>
            </w:r>
            <w:r w:rsidR="005F7D8F" w:rsidRPr="002673D1">
              <w:t>.</w:t>
            </w:r>
          </w:p>
        </w:tc>
      </w:tr>
    </w:tbl>
    <w:p w:rsidR="00727D6A" w:rsidRPr="002673D1" w:rsidRDefault="00727D6A" w:rsidP="00FB619E">
      <w:pPr>
        <w:spacing w:before="0"/>
        <w:rPr>
          <w:highlight w:val="green"/>
        </w:rPr>
      </w:pPr>
    </w:p>
    <w:tbl>
      <w:tblPr>
        <w:tblStyle w:val="TableGrid"/>
        <w:tblW w:w="0" w:type="auto"/>
        <w:tblLook w:val="04A0" w:firstRow="1" w:lastRow="0" w:firstColumn="1" w:lastColumn="0" w:noHBand="0" w:noVBand="1"/>
      </w:tblPr>
      <w:tblGrid>
        <w:gridCol w:w="9629"/>
      </w:tblGrid>
      <w:tr w:rsidR="00727D6A" w:rsidRPr="002673D1" w:rsidTr="00F872FA">
        <w:tc>
          <w:tcPr>
            <w:tcW w:w="9629" w:type="dxa"/>
            <w:tcBorders>
              <w:bottom w:val="nil"/>
            </w:tcBorders>
          </w:tcPr>
          <w:p w:rsidR="00727D6A" w:rsidRPr="002673D1" w:rsidRDefault="00727D6A" w:rsidP="00A52625">
            <w:pPr>
              <w:rPr>
                <w:b/>
                <w:bCs/>
                <w:u w:val="single"/>
              </w:rPr>
            </w:pPr>
            <w:r w:rsidRPr="002673D1">
              <w:rPr>
                <w:b/>
                <w:bCs/>
                <w:u w:val="single"/>
              </w:rPr>
              <w:t>Comentarios del Secretario General</w:t>
            </w:r>
            <w:r w:rsidRPr="00FB619E">
              <w:t>:</w:t>
            </w:r>
          </w:p>
        </w:tc>
      </w:tr>
      <w:tr w:rsidR="00727D6A" w:rsidRPr="002673D1" w:rsidTr="00F872FA">
        <w:tc>
          <w:tcPr>
            <w:tcW w:w="9629" w:type="dxa"/>
            <w:tcBorders>
              <w:top w:val="nil"/>
            </w:tcBorders>
          </w:tcPr>
          <w:p w:rsidR="00727D6A" w:rsidRPr="002673D1" w:rsidRDefault="005F7D8F" w:rsidP="00FB619E">
            <w:pPr>
              <w:spacing w:after="120"/>
              <w:rPr>
                <w:highlight w:val="green"/>
              </w:rPr>
            </w:pPr>
            <w:r w:rsidRPr="002673D1">
              <w:t>Se seguirá trabajando para mejorar el equilibrio entre hombres y mujeres entre los participantes.</w:t>
            </w:r>
          </w:p>
        </w:tc>
      </w:tr>
    </w:tbl>
    <w:p w:rsidR="00727D6A" w:rsidRPr="00FB619E" w:rsidRDefault="00A81228" w:rsidP="00FB619E">
      <w:pPr>
        <w:pStyle w:val="Headingi"/>
      </w:pPr>
      <w:bookmarkStart w:id="89" w:name="_Toc396899736"/>
      <w:bookmarkStart w:id="90" w:name="_Toc400028339"/>
      <w:bookmarkStart w:id="91" w:name="_Toc400093961"/>
      <w:r w:rsidRPr="00FB619E">
        <w:t xml:space="preserve">Identidad de </w:t>
      </w:r>
      <w:r w:rsidR="00F872FA" w:rsidRPr="00FB619E">
        <w:t>ITU Telecom World</w:t>
      </w:r>
      <w:bookmarkEnd w:id="89"/>
      <w:bookmarkEnd w:id="90"/>
      <w:bookmarkEnd w:id="91"/>
    </w:p>
    <w:p w:rsidR="00F872FA" w:rsidRPr="002673D1" w:rsidRDefault="00FB619E" w:rsidP="00FB619E">
      <w:r>
        <w:t>104</w:t>
      </w:r>
      <w:r w:rsidR="00727D6A" w:rsidRPr="002673D1">
        <w:tab/>
      </w:r>
      <w:r w:rsidR="00A81228" w:rsidRPr="002673D1">
        <w:t xml:space="preserve">Los resultados de la encuesta muestran que el Foro ha </w:t>
      </w:r>
      <w:r w:rsidR="005B7A8E" w:rsidRPr="002673D1">
        <w:t>sido</w:t>
      </w:r>
      <w:r w:rsidR="00A81228" w:rsidRPr="002673D1">
        <w:t xml:space="preserve"> mejor valorad</w:t>
      </w:r>
      <w:r w:rsidR="00135A7B" w:rsidRPr="002673D1">
        <w:t>o</w:t>
      </w:r>
      <w:r w:rsidR="00A81228" w:rsidRPr="002673D1">
        <w:t xml:space="preserve"> que la </w:t>
      </w:r>
      <w:r w:rsidR="00C31F7C" w:rsidRPr="002673D1">
        <w:t>Exposición</w:t>
      </w:r>
      <w:r w:rsidR="00F872FA" w:rsidRPr="002673D1">
        <w:t xml:space="preserve">. </w:t>
      </w:r>
      <w:r w:rsidR="00135A7B" w:rsidRPr="002673D1">
        <w:t>Con respecto a esta última</w:t>
      </w:r>
      <w:r w:rsidR="00F872FA" w:rsidRPr="002673D1">
        <w:t xml:space="preserve">, </w:t>
      </w:r>
      <w:r w:rsidR="00135A7B" w:rsidRPr="002673D1">
        <w:t xml:space="preserve">se tomó nota de la </w:t>
      </w:r>
      <w:r w:rsidR="00C73DFE" w:rsidRPr="002673D1">
        <w:t>falta de diversidad</w:t>
      </w:r>
      <w:r w:rsidR="00F872FA" w:rsidRPr="002673D1">
        <w:t xml:space="preserve">, </w:t>
      </w:r>
      <w:r w:rsidR="00C73DFE" w:rsidRPr="002673D1">
        <w:t>la escasa frecuentación y la poca atención centrada en la tecnología</w:t>
      </w:r>
      <w:r w:rsidR="00F872FA" w:rsidRPr="002673D1">
        <w:t xml:space="preserve">. </w:t>
      </w:r>
      <w:r w:rsidR="001B1867" w:rsidRPr="002673D1">
        <w:t xml:space="preserve">El motivo más importante para asistir al evento era, según las personas que respondieron a la encuesta, </w:t>
      </w:r>
      <w:r w:rsidR="00C31F7C">
        <w:t>para crear</w:t>
      </w:r>
      <w:r w:rsidR="00937B9D" w:rsidRPr="002673D1">
        <w:t xml:space="preserve"> redes de contacto, pero se valoran escasamente las sesiones interactivas</w:t>
      </w:r>
      <w:r w:rsidR="00F872FA" w:rsidRPr="002673D1">
        <w:t xml:space="preserve">. </w:t>
      </w:r>
    </w:p>
    <w:p w:rsidR="00F872FA" w:rsidRPr="002673D1" w:rsidRDefault="00FB619E" w:rsidP="001831A7">
      <w:r>
        <w:lastRenderedPageBreak/>
        <w:t>105</w:t>
      </w:r>
      <w:r w:rsidR="00F872FA" w:rsidRPr="002673D1">
        <w:tab/>
      </w:r>
      <w:r w:rsidR="00023588" w:rsidRPr="002673D1">
        <w:t>Consideramos esta indicación</w:t>
      </w:r>
      <w:r w:rsidR="001678F2">
        <w:t xml:space="preserve"> como</w:t>
      </w:r>
      <w:r w:rsidR="00023588" w:rsidRPr="002673D1">
        <w:t xml:space="preserve"> un posible debilitamiento de la identidad del evento ITU</w:t>
      </w:r>
      <w:r w:rsidR="001831A7">
        <w:t> </w:t>
      </w:r>
      <w:r w:rsidR="00F872FA" w:rsidRPr="002673D1">
        <w:t xml:space="preserve">Telecom World, </w:t>
      </w:r>
      <w:r w:rsidR="00023588" w:rsidRPr="002673D1">
        <w:t>que en el futuro podría repercutir en su función e importancia en el sector de las telecomunicaciones</w:t>
      </w:r>
      <w:r w:rsidR="00F872FA" w:rsidRPr="002673D1">
        <w:t>.</w:t>
      </w:r>
    </w:p>
    <w:p w:rsidR="00727D6A" w:rsidRDefault="00FB619E" w:rsidP="00FB619E">
      <w:r>
        <w:t>106</w:t>
      </w:r>
      <w:r w:rsidR="00F872FA" w:rsidRPr="002673D1">
        <w:tab/>
      </w:r>
      <w:r w:rsidR="003844C0" w:rsidRPr="002673D1">
        <w:t xml:space="preserve">Opinamos que la Dirección debe estar preparada para replantearse de manera decisiva el evento y la proporción de los elementos que lo integran, para preservar o cambiar la propia identidad </w:t>
      </w:r>
      <w:r w:rsidR="00E54FB1" w:rsidRPr="002673D1">
        <w:t>del evento.</w:t>
      </w:r>
    </w:p>
    <w:p w:rsidR="00FB619E" w:rsidRPr="002673D1" w:rsidRDefault="00FB619E" w:rsidP="00FB619E">
      <w:pPr>
        <w:spacing w:before="0"/>
      </w:pPr>
    </w:p>
    <w:tbl>
      <w:tblPr>
        <w:tblStyle w:val="TableGrid"/>
        <w:tblW w:w="0" w:type="auto"/>
        <w:tblLook w:val="04A0" w:firstRow="1" w:lastRow="0" w:firstColumn="1" w:lastColumn="0" w:noHBand="0" w:noVBand="1"/>
      </w:tblPr>
      <w:tblGrid>
        <w:gridCol w:w="9629"/>
      </w:tblGrid>
      <w:tr w:rsidR="00727D6A" w:rsidRPr="002673D1" w:rsidTr="003B5DAB">
        <w:tc>
          <w:tcPr>
            <w:tcW w:w="9855" w:type="dxa"/>
            <w:tcBorders>
              <w:bottom w:val="nil"/>
            </w:tcBorders>
          </w:tcPr>
          <w:p w:rsidR="00727D6A" w:rsidRPr="002673D1" w:rsidRDefault="00727D6A" w:rsidP="00A52625">
            <w:pPr>
              <w:keepNext/>
              <w:rPr>
                <w:b/>
                <w:bCs/>
                <w:u w:val="single"/>
              </w:rPr>
            </w:pPr>
            <w:r w:rsidRPr="002673D1">
              <w:rPr>
                <w:b/>
                <w:bCs/>
                <w:u w:val="single"/>
              </w:rPr>
              <w:t xml:space="preserve">Sugerencia </w:t>
            </w:r>
            <w:r w:rsidR="00BE0A42">
              <w:rPr>
                <w:b/>
                <w:bCs/>
                <w:u w:val="single"/>
              </w:rPr>
              <w:t>Nº</w:t>
            </w:r>
            <w:r w:rsidRPr="002673D1">
              <w:rPr>
                <w:b/>
                <w:bCs/>
                <w:u w:val="single"/>
              </w:rPr>
              <w:t xml:space="preserve"> 10</w:t>
            </w:r>
          </w:p>
        </w:tc>
      </w:tr>
      <w:tr w:rsidR="00727D6A" w:rsidRPr="002673D1" w:rsidTr="003B5DAB">
        <w:tc>
          <w:tcPr>
            <w:tcW w:w="9855" w:type="dxa"/>
            <w:tcBorders>
              <w:top w:val="nil"/>
            </w:tcBorders>
          </w:tcPr>
          <w:p w:rsidR="00727D6A" w:rsidRPr="002673D1" w:rsidRDefault="00FB619E" w:rsidP="00FB619E">
            <w:pPr>
              <w:spacing w:after="120"/>
            </w:pPr>
            <w:r>
              <w:t>107</w:t>
            </w:r>
            <w:r w:rsidR="00727D6A" w:rsidRPr="002673D1">
              <w:tab/>
            </w:r>
            <w:r w:rsidR="00E54FB1" w:rsidRPr="002673D1">
              <w:t>Dado que estas decisiones se engloban en el ámbito de actividades y se señalan a la atención de la Conferencia de Plenipotenciarios</w:t>
            </w:r>
            <w:r w:rsidR="00F872FA" w:rsidRPr="002673D1">
              <w:t xml:space="preserve">, </w:t>
            </w:r>
            <w:r w:rsidR="00F872FA" w:rsidRPr="002673D1">
              <w:rPr>
                <w:u w:val="single"/>
              </w:rPr>
              <w:t>suge</w:t>
            </w:r>
            <w:r w:rsidR="00E54FB1" w:rsidRPr="002673D1">
              <w:rPr>
                <w:u w:val="single"/>
              </w:rPr>
              <w:t>rimo</w:t>
            </w:r>
            <w:r w:rsidR="00F872FA" w:rsidRPr="002673D1">
              <w:rPr>
                <w:u w:val="single"/>
              </w:rPr>
              <w:t>s</w:t>
            </w:r>
            <w:r w:rsidR="00F872FA" w:rsidRPr="002673D1">
              <w:t xml:space="preserve"> </w:t>
            </w:r>
            <w:r w:rsidR="00E54FB1" w:rsidRPr="002673D1">
              <w:t>que la Dirección presente un estudio sobre este asunto para ayudar a la Conferencia de Plenipotenciarios a tomar las decisiones correctas</w:t>
            </w:r>
            <w:r w:rsidR="00F872FA" w:rsidRPr="002673D1">
              <w:t>.</w:t>
            </w:r>
          </w:p>
        </w:tc>
      </w:tr>
    </w:tbl>
    <w:p w:rsidR="00727D6A" w:rsidRPr="002673D1" w:rsidRDefault="00727D6A" w:rsidP="00FB619E">
      <w:pPr>
        <w:spacing w:before="0"/>
        <w:rPr>
          <w:highlight w:val="green"/>
        </w:rPr>
      </w:pPr>
    </w:p>
    <w:tbl>
      <w:tblPr>
        <w:tblStyle w:val="TableGrid"/>
        <w:tblW w:w="0" w:type="auto"/>
        <w:tblLook w:val="04A0" w:firstRow="1" w:lastRow="0" w:firstColumn="1" w:lastColumn="0" w:noHBand="0" w:noVBand="1"/>
      </w:tblPr>
      <w:tblGrid>
        <w:gridCol w:w="9629"/>
      </w:tblGrid>
      <w:tr w:rsidR="00727D6A" w:rsidRPr="002673D1" w:rsidTr="00F872FA">
        <w:tc>
          <w:tcPr>
            <w:tcW w:w="9629" w:type="dxa"/>
            <w:tcBorders>
              <w:bottom w:val="nil"/>
            </w:tcBorders>
          </w:tcPr>
          <w:p w:rsidR="00727D6A" w:rsidRPr="002673D1" w:rsidRDefault="00727D6A" w:rsidP="00A52625">
            <w:pPr>
              <w:rPr>
                <w:b/>
                <w:bCs/>
                <w:u w:val="single"/>
              </w:rPr>
            </w:pPr>
            <w:r w:rsidRPr="002673D1">
              <w:rPr>
                <w:b/>
                <w:bCs/>
                <w:u w:val="single"/>
              </w:rPr>
              <w:t>Comentarios del Secretario General</w:t>
            </w:r>
            <w:r w:rsidRPr="00FB619E">
              <w:t>:</w:t>
            </w:r>
          </w:p>
        </w:tc>
      </w:tr>
      <w:tr w:rsidR="00727D6A" w:rsidRPr="002673D1" w:rsidTr="00F872FA">
        <w:tc>
          <w:tcPr>
            <w:tcW w:w="9629" w:type="dxa"/>
            <w:tcBorders>
              <w:top w:val="nil"/>
            </w:tcBorders>
          </w:tcPr>
          <w:p w:rsidR="00727D6A" w:rsidRPr="002673D1" w:rsidRDefault="00405889" w:rsidP="00FB619E">
            <w:pPr>
              <w:spacing w:after="120"/>
              <w:rPr>
                <w:highlight w:val="green"/>
              </w:rPr>
            </w:pPr>
            <w:r w:rsidRPr="002673D1">
              <w:t xml:space="preserve">La transformación de </w:t>
            </w:r>
            <w:r w:rsidR="00F872FA" w:rsidRPr="002673D1">
              <w:t xml:space="preserve">ITU Telecom </w:t>
            </w:r>
            <w:r w:rsidRPr="002673D1">
              <w:t xml:space="preserve">iniciada tras la </w:t>
            </w:r>
            <w:r w:rsidR="00F872FA" w:rsidRPr="002673D1">
              <w:t xml:space="preserve">PP-10 ha </w:t>
            </w:r>
            <w:r w:rsidRPr="002673D1">
              <w:t xml:space="preserve">resultado un éxito, como queda confirmado en los resultados financieros y varias encuestas. </w:t>
            </w:r>
            <w:r w:rsidR="00006EFC" w:rsidRPr="002673D1">
              <w:t>Se seguirá trabajando para perfeccionar la propuesta de valor</w:t>
            </w:r>
            <w:r w:rsidR="00F872FA" w:rsidRPr="002673D1">
              <w:t xml:space="preserve"> </w:t>
            </w:r>
            <w:r w:rsidR="000219E2" w:rsidRPr="002673D1">
              <w:t>y recobrar preeminencia</w:t>
            </w:r>
            <w:r w:rsidR="00F872FA" w:rsidRPr="002673D1">
              <w:t>.</w:t>
            </w:r>
          </w:p>
        </w:tc>
      </w:tr>
    </w:tbl>
    <w:p w:rsidR="00727D6A" w:rsidRPr="002673D1" w:rsidRDefault="00F872FA" w:rsidP="00FB619E">
      <w:pPr>
        <w:pStyle w:val="Headingb"/>
      </w:pPr>
      <w:bookmarkStart w:id="92" w:name="_Toc400028340"/>
      <w:bookmarkStart w:id="93" w:name="_Toc400093962"/>
      <w:r w:rsidRPr="002673D1">
        <w:t>An</w:t>
      </w:r>
      <w:r w:rsidR="000219E2" w:rsidRPr="002673D1">
        <w:t>exo</w:t>
      </w:r>
      <w:r w:rsidRPr="002673D1">
        <w:t>s</w:t>
      </w:r>
      <w:bookmarkEnd w:id="92"/>
      <w:bookmarkEnd w:id="93"/>
    </w:p>
    <w:p w:rsidR="00F872FA" w:rsidRPr="002673D1" w:rsidRDefault="00FB619E" w:rsidP="00FB619E">
      <w:r>
        <w:t>108</w:t>
      </w:r>
      <w:r w:rsidR="00727D6A" w:rsidRPr="002673D1">
        <w:tab/>
      </w:r>
      <w:r w:rsidR="00F22648" w:rsidRPr="002673D1">
        <w:t xml:space="preserve">Los tres Anexos siguientes forman parte de nuestro </w:t>
      </w:r>
      <w:r w:rsidR="006823C7" w:rsidRPr="002673D1">
        <w:t xml:space="preserve">Informe </w:t>
      </w:r>
      <w:r w:rsidR="00F22648" w:rsidRPr="002673D1">
        <w:t xml:space="preserve">sobre </w:t>
      </w:r>
      <w:r w:rsidR="00F872FA" w:rsidRPr="002673D1">
        <w:t>ITU</w:t>
      </w:r>
      <w:r w:rsidR="00F22648" w:rsidRPr="002673D1">
        <w:t xml:space="preserve"> </w:t>
      </w:r>
      <w:r w:rsidR="00F872FA" w:rsidRPr="002673D1">
        <w:t>Telecom World 2013.</w:t>
      </w:r>
    </w:p>
    <w:p w:rsidR="00F872FA" w:rsidRPr="002673D1" w:rsidRDefault="00FB619E" w:rsidP="00FB619E">
      <w:r>
        <w:t>109</w:t>
      </w:r>
      <w:r w:rsidR="00F872FA" w:rsidRPr="002673D1">
        <w:tab/>
      </w:r>
      <w:r w:rsidR="00F40C73" w:rsidRPr="002673D1">
        <w:t>Hemos presentado un Cuadro de conformidad con la Resolución</w:t>
      </w:r>
      <w:r w:rsidR="00F872FA" w:rsidRPr="002673D1">
        <w:t xml:space="preserve"> 11 (Rev. Guadalajara, 2010) </w:t>
      </w:r>
      <w:r w:rsidR="00F40C73" w:rsidRPr="002673D1">
        <w:t>para ofrecer un resumen útil también desde el punto de vista</w:t>
      </w:r>
      <w:r w:rsidR="00557F65">
        <w:t xml:space="preserve"> de</w:t>
      </w:r>
      <w:r w:rsidR="00F40C73" w:rsidRPr="002673D1">
        <w:t xml:space="preserve"> las decisiones de la Conferencia de Plenipotenciarios</w:t>
      </w:r>
      <w:r w:rsidR="00F872FA" w:rsidRPr="002673D1">
        <w:t xml:space="preserve"> (Anex</w:t>
      </w:r>
      <w:r w:rsidR="00F40C73" w:rsidRPr="002673D1">
        <w:t>o</w:t>
      </w:r>
      <w:r w:rsidR="00F872FA" w:rsidRPr="002673D1">
        <w:t xml:space="preserve"> 1).</w:t>
      </w:r>
    </w:p>
    <w:p w:rsidR="00727D6A" w:rsidRDefault="00FB619E" w:rsidP="00FB619E">
      <w:r>
        <w:t>110</w:t>
      </w:r>
      <w:r w:rsidR="00F872FA" w:rsidRPr="002673D1">
        <w:tab/>
      </w:r>
      <w:r w:rsidR="00F679E0" w:rsidRPr="002673D1">
        <w:t xml:space="preserve">Hemos hecho un seguimiento de las recomendaciones y sugerencias presentadas en nuestro </w:t>
      </w:r>
      <w:r w:rsidR="006823C7" w:rsidRPr="002673D1">
        <w:t xml:space="preserve">Informe </w:t>
      </w:r>
      <w:r w:rsidR="00F679E0" w:rsidRPr="002673D1">
        <w:t xml:space="preserve">anterior sobre </w:t>
      </w:r>
      <w:r w:rsidR="00F872FA" w:rsidRPr="002673D1">
        <w:t>ITU Telecom World 2012 (</w:t>
      </w:r>
      <w:r w:rsidR="00F679E0" w:rsidRPr="002673D1">
        <w:t>A</w:t>
      </w:r>
      <w:r w:rsidR="00F872FA" w:rsidRPr="002673D1">
        <w:t>nex</w:t>
      </w:r>
      <w:r w:rsidR="00F679E0" w:rsidRPr="002673D1">
        <w:t>o</w:t>
      </w:r>
      <w:r w:rsidR="00F872FA" w:rsidRPr="002673D1">
        <w:t xml:space="preserve"> II).</w:t>
      </w:r>
    </w:p>
    <w:p w:rsidR="001831A7" w:rsidRPr="002673D1" w:rsidRDefault="001831A7" w:rsidP="00FB619E"/>
    <w:p w:rsidR="00727D6A" w:rsidRPr="002673D1" w:rsidRDefault="00727D6A" w:rsidP="00A52625">
      <w:pPr>
        <w:pStyle w:val="enumlev1"/>
        <w:sectPr w:rsidR="00727D6A" w:rsidRPr="002673D1" w:rsidSect="00871099">
          <w:headerReference w:type="default" r:id="rId18"/>
          <w:footerReference w:type="default" r:id="rId19"/>
          <w:footerReference w:type="first" r:id="rId20"/>
          <w:pgSz w:w="11907" w:h="16834"/>
          <w:pgMar w:top="1418" w:right="1134" w:bottom="1418" w:left="1134" w:header="720" w:footer="720" w:gutter="0"/>
          <w:paperSrc w:first="15" w:other="15"/>
          <w:cols w:space="720"/>
          <w:docGrid w:linePitch="326"/>
        </w:sectPr>
      </w:pPr>
    </w:p>
    <w:p w:rsidR="00FB619E" w:rsidRDefault="00E86AB6" w:rsidP="00FB619E">
      <w:pPr>
        <w:pStyle w:val="AnnexNo"/>
      </w:pPr>
      <w:bookmarkStart w:id="94" w:name="_Toc400028341"/>
      <w:bookmarkStart w:id="95" w:name="_Toc396899738"/>
      <w:bookmarkStart w:id="96" w:name="_Toc400093963"/>
      <w:r w:rsidRPr="002673D1">
        <w:lastRenderedPageBreak/>
        <w:t>AN</w:t>
      </w:r>
      <w:r w:rsidR="00E067B8" w:rsidRPr="002673D1">
        <w:t>EX</w:t>
      </w:r>
      <w:r w:rsidRPr="002673D1">
        <w:t>O</w:t>
      </w:r>
      <w:r w:rsidR="00E067B8" w:rsidRPr="002673D1">
        <w:t xml:space="preserve"> I</w:t>
      </w:r>
      <w:bookmarkEnd w:id="94"/>
      <w:bookmarkEnd w:id="96"/>
    </w:p>
    <w:p w:rsidR="00E067B8" w:rsidRPr="002673D1" w:rsidRDefault="009B0618" w:rsidP="00FB619E">
      <w:pPr>
        <w:pStyle w:val="Annextitle"/>
      </w:pPr>
      <w:bookmarkStart w:id="97" w:name="_Toc400028342"/>
      <w:bookmarkStart w:id="98" w:name="_Toc400093964"/>
      <w:r w:rsidRPr="002673D1">
        <w:t>Cuadro de cumplimiento con la Resolución</w:t>
      </w:r>
      <w:r w:rsidR="00E067B8" w:rsidRPr="002673D1">
        <w:t xml:space="preserve"> 11 (Rev. Guadalajara, 2010)</w:t>
      </w:r>
      <w:bookmarkEnd w:id="95"/>
      <w:bookmarkEnd w:id="97"/>
      <w:bookmarkEnd w:id="98"/>
    </w:p>
    <w:tbl>
      <w:tblPr>
        <w:tblW w:w="5000" w:type="pct"/>
        <w:tblLook w:val="0000" w:firstRow="0" w:lastRow="0" w:firstColumn="0" w:lastColumn="0" w:noHBand="0" w:noVBand="0"/>
      </w:tblPr>
      <w:tblGrid>
        <w:gridCol w:w="1494"/>
        <w:gridCol w:w="4634"/>
        <w:gridCol w:w="3914"/>
        <w:gridCol w:w="4520"/>
      </w:tblGrid>
      <w:tr w:rsidR="00424E95" w:rsidRPr="00FB619E" w:rsidTr="005D0C8F">
        <w:trPr>
          <w:tblHeader/>
        </w:trPr>
        <w:tc>
          <w:tcPr>
            <w:tcW w:w="513" w:type="pct"/>
            <w:tcBorders>
              <w:top w:val="single" w:sz="4" w:space="0" w:color="auto"/>
              <w:left w:val="single" w:sz="4" w:space="0" w:color="auto"/>
              <w:bottom w:val="single" w:sz="4" w:space="0" w:color="auto"/>
              <w:right w:val="single" w:sz="4" w:space="0" w:color="auto"/>
            </w:tcBorders>
          </w:tcPr>
          <w:p w:rsidR="00E067B8" w:rsidRPr="00FB619E" w:rsidRDefault="00E067B8" w:rsidP="00DD7524">
            <w:pPr>
              <w:pStyle w:val="Tablehead"/>
              <w:spacing w:before="40" w:after="40"/>
            </w:pPr>
          </w:p>
        </w:tc>
        <w:tc>
          <w:tcPr>
            <w:tcW w:w="1591" w:type="pct"/>
            <w:tcBorders>
              <w:top w:val="single" w:sz="4" w:space="0" w:color="auto"/>
              <w:left w:val="single" w:sz="4" w:space="0" w:color="auto"/>
              <w:bottom w:val="single" w:sz="4" w:space="0" w:color="auto"/>
              <w:right w:val="single" w:sz="4" w:space="0" w:color="auto"/>
            </w:tcBorders>
          </w:tcPr>
          <w:p w:rsidR="00E067B8" w:rsidRPr="00FB619E" w:rsidRDefault="00E067B8" w:rsidP="00DD7524">
            <w:pPr>
              <w:pStyle w:val="Tablehead"/>
              <w:spacing w:before="40" w:after="40"/>
            </w:pPr>
            <w:r w:rsidRPr="00FB619E">
              <w:t>Text</w:t>
            </w:r>
            <w:r w:rsidR="000A273B" w:rsidRPr="00FB619E">
              <w:t>o de la Resolución</w:t>
            </w:r>
          </w:p>
        </w:tc>
        <w:tc>
          <w:tcPr>
            <w:tcW w:w="1344" w:type="pct"/>
            <w:tcBorders>
              <w:top w:val="single" w:sz="4" w:space="0" w:color="auto"/>
              <w:left w:val="single" w:sz="4" w:space="0" w:color="auto"/>
              <w:bottom w:val="single" w:sz="4" w:space="0" w:color="auto"/>
              <w:right w:val="single" w:sz="4" w:space="0" w:color="auto"/>
            </w:tcBorders>
          </w:tcPr>
          <w:p w:rsidR="00E067B8" w:rsidRPr="00FB619E" w:rsidRDefault="005151A1" w:rsidP="00DD7524">
            <w:pPr>
              <w:pStyle w:val="Tablehead"/>
              <w:spacing w:before="40" w:after="40"/>
            </w:pPr>
            <w:r w:rsidRPr="00FB619E">
              <w:t>Cumplimiento evaluado</w:t>
            </w:r>
          </w:p>
        </w:tc>
        <w:tc>
          <w:tcPr>
            <w:tcW w:w="1552" w:type="pct"/>
            <w:tcBorders>
              <w:top w:val="single" w:sz="4" w:space="0" w:color="auto"/>
              <w:left w:val="single" w:sz="4" w:space="0" w:color="auto"/>
              <w:bottom w:val="single" w:sz="4" w:space="0" w:color="auto"/>
              <w:right w:val="single" w:sz="4" w:space="0" w:color="auto"/>
            </w:tcBorders>
          </w:tcPr>
          <w:p w:rsidR="00E067B8" w:rsidRPr="00FB619E" w:rsidRDefault="00E067B8" w:rsidP="00DD7524">
            <w:pPr>
              <w:pStyle w:val="Tablehead"/>
              <w:spacing w:before="40" w:after="40"/>
            </w:pPr>
            <w:r w:rsidRPr="00FB619E">
              <w:t>Com</w:t>
            </w:r>
            <w:r w:rsidR="000A273B" w:rsidRPr="00FB619E">
              <w:t>entarios de la</w:t>
            </w:r>
            <w:r w:rsidRPr="00FB619E">
              <w:t xml:space="preserve"> </w:t>
            </w:r>
            <w:r w:rsidR="00315951" w:rsidRPr="00FB619E">
              <w:t>Dirección de la UIT</w:t>
            </w: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rPr>
                <w:b/>
                <w:bCs/>
                <w:i/>
                <w:iCs/>
              </w:rPr>
            </w:pPr>
            <w:r w:rsidRPr="00150AA6">
              <w:rPr>
                <w:b/>
                <w:bCs/>
                <w:i/>
                <w:iCs/>
              </w:rPr>
              <w:t>Resuelve 1</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r w:rsidRPr="00150AA6">
              <w:t>... que la Unión, en colaboración con sus Estados Miembros y Miembros de Sector, organice eventos ITU TELECOM sobre temas de gran importancia que estén de actualidad en el entorno actual de las telecomunicaciones/TIC, y en los que se aborden, por ejemplo, las tendencias del mercado, la evaluación de las tecnologías y las cuestiones reglamentarias;</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D27B4A" w:rsidP="00DD7524">
            <w:pPr>
              <w:pStyle w:val="Tabletext"/>
              <w:spacing w:before="40" w:after="40"/>
            </w:pPr>
            <w:r w:rsidRPr="00150AA6">
              <w:t>D</w:t>
            </w:r>
            <w:r w:rsidR="00E067B8" w:rsidRPr="00150AA6">
              <w:t>e</w:t>
            </w:r>
            <w:r w:rsidRPr="00150AA6">
              <w:t xml:space="preserve">bido a la considerable diferencia existente entre el presupuesto inicial del evento y los resultados previstos del evento, el presupuesto de </w:t>
            </w:r>
            <w:r w:rsidR="00E067B8" w:rsidRPr="00150AA6">
              <w:t xml:space="preserve">ITU Telecom World 2013 </w:t>
            </w:r>
            <w:r w:rsidRPr="00150AA6">
              <w:t>se ha revisado más de un mes antes del comienzo del evento</w:t>
            </w:r>
            <w:r w:rsidR="00E067B8" w:rsidRPr="00150AA6">
              <w:t>.</w:t>
            </w: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rPr>
                <w:b/>
                <w:bCs/>
                <w:i/>
                <w:iCs/>
              </w:rPr>
            </w:pPr>
            <w:r w:rsidRPr="00150AA6">
              <w:rPr>
                <w:b/>
                <w:bCs/>
                <w:i/>
                <w:iCs/>
              </w:rPr>
              <w:t>Resuelve 2</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r w:rsidRPr="00150AA6">
              <w:t>... que el Secretario General asuma toda la responsabilidad respecto de las actividades de ITU TELECOM (incluida su planificación, organización y financiación);</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rPr>
                <w:b/>
                <w:bCs/>
                <w:i/>
                <w:iCs/>
              </w:rPr>
            </w:pPr>
            <w:r w:rsidRPr="00150AA6">
              <w:rPr>
                <w:b/>
                <w:bCs/>
                <w:i/>
                <w:iCs/>
              </w:rPr>
              <w:t xml:space="preserve">Resuelve </w:t>
            </w:r>
            <w:r w:rsidR="00E067B8" w:rsidRPr="00150AA6">
              <w:rPr>
                <w:b/>
                <w:bCs/>
                <w:i/>
                <w:iCs/>
              </w:rPr>
              <w:t>3</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r w:rsidRPr="00150AA6">
              <w:t>...</w:t>
            </w:r>
            <w:r w:rsidR="003B5DAB" w:rsidRPr="00150AA6">
              <w:t xml:space="preserve"> que los eventos ITU TELECOM se organicen de forma predecible y periódica, a ser posible en la misma época del año, teniendo debidamente en cuenta la necesidad de velar por que se cumplan las expectativas de todos los participantes en dichos eventos; y, además, se procure que no coincidan con ninguna conferencia o asamblea importante de la UIT;</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rPr>
          <w:cantSplit/>
        </w:trPr>
        <w:tc>
          <w:tcPr>
            <w:tcW w:w="513"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rPr>
                <w:b/>
                <w:bCs/>
                <w:i/>
                <w:iCs/>
              </w:rPr>
            </w:pPr>
            <w:r w:rsidRPr="00150AA6">
              <w:rPr>
                <w:b/>
                <w:bCs/>
                <w:i/>
                <w:iCs/>
              </w:rPr>
              <w:lastRenderedPageBreak/>
              <w:t xml:space="preserve">Resuelve </w:t>
            </w:r>
            <w:r w:rsidR="00E067B8" w:rsidRPr="00150AA6">
              <w:rPr>
                <w:b/>
                <w:bCs/>
                <w:i/>
                <w:iCs/>
              </w:rPr>
              <w:t>4</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r w:rsidRPr="00150AA6">
              <w:t>...</w:t>
            </w:r>
            <w:r w:rsidR="003B5DAB" w:rsidRPr="00150AA6">
              <w:t xml:space="preserve"> que cada evento ITU TELECOM sea viable desde el punto de vista financiero y no tenga consecuencias negativas en el presupuesto de la UIT sobre la base del actual sistema de asignación de costos definido por el Consejo;</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150AA6">
        <w:tc>
          <w:tcPr>
            <w:tcW w:w="513" w:type="pct"/>
            <w:tcBorders>
              <w:top w:val="single" w:sz="4" w:space="0" w:color="auto"/>
              <w:left w:val="single" w:sz="4" w:space="0" w:color="auto"/>
              <w:right w:val="single" w:sz="4" w:space="0" w:color="auto"/>
            </w:tcBorders>
          </w:tcPr>
          <w:p w:rsidR="00E067B8" w:rsidRPr="00150AA6" w:rsidRDefault="003B5DAB" w:rsidP="00DD7524">
            <w:pPr>
              <w:pStyle w:val="Tabletext"/>
              <w:spacing w:before="40" w:after="40"/>
              <w:rPr>
                <w:b/>
                <w:bCs/>
                <w:i/>
                <w:iCs/>
              </w:rPr>
            </w:pPr>
            <w:r w:rsidRPr="00150AA6">
              <w:rPr>
                <w:b/>
                <w:bCs/>
                <w:i/>
                <w:iCs/>
              </w:rPr>
              <w:t xml:space="preserve">Resuelve </w:t>
            </w:r>
            <w:r w:rsidR="00E067B8" w:rsidRPr="00150AA6">
              <w:rPr>
                <w:b/>
                <w:bCs/>
                <w:i/>
                <w:iCs/>
              </w:rPr>
              <w:t>5</w:t>
            </w:r>
          </w:p>
        </w:tc>
        <w:tc>
          <w:tcPr>
            <w:tcW w:w="1591" w:type="pct"/>
            <w:tcBorders>
              <w:top w:val="single" w:sz="4" w:space="0" w:color="auto"/>
              <w:left w:val="single" w:sz="4" w:space="0" w:color="auto"/>
              <w:right w:val="single" w:sz="4" w:space="0" w:color="auto"/>
            </w:tcBorders>
          </w:tcPr>
          <w:p w:rsidR="00E067B8" w:rsidRPr="00150AA6" w:rsidRDefault="00E067B8" w:rsidP="00DD7524">
            <w:pPr>
              <w:pStyle w:val="Tabletext"/>
              <w:spacing w:before="40" w:after="40"/>
            </w:pPr>
            <w:r w:rsidRPr="00150AA6">
              <w:t>...</w:t>
            </w:r>
            <w:r w:rsidR="003B5DAB" w:rsidRPr="00150AA6">
              <w:t xml:space="preserve"> que la Unión, en su proceso de selección de los lugares de celebración de los eventos ITU TELECOM, garantice:</w:t>
            </w:r>
          </w:p>
        </w:tc>
        <w:tc>
          <w:tcPr>
            <w:tcW w:w="1344" w:type="pct"/>
            <w:tcBorders>
              <w:top w:val="single" w:sz="4" w:space="0" w:color="auto"/>
              <w:left w:val="single" w:sz="4" w:space="0" w:color="auto"/>
              <w:right w:val="single" w:sz="4" w:space="0" w:color="auto"/>
            </w:tcBorders>
          </w:tcPr>
          <w:p w:rsidR="00E067B8" w:rsidRPr="00150AA6" w:rsidRDefault="00E067B8" w:rsidP="00DD7524">
            <w:pPr>
              <w:pStyle w:val="Tabletext"/>
              <w:spacing w:before="40" w:after="40"/>
            </w:pPr>
          </w:p>
        </w:tc>
        <w:tc>
          <w:tcPr>
            <w:tcW w:w="1552" w:type="pct"/>
            <w:tcBorders>
              <w:top w:val="single" w:sz="4" w:space="0" w:color="auto"/>
              <w:left w:val="single" w:sz="4" w:space="0" w:color="auto"/>
              <w:right w:val="single" w:sz="4" w:space="0" w:color="auto"/>
            </w:tcBorders>
          </w:tcPr>
          <w:p w:rsidR="00E067B8" w:rsidRPr="00150AA6" w:rsidRDefault="00E067B8" w:rsidP="00DD7524">
            <w:pPr>
              <w:pStyle w:val="Tabletext"/>
              <w:spacing w:before="40" w:after="40"/>
            </w:pPr>
          </w:p>
        </w:tc>
      </w:tr>
      <w:tr w:rsidR="00150AA6" w:rsidRPr="002673D1" w:rsidTr="00150AA6">
        <w:tc>
          <w:tcPr>
            <w:tcW w:w="513" w:type="pct"/>
            <w:tcBorders>
              <w:left w:val="single" w:sz="4" w:space="0" w:color="auto"/>
              <w:bottom w:val="single" w:sz="4" w:space="0" w:color="auto"/>
              <w:right w:val="single" w:sz="4" w:space="0" w:color="auto"/>
            </w:tcBorders>
          </w:tcPr>
          <w:p w:rsidR="00150AA6" w:rsidRPr="00520DC3" w:rsidRDefault="00150AA6" w:rsidP="00DD7524">
            <w:pPr>
              <w:pStyle w:val="Tabletext"/>
              <w:spacing w:before="40" w:after="40"/>
              <w:rPr>
                <w:b/>
                <w:bCs/>
              </w:rPr>
            </w:pPr>
            <w:r w:rsidRPr="00520DC3">
              <w:rPr>
                <w:b/>
                <w:bCs/>
              </w:rPr>
              <w:t>5.1</w:t>
            </w:r>
          </w:p>
        </w:tc>
        <w:tc>
          <w:tcPr>
            <w:tcW w:w="1591" w:type="pct"/>
            <w:tcBorders>
              <w:left w:val="single" w:sz="4" w:space="0" w:color="auto"/>
              <w:bottom w:val="single" w:sz="4" w:space="0" w:color="auto"/>
              <w:right w:val="single" w:sz="4" w:space="0" w:color="auto"/>
            </w:tcBorders>
          </w:tcPr>
          <w:p w:rsidR="00150AA6" w:rsidRPr="00150AA6" w:rsidRDefault="00150AA6" w:rsidP="00DD7524">
            <w:pPr>
              <w:pStyle w:val="Tabletext"/>
              <w:spacing w:before="40" w:after="40"/>
            </w:pPr>
            <w:r w:rsidRPr="00150AA6">
              <w:t>un proceso de licitación abierto y transparente, basado en el modelo de Acuerdo con el país anfitrión aprobado por el Consejo, previa consulta con los Estados Miembros salvo para los eventos ITU TELECOM de 2011 y 2012, con criterios objetivos, incluido el de la viabilidad financiera;</w:t>
            </w:r>
          </w:p>
        </w:tc>
        <w:tc>
          <w:tcPr>
            <w:tcW w:w="1344" w:type="pct"/>
            <w:tcBorders>
              <w:left w:val="single" w:sz="4" w:space="0" w:color="auto"/>
              <w:bottom w:val="single" w:sz="4" w:space="0" w:color="auto"/>
              <w:right w:val="single" w:sz="4" w:space="0" w:color="auto"/>
            </w:tcBorders>
          </w:tcPr>
          <w:p w:rsidR="00150AA6" w:rsidRPr="00150AA6" w:rsidRDefault="00BC3D04" w:rsidP="00DD7524">
            <w:pPr>
              <w:pStyle w:val="Tabletext"/>
              <w:spacing w:before="40" w:after="40"/>
            </w:pPr>
            <w:r>
              <w:t>CUMPLIMIENTO PARCIAL</w:t>
            </w:r>
          </w:p>
          <w:p w:rsidR="00150AA6" w:rsidRPr="00150AA6" w:rsidRDefault="00150AA6" w:rsidP="00DD7524">
            <w:pPr>
              <w:pStyle w:val="Tabletext"/>
              <w:spacing w:before="40" w:after="40"/>
            </w:pPr>
            <w:r w:rsidRPr="00150AA6">
              <w:t>(véanse los párrafos 86-88)</w:t>
            </w:r>
          </w:p>
        </w:tc>
        <w:tc>
          <w:tcPr>
            <w:tcW w:w="1552" w:type="pct"/>
            <w:tcBorders>
              <w:left w:val="single" w:sz="4" w:space="0" w:color="auto"/>
              <w:bottom w:val="single" w:sz="4" w:space="0" w:color="auto"/>
              <w:right w:val="single" w:sz="4" w:space="0" w:color="auto"/>
            </w:tcBorders>
          </w:tcPr>
          <w:p w:rsidR="00150AA6" w:rsidRPr="00150AA6" w:rsidRDefault="00150AA6"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520DC3" w:rsidRDefault="00E067B8" w:rsidP="00DD7524">
            <w:pPr>
              <w:pStyle w:val="Tabletext"/>
              <w:spacing w:before="40" w:after="40"/>
              <w:rPr>
                <w:b/>
                <w:bCs/>
              </w:rPr>
            </w:pPr>
            <w:r w:rsidRPr="00520DC3">
              <w:rPr>
                <w:b/>
                <w:bCs/>
              </w:rPr>
              <w:t>5.2</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pPr>
            <w:r w:rsidRPr="00150AA6">
              <w:t>la realización de estudios de mercado y viabilidad preliminares, lo que incluye consultas con los participantes interesados de todas las regiones;</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 PARCIAL</w:t>
            </w:r>
          </w:p>
          <w:p w:rsidR="00E067B8" w:rsidRPr="00150AA6" w:rsidRDefault="00E067B8" w:rsidP="00DD7524">
            <w:pPr>
              <w:pStyle w:val="Tabletext"/>
              <w:spacing w:before="40" w:after="40"/>
            </w:pPr>
            <w:r w:rsidRPr="00150AA6">
              <w:t>(</w:t>
            </w:r>
            <w:r w:rsidR="005151A1" w:rsidRPr="00150AA6">
              <w:t>véanse los párrafos</w:t>
            </w:r>
            <w:r w:rsidRPr="00150AA6">
              <w:t xml:space="preserve"> 93-95)</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520DC3" w:rsidRDefault="00E067B8" w:rsidP="00DD7524">
            <w:pPr>
              <w:pStyle w:val="Tabletext"/>
              <w:spacing w:before="40" w:after="40"/>
              <w:rPr>
                <w:b/>
                <w:bCs/>
              </w:rPr>
            </w:pPr>
            <w:r w:rsidRPr="00520DC3">
              <w:rPr>
                <w:b/>
                <w:bCs/>
              </w:rPr>
              <w:t>5.3</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pPr>
            <w:r w:rsidRPr="00150AA6">
              <w:t>la accesibilidad y asequibilidad para los participantes;</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 PARCIAL</w:t>
            </w:r>
          </w:p>
          <w:p w:rsidR="00E067B8" w:rsidRPr="00150AA6" w:rsidRDefault="00E067B8" w:rsidP="00DD7524">
            <w:pPr>
              <w:pStyle w:val="Tabletext"/>
              <w:spacing w:before="40" w:after="40"/>
            </w:pPr>
            <w:r w:rsidRPr="00150AA6">
              <w:t>(</w:t>
            </w:r>
            <w:r w:rsidR="005151A1" w:rsidRPr="00150AA6">
              <w:t>véanse los párrafos</w:t>
            </w:r>
            <w:r w:rsidRPr="00150AA6">
              <w:t xml:space="preserve"> 52 </w:t>
            </w:r>
            <w:r w:rsidR="00B37C9E" w:rsidRPr="00150AA6">
              <w:t>y</w:t>
            </w:r>
            <w:r w:rsidRPr="00150AA6">
              <w:t xml:space="preserve"> 102)</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520DC3" w:rsidRDefault="00E067B8" w:rsidP="00DD7524">
            <w:pPr>
              <w:pStyle w:val="Tabletext"/>
              <w:spacing w:before="40" w:after="40"/>
              <w:rPr>
                <w:b/>
                <w:bCs/>
              </w:rPr>
            </w:pPr>
            <w:r w:rsidRPr="00520DC3">
              <w:rPr>
                <w:b/>
                <w:bCs/>
              </w:rPr>
              <w:t>5.4</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pPr>
            <w:r w:rsidRPr="00150AA6">
              <w:t>la obtención de ingresos positivos provenientes de los eventos ITU TELECOM;</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520DC3" w:rsidRDefault="00E067B8" w:rsidP="00DD7524">
            <w:pPr>
              <w:pStyle w:val="Tabletext"/>
              <w:spacing w:before="40" w:after="40"/>
              <w:rPr>
                <w:b/>
                <w:bCs/>
              </w:rPr>
            </w:pPr>
            <w:r w:rsidRPr="00520DC3">
              <w:rPr>
                <w:b/>
                <w:bCs/>
              </w:rPr>
              <w:t>5.5</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pPr>
            <w:r w:rsidRPr="00150AA6">
              <w:t>que la selección de los lugares de celebración de los eventos ITU TELECOM se base, en la medida de lo posible, en el principio de rotación entre las regiones y entre los Estados Miembros de las regiones, alternándose cada año con un evento fijo;</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 PARCIAL</w:t>
            </w:r>
          </w:p>
          <w:p w:rsidR="00E067B8" w:rsidRPr="00150AA6" w:rsidRDefault="00E067B8" w:rsidP="00DD7524">
            <w:pPr>
              <w:pStyle w:val="Tabletext"/>
              <w:spacing w:before="40" w:after="40"/>
            </w:pPr>
            <w:r w:rsidRPr="00150AA6">
              <w:t>(</w:t>
            </w:r>
            <w:r w:rsidR="005151A1" w:rsidRPr="00150AA6">
              <w:t>véanse los párrafos</w:t>
            </w:r>
            <w:r w:rsidRPr="00150AA6">
              <w:t xml:space="preserve"> 89-90)</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520DC3" w:rsidRDefault="00E067B8" w:rsidP="00DD7524">
            <w:pPr>
              <w:pStyle w:val="Tabletext"/>
              <w:spacing w:before="40" w:after="40"/>
              <w:rPr>
                <w:b/>
                <w:bCs/>
              </w:rPr>
            </w:pPr>
            <w:r w:rsidRPr="00520DC3">
              <w:rPr>
                <w:b/>
                <w:bCs/>
              </w:rPr>
              <w:lastRenderedPageBreak/>
              <w:t>5.6</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pPr>
            <w:r w:rsidRPr="00150AA6">
              <w:t>que los lugares de celebración fijos se negocien para tres eventos consecutivos, al término de los cuales se procederá a un nuevo proceso de licitación para los tres eventos fijos siguientes;</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B37C9E" w:rsidP="00DD7524">
            <w:pPr>
              <w:pStyle w:val="Tabletext"/>
              <w:spacing w:before="40" w:after="40"/>
            </w:pPr>
            <w:r w:rsidRPr="00150AA6">
              <w:t>I</w:t>
            </w:r>
            <w:r w:rsidR="00E067B8" w:rsidRPr="00150AA6">
              <w:t>N</w:t>
            </w:r>
            <w:r w:rsidR="005151A1" w:rsidRPr="00150AA6">
              <w:t>CUMPLIMIENTO</w:t>
            </w:r>
          </w:p>
          <w:p w:rsidR="00E067B8" w:rsidRPr="00150AA6" w:rsidRDefault="00E067B8" w:rsidP="00DD7524">
            <w:pPr>
              <w:pStyle w:val="Tabletext"/>
              <w:spacing w:before="40" w:after="40"/>
            </w:pPr>
            <w:r w:rsidRPr="00150AA6">
              <w:t>(</w:t>
            </w:r>
            <w:r w:rsidR="005151A1" w:rsidRPr="00150AA6">
              <w:t>véase el párrafo</w:t>
            </w:r>
            <w:r w:rsidRPr="00150AA6">
              <w:t xml:space="preserve"> 92)</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rPr>
                <w:b/>
                <w:bCs/>
                <w:i/>
                <w:iCs/>
              </w:rPr>
            </w:pPr>
            <w:r w:rsidRPr="00150AA6">
              <w:rPr>
                <w:b/>
                <w:bCs/>
                <w:i/>
                <w:iCs/>
              </w:rPr>
              <w:t xml:space="preserve">Resuelve </w:t>
            </w:r>
            <w:r w:rsidR="00E067B8" w:rsidRPr="00150AA6">
              <w:rPr>
                <w:b/>
                <w:bCs/>
                <w:i/>
                <w:iCs/>
              </w:rPr>
              <w:t>6</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3B5DAB" w:rsidP="00756923">
            <w:pPr>
              <w:pStyle w:val="Tabletext"/>
              <w:spacing w:before="40" w:after="40"/>
            </w:pPr>
            <w:r w:rsidRPr="00150AA6">
              <w:t xml:space="preserve">que el Auditor </w:t>
            </w:r>
            <w:r w:rsidR="00756923">
              <w:t>E</w:t>
            </w:r>
            <w:r w:rsidRPr="00150AA6">
              <w:t>xterno de la Unión se encargue de la auditoría de cuentas de los eventos ITU TELECOM;</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r w:rsidR="00424E95" w:rsidRPr="002673D1" w:rsidTr="00424E95">
        <w:tc>
          <w:tcPr>
            <w:tcW w:w="513" w:type="pct"/>
            <w:tcBorders>
              <w:top w:val="single" w:sz="4" w:space="0" w:color="auto"/>
              <w:left w:val="single" w:sz="4" w:space="0" w:color="auto"/>
              <w:bottom w:val="single" w:sz="4" w:space="0" w:color="auto"/>
              <w:right w:val="single" w:sz="4" w:space="0" w:color="auto"/>
            </w:tcBorders>
          </w:tcPr>
          <w:p w:rsidR="00E067B8" w:rsidRPr="00150AA6" w:rsidRDefault="003B5DAB" w:rsidP="00DD7524">
            <w:pPr>
              <w:pStyle w:val="Tabletext"/>
              <w:spacing w:before="40" w:after="40"/>
              <w:rPr>
                <w:b/>
                <w:bCs/>
                <w:i/>
                <w:iCs/>
              </w:rPr>
            </w:pPr>
            <w:r w:rsidRPr="00150AA6">
              <w:rPr>
                <w:b/>
                <w:bCs/>
                <w:i/>
                <w:iCs/>
              </w:rPr>
              <w:t xml:space="preserve">Resuelve </w:t>
            </w:r>
            <w:r w:rsidR="00E067B8" w:rsidRPr="00150AA6">
              <w:rPr>
                <w:b/>
                <w:bCs/>
                <w:i/>
                <w:iCs/>
              </w:rPr>
              <w:t>7</w:t>
            </w:r>
          </w:p>
        </w:tc>
        <w:tc>
          <w:tcPr>
            <w:tcW w:w="1591"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r w:rsidRPr="00150AA6">
              <w:t>...</w:t>
            </w:r>
            <w:r w:rsidR="003B5DAB" w:rsidRPr="00150AA6">
              <w:t xml:space="preserve"> que, una vez que se hayan recuperado todos los gastos, una parte considerable de los ingresos positivos respecto de los gastos incurridos generado</w:t>
            </w:r>
            <w:r w:rsidR="00532FF0">
              <w:t>s</w:t>
            </w:r>
            <w:r w:rsidR="003B5DAB" w:rsidRPr="00150AA6">
              <w:t xml:space="preserve"> por las actividades de ITU TELECOM se transfiera al Fondo de Desarrollo de las TIC, gestionado por la Oficina de Desarrollo de las Telecomunicaciones de la UIT, para ejecutar proyectos concretos que tengan como finalidad el desarrollo de las telecomunicaciones, principalmente en los países menos adelantados, los pequeños Estados insulares en desarrollo, los países en desarrollo sin litoral y los países con economías en transición;</w:t>
            </w:r>
          </w:p>
        </w:tc>
        <w:tc>
          <w:tcPr>
            <w:tcW w:w="1344" w:type="pct"/>
            <w:tcBorders>
              <w:top w:val="single" w:sz="4" w:space="0" w:color="auto"/>
              <w:left w:val="single" w:sz="4" w:space="0" w:color="auto"/>
              <w:bottom w:val="single" w:sz="4" w:space="0" w:color="auto"/>
              <w:right w:val="single" w:sz="4" w:space="0" w:color="auto"/>
            </w:tcBorders>
          </w:tcPr>
          <w:p w:rsidR="00E067B8" w:rsidRPr="00150AA6" w:rsidRDefault="005151A1" w:rsidP="00DD7524">
            <w:pPr>
              <w:pStyle w:val="Tabletext"/>
              <w:spacing w:before="40" w:after="40"/>
            </w:pPr>
            <w:r w:rsidRPr="00150AA6">
              <w:t>CUMPLIMIENTO</w:t>
            </w:r>
          </w:p>
        </w:tc>
        <w:tc>
          <w:tcPr>
            <w:tcW w:w="1552" w:type="pct"/>
            <w:tcBorders>
              <w:top w:val="single" w:sz="4" w:space="0" w:color="auto"/>
              <w:left w:val="single" w:sz="4" w:space="0" w:color="auto"/>
              <w:bottom w:val="single" w:sz="4" w:space="0" w:color="auto"/>
              <w:right w:val="single" w:sz="4" w:space="0" w:color="auto"/>
            </w:tcBorders>
          </w:tcPr>
          <w:p w:rsidR="00E067B8" w:rsidRPr="00150AA6" w:rsidRDefault="00E067B8" w:rsidP="00DD7524">
            <w:pPr>
              <w:pStyle w:val="Tabletext"/>
              <w:spacing w:before="40" w:after="40"/>
            </w:pPr>
          </w:p>
        </w:tc>
      </w:tr>
    </w:tbl>
    <w:p w:rsidR="00E067B8" w:rsidRPr="00150AA6" w:rsidRDefault="00E067B8" w:rsidP="00150AA6">
      <w:r w:rsidRPr="00150AA6">
        <w:br w:type="page"/>
      </w:r>
    </w:p>
    <w:p w:rsidR="00BC3D04" w:rsidRDefault="00E067B8" w:rsidP="00BC3D04">
      <w:pPr>
        <w:pStyle w:val="AnnexNo"/>
        <w:rPr>
          <w:b/>
        </w:rPr>
      </w:pPr>
      <w:bookmarkStart w:id="99" w:name="_Toc400028343"/>
      <w:bookmarkStart w:id="100" w:name="_Toc396899739"/>
      <w:bookmarkStart w:id="101" w:name="_Toc400093965"/>
      <w:r w:rsidRPr="002673D1">
        <w:lastRenderedPageBreak/>
        <w:t>ANEX</w:t>
      </w:r>
      <w:r w:rsidR="00EF5184" w:rsidRPr="002673D1">
        <w:t>O</w:t>
      </w:r>
      <w:r w:rsidRPr="002673D1">
        <w:t xml:space="preserve"> II</w:t>
      </w:r>
      <w:bookmarkEnd w:id="99"/>
      <w:bookmarkEnd w:id="101"/>
    </w:p>
    <w:p w:rsidR="00E067B8" w:rsidRPr="00BC3D04" w:rsidRDefault="00EF5184" w:rsidP="00BC3D04">
      <w:pPr>
        <w:pStyle w:val="Annextitle"/>
      </w:pPr>
      <w:bookmarkStart w:id="102" w:name="_Toc400028344"/>
      <w:bookmarkStart w:id="103" w:name="_Toc400093966"/>
      <w:r w:rsidRPr="00BC3D04">
        <w:t>Seguimiento de las observaciones presentadas en el informe anterior</w:t>
      </w:r>
      <w:bookmarkEnd w:id="100"/>
      <w:r w:rsidR="00BC3D04" w:rsidRPr="00BC3D04">
        <w:br/>
      </w:r>
      <w:r w:rsidR="00D16D65" w:rsidRPr="00BC3D04">
        <w:t>Recomendaciones</w:t>
      </w:r>
      <w:bookmarkEnd w:id="102"/>
      <w:bookmarkEnd w:id="103"/>
    </w:p>
    <w:tbl>
      <w:tblPr>
        <w:tblW w:w="5000" w:type="pct"/>
        <w:tblLook w:val="0000" w:firstRow="0" w:lastRow="0" w:firstColumn="0" w:lastColumn="0" w:noHBand="0" w:noVBand="0"/>
      </w:tblPr>
      <w:tblGrid>
        <w:gridCol w:w="778"/>
        <w:gridCol w:w="3754"/>
        <w:gridCol w:w="3544"/>
        <w:gridCol w:w="3684"/>
        <w:gridCol w:w="2802"/>
      </w:tblGrid>
      <w:tr w:rsidR="00E067B8" w:rsidRPr="00BC3D04" w:rsidTr="006C1ADF">
        <w:trPr>
          <w:cantSplit/>
          <w:tblHeader/>
        </w:trPr>
        <w:tc>
          <w:tcPr>
            <w:tcW w:w="267" w:type="pct"/>
            <w:tcBorders>
              <w:top w:val="single" w:sz="4" w:space="0" w:color="auto"/>
              <w:left w:val="single" w:sz="4" w:space="0" w:color="auto"/>
              <w:bottom w:val="single" w:sz="4" w:space="0" w:color="auto"/>
              <w:right w:val="single" w:sz="4" w:space="0" w:color="auto"/>
            </w:tcBorders>
          </w:tcPr>
          <w:p w:rsidR="00E067B8" w:rsidRPr="00BC3D04" w:rsidRDefault="00E067B8" w:rsidP="00DD7524">
            <w:pPr>
              <w:pStyle w:val="Tablehead"/>
              <w:spacing w:before="40" w:after="40"/>
            </w:pPr>
          </w:p>
        </w:tc>
        <w:tc>
          <w:tcPr>
            <w:tcW w:w="1289" w:type="pct"/>
            <w:tcBorders>
              <w:top w:val="single" w:sz="4" w:space="0" w:color="auto"/>
              <w:left w:val="single" w:sz="4" w:space="0" w:color="auto"/>
              <w:bottom w:val="single" w:sz="4" w:space="0" w:color="auto"/>
              <w:right w:val="single" w:sz="4" w:space="0" w:color="auto"/>
            </w:tcBorders>
          </w:tcPr>
          <w:p w:rsidR="00E067B8" w:rsidRPr="00BC3D04" w:rsidRDefault="00D16D65" w:rsidP="00DD7524">
            <w:pPr>
              <w:pStyle w:val="Tablehead"/>
              <w:spacing w:before="40" w:after="40"/>
            </w:pPr>
            <w:r w:rsidRPr="00BC3D04">
              <w:t>Recomendación formulada por Auditores Externos</w:t>
            </w:r>
            <w:r w:rsidRPr="00BC3D04">
              <w:br/>
            </w:r>
            <w:r w:rsidR="00E067B8" w:rsidRPr="00BC3D04">
              <w:t>(</w:t>
            </w:r>
            <w:r w:rsidR="005F6D23" w:rsidRPr="00BC3D04">
              <w:t>Corte dei Conti</w:t>
            </w:r>
            <w:r w:rsidR="00E067B8" w:rsidRPr="00BC3D04">
              <w:t>)</w:t>
            </w:r>
          </w:p>
        </w:tc>
        <w:tc>
          <w:tcPr>
            <w:tcW w:w="1217" w:type="pct"/>
            <w:tcBorders>
              <w:top w:val="single" w:sz="4" w:space="0" w:color="auto"/>
              <w:left w:val="single" w:sz="4" w:space="0" w:color="auto"/>
              <w:bottom w:val="single" w:sz="4" w:space="0" w:color="auto"/>
              <w:right w:val="single" w:sz="4" w:space="0" w:color="auto"/>
            </w:tcBorders>
          </w:tcPr>
          <w:p w:rsidR="00E067B8" w:rsidRPr="00BC3D04" w:rsidRDefault="00E067B8" w:rsidP="00DD7524">
            <w:pPr>
              <w:pStyle w:val="Tablehead"/>
              <w:spacing w:before="40" w:after="40"/>
            </w:pPr>
            <w:r w:rsidRPr="00BC3D04">
              <w:t>C</w:t>
            </w:r>
            <w:r w:rsidR="00230C1C" w:rsidRPr="00BC3D04">
              <w:t>om</w:t>
            </w:r>
            <w:r w:rsidRPr="00BC3D04">
              <w:t>ent</w:t>
            </w:r>
            <w:r w:rsidR="00230C1C" w:rsidRPr="00BC3D04">
              <w:t xml:space="preserve">arios recibidos del </w:t>
            </w:r>
            <w:r w:rsidR="00DD7524">
              <w:br/>
            </w:r>
            <w:r w:rsidRPr="00BC3D04">
              <w:t>Secretar</w:t>
            </w:r>
            <w:r w:rsidR="00230C1C" w:rsidRPr="00BC3D04">
              <w:t xml:space="preserve">io </w:t>
            </w:r>
            <w:r w:rsidRPr="00BC3D04">
              <w:t xml:space="preserve">General </w:t>
            </w:r>
            <w:r w:rsidR="00230C1C" w:rsidRPr="00BC3D04">
              <w:t>en el momento de publicar el informe</w:t>
            </w:r>
          </w:p>
        </w:tc>
        <w:tc>
          <w:tcPr>
            <w:tcW w:w="1265" w:type="pct"/>
            <w:tcBorders>
              <w:top w:val="single" w:sz="4" w:space="0" w:color="auto"/>
              <w:left w:val="single" w:sz="4" w:space="0" w:color="auto"/>
              <w:bottom w:val="single" w:sz="4" w:space="0" w:color="auto"/>
              <w:right w:val="single" w:sz="4" w:space="0" w:color="auto"/>
            </w:tcBorders>
          </w:tcPr>
          <w:p w:rsidR="00E067B8" w:rsidRPr="00BC3D04" w:rsidRDefault="00E067B8" w:rsidP="00DD7524">
            <w:pPr>
              <w:pStyle w:val="Tablehead"/>
              <w:spacing w:before="40" w:after="40"/>
            </w:pPr>
            <w:r w:rsidRPr="00BC3D04">
              <w:t>S</w:t>
            </w:r>
            <w:r w:rsidR="00E32B69" w:rsidRPr="00BC3D04">
              <w:t xml:space="preserve">ituación según la Dirección de la UIT </w:t>
            </w:r>
            <w:r w:rsidRPr="00BC3D04">
              <w:t xml:space="preserve">(23 </w:t>
            </w:r>
            <w:r w:rsidR="00E32B69" w:rsidRPr="00BC3D04">
              <w:t xml:space="preserve">de mayo de </w:t>
            </w:r>
            <w:r w:rsidR="00BC3D04">
              <w:t>2014)</w:t>
            </w:r>
          </w:p>
        </w:tc>
        <w:tc>
          <w:tcPr>
            <w:tcW w:w="962" w:type="pct"/>
            <w:tcBorders>
              <w:top w:val="single" w:sz="4" w:space="0" w:color="auto"/>
              <w:left w:val="single" w:sz="4" w:space="0" w:color="auto"/>
              <w:bottom w:val="single" w:sz="4" w:space="0" w:color="auto"/>
              <w:right w:val="single" w:sz="4" w:space="0" w:color="auto"/>
            </w:tcBorders>
          </w:tcPr>
          <w:p w:rsidR="00E067B8" w:rsidRPr="00BC3D04" w:rsidRDefault="00AC6FED" w:rsidP="00DD7524">
            <w:pPr>
              <w:pStyle w:val="Tablehead"/>
              <w:spacing w:before="40" w:after="40"/>
            </w:pPr>
            <w:r w:rsidRPr="00BC3D04">
              <w:t>Estado de las medidas adoptadas por la Dirección según las evaluaciones de los Auditores Externos</w:t>
            </w:r>
            <w:r w:rsidR="00E067B8" w:rsidRPr="00BC3D04">
              <w:t xml:space="preserve"> </w:t>
            </w:r>
            <w:r w:rsidR="00A53AC3" w:rsidRPr="00BC3D04">
              <w:br/>
            </w:r>
            <w:r w:rsidR="00E067B8" w:rsidRPr="00BC3D04">
              <w:t>(</w:t>
            </w:r>
            <w:r w:rsidR="005F6D23" w:rsidRPr="00BC3D04">
              <w:t>Corte dei Conti</w:t>
            </w:r>
            <w:r w:rsidR="00E067B8" w:rsidRPr="00BC3D04">
              <w:t>)</w:t>
            </w:r>
          </w:p>
        </w:tc>
      </w:tr>
      <w:tr w:rsidR="00E067B8" w:rsidRPr="002673D1" w:rsidTr="006C1ADF">
        <w:trPr>
          <w:cantSplit/>
        </w:trPr>
        <w:tc>
          <w:tcPr>
            <w:tcW w:w="267"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Style16"/>
              <w:kinsoku w:val="0"/>
              <w:autoSpaceDE/>
              <w:autoSpaceDN/>
              <w:adjustRightInd/>
              <w:spacing w:before="40" w:after="40"/>
              <w:rPr>
                <w:rFonts w:ascii="Calibri" w:hAnsi="Calibri"/>
                <w:b/>
                <w:bCs/>
                <w:sz w:val="22"/>
                <w:lang w:val="es-ES_tradnl" w:eastAsia="en-US"/>
              </w:rPr>
            </w:pPr>
            <w:r w:rsidRPr="002673D1">
              <w:rPr>
                <w:rFonts w:ascii="Calibri" w:hAnsi="Calibri"/>
                <w:b/>
                <w:bCs/>
                <w:sz w:val="22"/>
                <w:lang w:val="es-ES_tradnl" w:eastAsia="en-US"/>
              </w:rPr>
              <w:t>Rec. 1</w:t>
            </w:r>
            <w:r w:rsidR="006006B0" w:rsidRPr="002673D1">
              <w:rPr>
                <w:rFonts w:ascii="Calibri" w:hAnsi="Calibri"/>
                <w:b/>
                <w:bCs/>
                <w:sz w:val="22"/>
                <w:lang w:val="es-ES_tradnl" w:eastAsia="en-US"/>
              </w:rPr>
              <w:br/>
            </w:r>
            <w:r w:rsidRPr="002673D1">
              <w:rPr>
                <w:rFonts w:ascii="Calibri" w:hAnsi="Calibri"/>
                <w:b/>
                <w:bCs/>
                <w:sz w:val="22"/>
                <w:lang w:val="es-ES_tradnl" w:eastAsia="en-US"/>
              </w:rPr>
              <w:t>2012</w:t>
            </w:r>
          </w:p>
        </w:tc>
        <w:tc>
          <w:tcPr>
            <w:tcW w:w="1289" w:type="pct"/>
            <w:tcBorders>
              <w:top w:val="single" w:sz="4" w:space="0" w:color="auto"/>
              <w:left w:val="single" w:sz="4" w:space="0" w:color="auto"/>
              <w:bottom w:val="single" w:sz="4" w:space="0" w:color="auto"/>
              <w:right w:val="single" w:sz="4" w:space="0" w:color="auto"/>
            </w:tcBorders>
          </w:tcPr>
          <w:p w:rsidR="00E067B8" w:rsidRPr="002673D1" w:rsidRDefault="00952D06" w:rsidP="006C1ADF">
            <w:pPr>
              <w:pStyle w:val="Tabletext"/>
              <w:spacing w:before="40" w:after="40"/>
              <w:rPr>
                <w:rStyle w:val="CharacterStyle17"/>
                <w:bCs/>
                <w:sz w:val="24"/>
                <w:szCs w:val="24"/>
              </w:rPr>
            </w:pPr>
            <w:r w:rsidRPr="002673D1">
              <w:t xml:space="preserve">El </w:t>
            </w:r>
            <w:r w:rsidRPr="002673D1">
              <w:rPr>
                <w:i/>
                <w:iCs/>
              </w:rPr>
              <w:t>resuelve</w:t>
            </w:r>
            <w:r w:rsidRPr="002673D1">
              <w:t xml:space="preserve"> 2 de la Resolución 11 (Rev.</w:t>
            </w:r>
            <w:r w:rsidR="006C1ADF">
              <w:t> </w:t>
            </w:r>
            <w:r w:rsidRPr="002673D1">
              <w:t xml:space="preserve">Guadalajara, 2010) establece "que el Secretario General asuma toda la responsabilidad respecto de las actividades de ITU Telecom World (incluida su planificación, organización y financiación)", y dado que la comparación del presupuesto con los costes reales es una herramienta fundamental, no sólo para orientar las políticas y para una rendición de cuentas más clara, sino también para ayudar al Secretario General a cumplir con su deber, </w:t>
            </w:r>
            <w:r w:rsidRPr="002673D1">
              <w:rPr>
                <w:u w:val="single"/>
              </w:rPr>
              <w:t>recomendamos</w:t>
            </w:r>
            <w:r w:rsidRPr="002673D1">
              <w:t xml:space="preserve"> que, a más tardar un mes antes de la inauguración del evento, se revise el presupuesto si la Dirección tiene conocimiento de cambios significativos entre las estimaciones presupuestarias y los resultados reales.</w:t>
            </w:r>
          </w:p>
        </w:tc>
        <w:tc>
          <w:tcPr>
            <w:tcW w:w="1217"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Style w:val="CharacterStyle17"/>
                <w:sz w:val="24"/>
                <w:szCs w:val="24"/>
              </w:rPr>
            </w:pPr>
            <w:r w:rsidRPr="002673D1">
              <w:t>El presupuesto del evento ITU Telecom se revisará a más tardar un mes antes de su inauguración si la Dirección prevé una variación significativa entre el presupuesto existente y los resultados preponderantes.</w:t>
            </w:r>
          </w:p>
        </w:tc>
        <w:tc>
          <w:tcPr>
            <w:tcW w:w="1265"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rPr>
                <w:rStyle w:val="CharacterStyle17"/>
                <w:sz w:val="24"/>
                <w:szCs w:val="24"/>
              </w:rPr>
            </w:pPr>
            <w:r w:rsidRPr="002673D1">
              <w:t>Debido a la considerable diferencia existente entre el presupuesto inicial del evento y los resultados previstos del evento, el presupuesto de ITU Telecom World 2013 se ha revisado más de un mes antes del comienzo del evento</w:t>
            </w:r>
            <w:r w:rsidR="00E067B8" w:rsidRPr="002673D1">
              <w:t>.</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pPr>
            <w:r w:rsidRPr="002673D1">
              <w:t>Aplicadas</w:t>
            </w:r>
          </w:p>
        </w:tc>
      </w:tr>
      <w:tr w:rsidR="00E067B8" w:rsidRPr="002673D1" w:rsidTr="006C1ADF">
        <w:trPr>
          <w:cantSplit/>
        </w:trPr>
        <w:tc>
          <w:tcPr>
            <w:tcW w:w="267"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Tabletext"/>
              <w:spacing w:before="40" w:after="40"/>
              <w:rPr>
                <w:b/>
                <w:bCs/>
              </w:rPr>
            </w:pPr>
            <w:r w:rsidRPr="002673D1">
              <w:rPr>
                <w:b/>
                <w:bCs/>
              </w:rPr>
              <w:lastRenderedPageBreak/>
              <w:t>Rec. 2</w:t>
            </w:r>
            <w:r w:rsidR="006006B0" w:rsidRPr="002673D1">
              <w:rPr>
                <w:b/>
                <w:bCs/>
              </w:rPr>
              <w:br/>
            </w:r>
            <w:r w:rsidRPr="002673D1">
              <w:rPr>
                <w:b/>
                <w:bCs/>
              </w:rPr>
              <w:t>2012</w:t>
            </w:r>
          </w:p>
        </w:tc>
        <w:tc>
          <w:tcPr>
            <w:tcW w:w="1289"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rPr>
            </w:pPr>
            <w:r w:rsidRPr="002673D1">
              <w:rPr>
                <w:u w:val="single"/>
              </w:rPr>
              <w:t>Recomendamos</w:t>
            </w:r>
            <w:r w:rsidRPr="002673D1">
              <w:t xml:space="preserve"> que se evalúe siempre la rentabilidad de no externalizar los servicios y, cuando se opte por hacerlo, </w:t>
            </w:r>
            <w:r w:rsidRPr="002673D1">
              <w:rPr>
                <w:u w:val="single"/>
              </w:rPr>
              <w:t>recomendamos</w:t>
            </w:r>
            <w:r w:rsidRPr="002673D1">
              <w:t xml:space="preserve"> que la decisión se haya tomado de manera informada, por ejemplo después de un análisis exhaustivo de su rentabilidad.</w:t>
            </w:r>
          </w:p>
        </w:tc>
        <w:tc>
          <w:tcPr>
            <w:tcW w:w="1217"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rPr>
            </w:pPr>
            <w:r w:rsidRPr="002673D1">
              <w:t>La naturaleza comercial de los eventos de ITU Telecom impone unos requisitos técnicos y de funcionamiento más estrictos para los que los proveedores comerciales están mejor preparados. La selección de estos proveedores se rige por las reglas y el reglamento de la UIT en materia de adquisiciones. ITU Telecom seguirá explorando otras vías para crear sinergias entre sus actividades y otras actividades de la UIT, incluida la prestación de servicios concretos por parte de distintos departamentos de la UIT.</w:t>
            </w:r>
          </w:p>
        </w:tc>
        <w:tc>
          <w:tcPr>
            <w:tcW w:w="1265"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Tabletext"/>
              <w:spacing w:before="40" w:after="40"/>
            </w:pPr>
            <w:r w:rsidRPr="002673D1">
              <w:t xml:space="preserve">ITU Telecom </w:t>
            </w:r>
            <w:r w:rsidR="001649A3" w:rsidRPr="002673D1">
              <w:t>suele satisfacerse con los servicios que presta el Departamento de Servicios Informáticos</w:t>
            </w:r>
            <w:r w:rsidRPr="002673D1">
              <w:t xml:space="preserve">. </w:t>
            </w:r>
            <w:r w:rsidR="001649A3" w:rsidRPr="002673D1">
              <w:t>Sin embargo</w:t>
            </w:r>
            <w:r w:rsidRPr="002673D1">
              <w:t xml:space="preserve">, </w:t>
            </w:r>
            <w:r w:rsidR="001649A3" w:rsidRPr="002673D1">
              <w:t xml:space="preserve">las limitaciones del sistema interno crearon importantes restricciones que limitaron la flexibilidad operativa de </w:t>
            </w:r>
            <w:r w:rsidRPr="002673D1">
              <w:t>ITU Telecom</w:t>
            </w:r>
            <w:r w:rsidR="001649A3" w:rsidRPr="002673D1">
              <w:t xml:space="preserve"> e incidieron en la experiencia global del cliente</w:t>
            </w:r>
            <w:r w:rsidRPr="002673D1">
              <w:t>.</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pPr>
            <w:r w:rsidRPr="002673D1">
              <w:t>Aplicadas</w:t>
            </w:r>
          </w:p>
        </w:tc>
      </w:tr>
      <w:tr w:rsidR="00E067B8" w:rsidRPr="002673D1" w:rsidTr="006C1ADF">
        <w:trPr>
          <w:cantSplit/>
        </w:trPr>
        <w:tc>
          <w:tcPr>
            <w:tcW w:w="267"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Tabletext"/>
              <w:spacing w:before="40" w:after="40"/>
              <w:rPr>
                <w:b/>
                <w:bCs/>
              </w:rPr>
            </w:pPr>
            <w:r w:rsidRPr="002673D1">
              <w:rPr>
                <w:b/>
                <w:bCs/>
              </w:rPr>
              <w:lastRenderedPageBreak/>
              <w:t>Rec. 3</w:t>
            </w:r>
            <w:r w:rsidR="006006B0" w:rsidRPr="002673D1">
              <w:rPr>
                <w:b/>
                <w:bCs/>
              </w:rPr>
              <w:br/>
            </w:r>
            <w:r w:rsidRPr="002673D1">
              <w:rPr>
                <w:b/>
                <w:bCs/>
              </w:rPr>
              <w:t>2012</w:t>
            </w:r>
          </w:p>
        </w:tc>
        <w:tc>
          <w:tcPr>
            <w:tcW w:w="1289"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highlight w:val="yellow"/>
              </w:rPr>
            </w:pPr>
            <w:r w:rsidRPr="002673D1">
              <w:t xml:space="preserve">Pese a que somos plenamente conscientes de la necesidad de que la UIT aplique esta recuperación de costes en el caso de ITU Telecom World 2012, a causa del notable impacto que tiene la recuperación de costes en el resultado final del evento, no hemos encontrado pruebas suficientes al hacer el seguimiento de la contabilidad de los costes de que se haya determinado el valor correspondiente a la recuperación de costes. En consecuencia, </w:t>
            </w:r>
            <w:r w:rsidRPr="002673D1">
              <w:rPr>
                <w:u w:val="single"/>
              </w:rPr>
              <w:t>recomendamos</w:t>
            </w:r>
            <w:r w:rsidRPr="002673D1">
              <w:t xml:space="preserve"> a la Dirección que, cuando tome decisiones en los próximos años, divulgue mejor todos los elementos pertinentes, fundamentales para fijar correctamente este valor.</w:t>
            </w:r>
          </w:p>
        </w:tc>
        <w:tc>
          <w:tcPr>
            <w:tcW w:w="1217"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highlight w:val="yellow"/>
              </w:rPr>
            </w:pPr>
            <w:r w:rsidRPr="002673D1">
              <w:t>Se llevará a cabo un estudio para identificar, en 2016, de una manera lógica, la base para determinar el valor del parámetro recuperación de costes que podrá percibirse por un evento ITU Telecom. Las cantidades para 2014 y 2015 ya se han fijado en el Presupuesto de la UIT para ese periodo.</w:t>
            </w:r>
          </w:p>
        </w:tc>
        <w:tc>
          <w:tcPr>
            <w:tcW w:w="1265" w:type="pct"/>
            <w:tcBorders>
              <w:top w:val="single" w:sz="4" w:space="0" w:color="auto"/>
              <w:left w:val="single" w:sz="4" w:space="0" w:color="auto"/>
              <w:bottom w:val="single" w:sz="4" w:space="0" w:color="auto"/>
              <w:right w:val="single" w:sz="4" w:space="0" w:color="auto"/>
            </w:tcBorders>
          </w:tcPr>
          <w:p w:rsidR="00E067B8" w:rsidRPr="002673D1" w:rsidRDefault="00F5665B" w:rsidP="006C1ADF">
            <w:pPr>
              <w:pStyle w:val="Tabletext"/>
              <w:spacing w:before="40" w:after="40"/>
            </w:pPr>
            <w:r w:rsidRPr="002673D1">
              <w:t xml:space="preserve">Se ha tomado plenamente nota de la recomendación, que servirá de base para el estudio que se realizará </w:t>
            </w:r>
            <w:r w:rsidR="00FE7A23">
              <w:t>con el fin de</w:t>
            </w:r>
            <w:r w:rsidRPr="002673D1">
              <w:t xml:space="preserve"> determinar la cantidad aplicable a partir del periodo presupuestario </w:t>
            </w:r>
            <w:r w:rsidR="009A4BC3">
              <w:t>de</w:t>
            </w:r>
            <w:r w:rsidR="006C1ADF">
              <w:t> </w:t>
            </w:r>
            <w:r w:rsidR="00E067B8" w:rsidRPr="002673D1">
              <w:t>2016.</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4F2281" w:rsidP="00DD7524">
            <w:pPr>
              <w:pStyle w:val="Tabletext"/>
              <w:spacing w:before="40" w:after="40"/>
            </w:pPr>
            <w:r w:rsidRPr="002673D1">
              <w:t>En curso</w:t>
            </w:r>
          </w:p>
        </w:tc>
      </w:tr>
      <w:tr w:rsidR="00E067B8" w:rsidRPr="002673D1" w:rsidTr="006C1ADF">
        <w:trPr>
          <w:cantSplit/>
        </w:trPr>
        <w:tc>
          <w:tcPr>
            <w:tcW w:w="267"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Tabletext"/>
              <w:spacing w:before="40" w:after="40"/>
              <w:rPr>
                <w:b/>
                <w:bCs/>
              </w:rPr>
            </w:pPr>
            <w:r w:rsidRPr="002673D1">
              <w:rPr>
                <w:b/>
                <w:bCs/>
              </w:rPr>
              <w:lastRenderedPageBreak/>
              <w:t>Rec. 4</w:t>
            </w:r>
            <w:r w:rsidR="006006B0" w:rsidRPr="002673D1">
              <w:rPr>
                <w:b/>
                <w:bCs/>
              </w:rPr>
              <w:br/>
            </w:r>
            <w:r w:rsidRPr="002673D1">
              <w:rPr>
                <w:b/>
                <w:bCs/>
              </w:rPr>
              <w:t>2012</w:t>
            </w:r>
          </w:p>
        </w:tc>
        <w:tc>
          <w:tcPr>
            <w:tcW w:w="1289"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rPr>
            </w:pPr>
            <w:r w:rsidRPr="002673D1">
              <w:t xml:space="preserve">No obstante, en el </w:t>
            </w:r>
            <w:r w:rsidRPr="002673D1">
              <w:rPr>
                <w:i/>
                <w:iCs/>
              </w:rPr>
              <w:t>resuelve</w:t>
            </w:r>
            <w:r w:rsidRPr="002673D1">
              <w:t xml:space="preserve"> 5.6 de la Resolución 11 (Rev. Guadalajara, 2010) se indicaba "que los lugares de celebración fijos se negocien para tres eventos consecutivos, al término de los cuales se procederá a un nuevo proceso de licitación para los tres eventos fijos siguientes". En consecuencia, y pese a que somos conscientes de las dificultades a las que se ha referido la Dirección y que este es el primer año en el que se aplica la Resolución 11, </w:t>
            </w:r>
            <w:r w:rsidRPr="002673D1">
              <w:rPr>
                <w:u w:val="single"/>
              </w:rPr>
              <w:t>recomendamos</w:t>
            </w:r>
            <w:r w:rsidRPr="002673D1">
              <w:t xml:space="preserve"> que, en los próximos años, empiecen a convocarse licitaciones, en cumplimiento de los requisitos establecidos en la Resolución.</w:t>
            </w:r>
          </w:p>
        </w:tc>
        <w:tc>
          <w:tcPr>
            <w:tcW w:w="1217"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rPr>
            </w:pPr>
            <w:r w:rsidRPr="002673D1">
              <w:t>Mediante una Carta Circular distribuida a todos los Estados Miembros, la UIT invita a los países interesados en acoger eventos ITU Telecom a que presenten sus ofertas. Hasta la fecha, la mayoría de propuestas se han limitado a la organización de un único evento.</w:t>
            </w:r>
          </w:p>
        </w:tc>
        <w:tc>
          <w:tcPr>
            <w:tcW w:w="1265" w:type="pct"/>
            <w:tcBorders>
              <w:top w:val="single" w:sz="4" w:space="0" w:color="auto"/>
              <w:left w:val="single" w:sz="4" w:space="0" w:color="auto"/>
              <w:bottom w:val="single" w:sz="4" w:space="0" w:color="auto"/>
              <w:right w:val="single" w:sz="4" w:space="0" w:color="auto"/>
            </w:tcBorders>
          </w:tcPr>
          <w:p w:rsidR="00E067B8" w:rsidRPr="002673D1" w:rsidRDefault="004F2281" w:rsidP="006C1ADF">
            <w:pPr>
              <w:pStyle w:val="Tabletext"/>
              <w:spacing w:before="40" w:after="40"/>
            </w:pPr>
            <w:r w:rsidRPr="002673D1">
              <w:t>Algunas disposiciones de la Resolución</w:t>
            </w:r>
            <w:r w:rsidR="006C1ADF">
              <w:t> </w:t>
            </w:r>
            <w:r w:rsidR="00E067B8" w:rsidRPr="002673D1">
              <w:t xml:space="preserve">11 </w:t>
            </w:r>
            <w:r w:rsidRPr="002673D1">
              <w:t>no han sido viables</w:t>
            </w:r>
            <w:r w:rsidR="00E067B8" w:rsidRPr="002673D1">
              <w:t xml:space="preserve">. </w:t>
            </w:r>
            <w:r w:rsidRPr="002673D1">
              <w:t xml:space="preserve">La Secretaría trabajará con los Estados Miembros para proponer modificaciones a la Resolución con el fin de asegurarse de que se </w:t>
            </w:r>
            <w:r w:rsidR="009F2913">
              <w:t>tengan</w:t>
            </w:r>
            <w:r w:rsidRPr="002673D1">
              <w:t xml:space="preserve"> en cuenta </w:t>
            </w:r>
            <w:r w:rsidR="00645EF7" w:rsidRPr="002673D1">
              <w:t xml:space="preserve">en la Resolución </w:t>
            </w:r>
            <w:r w:rsidRPr="002673D1">
              <w:t xml:space="preserve">los cambios </w:t>
            </w:r>
            <w:r w:rsidR="00645EF7" w:rsidRPr="002673D1">
              <w:t xml:space="preserve">producidos </w:t>
            </w:r>
            <w:r w:rsidRPr="002673D1">
              <w:t xml:space="preserve">en el entorno comercial y económico, y </w:t>
            </w:r>
            <w:r w:rsidR="00645EF7" w:rsidRPr="002673D1">
              <w:t>sig</w:t>
            </w:r>
            <w:r w:rsidR="009F2913">
              <w:t>a</w:t>
            </w:r>
            <w:r w:rsidR="00645EF7" w:rsidRPr="002673D1">
              <w:t xml:space="preserve"> rigiendo adecuadamente el funcionamiento de </w:t>
            </w:r>
            <w:r w:rsidR="00E067B8" w:rsidRPr="002673D1">
              <w:t xml:space="preserve">ITU Telecom. </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4F2281" w:rsidP="00DD7524">
            <w:pPr>
              <w:pStyle w:val="Tabletext"/>
              <w:spacing w:before="40" w:after="40"/>
            </w:pPr>
            <w:r w:rsidRPr="002673D1">
              <w:t>En curso</w:t>
            </w:r>
          </w:p>
        </w:tc>
      </w:tr>
    </w:tbl>
    <w:p w:rsidR="00E067B8" w:rsidRPr="002673D1" w:rsidRDefault="00E067B8" w:rsidP="00A52625">
      <w:pPr>
        <w:rPr>
          <w:highlight w:val="yellow"/>
        </w:rPr>
        <w:sectPr w:rsidR="00E067B8" w:rsidRPr="002673D1" w:rsidSect="00150AA6">
          <w:headerReference w:type="even" r:id="rId21"/>
          <w:pgSz w:w="16840" w:h="11907" w:orient="landscape" w:code="9"/>
          <w:pgMar w:top="1418" w:right="1134" w:bottom="1418" w:left="1134" w:header="720" w:footer="720" w:gutter="0"/>
          <w:cols w:space="720"/>
          <w:noEndnote/>
        </w:sectPr>
      </w:pPr>
    </w:p>
    <w:p w:rsidR="00E067B8" w:rsidRPr="002673D1" w:rsidRDefault="00E067B8" w:rsidP="00BC3D04">
      <w:pPr>
        <w:spacing w:after="240"/>
        <w:jc w:val="center"/>
        <w:rPr>
          <w:rFonts w:ascii="Times New Roman" w:hAnsi="Times New Roman"/>
          <w:b/>
          <w:bCs/>
          <w:szCs w:val="24"/>
        </w:rPr>
      </w:pPr>
      <w:r w:rsidRPr="002673D1">
        <w:rPr>
          <w:rFonts w:ascii="Times New Roman" w:hAnsi="Times New Roman"/>
          <w:b/>
          <w:bCs/>
          <w:szCs w:val="24"/>
        </w:rPr>
        <w:lastRenderedPageBreak/>
        <w:t>Sug</w:t>
      </w:r>
      <w:r w:rsidR="00931731" w:rsidRPr="002673D1">
        <w:rPr>
          <w:rFonts w:ascii="Times New Roman" w:hAnsi="Times New Roman"/>
          <w:b/>
          <w:bCs/>
          <w:szCs w:val="24"/>
        </w:rPr>
        <w:t>erencias</w:t>
      </w:r>
    </w:p>
    <w:tbl>
      <w:tblPr>
        <w:tblW w:w="5204" w:type="pct"/>
        <w:jc w:val="center"/>
        <w:tblLook w:val="0000" w:firstRow="0" w:lastRow="0" w:firstColumn="0" w:lastColumn="0" w:noHBand="0" w:noVBand="0"/>
      </w:tblPr>
      <w:tblGrid>
        <w:gridCol w:w="797"/>
        <w:gridCol w:w="3918"/>
        <w:gridCol w:w="3684"/>
        <w:gridCol w:w="3836"/>
        <w:gridCol w:w="2915"/>
      </w:tblGrid>
      <w:tr w:rsidR="00BE0A42" w:rsidRPr="002673D1" w:rsidTr="006C1ADF">
        <w:trPr>
          <w:cantSplit/>
          <w:tblHeader/>
          <w:jc w:val="center"/>
        </w:trPr>
        <w:tc>
          <w:tcPr>
            <w:tcW w:w="263" w:type="pct"/>
            <w:tcBorders>
              <w:top w:val="single" w:sz="4" w:space="0" w:color="auto"/>
              <w:left w:val="single" w:sz="4" w:space="0" w:color="auto"/>
              <w:bottom w:val="single" w:sz="4" w:space="0" w:color="auto"/>
              <w:right w:val="single" w:sz="4" w:space="0" w:color="auto"/>
            </w:tcBorders>
          </w:tcPr>
          <w:p w:rsidR="001649A3" w:rsidRPr="002673D1" w:rsidRDefault="001649A3" w:rsidP="00DD7524">
            <w:pPr>
              <w:pStyle w:val="Tablehead"/>
              <w:spacing w:before="40" w:after="40"/>
            </w:pPr>
          </w:p>
        </w:tc>
        <w:tc>
          <w:tcPr>
            <w:tcW w:w="1293" w:type="pct"/>
            <w:tcBorders>
              <w:top w:val="single" w:sz="4" w:space="0" w:color="auto"/>
              <w:left w:val="single" w:sz="4" w:space="0" w:color="auto"/>
              <w:bottom w:val="single" w:sz="4" w:space="0" w:color="auto"/>
              <w:right w:val="single" w:sz="4" w:space="0" w:color="auto"/>
            </w:tcBorders>
          </w:tcPr>
          <w:p w:rsidR="001649A3" w:rsidRPr="002673D1" w:rsidRDefault="001649A3" w:rsidP="00DD7524">
            <w:pPr>
              <w:pStyle w:val="Tablehead"/>
              <w:spacing w:before="40" w:after="40"/>
            </w:pPr>
            <w:r w:rsidRPr="002673D1">
              <w:t>Recomendación formulada por Auditores Externos</w:t>
            </w:r>
            <w:r w:rsidRPr="002673D1">
              <w:br/>
              <w:t>(</w:t>
            </w:r>
            <w:r w:rsidR="005F6D23" w:rsidRPr="002673D1">
              <w:t>Corte dei Conti</w:t>
            </w:r>
            <w:r w:rsidRPr="002673D1">
              <w:t>)</w:t>
            </w:r>
          </w:p>
        </w:tc>
        <w:tc>
          <w:tcPr>
            <w:tcW w:w="1216" w:type="pct"/>
            <w:tcBorders>
              <w:top w:val="single" w:sz="4" w:space="0" w:color="auto"/>
              <w:left w:val="single" w:sz="4" w:space="0" w:color="auto"/>
              <w:bottom w:val="single" w:sz="4" w:space="0" w:color="auto"/>
              <w:right w:val="single" w:sz="4" w:space="0" w:color="auto"/>
            </w:tcBorders>
          </w:tcPr>
          <w:p w:rsidR="001649A3" w:rsidRPr="002673D1" w:rsidRDefault="001649A3" w:rsidP="00DD7524">
            <w:pPr>
              <w:pStyle w:val="Tablehead"/>
              <w:spacing w:before="40" w:after="40"/>
            </w:pPr>
            <w:r w:rsidRPr="002673D1">
              <w:t>Com</w:t>
            </w:r>
            <w:r w:rsidR="00DD7524">
              <w:t xml:space="preserve">entarios recibidos del </w:t>
            </w:r>
            <w:r w:rsidR="00DD7524">
              <w:br/>
            </w:r>
            <w:r w:rsidRPr="002673D1">
              <w:t>Secretario General en el momento de publicar el informe</w:t>
            </w:r>
          </w:p>
        </w:tc>
        <w:tc>
          <w:tcPr>
            <w:tcW w:w="1266" w:type="pct"/>
            <w:tcBorders>
              <w:top w:val="single" w:sz="4" w:space="0" w:color="auto"/>
              <w:left w:val="single" w:sz="4" w:space="0" w:color="auto"/>
              <w:bottom w:val="single" w:sz="4" w:space="0" w:color="auto"/>
              <w:right w:val="single" w:sz="4" w:space="0" w:color="auto"/>
            </w:tcBorders>
          </w:tcPr>
          <w:p w:rsidR="001649A3" w:rsidRPr="002673D1" w:rsidRDefault="001649A3" w:rsidP="00DD7524">
            <w:pPr>
              <w:pStyle w:val="Tablehead"/>
              <w:spacing w:before="40" w:after="40"/>
            </w:pPr>
            <w:r w:rsidRPr="002673D1">
              <w:t xml:space="preserve">Situación según la Dirección </w:t>
            </w:r>
            <w:r w:rsidR="00BC3D04">
              <w:t>de la UIT (23 de mayo de 2014)</w:t>
            </w:r>
          </w:p>
        </w:tc>
        <w:tc>
          <w:tcPr>
            <w:tcW w:w="962" w:type="pct"/>
            <w:tcBorders>
              <w:top w:val="single" w:sz="4" w:space="0" w:color="auto"/>
              <w:left w:val="single" w:sz="4" w:space="0" w:color="auto"/>
              <w:bottom w:val="single" w:sz="4" w:space="0" w:color="auto"/>
              <w:right w:val="single" w:sz="4" w:space="0" w:color="auto"/>
            </w:tcBorders>
          </w:tcPr>
          <w:p w:rsidR="001649A3" w:rsidRPr="002673D1" w:rsidRDefault="001649A3" w:rsidP="00DD7524">
            <w:pPr>
              <w:pStyle w:val="Tablehead"/>
              <w:spacing w:before="40" w:after="40"/>
            </w:pPr>
            <w:r w:rsidRPr="002673D1">
              <w:t xml:space="preserve">Estado de las medidas adoptadas por la Dirección según las evaluaciones de los Auditores Externos </w:t>
            </w:r>
            <w:r w:rsidRPr="002673D1">
              <w:br/>
              <w:t>(</w:t>
            </w:r>
            <w:r w:rsidR="005F6D23" w:rsidRPr="002673D1">
              <w:t>Corte dei Conti</w:t>
            </w:r>
            <w:r w:rsidRPr="002673D1">
              <w:t>)</w:t>
            </w:r>
          </w:p>
        </w:tc>
      </w:tr>
      <w:tr w:rsidR="00BE0A42" w:rsidRPr="002673D1" w:rsidTr="006C1ADF">
        <w:trPr>
          <w:cantSplit/>
          <w:jc w:val="center"/>
        </w:trPr>
        <w:tc>
          <w:tcPr>
            <w:tcW w:w="263" w:type="pct"/>
            <w:tcBorders>
              <w:top w:val="single" w:sz="4" w:space="0" w:color="auto"/>
              <w:left w:val="single" w:sz="4" w:space="0" w:color="auto"/>
              <w:bottom w:val="single" w:sz="4" w:space="0" w:color="auto"/>
              <w:right w:val="single" w:sz="4" w:space="0" w:color="auto"/>
            </w:tcBorders>
          </w:tcPr>
          <w:p w:rsidR="00E067B8" w:rsidRPr="002673D1" w:rsidRDefault="00732411" w:rsidP="00DD7524">
            <w:pPr>
              <w:pStyle w:val="Tabletext"/>
              <w:spacing w:before="40" w:after="40"/>
              <w:rPr>
                <w:b/>
                <w:bCs/>
              </w:rPr>
            </w:pPr>
            <w:r w:rsidRPr="002673D1">
              <w:rPr>
                <w:b/>
                <w:bCs/>
              </w:rPr>
              <w:t>Sug.</w:t>
            </w:r>
            <w:r w:rsidR="00E067B8" w:rsidRPr="002673D1">
              <w:rPr>
                <w:b/>
                <w:bCs/>
              </w:rPr>
              <w:t xml:space="preserve"> 1</w:t>
            </w:r>
            <w:r w:rsidR="006006B0" w:rsidRPr="002673D1">
              <w:rPr>
                <w:b/>
                <w:bCs/>
              </w:rPr>
              <w:br/>
            </w:r>
            <w:r w:rsidR="00E067B8" w:rsidRPr="002673D1">
              <w:rPr>
                <w:b/>
                <w:bCs/>
              </w:rPr>
              <w:t>2012</w:t>
            </w:r>
          </w:p>
        </w:tc>
        <w:tc>
          <w:tcPr>
            <w:tcW w:w="1293"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highlight w:val="yellow"/>
              </w:rPr>
            </w:pPr>
            <w:r w:rsidRPr="002673D1">
              <w:t xml:space="preserve">Sabemos que la Dirección es consciente de la pertinencia de firmar a tiempo un acuerdo, de modo que </w:t>
            </w:r>
            <w:r w:rsidRPr="002673D1">
              <w:rPr>
                <w:u w:val="single"/>
              </w:rPr>
              <w:t>sugerimos</w:t>
            </w:r>
            <w:r w:rsidRPr="002673D1">
              <w:t xml:space="preserve"> que se haga todo lo posible para velar por que los Acuerdos con el país anfitrión se redacten, y en la medida de lo posible se firmen, antes de la aprobación del presupuesto.</w:t>
            </w:r>
          </w:p>
        </w:tc>
        <w:tc>
          <w:tcPr>
            <w:tcW w:w="1216"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highlight w:val="yellow"/>
              </w:rPr>
            </w:pPr>
            <w:r w:rsidRPr="002673D1">
              <w:t>El Acuerdo con el país anfitrión para el próximo evento ITU Telecom World 2013 se firmó antes de la aprobación del presupuesto. Se hará todo lo posible para velar por que el Acuerdo con el país anfitrión se redacte, y en la medida de lo posible se firme, antes de la aprobación del presupuesto.</w:t>
            </w:r>
          </w:p>
        </w:tc>
        <w:tc>
          <w:tcPr>
            <w:tcW w:w="1266"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pPr>
            <w:r w:rsidRPr="002673D1">
              <w:t>Aplicadas</w:t>
            </w:r>
            <w:r w:rsidR="00E067B8" w:rsidRPr="002673D1">
              <w:t xml:space="preserve"> </w:t>
            </w:r>
            <w:r w:rsidR="00732411" w:rsidRPr="002673D1">
              <w:t>en</w:t>
            </w:r>
            <w:r w:rsidR="00E067B8" w:rsidRPr="002673D1">
              <w:t xml:space="preserve"> ITU Telecom World 2013.</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pPr>
            <w:r w:rsidRPr="002673D1">
              <w:t>Aplicadas</w:t>
            </w:r>
          </w:p>
        </w:tc>
      </w:tr>
      <w:tr w:rsidR="00BE0A42" w:rsidRPr="002673D1" w:rsidTr="006C1ADF">
        <w:trPr>
          <w:cantSplit/>
          <w:jc w:val="center"/>
        </w:trPr>
        <w:tc>
          <w:tcPr>
            <w:tcW w:w="263" w:type="pct"/>
            <w:tcBorders>
              <w:top w:val="single" w:sz="4" w:space="0" w:color="auto"/>
              <w:left w:val="single" w:sz="4" w:space="0" w:color="auto"/>
              <w:bottom w:val="single" w:sz="4" w:space="0" w:color="auto"/>
              <w:right w:val="single" w:sz="4" w:space="0" w:color="auto"/>
            </w:tcBorders>
          </w:tcPr>
          <w:p w:rsidR="00E067B8" w:rsidRPr="002673D1" w:rsidRDefault="00732411" w:rsidP="00DD7524">
            <w:pPr>
              <w:pStyle w:val="Tabletext"/>
              <w:spacing w:before="40" w:after="40"/>
              <w:rPr>
                <w:b/>
                <w:bCs/>
              </w:rPr>
            </w:pPr>
            <w:r w:rsidRPr="002673D1">
              <w:rPr>
                <w:b/>
                <w:bCs/>
              </w:rPr>
              <w:t>Sug.</w:t>
            </w:r>
            <w:r w:rsidR="00E067B8" w:rsidRPr="002673D1">
              <w:rPr>
                <w:b/>
                <w:bCs/>
              </w:rPr>
              <w:t xml:space="preserve"> 2</w:t>
            </w:r>
            <w:r w:rsidR="006006B0" w:rsidRPr="002673D1">
              <w:rPr>
                <w:b/>
                <w:bCs/>
              </w:rPr>
              <w:br/>
            </w:r>
            <w:r w:rsidR="00E067B8" w:rsidRPr="002673D1">
              <w:rPr>
                <w:b/>
                <w:bCs/>
              </w:rPr>
              <w:t>2012</w:t>
            </w:r>
          </w:p>
        </w:tc>
        <w:tc>
          <w:tcPr>
            <w:tcW w:w="1293"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highlight w:val="yellow"/>
              </w:rPr>
            </w:pPr>
            <w:r w:rsidRPr="002673D1">
              <w:t xml:space="preserve">Aunque son varios los elementos informativos que figuran en dicho documento, hemos observado que no existe una relación directa entre los IFR y los objetivos generales enunciados en la Resolución 11. En consecuencia, </w:t>
            </w:r>
            <w:r w:rsidRPr="002673D1">
              <w:rPr>
                <w:u w:val="single"/>
              </w:rPr>
              <w:t>sugerimos</w:t>
            </w:r>
            <w:r w:rsidRPr="002673D1">
              <w:t xml:space="preserve"> que, para el próximo evento, en 2013, se adopten, antes de su inicio, unos IFR precisos y sólidos que estén vinculados a unos objetivos acordados, fiables y cuantificables y basados en la Resolución 11.</w:t>
            </w:r>
          </w:p>
        </w:tc>
        <w:tc>
          <w:tcPr>
            <w:tcW w:w="1216"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highlight w:val="yellow"/>
              </w:rPr>
            </w:pPr>
            <w:r w:rsidRPr="002673D1">
              <w:t>Para próximos eventos ITU Telecom se definirán unos IFR adicionales a fin de reflejar las disposiciones de la Resolución 11.</w:t>
            </w:r>
          </w:p>
        </w:tc>
        <w:tc>
          <w:tcPr>
            <w:tcW w:w="1266" w:type="pct"/>
            <w:tcBorders>
              <w:top w:val="single" w:sz="4" w:space="0" w:color="auto"/>
              <w:left w:val="single" w:sz="4" w:space="0" w:color="auto"/>
              <w:bottom w:val="single" w:sz="4" w:space="0" w:color="auto"/>
              <w:right w:val="single" w:sz="4" w:space="0" w:color="auto"/>
            </w:tcBorders>
          </w:tcPr>
          <w:p w:rsidR="00E067B8" w:rsidRPr="002673D1" w:rsidRDefault="009A658B" w:rsidP="00DD7524">
            <w:pPr>
              <w:pStyle w:val="Tabletext"/>
              <w:spacing w:before="40" w:after="40"/>
            </w:pPr>
            <w:r w:rsidRPr="002673D1">
              <w:t>Se ha definido un marco para recopilar, analizar y aplicar la inteligencia adquirida gracias a los eventos</w:t>
            </w:r>
            <w:r w:rsidR="00E067B8" w:rsidRPr="002673D1">
              <w:t xml:space="preserve"> Telecom. </w:t>
            </w:r>
            <w:r w:rsidR="00F94AC1" w:rsidRPr="002673D1">
              <w:t>El marco de evaluación combina objetivos comerciales, inteligencia de los asistentes, rendimiento y creación de valor comercial, eficacia operativa y</w:t>
            </w:r>
            <w:r w:rsidR="00E067B8" w:rsidRPr="002673D1">
              <w:t xml:space="preserve"> </w:t>
            </w:r>
            <w:r w:rsidR="00A21F38" w:rsidRPr="002673D1">
              <w:t>medición de la vanidad</w:t>
            </w:r>
            <w:r w:rsidR="00E067B8" w:rsidRPr="002673D1">
              <w:t>.</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4F2281" w:rsidP="00DD7524">
            <w:pPr>
              <w:pStyle w:val="Tabletext"/>
              <w:spacing w:before="40" w:after="40"/>
            </w:pPr>
            <w:r w:rsidRPr="002673D1">
              <w:t>En curso</w:t>
            </w:r>
          </w:p>
        </w:tc>
      </w:tr>
      <w:tr w:rsidR="00BE0A42" w:rsidRPr="002673D1" w:rsidTr="006C1ADF">
        <w:trPr>
          <w:cantSplit/>
          <w:jc w:val="center"/>
        </w:trPr>
        <w:tc>
          <w:tcPr>
            <w:tcW w:w="263" w:type="pct"/>
            <w:tcBorders>
              <w:top w:val="single" w:sz="4" w:space="0" w:color="auto"/>
              <w:left w:val="single" w:sz="4" w:space="0" w:color="auto"/>
              <w:bottom w:val="single" w:sz="4" w:space="0" w:color="auto"/>
              <w:right w:val="single" w:sz="4" w:space="0" w:color="auto"/>
            </w:tcBorders>
          </w:tcPr>
          <w:p w:rsidR="00E067B8" w:rsidRPr="002673D1" w:rsidRDefault="00732411" w:rsidP="00DD7524">
            <w:pPr>
              <w:pStyle w:val="Tabletext"/>
              <w:spacing w:before="40" w:after="40"/>
              <w:rPr>
                <w:b/>
                <w:bCs/>
              </w:rPr>
            </w:pPr>
            <w:r w:rsidRPr="002673D1">
              <w:rPr>
                <w:b/>
                <w:bCs/>
              </w:rPr>
              <w:lastRenderedPageBreak/>
              <w:t>Sug.</w:t>
            </w:r>
            <w:r w:rsidR="00E067B8" w:rsidRPr="002673D1">
              <w:rPr>
                <w:b/>
                <w:bCs/>
              </w:rPr>
              <w:t xml:space="preserve"> 3</w:t>
            </w:r>
            <w:r w:rsidR="006006B0" w:rsidRPr="002673D1">
              <w:rPr>
                <w:b/>
                <w:bCs/>
              </w:rPr>
              <w:br/>
            </w:r>
            <w:r w:rsidR="00E067B8" w:rsidRPr="002673D1">
              <w:rPr>
                <w:b/>
                <w:bCs/>
              </w:rPr>
              <w:t>2012</w:t>
            </w:r>
          </w:p>
        </w:tc>
        <w:tc>
          <w:tcPr>
            <w:tcW w:w="1293"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rPr>
            </w:pPr>
            <w:r w:rsidRPr="002673D1">
              <w:t xml:space="preserve">Somos conscientes de que la Dirección ve en la flexibilidad un aliciente importante para atraer a participantes; no obstante, </w:t>
            </w:r>
            <w:r w:rsidRPr="002673D1">
              <w:rPr>
                <w:u w:val="single"/>
              </w:rPr>
              <w:t>sugerimos</w:t>
            </w:r>
            <w:r w:rsidRPr="002673D1">
              <w:t xml:space="preserve"> que se haga un seguimiento durante los próximos años de los resultados de esta política, se analice su conveniencia y se evalúe qué impacto ha tenido en los ingresos por ventas, no sólo para decidir si se mantiene o no, sino también para poder prever de una manera más certera los ingresos en el presupuesto.</w:t>
            </w:r>
          </w:p>
        </w:tc>
        <w:tc>
          <w:tcPr>
            <w:tcW w:w="1216"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highlight w:val="yellow"/>
              </w:rPr>
            </w:pPr>
            <w:r w:rsidRPr="002673D1">
              <w:t>Gracias a la flexibilidad que ofrecen las políticas de descuentos, ITU Telecom ha podido entrar en contacto con distintos actores clave del sector y asegurarse su participación. ITU Telecom realizará un seguimiento de esta política para velar por que cumpla de manera efectiva con su finalidad y se haga eco de los avances que se producen en un ecosistema como el nuestro, que cambia a gran velocidad. Los descuentos no son sino uno de los elementos que tienen en cuenta asociados/clientes antes de tomar la decisión de participar. No existe una relación directa entre ingresos y política de descuentos.</w:t>
            </w:r>
          </w:p>
        </w:tc>
        <w:tc>
          <w:tcPr>
            <w:tcW w:w="1266"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Tabletext"/>
              <w:spacing w:before="40" w:after="40"/>
            </w:pPr>
            <w:r w:rsidRPr="002673D1">
              <w:t xml:space="preserve">ITU Telecom </w:t>
            </w:r>
            <w:r w:rsidR="001D2767" w:rsidRPr="002673D1">
              <w:t xml:space="preserve">no cesa de supervisar, evaluar y perfeccionar su política </w:t>
            </w:r>
            <w:r w:rsidR="0045536B" w:rsidRPr="002673D1">
              <w:t>de descuentos para alcanzar sus objetivos</w:t>
            </w:r>
            <w:r w:rsidRPr="002673D1">
              <w:t xml:space="preserve">. </w:t>
            </w:r>
            <w:r w:rsidR="0045536B" w:rsidRPr="002673D1">
              <w:t>Los descuentos son elementos importantes que se utilizan para alentar los compromisos tempranos, asegurar la participación de socios clave y atraer a nuevos socios y clientes</w:t>
            </w:r>
            <w:r w:rsidRPr="002673D1">
              <w:t xml:space="preserve">. </w:t>
            </w:r>
            <w:r w:rsidR="00213046" w:rsidRPr="002673D1">
              <w:t>Han demostrado ser elementos útiles en las campañas de divulgación y promoción</w:t>
            </w:r>
            <w:r w:rsidRPr="002673D1">
              <w:t>.</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4F2281" w:rsidP="00DD7524">
            <w:pPr>
              <w:pStyle w:val="Tabletext"/>
              <w:spacing w:before="40" w:after="40"/>
            </w:pPr>
            <w:r w:rsidRPr="002673D1">
              <w:t>En curso</w:t>
            </w:r>
          </w:p>
        </w:tc>
      </w:tr>
      <w:tr w:rsidR="00BE0A42" w:rsidRPr="002673D1" w:rsidTr="006C1ADF">
        <w:trPr>
          <w:cantSplit/>
          <w:jc w:val="center"/>
        </w:trPr>
        <w:tc>
          <w:tcPr>
            <w:tcW w:w="263" w:type="pct"/>
            <w:tcBorders>
              <w:top w:val="single" w:sz="4" w:space="0" w:color="auto"/>
              <w:left w:val="single" w:sz="4" w:space="0" w:color="auto"/>
              <w:bottom w:val="single" w:sz="4" w:space="0" w:color="auto"/>
              <w:right w:val="single" w:sz="4" w:space="0" w:color="auto"/>
            </w:tcBorders>
          </w:tcPr>
          <w:p w:rsidR="00E067B8" w:rsidRPr="002673D1" w:rsidRDefault="00732411" w:rsidP="00DD7524">
            <w:pPr>
              <w:pStyle w:val="Tabletext"/>
              <w:spacing w:before="40" w:after="40"/>
              <w:rPr>
                <w:b/>
                <w:bCs/>
              </w:rPr>
            </w:pPr>
            <w:r w:rsidRPr="002673D1">
              <w:rPr>
                <w:b/>
                <w:bCs/>
              </w:rPr>
              <w:lastRenderedPageBreak/>
              <w:t>Sug.</w:t>
            </w:r>
            <w:r w:rsidR="00E067B8" w:rsidRPr="002673D1">
              <w:rPr>
                <w:b/>
                <w:bCs/>
              </w:rPr>
              <w:t xml:space="preserve"> 4</w:t>
            </w:r>
            <w:r w:rsidR="006006B0" w:rsidRPr="002673D1">
              <w:rPr>
                <w:b/>
                <w:bCs/>
              </w:rPr>
              <w:br/>
            </w:r>
            <w:r w:rsidR="00E067B8" w:rsidRPr="002673D1">
              <w:rPr>
                <w:b/>
                <w:bCs/>
              </w:rPr>
              <w:t>2012</w:t>
            </w:r>
          </w:p>
        </w:tc>
        <w:tc>
          <w:tcPr>
            <w:tcW w:w="1293"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highlight w:val="yellow"/>
              </w:rPr>
            </w:pPr>
            <w:r w:rsidRPr="002673D1">
              <w:t xml:space="preserve">Aunque los ingresos reales de las soluciones llave en mano solamente representan alrededor del 1,8% de los ingresos totales, consideramos que se trata de un servicio importante para los participantes y, en consecuencia, </w:t>
            </w:r>
            <w:r w:rsidRPr="002673D1">
              <w:rPr>
                <w:u w:val="single"/>
              </w:rPr>
              <w:t>sugerimos</w:t>
            </w:r>
            <w:r w:rsidRPr="002673D1">
              <w:t xml:space="preserve"> que se incluyan en una partida específica del presupuesto para próximos eventos ITU Telecom World.</w:t>
            </w:r>
          </w:p>
        </w:tc>
        <w:tc>
          <w:tcPr>
            <w:tcW w:w="1216" w:type="pct"/>
            <w:tcBorders>
              <w:top w:val="single" w:sz="4" w:space="0" w:color="auto"/>
              <w:left w:val="single" w:sz="4" w:space="0" w:color="auto"/>
              <w:bottom w:val="single" w:sz="4" w:space="0" w:color="auto"/>
              <w:right w:val="single" w:sz="4" w:space="0" w:color="auto"/>
            </w:tcBorders>
          </w:tcPr>
          <w:p w:rsidR="00E067B8" w:rsidRPr="002673D1" w:rsidRDefault="00952D06" w:rsidP="00BE0A42">
            <w:pPr>
              <w:pStyle w:val="Tabletext"/>
              <w:spacing w:before="40" w:after="40"/>
              <w:rPr>
                <w:rFonts w:asciiTheme="majorBidi" w:hAnsiTheme="majorBidi" w:cstheme="majorBidi"/>
                <w:szCs w:val="24"/>
                <w:highlight w:val="yellow"/>
              </w:rPr>
            </w:pPr>
            <w:r w:rsidRPr="002673D1">
              <w:t>En presupuestos de eventos ITU Telecom anteriores, a saber hasta el evento ITU Telecom World 2009, ya existía una partida específica para las soluciones llave en mano. No obstante, dado que la venta de soluciones llave en mano no estaba prevista ni en ITU Telecom World</w:t>
            </w:r>
            <w:r w:rsidR="00BE0A42">
              <w:t> </w:t>
            </w:r>
            <w:r w:rsidRPr="002673D1">
              <w:t>2011, ni en ITU Telecom World 2012, no se incluyeron provisiones a tal efecto en el presupuesto. Con todo, las soluciones llave en mano se incluirán en el presupuesto de ITU Telecom World 2013 ya que este producto se ofrecerá en dicho evento.</w:t>
            </w:r>
          </w:p>
        </w:tc>
        <w:tc>
          <w:tcPr>
            <w:tcW w:w="1266"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pPr>
            <w:r w:rsidRPr="002673D1">
              <w:t>Aplicadas</w:t>
            </w:r>
            <w:r w:rsidR="00E067B8" w:rsidRPr="002673D1">
              <w:t xml:space="preserve"> </w:t>
            </w:r>
            <w:r w:rsidR="00F351B6" w:rsidRPr="002673D1">
              <w:t>en</w:t>
            </w:r>
            <w:r w:rsidR="00E067B8" w:rsidRPr="002673D1">
              <w:t xml:space="preserve"> ITU Telecom World 2013.</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pPr>
            <w:r w:rsidRPr="002673D1">
              <w:t>Aplicadas</w:t>
            </w:r>
          </w:p>
        </w:tc>
      </w:tr>
      <w:tr w:rsidR="00BE0A42" w:rsidRPr="002673D1" w:rsidTr="006C1ADF">
        <w:trPr>
          <w:cantSplit/>
          <w:jc w:val="center"/>
        </w:trPr>
        <w:tc>
          <w:tcPr>
            <w:tcW w:w="263" w:type="pct"/>
            <w:tcBorders>
              <w:top w:val="single" w:sz="4" w:space="0" w:color="auto"/>
              <w:left w:val="single" w:sz="4" w:space="0" w:color="auto"/>
              <w:bottom w:val="single" w:sz="4" w:space="0" w:color="auto"/>
              <w:right w:val="single" w:sz="4" w:space="0" w:color="auto"/>
            </w:tcBorders>
          </w:tcPr>
          <w:p w:rsidR="00E067B8" w:rsidRPr="002673D1" w:rsidRDefault="00732411" w:rsidP="00DD7524">
            <w:pPr>
              <w:pStyle w:val="Tabletext"/>
              <w:spacing w:before="40" w:after="40"/>
              <w:rPr>
                <w:b/>
                <w:bCs/>
              </w:rPr>
            </w:pPr>
            <w:r w:rsidRPr="002673D1">
              <w:rPr>
                <w:b/>
                <w:bCs/>
              </w:rPr>
              <w:lastRenderedPageBreak/>
              <w:t>Sug.</w:t>
            </w:r>
            <w:r w:rsidR="00E067B8" w:rsidRPr="002673D1">
              <w:rPr>
                <w:b/>
                <w:bCs/>
              </w:rPr>
              <w:t xml:space="preserve"> 5</w:t>
            </w:r>
            <w:r w:rsidR="006006B0" w:rsidRPr="002673D1">
              <w:rPr>
                <w:b/>
                <w:bCs/>
              </w:rPr>
              <w:br/>
            </w:r>
            <w:r w:rsidR="00E067B8" w:rsidRPr="002673D1">
              <w:rPr>
                <w:b/>
                <w:bCs/>
              </w:rPr>
              <w:t>2012</w:t>
            </w:r>
          </w:p>
        </w:tc>
        <w:tc>
          <w:tcPr>
            <w:tcW w:w="1293"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highlight w:val="yellow"/>
              </w:rPr>
            </w:pPr>
            <w:r w:rsidRPr="002673D1">
              <w:t xml:space="preserve">La Dirección ha manifestado que los acuerdos de intercambio son una herramienta importante para ITU Telecom World 2012, no sólo para atraer a compañías e inversores, sino también con vistas a la adquisición de productos y servicios de gran importancia. Hemos observado que la valoración que se hace de dichos servicios, en particular el cálculo de los beneficios para la UIT, se basa principalmente en el valor de mercado estimado de acuerdo con las tarifas vigentes. No obstante, en ocasiones se realizan estimaciones en ausencia de dicha información. En consecuencia, </w:t>
            </w:r>
            <w:r w:rsidRPr="002673D1">
              <w:rPr>
                <w:u w:val="single"/>
              </w:rPr>
              <w:t>sugerimos</w:t>
            </w:r>
            <w:r w:rsidRPr="002673D1">
              <w:t xml:space="preserve"> que la información sobre los beneficios para la UIT y los servicios prestados por la Unión se presente de una manera más clara y cuantificable, a fin de que sea más fácil saber si un intercambio es más o menos favorable para la UIT.</w:t>
            </w:r>
          </w:p>
        </w:tc>
        <w:tc>
          <w:tcPr>
            <w:tcW w:w="1216"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highlight w:val="yellow"/>
              </w:rPr>
            </w:pPr>
            <w:r w:rsidRPr="002673D1">
              <w:t>Los acuerdos de intercambio son una herramienta importante para atraer a empresas/inversores y adquirir productos/servicios a precios competitivos. Todo posible acuerdo de intercambio es objeto de una evaluación rigurosa; asimismo, puede consultarse tanto la información relativa a los beneficios para la UIT como la relativa a los servicios que presta la Unión.</w:t>
            </w:r>
          </w:p>
        </w:tc>
        <w:tc>
          <w:tcPr>
            <w:tcW w:w="1266"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Tabletext"/>
              <w:spacing w:before="40" w:after="40"/>
            </w:pPr>
            <w:r w:rsidRPr="002673D1">
              <w:t>ITU Telecom</w:t>
            </w:r>
            <w:r w:rsidR="00F351B6" w:rsidRPr="002673D1">
              <w:t xml:space="preserve"> no cesa de perfeccionar su estrategia para atender a un mercado en rápida evolución</w:t>
            </w:r>
            <w:r w:rsidRPr="002673D1">
              <w:t xml:space="preserve">. </w:t>
            </w:r>
            <w:r w:rsidR="00DD0A28" w:rsidRPr="002673D1">
              <w:t xml:space="preserve">Los intercambios seguirán siendo una manera rentable de alcanzar algunas de las metas de </w:t>
            </w:r>
            <w:r w:rsidRPr="002673D1">
              <w:t xml:space="preserve">ITU Telecom. ITU Telecom </w:t>
            </w:r>
            <w:r w:rsidR="00DD0A28" w:rsidRPr="002673D1">
              <w:t xml:space="preserve">continuará mejorando la documentación sobre los intercambios </w:t>
            </w:r>
            <w:r w:rsidR="00202D6F" w:rsidRPr="002673D1">
              <w:t xml:space="preserve">para captar con mayor precisión su </w:t>
            </w:r>
            <w:r w:rsidR="00687584" w:rsidRPr="002673D1">
              <w:t xml:space="preserve">compleja </w:t>
            </w:r>
            <w:r w:rsidR="00202D6F" w:rsidRPr="002673D1">
              <w:t>naturaleza.</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4F2281" w:rsidP="00DD7524">
            <w:pPr>
              <w:pStyle w:val="Tabletext"/>
              <w:spacing w:before="40" w:after="40"/>
            </w:pPr>
            <w:r w:rsidRPr="002673D1">
              <w:t>En curso</w:t>
            </w:r>
          </w:p>
        </w:tc>
      </w:tr>
      <w:tr w:rsidR="00BE0A42" w:rsidRPr="002673D1" w:rsidTr="006C1ADF">
        <w:trPr>
          <w:cantSplit/>
          <w:jc w:val="center"/>
        </w:trPr>
        <w:tc>
          <w:tcPr>
            <w:tcW w:w="263" w:type="pct"/>
            <w:tcBorders>
              <w:top w:val="single" w:sz="4" w:space="0" w:color="auto"/>
              <w:left w:val="single" w:sz="4" w:space="0" w:color="auto"/>
              <w:bottom w:val="single" w:sz="4" w:space="0" w:color="auto"/>
              <w:right w:val="single" w:sz="4" w:space="0" w:color="auto"/>
            </w:tcBorders>
          </w:tcPr>
          <w:p w:rsidR="00E067B8" w:rsidRPr="002673D1" w:rsidRDefault="00732411" w:rsidP="00DD7524">
            <w:pPr>
              <w:pStyle w:val="Tabletext"/>
              <w:spacing w:before="40" w:after="40"/>
              <w:rPr>
                <w:b/>
                <w:bCs/>
              </w:rPr>
            </w:pPr>
            <w:r w:rsidRPr="002673D1">
              <w:rPr>
                <w:b/>
                <w:bCs/>
              </w:rPr>
              <w:lastRenderedPageBreak/>
              <w:t>Sug.</w:t>
            </w:r>
            <w:r w:rsidR="00E067B8" w:rsidRPr="002673D1">
              <w:rPr>
                <w:b/>
                <w:bCs/>
              </w:rPr>
              <w:t>6</w:t>
            </w:r>
            <w:r w:rsidR="006006B0" w:rsidRPr="002673D1">
              <w:rPr>
                <w:b/>
                <w:bCs/>
              </w:rPr>
              <w:br/>
            </w:r>
            <w:r w:rsidR="00E067B8" w:rsidRPr="002673D1">
              <w:rPr>
                <w:b/>
                <w:bCs/>
              </w:rPr>
              <w:t>2012</w:t>
            </w:r>
          </w:p>
        </w:tc>
        <w:tc>
          <w:tcPr>
            <w:tcW w:w="1293"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bCs/>
                <w:szCs w:val="24"/>
                <w:highlight w:val="yellow"/>
              </w:rPr>
            </w:pPr>
            <w:r w:rsidRPr="002673D1">
              <w:t xml:space="preserve">Sea como fuere, habida cuenta de que los eventos ITU Telecom World podrían verse afectados por la coincidencia con otros eventos o exposiciones o por la próxima celebración de otros eventos o exposiciones, incluidos eventos de la UIT, </w:t>
            </w:r>
            <w:r w:rsidRPr="002673D1">
              <w:rPr>
                <w:u w:val="single"/>
              </w:rPr>
              <w:t>sugerimos</w:t>
            </w:r>
            <w:r w:rsidRPr="002673D1">
              <w:t xml:space="preserve"> que, en el futuro, se evite organizar eventos ITU Telecom World cuando ya esté previsto celebrar eventos similares en esas mismas fechas y, más si cabe, en la misma ubicación.</w:t>
            </w:r>
          </w:p>
        </w:tc>
        <w:tc>
          <w:tcPr>
            <w:tcW w:w="1216" w:type="pct"/>
            <w:tcBorders>
              <w:top w:val="single" w:sz="4" w:space="0" w:color="auto"/>
              <w:left w:val="single" w:sz="4" w:space="0" w:color="auto"/>
              <w:bottom w:val="single" w:sz="4" w:space="0" w:color="auto"/>
              <w:right w:val="single" w:sz="4" w:space="0" w:color="auto"/>
            </w:tcBorders>
          </w:tcPr>
          <w:p w:rsidR="00E067B8" w:rsidRPr="002673D1" w:rsidRDefault="00952D06" w:rsidP="00DD7524">
            <w:pPr>
              <w:pStyle w:val="Tabletext"/>
              <w:spacing w:before="40" w:after="40"/>
              <w:rPr>
                <w:rFonts w:asciiTheme="majorBidi" w:hAnsiTheme="majorBidi" w:cstheme="majorBidi"/>
                <w:szCs w:val="24"/>
                <w:highlight w:val="yellow"/>
              </w:rPr>
            </w:pPr>
            <w:r w:rsidRPr="002673D1">
              <w:t>ITU Telecom seguirá estudiando detenidamente las oportunidades para crear más valor para sus clientes cuando ITU Telecom coincida con otros eventos. ITU Telecom desarrolla modelos de negocio para una "ITU Telecom entendida como plataforma" que permita potenciar la marca UIT y aunar esfuerzos para presentarnos ante el público, crear la atmósfera/experiencia e identificar temas clave para los debates al tiempo que otros asociados concretos organizan eventos complementarios. Actualmente la oferta de sesiones conjuntas y patrocinadas sirve para poner a prueba determinados elementos de este modelo.</w:t>
            </w:r>
          </w:p>
        </w:tc>
        <w:tc>
          <w:tcPr>
            <w:tcW w:w="1266" w:type="pct"/>
            <w:tcBorders>
              <w:top w:val="single" w:sz="4" w:space="0" w:color="auto"/>
              <w:left w:val="single" w:sz="4" w:space="0" w:color="auto"/>
              <w:bottom w:val="single" w:sz="4" w:space="0" w:color="auto"/>
              <w:right w:val="single" w:sz="4" w:space="0" w:color="auto"/>
            </w:tcBorders>
          </w:tcPr>
          <w:p w:rsidR="00E067B8" w:rsidRPr="002673D1" w:rsidRDefault="00E067B8" w:rsidP="00DD7524">
            <w:pPr>
              <w:pStyle w:val="Tabletext"/>
              <w:spacing w:before="40" w:after="40"/>
            </w:pPr>
            <w:r w:rsidRPr="002673D1">
              <w:t>ITU Telecom nego</w:t>
            </w:r>
            <w:r w:rsidR="000723E2" w:rsidRPr="002673D1">
              <w:t xml:space="preserve">ció acuerdos de colaboración </w:t>
            </w:r>
            <w:r w:rsidR="003D59DA">
              <w:t xml:space="preserve">con organizaciones que han celebrado </w:t>
            </w:r>
            <w:r w:rsidR="000723E2" w:rsidRPr="002673D1">
              <w:t>reuniones durante los eventos</w:t>
            </w:r>
            <w:r w:rsidRPr="002673D1">
              <w:t xml:space="preserve"> Telecom. </w:t>
            </w:r>
            <w:r w:rsidR="009B3198" w:rsidRPr="002673D1">
              <w:t xml:space="preserve">Esto ha demostrado ser muy útil para que la UIT </w:t>
            </w:r>
            <w:r w:rsidR="001947B6">
              <w:t>refuerce</w:t>
            </w:r>
            <w:r w:rsidR="009B3198" w:rsidRPr="002673D1">
              <w:t xml:space="preserve"> su importancia, potencie el valor que ofrece a sus participantes</w:t>
            </w:r>
            <w:r w:rsidRPr="002673D1">
              <w:t xml:space="preserve"> </w:t>
            </w:r>
            <w:r w:rsidR="009B3198" w:rsidRPr="002673D1">
              <w:t>y llegue a nuevos públicos y geografías</w:t>
            </w:r>
            <w:r w:rsidRPr="002673D1">
              <w:t xml:space="preserve">. </w:t>
            </w:r>
          </w:p>
        </w:tc>
        <w:tc>
          <w:tcPr>
            <w:tcW w:w="962" w:type="pct"/>
            <w:tcBorders>
              <w:top w:val="single" w:sz="4" w:space="0" w:color="auto"/>
              <w:left w:val="single" w:sz="4" w:space="0" w:color="auto"/>
              <w:bottom w:val="single" w:sz="4" w:space="0" w:color="auto"/>
              <w:right w:val="single" w:sz="4" w:space="0" w:color="auto"/>
            </w:tcBorders>
          </w:tcPr>
          <w:p w:rsidR="00E067B8" w:rsidRPr="002673D1" w:rsidRDefault="001649A3" w:rsidP="00DD7524">
            <w:pPr>
              <w:pStyle w:val="Tabletext"/>
              <w:spacing w:before="40" w:after="40"/>
            </w:pPr>
            <w:r w:rsidRPr="002673D1">
              <w:t>Aplicadas</w:t>
            </w:r>
          </w:p>
        </w:tc>
      </w:tr>
      <w:tr w:rsidR="00BE0A42" w:rsidRPr="002673D1" w:rsidTr="006C1ADF">
        <w:trPr>
          <w:cantSplit/>
          <w:jc w:val="center"/>
        </w:trPr>
        <w:tc>
          <w:tcPr>
            <w:tcW w:w="263" w:type="pct"/>
            <w:tcBorders>
              <w:top w:val="single" w:sz="4" w:space="0" w:color="auto"/>
              <w:left w:val="single" w:sz="4" w:space="0" w:color="auto"/>
              <w:bottom w:val="single" w:sz="4" w:space="0" w:color="auto"/>
              <w:right w:val="single" w:sz="4" w:space="0" w:color="auto"/>
            </w:tcBorders>
          </w:tcPr>
          <w:p w:rsidR="00424E95" w:rsidRPr="002673D1" w:rsidRDefault="00732411" w:rsidP="00DD7524">
            <w:pPr>
              <w:pStyle w:val="Tabletext"/>
              <w:spacing w:before="40" w:after="40"/>
              <w:rPr>
                <w:b/>
                <w:bCs/>
              </w:rPr>
            </w:pPr>
            <w:r w:rsidRPr="002673D1">
              <w:rPr>
                <w:b/>
                <w:bCs/>
              </w:rPr>
              <w:lastRenderedPageBreak/>
              <w:t>Sug.</w:t>
            </w:r>
            <w:r w:rsidR="00424E95" w:rsidRPr="002673D1">
              <w:rPr>
                <w:b/>
                <w:bCs/>
              </w:rPr>
              <w:t>7</w:t>
            </w:r>
            <w:r w:rsidR="006006B0" w:rsidRPr="002673D1">
              <w:rPr>
                <w:b/>
                <w:bCs/>
              </w:rPr>
              <w:br/>
            </w:r>
            <w:r w:rsidR="00424E95" w:rsidRPr="002673D1">
              <w:rPr>
                <w:b/>
                <w:bCs/>
              </w:rPr>
              <w:t>2012</w:t>
            </w:r>
          </w:p>
        </w:tc>
        <w:tc>
          <w:tcPr>
            <w:tcW w:w="1293" w:type="pct"/>
            <w:tcBorders>
              <w:top w:val="single" w:sz="4" w:space="0" w:color="auto"/>
              <w:left w:val="single" w:sz="4" w:space="0" w:color="auto"/>
              <w:bottom w:val="single" w:sz="4" w:space="0" w:color="auto"/>
              <w:right w:val="single" w:sz="4" w:space="0" w:color="auto"/>
            </w:tcBorders>
          </w:tcPr>
          <w:p w:rsidR="00424E95" w:rsidRPr="002673D1" w:rsidRDefault="00424E95" w:rsidP="00DD7524">
            <w:pPr>
              <w:pStyle w:val="Tabletext"/>
              <w:spacing w:before="40" w:after="40"/>
              <w:rPr>
                <w:rFonts w:asciiTheme="majorBidi" w:hAnsiTheme="majorBidi" w:cstheme="majorBidi"/>
                <w:bCs/>
                <w:szCs w:val="24"/>
                <w:highlight w:val="yellow"/>
              </w:rPr>
            </w:pPr>
            <w:r w:rsidRPr="002673D1">
              <w:t xml:space="preserve">Reconocemos el esfuerzo de la Dirección para promover la participación de países en desarrollo, y </w:t>
            </w:r>
            <w:r w:rsidRPr="002673D1">
              <w:rPr>
                <w:u w:val="single"/>
              </w:rPr>
              <w:t>sugerimos</w:t>
            </w:r>
            <w:r w:rsidRPr="002673D1">
              <w:t xml:space="preserve"> que siga trabajando para aplicar medidas encaminadas a ayudar a los países en desarrollo, posiblemente aumentando el número de iniciativas y los recursos financieros que se destinan a éstas.</w:t>
            </w:r>
          </w:p>
        </w:tc>
        <w:tc>
          <w:tcPr>
            <w:tcW w:w="1216" w:type="pct"/>
            <w:tcBorders>
              <w:top w:val="single" w:sz="4" w:space="0" w:color="auto"/>
              <w:left w:val="single" w:sz="4" w:space="0" w:color="auto"/>
              <w:bottom w:val="single" w:sz="4" w:space="0" w:color="auto"/>
              <w:right w:val="single" w:sz="4" w:space="0" w:color="auto"/>
            </w:tcBorders>
          </w:tcPr>
          <w:p w:rsidR="00424E95" w:rsidRPr="002673D1" w:rsidRDefault="00424E95" w:rsidP="00DD7524">
            <w:pPr>
              <w:pStyle w:val="Tabletext"/>
              <w:spacing w:before="40" w:after="40"/>
              <w:rPr>
                <w:highlight w:val="green"/>
              </w:rPr>
            </w:pPr>
            <w:r w:rsidRPr="002673D1">
              <w:t>Se seguirá trabajando para facilitar la participación de los países en desarrollo, así como en la aplicación de medidas para ayudar a estos países, al tiempo que se examinará la posibilidad de aumentar el número de iniciativas y los recursos económicos que se destinan a ese fin, en la medida en que lo permitan las limitaciones financieras de la Unión.</w:t>
            </w:r>
          </w:p>
        </w:tc>
        <w:tc>
          <w:tcPr>
            <w:tcW w:w="1266" w:type="pct"/>
            <w:tcBorders>
              <w:top w:val="single" w:sz="4" w:space="0" w:color="auto"/>
              <w:left w:val="single" w:sz="4" w:space="0" w:color="auto"/>
              <w:bottom w:val="single" w:sz="4" w:space="0" w:color="auto"/>
              <w:right w:val="single" w:sz="4" w:space="0" w:color="auto"/>
            </w:tcBorders>
          </w:tcPr>
          <w:p w:rsidR="00424E95" w:rsidRPr="004425F4" w:rsidRDefault="00424E95" w:rsidP="006C1ADF">
            <w:pPr>
              <w:pStyle w:val="Tabletext"/>
              <w:spacing w:before="40" w:after="40"/>
            </w:pPr>
            <w:r w:rsidRPr="004425F4">
              <w:t xml:space="preserve">ITU Telecom </w:t>
            </w:r>
            <w:r w:rsidR="00646607" w:rsidRPr="004425F4">
              <w:t xml:space="preserve">se compromete a garantizar la participación adecuada de los </w:t>
            </w:r>
            <w:r w:rsidR="002673D1" w:rsidRPr="004425F4">
              <w:t>países</w:t>
            </w:r>
            <w:r w:rsidR="00646607" w:rsidRPr="004425F4">
              <w:t xml:space="preserve"> en desarrollo en sus eventos</w:t>
            </w:r>
            <w:r w:rsidRPr="004425F4">
              <w:t xml:space="preserve">: i) </w:t>
            </w:r>
            <w:r w:rsidR="002673D1" w:rsidRPr="004425F4">
              <w:t xml:space="preserve">se brinda apoyo financiero para financiar becas; </w:t>
            </w:r>
            <w:r w:rsidRPr="004425F4">
              <w:t xml:space="preserve">ii) </w:t>
            </w:r>
            <w:r w:rsidR="002673D1" w:rsidRPr="004425F4">
              <w:t>se ofrece a cada país un paquete de participación que comprende varios pases complementarios</w:t>
            </w:r>
            <w:r w:rsidRPr="004425F4">
              <w:t xml:space="preserve">; iii) </w:t>
            </w:r>
            <w:r w:rsidR="004425F4" w:rsidRPr="004425F4">
              <w:t xml:space="preserve">se ha creado un </w:t>
            </w:r>
            <w:r w:rsidR="004425F4">
              <w:t>n</w:t>
            </w:r>
            <w:r w:rsidR="004425F4" w:rsidRPr="004425F4">
              <w:t xml:space="preserve">uevo taller </w:t>
            </w:r>
            <w:r w:rsidR="00427367">
              <w:t>destinado a</w:t>
            </w:r>
            <w:r w:rsidR="004425F4" w:rsidRPr="004425F4">
              <w:t xml:space="preserve"> ayudar a los pa</w:t>
            </w:r>
            <w:r w:rsidR="004425F4">
              <w:t>íses a atraer a inversores</w:t>
            </w:r>
            <w:r w:rsidR="00427367">
              <w:t xml:space="preserve">, que se ha puesto en marcha por primera vez en </w:t>
            </w:r>
            <w:r w:rsidRPr="004425F4">
              <w:t>ITU</w:t>
            </w:r>
            <w:r w:rsidR="00427367">
              <w:t xml:space="preserve"> Telecom World 2013 (Bangkok); </w:t>
            </w:r>
            <w:r w:rsidRPr="004425F4">
              <w:t xml:space="preserve">iv) </w:t>
            </w:r>
            <w:r w:rsidR="009C41DC">
              <w:t>se ha elaborado un nuevo programa destinado a aumentar la participación en la sala de exposiciones en favor de los pequeños Estados insulares en desarrollo</w:t>
            </w:r>
            <w:r w:rsidR="006C1ADF">
              <w:t>;</w:t>
            </w:r>
            <w:r w:rsidR="009C41DC">
              <w:t xml:space="preserve"> y </w:t>
            </w:r>
            <w:r w:rsidRPr="004425F4">
              <w:t xml:space="preserve">v) </w:t>
            </w:r>
            <w:r w:rsidR="007C5DCB">
              <w:t xml:space="preserve">la creación del programa incluye </w:t>
            </w:r>
            <w:r w:rsidR="00571840">
              <w:t>a propósito</w:t>
            </w:r>
            <w:r w:rsidR="007C5DCB">
              <w:t xml:space="preserve"> asuntos más directamente pertinentes </w:t>
            </w:r>
            <w:r w:rsidR="009D3E06">
              <w:t>para los países en desarrollo.</w:t>
            </w:r>
          </w:p>
        </w:tc>
        <w:tc>
          <w:tcPr>
            <w:tcW w:w="962" w:type="pct"/>
            <w:tcBorders>
              <w:top w:val="single" w:sz="4" w:space="0" w:color="auto"/>
              <w:left w:val="single" w:sz="4" w:space="0" w:color="auto"/>
              <w:bottom w:val="single" w:sz="4" w:space="0" w:color="auto"/>
              <w:right w:val="single" w:sz="4" w:space="0" w:color="auto"/>
            </w:tcBorders>
          </w:tcPr>
          <w:p w:rsidR="00424E95" w:rsidRPr="002673D1" w:rsidRDefault="001649A3" w:rsidP="00DD7524">
            <w:pPr>
              <w:pStyle w:val="Tabletext"/>
              <w:spacing w:before="40" w:after="40"/>
            </w:pPr>
            <w:r w:rsidRPr="002673D1">
              <w:t>Aplicadas</w:t>
            </w:r>
          </w:p>
        </w:tc>
      </w:tr>
    </w:tbl>
    <w:p w:rsidR="00BC3D04" w:rsidRDefault="00BC3D04" w:rsidP="00544B0A">
      <w:pPr>
        <w:pStyle w:val="Reasons"/>
      </w:pPr>
    </w:p>
    <w:p w:rsidR="00BC3D04" w:rsidRDefault="00BC3D04">
      <w:pPr>
        <w:jc w:val="center"/>
      </w:pPr>
      <w:r>
        <w:t>______________</w:t>
      </w:r>
      <w:bookmarkStart w:id="104" w:name="_GoBack"/>
      <w:bookmarkEnd w:id="104"/>
    </w:p>
    <w:sectPr w:rsidR="00BC3D04" w:rsidSect="00457A5F">
      <w:headerReference w:type="default" r:id="rId22"/>
      <w:pgSz w:w="16834" w:h="11907" w:orient="landscape"/>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23" w:rsidRDefault="00756923">
      <w:r>
        <w:separator/>
      </w:r>
    </w:p>
  </w:endnote>
  <w:endnote w:type="continuationSeparator" w:id="0">
    <w:p w:rsidR="00756923" w:rsidRDefault="007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Pr="00756923" w:rsidRDefault="00756923" w:rsidP="003578A3">
    <w:pPr>
      <w:pStyle w:val="Footer"/>
      <w:rPr>
        <w:lang w:val="fr-CH"/>
      </w:rPr>
    </w:pPr>
    <w:r>
      <w:rPr>
        <w:noProof w:val="0"/>
        <w:sz w:val="24"/>
      </w:rPr>
      <w:fldChar w:fldCharType="begin"/>
    </w:r>
    <w:r w:rsidRPr="00756923">
      <w:rPr>
        <w:lang w:val="fr-CH"/>
      </w:rPr>
      <w:instrText xml:space="preserve"> FILENAME \p  \* MERGEFORMAT </w:instrText>
    </w:r>
    <w:r>
      <w:rPr>
        <w:noProof w:val="0"/>
        <w:sz w:val="24"/>
      </w:rPr>
      <w:fldChar w:fldCharType="separate"/>
    </w:r>
    <w:r w:rsidR="00520DC3">
      <w:rPr>
        <w:lang w:val="fr-CH"/>
      </w:rPr>
      <w:t>P:\ESP\SG\CONSEIL\C14\100\106S.docx</w:t>
    </w:r>
    <w:r>
      <w:fldChar w:fldCharType="end"/>
    </w:r>
    <w:r w:rsidRPr="00756923">
      <w:rPr>
        <w:lang w:val="fr-CH"/>
      </w:rPr>
      <w:t xml:space="preserve"> (364392)</w:t>
    </w:r>
    <w:r w:rsidRPr="00756923">
      <w:rPr>
        <w:lang w:val="fr-CH"/>
      </w:rPr>
      <w:tab/>
    </w:r>
    <w:r>
      <w:fldChar w:fldCharType="begin"/>
    </w:r>
    <w:r>
      <w:instrText xml:space="preserve"> SAVEDATE \@ DD.MM.YY </w:instrText>
    </w:r>
    <w:r>
      <w:fldChar w:fldCharType="separate"/>
    </w:r>
    <w:r w:rsidR="00520DC3">
      <w:t>03.10.14</w:t>
    </w:r>
    <w:r>
      <w:fldChar w:fldCharType="end"/>
    </w:r>
    <w:r w:rsidRPr="00756923">
      <w:rPr>
        <w:lang w:val="fr-CH"/>
      </w:rPr>
      <w:tab/>
    </w:r>
    <w:r>
      <w:fldChar w:fldCharType="begin"/>
    </w:r>
    <w:r>
      <w:instrText xml:space="preserve"> PRINTDATE \@ DD.MM.YY </w:instrText>
    </w:r>
    <w:r>
      <w:fldChar w:fldCharType="separate"/>
    </w:r>
    <w:r w:rsidR="00520DC3">
      <w:t>03.10.14</w:t>
    </w:r>
    <w:r>
      <w:fldChar w:fldCharType="end"/>
    </w:r>
  </w:p>
  <w:p w:rsidR="00756923" w:rsidRPr="003578A3" w:rsidRDefault="00756923" w:rsidP="003578A3">
    <w:pPr>
      <w:pStyle w:val="Footer"/>
      <w:rPr>
        <w:lang w:val="en-US"/>
      </w:rPr>
    </w:pPr>
    <w:r w:rsidRPr="00756923">
      <w:rPr>
        <w:lang w:val="fr-CH"/>
      </w:rPr>
      <w:tab/>
    </w:r>
    <w:r w:rsidRPr="00756923">
      <w:rPr>
        <w:lang w:val="fr-CH"/>
      </w:rPr>
      <w:tab/>
    </w:r>
    <w:r>
      <w:t>Hernández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Default="00756923">
    <w:pPr>
      <w:spacing w:after="120"/>
      <w:jc w:val="center"/>
    </w:pPr>
    <w:r>
      <w:t xml:space="preserve">• </w:t>
    </w:r>
    <w:hyperlink r:id="rId1" w:history="1">
      <w:r>
        <w:rPr>
          <w:rStyle w:val="Hyperlink"/>
        </w:rPr>
        <w:t>http://www.itu.int/council</w:t>
      </w:r>
    </w:hyperlink>
    <w:r>
      <w:t xml:space="preserve"> •</w:t>
    </w:r>
  </w:p>
  <w:p w:rsidR="00756923" w:rsidRPr="00A52625" w:rsidRDefault="00756923" w:rsidP="00A52625">
    <w:pPr>
      <w:pStyle w:val="Footer"/>
      <w:rPr>
        <w:lang w:val="fr-CH"/>
      </w:rPr>
    </w:pPr>
    <w:r>
      <w:rPr>
        <w:noProof w:val="0"/>
        <w:sz w:val="24"/>
      </w:rPr>
      <w:fldChar w:fldCharType="begin"/>
    </w:r>
    <w:r w:rsidRPr="00A52625">
      <w:rPr>
        <w:lang w:val="fr-CH"/>
      </w:rPr>
      <w:instrText xml:space="preserve"> FILENAME \p  \* MERGEFORMAT </w:instrText>
    </w:r>
    <w:r>
      <w:rPr>
        <w:noProof w:val="0"/>
        <w:sz w:val="24"/>
      </w:rPr>
      <w:fldChar w:fldCharType="separate"/>
    </w:r>
    <w:r w:rsidR="00520DC3">
      <w:rPr>
        <w:lang w:val="fr-CH"/>
      </w:rPr>
      <w:t>P:\ESP\SG\CONSEIL\C14\100\106S.docx</w:t>
    </w:r>
    <w:r>
      <w:fldChar w:fldCharType="end"/>
    </w:r>
    <w:r>
      <w:rPr>
        <w:lang w:val="fr-CH"/>
      </w:rPr>
      <w:t xml:space="preserve"> </w:t>
    </w:r>
    <w:r w:rsidRPr="00A52625">
      <w:rPr>
        <w:lang w:val="fr-CH"/>
      </w:rPr>
      <w:t>(364392)</w:t>
    </w:r>
    <w:r w:rsidRPr="00A52625">
      <w:rPr>
        <w:lang w:val="fr-CH"/>
      </w:rPr>
      <w:tab/>
    </w:r>
    <w:r>
      <w:fldChar w:fldCharType="begin"/>
    </w:r>
    <w:r>
      <w:instrText xml:space="preserve"> SAVEDATE \@ DD.MM.YY </w:instrText>
    </w:r>
    <w:r>
      <w:fldChar w:fldCharType="separate"/>
    </w:r>
    <w:r w:rsidR="00520DC3">
      <w:t>03.10.14</w:t>
    </w:r>
    <w:r>
      <w:fldChar w:fldCharType="end"/>
    </w:r>
    <w:r w:rsidRPr="00A52625">
      <w:rPr>
        <w:lang w:val="fr-CH"/>
      </w:rPr>
      <w:tab/>
    </w:r>
    <w:r>
      <w:fldChar w:fldCharType="begin"/>
    </w:r>
    <w:r>
      <w:instrText xml:space="preserve"> PRINTDATE \@ DD.MM.YY </w:instrText>
    </w:r>
    <w:r>
      <w:fldChar w:fldCharType="separate"/>
    </w:r>
    <w:r w:rsidR="00520DC3">
      <w:t>03.10.14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Default="00756923" w:rsidP="00871099">
    <w:pPr>
      <w:pStyle w:val="Footer"/>
      <w:tabs>
        <w:tab w:val="left" w:pos="3218"/>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Pr="00A52625" w:rsidRDefault="00756923" w:rsidP="00A52625">
    <w:pPr>
      <w:pStyle w:val="Footer"/>
      <w:rPr>
        <w:lang w:val="fr-CH"/>
      </w:rPr>
    </w:pPr>
    <w:r>
      <w:rPr>
        <w:noProof w:val="0"/>
        <w:sz w:val="24"/>
      </w:rPr>
      <w:fldChar w:fldCharType="begin"/>
    </w:r>
    <w:r w:rsidRPr="00A52625">
      <w:rPr>
        <w:lang w:val="fr-CH"/>
      </w:rPr>
      <w:instrText xml:space="preserve"> FILENAME \p  \* MERGEFORMAT </w:instrText>
    </w:r>
    <w:r>
      <w:rPr>
        <w:noProof w:val="0"/>
        <w:sz w:val="24"/>
      </w:rPr>
      <w:fldChar w:fldCharType="separate"/>
    </w:r>
    <w:r w:rsidR="00520DC3">
      <w:rPr>
        <w:lang w:val="fr-CH"/>
      </w:rPr>
      <w:t>P:\ESP\SG\CONSEIL\C14\100\106S.docx</w:t>
    </w:r>
    <w:r>
      <w:fldChar w:fldCharType="end"/>
    </w:r>
    <w:r>
      <w:rPr>
        <w:lang w:val="fr-CH"/>
      </w:rPr>
      <w:t xml:space="preserve"> </w:t>
    </w:r>
    <w:r w:rsidRPr="00A52625">
      <w:rPr>
        <w:lang w:val="fr-CH"/>
      </w:rPr>
      <w:t>(364392)</w:t>
    </w:r>
    <w:r w:rsidRPr="00A52625">
      <w:rPr>
        <w:lang w:val="fr-CH"/>
      </w:rPr>
      <w:tab/>
    </w:r>
    <w:r>
      <w:fldChar w:fldCharType="begin"/>
    </w:r>
    <w:r>
      <w:instrText xml:space="preserve"> SAVEDATE \@ DD.MM.YY </w:instrText>
    </w:r>
    <w:r>
      <w:fldChar w:fldCharType="separate"/>
    </w:r>
    <w:r w:rsidR="00520DC3">
      <w:t>03.10.14</w:t>
    </w:r>
    <w:r>
      <w:fldChar w:fldCharType="end"/>
    </w:r>
    <w:r w:rsidRPr="00A52625">
      <w:rPr>
        <w:lang w:val="fr-CH"/>
      </w:rPr>
      <w:tab/>
    </w:r>
    <w:r>
      <w:fldChar w:fldCharType="begin"/>
    </w:r>
    <w:r>
      <w:instrText xml:space="preserve"> PRINTDATE \@ DD.MM.YY </w:instrText>
    </w:r>
    <w:r>
      <w:fldChar w:fldCharType="separate"/>
    </w:r>
    <w:r w:rsidR="00520DC3">
      <w:t>03.10.14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Default="00756923" w:rsidP="00871099">
    <w:pPr>
      <w:spacing w:after="120"/>
      <w:jc w:val="center"/>
    </w:pPr>
    <w:r>
      <w:t xml:space="preserve">• </w:t>
    </w:r>
    <w:hyperlink r:id="rId1" w:history="1">
      <w:r>
        <w:rPr>
          <w:rStyle w:val="Hyperlink"/>
        </w:rPr>
        <w:t>http://www.itu.int/council</w:t>
      </w:r>
    </w:hyperlink>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Pr="00150AA6" w:rsidRDefault="00756923" w:rsidP="00150AA6">
    <w:pPr>
      <w:pStyle w:val="Footer"/>
      <w:rPr>
        <w:lang w:val="fr-CH"/>
      </w:rPr>
    </w:pPr>
    <w:r>
      <w:rPr>
        <w:noProof w:val="0"/>
        <w:sz w:val="24"/>
      </w:rPr>
      <w:fldChar w:fldCharType="begin"/>
    </w:r>
    <w:r w:rsidRPr="00150AA6">
      <w:rPr>
        <w:lang w:val="fr-CH"/>
      </w:rPr>
      <w:instrText xml:space="preserve"> FILENAME \p  \* MERGEFORMAT </w:instrText>
    </w:r>
    <w:r>
      <w:rPr>
        <w:noProof w:val="0"/>
        <w:sz w:val="24"/>
      </w:rPr>
      <w:fldChar w:fldCharType="separate"/>
    </w:r>
    <w:r w:rsidR="00520DC3">
      <w:rPr>
        <w:lang w:val="fr-CH"/>
      </w:rPr>
      <w:t>P:\ESP\SG\CONSEIL\C14\100\106S.docx</w:t>
    </w:r>
    <w:r>
      <w:fldChar w:fldCharType="end"/>
    </w:r>
    <w:r w:rsidRPr="00150AA6">
      <w:rPr>
        <w:lang w:val="fr-CH"/>
      </w:rPr>
      <w:t xml:space="preserve"> (364392)</w:t>
    </w:r>
    <w:r w:rsidRPr="00150AA6">
      <w:rPr>
        <w:lang w:val="fr-CH"/>
      </w:rPr>
      <w:tab/>
    </w:r>
    <w:r>
      <w:fldChar w:fldCharType="begin"/>
    </w:r>
    <w:r>
      <w:instrText xml:space="preserve"> SAVEDATE \@ DD.MM.YY </w:instrText>
    </w:r>
    <w:r>
      <w:fldChar w:fldCharType="separate"/>
    </w:r>
    <w:r w:rsidR="00520DC3">
      <w:t>03.10.14</w:t>
    </w:r>
    <w:r>
      <w:fldChar w:fldCharType="end"/>
    </w:r>
    <w:r w:rsidRPr="00150AA6">
      <w:rPr>
        <w:lang w:val="fr-CH"/>
      </w:rPr>
      <w:tab/>
    </w:r>
    <w:r>
      <w:fldChar w:fldCharType="begin"/>
    </w:r>
    <w:r>
      <w:instrText xml:space="preserve"> PRINTDATE \@ DD.MM.YY </w:instrText>
    </w:r>
    <w:r>
      <w:fldChar w:fldCharType="separate"/>
    </w:r>
    <w:r w:rsidR="00520DC3">
      <w:t>03.10.14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Default="00756923">
    <w:pPr>
      <w:spacing w:after="120"/>
      <w:jc w:val="center"/>
    </w:pPr>
    <w:r>
      <w:t xml:space="preserve">• </w:t>
    </w:r>
    <w:hyperlink r:id="rId1" w:history="1">
      <w:r>
        <w:rPr>
          <w:rStyle w:val="Hyperlink"/>
        </w:rPr>
        <w:t>http://www.itu.int/council</w:t>
      </w:r>
    </w:hyperlink>
    <w:r>
      <w:t xml:space="preserve"> •</w:t>
    </w:r>
  </w:p>
  <w:p w:rsidR="00756923" w:rsidRPr="00756923" w:rsidRDefault="00756923">
    <w:pPr>
      <w:pStyle w:val="Footer"/>
      <w:rPr>
        <w:lang w:val="fr-CH"/>
      </w:rPr>
    </w:pPr>
    <w:r>
      <w:fldChar w:fldCharType="begin"/>
    </w:r>
    <w:r w:rsidRPr="00756923">
      <w:rPr>
        <w:lang w:val="fr-CH"/>
      </w:rPr>
      <w:instrText xml:space="preserve"> FILENAME \p \* MERGEFORMAT </w:instrText>
    </w:r>
    <w:r>
      <w:fldChar w:fldCharType="separate"/>
    </w:r>
    <w:r w:rsidR="00520DC3">
      <w:rPr>
        <w:lang w:val="fr-CH"/>
      </w:rPr>
      <w:t>P:\ESP\SG\CONSEIL\C14\100\106S.docx</w:t>
    </w:r>
    <w:r>
      <w:rPr>
        <w:lang w:val="en-US"/>
      </w:rPr>
      <w:fldChar w:fldCharType="end"/>
    </w:r>
    <w:r w:rsidRPr="00756923">
      <w:rPr>
        <w:lang w:val="fr-CH"/>
      </w:rPr>
      <w:tab/>
    </w:r>
    <w:r>
      <w:fldChar w:fldCharType="begin"/>
    </w:r>
    <w:r>
      <w:instrText xml:space="preserve"> savedate \@ dd.MM.yy </w:instrText>
    </w:r>
    <w:r>
      <w:fldChar w:fldCharType="separate"/>
    </w:r>
    <w:r w:rsidR="00520DC3">
      <w:t>03.10.14</w:t>
    </w:r>
    <w:r>
      <w:fldChar w:fldCharType="end"/>
    </w:r>
    <w:r w:rsidRPr="00756923">
      <w:rPr>
        <w:lang w:val="fr-CH"/>
      </w:rPr>
      <w:tab/>
    </w:r>
    <w:r>
      <w:fldChar w:fldCharType="begin"/>
    </w:r>
    <w:r>
      <w:instrText xml:space="preserve"> printdate \@ dd.MM.yy </w:instrText>
    </w:r>
    <w:r>
      <w:fldChar w:fldCharType="separate"/>
    </w:r>
    <w:r w:rsidR="00520DC3">
      <w:t>03.10.14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23" w:rsidRDefault="00756923">
      <w:r>
        <w:t>____________________</w:t>
      </w:r>
    </w:p>
  </w:footnote>
  <w:footnote w:type="continuationSeparator" w:id="0">
    <w:p w:rsidR="00756923" w:rsidRDefault="0075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Default="00756923" w:rsidP="007657F0">
    <w:pPr>
      <w:pStyle w:val="Header"/>
    </w:pPr>
    <w:r>
      <w:fldChar w:fldCharType="begin"/>
    </w:r>
    <w:r>
      <w:instrText>PAGE</w:instrText>
    </w:r>
    <w:r>
      <w:fldChar w:fldCharType="separate"/>
    </w:r>
    <w:r>
      <w:rPr>
        <w:noProof/>
      </w:rPr>
      <w:t>2</w:t>
    </w:r>
    <w:r>
      <w:rPr>
        <w:noProof/>
      </w:rPr>
      <w:fldChar w:fldCharType="end"/>
    </w:r>
  </w:p>
  <w:p w:rsidR="00756923" w:rsidRDefault="00756923" w:rsidP="003578A3">
    <w:pPr>
      <w:pStyle w:val="Header"/>
    </w:pPr>
    <w:r>
      <w:t>C14/106-S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Default="00756923" w:rsidP="00871099">
    <w:pPr>
      <w:pStyle w:val="Header"/>
    </w:pPr>
    <w:r>
      <w:fldChar w:fldCharType="begin"/>
    </w:r>
    <w:r>
      <w:instrText>PAGE</w:instrText>
    </w:r>
    <w:r>
      <w:fldChar w:fldCharType="separate"/>
    </w:r>
    <w:r w:rsidR="002C50B0">
      <w:rPr>
        <w:noProof/>
      </w:rPr>
      <w:t>2</w:t>
    </w:r>
    <w:r>
      <w:rPr>
        <w:noProof/>
      </w:rPr>
      <w:fldChar w:fldCharType="end"/>
    </w:r>
  </w:p>
  <w:p w:rsidR="00756923" w:rsidRPr="00D8518A" w:rsidRDefault="00756923" w:rsidP="00CC754C">
    <w:pPr>
      <w:pStyle w:val="Header"/>
    </w:pPr>
    <w:r>
      <w:t>C14/106-S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Default="00756923" w:rsidP="007657F0">
    <w:pPr>
      <w:pStyle w:val="Header"/>
    </w:pPr>
    <w:r>
      <w:fldChar w:fldCharType="begin"/>
    </w:r>
    <w:r>
      <w:instrText>PAGE</w:instrText>
    </w:r>
    <w:r>
      <w:fldChar w:fldCharType="separate"/>
    </w:r>
    <w:r w:rsidR="002C50B0">
      <w:rPr>
        <w:noProof/>
      </w:rPr>
      <w:t>12</w:t>
    </w:r>
    <w:r>
      <w:rPr>
        <w:noProof/>
      </w:rPr>
      <w:fldChar w:fldCharType="end"/>
    </w:r>
  </w:p>
  <w:p w:rsidR="00756923" w:rsidRDefault="00756923" w:rsidP="00CC754C">
    <w:pPr>
      <w:pStyle w:val="Header"/>
    </w:pPr>
    <w:r>
      <w:t>C14/106-S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23" w:rsidRPr="00D31FF8" w:rsidRDefault="00756923" w:rsidP="003B5DAB">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10</w:t>
    </w:r>
    <w:r w:rsidRPr="00D31FF8">
      <w:rPr>
        <w:rStyle w:val="PageNumber"/>
        <w:sz w:val="20"/>
      </w:rPr>
      <w:fldChar w:fldCharType="end"/>
    </w:r>
  </w:p>
  <w:p w:rsidR="00756923" w:rsidRPr="00D31FF8" w:rsidRDefault="00756923" w:rsidP="003B5DAB">
    <w:pPr>
      <w:pStyle w:val="Header"/>
      <w:tabs>
        <w:tab w:val="right" w:pos="14034"/>
      </w:tabs>
      <w:ind w:right="360" w:firstLine="360"/>
      <w:jc w:val="both"/>
      <w:rPr>
        <w:sz w:val="20"/>
        <w:lang w:val="en-US"/>
      </w:rPr>
    </w:pPr>
    <w:r>
      <w:rPr>
        <w:sz w:val="20"/>
      </w:rPr>
      <w:tab/>
    </w:r>
  </w:p>
  <w:p w:rsidR="00756923" w:rsidRPr="00791787" w:rsidRDefault="00756923" w:rsidP="003B5D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A5F" w:rsidRDefault="00457A5F" w:rsidP="007657F0">
    <w:pPr>
      <w:pStyle w:val="Header"/>
    </w:pPr>
    <w:r>
      <w:fldChar w:fldCharType="begin"/>
    </w:r>
    <w:r>
      <w:instrText>PAGE</w:instrText>
    </w:r>
    <w:r>
      <w:fldChar w:fldCharType="separate"/>
    </w:r>
    <w:r w:rsidR="002C50B0">
      <w:rPr>
        <w:noProof/>
      </w:rPr>
      <w:t>31</w:t>
    </w:r>
    <w:r>
      <w:rPr>
        <w:noProof/>
      </w:rPr>
      <w:fldChar w:fldCharType="end"/>
    </w:r>
  </w:p>
  <w:p w:rsidR="00457A5F" w:rsidRDefault="00457A5F" w:rsidP="00CC754C">
    <w:pPr>
      <w:pStyle w:val="Header"/>
    </w:pPr>
    <w:r>
      <w:t>C14/106-S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7C"/>
    <w:rsid w:val="00000F73"/>
    <w:rsid w:val="00003726"/>
    <w:rsid w:val="00006EFC"/>
    <w:rsid w:val="00007E03"/>
    <w:rsid w:val="000138CE"/>
    <w:rsid w:val="00013D50"/>
    <w:rsid w:val="000219E2"/>
    <w:rsid w:val="000222C7"/>
    <w:rsid w:val="00023588"/>
    <w:rsid w:val="00026B71"/>
    <w:rsid w:val="00030DC4"/>
    <w:rsid w:val="0003285A"/>
    <w:rsid w:val="0003483F"/>
    <w:rsid w:val="000478DE"/>
    <w:rsid w:val="00071AEB"/>
    <w:rsid w:val="000723E2"/>
    <w:rsid w:val="00076DCC"/>
    <w:rsid w:val="000901A1"/>
    <w:rsid w:val="000A273B"/>
    <w:rsid w:val="000B03C1"/>
    <w:rsid w:val="000B0D00"/>
    <w:rsid w:val="000B65B1"/>
    <w:rsid w:val="000B71B1"/>
    <w:rsid w:val="000B7C15"/>
    <w:rsid w:val="000C0023"/>
    <w:rsid w:val="000C1B8B"/>
    <w:rsid w:val="000D037E"/>
    <w:rsid w:val="000D1D0F"/>
    <w:rsid w:val="000D3024"/>
    <w:rsid w:val="000D3C95"/>
    <w:rsid w:val="000F115E"/>
    <w:rsid w:val="000F3296"/>
    <w:rsid w:val="000F3BD0"/>
    <w:rsid w:val="000F67E4"/>
    <w:rsid w:val="000F71A8"/>
    <w:rsid w:val="000F7F13"/>
    <w:rsid w:val="0010165C"/>
    <w:rsid w:val="001307A4"/>
    <w:rsid w:val="00135A7B"/>
    <w:rsid w:val="001408E2"/>
    <w:rsid w:val="001444E1"/>
    <w:rsid w:val="00146BFB"/>
    <w:rsid w:val="00150AA6"/>
    <w:rsid w:val="001538FC"/>
    <w:rsid w:val="00157D3B"/>
    <w:rsid w:val="001625CD"/>
    <w:rsid w:val="001649A3"/>
    <w:rsid w:val="001678F2"/>
    <w:rsid w:val="00181D44"/>
    <w:rsid w:val="001831A7"/>
    <w:rsid w:val="00192CA1"/>
    <w:rsid w:val="001947B6"/>
    <w:rsid w:val="001A0535"/>
    <w:rsid w:val="001B0D7E"/>
    <w:rsid w:val="001B1867"/>
    <w:rsid w:val="001C1BA4"/>
    <w:rsid w:val="001D2767"/>
    <w:rsid w:val="001D3AC4"/>
    <w:rsid w:val="001F14A2"/>
    <w:rsid w:val="001F32BE"/>
    <w:rsid w:val="00202D6F"/>
    <w:rsid w:val="002124EF"/>
    <w:rsid w:val="00213046"/>
    <w:rsid w:val="0021323F"/>
    <w:rsid w:val="00227007"/>
    <w:rsid w:val="00230C1C"/>
    <w:rsid w:val="00235569"/>
    <w:rsid w:val="00240DB0"/>
    <w:rsid w:val="002424FB"/>
    <w:rsid w:val="00250C1A"/>
    <w:rsid w:val="00251817"/>
    <w:rsid w:val="00256BD2"/>
    <w:rsid w:val="002673D1"/>
    <w:rsid w:val="002747FE"/>
    <w:rsid w:val="00276146"/>
    <w:rsid w:val="002801AA"/>
    <w:rsid w:val="0028095D"/>
    <w:rsid w:val="002827E3"/>
    <w:rsid w:val="00297735"/>
    <w:rsid w:val="002B0045"/>
    <w:rsid w:val="002B060F"/>
    <w:rsid w:val="002B218C"/>
    <w:rsid w:val="002B45F7"/>
    <w:rsid w:val="002B509D"/>
    <w:rsid w:val="002B7744"/>
    <w:rsid w:val="002C0EBD"/>
    <w:rsid w:val="002C2FCF"/>
    <w:rsid w:val="002C37A9"/>
    <w:rsid w:val="002C50B0"/>
    <w:rsid w:val="002D2990"/>
    <w:rsid w:val="002D5758"/>
    <w:rsid w:val="002E2955"/>
    <w:rsid w:val="002F123B"/>
    <w:rsid w:val="002F6E90"/>
    <w:rsid w:val="00312AC5"/>
    <w:rsid w:val="00315951"/>
    <w:rsid w:val="00324D24"/>
    <w:rsid w:val="00330E8B"/>
    <w:rsid w:val="0033125C"/>
    <w:rsid w:val="00334C04"/>
    <w:rsid w:val="00337199"/>
    <w:rsid w:val="003402E2"/>
    <w:rsid w:val="00342631"/>
    <w:rsid w:val="003578A3"/>
    <w:rsid w:val="00357CB5"/>
    <w:rsid w:val="003605BA"/>
    <w:rsid w:val="00362EFE"/>
    <w:rsid w:val="0036519A"/>
    <w:rsid w:val="0037078D"/>
    <w:rsid w:val="00377D9D"/>
    <w:rsid w:val="00380456"/>
    <w:rsid w:val="003844C0"/>
    <w:rsid w:val="00393A0C"/>
    <w:rsid w:val="003957A0"/>
    <w:rsid w:val="003A1F31"/>
    <w:rsid w:val="003B0080"/>
    <w:rsid w:val="003B5DAB"/>
    <w:rsid w:val="003D35F1"/>
    <w:rsid w:val="003D598B"/>
    <w:rsid w:val="003D59DA"/>
    <w:rsid w:val="003E13AB"/>
    <w:rsid w:val="003F2B59"/>
    <w:rsid w:val="003F3916"/>
    <w:rsid w:val="0040290D"/>
    <w:rsid w:val="00403BE0"/>
    <w:rsid w:val="00405889"/>
    <w:rsid w:val="00412C48"/>
    <w:rsid w:val="00424E95"/>
    <w:rsid w:val="00427367"/>
    <w:rsid w:val="004425F4"/>
    <w:rsid w:val="00446624"/>
    <w:rsid w:val="00453AE9"/>
    <w:rsid w:val="0045536B"/>
    <w:rsid w:val="00457694"/>
    <w:rsid w:val="00457A5F"/>
    <w:rsid w:val="00460867"/>
    <w:rsid w:val="00461F98"/>
    <w:rsid w:val="00472E20"/>
    <w:rsid w:val="00483DE6"/>
    <w:rsid w:val="00485C26"/>
    <w:rsid w:val="004A18E8"/>
    <w:rsid w:val="004A2C16"/>
    <w:rsid w:val="004B6381"/>
    <w:rsid w:val="004C159B"/>
    <w:rsid w:val="004D40AB"/>
    <w:rsid w:val="004D6EC6"/>
    <w:rsid w:val="004E4781"/>
    <w:rsid w:val="004F2281"/>
    <w:rsid w:val="004F561C"/>
    <w:rsid w:val="0050178A"/>
    <w:rsid w:val="005027F9"/>
    <w:rsid w:val="00502980"/>
    <w:rsid w:val="00505A65"/>
    <w:rsid w:val="00505A7F"/>
    <w:rsid w:val="0050755C"/>
    <w:rsid w:val="00513885"/>
    <w:rsid w:val="005151A1"/>
    <w:rsid w:val="00520DC3"/>
    <w:rsid w:val="00532FF0"/>
    <w:rsid w:val="00534D39"/>
    <w:rsid w:val="00537B34"/>
    <w:rsid w:val="00543B43"/>
    <w:rsid w:val="00544B0A"/>
    <w:rsid w:val="00545278"/>
    <w:rsid w:val="00547EE9"/>
    <w:rsid w:val="00553525"/>
    <w:rsid w:val="00554420"/>
    <w:rsid w:val="00557F65"/>
    <w:rsid w:val="00560125"/>
    <w:rsid w:val="00562EDB"/>
    <w:rsid w:val="00567323"/>
    <w:rsid w:val="00571448"/>
    <w:rsid w:val="00571840"/>
    <w:rsid w:val="0057570F"/>
    <w:rsid w:val="00584535"/>
    <w:rsid w:val="00585553"/>
    <w:rsid w:val="00587F6B"/>
    <w:rsid w:val="0059377B"/>
    <w:rsid w:val="005B34D9"/>
    <w:rsid w:val="005B4ED8"/>
    <w:rsid w:val="005B5BDF"/>
    <w:rsid w:val="005B7A8E"/>
    <w:rsid w:val="005D0C8F"/>
    <w:rsid w:val="005D0CCF"/>
    <w:rsid w:val="005E2705"/>
    <w:rsid w:val="005F31DC"/>
    <w:rsid w:val="005F410F"/>
    <w:rsid w:val="005F5ED0"/>
    <w:rsid w:val="005F6D23"/>
    <w:rsid w:val="005F7D8F"/>
    <w:rsid w:val="006006B0"/>
    <w:rsid w:val="00601924"/>
    <w:rsid w:val="00602D12"/>
    <w:rsid w:val="0061040D"/>
    <w:rsid w:val="00610A8E"/>
    <w:rsid w:val="00632722"/>
    <w:rsid w:val="00632F0C"/>
    <w:rsid w:val="00637879"/>
    <w:rsid w:val="00641753"/>
    <w:rsid w:val="00643A5B"/>
    <w:rsid w:val="00645392"/>
    <w:rsid w:val="00645EF7"/>
    <w:rsid w:val="00646607"/>
    <w:rsid w:val="0064731F"/>
    <w:rsid w:val="00647574"/>
    <w:rsid w:val="00651A29"/>
    <w:rsid w:val="0065411D"/>
    <w:rsid w:val="0065472C"/>
    <w:rsid w:val="006574E3"/>
    <w:rsid w:val="006630DC"/>
    <w:rsid w:val="00670F87"/>
    <w:rsid w:val="006710F6"/>
    <w:rsid w:val="00672175"/>
    <w:rsid w:val="006745DA"/>
    <w:rsid w:val="00675201"/>
    <w:rsid w:val="0068088D"/>
    <w:rsid w:val="006823C7"/>
    <w:rsid w:val="00687584"/>
    <w:rsid w:val="006A1D4A"/>
    <w:rsid w:val="006A2F59"/>
    <w:rsid w:val="006A3DB0"/>
    <w:rsid w:val="006A4523"/>
    <w:rsid w:val="006B45A9"/>
    <w:rsid w:val="006C1ADF"/>
    <w:rsid w:val="006C1B56"/>
    <w:rsid w:val="006C589F"/>
    <w:rsid w:val="006C5EAB"/>
    <w:rsid w:val="006D00BB"/>
    <w:rsid w:val="006D0850"/>
    <w:rsid w:val="006D4761"/>
    <w:rsid w:val="006D49F0"/>
    <w:rsid w:val="006F5E75"/>
    <w:rsid w:val="0070312B"/>
    <w:rsid w:val="00713BAB"/>
    <w:rsid w:val="007178D3"/>
    <w:rsid w:val="00724851"/>
    <w:rsid w:val="00727D6A"/>
    <w:rsid w:val="00732411"/>
    <w:rsid w:val="007524B6"/>
    <w:rsid w:val="00756193"/>
    <w:rsid w:val="00756923"/>
    <w:rsid w:val="00757314"/>
    <w:rsid w:val="00760433"/>
    <w:rsid w:val="00760F1C"/>
    <w:rsid w:val="00763BEF"/>
    <w:rsid w:val="007657F0"/>
    <w:rsid w:val="00773BED"/>
    <w:rsid w:val="00773DBE"/>
    <w:rsid w:val="00773FDB"/>
    <w:rsid w:val="0077782E"/>
    <w:rsid w:val="00777E4F"/>
    <w:rsid w:val="00781332"/>
    <w:rsid w:val="00782510"/>
    <w:rsid w:val="00784822"/>
    <w:rsid w:val="00790B02"/>
    <w:rsid w:val="0079578F"/>
    <w:rsid w:val="0079615D"/>
    <w:rsid w:val="007B78E0"/>
    <w:rsid w:val="007C183B"/>
    <w:rsid w:val="007C20E3"/>
    <w:rsid w:val="007C5DCB"/>
    <w:rsid w:val="007D4703"/>
    <w:rsid w:val="007E12CF"/>
    <w:rsid w:val="007E5DD3"/>
    <w:rsid w:val="007E77DE"/>
    <w:rsid w:val="007F350B"/>
    <w:rsid w:val="007F4F5E"/>
    <w:rsid w:val="00805589"/>
    <w:rsid w:val="008146F6"/>
    <w:rsid w:val="00817A78"/>
    <w:rsid w:val="00820BE4"/>
    <w:rsid w:val="00827BF5"/>
    <w:rsid w:val="00835D22"/>
    <w:rsid w:val="00843385"/>
    <w:rsid w:val="008451E8"/>
    <w:rsid w:val="00857ABB"/>
    <w:rsid w:val="00864576"/>
    <w:rsid w:val="00866621"/>
    <w:rsid w:val="00867106"/>
    <w:rsid w:val="0086785D"/>
    <w:rsid w:val="00871099"/>
    <w:rsid w:val="00873E96"/>
    <w:rsid w:val="008748E7"/>
    <w:rsid w:val="008773A1"/>
    <w:rsid w:val="008805A8"/>
    <w:rsid w:val="008829D5"/>
    <w:rsid w:val="00882EE0"/>
    <w:rsid w:val="00890939"/>
    <w:rsid w:val="00891D5C"/>
    <w:rsid w:val="0089450A"/>
    <w:rsid w:val="008A2792"/>
    <w:rsid w:val="008A4DDB"/>
    <w:rsid w:val="008B0C6D"/>
    <w:rsid w:val="008D67E5"/>
    <w:rsid w:val="008E529E"/>
    <w:rsid w:val="008E6174"/>
    <w:rsid w:val="008E666E"/>
    <w:rsid w:val="008F416C"/>
    <w:rsid w:val="008F6D68"/>
    <w:rsid w:val="009019CE"/>
    <w:rsid w:val="009110AC"/>
    <w:rsid w:val="00913B9C"/>
    <w:rsid w:val="00914FD6"/>
    <w:rsid w:val="00931731"/>
    <w:rsid w:val="00934311"/>
    <w:rsid w:val="00937B9D"/>
    <w:rsid w:val="009405F2"/>
    <w:rsid w:val="009424D4"/>
    <w:rsid w:val="00947B01"/>
    <w:rsid w:val="0095032D"/>
    <w:rsid w:val="00952D06"/>
    <w:rsid w:val="00953BDA"/>
    <w:rsid w:val="00956E77"/>
    <w:rsid w:val="009644CD"/>
    <w:rsid w:val="00964771"/>
    <w:rsid w:val="00965B06"/>
    <w:rsid w:val="00967692"/>
    <w:rsid w:val="009764EB"/>
    <w:rsid w:val="009835DB"/>
    <w:rsid w:val="009840F5"/>
    <w:rsid w:val="0098760E"/>
    <w:rsid w:val="009A4293"/>
    <w:rsid w:val="009A4BC3"/>
    <w:rsid w:val="009A658B"/>
    <w:rsid w:val="009B0618"/>
    <w:rsid w:val="009B3198"/>
    <w:rsid w:val="009B53BC"/>
    <w:rsid w:val="009B7F70"/>
    <w:rsid w:val="009C1B85"/>
    <w:rsid w:val="009C41DC"/>
    <w:rsid w:val="009C7A5C"/>
    <w:rsid w:val="009D0565"/>
    <w:rsid w:val="009D3E06"/>
    <w:rsid w:val="009D4D78"/>
    <w:rsid w:val="009D7AFF"/>
    <w:rsid w:val="009E6AD5"/>
    <w:rsid w:val="009F0A84"/>
    <w:rsid w:val="009F2913"/>
    <w:rsid w:val="009F3F06"/>
    <w:rsid w:val="009F43F4"/>
    <w:rsid w:val="009F738F"/>
    <w:rsid w:val="00A03CF5"/>
    <w:rsid w:val="00A11975"/>
    <w:rsid w:val="00A21F38"/>
    <w:rsid w:val="00A26627"/>
    <w:rsid w:val="00A2693A"/>
    <w:rsid w:val="00A34F5B"/>
    <w:rsid w:val="00A3583D"/>
    <w:rsid w:val="00A42C6B"/>
    <w:rsid w:val="00A52625"/>
    <w:rsid w:val="00A53AC3"/>
    <w:rsid w:val="00A57F39"/>
    <w:rsid w:val="00A670CA"/>
    <w:rsid w:val="00A734D1"/>
    <w:rsid w:val="00A742E3"/>
    <w:rsid w:val="00A8075C"/>
    <w:rsid w:val="00A81228"/>
    <w:rsid w:val="00A86A16"/>
    <w:rsid w:val="00A86F2A"/>
    <w:rsid w:val="00A93868"/>
    <w:rsid w:val="00A95319"/>
    <w:rsid w:val="00A97146"/>
    <w:rsid w:val="00AA130F"/>
    <w:rsid w:val="00AA1F25"/>
    <w:rsid w:val="00AA390C"/>
    <w:rsid w:val="00AA792E"/>
    <w:rsid w:val="00AC6FED"/>
    <w:rsid w:val="00AE41EE"/>
    <w:rsid w:val="00AE4734"/>
    <w:rsid w:val="00B07F78"/>
    <w:rsid w:val="00B156B1"/>
    <w:rsid w:val="00B178C4"/>
    <w:rsid w:val="00B2140A"/>
    <w:rsid w:val="00B36B7E"/>
    <w:rsid w:val="00B37C9E"/>
    <w:rsid w:val="00B41422"/>
    <w:rsid w:val="00B46308"/>
    <w:rsid w:val="00B46429"/>
    <w:rsid w:val="00B54821"/>
    <w:rsid w:val="00B574DB"/>
    <w:rsid w:val="00B60A77"/>
    <w:rsid w:val="00B61AB3"/>
    <w:rsid w:val="00B72469"/>
    <w:rsid w:val="00B771E2"/>
    <w:rsid w:val="00B778FE"/>
    <w:rsid w:val="00B77A69"/>
    <w:rsid w:val="00B826C2"/>
    <w:rsid w:val="00B97D74"/>
    <w:rsid w:val="00BA6F07"/>
    <w:rsid w:val="00BA7C8E"/>
    <w:rsid w:val="00BB0E94"/>
    <w:rsid w:val="00BB10A2"/>
    <w:rsid w:val="00BB2A3C"/>
    <w:rsid w:val="00BB7089"/>
    <w:rsid w:val="00BC20AE"/>
    <w:rsid w:val="00BC3D04"/>
    <w:rsid w:val="00BD0723"/>
    <w:rsid w:val="00BD0868"/>
    <w:rsid w:val="00BE0A42"/>
    <w:rsid w:val="00BE0AF0"/>
    <w:rsid w:val="00BE5F06"/>
    <w:rsid w:val="00BE7DA6"/>
    <w:rsid w:val="00BF5602"/>
    <w:rsid w:val="00C01D25"/>
    <w:rsid w:val="00C02EC8"/>
    <w:rsid w:val="00C0307C"/>
    <w:rsid w:val="00C04400"/>
    <w:rsid w:val="00C04759"/>
    <w:rsid w:val="00C10E44"/>
    <w:rsid w:val="00C1537C"/>
    <w:rsid w:val="00C20C59"/>
    <w:rsid w:val="00C21641"/>
    <w:rsid w:val="00C23A5F"/>
    <w:rsid w:val="00C300EB"/>
    <w:rsid w:val="00C31F7C"/>
    <w:rsid w:val="00C43A31"/>
    <w:rsid w:val="00C470B6"/>
    <w:rsid w:val="00C47AC3"/>
    <w:rsid w:val="00C55B1F"/>
    <w:rsid w:val="00C562BF"/>
    <w:rsid w:val="00C572C5"/>
    <w:rsid w:val="00C578F0"/>
    <w:rsid w:val="00C60FDF"/>
    <w:rsid w:val="00C65D82"/>
    <w:rsid w:val="00C73DFE"/>
    <w:rsid w:val="00C76032"/>
    <w:rsid w:val="00C77C69"/>
    <w:rsid w:val="00C81495"/>
    <w:rsid w:val="00CA1E52"/>
    <w:rsid w:val="00CA24AC"/>
    <w:rsid w:val="00CB184A"/>
    <w:rsid w:val="00CC0A6C"/>
    <w:rsid w:val="00CC6BB6"/>
    <w:rsid w:val="00CC754C"/>
    <w:rsid w:val="00CD3D5B"/>
    <w:rsid w:val="00CE4275"/>
    <w:rsid w:val="00CE5013"/>
    <w:rsid w:val="00CE5243"/>
    <w:rsid w:val="00CF1A67"/>
    <w:rsid w:val="00CF7DEB"/>
    <w:rsid w:val="00D0252C"/>
    <w:rsid w:val="00D114E5"/>
    <w:rsid w:val="00D16D65"/>
    <w:rsid w:val="00D27B4A"/>
    <w:rsid w:val="00D30020"/>
    <w:rsid w:val="00D348F1"/>
    <w:rsid w:val="00D40FCE"/>
    <w:rsid w:val="00D568D0"/>
    <w:rsid w:val="00D60370"/>
    <w:rsid w:val="00D62446"/>
    <w:rsid w:val="00D64767"/>
    <w:rsid w:val="00D67C8D"/>
    <w:rsid w:val="00D81201"/>
    <w:rsid w:val="00D8410E"/>
    <w:rsid w:val="00D873BE"/>
    <w:rsid w:val="00D90C73"/>
    <w:rsid w:val="00D95C54"/>
    <w:rsid w:val="00DA3305"/>
    <w:rsid w:val="00DA4EA2"/>
    <w:rsid w:val="00DB7486"/>
    <w:rsid w:val="00DC20CA"/>
    <w:rsid w:val="00DC5331"/>
    <w:rsid w:val="00DC6292"/>
    <w:rsid w:val="00DD0A28"/>
    <w:rsid w:val="00DD7524"/>
    <w:rsid w:val="00DE2C90"/>
    <w:rsid w:val="00DE33D0"/>
    <w:rsid w:val="00DF5EE8"/>
    <w:rsid w:val="00DF6A99"/>
    <w:rsid w:val="00E067B8"/>
    <w:rsid w:val="00E23299"/>
    <w:rsid w:val="00E23A9D"/>
    <w:rsid w:val="00E259F0"/>
    <w:rsid w:val="00E32B69"/>
    <w:rsid w:val="00E337E7"/>
    <w:rsid w:val="00E34E8F"/>
    <w:rsid w:val="00E3592D"/>
    <w:rsid w:val="00E41901"/>
    <w:rsid w:val="00E41FA1"/>
    <w:rsid w:val="00E47E2A"/>
    <w:rsid w:val="00E54FB1"/>
    <w:rsid w:val="00E55BEB"/>
    <w:rsid w:val="00E6078C"/>
    <w:rsid w:val="00E66F37"/>
    <w:rsid w:val="00E74B6E"/>
    <w:rsid w:val="00E77367"/>
    <w:rsid w:val="00E80D06"/>
    <w:rsid w:val="00E81FE7"/>
    <w:rsid w:val="00E82E4B"/>
    <w:rsid w:val="00E830D5"/>
    <w:rsid w:val="00E83F14"/>
    <w:rsid w:val="00E86AB6"/>
    <w:rsid w:val="00E92DE8"/>
    <w:rsid w:val="00EA169A"/>
    <w:rsid w:val="00EA3173"/>
    <w:rsid w:val="00EA33F5"/>
    <w:rsid w:val="00EB39D3"/>
    <w:rsid w:val="00EC0412"/>
    <w:rsid w:val="00ED47B1"/>
    <w:rsid w:val="00ED5360"/>
    <w:rsid w:val="00ED65AB"/>
    <w:rsid w:val="00ED6640"/>
    <w:rsid w:val="00EE0552"/>
    <w:rsid w:val="00EE36C9"/>
    <w:rsid w:val="00EE45DF"/>
    <w:rsid w:val="00EF5184"/>
    <w:rsid w:val="00EF7780"/>
    <w:rsid w:val="00F01202"/>
    <w:rsid w:val="00F12179"/>
    <w:rsid w:val="00F1282B"/>
    <w:rsid w:val="00F12850"/>
    <w:rsid w:val="00F22074"/>
    <w:rsid w:val="00F22648"/>
    <w:rsid w:val="00F22AEE"/>
    <w:rsid w:val="00F33BF4"/>
    <w:rsid w:val="00F351B6"/>
    <w:rsid w:val="00F40C73"/>
    <w:rsid w:val="00F41EFF"/>
    <w:rsid w:val="00F42A29"/>
    <w:rsid w:val="00F46F36"/>
    <w:rsid w:val="00F5665B"/>
    <w:rsid w:val="00F65E03"/>
    <w:rsid w:val="00F679E0"/>
    <w:rsid w:val="00F67F16"/>
    <w:rsid w:val="00F7105E"/>
    <w:rsid w:val="00F757A1"/>
    <w:rsid w:val="00F75C80"/>
    <w:rsid w:val="00F82FEE"/>
    <w:rsid w:val="00F85551"/>
    <w:rsid w:val="00F85BD4"/>
    <w:rsid w:val="00F872FA"/>
    <w:rsid w:val="00F93793"/>
    <w:rsid w:val="00F94AC1"/>
    <w:rsid w:val="00FA00D1"/>
    <w:rsid w:val="00FB06FD"/>
    <w:rsid w:val="00FB619E"/>
    <w:rsid w:val="00FC1285"/>
    <w:rsid w:val="00FD0C02"/>
    <w:rsid w:val="00FD5C04"/>
    <w:rsid w:val="00FD7211"/>
    <w:rsid w:val="00FE2028"/>
    <w:rsid w:val="00FE54BC"/>
    <w:rsid w:val="00FE7A23"/>
    <w:rsid w:val="00FF11BD"/>
    <w:rsid w:val="00FF678F"/>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0401E23B-8894-40F1-BA8A-ADA3E9F4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aliases w:val="Retrait std"/>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uiPriority w:val="99"/>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table" w:styleId="TableGrid">
    <w:name w:val="Table Grid"/>
    <w:basedOn w:val="TableNormal"/>
    <w:uiPriority w:val="59"/>
    <w:rsid w:val="00CC754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jet">
    <w:name w:val="Sujet"/>
    <w:basedOn w:val="Normal"/>
    <w:uiPriority w:val="99"/>
    <w:rsid w:val="00CC754C"/>
    <w:pPr>
      <w:framePr w:w="8616" w:h="4258" w:hRule="exact" w:hSpace="181" w:wrap="around" w:vAnchor="page" w:hAnchor="page" w:x="1883" w:y="8943"/>
      <w:tabs>
        <w:tab w:val="clear" w:pos="567"/>
        <w:tab w:val="clear" w:pos="1134"/>
        <w:tab w:val="clear" w:pos="1701"/>
        <w:tab w:val="clear" w:pos="2268"/>
        <w:tab w:val="clear" w:pos="2835"/>
      </w:tabs>
      <w:overflowPunct/>
      <w:autoSpaceDE/>
      <w:autoSpaceDN/>
      <w:adjustRightInd/>
      <w:spacing w:before="0"/>
      <w:textAlignment w:val="auto"/>
    </w:pPr>
    <w:rPr>
      <w:rFonts w:ascii="Arial" w:hAnsi="Arial" w:cs="Arial"/>
      <w:kern w:val="40"/>
      <w:sz w:val="52"/>
      <w:szCs w:val="52"/>
      <w:lang w:val="fr-CH"/>
    </w:rPr>
  </w:style>
  <w:style w:type="character" w:customStyle="1" w:styleId="Heading3Char">
    <w:name w:val="Heading 3 Char"/>
    <w:basedOn w:val="DefaultParagraphFont"/>
    <w:link w:val="Heading3"/>
    <w:uiPriority w:val="9"/>
    <w:rsid w:val="00CC754C"/>
    <w:rPr>
      <w:rFonts w:ascii="Calibri" w:hAnsi="Calibri"/>
      <w:b/>
      <w:sz w:val="24"/>
      <w:lang w:val="es-ES_tradnl" w:eastAsia="en-US"/>
    </w:rPr>
  </w:style>
  <w:style w:type="paragraph" w:styleId="NormalWeb">
    <w:name w:val="Normal (Web)"/>
    <w:basedOn w:val="Normal"/>
    <w:uiPriority w:val="99"/>
    <w:unhideWhenUsed/>
    <w:rsid w:val="00CC754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GB" w:eastAsia="en-GB"/>
    </w:rPr>
  </w:style>
  <w:style w:type="character" w:customStyle="1" w:styleId="Heading2Char">
    <w:name w:val="Heading 2 Char"/>
    <w:basedOn w:val="DefaultParagraphFont"/>
    <w:link w:val="Heading2"/>
    <w:uiPriority w:val="9"/>
    <w:rsid w:val="00CC754C"/>
    <w:rPr>
      <w:rFonts w:ascii="Calibri" w:hAnsi="Calibri"/>
      <w:b/>
      <w:sz w:val="24"/>
      <w:lang w:val="es-ES_tradnl" w:eastAsia="en-US"/>
    </w:rPr>
  </w:style>
  <w:style w:type="character" w:customStyle="1" w:styleId="HeaderChar">
    <w:name w:val="Header Char"/>
    <w:basedOn w:val="DefaultParagraphFont"/>
    <w:link w:val="Header"/>
    <w:uiPriority w:val="99"/>
    <w:rsid w:val="00CC754C"/>
    <w:rPr>
      <w:rFonts w:ascii="Calibri" w:hAnsi="Calibri"/>
      <w:sz w:val="18"/>
      <w:lang w:val="es-ES_tradnl" w:eastAsia="en-US"/>
    </w:rPr>
  </w:style>
  <w:style w:type="character" w:customStyle="1" w:styleId="FooterChar">
    <w:name w:val="Footer Char"/>
    <w:basedOn w:val="DefaultParagraphFont"/>
    <w:link w:val="Footer"/>
    <w:rsid w:val="00CC754C"/>
    <w:rPr>
      <w:rFonts w:ascii="Calibri" w:hAnsi="Calibri"/>
      <w:caps/>
      <w:noProof/>
      <w:sz w:val="16"/>
      <w:lang w:val="es-ES_tradnl" w:eastAsia="en-US"/>
    </w:rPr>
  </w:style>
  <w:style w:type="paragraph" w:styleId="ListParagraph">
    <w:name w:val="List Paragraph"/>
    <w:basedOn w:val="Normal"/>
    <w:uiPriority w:val="34"/>
    <w:qFormat/>
    <w:rsid w:val="006745DA"/>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it-IT" w:eastAsia="zh-CN"/>
    </w:rPr>
  </w:style>
  <w:style w:type="paragraph" w:customStyle="1" w:styleId="Style16">
    <w:name w:val="Style 16"/>
    <w:basedOn w:val="Normal"/>
    <w:uiPriority w:val="99"/>
    <w:rsid w:val="00E067B8"/>
    <w:pPr>
      <w:widowControl w:val="0"/>
      <w:tabs>
        <w:tab w:val="clear" w:pos="567"/>
        <w:tab w:val="clear" w:pos="1134"/>
        <w:tab w:val="clear" w:pos="1701"/>
        <w:tab w:val="clear" w:pos="2268"/>
        <w:tab w:val="clear" w:pos="2835"/>
      </w:tabs>
      <w:overflowPunct/>
      <w:spacing w:before="0"/>
      <w:textAlignment w:val="auto"/>
    </w:pPr>
    <w:rPr>
      <w:rFonts w:ascii="Times New Roman" w:hAnsi="Times New Roman"/>
      <w:sz w:val="20"/>
      <w:lang w:val="it-IT" w:eastAsia="it-IT"/>
    </w:rPr>
  </w:style>
  <w:style w:type="character" w:customStyle="1" w:styleId="CharacterStyle17">
    <w:name w:val="Character Style 17"/>
    <w:uiPriority w:val="99"/>
    <w:rsid w:val="00E067B8"/>
    <w:rPr>
      <w:sz w:val="20"/>
    </w:rPr>
  </w:style>
  <w:style w:type="paragraph" w:styleId="BalloonText">
    <w:name w:val="Balloon Text"/>
    <w:basedOn w:val="Normal"/>
    <w:link w:val="BalloonTextChar"/>
    <w:semiHidden/>
    <w:unhideWhenUsed/>
    <w:rsid w:val="00835D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5D2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finregs/Regl_Fin_10s.pdf"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4.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rgbClr val="FF0000"/>
              </a:solidFill>
            </a:ln>
          </c:spPr>
          <c:marker>
            <c:spPr>
              <a:solidFill>
                <a:srgbClr val="C00000"/>
              </a:solidFill>
              <a:ln>
                <a:solidFill>
                  <a:srgbClr val="C00000"/>
                </a:solidFill>
              </a:ln>
            </c:spPr>
          </c:marker>
          <c:dLbls>
            <c:spPr>
              <a:noFill/>
              <a:ln>
                <a:noFill/>
              </a:ln>
              <a:effectLst/>
            </c:spPr>
            <c:txPr>
              <a:bodyPr anchor="t" anchorCtr="1"/>
              <a:lstStyle/>
              <a:p>
                <a:pPr>
                  <a:defRPr b="1" i="0" baseline="0">
                    <a:latin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Sheet1!$A$1:$E$1</c:f>
              <c:numCache>
                <c:formatCode>General</c:formatCode>
                <c:ptCount val="5"/>
                <c:pt idx="0">
                  <c:v>2009</c:v>
                </c:pt>
                <c:pt idx="1">
                  <c:v>2010</c:v>
                </c:pt>
                <c:pt idx="2">
                  <c:v>2011</c:v>
                </c:pt>
                <c:pt idx="3">
                  <c:v>2012</c:v>
                </c:pt>
                <c:pt idx="4">
                  <c:v>2013</c:v>
                </c:pt>
              </c:numCache>
            </c:numRef>
          </c:cat>
          <c:val>
            <c:numRef>
              <c:f>Sheet1!$A$2:$E$2</c:f>
              <c:numCache>
                <c:formatCode>_(* #,##0_);_(* \(#,##0\);_(* "-"??_);_(@_)</c:formatCode>
                <c:ptCount val="5"/>
                <c:pt idx="0">
                  <c:v>14906</c:v>
                </c:pt>
                <c:pt idx="1">
                  <c:v>10556</c:v>
                </c:pt>
                <c:pt idx="2">
                  <c:v>7507</c:v>
                </c:pt>
                <c:pt idx="3">
                  <c:v>8034</c:v>
                </c:pt>
                <c:pt idx="4">
                  <c:v>9923</c:v>
                </c:pt>
              </c:numCache>
            </c:numRef>
          </c:val>
          <c:smooth val="0"/>
        </c:ser>
        <c:dLbls>
          <c:showLegendKey val="0"/>
          <c:showVal val="0"/>
          <c:showCatName val="0"/>
          <c:showSerName val="0"/>
          <c:showPercent val="0"/>
          <c:showBubbleSize val="0"/>
        </c:dLbls>
        <c:marker val="1"/>
        <c:smooth val="0"/>
        <c:axId val="334065200"/>
        <c:axId val="334065592"/>
      </c:lineChart>
      <c:catAx>
        <c:axId val="334065200"/>
        <c:scaling>
          <c:orientation val="minMax"/>
        </c:scaling>
        <c:delete val="0"/>
        <c:axPos val="b"/>
        <c:numFmt formatCode="General" sourceLinked="1"/>
        <c:majorTickMark val="out"/>
        <c:minorTickMark val="none"/>
        <c:tickLblPos val="nextTo"/>
        <c:txPr>
          <a:bodyPr/>
          <a:lstStyle/>
          <a:p>
            <a:pPr>
              <a:defRPr sz="1200" b="1" i="0" baseline="0">
                <a:solidFill>
                  <a:schemeClr val="tx2">
                    <a:lumMod val="50000"/>
                  </a:schemeClr>
                </a:solidFill>
                <a:latin typeface="Times New Roman" panose="02020603050405020304" pitchFamily="18" charset="0"/>
              </a:defRPr>
            </a:pPr>
            <a:endParaRPr lang="en-US"/>
          </a:p>
        </c:txPr>
        <c:crossAx val="334065592"/>
        <c:crosses val="autoZero"/>
        <c:auto val="1"/>
        <c:lblAlgn val="ctr"/>
        <c:lblOffset val="100"/>
        <c:noMultiLvlLbl val="0"/>
      </c:catAx>
      <c:valAx>
        <c:axId val="334065592"/>
        <c:scaling>
          <c:orientation val="minMax"/>
          <c:max val="18000"/>
          <c:min val="6000"/>
        </c:scaling>
        <c:delete val="0"/>
        <c:axPos val="l"/>
        <c:majorGridlines/>
        <c:numFmt formatCode="_(* #,##0_);_(* \(#,##0\);_(* &quot;-&quot;??_);_(@_)" sourceLinked="1"/>
        <c:majorTickMark val="out"/>
        <c:minorTickMark val="none"/>
        <c:tickLblPos val="nextTo"/>
        <c:txPr>
          <a:bodyPr/>
          <a:lstStyle/>
          <a:p>
            <a:pPr>
              <a:defRPr b="1" i="0" baseline="0">
                <a:solidFill>
                  <a:schemeClr val="accent1">
                    <a:lumMod val="50000"/>
                  </a:schemeClr>
                </a:solidFill>
                <a:latin typeface="Times New Roman" panose="02020603050405020304" pitchFamily="18" charset="0"/>
              </a:defRPr>
            </a:pPr>
            <a:endParaRPr lang="en-US"/>
          </a:p>
        </c:txPr>
        <c:crossAx val="334065200"/>
        <c:crosses val="autoZero"/>
        <c:crossBetween val="between"/>
        <c:majorUnit val="3000"/>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822315" cy="1718945"/>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60E1-4755-4CBF-B61E-846A68F1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PS_C14.dotm</Template>
  <TotalTime>162</TotalTime>
  <Pages>31</Pages>
  <Words>9147</Words>
  <Characters>48082</Characters>
  <Application>Microsoft Office Word</Application>
  <DocSecurity>0</DocSecurity>
  <Lines>1185</Lines>
  <Paragraphs>374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AUDITORÍA EXTERNA DE LAS CUENTAS DE LA UNIÓN SOBRE ITU TELECOM WORLD 2013</vt:lpstr>
    </vt:vector>
  </TitlesOfParts>
  <Manager>Secretaría General - Pool</Manager>
  <Company>Unión Internacional de Telecomunicaciones (UIT)</Company>
  <LinksUpToDate>false</LinksUpToDate>
  <CharactersWithSpaces>56901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AUDITORÍA EXTERNA DE LAS CUENTAS DE LA UNIÓN SOBRE ITU TELECOM WORLD 2013</dc:title>
  <dc:subject>Consejo 2010</dc:subject>
  <dc:creator>Informe del Secretario General</dc:creator>
  <cp:keywords>C2010, C10</cp:keywords>
  <dc:description>Documento C14/106-S  Para: _x000d_Fecha del documento: 1 de septiembre de 2014_x000d_Registrado por ITU51007802 a 11:16:02 el 03/10/2014</dc:description>
  <cp:lastModifiedBy>Hernandez, Felipe</cp:lastModifiedBy>
  <cp:revision>12</cp:revision>
  <cp:lastPrinted>2014-10-03T09:14:00Z</cp:lastPrinted>
  <dcterms:created xsi:type="dcterms:W3CDTF">2014-10-02T06:58:00Z</dcterms:created>
  <dcterms:modified xsi:type="dcterms:W3CDTF">2014-10-03T09:16:00Z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C14/106-S</vt:lpwstr>
  </property>
  <property fmtid="{D5CDD505-2E9C-101B-9397-08002B2CF9AE}" pid="3" name="Docdate">
    <vt:lpwstr>1 de septiembre de 2014</vt:lpwstr>
  </property>
  <property fmtid="{D5CDD505-2E9C-101B-9397-08002B2CF9AE}" pid="4" name="Docorlang">
    <vt:lpwstr>Original: inglés</vt:lpwstr>
  </property>
  <property fmtid="{D5CDD505-2E9C-101B-9397-08002B2CF9AE}" pid="5" name="Docbluepink">
    <vt:lpwstr>Consejo 2014 Última sesión, Busán, 18 de octubre de 2014</vt:lpwstr>
  </property>
  <property fmtid="{D5CDD505-2E9C-101B-9397-08002B2CF9AE}" pid="6" name="Docdest">
    <vt:lpwstr/>
  </property>
  <property fmtid="{D5CDD505-2E9C-101B-9397-08002B2CF9AE}" pid="7" name="Docauthor">
    <vt:lpwstr>Informe del Secretario General</vt:lpwstr>
  </property>
</Properties>
</file>