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4EFB" w:rsidRPr="00905D54" w:rsidTr="00417707">
        <w:trPr>
          <w:cantSplit/>
        </w:trPr>
        <w:tc>
          <w:tcPr>
            <w:tcW w:w="6911" w:type="dxa"/>
          </w:tcPr>
          <w:p w:rsidR="00204EFB" w:rsidRPr="00905D54" w:rsidRDefault="00204EFB" w:rsidP="00597401">
            <w:pPr>
              <w:spacing w:before="360" w:after="48" w:line="240" w:lineRule="atLeast"/>
              <w:rPr>
                <w:rFonts w:asciiTheme="minorHAnsi" w:hAnsiTheme="minorHAnsi" w:cs="Calibri"/>
                <w:position w:val="6"/>
                <w:szCs w:val="24"/>
              </w:rPr>
            </w:pPr>
            <w:bookmarkStart w:id="0" w:name="dc06"/>
            <w:bookmarkEnd w:id="0"/>
            <w:r w:rsidRPr="00905D54">
              <w:rPr>
                <w:rFonts w:asciiTheme="minorHAnsi" w:hAnsiTheme="minorHAnsi" w:cs="Calibri"/>
                <w:b/>
                <w:position w:val="6"/>
                <w:sz w:val="30"/>
                <w:szCs w:val="30"/>
                <w:lang w:val="en-US"/>
              </w:rPr>
              <w:t>Council 20</w:t>
            </w:r>
            <w:r w:rsidR="00575F70" w:rsidRPr="00905D54">
              <w:rPr>
                <w:rFonts w:asciiTheme="minorHAnsi" w:hAnsiTheme="minorHAnsi" w:cs="Calibri"/>
                <w:b/>
                <w:position w:val="6"/>
                <w:sz w:val="30"/>
                <w:szCs w:val="30"/>
                <w:lang w:val="en-US"/>
              </w:rPr>
              <w:t>1</w:t>
            </w:r>
            <w:r w:rsidR="00597401" w:rsidRPr="00905D54">
              <w:rPr>
                <w:rFonts w:asciiTheme="minorHAnsi" w:hAnsiTheme="minorHAnsi" w:cs="Calibri"/>
                <w:b/>
                <w:position w:val="6"/>
                <w:sz w:val="30"/>
                <w:szCs w:val="30"/>
                <w:lang w:val="en-US"/>
              </w:rPr>
              <w:t>4</w:t>
            </w:r>
            <w:r w:rsidRPr="00905D54">
              <w:rPr>
                <w:rFonts w:asciiTheme="minorHAnsi" w:hAnsiTheme="minorHAnsi" w:cs="Calibri"/>
                <w:b/>
                <w:position w:val="6"/>
                <w:szCs w:val="24"/>
                <w:lang w:val="en-US"/>
              </w:rPr>
              <w:br/>
            </w:r>
            <w:r w:rsidRPr="00905D54">
              <w:rPr>
                <w:rFonts w:asciiTheme="minorHAnsi" w:hAnsiTheme="minorHAnsi" w:cs="Calibri"/>
                <w:b/>
                <w:bCs/>
                <w:position w:val="6"/>
                <w:szCs w:val="24"/>
                <w:lang w:val="en-US"/>
              </w:rPr>
              <w:t xml:space="preserve">Geneva, </w:t>
            </w:r>
            <w:r w:rsidR="00597401" w:rsidRPr="00905D54">
              <w:rPr>
                <w:rFonts w:asciiTheme="minorHAnsi" w:hAnsiTheme="minorHAnsi" w:cs="Calibri"/>
                <w:b/>
                <w:bCs/>
                <w:position w:val="6"/>
                <w:szCs w:val="24"/>
                <w:lang w:val="en-US"/>
              </w:rPr>
              <w:t>6</w:t>
            </w:r>
            <w:r w:rsidR="00E03238" w:rsidRPr="00905D54">
              <w:rPr>
                <w:rFonts w:asciiTheme="minorHAnsi" w:hAnsiTheme="minorHAnsi" w:cs="Calibri"/>
                <w:b/>
                <w:bCs/>
                <w:position w:val="6"/>
                <w:szCs w:val="24"/>
                <w:lang w:val="en-US"/>
              </w:rPr>
              <w:t>-</w:t>
            </w:r>
            <w:r w:rsidR="00597401" w:rsidRPr="00905D54">
              <w:rPr>
                <w:rFonts w:asciiTheme="minorHAnsi" w:hAnsiTheme="minorHAnsi" w:cs="Calibri"/>
                <w:b/>
                <w:bCs/>
                <w:position w:val="6"/>
                <w:szCs w:val="24"/>
                <w:lang w:val="en-US"/>
              </w:rPr>
              <w:t>15</w:t>
            </w:r>
            <w:r w:rsidR="00E03238" w:rsidRPr="00905D54">
              <w:rPr>
                <w:rFonts w:asciiTheme="minorHAnsi" w:hAnsiTheme="minorHAnsi" w:cs="Calibri"/>
                <w:b/>
                <w:bCs/>
                <w:position w:val="6"/>
                <w:szCs w:val="24"/>
                <w:lang w:val="en-US"/>
              </w:rPr>
              <w:t xml:space="preserve"> </w:t>
            </w:r>
            <w:r w:rsidR="00597401" w:rsidRPr="00905D54">
              <w:rPr>
                <w:rFonts w:asciiTheme="minorHAnsi" w:hAnsiTheme="minorHAnsi" w:cs="Calibri"/>
                <w:b/>
                <w:bCs/>
                <w:position w:val="6"/>
                <w:szCs w:val="24"/>
                <w:lang w:val="en-US"/>
              </w:rPr>
              <w:t xml:space="preserve">May </w:t>
            </w:r>
            <w:r w:rsidR="00575F70" w:rsidRPr="00905D54">
              <w:rPr>
                <w:rFonts w:asciiTheme="minorHAnsi" w:hAnsiTheme="minorHAnsi" w:cs="Calibri"/>
                <w:b/>
                <w:bCs/>
                <w:position w:val="6"/>
                <w:szCs w:val="24"/>
                <w:lang w:val="en-US"/>
              </w:rPr>
              <w:t>201</w:t>
            </w:r>
            <w:r w:rsidR="00597401" w:rsidRPr="00905D54">
              <w:rPr>
                <w:rFonts w:asciiTheme="minorHAnsi" w:hAnsiTheme="minorHAnsi" w:cs="Calibri"/>
                <w:b/>
                <w:bCs/>
                <w:position w:val="6"/>
                <w:szCs w:val="24"/>
                <w:lang w:val="en-US"/>
              </w:rPr>
              <w:t>4</w:t>
            </w:r>
          </w:p>
        </w:tc>
        <w:tc>
          <w:tcPr>
            <w:tcW w:w="3120" w:type="dxa"/>
          </w:tcPr>
          <w:p w:rsidR="00204EFB" w:rsidRPr="00905D54" w:rsidRDefault="003C3127" w:rsidP="00417707">
            <w:pPr>
              <w:spacing w:before="0" w:line="240" w:lineRule="atLeast"/>
              <w:rPr>
                <w:rFonts w:asciiTheme="minorHAnsi" w:hAnsiTheme="minorHAnsi" w:cs="Calibri"/>
              </w:rPr>
            </w:pPr>
            <w:bookmarkStart w:id="1" w:name="ditulogo"/>
            <w:bookmarkEnd w:id="1"/>
            <w:r w:rsidRPr="00905D54">
              <w:rPr>
                <w:rFonts w:asciiTheme="minorHAnsi" w:hAnsiTheme="minorHAnsi" w:cs="Calibri"/>
                <w:noProof/>
                <w:lang w:val="en-US"/>
              </w:rPr>
              <w:drawing>
                <wp:inline distT="0" distB="0" distL="0" distR="0" wp14:anchorId="4C809CEA" wp14:editId="7D10944C">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204EFB" w:rsidRPr="00905D54" w:rsidTr="00417707">
        <w:trPr>
          <w:cantSplit/>
        </w:trPr>
        <w:tc>
          <w:tcPr>
            <w:tcW w:w="6911" w:type="dxa"/>
            <w:tcBorders>
              <w:bottom w:val="single" w:sz="12" w:space="0" w:color="auto"/>
            </w:tcBorders>
          </w:tcPr>
          <w:p w:rsidR="00204EFB" w:rsidRPr="00905D54" w:rsidRDefault="00204EFB" w:rsidP="00417707">
            <w:pPr>
              <w:spacing w:before="0" w:after="48" w:line="240" w:lineRule="atLeast"/>
              <w:rPr>
                <w:rFonts w:asciiTheme="minorHAnsi" w:hAnsiTheme="minorHAnsi" w:cs="Calibri"/>
                <w:b/>
                <w:smallCaps/>
                <w:szCs w:val="24"/>
              </w:rPr>
            </w:pPr>
          </w:p>
        </w:tc>
        <w:tc>
          <w:tcPr>
            <w:tcW w:w="3120" w:type="dxa"/>
            <w:tcBorders>
              <w:bottom w:val="single" w:sz="12" w:space="0" w:color="auto"/>
            </w:tcBorders>
          </w:tcPr>
          <w:p w:rsidR="00204EFB" w:rsidRPr="00905D54" w:rsidRDefault="00204EFB" w:rsidP="00417707">
            <w:pPr>
              <w:spacing w:before="0" w:line="240" w:lineRule="atLeast"/>
              <w:rPr>
                <w:rFonts w:asciiTheme="minorHAnsi" w:hAnsiTheme="minorHAnsi" w:cs="Calibri"/>
                <w:szCs w:val="24"/>
              </w:rPr>
            </w:pPr>
          </w:p>
        </w:tc>
      </w:tr>
      <w:tr w:rsidR="00204EFB" w:rsidRPr="00905D54" w:rsidTr="00417707">
        <w:trPr>
          <w:cantSplit/>
        </w:trPr>
        <w:tc>
          <w:tcPr>
            <w:tcW w:w="6911" w:type="dxa"/>
            <w:tcBorders>
              <w:top w:val="single" w:sz="12" w:space="0" w:color="auto"/>
            </w:tcBorders>
          </w:tcPr>
          <w:p w:rsidR="00204EFB" w:rsidRPr="00905D54" w:rsidRDefault="00204EFB" w:rsidP="00417707">
            <w:pPr>
              <w:spacing w:before="0" w:after="48" w:line="240" w:lineRule="atLeast"/>
              <w:rPr>
                <w:rFonts w:asciiTheme="minorHAnsi" w:hAnsiTheme="minorHAnsi" w:cs="Calibri"/>
                <w:b/>
                <w:smallCaps/>
                <w:szCs w:val="24"/>
              </w:rPr>
            </w:pPr>
          </w:p>
        </w:tc>
        <w:tc>
          <w:tcPr>
            <w:tcW w:w="3120" w:type="dxa"/>
            <w:tcBorders>
              <w:top w:val="single" w:sz="12" w:space="0" w:color="auto"/>
            </w:tcBorders>
          </w:tcPr>
          <w:p w:rsidR="00204EFB" w:rsidRPr="00905D54" w:rsidRDefault="00204EFB" w:rsidP="00417707">
            <w:pPr>
              <w:spacing w:before="0" w:line="240" w:lineRule="atLeast"/>
              <w:rPr>
                <w:rFonts w:asciiTheme="minorHAnsi" w:hAnsiTheme="minorHAnsi" w:cs="Calibri"/>
                <w:szCs w:val="24"/>
              </w:rPr>
            </w:pPr>
          </w:p>
        </w:tc>
      </w:tr>
      <w:tr w:rsidR="00204EFB" w:rsidRPr="00905D54" w:rsidTr="00417707">
        <w:trPr>
          <w:cantSplit/>
          <w:trHeight w:val="23"/>
        </w:trPr>
        <w:tc>
          <w:tcPr>
            <w:tcW w:w="6911" w:type="dxa"/>
            <w:vMerge w:val="restart"/>
          </w:tcPr>
          <w:p w:rsidR="00204EFB" w:rsidRPr="00905D54" w:rsidRDefault="00141758" w:rsidP="002D2A4C">
            <w:pPr>
              <w:tabs>
                <w:tab w:val="left" w:pos="851"/>
              </w:tabs>
              <w:spacing w:before="0" w:line="240" w:lineRule="atLeast"/>
              <w:rPr>
                <w:rFonts w:asciiTheme="minorHAnsi" w:hAnsiTheme="minorHAnsi" w:cs="Calibri"/>
                <w:b/>
                <w:szCs w:val="24"/>
              </w:rPr>
            </w:pPr>
            <w:bookmarkStart w:id="2" w:name="dmeeting" w:colFirst="0" w:colLast="0"/>
            <w:bookmarkStart w:id="3" w:name="dnum" w:colFirst="1" w:colLast="1"/>
            <w:r w:rsidRPr="00905D54">
              <w:rPr>
                <w:rFonts w:asciiTheme="minorHAnsi" w:hAnsiTheme="minorHAnsi" w:cs="Calibri"/>
                <w:b/>
                <w:szCs w:val="24"/>
              </w:rPr>
              <w:t>Agenda item: ADM 15</w:t>
            </w:r>
          </w:p>
        </w:tc>
        <w:tc>
          <w:tcPr>
            <w:tcW w:w="3120" w:type="dxa"/>
          </w:tcPr>
          <w:p w:rsidR="00204EFB" w:rsidRPr="00905D54" w:rsidRDefault="00204EFB" w:rsidP="00141758">
            <w:pPr>
              <w:tabs>
                <w:tab w:val="left" w:pos="851"/>
              </w:tabs>
              <w:spacing w:before="0" w:line="240" w:lineRule="atLeast"/>
              <w:rPr>
                <w:rFonts w:asciiTheme="minorHAnsi" w:hAnsiTheme="minorHAnsi" w:cs="Calibri"/>
                <w:b/>
                <w:szCs w:val="24"/>
              </w:rPr>
            </w:pPr>
            <w:r w:rsidRPr="00905D54">
              <w:rPr>
                <w:rFonts w:asciiTheme="minorHAnsi" w:hAnsiTheme="minorHAnsi" w:cs="Calibri"/>
                <w:b/>
                <w:szCs w:val="24"/>
              </w:rPr>
              <w:t>Document C1</w:t>
            </w:r>
            <w:r w:rsidR="00597401" w:rsidRPr="00905D54">
              <w:rPr>
                <w:rFonts w:asciiTheme="minorHAnsi" w:hAnsiTheme="minorHAnsi" w:cs="Calibri"/>
                <w:b/>
                <w:szCs w:val="24"/>
              </w:rPr>
              <w:t>4</w:t>
            </w:r>
            <w:r w:rsidR="00162339" w:rsidRPr="00905D54">
              <w:rPr>
                <w:rFonts w:asciiTheme="minorHAnsi" w:hAnsiTheme="minorHAnsi" w:cs="Calibri"/>
                <w:b/>
                <w:szCs w:val="24"/>
              </w:rPr>
              <w:t>/</w:t>
            </w:r>
            <w:r w:rsidR="00141758" w:rsidRPr="00905D54">
              <w:rPr>
                <w:rFonts w:asciiTheme="minorHAnsi" w:hAnsiTheme="minorHAnsi" w:cs="Calibri"/>
                <w:b/>
                <w:szCs w:val="24"/>
              </w:rPr>
              <w:t>47</w:t>
            </w:r>
            <w:r w:rsidRPr="00905D54">
              <w:rPr>
                <w:rFonts w:asciiTheme="minorHAnsi" w:hAnsiTheme="minorHAnsi" w:cs="Calibri"/>
                <w:b/>
                <w:szCs w:val="24"/>
              </w:rPr>
              <w:t>-E</w:t>
            </w:r>
          </w:p>
        </w:tc>
      </w:tr>
      <w:tr w:rsidR="00204EFB" w:rsidRPr="00905D54" w:rsidTr="00417707">
        <w:trPr>
          <w:cantSplit/>
          <w:trHeight w:val="23"/>
        </w:trPr>
        <w:tc>
          <w:tcPr>
            <w:tcW w:w="6911" w:type="dxa"/>
            <w:vMerge/>
          </w:tcPr>
          <w:p w:rsidR="00204EFB" w:rsidRPr="00905D54" w:rsidRDefault="00204EFB" w:rsidP="00417707">
            <w:pPr>
              <w:tabs>
                <w:tab w:val="left" w:pos="851"/>
              </w:tabs>
              <w:spacing w:line="240" w:lineRule="atLeast"/>
              <w:rPr>
                <w:rFonts w:asciiTheme="minorHAnsi" w:hAnsiTheme="minorHAnsi" w:cs="Calibri"/>
                <w:b/>
                <w:szCs w:val="24"/>
              </w:rPr>
            </w:pPr>
            <w:bookmarkStart w:id="4" w:name="ddate" w:colFirst="1" w:colLast="1"/>
            <w:bookmarkEnd w:id="2"/>
            <w:bookmarkEnd w:id="3"/>
          </w:p>
        </w:tc>
        <w:tc>
          <w:tcPr>
            <w:tcW w:w="3120" w:type="dxa"/>
          </w:tcPr>
          <w:p w:rsidR="00204EFB" w:rsidRPr="00905D54" w:rsidRDefault="00141758" w:rsidP="00141758">
            <w:pPr>
              <w:tabs>
                <w:tab w:val="left" w:pos="993"/>
              </w:tabs>
              <w:spacing w:before="0"/>
              <w:rPr>
                <w:rFonts w:asciiTheme="minorHAnsi" w:hAnsiTheme="minorHAnsi" w:cs="Calibri"/>
                <w:b/>
                <w:szCs w:val="24"/>
              </w:rPr>
            </w:pPr>
            <w:r w:rsidRPr="00905D54">
              <w:rPr>
                <w:rFonts w:asciiTheme="minorHAnsi" w:hAnsiTheme="minorHAnsi" w:cs="Calibri"/>
                <w:b/>
                <w:szCs w:val="24"/>
              </w:rPr>
              <w:t xml:space="preserve">18 </w:t>
            </w:r>
            <w:r w:rsidR="00346766" w:rsidRPr="00905D54">
              <w:rPr>
                <w:rFonts w:asciiTheme="minorHAnsi" w:hAnsiTheme="minorHAnsi" w:cs="Calibri"/>
                <w:b/>
                <w:szCs w:val="24"/>
              </w:rPr>
              <w:t>March</w:t>
            </w:r>
            <w:r w:rsidR="00414046" w:rsidRPr="00905D54">
              <w:rPr>
                <w:rFonts w:asciiTheme="minorHAnsi" w:hAnsiTheme="minorHAnsi" w:cs="Calibri"/>
                <w:b/>
                <w:szCs w:val="24"/>
              </w:rPr>
              <w:t xml:space="preserve"> </w:t>
            </w:r>
            <w:r w:rsidR="00E03238" w:rsidRPr="00905D54">
              <w:rPr>
                <w:rFonts w:asciiTheme="minorHAnsi" w:hAnsiTheme="minorHAnsi" w:cs="Calibri"/>
                <w:b/>
                <w:szCs w:val="24"/>
              </w:rPr>
              <w:t>201</w:t>
            </w:r>
            <w:r w:rsidR="00597401" w:rsidRPr="00905D54">
              <w:rPr>
                <w:rFonts w:asciiTheme="minorHAnsi" w:hAnsiTheme="minorHAnsi" w:cs="Calibri"/>
                <w:b/>
                <w:szCs w:val="24"/>
              </w:rPr>
              <w:t>4</w:t>
            </w:r>
          </w:p>
        </w:tc>
      </w:tr>
      <w:tr w:rsidR="00204EFB" w:rsidRPr="00905D54" w:rsidTr="00417707">
        <w:trPr>
          <w:cantSplit/>
          <w:trHeight w:val="23"/>
        </w:trPr>
        <w:tc>
          <w:tcPr>
            <w:tcW w:w="6911" w:type="dxa"/>
            <w:vMerge/>
          </w:tcPr>
          <w:p w:rsidR="00204EFB" w:rsidRPr="00905D54" w:rsidRDefault="00204EFB" w:rsidP="00417707">
            <w:pPr>
              <w:tabs>
                <w:tab w:val="left" w:pos="851"/>
              </w:tabs>
              <w:spacing w:line="240" w:lineRule="atLeast"/>
              <w:rPr>
                <w:rFonts w:asciiTheme="minorHAnsi" w:hAnsiTheme="minorHAnsi" w:cs="Calibri"/>
                <w:b/>
                <w:szCs w:val="24"/>
              </w:rPr>
            </w:pPr>
            <w:bookmarkStart w:id="5" w:name="dorlang" w:colFirst="1" w:colLast="1"/>
            <w:bookmarkEnd w:id="4"/>
          </w:p>
        </w:tc>
        <w:tc>
          <w:tcPr>
            <w:tcW w:w="3120" w:type="dxa"/>
          </w:tcPr>
          <w:p w:rsidR="00204EFB" w:rsidRPr="00905D54" w:rsidRDefault="00204EFB" w:rsidP="00417707">
            <w:pPr>
              <w:tabs>
                <w:tab w:val="left" w:pos="993"/>
              </w:tabs>
              <w:spacing w:before="0"/>
              <w:rPr>
                <w:rFonts w:asciiTheme="minorHAnsi" w:hAnsiTheme="minorHAnsi" w:cs="Calibri"/>
                <w:b/>
                <w:szCs w:val="24"/>
              </w:rPr>
            </w:pPr>
            <w:r w:rsidRPr="00905D54">
              <w:rPr>
                <w:rFonts w:asciiTheme="minorHAnsi" w:hAnsiTheme="minorHAnsi" w:cs="Calibri"/>
                <w:b/>
                <w:szCs w:val="24"/>
              </w:rPr>
              <w:t>Original: English</w:t>
            </w:r>
          </w:p>
        </w:tc>
      </w:tr>
      <w:tr w:rsidR="00204EFB" w:rsidRPr="00905D54" w:rsidTr="00417707">
        <w:trPr>
          <w:cantSplit/>
        </w:trPr>
        <w:tc>
          <w:tcPr>
            <w:tcW w:w="10031" w:type="dxa"/>
            <w:gridSpan w:val="2"/>
          </w:tcPr>
          <w:p w:rsidR="00204EFB" w:rsidRPr="00905D54" w:rsidRDefault="000D4F34" w:rsidP="00417707">
            <w:pPr>
              <w:pStyle w:val="Source"/>
              <w:rPr>
                <w:rFonts w:asciiTheme="minorHAnsi" w:hAnsiTheme="minorHAnsi" w:cs="Calibri"/>
              </w:rPr>
            </w:pPr>
            <w:bookmarkStart w:id="6" w:name="dsource" w:colFirst="0" w:colLast="0"/>
            <w:bookmarkEnd w:id="5"/>
            <w:r w:rsidRPr="00905D54">
              <w:rPr>
                <w:rFonts w:asciiTheme="minorHAnsi" w:hAnsiTheme="minorHAnsi" w:cs="Calibri"/>
              </w:rPr>
              <w:t>Note</w:t>
            </w:r>
            <w:r w:rsidR="00204EFB" w:rsidRPr="00905D54">
              <w:rPr>
                <w:rFonts w:asciiTheme="minorHAnsi" w:hAnsiTheme="minorHAnsi" w:cs="Calibri"/>
              </w:rPr>
              <w:t xml:space="preserve"> by the Secretary-General</w:t>
            </w:r>
          </w:p>
        </w:tc>
      </w:tr>
      <w:tr w:rsidR="00204EFB" w:rsidRPr="00905D54" w:rsidTr="00417707">
        <w:trPr>
          <w:cantSplit/>
        </w:trPr>
        <w:tc>
          <w:tcPr>
            <w:tcW w:w="10031" w:type="dxa"/>
            <w:gridSpan w:val="2"/>
          </w:tcPr>
          <w:p w:rsidR="00204EFB" w:rsidRPr="00905D54" w:rsidRDefault="00996D2B" w:rsidP="00996D2B">
            <w:pPr>
              <w:pStyle w:val="Title1"/>
              <w:spacing w:after="480"/>
              <w:rPr>
                <w:rFonts w:asciiTheme="minorHAnsi" w:hAnsiTheme="minorHAnsi" w:cs="Calibri"/>
              </w:rPr>
            </w:pPr>
            <w:bookmarkStart w:id="7" w:name="dtitle1" w:colFirst="0" w:colLast="0"/>
            <w:bookmarkEnd w:id="6"/>
            <w:r w:rsidRPr="00905D54">
              <w:rPr>
                <w:rFonts w:asciiTheme="minorHAnsi" w:hAnsiTheme="minorHAnsi"/>
              </w:rPr>
              <w:t>REPORT OF THE INTERNAL AUDITOR ON INTERNAL AUDIT</w:t>
            </w:r>
            <w:r w:rsidRPr="00905D54" w:rsidDel="00DF5B49">
              <w:rPr>
                <w:rFonts w:asciiTheme="minorHAnsi" w:hAnsiTheme="minorHAnsi"/>
              </w:rPr>
              <w:t xml:space="preserve"> </w:t>
            </w:r>
            <w:r w:rsidRPr="00905D54">
              <w:rPr>
                <w:rFonts w:asciiTheme="minorHAnsi" w:hAnsiTheme="minorHAnsi"/>
              </w:rPr>
              <w:t>ACTIVITIES</w:t>
            </w:r>
          </w:p>
        </w:tc>
      </w:tr>
      <w:bookmarkEnd w:id="7"/>
    </w:tbl>
    <w:p w:rsidR="00204EFB" w:rsidRPr="00905D54" w:rsidRDefault="00204EFB" w:rsidP="00772EC7">
      <w:pPr>
        <w:spacing w:before="0"/>
        <w:rPr>
          <w:rFonts w:asciiTheme="minorHAnsi" w:hAnsiTheme="minorHAnsi" w:cs="Calibri"/>
          <w:szCs w:val="24"/>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04EFB" w:rsidRPr="00905D54" w:rsidTr="00417707">
        <w:trPr>
          <w:trHeight w:val="3372"/>
        </w:trPr>
        <w:tc>
          <w:tcPr>
            <w:tcW w:w="8080" w:type="dxa"/>
            <w:tcBorders>
              <w:top w:val="single" w:sz="12" w:space="0" w:color="auto"/>
              <w:left w:val="single" w:sz="12" w:space="0" w:color="auto"/>
              <w:bottom w:val="single" w:sz="12" w:space="0" w:color="auto"/>
              <w:right w:val="single" w:sz="12" w:space="0" w:color="auto"/>
            </w:tcBorders>
          </w:tcPr>
          <w:p w:rsidR="00204EFB" w:rsidRPr="00905D54" w:rsidRDefault="00204EFB" w:rsidP="0061758F">
            <w:pPr>
              <w:pStyle w:val="Headingb"/>
              <w:spacing w:before="120" w:after="120"/>
              <w:rPr>
                <w:rFonts w:asciiTheme="minorHAnsi" w:hAnsiTheme="minorHAnsi" w:cs="Calibri"/>
                <w:szCs w:val="24"/>
              </w:rPr>
            </w:pPr>
            <w:r w:rsidRPr="00905D54">
              <w:rPr>
                <w:rFonts w:asciiTheme="minorHAnsi" w:hAnsiTheme="minorHAnsi" w:cs="Calibri"/>
                <w:szCs w:val="24"/>
              </w:rPr>
              <w:t>Summary</w:t>
            </w:r>
          </w:p>
          <w:p w:rsidR="00D7305E" w:rsidRPr="00905D54" w:rsidRDefault="00D7305E" w:rsidP="00597401">
            <w:pPr>
              <w:pStyle w:val="Headingb"/>
              <w:spacing w:before="120" w:after="120"/>
              <w:rPr>
                <w:rFonts w:asciiTheme="minorHAnsi" w:hAnsiTheme="minorHAnsi"/>
                <w:b w:val="0"/>
                <w:bCs/>
                <w:szCs w:val="24"/>
              </w:rPr>
            </w:pPr>
            <w:r w:rsidRPr="00905D54">
              <w:rPr>
                <w:rFonts w:asciiTheme="minorHAnsi" w:hAnsiTheme="minorHAnsi"/>
                <w:b w:val="0"/>
                <w:bCs/>
                <w:szCs w:val="24"/>
              </w:rPr>
              <w:t xml:space="preserve">This report covers the internal audit activities for the period between </w:t>
            </w:r>
            <w:r w:rsidR="00597401" w:rsidRPr="00905D54">
              <w:rPr>
                <w:rFonts w:asciiTheme="minorHAnsi" w:hAnsiTheme="minorHAnsi"/>
                <w:b w:val="0"/>
                <w:bCs/>
                <w:szCs w:val="24"/>
              </w:rPr>
              <w:t xml:space="preserve">April 2013 </w:t>
            </w:r>
            <w:r w:rsidRPr="00905D54">
              <w:rPr>
                <w:rFonts w:asciiTheme="minorHAnsi" w:hAnsiTheme="minorHAnsi"/>
                <w:b w:val="0"/>
                <w:bCs/>
                <w:szCs w:val="24"/>
              </w:rPr>
              <w:t xml:space="preserve">and </w:t>
            </w:r>
            <w:r w:rsidR="00C70359" w:rsidRPr="00905D54">
              <w:rPr>
                <w:rFonts w:asciiTheme="minorHAnsi" w:hAnsiTheme="minorHAnsi"/>
                <w:b w:val="0"/>
                <w:bCs/>
                <w:szCs w:val="24"/>
              </w:rPr>
              <w:t>February</w:t>
            </w:r>
            <w:r w:rsidR="00597401" w:rsidRPr="00905D54">
              <w:rPr>
                <w:rFonts w:asciiTheme="minorHAnsi" w:hAnsiTheme="minorHAnsi"/>
                <w:b w:val="0"/>
                <w:bCs/>
                <w:szCs w:val="24"/>
              </w:rPr>
              <w:t xml:space="preserve"> 2014</w:t>
            </w:r>
            <w:r w:rsidRPr="00905D54">
              <w:rPr>
                <w:rFonts w:asciiTheme="minorHAnsi" w:hAnsiTheme="minorHAnsi"/>
                <w:b w:val="0"/>
                <w:bCs/>
                <w:szCs w:val="24"/>
              </w:rPr>
              <w:t>.</w:t>
            </w:r>
          </w:p>
          <w:p w:rsidR="00204EFB" w:rsidRPr="00905D54" w:rsidRDefault="00204EFB" w:rsidP="0061758F">
            <w:pPr>
              <w:pStyle w:val="Headingb"/>
              <w:spacing w:before="120" w:after="120"/>
              <w:rPr>
                <w:rFonts w:asciiTheme="minorHAnsi" w:hAnsiTheme="minorHAnsi" w:cs="Calibri"/>
                <w:szCs w:val="24"/>
              </w:rPr>
            </w:pPr>
            <w:r w:rsidRPr="00905D54">
              <w:rPr>
                <w:rFonts w:asciiTheme="minorHAnsi" w:hAnsiTheme="minorHAnsi" w:cs="Calibri"/>
                <w:szCs w:val="24"/>
              </w:rPr>
              <w:t>Action required</w:t>
            </w:r>
          </w:p>
          <w:p w:rsidR="00204EFB" w:rsidRPr="00905D54" w:rsidRDefault="00D7305E" w:rsidP="00497D87">
            <w:pPr>
              <w:spacing w:after="120"/>
              <w:rPr>
                <w:rFonts w:asciiTheme="minorHAnsi" w:hAnsiTheme="minorHAnsi" w:cs="Calibri"/>
                <w:szCs w:val="24"/>
              </w:rPr>
            </w:pPr>
            <w:r w:rsidRPr="00905D54">
              <w:rPr>
                <w:rFonts w:asciiTheme="minorHAnsi" w:hAnsiTheme="minorHAnsi" w:cs="Calibri"/>
              </w:rPr>
              <w:t xml:space="preserve">This report is transmitted to </w:t>
            </w:r>
            <w:r w:rsidR="00905D54" w:rsidRPr="00905D54">
              <w:rPr>
                <w:rFonts w:asciiTheme="minorHAnsi" w:hAnsiTheme="minorHAnsi" w:cs="Calibri"/>
              </w:rPr>
              <w:t xml:space="preserve">the </w:t>
            </w:r>
            <w:r w:rsidRPr="00905D54">
              <w:rPr>
                <w:rFonts w:asciiTheme="minorHAnsi" w:hAnsiTheme="minorHAnsi" w:cs="Calibri"/>
              </w:rPr>
              <w:t xml:space="preserve">Council for </w:t>
            </w:r>
            <w:r w:rsidR="00497D87" w:rsidRPr="00905D54">
              <w:rPr>
                <w:rFonts w:asciiTheme="minorHAnsi" w:hAnsiTheme="minorHAnsi" w:cs="Calibri"/>
                <w:b/>
                <w:bCs/>
              </w:rPr>
              <w:t>discussion</w:t>
            </w:r>
            <w:r w:rsidRPr="00905D54">
              <w:rPr>
                <w:rFonts w:asciiTheme="minorHAnsi" w:hAnsiTheme="minorHAnsi"/>
              </w:rPr>
              <w:t>.</w:t>
            </w:r>
          </w:p>
          <w:p w:rsidR="00204EFB" w:rsidRPr="00905D54" w:rsidRDefault="00204EFB" w:rsidP="0061758F">
            <w:pPr>
              <w:pStyle w:val="Table"/>
              <w:keepNext w:val="0"/>
              <w:spacing w:before="120"/>
              <w:rPr>
                <w:rFonts w:asciiTheme="minorHAnsi" w:hAnsiTheme="minorHAnsi" w:cs="Calibri"/>
                <w:caps w:val="0"/>
                <w:szCs w:val="24"/>
              </w:rPr>
            </w:pPr>
            <w:r w:rsidRPr="00905D54">
              <w:rPr>
                <w:rFonts w:asciiTheme="minorHAnsi" w:hAnsiTheme="minorHAnsi" w:cs="Calibri"/>
                <w:caps w:val="0"/>
                <w:szCs w:val="24"/>
              </w:rPr>
              <w:t>____________</w:t>
            </w:r>
          </w:p>
          <w:p w:rsidR="002D2A4C" w:rsidRPr="00905D54" w:rsidRDefault="002D2A4C" w:rsidP="0061758F">
            <w:pPr>
              <w:spacing w:after="120"/>
              <w:rPr>
                <w:rFonts w:asciiTheme="minorHAnsi" w:hAnsiTheme="minorHAnsi" w:cs="Calibri"/>
                <w:b/>
                <w:bCs/>
                <w:szCs w:val="24"/>
              </w:rPr>
            </w:pPr>
            <w:r w:rsidRPr="00905D54">
              <w:rPr>
                <w:rFonts w:asciiTheme="minorHAnsi" w:hAnsiTheme="minorHAnsi" w:cs="Calibri"/>
                <w:b/>
                <w:bCs/>
                <w:szCs w:val="24"/>
              </w:rPr>
              <w:t>Reference</w:t>
            </w:r>
          </w:p>
          <w:p w:rsidR="00204EFB" w:rsidRPr="00905D54" w:rsidRDefault="00D7305E" w:rsidP="0061758F">
            <w:pPr>
              <w:spacing w:after="120"/>
              <w:rPr>
                <w:rFonts w:asciiTheme="minorHAnsi" w:hAnsiTheme="minorHAnsi" w:cs="Calibri"/>
                <w:i/>
                <w:iCs/>
                <w:szCs w:val="24"/>
              </w:rPr>
            </w:pPr>
            <w:r w:rsidRPr="00905D54">
              <w:rPr>
                <w:rFonts w:asciiTheme="minorHAnsi" w:hAnsiTheme="minorHAnsi"/>
                <w:i/>
                <w:iCs/>
              </w:rPr>
              <w:t>ITU Financial Regulations and Rules (2010), Article 29</w:t>
            </w:r>
          </w:p>
        </w:tc>
      </w:tr>
    </w:tbl>
    <w:p w:rsidR="00E855F3" w:rsidRPr="00905D54" w:rsidRDefault="00E855F3" w:rsidP="00141758">
      <w:pPr>
        <w:pStyle w:val="Heading1"/>
        <w:keepNext w:val="0"/>
        <w:keepLines w:val="0"/>
        <w:tabs>
          <w:tab w:val="clear" w:pos="794"/>
          <w:tab w:val="clear" w:pos="1191"/>
          <w:tab w:val="clear" w:pos="1588"/>
          <w:tab w:val="clear" w:pos="1985"/>
        </w:tabs>
        <w:snapToGrid w:val="0"/>
        <w:spacing w:before="360" w:after="120"/>
        <w:rPr>
          <w:rFonts w:asciiTheme="minorHAnsi" w:hAnsiTheme="minorHAnsi" w:cs="Calibri"/>
          <w:color w:val="auto"/>
        </w:rPr>
      </w:pPr>
      <w:bookmarkStart w:id="8" w:name="dstart"/>
      <w:bookmarkStart w:id="9" w:name="dbreak"/>
      <w:bookmarkEnd w:id="8"/>
      <w:bookmarkEnd w:id="9"/>
      <w:r w:rsidRPr="00905D54">
        <w:rPr>
          <w:rFonts w:asciiTheme="minorHAnsi" w:hAnsiTheme="minorHAnsi" w:cs="Calibri"/>
          <w:color w:val="auto"/>
        </w:rPr>
        <w:t>Introduction</w:t>
      </w:r>
    </w:p>
    <w:p w:rsidR="00204EFB" w:rsidRPr="00905D54" w:rsidRDefault="00497D87" w:rsidP="00C70359">
      <w:pPr>
        <w:pStyle w:val="Normalaftertitle"/>
        <w:numPr>
          <w:ilvl w:val="0"/>
          <w:numId w:val="14"/>
        </w:numPr>
        <w:tabs>
          <w:tab w:val="clear" w:pos="794"/>
          <w:tab w:val="clear" w:pos="1191"/>
          <w:tab w:val="clear" w:pos="1588"/>
          <w:tab w:val="clear" w:pos="1985"/>
        </w:tabs>
        <w:snapToGrid w:val="0"/>
        <w:spacing w:before="120" w:after="120"/>
        <w:ind w:left="0" w:firstLine="0"/>
        <w:jc w:val="both"/>
        <w:rPr>
          <w:rFonts w:asciiTheme="minorHAnsi" w:hAnsiTheme="minorHAnsi" w:cs="Calibri"/>
          <w:szCs w:val="24"/>
        </w:rPr>
      </w:pPr>
      <w:r w:rsidRPr="00905D54">
        <w:rPr>
          <w:rFonts w:asciiTheme="minorHAnsi" w:hAnsiTheme="minorHAnsi" w:cs="Calibri"/>
          <w:szCs w:val="24"/>
        </w:rPr>
        <w:t>This report is transmitted</w:t>
      </w:r>
      <w:r w:rsidR="00583F3C" w:rsidRPr="00905D54">
        <w:rPr>
          <w:rFonts w:asciiTheme="minorHAnsi" w:hAnsiTheme="minorHAnsi" w:cs="Calibri"/>
          <w:szCs w:val="24"/>
        </w:rPr>
        <w:t xml:space="preserve"> to </w:t>
      </w:r>
      <w:r w:rsidR="00905D54" w:rsidRPr="00905D54">
        <w:rPr>
          <w:rFonts w:asciiTheme="minorHAnsi" w:hAnsiTheme="minorHAnsi" w:cs="Calibri"/>
          <w:szCs w:val="24"/>
        </w:rPr>
        <w:t xml:space="preserve">the </w:t>
      </w:r>
      <w:r w:rsidR="00E855F3" w:rsidRPr="00905D54">
        <w:rPr>
          <w:rFonts w:asciiTheme="minorHAnsi" w:hAnsiTheme="minorHAnsi" w:cs="Calibri"/>
          <w:szCs w:val="24"/>
        </w:rPr>
        <w:t>Council and responds to Article 29 of the Financial Regulations (2010)</w:t>
      </w:r>
      <w:r w:rsidR="00597401" w:rsidRPr="00905D54">
        <w:rPr>
          <w:rFonts w:asciiTheme="minorHAnsi" w:hAnsiTheme="minorHAnsi" w:cs="Calibri"/>
          <w:szCs w:val="24"/>
        </w:rPr>
        <w:t xml:space="preserve">. </w:t>
      </w:r>
      <w:r w:rsidR="005B6856" w:rsidRPr="00905D54">
        <w:rPr>
          <w:rFonts w:asciiTheme="minorHAnsi" w:hAnsiTheme="minorHAnsi" w:cs="Calibri"/>
          <w:szCs w:val="24"/>
        </w:rPr>
        <w:t xml:space="preserve">In accordance with the </w:t>
      </w:r>
      <w:r w:rsidR="00147AAA" w:rsidRPr="00905D54">
        <w:rPr>
          <w:rFonts w:asciiTheme="minorHAnsi" w:hAnsiTheme="minorHAnsi" w:cs="Calibri"/>
          <w:szCs w:val="24"/>
        </w:rPr>
        <w:t xml:space="preserve">ITU </w:t>
      </w:r>
      <w:r w:rsidR="00597401" w:rsidRPr="00905D54">
        <w:rPr>
          <w:rFonts w:asciiTheme="minorHAnsi" w:hAnsiTheme="minorHAnsi" w:cs="Calibri"/>
          <w:szCs w:val="24"/>
        </w:rPr>
        <w:t>Internal Audit charter</w:t>
      </w:r>
      <w:r w:rsidR="00597401" w:rsidRPr="00905D54">
        <w:rPr>
          <w:rStyle w:val="FootnoteReference"/>
          <w:rFonts w:asciiTheme="minorHAnsi" w:hAnsiTheme="minorHAnsi" w:cs="Calibri"/>
          <w:szCs w:val="24"/>
        </w:rPr>
        <w:footnoteReference w:id="1"/>
      </w:r>
      <w:r w:rsidR="005B6856" w:rsidRPr="00905D54">
        <w:rPr>
          <w:rFonts w:asciiTheme="minorHAnsi" w:hAnsiTheme="minorHAnsi" w:cs="Calibri"/>
          <w:szCs w:val="24"/>
        </w:rPr>
        <w:t>, this report was submitted t</w:t>
      </w:r>
      <w:r w:rsidR="00597401" w:rsidRPr="00905D54">
        <w:rPr>
          <w:rFonts w:asciiTheme="minorHAnsi" w:hAnsiTheme="minorHAnsi" w:cs="Calibri"/>
          <w:szCs w:val="24"/>
        </w:rPr>
        <w:t>o the Secretary-General and to the Independent Management Advisory Committee (IMAC)</w:t>
      </w:r>
      <w:r w:rsidR="00CB443F" w:rsidRPr="00905D54">
        <w:rPr>
          <w:rFonts w:asciiTheme="minorHAnsi" w:hAnsiTheme="minorHAnsi" w:cs="Calibri"/>
          <w:szCs w:val="24"/>
        </w:rPr>
        <w:t xml:space="preserve">, </w:t>
      </w:r>
      <w:r w:rsidR="005B6856" w:rsidRPr="00905D54">
        <w:rPr>
          <w:rFonts w:asciiTheme="minorHAnsi" w:hAnsiTheme="minorHAnsi" w:cs="Calibri"/>
          <w:szCs w:val="24"/>
        </w:rPr>
        <w:t xml:space="preserve">before being </w:t>
      </w:r>
      <w:r w:rsidR="00CB443F" w:rsidRPr="00905D54">
        <w:rPr>
          <w:rFonts w:asciiTheme="minorHAnsi" w:hAnsiTheme="minorHAnsi" w:cs="Calibri"/>
          <w:szCs w:val="24"/>
        </w:rPr>
        <w:t xml:space="preserve">submitted </w:t>
      </w:r>
      <w:r w:rsidR="00346766" w:rsidRPr="00905D54">
        <w:rPr>
          <w:rFonts w:asciiTheme="minorHAnsi" w:hAnsiTheme="minorHAnsi" w:cs="Calibri"/>
          <w:szCs w:val="24"/>
        </w:rPr>
        <w:t xml:space="preserve">and presented </w:t>
      </w:r>
      <w:r w:rsidR="00CB443F" w:rsidRPr="00905D54">
        <w:rPr>
          <w:rFonts w:asciiTheme="minorHAnsi" w:hAnsiTheme="minorHAnsi" w:cs="Calibri"/>
          <w:szCs w:val="24"/>
        </w:rPr>
        <w:t>to Council</w:t>
      </w:r>
      <w:r w:rsidRPr="00905D54">
        <w:rPr>
          <w:rFonts w:asciiTheme="minorHAnsi" w:hAnsiTheme="minorHAnsi" w:cs="Calibri"/>
          <w:szCs w:val="24"/>
        </w:rPr>
        <w:t xml:space="preserve"> for discussion</w:t>
      </w:r>
      <w:r w:rsidR="00CB443F" w:rsidRPr="00905D54">
        <w:rPr>
          <w:rFonts w:asciiTheme="minorHAnsi" w:hAnsiTheme="minorHAnsi" w:cs="Calibri"/>
          <w:szCs w:val="24"/>
        </w:rPr>
        <w:t xml:space="preserve">. </w:t>
      </w:r>
      <w:r w:rsidR="00E855F3" w:rsidRPr="00905D54">
        <w:rPr>
          <w:rFonts w:asciiTheme="minorHAnsi" w:hAnsiTheme="minorHAnsi" w:cs="Calibri"/>
          <w:szCs w:val="24"/>
        </w:rPr>
        <w:t xml:space="preserve">The </w:t>
      </w:r>
      <w:r w:rsidR="00CB443F" w:rsidRPr="00905D54">
        <w:rPr>
          <w:rFonts w:asciiTheme="minorHAnsi" w:hAnsiTheme="minorHAnsi" w:cs="Calibri"/>
          <w:szCs w:val="24"/>
        </w:rPr>
        <w:t xml:space="preserve">current </w:t>
      </w:r>
      <w:r w:rsidR="00E855F3" w:rsidRPr="00905D54">
        <w:rPr>
          <w:rFonts w:asciiTheme="minorHAnsi" w:hAnsiTheme="minorHAnsi" w:cs="Calibri"/>
          <w:szCs w:val="24"/>
        </w:rPr>
        <w:t xml:space="preserve">report covers activities from the period between </w:t>
      </w:r>
      <w:r w:rsidR="00CB443F" w:rsidRPr="00905D54">
        <w:rPr>
          <w:rFonts w:asciiTheme="minorHAnsi" w:hAnsiTheme="minorHAnsi" w:cs="Calibri"/>
          <w:szCs w:val="24"/>
        </w:rPr>
        <w:t xml:space="preserve">April 2013 and </w:t>
      </w:r>
      <w:r w:rsidR="00C70359" w:rsidRPr="00905D54">
        <w:rPr>
          <w:rFonts w:asciiTheme="minorHAnsi" w:hAnsiTheme="minorHAnsi" w:cs="Calibri"/>
          <w:szCs w:val="24"/>
        </w:rPr>
        <w:t>February</w:t>
      </w:r>
      <w:r w:rsidR="00CB443F" w:rsidRPr="00905D54">
        <w:rPr>
          <w:rFonts w:asciiTheme="minorHAnsi" w:hAnsiTheme="minorHAnsi" w:cs="Calibri"/>
          <w:szCs w:val="24"/>
        </w:rPr>
        <w:t xml:space="preserve"> 2014</w:t>
      </w:r>
      <w:r w:rsidR="00E855F3" w:rsidRPr="00905D54">
        <w:rPr>
          <w:rFonts w:asciiTheme="minorHAnsi" w:hAnsiTheme="minorHAnsi" w:cs="Calibri"/>
          <w:szCs w:val="24"/>
        </w:rPr>
        <w:t>.</w:t>
      </w:r>
    </w:p>
    <w:p w:rsidR="00CC5D8C" w:rsidRPr="00905D54" w:rsidRDefault="00CC5D8C" w:rsidP="00C31C4E">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The Internal Audit Unit compri</w:t>
      </w:r>
      <w:r w:rsidR="00242155" w:rsidRPr="00905D54">
        <w:rPr>
          <w:rFonts w:asciiTheme="minorHAnsi" w:hAnsiTheme="minorHAnsi" w:cs="Calibri"/>
          <w:szCs w:val="24"/>
        </w:rPr>
        <w:t>ses two professional staff</w:t>
      </w:r>
      <w:r w:rsidRPr="00905D54">
        <w:rPr>
          <w:rFonts w:asciiTheme="minorHAnsi" w:hAnsiTheme="minorHAnsi" w:cs="Calibri"/>
          <w:szCs w:val="24"/>
        </w:rPr>
        <w:t xml:space="preserve"> </w:t>
      </w:r>
      <w:r w:rsidR="00242155" w:rsidRPr="00905D54">
        <w:rPr>
          <w:rFonts w:asciiTheme="minorHAnsi" w:hAnsiTheme="minorHAnsi" w:cs="Calibri"/>
          <w:szCs w:val="24"/>
        </w:rPr>
        <w:t>–</w:t>
      </w:r>
      <w:r w:rsidRPr="00905D54">
        <w:rPr>
          <w:rFonts w:asciiTheme="minorHAnsi" w:hAnsiTheme="minorHAnsi" w:cs="Calibri"/>
          <w:szCs w:val="24"/>
        </w:rPr>
        <w:t xml:space="preserve"> </w:t>
      </w:r>
      <w:r w:rsidR="00242155" w:rsidRPr="00905D54">
        <w:rPr>
          <w:rFonts w:asciiTheme="minorHAnsi" w:hAnsiTheme="minorHAnsi" w:cs="Calibri"/>
          <w:szCs w:val="24"/>
        </w:rPr>
        <w:t xml:space="preserve">a </w:t>
      </w:r>
      <w:r w:rsidRPr="00905D54">
        <w:rPr>
          <w:rFonts w:asciiTheme="minorHAnsi" w:hAnsiTheme="minorHAnsi" w:cs="Calibri"/>
          <w:szCs w:val="24"/>
        </w:rPr>
        <w:t>P.5 (Head of the Unit) and a P.3 (Internal Audit</w:t>
      </w:r>
      <w:r w:rsidR="00A22DA5" w:rsidRPr="00905D54">
        <w:rPr>
          <w:rFonts w:asciiTheme="minorHAnsi" w:hAnsiTheme="minorHAnsi" w:cs="Calibri"/>
          <w:szCs w:val="24"/>
        </w:rPr>
        <w:t>or)</w:t>
      </w:r>
      <w:r w:rsidR="0019483C" w:rsidRPr="00905D54">
        <w:rPr>
          <w:rFonts w:asciiTheme="minorHAnsi" w:hAnsiTheme="minorHAnsi" w:cs="Calibri"/>
          <w:szCs w:val="24"/>
        </w:rPr>
        <w:t>,</w:t>
      </w:r>
      <w:r w:rsidR="00A22DA5" w:rsidRPr="00905D54">
        <w:rPr>
          <w:rFonts w:asciiTheme="minorHAnsi" w:hAnsiTheme="minorHAnsi" w:cs="Calibri"/>
          <w:szCs w:val="24"/>
        </w:rPr>
        <w:t xml:space="preserve"> as well as</w:t>
      </w:r>
      <w:r w:rsidR="00242155" w:rsidRPr="00905D54">
        <w:rPr>
          <w:rFonts w:asciiTheme="minorHAnsi" w:hAnsiTheme="minorHAnsi" w:cs="Calibri"/>
          <w:szCs w:val="24"/>
        </w:rPr>
        <w:t xml:space="preserve"> a</w:t>
      </w:r>
      <w:r w:rsidR="00A22DA5" w:rsidRPr="00905D54">
        <w:rPr>
          <w:rFonts w:asciiTheme="minorHAnsi" w:hAnsiTheme="minorHAnsi" w:cs="Calibri"/>
          <w:szCs w:val="24"/>
        </w:rPr>
        <w:t xml:space="preserve"> general service staff </w:t>
      </w:r>
      <w:r w:rsidR="00242155" w:rsidRPr="00905D54">
        <w:rPr>
          <w:rFonts w:asciiTheme="minorHAnsi" w:hAnsiTheme="minorHAnsi" w:cs="Calibri"/>
          <w:szCs w:val="24"/>
        </w:rPr>
        <w:t>(</w:t>
      </w:r>
      <w:r w:rsidR="00355E33" w:rsidRPr="00905D54">
        <w:rPr>
          <w:rFonts w:asciiTheme="minorHAnsi" w:hAnsiTheme="minorHAnsi" w:cs="Calibri"/>
          <w:szCs w:val="24"/>
        </w:rPr>
        <w:t>Audit Assistant</w:t>
      </w:r>
      <w:r w:rsidR="00772EC7" w:rsidRPr="00905D54">
        <w:rPr>
          <w:rFonts w:asciiTheme="minorHAnsi" w:hAnsiTheme="minorHAnsi" w:cs="Calibri"/>
          <w:szCs w:val="24"/>
        </w:rPr>
        <w:t>).</w:t>
      </w:r>
    </w:p>
    <w:p w:rsidR="001075B8" w:rsidRPr="00905D54" w:rsidRDefault="001075B8" w:rsidP="00141758">
      <w:pPr>
        <w:pStyle w:val="Heading1"/>
        <w:keepNext w:val="0"/>
        <w:keepLines w:val="0"/>
        <w:tabs>
          <w:tab w:val="clear" w:pos="794"/>
          <w:tab w:val="clear" w:pos="1191"/>
          <w:tab w:val="clear" w:pos="1588"/>
          <w:tab w:val="clear" w:pos="1985"/>
        </w:tabs>
        <w:snapToGrid w:val="0"/>
        <w:spacing w:before="360" w:after="120"/>
        <w:rPr>
          <w:rFonts w:asciiTheme="minorHAnsi" w:hAnsiTheme="minorHAnsi" w:cs="Calibri"/>
          <w:color w:val="auto"/>
          <w:lang w:val="en-CA"/>
        </w:rPr>
      </w:pPr>
      <w:r w:rsidRPr="00905D54">
        <w:rPr>
          <w:rFonts w:asciiTheme="minorHAnsi" w:hAnsiTheme="minorHAnsi" w:cs="Calibri"/>
          <w:color w:val="auto"/>
          <w:lang w:val="en-CA"/>
        </w:rPr>
        <w:t>Orientation and scope of the internal audit activities</w:t>
      </w:r>
    </w:p>
    <w:p w:rsidR="00C26B31" w:rsidRPr="00905D54" w:rsidRDefault="00C042A1" w:rsidP="00355E33">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 xml:space="preserve">The orientation of the audit work was </w:t>
      </w:r>
      <w:r w:rsidR="0003657B" w:rsidRPr="00905D54">
        <w:rPr>
          <w:rFonts w:asciiTheme="minorHAnsi" w:hAnsiTheme="minorHAnsi" w:cs="Calibri"/>
          <w:szCs w:val="24"/>
        </w:rPr>
        <w:t xml:space="preserve">mainly </w:t>
      </w:r>
      <w:r w:rsidR="00355E33" w:rsidRPr="00905D54">
        <w:rPr>
          <w:rFonts w:asciiTheme="minorHAnsi" w:hAnsiTheme="minorHAnsi" w:cs="Calibri"/>
          <w:szCs w:val="24"/>
        </w:rPr>
        <w:t>towards</w:t>
      </w:r>
      <w:r w:rsidR="0003657B" w:rsidRPr="00905D54">
        <w:rPr>
          <w:rFonts w:asciiTheme="minorHAnsi" w:hAnsiTheme="minorHAnsi" w:cs="Calibri"/>
          <w:szCs w:val="24"/>
        </w:rPr>
        <w:t xml:space="preserve"> the areas of assurance engagements and</w:t>
      </w:r>
      <w:r w:rsidR="00355E33" w:rsidRPr="00905D54">
        <w:rPr>
          <w:rFonts w:asciiTheme="minorHAnsi" w:hAnsiTheme="minorHAnsi" w:cs="Calibri"/>
          <w:szCs w:val="24"/>
        </w:rPr>
        <w:t xml:space="preserve">/or performance </w:t>
      </w:r>
      <w:r w:rsidR="00905D54">
        <w:rPr>
          <w:rFonts w:asciiTheme="minorHAnsi" w:hAnsiTheme="minorHAnsi" w:cs="Calibri"/>
          <w:szCs w:val="24"/>
        </w:rPr>
        <w:t xml:space="preserve">audits. Some ad </w:t>
      </w:r>
      <w:r w:rsidR="0003657B" w:rsidRPr="00905D54">
        <w:rPr>
          <w:rFonts w:asciiTheme="minorHAnsi" w:hAnsiTheme="minorHAnsi" w:cs="Calibri"/>
          <w:szCs w:val="24"/>
        </w:rPr>
        <w:t xml:space="preserve">hoc internal consulting was also performed. </w:t>
      </w:r>
      <w:r w:rsidR="001075B8" w:rsidRPr="00905D54">
        <w:rPr>
          <w:rFonts w:asciiTheme="minorHAnsi" w:hAnsiTheme="minorHAnsi" w:cs="Calibri"/>
          <w:szCs w:val="24"/>
        </w:rPr>
        <w:t xml:space="preserve">The </w:t>
      </w:r>
      <w:r w:rsidRPr="00905D54">
        <w:rPr>
          <w:rFonts w:asciiTheme="minorHAnsi" w:hAnsiTheme="minorHAnsi" w:cs="Calibri"/>
          <w:szCs w:val="24"/>
        </w:rPr>
        <w:t xml:space="preserve">scope </w:t>
      </w:r>
      <w:r w:rsidR="00464833" w:rsidRPr="00905D54">
        <w:rPr>
          <w:rFonts w:asciiTheme="minorHAnsi" w:hAnsiTheme="minorHAnsi"/>
          <w:szCs w:val="24"/>
        </w:rPr>
        <w:t>encompassed the review of</w:t>
      </w:r>
      <w:r w:rsidR="00464833" w:rsidRPr="00905D54">
        <w:rPr>
          <w:rFonts w:asciiTheme="minorHAnsi" w:hAnsiTheme="minorHAnsi" w:cs="Calibri"/>
          <w:szCs w:val="24"/>
        </w:rPr>
        <w:t xml:space="preserve"> documents and structures/charts, </w:t>
      </w:r>
      <w:r w:rsidR="00464833" w:rsidRPr="00905D54">
        <w:rPr>
          <w:rFonts w:asciiTheme="minorHAnsi" w:hAnsiTheme="minorHAnsi"/>
          <w:szCs w:val="24"/>
        </w:rPr>
        <w:t>the a</w:t>
      </w:r>
      <w:r w:rsidR="00464833" w:rsidRPr="00905D54">
        <w:rPr>
          <w:rFonts w:asciiTheme="minorHAnsi" w:hAnsiTheme="minorHAnsi" w:cs="Arial"/>
          <w:szCs w:val="24"/>
        </w:rPr>
        <w:t xml:space="preserve">nalysis of activities </w:t>
      </w:r>
      <w:r w:rsidR="00E442CE" w:rsidRPr="00905D54">
        <w:rPr>
          <w:rFonts w:asciiTheme="minorHAnsi" w:hAnsiTheme="minorHAnsi" w:cs="Arial"/>
          <w:szCs w:val="24"/>
        </w:rPr>
        <w:t>conducted,</w:t>
      </w:r>
      <w:r w:rsidR="00464833" w:rsidRPr="00905D54">
        <w:rPr>
          <w:rFonts w:asciiTheme="minorHAnsi" w:hAnsiTheme="minorHAnsi" w:cs="Arial"/>
          <w:szCs w:val="24"/>
        </w:rPr>
        <w:t xml:space="preserve"> an assessment of the related processes and procedures, and the evaluation of compliance. </w:t>
      </w:r>
      <w:r w:rsidR="00E442CE" w:rsidRPr="00905D54">
        <w:rPr>
          <w:rFonts w:asciiTheme="minorHAnsi" w:hAnsiTheme="minorHAnsi" w:cs="Arial"/>
          <w:szCs w:val="24"/>
        </w:rPr>
        <w:t>All audits planned and taken forward were finalized on time, with the issuance of final reports including the comments of the managers concerned.</w:t>
      </w:r>
    </w:p>
    <w:p w:rsidR="001075B8" w:rsidRPr="00905D54" w:rsidRDefault="00C26B31" w:rsidP="00C31C4E">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Arial"/>
          <w:szCs w:val="24"/>
        </w:rPr>
        <w:lastRenderedPageBreak/>
        <w:t xml:space="preserve">Internal Audit confirms that it conducts its audits in accordance with </w:t>
      </w:r>
      <w:r w:rsidR="00AB0387" w:rsidRPr="00905D54">
        <w:rPr>
          <w:rFonts w:asciiTheme="minorHAnsi" w:hAnsiTheme="minorHAnsi" w:cs="Arial"/>
          <w:szCs w:val="24"/>
        </w:rPr>
        <w:t>the International Standards for the Professional Practice of Internal Auditing and the Code of Ethics established by the Institute of Internal Auditors</w:t>
      </w:r>
      <w:r w:rsidR="00AB0387" w:rsidRPr="00905D54">
        <w:rPr>
          <w:rStyle w:val="FootnoteReference"/>
          <w:rFonts w:asciiTheme="minorHAnsi" w:hAnsiTheme="minorHAnsi" w:cs="Arial"/>
          <w:szCs w:val="24"/>
        </w:rPr>
        <w:footnoteReference w:id="2"/>
      </w:r>
      <w:r w:rsidR="00905D54">
        <w:rPr>
          <w:rFonts w:asciiTheme="minorHAnsi" w:hAnsiTheme="minorHAnsi" w:cs="Arial"/>
          <w:szCs w:val="24"/>
        </w:rPr>
        <w:t>,</w:t>
      </w:r>
      <w:r w:rsidR="00FF744D" w:rsidRPr="00905D54">
        <w:rPr>
          <w:rFonts w:asciiTheme="minorHAnsi" w:hAnsiTheme="minorHAnsi" w:cs="Arial"/>
          <w:szCs w:val="24"/>
        </w:rPr>
        <w:t xml:space="preserve"> as well as with the provisions of the ITU Internal Audit Charter</w:t>
      </w:r>
      <w:r w:rsidR="00FF744D" w:rsidRPr="00905D54">
        <w:rPr>
          <w:rStyle w:val="FootnoteReference"/>
          <w:rFonts w:asciiTheme="minorHAnsi" w:hAnsiTheme="minorHAnsi" w:cs="Arial"/>
          <w:szCs w:val="24"/>
        </w:rPr>
        <w:footnoteReference w:id="3"/>
      </w:r>
      <w:r w:rsidR="00AB0387" w:rsidRPr="00905D54">
        <w:rPr>
          <w:rFonts w:asciiTheme="minorHAnsi" w:hAnsiTheme="minorHAnsi" w:cs="Arial"/>
          <w:szCs w:val="24"/>
        </w:rPr>
        <w:t>. In addition, Internal Audit confirms that, for the period reported on, its staff had no managerial authority over, nor responsibility for, any of the activities audited and did not perform accounting or operational functions within ITU.</w:t>
      </w:r>
    </w:p>
    <w:p w:rsidR="00CC5D8C" w:rsidRPr="00905D54" w:rsidRDefault="00CC5D8C" w:rsidP="00586840">
      <w:pPr>
        <w:pStyle w:val="Heading1"/>
        <w:keepNext w:val="0"/>
        <w:keepLines w:val="0"/>
        <w:tabs>
          <w:tab w:val="clear" w:pos="794"/>
          <w:tab w:val="clear" w:pos="1191"/>
          <w:tab w:val="clear" w:pos="1588"/>
          <w:tab w:val="clear" w:pos="1985"/>
        </w:tabs>
        <w:snapToGrid w:val="0"/>
        <w:spacing w:before="360" w:after="120"/>
        <w:jc w:val="both"/>
        <w:rPr>
          <w:rFonts w:asciiTheme="minorHAnsi" w:hAnsiTheme="minorHAnsi" w:cs="Calibri"/>
          <w:color w:val="auto"/>
          <w:lang w:val="en-CA"/>
        </w:rPr>
      </w:pPr>
      <w:r w:rsidRPr="00905D54">
        <w:rPr>
          <w:rFonts w:asciiTheme="minorHAnsi" w:hAnsiTheme="minorHAnsi" w:cs="Calibri"/>
          <w:color w:val="auto"/>
          <w:lang w:val="en-CA"/>
        </w:rPr>
        <w:t>Assurance Engagement</w:t>
      </w:r>
      <w:r w:rsidR="00EA5225" w:rsidRPr="00905D54">
        <w:rPr>
          <w:rFonts w:asciiTheme="minorHAnsi" w:hAnsiTheme="minorHAnsi" w:cs="Calibri"/>
          <w:color w:val="auto"/>
          <w:lang w:val="en-CA"/>
        </w:rPr>
        <w:t>s</w:t>
      </w:r>
    </w:p>
    <w:p w:rsidR="00242155" w:rsidRPr="00905D54" w:rsidRDefault="00CC5D8C" w:rsidP="003D1EC5">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The objectives of the assurance engagement</w:t>
      </w:r>
      <w:r w:rsidR="0028795E" w:rsidRPr="00905D54">
        <w:rPr>
          <w:rFonts w:asciiTheme="minorHAnsi" w:hAnsiTheme="minorHAnsi" w:cs="Calibri"/>
          <w:szCs w:val="24"/>
        </w:rPr>
        <w:t>s</w:t>
      </w:r>
      <w:r w:rsidRPr="00905D54">
        <w:rPr>
          <w:rFonts w:asciiTheme="minorHAnsi" w:hAnsiTheme="minorHAnsi" w:cs="Calibri"/>
          <w:szCs w:val="24"/>
        </w:rPr>
        <w:t xml:space="preserve"> were to assess the internal controls in place, </w:t>
      </w:r>
      <w:r w:rsidR="00E63C06" w:rsidRPr="00905D54">
        <w:rPr>
          <w:rFonts w:asciiTheme="minorHAnsi" w:hAnsiTheme="minorHAnsi" w:cs="Calibri"/>
          <w:szCs w:val="24"/>
        </w:rPr>
        <w:t xml:space="preserve">to review </w:t>
      </w:r>
      <w:r w:rsidRPr="00905D54">
        <w:rPr>
          <w:rFonts w:asciiTheme="minorHAnsi" w:hAnsiTheme="minorHAnsi" w:cs="Calibri"/>
          <w:szCs w:val="24"/>
        </w:rPr>
        <w:t xml:space="preserve">the adequacy of the applicable regulations and rules, to verify the compliance of selected transactions with applicable policies and procedures, and to assess whether the activities under review were in line with the principles of efficient, effective and economical use of the Union’s resources. </w:t>
      </w:r>
      <w:r w:rsidR="00E63C06" w:rsidRPr="00905D54">
        <w:rPr>
          <w:rFonts w:asciiTheme="minorHAnsi" w:hAnsiTheme="minorHAnsi" w:cs="Calibri"/>
          <w:szCs w:val="24"/>
        </w:rPr>
        <w:t>The priority of the recommendations</w:t>
      </w:r>
      <w:r w:rsidR="003D1EC5" w:rsidRPr="00905D54">
        <w:rPr>
          <w:rFonts w:asciiTheme="minorHAnsi" w:hAnsiTheme="minorHAnsi" w:cs="Calibri"/>
          <w:szCs w:val="24"/>
        </w:rPr>
        <w:t xml:space="preserve"> resulting from the audit work</w:t>
      </w:r>
      <w:r w:rsidR="00E63C06" w:rsidRPr="00905D54">
        <w:rPr>
          <w:rFonts w:asciiTheme="minorHAnsi" w:hAnsiTheme="minorHAnsi" w:cs="Calibri"/>
          <w:szCs w:val="24"/>
          <w:lang w:val="en-US"/>
        </w:rPr>
        <w:t xml:space="preserve"> is classified according to </w:t>
      </w:r>
      <w:r w:rsidR="003D1EC5" w:rsidRPr="00905D54">
        <w:rPr>
          <w:rFonts w:asciiTheme="minorHAnsi" w:hAnsiTheme="minorHAnsi" w:cs="Calibri"/>
          <w:szCs w:val="24"/>
          <w:lang w:val="en-US"/>
        </w:rPr>
        <w:t xml:space="preserve">the impact and likelihood of the deficiency (critical, high, medium, low). </w:t>
      </w:r>
    </w:p>
    <w:p w:rsidR="00F804C7" w:rsidRPr="00905D54" w:rsidRDefault="00F90C9E" w:rsidP="00F90C9E">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Internal Audit</w:t>
      </w:r>
      <w:r w:rsidR="00F804C7" w:rsidRPr="00905D54">
        <w:rPr>
          <w:rFonts w:asciiTheme="minorHAnsi" w:hAnsiTheme="minorHAnsi" w:cs="Calibri"/>
          <w:szCs w:val="24"/>
        </w:rPr>
        <w:t xml:space="preserve"> </w:t>
      </w:r>
      <w:r w:rsidR="00EA5225" w:rsidRPr="00905D54">
        <w:rPr>
          <w:rFonts w:asciiTheme="minorHAnsi" w:hAnsiTheme="minorHAnsi" w:cs="Calibri"/>
          <w:szCs w:val="24"/>
        </w:rPr>
        <w:t>syste</w:t>
      </w:r>
      <w:r w:rsidR="00F804C7" w:rsidRPr="00905D54">
        <w:rPr>
          <w:rFonts w:asciiTheme="minorHAnsi" w:hAnsiTheme="minorHAnsi" w:cs="Calibri"/>
          <w:szCs w:val="24"/>
        </w:rPr>
        <w:t xml:space="preserve">matically </w:t>
      </w:r>
      <w:r w:rsidRPr="00905D54">
        <w:rPr>
          <w:rFonts w:asciiTheme="minorHAnsi" w:hAnsiTheme="minorHAnsi" w:cs="Calibri"/>
          <w:szCs w:val="24"/>
        </w:rPr>
        <w:t>shares copies</w:t>
      </w:r>
      <w:r w:rsidR="00F804C7" w:rsidRPr="00905D54">
        <w:rPr>
          <w:rFonts w:asciiTheme="minorHAnsi" w:hAnsiTheme="minorHAnsi" w:cs="Calibri"/>
          <w:szCs w:val="24"/>
        </w:rPr>
        <w:t xml:space="preserve"> of internal audit report</w:t>
      </w:r>
      <w:r w:rsidR="0040058B" w:rsidRPr="00905D54">
        <w:rPr>
          <w:rFonts w:asciiTheme="minorHAnsi" w:hAnsiTheme="minorHAnsi" w:cs="Calibri"/>
          <w:szCs w:val="24"/>
        </w:rPr>
        <w:t>s</w:t>
      </w:r>
      <w:r w:rsidR="00F804C7" w:rsidRPr="00905D54">
        <w:rPr>
          <w:rFonts w:asciiTheme="minorHAnsi" w:hAnsiTheme="minorHAnsi" w:cs="Calibri"/>
          <w:szCs w:val="24"/>
        </w:rPr>
        <w:t xml:space="preserve"> </w:t>
      </w:r>
      <w:r w:rsidRPr="00905D54">
        <w:rPr>
          <w:rFonts w:asciiTheme="minorHAnsi" w:hAnsiTheme="minorHAnsi" w:cs="Calibri"/>
          <w:szCs w:val="24"/>
        </w:rPr>
        <w:t xml:space="preserve">with the ITU External Auditor and </w:t>
      </w:r>
      <w:r w:rsidR="00F804C7" w:rsidRPr="00905D54">
        <w:rPr>
          <w:rFonts w:asciiTheme="minorHAnsi" w:hAnsiTheme="minorHAnsi" w:cs="Calibri"/>
          <w:szCs w:val="24"/>
        </w:rPr>
        <w:t xml:space="preserve">the Independent Management Advisory Committee (IMAC). In accordance with ITU Financial Regulation 29.5, final internal audit reports can, upon </w:t>
      </w:r>
      <w:r w:rsidR="0019483C" w:rsidRPr="00905D54">
        <w:rPr>
          <w:rFonts w:asciiTheme="minorHAnsi" w:hAnsiTheme="minorHAnsi" w:cs="Calibri"/>
          <w:szCs w:val="24"/>
        </w:rPr>
        <w:t xml:space="preserve">written </w:t>
      </w:r>
      <w:r w:rsidR="00F804C7" w:rsidRPr="00905D54">
        <w:rPr>
          <w:rFonts w:asciiTheme="minorHAnsi" w:hAnsiTheme="minorHAnsi" w:cs="Calibri"/>
          <w:szCs w:val="24"/>
        </w:rPr>
        <w:t>request to the Secretary-General, be made available to Member States or th</w:t>
      </w:r>
      <w:r w:rsidR="00772EC7" w:rsidRPr="00905D54">
        <w:rPr>
          <w:rFonts w:asciiTheme="minorHAnsi" w:hAnsiTheme="minorHAnsi" w:cs="Calibri"/>
          <w:szCs w:val="24"/>
        </w:rPr>
        <w:t>eir designated representatives.</w:t>
      </w:r>
      <w:r w:rsidR="00FD0F8A" w:rsidRPr="00905D54">
        <w:rPr>
          <w:rFonts w:asciiTheme="minorHAnsi" w:hAnsiTheme="minorHAnsi" w:cs="Calibri"/>
          <w:szCs w:val="24"/>
        </w:rPr>
        <w:t xml:space="preserve"> During the period reported on, no requests were received.</w:t>
      </w:r>
    </w:p>
    <w:p w:rsidR="00C37929" w:rsidRPr="00905D54" w:rsidRDefault="00C37929" w:rsidP="00C37929">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The results of the audit work for the period reported on indicated that internal controls, policies and procedures were generally established and functioning but needed improvement in certain areas. Recommendations made to management are being actioned, with the support of the Secretary-General, and this will further strengthen ITU to fulfil its mandate.</w:t>
      </w:r>
    </w:p>
    <w:p w:rsidR="00CC5D8C" w:rsidRPr="00905D54" w:rsidRDefault="00CC5D8C" w:rsidP="009A256B">
      <w:pPr>
        <w:tabs>
          <w:tab w:val="clear" w:pos="794"/>
          <w:tab w:val="clear" w:pos="1191"/>
          <w:tab w:val="clear" w:pos="1588"/>
          <w:tab w:val="clear" w:pos="1985"/>
        </w:tabs>
        <w:snapToGrid w:val="0"/>
        <w:spacing w:after="120"/>
        <w:jc w:val="both"/>
        <w:rPr>
          <w:rFonts w:asciiTheme="minorHAnsi" w:hAnsiTheme="minorHAnsi" w:cs="Calibri"/>
          <w:szCs w:val="24"/>
        </w:rPr>
      </w:pPr>
      <w:r w:rsidRPr="00905D54">
        <w:rPr>
          <w:rFonts w:asciiTheme="minorHAnsi" w:hAnsiTheme="minorHAnsi" w:cs="Calibri"/>
          <w:szCs w:val="24"/>
        </w:rPr>
        <w:t>The following assurance engagements have been conducted:</w:t>
      </w:r>
    </w:p>
    <w:p w:rsidR="00CC5D8C" w:rsidRPr="00905D54" w:rsidRDefault="00CC5D8C" w:rsidP="00141758">
      <w:pPr>
        <w:pStyle w:val="Heading1"/>
        <w:keepNext w:val="0"/>
        <w:keepLines w:val="0"/>
        <w:numPr>
          <w:ilvl w:val="0"/>
          <w:numId w:val="13"/>
        </w:numPr>
        <w:tabs>
          <w:tab w:val="clear" w:pos="794"/>
          <w:tab w:val="clear" w:pos="1191"/>
          <w:tab w:val="clear" w:pos="1588"/>
          <w:tab w:val="clear" w:pos="1985"/>
        </w:tabs>
        <w:snapToGrid w:val="0"/>
        <w:spacing w:before="240" w:after="120"/>
        <w:ind w:left="0" w:firstLine="0"/>
        <w:jc w:val="both"/>
        <w:rPr>
          <w:rFonts w:asciiTheme="minorHAnsi" w:hAnsiTheme="minorHAnsi" w:cs="Calibri"/>
          <w:color w:val="auto"/>
          <w:sz w:val="24"/>
          <w:szCs w:val="24"/>
        </w:rPr>
      </w:pPr>
      <w:bookmarkStart w:id="10" w:name="OLE_LINK2"/>
      <w:bookmarkStart w:id="11" w:name="OLE_LINK1"/>
      <w:r w:rsidRPr="00905D54">
        <w:rPr>
          <w:rFonts w:asciiTheme="minorHAnsi" w:hAnsiTheme="minorHAnsi" w:cs="Calibri"/>
          <w:color w:val="auto"/>
          <w:sz w:val="24"/>
          <w:szCs w:val="24"/>
        </w:rPr>
        <w:t xml:space="preserve">Audit of the </w:t>
      </w:r>
      <w:r w:rsidR="00DB2C82" w:rsidRPr="00905D54">
        <w:rPr>
          <w:rFonts w:asciiTheme="minorHAnsi" w:hAnsiTheme="minorHAnsi" w:cs="Calibri"/>
          <w:color w:val="auto"/>
          <w:sz w:val="24"/>
          <w:szCs w:val="24"/>
        </w:rPr>
        <w:t>Asia-Pacific Regional (ASP RO/BKK) and Area (ASP AO/JKT) Offices</w:t>
      </w:r>
      <w:bookmarkEnd w:id="10"/>
      <w:bookmarkEnd w:id="11"/>
    </w:p>
    <w:p w:rsidR="00420225" w:rsidRPr="00905D54" w:rsidRDefault="0005389A" w:rsidP="00F90C9E">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 xml:space="preserve">The </w:t>
      </w:r>
      <w:r w:rsidRPr="00905D54">
        <w:rPr>
          <w:rFonts w:asciiTheme="minorHAnsi" w:hAnsiTheme="minorHAnsi" w:cs="Calibri"/>
          <w:szCs w:val="24"/>
          <w:u w:val="single"/>
        </w:rPr>
        <w:t>scope</w:t>
      </w:r>
      <w:r w:rsidRPr="00905D54">
        <w:rPr>
          <w:rFonts w:asciiTheme="minorHAnsi" w:hAnsiTheme="minorHAnsi" w:cs="Calibri"/>
          <w:szCs w:val="24"/>
        </w:rPr>
        <w:t xml:space="preserve"> of the audit encompassed the review of the host country agreement</w:t>
      </w:r>
      <w:r w:rsidR="00F90C9E" w:rsidRPr="00905D54">
        <w:rPr>
          <w:rFonts w:asciiTheme="minorHAnsi" w:hAnsiTheme="minorHAnsi" w:cs="Calibri"/>
          <w:szCs w:val="24"/>
        </w:rPr>
        <w:t>s</w:t>
      </w:r>
      <w:r w:rsidRPr="00905D54">
        <w:rPr>
          <w:rFonts w:asciiTheme="minorHAnsi" w:hAnsiTheme="minorHAnsi" w:cs="Calibri"/>
          <w:szCs w:val="24"/>
        </w:rPr>
        <w:t xml:space="preserve"> and of the organizational structure of the ASP offices, the analysis of the activities conducted by the ASP offices, an assessment of the related processes and procedures, in view of optimization and simplification, and the evaluation of compliance of ASP offices’ practices with security and staff safety regulations. The time period covered was from 2009 into part of 2012. Although the majority of the audi</w:t>
      </w:r>
      <w:r w:rsidR="00F90C9E" w:rsidRPr="00905D54">
        <w:rPr>
          <w:rFonts w:asciiTheme="minorHAnsi" w:hAnsiTheme="minorHAnsi" w:cs="Calibri"/>
          <w:szCs w:val="24"/>
        </w:rPr>
        <w:t>t work has been conducted at – and from –</w:t>
      </w:r>
      <w:r w:rsidRPr="00905D54">
        <w:rPr>
          <w:rFonts w:asciiTheme="minorHAnsi" w:hAnsiTheme="minorHAnsi" w:cs="Calibri"/>
          <w:szCs w:val="24"/>
        </w:rPr>
        <w:t xml:space="preserve"> ITU</w:t>
      </w:r>
      <w:r w:rsidR="00F90C9E" w:rsidRPr="00905D54">
        <w:rPr>
          <w:rFonts w:asciiTheme="minorHAnsi" w:hAnsiTheme="minorHAnsi" w:cs="Calibri"/>
          <w:szCs w:val="24"/>
        </w:rPr>
        <w:t xml:space="preserve"> Headquarters</w:t>
      </w:r>
      <w:r w:rsidR="007C7F92" w:rsidRPr="00905D54">
        <w:rPr>
          <w:rFonts w:asciiTheme="minorHAnsi" w:hAnsiTheme="minorHAnsi" w:cs="Calibri"/>
          <w:szCs w:val="24"/>
        </w:rPr>
        <w:t xml:space="preserve"> (ITU/HQ)</w:t>
      </w:r>
      <w:r w:rsidRPr="00905D54">
        <w:rPr>
          <w:rFonts w:asciiTheme="minorHAnsi" w:hAnsiTheme="minorHAnsi" w:cs="Calibri"/>
          <w:szCs w:val="24"/>
        </w:rPr>
        <w:t xml:space="preserve">, where most of the administrative documentation is kept, Internal Audit conducted a field visit to the </w:t>
      </w:r>
      <w:r w:rsidR="00111821" w:rsidRPr="00905D54">
        <w:rPr>
          <w:rFonts w:asciiTheme="minorHAnsi" w:hAnsiTheme="minorHAnsi" w:cs="Calibri"/>
          <w:szCs w:val="24"/>
        </w:rPr>
        <w:t>Area office ASP/</w:t>
      </w:r>
      <w:r w:rsidR="00DB2C82" w:rsidRPr="00905D54">
        <w:rPr>
          <w:rFonts w:asciiTheme="minorHAnsi" w:hAnsiTheme="minorHAnsi" w:cs="Calibri"/>
          <w:szCs w:val="24"/>
        </w:rPr>
        <w:t xml:space="preserve">AO/JKT in Jakarta </w:t>
      </w:r>
      <w:r w:rsidR="00111821" w:rsidRPr="00905D54">
        <w:rPr>
          <w:rFonts w:asciiTheme="minorHAnsi" w:hAnsiTheme="minorHAnsi" w:cs="Calibri"/>
          <w:szCs w:val="24"/>
        </w:rPr>
        <w:t>from</w:t>
      </w:r>
      <w:r w:rsidR="00DB2C82" w:rsidRPr="00905D54">
        <w:rPr>
          <w:rFonts w:asciiTheme="minorHAnsi" w:hAnsiTheme="minorHAnsi" w:cs="Calibri"/>
          <w:szCs w:val="24"/>
        </w:rPr>
        <w:t xml:space="preserve"> 12 to 14 December 2012 and to the Regional Office ASP</w:t>
      </w:r>
      <w:r w:rsidR="00111821" w:rsidRPr="00905D54">
        <w:rPr>
          <w:rFonts w:asciiTheme="minorHAnsi" w:hAnsiTheme="minorHAnsi" w:cs="Calibri"/>
          <w:szCs w:val="24"/>
        </w:rPr>
        <w:t>/</w:t>
      </w:r>
      <w:r w:rsidR="00DB2C82" w:rsidRPr="00905D54">
        <w:rPr>
          <w:rFonts w:asciiTheme="minorHAnsi" w:hAnsiTheme="minorHAnsi" w:cs="Calibri"/>
          <w:szCs w:val="24"/>
        </w:rPr>
        <w:t>RO/BKK in Bangkok, from 17 to 20 December 2012</w:t>
      </w:r>
      <w:r w:rsidRPr="00905D54">
        <w:rPr>
          <w:rFonts w:asciiTheme="minorHAnsi" w:hAnsiTheme="minorHAnsi" w:cs="Calibri"/>
          <w:szCs w:val="24"/>
        </w:rPr>
        <w:t xml:space="preserve">. The </w:t>
      </w:r>
      <w:r w:rsidR="00DB2C82" w:rsidRPr="00905D54">
        <w:rPr>
          <w:rFonts w:asciiTheme="minorHAnsi" w:hAnsiTheme="minorHAnsi" w:cs="Calibri"/>
          <w:szCs w:val="24"/>
        </w:rPr>
        <w:t xml:space="preserve">finalization of the audit work took place in 2013. </w:t>
      </w:r>
    </w:p>
    <w:p w:rsidR="00701A15" w:rsidRPr="00905D54" w:rsidRDefault="0019483C" w:rsidP="008D4FE8">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T</w:t>
      </w:r>
      <w:r w:rsidR="00420225" w:rsidRPr="00905D54">
        <w:rPr>
          <w:rFonts w:asciiTheme="minorHAnsi" w:hAnsiTheme="minorHAnsi" w:cs="Calibri"/>
          <w:szCs w:val="24"/>
        </w:rPr>
        <w:t xml:space="preserve">he </w:t>
      </w:r>
      <w:r w:rsidR="00C54C56" w:rsidRPr="00905D54">
        <w:rPr>
          <w:rFonts w:asciiTheme="minorHAnsi" w:hAnsiTheme="minorHAnsi" w:cs="Calibri"/>
          <w:szCs w:val="24"/>
        </w:rPr>
        <w:t xml:space="preserve">most important </w:t>
      </w:r>
      <w:r w:rsidR="000469E4" w:rsidRPr="00905D54">
        <w:rPr>
          <w:rFonts w:asciiTheme="minorHAnsi" w:hAnsiTheme="minorHAnsi" w:cs="Calibri"/>
          <w:szCs w:val="24"/>
        </w:rPr>
        <w:t>issues, dir</w:t>
      </w:r>
      <w:r w:rsidR="00DB2C82" w:rsidRPr="00905D54">
        <w:rPr>
          <w:rFonts w:asciiTheme="minorHAnsi" w:hAnsiTheme="minorHAnsi" w:cs="Calibri"/>
          <w:szCs w:val="24"/>
        </w:rPr>
        <w:t>ectly related to the ASP</w:t>
      </w:r>
      <w:r w:rsidR="00E442CE" w:rsidRPr="00905D54">
        <w:rPr>
          <w:rFonts w:asciiTheme="minorHAnsi" w:hAnsiTheme="minorHAnsi" w:cs="Calibri"/>
          <w:szCs w:val="24"/>
        </w:rPr>
        <w:t>,</w:t>
      </w:r>
      <w:r w:rsidR="00DB2C82" w:rsidRPr="00905D54">
        <w:rPr>
          <w:rFonts w:asciiTheme="minorHAnsi" w:hAnsiTheme="minorHAnsi" w:cs="Calibri"/>
          <w:szCs w:val="24"/>
        </w:rPr>
        <w:t xml:space="preserve"> </w:t>
      </w:r>
      <w:r w:rsidR="00831FE9" w:rsidRPr="00905D54">
        <w:rPr>
          <w:rFonts w:asciiTheme="minorHAnsi" w:hAnsiTheme="minorHAnsi" w:cs="Calibri"/>
          <w:szCs w:val="24"/>
        </w:rPr>
        <w:t>that I</w:t>
      </w:r>
      <w:r w:rsidR="00E442CE" w:rsidRPr="00905D54">
        <w:rPr>
          <w:rFonts w:asciiTheme="minorHAnsi" w:hAnsiTheme="minorHAnsi" w:cs="Calibri"/>
          <w:szCs w:val="24"/>
        </w:rPr>
        <w:t xml:space="preserve">nternal </w:t>
      </w:r>
      <w:r w:rsidR="00831FE9" w:rsidRPr="00905D54">
        <w:rPr>
          <w:rFonts w:asciiTheme="minorHAnsi" w:hAnsiTheme="minorHAnsi" w:cs="Calibri"/>
          <w:szCs w:val="24"/>
        </w:rPr>
        <w:t>A</w:t>
      </w:r>
      <w:r w:rsidR="00E442CE" w:rsidRPr="00905D54">
        <w:rPr>
          <w:rFonts w:asciiTheme="minorHAnsi" w:hAnsiTheme="minorHAnsi" w:cs="Calibri"/>
          <w:szCs w:val="24"/>
        </w:rPr>
        <w:t>udit</w:t>
      </w:r>
      <w:r w:rsidR="00831FE9" w:rsidRPr="00905D54">
        <w:rPr>
          <w:rFonts w:asciiTheme="minorHAnsi" w:hAnsiTheme="minorHAnsi" w:cs="Calibri"/>
          <w:szCs w:val="24"/>
        </w:rPr>
        <w:t xml:space="preserve"> encountered </w:t>
      </w:r>
      <w:r w:rsidR="00DB2C82" w:rsidRPr="00905D54">
        <w:rPr>
          <w:rFonts w:asciiTheme="minorHAnsi" w:hAnsiTheme="minorHAnsi" w:cs="Calibri"/>
          <w:szCs w:val="24"/>
        </w:rPr>
        <w:t>are</w:t>
      </w:r>
      <w:r w:rsidR="00701A15" w:rsidRPr="00905D54">
        <w:rPr>
          <w:rFonts w:asciiTheme="minorHAnsi" w:hAnsiTheme="minorHAnsi" w:cs="Calibri"/>
          <w:szCs w:val="24"/>
        </w:rPr>
        <w:t xml:space="preserve">: </w:t>
      </w:r>
    </w:p>
    <w:p w:rsidR="00431BE3" w:rsidRPr="00905D54" w:rsidRDefault="003C5710" w:rsidP="00431BE3">
      <w:pPr>
        <w:numPr>
          <w:ilvl w:val="0"/>
          <w:numId w:val="9"/>
        </w:numPr>
        <w:tabs>
          <w:tab w:val="clear" w:pos="794"/>
          <w:tab w:val="clear" w:pos="1191"/>
          <w:tab w:val="clear" w:pos="1588"/>
          <w:tab w:val="clear" w:pos="1985"/>
        </w:tabs>
        <w:overflowPunct/>
        <w:autoSpaceDE/>
        <w:autoSpaceDN/>
        <w:snapToGrid w:val="0"/>
        <w:spacing w:after="120"/>
        <w:ind w:left="709" w:hanging="283"/>
        <w:jc w:val="both"/>
        <w:textAlignment w:val="auto"/>
        <w:rPr>
          <w:rFonts w:asciiTheme="minorHAnsi" w:hAnsiTheme="minorHAnsi" w:cs="Calibri"/>
          <w:szCs w:val="24"/>
          <w:u w:val="single"/>
        </w:rPr>
      </w:pPr>
      <w:r w:rsidRPr="00905D54">
        <w:rPr>
          <w:rFonts w:asciiTheme="minorHAnsi" w:hAnsiTheme="minorHAnsi" w:cs="Calibri"/>
          <w:szCs w:val="24"/>
          <w:u w:val="single"/>
        </w:rPr>
        <w:t>Insurances</w:t>
      </w:r>
    </w:p>
    <w:p w:rsidR="003C5710" w:rsidRPr="00905D54" w:rsidRDefault="00431BE3" w:rsidP="008D4FE8">
      <w:pPr>
        <w:tabs>
          <w:tab w:val="clear" w:pos="794"/>
          <w:tab w:val="clear" w:pos="1191"/>
          <w:tab w:val="clear" w:pos="1588"/>
          <w:tab w:val="clear" w:pos="1985"/>
        </w:tabs>
        <w:overflowPunct/>
        <w:autoSpaceDE/>
        <w:autoSpaceDN/>
        <w:snapToGrid w:val="0"/>
        <w:spacing w:after="120"/>
        <w:ind w:left="426"/>
        <w:jc w:val="both"/>
        <w:textAlignment w:val="auto"/>
        <w:rPr>
          <w:rFonts w:asciiTheme="minorHAnsi" w:hAnsiTheme="minorHAnsi" w:cs="Calibri"/>
          <w:szCs w:val="24"/>
        </w:rPr>
      </w:pPr>
      <w:r w:rsidRPr="00905D54">
        <w:rPr>
          <w:rFonts w:asciiTheme="minorHAnsi" w:hAnsiTheme="minorHAnsi" w:cs="Calibri"/>
          <w:szCs w:val="24"/>
        </w:rPr>
        <w:t>I</w:t>
      </w:r>
      <w:r w:rsidR="00E442CE" w:rsidRPr="00905D54">
        <w:rPr>
          <w:rFonts w:asciiTheme="minorHAnsi" w:hAnsiTheme="minorHAnsi" w:cs="Calibri"/>
          <w:szCs w:val="24"/>
        </w:rPr>
        <w:t xml:space="preserve">nternal </w:t>
      </w:r>
      <w:r w:rsidRPr="00905D54">
        <w:rPr>
          <w:rFonts w:asciiTheme="minorHAnsi" w:hAnsiTheme="minorHAnsi" w:cs="Calibri"/>
          <w:szCs w:val="24"/>
        </w:rPr>
        <w:t>A</w:t>
      </w:r>
      <w:r w:rsidR="00E442CE" w:rsidRPr="00905D54">
        <w:rPr>
          <w:rFonts w:asciiTheme="minorHAnsi" w:hAnsiTheme="minorHAnsi" w:cs="Calibri"/>
          <w:szCs w:val="24"/>
        </w:rPr>
        <w:t>udit</w:t>
      </w:r>
      <w:r w:rsidRPr="00905D54">
        <w:rPr>
          <w:rFonts w:asciiTheme="minorHAnsi" w:hAnsiTheme="minorHAnsi" w:cs="Calibri"/>
          <w:szCs w:val="24"/>
        </w:rPr>
        <w:t xml:space="preserve"> recommended that </w:t>
      </w:r>
      <w:r w:rsidR="008D4FE8" w:rsidRPr="00905D54">
        <w:rPr>
          <w:rFonts w:asciiTheme="minorHAnsi" w:hAnsiTheme="minorHAnsi"/>
          <w:szCs w:val="24"/>
        </w:rPr>
        <w:t xml:space="preserve">adequate insurance coverage be provided to ASP staff  and premises, including third party civil liability and fire/theft/damage of offices and assets (in case it is not covered by the hosting organization’s insurances); </w:t>
      </w:r>
    </w:p>
    <w:p w:rsidR="008B6CB0" w:rsidRPr="00905D54" w:rsidRDefault="008D4FE8" w:rsidP="008D4FE8">
      <w:pPr>
        <w:numPr>
          <w:ilvl w:val="0"/>
          <w:numId w:val="9"/>
        </w:numPr>
        <w:tabs>
          <w:tab w:val="clear" w:pos="794"/>
          <w:tab w:val="clear" w:pos="1191"/>
          <w:tab w:val="clear" w:pos="1588"/>
          <w:tab w:val="clear" w:pos="1985"/>
        </w:tabs>
        <w:overflowPunct/>
        <w:autoSpaceDE/>
        <w:autoSpaceDN/>
        <w:snapToGrid w:val="0"/>
        <w:spacing w:after="120"/>
        <w:ind w:left="709" w:hanging="283"/>
        <w:jc w:val="both"/>
        <w:textAlignment w:val="auto"/>
        <w:rPr>
          <w:rFonts w:asciiTheme="minorHAnsi" w:hAnsiTheme="minorHAnsi" w:cs="Calibri"/>
          <w:szCs w:val="24"/>
          <w:u w:val="single"/>
        </w:rPr>
      </w:pPr>
      <w:r w:rsidRPr="00905D54">
        <w:rPr>
          <w:rFonts w:asciiTheme="minorHAnsi" w:hAnsiTheme="minorHAnsi" w:cs="Calibri"/>
          <w:szCs w:val="24"/>
          <w:u w:val="single"/>
        </w:rPr>
        <w:lastRenderedPageBreak/>
        <w:t>Banking arrangements</w:t>
      </w:r>
      <w:r w:rsidR="008B6CB0" w:rsidRPr="00905D54">
        <w:rPr>
          <w:rFonts w:asciiTheme="minorHAnsi" w:hAnsiTheme="minorHAnsi" w:cs="Calibri"/>
          <w:szCs w:val="24"/>
          <w:u w:val="single"/>
        </w:rPr>
        <w:t xml:space="preserve"> </w:t>
      </w:r>
    </w:p>
    <w:p w:rsidR="00420225" w:rsidRPr="00905D54" w:rsidRDefault="008D4FE8" w:rsidP="008D4FE8">
      <w:pPr>
        <w:tabs>
          <w:tab w:val="clear" w:pos="794"/>
          <w:tab w:val="clear" w:pos="1191"/>
          <w:tab w:val="clear" w:pos="1588"/>
          <w:tab w:val="clear" w:pos="1985"/>
        </w:tabs>
        <w:overflowPunct/>
        <w:autoSpaceDE/>
        <w:autoSpaceDN/>
        <w:snapToGrid w:val="0"/>
        <w:spacing w:after="120"/>
        <w:ind w:left="426"/>
        <w:jc w:val="both"/>
        <w:textAlignment w:val="auto"/>
        <w:rPr>
          <w:rFonts w:asciiTheme="minorHAnsi" w:hAnsiTheme="minorHAnsi" w:cs="Calibri"/>
          <w:szCs w:val="24"/>
        </w:rPr>
      </w:pPr>
      <w:r w:rsidRPr="00905D54">
        <w:rPr>
          <w:rFonts w:asciiTheme="minorHAnsi" w:hAnsiTheme="minorHAnsi" w:cs="Calibri"/>
          <w:szCs w:val="24"/>
        </w:rPr>
        <w:t>I</w:t>
      </w:r>
      <w:r w:rsidR="00E442CE" w:rsidRPr="00905D54">
        <w:rPr>
          <w:rFonts w:asciiTheme="minorHAnsi" w:hAnsiTheme="minorHAnsi" w:cs="Calibri"/>
          <w:szCs w:val="24"/>
        </w:rPr>
        <w:t xml:space="preserve">nternal </w:t>
      </w:r>
      <w:r w:rsidRPr="00905D54">
        <w:rPr>
          <w:rFonts w:asciiTheme="minorHAnsi" w:hAnsiTheme="minorHAnsi" w:cs="Calibri"/>
          <w:szCs w:val="24"/>
        </w:rPr>
        <w:t>A</w:t>
      </w:r>
      <w:r w:rsidR="00E442CE" w:rsidRPr="00905D54">
        <w:rPr>
          <w:rFonts w:asciiTheme="minorHAnsi" w:hAnsiTheme="minorHAnsi" w:cs="Calibri"/>
          <w:szCs w:val="24"/>
        </w:rPr>
        <w:t>udit</w:t>
      </w:r>
      <w:r w:rsidRPr="00905D54">
        <w:rPr>
          <w:rFonts w:asciiTheme="minorHAnsi" w:hAnsiTheme="minorHAnsi" w:cs="Calibri"/>
          <w:szCs w:val="24"/>
        </w:rPr>
        <w:t xml:space="preserve"> recommended that </w:t>
      </w:r>
      <w:r w:rsidRPr="00905D54">
        <w:rPr>
          <w:rFonts w:asciiTheme="minorHAnsi" w:hAnsiTheme="minorHAnsi"/>
          <w:szCs w:val="24"/>
        </w:rPr>
        <w:t>Professional staff from the ASP RO/BKK and/or the ASP AO/JKT be included in the lists of Bank signatories for any cash payment instruction above 5’000 CHF (in order to comply with Article 16.1.2) of ITU Financial Regulations and Rules)</w:t>
      </w:r>
      <w:r w:rsidR="00420225" w:rsidRPr="00905D54">
        <w:rPr>
          <w:rFonts w:asciiTheme="minorHAnsi" w:hAnsiTheme="minorHAnsi" w:cs="Calibri"/>
          <w:szCs w:val="24"/>
        </w:rPr>
        <w:t>;</w:t>
      </w:r>
    </w:p>
    <w:p w:rsidR="00420225" w:rsidRPr="00905D54" w:rsidRDefault="00CC4930" w:rsidP="00900710">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szCs w:val="24"/>
        </w:rPr>
      </w:pPr>
      <w:r w:rsidRPr="00905D54">
        <w:rPr>
          <w:rFonts w:asciiTheme="minorHAnsi" w:hAnsiTheme="minorHAnsi"/>
          <w:szCs w:val="24"/>
        </w:rPr>
        <w:t xml:space="preserve">BDT and </w:t>
      </w:r>
      <w:r w:rsidR="006442FE" w:rsidRPr="00905D54">
        <w:rPr>
          <w:rFonts w:asciiTheme="minorHAnsi" w:hAnsiTheme="minorHAnsi" w:cs="Calibri"/>
          <w:szCs w:val="24"/>
          <w:lang w:val="en-CA"/>
        </w:rPr>
        <w:t>Financial Resources Management Department (</w:t>
      </w:r>
      <w:r w:rsidRPr="00905D54">
        <w:rPr>
          <w:rFonts w:asciiTheme="minorHAnsi" w:hAnsiTheme="minorHAnsi"/>
          <w:szCs w:val="24"/>
        </w:rPr>
        <w:t>FRMD</w:t>
      </w:r>
      <w:r w:rsidR="006442FE" w:rsidRPr="00905D54">
        <w:rPr>
          <w:rFonts w:asciiTheme="minorHAnsi" w:hAnsiTheme="minorHAnsi"/>
          <w:szCs w:val="24"/>
        </w:rPr>
        <w:t>)</w:t>
      </w:r>
      <w:r w:rsidRPr="00905D54">
        <w:rPr>
          <w:rFonts w:asciiTheme="minorHAnsi" w:hAnsiTheme="minorHAnsi"/>
          <w:szCs w:val="24"/>
        </w:rPr>
        <w:t xml:space="preserve"> Management remedied </w:t>
      </w:r>
      <w:r w:rsidR="008D4FE8" w:rsidRPr="00905D54">
        <w:rPr>
          <w:rFonts w:asciiTheme="minorHAnsi" w:hAnsiTheme="minorHAnsi"/>
          <w:szCs w:val="24"/>
        </w:rPr>
        <w:t>these issues</w:t>
      </w:r>
      <w:r w:rsidR="00A54EA4" w:rsidRPr="00905D54">
        <w:rPr>
          <w:rFonts w:asciiTheme="minorHAnsi" w:hAnsiTheme="minorHAnsi"/>
          <w:szCs w:val="24"/>
        </w:rPr>
        <w:t xml:space="preserve"> by subscribing the necessary insurance policies and </w:t>
      </w:r>
      <w:r w:rsidRPr="00905D54">
        <w:rPr>
          <w:rFonts w:asciiTheme="minorHAnsi" w:hAnsiTheme="minorHAnsi"/>
          <w:szCs w:val="24"/>
        </w:rPr>
        <w:t>reviewing banking arrangements for all regional and area offices</w:t>
      </w:r>
      <w:r w:rsidR="008D4FE8" w:rsidRPr="00905D54">
        <w:rPr>
          <w:rFonts w:asciiTheme="minorHAnsi" w:hAnsiTheme="minorHAnsi"/>
          <w:szCs w:val="24"/>
        </w:rPr>
        <w:t xml:space="preserve">. </w:t>
      </w:r>
    </w:p>
    <w:p w:rsidR="007E542D" w:rsidRPr="00905D54" w:rsidRDefault="007E542D" w:rsidP="00141758">
      <w:pPr>
        <w:pStyle w:val="Heading1"/>
        <w:keepNext w:val="0"/>
        <w:keepLines w:val="0"/>
        <w:numPr>
          <w:ilvl w:val="0"/>
          <w:numId w:val="13"/>
        </w:numPr>
        <w:tabs>
          <w:tab w:val="clear" w:pos="794"/>
          <w:tab w:val="clear" w:pos="1191"/>
          <w:tab w:val="clear" w:pos="1588"/>
          <w:tab w:val="clear" w:pos="1985"/>
        </w:tabs>
        <w:snapToGrid w:val="0"/>
        <w:spacing w:before="240" w:after="120"/>
        <w:ind w:left="0" w:firstLine="0"/>
        <w:jc w:val="both"/>
        <w:rPr>
          <w:rFonts w:asciiTheme="minorHAnsi" w:hAnsiTheme="minorHAnsi" w:cs="Calibri"/>
          <w:color w:val="auto"/>
          <w:sz w:val="24"/>
          <w:szCs w:val="24"/>
        </w:rPr>
      </w:pPr>
      <w:r w:rsidRPr="00905D54">
        <w:rPr>
          <w:rFonts w:asciiTheme="minorHAnsi" w:hAnsiTheme="minorHAnsi" w:cs="Calibri"/>
          <w:color w:val="auto"/>
          <w:sz w:val="24"/>
          <w:szCs w:val="24"/>
        </w:rPr>
        <w:t xml:space="preserve">Audit of the </w:t>
      </w:r>
      <w:r w:rsidR="00A54EA4" w:rsidRPr="00905D54">
        <w:rPr>
          <w:rFonts w:asciiTheme="minorHAnsi" w:hAnsiTheme="minorHAnsi" w:cs="Calibri"/>
          <w:color w:val="auto"/>
          <w:sz w:val="24"/>
          <w:szCs w:val="24"/>
        </w:rPr>
        <w:t>Commonwealth of Independent States (CIS/AO)</w:t>
      </w:r>
      <w:r w:rsidRPr="00905D54">
        <w:rPr>
          <w:rFonts w:asciiTheme="minorHAnsi" w:hAnsiTheme="minorHAnsi" w:cs="Calibri"/>
          <w:color w:val="auto"/>
          <w:sz w:val="24"/>
          <w:szCs w:val="24"/>
        </w:rPr>
        <w:t xml:space="preserve"> Area Office</w:t>
      </w:r>
    </w:p>
    <w:p w:rsidR="007E542D" w:rsidRPr="00905D54" w:rsidRDefault="007E542D" w:rsidP="00E07310">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 xml:space="preserve">The </w:t>
      </w:r>
      <w:r w:rsidRPr="00905D54">
        <w:rPr>
          <w:rFonts w:asciiTheme="minorHAnsi" w:hAnsiTheme="minorHAnsi" w:cs="Calibri"/>
          <w:szCs w:val="24"/>
          <w:u w:val="single"/>
        </w:rPr>
        <w:t>scope</w:t>
      </w:r>
      <w:r w:rsidRPr="00905D54">
        <w:rPr>
          <w:rFonts w:asciiTheme="minorHAnsi" w:hAnsiTheme="minorHAnsi" w:cs="Calibri"/>
          <w:szCs w:val="24"/>
        </w:rPr>
        <w:t xml:space="preserve"> of the audit </w:t>
      </w:r>
      <w:r w:rsidR="00EA5225" w:rsidRPr="00905D54">
        <w:rPr>
          <w:rFonts w:asciiTheme="minorHAnsi" w:hAnsiTheme="minorHAnsi" w:cs="Calibri"/>
          <w:szCs w:val="24"/>
        </w:rPr>
        <w:t>encompasse</w:t>
      </w:r>
      <w:r w:rsidR="00E07310" w:rsidRPr="00905D54">
        <w:rPr>
          <w:rFonts w:asciiTheme="minorHAnsi" w:hAnsiTheme="minorHAnsi" w:cs="Calibri"/>
          <w:szCs w:val="24"/>
        </w:rPr>
        <w:t>d</w:t>
      </w:r>
      <w:r w:rsidR="00EA5225" w:rsidRPr="00905D54">
        <w:rPr>
          <w:rFonts w:asciiTheme="minorHAnsi" w:hAnsiTheme="minorHAnsi" w:cs="Calibri"/>
          <w:szCs w:val="24"/>
        </w:rPr>
        <w:t xml:space="preserve"> the same areas as those </w:t>
      </w:r>
      <w:r w:rsidR="00F73BE9" w:rsidRPr="00905D54">
        <w:rPr>
          <w:rFonts w:asciiTheme="minorHAnsi" w:hAnsiTheme="minorHAnsi" w:cs="Calibri"/>
          <w:szCs w:val="24"/>
        </w:rPr>
        <w:t xml:space="preserve">defined </w:t>
      </w:r>
      <w:r w:rsidR="00A54EA4" w:rsidRPr="00905D54">
        <w:rPr>
          <w:rFonts w:asciiTheme="minorHAnsi" w:hAnsiTheme="minorHAnsi" w:cs="Calibri"/>
          <w:szCs w:val="24"/>
        </w:rPr>
        <w:t>for the audit of the ASP</w:t>
      </w:r>
      <w:r w:rsidR="00EA5225" w:rsidRPr="00905D54">
        <w:rPr>
          <w:rFonts w:asciiTheme="minorHAnsi" w:hAnsiTheme="minorHAnsi" w:cs="Calibri"/>
          <w:szCs w:val="24"/>
        </w:rPr>
        <w:t xml:space="preserve"> Regional </w:t>
      </w:r>
      <w:r w:rsidR="00A54EA4" w:rsidRPr="00905D54">
        <w:rPr>
          <w:rFonts w:asciiTheme="minorHAnsi" w:hAnsiTheme="minorHAnsi" w:cs="Calibri"/>
          <w:szCs w:val="24"/>
        </w:rPr>
        <w:t xml:space="preserve">and Area </w:t>
      </w:r>
      <w:r w:rsidR="00EA5225" w:rsidRPr="00905D54">
        <w:rPr>
          <w:rFonts w:asciiTheme="minorHAnsi" w:hAnsiTheme="minorHAnsi" w:cs="Calibri"/>
          <w:szCs w:val="24"/>
        </w:rPr>
        <w:t xml:space="preserve">Office. </w:t>
      </w:r>
      <w:r w:rsidRPr="00905D54">
        <w:rPr>
          <w:rFonts w:asciiTheme="minorHAnsi" w:hAnsiTheme="minorHAnsi" w:cs="Calibri"/>
          <w:szCs w:val="24"/>
        </w:rPr>
        <w:t>Internal Audit conducted a fie</w:t>
      </w:r>
      <w:r w:rsidR="00BC6DA7" w:rsidRPr="00905D54">
        <w:rPr>
          <w:rFonts w:asciiTheme="minorHAnsi" w:hAnsiTheme="minorHAnsi" w:cs="Calibri"/>
          <w:szCs w:val="24"/>
        </w:rPr>
        <w:t xml:space="preserve">ld visit to the Area office </w:t>
      </w:r>
      <w:r w:rsidRPr="00905D54">
        <w:rPr>
          <w:rFonts w:asciiTheme="minorHAnsi" w:hAnsiTheme="minorHAnsi" w:cs="Calibri"/>
          <w:szCs w:val="24"/>
        </w:rPr>
        <w:t xml:space="preserve">in </w:t>
      </w:r>
      <w:r w:rsidR="00A54EA4" w:rsidRPr="00905D54">
        <w:rPr>
          <w:rFonts w:asciiTheme="minorHAnsi" w:hAnsiTheme="minorHAnsi" w:cs="Calibri"/>
          <w:szCs w:val="24"/>
        </w:rPr>
        <w:t xml:space="preserve">Moscow </w:t>
      </w:r>
      <w:r w:rsidR="00831FE9" w:rsidRPr="00905D54">
        <w:rPr>
          <w:rFonts w:asciiTheme="minorHAnsi" w:hAnsiTheme="minorHAnsi" w:cs="Calibri"/>
          <w:szCs w:val="24"/>
        </w:rPr>
        <w:t>from</w:t>
      </w:r>
      <w:r w:rsidR="0008486A" w:rsidRPr="00905D54">
        <w:rPr>
          <w:rFonts w:asciiTheme="minorHAnsi" w:hAnsiTheme="minorHAnsi" w:cs="Calibri"/>
          <w:szCs w:val="24"/>
        </w:rPr>
        <w:t xml:space="preserve"> </w:t>
      </w:r>
      <w:r w:rsidR="00A54EA4" w:rsidRPr="00905D54">
        <w:rPr>
          <w:rFonts w:asciiTheme="minorHAnsi" w:hAnsiTheme="minorHAnsi" w:cs="Calibri"/>
          <w:szCs w:val="24"/>
        </w:rPr>
        <w:t xml:space="preserve">27 </w:t>
      </w:r>
      <w:r w:rsidR="0008486A" w:rsidRPr="00905D54">
        <w:rPr>
          <w:rFonts w:asciiTheme="minorHAnsi" w:hAnsiTheme="minorHAnsi" w:cs="Calibri"/>
          <w:szCs w:val="24"/>
        </w:rPr>
        <w:t xml:space="preserve">to </w:t>
      </w:r>
      <w:r w:rsidR="00A54EA4" w:rsidRPr="00905D54">
        <w:rPr>
          <w:rFonts w:asciiTheme="minorHAnsi" w:hAnsiTheme="minorHAnsi" w:cs="Calibri"/>
          <w:szCs w:val="24"/>
        </w:rPr>
        <w:t>29 May 2013.</w:t>
      </w:r>
    </w:p>
    <w:p w:rsidR="00A231E7" w:rsidRPr="00905D54" w:rsidRDefault="007E542D" w:rsidP="00F06E25">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 xml:space="preserve">Internal Audit </w:t>
      </w:r>
      <w:r w:rsidR="0005389A" w:rsidRPr="00905D54">
        <w:rPr>
          <w:rFonts w:asciiTheme="minorHAnsi" w:hAnsiTheme="minorHAnsi" w:cs="Calibri"/>
          <w:szCs w:val="24"/>
        </w:rPr>
        <w:t>found that</w:t>
      </w:r>
      <w:r w:rsidR="00C81393" w:rsidRPr="00905D54">
        <w:rPr>
          <w:rFonts w:asciiTheme="minorHAnsi" w:hAnsiTheme="minorHAnsi" w:cs="Calibri"/>
          <w:szCs w:val="24"/>
        </w:rPr>
        <w:t xml:space="preserve"> the presence of CIS/AO is supported by a sound </w:t>
      </w:r>
      <w:r w:rsidR="0005389A" w:rsidRPr="00905D54">
        <w:rPr>
          <w:rFonts w:asciiTheme="minorHAnsi" w:hAnsiTheme="minorHAnsi" w:cs="Calibri"/>
          <w:szCs w:val="24"/>
        </w:rPr>
        <w:t xml:space="preserve">host country agreement </w:t>
      </w:r>
      <w:r w:rsidR="00FC7C7E" w:rsidRPr="00905D54">
        <w:rPr>
          <w:rFonts w:asciiTheme="minorHAnsi" w:hAnsiTheme="minorHAnsi" w:cs="Calibri"/>
          <w:szCs w:val="24"/>
        </w:rPr>
        <w:t>and that many processes function adequately</w:t>
      </w:r>
      <w:r w:rsidR="0005389A" w:rsidRPr="00905D54">
        <w:rPr>
          <w:rFonts w:asciiTheme="minorHAnsi" w:hAnsiTheme="minorHAnsi" w:cs="Calibri"/>
          <w:szCs w:val="24"/>
        </w:rPr>
        <w:t>. The</w:t>
      </w:r>
      <w:r w:rsidR="00A231E7" w:rsidRPr="00905D54">
        <w:rPr>
          <w:rFonts w:asciiTheme="minorHAnsi" w:hAnsiTheme="minorHAnsi" w:cs="Calibri"/>
          <w:szCs w:val="24"/>
        </w:rPr>
        <w:t xml:space="preserve"> audit revealed</w:t>
      </w:r>
      <w:r w:rsidR="00905D54">
        <w:rPr>
          <w:rFonts w:asciiTheme="minorHAnsi" w:hAnsiTheme="minorHAnsi" w:cs="Calibri"/>
          <w:szCs w:val="24"/>
        </w:rPr>
        <w:t>,</w:t>
      </w:r>
      <w:r w:rsidR="00A231E7" w:rsidRPr="00905D54">
        <w:rPr>
          <w:rFonts w:asciiTheme="minorHAnsi" w:hAnsiTheme="minorHAnsi" w:cs="Calibri"/>
          <w:szCs w:val="24"/>
        </w:rPr>
        <w:t xml:space="preserve"> however</w:t>
      </w:r>
      <w:r w:rsidR="00905D54">
        <w:rPr>
          <w:rFonts w:asciiTheme="minorHAnsi" w:hAnsiTheme="minorHAnsi" w:cs="Calibri"/>
          <w:szCs w:val="24"/>
        </w:rPr>
        <w:t>,</w:t>
      </w:r>
      <w:r w:rsidR="00A231E7" w:rsidRPr="00905D54">
        <w:rPr>
          <w:rFonts w:asciiTheme="minorHAnsi" w:hAnsiTheme="minorHAnsi" w:cs="Calibri"/>
          <w:szCs w:val="24"/>
        </w:rPr>
        <w:t xml:space="preserve"> i</w:t>
      </w:r>
      <w:r w:rsidR="0005389A" w:rsidRPr="00905D54">
        <w:rPr>
          <w:rFonts w:asciiTheme="minorHAnsi" w:hAnsiTheme="minorHAnsi" w:cs="Calibri"/>
          <w:szCs w:val="24"/>
        </w:rPr>
        <w:t>ssues related to insurance and banking</w:t>
      </w:r>
      <w:r w:rsidR="00F06E25" w:rsidRPr="00905D54">
        <w:rPr>
          <w:rFonts w:asciiTheme="minorHAnsi" w:hAnsiTheme="minorHAnsi" w:cs="Calibri"/>
          <w:szCs w:val="24"/>
        </w:rPr>
        <w:t>/cash</w:t>
      </w:r>
      <w:r w:rsidR="0005389A" w:rsidRPr="00905D54">
        <w:rPr>
          <w:rFonts w:asciiTheme="minorHAnsi" w:hAnsiTheme="minorHAnsi" w:cs="Calibri"/>
          <w:szCs w:val="24"/>
        </w:rPr>
        <w:t xml:space="preserve"> arrangements</w:t>
      </w:r>
      <w:r w:rsidR="00F06E25" w:rsidRPr="00905D54">
        <w:rPr>
          <w:rFonts w:asciiTheme="minorHAnsi" w:hAnsiTheme="minorHAnsi" w:cs="Calibri"/>
          <w:szCs w:val="24"/>
        </w:rPr>
        <w:t xml:space="preserve">. </w:t>
      </w:r>
      <w:r w:rsidR="00C04506" w:rsidRPr="00905D54">
        <w:rPr>
          <w:rFonts w:asciiTheme="minorHAnsi" w:hAnsiTheme="minorHAnsi" w:cs="Calibri"/>
          <w:szCs w:val="24"/>
        </w:rPr>
        <w:t>With respect to</w:t>
      </w:r>
      <w:r w:rsidR="00FC7C7E" w:rsidRPr="00905D54">
        <w:rPr>
          <w:rFonts w:asciiTheme="minorHAnsi" w:hAnsiTheme="minorHAnsi" w:cs="Calibri"/>
          <w:szCs w:val="24"/>
        </w:rPr>
        <w:t xml:space="preserve"> project management</w:t>
      </w:r>
      <w:r w:rsidR="00C04506" w:rsidRPr="00905D54">
        <w:rPr>
          <w:rFonts w:asciiTheme="minorHAnsi" w:hAnsiTheme="minorHAnsi" w:cs="Calibri"/>
          <w:szCs w:val="24"/>
        </w:rPr>
        <w:t>,</w:t>
      </w:r>
      <w:r w:rsidR="00FC7C7E" w:rsidRPr="00905D54">
        <w:rPr>
          <w:rFonts w:asciiTheme="minorHAnsi" w:hAnsiTheme="minorHAnsi" w:cs="Calibri"/>
          <w:szCs w:val="24"/>
        </w:rPr>
        <w:t xml:space="preserve"> the recommendation for </w:t>
      </w:r>
      <w:r w:rsidR="00FC7C7E" w:rsidRPr="00905D54">
        <w:rPr>
          <w:rFonts w:asciiTheme="minorHAnsi" w:hAnsiTheme="minorHAnsi"/>
          <w:color w:val="000000"/>
          <w:szCs w:val="24"/>
        </w:rPr>
        <w:t>inviting the participants of events/activities organized by the Area Office to complete Customer Satisfactions Surveys (CSS)</w:t>
      </w:r>
      <w:r w:rsidR="00C04506" w:rsidRPr="00905D54">
        <w:rPr>
          <w:rFonts w:asciiTheme="minorHAnsi" w:hAnsiTheme="minorHAnsi"/>
          <w:color w:val="000000"/>
          <w:szCs w:val="24"/>
        </w:rPr>
        <w:t xml:space="preserve"> was</w:t>
      </w:r>
      <w:r w:rsidR="00FC7C7E" w:rsidRPr="00905D54">
        <w:rPr>
          <w:rFonts w:asciiTheme="minorHAnsi" w:hAnsiTheme="minorHAnsi"/>
          <w:color w:val="000000"/>
          <w:szCs w:val="24"/>
        </w:rPr>
        <w:t xml:space="preserve"> well received by the manager concerned.</w:t>
      </w:r>
    </w:p>
    <w:p w:rsidR="007E542D" w:rsidRPr="00905D54" w:rsidRDefault="00A231E7" w:rsidP="00900710">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cs="Calibri"/>
          <w:szCs w:val="24"/>
        </w:rPr>
      </w:pPr>
      <w:r w:rsidRPr="00905D54">
        <w:rPr>
          <w:rFonts w:asciiTheme="minorHAnsi" w:hAnsiTheme="minorHAnsi"/>
          <w:szCs w:val="24"/>
        </w:rPr>
        <w:t>BDT and FRMD Management remedied these issues by subscribing the necessary insurance policies and reviewing banking</w:t>
      </w:r>
      <w:r w:rsidR="00F06E25" w:rsidRPr="00905D54">
        <w:rPr>
          <w:rFonts w:asciiTheme="minorHAnsi" w:hAnsiTheme="minorHAnsi"/>
          <w:szCs w:val="24"/>
        </w:rPr>
        <w:t>/cash</w:t>
      </w:r>
      <w:r w:rsidRPr="00905D54">
        <w:rPr>
          <w:rFonts w:asciiTheme="minorHAnsi" w:hAnsiTheme="minorHAnsi"/>
          <w:szCs w:val="24"/>
        </w:rPr>
        <w:t xml:space="preserve"> arrangements for all regional and area offices.</w:t>
      </w:r>
    </w:p>
    <w:p w:rsidR="00831FE9" w:rsidRPr="00905D54" w:rsidRDefault="00831FE9" w:rsidP="00141758">
      <w:pPr>
        <w:pStyle w:val="Heading1"/>
        <w:keepNext w:val="0"/>
        <w:keepLines w:val="0"/>
        <w:numPr>
          <w:ilvl w:val="0"/>
          <w:numId w:val="13"/>
        </w:numPr>
        <w:tabs>
          <w:tab w:val="clear" w:pos="794"/>
          <w:tab w:val="clear" w:pos="1191"/>
          <w:tab w:val="clear" w:pos="1588"/>
          <w:tab w:val="clear" w:pos="1985"/>
        </w:tabs>
        <w:snapToGrid w:val="0"/>
        <w:spacing w:before="240" w:after="120"/>
        <w:ind w:left="0" w:firstLine="0"/>
        <w:jc w:val="both"/>
        <w:rPr>
          <w:rFonts w:asciiTheme="minorHAnsi" w:hAnsiTheme="minorHAnsi" w:cs="Calibri"/>
          <w:color w:val="auto"/>
          <w:sz w:val="24"/>
          <w:szCs w:val="24"/>
        </w:rPr>
      </w:pPr>
      <w:r w:rsidRPr="00905D54">
        <w:rPr>
          <w:rFonts w:asciiTheme="minorHAnsi" w:hAnsiTheme="minorHAnsi" w:cs="Calibri"/>
          <w:color w:val="auto"/>
          <w:sz w:val="24"/>
          <w:szCs w:val="24"/>
        </w:rPr>
        <w:t xml:space="preserve">Audit of the Americas Regional and Area Offices </w:t>
      </w:r>
    </w:p>
    <w:p w:rsidR="00C04506" w:rsidRPr="00905D54" w:rsidRDefault="00831FE9" w:rsidP="00E07310">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 xml:space="preserve">The </w:t>
      </w:r>
      <w:r w:rsidRPr="00905D54">
        <w:rPr>
          <w:rFonts w:asciiTheme="minorHAnsi" w:hAnsiTheme="minorHAnsi" w:cs="Calibri"/>
          <w:szCs w:val="24"/>
          <w:u w:val="single"/>
        </w:rPr>
        <w:t>scope</w:t>
      </w:r>
      <w:r w:rsidRPr="00905D54">
        <w:rPr>
          <w:rFonts w:asciiTheme="minorHAnsi" w:hAnsiTheme="minorHAnsi" w:cs="Calibri"/>
          <w:szCs w:val="24"/>
        </w:rPr>
        <w:t xml:space="preserve"> of the audit encompasse</w:t>
      </w:r>
      <w:r w:rsidR="00E07310" w:rsidRPr="00905D54">
        <w:rPr>
          <w:rFonts w:asciiTheme="minorHAnsi" w:hAnsiTheme="minorHAnsi" w:cs="Calibri"/>
          <w:szCs w:val="24"/>
        </w:rPr>
        <w:t>d</w:t>
      </w:r>
      <w:r w:rsidRPr="00905D54">
        <w:rPr>
          <w:rFonts w:asciiTheme="minorHAnsi" w:hAnsiTheme="minorHAnsi" w:cs="Calibri"/>
          <w:szCs w:val="24"/>
        </w:rPr>
        <w:t xml:space="preserve"> the same areas as those defined for the audit of the ASP </w:t>
      </w:r>
      <w:r w:rsidR="00C04506" w:rsidRPr="00905D54">
        <w:rPr>
          <w:rFonts w:asciiTheme="minorHAnsi" w:hAnsiTheme="minorHAnsi" w:cs="Calibri"/>
          <w:szCs w:val="24"/>
        </w:rPr>
        <w:t>O</w:t>
      </w:r>
      <w:r w:rsidRPr="00905D54">
        <w:rPr>
          <w:rFonts w:asciiTheme="minorHAnsi" w:hAnsiTheme="minorHAnsi" w:cs="Calibri"/>
          <w:szCs w:val="24"/>
        </w:rPr>
        <w:t>ffice</w:t>
      </w:r>
      <w:r w:rsidR="00C04506" w:rsidRPr="00905D54">
        <w:rPr>
          <w:rFonts w:asciiTheme="minorHAnsi" w:hAnsiTheme="minorHAnsi" w:cs="Calibri"/>
          <w:szCs w:val="24"/>
        </w:rPr>
        <w:t>s. Internal Audit conducted</w:t>
      </w:r>
      <w:r w:rsidRPr="00905D54">
        <w:rPr>
          <w:rFonts w:asciiTheme="minorHAnsi" w:hAnsiTheme="minorHAnsi" w:cs="Calibri"/>
          <w:szCs w:val="24"/>
        </w:rPr>
        <w:t xml:space="preserve"> field visit</w:t>
      </w:r>
      <w:r w:rsidR="00C04506" w:rsidRPr="00905D54">
        <w:rPr>
          <w:rFonts w:asciiTheme="minorHAnsi" w:hAnsiTheme="minorHAnsi" w:cs="Calibri"/>
          <w:szCs w:val="24"/>
        </w:rPr>
        <w:t xml:space="preserve">s to the AMS Offices as follows: </w:t>
      </w:r>
    </w:p>
    <w:p w:rsidR="00C04506" w:rsidRPr="00905D54" w:rsidRDefault="00C04506" w:rsidP="00E07310">
      <w:pPr>
        <w:pStyle w:val="ListParagraph"/>
        <w:numPr>
          <w:ilvl w:val="0"/>
          <w:numId w:val="20"/>
        </w:numPr>
        <w:tabs>
          <w:tab w:val="clear" w:pos="794"/>
          <w:tab w:val="clear" w:pos="1191"/>
          <w:tab w:val="clear" w:pos="1588"/>
          <w:tab w:val="clear" w:pos="1985"/>
        </w:tabs>
        <w:overflowPunct/>
        <w:autoSpaceDE/>
        <w:autoSpaceDN/>
        <w:adjustRightInd/>
        <w:snapToGrid w:val="0"/>
        <w:spacing w:before="0"/>
        <w:contextualSpacing w:val="0"/>
        <w:jc w:val="both"/>
        <w:textAlignment w:val="auto"/>
        <w:rPr>
          <w:rFonts w:asciiTheme="minorHAnsi" w:hAnsiTheme="minorHAnsi"/>
        </w:rPr>
      </w:pPr>
      <w:r w:rsidRPr="00905D54">
        <w:rPr>
          <w:rFonts w:asciiTheme="minorHAnsi" w:hAnsiTheme="minorHAnsi"/>
        </w:rPr>
        <w:t>AMS/RO/BSB (Brasilia, Brazil), from 3 to 6 September 2013;</w:t>
      </w:r>
    </w:p>
    <w:p w:rsidR="00C04506" w:rsidRPr="00905D54" w:rsidRDefault="00C04506" w:rsidP="00E07310">
      <w:pPr>
        <w:pStyle w:val="ListParagraph"/>
        <w:numPr>
          <w:ilvl w:val="0"/>
          <w:numId w:val="20"/>
        </w:numPr>
        <w:tabs>
          <w:tab w:val="clear" w:pos="794"/>
          <w:tab w:val="clear" w:pos="1191"/>
          <w:tab w:val="clear" w:pos="1588"/>
          <w:tab w:val="clear" w:pos="1985"/>
        </w:tabs>
        <w:overflowPunct/>
        <w:autoSpaceDE/>
        <w:autoSpaceDN/>
        <w:adjustRightInd/>
        <w:snapToGrid w:val="0"/>
        <w:spacing w:before="60"/>
        <w:contextualSpacing w:val="0"/>
        <w:jc w:val="both"/>
        <w:textAlignment w:val="auto"/>
        <w:rPr>
          <w:rFonts w:asciiTheme="minorHAnsi" w:hAnsiTheme="minorHAnsi"/>
        </w:rPr>
      </w:pPr>
      <w:r w:rsidRPr="00905D54">
        <w:rPr>
          <w:rFonts w:asciiTheme="minorHAnsi" w:hAnsiTheme="minorHAnsi"/>
        </w:rPr>
        <w:t>AMS/AO/STL (Santiago de Chile, Chile), from 9 to 11 September 2013;</w:t>
      </w:r>
    </w:p>
    <w:p w:rsidR="00C04506" w:rsidRPr="00905D54" w:rsidRDefault="00C04506" w:rsidP="00E07310">
      <w:pPr>
        <w:pStyle w:val="ListParagraph"/>
        <w:numPr>
          <w:ilvl w:val="0"/>
          <w:numId w:val="20"/>
        </w:numPr>
        <w:tabs>
          <w:tab w:val="clear" w:pos="794"/>
          <w:tab w:val="clear" w:pos="1191"/>
          <w:tab w:val="clear" w:pos="1588"/>
          <w:tab w:val="clear" w:pos="1985"/>
        </w:tabs>
        <w:overflowPunct/>
        <w:autoSpaceDE/>
        <w:autoSpaceDN/>
        <w:adjustRightInd/>
        <w:snapToGrid w:val="0"/>
        <w:spacing w:before="60"/>
        <w:contextualSpacing w:val="0"/>
        <w:jc w:val="both"/>
        <w:textAlignment w:val="auto"/>
        <w:rPr>
          <w:rFonts w:asciiTheme="minorHAnsi" w:hAnsiTheme="minorHAnsi"/>
        </w:rPr>
      </w:pPr>
      <w:r w:rsidRPr="00905D54">
        <w:rPr>
          <w:rFonts w:asciiTheme="minorHAnsi" w:hAnsiTheme="minorHAnsi"/>
        </w:rPr>
        <w:t>AMS/AO/TGU (Tegucigalpa, Honduras), from 2 to 4 October 2013;</w:t>
      </w:r>
    </w:p>
    <w:p w:rsidR="00C04506" w:rsidRPr="00905D54" w:rsidRDefault="00C04506" w:rsidP="00E07310">
      <w:pPr>
        <w:pStyle w:val="ListParagraph"/>
        <w:numPr>
          <w:ilvl w:val="0"/>
          <w:numId w:val="20"/>
        </w:numPr>
        <w:tabs>
          <w:tab w:val="clear" w:pos="794"/>
          <w:tab w:val="clear" w:pos="1191"/>
          <w:tab w:val="clear" w:pos="1588"/>
          <w:tab w:val="clear" w:pos="1985"/>
        </w:tabs>
        <w:overflowPunct/>
        <w:autoSpaceDE/>
        <w:autoSpaceDN/>
        <w:adjustRightInd/>
        <w:snapToGrid w:val="0"/>
        <w:spacing w:before="60"/>
        <w:contextualSpacing w:val="0"/>
        <w:jc w:val="both"/>
        <w:textAlignment w:val="auto"/>
        <w:rPr>
          <w:rFonts w:asciiTheme="minorHAnsi" w:hAnsiTheme="minorHAnsi" w:cs="Calibri"/>
          <w:szCs w:val="24"/>
        </w:rPr>
      </w:pPr>
      <w:r w:rsidRPr="00905D54">
        <w:rPr>
          <w:rFonts w:asciiTheme="minorHAnsi" w:hAnsiTheme="minorHAnsi"/>
        </w:rPr>
        <w:t>AMS/AO/BGI (Bridgetown, Barbados), from 7 to 9 October 2013.</w:t>
      </w:r>
      <w:r w:rsidRPr="00905D54">
        <w:rPr>
          <w:rFonts w:asciiTheme="minorHAnsi" w:hAnsiTheme="minorHAnsi" w:cs="Calibri"/>
          <w:szCs w:val="24"/>
        </w:rPr>
        <w:t xml:space="preserve"> </w:t>
      </w:r>
    </w:p>
    <w:p w:rsidR="00E07310" w:rsidRPr="00905D54" w:rsidRDefault="00E07310" w:rsidP="00F06E25">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 xml:space="preserve">Internal Audit </w:t>
      </w:r>
      <w:r w:rsidR="00F06E25" w:rsidRPr="00905D54">
        <w:rPr>
          <w:rFonts w:asciiTheme="minorHAnsi" w:hAnsiTheme="minorHAnsi" w:cs="Calibri"/>
          <w:szCs w:val="24"/>
        </w:rPr>
        <w:t xml:space="preserve">noted </w:t>
      </w:r>
      <w:r w:rsidRPr="00905D54">
        <w:rPr>
          <w:rFonts w:asciiTheme="minorHAnsi" w:hAnsiTheme="minorHAnsi" w:cs="Calibri"/>
          <w:szCs w:val="24"/>
        </w:rPr>
        <w:t>that there was</w:t>
      </w:r>
      <w:r w:rsidRPr="00905D54">
        <w:rPr>
          <w:rFonts w:asciiTheme="minorHAnsi" w:hAnsiTheme="minorHAnsi"/>
          <w:szCs w:val="24"/>
        </w:rPr>
        <w:t xml:space="preserve"> </w:t>
      </w:r>
      <w:r w:rsidR="001D5E91" w:rsidRPr="00905D54">
        <w:rPr>
          <w:rFonts w:asciiTheme="minorHAnsi" w:hAnsiTheme="minorHAnsi"/>
          <w:szCs w:val="24"/>
        </w:rPr>
        <w:t>significant a</w:t>
      </w:r>
      <w:r w:rsidRPr="00905D54">
        <w:rPr>
          <w:rFonts w:asciiTheme="minorHAnsi" w:hAnsiTheme="minorHAnsi"/>
          <w:szCs w:val="24"/>
        </w:rPr>
        <w:t>ssurance in relation to general implementation of actions and projects in the region, inventorie</w:t>
      </w:r>
      <w:r w:rsidR="00294997" w:rsidRPr="00905D54">
        <w:rPr>
          <w:rFonts w:asciiTheme="minorHAnsi" w:hAnsiTheme="minorHAnsi"/>
          <w:szCs w:val="24"/>
        </w:rPr>
        <w:t>s and assets. Depending on the O</w:t>
      </w:r>
      <w:r w:rsidRPr="00905D54">
        <w:rPr>
          <w:rFonts w:asciiTheme="minorHAnsi" w:hAnsiTheme="minorHAnsi"/>
          <w:szCs w:val="24"/>
        </w:rPr>
        <w:t xml:space="preserve">ffice concerned, there </w:t>
      </w:r>
      <w:r w:rsidR="00294997" w:rsidRPr="00905D54">
        <w:rPr>
          <w:rFonts w:asciiTheme="minorHAnsi" w:hAnsiTheme="minorHAnsi"/>
          <w:szCs w:val="24"/>
        </w:rPr>
        <w:t>wa</w:t>
      </w:r>
      <w:r w:rsidRPr="00905D54">
        <w:rPr>
          <w:rFonts w:asciiTheme="minorHAnsi" w:hAnsiTheme="minorHAnsi"/>
          <w:szCs w:val="24"/>
        </w:rPr>
        <w:t>s however room for improvement mainly in the areas of safety and security, bank and cas</w:t>
      </w:r>
      <w:r w:rsidR="00F06E25" w:rsidRPr="00905D54">
        <w:rPr>
          <w:rFonts w:asciiTheme="minorHAnsi" w:hAnsiTheme="minorHAnsi"/>
          <w:szCs w:val="24"/>
        </w:rPr>
        <w:t xml:space="preserve">h management (for which ITU/HQ </w:t>
      </w:r>
      <w:r w:rsidR="00905D54">
        <w:rPr>
          <w:rFonts w:asciiTheme="minorHAnsi" w:hAnsiTheme="minorHAnsi"/>
          <w:szCs w:val="24"/>
        </w:rPr>
        <w:t>–</w:t>
      </w:r>
      <w:r w:rsidR="00F06E25" w:rsidRPr="00905D54">
        <w:rPr>
          <w:rFonts w:asciiTheme="minorHAnsi" w:hAnsiTheme="minorHAnsi"/>
          <w:szCs w:val="24"/>
        </w:rPr>
        <w:t xml:space="preserve"> </w:t>
      </w:r>
      <w:r w:rsidRPr="00905D54">
        <w:rPr>
          <w:rFonts w:asciiTheme="minorHAnsi" w:hAnsiTheme="minorHAnsi"/>
          <w:szCs w:val="24"/>
        </w:rPr>
        <w:t>in coordination with the RO/AO</w:t>
      </w:r>
      <w:r w:rsidR="00F06E25" w:rsidRPr="00905D54">
        <w:rPr>
          <w:rFonts w:asciiTheme="minorHAnsi" w:hAnsiTheme="minorHAnsi"/>
          <w:szCs w:val="24"/>
        </w:rPr>
        <w:t xml:space="preserve"> </w:t>
      </w:r>
      <w:r w:rsidR="00905D54">
        <w:rPr>
          <w:rFonts w:asciiTheme="minorHAnsi" w:hAnsiTheme="minorHAnsi"/>
          <w:szCs w:val="24"/>
        </w:rPr>
        <w:t>–</w:t>
      </w:r>
      <w:r w:rsidRPr="00905D54">
        <w:rPr>
          <w:rFonts w:asciiTheme="minorHAnsi" w:hAnsiTheme="minorHAnsi"/>
          <w:szCs w:val="24"/>
        </w:rPr>
        <w:t xml:space="preserve"> </w:t>
      </w:r>
      <w:r w:rsidR="00294997" w:rsidRPr="00905D54">
        <w:rPr>
          <w:rFonts w:asciiTheme="minorHAnsi" w:hAnsiTheme="minorHAnsi"/>
          <w:szCs w:val="24"/>
        </w:rPr>
        <w:t>ha</w:t>
      </w:r>
      <w:r w:rsidRPr="00905D54">
        <w:rPr>
          <w:rFonts w:asciiTheme="minorHAnsi" w:hAnsiTheme="minorHAnsi"/>
          <w:szCs w:val="24"/>
        </w:rPr>
        <w:t>s already address</w:t>
      </w:r>
      <w:r w:rsidR="00294997" w:rsidRPr="00905D54">
        <w:rPr>
          <w:rFonts w:asciiTheme="minorHAnsi" w:hAnsiTheme="minorHAnsi"/>
          <w:szCs w:val="24"/>
        </w:rPr>
        <w:t xml:space="preserve">ed </w:t>
      </w:r>
      <w:r w:rsidRPr="00905D54">
        <w:rPr>
          <w:rFonts w:asciiTheme="minorHAnsi" w:hAnsiTheme="minorHAnsi"/>
          <w:szCs w:val="24"/>
        </w:rPr>
        <w:t>the issues), internal and external communication</w:t>
      </w:r>
      <w:r w:rsidR="00905D54">
        <w:rPr>
          <w:rFonts w:asciiTheme="minorHAnsi" w:hAnsiTheme="minorHAnsi"/>
          <w:szCs w:val="24"/>
        </w:rPr>
        <w:t>.</w:t>
      </w:r>
    </w:p>
    <w:p w:rsidR="00831FE9" w:rsidRPr="00905D54" w:rsidRDefault="00E07310" w:rsidP="00900710">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szCs w:val="24"/>
        </w:rPr>
      </w:pPr>
      <w:r w:rsidRPr="00905D54">
        <w:rPr>
          <w:rFonts w:asciiTheme="minorHAnsi" w:hAnsiTheme="minorHAnsi"/>
          <w:szCs w:val="24"/>
        </w:rPr>
        <w:t>BDT and FRMD Management remedied these issues by subscribing the necessary insurance policies and reviewing banking arrangements for all regional and area offices.</w:t>
      </w:r>
      <w:r w:rsidR="00C53E8A">
        <w:rPr>
          <w:rFonts w:asciiTheme="minorHAnsi" w:hAnsiTheme="minorHAnsi"/>
          <w:szCs w:val="24"/>
        </w:rPr>
        <w:t xml:space="preserve"> The Head of the</w:t>
      </w:r>
      <w:r w:rsidR="001D5E91" w:rsidRPr="00905D54">
        <w:rPr>
          <w:rFonts w:asciiTheme="minorHAnsi" w:hAnsiTheme="minorHAnsi"/>
          <w:szCs w:val="24"/>
        </w:rPr>
        <w:t xml:space="preserve"> ITU Proto</w:t>
      </w:r>
      <w:r w:rsidR="00905D54">
        <w:rPr>
          <w:rFonts w:asciiTheme="minorHAnsi" w:hAnsiTheme="minorHAnsi"/>
          <w:szCs w:val="24"/>
        </w:rPr>
        <w:t>col and Security Division (SPM/</w:t>
      </w:r>
      <w:r w:rsidR="001D5E91" w:rsidRPr="00905D54">
        <w:rPr>
          <w:rFonts w:asciiTheme="minorHAnsi" w:hAnsiTheme="minorHAnsi"/>
          <w:szCs w:val="24"/>
        </w:rPr>
        <w:t xml:space="preserve">PSD) at ITU Headquarters has also been informed of the findings to take action. </w:t>
      </w:r>
    </w:p>
    <w:p w:rsidR="00141758" w:rsidRPr="00905D54" w:rsidRDefault="00141758">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Calibri"/>
          <w:b/>
          <w:bCs/>
          <w:sz w:val="28"/>
          <w:szCs w:val="28"/>
          <w:u w:val="single"/>
          <w:lang w:val="en-CA"/>
        </w:rPr>
      </w:pPr>
      <w:r w:rsidRPr="00905D54">
        <w:rPr>
          <w:rFonts w:asciiTheme="minorHAnsi" w:hAnsiTheme="minorHAnsi" w:cs="Calibri"/>
          <w:u w:val="single"/>
          <w:lang w:val="en-CA"/>
        </w:rPr>
        <w:br w:type="page"/>
      </w:r>
    </w:p>
    <w:p w:rsidR="005256F2" w:rsidRPr="00905D54" w:rsidRDefault="005256F2" w:rsidP="00586840">
      <w:pPr>
        <w:pStyle w:val="Heading1"/>
        <w:keepNext w:val="0"/>
        <w:keepLines w:val="0"/>
        <w:tabs>
          <w:tab w:val="clear" w:pos="794"/>
          <w:tab w:val="clear" w:pos="1191"/>
          <w:tab w:val="clear" w:pos="1588"/>
          <w:tab w:val="clear" w:pos="1985"/>
        </w:tabs>
        <w:snapToGrid w:val="0"/>
        <w:spacing w:before="360" w:after="120"/>
        <w:jc w:val="both"/>
        <w:rPr>
          <w:rFonts w:asciiTheme="minorHAnsi" w:hAnsiTheme="minorHAnsi" w:cs="Calibri"/>
          <w:color w:val="auto"/>
          <w:lang w:val="en-CA"/>
        </w:rPr>
      </w:pPr>
      <w:r w:rsidRPr="00905D54">
        <w:rPr>
          <w:rFonts w:asciiTheme="minorHAnsi" w:hAnsiTheme="minorHAnsi" w:cs="Calibri"/>
          <w:color w:val="auto"/>
          <w:lang w:val="en-CA"/>
        </w:rPr>
        <w:lastRenderedPageBreak/>
        <w:t xml:space="preserve">Follow-up </w:t>
      </w:r>
      <w:r w:rsidR="007E542D" w:rsidRPr="00905D54">
        <w:rPr>
          <w:rFonts w:asciiTheme="minorHAnsi" w:hAnsiTheme="minorHAnsi" w:cs="Calibri"/>
          <w:color w:val="auto"/>
          <w:lang w:val="en-CA"/>
        </w:rPr>
        <w:t>of internal audit recommendations</w:t>
      </w:r>
    </w:p>
    <w:p w:rsidR="00F46CF2" w:rsidRPr="00905D54" w:rsidRDefault="00F46CF2" w:rsidP="00C53E8A">
      <w:pPr>
        <w:pStyle w:val="ListParagraph"/>
        <w:numPr>
          <w:ilvl w:val="0"/>
          <w:numId w:val="14"/>
        </w:numPr>
        <w:tabs>
          <w:tab w:val="clear" w:pos="794"/>
          <w:tab w:val="clear" w:pos="1191"/>
          <w:tab w:val="clear" w:pos="1588"/>
          <w:tab w:val="clear" w:pos="1985"/>
        </w:tabs>
        <w:snapToGrid w:val="0"/>
        <w:spacing w:after="240"/>
        <w:ind w:left="0" w:firstLine="0"/>
        <w:contextualSpacing w:val="0"/>
        <w:jc w:val="both"/>
        <w:rPr>
          <w:rFonts w:asciiTheme="minorHAnsi" w:hAnsiTheme="minorHAnsi" w:cs="Calibri"/>
          <w:szCs w:val="24"/>
          <w:lang w:val="en-CA"/>
        </w:rPr>
      </w:pPr>
      <w:r w:rsidRPr="00905D54">
        <w:rPr>
          <w:rFonts w:asciiTheme="minorHAnsi" w:hAnsiTheme="minorHAnsi" w:cs="Calibri"/>
          <w:szCs w:val="24"/>
          <w:lang w:val="en-CA"/>
        </w:rPr>
        <w:t>Throughout the period reported on</w:t>
      </w:r>
      <w:r w:rsidR="006442FE" w:rsidRPr="00905D54">
        <w:rPr>
          <w:rFonts w:asciiTheme="minorHAnsi" w:hAnsiTheme="minorHAnsi" w:cs="Calibri"/>
          <w:szCs w:val="24"/>
          <w:lang w:val="en-CA"/>
        </w:rPr>
        <w:t>,</w:t>
      </w:r>
      <w:r w:rsidRPr="00905D54">
        <w:rPr>
          <w:rFonts w:asciiTheme="minorHAnsi" w:hAnsiTheme="minorHAnsi" w:cs="Calibri"/>
          <w:szCs w:val="24"/>
          <w:lang w:val="en-CA"/>
        </w:rPr>
        <w:t xml:space="preserve"> and in compliance with IIA</w:t>
      </w:r>
      <w:r w:rsidRPr="00905D54">
        <w:rPr>
          <w:rFonts w:asciiTheme="minorHAnsi" w:hAnsiTheme="minorHAnsi" w:cs="Calibri"/>
          <w:b/>
          <w:bCs/>
          <w:szCs w:val="24"/>
          <w:vertAlign w:val="superscript"/>
        </w:rPr>
        <w:footnoteReference w:id="4"/>
      </w:r>
      <w:r w:rsidRPr="00905D54">
        <w:rPr>
          <w:rFonts w:asciiTheme="minorHAnsi" w:hAnsiTheme="minorHAnsi" w:cs="Calibri"/>
          <w:szCs w:val="24"/>
          <w:lang w:val="en-CA"/>
        </w:rPr>
        <w:t xml:space="preserve"> Standard 2500, Internal Audit cont</w:t>
      </w:r>
      <w:r w:rsidR="006442FE" w:rsidRPr="00905D54">
        <w:rPr>
          <w:rFonts w:asciiTheme="minorHAnsi" w:hAnsiTheme="minorHAnsi" w:cs="Calibri"/>
          <w:szCs w:val="24"/>
          <w:lang w:val="en-CA"/>
        </w:rPr>
        <w:t>inued to follow up on</w:t>
      </w:r>
      <w:r w:rsidRPr="00905D54">
        <w:rPr>
          <w:rFonts w:asciiTheme="minorHAnsi" w:hAnsiTheme="minorHAnsi" w:cs="Calibri"/>
          <w:szCs w:val="24"/>
          <w:lang w:val="en-CA"/>
        </w:rPr>
        <w:t xml:space="preserve"> recommendations</w:t>
      </w:r>
      <w:r w:rsidR="006442FE" w:rsidRPr="00905D54">
        <w:rPr>
          <w:rFonts w:asciiTheme="minorHAnsi" w:hAnsiTheme="minorHAnsi" w:cs="Calibri"/>
          <w:szCs w:val="24"/>
          <w:lang w:val="en-CA"/>
        </w:rPr>
        <w:t xml:space="preserve"> made in previous audit reports</w:t>
      </w:r>
      <w:r w:rsidRPr="00905D54">
        <w:rPr>
          <w:rFonts w:asciiTheme="minorHAnsi" w:hAnsiTheme="minorHAnsi" w:cs="Calibri"/>
          <w:szCs w:val="24"/>
          <w:lang w:val="en-CA"/>
        </w:rPr>
        <w:t xml:space="preserve">. </w:t>
      </w:r>
      <w:r w:rsidR="00DE587A" w:rsidRPr="00905D54">
        <w:rPr>
          <w:rFonts w:asciiTheme="minorHAnsi" w:hAnsiTheme="minorHAnsi" w:cs="Calibri"/>
          <w:szCs w:val="24"/>
          <w:lang w:val="en-CA"/>
        </w:rPr>
        <w:t xml:space="preserve">Substantial progress was noted </w:t>
      </w:r>
      <w:r w:rsidR="006442FE" w:rsidRPr="00905D54">
        <w:rPr>
          <w:rFonts w:asciiTheme="minorHAnsi" w:hAnsiTheme="minorHAnsi" w:cs="Calibri"/>
          <w:szCs w:val="24"/>
          <w:lang w:val="en-CA"/>
        </w:rPr>
        <w:t xml:space="preserve">over the last </w:t>
      </w:r>
      <w:r w:rsidR="00C53E8A">
        <w:rPr>
          <w:rFonts w:asciiTheme="minorHAnsi" w:hAnsiTheme="minorHAnsi" w:cs="Calibri"/>
          <w:szCs w:val="24"/>
          <w:lang w:val="en-CA"/>
        </w:rPr>
        <w:t>12</w:t>
      </w:r>
      <w:r w:rsidR="006442FE" w:rsidRPr="00905D54">
        <w:rPr>
          <w:rFonts w:asciiTheme="minorHAnsi" w:hAnsiTheme="minorHAnsi" w:cs="Calibri"/>
          <w:szCs w:val="24"/>
          <w:lang w:val="en-CA"/>
        </w:rPr>
        <w:t xml:space="preserve"> months </w:t>
      </w:r>
      <w:r w:rsidRPr="00905D54">
        <w:rPr>
          <w:rFonts w:asciiTheme="minorHAnsi" w:hAnsiTheme="minorHAnsi" w:cs="Calibri"/>
          <w:szCs w:val="24"/>
          <w:lang w:val="en-CA"/>
        </w:rPr>
        <w:t>and statistics on th</w:t>
      </w:r>
      <w:r w:rsidR="00B66909" w:rsidRPr="00905D54">
        <w:rPr>
          <w:rFonts w:asciiTheme="minorHAnsi" w:hAnsiTheme="minorHAnsi" w:cs="Calibri"/>
          <w:szCs w:val="24"/>
          <w:lang w:val="en-CA"/>
        </w:rPr>
        <w:t>e implementation are:</w:t>
      </w:r>
    </w:p>
    <w:tbl>
      <w:tblPr>
        <w:tblW w:w="9734" w:type="dxa"/>
        <w:tblInd w:w="93" w:type="dxa"/>
        <w:tblLook w:val="04A0" w:firstRow="1" w:lastRow="0" w:firstColumn="1" w:lastColumn="0" w:noHBand="0" w:noVBand="1"/>
      </w:tblPr>
      <w:tblGrid>
        <w:gridCol w:w="2850"/>
        <w:gridCol w:w="759"/>
        <w:gridCol w:w="875"/>
        <w:gridCol w:w="875"/>
        <w:gridCol w:w="875"/>
        <w:gridCol w:w="875"/>
        <w:gridCol w:w="875"/>
        <w:gridCol w:w="875"/>
        <w:gridCol w:w="875"/>
      </w:tblGrid>
      <w:tr w:rsidR="003F245B" w:rsidRPr="00905D54" w:rsidTr="00141758">
        <w:trPr>
          <w:trHeight w:val="230"/>
        </w:trPr>
        <w:tc>
          <w:tcPr>
            <w:tcW w:w="2850" w:type="dxa"/>
            <w:tcBorders>
              <w:top w:val="single" w:sz="8" w:space="0" w:color="auto"/>
              <w:left w:val="single" w:sz="8" w:space="0" w:color="auto"/>
              <w:bottom w:val="nil"/>
              <w:right w:val="nil"/>
            </w:tcBorders>
            <w:shd w:val="clear" w:color="000000" w:fill="000000"/>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Year</w:t>
            </w:r>
          </w:p>
        </w:tc>
        <w:tc>
          <w:tcPr>
            <w:tcW w:w="759" w:type="dxa"/>
            <w:tcBorders>
              <w:top w:val="single" w:sz="8" w:space="0" w:color="auto"/>
              <w:left w:val="nil"/>
              <w:bottom w:val="nil"/>
              <w:right w:val="nil"/>
            </w:tcBorders>
            <w:shd w:val="clear" w:color="000000" w:fill="000000"/>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2008</w:t>
            </w:r>
          </w:p>
        </w:tc>
        <w:tc>
          <w:tcPr>
            <w:tcW w:w="875" w:type="dxa"/>
            <w:tcBorders>
              <w:top w:val="single" w:sz="8" w:space="0" w:color="auto"/>
              <w:left w:val="nil"/>
              <w:bottom w:val="nil"/>
              <w:right w:val="nil"/>
            </w:tcBorders>
            <w:shd w:val="clear" w:color="000000" w:fill="000000"/>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2009</w:t>
            </w:r>
          </w:p>
        </w:tc>
        <w:tc>
          <w:tcPr>
            <w:tcW w:w="875" w:type="dxa"/>
            <w:tcBorders>
              <w:top w:val="single" w:sz="8" w:space="0" w:color="auto"/>
              <w:left w:val="nil"/>
              <w:bottom w:val="nil"/>
              <w:right w:val="nil"/>
            </w:tcBorders>
            <w:shd w:val="clear" w:color="000000" w:fill="000000"/>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2010</w:t>
            </w:r>
          </w:p>
        </w:tc>
        <w:tc>
          <w:tcPr>
            <w:tcW w:w="875" w:type="dxa"/>
            <w:tcBorders>
              <w:top w:val="single" w:sz="8" w:space="0" w:color="auto"/>
              <w:left w:val="nil"/>
              <w:bottom w:val="nil"/>
              <w:right w:val="nil"/>
            </w:tcBorders>
            <w:shd w:val="clear" w:color="000000" w:fill="000000"/>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2011</w:t>
            </w:r>
          </w:p>
        </w:tc>
        <w:tc>
          <w:tcPr>
            <w:tcW w:w="875" w:type="dxa"/>
            <w:tcBorders>
              <w:top w:val="single" w:sz="8" w:space="0" w:color="auto"/>
              <w:left w:val="nil"/>
              <w:bottom w:val="nil"/>
              <w:right w:val="nil"/>
            </w:tcBorders>
            <w:shd w:val="clear" w:color="000000" w:fill="000000"/>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2012</w:t>
            </w:r>
          </w:p>
        </w:tc>
        <w:tc>
          <w:tcPr>
            <w:tcW w:w="875" w:type="dxa"/>
            <w:tcBorders>
              <w:top w:val="single" w:sz="8" w:space="0" w:color="auto"/>
              <w:left w:val="nil"/>
              <w:bottom w:val="nil"/>
              <w:right w:val="nil"/>
            </w:tcBorders>
            <w:shd w:val="clear" w:color="000000" w:fill="000000"/>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2013</w:t>
            </w:r>
          </w:p>
        </w:tc>
        <w:tc>
          <w:tcPr>
            <w:tcW w:w="875" w:type="dxa"/>
            <w:tcBorders>
              <w:top w:val="single" w:sz="8" w:space="0" w:color="auto"/>
              <w:left w:val="nil"/>
              <w:bottom w:val="nil"/>
              <w:right w:val="nil"/>
            </w:tcBorders>
            <w:shd w:val="clear" w:color="000000" w:fill="000000"/>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2014 (*)</w:t>
            </w:r>
          </w:p>
        </w:tc>
        <w:tc>
          <w:tcPr>
            <w:tcW w:w="875" w:type="dxa"/>
            <w:tcBorders>
              <w:top w:val="single" w:sz="8" w:space="0" w:color="auto"/>
              <w:left w:val="nil"/>
              <w:bottom w:val="nil"/>
              <w:right w:val="single" w:sz="8" w:space="0" w:color="auto"/>
            </w:tcBorders>
            <w:shd w:val="clear" w:color="000000" w:fill="000000"/>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 xml:space="preserve">Total </w:t>
            </w:r>
          </w:p>
        </w:tc>
      </w:tr>
      <w:tr w:rsidR="003F245B" w:rsidRPr="00905D54" w:rsidTr="00141758">
        <w:trPr>
          <w:trHeight w:val="217"/>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textAlignment w:val="auto"/>
              <w:rPr>
                <w:rFonts w:asciiTheme="minorHAnsi" w:hAnsiTheme="minorHAnsi" w:cs="Arial"/>
                <w:sz w:val="20"/>
                <w:lang w:val="en-US" w:eastAsia="zh-CN"/>
              </w:rPr>
            </w:pPr>
            <w:r w:rsidRPr="00905D54">
              <w:rPr>
                <w:rFonts w:asciiTheme="minorHAnsi" w:hAnsiTheme="minorHAnsi" w:cs="Arial"/>
                <w:sz w:val="20"/>
                <w:lang w:val="en-US" w:eastAsia="zh-CN"/>
              </w:rPr>
              <w:t>Number of audit reports</w:t>
            </w:r>
          </w:p>
        </w:tc>
        <w:tc>
          <w:tcPr>
            <w:tcW w:w="759" w:type="dxa"/>
            <w:tcBorders>
              <w:top w:val="single" w:sz="8" w:space="0" w:color="auto"/>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3</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4</w:t>
            </w:r>
          </w:p>
        </w:tc>
        <w:tc>
          <w:tcPr>
            <w:tcW w:w="875" w:type="dxa"/>
            <w:tcBorders>
              <w:top w:val="single" w:sz="8" w:space="0" w:color="auto"/>
              <w:left w:val="nil"/>
              <w:bottom w:val="single" w:sz="4" w:space="0" w:color="auto"/>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single" w:sz="4" w:space="0" w:color="auto"/>
              <w:bottom w:val="single" w:sz="4" w:space="0" w:color="auto"/>
              <w:right w:val="single" w:sz="8" w:space="0" w:color="auto"/>
            </w:tcBorders>
            <w:shd w:val="clear" w:color="000000" w:fill="C4BD97"/>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12</w:t>
            </w:r>
          </w:p>
        </w:tc>
      </w:tr>
      <w:tr w:rsidR="003F245B" w:rsidRPr="00905D54" w:rsidTr="00141758">
        <w:trPr>
          <w:trHeight w:val="217"/>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textAlignment w:val="auto"/>
              <w:rPr>
                <w:rFonts w:asciiTheme="minorHAnsi" w:hAnsiTheme="minorHAnsi" w:cs="Arial"/>
                <w:sz w:val="20"/>
                <w:lang w:val="en-US" w:eastAsia="zh-CN"/>
              </w:rPr>
            </w:pPr>
            <w:r w:rsidRPr="00905D54">
              <w:rPr>
                <w:rFonts w:asciiTheme="minorHAnsi" w:hAnsiTheme="minorHAnsi" w:cs="Arial"/>
                <w:sz w:val="20"/>
                <w:lang w:val="en-US" w:eastAsia="zh-CN"/>
              </w:rPr>
              <w:t>Recommendations - Total</w:t>
            </w:r>
          </w:p>
        </w:tc>
        <w:tc>
          <w:tcPr>
            <w:tcW w:w="759" w:type="dxa"/>
            <w:tcBorders>
              <w:top w:val="nil"/>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10</w:t>
            </w:r>
          </w:p>
        </w:tc>
        <w:tc>
          <w:tcPr>
            <w:tcW w:w="875" w:type="dxa"/>
            <w:tcBorders>
              <w:top w:val="nil"/>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13</w:t>
            </w:r>
          </w:p>
        </w:tc>
        <w:tc>
          <w:tcPr>
            <w:tcW w:w="875" w:type="dxa"/>
            <w:tcBorders>
              <w:top w:val="nil"/>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21</w:t>
            </w:r>
          </w:p>
        </w:tc>
        <w:tc>
          <w:tcPr>
            <w:tcW w:w="875" w:type="dxa"/>
            <w:tcBorders>
              <w:top w:val="nil"/>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17</w:t>
            </w:r>
          </w:p>
        </w:tc>
        <w:tc>
          <w:tcPr>
            <w:tcW w:w="875" w:type="dxa"/>
            <w:tcBorders>
              <w:top w:val="nil"/>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w:t>
            </w:r>
          </w:p>
        </w:tc>
        <w:tc>
          <w:tcPr>
            <w:tcW w:w="875" w:type="dxa"/>
            <w:tcBorders>
              <w:top w:val="nil"/>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113</w:t>
            </w:r>
          </w:p>
        </w:tc>
        <w:tc>
          <w:tcPr>
            <w:tcW w:w="875" w:type="dxa"/>
            <w:tcBorders>
              <w:top w:val="nil"/>
              <w:left w:val="nil"/>
              <w:bottom w:val="single" w:sz="4" w:space="0" w:color="auto"/>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single" w:sz="4" w:space="0" w:color="auto"/>
              <w:bottom w:val="single" w:sz="4" w:space="0" w:color="auto"/>
              <w:right w:val="single" w:sz="8" w:space="0" w:color="auto"/>
            </w:tcBorders>
            <w:shd w:val="clear" w:color="000000" w:fill="C4BD97"/>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174</w:t>
            </w:r>
          </w:p>
        </w:tc>
      </w:tr>
      <w:tr w:rsidR="003F245B" w:rsidRPr="00905D54" w:rsidTr="00141758">
        <w:trPr>
          <w:trHeight w:val="217"/>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textAlignment w:val="auto"/>
              <w:rPr>
                <w:rFonts w:asciiTheme="minorHAnsi" w:hAnsiTheme="minorHAnsi" w:cs="Arial"/>
                <w:sz w:val="20"/>
                <w:lang w:val="en-US" w:eastAsia="zh-CN"/>
              </w:rPr>
            </w:pPr>
            <w:r w:rsidRPr="00905D54">
              <w:rPr>
                <w:rFonts w:asciiTheme="minorHAnsi" w:hAnsiTheme="minorHAnsi" w:cs="Arial"/>
                <w:sz w:val="20"/>
                <w:lang w:val="en-US" w:eastAsia="zh-CN"/>
              </w:rPr>
              <w:t xml:space="preserve">    In Progress</w:t>
            </w:r>
          </w:p>
        </w:tc>
        <w:tc>
          <w:tcPr>
            <w:tcW w:w="759" w:type="dxa"/>
            <w:tcBorders>
              <w:top w:val="nil"/>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w:t>
            </w:r>
          </w:p>
        </w:tc>
        <w:tc>
          <w:tcPr>
            <w:tcW w:w="875" w:type="dxa"/>
            <w:tcBorders>
              <w:top w:val="nil"/>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w:t>
            </w:r>
          </w:p>
        </w:tc>
        <w:tc>
          <w:tcPr>
            <w:tcW w:w="875" w:type="dxa"/>
            <w:tcBorders>
              <w:top w:val="nil"/>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45</w:t>
            </w:r>
          </w:p>
        </w:tc>
        <w:tc>
          <w:tcPr>
            <w:tcW w:w="875" w:type="dxa"/>
            <w:tcBorders>
              <w:top w:val="nil"/>
              <w:left w:val="nil"/>
              <w:bottom w:val="single" w:sz="4" w:space="0" w:color="auto"/>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single" w:sz="4" w:space="0" w:color="auto"/>
              <w:bottom w:val="single" w:sz="4" w:space="0" w:color="auto"/>
              <w:right w:val="single" w:sz="8" w:space="0" w:color="auto"/>
            </w:tcBorders>
            <w:shd w:val="clear" w:color="000000" w:fill="C4BD97"/>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47</w:t>
            </w:r>
          </w:p>
        </w:tc>
      </w:tr>
      <w:tr w:rsidR="003F245B" w:rsidRPr="00905D54" w:rsidTr="00141758">
        <w:trPr>
          <w:trHeight w:val="217"/>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textAlignment w:val="auto"/>
              <w:rPr>
                <w:rFonts w:asciiTheme="minorHAnsi" w:hAnsiTheme="minorHAnsi" w:cs="Arial"/>
                <w:sz w:val="20"/>
                <w:lang w:val="en-US" w:eastAsia="zh-CN"/>
              </w:rPr>
            </w:pPr>
            <w:r w:rsidRPr="00905D54">
              <w:rPr>
                <w:rFonts w:asciiTheme="minorHAnsi" w:hAnsiTheme="minorHAnsi" w:cs="Arial"/>
                <w:sz w:val="20"/>
                <w:lang w:val="en-US" w:eastAsia="zh-CN"/>
              </w:rPr>
              <w:t xml:space="preserve">    Delayed</w:t>
            </w:r>
          </w:p>
        </w:tc>
        <w:tc>
          <w:tcPr>
            <w:tcW w:w="759" w:type="dxa"/>
            <w:tcBorders>
              <w:top w:val="nil"/>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w:t>
            </w:r>
          </w:p>
        </w:tc>
        <w:tc>
          <w:tcPr>
            <w:tcW w:w="875" w:type="dxa"/>
            <w:tcBorders>
              <w:top w:val="nil"/>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10</w:t>
            </w:r>
          </w:p>
        </w:tc>
        <w:tc>
          <w:tcPr>
            <w:tcW w:w="875" w:type="dxa"/>
            <w:tcBorders>
              <w:top w:val="nil"/>
              <w:left w:val="nil"/>
              <w:bottom w:val="single" w:sz="4"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w:t>
            </w:r>
          </w:p>
        </w:tc>
        <w:tc>
          <w:tcPr>
            <w:tcW w:w="875" w:type="dxa"/>
            <w:tcBorders>
              <w:top w:val="nil"/>
              <w:left w:val="nil"/>
              <w:bottom w:val="single" w:sz="4"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15</w:t>
            </w:r>
          </w:p>
        </w:tc>
        <w:tc>
          <w:tcPr>
            <w:tcW w:w="875" w:type="dxa"/>
            <w:tcBorders>
              <w:top w:val="nil"/>
              <w:left w:val="nil"/>
              <w:bottom w:val="single" w:sz="4" w:space="0" w:color="auto"/>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single" w:sz="4" w:space="0" w:color="auto"/>
              <w:bottom w:val="single" w:sz="4" w:space="0" w:color="auto"/>
              <w:right w:val="single" w:sz="8" w:space="0" w:color="auto"/>
            </w:tcBorders>
            <w:shd w:val="clear" w:color="000000" w:fill="C4BD97"/>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26</w:t>
            </w:r>
          </w:p>
        </w:tc>
      </w:tr>
      <w:tr w:rsidR="003F245B" w:rsidRPr="00905D54" w:rsidTr="00141758">
        <w:trPr>
          <w:trHeight w:val="230"/>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textAlignment w:val="auto"/>
              <w:rPr>
                <w:rFonts w:asciiTheme="minorHAnsi" w:hAnsiTheme="minorHAnsi" w:cs="Arial"/>
                <w:sz w:val="20"/>
                <w:lang w:val="en-US" w:eastAsia="zh-CN"/>
              </w:rPr>
            </w:pPr>
            <w:r w:rsidRPr="00905D54">
              <w:rPr>
                <w:rFonts w:asciiTheme="minorHAnsi" w:hAnsiTheme="minorHAnsi" w:cs="Arial"/>
                <w:sz w:val="20"/>
                <w:lang w:val="en-US" w:eastAsia="zh-CN"/>
              </w:rPr>
              <w:t xml:space="preserve">    Closed</w:t>
            </w:r>
          </w:p>
        </w:tc>
        <w:tc>
          <w:tcPr>
            <w:tcW w:w="759" w:type="dxa"/>
            <w:tcBorders>
              <w:top w:val="nil"/>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10</w:t>
            </w:r>
          </w:p>
        </w:tc>
        <w:tc>
          <w:tcPr>
            <w:tcW w:w="875" w:type="dxa"/>
            <w:tcBorders>
              <w:top w:val="nil"/>
              <w:left w:val="nil"/>
              <w:bottom w:val="single" w:sz="8"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11</w:t>
            </w:r>
          </w:p>
        </w:tc>
        <w:tc>
          <w:tcPr>
            <w:tcW w:w="875" w:type="dxa"/>
            <w:tcBorders>
              <w:top w:val="nil"/>
              <w:left w:val="nil"/>
              <w:bottom w:val="single" w:sz="8"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20</w:t>
            </w:r>
          </w:p>
        </w:tc>
        <w:tc>
          <w:tcPr>
            <w:tcW w:w="875" w:type="dxa"/>
            <w:tcBorders>
              <w:top w:val="nil"/>
              <w:left w:val="nil"/>
              <w:bottom w:val="single" w:sz="8"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7</w:t>
            </w:r>
          </w:p>
        </w:tc>
        <w:tc>
          <w:tcPr>
            <w:tcW w:w="875" w:type="dxa"/>
            <w:tcBorders>
              <w:top w:val="nil"/>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w:t>
            </w:r>
          </w:p>
        </w:tc>
        <w:tc>
          <w:tcPr>
            <w:tcW w:w="875" w:type="dxa"/>
            <w:tcBorders>
              <w:top w:val="nil"/>
              <w:left w:val="nil"/>
              <w:bottom w:val="single" w:sz="8"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53</w:t>
            </w:r>
          </w:p>
        </w:tc>
        <w:tc>
          <w:tcPr>
            <w:tcW w:w="875" w:type="dxa"/>
            <w:tcBorders>
              <w:top w:val="nil"/>
              <w:left w:val="nil"/>
              <w:bottom w:val="single" w:sz="8" w:space="0" w:color="auto"/>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single" w:sz="4" w:space="0" w:color="auto"/>
              <w:bottom w:val="single" w:sz="8" w:space="0" w:color="auto"/>
              <w:right w:val="single" w:sz="8" w:space="0" w:color="auto"/>
            </w:tcBorders>
            <w:shd w:val="clear" w:color="000000" w:fill="C4BD97"/>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101</w:t>
            </w:r>
          </w:p>
        </w:tc>
      </w:tr>
      <w:tr w:rsidR="003F245B" w:rsidRPr="00905D54" w:rsidTr="00141758">
        <w:trPr>
          <w:trHeight w:val="128"/>
        </w:trPr>
        <w:tc>
          <w:tcPr>
            <w:tcW w:w="2850" w:type="dxa"/>
            <w:tcBorders>
              <w:top w:val="nil"/>
              <w:left w:val="nil"/>
              <w:bottom w:val="nil"/>
              <w:right w:val="nil"/>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textAlignment w:val="auto"/>
              <w:rPr>
                <w:rFonts w:asciiTheme="minorHAnsi" w:hAnsiTheme="minorHAnsi" w:cs="Arial"/>
                <w:sz w:val="20"/>
                <w:lang w:val="en-US" w:eastAsia="zh-CN"/>
              </w:rPr>
            </w:pPr>
          </w:p>
        </w:tc>
        <w:tc>
          <w:tcPr>
            <w:tcW w:w="759" w:type="dxa"/>
            <w:tcBorders>
              <w:top w:val="nil"/>
              <w:left w:val="nil"/>
              <w:bottom w:val="nil"/>
              <w:right w:val="nil"/>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p>
        </w:tc>
        <w:tc>
          <w:tcPr>
            <w:tcW w:w="875" w:type="dxa"/>
            <w:tcBorders>
              <w:top w:val="nil"/>
              <w:left w:val="nil"/>
              <w:bottom w:val="nil"/>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p>
        </w:tc>
        <w:tc>
          <w:tcPr>
            <w:tcW w:w="875" w:type="dxa"/>
            <w:tcBorders>
              <w:top w:val="nil"/>
              <w:left w:val="nil"/>
              <w:bottom w:val="nil"/>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 </w:t>
            </w:r>
          </w:p>
        </w:tc>
      </w:tr>
      <w:tr w:rsidR="003F245B" w:rsidRPr="00905D54" w:rsidTr="00141758">
        <w:trPr>
          <w:trHeight w:val="230"/>
        </w:trPr>
        <w:tc>
          <w:tcPr>
            <w:tcW w:w="28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textAlignment w:val="auto"/>
              <w:rPr>
                <w:rFonts w:asciiTheme="minorHAnsi" w:hAnsiTheme="minorHAnsi" w:cs="Arial"/>
                <w:sz w:val="18"/>
                <w:szCs w:val="18"/>
                <w:lang w:val="en-US" w:eastAsia="zh-CN"/>
              </w:rPr>
            </w:pPr>
            <w:r w:rsidRPr="00905D54">
              <w:rPr>
                <w:rFonts w:asciiTheme="minorHAnsi" w:hAnsiTheme="minorHAnsi" w:cs="Arial"/>
                <w:sz w:val="18"/>
                <w:szCs w:val="18"/>
                <w:lang w:val="en-US" w:eastAsia="zh-CN"/>
              </w:rPr>
              <w:t>% of recommendations Delayed</w:t>
            </w:r>
          </w:p>
        </w:tc>
        <w:tc>
          <w:tcPr>
            <w:tcW w:w="759" w:type="dxa"/>
            <w:tcBorders>
              <w:top w:val="single" w:sz="8" w:space="0" w:color="auto"/>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5%</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59%</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w:t>
            </w:r>
          </w:p>
        </w:tc>
        <w:tc>
          <w:tcPr>
            <w:tcW w:w="875" w:type="dxa"/>
            <w:tcBorders>
              <w:top w:val="single" w:sz="8" w:space="0" w:color="auto"/>
              <w:left w:val="nil"/>
              <w:bottom w:val="single" w:sz="8"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13%</w:t>
            </w:r>
          </w:p>
        </w:tc>
        <w:tc>
          <w:tcPr>
            <w:tcW w:w="875" w:type="dxa"/>
            <w:tcBorders>
              <w:top w:val="single" w:sz="8" w:space="0" w:color="auto"/>
              <w:left w:val="nil"/>
              <w:bottom w:val="single" w:sz="8"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nil"/>
              <w:bottom w:val="single" w:sz="8" w:space="0" w:color="auto"/>
              <w:right w:val="single" w:sz="8" w:space="0" w:color="auto"/>
            </w:tcBorders>
            <w:shd w:val="clear" w:color="000000" w:fill="C4BD97"/>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58%</w:t>
            </w:r>
          </w:p>
        </w:tc>
      </w:tr>
      <w:tr w:rsidR="003F245B" w:rsidRPr="00905D54" w:rsidTr="00141758">
        <w:trPr>
          <w:trHeight w:val="230"/>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textAlignment w:val="auto"/>
              <w:rPr>
                <w:rFonts w:asciiTheme="minorHAnsi" w:hAnsiTheme="minorHAnsi" w:cs="Arial"/>
                <w:sz w:val="18"/>
                <w:szCs w:val="18"/>
                <w:lang w:val="en-US" w:eastAsia="zh-CN"/>
              </w:rPr>
            </w:pPr>
            <w:r w:rsidRPr="00905D54">
              <w:rPr>
                <w:rFonts w:asciiTheme="minorHAnsi" w:hAnsiTheme="minorHAnsi" w:cs="Arial"/>
                <w:sz w:val="18"/>
                <w:szCs w:val="18"/>
                <w:lang w:val="en-US" w:eastAsia="zh-CN"/>
              </w:rPr>
              <w:t>% of recommendations Closed</w:t>
            </w:r>
          </w:p>
        </w:tc>
        <w:tc>
          <w:tcPr>
            <w:tcW w:w="759" w:type="dxa"/>
            <w:tcBorders>
              <w:top w:val="nil"/>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100%</w:t>
            </w:r>
          </w:p>
        </w:tc>
        <w:tc>
          <w:tcPr>
            <w:tcW w:w="875" w:type="dxa"/>
            <w:tcBorders>
              <w:top w:val="nil"/>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85%</w:t>
            </w:r>
          </w:p>
        </w:tc>
        <w:tc>
          <w:tcPr>
            <w:tcW w:w="875" w:type="dxa"/>
            <w:tcBorders>
              <w:top w:val="nil"/>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95%</w:t>
            </w:r>
          </w:p>
        </w:tc>
        <w:tc>
          <w:tcPr>
            <w:tcW w:w="875" w:type="dxa"/>
            <w:tcBorders>
              <w:top w:val="nil"/>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41%</w:t>
            </w:r>
          </w:p>
        </w:tc>
        <w:tc>
          <w:tcPr>
            <w:tcW w:w="875" w:type="dxa"/>
            <w:tcBorders>
              <w:top w:val="nil"/>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w:t>
            </w:r>
          </w:p>
        </w:tc>
        <w:tc>
          <w:tcPr>
            <w:tcW w:w="875" w:type="dxa"/>
            <w:tcBorders>
              <w:top w:val="nil"/>
              <w:left w:val="nil"/>
              <w:bottom w:val="single" w:sz="8" w:space="0" w:color="auto"/>
              <w:right w:val="single" w:sz="4" w:space="0" w:color="auto"/>
            </w:tcBorders>
            <w:shd w:val="clear" w:color="auto" w:fill="auto"/>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47%</w:t>
            </w:r>
          </w:p>
        </w:tc>
        <w:tc>
          <w:tcPr>
            <w:tcW w:w="875" w:type="dxa"/>
            <w:tcBorders>
              <w:top w:val="nil"/>
              <w:left w:val="nil"/>
              <w:bottom w:val="single" w:sz="8" w:space="0" w:color="auto"/>
              <w:right w:val="single" w:sz="4" w:space="0" w:color="auto"/>
            </w:tcBorders>
            <w:shd w:val="clear" w:color="000000" w:fill="FFFFFF"/>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8" w:space="0" w:color="auto"/>
              <w:right w:val="single" w:sz="8" w:space="0" w:color="auto"/>
            </w:tcBorders>
            <w:shd w:val="clear" w:color="000000" w:fill="C4BD97"/>
            <w:noWrap/>
            <w:vAlign w:val="bottom"/>
            <w:hideMark/>
          </w:tcPr>
          <w:p w:rsidR="003F245B" w:rsidRPr="00905D54" w:rsidRDefault="003F245B" w:rsidP="003F24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15%</w:t>
            </w:r>
          </w:p>
        </w:tc>
      </w:tr>
    </w:tbl>
    <w:p w:rsidR="00F46CF2" w:rsidRPr="00905D54" w:rsidRDefault="003F245B" w:rsidP="00F46CF2">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cs="Calibri"/>
          <w:szCs w:val="24"/>
          <w:lang w:val="en-CA"/>
        </w:rPr>
      </w:pPr>
      <w:r w:rsidRPr="00905D54" w:rsidDel="003F245B">
        <w:rPr>
          <w:rFonts w:asciiTheme="minorHAnsi" w:hAnsiTheme="minorHAnsi"/>
        </w:rPr>
        <w:t xml:space="preserve"> </w:t>
      </w:r>
      <w:r w:rsidR="00C04506" w:rsidRPr="00905D54">
        <w:rPr>
          <w:rFonts w:asciiTheme="minorHAnsi" w:hAnsiTheme="minorHAnsi" w:cs="Calibri"/>
          <w:szCs w:val="24"/>
          <w:lang w:val="en-CA"/>
        </w:rPr>
        <w:t>(*) situation on 11 February 2014</w:t>
      </w:r>
    </w:p>
    <w:p w:rsidR="00454F43" w:rsidRPr="00905D54" w:rsidRDefault="00F46CF2" w:rsidP="00C53E8A">
      <w:pPr>
        <w:pStyle w:val="ListParagraph"/>
        <w:numPr>
          <w:ilvl w:val="0"/>
          <w:numId w:val="14"/>
        </w:numPr>
        <w:tabs>
          <w:tab w:val="clear" w:pos="794"/>
          <w:tab w:val="clear" w:pos="1191"/>
          <w:tab w:val="clear" w:pos="1588"/>
          <w:tab w:val="clear" w:pos="1985"/>
        </w:tabs>
        <w:snapToGrid w:val="0"/>
        <w:spacing w:before="240" w:after="120"/>
        <w:ind w:left="0" w:firstLine="0"/>
        <w:contextualSpacing w:val="0"/>
        <w:jc w:val="both"/>
        <w:rPr>
          <w:rFonts w:asciiTheme="minorHAnsi" w:hAnsiTheme="minorHAnsi" w:cs="Calibri"/>
          <w:szCs w:val="24"/>
          <w:lang w:val="en-CA"/>
        </w:rPr>
      </w:pPr>
      <w:r w:rsidRPr="00905D54">
        <w:rPr>
          <w:rFonts w:asciiTheme="minorHAnsi" w:hAnsiTheme="minorHAnsi" w:cs="Calibri"/>
          <w:szCs w:val="24"/>
          <w:lang w:val="en-CA"/>
        </w:rPr>
        <w:t>The mai</w:t>
      </w:r>
      <w:r w:rsidR="00FC22AF" w:rsidRPr="00905D54">
        <w:rPr>
          <w:rFonts w:asciiTheme="minorHAnsi" w:hAnsiTheme="minorHAnsi" w:cs="Calibri"/>
          <w:szCs w:val="24"/>
          <w:lang w:val="en-CA"/>
        </w:rPr>
        <w:t>n delayed</w:t>
      </w:r>
      <w:r w:rsidRPr="00905D54">
        <w:rPr>
          <w:rFonts w:asciiTheme="minorHAnsi" w:hAnsiTheme="minorHAnsi" w:cs="Calibri"/>
          <w:szCs w:val="24"/>
          <w:lang w:val="en-CA"/>
        </w:rPr>
        <w:t xml:space="preserve"> </w:t>
      </w:r>
      <w:r w:rsidR="009473BD" w:rsidRPr="00905D54">
        <w:rPr>
          <w:rFonts w:asciiTheme="minorHAnsi" w:hAnsiTheme="minorHAnsi" w:cs="Calibri"/>
          <w:szCs w:val="24"/>
          <w:lang w:val="en-CA"/>
        </w:rPr>
        <w:t xml:space="preserve">implementation of </w:t>
      </w:r>
      <w:r w:rsidRPr="00905D54">
        <w:rPr>
          <w:rFonts w:asciiTheme="minorHAnsi" w:hAnsiTheme="minorHAnsi" w:cs="Calibri"/>
          <w:szCs w:val="24"/>
          <w:lang w:val="en-CA"/>
        </w:rPr>
        <w:t>recommendations concern</w:t>
      </w:r>
      <w:r w:rsidR="00454F43" w:rsidRPr="00905D54">
        <w:rPr>
          <w:rFonts w:asciiTheme="minorHAnsi" w:hAnsiTheme="minorHAnsi" w:cs="Calibri"/>
          <w:szCs w:val="24"/>
          <w:lang w:val="en-CA"/>
        </w:rPr>
        <w:t xml:space="preserve"> the audit of costing of ITU publications (conducted in 2011)</w:t>
      </w:r>
      <w:r w:rsidR="00903D11" w:rsidRPr="00905D54">
        <w:rPr>
          <w:rFonts w:asciiTheme="minorHAnsi" w:hAnsiTheme="minorHAnsi" w:cs="Calibri"/>
          <w:szCs w:val="24"/>
          <w:lang w:val="en-CA"/>
        </w:rPr>
        <w:t xml:space="preserve"> because of additional analyses being carried out at various levels in the </w:t>
      </w:r>
      <w:r w:rsidR="00905D54">
        <w:rPr>
          <w:rFonts w:asciiTheme="minorHAnsi" w:hAnsiTheme="minorHAnsi" w:cs="Calibri"/>
          <w:szCs w:val="24"/>
          <w:lang w:val="en-CA"/>
        </w:rPr>
        <w:t>s</w:t>
      </w:r>
      <w:r w:rsidR="00903D11" w:rsidRPr="00905D54">
        <w:rPr>
          <w:rFonts w:asciiTheme="minorHAnsi" w:hAnsiTheme="minorHAnsi" w:cs="Calibri"/>
          <w:szCs w:val="24"/>
          <w:lang w:val="en-CA"/>
        </w:rPr>
        <w:t>ecretariat</w:t>
      </w:r>
      <w:r w:rsidR="00454F43" w:rsidRPr="00905D54">
        <w:rPr>
          <w:rFonts w:asciiTheme="minorHAnsi" w:hAnsiTheme="minorHAnsi" w:cs="Calibri"/>
          <w:szCs w:val="24"/>
          <w:lang w:val="en-CA"/>
        </w:rPr>
        <w:t xml:space="preserve">. </w:t>
      </w:r>
      <w:r w:rsidR="00903D11" w:rsidRPr="00905D54">
        <w:rPr>
          <w:rFonts w:asciiTheme="minorHAnsi" w:hAnsiTheme="minorHAnsi" w:cs="Calibri"/>
          <w:szCs w:val="24"/>
          <w:lang w:val="en-CA"/>
        </w:rPr>
        <w:t xml:space="preserve">In 2014, </w:t>
      </w:r>
      <w:r w:rsidR="00454F43" w:rsidRPr="00905D54">
        <w:rPr>
          <w:rFonts w:asciiTheme="minorHAnsi" w:hAnsiTheme="minorHAnsi" w:cs="Calibri"/>
          <w:szCs w:val="24"/>
          <w:lang w:val="en-CA"/>
        </w:rPr>
        <w:t>Inte</w:t>
      </w:r>
      <w:r w:rsidR="00831FE9" w:rsidRPr="00905D54">
        <w:rPr>
          <w:rFonts w:asciiTheme="minorHAnsi" w:hAnsiTheme="minorHAnsi" w:cs="Calibri"/>
          <w:szCs w:val="24"/>
          <w:lang w:val="en-CA"/>
        </w:rPr>
        <w:t>rnal Audi</w:t>
      </w:r>
      <w:r w:rsidR="00A52358" w:rsidRPr="00905D54">
        <w:rPr>
          <w:rFonts w:asciiTheme="minorHAnsi" w:hAnsiTheme="minorHAnsi" w:cs="Calibri"/>
          <w:szCs w:val="24"/>
          <w:lang w:val="en-CA"/>
        </w:rPr>
        <w:t>t</w:t>
      </w:r>
      <w:r w:rsidRPr="00905D54">
        <w:rPr>
          <w:rFonts w:asciiTheme="minorHAnsi" w:hAnsiTheme="minorHAnsi" w:cs="Calibri"/>
          <w:szCs w:val="24"/>
          <w:lang w:val="en-CA"/>
        </w:rPr>
        <w:t xml:space="preserve"> continue</w:t>
      </w:r>
      <w:r w:rsidR="00831FE9" w:rsidRPr="00905D54">
        <w:rPr>
          <w:rFonts w:asciiTheme="minorHAnsi" w:hAnsiTheme="minorHAnsi" w:cs="Calibri"/>
          <w:szCs w:val="24"/>
          <w:lang w:val="en-CA"/>
        </w:rPr>
        <w:t>s</w:t>
      </w:r>
      <w:r w:rsidRPr="00905D54">
        <w:rPr>
          <w:rFonts w:asciiTheme="minorHAnsi" w:hAnsiTheme="minorHAnsi" w:cs="Calibri"/>
          <w:szCs w:val="24"/>
          <w:lang w:val="en-CA"/>
        </w:rPr>
        <w:t xml:space="preserve"> </w:t>
      </w:r>
      <w:r w:rsidR="00831FE9" w:rsidRPr="00905D54">
        <w:rPr>
          <w:rFonts w:asciiTheme="minorHAnsi" w:hAnsiTheme="minorHAnsi" w:cs="Calibri"/>
          <w:szCs w:val="24"/>
          <w:lang w:val="en-CA"/>
        </w:rPr>
        <w:t xml:space="preserve">to </w:t>
      </w:r>
      <w:r w:rsidR="00454F43" w:rsidRPr="00905D54">
        <w:rPr>
          <w:rFonts w:asciiTheme="minorHAnsi" w:hAnsiTheme="minorHAnsi" w:cs="Calibri"/>
          <w:szCs w:val="24"/>
          <w:lang w:val="en-CA"/>
        </w:rPr>
        <w:t xml:space="preserve">monitor the implementation of the various recommendations contained in previous audit reports and </w:t>
      </w:r>
      <w:bookmarkStart w:id="12" w:name="_GoBack"/>
      <w:bookmarkEnd w:id="12"/>
      <w:r w:rsidR="00EA5225" w:rsidRPr="00905D54">
        <w:rPr>
          <w:rFonts w:asciiTheme="minorHAnsi" w:hAnsiTheme="minorHAnsi" w:cs="Calibri"/>
          <w:szCs w:val="24"/>
          <w:lang w:val="en-CA"/>
        </w:rPr>
        <w:t xml:space="preserve">will </w:t>
      </w:r>
      <w:r w:rsidR="00454F43" w:rsidRPr="00905D54">
        <w:rPr>
          <w:rFonts w:asciiTheme="minorHAnsi" w:hAnsiTheme="minorHAnsi" w:cs="Calibri"/>
          <w:szCs w:val="24"/>
          <w:lang w:val="en-CA"/>
        </w:rPr>
        <w:t>report on this follow-up, as appropriate, to the Secretary-General.</w:t>
      </w:r>
    </w:p>
    <w:p w:rsidR="005D2C7C" w:rsidRPr="00905D54" w:rsidRDefault="008D4FE8" w:rsidP="00C709A7">
      <w:pPr>
        <w:tabs>
          <w:tab w:val="clear" w:pos="794"/>
          <w:tab w:val="clear" w:pos="1191"/>
          <w:tab w:val="clear" w:pos="1588"/>
          <w:tab w:val="clear" w:pos="1985"/>
        </w:tabs>
        <w:snapToGrid w:val="0"/>
        <w:spacing w:before="360" w:after="120"/>
        <w:jc w:val="both"/>
        <w:rPr>
          <w:rFonts w:asciiTheme="minorHAnsi" w:hAnsiTheme="minorHAnsi" w:cs="Calibri"/>
          <w:b/>
          <w:bCs/>
          <w:sz w:val="28"/>
          <w:szCs w:val="28"/>
          <w:lang w:val="en-CA"/>
        </w:rPr>
      </w:pPr>
      <w:r w:rsidRPr="00905D54">
        <w:rPr>
          <w:rFonts w:asciiTheme="minorHAnsi" w:hAnsiTheme="minorHAnsi" w:cs="Calibri"/>
          <w:b/>
          <w:bCs/>
          <w:sz w:val="28"/>
          <w:szCs w:val="28"/>
          <w:lang w:val="en-CA"/>
        </w:rPr>
        <w:t>Audit methodology related aspects</w:t>
      </w:r>
    </w:p>
    <w:p w:rsidR="00F4392E" w:rsidRPr="00905D54" w:rsidRDefault="0084015A" w:rsidP="00586840">
      <w:pPr>
        <w:pStyle w:val="ListParagraph"/>
        <w:numPr>
          <w:ilvl w:val="0"/>
          <w:numId w:val="14"/>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lang w:val="en-CA"/>
        </w:rPr>
      </w:pPr>
      <w:r w:rsidRPr="00905D54">
        <w:rPr>
          <w:rFonts w:asciiTheme="minorHAnsi" w:hAnsiTheme="minorHAnsi" w:cs="Calibri"/>
          <w:szCs w:val="24"/>
          <w:lang w:val="en-CA"/>
        </w:rPr>
        <w:t>In</w:t>
      </w:r>
      <w:r w:rsidR="00DE587A" w:rsidRPr="00905D54">
        <w:rPr>
          <w:rFonts w:asciiTheme="minorHAnsi" w:hAnsiTheme="minorHAnsi" w:cs="Calibri"/>
          <w:szCs w:val="24"/>
          <w:lang w:val="en-CA"/>
        </w:rPr>
        <w:t xml:space="preserve"> 2013 Internal Audit started using </w:t>
      </w:r>
      <w:r w:rsidR="003F245B" w:rsidRPr="00905D54">
        <w:rPr>
          <w:rFonts w:asciiTheme="minorHAnsi" w:hAnsiTheme="minorHAnsi" w:cs="Calibri"/>
          <w:i/>
          <w:iCs/>
          <w:szCs w:val="24"/>
          <w:lang w:val="en-CA"/>
        </w:rPr>
        <w:t>A</w:t>
      </w:r>
      <w:r w:rsidR="00DE587A" w:rsidRPr="00905D54">
        <w:rPr>
          <w:rFonts w:asciiTheme="minorHAnsi" w:hAnsiTheme="minorHAnsi" w:cs="Calibri"/>
          <w:i/>
          <w:iCs/>
          <w:szCs w:val="24"/>
          <w:lang w:val="en-CA"/>
        </w:rPr>
        <w:t>u</w:t>
      </w:r>
      <w:r w:rsidR="00C765B8" w:rsidRPr="00905D54">
        <w:rPr>
          <w:rFonts w:asciiTheme="minorHAnsi" w:hAnsiTheme="minorHAnsi" w:cs="Calibri"/>
          <w:i/>
          <w:iCs/>
          <w:szCs w:val="24"/>
          <w:lang w:val="en-CA"/>
        </w:rPr>
        <w:t xml:space="preserve">dit </w:t>
      </w:r>
      <w:r w:rsidR="003F245B" w:rsidRPr="00905D54">
        <w:rPr>
          <w:rFonts w:asciiTheme="minorHAnsi" w:hAnsiTheme="minorHAnsi" w:cs="Calibri"/>
          <w:i/>
          <w:iCs/>
          <w:szCs w:val="24"/>
          <w:lang w:val="en-CA"/>
        </w:rPr>
        <w:t>E</w:t>
      </w:r>
      <w:r w:rsidR="00C765B8" w:rsidRPr="00905D54">
        <w:rPr>
          <w:rFonts w:asciiTheme="minorHAnsi" w:hAnsiTheme="minorHAnsi" w:cs="Calibri"/>
          <w:i/>
          <w:iCs/>
          <w:szCs w:val="24"/>
          <w:lang w:val="en-CA"/>
        </w:rPr>
        <w:t xml:space="preserve">ffectiveness </w:t>
      </w:r>
      <w:r w:rsidR="003F245B" w:rsidRPr="00905D54">
        <w:rPr>
          <w:rFonts w:asciiTheme="minorHAnsi" w:hAnsiTheme="minorHAnsi" w:cs="Calibri"/>
          <w:i/>
          <w:iCs/>
          <w:szCs w:val="24"/>
          <w:lang w:val="en-CA"/>
        </w:rPr>
        <w:t>Q</w:t>
      </w:r>
      <w:r w:rsidR="00C765B8" w:rsidRPr="00905D54">
        <w:rPr>
          <w:rFonts w:asciiTheme="minorHAnsi" w:hAnsiTheme="minorHAnsi" w:cs="Calibri"/>
          <w:i/>
          <w:iCs/>
          <w:szCs w:val="24"/>
          <w:lang w:val="en-CA"/>
        </w:rPr>
        <w:t>uestionnaires</w:t>
      </w:r>
      <w:r w:rsidR="00C765B8" w:rsidRPr="00905D54">
        <w:rPr>
          <w:rFonts w:asciiTheme="minorHAnsi" w:hAnsiTheme="minorHAnsi" w:cs="Calibri"/>
          <w:szCs w:val="24"/>
          <w:lang w:val="en-CA"/>
        </w:rPr>
        <w:t xml:space="preserve"> </w:t>
      </w:r>
      <w:r w:rsidR="00DE587A" w:rsidRPr="00905D54">
        <w:rPr>
          <w:rFonts w:asciiTheme="minorHAnsi" w:hAnsiTheme="minorHAnsi" w:cs="Calibri"/>
          <w:szCs w:val="24"/>
          <w:lang w:val="en-CA"/>
        </w:rPr>
        <w:t xml:space="preserve">which were sent to the audited </w:t>
      </w:r>
      <w:r w:rsidR="00CB7B10" w:rsidRPr="00905D54">
        <w:rPr>
          <w:rFonts w:asciiTheme="minorHAnsi" w:hAnsiTheme="minorHAnsi" w:cs="Calibri"/>
          <w:szCs w:val="24"/>
          <w:lang w:val="en-CA"/>
        </w:rPr>
        <w:t>processes</w:t>
      </w:r>
      <w:r w:rsidR="003F245B" w:rsidRPr="00905D54">
        <w:rPr>
          <w:rFonts w:asciiTheme="minorHAnsi" w:hAnsiTheme="minorHAnsi" w:cs="Calibri"/>
          <w:szCs w:val="24"/>
          <w:lang w:val="en-CA"/>
        </w:rPr>
        <w:t>’</w:t>
      </w:r>
      <w:r w:rsidR="00CB7B10" w:rsidRPr="00905D54">
        <w:rPr>
          <w:rFonts w:asciiTheme="minorHAnsi" w:hAnsiTheme="minorHAnsi" w:cs="Calibri"/>
          <w:szCs w:val="24"/>
          <w:lang w:val="en-CA"/>
        </w:rPr>
        <w:t xml:space="preserve"> and </w:t>
      </w:r>
      <w:r w:rsidR="00DE587A" w:rsidRPr="00905D54">
        <w:rPr>
          <w:rFonts w:asciiTheme="minorHAnsi" w:hAnsiTheme="minorHAnsi" w:cs="Calibri"/>
          <w:szCs w:val="24"/>
          <w:lang w:val="en-CA"/>
        </w:rPr>
        <w:t>entities’ managers</w:t>
      </w:r>
      <w:r w:rsidR="00CB7B10" w:rsidRPr="00905D54">
        <w:rPr>
          <w:rFonts w:asciiTheme="minorHAnsi" w:hAnsiTheme="minorHAnsi" w:cs="Calibri"/>
          <w:szCs w:val="24"/>
          <w:lang w:val="en-CA"/>
        </w:rPr>
        <w:t>,</w:t>
      </w:r>
      <w:r w:rsidR="00DE587A" w:rsidRPr="00905D54">
        <w:rPr>
          <w:rFonts w:asciiTheme="minorHAnsi" w:hAnsiTheme="minorHAnsi" w:cs="Calibri"/>
          <w:szCs w:val="24"/>
          <w:lang w:val="en-CA"/>
        </w:rPr>
        <w:t xml:space="preserve"> to assess the effectiveness of the audit work and identify room for improvement. In general the feedback was</w:t>
      </w:r>
      <w:r w:rsidR="00A52358" w:rsidRPr="00905D54">
        <w:rPr>
          <w:rFonts w:asciiTheme="minorHAnsi" w:hAnsiTheme="minorHAnsi" w:cs="Calibri"/>
          <w:szCs w:val="24"/>
          <w:lang w:val="en-CA"/>
        </w:rPr>
        <w:t xml:space="preserve"> </w:t>
      </w:r>
      <w:r w:rsidR="003F245B" w:rsidRPr="00905D54">
        <w:rPr>
          <w:rFonts w:asciiTheme="minorHAnsi" w:hAnsiTheme="minorHAnsi" w:cs="Calibri"/>
          <w:szCs w:val="24"/>
          <w:lang w:val="en-CA"/>
        </w:rPr>
        <w:t>positive</w:t>
      </w:r>
      <w:r w:rsidR="00A52358" w:rsidRPr="00905D54">
        <w:rPr>
          <w:rFonts w:asciiTheme="minorHAnsi" w:hAnsiTheme="minorHAnsi" w:cs="Calibri"/>
          <w:szCs w:val="24"/>
          <w:lang w:val="en-CA"/>
        </w:rPr>
        <w:t xml:space="preserve"> (average note of 4, on a scale from 1 to 5)</w:t>
      </w:r>
      <w:r w:rsidR="003F245B" w:rsidRPr="00905D54">
        <w:rPr>
          <w:rFonts w:asciiTheme="minorHAnsi" w:hAnsiTheme="minorHAnsi" w:cs="Calibri"/>
          <w:szCs w:val="24"/>
          <w:lang w:val="en-CA"/>
        </w:rPr>
        <w:t>; some</w:t>
      </w:r>
      <w:r w:rsidR="00DE587A" w:rsidRPr="00905D54">
        <w:rPr>
          <w:rFonts w:asciiTheme="minorHAnsi" w:hAnsiTheme="minorHAnsi" w:cs="Calibri"/>
          <w:szCs w:val="24"/>
          <w:lang w:val="en-CA"/>
        </w:rPr>
        <w:t xml:space="preserve"> remarks on the timing</w:t>
      </w:r>
      <w:r w:rsidR="008065B9" w:rsidRPr="00905D54">
        <w:rPr>
          <w:rFonts w:asciiTheme="minorHAnsi" w:hAnsiTheme="minorHAnsi" w:cs="Calibri"/>
          <w:szCs w:val="24"/>
          <w:lang w:val="en-CA"/>
        </w:rPr>
        <w:t xml:space="preserve">/planning aspects </w:t>
      </w:r>
      <w:r w:rsidR="00DE587A" w:rsidRPr="00905D54">
        <w:rPr>
          <w:rFonts w:asciiTheme="minorHAnsi" w:hAnsiTheme="minorHAnsi" w:cs="Calibri"/>
          <w:szCs w:val="24"/>
          <w:lang w:val="en-CA"/>
        </w:rPr>
        <w:t>of audit engagements</w:t>
      </w:r>
      <w:r w:rsidR="008065B9" w:rsidRPr="00905D54">
        <w:rPr>
          <w:rFonts w:asciiTheme="minorHAnsi" w:hAnsiTheme="minorHAnsi" w:cs="Calibri"/>
          <w:szCs w:val="24"/>
          <w:lang w:val="en-CA"/>
        </w:rPr>
        <w:t xml:space="preserve"> were </w:t>
      </w:r>
      <w:r w:rsidR="00A52358" w:rsidRPr="00905D54">
        <w:rPr>
          <w:rFonts w:asciiTheme="minorHAnsi" w:hAnsiTheme="minorHAnsi" w:cs="Calibri"/>
          <w:szCs w:val="24"/>
          <w:lang w:val="en-CA"/>
        </w:rPr>
        <w:t>sometimes</w:t>
      </w:r>
      <w:r w:rsidR="008065B9" w:rsidRPr="00905D54">
        <w:rPr>
          <w:rFonts w:asciiTheme="minorHAnsi" w:hAnsiTheme="minorHAnsi" w:cs="Calibri"/>
          <w:szCs w:val="24"/>
          <w:lang w:val="en-CA"/>
        </w:rPr>
        <w:t xml:space="preserve"> noted</w:t>
      </w:r>
      <w:r w:rsidR="003F245B" w:rsidRPr="00905D54">
        <w:rPr>
          <w:rFonts w:asciiTheme="minorHAnsi" w:hAnsiTheme="minorHAnsi" w:cs="Calibri"/>
          <w:szCs w:val="24"/>
          <w:lang w:val="en-CA"/>
        </w:rPr>
        <w:t xml:space="preserve"> and will be taken into account for future assignments</w:t>
      </w:r>
      <w:r w:rsidR="008065B9" w:rsidRPr="00905D54">
        <w:rPr>
          <w:rFonts w:asciiTheme="minorHAnsi" w:hAnsiTheme="minorHAnsi" w:cs="Calibri"/>
          <w:szCs w:val="24"/>
          <w:lang w:val="en-CA"/>
        </w:rPr>
        <w:t>. When drawing up the 2014 audit plan, Internal Audit consulted with concerned managers to optimize timing.</w:t>
      </w:r>
      <w:r w:rsidR="00DE587A" w:rsidRPr="00905D54">
        <w:rPr>
          <w:rFonts w:asciiTheme="minorHAnsi" w:hAnsiTheme="minorHAnsi" w:cs="Calibri"/>
          <w:szCs w:val="24"/>
          <w:lang w:val="en-CA"/>
        </w:rPr>
        <w:t xml:space="preserve">  </w:t>
      </w:r>
    </w:p>
    <w:p w:rsidR="00141758" w:rsidRPr="00905D54" w:rsidRDefault="00141758" w:rsidP="00460F02">
      <w:pPr>
        <w:pStyle w:val="ListParagraph"/>
        <w:tabs>
          <w:tab w:val="clear" w:pos="794"/>
          <w:tab w:val="clear" w:pos="1191"/>
          <w:tab w:val="clear" w:pos="1588"/>
          <w:tab w:val="clear" w:pos="1985"/>
        </w:tabs>
        <w:snapToGrid w:val="0"/>
        <w:spacing w:before="840"/>
        <w:ind w:left="0"/>
        <w:contextualSpacing w:val="0"/>
        <w:jc w:val="center"/>
        <w:rPr>
          <w:rFonts w:asciiTheme="minorHAnsi" w:hAnsiTheme="minorHAnsi" w:cs="Calibri"/>
          <w:szCs w:val="24"/>
          <w:u w:val="single"/>
          <w:lang w:val="en-US"/>
        </w:rPr>
      </w:pPr>
      <w:r w:rsidRPr="00905D54">
        <w:rPr>
          <w:rFonts w:asciiTheme="minorHAnsi" w:hAnsiTheme="minorHAnsi" w:cs="Calibri"/>
          <w:szCs w:val="24"/>
          <w:u w:val="single"/>
        </w:rPr>
        <w:t>                           </w:t>
      </w:r>
    </w:p>
    <w:sectPr w:rsidR="00141758" w:rsidRPr="00905D54" w:rsidSect="00D12B97">
      <w:headerReference w:type="default" r:id="rId12"/>
      <w:footerReference w:type="first" r:id="rId13"/>
      <w:pgSz w:w="11907" w:h="16834" w:code="9"/>
      <w:pgMar w:top="1276"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8D6" w:rsidRDefault="007B48D6">
      <w:r>
        <w:separator/>
      </w:r>
    </w:p>
  </w:endnote>
  <w:endnote w:type="continuationSeparator" w:id="0">
    <w:p w:rsidR="007B48D6" w:rsidRDefault="007B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BB" w:rsidRPr="00B601E5" w:rsidRDefault="002E0BBB">
    <w:pPr>
      <w:spacing w:after="120"/>
      <w:jc w:val="center"/>
      <w:rPr>
        <w:rFonts w:ascii="Calibri" w:hAnsi="Calibri"/>
        <w:sz w:val="22"/>
        <w:szCs w:val="22"/>
      </w:rPr>
    </w:pPr>
    <w:r w:rsidRPr="00B601E5">
      <w:rPr>
        <w:rFonts w:ascii="Calibri" w:hAnsi="Calibri"/>
        <w:sz w:val="22"/>
        <w:szCs w:val="22"/>
      </w:rPr>
      <w:t xml:space="preserve">• </w:t>
    </w:r>
    <w:hyperlink r:id="rId1" w:history="1">
      <w:r w:rsidRPr="00B601E5">
        <w:rPr>
          <w:rStyle w:val="Hyperlink"/>
          <w:rFonts w:ascii="Calibri" w:hAnsi="Calibri"/>
          <w:sz w:val="22"/>
          <w:szCs w:val="22"/>
        </w:rPr>
        <w:t>http://www.itu.int/council</w:t>
      </w:r>
    </w:hyperlink>
    <w:r w:rsidRPr="00B601E5">
      <w:rPr>
        <w:rFonts w:ascii="Calibri" w:hAnsi="Calibr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8D6" w:rsidRDefault="007B48D6">
      <w:r>
        <w:separator/>
      </w:r>
    </w:p>
  </w:footnote>
  <w:footnote w:type="continuationSeparator" w:id="0">
    <w:p w:rsidR="007B48D6" w:rsidRDefault="007B48D6">
      <w:r>
        <w:continuationSeparator/>
      </w:r>
    </w:p>
  </w:footnote>
  <w:footnote w:id="1">
    <w:p w:rsidR="00597401" w:rsidRPr="00DE2BC2" w:rsidRDefault="00597401" w:rsidP="00597401">
      <w:pPr>
        <w:pStyle w:val="FootnoteText"/>
        <w:rPr>
          <w:rFonts w:ascii="Calibri" w:hAnsi="Calibri"/>
          <w:sz w:val="22"/>
          <w:szCs w:val="22"/>
          <w:lang w:val="en-US"/>
        </w:rPr>
      </w:pPr>
      <w:r w:rsidRPr="00DE2BC2">
        <w:rPr>
          <w:rStyle w:val="FootnoteReference"/>
          <w:rFonts w:ascii="Calibri" w:hAnsi="Calibri"/>
          <w:sz w:val="22"/>
          <w:szCs w:val="22"/>
        </w:rPr>
        <w:footnoteRef/>
      </w:r>
      <w:r w:rsidRPr="00DE2BC2">
        <w:rPr>
          <w:rFonts w:ascii="Calibri" w:hAnsi="Calibri"/>
          <w:sz w:val="22"/>
          <w:szCs w:val="22"/>
        </w:rPr>
        <w:t xml:space="preserve"> </w:t>
      </w:r>
      <w:r>
        <w:rPr>
          <w:rFonts w:ascii="Calibri" w:hAnsi="Calibri" w:cs="Calibri"/>
          <w:szCs w:val="24"/>
        </w:rPr>
        <w:t>Service Order 13/09, adopted by the Secretary-General on 27 June 2013</w:t>
      </w:r>
      <w:r w:rsidR="00905D54">
        <w:rPr>
          <w:rFonts w:ascii="Calibri" w:hAnsi="Calibri" w:cs="Calibri"/>
          <w:szCs w:val="24"/>
        </w:rPr>
        <w:t>.</w:t>
      </w:r>
      <w:r>
        <w:rPr>
          <w:rFonts w:ascii="Calibri" w:hAnsi="Calibri" w:cs="Calibri"/>
          <w:szCs w:val="24"/>
        </w:rPr>
        <w:t xml:space="preserve"> </w:t>
      </w:r>
    </w:p>
  </w:footnote>
  <w:footnote w:id="2">
    <w:p w:rsidR="00AB0387" w:rsidRPr="00141758" w:rsidRDefault="00AB0387" w:rsidP="00141758">
      <w:pPr>
        <w:pStyle w:val="FootnoteText"/>
        <w:spacing w:before="0"/>
        <w:ind w:left="0" w:firstLine="0"/>
        <w:rPr>
          <w:rFonts w:ascii="Calibri" w:hAnsi="Calibri"/>
          <w:szCs w:val="24"/>
        </w:rPr>
      </w:pPr>
      <w:r w:rsidRPr="00141758">
        <w:rPr>
          <w:rStyle w:val="FootnoteReference"/>
          <w:rFonts w:ascii="Calibri" w:hAnsi="Calibri"/>
          <w:sz w:val="24"/>
          <w:szCs w:val="24"/>
        </w:rPr>
        <w:footnoteRef/>
      </w:r>
      <w:r w:rsidRPr="00141758">
        <w:rPr>
          <w:rFonts w:ascii="Calibri" w:hAnsi="Calibri"/>
          <w:szCs w:val="24"/>
        </w:rPr>
        <w:t xml:space="preserve"> Institute of Internal Auditors, </w:t>
      </w:r>
      <w:hyperlink r:id="rId1" w:history="1">
        <w:r w:rsidR="003F245B" w:rsidRPr="00141758">
          <w:rPr>
            <w:rStyle w:val="Hyperlink"/>
            <w:rFonts w:ascii="Calibri" w:hAnsi="Calibri"/>
            <w:szCs w:val="24"/>
          </w:rPr>
          <w:t>www.theiia.org</w:t>
        </w:r>
      </w:hyperlink>
      <w:r w:rsidR="00905D54">
        <w:rPr>
          <w:rStyle w:val="Hyperlink"/>
          <w:rFonts w:ascii="Calibri" w:hAnsi="Calibri"/>
          <w:szCs w:val="24"/>
        </w:rPr>
        <w:t>.</w:t>
      </w:r>
      <w:r w:rsidR="003F245B" w:rsidRPr="005672DF">
        <w:rPr>
          <w:rFonts w:ascii="Calibri" w:hAnsi="Calibri"/>
          <w:szCs w:val="24"/>
        </w:rPr>
        <w:t xml:space="preserve"> </w:t>
      </w:r>
    </w:p>
  </w:footnote>
  <w:footnote w:id="3">
    <w:p w:rsidR="00FF744D" w:rsidRPr="00FF744D" w:rsidRDefault="00FF744D" w:rsidP="00141758">
      <w:pPr>
        <w:pStyle w:val="FootnoteText"/>
        <w:spacing w:before="0"/>
        <w:ind w:left="0" w:firstLine="0"/>
      </w:pPr>
      <w:r w:rsidRPr="00141758">
        <w:rPr>
          <w:rStyle w:val="FootnoteReference"/>
          <w:rFonts w:ascii="Calibri" w:hAnsi="Calibri"/>
          <w:sz w:val="24"/>
          <w:szCs w:val="24"/>
        </w:rPr>
        <w:footnoteRef/>
      </w:r>
      <w:r w:rsidRPr="00141758">
        <w:rPr>
          <w:rFonts w:ascii="Calibri" w:hAnsi="Calibri"/>
          <w:szCs w:val="24"/>
        </w:rPr>
        <w:t xml:space="preserve"> </w:t>
      </w:r>
      <w:r w:rsidR="00E42279">
        <w:rPr>
          <w:rFonts w:ascii="Calibri" w:hAnsi="Calibri" w:cs="Calibri"/>
          <w:szCs w:val="24"/>
        </w:rPr>
        <w:t>Service Order 13/09, adopted by the Secretary-General on 27 June 2013</w:t>
      </w:r>
      <w:r w:rsidR="00905D54">
        <w:rPr>
          <w:rFonts w:ascii="Calibri" w:hAnsi="Calibri" w:cs="Calibri"/>
          <w:szCs w:val="24"/>
        </w:rPr>
        <w:t>.</w:t>
      </w:r>
    </w:p>
  </w:footnote>
  <w:footnote w:id="4">
    <w:p w:rsidR="00F46CF2" w:rsidRPr="00597401" w:rsidRDefault="00F46CF2" w:rsidP="00F46CF2">
      <w:pPr>
        <w:pStyle w:val="FootnoteText"/>
        <w:rPr>
          <w:lang w:val="en-US"/>
        </w:rPr>
      </w:pPr>
      <w:r>
        <w:rPr>
          <w:rStyle w:val="FootnoteReference"/>
        </w:rPr>
        <w:footnoteRef/>
      </w:r>
      <w:r>
        <w:t xml:space="preserve"> </w:t>
      </w:r>
      <w:r w:rsidRPr="00597401">
        <w:rPr>
          <w:rFonts w:ascii="Calibri" w:hAnsi="Calibri"/>
          <w:lang w:val="en-US"/>
        </w:rPr>
        <w:t>Institute of Internal Auditors</w:t>
      </w:r>
      <w:r w:rsidR="00037364">
        <w:rPr>
          <w:rFonts w:ascii="Calibri" w:hAnsi="Calibri"/>
          <w:lang w:val="en-US"/>
        </w:rPr>
        <w:t xml:space="preserve">, </w:t>
      </w:r>
      <w:hyperlink r:id="rId2" w:history="1">
        <w:r w:rsidR="00037364" w:rsidRPr="0052453D">
          <w:rPr>
            <w:rStyle w:val="Hyperlink"/>
            <w:rFonts w:ascii="Calibri" w:hAnsi="Calibri"/>
            <w:lang w:val="en-US"/>
          </w:rPr>
          <w:t>www.theiia.org</w:t>
        </w:r>
      </w:hyperlink>
      <w:r w:rsidR="00905D54">
        <w:rPr>
          <w:rStyle w:val="Hyperlink"/>
          <w:rFonts w:ascii="Calibri" w:hAnsi="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BB" w:rsidRPr="00B601E5" w:rsidRDefault="002E0BBB" w:rsidP="00D55834">
    <w:pPr>
      <w:pStyle w:val="Header"/>
      <w:rPr>
        <w:rFonts w:ascii="Calibri" w:hAnsi="Calibri"/>
      </w:rPr>
    </w:pPr>
    <w:r w:rsidRPr="00B601E5">
      <w:rPr>
        <w:rFonts w:ascii="Calibri" w:hAnsi="Calibri"/>
      </w:rPr>
      <w:t xml:space="preserve">- </w:t>
    </w:r>
    <w:r w:rsidR="00C85192" w:rsidRPr="00B601E5">
      <w:rPr>
        <w:rFonts w:ascii="Calibri" w:hAnsi="Calibri"/>
      </w:rPr>
      <w:fldChar w:fldCharType="begin"/>
    </w:r>
    <w:r w:rsidRPr="00B601E5">
      <w:rPr>
        <w:rFonts w:ascii="Calibri" w:hAnsi="Calibri"/>
      </w:rPr>
      <w:instrText>PAGE</w:instrText>
    </w:r>
    <w:r w:rsidR="00C85192" w:rsidRPr="00B601E5">
      <w:rPr>
        <w:rFonts w:ascii="Calibri" w:hAnsi="Calibri"/>
      </w:rPr>
      <w:fldChar w:fldCharType="separate"/>
    </w:r>
    <w:r w:rsidR="00C53E8A">
      <w:rPr>
        <w:rFonts w:ascii="Calibri" w:hAnsi="Calibri"/>
        <w:noProof/>
      </w:rPr>
      <w:t>2</w:t>
    </w:r>
    <w:r w:rsidR="00C85192" w:rsidRPr="00B601E5">
      <w:rPr>
        <w:rFonts w:ascii="Calibri" w:hAnsi="Calibri"/>
      </w:rPr>
      <w:fldChar w:fldCharType="end"/>
    </w:r>
    <w:r w:rsidRPr="00B601E5">
      <w:rPr>
        <w:rFonts w:ascii="Calibri" w:hAnsi="Calibri"/>
      </w:rPr>
      <w:t xml:space="preserve"> -</w:t>
    </w:r>
  </w:p>
  <w:p w:rsidR="002E0BBB" w:rsidRPr="00B601E5" w:rsidRDefault="002E0BBB" w:rsidP="00141758">
    <w:pPr>
      <w:pStyle w:val="Header"/>
      <w:rPr>
        <w:rFonts w:ascii="Calibri" w:hAnsi="Calibri"/>
      </w:rPr>
    </w:pPr>
    <w:r w:rsidRPr="00B601E5">
      <w:rPr>
        <w:rFonts w:ascii="Calibri" w:hAnsi="Calibri"/>
      </w:rPr>
      <w:t>C1</w:t>
    </w:r>
    <w:r w:rsidR="00B46BD2">
      <w:rPr>
        <w:rFonts w:ascii="Calibri" w:hAnsi="Calibri"/>
      </w:rPr>
      <w:t>4</w:t>
    </w:r>
    <w:r w:rsidRPr="00B601E5">
      <w:rPr>
        <w:rFonts w:ascii="Calibri" w:hAnsi="Calibri"/>
      </w:rPr>
      <w:t>/</w:t>
    </w:r>
    <w:r w:rsidR="00141758">
      <w:rPr>
        <w:rFonts w:ascii="Calibri" w:hAnsi="Calibri"/>
      </w:rPr>
      <w:t>47</w:t>
    </w:r>
    <w:r w:rsidRPr="00B601E5">
      <w:rPr>
        <w:rFonts w:ascii="Calibri" w:hAnsi="Calibri"/>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814E442"/>
    <w:lvl w:ilvl="0">
      <w:start w:val="1"/>
      <w:numFmt w:val="decimal"/>
      <w:lvlText w:val="%1."/>
      <w:lvlJc w:val="left"/>
      <w:pPr>
        <w:tabs>
          <w:tab w:val="num" w:pos="360"/>
        </w:tabs>
        <w:ind w:left="360" w:hanging="360"/>
      </w:pPr>
      <w:rPr>
        <w:rFonts w:cs="Times New Roman"/>
      </w:rPr>
    </w:lvl>
  </w:abstractNum>
  <w:abstractNum w:abstractNumId="1">
    <w:nsid w:val="04BE0B60"/>
    <w:multiLevelType w:val="hybridMultilevel"/>
    <w:tmpl w:val="9F3AFA5E"/>
    <w:lvl w:ilvl="0" w:tplc="04090001">
      <w:start w:val="1"/>
      <w:numFmt w:val="bullet"/>
      <w:lvlText w:val=""/>
      <w:lvlJc w:val="left"/>
      <w:pPr>
        <w:ind w:left="-492" w:hanging="360"/>
      </w:pPr>
      <w:rPr>
        <w:rFonts w:ascii="Symbol" w:hAnsi="Symbol" w:hint="default"/>
      </w:rPr>
    </w:lvl>
    <w:lvl w:ilvl="1" w:tplc="04090003" w:tentative="1">
      <w:start w:val="1"/>
      <w:numFmt w:val="bullet"/>
      <w:lvlText w:val="o"/>
      <w:lvlJc w:val="left"/>
      <w:pPr>
        <w:ind w:left="228" w:hanging="360"/>
      </w:pPr>
      <w:rPr>
        <w:rFonts w:ascii="Courier New" w:hAnsi="Courier New" w:cs="Courier New" w:hint="default"/>
      </w:rPr>
    </w:lvl>
    <w:lvl w:ilvl="2" w:tplc="04090005" w:tentative="1">
      <w:start w:val="1"/>
      <w:numFmt w:val="bullet"/>
      <w:lvlText w:val=""/>
      <w:lvlJc w:val="left"/>
      <w:pPr>
        <w:ind w:left="948" w:hanging="360"/>
      </w:pPr>
      <w:rPr>
        <w:rFonts w:ascii="Wingdings" w:hAnsi="Wingdings" w:hint="default"/>
      </w:rPr>
    </w:lvl>
    <w:lvl w:ilvl="3" w:tplc="04090001" w:tentative="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cs="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cs="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2">
    <w:nsid w:val="05552E63"/>
    <w:multiLevelType w:val="multilevel"/>
    <w:tmpl w:val="D1821FB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62111B"/>
    <w:multiLevelType w:val="hybridMultilevel"/>
    <w:tmpl w:val="F02C56DA"/>
    <w:lvl w:ilvl="0" w:tplc="0409000F">
      <w:start w:val="1"/>
      <w:numFmt w:val="decimal"/>
      <w:lvlText w:val="%1."/>
      <w:lvlJc w:val="left"/>
      <w:pPr>
        <w:ind w:left="3479"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7276AB3"/>
    <w:multiLevelType w:val="hybridMultilevel"/>
    <w:tmpl w:val="5E70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96CC4"/>
    <w:multiLevelType w:val="hybridMultilevel"/>
    <w:tmpl w:val="6A5CEDF2"/>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E83424"/>
    <w:multiLevelType w:val="hybridMultilevel"/>
    <w:tmpl w:val="18B660F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CB703CD"/>
    <w:multiLevelType w:val="hybridMultilevel"/>
    <w:tmpl w:val="DE2E2CD8"/>
    <w:lvl w:ilvl="0" w:tplc="04090001">
      <w:start w:val="1"/>
      <w:numFmt w:val="bullet"/>
      <w:pStyle w:val="ONUM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D65E9"/>
    <w:multiLevelType w:val="hybridMultilevel"/>
    <w:tmpl w:val="2A729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0605A6"/>
    <w:multiLevelType w:val="hybridMultilevel"/>
    <w:tmpl w:val="C748B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C314B"/>
    <w:multiLevelType w:val="hybridMultilevel"/>
    <w:tmpl w:val="19264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F247D"/>
    <w:multiLevelType w:val="hybridMultilevel"/>
    <w:tmpl w:val="079064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E6DEC"/>
    <w:multiLevelType w:val="hybridMultilevel"/>
    <w:tmpl w:val="4DD41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66075E00"/>
    <w:multiLevelType w:val="hybridMultilevel"/>
    <w:tmpl w:val="41581E06"/>
    <w:lvl w:ilvl="0" w:tplc="86A2561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6E00C5"/>
    <w:multiLevelType w:val="hybridMultilevel"/>
    <w:tmpl w:val="C8DC1C30"/>
    <w:lvl w:ilvl="0" w:tplc="04090001">
      <w:numFmt w:val="bullet"/>
      <w:lvlText w:val=""/>
      <w:lvlJc w:val="left"/>
      <w:pPr>
        <w:ind w:left="3735" w:hanging="360"/>
      </w:pPr>
      <w:rPr>
        <w:rFonts w:ascii="Symbol" w:eastAsia="Times New Roman" w:hAnsi="Symbol" w:cs="Times New Roman"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16">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7">
    <w:nsid w:val="7869302B"/>
    <w:multiLevelType w:val="hybridMultilevel"/>
    <w:tmpl w:val="55EEFE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7B9F4CF4"/>
    <w:multiLevelType w:val="hybridMultilevel"/>
    <w:tmpl w:val="9FE8F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11"/>
  </w:num>
  <w:num w:numId="6">
    <w:abstractNumId w:val="3"/>
  </w:num>
  <w:num w:numId="7">
    <w:abstractNumId w:val="6"/>
  </w:num>
  <w:num w:numId="8">
    <w:abstractNumId w:val="2"/>
  </w:num>
  <w:num w:numId="9">
    <w:abstractNumId w:val="1"/>
  </w:num>
  <w:num w:numId="10">
    <w:abstractNumId w:val="12"/>
  </w:num>
  <w:num w:numId="11">
    <w:abstractNumId w:val="18"/>
  </w:num>
  <w:num w:numId="12">
    <w:abstractNumId w:val="15"/>
  </w:num>
  <w:num w:numId="13">
    <w:abstractNumId w:val="8"/>
  </w:num>
  <w:num w:numId="14">
    <w:abstractNumId w:val="10"/>
  </w:num>
  <w:num w:numId="15">
    <w:abstractNumId w:val="0"/>
  </w:num>
  <w:num w:numId="16">
    <w:abstractNumId w:val="13"/>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FB"/>
    <w:rsid w:val="00005FB2"/>
    <w:rsid w:val="00015F91"/>
    <w:rsid w:val="00020FDD"/>
    <w:rsid w:val="00023863"/>
    <w:rsid w:val="0003657B"/>
    <w:rsid w:val="00037364"/>
    <w:rsid w:val="00045258"/>
    <w:rsid w:val="000469E4"/>
    <w:rsid w:val="0005389A"/>
    <w:rsid w:val="0008486A"/>
    <w:rsid w:val="000C375E"/>
    <w:rsid w:val="000C43DA"/>
    <w:rsid w:val="000D4F34"/>
    <w:rsid w:val="000E5862"/>
    <w:rsid w:val="001075B8"/>
    <w:rsid w:val="00111821"/>
    <w:rsid w:val="00124CF4"/>
    <w:rsid w:val="00137F1E"/>
    <w:rsid w:val="00141758"/>
    <w:rsid w:val="001428F8"/>
    <w:rsid w:val="00146CF4"/>
    <w:rsid w:val="00147AAA"/>
    <w:rsid w:val="00154258"/>
    <w:rsid w:val="00162339"/>
    <w:rsid w:val="00170DC8"/>
    <w:rsid w:val="001934ED"/>
    <w:rsid w:val="0019483C"/>
    <w:rsid w:val="001D1FD3"/>
    <w:rsid w:val="001D5E91"/>
    <w:rsid w:val="001E1D2D"/>
    <w:rsid w:val="00204EFB"/>
    <w:rsid w:val="00211FD4"/>
    <w:rsid w:val="00217861"/>
    <w:rsid w:val="00230F31"/>
    <w:rsid w:val="002378AA"/>
    <w:rsid w:val="00242155"/>
    <w:rsid w:val="0024273D"/>
    <w:rsid w:val="00246D5A"/>
    <w:rsid w:val="002552F3"/>
    <w:rsid w:val="00266956"/>
    <w:rsid w:val="0028795E"/>
    <w:rsid w:val="00294997"/>
    <w:rsid w:val="002B4CB8"/>
    <w:rsid w:val="002B4F23"/>
    <w:rsid w:val="002B78FE"/>
    <w:rsid w:val="002D2A4C"/>
    <w:rsid w:val="002D5E78"/>
    <w:rsid w:val="002E0BBB"/>
    <w:rsid w:val="00314DEB"/>
    <w:rsid w:val="003251D7"/>
    <w:rsid w:val="00346766"/>
    <w:rsid w:val="00355E33"/>
    <w:rsid w:val="00381526"/>
    <w:rsid w:val="003C3127"/>
    <w:rsid w:val="003C5710"/>
    <w:rsid w:val="003D012C"/>
    <w:rsid w:val="003D1EC5"/>
    <w:rsid w:val="003E352B"/>
    <w:rsid w:val="003F2311"/>
    <w:rsid w:val="003F245B"/>
    <w:rsid w:val="003F3A02"/>
    <w:rsid w:val="0040058B"/>
    <w:rsid w:val="00414046"/>
    <w:rsid w:val="00417707"/>
    <w:rsid w:val="00420225"/>
    <w:rsid w:val="00427DA9"/>
    <w:rsid w:val="00431BE3"/>
    <w:rsid w:val="00431F1B"/>
    <w:rsid w:val="00436A86"/>
    <w:rsid w:val="004469F7"/>
    <w:rsid w:val="004517EC"/>
    <w:rsid w:val="00454F43"/>
    <w:rsid w:val="00460603"/>
    <w:rsid w:val="00460F02"/>
    <w:rsid w:val="00464833"/>
    <w:rsid w:val="004651B5"/>
    <w:rsid w:val="004716DE"/>
    <w:rsid w:val="00476637"/>
    <w:rsid w:val="0047757D"/>
    <w:rsid w:val="004848AA"/>
    <w:rsid w:val="0049277C"/>
    <w:rsid w:val="00497D87"/>
    <w:rsid w:val="004E1504"/>
    <w:rsid w:val="004E5454"/>
    <w:rsid w:val="005011EA"/>
    <w:rsid w:val="00516260"/>
    <w:rsid w:val="005256F2"/>
    <w:rsid w:val="00550356"/>
    <w:rsid w:val="005672DF"/>
    <w:rsid w:val="00573AA6"/>
    <w:rsid w:val="0057596B"/>
    <w:rsid w:val="00575F70"/>
    <w:rsid w:val="0058325D"/>
    <w:rsid w:val="00583F3C"/>
    <w:rsid w:val="00586840"/>
    <w:rsid w:val="00597401"/>
    <w:rsid w:val="005A15F1"/>
    <w:rsid w:val="005A5EBE"/>
    <w:rsid w:val="005B6856"/>
    <w:rsid w:val="005D2C7C"/>
    <w:rsid w:val="005D3DBF"/>
    <w:rsid w:val="005E0439"/>
    <w:rsid w:val="005F171F"/>
    <w:rsid w:val="0061198A"/>
    <w:rsid w:val="0061758F"/>
    <w:rsid w:val="00622C5F"/>
    <w:rsid w:val="00623897"/>
    <w:rsid w:val="00631623"/>
    <w:rsid w:val="00634241"/>
    <w:rsid w:val="00637B39"/>
    <w:rsid w:val="00641B04"/>
    <w:rsid w:val="006440C1"/>
    <w:rsid w:val="006442FE"/>
    <w:rsid w:val="0065296C"/>
    <w:rsid w:val="00657A6D"/>
    <w:rsid w:val="00667C4D"/>
    <w:rsid w:val="006970F4"/>
    <w:rsid w:val="006B0B53"/>
    <w:rsid w:val="006B0E43"/>
    <w:rsid w:val="006B1957"/>
    <w:rsid w:val="006B299A"/>
    <w:rsid w:val="006E5EFF"/>
    <w:rsid w:val="00701A15"/>
    <w:rsid w:val="00706138"/>
    <w:rsid w:val="00755AF6"/>
    <w:rsid w:val="007659DC"/>
    <w:rsid w:val="00766811"/>
    <w:rsid w:val="00772EC7"/>
    <w:rsid w:val="007807CC"/>
    <w:rsid w:val="0078477A"/>
    <w:rsid w:val="00791359"/>
    <w:rsid w:val="007B48D6"/>
    <w:rsid w:val="007C0EA6"/>
    <w:rsid w:val="007C2336"/>
    <w:rsid w:val="007C7F92"/>
    <w:rsid w:val="007E1D8E"/>
    <w:rsid w:val="007E542D"/>
    <w:rsid w:val="008034FA"/>
    <w:rsid w:val="00803E4B"/>
    <w:rsid w:val="008065B9"/>
    <w:rsid w:val="00831FE9"/>
    <w:rsid w:val="0084015A"/>
    <w:rsid w:val="008469FB"/>
    <w:rsid w:val="00847067"/>
    <w:rsid w:val="00854367"/>
    <w:rsid w:val="0085484D"/>
    <w:rsid w:val="0088244C"/>
    <w:rsid w:val="0089717F"/>
    <w:rsid w:val="0089767F"/>
    <w:rsid w:val="008B6CB0"/>
    <w:rsid w:val="008C7681"/>
    <w:rsid w:val="008D4FE8"/>
    <w:rsid w:val="008F30BA"/>
    <w:rsid w:val="008F3204"/>
    <w:rsid w:val="00900710"/>
    <w:rsid w:val="00902294"/>
    <w:rsid w:val="00903D11"/>
    <w:rsid w:val="00905D54"/>
    <w:rsid w:val="00930AC1"/>
    <w:rsid w:val="00943417"/>
    <w:rsid w:val="009473BD"/>
    <w:rsid w:val="0094773B"/>
    <w:rsid w:val="009521DE"/>
    <w:rsid w:val="00961BC1"/>
    <w:rsid w:val="00964E48"/>
    <w:rsid w:val="00965130"/>
    <w:rsid w:val="00967BA6"/>
    <w:rsid w:val="00976824"/>
    <w:rsid w:val="00980457"/>
    <w:rsid w:val="00991AF5"/>
    <w:rsid w:val="00996D2B"/>
    <w:rsid w:val="009A256B"/>
    <w:rsid w:val="009B2FE8"/>
    <w:rsid w:val="009B418F"/>
    <w:rsid w:val="009E638D"/>
    <w:rsid w:val="00A12892"/>
    <w:rsid w:val="00A22DA5"/>
    <w:rsid w:val="00A231E7"/>
    <w:rsid w:val="00A40872"/>
    <w:rsid w:val="00A50D31"/>
    <w:rsid w:val="00A52358"/>
    <w:rsid w:val="00A54EA4"/>
    <w:rsid w:val="00A624A0"/>
    <w:rsid w:val="00A72B82"/>
    <w:rsid w:val="00A73959"/>
    <w:rsid w:val="00A849A2"/>
    <w:rsid w:val="00AA5D68"/>
    <w:rsid w:val="00AB0387"/>
    <w:rsid w:val="00AB7A92"/>
    <w:rsid w:val="00AD3C06"/>
    <w:rsid w:val="00AD4199"/>
    <w:rsid w:val="00AD5484"/>
    <w:rsid w:val="00AE63E3"/>
    <w:rsid w:val="00AE7721"/>
    <w:rsid w:val="00AF2442"/>
    <w:rsid w:val="00B06F5B"/>
    <w:rsid w:val="00B1250F"/>
    <w:rsid w:val="00B16EB4"/>
    <w:rsid w:val="00B212CD"/>
    <w:rsid w:val="00B23276"/>
    <w:rsid w:val="00B24062"/>
    <w:rsid w:val="00B249F5"/>
    <w:rsid w:val="00B3403C"/>
    <w:rsid w:val="00B34517"/>
    <w:rsid w:val="00B44FA3"/>
    <w:rsid w:val="00B44FAA"/>
    <w:rsid w:val="00B46BD2"/>
    <w:rsid w:val="00B601E5"/>
    <w:rsid w:val="00B66909"/>
    <w:rsid w:val="00B72185"/>
    <w:rsid w:val="00B948EC"/>
    <w:rsid w:val="00B95172"/>
    <w:rsid w:val="00BB00E7"/>
    <w:rsid w:val="00BC6DA7"/>
    <w:rsid w:val="00BE44E4"/>
    <w:rsid w:val="00BF234C"/>
    <w:rsid w:val="00BF326B"/>
    <w:rsid w:val="00C042A1"/>
    <w:rsid w:val="00C04506"/>
    <w:rsid w:val="00C07B20"/>
    <w:rsid w:val="00C23E81"/>
    <w:rsid w:val="00C26B31"/>
    <w:rsid w:val="00C31C4E"/>
    <w:rsid w:val="00C337FC"/>
    <w:rsid w:val="00C37929"/>
    <w:rsid w:val="00C53CE3"/>
    <w:rsid w:val="00C53E8A"/>
    <w:rsid w:val="00C54C56"/>
    <w:rsid w:val="00C6762C"/>
    <w:rsid w:val="00C70359"/>
    <w:rsid w:val="00C709A7"/>
    <w:rsid w:val="00C765B8"/>
    <w:rsid w:val="00C81393"/>
    <w:rsid w:val="00C85192"/>
    <w:rsid w:val="00CB443F"/>
    <w:rsid w:val="00CB7B10"/>
    <w:rsid w:val="00CC4930"/>
    <w:rsid w:val="00CC5D8C"/>
    <w:rsid w:val="00CD4D3A"/>
    <w:rsid w:val="00CE6C3E"/>
    <w:rsid w:val="00CF0854"/>
    <w:rsid w:val="00CF0BB1"/>
    <w:rsid w:val="00D12B97"/>
    <w:rsid w:val="00D24C8B"/>
    <w:rsid w:val="00D55834"/>
    <w:rsid w:val="00D72CA2"/>
    <w:rsid w:val="00D7305E"/>
    <w:rsid w:val="00D7349A"/>
    <w:rsid w:val="00D82274"/>
    <w:rsid w:val="00D93847"/>
    <w:rsid w:val="00DA26BB"/>
    <w:rsid w:val="00DB2C82"/>
    <w:rsid w:val="00DC332A"/>
    <w:rsid w:val="00DD034E"/>
    <w:rsid w:val="00DD7B70"/>
    <w:rsid w:val="00DE2BC2"/>
    <w:rsid w:val="00DE587A"/>
    <w:rsid w:val="00E03238"/>
    <w:rsid w:val="00E07310"/>
    <w:rsid w:val="00E07C39"/>
    <w:rsid w:val="00E11D95"/>
    <w:rsid w:val="00E13310"/>
    <w:rsid w:val="00E174B4"/>
    <w:rsid w:val="00E41262"/>
    <w:rsid w:val="00E42279"/>
    <w:rsid w:val="00E442CE"/>
    <w:rsid w:val="00E630D0"/>
    <w:rsid w:val="00E6386F"/>
    <w:rsid w:val="00E63C06"/>
    <w:rsid w:val="00E855F3"/>
    <w:rsid w:val="00E85848"/>
    <w:rsid w:val="00EA3000"/>
    <w:rsid w:val="00EA5225"/>
    <w:rsid w:val="00EA77CF"/>
    <w:rsid w:val="00EB052E"/>
    <w:rsid w:val="00EC66E3"/>
    <w:rsid w:val="00ED77E4"/>
    <w:rsid w:val="00EE392E"/>
    <w:rsid w:val="00F06E25"/>
    <w:rsid w:val="00F13D1E"/>
    <w:rsid w:val="00F31563"/>
    <w:rsid w:val="00F4392E"/>
    <w:rsid w:val="00F46CF2"/>
    <w:rsid w:val="00F615F0"/>
    <w:rsid w:val="00F73BE9"/>
    <w:rsid w:val="00F7704E"/>
    <w:rsid w:val="00F804C7"/>
    <w:rsid w:val="00F90B31"/>
    <w:rsid w:val="00F90C9E"/>
    <w:rsid w:val="00F97BC1"/>
    <w:rsid w:val="00FA63B6"/>
    <w:rsid w:val="00FB5D18"/>
    <w:rsid w:val="00FC22AF"/>
    <w:rsid w:val="00FC7C7E"/>
    <w:rsid w:val="00FD0F8A"/>
    <w:rsid w:val="00FD6FFA"/>
    <w:rsid w:val="00FE4692"/>
    <w:rsid w:val="00FE72F2"/>
    <w:rsid w:val="00FF74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7BFC94-92F4-4D09-B026-44D08038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F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styleId="Heading1">
    <w:name w:val="heading 1"/>
    <w:basedOn w:val="Normal"/>
    <w:next w:val="Normal"/>
    <w:link w:val="Heading1Char"/>
    <w:qFormat/>
    <w:rsid w:val="00E855F3"/>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semiHidden/>
    <w:unhideWhenUsed/>
    <w:qFormat/>
    <w:rsid w:val="00162339"/>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qFormat/>
    <w:rsid w:val="00204EF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4EFB"/>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04EFB"/>
    <w:pPr>
      <w:tabs>
        <w:tab w:val="clear" w:pos="794"/>
        <w:tab w:val="clear" w:pos="1191"/>
        <w:tab w:val="clear" w:pos="1588"/>
        <w:tab w:val="clear" w:pos="1985"/>
      </w:tabs>
      <w:spacing w:before="0"/>
      <w:jc w:val="center"/>
    </w:pPr>
    <w:rPr>
      <w:sz w:val="18"/>
      <w:lang w:val="fr-FR"/>
    </w:rPr>
  </w:style>
  <w:style w:type="character" w:styleId="FootnoteReference">
    <w:name w:val="footnote reference"/>
    <w:uiPriority w:val="99"/>
    <w:rsid w:val="00204EFB"/>
    <w:rPr>
      <w:position w:val="6"/>
      <w:sz w:val="18"/>
    </w:rPr>
  </w:style>
  <w:style w:type="paragraph" w:styleId="FootnoteText">
    <w:name w:val="footnote text"/>
    <w:basedOn w:val="Normal"/>
    <w:link w:val="FootnoteTextChar"/>
    <w:uiPriority w:val="99"/>
    <w:rsid w:val="00204EFB"/>
    <w:pPr>
      <w:keepLines/>
      <w:tabs>
        <w:tab w:val="left" w:pos="255"/>
      </w:tabs>
      <w:ind w:left="255" w:hanging="255"/>
    </w:pPr>
  </w:style>
  <w:style w:type="paragraph" w:customStyle="1" w:styleId="Normalaftertitle">
    <w:name w:val="Normal after title"/>
    <w:basedOn w:val="Normal"/>
    <w:next w:val="Normal"/>
    <w:rsid w:val="00204EFB"/>
    <w:pPr>
      <w:spacing w:before="320"/>
    </w:pPr>
  </w:style>
  <w:style w:type="paragraph" w:customStyle="1" w:styleId="Source">
    <w:name w:val="Source"/>
    <w:basedOn w:val="Normal"/>
    <w:next w:val="Normal"/>
    <w:rsid w:val="00204EFB"/>
    <w:pPr>
      <w:spacing w:before="480"/>
      <w:jc w:val="center"/>
    </w:pPr>
    <w:rPr>
      <w:b/>
      <w:sz w:val="28"/>
    </w:rPr>
  </w:style>
  <w:style w:type="character" w:styleId="Hyperlink">
    <w:name w:val="Hyperlink"/>
    <w:rsid w:val="00204EFB"/>
    <w:rPr>
      <w:color w:val="0000FF"/>
      <w:u w:val="single"/>
    </w:rPr>
  </w:style>
  <w:style w:type="paragraph" w:customStyle="1" w:styleId="Headingb">
    <w:name w:val="Heading_b"/>
    <w:basedOn w:val="Heading3"/>
    <w:next w:val="Normal"/>
    <w:rsid w:val="00204EFB"/>
    <w:pPr>
      <w:keepLines/>
      <w:tabs>
        <w:tab w:val="clear" w:pos="1191"/>
        <w:tab w:val="clear" w:pos="1588"/>
        <w:tab w:val="clear" w:pos="1985"/>
        <w:tab w:val="left" w:pos="2127"/>
        <w:tab w:val="left" w:pos="2410"/>
        <w:tab w:val="left" w:pos="2921"/>
        <w:tab w:val="left" w:pos="3261"/>
      </w:tabs>
      <w:overflowPunct/>
      <w:autoSpaceDE/>
      <w:autoSpaceDN/>
      <w:adjustRightInd/>
      <w:spacing w:before="160" w:after="0"/>
      <w:textAlignment w:val="auto"/>
      <w:outlineLvl w:val="9"/>
    </w:pPr>
    <w:rPr>
      <w:rFonts w:ascii="Times New Roman Bold" w:hAnsi="Times New Roman Bold" w:cs="Times New Roman"/>
      <w:bCs w:val="0"/>
      <w:sz w:val="24"/>
      <w:szCs w:val="20"/>
    </w:rPr>
  </w:style>
  <w:style w:type="paragraph" w:customStyle="1" w:styleId="Title1">
    <w:name w:val="Title 1"/>
    <w:basedOn w:val="Source"/>
    <w:next w:val="Normal"/>
    <w:rsid w:val="00204EFB"/>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able">
    <w:name w:val="Table_#"/>
    <w:basedOn w:val="Normal"/>
    <w:next w:val="Normal"/>
    <w:rsid w:val="00204EFB"/>
    <w:pPr>
      <w:keepNext/>
      <w:overflowPunct/>
      <w:autoSpaceDE/>
      <w:autoSpaceDN/>
      <w:adjustRightInd/>
      <w:spacing w:before="560" w:after="120"/>
      <w:jc w:val="center"/>
      <w:textAlignment w:val="auto"/>
    </w:pPr>
    <w:rPr>
      <w:caps/>
    </w:rPr>
  </w:style>
  <w:style w:type="paragraph" w:customStyle="1" w:styleId="Tablehead">
    <w:name w:val="Table_head"/>
    <w:basedOn w:val="Normal"/>
    <w:next w:val="Normal"/>
    <w:rsid w:val="00204E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styleId="BodyTextIndent">
    <w:name w:val="Body Text Indent"/>
    <w:basedOn w:val="Normal"/>
    <w:rsid w:val="00204EFB"/>
    <w:pPr>
      <w:spacing w:after="120"/>
      <w:ind w:left="283"/>
    </w:pPr>
  </w:style>
  <w:style w:type="paragraph" w:customStyle="1" w:styleId="CharCharCharCharCharChar">
    <w:name w:val="Char Char Char Char Char Char"/>
    <w:basedOn w:val="Normal"/>
    <w:rsid w:val="00641B0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TOC1">
    <w:name w:val="toc 1"/>
    <w:basedOn w:val="Normal"/>
    <w:rsid w:val="009B418F"/>
    <w:pPr>
      <w:keepLines/>
      <w:tabs>
        <w:tab w:val="clear" w:pos="794"/>
        <w:tab w:val="clear" w:pos="1191"/>
        <w:tab w:val="clear" w:pos="1588"/>
        <w:tab w:val="clear" w:pos="1985"/>
        <w:tab w:val="left" w:pos="964"/>
        <w:tab w:val="left" w:leader="dot" w:pos="8789"/>
        <w:tab w:val="right" w:pos="9639"/>
      </w:tabs>
      <w:spacing w:before="240"/>
      <w:ind w:left="680" w:right="851" w:hanging="680"/>
    </w:pPr>
    <w:rPr>
      <w:rFonts w:ascii="Calibri" w:hAnsi="Calibri"/>
      <w:sz w:val="22"/>
    </w:rPr>
  </w:style>
  <w:style w:type="paragraph" w:styleId="ListParagraph">
    <w:name w:val="List Paragraph"/>
    <w:basedOn w:val="Normal"/>
    <w:uiPriority w:val="34"/>
    <w:qFormat/>
    <w:rsid w:val="00A40872"/>
    <w:pPr>
      <w:ind w:left="720"/>
      <w:contextualSpacing/>
    </w:pPr>
  </w:style>
  <w:style w:type="paragraph" w:styleId="BalloonText">
    <w:name w:val="Balloon Text"/>
    <w:basedOn w:val="Normal"/>
    <w:link w:val="BalloonTextChar"/>
    <w:rsid w:val="00A624A0"/>
    <w:pPr>
      <w:spacing w:before="0"/>
    </w:pPr>
    <w:rPr>
      <w:rFonts w:ascii="Tahoma" w:hAnsi="Tahoma" w:cs="Tahoma"/>
      <w:sz w:val="16"/>
      <w:szCs w:val="16"/>
    </w:rPr>
  </w:style>
  <w:style w:type="character" w:customStyle="1" w:styleId="BalloonTextChar">
    <w:name w:val="Balloon Text Char"/>
    <w:link w:val="BalloonText"/>
    <w:rsid w:val="00A624A0"/>
    <w:rPr>
      <w:rFonts w:ascii="Tahoma" w:eastAsia="Times New Roman" w:hAnsi="Tahoma" w:cs="Tahoma"/>
      <w:sz w:val="16"/>
      <w:szCs w:val="16"/>
      <w:lang w:val="en-GB" w:eastAsia="en-US"/>
    </w:rPr>
  </w:style>
  <w:style w:type="character" w:customStyle="1" w:styleId="Heading2Char">
    <w:name w:val="Heading 2 Char"/>
    <w:link w:val="Heading2"/>
    <w:semiHidden/>
    <w:rsid w:val="00162339"/>
    <w:rPr>
      <w:rFonts w:ascii="Cambria" w:eastAsia="SimSun" w:hAnsi="Cambria" w:cs="Times New Roman"/>
      <w:b/>
      <w:bCs/>
      <w:color w:val="4F81BD"/>
      <w:sz w:val="26"/>
      <w:szCs w:val="26"/>
      <w:lang w:val="en-GB" w:eastAsia="en-US"/>
    </w:rPr>
  </w:style>
  <w:style w:type="character" w:customStyle="1" w:styleId="Heading1Char">
    <w:name w:val="Heading 1 Char"/>
    <w:link w:val="Heading1"/>
    <w:rsid w:val="00E855F3"/>
    <w:rPr>
      <w:rFonts w:ascii="Cambria" w:eastAsia="SimSun" w:hAnsi="Cambria" w:cs="Times New Roman"/>
      <w:b/>
      <w:bCs/>
      <w:color w:val="365F91"/>
      <w:sz w:val="28"/>
      <w:szCs w:val="28"/>
      <w:lang w:val="en-GB" w:eastAsia="en-US"/>
    </w:rPr>
  </w:style>
  <w:style w:type="paragraph" w:styleId="Date">
    <w:name w:val="Date"/>
    <w:basedOn w:val="Normal"/>
    <w:next w:val="Normal"/>
    <w:link w:val="DateChar"/>
    <w:rsid w:val="00045258"/>
  </w:style>
  <w:style w:type="character" w:customStyle="1" w:styleId="DateChar">
    <w:name w:val="Date Char"/>
    <w:link w:val="Date"/>
    <w:rsid w:val="00045258"/>
    <w:rPr>
      <w:rFonts w:eastAsia="Times New Roman"/>
      <w:sz w:val="24"/>
      <w:lang w:val="en-GB" w:eastAsia="en-US"/>
    </w:rPr>
  </w:style>
  <w:style w:type="character" w:customStyle="1" w:styleId="FootnoteTextChar">
    <w:name w:val="Footnote Text Char"/>
    <w:link w:val="FootnoteText"/>
    <w:uiPriority w:val="99"/>
    <w:rsid w:val="00420225"/>
    <w:rPr>
      <w:rFonts w:eastAsia="Times New Roman"/>
      <w:sz w:val="24"/>
      <w:lang w:val="en-GB" w:eastAsia="en-US"/>
    </w:rPr>
  </w:style>
  <w:style w:type="paragraph" w:styleId="Caption">
    <w:name w:val="caption"/>
    <w:basedOn w:val="Normal"/>
    <w:next w:val="Normal"/>
    <w:qFormat/>
    <w:rsid w:val="002B4F23"/>
    <w:pPr>
      <w:tabs>
        <w:tab w:val="clear" w:pos="794"/>
        <w:tab w:val="clear" w:pos="1191"/>
        <w:tab w:val="clear" w:pos="1588"/>
        <w:tab w:val="clear" w:pos="1985"/>
      </w:tabs>
      <w:overflowPunct/>
      <w:autoSpaceDE/>
      <w:autoSpaceDN/>
      <w:adjustRightInd/>
      <w:spacing w:before="0"/>
      <w:textAlignment w:val="auto"/>
    </w:pPr>
    <w:rPr>
      <w:rFonts w:ascii="Arial" w:eastAsia="SimSun" w:hAnsi="Arial" w:cs="Arial"/>
      <w:b/>
      <w:bCs/>
      <w:sz w:val="18"/>
      <w:lang w:val="en-US" w:eastAsia="zh-CN"/>
    </w:rPr>
  </w:style>
  <w:style w:type="paragraph" w:customStyle="1" w:styleId="ONUME">
    <w:name w:val="ONUM E"/>
    <w:basedOn w:val="BodyText"/>
    <w:rsid w:val="002B4F23"/>
    <w:pPr>
      <w:numPr>
        <w:numId w:val="2"/>
      </w:numPr>
      <w:tabs>
        <w:tab w:val="clear" w:pos="794"/>
        <w:tab w:val="clear" w:pos="1191"/>
        <w:tab w:val="clear" w:pos="1588"/>
        <w:tab w:val="clear" w:pos="1985"/>
      </w:tabs>
      <w:overflowPunct/>
      <w:autoSpaceDE/>
      <w:autoSpaceDN/>
      <w:adjustRightInd/>
      <w:spacing w:before="0" w:after="220"/>
      <w:textAlignment w:val="auto"/>
    </w:pPr>
    <w:rPr>
      <w:rFonts w:ascii="Arial" w:eastAsia="SimSun" w:hAnsi="Arial" w:cs="Arial"/>
      <w:sz w:val="22"/>
      <w:lang w:val="en-US" w:eastAsia="zh-CN"/>
    </w:rPr>
  </w:style>
  <w:style w:type="paragraph" w:styleId="PlainText">
    <w:name w:val="Plain Text"/>
    <w:basedOn w:val="Normal"/>
    <w:link w:val="PlainTextChar"/>
    <w:rsid w:val="002B4F23"/>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link w:val="PlainText"/>
    <w:rsid w:val="002B4F23"/>
    <w:rPr>
      <w:rFonts w:ascii="Courier New" w:hAnsi="Courier New" w:cs="Courier New"/>
    </w:rPr>
  </w:style>
  <w:style w:type="character" w:customStyle="1" w:styleId="FootnoteTextChar2">
    <w:name w:val="Footnote Text Char2"/>
    <w:semiHidden/>
    <w:locked/>
    <w:rsid w:val="002B4F23"/>
    <w:rPr>
      <w:rFonts w:ascii="Arial" w:eastAsia="SimSun" w:hAnsi="Arial"/>
      <w:sz w:val="18"/>
      <w:lang w:val="en-US" w:eastAsia="zh-CN"/>
    </w:rPr>
  </w:style>
  <w:style w:type="paragraph" w:styleId="BodyText">
    <w:name w:val="Body Text"/>
    <w:basedOn w:val="Normal"/>
    <w:link w:val="BodyTextChar"/>
    <w:rsid w:val="002B4F23"/>
    <w:pPr>
      <w:spacing w:after="120"/>
    </w:pPr>
  </w:style>
  <w:style w:type="character" w:customStyle="1" w:styleId="BodyTextChar">
    <w:name w:val="Body Text Char"/>
    <w:link w:val="BodyText"/>
    <w:rsid w:val="002B4F23"/>
    <w:rPr>
      <w:rFonts w:eastAsia="Times New Roman"/>
      <w:sz w:val="24"/>
      <w:lang w:val="en-GB" w:eastAsia="en-US"/>
    </w:rPr>
  </w:style>
  <w:style w:type="character" w:styleId="Emphasis">
    <w:name w:val="Emphasis"/>
    <w:uiPriority w:val="20"/>
    <w:qFormat/>
    <w:rsid w:val="00C04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7714">
      <w:bodyDiv w:val="1"/>
      <w:marLeft w:val="0"/>
      <w:marRight w:val="0"/>
      <w:marTop w:val="0"/>
      <w:marBottom w:val="0"/>
      <w:divBdr>
        <w:top w:val="none" w:sz="0" w:space="0" w:color="auto"/>
        <w:left w:val="none" w:sz="0" w:space="0" w:color="auto"/>
        <w:bottom w:val="none" w:sz="0" w:space="0" w:color="auto"/>
        <w:right w:val="none" w:sz="0" w:space="0" w:color="auto"/>
      </w:divBdr>
    </w:div>
    <w:div w:id="162091330">
      <w:bodyDiv w:val="1"/>
      <w:marLeft w:val="0"/>
      <w:marRight w:val="0"/>
      <w:marTop w:val="0"/>
      <w:marBottom w:val="0"/>
      <w:divBdr>
        <w:top w:val="none" w:sz="0" w:space="0" w:color="auto"/>
        <w:left w:val="none" w:sz="0" w:space="0" w:color="auto"/>
        <w:bottom w:val="none" w:sz="0" w:space="0" w:color="auto"/>
        <w:right w:val="none" w:sz="0" w:space="0" w:color="auto"/>
      </w:divBdr>
    </w:div>
    <w:div w:id="181749793">
      <w:bodyDiv w:val="1"/>
      <w:marLeft w:val="0"/>
      <w:marRight w:val="0"/>
      <w:marTop w:val="0"/>
      <w:marBottom w:val="0"/>
      <w:divBdr>
        <w:top w:val="none" w:sz="0" w:space="0" w:color="auto"/>
        <w:left w:val="none" w:sz="0" w:space="0" w:color="auto"/>
        <w:bottom w:val="none" w:sz="0" w:space="0" w:color="auto"/>
        <w:right w:val="none" w:sz="0" w:space="0" w:color="auto"/>
      </w:divBdr>
    </w:div>
    <w:div w:id="248470462">
      <w:bodyDiv w:val="1"/>
      <w:marLeft w:val="0"/>
      <w:marRight w:val="0"/>
      <w:marTop w:val="0"/>
      <w:marBottom w:val="0"/>
      <w:divBdr>
        <w:top w:val="none" w:sz="0" w:space="0" w:color="auto"/>
        <w:left w:val="none" w:sz="0" w:space="0" w:color="auto"/>
        <w:bottom w:val="none" w:sz="0" w:space="0" w:color="auto"/>
        <w:right w:val="none" w:sz="0" w:space="0" w:color="auto"/>
      </w:divBdr>
    </w:div>
    <w:div w:id="272370506">
      <w:bodyDiv w:val="1"/>
      <w:marLeft w:val="0"/>
      <w:marRight w:val="0"/>
      <w:marTop w:val="0"/>
      <w:marBottom w:val="0"/>
      <w:divBdr>
        <w:top w:val="none" w:sz="0" w:space="0" w:color="auto"/>
        <w:left w:val="none" w:sz="0" w:space="0" w:color="auto"/>
        <w:bottom w:val="none" w:sz="0" w:space="0" w:color="auto"/>
        <w:right w:val="none" w:sz="0" w:space="0" w:color="auto"/>
      </w:divBdr>
    </w:div>
    <w:div w:id="790365112">
      <w:bodyDiv w:val="1"/>
      <w:marLeft w:val="0"/>
      <w:marRight w:val="0"/>
      <w:marTop w:val="0"/>
      <w:marBottom w:val="0"/>
      <w:divBdr>
        <w:top w:val="none" w:sz="0" w:space="0" w:color="auto"/>
        <w:left w:val="none" w:sz="0" w:space="0" w:color="auto"/>
        <w:bottom w:val="none" w:sz="0" w:space="0" w:color="auto"/>
        <w:right w:val="none" w:sz="0" w:space="0" w:color="auto"/>
      </w:divBdr>
    </w:div>
    <w:div w:id="1318848806">
      <w:bodyDiv w:val="1"/>
      <w:marLeft w:val="0"/>
      <w:marRight w:val="0"/>
      <w:marTop w:val="0"/>
      <w:marBottom w:val="0"/>
      <w:divBdr>
        <w:top w:val="none" w:sz="0" w:space="0" w:color="auto"/>
        <w:left w:val="none" w:sz="0" w:space="0" w:color="auto"/>
        <w:bottom w:val="none" w:sz="0" w:space="0" w:color="auto"/>
        <w:right w:val="none" w:sz="0" w:space="0" w:color="auto"/>
      </w:divBdr>
    </w:div>
    <w:div w:id="1376351156">
      <w:bodyDiv w:val="1"/>
      <w:marLeft w:val="0"/>
      <w:marRight w:val="0"/>
      <w:marTop w:val="0"/>
      <w:marBottom w:val="0"/>
      <w:divBdr>
        <w:top w:val="none" w:sz="0" w:space="0" w:color="auto"/>
        <w:left w:val="none" w:sz="0" w:space="0" w:color="auto"/>
        <w:bottom w:val="none" w:sz="0" w:space="0" w:color="auto"/>
        <w:right w:val="none" w:sz="0" w:space="0" w:color="auto"/>
      </w:divBdr>
    </w:div>
    <w:div w:id="1400254176">
      <w:bodyDiv w:val="1"/>
      <w:marLeft w:val="0"/>
      <w:marRight w:val="0"/>
      <w:marTop w:val="0"/>
      <w:marBottom w:val="0"/>
      <w:divBdr>
        <w:top w:val="none" w:sz="0" w:space="0" w:color="auto"/>
        <w:left w:val="none" w:sz="0" w:space="0" w:color="auto"/>
        <w:bottom w:val="none" w:sz="0" w:space="0" w:color="auto"/>
        <w:right w:val="none" w:sz="0" w:space="0" w:color="auto"/>
      </w:divBdr>
    </w:div>
    <w:div w:id="16199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0D9262E14664394CA987FCAC2F012" ma:contentTypeVersion="0" ma:contentTypeDescription="Create a new document." ma:contentTypeScope="" ma:versionID="15b7c5b4333b54950367f95943deec6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0B08-7FD3-403F-8F1C-35F710E71B9A}">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14CB1D1-F83C-4B8F-AC74-29CAE9891588}">
  <ds:schemaRefs>
    <ds:schemaRef ds:uri="http://schemas.microsoft.com/sharepoint/v3/contenttype/forms"/>
  </ds:schemaRefs>
</ds:datastoreItem>
</file>

<file path=customXml/itemProps3.xml><?xml version="1.0" encoding="utf-8"?>
<ds:datastoreItem xmlns:ds="http://schemas.openxmlformats.org/officeDocument/2006/customXml" ds:itemID="{AAE6DB19-D050-45E0-A7FC-8B841E3B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9A060A-08C3-4540-A6CB-B35992B0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C13/INF/4 - Report of the Internal Auditor on Internal Audit Activities</vt:lpstr>
    </vt:vector>
  </TitlesOfParts>
  <Company>ITU</Company>
  <LinksUpToDate>false</LinksUpToDate>
  <CharactersWithSpaces>9219</CharactersWithSpaces>
  <SharedDoc>false</SharedDoc>
  <HLinks>
    <vt:vector size="18" baseType="variant">
      <vt:variant>
        <vt:i4>2097208</vt:i4>
      </vt:variant>
      <vt:variant>
        <vt:i4>3</vt:i4>
      </vt:variant>
      <vt:variant>
        <vt:i4>0</vt:i4>
      </vt:variant>
      <vt:variant>
        <vt:i4>5</vt:i4>
      </vt:variant>
      <vt:variant>
        <vt:lpwstr>http://www.theiia.org/</vt:lpwstr>
      </vt:variant>
      <vt:variant>
        <vt:lpwstr/>
      </vt:variant>
      <vt:variant>
        <vt:i4>2097208</vt:i4>
      </vt:variant>
      <vt:variant>
        <vt:i4>0</vt:i4>
      </vt:variant>
      <vt:variant>
        <vt:i4>0</vt:i4>
      </vt:variant>
      <vt:variant>
        <vt:i4>5</vt:i4>
      </vt:variant>
      <vt:variant>
        <vt:lpwstr>http://www.theiia.org/</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C13/INF/4 - Report of the Internal Auditor on Internal Audit Activities</dc:title>
  <dc:creator>ITU</dc:creator>
  <cp:lastModifiedBy>Brouard, Ricarda</cp:lastModifiedBy>
  <cp:revision>3</cp:revision>
  <cp:lastPrinted>2014-03-14T15:39:00Z</cp:lastPrinted>
  <dcterms:created xsi:type="dcterms:W3CDTF">2014-03-20T13:59:00Z</dcterms:created>
  <dcterms:modified xsi:type="dcterms:W3CDTF">2014-03-21T08:47:00Z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0x010100DD10D9262E14664394CA987FCAC2F012</vt:lpwstr>
  </property>
</Properties>
</file>