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672264" w:rsidRPr="00F57749">
        <w:trPr>
          <w:cantSplit/>
        </w:trPr>
        <w:tc>
          <w:tcPr>
            <w:tcW w:w="6912" w:type="dxa"/>
          </w:tcPr>
          <w:p w:rsidR="00672264" w:rsidRPr="00F57749" w:rsidRDefault="00672264" w:rsidP="00672264">
            <w:pPr>
              <w:spacing w:before="360"/>
              <w:rPr>
                <w:szCs w:val="24"/>
                <w:lang w:val="es-ES"/>
              </w:rPr>
            </w:pPr>
            <w:bookmarkStart w:id="0" w:name="dc06"/>
            <w:bookmarkStart w:id="1" w:name="dbluepink" w:colFirst="0" w:colLast="0"/>
            <w:bookmarkEnd w:id="0"/>
            <w:r w:rsidRPr="00F57749">
              <w:rPr>
                <w:b/>
                <w:bCs/>
                <w:sz w:val="30"/>
                <w:szCs w:val="30"/>
                <w:lang w:val="es-ES"/>
              </w:rPr>
              <w:t>Consejo 2012</w:t>
            </w:r>
            <w:r w:rsidRPr="00F57749">
              <w:rPr>
                <w:b/>
                <w:bCs/>
                <w:sz w:val="26"/>
                <w:szCs w:val="26"/>
                <w:lang w:val="es-ES"/>
              </w:rPr>
              <w:br/>
            </w:r>
            <w:r w:rsidRPr="00F57749">
              <w:rPr>
                <w:b/>
                <w:bCs/>
                <w:szCs w:val="24"/>
                <w:lang w:val="es-ES"/>
              </w:rPr>
              <w:t>Ginebra, 4-13 de julio de 2012</w:t>
            </w:r>
          </w:p>
        </w:tc>
        <w:tc>
          <w:tcPr>
            <w:tcW w:w="3261" w:type="dxa"/>
          </w:tcPr>
          <w:p w:rsidR="00672264" w:rsidRPr="00F57749" w:rsidRDefault="00672264" w:rsidP="00672264">
            <w:pPr>
              <w:spacing w:before="0"/>
              <w:rPr>
                <w:szCs w:val="24"/>
                <w:lang w:val="es-ES"/>
              </w:rPr>
            </w:pPr>
            <w:bookmarkStart w:id="2" w:name="ditulogo"/>
            <w:bookmarkEnd w:id="2"/>
            <w:r w:rsidRPr="00F57749">
              <w:rPr>
                <w:rFonts w:ascii="Verdana" w:hAnsi="Verdana"/>
                <w:b/>
                <w:bCs/>
                <w:noProof/>
                <w:szCs w:val="24"/>
                <w:lang w:val="en-US" w:eastAsia="zh-CN"/>
              </w:rPr>
              <w:drawing>
                <wp:inline distT="0" distB="0" distL="0" distR="0" wp14:anchorId="23723DE9" wp14:editId="70BDDB59">
                  <wp:extent cx="1775460" cy="693420"/>
                  <wp:effectExtent l="19050" t="0" r="0" b="0"/>
                  <wp:docPr id="1" name="Picture 1"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_"/>
                          <pic:cNvPicPr>
                            <a:picLocks noChangeAspect="1" noChangeArrowheads="1"/>
                          </pic:cNvPicPr>
                        </pic:nvPicPr>
                        <pic:blipFill>
                          <a:blip r:embed="rId9"/>
                          <a:srcRect/>
                          <a:stretch>
                            <a:fillRect/>
                          </a:stretch>
                        </pic:blipFill>
                        <pic:spPr bwMode="auto">
                          <a:xfrm>
                            <a:off x="0" y="0"/>
                            <a:ext cx="1775460" cy="693420"/>
                          </a:xfrm>
                          <a:prstGeom prst="rect">
                            <a:avLst/>
                          </a:prstGeom>
                          <a:noFill/>
                          <a:ln w="9525">
                            <a:noFill/>
                            <a:miter lim="800000"/>
                            <a:headEnd/>
                            <a:tailEnd/>
                          </a:ln>
                        </pic:spPr>
                      </pic:pic>
                    </a:graphicData>
                  </a:graphic>
                </wp:inline>
              </w:drawing>
            </w:r>
          </w:p>
        </w:tc>
      </w:tr>
      <w:tr w:rsidR="00672264" w:rsidRPr="00F57749">
        <w:trPr>
          <w:cantSplit/>
          <w:trHeight w:val="20"/>
        </w:trPr>
        <w:tc>
          <w:tcPr>
            <w:tcW w:w="10173" w:type="dxa"/>
            <w:gridSpan w:val="2"/>
            <w:tcBorders>
              <w:bottom w:val="single" w:sz="12" w:space="0" w:color="auto"/>
            </w:tcBorders>
          </w:tcPr>
          <w:p w:rsidR="00672264" w:rsidRPr="00F57749" w:rsidRDefault="00672264">
            <w:pPr>
              <w:spacing w:before="0"/>
              <w:rPr>
                <w:b/>
                <w:bCs/>
                <w:szCs w:val="24"/>
                <w:lang w:val="es-ES"/>
              </w:rPr>
            </w:pPr>
          </w:p>
        </w:tc>
      </w:tr>
      <w:tr w:rsidR="00672264" w:rsidRPr="00F57749">
        <w:trPr>
          <w:cantSplit/>
          <w:trHeight w:val="20"/>
        </w:trPr>
        <w:tc>
          <w:tcPr>
            <w:tcW w:w="6912" w:type="dxa"/>
            <w:tcBorders>
              <w:top w:val="single" w:sz="12" w:space="0" w:color="auto"/>
            </w:tcBorders>
          </w:tcPr>
          <w:p w:rsidR="00672264" w:rsidRPr="00F57749" w:rsidRDefault="00672264">
            <w:pPr>
              <w:tabs>
                <w:tab w:val="clear" w:pos="2268"/>
                <w:tab w:val="left" w:pos="1560"/>
                <w:tab w:val="left" w:pos="2269"/>
                <w:tab w:val="left" w:pos="3544"/>
                <w:tab w:val="left" w:pos="3969"/>
              </w:tabs>
              <w:spacing w:before="0" w:line="240" w:lineRule="atLeast"/>
              <w:rPr>
                <w:b/>
                <w:smallCaps/>
                <w:szCs w:val="24"/>
                <w:lang w:val="es-ES"/>
              </w:rPr>
            </w:pPr>
          </w:p>
        </w:tc>
        <w:tc>
          <w:tcPr>
            <w:tcW w:w="3261" w:type="dxa"/>
            <w:tcBorders>
              <w:top w:val="single" w:sz="12" w:space="0" w:color="auto"/>
            </w:tcBorders>
          </w:tcPr>
          <w:p w:rsidR="00672264" w:rsidRPr="00F57749" w:rsidRDefault="00672264">
            <w:pPr>
              <w:spacing w:before="0"/>
              <w:rPr>
                <w:b/>
                <w:bCs/>
                <w:szCs w:val="24"/>
                <w:lang w:val="es-ES"/>
              </w:rPr>
            </w:pPr>
          </w:p>
        </w:tc>
      </w:tr>
      <w:tr w:rsidR="00672264" w:rsidRPr="00F57749">
        <w:trPr>
          <w:cantSplit/>
          <w:trHeight w:val="20"/>
        </w:trPr>
        <w:tc>
          <w:tcPr>
            <w:tcW w:w="6912" w:type="dxa"/>
            <w:shd w:val="clear" w:color="auto" w:fill="auto"/>
          </w:tcPr>
          <w:p w:rsidR="00672264" w:rsidRPr="00F57749" w:rsidRDefault="00672264" w:rsidP="00F747A8">
            <w:pPr>
              <w:tabs>
                <w:tab w:val="left" w:pos="1560"/>
                <w:tab w:val="left" w:pos="3544"/>
                <w:tab w:val="left" w:pos="3969"/>
              </w:tabs>
              <w:spacing w:before="0" w:line="240" w:lineRule="atLeast"/>
              <w:rPr>
                <w:rFonts w:cs="Calibri"/>
                <w:b/>
                <w:szCs w:val="24"/>
                <w:lang w:val="es-ES"/>
              </w:rPr>
            </w:pPr>
            <w:bookmarkStart w:id="3" w:name="dnum" w:colFirst="1" w:colLast="1"/>
            <w:bookmarkStart w:id="4" w:name="dmeeting" w:colFirst="0" w:colLast="0"/>
            <w:r w:rsidRPr="00F57749">
              <w:rPr>
                <w:rFonts w:cs="Calibri"/>
                <w:b/>
                <w:szCs w:val="24"/>
                <w:lang w:val="es-ES"/>
              </w:rPr>
              <w:t xml:space="preserve">Punto del orden del día: </w:t>
            </w:r>
            <w:r w:rsidR="00F747A8" w:rsidRPr="00F57749">
              <w:rPr>
                <w:rFonts w:cs="Calibri"/>
                <w:b/>
                <w:szCs w:val="24"/>
                <w:lang w:val="es-ES"/>
              </w:rPr>
              <w:t>PL 1.5</w:t>
            </w:r>
          </w:p>
        </w:tc>
        <w:tc>
          <w:tcPr>
            <w:tcW w:w="3261" w:type="dxa"/>
          </w:tcPr>
          <w:p w:rsidR="00672264" w:rsidRPr="00F57749" w:rsidRDefault="00672264" w:rsidP="00F747A8">
            <w:pPr>
              <w:spacing w:before="0"/>
              <w:rPr>
                <w:rFonts w:cs="Calibri"/>
                <w:b/>
                <w:bCs/>
                <w:szCs w:val="24"/>
                <w:lang w:val="es-ES"/>
              </w:rPr>
            </w:pPr>
            <w:r w:rsidRPr="00F57749">
              <w:rPr>
                <w:rFonts w:cs="Calibri"/>
                <w:b/>
                <w:bCs/>
                <w:szCs w:val="24"/>
                <w:lang w:val="es-ES"/>
              </w:rPr>
              <w:t>Documento C12/</w:t>
            </w:r>
            <w:r w:rsidR="00F747A8" w:rsidRPr="00F57749">
              <w:rPr>
                <w:rFonts w:cs="Calibri"/>
                <w:b/>
                <w:bCs/>
                <w:szCs w:val="24"/>
                <w:lang w:val="es-ES"/>
              </w:rPr>
              <w:t>62</w:t>
            </w:r>
            <w:r w:rsidRPr="00F57749">
              <w:rPr>
                <w:rFonts w:cs="Calibri"/>
                <w:b/>
                <w:bCs/>
                <w:szCs w:val="24"/>
                <w:lang w:val="es-ES"/>
              </w:rPr>
              <w:t>-S</w:t>
            </w:r>
          </w:p>
        </w:tc>
      </w:tr>
      <w:tr w:rsidR="00672264" w:rsidRPr="00F57749">
        <w:trPr>
          <w:cantSplit/>
          <w:trHeight w:val="20"/>
        </w:trPr>
        <w:tc>
          <w:tcPr>
            <w:tcW w:w="6912" w:type="dxa"/>
            <w:shd w:val="clear" w:color="auto" w:fill="auto"/>
          </w:tcPr>
          <w:p w:rsidR="00672264" w:rsidRPr="00F57749" w:rsidRDefault="00672264">
            <w:pPr>
              <w:shd w:val="solid" w:color="FFFFFF" w:fill="FFFFFF"/>
              <w:spacing w:before="0"/>
              <w:rPr>
                <w:smallCaps/>
                <w:szCs w:val="24"/>
                <w:lang w:val="es-ES"/>
              </w:rPr>
            </w:pPr>
            <w:bookmarkStart w:id="5" w:name="ddate" w:colFirst="1" w:colLast="1"/>
            <w:bookmarkEnd w:id="3"/>
            <w:bookmarkEnd w:id="4"/>
          </w:p>
        </w:tc>
        <w:tc>
          <w:tcPr>
            <w:tcW w:w="3261" w:type="dxa"/>
          </w:tcPr>
          <w:p w:rsidR="00672264" w:rsidRPr="00F57749" w:rsidRDefault="00672264" w:rsidP="00F747A8">
            <w:pPr>
              <w:spacing w:before="0"/>
              <w:rPr>
                <w:rFonts w:cs="Calibri"/>
                <w:b/>
                <w:bCs/>
                <w:szCs w:val="24"/>
                <w:lang w:val="es-ES"/>
              </w:rPr>
            </w:pPr>
            <w:r w:rsidRPr="00F57749">
              <w:rPr>
                <w:rFonts w:cs="Calibri"/>
                <w:b/>
                <w:bCs/>
                <w:szCs w:val="24"/>
                <w:lang w:val="es-ES"/>
              </w:rPr>
              <w:t>1</w:t>
            </w:r>
            <w:r w:rsidR="00F747A8" w:rsidRPr="00F57749">
              <w:rPr>
                <w:rFonts w:cs="Calibri"/>
                <w:b/>
                <w:bCs/>
                <w:szCs w:val="24"/>
                <w:lang w:val="es-ES"/>
              </w:rPr>
              <w:t>9</w:t>
            </w:r>
            <w:r w:rsidRPr="00F57749">
              <w:rPr>
                <w:rFonts w:cs="Calibri"/>
                <w:b/>
                <w:bCs/>
                <w:szCs w:val="24"/>
                <w:lang w:val="es-ES"/>
              </w:rPr>
              <w:t xml:space="preserve"> de junio de 2012</w:t>
            </w:r>
          </w:p>
        </w:tc>
      </w:tr>
      <w:tr w:rsidR="00672264" w:rsidRPr="00F57749">
        <w:trPr>
          <w:cantSplit/>
          <w:trHeight w:val="20"/>
        </w:trPr>
        <w:tc>
          <w:tcPr>
            <w:tcW w:w="6912" w:type="dxa"/>
            <w:shd w:val="clear" w:color="auto" w:fill="auto"/>
          </w:tcPr>
          <w:p w:rsidR="00672264" w:rsidRPr="00F57749" w:rsidRDefault="00672264">
            <w:pPr>
              <w:shd w:val="solid" w:color="FFFFFF" w:fill="FFFFFF"/>
              <w:spacing w:before="0"/>
              <w:rPr>
                <w:smallCaps/>
                <w:szCs w:val="24"/>
                <w:lang w:val="es-ES"/>
              </w:rPr>
            </w:pPr>
            <w:bookmarkStart w:id="6" w:name="dorlang" w:colFirst="1" w:colLast="1"/>
            <w:bookmarkEnd w:id="5"/>
          </w:p>
        </w:tc>
        <w:tc>
          <w:tcPr>
            <w:tcW w:w="3261" w:type="dxa"/>
          </w:tcPr>
          <w:p w:rsidR="00672264" w:rsidRPr="00F57749" w:rsidRDefault="00672264" w:rsidP="00672264">
            <w:pPr>
              <w:spacing w:before="0"/>
              <w:rPr>
                <w:rFonts w:cs="Calibri"/>
                <w:b/>
                <w:bCs/>
                <w:szCs w:val="24"/>
                <w:lang w:val="es-ES"/>
              </w:rPr>
            </w:pPr>
            <w:r w:rsidRPr="00F57749">
              <w:rPr>
                <w:rFonts w:cs="Calibri"/>
                <w:b/>
                <w:bCs/>
                <w:szCs w:val="24"/>
                <w:lang w:val="es-ES"/>
              </w:rPr>
              <w:t>Original: inglés</w:t>
            </w:r>
          </w:p>
        </w:tc>
      </w:tr>
      <w:tr w:rsidR="00672264" w:rsidRPr="00F57749">
        <w:trPr>
          <w:cantSplit/>
        </w:trPr>
        <w:tc>
          <w:tcPr>
            <w:tcW w:w="10173" w:type="dxa"/>
            <w:gridSpan w:val="2"/>
          </w:tcPr>
          <w:p w:rsidR="00672264" w:rsidRPr="00F57749" w:rsidRDefault="001840B2">
            <w:pPr>
              <w:pStyle w:val="Source"/>
              <w:rPr>
                <w:lang w:val="es-ES"/>
              </w:rPr>
            </w:pPr>
            <w:bookmarkStart w:id="7" w:name="dsource" w:colFirst="0" w:colLast="0"/>
            <w:bookmarkEnd w:id="1"/>
            <w:bookmarkEnd w:id="6"/>
            <w:r w:rsidRPr="00F57749">
              <w:rPr>
                <w:noProof/>
                <w:lang w:val="es-ES"/>
              </w:rPr>
              <w:t>Nota del Secretario General</w:t>
            </w:r>
          </w:p>
        </w:tc>
      </w:tr>
    </w:tbl>
    <w:p w:rsidR="001840B2" w:rsidRPr="00F57749" w:rsidRDefault="001840B2" w:rsidP="00A16391">
      <w:pPr>
        <w:pStyle w:val="Title1"/>
        <w:rPr>
          <w:lang w:val="es-ES"/>
        </w:rPr>
      </w:pPr>
      <w:bookmarkStart w:id="8" w:name="dtitle1" w:colFirst="0" w:colLast="0"/>
      <w:bookmarkEnd w:id="7"/>
      <w:r w:rsidRPr="00F57749">
        <w:rPr>
          <w:rFonts w:asciiTheme="minorHAnsi" w:hAnsiTheme="minorHAnsi" w:cstheme="minorHAnsi"/>
          <w:lang w:val="es-ES"/>
        </w:rPr>
        <w:t>informe</w:t>
      </w:r>
      <w:r w:rsidR="00F747A8" w:rsidRPr="00F57749">
        <w:rPr>
          <w:rFonts w:asciiTheme="minorHAnsi" w:hAnsiTheme="minorHAnsi" w:cstheme="minorHAnsi"/>
          <w:lang w:val="es-ES"/>
        </w:rPr>
        <w:t xml:space="preserve"> acerca de la clausura del grupo ipv6</w:t>
      </w:r>
    </w:p>
    <w:p w:rsidR="00EE1962" w:rsidRPr="00F57749" w:rsidRDefault="00EE1962" w:rsidP="00EE1962">
      <w:pPr>
        <w:rPr>
          <w:noProof/>
          <w:lang w:val="es-ES"/>
        </w:rPr>
      </w:pPr>
    </w:p>
    <w:bookmarkEnd w:id="8"/>
    <w:p w:rsidR="00672264" w:rsidRPr="00F57749" w:rsidRDefault="00672264">
      <w:pPr>
        <w:rPr>
          <w:lang w:val="es-ES"/>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672264" w:rsidRPr="00F57749">
        <w:trPr>
          <w:trHeight w:val="3372"/>
        </w:trPr>
        <w:tc>
          <w:tcPr>
            <w:tcW w:w="8080" w:type="dxa"/>
            <w:tcBorders>
              <w:top w:val="single" w:sz="12" w:space="0" w:color="auto"/>
              <w:left w:val="single" w:sz="12" w:space="0" w:color="auto"/>
              <w:bottom w:val="single" w:sz="12" w:space="0" w:color="auto"/>
              <w:right w:val="single" w:sz="12" w:space="0" w:color="auto"/>
            </w:tcBorders>
          </w:tcPr>
          <w:p w:rsidR="00672264" w:rsidRPr="00F57749" w:rsidRDefault="00672264">
            <w:pPr>
              <w:pStyle w:val="Headingb"/>
              <w:rPr>
                <w:lang w:val="es-ES"/>
              </w:rPr>
            </w:pPr>
            <w:r w:rsidRPr="00F57749">
              <w:rPr>
                <w:lang w:val="es-ES"/>
              </w:rPr>
              <w:t>Resumen</w:t>
            </w:r>
          </w:p>
          <w:p w:rsidR="00F747A8" w:rsidRPr="00F57749" w:rsidRDefault="00F57749">
            <w:pPr>
              <w:rPr>
                <w:rFonts w:asciiTheme="minorHAnsi" w:hAnsiTheme="minorHAnsi" w:cstheme="minorHAnsi"/>
                <w:lang w:val="es-ES"/>
              </w:rPr>
            </w:pPr>
            <w:r w:rsidRPr="00F57749">
              <w:rPr>
                <w:rFonts w:asciiTheme="minorHAnsi" w:hAnsiTheme="minorHAnsi" w:cstheme="minorHAnsi"/>
                <w:lang w:val="es-ES"/>
              </w:rPr>
              <w:t>El Consejo 2009 aprobó la propuesta destinada a que el Director de la TSB, en estrecha colaboración con el Director de la BDT, convoque un Grupo I</w:t>
            </w:r>
            <w:r w:rsidR="00A16391" w:rsidRPr="00F57749">
              <w:rPr>
                <w:rFonts w:asciiTheme="minorHAnsi" w:hAnsiTheme="minorHAnsi" w:cstheme="minorHAnsi"/>
                <w:lang w:val="es-ES"/>
              </w:rPr>
              <w:t>P</w:t>
            </w:r>
            <w:r w:rsidRPr="00F57749">
              <w:rPr>
                <w:rFonts w:asciiTheme="minorHAnsi" w:hAnsiTheme="minorHAnsi" w:cstheme="minorHAnsi"/>
                <w:lang w:val="es-ES"/>
              </w:rPr>
              <w:t>v6 del UIT-T/UIT-D para realizar nuevas actividades con miras a la aplicación de la Resolución 64 de la AMNT.</w:t>
            </w:r>
          </w:p>
          <w:p w:rsidR="00672264" w:rsidRPr="00F57749" w:rsidRDefault="00F747A8" w:rsidP="00F747A8">
            <w:pPr>
              <w:rPr>
                <w:lang w:val="es-ES"/>
              </w:rPr>
            </w:pPr>
            <w:r w:rsidRPr="00F57749">
              <w:rPr>
                <w:rFonts w:asciiTheme="minorHAnsi" w:hAnsiTheme="minorHAnsi" w:cstheme="minorHAnsi"/>
                <w:lang w:val="es-ES"/>
              </w:rPr>
              <w:t xml:space="preserve">En este documento se informa acerca de la conclusión de la 4ª reunión de este Grupo, que ha completado su labor. </w:t>
            </w:r>
          </w:p>
          <w:p w:rsidR="00672264" w:rsidRPr="00F57749" w:rsidRDefault="00672264">
            <w:pPr>
              <w:pStyle w:val="Headingb"/>
              <w:rPr>
                <w:lang w:val="es-ES"/>
              </w:rPr>
            </w:pPr>
            <w:r w:rsidRPr="00F57749">
              <w:rPr>
                <w:lang w:val="es-ES"/>
              </w:rPr>
              <w:t>Acción solicitada</w:t>
            </w:r>
          </w:p>
          <w:p w:rsidR="00672264" w:rsidRPr="00F57749" w:rsidRDefault="0085446F" w:rsidP="00F747A8">
            <w:pPr>
              <w:rPr>
                <w:lang w:val="es-ES"/>
              </w:rPr>
            </w:pPr>
            <w:r w:rsidRPr="00F57749">
              <w:rPr>
                <w:rFonts w:asciiTheme="minorHAnsi" w:hAnsiTheme="minorHAnsi" w:cstheme="minorHAnsi"/>
                <w:lang w:val="es-ES"/>
              </w:rPr>
              <w:t xml:space="preserve">Se invita al Consejo a </w:t>
            </w:r>
            <w:r w:rsidRPr="00F57749">
              <w:rPr>
                <w:rFonts w:asciiTheme="minorHAnsi" w:hAnsiTheme="minorHAnsi" w:cstheme="minorHAnsi"/>
                <w:b/>
                <w:bCs/>
                <w:lang w:val="es-ES"/>
              </w:rPr>
              <w:t>tomar nota</w:t>
            </w:r>
            <w:r w:rsidRPr="00F57749">
              <w:rPr>
                <w:rFonts w:asciiTheme="minorHAnsi" w:hAnsiTheme="minorHAnsi" w:cstheme="minorHAnsi"/>
                <w:lang w:val="es-ES"/>
              </w:rPr>
              <w:t xml:space="preserve"> de </w:t>
            </w:r>
            <w:r w:rsidR="00F747A8" w:rsidRPr="00F57749">
              <w:rPr>
                <w:rFonts w:asciiTheme="minorHAnsi" w:hAnsiTheme="minorHAnsi" w:cstheme="minorHAnsi"/>
                <w:lang w:val="es-ES"/>
              </w:rPr>
              <w:t xml:space="preserve">este </w:t>
            </w:r>
            <w:r w:rsidR="00247009" w:rsidRPr="00F57749">
              <w:rPr>
                <w:rFonts w:asciiTheme="minorHAnsi" w:hAnsiTheme="minorHAnsi" w:cstheme="minorHAnsi"/>
                <w:lang w:val="es-ES"/>
              </w:rPr>
              <w:t>I</w:t>
            </w:r>
            <w:r w:rsidR="00F747A8" w:rsidRPr="00F57749">
              <w:rPr>
                <w:rFonts w:asciiTheme="minorHAnsi" w:hAnsiTheme="minorHAnsi" w:cstheme="minorHAnsi"/>
                <w:lang w:val="es-ES"/>
              </w:rPr>
              <w:t>nforme</w:t>
            </w:r>
            <w:r w:rsidRPr="00F57749">
              <w:rPr>
                <w:rFonts w:asciiTheme="minorHAnsi" w:hAnsiTheme="minorHAnsi" w:cstheme="minorHAnsi"/>
                <w:lang w:val="es-ES"/>
              </w:rPr>
              <w:t>.</w:t>
            </w:r>
          </w:p>
          <w:p w:rsidR="00672264" w:rsidRPr="00F57749" w:rsidRDefault="00672264">
            <w:pPr>
              <w:pStyle w:val="Table"/>
              <w:keepNext w:val="0"/>
              <w:spacing w:before="0" w:after="0"/>
              <w:rPr>
                <w:caps w:val="0"/>
                <w:sz w:val="22"/>
                <w:lang w:val="es-ES"/>
              </w:rPr>
            </w:pPr>
            <w:r w:rsidRPr="00F57749">
              <w:rPr>
                <w:caps w:val="0"/>
                <w:sz w:val="22"/>
                <w:lang w:val="es-ES"/>
              </w:rPr>
              <w:t>____________</w:t>
            </w:r>
          </w:p>
          <w:p w:rsidR="00672264" w:rsidRPr="00F57749" w:rsidRDefault="00672264">
            <w:pPr>
              <w:pStyle w:val="Headingb"/>
              <w:rPr>
                <w:lang w:val="es-ES"/>
              </w:rPr>
            </w:pPr>
            <w:r w:rsidRPr="00F57749">
              <w:rPr>
                <w:lang w:val="es-ES"/>
              </w:rPr>
              <w:t>Referencia</w:t>
            </w:r>
            <w:r w:rsidR="00F747A8" w:rsidRPr="00F57749">
              <w:rPr>
                <w:lang w:val="es-ES"/>
              </w:rPr>
              <w:t>s</w:t>
            </w:r>
          </w:p>
          <w:p w:rsidR="00F747A8" w:rsidRPr="00F57749" w:rsidRDefault="00247009" w:rsidP="00785608">
            <w:pPr>
              <w:ind w:left="6" w:hanging="6"/>
              <w:rPr>
                <w:lang w:val="es-ES"/>
              </w:rPr>
            </w:pPr>
            <w:hyperlink r:id="rId10" w:history="1">
              <w:r w:rsidR="00F747A8" w:rsidRPr="00F57749">
                <w:rPr>
                  <w:color w:val="0000FF"/>
                  <w:u w:val="single"/>
                  <w:lang w:val="es-ES"/>
                </w:rPr>
                <w:t>C09/93</w:t>
              </w:r>
            </w:hyperlink>
            <w:r w:rsidR="00F747A8" w:rsidRPr="00F57749">
              <w:rPr>
                <w:lang w:val="es-ES"/>
              </w:rPr>
              <w:t>: Resumen de los debates de la segunda Sesión Plenaria del Consejo 2009</w:t>
            </w:r>
          </w:p>
          <w:p w:rsidR="00F747A8" w:rsidRPr="00F57749" w:rsidRDefault="00247009" w:rsidP="00785608">
            <w:pPr>
              <w:spacing w:before="0"/>
              <w:ind w:left="6" w:hanging="6"/>
              <w:rPr>
                <w:lang w:val="es-ES"/>
              </w:rPr>
            </w:pPr>
            <w:hyperlink r:id="rId11" w:history="1">
              <w:r w:rsidR="00F747A8" w:rsidRPr="00F57749">
                <w:rPr>
                  <w:color w:val="0000FF"/>
                  <w:u w:val="single"/>
                  <w:lang w:val="es-ES"/>
                </w:rPr>
                <w:t>C09/29</w:t>
              </w:r>
            </w:hyperlink>
            <w:r w:rsidR="00F747A8" w:rsidRPr="00F57749">
              <w:rPr>
                <w:lang w:val="es-ES"/>
              </w:rPr>
              <w:t>: Informe del Director de la TSB sobre la Resolución 64 de la AMNT "Asignación de direcciones IP y fomento de la implantación de IPv6"</w:t>
            </w:r>
          </w:p>
          <w:p w:rsidR="00F747A8" w:rsidRPr="00F57749" w:rsidRDefault="00247009" w:rsidP="00785608">
            <w:pPr>
              <w:spacing w:before="0"/>
              <w:ind w:left="6" w:hanging="6"/>
              <w:rPr>
                <w:lang w:val="es-ES"/>
              </w:rPr>
            </w:pPr>
            <w:hyperlink r:id="rId12" w:history="1">
              <w:r w:rsidR="00F747A8" w:rsidRPr="00F57749">
                <w:rPr>
                  <w:color w:val="0000FF"/>
                  <w:u w:val="single"/>
                  <w:lang w:val="es-ES"/>
                </w:rPr>
                <w:t>C10/45</w:t>
              </w:r>
              <w:r w:rsidR="00A16391">
                <w:rPr>
                  <w:color w:val="0000FF"/>
                  <w:u w:val="single"/>
                  <w:lang w:val="es-ES"/>
                </w:rPr>
                <w:t>(</w:t>
              </w:r>
              <w:r w:rsidR="00F747A8" w:rsidRPr="00F57749">
                <w:rPr>
                  <w:color w:val="0000FF"/>
                  <w:u w:val="single"/>
                  <w:lang w:val="es-ES"/>
                </w:rPr>
                <w:t>Rev.1</w:t>
              </w:r>
            </w:hyperlink>
            <w:r w:rsidR="00A16391">
              <w:rPr>
                <w:color w:val="0000FF"/>
                <w:u w:val="single"/>
                <w:lang w:val="es-ES"/>
              </w:rPr>
              <w:t>)</w:t>
            </w:r>
            <w:r w:rsidR="00F747A8" w:rsidRPr="00F57749">
              <w:rPr>
                <w:lang w:val="es-ES"/>
              </w:rPr>
              <w:t>: Informe de los trabajos del Grupo IPv6 (Resolución 64 de la AMNT)</w:t>
            </w:r>
          </w:p>
          <w:p w:rsidR="00F747A8" w:rsidRPr="00F57749" w:rsidRDefault="00247009" w:rsidP="00785608">
            <w:pPr>
              <w:spacing w:before="0"/>
              <w:ind w:left="6" w:hanging="6"/>
              <w:rPr>
                <w:spacing w:val="-2"/>
                <w:lang w:val="es-ES"/>
              </w:rPr>
            </w:pPr>
            <w:hyperlink r:id="rId13" w:history="1">
              <w:r w:rsidR="00F747A8" w:rsidRPr="00F57749">
                <w:rPr>
                  <w:color w:val="0000FF"/>
                  <w:u w:val="single"/>
                  <w:lang w:val="es-ES"/>
                </w:rPr>
                <w:t>C11/32</w:t>
              </w:r>
            </w:hyperlink>
            <w:r w:rsidR="00F747A8" w:rsidRPr="00F57749">
              <w:rPr>
                <w:lang w:val="es-ES"/>
              </w:rPr>
              <w:t xml:space="preserve">: </w:t>
            </w:r>
            <w:r w:rsidR="00F747A8" w:rsidRPr="00F57749">
              <w:rPr>
                <w:spacing w:val="-2"/>
                <w:lang w:val="es-ES"/>
              </w:rPr>
              <w:t>Facilitar la transición de IPv4 a IPv6 con arreglo a lo dispuesto en la Resolución 180</w:t>
            </w:r>
          </w:p>
          <w:p w:rsidR="00672264" w:rsidRPr="00F57749" w:rsidRDefault="00F747A8" w:rsidP="00785608">
            <w:pPr>
              <w:spacing w:before="0"/>
              <w:ind w:left="6" w:hanging="6"/>
              <w:rPr>
                <w:i/>
                <w:iCs/>
                <w:lang w:val="es-ES"/>
              </w:rPr>
            </w:pPr>
            <w:r w:rsidRPr="00F57749">
              <w:rPr>
                <w:lang w:val="es-ES"/>
              </w:rPr>
              <w:tab/>
            </w:r>
            <w:hyperlink r:id="rId14" w:history="1">
              <w:r w:rsidRPr="00F57749">
                <w:rPr>
                  <w:color w:val="0000FF"/>
                  <w:u w:val="single"/>
                  <w:lang w:val="es-ES"/>
                </w:rPr>
                <w:t>C12/30</w:t>
              </w:r>
            </w:hyperlink>
            <w:r w:rsidRPr="00F57749">
              <w:rPr>
                <w:lang w:val="es-ES"/>
              </w:rPr>
              <w:t xml:space="preserve">: </w:t>
            </w:r>
            <w:r w:rsidRPr="00F57749">
              <w:rPr>
                <w:spacing w:val="-2"/>
                <w:lang w:val="es-ES"/>
              </w:rPr>
              <w:t>Facilitar la transición de IPv4 a IPv6 con arreglo a lo dispuesto en la Resolución 180</w:t>
            </w:r>
          </w:p>
        </w:tc>
      </w:tr>
    </w:tbl>
    <w:p w:rsidR="0085446F" w:rsidRPr="00F57749" w:rsidRDefault="0085446F">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bCs/>
          <w:lang w:val="es-ES"/>
        </w:rPr>
      </w:pPr>
    </w:p>
    <w:p w:rsidR="00BF4617" w:rsidRPr="00F57749" w:rsidRDefault="00BF4617" w:rsidP="00A16391">
      <w:pPr>
        <w:rPr>
          <w:lang w:val="es-ES"/>
        </w:rPr>
      </w:pPr>
      <w:r w:rsidRPr="00F57749">
        <w:rPr>
          <w:lang w:val="es-ES"/>
        </w:rPr>
        <w:t>1</w:t>
      </w:r>
      <w:r w:rsidRPr="00F57749">
        <w:rPr>
          <w:lang w:val="es-ES"/>
        </w:rPr>
        <w:tab/>
        <w:t>El Consejo, en su reunión del 20 al 30 de octubre de 2009, aprobó las recomendaciones contenidas en el Documento C09/29, y en particular la de que el Director de la TSB, en estrecha colaboración con el Director de la BDT, convocara un grupo abierto a los Miembros del UIT</w:t>
      </w:r>
      <w:r w:rsidR="00A16391">
        <w:rPr>
          <w:lang w:val="es-ES"/>
        </w:rPr>
        <w:noBreakHyphen/>
      </w:r>
      <w:r w:rsidRPr="00F57749">
        <w:rPr>
          <w:lang w:val="es-ES"/>
        </w:rPr>
        <w:t>T y el UIT</w:t>
      </w:r>
      <w:r w:rsidR="00A16391">
        <w:rPr>
          <w:lang w:val="es-ES"/>
        </w:rPr>
        <w:noBreakHyphen/>
      </w:r>
      <w:r w:rsidRPr="00F57749">
        <w:rPr>
          <w:lang w:val="es-ES"/>
        </w:rPr>
        <w:t>D para llevar a cabo nuevas actividades encaminadas a la aplicación de la Resolución 64 de la AMNT, en coordinación, en su caso, con las Comisiones de Estudio del UIT</w:t>
      </w:r>
      <w:r w:rsidR="00A16391">
        <w:rPr>
          <w:lang w:val="es-ES"/>
        </w:rPr>
        <w:noBreakHyphen/>
      </w:r>
      <w:r w:rsidRPr="00F57749">
        <w:rPr>
          <w:lang w:val="es-ES"/>
        </w:rPr>
        <w:t>D y el UIT</w:t>
      </w:r>
      <w:r w:rsidR="00A16391">
        <w:rPr>
          <w:lang w:val="es-ES"/>
        </w:rPr>
        <w:noBreakHyphen/>
      </w:r>
      <w:r w:rsidRPr="00F57749">
        <w:rPr>
          <w:lang w:val="es-ES"/>
        </w:rPr>
        <w:t xml:space="preserve">T, así como con la comunidad de Internet, e informe al Consejo (véase Documento </w:t>
      </w:r>
      <w:hyperlink r:id="rId15" w:history="1">
        <w:r w:rsidRPr="00F57749">
          <w:rPr>
            <w:color w:val="0000FF"/>
            <w:u w:val="single"/>
            <w:lang w:val="es-ES"/>
          </w:rPr>
          <w:t>C09/93</w:t>
        </w:r>
      </w:hyperlink>
      <w:r w:rsidRPr="00F57749">
        <w:rPr>
          <w:lang w:val="es-ES"/>
        </w:rPr>
        <w:t>)</w:t>
      </w:r>
      <w:r w:rsidR="0085446F" w:rsidRPr="00F57749">
        <w:rPr>
          <w:lang w:val="es-ES"/>
        </w:rPr>
        <w:t>.</w:t>
      </w:r>
    </w:p>
    <w:p w:rsidR="00556860" w:rsidRPr="00F57749" w:rsidRDefault="00BF4617" w:rsidP="00BF4617">
      <w:pPr>
        <w:rPr>
          <w:lang w:val="es-ES"/>
        </w:rPr>
      </w:pPr>
      <w:r w:rsidRPr="00F57749">
        <w:rPr>
          <w:lang w:val="es-ES"/>
        </w:rPr>
        <w:lastRenderedPageBreak/>
        <w:t xml:space="preserve">En el Documento </w:t>
      </w:r>
      <w:hyperlink r:id="rId16" w:history="1">
        <w:r w:rsidR="00556860" w:rsidRPr="00F57749">
          <w:rPr>
            <w:color w:val="0000FF"/>
            <w:u w:val="single"/>
            <w:lang w:val="es-ES"/>
          </w:rPr>
          <w:t>C09/29</w:t>
        </w:r>
      </w:hyperlink>
      <w:r w:rsidR="00556860" w:rsidRPr="00F57749">
        <w:rPr>
          <w:lang w:val="es-ES"/>
        </w:rPr>
        <w:t xml:space="preserve"> se especificaba que el </w:t>
      </w:r>
      <w:r w:rsidR="00247009" w:rsidRPr="00F57749">
        <w:rPr>
          <w:lang w:val="es-ES"/>
        </w:rPr>
        <w:t>G</w:t>
      </w:r>
      <w:r w:rsidR="00556860" w:rsidRPr="00F57749">
        <w:rPr>
          <w:lang w:val="es-ES"/>
        </w:rPr>
        <w:t>rupo debía, en particular:</w:t>
      </w:r>
    </w:p>
    <w:p w:rsidR="00556860" w:rsidRPr="00F57749" w:rsidRDefault="00556860" w:rsidP="00247009">
      <w:pPr>
        <w:pStyle w:val="enumlev1"/>
        <w:rPr>
          <w:lang w:val="es-ES"/>
        </w:rPr>
      </w:pPr>
      <w:r w:rsidRPr="00F57749">
        <w:rPr>
          <w:lang w:val="es-ES"/>
        </w:rPr>
        <w:t>a</w:t>
      </w:r>
      <w:r w:rsidR="00247009">
        <w:rPr>
          <w:lang w:val="es-ES"/>
        </w:rPr>
        <w:t>)</w:t>
      </w:r>
      <w:r w:rsidRPr="00F57749">
        <w:rPr>
          <w:lang w:val="es-ES"/>
        </w:rPr>
        <w:tab/>
        <w:t>Redactar una propuesta de política global para la reserva de un gran bloque de IPv6, tomando en consideración las futuras necesidades de los países en desarrollo, según se indica en el anterior párrafo 23.</w:t>
      </w:r>
    </w:p>
    <w:p w:rsidR="00556860" w:rsidRPr="00F57749" w:rsidRDefault="00556860" w:rsidP="00247009">
      <w:pPr>
        <w:pStyle w:val="enumlev1"/>
        <w:rPr>
          <w:lang w:val="es-ES"/>
        </w:rPr>
      </w:pPr>
      <w:r w:rsidRPr="00F57749">
        <w:rPr>
          <w:lang w:val="es-ES"/>
        </w:rPr>
        <w:t>b</w:t>
      </w:r>
      <w:r w:rsidR="00247009">
        <w:rPr>
          <w:lang w:val="es-ES"/>
        </w:rPr>
        <w:t>)</w:t>
      </w:r>
      <w:r w:rsidRPr="00F57749">
        <w:rPr>
          <w:lang w:val="es-ES"/>
        </w:rPr>
        <w:tab/>
        <w:t>Seguir estudiando posibles metodologías y mecanismos de implementación conexos para garantizar a los países un "acceso equitativo" a los recursos IPv6.</w:t>
      </w:r>
    </w:p>
    <w:p w:rsidR="00556860" w:rsidRPr="00F57749" w:rsidRDefault="00556860" w:rsidP="00247009">
      <w:pPr>
        <w:pStyle w:val="enumlev1"/>
        <w:rPr>
          <w:lang w:val="es-ES"/>
        </w:rPr>
      </w:pPr>
      <w:r w:rsidRPr="00F57749">
        <w:rPr>
          <w:lang w:val="es-ES"/>
        </w:rPr>
        <w:t>c</w:t>
      </w:r>
      <w:r w:rsidR="00247009">
        <w:rPr>
          <w:lang w:val="es-ES"/>
        </w:rPr>
        <w:t>)</w:t>
      </w:r>
      <w:r w:rsidRPr="00F57749">
        <w:rPr>
          <w:lang w:val="es-ES"/>
        </w:rPr>
        <w:tab/>
        <w:t>Seguir considerando la posibilidad de que la UIT se transforme en otro Registro Internet, y proponer políticas y procedimientos para que la UIT administre un bloque de IPv6 reservado.</w:t>
      </w:r>
    </w:p>
    <w:p w:rsidR="00556860" w:rsidRPr="00F57749" w:rsidRDefault="00556860" w:rsidP="00247009">
      <w:pPr>
        <w:pStyle w:val="enumlev1"/>
        <w:rPr>
          <w:lang w:val="es-ES"/>
        </w:rPr>
      </w:pPr>
      <w:r w:rsidRPr="00F57749">
        <w:rPr>
          <w:lang w:val="es-ES"/>
        </w:rPr>
        <w:t>d</w:t>
      </w:r>
      <w:r w:rsidR="00247009">
        <w:rPr>
          <w:lang w:val="es-ES"/>
        </w:rPr>
        <w:t>)</w:t>
      </w:r>
      <w:r w:rsidRPr="00F57749">
        <w:rPr>
          <w:lang w:val="es-ES"/>
        </w:rPr>
        <w:tab/>
        <w:t>Seguir estudiando la viabilidad y conveniencia de implementar el modelo RIN en aquellos países que necesitarían asignaciones nacionales.</w:t>
      </w:r>
    </w:p>
    <w:p w:rsidR="00556860" w:rsidRPr="00F57749" w:rsidRDefault="00556860" w:rsidP="00247009">
      <w:pPr>
        <w:pStyle w:val="enumlev1"/>
        <w:rPr>
          <w:lang w:val="es-ES"/>
        </w:rPr>
      </w:pPr>
      <w:r w:rsidRPr="00F57749">
        <w:rPr>
          <w:lang w:val="es-ES"/>
        </w:rPr>
        <w:t>e</w:t>
      </w:r>
      <w:r w:rsidR="00247009">
        <w:rPr>
          <w:lang w:val="es-ES"/>
        </w:rPr>
        <w:t>)</w:t>
      </w:r>
      <w:r w:rsidRPr="00F57749">
        <w:rPr>
          <w:lang w:val="es-ES"/>
        </w:rPr>
        <w:tab/>
        <w:t>Prestar asistencia en la ejecución del proyecto consignado en la Resolución 64, teniendo en cuenta las necesidades a nivel regional y nacional en lo tocante a la creación de capacidades y las políticas de asignación.</w:t>
      </w:r>
    </w:p>
    <w:p w:rsidR="00BF4617" w:rsidRPr="00F57749" w:rsidRDefault="00556860" w:rsidP="00247009">
      <w:pPr>
        <w:pStyle w:val="enumlev1"/>
        <w:rPr>
          <w:lang w:val="es-ES"/>
        </w:rPr>
      </w:pPr>
      <w:r w:rsidRPr="00F57749">
        <w:rPr>
          <w:lang w:val="es-ES"/>
        </w:rPr>
        <w:t>f</w:t>
      </w:r>
      <w:r w:rsidR="00247009">
        <w:rPr>
          <w:lang w:val="es-ES"/>
        </w:rPr>
        <w:t>)</w:t>
      </w:r>
      <w:r w:rsidRPr="00F57749">
        <w:rPr>
          <w:lang w:val="es-ES"/>
        </w:rPr>
        <w:tab/>
        <w:t>Informar al respecto a la próxima reunión del Consejo.</w:t>
      </w:r>
    </w:p>
    <w:p w:rsidR="00556860" w:rsidRPr="00F57749" w:rsidRDefault="00556860" w:rsidP="00556860">
      <w:pPr>
        <w:rPr>
          <w:lang w:val="es-ES"/>
        </w:rPr>
      </w:pPr>
      <w:r w:rsidRPr="00F57749">
        <w:rPr>
          <w:lang w:val="es-ES"/>
        </w:rPr>
        <w:t xml:space="preserve">El sitio web del </w:t>
      </w:r>
      <w:r w:rsidR="00247009" w:rsidRPr="00F57749">
        <w:rPr>
          <w:lang w:val="es-ES"/>
        </w:rPr>
        <w:t>G</w:t>
      </w:r>
      <w:r w:rsidRPr="00F57749">
        <w:rPr>
          <w:lang w:val="es-ES"/>
        </w:rPr>
        <w:t xml:space="preserve">rupo figura en la dirección: </w:t>
      </w:r>
      <w:hyperlink r:id="rId17" w:history="1">
        <w:r w:rsidRPr="00F57749">
          <w:rPr>
            <w:rFonts w:cs="Calibri"/>
            <w:color w:val="0000FF"/>
            <w:u w:val="single"/>
            <w:lang w:val="es-ES"/>
          </w:rPr>
          <w:t>http://www.itu.int/ITU-T/othergroups/ipv6</w:t>
        </w:r>
      </w:hyperlink>
      <w:r w:rsidRPr="00F57749">
        <w:rPr>
          <w:rFonts w:cs="Calibri"/>
          <w:lang w:val="es-ES"/>
        </w:rPr>
        <w:t>.</w:t>
      </w:r>
    </w:p>
    <w:p w:rsidR="00556860" w:rsidRPr="00F57749" w:rsidRDefault="00BF4617" w:rsidP="00BF4617">
      <w:pPr>
        <w:rPr>
          <w:lang w:val="es-ES"/>
        </w:rPr>
      </w:pPr>
      <w:r w:rsidRPr="00F57749">
        <w:rPr>
          <w:lang w:val="es-ES"/>
        </w:rPr>
        <w:t>2</w:t>
      </w:r>
      <w:r w:rsidRPr="00F57749">
        <w:rPr>
          <w:lang w:val="es-ES"/>
        </w:rPr>
        <w:tab/>
      </w:r>
      <w:r w:rsidR="00556860" w:rsidRPr="00F57749">
        <w:rPr>
          <w:lang w:val="es-ES"/>
        </w:rPr>
        <w:t xml:space="preserve">En el Consejo 2009 se acordó asimismo que el </w:t>
      </w:r>
      <w:r w:rsidR="00247009" w:rsidRPr="00F57749">
        <w:rPr>
          <w:lang w:val="es-ES"/>
        </w:rPr>
        <w:t>G</w:t>
      </w:r>
      <w:r w:rsidR="00556860" w:rsidRPr="00F57749">
        <w:rPr>
          <w:lang w:val="es-ES"/>
        </w:rPr>
        <w:t>rupo estaría presidido por los Emiratos Árabes Unidos.</w:t>
      </w:r>
    </w:p>
    <w:p w:rsidR="00556860" w:rsidRPr="00F57749" w:rsidRDefault="00556860" w:rsidP="00556860">
      <w:pPr>
        <w:rPr>
          <w:lang w:val="es-ES"/>
        </w:rPr>
      </w:pPr>
      <w:r w:rsidRPr="00F57749">
        <w:rPr>
          <w:lang w:val="es-ES"/>
        </w:rPr>
        <w:t>3</w:t>
      </w:r>
      <w:r w:rsidRPr="00F57749">
        <w:rPr>
          <w:lang w:val="es-ES"/>
        </w:rPr>
        <w:tab/>
        <w:t xml:space="preserve">El </w:t>
      </w:r>
      <w:r w:rsidR="00247009" w:rsidRPr="00F57749">
        <w:rPr>
          <w:lang w:val="es-ES"/>
        </w:rPr>
        <w:t>G</w:t>
      </w:r>
      <w:r w:rsidRPr="00F57749">
        <w:rPr>
          <w:lang w:val="es-ES"/>
        </w:rPr>
        <w:t xml:space="preserve">rupo celebró cuatro reuniones bajo la presidencia del Sr. Mohammed Al Khamis (Emiratos Árabes Unidos) los días 15 y 16 de marzo de 2010, 1 y 2 de septiembre de 2010, 7 y 8 de abril de 2011 y 12 de junio de 2012, respectivamente. Se facilitaron la participación a distancia y la retransmisión por la web. Se presentaron </w:t>
      </w:r>
      <w:r w:rsidR="00247009" w:rsidRPr="00F57749">
        <w:rPr>
          <w:lang w:val="es-ES"/>
        </w:rPr>
        <w:t>I</w:t>
      </w:r>
      <w:r w:rsidRPr="00F57749">
        <w:rPr>
          <w:lang w:val="es-ES"/>
        </w:rPr>
        <w:t xml:space="preserve">nformes de sus tres primeras reuniones al Consejo 2010 y al Consejo 2011 en los </w:t>
      </w:r>
      <w:r w:rsidR="00247009" w:rsidRPr="00F57749">
        <w:rPr>
          <w:lang w:val="es-ES"/>
        </w:rPr>
        <w:t>D</w:t>
      </w:r>
      <w:r w:rsidRPr="00F57749">
        <w:rPr>
          <w:lang w:val="es-ES"/>
        </w:rPr>
        <w:t xml:space="preserve">ocumentos </w:t>
      </w:r>
      <w:hyperlink r:id="rId18" w:history="1">
        <w:r w:rsidRPr="00F57749">
          <w:rPr>
            <w:rFonts w:cs="Calibri"/>
            <w:color w:val="0000FF"/>
            <w:u w:val="single"/>
            <w:lang w:val="es-ES"/>
          </w:rPr>
          <w:t>C10/45</w:t>
        </w:r>
        <w:r w:rsidR="00247009">
          <w:rPr>
            <w:rFonts w:cs="Calibri"/>
            <w:color w:val="0000FF"/>
            <w:u w:val="single"/>
            <w:lang w:val="es-ES"/>
          </w:rPr>
          <w:t>(</w:t>
        </w:r>
        <w:r w:rsidRPr="00F57749">
          <w:rPr>
            <w:rFonts w:cs="Calibri"/>
            <w:color w:val="0000FF"/>
            <w:u w:val="single"/>
            <w:lang w:val="es-ES"/>
          </w:rPr>
          <w:t>Rev.1</w:t>
        </w:r>
      </w:hyperlink>
      <w:r w:rsidR="00247009">
        <w:rPr>
          <w:rFonts w:cs="Calibri"/>
          <w:color w:val="0000FF"/>
          <w:u w:val="single"/>
          <w:lang w:val="es-ES"/>
        </w:rPr>
        <w:t>)</w:t>
      </w:r>
      <w:r w:rsidRPr="00F57749">
        <w:rPr>
          <w:rFonts w:cs="Calibri"/>
          <w:lang w:val="es-ES"/>
        </w:rPr>
        <w:t xml:space="preserve"> y </w:t>
      </w:r>
      <w:hyperlink r:id="rId19" w:history="1">
        <w:r w:rsidRPr="00F57749">
          <w:rPr>
            <w:rFonts w:cs="Calibri"/>
            <w:color w:val="0000FF"/>
            <w:u w:val="single"/>
            <w:lang w:val="es-ES"/>
          </w:rPr>
          <w:t>C11/32</w:t>
        </w:r>
      </w:hyperlink>
      <w:r w:rsidRPr="00F57749">
        <w:rPr>
          <w:lang w:val="es-ES"/>
        </w:rPr>
        <w:t>, respectivamente.</w:t>
      </w:r>
    </w:p>
    <w:p w:rsidR="00491F45" w:rsidRPr="00F57749" w:rsidRDefault="00491F45" w:rsidP="00491F45">
      <w:pPr>
        <w:rPr>
          <w:lang w:val="es-ES"/>
        </w:rPr>
      </w:pPr>
      <w:r w:rsidRPr="00F57749">
        <w:rPr>
          <w:lang w:val="es-ES"/>
        </w:rPr>
        <w:t>4</w:t>
      </w:r>
      <w:r w:rsidRPr="00F57749">
        <w:rPr>
          <w:lang w:val="es-ES"/>
        </w:rPr>
        <w:tab/>
        <w:t xml:space="preserve">La cuarta reunión de este </w:t>
      </w:r>
      <w:r w:rsidR="00247009" w:rsidRPr="00F57749">
        <w:rPr>
          <w:lang w:val="es-ES"/>
        </w:rPr>
        <w:t>G</w:t>
      </w:r>
      <w:r w:rsidRPr="00F57749">
        <w:rPr>
          <w:lang w:val="es-ES"/>
        </w:rPr>
        <w:t xml:space="preserve">rupo concluyó el 12 de junio de 2012, según consta en su </w:t>
      </w:r>
      <w:r w:rsidR="00247009" w:rsidRPr="00F57749">
        <w:rPr>
          <w:lang w:val="es-ES"/>
        </w:rPr>
        <w:t>I</w:t>
      </w:r>
      <w:r w:rsidRPr="00F57749">
        <w:rPr>
          <w:lang w:val="es-ES"/>
        </w:rPr>
        <w:t>nforme de reunión, que:</w:t>
      </w:r>
    </w:p>
    <w:p w:rsidR="00682CFA" w:rsidRPr="003A33AE" w:rsidRDefault="00247009" w:rsidP="003019CD">
      <w:pPr>
        <w:rPr>
          <w:i/>
          <w:iCs/>
          <w:lang w:val="es-ES"/>
        </w:rPr>
      </w:pPr>
      <w:r>
        <w:rPr>
          <w:lang w:val="es-ES"/>
        </w:rPr>
        <w:t>"</w:t>
      </w:r>
      <w:r w:rsidR="00491F45" w:rsidRPr="003A33AE">
        <w:rPr>
          <w:i/>
          <w:iCs/>
          <w:lang w:val="es-ES"/>
        </w:rPr>
        <w:t>los debates y contribuciones de las anteriores reuniones del Grupo I</w:t>
      </w:r>
      <w:r w:rsidRPr="003A33AE">
        <w:rPr>
          <w:i/>
          <w:iCs/>
          <w:lang w:val="es-ES"/>
        </w:rPr>
        <w:t>P</w:t>
      </w:r>
      <w:r w:rsidR="00491F45" w:rsidRPr="003A33AE">
        <w:rPr>
          <w:i/>
          <w:iCs/>
          <w:lang w:val="es-ES"/>
        </w:rPr>
        <w:t>v6 en relación con los puntos 1 a 4 del Mand</w:t>
      </w:r>
      <w:bookmarkStart w:id="9" w:name="_GoBack"/>
      <w:bookmarkEnd w:id="9"/>
      <w:r w:rsidR="00491F45" w:rsidRPr="003A33AE">
        <w:rPr>
          <w:i/>
          <w:iCs/>
          <w:lang w:val="es-ES"/>
        </w:rPr>
        <w:t>ato</w:t>
      </w:r>
      <w:r w:rsidR="00682CFA" w:rsidRPr="003A33AE">
        <w:rPr>
          <w:i/>
          <w:iCs/>
          <w:lang w:val="es-ES"/>
        </w:rPr>
        <w:t xml:space="preserve"> fueron </w:t>
      </w:r>
      <w:r w:rsidR="00345999">
        <w:rPr>
          <w:i/>
          <w:iCs/>
          <w:lang w:val="es-ES"/>
        </w:rPr>
        <w:t>objeto de</w:t>
      </w:r>
      <w:r w:rsidR="00682CFA" w:rsidRPr="003A33AE">
        <w:rPr>
          <w:i/>
          <w:iCs/>
          <w:lang w:val="es-ES"/>
        </w:rPr>
        <w:t xml:space="preserve"> estudios, y que se habían abordado los temas planteados en el </w:t>
      </w:r>
      <w:r w:rsidRPr="003A33AE">
        <w:rPr>
          <w:i/>
          <w:iCs/>
          <w:lang w:val="es-ES"/>
        </w:rPr>
        <w:t>D</w:t>
      </w:r>
      <w:r w:rsidR="00682CFA" w:rsidRPr="003A33AE">
        <w:rPr>
          <w:i/>
          <w:iCs/>
          <w:lang w:val="es-ES"/>
        </w:rPr>
        <w:t xml:space="preserve">ocumento </w:t>
      </w:r>
      <w:hyperlink r:id="rId20" w:history="1">
        <w:r w:rsidR="00682CFA" w:rsidRPr="003A33AE">
          <w:rPr>
            <w:i/>
            <w:iCs/>
            <w:color w:val="0000FF"/>
            <w:u w:val="single"/>
            <w:lang w:val="es-ES"/>
          </w:rPr>
          <w:t>C09/29</w:t>
        </w:r>
      </w:hyperlink>
      <w:r w:rsidR="00682CFA" w:rsidRPr="003A33AE">
        <w:rPr>
          <w:i/>
          <w:iCs/>
          <w:lang w:val="es-ES"/>
        </w:rPr>
        <w:t>.</w:t>
      </w:r>
      <w:r w:rsidR="00491F45" w:rsidRPr="003A33AE">
        <w:rPr>
          <w:i/>
          <w:iCs/>
          <w:lang w:val="es-ES"/>
        </w:rPr>
        <w:t xml:space="preserve"> </w:t>
      </w:r>
      <w:r w:rsidR="00682CFA" w:rsidRPr="003A33AE">
        <w:rPr>
          <w:i/>
          <w:iCs/>
          <w:lang w:val="es-ES"/>
        </w:rPr>
        <w:t>La conclusión de dichas discusiones reveló que los actuales procesos y políticas de atribución I</w:t>
      </w:r>
      <w:r w:rsidRPr="003A33AE">
        <w:rPr>
          <w:i/>
          <w:iCs/>
          <w:lang w:val="es-ES"/>
        </w:rPr>
        <w:t>P</w:t>
      </w:r>
      <w:r w:rsidR="00682CFA" w:rsidRPr="003A33AE">
        <w:rPr>
          <w:i/>
          <w:iCs/>
          <w:lang w:val="es-ES"/>
        </w:rPr>
        <w:t>v6 satisfacían las necesidades de las partes interesadas.</w:t>
      </w:r>
    </w:p>
    <w:p w:rsidR="00682CFA" w:rsidRPr="003A33AE" w:rsidRDefault="00682CFA" w:rsidP="003019CD">
      <w:pPr>
        <w:rPr>
          <w:i/>
          <w:iCs/>
          <w:lang w:val="es-ES"/>
        </w:rPr>
      </w:pPr>
      <w:r w:rsidRPr="003A33AE">
        <w:rPr>
          <w:i/>
          <w:iCs/>
          <w:lang w:val="es-ES"/>
        </w:rPr>
        <w:t>La reunión apreció además que la futura labor relativa a las actividades de capacitación humana sobre I</w:t>
      </w:r>
      <w:r w:rsidR="00247009" w:rsidRPr="003A33AE">
        <w:rPr>
          <w:i/>
          <w:iCs/>
          <w:lang w:val="es-ES"/>
        </w:rPr>
        <w:t>P</w:t>
      </w:r>
      <w:r w:rsidRPr="003A33AE">
        <w:rPr>
          <w:i/>
          <w:iCs/>
          <w:lang w:val="es-ES"/>
        </w:rPr>
        <w:t>v6 y el proyecto sobre los aspectos técnicos, políticos y económicos de la transición de I</w:t>
      </w:r>
      <w:r w:rsidR="00247009" w:rsidRPr="003A33AE">
        <w:rPr>
          <w:i/>
          <w:iCs/>
          <w:lang w:val="es-ES"/>
        </w:rPr>
        <w:t>P</w:t>
      </w:r>
      <w:r w:rsidRPr="003A33AE">
        <w:rPr>
          <w:i/>
          <w:iCs/>
          <w:lang w:val="es-ES"/>
        </w:rPr>
        <w:t>v4 a I</w:t>
      </w:r>
      <w:r w:rsidR="00247009" w:rsidRPr="003A33AE">
        <w:rPr>
          <w:i/>
          <w:iCs/>
          <w:lang w:val="es-ES"/>
        </w:rPr>
        <w:t>P</w:t>
      </w:r>
      <w:r w:rsidRPr="003A33AE">
        <w:rPr>
          <w:i/>
          <w:iCs/>
          <w:lang w:val="es-ES"/>
        </w:rPr>
        <w:t xml:space="preserve">v6 iban a seguir adelante bajo la dirección de la BDT de la UIT en colaboración con las entidades asociadas interesadas (RIR, Nav6, Cisco, etc.) y los Estados asociados (República Checa, Sudán, Suecia, etc.). </w:t>
      </w:r>
    </w:p>
    <w:p w:rsidR="00682CFA" w:rsidRPr="00F57749" w:rsidRDefault="00682CFA" w:rsidP="00682CFA">
      <w:pPr>
        <w:rPr>
          <w:lang w:val="es-ES"/>
        </w:rPr>
      </w:pPr>
      <w:r w:rsidRPr="003A33AE">
        <w:rPr>
          <w:i/>
          <w:iCs/>
          <w:lang w:val="es-ES"/>
        </w:rPr>
        <w:t xml:space="preserve">La reunión acordó que el Presidente enviara este </w:t>
      </w:r>
      <w:r w:rsidR="00247009" w:rsidRPr="003A33AE">
        <w:rPr>
          <w:i/>
          <w:iCs/>
          <w:lang w:val="es-ES"/>
        </w:rPr>
        <w:t>I</w:t>
      </w:r>
      <w:r w:rsidRPr="003A33AE">
        <w:rPr>
          <w:i/>
          <w:iCs/>
          <w:lang w:val="es-ES"/>
        </w:rPr>
        <w:t xml:space="preserve">nforme a los Directores de la TSB y la BDT a fin de notificar que el </w:t>
      </w:r>
      <w:r w:rsidR="00F57749" w:rsidRPr="003A33AE">
        <w:rPr>
          <w:i/>
          <w:iCs/>
          <w:lang w:val="es-ES"/>
        </w:rPr>
        <w:t>Grupo</w:t>
      </w:r>
      <w:r w:rsidRPr="003A33AE">
        <w:rPr>
          <w:i/>
          <w:iCs/>
          <w:lang w:val="es-ES"/>
        </w:rPr>
        <w:t xml:space="preserve"> I</w:t>
      </w:r>
      <w:r w:rsidR="00247009" w:rsidRPr="003A33AE">
        <w:rPr>
          <w:i/>
          <w:iCs/>
          <w:lang w:val="es-ES"/>
        </w:rPr>
        <w:t>P</w:t>
      </w:r>
      <w:r w:rsidRPr="003A33AE">
        <w:rPr>
          <w:i/>
          <w:iCs/>
          <w:lang w:val="es-ES"/>
        </w:rPr>
        <w:t>v6 había completado su labor</w:t>
      </w:r>
      <w:r w:rsidRPr="00F57749">
        <w:rPr>
          <w:lang w:val="es-ES"/>
        </w:rPr>
        <w:t>.’</w:t>
      </w:r>
    </w:p>
    <w:p w:rsidR="00E44965" w:rsidRDefault="00682CFA" w:rsidP="00682CFA">
      <w:pPr>
        <w:rPr>
          <w:lang w:val="es-ES"/>
        </w:rPr>
      </w:pPr>
      <w:r w:rsidRPr="00F57749">
        <w:rPr>
          <w:lang w:val="es-ES"/>
        </w:rPr>
        <w:t>5</w:t>
      </w:r>
      <w:r w:rsidRPr="00F57749">
        <w:rPr>
          <w:lang w:val="es-ES"/>
        </w:rPr>
        <w:tab/>
        <w:t xml:space="preserve">El Sr. </w:t>
      </w:r>
      <w:r w:rsidR="00F57749" w:rsidRPr="00F57749">
        <w:rPr>
          <w:lang w:val="es-ES"/>
        </w:rPr>
        <w:t>Mohammed</w:t>
      </w:r>
      <w:r w:rsidRPr="00F57749">
        <w:rPr>
          <w:lang w:val="es-ES"/>
        </w:rPr>
        <w:t xml:space="preserve"> Al Khamis así lo ha notificado a los Directores de la TSB y la BDT el 19 de junio de 2012 y, en consecuencia, el Grupo I</w:t>
      </w:r>
      <w:r w:rsidR="00247009" w:rsidRPr="00F57749">
        <w:rPr>
          <w:lang w:val="es-ES"/>
        </w:rPr>
        <w:t>P</w:t>
      </w:r>
      <w:r w:rsidRPr="00F57749">
        <w:rPr>
          <w:lang w:val="es-ES"/>
        </w:rPr>
        <w:t xml:space="preserve">v6 ha quedado disuelto. </w:t>
      </w:r>
    </w:p>
    <w:p w:rsidR="003019CD" w:rsidRDefault="003019CD" w:rsidP="00682CFA">
      <w:pPr>
        <w:rPr>
          <w:lang w:val="es-ES"/>
        </w:rPr>
      </w:pPr>
    </w:p>
    <w:p w:rsidR="003019CD" w:rsidRPr="00F57749" w:rsidRDefault="003019CD" w:rsidP="00682CFA">
      <w:pPr>
        <w:rPr>
          <w:lang w:val="es-ES"/>
        </w:rPr>
      </w:pPr>
    </w:p>
    <w:p w:rsidR="00E44965" w:rsidRPr="00F57749" w:rsidRDefault="00E44965">
      <w:pPr>
        <w:jc w:val="center"/>
        <w:rPr>
          <w:lang w:val="es-ES"/>
        </w:rPr>
      </w:pPr>
      <w:r w:rsidRPr="00F57749">
        <w:rPr>
          <w:lang w:val="es-ES"/>
        </w:rPr>
        <w:t>______________</w:t>
      </w:r>
    </w:p>
    <w:sectPr w:rsidR="00E44965" w:rsidRPr="00F57749" w:rsidSect="006710F6">
      <w:headerReference w:type="default" r:id="rId21"/>
      <w:footerReference w:type="default" r:id="rId22"/>
      <w:footerReference w:type="first" r:id="rId2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9CD" w:rsidRDefault="003019CD">
      <w:r>
        <w:separator/>
      </w:r>
    </w:p>
  </w:endnote>
  <w:endnote w:type="continuationSeparator" w:id="0">
    <w:p w:rsidR="003019CD" w:rsidRDefault="0030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9CD" w:rsidRPr="00F10F87" w:rsidRDefault="003019CD" w:rsidP="003019CD">
    <w:pPr>
      <w:pStyle w:val="Footer"/>
      <w:rPr>
        <w:lang w:val="fr-CH"/>
      </w:rPr>
    </w:pPr>
    <w:r>
      <w:fldChar w:fldCharType="begin"/>
    </w:r>
    <w:r w:rsidRPr="00F10F87">
      <w:rPr>
        <w:lang w:val="fr-CH"/>
      </w:rPr>
      <w:instrText xml:space="preserve"> FILENAME \p  \* MERGEFORMAT </w:instrText>
    </w:r>
    <w:r>
      <w:fldChar w:fldCharType="separate"/>
    </w:r>
    <w:r w:rsidR="00247009">
      <w:rPr>
        <w:lang w:val="fr-CH"/>
      </w:rPr>
      <w:t>P:\ESP\SG\CONSEIL\C12\000\062S.docx</w:t>
    </w:r>
    <w:r>
      <w:fldChar w:fldCharType="end"/>
    </w:r>
    <w:r w:rsidRPr="003019CD">
      <w:rPr>
        <w:lang w:val="fr-CH"/>
      </w:rPr>
      <w:t xml:space="preserve"> (329154)</w:t>
    </w:r>
    <w:r w:rsidRPr="00F10F87">
      <w:rPr>
        <w:lang w:val="fr-CH"/>
      </w:rPr>
      <w:tab/>
    </w:r>
    <w:r>
      <w:fldChar w:fldCharType="begin"/>
    </w:r>
    <w:r>
      <w:instrText xml:space="preserve"> SAVEDATE \@ DD.MM.YY </w:instrText>
    </w:r>
    <w:r>
      <w:fldChar w:fldCharType="separate"/>
    </w:r>
    <w:r w:rsidR="00247009">
      <w:t>27.06.12</w:t>
    </w:r>
    <w:r>
      <w:fldChar w:fldCharType="end"/>
    </w:r>
    <w:r w:rsidRPr="00F10F87">
      <w:rPr>
        <w:lang w:val="fr-CH"/>
      </w:rPr>
      <w:tab/>
    </w:r>
    <w:r>
      <w:fldChar w:fldCharType="begin"/>
    </w:r>
    <w:r>
      <w:instrText xml:space="preserve"> PRINTDATE \@ DD.MM.YY </w:instrText>
    </w:r>
    <w:r>
      <w:fldChar w:fldCharType="separate"/>
    </w:r>
    <w:r w:rsidR="00247009">
      <w:t>27.06.12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9CD" w:rsidRDefault="003019CD">
    <w:pPr>
      <w:spacing w:after="120"/>
      <w:jc w:val="center"/>
    </w:pPr>
    <w:r>
      <w:t xml:space="preserve">• </w:t>
    </w:r>
    <w:hyperlink r:id="rId1" w:history="1">
      <w:r>
        <w:rPr>
          <w:rStyle w:val="Hyperlink"/>
        </w:rPr>
        <w:t>http://www.itu.int/council</w:t>
      </w:r>
    </w:hyperlink>
    <w:r>
      <w:t xml:space="preserve"> •</w:t>
    </w:r>
  </w:p>
  <w:p w:rsidR="003019CD" w:rsidRPr="00F10F87" w:rsidRDefault="003019CD" w:rsidP="00EE1962">
    <w:pPr>
      <w:pStyle w:val="Footer"/>
      <w:rPr>
        <w:lang w:val="fr-CH"/>
      </w:rPr>
    </w:pPr>
    <w:r>
      <w:fldChar w:fldCharType="begin"/>
    </w:r>
    <w:r w:rsidRPr="00F10F87">
      <w:rPr>
        <w:lang w:val="fr-CH"/>
      </w:rPr>
      <w:instrText xml:space="preserve"> FILENAME \p  \* MERGEFORMAT </w:instrText>
    </w:r>
    <w:r>
      <w:fldChar w:fldCharType="separate"/>
    </w:r>
    <w:r w:rsidR="00247009">
      <w:rPr>
        <w:lang w:val="fr-CH"/>
      </w:rPr>
      <w:t>P:\ESP\SG\CONSEIL\C12\000\062S.docx</w:t>
    </w:r>
    <w:r>
      <w:fldChar w:fldCharType="end"/>
    </w:r>
    <w:r w:rsidRPr="003019CD">
      <w:rPr>
        <w:lang w:val="fr-CH"/>
      </w:rPr>
      <w:t xml:space="preserve"> (329154)</w:t>
    </w:r>
    <w:r w:rsidRPr="00F10F87">
      <w:rPr>
        <w:lang w:val="fr-CH"/>
      </w:rPr>
      <w:tab/>
    </w:r>
    <w:r>
      <w:fldChar w:fldCharType="begin"/>
    </w:r>
    <w:r>
      <w:instrText xml:space="preserve"> SAVEDATE \@ DD.MM.YY </w:instrText>
    </w:r>
    <w:r>
      <w:fldChar w:fldCharType="separate"/>
    </w:r>
    <w:r w:rsidR="00247009">
      <w:t>27.06.12</w:t>
    </w:r>
    <w:r>
      <w:fldChar w:fldCharType="end"/>
    </w:r>
    <w:r w:rsidRPr="00F10F87">
      <w:rPr>
        <w:lang w:val="fr-CH"/>
      </w:rPr>
      <w:tab/>
    </w:r>
    <w:r>
      <w:fldChar w:fldCharType="begin"/>
    </w:r>
    <w:r>
      <w:instrText xml:space="preserve"> PRINTDATE \@ DD.MM.YY </w:instrText>
    </w:r>
    <w:r>
      <w:fldChar w:fldCharType="separate"/>
    </w:r>
    <w:r w:rsidR="00247009">
      <w:t>27.06.12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9CD" w:rsidRDefault="003019CD">
      <w:r>
        <w:t>____________________</w:t>
      </w:r>
    </w:p>
  </w:footnote>
  <w:footnote w:type="continuationSeparator" w:id="0">
    <w:p w:rsidR="003019CD" w:rsidRDefault="00301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9CD" w:rsidRDefault="003019CD" w:rsidP="007657F0">
    <w:pPr>
      <w:pStyle w:val="Header"/>
    </w:pPr>
    <w:r>
      <w:fldChar w:fldCharType="begin"/>
    </w:r>
    <w:r>
      <w:instrText>PAGE</w:instrText>
    </w:r>
    <w:r>
      <w:fldChar w:fldCharType="separate"/>
    </w:r>
    <w:r w:rsidR="00247009">
      <w:rPr>
        <w:noProof/>
      </w:rPr>
      <w:t>2</w:t>
    </w:r>
    <w:r>
      <w:rPr>
        <w:noProof/>
      </w:rPr>
      <w:fldChar w:fldCharType="end"/>
    </w:r>
  </w:p>
  <w:p w:rsidR="003019CD" w:rsidRDefault="003019CD" w:rsidP="00682CFA">
    <w:pPr>
      <w:pStyle w:val="Header"/>
    </w:pPr>
    <w:r>
      <w:t>C12/62-S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02249"/>
    <w:multiLevelType w:val="hybridMultilevel"/>
    <w:tmpl w:val="87DA22C6"/>
    <w:lvl w:ilvl="0" w:tplc="AE2E71F2">
      <w:start w:val="1"/>
      <w:numFmt w:val="decimal"/>
      <w:lvlText w:val="%1"/>
      <w:lvlJc w:val="left"/>
      <w:pPr>
        <w:ind w:left="360" w:hanging="360"/>
      </w:pPr>
      <w:rPr>
        <w:rFonts w:hint="default"/>
        <w:b w:val="0"/>
      </w:rPr>
    </w:lvl>
    <w:lvl w:ilvl="1" w:tplc="00190409" w:tentative="1">
      <w:start w:val="1"/>
      <w:numFmt w:val="lowerLetter"/>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1">
    <w:nsid w:val="5F38230C"/>
    <w:multiLevelType w:val="hybridMultilevel"/>
    <w:tmpl w:val="5DB0AB78"/>
    <w:lvl w:ilvl="0" w:tplc="1D42EDBE">
      <w:start w:val="4"/>
      <w:numFmt w:val="bullet"/>
      <w:lvlText w:val="-"/>
      <w:lvlJc w:val="left"/>
      <w:pPr>
        <w:ind w:left="1080" w:hanging="360"/>
      </w:pPr>
      <w:rPr>
        <w:rFonts w:ascii="Times New Roman" w:eastAsia="Times New Roman" w:hAnsi="Times New Roman" w:hint="default"/>
      </w:rPr>
    </w:lvl>
    <w:lvl w:ilvl="1" w:tplc="1D42EDBE">
      <w:start w:val="4"/>
      <w:numFmt w:val="bullet"/>
      <w:lvlText w:val="-"/>
      <w:lvlJc w:val="left"/>
      <w:pPr>
        <w:ind w:left="1800" w:hanging="360"/>
      </w:pPr>
      <w:rPr>
        <w:rFonts w:ascii="Times New Roman" w:eastAsia="Times New Roman" w:hAnsi="Times New Roman"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2">
    <w:nsid w:val="69E6771D"/>
    <w:multiLevelType w:val="hybridMultilevel"/>
    <w:tmpl w:val="AC70F55C"/>
    <w:lvl w:ilvl="0" w:tplc="F08EF8D6">
      <w:start w:val="1"/>
      <w:numFmt w:val="decimal"/>
      <w:lvlText w:val="%1"/>
      <w:lvlJc w:val="left"/>
      <w:pPr>
        <w:ind w:left="360" w:hanging="360"/>
      </w:pPr>
      <w:rPr>
        <w:rFonts w:hint="default"/>
        <w:b w:val="0"/>
      </w:rPr>
    </w:lvl>
    <w:lvl w:ilvl="1" w:tplc="00190409" w:tentative="1">
      <w:start w:val="1"/>
      <w:numFmt w:val="lowerLetter"/>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264"/>
    <w:rsid w:val="000B0D00"/>
    <w:rsid w:val="000B7C15"/>
    <w:rsid w:val="000D1D0F"/>
    <w:rsid w:val="0010165C"/>
    <w:rsid w:val="001840B2"/>
    <w:rsid w:val="001C738F"/>
    <w:rsid w:val="001F14A2"/>
    <w:rsid w:val="001F2D3D"/>
    <w:rsid w:val="00247009"/>
    <w:rsid w:val="002801AA"/>
    <w:rsid w:val="003019CD"/>
    <w:rsid w:val="00345999"/>
    <w:rsid w:val="003A33AE"/>
    <w:rsid w:val="004037AF"/>
    <w:rsid w:val="00491F45"/>
    <w:rsid w:val="00556860"/>
    <w:rsid w:val="00560125"/>
    <w:rsid w:val="00585553"/>
    <w:rsid w:val="005B34D9"/>
    <w:rsid w:val="005D0CCF"/>
    <w:rsid w:val="005F410F"/>
    <w:rsid w:val="006007F7"/>
    <w:rsid w:val="00601924"/>
    <w:rsid w:val="0064731F"/>
    <w:rsid w:val="006710F6"/>
    <w:rsid w:val="00672264"/>
    <w:rsid w:val="00682CFA"/>
    <w:rsid w:val="006900A1"/>
    <w:rsid w:val="006C1B56"/>
    <w:rsid w:val="006C7DCB"/>
    <w:rsid w:val="006D4761"/>
    <w:rsid w:val="006E5BAD"/>
    <w:rsid w:val="007576FD"/>
    <w:rsid w:val="00760F1C"/>
    <w:rsid w:val="007657F0"/>
    <w:rsid w:val="00785608"/>
    <w:rsid w:val="007E5DD3"/>
    <w:rsid w:val="00820BE4"/>
    <w:rsid w:val="008451E8"/>
    <w:rsid w:val="0085446F"/>
    <w:rsid w:val="00913B9C"/>
    <w:rsid w:val="00956E77"/>
    <w:rsid w:val="00A16391"/>
    <w:rsid w:val="00A20789"/>
    <w:rsid w:val="00A445B7"/>
    <w:rsid w:val="00AA390C"/>
    <w:rsid w:val="00B574DB"/>
    <w:rsid w:val="00B82427"/>
    <w:rsid w:val="00B826C2"/>
    <w:rsid w:val="00BD0723"/>
    <w:rsid w:val="00BF4617"/>
    <w:rsid w:val="00C176B0"/>
    <w:rsid w:val="00C55B1F"/>
    <w:rsid w:val="00C6350F"/>
    <w:rsid w:val="00CF1A67"/>
    <w:rsid w:val="00D62446"/>
    <w:rsid w:val="00DA4EA2"/>
    <w:rsid w:val="00DE2C90"/>
    <w:rsid w:val="00E3592D"/>
    <w:rsid w:val="00E4421C"/>
    <w:rsid w:val="00E44965"/>
    <w:rsid w:val="00ED65AB"/>
    <w:rsid w:val="00EE1962"/>
    <w:rsid w:val="00F10F87"/>
    <w:rsid w:val="00F12850"/>
    <w:rsid w:val="00F33BF4"/>
    <w:rsid w:val="00F510B6"/>
    <w:rsid w:val="00F57749"/>
    <w:rsid w:val="00F7105E"/>
    <w:rsid w:val="00F747A8"/>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link w:val="FooterChar"/>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character" w:styleId="EndnoteReference">
    <w:name w:val="endnote reference"/>
    <w:basedOn w:val="DefaultParagraphFont"/>
    <w:rsid w:val="006710F6"/>
    <w:rPr>
      <w:vertAlign w:val="superscript"/>
    </w:rPr>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Object">
    <w:name w:val="Object"/>
    <w:basedOn w:val="Subject"/>
    <w:next w:val="Subject"/>
    <w:rsid w:val="006710F6"/>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docnoted">
    <w:name w:val="docnoted"/>
    <w:basedOn w:val="Normal"/>
    <w:rsid w:val="006710F6"/>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Table">
    <w:name w:val="Table_#"/>
    <w:basedOn w:val="Normal"/>
    <w:next w:val="Normal"/>
    <w:rsid w:val="006710F6"/>
    <w:pPr>
      <w:keepNext/>
      <w:overflowPunct/>
      <w:autoSpaceDE/>
      <w:autoSpaceDN/>
      <w:adjustRightInd/>
      <w:spacing w:before="560" w:after="120"/>
      <w:jc w:val="center"/>
      <w:textAlignment w:val="auto"/>
    </w:pPr>
    <w:rPr>
      <w:caps/>
      <w:lang w:val="en-GB"/>
    </w:rPr>
  </w:style>
  <w:style w:type="paragraph" w:customStyle="1" w:styleId="FigureNo">
    <w:name w:val="Figure_No"/>
    <w:basedOn w:val="Normal"/>
    <w:next w:val="Figuretitle"/>
    <w:rsid w:val="006710F6"/>
    <w:pPr>
      <w:keepNext/>
      <w:keepLines/>
      <w:spacing w:before="240" w:after="120"/>
      <w:jc w:val="center"/>
    </w:pPr>
    <w:rPr>
      <w:caps/>
    </w:rPr>
  </w:style>
  <w:style w:type="paragraph" w:styleId="ListParagraph">
    <w:name w:val="List Paragraph"/>
    <w:basedOn w:val="Normal"/>
    <w:qFormat/>
    <w:rsid w:val="0085446F"/>
    <w:pPr>
      <w:ind w:left="720"/>
      <w:contextualSpacing/>
    </w:pPr>
    <w:rPr>
      <w:lang w:val="en-GB"/>
    </w:rPr>
  </w:style>
  <w:style w:type="paragraph" w:styleId="BalloonText">
    <w:name w:val="Balloon Text"/>
    <w:basedOn w:val="Normal"/>
    <w:link w:val="BalloonTextChar"/>
    <w:rsid w:val="001840B2"/>
    <w:pPr>
      <w:spacing w:before="0"/>
    </w:pPr>
    <w:rPr>
      <w:rFonts w:ascii="Tahoma" w:hAnsi="Tahoma" w:cs="Tahoma"/>
      <w:sz w:val="16"/>
      <w:szCs w:val="16"/>
    </w:rPr>
  </w:style>
  <w:style w:type="character" w:customStyle="1" w:styleId="BalloonTextChar">
    <w:name w:val="Balloon Text Char"/>
    <w:basedOn w:val="DefaultParagraphFont"/>
    <w:link w:val="BalloonText"/>
    <w:rsid w:val="001840B2"/>
    <w:rPr>
      <w:rFonts w:ascii="Tahoma" w:hAnsi="Tahoma" w:cs="Tahoma"/>
      <w:sz w:val="16"/>
      <w:szCs w:val="16"/>
      <w:lang w:val="es-ES_tradnl" w:eastAsia="en-US"/>
    </w:rPr>
  </w:style>
  <w:style w:type="character" w:customStyle="1" w:styleId="FooterChar">
    <w:name w:val="Footer Char"/>
    <w:basedOn w:val="DefaultParagraphFont"/>
    <w:link w:val="Footer"/>
    <w:rsid w:val="003019CD"/>
    <w:rPr>
      <w:rFonts w:ascii="Calibri" w:hAnsi="Calibri"/>
      <w:caps/>
      <w:noProof/>
      <w:sz w:val="1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link w:val="FooterChar"/>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character" w:styleId="EndnoteReference">
    <w:name w:val="endnote reference"/>
    <w:basedOn w:val="DefaultParagraphFont"/>
    <w:rsid w:val="006710F6"/>
    <w:rPr>
      <w:vertAlign w:val="superscript"/>
    </w:rPr>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Object">
    <w:name w:val="Object"/>
    <w:basedOn w:val="Subject"/>
    <w:next w:val="Subject"/>
    <w:rsid w:val="006710F6"/>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docnoted">
    <w:name w:val="docnoted"/>
    <w:basedOn w:val="Normal"/>
    <w:rsid w:val="006710F6"/>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Table">
    <w:name w:val="Table_#"/>
    <w:basedOn w:val="Normal"/>
    <w:next w:val="Normal"/>
    <w:rsid w:val="006710F6"/>
    <w:pPr>
      <w:keepNext/>
      <w:overflowPunct/>
      <w:autoSpaceDE/>
      <w:autoSpaceDN/>
      <w:adjustRightInd/>
      <w:spacing w:before="560" w:after="120"/>
      <w:jc w:val="center"/>
      <w:textAlignment w:val="auto"/>
    </w:pPr>
    <w:rPr>
      <w:caps/>
      <w:lang w:val="en-GB"/>
    </w:rPr>
  </w:style>
  <w:style w:type="paragraph" w:customStyle="1" w:styleId="FigureNo">
    <w:name w:val="Figure_No"/>
    <w:basedOn w:val="Normal"/>
    <w:next w:val="Figuretitle"/>
    <w:rsid w:val="006710F6"/>
    <w:pPr>
      <w:keepNext/>
      <w:keepLines/>
      <w:spacing w:before="240" w:after="120"/>
      <w:jc w:val="center"/>
    </w:pPr>
    <w:rPr>
      <w:caps/>
    </w:rPr>
  </w:style>
  <w:style w:type="paragraph" w:styleId="ListParagraph">
    <w:name w:val="List Paragraph"/>
    <w:basedOn w:val="Normal"/>
    <w:qFormat/>
    <w:rsid w:val="0085446F"/>
    <w:pPr>
      <w:ind w:left="720"/>
      <w:contextualSpacing/>
    </w:pPr>
    <w:rPr>
      <w:lang w:val="en-GB"/>
    </w:rPr>
  </w:style>
  <w:style w:type="paragraph" w:styleId="BalloonText">
    <w:name w:val="Balloon Text"/>
    <w:basedOn w:val="Normal"/>
    <w:link w:val="BalloonTextChar"/>
    <w:rsid w:val="001840B2"/>
    <w:pPr>
      <w:spacing w:before="0"/>
    </w:pPr>
    <w:rPr>
      <w:rFonts w:ascii="Tahoma" w:hAnsi="Tahoma" w:cs="Tahoma"/>
      <w:sz w:val="16"/>
      <w:szCs w:val="16"/>
    </w:rPr>
  </w:style>
  <w:style w:type="character" w:customStyle="1" w:styleId="BalloonTextChar">
    <w:name w:val="Balloon Text Char"/>
    <w:basedOn w:val="DefaultParagraphFont"/>
    <w:link w:val="BalloonText"/>
    <w:rsid w:val="001840B2"/>
    <w:rPr>
      <w:rFonts w:ascii="Tahoma" w:hAnsi="Tahoma" w:cs="Tahoma"/>
      <w:sz w:val="16"/>
      <w:szCs w:val="16"/>
      <w:lang w:val="es-ES_tradnl" w:eastAsia="en-US"/>
    </w:rPr>
  </w:style>
  <w:style w:type="character" w:customStyle="1" w:styleId="FooterChar">
    <w:name w:val="Footer Char"/>
    <w:basedOn w:val="DefaultParagraphFont"/>
    <w:link w:val="Footer"/>
    <w:rsid w:val="003019CD"/>
    <w:rPr>
      <w:rFonts w:ascii="Calibri" w:hAnsi="Calibri"/>
      <w:caps/>
      <w:noProof/>
      <w:sz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md/S11-CL-C-0032/en" TargetMode="External"/><Relationship Id="rId18" Type="http://schemas.openxmlformats.org/officeDocument/2006/relationships/hyperlink" Target="http://www.itu.int/md/S10-CL-C-0045/e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itu.int/md/S10-CL-C-0045/en" TargetMode="External"/><Relationship Id="rId17" Type="http://schemas.openxmlformats.org/officeDocument/2006/relationships/hyperlink" Target="http://www.itu.int/ITU-T/othergroups/ipv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tu.int/md/S09-CL-C-0029/en" TargetMode="External"/><Relationship Id="rId20" Type="http://schemas.openxmlformats.org/officeDocument/2006/relationships/hyperlink" Target="http://www.itu.int/md/S09-CL-C-0029/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S09-CL-C-0029/e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tu.int/md/meetingdoc.asp?lang=en&amp;parent=S09-CL-C-0093" TargetMode="External"/><Relationship Id="rId23" Type="http://schemas.openxmlformats.org/officeDocument/2006/relationships/footer" Target="footer2.xml"/><Relationship Id="rId10" Type="http://schemas.openxmlformats.org/officeDocument/2006/relationships/hyperlink" Target="http://www.itu.int/md/meetingdoc.asp?lang=en&amp;parent=S09-CL-C-0093" TargetMode="External"/><Relationship Id="rId19" Type="http://schemas.openxmlformats.org/officeDocument/2006/relationships/hyperlink" Target="http://www.itu.int/md/S11-CL-C-0032/e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tu.int/md/S12-CL-C-0030/en"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llo\Application%20Data\Microsoft\Templates\POOL%20S%20-%20ITU\PS_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05EB-2236-4F3E-B9C4-C359A52E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PS_C12.dotm</Template>
  <TotalTime>38</TotalTime>
  <Pages>2</Pages>
  <Words>788</Words>
  <Characters>4551</Characters>
  <Application>Microsoft Office Word</Application>
  <DocSecurity>0</DocSecurity>
  <Lines>37</Lines>
  <Paragraphs>10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PRIMER INFORME ANUAL DEL COMITÉ ASESOR INDEPENDIENTE SOBRE LA GESTIÓN (CAIG)</vt:lpstr>
    </vt:vector>
  </TitlesOfParts>
  <Manager>Secretaría General - Pool</Manager>
  <Company>Unión Internacional de Telecomunicaciones (UIT)</Company>
  <LinksUpToDate>false</LinksUpToDate>
  <CharactersWithSpaces>5329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PRIMER INFORME ANUAL DEL COMITÉ ASESOR INDEPENDIENTE SOBRE LA GESTIÓN (CAIG)</dc:title>
  <dc:subject>Consejo 2010</dc:subject>
  <dc:creator>Peral, Fernando</dc:creator>
  <cp:keywords>C2010, C10</cp:keywords>
  <dc:description/>
  <cp:lastModifiedBy>amiguez</cp:lastModifiedBy>
  <cp:revision>4</cp:revision>
  <cp:lastPrinted>2012-06-27T12:55:00Z</cp:lastPrinted>
  <dcterms:created xsi:type="dcterms:W3CDTF">2012-06-27T09:40:00Z</dcterms:created>
  <dcterms:modified xsi:type="dcterms:W3CDTF">2012-06-27T12:55:00Z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C12/44-S</vt:lpwstr>
  </property>
  <property fmtid="{D5CDD505-2E9C-101B-9397-08002B2CF9AE}" pid="3" name="Docdate">
    <vt:lpwstr>12 de junio de 2012</vt:lpwstr>
  </property>
  <property fmtid="{D5CDD505-2E9C-101B-9397-08002B2CF9AE}" pid="4" name="Docorlang">
    <vt:lpwstr>Original: inglés</vt:lpwstr>
  </property>
  <property fmtid="{D5CDD505-2E9C-101B-9397-08002B2CF9AE}" pid="5" name="Docbluepink">
    <vt:lpwstr>Consejo 2012 Ginebra, 4-13 de julio de 2012</vt:lpwstr>
  </property>
  <property fmtid="{D5CDD505-2E9C-101B-9397-08002B2CF9AE}" pid="6" name="Docdest">
    <vt:lpwstr>Punto del orden del día: ADM 6</vt:lpwstr>
  </property>
  <property fmtid="{D5CDD505-2E9C-101B-9397-08002B2CF9AE}" pid="7" name="Docauthor">
    <vt:lpwstr/>
  </property>
</Properties>
</file>