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561F10" w:rsidRPr="000B0D00">
        <w:trPr>
          <w:cantSplit/>
        </w:trPr>
        <w:tc>
          <w:tcPr>
            <w:tcW w:w="6912" w:type="dxa"/>
          </w:tcPr>
          <w:p w:rsidR="00561F10" w:rsidRPr="000B0D00" w:rsidRDefault="00561F10" w:rsidP="00561F10">
            <w:pPr>
              <w:spacing w:before="360"/>
              <w:rPr>
                <w:szCs w:val="24"/>
              </w:rPr>
            </w:pPr>
            <w:bookmarkStart w:id="0" w:name="dc06"/>
            <w:bookmarkStart w:id="1" w:name="dbluepink" w:colFirst="0" w:colLast="0"/>
            <w:bookmarkStart w:id="2" w:name="_GoBack"/>
            <w:bookmarkEnd w:id="0"/>
            <w:bookmarkEnd w:id="2"/>
            <w:r w:rsidRPr="00561F10">
              <w:rPr>
                <w:b/>
                <w:bCs/>
                <w:sz w:val="30"/>
                <w:szCs w:val="30"/>
              </w:rPr>
              <w:t>Consejo 2012</w:t>
            </w:r>
            <w:r w:rsidRPr="00561F10">
              <w:rPr>
                <w:b/>
                <w:bCs/>
                <w:sz w:val="26"/>
                <w:szCs w:val="26"/>
              </w:rPr>
              <w:br/>
            </w:r>
            <w:r w:rsidRPr="00561F10">
              <w:rPr>
                <w:b/>
                <w:bCs/>
                <w:szCs w:val="24"/>
              </w:rPr>
              <w:t>Ginebra, 4-13 de julio de 2012</w:t>
            </w:r>
          </w:p>
        </w:tc>
        <w:tc>
          <w:tcPr>
            <w:tcW w:w="3261" w:type="dxa"/>
          </w:tcPr>
          <w:p w:rsidR="00561F10" w:rsidRPr="000B0D00" w:rsidRDefault="00561F10" w:rsidP="00561F10">
            <w:pPr>
              <w:spacing w:before="0"/>
              <w:rPr>
                <w:szCs w:val="24"/>
              </w:rPr>
            </w:pPr>
            <w:bookmarkStart w:id="3" w:name="ditulogo"/>
            <w:bookmarkEnd w:id="3"/>
            <w:r w:rsidRPr="00561F10">
              <w:rPr>
                <w:rFonts w:ascii="Verdana" w:hAnsi="Verdana"/>
                <w:b/>
                <w:bCs/>
                <w:noProof/>
                <w:szCs w:val="24"/>
                <w:lang w:val="en-US" w:eastAsia="zh-CN"/>
              </w:rPr>
              <w:drawing>
                <wp:inline distT="0" distB="0" distL="0" distR="0" wp14:anchorId="4E3B5131" wp14:editId="54A6AE99">
                  <wp:extent cx="1775460" cy="693420"/>
                  <wp:effectExtent l="19050" t="0" r="0" b="0"/>
                  <wp:docPr id="1" name="Picture 1"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_"/>
                          <pic:cNvPicPr>
                            <a:picLocks noChangeAspect="1" noChangeArrowheads="1"/>
                          </pic:cNvPicPr>
                        </pic:nvPicPr>
                        <pic:blipFill>
                          <a:blip r:embed="rId8"/>
                          <a:srcRect/>
                          <a:stretch>
                            <a:fillRect/>
                          </a:stretch>
                        </pic:blipFill>
                        <pic:spPr bwMode="auto">
                          <a:xfrm>
                            <a:off x="0" y="0"/>
                            <a:ext cx="1775460" cy="693420"/>
                          </a:xfrm>
                          <a:prstGeom prst="rect">
                            <a:avLst/>
                          </a:prstGeom>
                          <a:noFill/>
                          <a:ln w="9525">
                            <a:noFill/>
                            <a:miter lim="800000"/>
                            <a:headEnd/>
                            <a:tailEnd/>
                          </a:ln>
                        </pic:spPr>
                      </pic:pic>
                    </a:graphicData>
                  </a:graphic>
                </wp:inline>
              </w:drawing>
            </w:r>
          </w:p>
        </w:tc>
      </w:tr>
      <w:tr w:rsidR="00561F10" w:rsidRPr="000B0D00">
        <w:trPr>
          <w:cantSplit/>
          <w:trHeight w:val="20"/>
        </w:trPr>
        <w:tc>
          <w:tcPr>
            <w:tcW w:w="10173" w:type="dxa"/>
            <w:gridSpan w:val="2"/>
            <w:tcBorders>
              <w:bottom w:val="single" w:sz="12" w:space="0" w:color="auto"/>
            </w:tcBorders>
          </w:tcPr>
          <w:p w:rsidR="00561F10" w:rsidRPr="000B0D00" w:rsidRDefault="00561F10">
            <w:pPr>
              <w:spacing w:before="0"/>
              <w:rPr>
                <w:b/>
                <w:bCs/>
                <w:szCs w:val="24"/>
              </w:rPr>
            </w:pPr>
          </w:p>
        </w:tc>
      </w:tr>
      <w:tr w:rsidR="00561F10" w:rsidRPr="000B0D00">
        <w:trPr>
          <w:cantSplit/>
          <w:trHeight w:val="20"/>
        </w:trPr>
        <w:tc>
          <w:tcPr>
            <w:tcW w:w="6912" w:type="dxa"/>
            <w:tcBorders>
              <w:top w:val="single" w:sz="12" w:space="0" w:color="auto"/>
            </w:tcBorders>
          </w:tcPr>
          <w:p w:rsidR="00561F10" w:rsidRPr="000B0D00" w:rsidRDefault="00561F10">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561F10" w:rsidRPr="000B0D00" w:rsidRDefault="00561F10">
            <w:pPr>
              <w:spacing w:before="0"/>
              <w:rPr>
                <w:b/>
                <w:bCs/>
                <w:szCs w:val="24"/>
              </w:rPr>
            </w:pPr>
          </w:p>
        </w:tc>
      </w:tr>
      <w:tr w:rsidR="00561F10" w:rsidRPr="000B0D00">
        <w:trPr>
          <w:cantSplit/>
          <w:trHeight w:val="20"/>
        </w:trPr>
        <w:tc>
          <w:tcPr>
            <w:tcW w:w="6912" w:type="dxa"/>
            <w:shd w:val="clear" w:color="auto" w:fill="auto"/>
          </w:tcPr>
          <w:p w:rsidR="00561F10" w:rsidRPr="00561F10" w:rsidRDefault="00561F10" w:rsidP="00561F10">
            <w:pPr>
              <w:tabs>
                <w:tab w:val="clear" w:pos="2268"/>
                <w:tab w:val="left" w:pos="1560"/>
                <w:tab w:val="left" w:pos="2269"/>
                <w:tab w:val="left" w:pos="3544"/>
                <w:tab w:val="left" w:pos="3969"/>
              </w:tabs>
              <w:spacing w:before="0" w:line="240" w:lineRule="atLeast"/>
              <w:rPr>
                <w:rFonts w:cs="Calibri"/>
                <w:b/>
                <w:szCs w:val="24"/>
              </w:rPr>
            </w:pPr>
            <w:bookmarkStart w:id="4" w:name="dnum" w:colFirst="1" w:colLast="1"/>
            <w:bookmarkStart w:id="5" w:name="dmeeting" w:colFirst="0" w:colLast="0"/>
            <w:r>
              <w:rPr>
                <w:rFonts w:cs="Calibri"/>
                <w:b/>
                <w:szCs w:val="24"/>
              </w:rPr>
              <w:t>Punto del orden del día: PL 2.5</w:t>
            </w:r>
          </w:p>
        </w:tc>
        <w:tc>
          <w:tcPr>
            <w:tcW w:w="3261" w:type="dxa"/>
          </w:tcPr>
          <w:p w:rsidR="00561F10" w:rsidRPr="00561F10" w:rsidRDefault="00561F10" w:rsidP="00F73B39">
            <w:pPr>
              <w:spacing w:before="0"/>
              <w:rPr>
                <w:rFonts w:cs="Calibri"/>
                <w:b/>
                <w:bCs/>
                <w:szCs w:val="24"/>
              </w:rPr>
            </w:pPr>
            <w:r>
              <w:rPr>
                <w:rFonts w:cs="Calibri"/>
                <w:b/>
                <w:bCs/>
                <w:szCs w:val="24"/>
              </w:rPr>
              <w:t>Documento C12/27</w:t>
            </w:r>
            <w:r w:rsidR="00F65E9A">
              <w:rPr>
                <w:rFonts w:cs="Calibri"/>
                <w:b/>
                <w:bCs/>
                <w:szCs w:val="24"/>
              </w:rPr>
              <w:t>(Rev.</w:t>
            </w:r>
            <w:r w:rsidR="00F73B39">
              <w:rPr>
                <w:rFonts w:cs="Calibri"/>
                <w:b/>
                <w:bCs/>
                <w:szCs w:val="24"/>
              </w:rPr>
              <w:t>2</w:t>
            </w:r>
            <w:r w:rsidR="00F65E9A">
              <w:rPr>
                <w:rFonts w:cs="Calibri"/>
                <w:b/>
                <w:bCs/>
                <w:szCs w:val="24"/>
              </w:rPr>
              <w:t>)</w:t>
            </w:r>
            <w:r>
              <w:rPr>
                <w:rFonts w:cs="Calibri"/>
                <w:b/>
                <w:bCs/>
                <w:szCs w:val="24"/>
              </w:rPr>
              <w:t>-S</w:t>
            </w:r>
          </w:p>
        </w:tc>
      </w:tr>
      <w:tr w:rsidR="00561F10" w:rsidRPr="000B0D00">
        <w:trPr>
          <w:cantSplit/>
          <w:trHeight w:val="20"/>
        </w:trPr>
        <w:tc>
          <w:tcPr>
            <w:tcW w:w="6912" w:type="dxa"/>
            <w:shd w:val="clear" w:color="auto" w:fill="auto"/>
          </w:tcPr>
          <w:p w:rsidR="00561F10" w:rsidRPr="000B0D00" w:rsidRDefault="00561F10">
            <w:pPr>
              <w:shd w:val="solid" w:color="FFFFFF" w:fill="FFFFFF"/>
              <w:spacing w:before="0"/>
              <w:rPr>
                <w:smallCaps/>
                <w:szCs w:val="24"/>
              </w:rPr>
            </w:pPr>
            <w:bookmarkStart w:id="6" w:name="ddate" w:colFirst="1" w:colLast="1"/>
            <w:bookmarkEnd w:id="4"/>
            <w:bookmarkEnd w:id="5"/>
          </w:p>
        </w:tc>
        <w:tc>
          <w:tcPr>
            <w:tcW w:w="3261" w:type="dxa"/>
          </w:tcPr>
          <w:p w:rsidR="00561F10" w:rsidRPr="00561F10" w:rsidRDefault="00F73B39" w:rsidP="00F73B39">
            <w:pPr>
              <w:spacing w:before="0"/>
              <w:rPr>
                <w:rFonts w:cs="Calibri"/>
                <w:b/>
                <w:bCs/>
                <w:szCs w:val="24"/>
              </w:rPr>
            </w:pPr>
            <w:r>
              <w:rPr>
                <w:rFonts w:cs="Calibri"/>
                <w:b/>
                <w:bCs/>
                <w:szCs w:val="24"/>
              </w:rPr>
              <w:t>13</w:t>
            </w:r>
            <w:r w:rsidR="00561F10">
              <w:rPr>
                <w:rFonts w:cs="Calibri"/>
                <w:b/>
                <w:bCs/>
                <w:szCs w:val="24"/>
              </w:rPr>
              <w:t xml:space="preserve"> de </w:t>
            </w:r>
            <w:r w:rsidR="00F65E9A">
              <w:rPr>
                <w:rFonts w:cs="Calibri"/>
                <w:b/>
                <w:bCs/>
                <w:szCs w:val="24"/>
              </w:rPr>
              <w:t>ju</w:t>
            </w:r>
            <w:r>
              <w:rPr>
                <w:rFonts w:cs="Calibri"/>
                <w:b/>
                <w:bCs/>
                <w:szCs w:val="24"/>
              </w:rPr>
              <w:t>l</w:t>
            </w:r>
            <w:r w:rsidR="00F65E9A">
              <w:rPr>
                <w:rFonts w:cs="Calibri"/>
                <w:b/>
                <w:bCs/>
                <w:szCs w:val="24"/>
              </w:rPr>
              <w:t>io</w:t>
            </w:r>
            <w:r w:rsidR="00561F10">
              <w:rPr>
                <w:rFonts w:cs="Calibri"/>
                <w:b/>
                <w:bCs/>
                <w:szCs w:val="24"/>
              </w:rPr>
              <w:t xml:space="preserve"> de 2012</w:t>
            </w:r>
          </w:p>
        </w:tc>
      </w:tr>
      <w:tr w:rsidR="00561F10" w:rsidRPr="000B0D00">
        <w:trPr>
          <w:cantSplit/>
          <w:trHeight w:val="20"/>
        </w:trPr>
        <w:tc>
          <w:tcPr>
            <w:tcW w:w="6912" w:type="dxa"/>
            <w:shd w:val="clear" w:color="auto" w:fill="auto"/>
          </w:tcPr>
          <w:p w:rsidR="00561F10" w:rsidRPr="000B0D00" w:rsidRDefault="00561F10">
            <w:pPr>
              <w:shd w:val="solid" w:color="FFFFFF" w:fill="FFFFFF"/>
              <w:spacing w:before="0"/>
              <w:rPr>
                <w:smallCaps/>
                <w:szCs w:val="24"/>
              </w:rPr>
            </w:pPr>
            <w:bookmarkStart w:id="7" w:name="dorlang" w:colFirst="1" w:colLast="1"/>
            <w:bookmarkEnd w:id="6"/>
          </w:p>
        </w:tc>
        <w:tc>
          <w:tcPr>
            <w:tcW w:w="3261" w:type="dxa"/>
          </w:tcPr>
          <w:p w:rsidR="00561F10" w:rsidRPr="00561F10" w:rsidRDefault="00561F10" w:rsidP="00561F10">
            <w:pPr>
              <w:spacing w:before="0"/>
              <w:rPr>
                <w:rFonts w:cs="Calibri"/>
                <w:b/>
                <w:bCs/>
                <w:szCs w:val="24"/>
              </w:rPr>
            </w:pPr>
            <w:r>
              <w:rPr>
                <w:rFonts w:cs="Calibri"/>
                <w:b/>
                <w:bCs/>
                <w:szCs w:val="24"/>
              </w:rPr>
              <w:t>Original: inglés</w:t>
            </w:r>
          </w:p>
        </w:tc>
      </w:tr>
      <w:tr w:rsidR="00561F10" w:rsidRPr="000B0D00">
        <w:trPr>
          <w:cantSplit/>
        </w:trPr>
        <w:tc>
          <w:tcPr>
            <w:tcW w:w="10173" w:type="dxa"/>
            <w:gridSpan w:val="2"/>
          </w:tcPr>
          <w:p w:rsidR="00561F10" w:rsidRPr="000B0D00" w:rsidRDefault="00561F10">
            <w:pPr>
              <w:pStyle w:val="Source"/>
            </w:pPr>
            <w:bookmarkStart w:id="8" w:name="dsource" w:colFirst="0" w:colLast="0"/>
            <w:bookmarkEnd w:id="1"/>
            <w:bookmarkEnd w:id="7"/>
            <w:r>
              <w:t>Informe del Secretario General</w:t>
            </w:r>
          </w:p>
        </w:tc>
      </w:tr>
      <w:tr w:rsidR="00561F10" w:rsidRPr="000B0D00">
        <w:trPr>
          <w:cantSplit/>
        </w:trPr>
        <w:tc>
          <w:tcPr>
            <w:tcW w:w="10173" w:type="dxa"/>
            <w:gridSpan w:val="2"/>
          </w:tcPr>
          <w:p w:rsidR="00561F10" w:rsidRPr="000B0D00" w:rsidRDefault="00F841FD" w:rsidP="00D52BF1">
            <w:pPr>
              <w:pStyle w:val="Title1"/>
            </w:pPr>
            <w:bookmarkStart w:id="9" w:name="dtitle1" w:colFirst="0" w:colLast="0"/>
            <w:bookmarkEnd w:id="8"/>
            <w:r w:rsidRPr="00F841FD">
              <w:t>PREPARACIÓN DEL QUINTO FORO MUNDIAL DE POLÍTICA</w:t>
            </w:r>
            <w:r w:rsidR="00D52BF1">
              <w:br/>
            </w:r>
            <w:r w:rsidRPr="00F841FD">
              <w:t>DE LAS TELECOMUNICACIONES/TIC</w:t>
            </w:r>
          </w:p>
        </w:tc>
      </w:tr>
      <w:bookmarkEnd w:id="9"/>
    </w:tbl>
    <w:p w:rsidR="00561F10" w:rsidRPr="000B0D00" w:rsidRDefault="00561F10"/>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61F10" w:rsidRPr="000B0D00">
        <w:trPr>
          <w:trHeight w:val="3372"/>
        </w:trPr>
        <w:tc>
          <w:tcPr>
            <w:tcW w:w="8080" w:type="dxa"/>
            <w:tcBorders>
              <w:top w:val="single" w:sz="12" w:space="0" w:color="auto"/>
              <w:left w:val="single" w:sz="12" w:space="0" w:color="auto"/>
              <w:bottom w:val="single" w:sz="12" w:space="0" w:color="auto"/>
              <w:right w:val="single" w:sz="12" w:space="0" w:color="auto"/>
            </w:tcBorders>
          </w:tcPr>
          <w:p w:rsidR="00561F10" w:rsidRPr="000B0D00" w:rsidRDefault="00561F10">
            <w:pPr>
              <w:pStyle w:val="Headingb"/>
              <w:rPr>
                <w:lang w:val="es-ES"/>
              </w:rPr>
            </w:pPr>
            <w:r w:rsidRPr="000B0D00">
              <w:rPr>
                <w:lang w:val="es-ES"/>
              </w:rPr>
              <w:t>Resumen</w:t>
            </w:r>
          </w:p>
          <w:p w:rsidR="00561F10" w:rsidRPr="000B0D00" w:rsidRDefault="00F841FD" w:rsidP="00BA4C74">
            <w:pPr>
              <w:rPr>
                <w:lang w:val="es-ES"/>
              </w:rPr>
            </w:pPr>
            <w:r w:rsidRPr="00F841FD">
              <w:rPr>
                <w:lang w:val="es-ES"/>
              </w:rPr>
              <w:t xml:space="preserve">En el presente </w:t>
            </w:r>
            <w:r w:rsidR="00234CBF" w:rsidRPr="00F841FD">
              <w:rPr>
                <w:lang w:val="es-ES"/>
              </w:rPr>
              <w:t>I</w:t>
            </w:r>
            <w:r w:rsidRPr="00F841FD">
              <w:rPr>
                <w:lang w:val="es-ES"/>
              </w:rPr>
              <w:t>nforme se resumen las actividades de la UIT relativas a</w:t>
            </w:r>
            <w:r w:rsidR="00BA4C74">
              <w:rPr>
                <w:lang w:val="es-ES"/>
              </w:rPr>
              <w:t xml:space="preserve"> </w:t>
            </w:r>
            <w:r w:rsidRPr="00F841FD">
              <w:rPr>
                <w:lang w:val="es-ES"/>
              </w:rPr>
              <w:t>l</w:t>
            </w:r>
            <w:r w:rsidR="00BA4C74">
              <w:rPr>
                <w:lang w:val="es-ES"/>
              </w:rPr>
              <w:t>a preparación del</w:t>
            </w:r>
            <w:r w:rsidRPr="00F841FD">
              <w:rPr>
                <w:lang w:val="es-ES"/>
              </w:rPr>
              <w:t xml:space="preserve"> quinto Foro Mundial de Política de las Telecomunicaciones/TIC </w:t>
            </w:r>
            <w:r w:rsidR="00BA4C74">
              <w:rPr>
                <w:lang w:val="es-ES"/>
              </w:rPr>
              <w:t xml:space="preserve">(FMPT) </w:t>
            </w:r>
            <w:r w:rsidRPr="00F841FD">
              <w:rPr>
                <w:lang w:val="es-ES"/>
              </w:rPr>
              <w:t>y a la aplicación del Acuerdo 562 (Consejo 2011).</w:t>
            </w:r>
          </w:p>
          <w:p w:rsidR="00561F10" w:rsidRPr="000B0D00" w:rsidRDefault="00561F10">
            <w:pPr>
              <w:pStyle w:val="Headingb"/>
              <w:rPr>
                <w:lang w:val="es-ES"/>
              </w:rPr>
            </w:pPr>
            <w:r w:rsidRPr="000B0D00">
              <w:rPr>
                <w:lang w:val="es-ES"/>
              </w:rPr>
              <w:t>Acción solicitada</w:t>
            </w:r>
          </w:p>
          <w:p w:rsidR="00561F10" w:rsidRPr="000B0D00" w:rsidRDefault="00F841FD" w:rsidP="00BA4C74">
            <w:pPr>
              <w:rPr>
                <w:lang w:val="es-ES"/>
              </w:rPr>
            </w:pPr>
            <w:r w:rsidRPr="00F841FD">
              <w:rPr>
                <w:lang w:val="es-ES"/>
              </w:rPr>
              <w:t>Se invita al Consejo</w:t>
            </w:r>
            <w:r w:rsidR="00BA4C74">
              <w:rPr>
                <w:lang w:val="es-ES"/>
              </w:rPr>
              <w:t xml:space="preserve"> a refrendar este Informe y</w:t>
            </w:r>
            <w:r w:rsidRPr="00F841FD">
              <w:rPr>
                <w:lang w:val="es-ES"/>
              </w:rPr>
              <w:t xml:space="preserve"> a </w:t>
            </w:r>
            <w:r w:rsidRPr="00F841FD">
              <w:rPr>
                <w:b/>
                <w:bCs/>
                <w:lang w:val="es-ES"/>
              </w:rPr>
              <w:t>aprobar</w:t>
            </w:r>
            <w:r w:rsidRPr="00F841FD">
              <w:rPr>
                <w:lang w:val="es-ES"/>
              </w:rPr>
              <w:t xml:space="preserve"> </w:t>
            </w:r>
            <w:r w:rsidR="00BA4C74">
              <w:rPr>
                <w:lang w:val="es-ES"/>
              </w:rPr>
              <w:t xml:space="preserve">el Acuerdo del Anexo que especifica </w:t>
            </w:r>
            <w:r w:rsidRPr="00F841FD">
              <w:rPr>
                <w:lang w:val="es-ES"/>
              </w:rPr>
              <w:t>las fechas del quinto Foro Mundial de Política de las Telecomunicaciones/TIC (14-16 de mayo de 2013).</w:t>
            </w:r>
          </w:p>
          <w:p w:rsidR="00561F10" w:rsidRPr="000B0D00" w:rsidRDefault="00561F10">
            <w:pPr>
              <w:pStyle w:val="Table"/>
              <w:keepNext w:val="0"/>
              <w:spacing w:before="0" w:after="0"/>
              <w:rPr>
                <w:caps w:val="0"/>
                <w:sz w:val="22"/>
                <w:lang w:val="es-ES"/>
              </w:rPr>
            </w:pPr>
            <w:r w:rsidRPr="000B0D00">
              <w:rPr>
                <w:caps w:val="0"/>
                <w:sz w:val="22"/>
                <w:lang w:val="es-ES"/>
              </w:rPr>
              <w:t>____________</w:t>
            </w:r>
          </w:p>
          <w:p w:rsidR="00561F10" w:rsidRPr="000B0D00" w:rsidRDefault="00561F10">
            <w:pPr>
              <w:pStyle w:val="Headingb"/>
              <w:rPr>
                <w:lang w:val="es-ES"/>
              </w:rPr>
            </w:pPr>
            <w:r w:rsidRPr="000B0D00">
              <w:rPr>
                <w:lang w:val="es-ES"/>
              </w:rPr>
              <w:t>Referencia</w:t>
            </w:r>
            <w:r w:rsidR="00FA4B03">
              <w:rPr>
                <w:lang w:val="es-ES"/>
              </w:rPr>
              <w:t>s:</w:t>
            </w:r>
          </w:p>
          <w:p w:rsidR="00561F10" w:rsidRPr="000B0D00" w:rsidRDefault="008315AD" w:rsidP="00F841FD">
            <w:pPr>
              <w:spacing w:after="120"/>
              <w:rPr>
                <w:i/>
                <w:iCs/>
                <w:lang w:val="es-ES"/>
              </w:rPr>
            </w:pPr>
            <w:hyperlink r:id="rId9" w:anchor="res2" w:history="1">
              <w:r w:rsidR="00F841FD">
                <w:rPr>
                  <w:rStyle w:val="Hyperlink"/>
                  <w:i/>
                  <w:iCs/>
                  <w:szCs w:val="24"/>
                </w:rPr>
                <w:t>Resolució</w:t>
              </w:r>
              <w:r w:rsidR="00F841FD" w:rsidRPr="002A3EAD">
                <w:rPr>
                  <w:rStyle w:val="Hyperlink"/>
                  <w:i/>
                  <w:iCs/>
                  <w:szCs w:val="24"/>
                </w:rPr>
                <w:t>n 2 (Rev. Guadalajara, 2010)</w:t>
              </w:r>
            </w:hyperlink>
            <w:r w:rsidR="00F841FD" w:rsidRPr="002A3EAD">
              <w:rPr>
                <w:i/>
                <w:iCs/>
                <w:color w:val="000000"/>
                <w:szCs w:val="24"/>
              </w:rPr>
              <w:t xml:space="preserve">, </w:t>
            </w:r>
            <w:hyperlink r:id="rId10" w:anchor="res101" w:history="1">
              <w:r w:rsidR="00F841FD" w:rsidRPr="002A3EAD">
                <w:rPr>
                  <w:rStyle w:val="Hyperlink"/>
                  <w:rFonts w:cs="Arial"/>
                  <w:i/>
                  <w:iCs/>
                  <w:szCs w:val="24"/>
                </w:rPr>
                <w:t>Resolu</w:t>
              </w:r>
              <w:r w:rsidR="00F841FD">
                <w:rPr>
                  <w:rStyle w:val="Hyperlink"/>
                  <w:rFonts w:cs="Arial"/>
                  <w:i/>
                  <w:iCs/>
                  <w:szCs w:val="24"/>
                </w:rPr>
                <w:t>ció</w:t>
              </w:r>
              <w:r w:rsidR="00F841FD" w:rsidRPr="002A3EAD">
                <w:rPr>
                  <w:rStyle w:val="Hyperlink"/>
                  <w:rFonts w:cs="Arial"/>
                  <w:i/>
                  <w:iCs/>
                  <w:szCs w:val="24"/>
                </w:rPr>
                <w:t>n 101 (Rev. Guadalajara, 2010)</w:t>
              </w:r>
            </w:hyperlink>
            <w:r w:rsidR="00F841FD" w:rsidRPr="002A3EAD">
              <w:rPr>
                <w:i/>
                <w:iCs/>
                <w:szCs w:val="24"/>
              </w:rPr>
              <w:t xml:space="preserve">, </w:t>
            </w:r>
            <w:hyperlink r:id="rId11" w:anchor="res102" w:history="1">
              <w:r w:rsidR="00F841FD">
                <w:rPr>
                  <w:rStyle w:val="Hyperlink"/>
                  <w:rFonts w:cs="Arial"/>
                  <w:i/>
                  <w:iCs/>
                  <w:szCs w:val="24"/>
                </w:rPr>
                <w:t>Resolució</w:t>
              </w:r>
              <w:r w:rsidR="00F841FD" w:rsidRPr="002A3EAD">
                <w:rPr>
                  <w:rStyle w:val="Hyperlink"/>
                  <w:rFonts w:cs="Arial"/>
                  <w:i/>
                  <w:iCs/>
                  <w:szCs w:val="24"/>
                </w:rPr>
                <w:t>n 102 (Rev. Guadalajara, 2010)</w:t>
              </w:r>
            </w:hyperlink>
            <w:r w:rsidR="00F841FD" w:rsidRPr="002A3EAD">
              <w:rPr>
                <w:i/>
                <w:iCs/>
                <w:szCs w:val="24"/>
              </w:rPr>
              <w:t xml:space="preserve">, </w:t>
            </w:r>
            <w:hyperlink r:id="rId12" w:anchor="res133" w:history="1">
              <w:r w:rsidR="00F841FD" w:rsidRPr="002A3EAD">
                <w:rPr>
                  <w:rStyle w:val="Hyperlink"/>
                  <w:rFonts w:cs="Arial"/>
                  <w:i/>
                  <w:iCs/>
                  <w:szCs w:val="24"/>
                </w:rPr>
                <w:t>Resolu</w:t>
              </w:r>
              <w:r w:rsidR="00F841FD">
                <w:rPr>
                  <w:rStyle w:val="Hyperlink"/>
                  <w:rFonts w:cs="Arial"/>
                  <w:i/>
                  <w:iCs/>
                  <w:szCs w:val="24"/>
                </w:rPr>
                <w:t>ció</w:t>
              </w:r>
              <w:r w:rsidR="00F841FD" w:rsidRPr="002A3EAD">
                <w:rPr>
                  <w:rStyle w:val="Hyperlink"/>
                  <w:rFonts w:cs="Arial"/>
                  <w:i/>
                  <w:iCs/>
                  <w:szCs w:val="24"/>
                </w:rPr>
                <w:t>n 133 (Rev. Guadalajara, 2010)</w:t>
              </w:r>
            </w:hyperlink>
            <w:r w:rsidR="00F841FD" w:rsidRPr="002A3EAD">
              <w:rPr>
                <w:szCs w:val="24"/>
              </w:rPr>
              <w:t xml:space="preserve">, </w:t>
            </w:r>
            <w:hyperlink r:id="rId13" w:history="1">
              <w:r w:rsidR="00F841FD" w:rsidRPr="002A3EAD">
                <w:rPr>
                  <w:rStyle w:val="Hyperlink"/>
                  <w:rFonts w:cs="Arial"/>
                  <w:i/>
                  <w:iCs/>
                  <w:szCs w:val="24"/>
                </w:rPr>
                <w:t>Acuerdo 562</w:t>
              </w:r>
            </w:hyperlink>
            <w:r w:rsidR="00F841FD">
              <w:rPr>
                <w:rStyle w:val="Hyperlink"/>
                <w:rFonts w:cs="Arial"/>
                <w:i/>
                <w:iCs/>
                <w:szCs w:val="24"/>
              </w:rPr>
              <w:t xml:space="preserve"> (Consejo</w:t>
            </w:r>
            <w:r w:rsidR="00F841FD" w:rsidRPr="002A3EAD">
              <w:rPr>
                <w:rStyle w:val="Hyperlink"/>
                <w:rFonts w:cs="Arial"/>
                <w:i/>
                <w:iCs/>
                <w:szCs w:val="24"/>
              </w:rPr>
              <w:t xml:space="preserve"> 2011)</w:t>
            </w:r>
          </w:p>
        </w:tc>
      </w:tr>
    </w:tbl>
    <w:p w:rsidR="00F841FD" w:rsidRDefault="00F841FD" w:rsidP="00F841FD">
      <w:pPr>
        <w:pStyle w:val="Heading1"/>
      </w:pPr>
      <w:r>
        <w:t>1</w:t>
      </w:r>
      <w:r>
        <w:tab/>
        <w:t>Introducción</w:t>
      </w:r>
    </w:p>
    <w:p w:rsidR="00F841FD" w:rsidRDefault="00F841FD" w:rsidP="006556E5">
      <w:r w:rsidRPr="007F1296">
        <w:t>1.1</w:t>
      </w:r>
      <w:r>
        <w:tab/>
        <w:t xml:space="preserve">El Foro Mundial de Política de las Telecomunicaciones/TIC fue creado por la Conferencia de Plenipotenciarios de </w:t>
      </w:r>
      <w:proofErr w:type="spellStart"/>
      <w:r>
        <w:t>Kyoto</w:t>
      </w:r>
      <w:proofErr w:type="spellEnd"/>
      <w:r>
        <w:t xml:space="preserve"> de 1994 y está contemplado en las disposiciones de la Resolución</w:t>
      </w:r>
      <w:r w:rsidR="00D7607D">
        <w:t> </w:t>
      </w:r>
      <w:r>
        <w:t xml:space="preserve">2 </w:t>
      </w:r>
      <w:r w:rsidR="00BA4C74">
        <w:t>(Rev. </w:t>
      </w:r>
      <w:r>
        <w:t>Guadalajara de 2010</w:t>
      </w:r>
      <w:r w:rsidR="00BA4C74">
        <w:t>)</w:t>
      </w:r>
      <w:r>
        <w:t>.</w:t>
      </w:r>
    </w:p>
    <w:p w:rsidR="00F841FD" w:rsidRDefault="00F841FD" w:rsidP="00BA4C74">
      <w:r w:rsidRPr="007F1296">
        <w:t>1.2</w:t>
      </w:r>
      <w:r>
        <w:tab/>
      </w:r>
      <w:r w:rsidR="00BA4C74">
        <w:t>La</w:t>
      </w:r>
      <w:r>
        <w:t xml:space="preserve"> finalidad </w:t>
      </w:r>
      <w:r w:rsidR="00BA4C74">
        <w:t xml:space="preserve">del FMPT </w:t>
      </w:r>
      <w:r>
        <w:t>es que los Estados Miembros y Miembros de Sector de la UIT puedan discutir e intercambiar opiniones e información sobre nuevos asuntos en materia de política y reglamentación de las telecomunicaciones/TIC, en especial sobre cuestiones de ámbito mundial e intersectorial.</w:t>
      </w:r>
    </w:p>
    <w:p w:rsidR="00D17DDF" w:rsidRDefault="00D17DDF">
      <w:pPr>
        <w:tabs>
          <w:tab w:val="clear" w:pos="567"/>
          <w:tab w:val="clear" w:pos="1134"/>
          <w:tab w:val="clear" w:pos="1701"/>
          <w:tab w:val="clear" w:pos="2268"/>
          <w:tab w:val="clear" w:pos="2835"/>
        </w:tabs>
        <w:overflowPunct/>
        <w:autoSpaceDE/>
        <w:autoSpaceDN/>
        <w:adjustRightInd/>
        <w:spacing w:before="0"/>
        <w:textAlignment w:val="auto"/>
      </w:pPr>
      <w:r>
        <w:br w:type="page"/>
      </w:r>
    </w:p>
    <w:p w:rsidR="00F841FD" w:rsidRDefault="00F841FD" w:rsidP="00BA4C74">
      <w:r w:rsidRPr="007F1296">
        <w:lastRenderedPageBreak/>
        <w:t>1.3</w:t>
      </w:r>
      <w:r>
        <w:tab/>
        <w:t xml:space="preserve">Las Resoluciones 101, 102 y 103 fueron </w:t>
      </w:r>
      <w:r w:rsidR="00BA4C74">
        <w:t>revisadas en la PP</w:t>
      </w:r>
      <w:r w:rsidR="00BA4C74">
        <w:noBreakHyphen/>
        <w:t>10 en</w:t>
      </w:r>
      <w:r>
        <w:t xml:space="preserve"> Guadalajara </w:t>
      </w:r>
      <w:r w:rsidR="00BA4C74">
        <w:t>(</w:t>
      </w:r>
      <w:r>
        <w:t>2010</w:t>
      </w:r>
      <w:r w:rsidR="00BA4C74">
        <w:t>)</w:t>
      </w:r>
      <w:r>
        <w:t xml:space="preserve">, y la UIT está llevando a cabo actividades al respecto en el marco de sus </w:t>
      </w:r>
      <w:r w:rsidR="00234CBF">
        <w:t>Planes Estratégicos, Operacionales</w:t>
      </w:r>
      <w:r>
        <w:t xml:space="preserve"> y </w:t>
      </w:r>
      <w:r w:rsidR="00234CBF">
        <w:t>F</w:t>
      </w:r>
      <w:r>
        <w:t xml:space="preserve">inancieros. En el </w:t>
      </w:r>
      <w:r w:rsidR="00234CBF">
        <w:t>D</w:t>
      </w:r>
      <w:r>
        <w:t xml:space="preserve">ocumento </w:t>
      </w:r>
      <w:hyperlink r:id="rId14" w:history="1">
        <w:r w:rsidR="00D7607D" w:rsidRPr="00177A16">
          <w:rPr>
            <w:rStyle w:val="Hyperlink"/>
            <w:rFonts w:cstheme="minorHAnsi"/>
            <w:szCs w:val="24"/>
          </w:rPr>
          <w:t>C12/28</w:t>
        </w:r>
      </w:hyperlink>
      <w:r>
        <w:t xml:space="preserve"> se resumen las actividades de la UIT vinculadas a la aplicación de la Resolución 101 </w:t>
      </w:r>
      <w:r w:rsidR="00BA4C74" w:rsidRPr="00BA4C74">
        <w:t>(Rev. Guadalajara)</w:t>
      </w:r>
      <w:r w:rsidR="00BA4C74">
        <w:t xml:space="preserve"> </w:t>
      </w:r>
      <w:r>
        <w:t xml:space="preserve">(Redes basadas en el protocolo Internet), la Resolución 102 </w:t>
      </w:r>
      <w:r w:rsidR="00BA4C74" w:rsidRPr="00BA4C74">
        <w:t>(Rev. Guadalajara)</w:t>
      </w:r>
      <w:r w:rsidR="00BA4C74">
        <w:t xml:space="preserve"> </w:t>
      </w:r>
      <w:r>
        <w:t xml:space="preserve">(Función de la UIT con respecto a las cuestiones de política pública internacional relacionadas con Internet y la gestión de los recursos de Internet, incluidos los nombres de dominio y las direcciones) y la Resolución 133 </w:t>
      </w:r>
      <w:r w:rsidR="00BA4C74" w:rsidRPr="00BA4C74">
        <w:t>(Rev. Guadalajara)</w:t>
      </w:r>
      <w:r w:rsidR="00BA4C74">
        <w:t xml:space="preserve"> </w:t>
      </w:r>
      <w:r>
        <w:t>(Función de las Administraciones de los Estados Miembros en la gestión de los nombres de dominio internacionalizados (plurilingües)) de la Conferencia de Plenipotenciarios.</w:t>
      </w:r>
    </w:p>
    <w:p w:rsidR="00F841FD" w:rsidRDefault="00F841FD" w:rsidP="00BA4C74">
      <w:r w:rsidRPr="007F1296">
        <w:t>1.4</w:t>
      </w:r>
      <w:r>
        <w:tab/>
        <w:t>El FMPT deberá preparar informes y adoptar opiniones por consenso para que sean examinadas por los Estados Miembros, los Miembros de Sector así como en las correspondientes reuniones de la UIT, teniendo en cuenta el punto 1.3 y, por lo tanto, evitar una contradicción entre los temas y los debates en el FMPT y las actividades en curso emprendidas como parte del mandato de la UIT en virtud de las Resoluciones de la Conferencia de Plenipotenciarios mencionadas y otras decisiones de las Conferencias y Asambleas de la UIT.</w:t>
      </w:r>
    </w:p>
    <w:p w:rsidR="00F841FD" w:rsidRDefault="00F841FD" w:rsidP="00F841FD">
      <w:pPr>
        <w:pStyle w:val="Heading1"/>
      </w:pPr>
      <w:r>
        <w:t>2</w:t>
      </w:r>
      <w:r>
        <w:tab/>
        <w:t>Lugar de celebrac</w:t>
      </w:r>
      <w:r w:rsidR="00FA4B03">
        <w:t>ión, duración y fechas del FMPT</w:t>
      </w:r>
      <w:r w:rsidR="00BA4C74">
        <w:noBreakHyphen/>
        <w:t>13</w:t>
      </w:r>
    </w:p>
    <w:p w:rsidR="00F841FD" w:rsidRDefault="00F841FD" w:rsidP="00BA4C74">
      <w:r>
        <w:t>En virtud del Acuerdo 562, el Consejo, en su reunión de 2011, acuerda convocar el quinto Foro Mundial de Política de las Telecomunicaciones/TIC en Ginebra (Suiza), en las mismas fechas y lugar que el Foro de la CMSI 2013, que tendrá una duración de tres días.</w:t>
      </w:r>
      <w:r w:rsidR="00BA4C74">
        <w:t xml:space="preserve"> De acuerdo con ello se invita al Consejo a aprobar la Decisión del Anexo que especifica las fechas del 5º Foro Mundial de Políticas de Telecomunicaciones/TIC (14-16 de mayo de 2013).</w:t>
      </w:r>
    </w:p>
    <w:p w:rsidR="00F841FD" w:rsidRDefault="00FA4B03" w:rsidP="00F841FD">
      <w:pPr>
        <w:pStyle w:val="Heading1"/>
      </w:pPr>
      <w:r>
        <w:t>3</w:t>
      </w:r>
      <w:r>
        <w:tab/>
        <w:t>Temas del FMPT</w:t>
      </w:r>
      <w:r w:rsidR="00BA4C74">
        <w:t>-13</w:t>
      </w:r>
    </w:p>
    <w:p w:rsidR="00F841FD" w:rsidRDefault="00F841FD" w:rsidP="007F1296">
      <w:r>
        <w:t>También en virtud del Acuerdo 562, el Consejo de 2011 acuerda que en el Foro de Política se examinen todas las cuestiones planteadas en la Resoluci</w:t>
      </w:r>
      <w:r w:rsidR="007F1296">
        <w:t>ón</w:t>
      </w:r>
      <w:r>
        <w:t xml:space="preserve"> 10</w:t>
      </w:r>
      <w:r w:rsidR="00FA4B03">
        <w:t>1</w:t>
      </w:r>
      <w:r w:rsidR="00F202D3">
        <w:t xml:space="preserve"> (Rev. Guadalajara, 2010)</w:t>
      </w:r>
      <w:r w:rsidR="00FA4B03">
        <w:t xml:space="preserve">, </w:t>
      </w:r>
      <w:r w:rsidR="00F202D3">
        <w:t xml:space="preserve">Resolución </w:t>
      </w:r>
      <w:r w:rsidR="00FA4B03">
        <w:t xml:space="preserve">102 </w:t>
      </w:r>
      <w:r w:rsidR="00F202D3">
        <w:t xml:space="preserve">(Rev. Guadalajara, 2010) </w:t>
      </w:r>
      <w:r w:rsidR="00FA4B03">
        <w:t xml:space="preserve">y </w:t>
      </w:r>
      <w:r w:rsidR="00F202D3">
        <w:t xml:space="preserve">Resolución </w:t>
      </w:r>
      <w:r w:rsidR="00FA4B03">
        <w:t>133 (Rev. Guadalajara, </w:t>
      </w:r>
      <w:r>
        <w:t>2010), teniendo en cuenta los puntos 1.3 y 1.4.</w:t>
      </w:r>
    </w:p>
    <w:p w:rsidR="00F841FD" w:rsidRDefault="00FA4B03" w:rsidP="00F841FD">
      <w:pPr>
        <w:pStyle w:val="Heading1"/>
      </w:pPr>
      <w:r>
        <w:t>4</w:t>
      </w:r>
      <w:r>
        <w:tab/>
        <w:t>Proceso preparatorio</w:t>
      </w:r>
      <w:r w:rsidR="00BA4C74">
        <w:t xml:space="preserve"> del FMPT-13</w:t>
      </w:r>
    </w:p>
    <w:p w:rsidR="00F841FD" w:rsidRDefault="00F841FD" w:rsidP="00F841FD">
      <w:r w:rsidRPr="00234CBF">
        <w:t>4.1</w:t>
      </w:r>
      <w:r>
        <w:tab/>
        <w:t xml:space="preserve">En el Acuerdo 562, el Consejo de 2011 acuerda que </w:t>
      </w:r>
      <w:r w:rsidR="00D7607D">
        <w:t>"</w:t>
      </w:r>
      <w:r>
        <w:t>que, d</w:t>
      </w:r>
      <w:r w:rsidR="00D7607D">
        <w:t>e conformidad con la Resolución </w:t>
      </w:r>
      <w:r>
        <w:t>2 (Rev. Guadalajara, 2010), el temario continúe basándose en un Informe del Secretario General que contenga los documentos pertinentes de las conferencias, asambleas y reuniones de la Unión, así como en las contribuciones presentadas por los Estados Miembros y Miembros de los Sectores</w:t>
      </w:r>
      <w:r w:rsidR="00D7607D">
        <w:t>"</w:t>
      </w:r>
      <w:r>
        <w:t>.</w:t>
      </w:r>
    </w:p>
    <w:p w:rsidR="00E3592D" w:rsidRDefault="00F841FD" w:rsidP="00BA2559">
      <w:r w:rsidRPr="00234CBF">
        <w:t>4.2</w:t>
      </w:r>
      <w:r>
        <w:tab/>
        <w:t xml:space="preserve">El 1 de febrero de 2012 se envió a los Miembros una Carta </w:t>
      </w:r>
      <w:r w:rsidR="00BA2559">
        <w:t>C</w:t>
      </w:r>
      <w:r>
        <w:t>ircular (</w:t>
      </w:r>
      <w:hyperlink r:id="rId15" w:history="1">
        <w:r w:rsidR="00D7607D" w:rsidRPr="007D3113">
          <w:rPr>
            <w:rStyle w:val="Hyperlink"/>
            <w:rFonts w:cstheme="minorHAnsi"/>
            <w:szCs w:val="24"/>
          </w:rPr>
          <w:t>DM-12/1003</w:t>
        </w:r>
      </w:hyperlink>
      <w:r>
        <w:t xml:space="preserve">) con el calendario propuesto para el proceso preparatorio del quinto FMPT, que puede consultarse </w:t>
      </w:r>
      <w:r w:rsidR="00D7607D">
        <w:t>también</w:t>
      </w:r>
      <w:r>
        <w:t xml:space="preserve"> en la página web de la UIT en</w:t>
      </w:r>
      <w:r w:rsidR="00D17DDF">
        <w:t>:</w:t>
      </w:r>
      <w:r>
        <w:t xml:space="preserve"> </w:t>
      </w:r>
      <w:hyperlink r:id="rId16" w:history="1">
        <w:r w:rsidR="00D7607D" w:rsidRPr="00177A16">
          <w:rPr>
            <w:rStyle w:val="Hyperlink"/>
            <w:rFonts w:cstheme="minorHAnsi"/>
            <w:szCs w:val="24"/>
          </w:rPr>
          <w:t>http://www.itu.int/en/membership/Pages/letters.aspx</w:t>
        </w:r>
      </w:hyperlink>
      <w:r>
        <w:t xml:space="preserve">. </w:t>
      </w:r>
      <w:r w:rsidR="00BA4C74">
        <w:t>S</w:t>
      </w:r>
      <w:r>
        <w:t>e reproduce a continuación el calendario</w:t>
      </w:r>
      <w:r w:rsidR="00F65E9A">
        <w:t xml:space="preserve"> revisado sobre </w:t>
      </w:r>
      <w:r w:rsidR="004E0700">
        <w:t>la</w:t>
      </w:r>
      <w:r w:rsidR="00F65E9A">
        <w:t xml:space="preserve"> base de las contribuciones recibidas de los miembros en la primera reunión del Grupo Informal de Expertos (GIE)</w:t>
      </w:r>
      <w:r w:rsidR="00BA2559">
        <w:t>, celebrada en junio de 2012</w:t>
      </w:r>
      <w:r>
        <w:t>:</w:t>
      </w:r>
    </w:p>
    <w:p w:rsidR="00D7607D" w:rsidRDefault="00D7607D">
      <w:pPr>
        <w:tabs>
          <w:tab w:val="clear" w:pos="567"/>
          <w:tab w:val="clear" w:pos="1134"/>
          <w:tab w:val="clear" w:pos="1701"/>
          <w:tab w:val="clear" w:pos="2268"/>
          <w:tab w:val="clear" w:pos="2835"/>
        </w:tabs>
        <w:overflowPunct/>
        <w:autoSpaceDE/>
        <w:autoSpaceDN/>
        <w:adjustRightInd/>
        <w:spacing w:before="0"/>
        <w:textAlignment w:val="auto"/>
        <w:rPr>
          <w:rFonts w:cstheme="minorHAnsi"/>
          <w:szCs w:val="24"/>
        </w:rPr>
      </w:pPr>
      <w:r>
        <w:rPr>
          <w:rFonts w:cstheme="minorHAnsi"/>
          <w:szCs w:val="24"/>
        </w:rPr>
        <w:br w:type="page"/>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011"/>
        <w:gridCol w:w="6128"/>
      </w:tblGrid>
      <w:tr w:rsidR="00F841FD" w:rsidRPr="00093CDA" w:rsidTr="00FB1EBC">
        <w:trPr>
          <w:trHeight w:val="710"/>
          <w:jc w:val="center"/>
        </w:trPr>
        <w:tc>
          <w:tcPr>
            <w:tcW w:w="3011" w:type="dxa"/>
            <w:tcMar>
              <w:top w:w="0" w:type="dxa"/>
              <w:left w:w="108" w:type="dxa"/>
              <w:bottom w:w="0" w:type="dxa"/>
              <w:right w:w="108" w:type="dxa"/>
            </w:tcMar>
          </w:tcPr>
          <w:p w:rsidR="00F841FD" w:rsidRPr="00FA4B03" w:rsidRDefault="00F841FD" w:rsidP="00FB1EBC">
            <w:pPr>
              <w:spacing w:before="40" w:after="40"/>
              <w:rPr>
                <w:b/>
                <w:bCs/>
              </w:rPr>
            </w:pPr>
            <w:r w:rsidRPr="00FA4B03">
              <w:rPr>
                <w:b/>
                <w:bCs/>
              </w:rPr>
              <w:lastRenderedPageBreak/>
              <w:t>9 de marzo de 2012</w:t>
            </w:r>
          </w:p>
        </w:tc>
        <w:tc>
          <w:tcPr>
            <w:tcW w:w="6128" w:type="dxa"/>
            <w:tcMar>
              <w:top w:w="0" w:type="dxa"/>
              <w:left w:w="108" w:type="dxa"/>
              <w:bottom w:w="0" w:type="dxa"/>
              <w:right w:w="108" w:type="dxa"/>
            </w:tcMar>
          </w:tcPr>
          <w:p w:rsidR="00F841FD" w:rsidRPr="00093CDA" w:rsidRDefault="00F841FD" w:rsidP="00FB1EBC">
            <w:pPr>
              <w:spacing w:before="40" w:after="40"/>
            </w:pPr>
            <w:r w:rsidRPr="00093CDA">
              <w:t>Plazo para que los miembros presenten los materiales que se consideran</w:t>
            </w:r>
            <w:r>
              <w:t xml:space="preserve"> </w:t>
            </w:r>
            <w:r w:rsidRPr="00093CDA">
              <w:t xml:space="preserve">pertinentes para el primer proyecto de </w:t>
            </w:r>
            <w:r w:rsidR="00234CBF" w:rsidRPr="00093CDA">
              <w:t>I</w:t>
            </w:r>
            <w:r w:rsidRPr="00093CDA">
              <w:t>nforme del Secretario General.</w:t>
            </w:r>
          </w:p>
        </w:tc>
      </w:tr>
      <w:tr w:rsidR="00F841FD" w:rsidRPr="00093CDA" w:rsidTr="00FB1EBC">
        <w:trPr>
          <w:jc w:val="center"/>
        </w:trPr>
        <w:tc>
          <w:tcPr>
            <w:tcW w:w="3011" w:type="dxa"/>
            <w:tcMar>
              <w:top w:w="0" w:type="dxa"/>
              <w:left w:w="108" w:type="dxa"/>
              <w:bottom w:w="0" w:type="dxa"/>
              <w:right w:w="108" w:type="dxa"/>
            </w:tcMar>
          </w:tcPr>
          <w:p w:rsidR="00F841FD" w:rsidRPr="00FA4B03" w:rsidRDefault="00F841FD" w:rsidP="00FB1EBC">
            <w:pPr>
              <w:spacing w:before="40" w:after="40"/>
              <w:rPr>
                <w:b/>
                <w:bCs/>
              </w:rPr>
            </w:pPr>
            <w:r w:rsidRPr="00FA4B03">
              <w:rPr>
                <w:b/>
                <w:bCs/>
              </w:rPr>
              <w:t>13 de abril de 2012</w:t>
            </w:r>
          </w:p>
        </w:tc>
        <w:tc>
          <w:tcPr>
            <w:tcW w:w="6128" w:type="dxa"/>
            <w:tcMar>
              <w:top w:w="0" w:type="dxa"/>
              <w:left w:w="108" w:type="dxa"/>
              <w:bottom w:w="0" w:type="dxa"/>
              <w:right w:w="108" w:type="dxa"/>
            </w:tcMar>
          </w:tcPr>
          <w:p w:rsidR="00F841FD" w:rsidRPr="00093CDA" w:rsidRDefault="00F841FD" w:rsidP="00FB1EBC">
            <w:pPr>
              <w:spacing w:before="40" w:after="40"/>
            </w:pPr>
            <w:r w:rsidRPr="00093CDA">
              <w:t>Divulgación en línea y distribución a los miembros del primer proyecto del</w:t>
            </w:r>
            <w:r>
              <w:t xml:space="preserve"> </w:t>
            </w:r>
            <w:r w:rsidR="00234CBF" w:rsidRPr="00093CDA">
              <w:t>I</w:t>
            </w:r>
            <w:r w:rsidRPr="00093CDA">
              <w:t>nforme del Secretario General (elaborado a partir del material disponible).</w:t>
            </w:r>
          </w:p>
        </w:tc>
      </w:tr>
      <w:tr w:rsidR="00F841FD" w:rsidRPr="00093CDA" w:rsidTr="00FB1EBC">
        <w:trPr>
          <w:jc w:val="center"/>
        </w:trPr>
        <w:tc>
          <w:tcPr>
            <w:tcW w:w="3011" w:type="dxa"/>
            <w:tcMar>
              <w:top w:w="0" w:type="dxa"/>
              <w:left w:w="108" w:type="dxa"/>
              <w:bottom w:w="0" w:type="dxa"/>
              <w:right w:w="108" w:type="dxa"/>
            </w:tcMar>
          </w:tcPr>
          <w:p w:rsidR="00F841FD" w:rsidRPr="00FA4B03" w:rsidRDefault="00F841FD" w:rsidP="00FB1EBC">
            <w:pPr>
              <w:spacing w:before="40" w:after="40"/>
              <w:rPr>
                <w:b/>
                <w:bCs/>
              </w:rPr>
            </w:pPr>
            <w:r w:rsidRPr="00FA4B03">
              <w:rPr>
                <w:b/>
                <w:bCs/>
              </w:rPr>
              <w:t>15 de mayo de 2012</w:t>
            </w:r>
          </w:p>
        </w:tc>
        <w:tc>
          <w:tcPr>
            <w:tcW w:w="6128" w:type="dxa"/>
            <w:tcMar>
              <w:top w:w="0" w:type="dxa"/>
              <w:left w:w="108" w:type="dxa"/>
              <w:bottom w:w="0" w:type="dxa"/>
              <w:right w:w="108" w:type="dxa"/>
            </w:tcMar>
          </w:tcPr>
          <w:p w:rsidR="00F841FD" w:rsidRPr="00093CDA" w:rsidRDefault="00F841FD" w:rsidP="00FB1EBC">
            <w:pPr>
              <w:spacing w:before="40" w:after="40"/>
            </w:pPr>
            <w:r w:rsidRPr="00093CDA">
              <w:t>Plazo para la recepción de los comentarios de los miembros sobre el primer</w:t>
            </w:r>
            <w:r>
              <w:t xml:space="preserve"> </w:t>
            </w:r>
            <w:r w:rsidRPr="00093CDA">
              <w:t>proyecto y materiales adicionales para el segundo proyecto.</w:t>
            </w:r>
          </w:p>
          <w:p w:rsidR="00F841FD" w:rsidRPr="00093CDA" w:rsidRDefault="00F841FD" w:rsidP="00FB1EBC">
            <w:pPr>
              <w:spacing w:before="40" w:after="40"/>
            </w:pPr>
            <w:r w:rsidRPr="00093CDA">
              <w:t xml:space="preserve">Plazo para presentar las candidaturas con miras a crear un </w:t>
            </w:r>
            <w:r w:rsidR="00234CBF" w:rsidRPr="00093CDA">
              <w:t>G</w:t>
            </w:r>
            <w:r w:rsidRPr="00093CDA">
              <w:t>rupo de</w:t>
            </w:r>
            <w:r>
              <w:t xml:space="preserve"> </w:t>
            </w:r>
            <w:r w:rsidR="00234CBF" w:rsidRPr="00093CDA">
              <w:t>E</w:t>
            </w:r>
            <w:r w:rsidRPr="00093CDA">
              <w:t>xpertos equilibrado que prestará asesoramiento al Secretario General</w:t>
            </w:r>
            <w:r>
              <w:t xml:space="preserve"> </w:t>
            </w:r>
            <w:r w:rsidRPr="00093CDA">
              <w:t xml:space="preserve">sobre la elaboración ulterior del </w:t>
            </w:r>
            <w:r w:rsidR="00D17DDF" w:rsidRPr="00093CDA">
              <w:t>I</w:t>
            </w:r>
            <w:r w:rsidRPr="00093CDA">
              <w:t>nforme y de proyectos de opiniones al</w:t>
            </w:r>
            <w:r>
              <w:t xml:space="preserve"> </w:t>
            </w:r>
            <w:r w:rsidRPr="00093CDA">
              <w:t>respecto.</w:t>
            </w:r>
          </w:p>
        </w:tc>
      </w:tr>
      <w:tr w:rsidR="00F841FD" w:rsidRPr="008B6680" w:rsidTr="00FB1EBC">
        <w:trPr>
          <w:jc w:val="center"/>
        </w:trPr>
        <w:tc>
          <w:tcPr>
            <w:tcW w:w="3011" w:type="dxa"/>
            <w:tcMar>
              <w:top w:w="0" w:type="dxa"/>
              <w:left w:w="108" w:type="dxa"/>
              <w:bottom w:w="0" w:type="dxa"/>
              <w:right w:w="108" w:type="dxa"/>
            </w:tcMar>
          </w:tcPr>
          <w:p w:rsidR="00F841FD" w:rsidRPr="00FA4B03" w:rsidRDefault="00F841FD" w:rsidP="00FB1EBC">
            <w:pPr>
              <w:spacing w:before="40" w:after="40"/>
              <w:rPr>
                <w:b/>
                <w:bCs/>
              </w:rPr>
            </w:pPr>
            <w:r w:rsidRPr="00FA4B03">
              <w:rPr>
                <w:b/>
                <w:bCs/>
              </w:rPr>
              <w:t>5 de junio de 2012</w:t>
            </w:r>
          </w:p>
        </w:tc>
        <w:tc>
          <w:tcPr>
            <w:tcW w:w="6128" w:type="dxa"/>
            <w:tcMar>
              <w:top w:w="0" w:type="dxa"/>
              <w:left w:w="108" w:type="dxa"/>
              <w:bottom w:w="0" w:type="dxa"/>
              <w:right w:w="108" w:type="dxa"/>
            </w:tcMar>
          </w:tcPr>
          <w:p w:rsidR="00F841FD" w:rsidRPr="008B6680" w:rsidRDefault="00F841FD" w:rsidP="00FB1EBC">
            <w:pPr>
              <w:spacing w:before="40" w:after="40"/>
            </w:pPr>
            <w:r w:rsidRPr="008B6680">
              <w:t xml:space="preserve">Primera reunión del </w:t>
            </w:r>
            <w:r w:rsidR="00D17DDF" w:rsidRPr="008B6680">
              <w:t>G</w:t>
            </w:r>
            <w:r w:rsidRPr="008B6680">
              <w:t xml:space="preserve">rupo de </w:t>
            </w:r>
            <w:r w:rsidR="00D17DDF" w:rsidRPr="008B6680">
              <w:t>E</w:t>
            </w:r>
            <w:r w:rsidRPr="008B6680">
              <w:t>xpertos.</w:t>
            </w:r>
          </w:p>
          <w:p w:rsidR="00F841FD" w:rsidRPr="008B6680" w:rsidRDefault="002E3DCA" w:rsidP="00FB1EBC">
            <w:pPr>
              <w:spacing w:before="40" w:after="40"/>
            </w:pPr>
            <w:r>
              <w:t>S</w:t>
            </w:r>
            <w:r w:rsidRPr="008B6680">
              <w:t xml:space="preserve">egundo </w:t>
            </w:r>
            <w:r>
              <w:t>a</w:t>
            </w:r>
            <w:r w:rsidR="00F841FD" w:rsidRPr="008B6680">
              <w:t xml:space="preserve">nteproyecto de </w:t>
            </w:r>
            <w:r w:rsidR="00D17DDF" w:rsidRPr="008B6680">
              <w:t>I</w:t>
            </w:r>
            <w:r w:rsidR="00F841FD" w:rsidRPr="008B6680">
              <w:t>nforme del Secretario General.</w:t>
            </w:r>
          </w:p>
        </w:tc>
      </w:tr>
      <w:tr w:rsidR="002E3DCA" w:rsidRPr="008B6680" w:rsidTr="00FB1EBC">
        <w:trPr>
          <w:cantSplit/>
          <w:jc w:val="center"/>
        </w:trPr>
        <w:tc>
          <w:tcPr>
            <w:tcW w:w="3011" w:type="dxa"/>
            <w:tcMar>
              <w:top w:w="0" w:type="dxa"/>
              <w:left w:w="108" w:type="dxa"/>
              <w:bottom w:w="0" w:type="dxa"/>
              <w:right w:w="108" w:type="dxa"/>
            </w:tcMar>
          </w:tcPr>
          <w:p w:rsidR="002E3DCA" w:rsidRPr="00FA4B03" w:rsidRDefault="002E3DCA" w:rsidP="00FB1EBC">
            <w:pPr>
              <w:spacing w:before="40" w:after="40"/>
              <w:rPr>
                <w:b/>
                <w:bCs/>
              </w:rPr>
            </w:pPr>
            <w:r>
              <w:rPr>
                <w:b/>
                <w:bCs/>
              </w:rPr>
              <w:t>25 de junio de 2012</w:t>
            </w:r>
          </w:p>
        </w:tc>
        <w:tc>
          <w:tcPr>
            <w:tcW w:w="6128" w:type="dxa"/>
            <w:tcMar>
              <w:top w:w="0" w:type="dxa"/>
              <w:left w:w="108" w:type="dxa"/>
              <w:bottom w:w="0" w:type="dxa"/>
              <w:right w:w="108" w:type="dxa"/>
            </w:tcMar>
          </w:tcPr>
          <w:p w:rsidR="002E3DCA" w:rsidRPr="008B6680" w:rsidRDefault="002E3DCA" w:rsidP="00FB1EBC">
            <w:pPr>
              <w:spacing w:before="40" w:after="40"/>
            </w:pPr>
            <w:r>
              <w:t xml:space="preserve">Fin del plazo para recibir comentarios sobre el segundo </w:t>
            </w:r>
            <w:r w:rsidRPr="002E3DCA">
              <w:t>anteproyecto de Informe del Secretario General</w:t>
            </w:r>
            <w:r w:rsidR="00684F8F">
              <w:t>.</w:t>
            </w:r>
          </w:p>
        </w:tc>
      </w:tr>
      <w:tr w:rsidR="00F841FD" w:rsidRPr="008B6680" w:rsidTr="00FB1EBC">
        <w:trPr>
          <w:cantSplit/>
          <w:jc w:val="center"/>
        </w:trPr>
        <w:tc>
          <w:tcPr>
            <w:tcW w:w="3011" w:type="dxa"/>
            <w:tcMar>
              <w:top w:w="0" w:type="dxa"/>
              <w:left w:w="108" w:type="dxa"/>
              <w:bottom w:w="0" w:type="dxa"/>
              <w:right w:w="108" w:type="dxa"/>
            </w:tcMar>
          </w:tcPr>
          <w:p w:rsidR="00F841FD" w:rsidRPr="00FA4B03" w:rsidRDefault="00F841FD" w:rsidP="00FB1EBC">
            <w:pPr>
              <w:spacing w:before="40" w:after="40"/>
              <w:rPr>
                <w:b/>
                <w:bCs/>
              </w:rPr>
            </w:pPr>
            <w:r w:rsidRPr="00FA4B03">
              <w:rPr>
                <w:b/>
                <w:bCs/>
              </w:rPr>
              <w:t>3 de julio de 2012</w:t>
            </w:r>
          </w:p>
        </w:tc>
        <w:tc>
          <w:tcPr>
            <w:tcW w:w="6128" w:type="dxa"/>
            <w:tcMar>
              <w:top w:w="0" w:type="dxa"/>
              <w:left w:w="108" w:type="dxa"/>
              <w:bottom w:w="0" w:type="dxa"/>
              <w:right w:w="108" w:type="dxa"/>
            </w:tcMar>
          </w:tcPr>
          <w:p w:rsidR="00F841FD" w:rsidRPr="008B6680" w:rsidRDefault="002E3DCA" w:rsidP="00FB1EBC">
            <w:pPr>
              <w:spacing w:before="40" w:after="40"/>
            </w:pPr>
            <w:r>
              <w:t>Public</w:t>
            </w:r>
            <w:r w:rsidR="00F841FD" w:rsidRPr="008B6680">
              <w:t xml:space="preserve">ación en línea del segundo </w:t>
            </w:r>
            <w:r>
              <w:t>anteproyecto</w:t>
            </w:r>
            <w:r w:rsidR="00F841FD" w:rsidRPr="008B6680">
              <w:t xml:space="preserve"> con </w:t>
            </w:r>
            <w:r>
              <w:t>comentarios (indicando claramente las fuentes de los mismos</w:t>
            </w:r>
            <w:r w:rsidR="00F841FD" w:rsidRPr="008B6680">
              <w:t>).</w:t>
            </w:r>
          </w:p>
        </w:tc>
      </w:tr>
      <w:tr w:rsidR="002E3DCA" w:rsidRPr="008B6680" w:rsidTr="00FB1EBC">
        <w:trPr>
          <w:jc w:val="center"/>
        </w:trPr>
        <w:tc>
          <w:tcPr>
            <w:tcW w:w="3011" w:type="dxa"/>
            <w:tcMar>
              <w:top w:w="0" w:type="dxa"/>
              <w:left w:w="108" w:type="dxa"/>
              <w:bottom w:w="0" w:type="dxa"/>
              <w:right w:w="108" w:type="dxa"/>
            </w:tcMar>
          </w:tcPr>
          <w:p w:rsidR="002E3DCA" w:rsidRPr="00FA4B03" w:rsidRDefault="002E3DCA" w:rsidP="00FB1EBC">
            <w:pPr>
              <w:spacing w:before="40" w:after="40"/>
              <w:rPr>
                <w:b/>
                <w:bCs/>
              </w:rPr>
            </w:pPr>
            <w:r>
              <w:rPr>
                <w:b/>
                <w:bCs/>
              </w:rPr>
              <w:t>1 de agosto de 2012</w:t>
            </w:r>
          </w:p>
        </w:tc>
        <w:tc>
          <w:tcPr>
            <w:tcW w:w="6128" w:type="dxa"/>
            <w:tcMar>
              <w:top w:w="0" w:type="dxa"/>
              <w:left w:w="108" w:type="dxa"/>
              <w:bottom w:w="0" w:type="dxa"/>
              <w:right w:w="108" w:type="dxa"/>
            </w:tcMar>
          </w:tcPr>
          <w:p w:rsidR="002E3DCA" w:rsidRDefault="002E3DCA" w:rsidP="00FB1EBC">
            <w:pPr>
              <w:spacing w:before="40" w:after="40"/>
            </w:pPr>
            <w:r>
              <w:t>Fin del plazo</w:t>
            </w:r>
            <w:r w:rsidRPr="008B6680">
              <w:t xml:space="preserve"> de recepción de comentarios sobre el segundo </w:t>
            </w:r>
            <w:r>
              <w:t>ante</w:t>
            </w:r>
            <w:r w:rsidRPr="008B6680">
              <w:t>proyecto</w:t>
            </w:r>
            <w:r>
              <w:t xml:space="preserve"> y solicitud de contribuciones para elaborar el tercer proyecto, </w:t>
            </w:r>
            <w:r w:rsidR="004E0700">
              <w:t>incluidas</w:t>
            </w:r>
            <w:r>
              <w:t xml:space="preserve"> las grandes líneas para posibles proyectos de opinión</w:t>
            </w:r>
            <w:r w:rsidRPr="008B6680">
              <w:t>.</w:t>
            </w:r>
          </w:p>
          <w:p w:rsidR="002E3DCA" w:rsidRPr="008B6680" w:rsidRDefault="002E3DCA" w:rsidP="00FB1EBC">
            <w:pPr>
              <w:spacing w:before="40" w:after="40"/>
            </w:pPr>
            <w:r>
              <w:t xml:space="preserve">Carta de invitación a todas las partes interesadas para que participen en el </w:t>
            </w:r>
            <w:r w:rsidR="00BA2559">
              <w:t>Grupo de Expertos</w:t>
            </w:r>
            <w:r>
              <w:t>.</w:t>
            </w:r>
          </w:p>
        </w:tc>
      </w:tr>
      <w:tr w:rsidR="002E3DCA" w:rsidRPr="008B6680" w:rsidTr="00FB1EBC">
        <w:trPr>
          <w:jc w:val="center"/>
        </w:trPr>
        <w:tc>
          <w:tcPr>
            <w:tcW w:w="3011" w:type="dxa"/>
            <w:tcMar>
              <w:top w:w="0" w:type="dxa"/>
              <w:left w:w="108" w:type="dxa"/>
              <w:bottom w:w="0" w:type="dxa"/>
              <w:right w:w="108" w:type="dxa"/>
            </w:tcMar>
          </w:tcPr>
          <w:p w:rsidR="002E3DCA" w:rsidRPr="00FA4B03" w:rsidRDefault="002E3DCA" w:rsidP="00FB1EBC">
            <w:pPr>
              <w:spacing w:before="40" w:after="40"/>
              <w:rPr>
                <w:b/>
                <w:bCs/>
              </w:rPr>
            </w:pPr>
            <w:r>
              <w:rPr>
                <w:b/>
                <w:bCs/>
              </w:rPr>
              <w:t>31 de agosto de 2012</w:t>
            </w:r>
          </w:p>
        </w:tc>
        <w:tc>
          <w:tcPr>
            <w:tcW w:w="6128" w:type="dxa"/>
            <w:tcMar>
              <w:top w:w="0" w:type="dxa"/>
              <w:left w:w="108" w:type="dxa"/>
              <w:bottom w:w="0" w:type="dxa"/>
              <w:right w:w="108" w:type="dxa"/>
            </w:tcMar>
          </w:tcPr>
          <w:p w:rsidR="002E3DCA" w:rsidRPr="008B6680" w:rsidRDefault="002E3DCA" w:rsidP="00FB1EBC">
            <w:pPr>
              <w:spacing w:before="40" w:after="40"/>
            </w:pPr>
            <w:r>
              <w:t>Public</w:t>
            </w:r>
            <w:r w:rsidRPr="008B6680">
              <w:t xml:space="preserve">ación en línea del </w:t>
            </w:r>
            <w:r>
              <w:t>tercer</w:t>
            </w:r>
            <w:r w:rsidR="006C1C14">
              <w:t xml:space="preserve"> </w:t>
            </w:r>
            <w:r>
              <w:t xml:space="preserve">anteproyecto y de </w:t>
            </w:r>
            <w:r w:rsidRPr="002E3DCA">
              <w:t>las grandes líneas para posibles proyectos de opinión</w:t>
            </w:r>
            <w:r>
              <w:t>.</w:t>
            </w:r>
          </w:p>
        </w:tc>
      </w:tr>
      <w:tr w:rsidR="002E3DCA" w:rsidRPr="008B6680" w:rsidTr="00FB1EBC">
        <w:trPr>
          <w:jc w:val="center"/>
        </w:trPr>
        <w:tc>
          <w:tcPr>
            <w:tcW w:w="3011" w:type="dxa"/>
            <w:tcMar>
              <w:top w:w="0" w:type="dxa"/>
              <w:left w:w="108" w:type="dxa"/>
              <w:bottom w:w="0" w:type="dxa"/>
              <w:right w:w="108" w:type="dxa"/>
            </w:tcMar>
          </w:tcPr>
          <w:p w:rsidR="002E3DCA" w:rsidRPr="00FA4B03" w:rsidRDefault="002E3DCA" w:rsidP="00FB1EBC">
            <w:pPr>
              <w:spacing w:before="40" w:after="40"/>
              <w:rPr>
                <w:b/>
                <w:bCs/>
              </w:rPr>
            </w:pPr>
            <w:r w:rsidRPr="00FA4B03">
              <w:rPr>
                <w:b/>
                <w:bCs/>
              </w:rPr>
              <w:t>30 de septiembre de 2012</w:t>
            </w:r>
          </w:p>
        </w:tc>
        <w:tc>
          <w:tcPr>
            <w:tcW w:w="6128" w:type="dxa"/>
            <w:tcMar>
              <w:top w:w="0" w:type="dxa"/>
              <w:left w:w="108" w:type="dxa"/>
              <w:bottom w:w="0" w:type="dxa"/>
              <w:right w:w="108" w:type="dxa"/>
            </w:tcMar>
          </w:tcPr>
          <w:p w:rsidR="002E3DCA" w:rsidRPr="008B6680" w:rsidRDefault="002E3DCA" w:rsidP="00FB1EBC">
            <w:pPr>
              <w:spacing w:before="40" w:after="40"/>
            </w:pPr>
            <w:r>
              <w:t>Fin del p</w:t>
            </w:r>
            <w:r w:rsidRPr="008B6680">
              <w:t xml:space="preserve">lazo de recepción de comentarios sobre el </w:t>
            </w:r>
            <w:r>
              <w:t>tercer</w:t>
            </w:r>
            <w:r w:rsidRPr="008B6680">
              <w:t xml:space="preserve"> proyecto.</w:t>
            </w:r>
          </w:p>
        </w:tc>
      </w:tr>
      <w:tr w:rsidR="002E3DCA" w:rsidRPr="008B6680" w:rsidTr="00FB1EBC">
        <w:trPr>
          <w:jc w:val="center"/>
        </w:trPr>
        <w:tc>
          <w:tcPr>
            <w:tcW w:w="3011" w:type="dxa"/>
            <w:tcMar>
              <w:top w:w="0" w:type="dxa"/>
              <w:left w:w="108" w:type="dxa"/>
              <w:bottom w:w="0" w:type="dxa"/>
              <w:right w:w="108" w:type="dxa"/>
            </w:tcMar>
          </w:tcPr>
          <w:p w:rsidR="002E3DCA" w:rsidRDefault="00F73B39" w:rsidP="00F73B39">
            <w:pPr>
              <w:spacing w:before="40" w:after="40"/>
              <w:rPr>
                <w:b/>
                <w:bCs/>
              </w:rPr>
            </w:pPr>
            <w:r>
              <w:rPr>
                <w:b/>
                <w:bCs/>
              </w:rPr>
              <w:t xml:space="preserve">10, </w:t>
            </w:r>
            <w:r w:rsidR="002E3DCA">
              <w:rPr>
                <w:b/>
                <w:bCs/>
              </w:rPr>
              <w:t>11</w:t>
            </w:r>
            <w:r>
              <w:rPr>
                <w:b/>
                <w:bCs/>
              </w:rPr>
              <w:t>, 12 (mañana)</w:t>
            </w:r>
            <w:r w:rsidR="002E3DCA">
              <w:rPr>
                <w:b/>
                <w:bCs/>
              </w:rPr>
              <w:t xml:space="preserve"> de octubre de</w:t>
            </w:r>
            <w:r w:rsidR="00684F8F">
              <w:rPr>
                <w:b/>
                <w:bCs/>
              </w:rPr>
              <w:t> </w:t>
            </w:r>
            <w:r w:rsidR="002E3DCA">
              <w:rPr>
                <w:b/>
                <w:bCs/>
              </w:rPr>
              <w:t>2012</w:t>
            </w:r>
          </w:p>
        </w:tc>
        <w:tc>
          <w:tcPr>
            <w:tcW w:w="6128" w:type="dxa"/>
            <w:tcMar>
              <w:top w:w="0" w:type="dxa"/>
              <w:left w:w="108" w:type="dxa"/>
              <w:bottom w:w="0" w:type="dxa"/>
              <w:right w:w="108" w:type="dxa"/>
            </w:tcMar>
          </w:tcPr>
          <w:p w:rsidR="002E3DCA" w:rsidRDefault="002E3DCA" w:rsidP="00FB1EBC">
            <w:pPr>
              <w:spacing w:before="40" w:after="40"/>
            </w:pPr>
            <w:r>
              <w:t xml:space="preserve">Segunda reunión del </w:t>
            </w:r>
            <w:r w:rsidR="00BA2559">
              <w:t>Grupo de Expertos</w:t>
            </w:r>
            <w:r w:rsidR="00684F8F">
              <w:t>.</w:t>
            </w:r>
          </w:p>
        </w:tc>
      </w:tr>
      <w:tr w:rsidR="002E3DCA" w:rsidRPr="008B6680" w:rsidTr="00FB1EBC">
        <w:trPr>
          <w:jc w:val="center"/>
        </w:trPr>
        <w:tc>
          <w:tcPr>
            <w:tcW w:w="3011" w:type="dxa"/>
            <w:tcMar>
              <w:top w:w="0" w:type="dxa"/>
              <w:left w:w="108" w:type="dxa"/>
              <w:bottom w:w="0" w:type="dxa"/>
              <w:right w:w="108" w:type="dxa"/>
            </w:tcMar>
          </w:tcPr>
          <w:p w:rsidR="002E3DCA" w:rsidRPr="00FA4B03" w:rsidRDefault="002E3DCA" w:rsidP="00FB1EBC">
            <w:pPr>
              <w:spacing w:before="40" w:after="40"/>
              <w:rPr>
                <w:b/>
                <w:bCs/>
              </w:rPr>
            </w:pPr>
            <w:r>
              <w:rPr>
                <w:b/>
                <w:bCs/>
              </w:rPr>
              <w:t>10 de enero de 2013</w:t>
            </w:r>
          </w:p>
        </w:tc>
        <w:tc>
          <w:tcPr>
            <w:tcW w:w="6128" w:type="dxa"/>
            <w:tcMar>
              <w:top w:w="0" w:type="dxa"/>
              <w:left w:w="108" w:type="dxa"/>
              <w:bottom w:w="0" w:type="dxa"/>
              <w:right w:w="108" w:type="dxa"/>
            </w:tcMar>
          </w:tcPr>
          <w:p w:rsidR="002E3DCA" w:rsidRPr="008B6680" w:rsidRDefault="002E3DCA" w:rsidP="00FB1EBC">
            <w:pPr>
              <w:spacing w:before="40" w:after="40"/>
            </w:pPr>
            <w:r>
              <w:t>Public</w:t>
            </w:r>
            <w:r w:rsidRPr="008B6680">
              <w:t xml:space="preserve">ación en línea del </w:t>
            </w:r>
            <w:r>
              <w:t>cuarto</w:t>
            </w:r>
            <w:r w:rsidR="006C1C14">
              <w:t xml:space="preserve"> </w:t>
            </w:r>
            <w:r>
              <w:t>anteproyecto, incluidos los proyectos de opinión.</w:t>
            </w:r>
          </w:p>
        </w:tc>
      </w:tr>
      <w:tr w:rsidR="00F841FD" w:rsidRPr="008B6680" w:rsidTr="00FB1EBC">
        <w:trPr>
          <w:jc w:val="center"/>
        </w:trPr>
        <w:tc>
          <w:tcPr>
            <w:tcW w:w="3011" w:type="dxa"/>
            <w:tcMar>
              <w:top w:w="0" w:type="dxa"/>
              <w:left w:w="108" w:type="dxa"/>
              <w:bottom w:w="0" w:type="dxa"/>
              <w:right w:w="108" w:type="dxa"/>
            </w:tcMar>
          </w:tcPr>
          <w:p w:rsidR="00F841FD" w:rsidRPr="00FA4B03" w:rsidRDefault="002E3DCA" w:rsidP="00FB1EBC">
            <w:pPr>
              <w:spacing w:before="40" w:after="40"/>
              <w:rPr>
                <w:b/>
                <w:bCs/>
              </w:rPr>
            </w:pPr>
            <w:r>
              <w:rPr>
                <w:b/>
                <w:bCs/>
              </w:rPr>
              <w:t>F</w:t>
            </w:r>
            <w:r w:rsidR="00F841FD" w:rsidRPr="00FA4B03">
              <w:rPr>
                <w:b/>
                <w:bCs/>
              </w:rPr>
              <w:t>ebrero de 2013</w:t>
            </w:r>
          </w:p>
        </w:tc>
        <w:tc>
          <w:tcPr>
            <w:tcW w:w="6128" w:type="dxa"/>
            <w:tcMar>
              <w:top w:w="0" w:type="dxa"/>
              <w:left w:w="108" w:type="dxa"/>
              <w:bottom w:w="0" w:type="dxa"/>
              <w:right w:w="108" w:type="dxa"/>
            </w:tcMar>
          </w:tcPr>
          <w:p w:rsidR="00F841FD" w:rsidRPr="008B6680" w:rsidRDefault="002E3DCA" w:rsidP="00FB1EBC">
            <w:pPr>
              <w:spacing w:before="40" w:after="40"/>
            </w:pPr>
            <w:r>
              <w:t>Tercera</w:t>
            </w:r>
            <w:r w:rsidR="00F841FD" w:rsidRPr="008B6680">
              <w:t xml:space="preserve"> reunión del </w:t>
            </w:r>
            <w:r w:rsidR="00BA2559">
              <w:t>Grupo de Expertos</w:t>
            </w:r>
            <w:r w:rsidR="00F841FD" w:rsidRPr="008B6680">
              <w:t>.</w:t>
            </w:r>
          </w:p>
        </w:tc>
      </w:tr>
      <w:tr w:rsidR="00F841FD" w:rsidRPr="008B6680" w:rsidTr="00FB1EBC">
        <w:trPr>
          <w:jc w:val="center"/>
        </w:trPr>
        <w:tc>
          <w:tcPr>
            <w:tcW w:w="3011" w:type="dxa"/>
            <w:tcMar>
              <w:top w:w="0" w:type="dxa"/>
              <w:left w:w="108" w:type="dxa"/>
              <w:bottom w:w="0" w:type="dxa"/>
              <w:right w:w="108" w:type="dxa"/>
            </w:tcMar>
          </w:tcPr>
          <w:p w:rsidR="00F841FD" w:rsidRPr="00FA4B03" w:rsidRDefault="00F841FD" w:rsidP="00FB1EBC">
            <w:pPr>
              <w:spacing w:before="40" w:after="40"/>
              <w:rPr>
                <w:b/>
                <w:bCs/>
              </w:rPr>
            </w:pPr>
            <w:r w:rsidRPr="00FA4B03">
              <w:rPr>
                <w:b/>
                <w:bCs/>
              </w:rPr>
              <w:t>1 de marzo de 2013</w:t>
            </w:r>
          </w:p>
        </w:tc>
        <w:tc>
          <w:tcPr>
            <w:tcW w:w="6128" w:type="dxa"/>
            <w:tcMar>
              <w:top w:w="0" w:type="dxa"/>
              <w:left w:w="108" w:type="dxa"/>
              <w:bottom w:w="0" w:type="dxa"/>
              <w:right w:w="108" w:type="dxa"/>
            </w:tcMar>
          </w:tcPr>
          <w:p w:rsidR="00F841FD" w:rsidRPr="008B6680" w:rsidRDefault="00F841FD" w:rsidP="00FB1EBC">
            <w:pPr>
              <w:spacing w:before="40" w:after="40"/>
            </w:pPr>
            <w:r w:rsidRPr="008B6680">
              <w:t xml:space="preserve">Finalización del </w:t>
            </w:r>
            <w:r w:rsidR="00BA2559" w:rsidRPr="008B6680">
              <w:t>I</w:t>
            </w:r>
            <w:r w:rsidRPr="008B6680">
              <w:t>nforme del Secretario General y plazo de publicación.</w:t>
            </w:r>
          </w:p>
        </w:tc>
      </w:tr>
      <w:tr w:rsidR="00F841FD" w:rsidRPr="008B6680" w:rsidTr="00FB1EBC">
        <w:trPr>
          <w:jc w:val="center"/>
        </w:trPr>
        <w:tc>
          <w:tcPr>
            <w:tcW w:w="3011" w:type="dxa"/>
            <w:tcMar>
              <w:top w:w="0" w:type="dxa"/>
              <w:left w:w="108" w:type="dxa"/>
              <w:bottom w:w="0" w:type="dxa"/>
              <w:right w:w="108" w:type="dxa"/>
            </w:tcMar>
          </w:tcPr>
          <w:p w:rsidR="00F841FD" w:rsidRPr="00FA4B03" w:rsidRDefault="00F841FD" w:rsidP="00FB1EBC">
            <w:pPr>
              <w:spacing w:before="40" w:after="40"/>
              <w:rPr>
                <w:b/>
                <w:bCs/>
              </w:rPr>
            </w:pPr>
            <w:r w:rsidRPr="00FA4B03">
              <w:rPr>
                <w:b/>
                <w:bCs/>
              </w:rPr>
              <w:t>13 de mayo de 2013</w:t>
            </w:r>
          </w:p>
        </w:tc>
        <w:tc>
          <w:tcPr>
            <w:tcW w:w="6128" w:type="dxa"/>
            <w:tcMar>
              <w:top w:w="0" w:type="dxa"/>
              <w:left w:w="108" w:type="dxa"/>
              <w:bottom w:w="0" w:type="dxa"/>
              <w:right w:w="108" w:type="dxa"/>
            </w:tcMar>
          </w:tcPr>
          <w:p w:rsidR="00F841FD" w:rsidRPr="008B6680" w:rsidRDefault="00F841FD" w:rsidP="00FB1EBC">
            <w:pPr>
              <w:spacing w:before="40" w:after="40"/>
            </w:pPr>
            <w:r w:rsidRPr="008B6680">
              <w:t>Fecha propuesta para el diálogo estratégico.</w:t>
            </w:r>
          </w:p>
        </w:tc>
      </w:tr>
      <w:tr w:rsidR="00F841FD" w:rsidRPr="008B6680" w:rsidTr="00FB1EBC">
        <w:trPr>
          <w:jc w:val="center"/>
        </w:trPr>
        <w:tc>
          <w:tcPr>
            <w:tcW w:w="3011" w:type="dxa"/>
            <w:tcMar>
              <w:top w:w="0" w:type="dxa"/>
              <w:left w:w="108" w:type="dxa"/>
              <w:bottom w:w="0" w:type="dxa"/>
              <w:right w:w="108" w:type="dxa"/>
            </w:tcMar>
          </w:tcPr>
          <w:p w:rsidR="00F841FD" w:rsidRPr="00FA4B03" w:rsidRDefault="00F841FD" w:rsidP="00684F8F">
            <w:pPr>
              <w:spacing w:before="40" w:after="40"/>
              <w:rPr>
                <w:b/>
                <w:bCs/>
              </w:rPr>
            </w:pPr>
            <w:proofErr w:type="spellStart"/>
            <w:r w:rsidRPr="00FA4B03">
              <w:rPr>
                <w:b/>
                <w:bCs/>
              </w:rPr>
              <w:t>Coubicado</w:t>
            </w:r>
            <w:proofErr w:type="spellEnd"/>
            <w:r w:rsidRPr="00FA4B03">
              <w:rPr>
                <w:b/>
                <w:bCs/>
              </w:rPr>
              <w:t xml:space="preserve"> con el Foro 2013 de la CMSI</w:t>
            </w:r>
            <w:r w:rsidR="00D7607D" w:rsidRPr="00FA4B03">
              <w:rPr>
                <w:b/>
                <w:bCs/>
              </w:rPr>
              <w:t xml:space="preserve"> </w:t>
            </w:r>
            <w:r w:rsidRPr="00FA4B03">
              <w:rPr>
                <w:b/>
                <w:bCs/>
              </w:rPr>
              <w:t>(14-16 de mayo de 2013)</w:t>
            </w:r>
          </w:p>
        </w:tc>
        <w:tc>
          <w:tcPr>
            <w:tcW w:w="6128" w:type="dxa"/>
            <w:tcMar>
              <w:top w:w="0" w:type="dxa"/>
              <w:left w:w="108" w:type="dxa"/>
              <w:bottom w:w="0" w:type="dxa"/>
              <w:right w:w="108" w:type="dxa"/>
            </w:tcMar>
          </w:tcPr>
          <w:p w:rsidR="00F841FD" w:rsidRPr="008B6680" w:rsidRDefault="00F841FD" w:rsidP="00FB1EBC">
            <w:pPr>
              <w:spacing w:before="40" w:after="40"/>
              <w:rPr>
                <w:b/>
              </w:rPr>
            </w:pPr>
            <w:r w:rsidRPr="008B6680">
              <w:t>Fechas propuestas para el 5º FMPT sobre cuestiones de política pública</w:t>
            </w:r>
            <w:r>
              <w:t xml:space="preserve"> </w:t>
            </w:r>
            <w:r w:rsidRPr="008B6680">
              <w:t>relacionadas con Internet.</w:t>
            </w:r>
          </w:p>
        </w:tc>
      </w:tr>
    </w:tbl>
    <w:p w:rsidR="00F841FD" w:rsidRDefault="00F841FD" w:rsidP="00FA4B03">
      <w:r w:rsidRPr="00234CBF">
        <w:lastRenderedPageBreak/>
        <w:t>4.3</w:t>
      </w:r>
      <w:r>
        <w:tab/>
        <w:t>Se ha constituido un equipo intersectorial interno para coordinar la preparación del quinto</w:t>
      </w:r>
      <w:r w:rsidR="00FA4B03">
        <w:t> </w:t>
      </w:r>
      <w:r>
        <w:t>FMPT.</w:t>
      </w:r>
    </w:p>
    <w:p w:rsidR="00F841FD" w:rsidRDefault="00F841FD" w:rsidP="00D92598">
      <w:r w:rsidRPr="00234CBF">
        <w:t>4.</w:t>
      </w:r>
      <w:r w:rsidR="00D92598">
        <w:t>4</w:t>
      </w:r>
      <w:r>
        <w:tab/>
      </w:r>
      <w:r w:rsidR="00D92598">
        <w:t xml:space="preserve">Toda la información relacionada con el FMPT </w:t>
      </w:r>
      <w:r>
        <w:t xml:space="preserve">se publicará en la página web </w:t>
      </w:r>
      <w:hyperlink r:id="rId17" w:history="1">
        <w:r w:rsidR="00D7607D" w:rsidRPr="00177A16">
          <w:rPr>
            <w:rStyle w:val="Hyperlink"/>
            <w:rFonts w:cstheme="minorHAnsi"/>
            <w:szCs w:val="24"/>
          </w:rPr>
          <w:t>www.itu.int/wtpf/</w:t>
        </w:r>
      </w:hyperlink>
      <w:r w:rsidR="00D7607D">
        <w:t>.</w:t>
      </w:r>
    </w:p>
    <w:p w:rsidR="00F841FD" w:rsidRDefault="00F841FD" w:rsidP="00D92598">
      <w:r w:rsidRPr="00234CBF">
        <w:t>4.</w:t>
      </w:r>
      <w:r w:rsidR="00D92598">
        <w:t>5</w:t>
      </w:r>
      <w:r w:rsidR="00D92598">
        <w:tab/>
      </w:r>
      <w:r>
        <w:t xml:space="preserve">La primera reunión del </w:t>
      </w:r>
      <w:r w:rsidR="00BA2559">
        <w:t>Grupo de Expertos</w:t>
      </w:r>
      <w:r>
        <w:t xml:space="preserve"> </w:t>
      </w:r>
      <w:r w:rsidR="00D92598">
        <w:t>tuvo</w:t>
      </w:r>
      <w:r>
        <w:t xml:space="preserve"> lugar el 5 de junio de 2012 en la </w:t>
      </w:r>
      <w:r w:rsidR="00D17DDF">
        <w:t>S</w:t>
      </w:r>
      <w:r>
        <w:t>ede de la</w:t>
      </w:r>
      <w:r w:rsidR="00D17DDF">
        <w:t> </w:t>
      </w:r>
      <w:r>
        <w:t>UIT en Ginebra.</w:t>
      </w:r>
      <w:r w:rsidR="00D92598">
        <w:t xml:space="preserve"> Los documentos relacionados (incluido el Informe del Presidente) pueden consultarse en el sitio web del FMPT en </w:t>
      </w:r>
      <w:hyperlink r:id="rId18" w:history="1">
        <w:r w:rsidR="00D92598" w:rsidRPr="0083541D">
          <w:rPr>
            <w:rStyle w:val="Hyperlink"/>
          </w:rPr>
          <w:t>http://www.itu.int/en/wtpf-13/pages/ieg.aspx</w:t>
        </w:r>
      </w:hyperlink>
      <w:r w:rsidR="00D92598">
        <w:t xml:space="preserve">. </w:t>
      </w:r>
    </w:p>
    <w:p w:rsidR="00F841FD" w:rsidRDefault="00F841FD" w:rsidP="00D92598">
      <w:r w:rsidRPr="00234CBF">
        <w:t>4.</w:t>
      </w:r>
      <w:r w:rsidR="00D92598">
        <w:t>6</w:t>
      </w:r>
      <w:r>
        <w:tab/>
        <w:t>La Secretaría ha reservado el CICG (Centro Internacional de Conferencias de Ginebra) del 13</w:t>
      </w:r>
      <w:r w:rsidR="00D17DDF">
        <w:t> </w:t>
      </w:r>
      <w:r>
        <w:t>al 16 de mayo de 2013.</w:t>
      </w:r>
    </w:p>
    <w:p w:rsidR="00F841FD" w:rsidRDefault="00F841FD" w:rsidP="006556E5">
      <w:pPr>
        <w:pStyle w:val="Heading1"/>
      </w:pPr>
      <w:r>
        <w:t>5</w:t>
      </w:r>
      <w:r>
        <w:tab/>
        <w:t>Orden del día y Reglamento Interno del FMPT</w:t>
      </w:r>
      <w:r w:rsidR="006556E5">
        <w:t>-13</w:t>
      </w:r>
    </w:p>
    <w:p w:rsidR="00F841FD" w:rsidRPr="00234CBF" w:rsidRDefault="00F841FD" w:rsidP="00BA2559">
      <w:r w:rsidRPr="00234CBF">
        <w:t>5.1</w:t>
      </w:r>
      <w:r w:rsidRPr="00234CBF">
        <w:tab/>
        <w:t xml:space="preserve">El proyecto de orden del </w:t>
      </w:r>
      <w:r w:rsidR="00D7607D" w:rsidRPr="00234CBF">
        <w:t>día, que se adjunta como Anexo</w:t>
      </w:r>
      <w:r w:rsidR="00FB56B2">
        <w:t xml:space="preserve"> al </w:t>
      </w:r>
      <w:hyperlink r:id="rId19" w:history="1">
        <w:r w:rsidR="00BA2559">
          <w:rPr>
            <w:rStyle w:val="Hyperlink"/>
            <w:rFonts w:cstheme="minorHAnsi"/>
            <w:szCs w:val="24"/>
          </w:rPr>
          <w:t>Acuerdo</w:t>
        </w:r>
        <w:r w:rsidR="00BA2559" w:rsidRPr="0045313A">
          <w:rPr>
            <w:rStyle w:val="Hyperlink"/>
            <w:rFonts w:cstheme="minorHAnsi"/>
            <w:szCs w:val="24"/>
          </w:rPr>
          <w:t xml:space="preserve"> 562</w:t>
        </w:r>
      </w:hyperlink>
      <w:r w:rsidR="00FB56B2" w:rsidRPr="00234CBF">
        <w:t xml:space="preserve"> (Consejo 2011)</w:t>
      </w:r>
      <w:r w:rsidR="00D7607D" w:rsidRPr="00234CBF">
        <w:t>.</w:t>
      </w:r>
    </w:p>
    <w:p w:rsidR="00F841FD" w:rsidRDefault="00F841FD" w:rsidP="00F841FD">
      <w:r w:rsidRPr="00234CBF">
        <w:t>5.2</w:t>
      </w:r>
      <w:r w:rsidRPr="00234CBF">
        <w:tab/>
        <w:t>En virtud del Acuerdo 562 (Consejo 2011), está previsto que en el quinto FMPT se aplicará el mismo</w:t>
      </w:r>
      <w:r>
        <w:t xml:space="preserve"> Reglamento Interno que en los dos Foros anteriores.</w:t>
      </w:r>
    </w:p>
    <w:p w:rsidR="00F841FD" w:rsidRDefault="00F841FD">
      <w:pPr>
        <w:tabs>
          <w:tab w:val="clear" w:pos="567"/>
          <w:tab w:val="clear" w:pos="1134"/>
          <w:tab w:val="clear" w:pos="1701"/>
          <w:tab w:val="clear" w:pos="2268"/>
          <w:tab w:val="clear" w:pos="2835"/>
        </w:tabs>
        <w:overflowPunct/>
        <w:autoSpaceDE/>
        <w:autoSpaceDN/>
        <w:adjustRightInd/>
        <w:spacing w:before="0"/>
        <w:textAlignment w:val="auto"/>
      </w:pPr>
      <w:r>
        <w:br w:type="page"/>
      </w:r>
    </w:p>
    <w:p w:rsidR="00F841FD" w:rsidRDefault="00F841FD" w:rsidP="00F841FD">
      <w:pPr>
        <w:pStyle w:val="AnnexNo"/>
      </w:pPr>
      <w:r>
        <w:lastRenderedPageBreak/>
        <w:t>ANEXO</w:t>
      </w:r>
    </w:p>
    <w:p w:rsidR="00BB1C69" w:rsidRPr="00BB1C69" w:rsidRDefault="00BB1C69" w:rsidP="00BB1C69">
      <w:pPr>
        <w:pStyle w:val="Annexref"/>
      </w:pPr>
      <w:r>
        <w:t>PROYECTO DE ACUERDO</w:t>
      </w:r>
    </w:p>
    <w:p w:rsidR="00BB1C69" w:rsidRDefault="00BB1C69" w:rsidP="00BB1C69">
      <w:pPr>
        <w:pStyle w:val="Annextitle"/>
      </w:pPr>
      <w:r>
        <w:t>Fechas del quinto Foro Mundial de Política de las Telecomunicaciones/</w:t>
      </w:r>
      <w:r>
        <w:br/>
        <w:t>Tecnologías de la Información y la Comunicación (FMPT-13)</w:t>
      </w:r>
    </w:p>
    <w:p w:rsidR="00BB1C69" w:rsidRDefault="00BB1C69" w:rsidP="00BB1C69">
      <w:pPr>
        <w:pStyle w:val="Normalaftertitle"/>
      </w:pPr>
      <w:r>
        <w:t>El Consejo,</w:t>
      </w:r>
    </w:p>
    <w:p w:rsidR="00BB1C69" w:rsidRPr="000C76DB" w:rsidRDefault="00BB1C69" w:rsidP="00BB1C69">
      <w:pPr>
        <w:pStyle w:val="Call"/>
      </w:pPr>
      <w:r w:rsidRPr="000C76DB">
        <w:t>reconociendo</w:t>
      </w:r>
    </w:p>
    <w:p w:rsidR="00BB1C69" w:rsidRPr="00BE604C" w:rsidRDefault="00BB1C69" w:rsidP="006556E5">
      <w:r>
        <w:t xml:space="preserve">que, según se estipula en </w:t>
      </w:r>
      <w:r w:rsidRPr="00BE604C">
        <w:t>la Resolución 2 (</w:t>
      </w:r>
      <w:proofErr w:type="spellStart"/>
      <w:r>
        <w:t>Kyoto</w:t>
      </w:r>
      <w:proofErr w:type="spellEnd"/>
      <w:r>
        <w:t>, 1994</w:t>
      </w:r>
      <w:r w:rsidRPr="00BE604C">
        <w:t>)</w:t>
      </w:r>
      <w:r>
        <w:t xml:space="preserve"> </w:t>
      </w:r>
      <w:r w:rsidRPr="00BE604C">
        <w:t xml:space="preserve">de la Conferencia de Plenipotenciarios </w:t>
      </w:r>
      <w:r>
        <w:t>modificad</w:t>
      </w:r>
      <w:r w:rsidR="006556E5">
        <w:t>a</w:t>
      </w:r>
      <w:r>
        <w:t xml:space="preserve"> por la Conferencia de Plenipotenciarios (Marrakech, 2002) y la Conferencia de Plenipotenciarios (</w:t>
      </w:r>
      <w:r w:rsidR="00E87592">
        <w:t>Guadalajara</w:t>
      </w:r>
      <w:r>
        <w:t xml:space="preserve">, 2010), se mantiene el </w:t>
      </w:r>
      <w:r w:rsidRPr="00BE604C">
        <w:t>Foro Mundial de Política de las Telecomunicaciones/</w:t>
      </w:r>
      <w:r>
        <w:t>TIC</w:t>
      </w:r>
      <w:r w:rsidRPr="00BE604C">
        <w:t xml:space="preserve"> con objeto de seguir examinando e intercambiando puntos de vista </w:t>
      </w:r>
      <w:r>
        <w:t xml:space="preserve">e información sobre asuntos reglamentarios y en materia de política de las telecomunicaciones/TIC, especialmente sobre asuntos mundiales y </w:t>
      </w:r>
      <w:proofErr w:type="spellStart"/>
      <w:r>
        <w:t>transectoriales</w:t>
      </w:r>
      <w:proofErr w:type="spellEnd"/>
      <w:r w:rsidR="006556E5">
        <w:t>,</w:t>
      </w:r>
    </w:p>
    <w:p w:rsidR="00FB56B2" w:rsidRDefault="00BB1C69" w:rsidP="00BB1C69">
      <w:pPr>
        <w:pStyle w:val="Call"/>
      </w:pPr>
      <w:r>
        <w:t>observando</w:t>
      </w:r>
    </w:p>
    <w:p w:rsidR="00BB1C69" w:rsidRDefault="00BB1C69" w:rsidP="006556E5">
      <w:r>
        <w:t xml:space="preserve">que con arreglo al Acuerdo 562, el Consejo decidió convocar el </w:t>
      </w:r>
      <w:r w:rsidR="006556E5">
        <w:t>quinto</w:t>
      </w:r>
      <w:r>
        <w:t xml:space="preserve"> Foro Mundial de Política de las Telecomunicaciones/TIC en Ginebra, Suiza, coincidiendo con el Foro de la CMSI y con una duración de tres días,</w:t>
      </w:r>
    </w:p>
    <w:p w:rsidR="00BB1C69" w:rsidRDefault="00BB1C69" w:rsidP="00BB1C69">
      <w:pPr>
        <w:pStyle w:val="Call"/>
      </w:pPr>
      <w:r>
        <w:t>decide</w:t>
      </w:r>
    </w:p>
    <w:p w:rsidR="00BB1C69" w:rsidRDefault="00BB1C69" w:rsidP="006556E5">
      <w:r>
        <w:t xml:space="preserve">que el </w:t>
      </w:r>
      <w:r w:rsidR="006556E5">
        <w:t>quinto</w:t>
      </w:r>
      <w:r>
        <w:t xml:space="preserve"> Foro Mundial de Política de las Telecomunicaciones/TIC se celebre en Ginebra, Suiza, del martes 14 de mayo al jueves 16 de mayo de 2013.</w:t>
      </w:r>
    </w:p>
    <w:p w:rsidR="00BB1C69" w:rsidRDefault="00BB1C69" w:rsidP="00BB1C69"/>
    <w:p w:rsidR="00BB1C69" w:rsidRDefault="00BB1C69" w:rsidP="00E87592">
      <w:pPr>
        <w:pStyle w:val="Reasons"/>
      </w:pPr>
    </w:p>
    <w:p w:rsidR="00BB1C69" w:rsidRDefault="00BB1C69">
      <w:pPr>
        <w:jc w:val="center"/>
      </w:pPr>
      <w:r>
        <w:t>______________</w:t>
      </w:r>
    </w:p>
    <w:p w:rsidR="00BB1C69" w:rsidRPr="00BB1C69" w:rsidRDefault="00BB1C69" w:rsidP="00BB1C69"/>
    <w:sectPr w:rsidR="00BB1C69" w:rsidRPr="00BB1C69" w:rsidSect="006710F6">
      <w:headerReference w:type="default" r:id="rId20"/>
      <w:footerReference w:type="default"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C14" w:rsidRDefault="006C1C14">
      <w:r>
        <w:separator/>
      </w:r>
    </w:p>
  </w:endnote>
  <w:endnote w:type="continuationSeparator" w:id="0">
    <w:p w:rsidR="006C1C14" w:rsidRDefault="006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14" w:rsidRPr="00FB1EBC" w:rsidRDefault="006C1C14" w:rsidP="00FB1EBC">
    <w:pPr>
      <w:pStyle w:val="Footer"/>
      <w:rPr>
        <w:lang w:val="fr-CH"/>
      </w:rPr>
    </w:pPr>
    <w:r>
      <w:fldChar w:fldCharType="begin"/>
    </w:r>
    <w:r w:rsidRPr="00FB1EBC">
      <w:rPr>
        <w:lang w:val="fr-CH"/>
      </w:rPr>
      <w:instrText xml:space="preserve"> FILENAME \p  \* MERGEFORMAT </w:instrText>
    </w:r>
    <w:r>
      <w:fldChar w:fldCharType="separate"/>
    </w:r>
    <w:r w:rsidR="00684F8F">
      <w:rPr>
        <w:lang w:val="fr-CH"/>
      </w:rPr>
      <w:t>P:\ESP\SG\CONSEIL\C12\000\027REV1S.docx</w:t>
    </w:r>
    <w:r>
      <w:fldChar w:fldCharType="end"/>
    </w:r>
    <w:r w:rsidRPr="00FB1EBC">
      <w:rPr>
        <w:lang w:val="fr-CH"/>
      </w:rPr>
      <w:t xml:space="preserve"> (329342)</w:t>
    </w:r>
    <w:r w:rsidRPr="00FB1EBC">
      <w:rPr>
        <w:lang w:val="fr-CH"/>
      </w:rPr>
      <w:tab/>
    </w:r>
    <w:r>
      <w:fldChar w:fldCharType="begin"/>
    </w:r>
    <w:r>
      <w:instrText xml:space="preserve"> SAVEDATE \@ DD.MM.YY </w:instrText>
    </w:r>
    <w:r>
      <w:fldChar w:fldCharType="separate"/>
    </w:r>
    <w:r w:rsidR="00210FD0">
      <w:t>26.06.12</w:t>
    </w:r>
    <w:r>
      <w:fldChar w:fldCharType="end"/>
    </w:r>
    <w:r w:rsidRPr="00FB1EBC">
      <w:rPr>
        <w:lang w:val="fr-CH"/>
      </w:rPr>
      <w:tab/>
    </w:r>
    <w:r>
      <w:fldChar w:fldCharType="begin"/>
    </w:r>
    <w:r>
      <w:instrText xml:space="preserve"> PRINTDATE \@ DD.MM.YY </w:instrText>
    </w:r>
    <w:r>
      <w:fldChar w:fldCharType="separate"/>
    </w:r>
    <w:r w:rsidR="00684F8F">
      <w:t>26.06.12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14" w:rsidRDefault="006C1C14" w:rsidP="00EB3963">
    <w:pPr>
      <w:spacing w:after="120"/>
      <w:jc w:val="center"/>
    </w:pPr>
    <w:r>
      <w:t xml:space="preserve">• </w:t>
    </w:r>
    <w:hyperlink r:id="rId1" w:history="1">
      <w:r>
        <w:rPr>
          <w:rStyle w:val="Hyperlink"/>
        </w:rPr>
        <w:t>http://www.itu.int/council</w:t>
      </w:r>
    </w:hyperlink>
    <w:r>
      <w:t xml:space="preserve"> •</w:t>
    </w:r>
  </w:p>
  <w:p w:rsidR="006C1C14" w:rsidRPr="00FB1EBC" w:rsidRDefault="006C1C14" w:rsidP="00FB1EBC">
    <w:pPr>
      <w:pStyle w:val="Footer"/>
      <w:rPr>
        <w:lang w:val="fr-CH"/>
      </w:rPr>
    </w:pPr>
    <w:r>
      <w:fldChar w:fldCharType="begin"/>
    </w:r>
    <w:r w:rsidRPr="00FB1EBC">
      <w:rPr>
        <w:lang w:val="fr-CH"/>
      </w:rPr>
      <w:instrText xml:space="preserve"> FILENAME \p  \* MERGEFORMAT </w:instrText>
    </w:r>
    <w:r>
      <w:fldChar w:fldCharType="separate"/>
    </w:r>
    <w:r w:rsidR="00684F8F">
      <w:rPr>
        <w:lang w:val="fr-CH"/>
      </w:rPr>
      <w:t>P:\ESP\SG\CONSEIL\C12\000\027REV1S.docx</w:t>
    </w:r>
    <w:r>
      <w:fldChar w:fldCharType="end"/>
    </w:r>
    <w:r w:rsidRPr="00FB1EBC">
      <w:rPr>
        <w:lang w:val="fr-CH"/>
      </w:rPr>
      <w:t xml:space="preserve"> (329342)</w:t>
    </w:r>
    <w:r w:rsidRPr="00FB1EBC">
      <w:rPr>
        <w:lang w:val="fr-CH"/>
      </w:rPr>
      <w:tab/>
    </w:r>
    <w:r>
      <w:fldChar w:fldCharType="begin"/>
    </w:r>
    <w:r>
      <w:instrText xml:space="preserve"> SAVEDATE \@ DD.MM.YY </w:instrText>
    </w:r>
    <w:r>
      <w:fldChar w:fldCharType="separate"/>
    </w:r>
    <w:r w:rsidR="00210FD0">
      <w:t>26.06.12</w:t>
    </w:r>
    <w:r>
      <w:fldChar w:fldCharType="end"/>
    </w:r>
    <w:r w:rsidRPr="00FB1EBC">
      <w:rPr>
        <w:lang w:val="fr-CH"/>
      </w:rPr>
      <w:tab/>
    </w:r>
    <w:r>
      <w:fldChar w:fldCharType="begin"/>
    </w:r>
    <w:r>
      <w:instrText xml:space="preserve"> PRINTDATE \@ DD.MM.YY </w:instrText>
    </w:r>
    <w:r>
      <w:fldChar w:fldCharType="separate"/>
    </w:r>
    <w:r w:rsidR="00684F8F">
      <w:t>26.06.12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C14" w:rsidRDefault="006C1C14">
      <w:r>
        <w:t>____________________</w:t>
      </w:r>
    </w:p>
  </w:footnote>
  <w:footnote w:type="continuationSeparator" w:id="0">
    <w:p w:rsidR="006C1C14" w:rsidRDefault="006C1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592880"/>
      <w:docPartObj>
        <w:docPartGallery w:val="Page Numbers (Top of Page)"/>
        <w:docPartUnique/>
      </w:docPartObj>
    </w:sdtPr>
    <w:sdtEndPr>
      <w:rPr>
        <w:noProof/>
      </w:rPr>
    </w:sdtEndPr>
    <w:sdtContent>
      <w:p w:rsidR="006C1C14" w:rsidRDefault="006C1C14">
        <w:pPr>
          <w:pStyle w:val="Header"/>
        </w:pPr>
        <w:r>
          <w:fldChar w:fldCharType="begin"/>
        </w:r>
        <w:r>
          <w:instrText xml:space="preserve"> PAGE   \* MERGEFORMAT </w:instrText>
        </w:r>
        <w:r>
          <w:fldChar w:fldCharType="separate"/>
        </w:r>
        <w:r w:rsidR="008315AD">
          <w:rPr>
            <w:noProof/>
          </w:rPr>
          <w:t>3</w:t>
        </w:r>
        <w:r>
          <w:rPr>
            <w:noProof/>
          </w:rPr>
          <w:fldChar w:fldCharType="end"/>
        </w:r>
      </w:p>
    </w:sdtContent>
  </w:sdt>
  <w:p w:rsidR="006C1C14" w:rsidRDefault="006C1C14" w:rsidP="008315AD">
    <w:pPr>
      <w:pStyle w:val="Header"/>
    </w:pPr>
    <w:r>
      <w:t>C12/27(Rev.</w:t>
    </w:r>
    <w:r w:rsidR="008315AD">
      <w:t>2</w:t>
    </w:r>
    <w: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F10"/>
    <w:rsid w:val="000B0D00"/>
    <w:rsid w:val="000B7C15"/>
    <w:rsid w:val="000D1D0F"/>
    <w:rsid w:val="0010165C"/>
    <w:rsid w:val="001F14A2"/>
    <w:rsid w:val="00210FD0"/>
    <w:rsid w:val="00234CBF"/>
    <w:rsid w:val="002801AA"/>
    <w:rsid w:val="002E3DCA"/>
    <w:rsid w:val="00437E76"/>
    <w:rsid w:val="004E0700"/>
    <w:rsid w:val="00560125"/>
    <w:rsid w:val="00561F10"/>
    <w:rsid w:val="00585553"/>
    <w:rsid w:val="005B34D9"/>
    <w:rsid w:val="005D0CCF"/>
    <w:rsid w:val="005F410F"/>
    <w:rsid w:val="00601924"/>
    <w:rsid w:val="0064731F"/>
    <w:rsid w:val="006556E5"/>
    <w:rsid w:val="006710F6"/>
    <w:rsid w:val="00684F8F"/>
    <w:rsid w:val="006C1B56"/>
    <w:rsid w:val="006C1C14"/>
    <w:rsid w:val="006D4761"/>
    <w:rsid w:val="00760F1C"/>
    <w:rsid w:val="007657F0"/>
    <w:rsid w:val="007E5DD3"/>
    <w:rsid w:val="007F1296"/>
    <w:rsid w:val="00820BE4"/>
    <w:rsid w:val="008315AD"/>
    <w:rsid w:val="008451E8"/>
    <w:rsid w:val="00871E6E"/>
    <w:rsid w:val="008C4A4E"/>
    <w:rsid w:val="00913B9C"/>
    <w:rsid w:val="00956E77"/>
    <w:rsid w:val="00A106DD"/>
    <w:rsid w:val="00A75CB0"/>
    <w:rsid w:val="00AA390C"/>
    <w:rsid w:val="00B574DB"/>
    <w:rsid w:val="00B826C2"/>
    <w:rsid w:val="00BA2559"/>
    <w:rsid w:val="00BA4C74"/>
    <w:rsid w:val="00BB1C69"/>
    <w:rsid w:val="00BD0723"/>
    <w:rsid w:val="00BE1DDB"/>
    <w:rsid w:val="00C20CA3"/>
    <w:rsid w:val="00C21424"/>
    <w:rsid w:val="00C55B1F"/>
    <w:rsid w:val="00CF1A67"/>
    <w:rsid w:val="00D17DDF"/>
    <w:rsid w:val="00D52BF1"/>
    <w:rsid w:val="00D62446"/>
    <w:rsid w:val="00D7607D"/>
    <w:rsid w:val="00D92598"/>
    <w:rsid w:val="00DA4EA2"/>
    <w:rsid w:val="00DE2C90"/>
    <w:rsid w:val="00E3592D"/>
    <w:rsid w:val="00E87592"/>
    <w:rsid w:val="00EB3963"/>
    <w:rsid w:val="00ED65AB"/>
    <w:rsid w:val="00F12850"/>
    <w:rsid w:val="00F202D3"/>
    <w:rsid w:val="00F33BF4"/>
    <w:rsid w:val="00F65E9A"/>
    <w:rsid w:val="00F7105E"/>
    <w:rsid w:val="00F73B39"/>
    <w:rsid w:val="00F841FD"/>
    <w:rsid w:val="00FA4B03"/>
    <w:rsid w:val="00FB1EBC"/>
    <w:rsid w:val="00FB56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link w:val="FooterChar"/>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character" w:styleId="EndnoteReference">
    <w:name w:val="endnote reference"/>
    <w:basedOn w:val="DefaultParagraphFont"/>
    <w:rsid w:val="006710F6"/>
    <w:rPr>
      <w:vertAlign w:val="superscript"/>
    </w:rPr>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Object">
    <w:name w:val="Object"/>
    <w:basedOn w:val="Subject"/>
    <w:next w:val="Subject"/>
    <w:rsid w:val="006710F6"/>
  </w:style>
  <w:style w:type="paragraph" w:customStyle="1" w:styleId="Data">
    <w:name w:val="Data"/>
    <w:basedOn w:val="Subject"/>
    <w:next w:val="Subject"/>
    <w:rsid w:val="006710F6"/>
  </w:style>
  <w:style w:type="character" w:styleId="Hyperlink">
    <w:name w:val="Hyperlink"/>
    <w:basedOn w:val="DefaultParagraphFont"/>
    <w:uiPriority w:val="99"/>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docnoted">
    <w:name w:val="docnoted"/>
    <w:basedOn w:val="Normal"/>
    <w:rsid w:val="006710F6"/>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Table">
    <w:name w:val="Table_#"/>
    <w:basedOn w:val="Normal"/>
    <w:next w:val="Normal"/>
    <w:rsid w:val="006710F6"/>
    <w:pPr>
      <w:keepNext/>
      <w:overflowPunct/>
      <w:autoSpaceDE/>
      <w:autoSpaceDN/>
      <w:adjustRightInd/>
      <w:spacing w:before="560" w:after="120"/>
      <w:jc w:val="center"/>
      <w:textAlignment w:val="auto"/>
    </w:pPr>
    <w:rPr>
      <w:caps/>
      <w:lang w:val="en-GB"/>
    </w:rPr>
  </w:style>
  <w:style w:type="paragraph" w:customStyle="1" w:styleId="FigureNo">
    <w:name w:val="Figure_No"/>
    <w:basedOn w:val="Normal"/>
    <w:next w:val="Figuretitle"/>
    <w:rsid w:val="006710F6"/>
    <w:pPr>
      <w:keepNext/>
      <w:keepLines/>
      <w:spacing w:before="240" w:after="120"/>
      <w:jc w:val="center"/>
    </w:pPr>
    <w:rPr>
      <w:caps/>
    </w:rPr>
  </w:style>
  <w:style w:type="character" w:customStyle="1" w:styleId="FooterChar">
    <w:name w:val="Footer Char"/>
    <w:basedOn w:val="DefaultParagraphFont"/>
    <w:link w:val="Footer"/>
    <w:rsid w:val="00BB1C69"/>
    <w:rPr>
      <w:rFonts w:ascii="Calibri" w:hAnsi="Calibri"/>
      <w:caps/>
      <w:noProof/>
      <w:sz w:val="16"/>
      <w:lang w:val="es-ES_tradnl" w:eastAsia="en-US"/>
    </w:rPr>
  </w:style>
  <w:style w:type="paragraph" w:styleId="BalloonText">
    <w:name w:val="Balloon Text"/>
    <w:basedOn w:val="Normal"/>
    <w:link w:val="BalloonTextChar"/>
    <w:rsid w:val="00BE1DDB"/>
    <w:pPr>
      <w:spacing w:before="0"/>
    </w:pPr>
    <w:rPr>
      <w:rFonts w:ascii="Tahoma" w:hAnsi="Tahoma" w:cs="Tahoma"/>
      <w:sz w:val="16"/>
      <w:szCs w:val="16"/>
    </w:rPr>
  </w:style>
  <w:style w:type="character" w:customStyle="1" w:styleId="BalloonTextChar">
    <w:name w:val="Balloon Text Char"/>
    <w:basedOn w:val="DefaultParagraphFont"/>
    <w:link w:val="BalloonText"/>
    <w:rsid w:val="00BE1DDB"/>
    <w:rPr>
      <w:rFonts w:ascii="Tahoma" w:hAnsi="Tahoma" w:cs="Tahoma"/>
      <w:sz w:val="16"/>
      <w:szCs w:val="16"/>
      <w:lang w:val="es-ES_tradnl" w:eastAsia="en-US"/>
    </w:rPr>
  </w:style>
  <w:style w:type="character" w:customStyle="1" w:styleId="HeaderChar">
    <w:name w:val="Header Char"/>
    <w:basedOn w:val="DefaultParagraphFont"/>
    <w:link w:val="Header"/>
    <w:uiPriority w:val="99"/>
    <w:rsid w:val="00FB1EBC"/>
    <w:rPr>
      <w:rFonts w:ascii="Calibri" w:hAnsi="Calibri"/>
      <w:sz w:val="18"/>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link w:val="FooterChar"/>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character" w:styleId="EndnoteReference">
    <w:name w:val="endnote reference"/>
    <w:basedOn w:val="DefaultParagraphFont"/>
    <w:rsid w:val="006710F6"/>
    <w:rPr>
      <w:vertAlign w:val="superscript"/>
    </w:rPr>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Object">
    <w:name w:val="Object"/>
    <w:basedOn w:val="Subject"/>
    <w:next w:val="Subject"/>
    <w:rsid w:val="006710F6"/>
  </w:style>
  <w:style w:type="paragraph" w:customStyle="1" w:styleId="Data">
    <w:name w:val="Data"/>
    <w:basedOn w:val="Subject"/>
    <w:next w:val="Subject"/>
    <w:rsid w:val="006710F6"/>
  </w:style>
  <w:style w:type="character" w:styleId="Hyperlink">
    <w:name w:val="Hyperlink"/>
    <w:basedOn w:val="DefaultParagraphFont"/>
    <w:uiPriority w:val="99"/>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docnoted">
    <w:name w:val="docnoted"/>
    <w:basedOn w:val="Normal"/>
    <w:rsid w:val="006710F6"/>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Table">
    <w:name w:val="Table_#"/>
    <w:basedOn w:val="Normal"/>
    <w:next w:val="Normal"/>
    <w:rsid w:val="006710F6"/>
    <w:pPr>
      <w:keepNext/>
      <w:overflowPunct/>
      <w:autoSpaceDE/>
      <w:autoSpaceDN/>
      <w:adjustRightInd/>
      <w:spacing w:before="560" w:after="120"/>
      <w:jc w:val="center"/>
      <w:textAlignment w:val="auto"/>
    </w:pPr>
    <w:rPr>
      <w:caps/>
      <w:lang w:val="en-GB"/>
    </w:rPr>
  </w:style>
  <w:style w:type="paragraph" w:customStyle="1" w:styleId="FigureNo">
    <w:name w:val="Figure_No"/>
    <w:basedOn w:val="Normal"/>
    <w:next w:val="Figuretitle"/>
    <w:rsid w:val="006710F6"/>
    <w:pPr>
      <w:keepNext/>
      <w:keepLines/>
      <w:spacing w:before="240" w:after="120"/>
      <w:jc w:val="center"/>
    </w:pPr>
    <w:rPr>
      <w:caps/>
    </w:rPr>
  </w:style>
  <w:style w:type="character" w:customStyle="1" w:styleId="FooterChar">
    <w:name w:val="Footer Char"/>
    <w:basedOn w:val="DefaultParagraphFont"/>
    <w:link w:val="Footer"/>
    <w:rsid w:val="00BB1C69"/>
    <w:rPr>
      <w:rFonts w:ascii="Calibri" w:hAnsi="Calibri"/>
      <w:caps/>
      <w:noProof/>
      <w:sz w:val="16"/>
      <w:lang w:val="es-ES_tradnl" w:eastAsia="en-US"/>
    </w:rPr>
  </w:style>
  <w:style w:type="paragraph" w:styleId="BalloonText">
    <w:name w:val="Balloon Text"/>
    <w:basedOn w:val="Normal"/>
    <w:link w:val="BalloonTextChar"/>
    <w:rsid w:val="00BE1DDB"/>
    <w:pPr>
      <w:spacing w:before="0"/>
    </w:pPr>
    <w:rPr>
      <w:rFonts w:ascii="Tahoma" w:hAnsi="Tahoma" w:cs="Tahoma"/>
      <w:sz w:val="16"/>
      <w:szCs w:val="16"/>
    </w:rPr>
  </w:style>
  <w:style w:type="character" w:customStyle="1" w:styleId="BalloonTextChar">
    <w:name w:val="Balloon Text Char"/>
    <w:basedOn w:val="DefaultParagraphFont"/>
    <w:link w:val="BalloonText"/>
    <w:rsid w:val="00BE1DDB"/>
    <w:rPr>
      <w:rFonts w:ascii="Tahoma" w:hAnsi="Tahoma" w:cs="Tahoma"/>
      <w:sz w:val="16"/>
      <w:szCs w:val="16"/>
      <w:lang w:val="es-ES_tradnl" w:eastAsia="en-US"/>
    </w:rPr>
  </w:style>
  <w:style w:type="character" w:customStyle="1" w:styleId="HeaderChar">
    <w:name w:val="Header Char"/>
    <w:basedOn w:val="DefaultParagraphFont"/>
    <w:link w:val="Header"/>
    <w:uiPriority w:val="99"/>
    <w:rsid w:val="00FB1EBC"/>
    <w:rPr>
      <w:rFonts w:ascii="Calibri" w:hAnsi="Calibri"/>
      <w:sz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u.int/md/S11-CL-C-0102/en" TargetMode="External"/><Relationship Id="rId18" Type="http://schemas.openxmlformats.org/officeDocument/2006/relationships/hyperlink" Target="http://www.itu.int/en/wtpf-13/pages/ieg.aspx"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council/Basic-Texts/ResDecRec-PP10-e.doc" TargetMode="External"/><Relationship Id="rId17" Type="http://schemas.openxmlformats.org/officeDocument/2006/relationships/hyperlink" Target="http://www.itu.int/wtpf/" TargetMode="External"/><Relationship Id="rId2" Type="http://schemas.openxmlformats.org/officeDocument/2006/relationships/styles" Target="styles.xml"/><Relationship Id="rId16" Type="http://schemas.openxmlformats.org/officeDocument/2006/relationships/hyperlink" Target="http://www.itu.int/en/membership/Pages/letter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council/Basic-Texts/ResDecRec-PP10-e.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md/S12-DM-CIR-01003/en" TargetMode="External"/><Relationship Id="rId23" Type="http://schemas.openxmlformats.org/officeDocument/2006/relationships/fontTable" Target="fontTable.xml"/><Relationship Id="rId10" Type="http://schemas.openxmlformats.org/officeDocument/2006/relationships/hyperlink" Target="http://www.itu.int/council/Basic-Texts/ResDecRec-PP10-e.doc" TargetMode="External"/><Relationship Id="rId19" Type="http://schemas.openxmlformats.org/officeDocument/2006/relationships/hyperlink" Target="http://www.itu.int/md/S11-CL-C-0102/en" TargetMode="External"/><Relationship Id="rId4" Type="http://schemas.openxmlformats.org/officeDocument/2006/relationships/settings" Target="settings.xml"/><Relationship Id="rId9" Type="http://schemas.openxmlformats.org/officeDocument/2006/relationships/hyperlink" Target="http://www.itu.int/council/Basic-Texts/ResDecRec-PP10-e.doc" TargetMode="External"/><Relationship Id="rId14" Type="http://schemas.openxmlformats.org/officeDocument/2006/relationships/hyperlink" Target="http://www.itu.int/md/S12-CL-C-0028/en"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rnandef\Application%20Data\Microsoft\Templates\POOL%20S%20-%20ITU\PS_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48EBF-C9B1-4691-B539-87F3B7438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PS_C12.dotm</Template>
  <TotalTime>1</TotalTime>
  <Pages>5</Pages>
  <Words>1363</Words>
  <Characters>8051</Characters>
  <Application>Microsoft Office Word</Application>
  <DocSecurity>0</DocSecurity>
  <Lines>67</Lines>
  <Paragraphs>18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PREPARACIÓN DEL QUINTO FORO MUNDIAL DE POLÍTICA DE LAS TELECOMUNICACIONES/TIC</vt:lpstr>
    </vt:vector>
  </TitlesOfParts>
  <Manager>Secretaría General - Pool</Manager>
  <Company>Unión Internacional de Telecomunicaciones (UIT)</Company>
  <LinksUpToDate>false</LinksUpToDate>
  <CharactersWithSpaces>9396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PREPARACIÓN DEL QUINTO FORO MUNDIAL DE POLÍTICA DE LAS TELECOMUNICACIONES/TIC</dc:title>
  <dc:subject>Consejo 2010</dc:subject>
  <dc:creator>Informe del Secretario General</dc:creator>
  <cp:keywords>C2010, C10</cp:keywords>
  <dc:description>Documento C12/27-S  Para: Punto del orden del día: PL 2.5_x000d_Fecha del documento: 15 de marzo de 2012_x000d_Registrado por DP-106142 a 11:19:51 el 02.04.2012</dc:description>
  <cp:lastModifiedBy>Janin, Patricia</cp:lastModifiedBy>
  <cp:revision>4</cp:revision>
  <cp:lastPrinted>2012-06-26T13:07:00Z</cp:lastPrinted>
  <dcterms:created xsi:type="dcterms:W3CDTF">2012-07-17T13:11:00Z</dcterms:created>
  <dcterms:modified xsi:type="dcterms:W3CDTF">2012-07-17T13:11:00Z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C12/27-S</vt:lpwstr>
  </property>
  <property fmtid="{D5CDD505-2E9C-101B-9397-08002B2CF9AE}" pid="3" name="Docdate">
    <vt:lpwstr>15 de marzo de 2012</vt:lpwstr>
  </property>
  <property fmtid="{D5CDD505-2E9C-101B-9397-08002B2CF9AE}" pid="4" name="Docorlang">
    <vt:lpwstr>Original: inglés</vt:lpwstr>
  </property>
  <property fmtid="{D5CDD505-2E9C-101B-9397-08002B2CF9AE}" pid="5" name="Docbluepink">
    <vt:lpwstr>Consejo 2012 Ginebra, 4-13 de julio de 2012</vt:lpwstr>
  </property>
  <property fmtid="{D5CDD505-2E9C-101B-9397-08002B2CF9AE}" pid="6" name="Docdest">
    <vt:lpwstr>Punto del orden del día: PL 2.5</vt:lpwstr>
  </property>
  <property fmtid="{D5CDD505-2E9C-101B-9397-08002B2CF9AE}" pid="7" name="Docauthor">
    <vt:lpwstr>Informe del Secretario General</vt:lpwstr>
  </property>
</Properties>
</file>