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483F16" w:rsidP="00483F16">
      <w:pPr>
        <w:pBdr>
          <w:bottom w:val="single" w:sz="12" w:space="1" w:color="auto"/>
        </w:pBdr>
        <w:jc w:val="right"/>
      </w:pPr>
      <w:r>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285DF5" w:rsidRPr="0019076D" w:rsidRDefault="00285DF5" w:rsidP="00285DF5">
      <w:pPr>
        <w:pStyle w:val="Equation"/>
        <w:tabs>
          <w:tab w:val="clear" w:pos="4820"/>
          <w:tab w:val="clear" w:pos="9639"/>
          <w:tab w:val="left" w:pos="1191"/>
          <w:tab w:val="left" w:pos="1588"/>
          <w:tab w:val="left" w:pos="1985"/>
        </w:tabs>
        <w:spacing w:before="240"/>
        <w:jc w:val="right"/>
        <w:rPr>
          <w:rFonts w:asciiTheme="minorHAnsi" w:hAnsiTheme="minorHAnsi" w:cstheme="minorHAnsi"/>
          <w:b/>
          <w:bCs/>
          <w:szCs w:val="24"/>
        </w:rPr>
      </w:pPr>
      <w:bookmarkStart w:id="0" w:name="_GoBack"/>
      <w:r w:rsidRPr="0019076D">
        <w:rPr>
          <w:rFonts w:ascii="Trebuchet MS" w:hAnsi="Trebuchet MS"/>
          <w:b/>
          <w:bCs/>
        </w:rPr>
        <w:t>WTPF-IEG/3/28</w:t>
      </w:r>
    </w:p>
    <w:bookmarkEnd w:id="0"/>
    <w:p w:rsidR="00483F16" w:rsidRPr="002B157E" w:rsidRDefault="002B157E" w:rsidP="008F3FD9">
      <w:pPr>
        <w:pStyle w:val="Equation"/>
        <w:tabs>
          <w:tab w:val="clear" w:pos="4820"/>
          <w:tab w:val="clear" w:pos="9639"/>
          <w:tab w:val="left" w:pos="1191"/>
          <w:tab w:val="left" w:pos="1588"/>
          <w:tab w:val="left" w:pos="1985"/>
        </w:tabs>
        <w:spacing w:before="240"/>
        <w:jc w:val="center"/>
        <w:rPr>
          <w:rFonts w:asciiTheme="minorHAnsi" w:hAnsiTheme="minorHAnsi" w:cstheme="minorHAnsi"/>
          <w:b/>
          <w:bCs/>
          <w:szCs w:val="24"/>
        </w:rPr>
      </w:pPr>
      <w:r w:rsidRPr="002B157E">
        <w:rPr>
          <w:rFonts w:asciiTheme="minorHAnsi" w:hAnsiTheme="minorHAnsi" w:cstheme="minorHAnsi"/>
          <w:b/>
          <w:szCs w:val="24"/>
        </w:rPr>
        <w:t>DRAFT OPINION (USA-</w:t>
      </w:r>
      <w:r>
        <w:rPr>
          <w:rFonts w:asciiTheme="minorHAnsi" w:hAnsiTheme="minorHAnsi" w:cstheme="minorHAnsi"/>
          <w:b/>
          <w:szCs w:val="24"/>
        </w:rPr>
        <w:t>2</w:t>
      </w:r>
      <w:r w:rsidRPr="002B157E">
        <w:rPr>
          <w:rFonts w:asciiTheme="minorHAnsi" w:hAnsiTheme="minorHAnsi" w:cstheme="minorHAnsi"/>
          <w:b/>
          <w:szCs w:val="24"/>
        </w:rPr>
        <w:t xml:space="preserve">) </w:t>
      </w:r>
      <w:r w:rsidR="00483F16" w:rsidRPr="002B157E">
        <w:rPr>
          <w:rFonts w:asciiTheme="minorHAnsi" w:hAnsiTheme="minorHAnsi" w:cstheme="minorHAnsi"/>
          <w:b/>
          <w:bCs/>
          <w:szCs w:val="24"/>
        </w:rPr>
        <w:t xml:space="preserve">IN SUPPORT OF </w:t>
      </w:r>
      <w:r w:rsidR="000A557B" w:rsidRPr="002B157E">
        <w:rPr>
          <w:rFonts w:asciiTheme="minorHAnsi" w:hAnsiTheme="minorHAnsi" w:cstheme="minorHAnsi"/>
          <w:b/>
          <w:bCs/>
          <w:szCs w:val="24"/>
        </w:rPr>
        <w:t>CAPACITY BUILDING FOR THE DEPLOYMENT</w:t>
      </w:r>
      <w:r w:rsidR="00483F16" w:rsidRPr="002B157E">
        <w:rPr>
          <w:rFonts w:asciiTheme="minorHAnsi" w:hAnsiTheme="minorHAnsi" w:cstheme="minorHAnsi"/>
          <w:b/>
          <w:bCs/>
          <w:szCs w:val="24"/>
        </w:rPr>
        <w:t xml:space="preserve"> OF IPv6 AND TRANSITION FROM IPv4 </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483F16" w:rsidRPr="00E56B26" w:rsidRDefault="00483F16" w:rsidP="00483F16">
      <w:pPr>
        <w:tabs>
          <w:tab w:val="left" w:pos="720"/>
          <w:tab w:val="left" w:pos="1440"/>
        </w:tabs>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Pr="00E56B26">
        <w:rPr>
          <w:rFonts w:ascii="Times New Roman" w:eastAsia="Arial" w:hAnsi="Times New Roman" w:cs="Times New Roman"/>
          <w:lang w:val="en-CA"/>
        </w:rPr>
        <w:t>WTSA Resolution 64 (</w:t>
      </w:r>
      <w:r w:rsidR="00C0125E">
        <w:rPr>
          <w:rFonts w:ascii="Times New Roman" w:eastAsia="Arial" w:hAnsi="Times New Roman" w:cs="Times New Roman"/>
          <w:lang w:val="en-CA"/>
        </w:rPr>
        <w:t xml:space="preserve">Rev. </w:t>
      </w:r>
      <w:r w:rsidR="000A557B">
        <w:rPr>
          <w:rFonts w:ascii="Times New Roman" w:eastAsia="Arial" w:hAnsi="Times New Roman" w:cs="Times New Roman"/>
          <w:lang w:val="en-CA"/>
        </w:rPr>
        <w:t>Dubai</w:t>
      </w:r>
      <w:r w:rsidRPr="00E56B26">
        <w:rPr>
          <w:rFonts w:ascii="Times New Roman" w:eastAsia="Arial" w:hAnsi="Times New Roman" w:cs="Times New Roman"/>
          <w:lang w:val="en-CA"/>
        </w:rPr>
        <w:t xml:space="preserve">, </w:t>
      </w:r>
      <w:r w:rsidR="000A557B" w:rsidRPr="00E56B26">
        <w:rPr>
          <w:rFonts w:ascii="Times New Roman" w:eastAsia="Arial" w:hAnsi="Times New Roman" w:cs="Times New Roman"/>
          <w:lang w:val="en-CA"/>
        </w:rPr>
        <w:t>20</w:t>
      </w:r>
      <w:r w:rsidR="000A557B">
        <w:rPr>
          <w:rFonts w:ascii="Times New Roman" w:eastAsia="Arial" w:hAnsi="Times New Roman" w:cs="Times New Roman"/>
          <w:lang w:val="en-CA"/>
        </w:rPr>
        <w:t>12</w:t>
      </w:r>
      <w:r w:rsidRPr="00E56B26">
        <w:rPr>
          <w:rFonts w:ascii="Times New Roman" w:eastAsia="Arial" w:hAnsi="Times New Roman" w:cs="Times New Roman"/>
          <w:lang w:val="en-CA"/>
        </w:rPr>
        <w:t xml:space="preserve">) on the subject of IP address allocation and </w:t>
      </w:r>
      <w:r w:rsidR="000A557B">
        <w:rPr>
          <w:rFonts w:ascii="Times New Roman" w:eastAsia="Arial" w:hAnsi="Times New Roman" w:cs="Times New Roman"/>
          <w:lang w:val="en-CA"/>
        </w:rPr>
        <w:t xml:space="preserve">facilitating </w:t>
      </w:r>
      <w:r w:rsidRPr="00E56B26">
        <w:rPr>
          <w:rFonts w:ascii="Times New Roman" w:eastAsia="Arial" w:hAnsi="Times New Roman" w:cs="Times New Roman"/>
          <w:lang w:val="en-CA"/>
        </w:rPr>
        <w:t xml:space="preserve">the </w:t>
      </w:r>
      <w:r w:rsidR="000A557B">
        <w:rPr>
          <w:rFonts w:ascii="Times New Roman" w:eastAsia="Arial" w:hAnsi="Times New Roman" w:cs="Times New Roman"/>
          <w:lang w:val="en-CA"/>
        </w:rPr>
        <w:t xml:space="preserve">transition to and </w:t>
      </w:r>
      <w:r w:rsidRPr="00E56B26">
        <w:rPr>
          <w:rFonts w:ascii="Times New Roman" w:eastAsia="Arial" w:hAnsi="Times New Roman" w:cs="Times New Roman"/>
          <w:lang w:val="en-CA"/>
        </w:rPr>
        <w:t xml:space="preserve">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instructs the Director of the TSB in close collaboration with the Director of the BDT to:</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r w:rsidR="000A557B">
        <w:rPr>
          <w:rFonts w:ascii="Times New Roman" w:eastAsia="Arial" w:hAnsi="Times New Roman" w:cs="Times New Roman"/>
        </w:rPr>
        <w:t xml:space="preserve">continue the ongoing activities between </w:t>
      </w:r>
      <w:r w:rsidRPr="00E56B26">
        <w:rPr>
          <w:rFonts w:ascii="Times New Roman" w:eastAsia="Arial" w:hAnsi="Times New Roman" w:cs="Times New Roman"/>
        </w:rPr>
        <w:t xml:space="preserve">the Telecommunication Standardization Bureau (TSB) and </w:t>
      </w:r>
      <w:r w:rsidR="000A557B">
        <w:rPr>
          <w:rFonts w:ascii="Times New Roman" w:eastAsia="Arial" w:hAnsi="Times New Roman" w:cs="Times New Roman"/>
        </w:rPr>
        <w:t>the Telecommunication Development Bureau (</w:t>
      </w:r>
      <w:r w:rsidRPr="00E56B26">
        <w:rPr>
          <w:rFonts w:ascii="Times New Roman" w:eastAsia="Arial" w:hAnsi="Times New Roman" w:cs="Times New Roman"/>
        </w:rPr>
        <w:t>BDT</w:t>
      </w:r>
      <w:r w:rsidR="000A557B">
        <w:rPr>
          <w:rFonts w:ascii="Times New Roman" w:eastAsia="Arial" w:hAnsi="Times New Roman" w:cs="Times New Roman"/>
        </w:rPr>
        <w:t>)</w:t>
      </w:r>
      <w:r w:rsidRPr="00E56B26">
        <w:rPr>
          <w:rFonts w:ascii="Times New Roman" w:eastAsia="Arial" w:hAnsi="Times New Roman" w:cs="Times New Roman"/>
        </w:rPr>
        <w:t xml:space="preserve">, taking into consideration the involvement of those partners willing to </w:t>
      </w:r>
      <w:r w:rsidR="000A557B">
        <w:rPr>
          <w:rFonts w:ascii="Times New Roman" w:eastAsia="Arial" w:hAnsi="Times New Roman" w:cs="Times New Roman"/>
        </w:rPr>
        <w:t>participate</w:t>
      </w:r>
      <w:r w:rsidR="000A557B" w:rsidRPr="00E56B26">
        <w:rPr>
          <w:rFonts w:ascii="Times New Roman" w:eastAsia="Arial" w:hAnsi="Times New Roman" w:cs="Times New Roman"/>
        </w:rPr>
        <w:t xml:space="preserve"> </w:t>
      </w:r>
      <w:r w:rsidRPr="00E56B26">
        <w:rPr>
          <w:rFonts w:ascii="Times New Roman" w:eastAsia="Arial" w:hAnsi="Times New Roman" w:cs="Times New Roman"/>
        </w:rPr>
        <w:t>and bring their expertise</w:t>
      </w:r>
      <w:r w:rsidR="000A557B">
        <w:rPr>
          <w:rFonts w:ascii="Times New Roman" w:eastAsia="Arial" w:hAnsi="Times New Roman" w:cs="Times New Roman"/>
        </w:rPr>
        <w:t xml:space="preserve"> to assist developing countries with IPv6 migration and deployment, and to respond to their regional needs as identified by the BDT, especially through capacity building programs</w:t>
      </w:r>
      <w:r w:rsidRPr="00E56B26">
        <w:rPr>
          <w:rFonts w:ascii="Times New Roman" w:eastAsia="Arial" w:hAnsi="Times New Roman" w:cs="Times New Roman"/>
        </w:rPr>
        <w:t xml:space="preserve">; </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r w:rsidR="000A557B">
        <w:rPr>
          <w:rFonts w:ascii="Times New Roman" w:eastAsia="Arial" w:hAnsi="Times New Roman" w:cs="Times New Roman"/>
        </w:rPr>
        <w:t>maintain the</w:t>
      </w:r>
      <w:r w:rsidRPr="00E56B26">
        <w:rPr>
          <w:rFonts w:ascii="Times New Roman" w:eastAsia="Arial" w:hAnsi="Times New Roman" w:cs="Times New Roman"/>
        </w:rPr>
        <w:t xml:space="preserve"> website </w:t>
      </w:r>
      <w:r w:rsidR="000A557B">
        <w:rPr>
          <w:rFonts w:ascii="Times New Roman" w:eastAsia="Arial" w:hAnsi="Times New Roman" w:cs="Times New Roman"/>
        </w:rPr>
        <w:t>which</w:t>
      </w:r>
      <w:r w:rsidR="000A557B" w:rsidRPr="00E56B26">
        <w:rPr>
          <w:rFonts w:ascii="Times New Roman" w:eastAsia="Arial" w:hAnsi="Times New Roman" w:cs="Times New Roman"/>
        </w:rPr>
        <w:t xml:space="preserve"> </w:t>
      </w:r>
      <w:r w:rsidRPr="00E56B26">
        <w:rPr>
          <w:rFonts w:ascii="Times New Roman" w:eastAsia="Arial" w:hAnsi="Times New Roman" w:cs="Times New Roman"/>
        </w:rPr>
        <w:t xml:space="preserve">provides information about global activities related to IPv6, to facilitate awareness-raising and the importance of IPv6 deployment for all ITU members and interested entities, and provides information related to training events being undertaken by </w:t>
      </w:r>
      <w:r w:rsidR="000A557B">
        <w:rPr>
          <w:rFonts w:ascii="Times New Roman" w:eastAsia="Arial" w:hAnsi="Times New Roman" w:cs="Times New Roman"/>
        </w:rPr>
        <w:t xml:space="preserve">ITU and </w:t>
      </w:r>
      <w:r w:rsidRPr="00E56B26">
        <w:rPr>
          <w:rFonts w:ascii="Times New Roman" w:eastAsia="Arial" w:hAnsi="Times New Roman" w:cs="Times New Roman"/>
        </w:rPr>
        <w:t xml:space="preserve">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sidR="000A557B">
        <w:rPr>
          <w:rFonts w:ascii="Times New Roman" w:eastAsia="Arial" w:hAnsi="Times New Roman" w:cs="Times New Roman"/>
        </w:rPr>
        <w:t xml:space="preserve">network </w:t>
      </w:r>
      <w:r w:rsidRPr="00E56B26">
        <w:rPr>
          <w:rFonts w:ascii="Times New Roman" w:eastAsia="Arial" w:hAnsi="Times New Roman" w:cs="Times New Roman"/>
        </w:rPr>
        <w:t xml:space="preserve">operator groups, </w:t>
      </w:r>
      <w:r w:rsidR="000A557B">
        <w:rPr>
          <w:rFonts w:ascii="Times New Roman" w:eastAsia="Arial" w:hAnsi="Times New Roman" w:cs="Times New Roman"/>
        </w:rPr>
        <w:t xml:space="preserve">and </w:t>
      </w:r>
      <w:r w:rsidRPr="00E56B26">
        <w:rPr>
          <w:rFonts w:ascii="Times New Roman" w:eastAsia="Arial" w:hAnsi="Times New Roman" w:cs="Times New Roman"/>
        </w:rPr>
        <w:t>the Internet Society (ISOC));</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promote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w:t>
      </w:r>
      <w:r w:rsidR="000A557B">
        <w:rPr>
          <w:rFonts w:ascii="Times New Roman" w:eastAsia="Arial" w:hAnsi="Times New Roman" w:cs="Times New Roman"/>
        </w:rPr>
        <w:t>including roadmaps, guidelines, and to assist in the establishment of IPv6 Test bed Laboratories in developing countries in collaboration with appropriate related organizations</w:t>
      </w:r>
      <w:r>
        <w:rPr>
          <w:rFonts w:ascii="Times New Roman" w:eastAsia="Arial" w:hAnsi="Times New Roman" w:cs="Times New Roman"/>
        </w:rPr>
        <w:t>;</w:t>
      </w:r>
      <w:r w:rsidRPr="00E56B26">
        <w:rPr>
          <w:rFonts w:ascii="Times New Roman" w:eastAsia="Arial" w:hAnsi="Times New Roman" w:cs="Times New Roman"/>
        </w:rPr>
        <w:t xml:space="preserve"> </w:t>
      </w:r>
    </w:p>
    <w:p w:rsidR="00483F16" w:rsidRPr="00767270" w:rsidRDefault="00483F16" w:rsidP="00483F16">
      <w:pPr>
        <w:tabs>
          <w:tab w:val="left" w:pos="720"/>
          <w:tab w:val="left" w:pos="1440"/>
        </w:tabs>
        <w:ind w:firstLine="720"/>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r>
      <w:proofErr w:type="gramStart"/>
      <w:r w:rsidR="000A557B">
        <w:rPr>
          <w:rFonts w:ascii="Times New Roman" w:eastAsia="Arial" w:hAnsi="Times New Roman" w:cs="Times New Roman"/>
        </w:rPr>
        <w:t>take</w:t>
      </w:r>
      <w:proofErr w:type="gramEnd"/>
      <w:r w:rsidR="000A557B">
        <w:rPr>
          <w:rFonts w:ascii="Times New Roman" w:eastAsia="Arial" w:hAnsi="Times New Roman" w:cs="Times New Roman"/>
        </w:rPr>
        <w:t xml:space="preserve"> appropriate action to facilitate the activities for Study Group 2 and Study Group 3 in the area of IP addresses</w:t>
      </w:r>
      <w:r w:rsidRPr="00E56B26">
        <w:rPr>
          <w:rFonts w:ascii="Times New Roman" w:eastAsia="Arial" w:hAnsi="Times New Roman" w:cs="Times New Roman"/>
        </w:rPr>
        <w:t xml:space="preserve"> and to report </w:t>
      </w:r>
      <w:r w:rsidR="000A557B">
        <w:rPr>
          <w:rFonts w:ascii="Times New Roman" w:eastAsia="Arial" w:hAnsi="Times New Roman" w:cs="Times New Roman"/>
        </w:rPr>
        <w:t xml:space="preserve">annually </w:t>
      </w:r>
      <w:r w:rsidRPr="00E56B26">
        <w:rPr>
          <w:rFonts w:ascii="Times New Roman" w:eastAsia="Arial" w:hAnsi="Times New Roman" w:cs="Times New Roman"/>
        </w:rPr>
        <w:t>to the ITU Council</w:t>
      </w:r>
      <w:r w:rsidR="000A557B">
        <w:rPr>
          <w:rFonts w:ascii="Times New Roman" w:eastAsia="Arial" w:hAnsi="Times New Roman" w:cs="Times New Roman"/>
        </w:rPr>
        <w:t xml:space="preserve"> and to WTSA 2016</w:t>
      </w:r>
      <w:r>
        <w:rPr>
          <w:rFonts w:ascii="Times New Roman" w:eastAsia="Arial" w:hAnsi="Times New Roman" w:cs="Times New Roman"/>
        </w:rPr>
        <w:t>;</w:t>
      </w:r>
    </w:p>
    <w:p w:rsidR="000A557B"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sidR="000A557B">
        <w:rPr>
          <w:rFonts w:ascii="Times New Roman" w:hAnsi="Times New Roman" w:cs="Times New Roman"/>
        </w:rPr>
        <w:t>Plenipotentiary Resolution 180 (Guadalajara, 2010)</w:t>
      </w:r>
      <w:r w:rsidR="0010604E">
        <w:rPr>
          <w:rFonts w:ascii="Times New Roman" w:hAnsi="Times New Roman" w:cs="Times New Roman"/>
        </w:rPr>
        <w:t xml:space="preserve"> on Facilitating the transition from IPv4 to IPv6;</w:t>
      </w:r>
    </w:p>
    <w:p w:rsidR="0010604E"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completion of the activity by the IPv6 working group, that was established by the Council at its 2009 session (see document C09/93);</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83F16">
        <w:rPr>
          <w:rFonts w:ascii="Times New Roman" w:hAnsi="Times New Roman" w:cs="Times New Roman"/>
        </w:rPr>
        <w:t>WTPF Opinion 5 (Lisbon, 2009) calling for acceleration of activities related to WTSA Resolution 64</w:t>
      </w:r>
      <w:r w:rsidR="00483F16" w:rsidRPr="00B830A5">
        <w:rPr>
          <w:rFonts w:ascii="Times New Roman" w:hAnsi="Times New Roman" w:cs="Times New Roman"/>
        </w:rPr>
        <w:t>;</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e</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the</w:t>
      </w:r>
      <w:proofErr w:type="gramEnd"/>
      <w:r w:rsidR="00483F16">
        <w:rPr>
          <w:rFonts w:ascii="Times New Roman" w:hAnsi="Times New Roman" w:cs="Times New Roman"/>
        </w:rPr>
        <w:t xml:space="preserve"> work of BDT and TSB already undertaken on the subject of IPv6;</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f</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that</w:t>
      </w:r>
      <w:proofErr w:type="gramEnd"/>
      <w:r w:rsidR="00483F16">
        <w:rPr>
          <w:rFonts w:ascii="Times New Roman" w:hAnsi="Times New Roman" w:cs="Times New Roman"/>
        </w:rPr>
        <w:t xml:space="preserve"> IPv6 address allocation and deployment is an important issue for Member States and Sector Members;  </w:t>
      </w:r>
    </w:p>
    <w:p w:rsidR="00B2648F" w:rsidRPr="00B830A5" w:rsidRDefault="00D57797" w:rsidP="00483F16">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ongoing work of the RIRs, ISOC, and other stakeholders in the </w:t>
      </w:r>
      <w:r w:rsidR="0075682C">
        <w:rPr>
          <w:rFonts w:ascii="Times New Roman" w:hAnsi="Times New Roman" w:cs="Times New Roman"/>
        </w:rPr>
        <w:t xml:space="preserve">areas of IPv4, IPv6, and relevant </w:t>
      </w:r>
      <w:r>
        <w:rPr>
          <w:rFonts w:ascii="Times New Roman" w:hAnsi="Times New Roman" w:cs="Times New Roman"/>
        </w:rPr>
        <w:t>capacity building</w:t>
      </w:r>
      <w:r w:rsidR="00C0125E">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b/>
        </w:rPr>
      </w:pPr>
      <w:r w:rsidRPr="00B830A5">
        <w:rPr>
          <w:rFonts w:ascii="Times New Roman" w:hAnsi="Times New Roman" w:cs="Times New Roman"/>
          <w:i/>
        </w:rPr>
        <w:lastRenderedPageBreak/>
        <w:tab/>
      </w:r>
      <w:proofErr w:type="gramStart"/>
      <w:r>
        <w:rPr>
          <w:rFonts w:ascii="Times New Roman" w:hAnsi="Times New Roman" w:cs="Times New Roman"/>
          <w:i/>
        </w:rPr>
        <w:t>recognizing</w:t>
      </w:r>
      <w:proofErr w:type="gramEnd"/>
    </w:p>
    <w:p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w:t>
      </w:r>
      <w:r w:rsidR="001D04E8">
        <w:rPr>
          <w:rFonts w:ascii="Times New Roman" w:hAnsi="Times New Roman" w:cs="Times New Roman"/>
        </w:rPr>
        <w:t xml:space="preserve">the </w:t>
      </w:r>
      <w:r>
        <w:rPr>
          <w:rFonts w:ascii="Times New Roman" w:hAnsi="Times New Roman" w:cs="Times New Roman"/>
        </w:rPr>
        <w:t>IANA</w:t>
      </w:r>
      <w:r w:rsidR="001D04E8">
        <w:rPr>
          <w:rFonts w:ascii="Times New Roman" w:hAnsi="Times New Roman" w:cs="Times New Roman"/>
        </w:rPr>
        <w:t xml:space="preserve"> functions oper</w:t>
      </w:r>
      <w:r w:rsidR="00547FEE">
        <w:rPr>
          <w:rFonts w:ascii="Times New Roman" w:hAnsi="Times New Roman" w:cs="Times New Roman"/>
        </w:rPr>
        <w:t>a</w:t>
      </w:r>
      <w:r w:rsidR="001D04E8">
        <w:rPr>
          <w:rFonts w:ascii="Times New Roman" w:hAnsi="Times New Roman" w:cs="Times New Roman"/>
        </w:rPr>
        <w:t>tor</w:t>
      </w:r>
      <w:r>
        <w:rPr>
          <w:rFonts w:ascii="Times New Roman" w:hAnsi="Times New Roman" w:cs="Times New Roman"/>
        </w:rPr>
        <w:t xml:space="preserve"> has allocated the last IPv4 blocks to the RIRs</w:t>
      </w:r>
      <w:r w:rsidRPr="00B830A5">
        <w:rPr>
          <w:rFonts w:ascii="Times New Roman" w:hAnsi="Times New Roman" w:cs="Times New Roman"/>
        </w:rPr>
        <w:t>;</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some RIRs have already exhausted or are close to exhausting their allocations and that all other RIRs are expected to exhaust their allocations within a few years</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migration to IPv6 is gaining speed and that many prominent international web-based businesses have already implemented IPv6 portals</w:t>
      </w:r>
      <w:r w:rsidRPr="00B830A5">
        <w:rPr>
          <w:rFonts w:ascii="Times New Roman" w:hAnsi="Times New Roman" w:cs="Times New Roman"/>
        </w:rPr>
        <w:t>;</w:t>
      </w:r>
    </w:p>
    <w:p w:rsidR="00483F16" w:rsidRPr="00A86157"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g sensors, medical devices, etc;</w:t>
      </w:r>
      <w:r w:rsidRPr="00A86157">
        <w:rPr>
          <w:rFonts w:ascii="Times New Roman" w:hAnsi="Times New Roman" w:cs="Times New Roman"/>
        </w:rPr>
        <w:t xml:space="preserve"> </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Pr>
          <w:rFonts w:ascii="Times New Roman" w:hAnsi="Times New Roman" w:cs="Times New Roman"/>
        </w:rPr>
        <w:t>protection at the network layer;</w:t>
      </w:r>
    </w:p>
    <w:p w:rsidR="00483F16" w:rsidRDefault="00483F16" w:rsidP="00483F16">
      <w:pPr>
        <w:tabs>
          <w:tab w:val="left" w:pos="720"/>
        </w:tabs>
        <w:jc w:val="both"/>
        <w:outlineLvl w:val="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nevertheless, the proportion of IPv6 traffic on the Internet remains very small</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t>that, because of incompatibility between IPv4 and IPv6, parallel (dual stack) operation is required and there will be a need for IPv4 addresses for an undetermined period until a critical mass of web-based services is available via IPv6 addresses, thereby allowing IPv4 to be taken out of service;</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h)</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new entrant Internet service providers </w:t>
      </w:r>
      <w:r w:rsidR="00547FEE">
        <w:rPr>
          <w:rFonts w:ascii="Times New Roman" w:hAnsi="Times New Roman" w:cs="Times New Roman"/>
        </w:rPr>
        <w:t xml:space="preserve">may </w:t>
      </w:r>
      <w:r>
        <w:rPr>
          <w:rFonts w:ascii="Times New Roman" w:hAnsi="Times New Roman" w:cs="Times New Roman"/>
        </w:rPr>
        <w:t>continue to require access to IPv4 addresses until that undetermined time when they can be taken out of service;</w:t>
      </w:r>
    </w:p>
    <w:p w:rsidR="000A591F" w:rsidRDefault="00101E8D" w:rsidP="00483F16">
      <w:pPr>
        <w:tabs>
          <w:tab w:val="left" w:pos="720"/>
        </w:tabs>
        <w:jc w:val="both"/>
        <w:outlineLvl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proofErr w:type="gramStart"/>
      <w:r w:rsidR="00F7385D">
        <w:rPr>
          <w:rFonts w:ascii="Times New Roman" w:hAnsi="Times New Roman" w:cs="Times New Roman"/>
        </w:rPr>
        <w:t>that</w:t>
      </w:r>
      <w:proofErr w:type="gramEnd"/>
      <w:r w:rsidR="00F7385D">
        <w:rPr>
          <w:rFonts w:ascii="Times New Roman" w:hAnsi="Times New Roman" w:cs="Times New Roman"/>
        </w:rPr>
        <w:t xml:space="preserve"> </w:t>
      </w:r>
      <w:r w:rsidR="008C36B1">
        <w:rPr>
          <w:rFonts w:ascii="Times New Roman" w:hAnsi="Times New Roman" w:cs="Times New Roman"/>
        </w:rPr>
        <w:t xml:space="preserve">consistent with the policies developed through the </w:t>
      </w:r>
      <w:r>
        <w:rPr>
          <w:rFonts w:ascii="Times New Roman" w:hAnsi="Times New Roman" w:cs="Times New Roman"/>
        </w:rPr>
        <w:t>RIRs</w:t>
      </w:r>
      <w:r w:rsidR="008C36B1">
        <w:rPr>
          <w:rFonts w:ascii="Times New Roman" w:hAnsi="Times New Roman" w:cs="Times New Roman"/>
        </w:rPr>
        <w:t>, all IP numbers continue to be allocated for use on a needs basis and should be returned to the numbering pool when no longer needed</w:t>
      </w:r>
      <w:r w:rsidR="00C0125E">
        <w:rPr>
          <w:rFonts w:ascii="Times New Roman" w:hAnsi="Times New Roman" w:cs="Times New Roman"/>
        </w:rPr>
        <w:t>,</w:t>
      </w:r>
    </w:p>
    <w:p w:rsidR="004B07D8" w:rsidRDefault="00483F16">
      <w:pPr>
        <w:tabs>
          <w:tab w:val="left" w:pos="720"/>
        </w:tabs>
        <w:jc w:val="both"/>
        <w:rPr>
          <w:rFonts w:ascii="Times New Roman" w:hAnsi="Times New Roman" w:cs="Times New Roman"/>
        </w:rPr>
      </w:pPr>
      <w:r>
        <w:rPr>
          <w:rFonts w:ascii="Times New Roman" w:hAnsi="Times New Roman" w:cs="Times New Roman"/>
          <w:i/>
        </w:rPr>
        <w:tab/>
      </w:r>
      <w:proofErr w:type="gramStart"/>
      <w:r>
        <w:rPr>
          <w:rFonts w:ascii="Times New Roman" w:hAnsi="Times New Roman" w:cs="Times New Roman"/>
          <w:i/>
        </w:rPr>
        <w:t>recognizing</w:t>
      </w:r>
      <w:proofErr w:type="gramEnd"/>
      <w:r>
        <w:rPr>
          <w:rFonts w:ascii="Times New Roman" w:hAnsi="Times New Roman" w:cs="Times New Roman"/>
          <w:i/>
        </w:rPr>
        <w:t xml:space="preserve"> further</w:t>
      </w:r>
    </w:p>
    <w:p w:rsidR="005012D7" w:rsidRDefault="006544BC" w:rsidP="002B157E">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RIR’s are developing policies to manage the transfer of legacy address space, underpinned by needs based demand for IPv4 addresses;</w:t>
      </w:r>
    </w:p>
    <w:p w:rsidR="005012D7" w:rsidRDefault="006544BC" w:rsidP="002B157E">
      <w:pPr>
        <w:tabs>
          <w:tab w:val="left" w:pos="720"/>
        </w:tabs>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needs based address allocation should continue to underpin IP address allocation, irrespective of whether they are IPv6 or IPv4 addresses;</w:t>
      </w:r>
    </w:p>
    <w:p w:rsidR="005012D7" w:rsidRDefault="006544BC" w:rsidP="002B157E">
      <w:pPr>
        <w:tabs>
          <w:tab w:val="left" w:pos="720"/>
        </w:tabs>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that all IPv4 transaction be reported to the relevant RIRs, including transactions of legacy addresses that are not necessarily subject to the policies of the RIRs regarding transfers, as supported by the policies developed by the RIR communities;</w:t>
      </w:r>
    </w:p>
    <w:p w:rsidR="00483F16" w:rsidRPr="00B830A5" w:rsidRDefault="006544BC" w:rsidP="002B157E">
      <w:pPr>
        <w:tabs>
          <w:tab w:val="left" w:pos="720"/>
        </w:tabs>
        <w:jc w:val="both"/>
        <w:rPr>
          <w:rFonts w:ascii="Times New Roman" w:hAnsi="Times New Roman" w:cs="Times New Roman"/>
        </w:rPr>
      </w:pPr>
      <w:r>
        <w:rPr>
          <w:rFonts w:ascii="Times New Roman" w:hAnsi="Times New Roman" w:cs="Times New Roman"/>
        </w:rPr>
        <w:t>d</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that</w:t>
      </w:r>
      <w:proofErr w:type="gramEnd"/>
      <w:r w:rsidR="00483F16">
        <w:rPr>
          <w:rFonts w:ascii="Times New Roman" w:hAnsi="Times New Roman" w:cs="Times New Roman"/>
        </w:rPr>
        <w:t xml:space="preserve"> issues regarding IPv4 can be minimized by accelerating the transition to IPv6</w:t>
      </w:r>
      <w:r w:rsidR="00C0125E">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sidR="006544BC">
        <w:rPr>
          <w:rFonts w:ascii="Times New Roman" w:hAnsi="Times New Roman" w:cs="Times New Roman"/>
        </w:rPr>
        <w:t>that</w:t>
      </w:r>
      <w:proofErr w:type="gramEnd"/>
      <w:r w:rsidR="006544BC">
        <w:rPr>
          <w:rFonts w:ascii="Times New Roman" w:hAnsi="Times New Roman" w:cs="Times New Roman"/>
        </w:rPr>
        <w:t xml:space="preserve"> policies of inter RIR transfer across all RIRs should work to ensure that such transfers are needs based and be common to all RIRs irrespective of the address space concerned</w:t>
      </w:r>
      <w:r w:rsidR="00C0125E">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sidR="00C0125E">
        <w:rPr>
          <w:rFonts w:ascii="Times New Roman" w:hAnsi="Times New Roman" w:cs="Times New Roman"/>
          <w:i/>
        </w:rPr>
        <w:t>encourages</w:t>
      </w:r>
      <w:proofErr w:type="gramEnd"/>
    </w:p>
    <w:p w:rsidR="00C0125E" w:rsidRDefault="00483F16" w:rsidP="00C0125E">
      <w:pPr>
        <w:pStyle w:val="ListParagraph"/>
        <w:tabs>
          <w:tab w:val="left" w:pos="720"/>
        </w:tabs>
        <w:ind w:left="0"/>
        <w:jc w:val="both"/>
        <w:rPr>
          <w:rFonts w:ascii="Times New Roman" w:hAnsi="Times New Roman" w:cs="Times New Roman"/>
        </w:rPr>
      </w:pPr>
      <w:r w:rsidRPr="00C0125E">
        <w:rPr>
          <w:rFonts w:ascii="Times New Roman" w:hAnsi="Times New Roman" w:cs="Times New Roman"/>
        </w:rPr>
        <w:t xml:space="preserve">the TSB and BDT to continue their work related to WTSA Resolution 64 </w:t>
      </w:r>
      <w:r w:rsidR="00C0125E">
        <w:rPr>
          <w:rFonts w:ascii="Times New Roman" w:hAnsi="Times New Roman" w:cs="Times New Roman"/>
        </w:rPr>
        <w:t>i</w:t>
      </w:r>
      <w:r w:rsidR="00307B82" w:rsidRPr="00C0125E">
        <w:rPr>
          <w:rFonts w:ascii="Times New Roman" w:hAnsi="Times New Roman" w:cs="Times New Roman"/>
        </w:rPr>
        <w:t xml:space="preserve">n </w:t>
      </w:r>
      <w:r w:rsidRPr="00C0125E">
        <w:rPr>
          <w:rFonts w:ascii="Times New Roman" w:hAnsi="Times New Roman" w:cs="Times New Roman"/>
        </w:rPr>
        <w:t xml:space="preserve">collaboration with </w:t>
      </w:r>
      <w:r w:rsidR="00547FEE" w:rsidRPr="00C0125E">
        <w:rPr>
          <w:rFonts w:ascii="Times New Roman" w:hAnsi="Times New Roman" w:cs="Times New Roman"/>
        </w:rPr>
        <w:t xml:space="preserve">the RIRs, ISOC, ICANN, the IETF and </w:t>
      </w:r>
      <w:r w:rsidRPr="00C0125E">
        <w:rPr>
          <w:rFonts w:ascii="Times New Roman" w:hAnsi="Times New Roman" w:cs="Times New Roman"/>
        </w:rPr>
        <w:t>all other stakeholders</w:t>
      </w:r>
      <w:r w:rsidR="00547FEE" w:rsidRPr="00C0125E">
        <w:rPr>
          <w:rFonts w:ascii="Times New Roman" w:hAnsi="Times New Roman" w:cs="Times New Roman"/>
        </w:rPr>
        <w:t xml:space="preserve"> as articulated in PP-10 Resolution 102 footnote 1</w:t>
      </w:r>
      <w:r w:rsidR="00C0125E">
        <w:rPr>
          <w:rFonts w:ascii="Times New Roman" w:hAnsi="Times New Roman" w:cs="Times New Roman"/>
        </w:rPr>
        <w:t>,</w:t>
      </w:r>
    </w:p>
    <w:p w:rsidR="00C0125E" w:rsidRDefault="00C0125E" w:rsidP="00C0125E">
      <w:pPr>
        <w:pStyle w:val="ListParagraph"/>
        <w:tabs>
          <w:tab w:val="left" w:pos="720"/>
        </w:tabs>
        <w:ind w:left="0"/>
        <w:jc w:val="both"/>
        <w:rPr>
          <w:rFonts w:ascii="Times New Roman" w:hAnsi="Times New Roman" w:cs="Times New Roman"/>
        </w:rPr>
      </w:pPr>
    </w:p>
    <w:p w:rsidR="00C0125E" w:rsidRDefault="00C0125E" w:rsidP="00C0125E">
      <w:pPr>
        <w:pStyle w:val="ListParagraph"/>
        <w:tabs>
          <w:tab w:val="left" w:pos="720"/>
        </w:tabs>
        <w:ind w:left="0"/>
        <w:jc w:val="both"/>
        <w:rPr>
          <w:rFonts w:ascii="Times New Roman" w:hAnsi="Times New Roman" w:cs="Times New Roman"/>
          <w:i/>
        </w:rPr>
      </w:pPr>
      <w:r>
        <w:rPr>
          <w:rFonts w:ascii="Times New Roman" w:hAnsi="Times New Roman" w:cs="Times New Roman"/>
          <w:i/>
        </w:rPr>
        <w:lastRenderedPageBreak/>
        <w:tab/>
      </w:r>
      <w:proofErr w:type="gramStart"/>
      <w:r>
        <w:rPr>
          <w:rFonts w:ascii="Times New Roman" w:hAnsi="Times New Roman" w:cs="Times New Roman"/>
          <w:i/>
        </w:rPr>
        <w:t>invites</w:t>
      </w:r>
      <w:proofErr w:type="gramEnd"/>
    </w:p>
    <w:p w:rsidR="005012D7" w:rsidRDefault="00C0125E" w:rsidP="00C0125E">
      <w:pPr>
        <w:pStyle w:val="ListParagraph"/>
        <w:tabs>
          <w:tab w:val="left" w:pos="720"/>
        </w:tabs>
        <w:ind w:left="0"/>
        <w:jc w:val="both"/>
        <w:rPr>
          <w:rFonts w:ascii="Times New Roman" w:hAnsi="Times New Roman" w:cs="Times New Roman"/>
        </w:rPr>
      </w:pPr>
      <w:r>
        <w:rPr>
          <w:rFonts w:ascii="Times New Roman" w:hAnsi="Times New Roman" w:cs="Times New Roman"/>
        </w:rPr>
        <w:t>a</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Member States to consider policies and</w:t>
      </w:r>
      <w:r>
        <w:rPr>
          <w:rFonts w:ascii="Times New Roman" w:hAnsi="Times New Roman" w:cs="Times New Roman"/>
        </w:rPr>
        <w:t xml:space="preserve"> incentives to </w:t>
      </w:r>
      <w:proofErr w:type="gramStart"/>
      <w:r w:rsidR="00483F16">
        <w:rPr>
          <w:rFonts w:ascii="Times New Roman" w:hAnsi="Times New Roman" w:cs="Times New Roman"/>
        </w:rPr>
        <w:t>encourage,</w:t>
      </w:r>
      <w:proofErr w:type="gramEnd"/>
      <w:r w:rsidR="00483F16">
        <w:rPr>
          <w:rFonts w:ascii="Times New Roman" w:hAnsi="Times New Roman" w:cs="Times New Roman"/>
        </w:rPr>
        <w:t xml:space="preserve"> facilitate and support the fastest possible adoption and migration to IPv6 within their jurisdictions;</w:t>
      </w:r>
    </w:p>
    <w:p w:rsidR="005012D7" w:rsidRDefault="00C0125E" w:rsidP="00C0125E">
      <w:pPr>
        <w:jc w:val="both"/>
        <w:rPr>
          <w:rFonts w:ascii="Times New Roman" w:hAnsi="Times New Roman" w:cs="Times New Roman"/>
        </w:rPr>
      </w:pPr>
      <w:r>
        <w:rPr>
          <w:rFonts w:ascii="Times New Roman" w:hAnsi="Times New Roman" w:cs="Times New Roman"/>
        </w:rPr>
        <w:t>b</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 xml:space="preserve">Members to offer their </w:t>
      </w:r>
      <w:r>
        <w:rPr>
          <w:rFonts w:ascii="Times New Roman" w:hAnsi="Times New Roman" w:cs="Times New Roman"/>
        </w:rPr>
        <w:t xml:space="preserve">Internet </w:t>
      </w:r>
      <w:r w:rsidR="00483F16">
        <w:rPr>
          <w:rFonts w:ascii="Times New Roman" w:hAnsi="Times New Roman" w:cs="Times New Roman"/>
        </w:rPr>
        <w:t>services via IPv6 as quickly as possible.</w:t>
      </w:r>
    </w:p>
    <w:p w:rsidR="00762E89" w:rsidRPr="00483F16" w:rsidRDefault="00762E89" w:rsidP="00483F16"/>
    <w:sectPr w:rsidR="00762E89" w:rsidRPr="00483F16" w:rsidSect="00C0125E">
      <w:pgSz w:w="11907" w:h="16839" w:code="9"/>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5E" w:rsidRDefault="00C0125E" w:rsidP="00A627F9">
      <w:pPr>
        <w:spacing w:after="0" w:line="240" w:lineRule="auto"/>
      </w:pPr>
      <w:r>
        <w:separator/>
      </w:r>
    </w:p>
  </w:endnote>
  <w:endnote w:type="continuationSeparator" w:id="0">
    <w:p w:rsidR="00C0125E" w:rsidRDefault="00C0125E" w:rsidP="00A6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5E" w:rsidRDefault="00C0125E" w:rsidP="00A627F9">
      <w:pPr>
        <w:spacing w:after="0" w:line="240" w:lineRule="auto"/>
      </w:pPr>
      <w:r>
        <w:separator/>
      </w:r>
    </w:p>
  </w:footnote>
  <w:footnote w:type="continuationSeparator" w:id="0">
    <w:p w:rsidR="00C0125E" w:rsidRDefault="00C0125E" w:rsidP="00A62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1233F"/>
    <w:multiLevelType w:val="hybridMultilevel"/>
    <w:tmpl w:val="D298C93A"/>
    <w:lvl w:ilvl="0" w:tplc="48D69C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234EC"/>
    <w:rsid w:val="0003023A"/>
    <w:rsid w:val="000439E4"/>
    <w:rsid w:val="000A557B"/>
    <w:rsid w:val="000A591F"/>
    <w:rsid w:val="000D0214"/>
    <w:rsid w:val="00101E8D"/>
    <w:rsid w:val="0010604E"/>
    <w:rsid w:val="00182445"/>
    <w:rsid w:val="0019076D"/>
    <w:rsid w:val="001D04E8"/>
    <w:rsid w:val="001D479B"/>
    <w:rsid w:val="00285DF5"/>
    <w:rsid w:val="002B157E"/>
    <w:rsid w:val="00307B82"/>
    <w:rsid w:val="00434A48"/>
    <w:rsid w:val="00483F16"/>
    <w:rsid w:val="004B07D8"/>
    <w:rsid w:val="004E1D66"/>
    <w:rsid w:val="005012D7"/>
    <w:rsid w:val="00547FEE"/>
    <w:rsid w:val="00570649"/>
    <w:rsid w:val="0057596B"/>
    <w:rsid w:val="00576B06"/>
    <w:rsid w:val="005B2CD7"/>
    <w:rsid w:val="005E2D18"/>
    <w:rsid w:val="005E70B0"/>
    <w:rsid w:val="00640C27"/>
    <w:rsid w:val="006544BC"/>
    <w:rsid w:val="0075682C"/>
    <w:rsid w:val="00762E89"/>
    <w:rsid w:val="007823C4"/>
    <w:rsid w:val="008328C0"/>
    <w:rsid w:val="008C36B1"/>
    <w:rsid w:val="008F3FD9"/>
    <w:rsid w:val="00942418"/>
    <w:rsid w:val="0095266A"/>
    <w:rsid w:val="00970B4B"/>
    <w:rsid w:val="00A169A5"/>
    <w:rsid w:val="00A627F9"/>
    <w:rsid w:val="00B2648F"/>
    <w:rsid w:val="00B33475"/>
    <w:rsid w:val="00C0125E"/>
    <w:rsid w:val="00D57797"/>
    <w:rsid w:val="00E43386"/>
    <w:rsid w:val="00F16C7D"/>
    <w:rsid w:val="00F738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character" w:styleId="CommentReference">
    <w:name w:val="annotation reference"/>
    <w:basedOn w:val="DefaultParagraphFont"/>
    <w:uiPriority w:val="99"/>
    <w:semiHidden/>
    <w:unhideWhenUsed/>
    <w:rsid w:val="00101E8D"/>
    <w:rPr>
      <w:sz w:val="16"/>
      <w:szCs w:val="16"/>
    </w:rPr>
  </w:style>
  <w:style w:type="paragraph" w:styleId="CommentText">
    <w:name w:val="annotation text"/>
    <w:basedOn w:val="Normal"/>
    <w:link w:val="CommentTextChar"/>
    <w:uiPriority w:val="99"/>
    <w:semiHidden/>
    <w:unhideWhenUsed/>
    <w:rsid w:val="00101E8D"/>
    <w:pPr>
      <w:spacing w:line="240" w:lineRule="auto"/>
    </w:pPr>
    <w:rPr>
      <w:sz w:val="20"/>
      <w:szCs w:val="20"/>
    </w:rPr>
  </w:style>
  <w:style w:type="character" w:customStyle="1" w:styleId="CommentTextChar">
    <w:name w:val="Comment Text Char"/>
    <w:basedOn w:val="DefaultParagraphFont"/>
    <w:link w:val="CommentText"/>
    <w:uiPriority w:val="99"/>
    <w:semiHidden/>
    <w:rsid w:val="00101E8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101E8D"/>
    <w:rPr>
      <w:b/>
      <w:bCs/>
    </w:rPr>
  </w:style>
  <w:style w:type="character" w:customStyle="1" w:styleId="CommentSubjectChar">
    <w:name w:val="Comment Subject Char"/>
    <w:basedOn w:val="CommentTextChar"/>
    <w:link w:val="CommentSubject"/>
    <w:uiPriority w:val="99"/>
    <w:semiHidden/>
    <w:rsid w:val="00101E8D"/>
    <w:rPr>
      <w:rFonts w:ascii="Calibri" w:eastAsia="Calibri" w:hAnsi="Calibri" w:cs="Arial"/>
      <w:b/>
      <w:bCs/>
      <w:sz w:val="20"/>
      <w:szCs w:val="20"/>
      <w:lang w:bidi="en-US"/>
    </w:rPr>
  </w:style>
  <w:style w:type="paragraph" w:styleId="Header">
    <w:name w:val="header"/>
    <w:basedOn w:val="Normal"/>
    <w:link w:val="HeaderChar"/>
    <w:uiPriority w:val="99"/>
    <w:semiHidden/>
    <w:unhideWhenUsed/>
    <w:rsid w:val="00A627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7F9"/>
    <w:rPr>
      <w:rFonts w:ascii="Calibri" w:eastAsia="Calibri" w:hAnsi="Calibri" w:cs="Arial"/>
      <w:lang w:bidi="en-US"/>
    </w:rPr>
  </w:style>
  <w:style w:type="paragraph" w:styleId="Footer">
    <w:name w:val="footer"/>
    <w:basedOn w:val="Normal"/>
    <w:link w:val="FooterChar"/>
    <w:uiPriority w:val="99"/>
    <w:semiHidden/>
    <w:unhideWhenUsed/>
    <w:rsid w:val="00A62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7F9"/>
    <w:rPr>
      <w:rFonts w:ascii="Calibri" w:eastAsia="Calibri" w:hAnsi="Calibri" w:cs="Arial"/>
      <w:lang w:bidi="en-US"/>
    </w:rPr>
  </w:style>
  <w:style w:type="paragraph" w:styleId="ListParagraph">
    <w:name w:val="List Paragraph"/>
    <w:basedOn w:val="Normal"/>
    <w:uiPriority w:val="34"/>
    <w:qFormat/>
    <w:rsid w:val="00C01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character" w:styleId="CommentReference">
    <w:name w:val="annotation reference"/>
    <w:basedOn w:val="DefaultParagraphFont"/>
    <w:uiPriority w:val="99"/>
    <w:semiHidden/>
    <w:unhideWhenUsed/>
    <w:rsid w:val="00101E8D"/>
    <w:rPr>
      <w:sz w:val="16"/>
      <w:szCs w:val="16"/>
    </w:rPr>
  </w:style>
  <w:style w:type="paragraph" w:styleId="CommentText">
    <w:name w:val="annotation text"/>
    <w:basedOn w:val="Normal"/>
    <w:link w:val="CommentTextChar"/>
    <w:uiPriority w:val="99"/>
    <w:semiHidden/>
    <w:unhideWhenUsed/>
    <w:rsid w:val="00101E8D"/>
    <w:pPr>
      <w:spacing w:line="240" w:lineRule="auto"/>
    </w:pPr>
    <w:rPr>
      <w:sz w:val="20"/>
      <w:szCs w:val="20"/>
    </w:rPr>
  </w:style>
  <w:style w:type="character" w:customStyle="1" w:styleId="CommentTextChar">
    <w:name w:val="Comment Text Char"/>
    <w:basedOn w:val="DefaultParagraphFont"/>
    <w:link w:val="CommentText"/>
    <w:uiPriority w:val="99"/>
    <w:semiHidden/>
    <w:rsid w:val="00101E8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101E8D"/>
    <w:rPr>
      <w:b/>
      <w:bCs/>
    </w:rPr>
  </w:style>
  <w:style w:type="character" w:customStyle="1" w:styleId="CommentSubjectChar">
    <w:name w:val="Comment Subject Char"/>
    <w:basedOn w:val="CommentTextChar"/>
    <w:link w:val="CommentSubject"/>
    <w:uiPriority w:val="99"/>
    <w:semiHidden/>
    <w:rsid w:val="00101E8D"/>
    <w:rPr>
      <w:rFonts w:ascii="Calibri" w:eastAsia="Calibri" w:hAnsi="Calibri" w:cs="Arial"/>
      <w:b/>
      <w:bCs/>
      <w:sz w:val="20"/>
      <w:szCs w:val="20"/>
      <w:lang w:bidi="en-US"/>
    </w:rPr>
  </w:style>
  <w:style w:type="paragraph" w:styleId="Header">
    <w:name w:val="header"/>
    <w:basedOn w:val="Normal"/>
    <w:link w:val="HeaderChar"/>
    <w:uiPriority w:val="99"/>
    <w:semiHidden/>
    <w:unhideWhenUsed/>
    <w:rsid w:val="00A627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7F9"/>
    <w:rPr>
      <w:rFonts w:ascii="Calibri" w:eastAsia="Calibri" w:hAnsi="Calibri" w:cs="Arial"/>
      <w:lang w:bidi="en-US"/>
    </w:rPr>
  </w:style>
  <w:style w:type="paragraph" w:styleId="Footer">
    <w:name w:val="footer"/>
    <w:basedOn w:val="Normal"/>
    <w:link w:val="FooterChar"/>
    <w:uiPriority w:val="99"/>
    <w:semiHidden/>
    <w:unhideWhenUsed/>
    <w:rsid w:val="00A62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7F9"/>
    <w:rPr>
      <w:rFonts w:ascii="Calibri" w:eastAsia="Calibri" w:hAnsi="Calibri" w:cs="Arial"/>
      <w:lang w:bidi="en-US"/>
    </w:rPr>
  </w:style>
  <w:style w:type="paragraph" w:styleId="ListParagraph">
    <w:name w:val="List Paragraph"/>
    <w:basedOn w:val="Normal"/>
    <w:uiPriority w:val="34"/>
    <w:qFormat/>
    <w:rsid w:val="00C0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2013-02-06T07:20:00Z</dcterms:created>
  <dcterms:modified xsi:type="dcterms:W3CDTF">2013-02-06T07:29:00Z</dcterms:modified>
</cp:coreProperties>
</file>