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5071F9">
        <w:tc>
          <w:tcPr>
            <w:tcW w:w="9855" w:type="dxa"/>
            <w:gridSpan w:val="2"/>
            <w:hideMark/>
          </w:tcPr>
          <w:p w:rsidR="00B6419E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AB5F7A3" wp14:editId="61EA0C05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5071F9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5071F9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141432" w:rsidRDefault="00B6419E" w:rsidP="00B6419E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5071F9">
              <w:rPr>
                <w:b/>
                <w:bCs/>
              </w:rPr>
              <w:t>8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5071F9" w:rsidP="005071F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 de abril de 2013</w:t>
            </w:r>
          </w:p>
          <w:p w:rsidR="00B6419E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5071F9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5071F9" w:rsidRPr="002908B2" w:rsidRDefault="005071F9" w:rsidP="00F84E05">
      <w:pPr>
        <w:pStyle w:val="Source"/>
      </w:pPr>
      <w:r w:rsidRPr="002908B2">
        <w:t>Contribución de RIPE NCC</w:t>
      </w:r>
    </w:p>
    <w:p w:rsidR="005071F9" w:rsidRPr="00DC7FFD" w:rsidRDefault="005071F9" w:rsidP="00F84E05">
      <w:pPr>
        <w:pStyle w:val="Title1"/>
        <w:rPr>
          <w:rFonts w:eastAsia="SimSun"/>
        </w:rPr>
      </w:pPr>
      <w:r w:rsidRPr="00246A18">
        <w:rPr>
          <w:rFonts w:eastAsia="SimSun"/>
        </w:rPr>
        <w:t>CONTRIBUCIÓN AL FMPT</w:t>
      </w:r>
      <w:r w:rsidRPr="00DC7FFD">
        <w:rPr>
          <w:rFonts w:eastAsia="SimSun"/>
        </w:rPr>
        <w:t xml:space="preserve">-13 </w:t>
      </w:r>
      <w:r w:rsidRPr="00246A18">
        <w:rPr>
          <w:rFonts w:eastAsia="SimSun"/>
        </w:rPr>
        <w:t xml:space="preserve">DE los REGISTROS REGIONALES DE </w:t>
      </w:r>
      <w:r w:rsidRPr="00DC7FFD">
        <w:rPr>
          <w:rFonts w:eastAsia="SimSun"/>
        </w:rPr>
        <w:t>Internet</w:t>
      </w:r>
    </w:p>
    <w:p w:rsidR="005071F9" w:rsidRPr="00DC7FFD" w:rsidRDefault="005071F9" w:rsidP="00F84E05">
      <w:pPr>
        <w:pStyle w:val="Normalaftertitle"/>
        <w:rPr>
          <w:rFonts w:eastAsia="SimSun"/>
        </w:rPr>
      </w:pPr>
      <w:r>
        <w:rPr>
          <w:rFonts w:eastAsia="SimSun"/>
        </w:rPr>
        <w:t xml:space="preserve">El presente </w:t>
      </w:r>
      <w:r w:rsidRPr="00DC7FFD">
        <w:rPr>
          <w:rFonts w:eastAsia="SimSun"/>
        </w:rPr>
        <w:t>document</w:t>
      </w:r>
      <w:r w:rsidRPr="00246A18">
        <w:rPr>
          <w:rFonts w:eastAsia="SimSun"/>
        </w:rPr>
        <w:t>o</w:t>
      </w:r>
      <w:r>
        <w:rPr>
          <w:rFonts w:eastAsia="SimSun"/>
        </w:rPr>
        <w:t>, que se presenta</w:t>
      </w:r>
      <w:r w:rsidRPr="00246A18">
        <w:rPr>
          <w:rFonts w:eastAsia="SimSun"/>
        </w:rPr>
        <w:t xml:space="preserve"> </w:t>
      </w:r>
      <w:r w:rsidRPr="00246A18">
        <w:rPr>
          <w:rFonts w:eastAsia="SimSun"/>
          <w:b/>
          <w:bCs/>
        </w:rPr>
        <w:t>e</w:t>
      </w:r>
      <w:r w:rsidRPr="00DC7FFD">
        <w:rPr>
          <w:rFonts w:eastAsia="SimSun"/>
          <w:b/>
          <w:bCs/>
        </w:rPr>
        <w:t xml:space="preserve">n </w:t>
      </w:r>
      <w:r>
        <w:rPr>
          <w:rFonts w:eastAsia="SimSun"/>
          <w:b/>
          <w:bCs/>
        </w:rPr>
        <w:t>nombre de los cinco R</w:t>
      </w:r>
      <w:r w:rsidRPr="00246A18">
        <w:rPr>
          <w:rFonts w:eastAsia="SimSun"/>
          <w:b/>
          <w:bCs/>
        </w:rPr>
        <w:t xml:space="preserve">egistros </w:t>
      </w:r>
      <w:r w:rsidR="009E1891" w:rsidRPr="00246A18">
        <w:rPr>
          <w:rFonts w:eastAsia="SimSun"/>
          <w:b/>
          <w:bCs/>
        </w:rPr>
        <w:t>R</w:t>
      </w:r>
      <w:r w:rsidRPr="00246A18">
        <w:rPr>
          <w:rFonts w:eastAsia="SimSun"/>
          <w:b/>
          <w:bCs/>
        </w:rPr>
        <w:t>egionales de Internet</w:t>
      </w:r>
      <w:r>
        <w:rPr>
          <w:rFonts w:eastAsia="SimSun"/>
          <w:b/>
          <w:bCs/>
        </w:rPr>
        <w:t xml:space="preserve"> </w:t>
      </w:r>
      <w:r w:rsidRPr="00DC7FFD">
        <w:rPr>
          <w:rFonts w:eastAsia="SimSun"/>
          <w:b/>
          <w:bCs/>
        </w:rPr>
        <w:t>(RIR)</w:t>
      </w:r>
      <w:r>
        <w:rPr>
          <w:rFonts w:eastAsia="SimSun"/>
        </w:rPr>
        <w:t xml:space="preserve">, se refiere específicamente a ciertos proyectos de Opiniones examinados por el Grupo </w:t>
      </w:r>
      <w:r w:rsidRPr="00DC7FFD">
        <w:rPr>
          <w:rFonts w:eastAsia="SimSun"/>
        </w:rPr>
        <w:t xml:space="preserve">Informal </w:t>
      </w:r>
      <w:r>
        <w:rPr>
          <w:rFonts w:eastAsia="SimSun"/>
        </w:rPr>
        <w:t xml:space="preserve">de </w:t>
      </w:r>
      <w:r w:rsidRPr="00DC7FFD">
        <w:rPr>
          <w:rFonts w:eastAsia="SimSun"/>
        </w:rPr>
        <w:t>Expert</w:t>
      </w:r>
      <w:r>
        <w:rPr>
          <w:rFonts w:eastAsia="SimSun"/>
        </w:rPr>
        <w:t>os</w:t>
      </w:r>
      <w:r w:rsidRPr="00DC7FFD">
        <w:rPr>
          <w:rFonts w:eastAsia="SimSun"/>
        </w:rPr>
        <w:t xml:space="preserve"> (</w:t>
      </w:r>
      <w:r>
        <w:rPr>
          <w:rFonts w:eastAsia="SimSun"/>
        </w:rPr>
        <w:t>GIE</w:t>
      </w:r>
      <w:r w:rsidRPr="00DC7FFD">
        <w:rPr>
          <w:rFonts w:eastAsia="SimSun"/>
        </w:rPr>
        <w:t xml:space="preserve">) </w:t>
      </w:r>
      <w:r>
        <w:rPr>
          <w:rFonts w:eastAsia="SimSun"/>
        </w:rPr>
        <w:t>dado que guardan relación con esferas de competencia y de coordinación de los RIR.</w:t>
      </w:r>
    </w:p>
    <w:p w:rsidR="005071F9" w:rsidRPr="00DC7FFD" w:rsidRDefault="005071F9" w:rsidP="005071F9">
      <w:pPr>
        <w:spacing w:before="160"/>
        <w:ind w:right="1127"/>
        <w:rPr>
          <w:rFonts w:eastAsia="SimSun" w:cstheme="minorHAnsi"/>
          <w:szCs w:val="24"/>
        </w:rPr>
      </w:pPr>
      <w:r w:rsidRPr="00CA0280">
        <w:rPr>
          <w:rFonts w:eastAsia="SimSun" w:cstheme="minorHAnsi"/>
          <w:szCs w:val="24"/>
        </w:rPr>
        <w:t>Los RIR</w:t>
      </w:r>
      <w:r>
        <w:rPr>
          <w:rFonts w:eastAsia="SimSun" w:cstheme="minorHAnsi"/>
          <w:szCs w:val="24"/>
        </w:rPr>
        <w:t xml:space="preserve">, </w:t>
      </w:r>
      <w:r w:rsidRPr="00CA0280">
        <w:rPr>
          <w:rFonts w:eastAsia="SimSun" w:cstheme="minorHAnsi"/>
          <w:szCs w:val="24"/>
        </w:rPr>
        <w:t xml:space="preserve">organizaciones </w:t>
      </w:r>
      <w:r>
        <w:rPr>
          <w:rFonts w:eastAsia="SimSun" w:cstheme="minorHAnsi"/>
          <w:szCs w:val="24"/>
        </w:rPr>
        <w:t xml:space="preserve">que funcionan con un enfoque comunitario, </w:t>
      </w:r>
      <w:r w:rsidRPr="00CA0280">
        <w:rPr>
          <w:rFonts w:eastAsia="SimSun" w:cstheme="minorHAnsi"/>
          <w:szCs w:val="24"/>
        </w:rPr>
        <w:t>distribuyen y registra</w:t>
      </w:r>
      <w:r>
        <w:rPr>
          <w:rFonts w:eastAsia="SimSun" w:cstheme="minorHAnsi"/>
          <w:szCs w:val="24"/>
        </w:rPr>
        <w:t>n</w:t>
      </w:r>
      <w:r w:rsidRPr="00CA0280">
        <w:rPr>
          <w:rFonts w:eastAsia="SimSun" w:cstheme="minorHAnsi"/>
          <w:szCs w:val="24"/>
        </w:rPr>
        <w:t xml:space="preserve"> los recursos de numeración de Internet, inclu</w:t>
      </w:r>
      <w:r>
        <w:rPr>
          <w:rFonts w:eastAsia="SimSun" w:cstheme="minorHAnsi"/>
          <w:szCs w:val="24"/>
        </w:rPr>
        <w:t xml:space="preserve">idas </w:t>
      </w:r>
      <w:r w:rsidRPr="00CA0280">
        <w:rPr>
          <w:rFonts w:eastAsia="SimSun" w:cstheme="minorHAnsi"/>
          <w:szCs w:val="24"/>
        </w:rPr>
        <w:t>direcciones IP (IPv4 e IPv6) y</w:t>
      </w:r>
      <w:r>
        <w:rPr>
          <w:rFonts w:eastAsia="SimSun" w:cstheme="minorHAnsi"/>
          <w:szCs w:val="24"/>
        </w:rPr>
        <w:t xml:space="preserve"> números de sistemas a</w:t>
      </w:r>
      <w:r w:rsidRPr="00CA0280">
        <w:rPr>
          <w:rFonts w:eastAsia="SimSun" w:cstheme="minorHAnsi"/>
          <w:szCs w:val="24"/>
        </w:rPr>
        <w:t xml:space="preserve">utónomos. </w:t>
      </w:r>
      <w:r w:rsidRPr="001E12A8">
        <w:rPr>
          <w:rFonts w:eastAsia="SimSun" w:cstheme="minorHAnsi"/>
          <w:szCs w:val="24"/>
        </w:rPr>
        <w:t>L</w:t>
      </w:r>
      <w:r>
        <w:rPr>
          <w:rFonts w:eastAsia="SimSun" w:cstheme="minorHAnsi"/>
          <w:szCs w:val="24"/>
        </w:rPr>
        <w:t xml:space="preserve">os cinco RIR </w:t>
      </w:r>
      <w:r w:rsidRPr="001E12A8">
        <w:rPr>
          <w:rFonts w:eastAsia="SimSun" w:cstheme="minorHAnsi"/>
          <w:szCs w:val="24"/>
        </w:rPr>
        <w:t>son</w:t>
      </w:r>
      <w:r>
        <w:rPr>
          <w:rFonts w:eastAsia="SimSun" w:cstheme="minorHAnsi"/>
          <w:szCs w:val="24"/>
        </w:rPr>
        <w:t xml:space="preserve"> los siguientes</w:t>
      </w:r>
      <w:r w:rsidRPr="001E12A8">
        <w:rPr>
          <w:rFonts w:eastAsia="SimSun" w:cstheme="minorHAnsi"/>
          <w:szCs w:val="24"/>
        </w:rPr>
        <w:t>:</w:t>
      </w:r>
    </w:p>
    <w:p w:rsidR="00F84E05" w:rsidRPr="00F84E05" w:rsidRDefault="00F84E05" w:rsidP="00F84E05">
      <w:pPr>
        <w:pStyle w:val="enumlev1"/>
        <w:rPr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  <w:t xml:space="preserve">AFRINIC </w:t>
      </w:r>
      <w:r w:rsidR="00237390" w:rsidRPr="00237390">
        <w:rPr>
          <w:lang w:val="en-US"/>
        </w:rPr>
        <w:t>–</w:t>
      </w:r>
      <w:r w:rsidRPr="00F84E05">
        <w:rPr>
          <w:lang w:val="en-US"/>
        </w:rPr>
        <w:t xml:space="preserve"> </w:t>
      </w:r>
      <w:hyperlink r:id="rId9" w:history="1">
        <w:r w:rsidRPr="00F84E05">
          <w:rPr>
            <w:rStyle w:val="Hyperlink"/>
            <w:lang w:val="en-US"/>
          </w:rPr>
          <w:t>www.afrinic.net</w:t>
        </w:r>
      </w:hyperlink>
    </w:p>
    <w:p w:rsidR="00F84E05" w:rsidRPr="00F84E05" w:rsidRDefault="00F84E05" w:rsidP="00F84E05">
      <w:pPr>
        <w:pStyle w:val="enumlev1"/>
        <w:rPr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  <w:t xml:space="preserve">APNIC – </w:t>
      </w:r>
      <w:hyperlink r:id="rId10" w:history="1">
        <w:r w:rsidRPr="00F84E05">
          <w:rPr>
            <w:rStyle w:val="Hyperlink"/>
            <w:lang w:val="en-US"/>
          </w:rPr>
          <w:t>www.apnic.net</w:t>
        </w:r>
      </w:hyperlink>
    </w:p>
    <w:p w:rsidR="00F84E05" w:rsidRPr="00F84E05" w:rsidRDefault="00F84E05" w:rsidP="00F84E05">
      <w:pPr>
        <w:pStyle w:val="enumlev1"/>
        <w:rPr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  <w:t xml:space="preserve">ARIN – </w:t>
      </w:r>
      <w:hyperlink r:id="rId11" w:history="1">
        <w:r w:rsidRPr="00F84E05">
          <w:rPr>
            <w:rStyle w:val="Hyperlink"/>
            <w:lang w:val="en-US"/>
          </w:rPr>
          <w:t>www.arin.net</w:t>
        </w:r>
      </w:hyperlink>
    </w:p>
    <w:p w:rsidR="00F84E05" w:rsidRPr="00F84E05" w:rsidRDefault="00F84E05" w:rsidP="00237390">
      <w:pPr>
        <w:pStyle w:val="enumlev1"/>
        <w:rPr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  <w:t>Lacnic</w:t>
      </w:r>
      <w:r w:rsidR="00237390">
        <w:rPr>
          <w:lang w:val="en-US"/>
        </w:rPr>
        <w:t xml:space="preserve"> </w:t>
      </w:r>
      <w:r w:rsidRPr="00F84E05">
        <w:rPr>
          <w:lang w:val="en-US"/>
        </w:rPr>
        <w:t xml:space="preserve">– </w:t>
      </w:r>
      <w:hyperlink r:id="rId12" w:history="1">
        <w:r w:rsidRPr="00F84E05">
          <w:rPr>
            <w:rStyle w:val="Hyperlink"/>
            <w:lang w:val="en-US"/>
          </w:rPr>
          <w:t>www.lacnic.net</w:t>
        </w:r>
      </w:hyperlink>
    </w:p>
    <w:p w:rsidR="00F84E05" w:rsidRPr="00237390" w:rsidRDefault="00F84E05" w:rsidP="00F84E05">
      <w:pPr>
        <w:pStyle w:val="enumlev1"/>
      </w:pPr>
      <w:r w:rsidRPr="00237390">
        <w:t>•</w:t>
      </w:r>
      <w:r w:rsidRPr="00237390">
        <w:tab/>
        <w:t xml:space="preserve">RIPE NCC – </w:t>
      </w:r>
      <w:hyperlink r:id="rId13" w:history="1">
        <w:r w:rsidRPr="00237390">
          <w:rPr>
            <w:rStyle w:val="Hyperlink"/>
          </w:rPr>
          <w:t>www.ripe.net</w:t>
        </w:r>
      </w:hyperlink>
    </w:p>
    <w:p w:rsidR="005071F9" w:rsidRPr="00DC7FFD" w:rsidRDefault="005071F9" w:rsidP="00F84E05">
      <w:pPr>
        <w:pStyle w:val="Headingb"/>
        <w:ind w:left="0" w:firstLine="0"/>
        <w:rPr>
          <w:rFonts w:eastAsiaTheme="majorEastAsia"/>
        </w:rPr>
      </w:pPr>
      <w:r w:rsidRPr="00533FB9">
        <w:rPr>
          <w:rFonts w:eastAsiaTheme="majorEastAsia"/>
        </w:rPr>
        <w:t>Opinió</w:t>
      </w:r>
      <w:r w:rsidRPr="00DC7FFD">
        <w:rPr>
          <w:rFonts w:eastAsiaTheme="majorEastAsia"/>
        </w:rPr>
        <w:t xml:space="preserve">n 1: </w:t>
      </w:r>
      <w:r w:rsidRPr="00533FB9">
        <w:rPr>
          <w:rFonts w:eastAsiaTheme="majorEastAsia"/>
          <w:lang w:val="es-ES"/>
        </w:rPr>
        <w:t>Promover</w:t>
      </w:r>
      <w:r>
        <w:rPr>
          <w:rFonts w:eastAsiaTheme="majorEastAsia"/>
          <w:lang w:val="es-ES"/>
        </w:rPr>
        <w:t xml:space="preserve"> los </w:t>
      </w:r>
      <w:r w:rsidR="00237390">
        <w:rPr>
          <w:rFonts w:eastAsiaTheme="majorEastAsia"/>
          <w:lang w:val="es-ES"/>
        </w:rPr>
        <w:t xml:space="preserve">puntos de intercambio de tráfico </w:t>
      </w:r>
      <w:r>
        <w:rPr>
          <w:rFonts w:eastAsiaTheme="majorEastAsia"/>
          <w:lang w:val="es-ES"/>
        </w:rPr>
        <w:t xml:space="preserve">Internet (IXP) como </w:t>
      </w:r>
      <w:r w:rsidRPr="00533FB9">
        <w:rPr>
          <w:rFonts w:eastAsiaTheme="majorEastAsia"/>
          <w:lang w:val="es-ES"/>
        </w:rPr>
        <w:t>solución a largo plazo para potenciar la conectividad</w:t>
      </w:r>
    </w:p>
    <w:p w:rsidR="005071F9" w:rsidRPr="00CA0280" w:rsidRDefault="005071F9" w:rsidP="00237390">
      <w:pPr>
        <w:rPr>
          <w:rFonts w:eastAsia="SimSun"/>
        </w:rPr>
      </w:pPr>
      <w:r w:rsidRPr="00CA0280">
        <w:rPr>
          <w:rFonts w:eastAsia="SimSun"/>
        </w:rPr>
        <w:t xml:space="preserve">Los RIR apoyan </w:t>
      </w:r>
      <w:r>
        <w:rPr>
          <w:rFonts w:eastAsia="SimSun"/>
        </w:rPr>
        <w:t xml:space="preserve">el punto de vista según el cual </w:t>
      </w:r>
      <w:r w:rsidRPr="00CA0280">
        <w:rPr>
          <w:rFonts w:eastAsia="SimSun"/>
        </w:rPr>
        <w:t>los puntos de intercambio de</w:t>
      </w:r>
      <w:r>
        <w:rPr>
          <w:rFonts w:eastAsia="SimSun"/>
        </w:rPr>
        <w:t xml:space="preserve"> tráfico</w:t>
      </w:r>
      <w:r w:rsidRPr="00CA0280">
        <w:rPr>
          <w:rFonts w:eastAsia="SimSun"/>
        </w:rPr>
        <w:t xml:space="preserve"> Internet </w:t>
      </w:r>
      <w:r>
        <w:rPr>
          <w:rFonts w:eastAsia="SimSun"/>
        </w:rPr>
        <w:t xml:space="preserve">(IXP) </w:t>
      </w:r>
      <w:r w:rsidRPr="00CA0280">
        <w:rPr>
          <w:rFonts w:eastAsia="SimSun"/>
        </w:rPr>
        <w:t>proporcionan una solución a largo plazo para p</w:t>
      </w:r>
      <w:r>
        <w:rPr>
          <w:rFonts w:eastAsia="SimSun"/>
        </w:rPr>
        <w:t xml:space="preserve">otenciar </w:t>
      </w:r>
      <w:r w:rsidRPr="00CA0280">
        <w:rPr>
          <w:rFonts w:eastAsia="SimSun"/>
        </w:rPr>
        <w:t>la conectividad</w:t>
      </w:r>
      <w:r>
        <w:rPr>
          <w:rFonts w:eastAsia="SimSun"/>
        </w:rPr>
        <w:t>,</w:t>
      </w:r>
      <w:r w:rsidRPr="00CA0280">
        <w:rPr>
          <w:rFonts w:eastAsia="SimSun"/>
        </w:rPr>
        <w:t xml:space="preserve"> y observan </w:t>
      </w:r>
      <w:r>
        <w:rPr>
          <w:rFonts w:eastAsia="SimSun"/>
        </w:rPr>
        <w:t xml:space="preserve">que </w:t>
      </w:r>
      <w:r w:rsidRPr="00CA0280">
        <w:rPr>
          <w:rFonts w:eastAsia="SimSun"/>
        </w:rPr>
        <w:t xml:space="preserve">la comunidad IXP existente </w:t>
      </w:r>
      <w:r>
        <w:rPr>
          <w:rFonts w:eastAsia="SimSun"/>
        </w:rPr>
        <w:t xml:space="preserve">evoluciona </w:t>
      </w:r>
      <w:r w:rsidRPr="00CA0280">
        <w:rPr>
          <w:rFonts w:eastAsia="SimSun"/>
        </w:rPr>
        <w:t xml:space="preserve">a través de un proceso </w:t>
      </w:r>
      <w:r>
        <w:rPr>
          <w:rFonts w:eastAsia="SimSun"/>
        </w:rPr>
        <w:t>multipartito general.</w:t>
      </w:r>
      <w:r w:rsidR="005D03AE">
        <w:rPr>
          <w:rFonts w:eastAsia="SimSun"/>
        </w:rPr>
        <w:t xml:space="preserve"> </w:t>
      </w:r>
      <w:r w:rsidRPr="00CA0280">
        <w:rPr>
          <w:rFonts w:eastAsia="SimSun"/>
        </w:rPr>
        <w:t xml:space="preserve">Varios estudios </w:t>
      </w:r>
      <w:r>
        <w:rPr>
          <w:rFonts w:eastAsia="SimSun"/>
        </w:rPr>
        <w:t xml:space="preserve">de colaboración </w:t>
      </w:r>
      <w:r w:rsidRPr="00CA0280">
        <w:rPr>
          <w:rFonts w:eastAsia="SimSun"/>
        </w:rPr>
        <w:t>independientes</w:t>
      </w:r>
      <w:r>
        <w:rPr>
          <w:rFonts w:eastAsia="SimSun"/>
        </w:rPr>
        <w:t xml:space="preserve"> </w:t>
      </w:r>
      <w:r w:rsidRPr="00CA0280">
        <w:rPr>
          <w:rFonts w:eastAsia="SimSun"/>
        </w:rPr>
        <w:t xml:space="preserve">han demostrado la eficacia de los IXP </w:t>
      </w:r>
      <w:r>
        <w:rPr>
          <w:rFonts w:eastAsia="SimSun"/>
        </w:rPr>
        <w:t>para cumplir</w:t>
      </w:r>
      <w:r w:rsidRPr="00CA0280">
        <w:rPr>
          <w:rFonts w:eastAsia="SimSun"/>
        </w:rPr>
        <w:t xml:space="preserve"> este objetivo y reduc</w:t>
      </w:r>
      <w:r>
        <w:rPr>
          <w:rFonts w:eastAsia="SimSun"/>
        </w:rPr>
        <w:t xml:space="preserve">ir </w:t>
      </w:r>
      <w:r w:rsidRPr="00CA0280">
        <w:rPr>
          <w:rFonts w:eastAsia="SimSun"/>
        </w:rPr>
        <w:t>el costo del acceso a Internet para todos.</w:t>
      </w:r>
    </w:p>
    <w:p w:rsidR="005071F9" w:rsidRPr="00CA0280" w:rsidRDefault="005071F9" w:rsidP="009E1891">
      <w:pPr>
        <w:rPr>
          <w:rFonts w:eastAsia="SimSun"/>
        </w:rPr>
      </w:pPr>
      <w:r>
        <w:rPr>
          <w:rFonts w:eastAsia="SimSun"/>
        </w:rPr>
        <w:t>Respaldamos los</w:t>
      </w:r>
      <w:r w:rsidRPr="00CA0280">
        <w:rPr>
          <w:rFonts w:eastAsia="SimSun"/>
        </w:rPr>
        <w:t xml:space="preserve"> </w:t>
      </w:r>
      <w:r>
        <w:rPr>
          <w:rFonts w:eastAsia="SimSun"/>
        </w:rPr>
        <w:t xml:space="preserve">resultados obtenidos por </w:t>
      </w:r>
      <w:r w:rsidRPr="00CA0280">
        <w:rPr>
          <w:rFonts w:eastAsia="SimSun"/>
        </w:rPr>
        <w:t>las asociaciones que promueven prácticas</w:t>
      </w:r>
      <w:r>
        <w:rPr>
          <w:rFonts w:eastAsia="SimSun"/>
        </w:rPr>
        <w:t xml:space="preserve"> óptimas</w:t>
      </w:r>
      <w:r w:rsidRPr="00CA0280">
        <w:rPr>
          <w:rFonts w:eastAsia="SimSun"/>
        </w:rPr>
        <w:t xml:space="preserve"> en los IXP</w:t>
      </w:r>
      <w:r>
        <w:rPr>
          <w:rFonts w:eastAsia="SimSun"/>
        </w:rPr>
        <w:t>, y apoyamos los esfuerzos que despliegan actualmente</w:t>
      </w:r>
      <w:r w:rsidRPr="00CA0280">
        <w:rPr>
          <w:rFonts w:eastAsia="SimSun"/>
        </w:rPr>
        <w:t>. E</w:t>
      </w:r>
      <w:r>
        <w:rPr>
          <w:rFonts w:eastAsia="SimSun"/>
        </w:rPr>
        <w:t xml:space="preserve">ntre esas asociaciones pueden mencionarse en particular Af-IX, APIX, Euro-IX y LAC-IX, </w:t>
      </w:r>
      <w:r w:rsidRPr="00CA0280">
        <w:rPr>
          <w:rFonts w:eastAsia="SimSun"/>
        </w:rPr>
        <w:t xml:space="preserve">que </w:t>
      </w:r>
      <w:r w:rsidRPr="00CA0280">
        <w:rPr>
          <w:rFonts w:eastAsia="SimSun"/>
        </w:rPr>
        <w:lastRenderedPageBreak/>
        <w:t>también apoya</w:t>
      </w:r>
      <w:r>
        <w:rPr>
          <w:rFonts w:eastAsia="SimSun"/>
        </w:rPr>
        <w:t>n</w:t>
      </w:r>
      <w:r w:rsidRPr="00CA0280">
        <w:rPr>
          <w:rFonts w:eastAsia="SimSun"/>
        </w:rPr>
        <w:t xml:space="preserve"> a los </w:t>
      </w:r>
      <w:r>
        <w:rPr>
          <w:rFonts w:eastAsia="SimSun"/>
        </w:rPr>
        <w:t xml:space="preserve">recién llegados a </w:t>
      </w:r>
      <w:r w:rsidRPr="00CA0280">
        <w:rPr>
          <w:rFonts w:eastAsia="SimSun"/>
        </w:rPr>
        <w:t xml:space="preserve">los mercados IXP. </w:t>
      </w:r>
      <w:r>
        <w:rPr>
          <w:rFonts w:eastAsia="SimSun"/>
        </w:rPr>
        <w:t>Ob</w:t>
      </w:r>
      <w:r w:rsidRPr="00CA0280">
        <w:rPr>
          <w:rFonts w:eastAsia="SimSun"/>
        </w:rPr>
        <w:t xml:space="preserve">servamos </w:t>
      </w:r>
      <w:r>
        <w:rPr>
          <w:rFonts w:eastAsia="SimSun"/>
        </w:rPr>
        <w:t xml:space="preserve">asimismo </w:t>
      </w:r>
      <w:r w:rsidRPr="00CA0280">
        <w:rPr>
          <w:rFonts w:eastAsia="SimSun"/>
        </w:rPr>
        <w:t xml:space="preserve">el enfoque intrínsecamente multisectorial que </w:t>
      </w:r>
      <w:r>
        <w:rPr>
          <w:rFonts w:eastAsia="SimSun"/>
        </w:rPr>
        <w:t xml:space="preserve">la Opinión </w:t>
      </w:r>
      <w:r w:rsidRPr="00CA0280">
        <w:rPr>
          <w:rFonts w:eastAsia="SimSun"/>
        </w:rPr>
        <w:t xml:space="preserve">invita a los Miembros de Sector y </w:t>
      </w:r>
      <w:r>
        <w:rPr>
          <w:rFonts w:eastAsia="SimSun"/>
        </w:rPr>
        <w:t xml:space="preserve">Estados Miembros a adoptar. Las organizaciones citadas </w:t>
      </w:r>
      <w:r w:rsidRPr="00CA0280">
        <w:rPr>
          <w:rFonts w:eastAsia="SimSun"/>
        </w:rPr>
        <w:t xml:space="preserve">ilustran </w:t>
      </w:r>
      <w:r>
        <w:rPr>
          <w:rFonts w:eastAsia="SimSun"/>
        </w:rPr>
        <w:t>de manera eficaz</w:t>
      </w:r>
      <w:r w:rsidRPr="00CA0280">
        <w:rPr>
          <w:rFonts w:eastAsia="SimSun"/>
        </w:rPr>
        <w:t xml:space="preserve"> las responsabilidades com</w:t>
      </w:r>
      <w:r>
        <w:rPr>
          <w:rFonts w:eastAsia="SimSun"/>
        </w:rPr>
        <w:t xml:space="preserve">unes </w:t>
      </w:r>
      <w:r w:rsidRPr="00CA0280">
        <w:rPr>
          <w:rFonts w:eastAsia="SimSun"/>
        </w:rPr>
        <w:t xml:space="preserve">de los grupos interesados para </w:t>
      </w:r>
      <w:r>
        <w:rPr>
          <w:rFonts w:eastAsia="SimSun"/>
        </w:rPr>
        <w:t>propiciar el</w:t>
      </w:r>
      <w:r w:rsidRPr="00CA0280">
        <w:rPr>
          <w:rFonts w:eastAsia="SimSun"/>
        </w:rPr>
        <w:t xml:space="preserve"> desarrollo de infraestructura</w:t>
      </w:r>
      <w:r>
        <w:rPr>
          <w:rFonts w:eastAsia="SimSun"/>
        </w:rPr>
        <w:t>s</w:t>
      </w:r>
      <w:r w:rsidRPr="00CA0280">
        <w:rPr>
          <w:rFonts w:eastAsia="SimSun"/>
        </w:rPr>
        <w:t xml:space="preserve"> que </w:t>
      </w:r>
      <w:r>
        <w:rPr>
          <w:rFonts w:eastAsia="SimSun"/>
        </w:rPr>
        <w:t xml:space="preserve">han permitido el </w:t>
      </w:r>
      <w:r w:rsidRPr="00CA0280">
        <w:rPr>
          <w:rFonts w:eastAsia="SimSun"/>
        </w:rPr>
        <w:t>crecimiento de Internet</w:t>
      </w:r>
      <w:r>
        <w:rPr>
          <w:rFonts w:eastAsia="SimSun"/>
        </w:rPr>
        <w:t xml:space="preserve">, y </w:t>
      </w:r>
      <w:r w:rsidRPr="00CA0280">
        <w:rPr>
          <w:rFonts w:eastAsia="SimSun"/>
        </w:rPr>
        <w:t>mejorar la calidad y la estabilidad.</w:t>
      </w:r>
    </w:p>
    <w:p w:rsidR="005071F9" w:rsidRPr="005E7884" w:rsidRDefault="005071F9" w:rsidP="004F195E">
      <w:pPr>
        <w:rPr>
          <w:rFonts w:eastAsia="SimSun"/>
        </w:rPr>
      </w:pPr>
      <w:r w:rsidRPr="00CA0280">
        <w:rPr>
          <w:rFonts w:eastAsia="SimSun"/>
        </w:rPr>
        <w:t>D</w:t>
      </w:r>
      <w:r>
        <w:rPr>
          <w:rFonts w:eastAsia="SimSun"/>
        </w:rPr>
        <w:t>ado qu</w:t>
      </w:r>
      <w:r w:rsidRPr="00CA0280">
        <w:rPr>
          <w:rFonts w:eastAsia="SimSun"/>
        </w:rPr>
        <w:t>e</w:t>
      </w:r>
      <w:r>
        <w:rPr>
          <w:rFonts w:eastAsia="SimSun"/>
        </w:rPr>
        <w:t xml:space="preserve"> los</w:t>
      </w:r>
      <w:r w:rsidRPr="00CA0280">
        <w:rPr>
          <w:rFonts w:eastAsia="SimSun"/>
        </w:rPr>
        <w:t xml:space="preserve"> IXP desempeñan un papel fundamental </w:t>
      </w:r>
      <w:r>
        <w:rPr>
          <w:rFonts w:eastAsia="SimSun"/>
        </w:rPr>
        <w:t xml:space="preserve">para asegurar la eficacia </w:t>
      </w:r>
      <w:r w:rsidRPr="00CA0280">
        <w:rPr>
          <w:rFonts w:eastAsia="SimSun"/>
        </w:rPr>
        <w:t xml:space="preserve">de la interconexión de los proveedores de </w:t>
      </w:r>
      <w:r>
        <w:rPr>
          <w:rFonts w:eastAsia="SimSun"/>
        </w:rPr>
        <w:t xml:space="preserve">servicios </w:t>
      </w:r>
      <w:r w:rsidRPr="00CA0280">
        <w:rPr>
          <w:rFonts w:eastAsia="SimSun"/>
        </w:rPr>
        <w:t xml:space="preserve">Internet </w:t>
      </w:r>
      <w:r>
        <w:rPr>
          <w:rFonts w:eastAsia="SimSun"/>
        </w:rPr>
        <w:t xml:space="preserve">(PSI) gracias a acuerdos de tráfico recíproco, </w:t>
      </w:r>
      <w:r w:rsidRPr="00CA0280">
        <w:rPr>
          <w:rFonts w:eastAsia="SimSun"/>
        </w:rPr>
        <w:t xml:space="preserve">los RIR, en coordinación con otras organizaciones de Internet, también son firmes partidarios de la comunidad existente y </w:t>
      </w:r>
      <w:r>
        <w:rPr>
          <w:rFonts w:eastAsia="SimSun"/>
        </w:rPr>
        <w:t>de los procedimientos del sector privado que promueve</w:t>
      </w:r>
      <w:r w:rsidRPr="00CA0280">
        <w:rPr>
          <w:rFonts w:eastAsia="SimSun"/>
        </w:rPr>
        <w:t>n y facilit</w:t>
      </w:r>
      <w:r>
        <w:rPr>
          <w:rFonts w:eastAsia="SimSun"/>
        </w:rPr>
        <w:t>a</w:t>
      </w:r>
      <w:r w:rsidRPr="00CA0280">
        <w:rPr>
          <w:rFonts w:eastAsia="SimSun"/>
        </w:rPr>
        <w:t>n esos a</w:t>
      </w:r>
      <w:r>
        <w:rPr>
          <w:rFonts w:eastAsia="SimSun"/>
        </w:rPr>
        <w:t>cuerd</w:t>
      </w:r>
      <w:r w:rsidRPr="00CA0280">
        <w:rPr>
          <w:rFonts w:eastAsia="SimSun"/>
        </w:rPr>
        <w:t xml:space="preserve">os. </w:t>
      </w:r>
      <w:r>
        <w:rPr>
          <w:rFonts w:eastAsia="SimSun"/>
        </w:rPr>
        <w:t>Se trata e</w:t>
      </w:r>
      <w:r w:rsidRPr="00CA0280">
        <w:rPr>
          <w:rFonts w:eastAsia="SimSun"/>
        </w:rPr>
        <w:t>n particular</w:t>
      </w:r>
      <w:r>
        <w:rPr>
          <w:rFonts w:eastAsia="SimSun"/>
        </w:rPr>
        <w:t xml:space="preserve"> de </w:t>
      </w:r>
      <w:r w:rsidRPr="00CA0280">
        <w:rPr>
          <w:rFonts w:eastAsia="SimSun"/>
        </w:rPr>
        <w:t xml:space="preserve">foros mundiales y regionales de </w:t>
      </w:r>
      <w:r>
        <w:rPr>
          <w:rFonts w:eastAsia="SimSun"/>
        </w:rPr>
        <w:t>tráfico recíproco</w:t>
      </w:r>
      <w:r w:rsidRPr="00CA0280">
        <w:rPr>
          <w:rFonts w:eastAsia="SimSun"/>
        </w:rPr>
        <w:t xml:space="preserve">, </w:t>
      </w:r>
      <w:r>
        <w:rPr>
          <w:rFonts w:eastAsia="SimSun"/>
        </w:rPr>
        <w:t xml:space="preserve">en especial </w:t>
      </w:r>
      <w:r w:rsidRPr="002D5BEC">
        <w:rPr>
          <w:rFonts w:eastAsia="SimSun"/>
          <w:i/>
          <w:iCs/>
        </w:rPr>
        <w:t>African Peering and Interconnection Forum</w:t>
      </w:r>
      <w:r w:rsidRPr="00DC7FFD">
        <w:rPr>
          <w:rFonts w:eastAsia="SimSun"/>
        </w:rPr>
        <w:t xml:space="preserve"> (AfPIF</w:t>
      </w:r>
      <w:r>
        <w:rPr>
          <w:rFonts w:eastAsia="SimSun"/>
        </w:rPr>
        <w:t>, África</w:t>
      </w:r>
      <w:r w:rsidRPr="00DC7FFD">
        <w:rPr>
          <w:rFonts w:eastAsia="SimSun"/>
        </w:rPr>
        <w:t xml:space="preserve">), </w:t>
      </w:r>
      <w:r w:rsidRPr="004650B2">
        <w:rPr>
          <w:i/>
          <w:iCs/>
        </w:rPr>
        <w:t>Asia Pacific</w:t>
      </w:r>
      <w:r w:rsidR="004F195E">
        <w:rPr>
          <w:i/>
          <w:iCs/>
        </w:rPr>
        <w:t xml:space="preserve"> </w:t>
      </w:r>
      <w:r w:rsidRPr="004650B2">
        <w:rPr>
          <w:i/>
          <w:iCs/>
        </w:rPr>
        <w:t>Regional Internet Conference on Operational Technologies</w:t>
      </w:r>
      <w:r>
        <w:rPr>
          <w:rFonts w:eastAsia="SimSun"/>
        </w:rPr>
        <w:t xml:space="preserve"> (</w:t>
      </w:r>
      <w:r w:rsidRPr="00DC7FFD">
        <w:rPr>
          <w:rFonts w:eastAsia="SimSun"/>
        </w:rPr>
        <w:t>APRICOT</w:t>
      </w:r>
      <w:r>
        <w:rPr>
          <w:rFonts w:eastAsia="SimSun"/>
        </w:rPr>
        <w:t xml:space="preserve">, </w:t>
      </w:r>
      <w:r w:rsidRPr="00DC7FFD">
        <w:rPr>
          <w:rFonts w:eastAsia="SimSun"/>
        </w:rPr>
        <w:t>Asia</w:t>
      </w:r>
      <w:r>
        <w:rPr>
          <w:rFonts w:eastAsia="SimSun"/>
        </w:rPr>
        <w:noBreakHyphen/>
        <w:t>Pací</w:t>
      </w:r>
      <w:r w:rsidRPr="00DC7FFD">
        <w:rPr>
          <w:rFonts w:eastAsia="SimSun"/>
        </w:rPr>
        <w:t>fic</w:t>
      </w:r>
      <w:r>
        <w:rPr>
          <w:rFonts w:eastAsia="SimSun"/>
        </w:rPr>
        <w:t>o</w:t>
      </w:r>
      <w:r w:rsidRPr="00DC7FFD">
        <w:rPr>
          <w:rFonts w:eastAsia="SimSun"/>
        </w:rPr>
        <w:t>)</w:t>
      </w:r>
      <w:r>
        <w:rPr>
          <w:rFonts w:eastAsia="SimSun"/>
        </w:rPr>
        <w:t xml:space="preserve">, </w:t>
      </w:r>
      <w:r w:rsidRPr="004650B2">
        <w:rPr>
          <w:i/>
          <w:iCs/>
        </w:rPr>
        <w:t xml:space="preserve">Network Access Points of Latin America </w:t>
      </w:r>
      <w:r w:rsidRPr="00DC7FFD">
        <w:rPr>
          <w:rFonts w:eastAsia="SimSun"/>
        </w:rPr>
        <w:t>(NAPLA</w:t>
      </w:r>
      <w:r>
        <w:rPr>
          <w:rFonts w:eastAsia="SimSun"/>
        </w:rPr>
        <w:t>, América Latina</w:t>
      </w:r>
      <w:r w:rsidRPr="00DC7FFD">
        <w:rPr>
          <w:rFonts w:eastAsia="SimSun"/>
        </w:rPr>
        <w:t xml:space="preserve">), </w:t>
      </w:r>
      <w:r w:rsidRPr="004650B2">
        <w:rPr>
          <w:i/>
          <w:iCs/>
        </w:rPr>
        <w:t>North American Network Operators Group</w:t>
      </w:r>
      <w:r w:rsidRPr="004650B2">
        <w:t xml:space="preserve"> (NANOG, América del Norte)</w:t>
      </w:r>
      <w:r w:rsidRPr="005E7884">
        <w:rPr>
          <w:rFonts w:eastAsia="SimSun"/>
        </w:rPr>
        <w:t xml:space="preserve"> y </w:t>
      </w:r>
      <w:r w:rsidRPr="004650B2">
        <w:rPr>
          <w:rFonts w:eastAsia="SimSun"/>
          <w:i/>
          <w:iCs/>
        </w:rPr>
        <w:t>Middle East Peering Forum</w:t>
      </w:r>
      <w:r w:rsidRPr="00DC7FFD">
        <w:rPr>
          <w:rFonts w:eastAsia="SimSun"/>
        </w:rPr>
        <w:t xml:space="preserve"> (MPF</w:t>
      </w:r>
      <w:r>
        <w:rPr>
          <w:rFonts w:eastAsia="SimSun"/>
        </w:rPr>
        <w:t>, Oriente Medio</w:t>
      </w:r>
      <w:r w:rsidRPr="00DC7FFD">
        <w:rPr>
          <w:rFonts w:eastAsia="SimSun"/>
        </w:rPr>
        <w:t>)</w:t>
      </w:r>
      <w:r>
        <w:rPr>
          <w:rFonts w:eastAsia="SimSun"/>
        </w:rPr>
        <w:t>,</w:t>
      </w:r>
      <w:r w:rsidRPr="005E7884">
        <w:rPr>
          <w:rFonts w:eastAsia="SimSun"/>
        </w:rPr>
        <w:t xml:space="preserve"> recientemente creado. 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>Opinión 3: Apoyar la creación de capacidad para la implantación de IPv6</w:t>
      </w:r>
    </w:p>
    <w:p w:rsidR="005071F9" w:rsidRPr="008C6A9A" w:rsidRDefault="005071F9" w:rsidP="00237390">
      <w:pPr>
        <w:rPr>
          <w:rFonts w:eastAsia="SimSun"/>
        </w:rPr>
      </w:pPr>
      <w:r>
        <w:rPr>
          <w:rFonts w:eastAsia="SimSun"/>
        </w:rPr>
        <w:t xml:space="preserve">Los RIR apoyan el punto de vista según el cual </w:t>
      </w:r>
      <w:r w:rsidRPr="008C6A9A">
        <w:rPr>
          <w:rFonts w:eastAsia="SimSun"/>
        </w:rPr>
        <w:t xml:space="preserve">la </w:t>
      </w:r>
      <w:r>
        <w:rPr>
          <w:rFonts w:eastAsia="SimSun"/>
        </w:rPr>
        <w:t xml:space="preserve">creación de capacidad constituye un elemento esencial en la implantación </w:t>
      </w:r>
      <w:r w:rsidRPr="008C6A9A">
        <w:rPr>
          <w:rFonts w:eastAsia="SimSun"/>
        </w:rPr>
        <w:t xml:space="preserve">de IPv6. </w:t>
      </w:r>
      <w:r>
        <w:rPr>
          <w:rFonts w:eastAsia="SimSun"/>
        </w:rPr>
        <w:t>Como se indica</w:t>
      </w:r>
      <w:r w:rsidRPr="008C6A9A">
        <w:rPr>
          <w:rFonts w:eastAsia="SimSun"/>
        </w:rPr>
        <w:t xml:space="preserve"> en el </w:t>
      </w:r>
      <w:r>
        <w:rPr>
          <w:rFonts w:eastAsia="SimSun"/>
        </w:rPr>
        <w:t xml:space="preserve">texto de la Opinión, </w:t>
      </w:r>
      <w:r w:rsidRPr="008C6A9A">
        <w:rPr>
          <w:rFonts w:eastAsia="SimSun"/>
        </w:rPr>
        <w:t>l</w:t>
      </w:r>
      <w:r>
        <w:rPr>
          <w:rFonts w:eastAsia="SimSun"/>
        </w:rPr>
        <w:t>os problemas relativos al ag</w:t>
      </w:r>
      <w:r w:rsidRPr="008C6A9A">
        <w:rPr>
          <w:rFonts w:eastAsia="SimSun"/>
        </w:rPr>
        <w:t>otamiento de la reserv</w:t>
      </w:r>
      <w:r>
        <w:rPr>
          <w:rFonts w:eastAsia="SimSun"/>
        </w:rPr>
        <w:t>a de direcciones IPv4 pueden reducirse al mínimo si se planifica adecuadamente el paso al IPv6,</w:t>
      </w:r>
      <w:r w:rsidRPr="008C6A9A">
        <w:rPr>
          <w:rFonts w:eastAsia="SimSun"/>
        </w:rPr>
        <w:t xml:space="preserve"> y </w:t>
      </w:r>
      <w:r>
        <w:rPr>
          <w:rFonts w:eastAsia="SimSun"/>
        </w:rPr>
        <w:t xml:space="preserve">hay que hacer todo lo posible para </w:t>
      </w:r>
      <w:r w:rsidRPr="008C6A9A">
        <w:rPr>
          <w:rFonts w:eastAsia="SimSun"/>
        </w:rPr>
        <w:t xml:space="preserve">alentar y </w:t>
      </w:r>
      <w:r>
        <w:rPr>
          <w:rFonts w:eastAsia="SimSun"/>
        </w:rPr>
        <w:t xml:space="preserve">facilitar </w:t>
      </w:r>
      <w:r w:rsidRPr="008C6A9A">
        <w:rPr>
          <w:rFonts w:eastAsia="SimSun"/>
        </w:rPr>
        <w:t>ese proceso.</w:t>
      </w:r>
    </w:p>
    <w:p w:rsidR="005071F9" w:rsidRPr="008C6A9A" w:rsidRDefault="005071F9" w:rsidP="00237390">
      <w:pPr>
        <w:rPr>
          <w:rFonts w:eastAsia="SimSun"/>
        </w:rPr>
      </w:pPr>
      <w:r w:rsidRPr="008C6A9A">
        <w:rPr>
          <w:rFonts w:eastAsia="SimSun"/>
        </w:rPr>
        <w:t xml:space="preserve">En cuanto a la </w:t>
      </w:r>
      <w:r>
        <w:rPr>
          <w:rFonts w:eastAsia="SimSun"/>
        </w:rPr>
        <w:t>creación de capacidad</w:t>
      </w:r>
      <w:r w:rsidRPr="008C6A9A">
        <w:rPr>
          <w:rFonts w:eastAsia="SimSun"/>
        </w:rPr>
        <w:t xml:space="preserve">, los RIR han </w:t>
      </w:r>
      <w:r>
        <w:rPr>
          <w:rFonts w:eastAsia="SimSun"/>
        </w:rPr>
        <w:t>elabora</w:t>
      </w:r>
      <w:r w:rsidRPr="008C6A9A">
        <w:rPr>
          <w:rFonts w:eastAsia="SimSun"/>
        </w:rPr>
        <w:t xml:space="preserve">do varios programas </w:t>
      </w:r>
      <w:r>
        <w:rPr>
          <w:rFonts w:eastAsia="SimSun"/>
        </w:rPr>
        <w:t xml:space="preserve">de sensibilización y </w:t>
      </w:r>
      <w:r w:rsidRPr="008C6A9A">
        <w:rPr>
          <w:rFonts w:eastAsia="SimSun"/>
        </w:rPr>
        <w:t xml:space="preserve">cursos </w:t>
      </w:r>
      <w:r>
        <w:rPr>
          <w:rFonts w:eastAsia="SimSun"/>
        </w:rPr>
        <w:t xml:space="preserve">especiales </w:t>
      </w:r>
      <w:r w:rsidRPr="008C6A9A">
        <w:rPr>
          <w:rFonts w:eastAsia="SimSun"/>
        </w:rPr>
        <w:t xml:space="preserve">de formación </w:t>
      </w:r>
      <w:r>
        <w:rPr>
          <w:rFonts w:eastAsia="SimSun"/>
        </w:rPr>
        <w:t xml:space="preserve">consagrados a </w:t>
      </w:r>
      <w:r w:rsidRPr="008C6A9A">
        <w:rPr>
          <w:rFonts w:eastAsia="SimSun"/>
        </w:rPr>
        <w:t>los aspectos técnicos y de gestión de la impl</w:t>
      </w:r>
      <w:r>
        <w:rPr>
          <w:rFonts w:eastAsia="SimSun"/>
        </w:rPr>
        <w:t>anta</w:t>
      </w:r>
      <w:r w:rsidRPr="008C6A9A">
        <w:rPr>
          <w:rFonts w:eastAsia="SimSun"/>
        </w:rPr>
        <w:t>ción de IPv6 en redes IP. E</w:t>
      </w:r>
      <w:r>
        <w:rPr>
          <w:rFonts w:eastAsia="SimSun"/>
        </w:rPr>
        <w:t>n el Anexo 1 a la presente contribución se facilita una información más completa.</w:t>
      </w:r>
      <w:r w:rsidR="005D03AE">
        <w:rPr>
          <w:rFonts w:eastAsia="SimSun"/>
        </w:rPr>
        <w:t xml:space="preserve"> </w:t>
      </w:r>
    </w:p>
    <w:p w:rsidR="005071F9" w:rsidRPr="008C6A9A" w:rsidRDefault="005071F9" w:rsidP="00237390">
      <w:pPr>
        <w:rPr>
          <w:rFonts w:eastAsia="SimSun"/>
        </w:rPr>
      </w:pPr>
      <w:r>
        <w:rPr>
          <w:rFonts w:eastAsia="SimSun"/>
        </w:rPr>
        <w:t>Con respecto a la</w:t>
      </w:r>
      <w:r w:rsidRPr="008C6A9A">
        <w:rPr>
          <w:rFonts w:eastAsia="SimSun"/>
        </w:rPr>
        <w:t xml:space="preserve"> transferencia de espacio de direcciones IPv4, los RIR están</w:t>
      </w:r>
      <w:r>
        <w:rPr>
          <w:rFonts w:eastAsia="SimSun"/>
        </w:rPr>
        <w:t xml:space="preserve"> plenamente</w:t>
      </w:r>
      <w:r w:rsidRPr="008C6A9A">
        <w:rPr>
          <w:rFonts w:eastAsia="SimSun"/>
        </w:rPr>
        <w:t xml:space="preserve"> convencidos de que est</w:t>
      </w:r>
      <w:r>
        <w:rPr>
          <w:rFonts w:eastAsia="SimSun"/>
        </w:rPr>
        <w:t xml:space="preserve">a cuestión </w:t>
      </w:r>
      <w:r w:rsidRPr="008C6A9A">
        <w:rPr>
          <w:rFonts w:eastAsia="SimSun"/>
        </w:rPr>
        <w:t xml:space="preserve">está fuera del alcance de la Opinión 3, y </w:t>
      </w:r>
      <w:r>
        <w:rPr>
          <w:rFonts w:eastAsia="SimSun"/>
        </w:rPr>
        <w:t xml:space="preserve">remiten al punto de vista </w:t>
      </w:r>
      <w:r w:rsidRPr="008C6A9A">
        <w:rPr>
          <w:rFonts w:eastAsia="SimSun"/>
        </w:rPr>
        <w:t>detallad</w:t>
      </w:r>
      <w:r>
        <w:rPr>
          <w:rFonts w:eastAsia="SimSun"/>
        </w:rPr>
        <w:t>o</w:t>
      </w:r>
      <w:r w:rsidRPr="008C6A9A">
        <w:rPr>
          <w:rFonts w:eastAsia="SimSun"/>
        </w:rPr>
        <w:t xml:space="preserve"> </w:t>
      </w:r>
      <w:r>
        <w:rPr>
          <w:rFonts w:eastAsia="SimSun"/>
        </w:rPr>
        <w:t xml:space="preserve">formulado </w:t>
      </w:r>
      <w:r w:rsidRPr="008C6A9A">
        <w:rPr>
          <w:rFonts w:eastAsia="SimSun"/>
        </w:rPr>
        <w:t xml:space="preserve">en </w:t>
      </w:r>
      <w:r>
        <w:rPr>
          <w:rFonts w:eastAsia="SimSun"/>
        </w:rPr>
        <w:t>la</w:t>
      </w:r>
      <w:r w:rsidRPr="008C6A9A">
        <w:rPr>
          <w:rFonts w:eastAsia="SimSun"/>
        </w:rPr>
        <w:t xml:space="preserve"> respuesta a la</w:t>
      </w:r>
      <w:r>
        <w:rPr>
          <w:rFonts w:eastAsia="SimSun"/>
        </w:rPr>
        <w:t xml:space="preserve"> Opinión </w:t>
      </w:r>
      <w:r w:rsidRPr="008C6A9A">
        <w:rPr>
          <w:rFonts w:eastAsia="SimSun"/>
        </w:rPr>
        <w:t>4.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>Opinión 4: Soportar la adopción de IPv6 y la transición desde IPv4</w:t>
      </w:r>
    </w:p>
    <w:p w:rsidR="005071F9" w:rsidRPr="008C6A9A" w:rsidRDefault="005071F9" w:rsidP="00237390">
      <w:pPr>
        <w:rPr>
          <w:rFonts w:eastAsia="SimSun"/>
        </w:rPr>
      </w:pPr>
      <w:r w:rsidRPr="008C6A9A">
        <w:rPr>
          <w:rFonts w:eastAsia="SimSun"/>
        </w:rPr>
        <w:t xml:space="preserve">Los RIR </w:t>
      </w:r>
      <w:r>
        <w:rPr>
          <w:rFonts w:eastAsia="SimSun"/>
        </w:rPr>
        <w:t>aprueba</w:t>
      </w:r>
      <w:r w:rsidRPr="008C6A9A">
        <w:rPr>
          <w:rFonts w:eastAsia="SimSun"/>
        </w:rPr>
        <w:t xml:space="preserve">n </w:t>
      </w:r>
      <w:r>
        <w:rPr>
          <w:rFonts w:eastAsia="SimSun"/>
        </w:rPr>
        <w:t xml:space="preserve">numerosos puntos planteados en esta Opinión, en particular con respecto a </w:t>
      </w:r>
      <w:r w:rsidRPr="008C6A9A">
        <w:rPr>
          <w:rFonts w:eastAsia="SimSun"/>
        </w:rPr>
        <w:t xml:space="preserve">la </w:t>
      </w:r>
      <w:r>
        <w:rPr>
          <w:rFonts w:eastAsia="SimSun"/>
        </w:rPr>
        <w:t>importancia de adoptar el</w:t>
      </w:r>
      <w:r w:rsidRPr="008C6A9A">
        <w:rPr>
          <w:rFonts w:eastAsia="SimSun"/>
        </w:rPr>
        <w:t xml:space="preserve"> IPv6, </w:t>
      </w:r>
      <w:r>
        <w:rPr>
          <w:rFonts w:eastAsia="SimSun"/>
        </w:rPr>
        <w:t xml:space="preserve">a </w:t>
      </w:r>
      <w:r w:rsidRPr="008C6A9A">
        <w:rPr>
          <w:rFonts w:eastAsia="SimSun"/>
        </w:rPr>
        <w:t xml:space="preserve">la necesidad de </w:t>
      </w:r>
      <w:r>
        <w:rPr>
          <w:rFonts w:eastAsia="SimSun"/>
        </w:rPr>
        <w:t xml:space="preserve">atenuar </w:t>
      </w:r>
      <w:r w:rsidRPr="008C6A9A">
        <w:rPr>
          <w:rFonts w:eastAsia="SimSun"/>
        </w:rPr>
        <w:t xml:space="preserve">los efectos negativos del agotamiento de IPv4 </w:t>
      </w:r>
      <w:r>
        <w:rPr>
          <w:rFonts w:eastAsia="SimSun"/>
        </w:rPr>
        <w:t>en</w:t>
      </w:r>
      <w:r w:rsidRPr="008C6A9A">
        <w:rPr>
          <w:rFonts w:eastAsia="SimSun"/>
        </w:rPr>
        <w:t xml:space="preserve"> los operadores, especialmente en </w:t>
      </w:r>
      <w:r>
        <w:rPr>
          <w:rFonts w:eastAsia="SimSun"/>
        </w:rPr>
        <w:t>los países en</w:t>
      </w:r>
      <w:r w:rsidRPr="008C6A9A">
        <w:rPr>
          <w:rFonts w:eastAsia="SimSun"/>
        </w:rPr>
        <w:t xml:space="preserve"> desarrollo, y </w:t>
      </w:r>
      <w:r>
        <w:rPr>
          <w:rFonts w:eastAsia="SimSun"/>
        </w:rPr>
        <w:t xml:space="preserve">al interés </w:t>
      </w:r>
      <w:r w:rsidRPr="008C6A9A">
        <w:rPr>
          <w:rFonts w:eastAsia="SimSun"/>
        </w:rPr>
        <w:t xml:space="preserve">de </w:t>
      </w:r>
      <w:r>
        <w:rPr>
          <w:rFonts w:eastAsia="SimSun"/>
        </w:rPr>
        <w:t xml:space="preserve">procurar </w:t>
      </w:r>
      <w:r w:rsidRPr="008C6A9A">
        <w:rPr>
          <w:rFonts w:eastAsia="SimSun"/>
        </w:rPr>
        <w:t>que todas las direcciones IP est</w:t>
      </w:r>
      <w:r>
        <w:rPr>
          <w:rFonts w:eastAsia="SimSun"/>
        </w:rPr>
        <w:t>én registrada</w:t>
      </w:r>
      <w:r w:rsidRPr="008C6A9A">
        <w:rPr>
          <w:rFonts w:eastAsia="SimSun"/>
        </w:rPr>
        <w:t xml:space="preserve">s con </w:t>
      </w:r>
      <w:r>
        <w:rPr>
          <w:rFonts w:eastAsia="SimSun"/>
        </w:rPr>
        <w:t>precisión en bases de datos públicas administrada</w:t>
      </w:r>
      <w:r w:rsidRPr="008C6A9A">
        <w:rPr>
          <w:rFonts w:eastAsia="SimSun"/>
        </w:rPr>
        <w:t xml:space="preserve">s </w:t>
      </w:r>
      <w:r>
        <w:rPr>
          <w:rFonts w:eastAsia="SimSun"/>
        </w:rPr>
        <w:t xml:space="preserve">por los RIR, </w:t>
      </w:r>
      <w:r w:rsidRPr="008C6A9A">
        <w:rPr>
          <w:rFonts w:eastAsia="SimSun"/>
        </w:rPr>
        <w:t xml:space="preserve">de conformidad con las políticas </w:t>
      </w:r>
      <w:r>
        <w:rPr>
          <w:rFonts w:eastAsia="SimSun"/>
        </w:rPr>
        <w:t>elaboradas por la comunidad.</w:t>
      </w:r>
      <w:r w:rsidR="005D03AE">
        <w:rPr>
          <w:rFonts w:eastAsia="SimSun"/>
        </w:rPr>
        <w:t xml:space="preserve"> </w:t>
      </w:r>
    </w:p>
    <w:p w:rsidR="005071F9" w:rsidRPr="008C6A9A" w:rsidRDefault="005071F9" w:rsidP="00237390">
      <w:pPr>
        <w:rPr>
          <w:rFonts w:eastAsia="SimSun"/>
        </w:rPr>
      </w:pPr>
      <w:r>
        <w:rPr>
          <w:rFonts w:eastAsia="SimSun"/>
        </w:rPr>
        <w:t>Los</w:t>
      </w:r>
      <w:r w:rsidRPr="008C6A9A">
        <w:rPr>
          <w:rFonts w:eastAsia="SimSun"/>
        </w:rPr>
        <w:t xml:space="preserve"> RIR </w:t>
      </w:r>
      <w:r>
        <w:rPr>
          <w:rFonts w:eastAsia="SimSun"/>
        </w:rPr>
        <w:t xml:space="preserve">aprueban en particular la gran importancia que atribuye esta Opinión al </w:t>
      </w:r>
      <w:r w:rsidRPr="008C6A9A">
        <w:rPr>
          <w:rFonts w:eastAsia="SimSun"/>
        </w:rPr>
        <w:t>sector público</w:t>
      </w:r>
      <w:r>
        <w:rPr>
          <w:rFonts w:eastAsia="SimSun"/>
        </w:rPr>
        <w:t xml:space="preserve"> para alentar, facilitar y respaldar </w:t>
      </w:r>
      <w:r w:rsidRPr="008C6A9A">
        <w:rPr>
          <w:rFonts w:eastAsia="SimSun"/>
        </w:rPr>
        <w:t xml:space="preserve">la adopción de IPv6, especialmente </w:t>
      </w:r>
      <w:r>
        <w:rPr>
          <w:rFonts w:eastAsia="SimSun"/>
        </w:rPr>
        <w:t xml:space="preserve">por medio </w:t>
      </w:r>
      <w:r>
        <w:rPr>
          <w:rFonts w:eastAsia="SimSun"/>
        </w:rPr>
        <w:lastRenderedPageBreak/>
        <w:t xml:space="preserve">de </w:t>
      </w:r>
      <w:r w:rsidRPr="008C6A9A">
        <w:rPr>
          <w:rFonts w:eastAsia="SimSun"/>
        </w:rPr>
        <w:t xml:space="preserve">iniciativas de cooperación con el sector privado, </w:t>
      </w:r>
      <w:r>
        <w:rPr>
          <w:rFonts w:eastAsia="SimSun"/>
        </w:rPr>
        <w:t xml:space="preserve">ante todo con </w:t>
      </w:r>
      <w:r w:rsidRPr="008C6A9A">
        <w:rPr>
          <w:rFonts w:eastAsia="SimSun"/>
        </w:rPr>
        <w:t xml:space="preserve">operadores de redes y proveedores de servicios Internet. </w:t>
      </w:r>
    </w:p>
    <w:p w:rsidR="005071F9" w:rsidRPr="008C6A9A" w:rsidRDefault="005071F9" w:rsidP="00237390">
      <w:pPr>
        <w:rPr>
          <w:rFonts w:eastAsia="SimSun"/>
        </w:rPr>
      </w:pPr>
      <w:r w:rsidRPr="008C6A9A">
        <w:rPr>
          <w:rFonts w:eastAsia="SimSun"/>
        </w:rPr>
        <w:t xml:space="preserve">Los RIR </w:t>
      </w:r>
      <w:r>
        <w:rPr>
          <w:rFonts w:eastAsia="SimSun"/>
        </w:rPr>
        <w:t xml:space="preserve">desearían </w:t>
      </w:r>
      <w:r w:rsidRPr="008C6A9A">
        <w:rPr>
          <w:rFonts w:eastAsia="SimSun"/>
        </w:rPr>
        <w:t>aclarar ciertas cuestiones p</w:t>
      </w:r>
      <w:r>
        <w:rPr>
          <w:rFonts w:eastAsia="SimSun"/>
        </w:rPr>
        <w:t xml:space="preserve">lanteadas en varios puntos de la Opinión 4 </w:t>
      </w:r>
      <w:r w:rsidRPr="008C6A9A">
        <w:rPr>
          <w:rFonts w:eastAsia="SimSun"/>
        </w:rPr>
        <w:t xml:space="preserve">con la </w:t>
      </w:r>
      <w:r>
        <w:rPr>
          <w:rFonts w:eastAsia="SimSun"/>
        </w:rPr>
        <w:t xml:space="preserve">intención </w:t>
      </w:r>
      <w:r w:rsidRPr="008C6A9A">
        <w:rPr>
          <w:rFonts w:eastAsia="SimSun"/>
        </w:rPr>
        <w:t xml:space="preserve">de </w:t>
      </w:r>
      <w:r>
        <w:rPr>
          <w:rFonts w:eastAsia="SimSun"/>
        </w:rPr>
        <w:t xml:space="preserve">que </w:t>
      </w:r>
      <w:r w:rsidRPr="008C6A9A">
        <w:rPr>
          <w:rFonts w:eastAsia="SimSun"/>
        </w:rPr>
        <w:t>los participantes</w:t>
      </w:r>
      <w:r>
        <w:rPr>
          <w:rFonts w:eastAsia="SimSun"/>
        </w:rPr>
        <w:t xml:space="preserve"> del</w:t>
      </w:r>
      <w:r w:rsidRPr="008C6A9A">
        <w:rPr>
          <w:rFonts w:eastAsia="SimSun"/>
        </w:rPr>
        <w:t xml:space="preserve"> FMPT </w:t>
      </w:r>
      <w:r>
        <w:rPr>
          <w:rFonts w:eastAsia="SimSun"/>
        </w:rPr>
        <w:t>tengan toda la información necesaria al debatir e</w:t>
      </w:r>
      <w:r w:rsidRPr="008C6A9A">
        <w:rPr>
          <w:rFonts w:eastAsia="SimSun"/>
        </w:rPr>
        <w:t>stos temas.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Nuevos actores en el sector de Internet </w:t>
      </w:r>
    </w:p>
    <w:p w:rsidR="005071F9" w:rsidRPr="00DC7FFD" w:rsidRDefault="005071F9" w:rsidP="005071F9">
      <w:pPr>
        <w:spacing w:before="160"/>
        <w:ind w:right="1127"/>
        <w:rPr>
          <w:rFonts w:eastAsia="SimSun" w:cstheme="minorHAnsi"/>
          <w:szCs w:val="24"/>
        </w:rPr>
      </w:pPr>
      <w:r w:rsidRPr="00F444B0">
        <w:rPr>
          <w:rFonts w:eastAsia="SimSun" w:cstheme="minorHAnsi"/>
          <w:szCs w:val="24"/>
        </w:rPr>
        <w:t xml:space="preserve">En la </w:t>
      </w:r>
      <w:r w:rsidRPr="00DC7FFD">
        <w:rPr>
          <w:rFonts w:eastAsia="SimSun" w:cstheme="minorHAnsi"/>
          <w:szCs w:val="24"/>
        </w:rPr>
        <w:t>Opini</w:t>
      </w:r>
      <w:r w:rsidRPr="00F444B0">
        <w:rPr>
          <w:rFonts w:eastAsia="SimSun" w:cstheme="minorHAnsi"/>
          <w:szCs w:val="24"/>
        </w:rPr>
        <w:t>ó</w:t>
      </w:r>
      <w:r w:rsidRPr="00DC7FFD">
        <w:rPr>
          <w:rFonts w:eastAsia="SimSun" w:cstheme="minorHAnsi"/>
          <w:szCs w:val="24"/>
        </w:rPr>
        <w:t xml:space="preserve">n </w:t>
      </w:r>
      <w:r w:rsidRPr="00F444B0">
        <w:rPr>
          <w:rFonts w:eastAsia="SimSun" w:cstheme="minorHAnsi"/>
          <w:szCs w:val="24"/>
        </w:rPr>
        <w:t>se considera</w:t>
      </w:r>
      <w:r w:rsidRPr="00DC7FFD">
        <w:rPr>
          <w:rFonts w:eastAsia="SimSun" w:cstheme="minorHAnsi"/>
          <w:szCs w:val="24"/>
        </w:rPr>
        <w:t xml:space="preserve">: </w:t>
      </w:r>
    </w:p>
    <w:p w:rsidR="005071F9" w:rsidRPr="00237390" w:rsidRDefault="005071F9" w:rsidP="00237390">
      <w:pPr>
        <w:rPr>
          <w:rFonts w:eastAsia="SimSun"/>
          <w:i/>
          <w:iCs/>
        </w:rPr>
      </w:pPr>
      <w:r w:rsidRPr="00237390">
        <w:rPr>
          <w:rFonts w:eastAsia="SimSun"/>
          <w:i/>
          <w:iCs/>
        </w:rPr>
        <w:t>c)</w:t>
      </w:r>
      <w:r w:rsidRPr="00237390">
        <w:rPr>
          <w:rFonts w:eastAsia="SimSun"/>
          <w:i/>
          <w:iCs/>
        </w:rPr>
        <w:tab/>
      </w:r>
      <w:r w:rsidRPr="00237390">
        <w:rPr>
          <w:rFonts w:eastAsia="SimSun"/>
          <w:i/>
          <w:iCs/>
          <w:lang w:val="es-ES"/>
        </w:rPr>
        <w:t>que debería disponerse de planes y políticas para permitir a los nuevos ISP entrar en el mercado mediante el acceso a un bloque razonable de direcciones IPv4 a precios razonables</w:t>
      </w:r>
      <w:r w:rsidRPr="00237390">
        <w:rPr>
          <w:rFonts w:eastAsia="SimSun"/>
          <w:i/>
          <w:iCs/>
        </w:rPr>
        <w:t>;</w:t>
      </w:r>
    </w:p>
    <w:p w:rsidR="005071F9" w:rsidRPr="00F444B0" w:rsidRDefault="005071F9" w:rsidP="00237390">
      <w:pPr>
        <w:rPr>
          <w:rFonts w:eastAsia="SimSun"/>
        </w:rPr>
      </w:pPr>
      <w:r w:rsidRPr="00F444B0">
        <w:rPr>
          <w:rFonts w:eastAsia="SimSun"/>
        </w:rPr>
        <w:t xml:space="preserve">Las comunidades RIR han reconocido la importancia de </w:t>
      </w:r>
      <w:r>
        <w:rPr>
          <w:rFonts w:eastAsia="SimSun"/>
        </w:rPr>
        <w:t xml:space="preserve">responder a las necesidades de los creadores de </w:t>
      </w:r>
      <w:r w:rsidRPr="00F444B0">
        <w:rPr>
          <w:rFonts w:eastAsia="SimSun"/>
        </w:rPr>
        <w:t xml:space="preserve">nuevas redes, y han </w:t>
      </w:r>
      <w:r>
        <w:rPr>
          <w:rFonts w:eastAsia="SimSun"/>
        </w:rPr>
        <w:t xml:space="preserve">adoptado a tal efecto </w:t>
      </w:r>
      <w:r w:rsidRPr="00F444B0">
        <w:rPr>
          <w:rFonts w:eastAsia="SimSun"/>
        </w:rPr>
        <w:t xml:space="preserve">diversas medidas </w:t>
      </w:r>
      <w:r>
        <w:rPr>
          <w:rFonts w:eastAsia="SimSun"/>
        </w:rPr>
        <w:t>en</w:t>
      </w:r>
      <w:r w:rsidRPr="00F444B0">
        <w:rPr>
          <w:rFonts w:eastAsia="SimSun"/>
        </w:rPr>
        <w:t xml:space="preserve"> las cinco regiones RIR. AFRINIC, APNIC, L</w:t>
      </w:r>
      <w:r>
        <w:rPr>
          <w:rFonts w:eastAsia="SimSun"/>
        </w:rPr>
        <w:t xml:space="preserve">acnic </w:t>
      </w:r>
      <w:r w:rsidRPr="00F444B0">
        <w:rPr>
          <w:rFonts w:eastAsia="SimSun"/>
        </w:rPr>
        <w:t xml:space="preserve">y RIPE NCC tienen políticas </w:t>
      </w:r>
      <w:r>
        <w:rPr>
          <w:rFonts w:eastAsia="SimSun"/>
        </w:rPr>
        <w:t xml:space="preserve">concretas que rigen la distribución de su </w:t>
      </w:r>
      <w:r w:rsidRPr="00F444B0">
        <w:rPr>
          <w:rFonts w:eastAsia="SimSun"/>
        </w:rPr>
        <w:t>espacio de direcciones IPv4</w:t>
      </w:r>
      <w:r>
        <w:rPr>
          <w:rFonts w:eastAsia="SimSun"/>
        </w:rPr>
        <w:t xml:space="preserve"> restante</w:t>
      </w:r>
      <w:r w:rsidRPr="00F444B0">
        <w:rPr>
          <w:rFonts w:eastAsia="SimSun"/>
        </w:rPr>
        <w:t>. Es</w:t>
      </w:r>
      <w:r>
        <w:rPr>
          <w:rFonts w:eastAsia="SimSun"/>
        </w:rPr>
        <w:t xml:space="preserve">as políticas aseguran que </w:t>
      </w:r>
      <w:r w:rsidRPr="00F444B0">
        <w:rPr>
          <w:rFonts w:eastAsia="SimSun"/>
        </w:rPr>
        <w:t>pequeñas "</w:t>
      </w:r>
      <w:r>
        <w:rPr>
          <w:rFonts w:eastAsia="SimSun"/>
        </w:rPr>
        <w:t>porciones</w:t>
      </w:r>
      <w:r w:rsidRPr="00F444B0">
        <w:rPr>
          <w:rFonts w:eastAsia="SimSun"/>
        </w:rPr>
        <w:t xml:space="preserve">" de direcciones IPv4 estarán a disposición de las organizaciones en el futuro, con el </w:t>
      </w:r>
      <w:r>
        <w:rPr>
          <w:rFonts w:eastAsia="SimSun"/>
        </w:rPr>
        <w:t xml:space="preserve">fin de que </w:t>
      </w:r>
      <w:r w:rsidRPr="00F444B0">
        <w:rPr>
          <w:rFonts w:eastAsia="SimSun"/>
        </w:rPr>
        <w:t xml:space="preserve">las nuevas redes </w:t>
      </w:r>
      <w:r>
        <w:rPr>
          <w:rFonts w:eastAsia="SimSun"/>
        </w:rPr>
        <w:t xml:space="preserve">que utilizan </w:t>
      </w:r>
      <w:r w:rsidRPr="00F444B0">
        <w:rPr>
          <w:rFonts w:eastAsia="SimSun"/>
        </w:rPr>
        <w:t>IPv6 s</w:t>
      </w:r>
      <w:r>
        <w:rPr>
          <w:rFonts w:eastAsia="SimSun"/>
        </w:rPr>
        <w:t xml:space="preserve">ean compatibles </w:t>
      </w:r>
      <w:r w:rsidRPr="00F444B0">
        <w:rPr>
          <w:rFonts w:eastAsia="SimSun"/>
        </w:rPr>
        <w:t xml:space="preserve">con las redes </w:t>
      </w:r>
      <w:r>
        <w:rPr>
          <w:rFonts w:eastAsia="SimSun"/>
        </w:rPr>
        <w:t>IPv4 existentes</w:t>
      </w:r>
      <w:r w:rsidRPr="00F444B0">
        <w:rPr>
          <w:rFonts w:eastAsia="SimSun"/>
        </w:rPr>
        <w:t xml:space="preserve">. </w:t>
      </w:r>
    </w:p>
    <w:p w:rsidR="005071F9" w:rsidRPr="00F444B0" w:rsidRDefault="005071F9" w:rsidP="00237390">
      <w:pPr>
        <w:rPr>
          <w:rFonts w:eastAsia="SimSun"/>
        </w:rPr>
      </w:pPr>
      <w:r>
        <w:rPr>
          <w:rFonts w:eastAsia="SimSun"/>
        </w:rPr>
        <w:t>L</w:t>
      </w:r>
      <w:r w:rsidRPr="00F444B0">
        <w:rPr>
          <w:rFonts w:eastAsia="SimSun"/>
        </w:rPr>
        <w:t xml:space="preserve">as políticas </w:t>
      </w:r>
      <w:r>
        <w:rPr>
          <w:rFonts w:eastAsia="SimSun"/>
        </w:rPr>
        <w:t>de</w:t>
      </w:r>
      <w:r w:rsidRPr="00F444B0">
        <w:rPr>
          <w:rFonts w:eastAsia="SimSun"/>
        </w:rPr>
        <w:t xml:space="preserve"> algunos RIR</w:t>
      </w:r>
      <w:r>
        <w:rPr>
          <w:rFonts w:eastAsia="SimSun"/>
        </w:rPr>
        <w:t xml:space="preserve"> prevén además </w:t>
      </w:r>
      <w:r w:rsidRPr="00F444B0">
        <w:rPr>
          <w:rFonts w:eastAsia="SimSun"/>
        </w:rPr>
        <w:t>reserva</w:t>
      </w:r>
      <w:r>
        <w:rPr>
          <w:rFonts w:eastAsia="SimSun"/>
        </w:rPr>
        <w:t>r</w:t>
      </w:r>
      <w:r w:rsidRPr="00F444B0">
        <w:rPr>
          <w:rFonts w:eastAsia="SimSun"/>
        </w:rPr>
        <w:t xml:space="preserve"> bloques de direcciones IPv4 para </w:t>
      </w:r>
      <w:r>
        <w:rPr>
          <w:rFonts w:eastAsia="SimSun"/>
        </w:rPr>
        <w:t>que sean utilizados por puntos de intercambio de tráfico Internet (IXP) actuales y futuros, con objeto de asegurar el buen funcionamiento de eso</w:t>
      </w:r>
      <w:r w:rsidRPr="00F444B0">
        <w:rPr>
          <w:rFonts w:eastAsia="SimSun"/>
        </w:rPr>
        <w:t xml:space="preserve">s </w:t>
      </w:r>
      <w:r>
        <w:rPr>
          <w:rFonts w:eastAsia="SimSun"/>
        </w:rPr>
        <w:t>elemento</w:t>
      </w:r>
      <w:r w:rsidRPr="00F444B0">
        <w:rPr>
          <w:rFonts w:eastAsia="SimSun"/>
        </w:rPr>
        <w:t xml:space="preserve">s </w:t>
      </w:r>
      <w:r>
        <w:rPr>
          <w:rFonts w:eastAsia="SimSun"/>
        </w:rPr>
        <w:t>esenciales d</w:t>
      </w:r>
      <w:r w:rsidRPr="00F444B0">
        <w:rPr>
          <w:rFonts w:eastAsia="SimSun"/>
        </w:rPr>
        <w:t>e la infraestruct</w:t>
      </w:r>
      <w:r>
        <w:rPr>
          <w:rFonts w:eastAsia="SimSun"/>
        </w:rPr>
        <w:t xml:space="preserve">ura de Internet </w:t>
      </w:r>
      <w:r w:rsidRPr="00F444B0">
        <w:rPr>
          <w:rFonts w:eastAsia="SimSun"/>
        </w:rPr>
        <w:t xml:space="preserve">y </w:t>
      </w:r>
      <w:r>
        <w:rPr>
          <w:rFonts w:eastAsia="SimSun"/>
        </w:rPr>
        <w:t xml:space="preserve">procurar que contribuyan </w:t>
      </w:r>
      <w:r w:rsidRPr="00F444B0">
        <w:rPr>
          <w:rFonts w:eastAsia="SimSun"/>
        </w:rPr>
        <w:t xml:space="preserve">adecuadamente </w:t>
      </w:r>
      <w:r>
        <w:rPr>
          <w:rFonts w:eastAsia="SimSun"/>
        </w:rPr>
        <w:t>a la adopción de I</w:t>
      </w:r>
      <w:r w:rsidRPr="00F444B0">
        <w:rPr>
          <w:rFonts w:eastAsia="SimSun"/>
        </w:rPr>
        <w:t>Pv6.</w:t>
      </w:r>
    </w:p>
    <w:p w:rsidR="005071F9" w:rsidRPr="00F444B0" w:rsidRDefault="005071F9" w:rsidP="00237390">
      <w:pPr>
        <w:rPr>
          <w:rFonts w:eastAsia="SimSun"/>
        </w:rPr>
      </w:pPr>
      <w:r w:rsidRPr="00CB6CF6">
        <w:rPr>
          <w:rFonts w:eastAsia="SimSun"/>
        </w:rPr>
        <w:t>Asimismo, l</w:t>
      </w:r>
      <w:r w:rsidRPr="00F444B0">
        <w:rPr>
          <w:rFonts w:eastAsia="SimSun"/>
        </w:rPr>
        <w:t xml:space="preserve">os RIR </w:t>
      </w:r>
      <w:r>
        <w:rPr>
          <w:rFonts w:eastAsia="SimSun"/>
        </w:rPr>
        <w:t>recuerd</w:t>
      </w:r>
      <w:r w:rsidRPr="00F444B0">
        <w:rPr>
          <w:rFonts w:eastAsia="SimSun"/>
        </w:rPr>
        <w:t xml:space="preserve">an que, </w:t>
      </w:r>
      <w:r>
        <w:rPr>
          <w:rFonts w:eastAsia="SimSun"/>
        </w:rPr>
        <w:t>co</w:t>
      </w:r>
      <w:r w:rsidRPr="00F444B0">
        <w:rPr>
          <w:rFonts w:eastAsia="SimSun"/>
        </w:rPr>
        <w:t>n referencia a</w:t>
      </w:r>
      <w:r>
        <w:rPr>
          <w:rFonts w:eastAsia="SimSun"/>
        </w:rPr>
        <w:t xml:space="preserve"> la indicación de </w:t>
      </w:r>
      <w:r w:rsidRPr="00F444B0">
        <w:rPr>
          <w:rFonts w:eastAsia="SimSun"/>
        </w:rPr>
        <w:t>"precios razonables", son organizaciones sin fines de lucro</w:t>
      </w:r>
      <w:r>
        <w:rPr>
          <w:rFonts w:eastAsia="SimSun"/>
        </w:rPr>
        <w:t xml:space="preserve">, cuyos miembros determinan las tasas </w:t>
      </w:r>
      <w:r w:rsidRPr="00F444B0">
        <w:rPr>
          <w:rFonts w:eastAsia="SimSun"/>
        </w:rPr>
        <w:t>de</w:t>
      </w:r>
      <w:r>
        <w:rPr>
          <w:rFonts w:eastAsia="SimSun"/>
        </w:rPr>
        <w:t xml:space="preserve"> admisión y de </w:t>
      </w:r>
      <w:r w:rsidRPr="00F444B0">
        <w:rPr>
          <w:rFonts w:eastAsia="SimSun"/>
        </w:rPr>
        <w:t>servicios q</w:t>
      </w:r>
      <w:r>
        <w:rPr>
          <w:rFonts w:eastAsia="SimSun"/>
        </w:rPr>
        <w:t>ue sean razonablemente necesarias para la financiación de su</w:t>
      </w:r>
      <w:r w:rsidRPr="00F444B0">
        <w:rPr>
          <w:rFonts w:eastAsia="SimSun"/>
        </w:rPr>
        <w:t>s actividades</w:t>
      </w:r>
      <w:r>
        <w:rPr>
          <w:rFonts w:eastAsia="SimSun"/>
        </w:rPr>
        <w:t>.</w:t>
      </w:r>
      <w:r w:rsidR="005D03AE">
        <w:rPr>
          <w:rFonts w:eastAsia="SimSun"/>
        </w:rPr>
        <w:t xml:space="preserve"> 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Espacio de direcciones IPv4 "tradicional" </w:t>
      </w:r>
    </w:p>
    <w:p w:rsidR="005071F9" w:rsidRPr="00DC7FFD" w:rsidRDefault="005071F9" w:rsidP="00237390">
      <w:pPr>
        <w:rPr>
          <w:rFonts w:eastAsia="SimSun"/>
        </w:rPr>
      </w:pPr>
      <w:r w:rsidRPr="00F444B0">
        <w:rPr>
          <w:rFonts w:eastAsia="SimSun"/>
        </w:rPr>
        <w:t>A</w:t>
      </w:r>
      <w:r>
        <w:rPr>
          <w:rFonts w:eastAsia="SimSun"/>
        </w:rPr>
        <w:t xml:space="preserve">proximadamente </w:t>
      </w:r>
      <w:r w:rsidRPr="00F444B0">
        <w:rPr>
          <w:rFonts w:eastAsia="SimSun"/>
        </w:rPr>
        <w:t>el 35% del espacio</w:t>
      </w:r>
      <w:r>
        <w:rPr>
          <w:rFonts w:eastAsia="SimSun"/>
        </w:rPr>
        <w:t xml:space="preserve"> total de direcciones IPv4, llamado generalmente </w:t>
      </w:r>
      <w:r w:rsidRPr="00ED640B">
        <w:rPr>
          <w:rFonts w:eastAsia="SimSun"/>
        </w:rPr>
        <w:t xml:space="preserve">"espacio </w:t>
      </w:r>
      <w:r>
        <w:rPr>
          <w:rFonts w:eastAsia="SimSun"/>
        </w:rPr>
        <w:t>tradicional</w:t>
      </w:r>
      <w:r w:rsidRPr="00ED640B">
        <w:rPr>
          <w:rFonts w:eastAsia="SimSun"/>
        </w:rPr>
        <w:t>"</w:t>
      </w:r>
      <w:r>
        <w:rPr>
          <w:rFonts w:eastAsia="SimSun"/>
        </w:rPr>
        <w:t xml:space="preserve">, ha sido atribuido a </w:t>
      </w:r>
      <w:r w:rsidRPr="00F444B0">
        <w:rPr>
          <w:rFonts w:eastAsia="SimSun"/>
        </w:rPr>
        <w:t xml:space="preserve">organismos </w:t>
      </w:r>
      <w:r>
        <w:rPr>
          <w:rFonts w:eastAsia="SimSun"/>
        </w:rPr>
        <w:t xml:space="preserve">anteriores a los RIR. Aunque ese </w:t>
      </w:r>
      <w:r w:rsidRPr="00F444B0">
        <w:rPr>
          <w:rFonts w:eastAsia="SimSun"/>
        </w:rPr>
        <w:t>espacio puede estar sujet</w:t>
      </w:r>
      <w:r>
        <w:rPr>
          <w:rFonts w:eastAsia="SimSun"/>
        </w:rPr>
        <w:t>o</w:t>
      </w:r>
      <w:r w:rsidRPr="00F444B0">
        <w:rPr>
          <w:rFonts w:eastAsia="SimSun"/>
        </w:rPr>
        <w:t xml:space="preserve"> a condiciones específicas </w:t>
      </w:r>
      <w:r>
        <w:rPr>
          <w:rFonts w:eastAsia="SimSun"/>
        </w:rPr>
        <w:t xml:space="preserve">en materia </w:t>
      </w:r>
      <w:r w:rsidRPr="00F444B0">
        <w:rPr>
          <w:rFonts w:eastAsia="SimSun"/>
        </w:rPr>
        <w:t xml:space="preserve">de política, el </w:t>
      </w:r>
      <w:r>
        <w:rPr>
          <w:rFonts w:eastAsia="SimSun"/>
        </w:rPr>
        <w:t xml:space="preserve">total del </w:t>
      </w:r>
      <w:r w:rsidRPr="00F444B0">
        <w:rPr>
          <w:rFonts w:eastAsia="SimSun"/>
        </w:rPr>
        <w:t xml:space="preserve">espacio </w:t>
      </w:r>
      <w:r>
        <w:rPr>
          <w:rFonts w:eastAsia="SimSun"/>
        </w:rPr>
        <w:t xml:space="preserve">tradicional sigue supeditado a </w:t>
      </w:r>
      <w:r w:rsidRPr="00F444B0">
        <w:rPr>
          <w:rFonts w:eastAsia="SimSun"/>
        </w:rPr>
        <w:t xml:space="preserve">la autoridad del RIR </w:t>
      </w:r>
      <w:r>
        <w:rPr>
          <w:rFonts w:eastAsia="SimSun"/>
        </w:rPr>
        <w:t xml:space="preserve">competente </w:t>
      </w:r>
      <w:r w:rsidRPr="00F444B0">
        <w:rPr>
          <w:rFonts w:eastAsia="SimSun"/>
        </w:rPr>
        <w:t>(</w:t>
      </w:r>
      <w:r>
        <w:rPr>
          <w:rFonts w:eastAsia="SimSun"/>
        </w:rPr>
        <w:t xml:space="preserve">el correspondiente a </w:t>
      </w:r>
      <w:r w:rsidRPr="00F444B0">
        <w:rPr>
          <w:rFonts w:eastAsia="SimSun"/>
        </w:rPr>
        <w:t xml:space="preserve">la región </w:t>
      </w:r>
      <w:r>
        <w:rPr>
          <w:rFonts w:eastAsia="SimSun"/>
        </w:rPr>
        <w:t>de atribución de direcciones),</w:t>
      </w:r>
      <w:r w:rsidRPr="00F444B0">
        <w:rPr>
          <w:rFonts w:eastAsia="SimSun"/>
        </w:rPr>
        <w:t xml:space="preserve"> y los RIR quisiera</w:t>
      </w:r>
      <w:r>
        <w:rPr>
          <w:rFonts w:eastAsia="SimSun"/>
        </w:rPr>
        <w:t>n</w:t>
      </w:r>
      <w:r w:rsidRPr="00F444B0">
        <w:rPr>
          <w:rFonts w:eastAsia="SimSun"/>
        </w:rPr>
        <w:t xml:space="preserve"> destacar varios </w:t>
      </w:r>
      <w:r>
        <w:rPr>
          <w:rFonts w:eastAsia="SimSun"/>
        </w:rPr>
        <w:t xml:space="preserve">aspectos relativos a dicho </w:t>
      </w:r>
      <w:r w:rsidRPr="00F444B0">
        <w:rPr>
          <w:rFonts w:eastAsia="SimSun"/>
        </w:rPr>
        <w:t>espacio:</w:t>
      </w:r>
    </w:p>
    <w:p w:rsidR="005071F9" w:rsidRPr="00DC7FFD" w:rsidRDefault="00F84E05" w:rsidP="00237390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>Conviene recordar q</w:t>
      </w:r>
      <w:r w:rsidR="005071F9" w:rsidRPr="00F444B0">
        <w:rPr>
          <w:rFonts w:eastAsia="SimSun"/>
        </w:rPr>
        <w:t>ue incluso si el 20% de la totalidad de</w:t>
      </w:r>
      <w:r w:rsidR="005071F9">
        <w:rPr>
          <w:rFonts w:eastAsia="SimSun"/>
        </w:rPr>
        <w:t>l espacio de direcciones</w:t>
      </w:r>
      <w:r w:rsidR="005071F9" w:rsidRPr="00F444B0">
        <w:rPr>
          <w:rFonts w:eastAsia="SimSun"/>
        </w:rPr>
        <w:t xml:space="preserve"> </w:t>
      </w:r>
      <w:r w:rsidR="005071F9">
        <w:rPr>
          <w:rFonts w:eastAsia="SimSun"/>
        </w:rPr>
        <w:t xml:space="preserve">IPv4 de unidifusión mundial </w:t>
      </w:r>
      <w:r w:rsidR="005071F9" w:rsidRPr="00F444B0">
        <w:rPr>
          <w:rFonts w:eastAsia="SimSun"/>
        </w:rPr>
        <w:t>estuviera dis</w:t>
      </w:r>
      <w:r w:rsidR="005071F9">
        <w:rPr>
          <w:rFonts w:eastAsia="SimSun"/>
        </w:rPr>
        <w:t xml:space="preserve">ponible para su redistribución, ello permitiría cubrir las atribuciones durante </w:t>
      </w:r>
      <w:r w:rsidR="005071F9" w:rsidRPr="00F444B0">
        <w:rPr>
          <w:rFonts w:eastAsia="SimSun"/>
        </w:rPr>
        <w:t xml:space="preserve">poco menos de 3 años, </w:t>
      </w:r>
      <w:r w:rsidR="005071F9">
        <w:rPr>
          <w:rFonts w:eastAsia="SimSun"/>
        </w:rPr>
        <w:t>teniendo en cuenta el ritmo</w:t>
      </w:r>
      <w:r w:rsidR="005071F9" w:rsidRPr="00F444B0">
        <w:rPr>
          <w:rFonts w:eastAsia="SimSun"/>
        </w:rPr>
        <w:t xml:space="preserve"> de consumo </w:t>
      </w:r>
      <w:r w:rsidR="005071F9">
        <w:rPr>
          <w:rFonts w:eastAsia="SimSun"/>
        </w:rPr>
        <w:t xml:space="preserve">de direcciones a escala mundial correspondiente a </w:t>
      </w:r>
      <w:r w:rsidR="005071F9" w:rsidRPr="00F444B0">
        <w:rPr>
          <w:rFonts w:eastAsia="SimSun"/>
        </w:rPr>
        <w:t>2010.</w:t>
      </w:r>
    </w:p>
    <w:p w:rsidR="005071F9" w:rsidRPr="00DC7FFD" w:rsidRDefault="00F84E05" w:rsidP="00F84E05">
      <w:pPr>
        <w:pStyle w:val="enumlev1"/>
        <w:rPr>
          <w:rFonts w:eastAsia="SimSun"/>
        </w:rPr>
      </w:pPr>
      <w:r>
        <w:lastRenderedPageBreak/>
        <w:t>•</w:t>
      </w:r>
      <w:r>
        <w:tab/>
      </w:r>
      <w:r w:rsidR="005071F9" w:rsidRPr="00F444B0">
        <w:rPr>
          <w:rFonts w:eastAsia="SimSun"/>
        </w:rPr>
        <w:t xml:space="preserve">Es imposible </w:t>
      </w:r>
      <w:r w:rsidR="005071F9">
        <w:rPr>
          <w:rFonts w:eastAsia="SimSun"/>
        </w:rPr>
        <w:t xml:space="preserve">evaluar </w:t>
      </w:r>
      <w:r w:rsidR="005071F9" w:rsidRPr="00F444B0">
        <w:rPr>
          <w:rFonts w:eastAsia="SimSun"/>
        </w:rPr>
        <w:t>con precisión la tasa de utilización de</w:t>
      </w:r>
      <w:r w:rsidR="005071F9">
        <w:rPr>
          <w:rFonts w:eastAsia="SimSun"/>
        </w:rPr>
        <w:t>l</w:t>
      </w:r>
      <w:r w:rsidR="005071F9" w:rsidRPr="00F444B0">
        <w:rPr>
          <w:rFonts w:eastAsia="SimSun"/>
        </w:rPr>
        <w:t xml:space="preserve"> espacio de direcciones </w:t>
      </w:r>
      <w:r w:rsidR="005071F9">
        <w:rPr>
          <w:rFonts w:eastAsia="SimSun"/>
        </w:rPr>
        <w:t xml:space="preserve">tradicional. Aunque </w:t>
      </w:r>
      <w:r w:rsidR="005071F9" w:rsidRPr="00F444B0">
        <w:rPr>
          <w:rFonts w:eastAsia="SimSun"/>
        </w:rPr>
        <w:t>las direcciones no s</w:t>
      </w:r>
      <w:r w:rsidR="005071F9">
        <w:rPr>
          <w:rFonts w:eastAsia="SimSun"/>
        </w:rPr>
        <w:t>ea</w:t>
      </w:r>
      <w:r w:rsidR="005071F9" w:rsidRPr="00F444B0">
        <w:rPr>
          <w:rFonts w:eastAsia="SimSun"/>
        </w:rPr>
        <w:t>n visibles en la Intern</w:t>
      </w:r>
      <w:r w:rsidR="005071F9">
        <w:rPr>
          <w:rFonts w:eastAsia="SimSun"/>
        </w:rPr>
        <w:t>et pública, es posible que los titulares de es</w:t>
      </w:r>
      <w:r w:rsidR="005071F9" w:rsidRPr="00F444B0">
        <w:rPr>
          <w:rFonts w:eastAsia="SimSun"/>
        </w:rPr>
        <w:t xml:space="preserve">e espacio </w:t>
      </w:r>
      <w:r w:rsidR="005071F9">
        <w:rPr>
          <w:rFonts w:eastAsia="SimSun"/>
        </w:rPr>
        <w:t xml:space="preserve">las utilicen en </w:t>
      </w:r>
      <w:r w:rsidR="005071F9" w:rsidRPr="00F444B0">
        <w:rPr>
          <w:rFonts w:eastAsia="SimSun"/>
        </w:rPr>
        <w:t xml:space="preserve">redes privadas. </w:t>
      </w:r>
      <w:r w:rsidR="005071F9">
        <w:rPr>
          <w:rFonts w:eastAsia="SimSun"/>
        </w:rPr>
        <w:t>Esta práctica no vio</w:t>
      </w:r>
      <w:r w:rsidR="005071F9" w:rsidRPr="00F444B0">
        <w:rPr>
          <w:rFonts w:eastAsia="SimSun"/>
        </w:rPr>
        <w:t>la</w:t>
      </w:r>
      <w:r w:rsidR="005071F9">
        <w:rPr>
          <w:rFonts w:eastAsia="SimSun"/>
        </w:rPr>
        <w:t xml:space="preserve"> ninguna</w:t>
      </w:r>
      <w:r w:rsidR="005071F9" w:rsidRPr="00F444B0">
        <w:rPr>
          <w:rFonts w:eastAsia="SimSun"/>
        </w:rPr>
        <w:t xml:space="preserve"> política de </w:t>
      </w:r>
      <w:r w:rsidR="005071F9">
        <w:rPr>
          <w:rFonts w:eastAsia="SimSun"/>
        </w:rPr>
        <w:t>utilización</w:t>
      </w:r>
      <w:r w:rsidR="005071F9" w:rsidRPr="00F444B0">
        <w:rPr>
          <w:rFonts w:eastAsia="SimSun"/>
        </w:rPr>
        <w:t xml:space="preserve"> de direcciones</w:t>
      </w:r>
      <w:r w:rsidR="005071F9">
        <w:rPr>
          <w:rFonts w:eastAsia="SimSun"/>
        </w:rPr>
        <w:t xml:space="preserve"> en vigor</w:t>
      </w:r>
      <w:r w:rsidR="005071F9" w:rsidRPr="00F444B0">
        <w:rPr>
          <w:rFonts w:eastAsia="SimSun"/>
        </w:rPr>
        <w:t xml:space="preserve"> </w:t>
      </w:r>
      <w:r w:rsidR="005071F9">
        <w:rPr>
          <w:rFonts w:eastAsia="SimSun"/>
        </w:rPr>
        <w:t xml:space="preserve">ni ninguna norma de </w:t>
      </w:r>
      <w:r w:rsidR="005071F9" w:rsidRPr="00F444B0">
        <w:rPr>
          <w:rFonts w:eastAsia="SimSun"/>
        </w:rPr>
        <w:t>direccionamiento IP</w:t>
      </w:r>
      <w:r w:rsidR="005071F9">
        <w:rPr>
          <w:rFonts w:eastAsia="SimSun"/>
        </w:rPr>
        <w:t xml:space="preserve">. </w:t>
      </w:r>
    </w:p>
    <w:p w:rsidR="005071F9" w:rsidRPr="00DC7FFD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F444B0">
        <w:rPr>
          <w:rFonts w:eastAsia="SimSun"/>
        </w:rPr>
        <w:t>El sistema de registro de Internet contiene un incentivo importante par</w:t>
      </w:r>
      <w:r w:rsidR="005071F9">
        <w:rPr>
          <w:rFonts w:eastAsia="SimSun"/>
        </w:rPr>
        <w:t>a que los titulares de espacio tradicional estén interesados en que sus recursos sean registrados con precisión en</w:t>
      </w:r>
      <w:r w:rsidR="005071F9" w:rsidRPr="00F444B0">
        <w:rPr>
          <w:rFonts w:eastAsia="SimSun"/>
        </w:rPr>
        <w:t xml:space="preserve"> una base de datos</w:t>
      </w:r>
      <w:r w:rsidR="005071F9">
        <w:rPr>
          <w:rFonts w:eastAsia="SimSun"/>
        </w:rPr>
        <w:t xml:space="preserve"> pública administrada por los</w:t>
      </w:r>
      <w:r w:rsidR="005071F9" w:rsidRPr="00F444B0">
        <w:rPr>
          <w:rFonts w:eastAsia="SimSun"/>
        </w:rPr>
        <w:t xml:space="preserve"> RIR</w:t>
      </w:r>
      <w:r w:rsidR="005071F9">
        <w:rPr>
          <w:rFonts w:eastAsia="SimSun"/>
        </w:rPr>
        <w:t>. Los d</w:t>
      </w:r>
      <w:r w:rsidR="005071F9" w:rsidRPr="00F444B0">
        <w:rPr>
          <w:rFonts w:eastAsia="SimSun"/>
        </w:rPr>
        <w:t>atos de</w:t>
      </w:r>
      <w:r w:rsidR="005071F9">
        <w:rPr>
          <w:rFonts w:eastAsia="SimSun"/>
        </w:rPr>
        <w:t>l</w:t>
      </w:r>
      <w:r w:rsidR="005071F9" w:rsidRPr="00F444B0">
        <w:rPr>
          <w:rFonts w:eastAsia="SimSun"/>
        </w:rPr>
        <w:t xml:space="preserve"> registro de los bloques de direcciones </w:t>
      </w:r>
      <w:r w:rsidR="005071F9">
        <w:rPr>
          <w:rFonts w:eastAsia="SimSun"/>
        </w:rPr>
        <w:t xml:space="preserve">tradicionales son almacenados </w:t>
      </w:r>
      <w:r w:rsidR="005071F9" w:rsidRPr="00F444B0">
        <w:rPr>
          <w:rFonts w:eastAsia="SimSun"/>
        </w:rPr>
        <w:t>en las bases de datos RIR (transferido</w:t>
      </w:r>
      <w:r w:rsidR="005071F9">
        <w:rPr>
          <w:rFonts w:eastAsia="SimSun"/>
        </w:rPr>
        <w:t>s</w:t>
      </w:r>
      <w:r w:rsidR="005071F9" w:rsidRPr="00F444B0">
        <w:rPr>
          <w:rFonts w:eastAsia="SimSun"/>
        </w:rPr>
        <w:t xml:space="preserve"> de</w:t>
      </w:r>
      <w:r w:rsidR="005071F9">
        <w:rPr>
          <w:rFonts w:eastAsia="SimSun"/>
        </w:rPr>
        <w:t>sde</w:t>
      </w:r>
      <w:r w:rsidR="005071F9" w:rsidRPr="00F444B0">
        <w:rPr>
          <w:rFonts w:eastAsia="SimSun"/>
        </w:rPr>
        <w:t xml:space="preserve"> los </w:t>
      </w:r>
      <w:r w:rsidR="005071F9">
        <w:rPr>
          <w:rFonts w:eastAsia="SimSun"/>
        </w:rPr>
        <w:t xml:space="preserve">registros </w:t>
      </w:r>
      <w:r w:rsidR="005071F9" w:rsidRPr="00F444B0">
        <w:rPr>
          <w:rFonts w:eastAsia="SimSun"/>
        </w:rPr>
        <w:t>originales cuando se establecie</w:t>
      </w:r>
      <w:r w:rsidR="005071F9">
        <w:rPr>
          <w:rFonts w:eastAsia="SimSun"/>
        </w:rPr>
        <w:t xml:space="preserve">ron los RIR) y utilizados por lo general </w:t>
      </w:r>
      <w:r w:rsidR="005071F9" w:rsidRPr="00F444B0">
        <w:rPr>
          <w:rFonts w:eastAsia="SimSun"/>
        </w:rPr>
        <w:t>por los proveedores de servicios Internet para tomar decisiones con respecto a sus políticas de en</w:t>
      </w:r>
      <w:r w:rsidR="005071F9">
        <w:rPr>
          <w:rFonts w:eastAsia="SimSun"/>
        </w:rPr>
        <w:t>camina</w:t>
      </w:r>
      <w:r w:rsidR="005071F9" w:rsidRPr="00F444B0">
        <w:rPr>
          <w:rFonts w:eastAsia="SimSun"/>
        </w:rPr>
        <w:t xml:space="preserve">miento. </w:t>
      </w:r>
      <w:r w:rsidR="005071F9">
        <w:rPr>
          <w:rFonts w:eastAsia="SimSun"/>
        </w:rPr>
        <w:t>Los r</w:t>
      </w:r>
      <w:r w:rsidR="005071F9" w:rsidRPr="00F444B0">
        <w:rPr>
          <w:rFonts w:eastAsia="SimSun"/>
        </w:rPr>
        <w:t xml:space="preserve">egistros </w:t>
      </w:r>
      <w:r w:rsidR="005071F9">
        <w:rPr>
          <w:rFonts w:eastAsia="SimSun"/>
        </w:rPr>
        <w:t xml:space="preserve">caducos </w:t>
      </w:r>
      <w:r w:rsidR="005071F9" w:rsidRPr="00F444B0">
        <w:rPr>
          <w:rFonts w:eastAsia="SimSun"/>
        </w:rPr>
        <w:t xml:space="preserve">o </w:t>
      </w:r>
      <w:r w:rsidR="005071F9">
        <w:rPr>
          <w:rFonts w:eastAsia="SimSun"/>
        </w:rPr>
        <w:t xml:space="preserve">no actualizados </w:t>
      </w:r>
      <w:r w:rsidR="005071F9" w:rsidRPr="00F444B0">
        <w:rPr>
          <w:rFonts w:eastAsia="SimSun"/>
        </w:rPr>
        <w:t xml:space="preserve">pueden </w:t>
      </w:r>
      <w:r w:rsidR="005071F9">
        <w:rPr>
          <w:rFonts w:eastAsia="SimSun"/>
        </w:rPr>
        <w:t>hacer perder la confianza de los operadores en es</w:t>
      </w:r>
      <w:r w:rsidR="005071F9" w:rsidRPr="00F444B0">
        <w:rPr>
          <w:rFonts w:eastAsia="SimSun"/>
        </w:rPr>
        <w:t xml:space="preserve">os bloques de direcciones y </w:t>
      </w:r>
      <w:r w:rsidR="005071F9">
        <w:rPr>
          <w:rFonts w:eastAsia="SimSun"/>
        </w:rPr>
        <w:t xml:space="preserve">volver las direcciones que contienen inutilizables en la Internet pública, a raíz del rechazo de los anuncios de encaminamiento relativos a esos bloques por parte de ciertos operadores. </w:t>
      </w:r>
    </w:p>
    <w:p w:rsidR="005071F9" w:rsidRPr="00DC7FFD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F444B0">
        <w:rPr>
          <w:rFonts w:eastAsia="SimSun"/>
        </w:rPr>
        <w:t xml:space="preserve">Los RIR han adoptado medidas para recuperar direcciones </w:t>
      </w:r>
      <w:r w:rsidR="005071F9">
        <w:rPr>
          <w:rFonts w:eastAsia="SimSun"/>
        </w:rPr>
        <w:t xml:space="preserve">tradicionales </w:t>
      </w:r>
      <w:r w:rsidR="005071F9" w:rsidRPr="00F444B0">
        <w:rPr>
          <w:rFonts w:eastAsia="SimSun"/>
        </w:rPr>
        <w:t>no utilizad</w:t>
      </w:r>
      <w:r w:rsidR="005071F9">
        <w:rPr>
          <w:rFonts w:eastAsia="SimSun"/>
        </w:rPr>
        <w:t>a</w:t>
      </w:r>
      <w:r w:rsidR="005071F9" w:rsidRPr="00F444B0">
        <w:rPr>
          <w:rFonts w:eastAsia="SimSun"/>
        </w:rPr>
        <w:t xml:space="preserve">s y </w:t>
      </w:r>
      <w:r w:rsidR="005071F9">
        <w:rPr>
          <w:rFonts w:eastAsia="SimSun"/>
        </w:rPr>
        <w:t xml:space="preserve">restituirlas al </w:t>
      </w:r>
      <w:r w:rsidR="005071F9" w:rsidRPr="00805322">
        <w:rPr>
          <w:rFonts w:eastAsia="SimSun"/>
        </w:rPr>
        <w:t>Organismo de Asignación de Números Interne</w:t>
      </w:r>
      <w:r w:rsidR="005071F9">
        <w:rPr>
          <w:rFonts w:eastAsia="SimSun"/>
        </w:rPr>
        <w:t>t</w:t>
      </w:r>
      <w:r w:rsidR="005071F9" w:rsidRPr="00F444B0">
        <w:rPr>
          <w:rFonts w:eastAsia="SimSun"/>
        </w:rPr>
        <w:t xml:space="preserve"> (IANA).</w:t>
      </w:r>
      <w:r w:rsidR="005071F9">
        <w:rPr>
          <w:rFonts w:eastAsia="SimSun"/>
        </w:rPr>
        <w:t xml:space="preserve"> En 2012 se puso en marcha una política mundial de restitución </w:t>
      </w:r>
      <w:r w:rsidR="005071F9" w:rsidRPr="00F444B0">
        <w:rPr>
          <w:rFonts w:eastAsia="SimSun"/>
        </w:rPr>
        <w:t>de</w:t>
      </w:r>
      <w:r w:rsidR="005071F9">
        <w:rPr>
          <w:rFonts w:eastAsia="SimSun"/>
        </w:rPr>
        <w:t xml:space="preserve"> espacio de direcciones </w:t>
      </w:r>
      <w:r w:rsidR="005071F9" w:rsidRPr="00F444B0">
        <w:rPr>
          <w:rFonts w:eastAsia="SimSun"/>
        </w:rPr>
        <w:t xml:space="preserve">IPv4 </w:t>
      </w:r>
      <w:r w:rsidR="005071F9">
        <w:rPr>
          <w:rFonts w:eastAsia="SimSun"/>
        </w:rPr>
        <w:t xml:space="preserve">no utilizadas </w:t>
      </w:r>
      <w:r w:rsidR="005071F9" w:rsidRPr="00F444B0">
        <w:rPr>
          <w:rFonts w:eastAsia="SimSun"/>
        </w:rPr>
        <w:t>a IANA</w:t>
      </w:r>
      <w:r w:rsidR="005071F9">
        <w:rPr>
          <w:rFonts w:eastAsia="SimSun"/>
        </w:rPr>
        <w:t xml:space="preserve">, en virtud de la cual el </w:t>
      </w:r>
      <w:r w:rsidR="005071F9" w:rsidRPr="00F444B0">
        <w:rPr>
          <w:rFonts w:eastAsia="SimSun"/>
        </w:rPr>
        <w:t xml:space="preserve">espacio </w:t>
      </w:r>
      <w:r w:rsidR="005071F9">
        <w:rPr>
          <w:rFonts w:eastAsia="SimSun"/>
        </w:rPr>
        <w:t xml:space="preserve">restituido </w:t>
      </w:r>
      <w:r w:rsidR="005071F9" w:rsidRPr="00F444B0">
        <w:rPr>
          <w:rFonts w:eastAsia="SimSun"/>
        </w:rPr>
        <w:t>se</w:t>
      </w:r>
      <w:r w:rsidR="005071F9">
        <w:rPr>
          <w:rFonts w:eastAsia="SimSun"/>
        </w:rPr>
        <w:t>rá</w:t>
      </w:r>
      <w:r w:rsidR="005071F9" w:rsidRPr="00F444B0">
        <w:rPr>
          <w:rFonts w:eastAsia="SimSun"/>
        </w:rPr>
        <w:t xml:space="preserve"> distribui</w:t>
      </w:r>
      <w:r w:rsidR="005071F9">
        <w:rPr>
          <w:rFonts w:eastAsia="SimSun"/>
        </w:rPr>
        <w:t xml:space="preserve">do nuevamente a </w:t>
      </w:r>
      <w:r w:rsidR="005071F9" w:rsidRPr="00F444B0">
        <w:rPr>
          <w:rFonts w:eastAsia="SimSun"/>
        </w:rPr>
        <w:t xml:space="preserve">los RIR </w:t>
      </w:r>
      <w:r w:rsidR="005071F9">
        <w:rPr>
          <w:rFonts w:eastAsia="SimSun"/>
        </w:rPr>
        <w:t xml:space="preserve">para responder </w:t>
      </w:r>
      <w:r w:rsidR="005071F9" w:rsidRPr="00F444B0">
        <w:rPr>
          <w:rFonts w:eastAsia="SimSun"/>
        </w:rPr>
        <w:t>a necesidad</w:t>
      </w:r>
      <w:r w:rsidR="005071F9">
        <w:rPr>
          <w:rFonts w:eastAsia="SimSun"/>
        </w:rPr>
        <w:t>es</w:t>
      </w:r>
      <w:r w:rsidR="005071F9" w:rsidRPr="00F444B0">
        <w:rPr>
          <w:rFonts w:eastAsia="SimSun"/>
        </w:rPr>
        <w:t xml:space="preserve"> </w:t>
      </w:r>
      <w:r w:rsidR="005071F9">
        <w:rPr>
          <w:rFonts w:eastAsia="SimSun"/>
        </w:rPr>
        <w:t>claramente demostradas</w:t>
      </w:r>
      <w:r w:rsidR="005071F9" w:rsidRPr="00F444B0">
        <w:rPr>
          <w:rFonts w:eastAsia="SimSun"/>
        </w:rPr>
        <w:t xml:space="preserve">. Hasta </w:t>
      </w:r>
      <w:r w:rsidR="005071F9">
        <w:rPr>
          <w:rFonts w:eastAsia="SimSun"/>
        </w:rPr>
        <w:t xml:space="preserve">el momento, tres RIR </w:t>
      </w:r>
      <w:r w:rsidR="005071F9" w:rsidRPr="00F444B0">
        <w:rPr>
          <w:rFonts w:eastAsia="SimSun"/>
        </w:rPr>
        <w:t xml:space="preserve">han recuperado y </w:t>
      </w:r>
      <w:r w:rsidR="005071F9">
        <w:rPr>
          <w:rFonts w:eastAsia="SimSun"/>
        </w:rPr>
        <w:t>restituido a IANA las siguientes direcciones</w:t>
      </w:r>
      <w:r w:rsidR="005071F9" w:rsidRPr="00F444B0">
        <w:rPr>
          <w:rFonts w:eastAsia="SimSun"/>
        </w:rPr>
        <w:t>:</w:t>
      </w:r>
    </w:p>
    <w:p w:rsidR="005071F9" w:rsidRPr="00F84E05" w:rsidRDefault="00F84E05" w:rsidP="00237390">
      <w:pPr>
        <w:pStyle w:val="enumlev2"/>
        <w:ind w:left="567" w:firstLine="0"/>
      </w:pPr>
      <w:r>
        <w:t>•</w:t>
      </w:r>
      <w:r>
        <w:tab/>
      </w:r>
      <w:r w:rsidR="005071F9" w:rsidRPr="00F84E05">
        <w:t>APNIC: 2,31 millones</w:t>
      </w:r>
      <w:r w:rsidR="00237390">
        <w:t>.</w:t>
      </w:r>
    </w:p>
    <w:p w:rsidR="005071F9" w:rsidRPr="00F84E05" w:rsidRDefault="00F84E05" w:rsidP="00F84E05">
      <w:pPr>
        <w:pStyle w:val="enumlev2"/>
        <w:ind w:left="567" w:firstLine="0"/>
      </w:pPr>
      <w:r>
        <w:t>•</w:t>
      </w:r>
      <w:r>
        <w:tab/>
      </w:r>
      <w:r w:rsidR="005071F9" w:rsidRPr="00F84E05">
        <w:t>RIPE NCC: 1,31 millones</w:t>
      </w:r>
      <w:r w:rsidR="00237390">
        <w:t>.</w:t>
      </w:r>
    </w:p>
    <w:p w:rsidR="005071F9" w:rsidRPr="00F84E05" w:rsidRDefault="00F84E05" w:rsidP="00237390">
      <w:pPr>
        <w:pStyle w:val="enumlev2"/>
        <w:ind w:left="567" w:firstLine="0"/>
      </w:pPr>
      <w:r>
        <w:t>•</w:t>
      </w:r>
      <w:r>
        <w:tab/>
      </w:r>
      <w:r w:rsidR="005071F9" w:rsidRPr="00F84E05">
        <w:t>ARIN: aproximadamente 16 millones (poco menos que un bloque/8)</w:t>
      </w:r>
      <w:r w:rsidR="00237390">
        <w:t>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Transferencia de direcciones IP </w:t>
      </w:r>
    </w:p>
    <w:p w:rsidR="005071F9" w:rsidRPr="001C4E99" w:rsidRDefault="005071F9" w:rsidP="00237390">
      <w:pPr>
        <w:rPr>
          <w:rFonts w:eastAsia="SimSun"/>
        </w:rPr>
      </w:pPr>
      <w:r w:rsidRPr="001C4E99">
        <w:rPr>
          <w:rFonts w:eastAsia="SimSun"/>
        </w:rPr>
        <w:t xml:space="preserve">Como se </w:t>
      </w:r>
      <w:r>
        <w:rPr>
          <w:rFonts w:eastAsia="SimSun"/>
        </w:rPr>
        <w:t>indica</w:t>
      </w:r>
      <w:r w:rsidRPr="001C4E99">
        <w:rPr>
          <w:rFonts w:eastAsia="SimSun"/>
        </w:rPr>
        <w:t xml:space="preserve"> en varios puntos de la</w:t>
      </w:r>
      <w:r>
        <w:rPr>
          <w:rFonts w:eastAsia="SimSun"/>
        </w:rPr>
        <w:t xml:space="preserve"> Opinión, </w:t>
      </w:r>
      <w:r w:rsidRPr="001C4E99">
        <w:rPr>
          <w:rFonts w:eastAsia="SimSun"/>
        </w:rPr>
        <w:t>la transferencia de espacio de direcciones IPv4 entr</w:t>
      </w:r>
      <w:r>
        <w:rPr>
          <w:rFonts w:eastAsia="SimSun"/>
        </w:rPr>
        <w:t>e operadores (en particular,</w:t>
      </w:r>
      <w:r w:rsidRPr="001C4E99">
        <w:rPr>
          <w:rFonts w:eastAsia="SimSun"/>
        </w:rPr>
        <w:t xml:space="preserve"> </w:t>
      </w:r>
      <w:r>
        <w:rPr>
          <w:rFonts w:eastAsia="SimSun"/>
        </w:rPr>
        <w:t xml:space="preserve">cuando éstos corresponden a </w:t>
      </w:r>
      <w:r w:rsidRPr="001C4E99">
        <w:rPr>
          <w:rFonts w:eastAsia="SimSun"/>
        </w:rPr>
        <w:t>RIR</w:t>
      </w:r>
      <w:r>
        <w:rPr>
          <w:rFonts w:eastAsia="SimSun"/>
        </w:rPr>
        <w:t xml:space="preserve"> diferentes</w:t>
      </w:r>
      <w:r w:rsidRPr="001C4E99">
        <w:rPr>
          <w:rFonts w:eastAsia="SimSun"/>
        </w:rPr>
        <w:t xml:space="preserve">) está </w:t>
      </w:r>
      <w:r>
        <w:rPr>
          <w:rFonts w:eastAsia="SimSun"/>
        </w:rPr>
        <w:t xml:space="preserve">planteando una serie de inquietudes con respecto al espacio de </w:t>
      </w:r>
      <w:r w:rsidRPr="001C4E99">
        <w:rPr>
          <w:rFonts w:eastAsia="SimSun"/>
        </w:rPr>
        <w:t xml:space="preserve">direcciones IP. Los RIR </w:t>
      </w:r>
      <w:r>
        <w:rPr>
          <w:rFonts w:eastAsia="SimSun"/>
        </w:rPr>
        <w:t>apoyan resueltamente</w:t>
      </w:r>
      <w:r w:rsidRPr="001C4E99">
        <w:rPr>
          <w:rFonts w:eastAsia="SimSun"/>
        </w:rPr>
        <w:t xml:space="preserve"> el principio </w:t>
      </w:r>
      <w:r>
        <w:rPr>
          <w:rFonts w:eastAsia="SimSun"/>
        </w:rPr>
        <w:t xml:space="preserve">que sustenta </w:t>
      </w:r>
      <w:r w:rsidRPr="001C4E99">
        <w:rPr>
          <w:rFonts w:eastAsia="SimSun"/>
        </w:rPr>
        <w:t xml:space="preserve">la </w:t>
      </w:r>
      <w:r>
        <w:rPr>
          <w:rFonts w:eastAsia="SimSun"/>
        </w:rPr>
        <w:t xml:space="preserve">Opinión, según el cual es necesario registrar con precisión </w:t>
      </w:r>
      <w:r w:rsidRPr="001C4E99">
        <w:rPr>
          <w:rFonts w:eastAsia="SimSun"/>
        </w:rPr>
        <w:t xml:space="preserve">el espacio transferido en las bases de datos </w:t>
      </w:r>
      <w:r>
        <w:rPr>
          <w:rFonts w:eastAsia="SimSun"/>
        </w:rPr>
        <w:t xml:space="preserve">administradas por los </w:t>
      </w:r>
      <w:r w:rsidRPr="001C4E99">
        <w:rPr>
          <w:rFonts w:eastAsia="SimSun"/>
        </w:rPr>
        <w:t xml:space="preserve">RIR. </w:t>
      </w:r>
    </w:p>
    <w:p w:rsidR="005071F9" w:rsidRPr="001C4E99" w:rsidRDefault="005071F9" w:rsidP="00F84E05">
      <w:pPr>
        <w:rPr>
          <w:rFonts w:eastAsia="SimSun"/>
        </w:rPr>
      </w:pPr>
      <w:r>
        <w:rPr>
          <w:rFonts w:eastAsia="SimSun"/>
        </w:rPr>
        <w:t xml:space="preserve">En sus </w:t>
      </w:r>
      <w:r w:rsidRPr="001C4E99">
        <w:rPr>
          <w:rFonts w:eastAsia="SimSun"/>
        </w:rPr>
        <w:t>procesos de elaboración de políticas</w:t>
      </w:r>
      <w:r>
        <w:rPr>
          <w:rFonts w:eastAsia="SimSun"/>
        </w:rPr>
        <w:t>,</w:t>
      </w:r>
      <w:r w:rsidRPr="001C4E99">
        <w:rPr>
          <w:rFonts w:eastAsia="SimSun"/>
        </w:rPr>
        <w:t xml:space="preserve"> </w:t>
      </w:r>
      <w:r>
        <w:rPr>
          <w:rFonts w:eastAsia="SimSun"/>
        </w:rPr>
        <w:t>l</w:t>
      </w:r>
      <w:r w:rsidRPr="001C4E99">
        <w:rPr>
          <w:rFonts w:eastAsia="SimSun"/>
        </w:rPr>
        <w:t>a</w:t>
      </w:r>
      <w:r>
        <w:rPr>
          <w:rFonts w:eastAsia="SimSun"/>
        </w:rPr>
        <w:t>s</w:t>
      </w:r>
      <w:r w:rsidRPr="001C4E99">
        <w:rPr>
          <w:rFonts w:eastAsia="SimSun"/>
        </w:rPr>
        <w:t xml:space="preserve"> comunidad</w:t>
      </w:r>
      <w:r>
        <w:rPr>
          <w:rFonts w:eastAsia="SimSun"/>
        </w:rPr>
        <w:t>es</w:t>
      </w:r>
      <w:r w:rsidRPr="001C4E99">
        <w:rPr>
          <w:rFonts w:eastAsia="SimSun"/>
        </w:rPr>
        <w:t xml:space="preserve"> RIR </w:t>
      </w:r>
      <w:r>
        <w:rPr>
          <w:rFonts w:eastAsia="SimSun"/>
        </w:rPr>
        <w:t>han tenido en cuenta, o se disponen a hacerlo, las dificultades planteadas al respecto. Dos</w:t>
      </w:r>
      <w:r w:rsidRPr="001C4E99">
        <w:rPr>
          <w:rFonts w:eastAsia="SimSun"/>
        </w:rPr>
        <w:t xml:space="preserve"> comunidades RIR (ARIN y APNIC) han </w:t>
      </w:r>
      <w:r>
        <w:rPr>
          <w:rFonts w:eastAsia="SimSun"/>
        </w:rPr>
        <w:t>aplicado</w:t>
      </w:r>
      <w:r w:rsidRPr="001C4E99">
        <w:rPr>
          <w:rFonts w:eastAsia="SimSun"/>
        </w:rPr>
        <w:t xml:space="preserve"> hasta </w:t>
      </w:r>
      <w:r>
        <w:rPr>
          <w:rFonts w:eastAsia="SimSun"/>
        </w:rPr>
        <w:t xml:space="preserve">ahora </w:t>
      </w:r>
      <w:r w:rsidRPr="001C4E99">
        <w:rPr>
          <w:rFonts w:eastAsia="SimSun"/>
        </w:rPr>
        <w:t xml:space="preserve">políticas que </w:t>
      </w:r>
      <w:r>
        <w:rPr>
          <w:rFonts w:eastAsia="SimSun"/>
        </w:rPr>
        <w:t xml:space="preserve">autorizan la transferencia de espacio de direcciones entre regiones </w:t>
      </w:r>
      <w:r w:rsidRPr="001C4E99">
        <w:rPr>
          <w:rFonts w:eastAsia="SimSun"/>
        </w:rPr>
        <w:t xml:space="preserve">(es decir, los operadores </w:t>
      </w:r>
      <w:r>
        <w:rPr>
          <w:rFonts w:eastAsia="SimSun"/>
        </w:rPr>
        <w:t xml:space="preserve">situados en cada una </w:t>
      </w:r>
      <w:r w:rsidRPr="001C4E99">
        <w:rPr>
          <w:rFonts w:eastAsia="SimSun"/>
        </w:rPr>
        <w:t xml:space="preserve">de esas dos regiones </w:t>
      </w:r>
      <w:r>
        <w:rPr>
          <w:rFonts w:eastAsia="SimSun"/>
        </w:rPr>
        <w:t xml:space="preserve">pueden actualmente </w:t>
      </w:r>
      <w:r w:rsidRPr="001C4E99">
        <w:rPr>
          <w:rFonts w:eastAsia="SimSun"/>
        </w:rPr>
        <w:t xml:space="preserve">transferir </w:t>
      </w:r>
      <w:r>
        <w:rPr>
          <w:rFonts w:eastAsia="SimSun"/>
        </w:rPr>
        <w:t>direcciones</w:t>
      </w:r>
      <w:r w:rsidRPr="001C4E99">
        <w:rPr>
          <w:rFonts w:eastAsia="SimSun"/>
        </w:rPr>
        <w:t xml:space="preserve">). En las comunidades de </w:t>
      </w:r>
      <w:r>
        <w:rPr>
          <w:rFonts w:eastAsia="SimSun"/>
        </w:rPr>
        <w:t>AFRINIC</w:t>
      </w:r>
      <w:r w:rsidRPr="001C4E99">
        <w:rPr>
          <w:rFonts w:eastAsia="SimSun"/>
        </w:rPr>
        <w:t>, L</w:t>
      </w:r>
      <w:r>
        <w:rPr>
          <w:rFonts w:eastAsia="SimSun"/>
        </w:rPr>
        <w:t xml:space="preserve">acnic </w:t>
      </w:r>
      <w:r w:rsidRPr="001C4E99">
        <w:rPr>
          <w:rFonts w:eastAsia="SimSun"/>
        </w:rPr>
        <w:t xml:space="preserve">y RIPE, </w:t>
      </w:r>
      <w:r>
        <w:rPr>
          <w:rFonts w:eastAsia="SimSun"/>
        </w:rPr>
        <w:t xml:space="preserve">se están examinando algunas </w:t>
      </w:r>
      <w:r w:rsidRPr="001C4E99">
        <w:rPr>
          <w:rFonts w:eastAsia="SimSun"/>
        </w:rPr>
        <w:t xml:space="preserve">propuestas </w:t>
      </w:r>
      <w:r>
        <w:rPr>
          <w:rFonts w:eastAsia="SimSun"/>
        </w:rPr>
        <w:t>importantes en la materia.</w:t>
      </w:r>
      <w:r w:rsidR="005D03AE">
        <w:rPr>
          <w:rFonts w:eastAsia="SimSun"/>
        </w:rPr>
        <w:t xml:space="preserve"> </w:t>
      </w:r>
    </w:p>
    <w:p w:rsidR="005071F9" w:rsidRPr="001C4E99" w:rsidRDefault="005071F9" w:rsidP="00F84E05">
      <w:pPr>
        <w:rPr>
          <w:rFonts w:eastAsia="SimSun"/>
        </w:rPr>
      </w:pPr>
      <w:r>
        <w:rPr>
          <w:rFonts w:eastAsia="SimSun"/>
        </w:rPr>
        <w:t>En lo que concierne a la condición impuesta al beneficiario</w:t>
      </w:r>
      <w:r w:rsidRPr="001C4E99">
        <w:rPr>
          <w:rFonts w:eastAsia="SimSun"/>
        </w:rPr>
        <w:t xml:space="preserve"> de </w:t>
      </w:r>
      <w:r>
        <w:rPr>
          <w:rFonts w:eastAsia="SimSun"/>
        </w:rPr>
        <w:t xml:space="preserve">la </w:t>
      </w:r>
      <w:r w:rsidRPr="001C4E99">
        <w:rPr>
          <w:rFonts w:eastAsia="SimSun"/>
        </w:rPr>
        <w:t xml:space="preserve">transferencia </w:t>
      </w:r>
      <w:r>
        <w:rPr>
          <w:rFonts w:eastAsia="SimSun"/>
        </w:rPr>
        <w:t>de demostrar su</w:t>
      </w:r>
      <w:r w:rsidRPr="001C4E99">
        <w:rPr>
          <w:rFonts w:eastAsia="SimSun"/>
        </w:rPr>
        <w:t xml:space="preserve"> necesidad de direcci</w:t>
      </w:r>
      <w:r>
        <w:rPr>
          <w:rFonts w:eastAsia="SimSun"/>
        </w:rPr>
        <w:t xml:space="preserve">ones, se </w:t>
      </w:r>
      <w:r w:rsidRPr="001C4E99">
        <w:rPr>
          <w:rFonts w:eastAsia="SimSun"/>
        </w:rPr>
        <w:t>observa que las dos políticas actu</w:t>
      </w:r>
      <w:r>
        <w:rPr>
          <w:rFonts w:eastAsia="SimSun"/>
        </w:rPr>
        <w:t xml:space="preserve">ales de transferencia entre RIR (las de APNIC y ARIN) contemplan dicha condición, la cual también se está examinando </w:t>
      </w:r>
      <w:r w:rsidRPr="002742CC">
        <w:rPr>
          <w:rFonts w:eastAsia="SimSun"/>
        </w:rPr>
        <w:t xml:space="preserve">en las otras tres comunidades RIR </w:t>
      </w:r>
      <w:r>
        <w:rPr>
          <w:rFonts w:eastAsia="SimSun"/>
        </w:rPr>
        <w:t xml:space="preserve">en relación con las propuestas formuladas al respecto. </w:t>
      </w:r>
      <w:r w:rsidRPr="001C4E99">
        <w:rPr>
          <w:rFonts w:eastAsia="SimSun"/>
        </w:rPr>
        <w:t xml:space="preserve">Los RIR </w:t>
      </w:r>
      <w:r>
        <w:rPr>
          <w:rFonts w:eastAsia="SimSun"/>
        </w:rPr>
        <w:t xml:space="preserve">destacan la apertura, la transparencia y el enfoque general que prevalece en la elaboración de dichas políticas por las comunidades regionales. </w:t>
      </w:r>
      <w:r w:rsidRPr="001C4E99">
        <w:rPr>
          <w:rFonts w:eastAsia="SimSun"/>
        </w:rPr>
        <w:t>Si l</w:t>
      </w:r>
      <w:r>
        <w:rPr>
          <w:rFonts w:eastAsia="SimSun"/>
        </w:rPr>
        <w:t xml:space="preserve">os Estados </w:t>
      </w:r>
      <w:bookmarkStart w:id="0" w:name="_GoBack"/>
      <w:r>
        <w:rPr>
          <w:rFonts w:eastAsia="SimSun"/>
        </w:rPr>
        <w:t>Miembros de la UIT</w:t>
      </w:r>
      <w:bookmarkEnd w:id="0"/>
      <w:r>
        <w:rPr>
          <w:rFonts w:eastAsia="SimSun"/>
        </w:rPr>
        <w:t xml:space="preserve"> estiman </w:t>
      </w:r>
      <w:r w:rsidRPr="001C4E99">
        <w:rPr>
          <w:rFonts w:eastAsia="SimSun"/>
        </w:rPr>
        <w:t xml:space="preserve">que </w:t>
      </w:r>
      <w:r>
        <w:rPr>
          <w:rFonts w:eastAsia="SimSun"/>
        </w:rPr>
        <w:t xml:space="preserve">la condición indicada constituye </w:t>
      </w:r>
      <w:r w:rsidRPr="001C4E99">
        <w:rPr>
          <w:rFonts w:eastAsia="SimSun"/>
        </w:rPr>
        <w:t>un elemento esencial de este tipo de políticas, es importante que</w:t>
      </w:r>
      <w:r w:rsidRPr="007269F1">
        <w:rPr>
          <w:rFonts w:eastAsia="SimSun"/>
        </w:rPr>
        <w:t xml:space="preserve"> </w:t>
      </w:r>
      <w:r>
        <w:rPr>
          <w:rFonts w:eastAsia="SimSun"/>
        </w:rPr>
        <w:t xml:space="preserve">den a conocer sus puntos de vista y que participen en los debates de las comunidades </w:t>
      </w:r>
      <w:r w:rsidRPr="001C4E99">
        <w:rPr>
          <w:rFonts w:eastAsia="SimSun"/>
        </w:rPr>
        <w:t>RIR</w:t>
      </w:r>
      <w:r>
        <w:rPr>
          <w:rFonts w:eastAsia="SimSun"/>
        </w:rPr>
        <w:t xml:space="preserve">. </w:t>
      </w:r>
    </w:p>
    <w:p w:rsidR="005071F9" w:rsidRPr="001C4E99" w:rsidRDefault="005071F9" w:rsidP="009E1891">
      <w:pPr>
        <w:rPr>
          <w:rFonts w:eastAsia="SimSun"/>
        </w:rPr>
      </w:pPr>
      <w:r w:rsidRPr="001C4E99">
        <w:rPr>
          <w:rFonts w:eastAsia="SimSun"/>
        </w:rPr>
        <w:t xml:space="preserve">En este </w:t>
      </w:r>
      <w:r>
        <w:rPr>
          <w:rFonts w:eastAsia="SimSun"/>
        </w:rPr>
        <w:t xml:space="preserve">sentido, los RIR respaldan con firmeza </w:t>
      </w:r>
      <w:r w:rsidRPr="001C4E99">
        <w:rPr>
          <w:rFonts w:eastAsia="SimSun"/>
        </w:rPr>
        <w:t xml:space="preserve">el punto final </w:t>
      </w:r>
      <w:r>
        <w:rPr>
          <w:rFonts w:eastAsia="SimSun"/>
        </w:rPr>
        <w:t xml:space="preserve">de la Opinión relativo a la participación de los </w:t>
      </w:r>
      <w:r w:rsidRPr="001C4E99">
        <w:rPr>
          <w:rFonts w:eastAsia="SimSun"/>
        </w:rPr>
        <w:t>Estado</w:t>
      </w:r>
      <w:r>
        <w:rPr>
          <w:rFonts w:eastAsia="SimSun"/>
        </w:rPr>
        <w:t>s</w:t>
      </w:r>
      <w:r w:rsidRPr="001C4E99">
        <w:rPr>
          <w:rFonts w:eastAsia="SimSun"/>
        </w:rPr>
        <w:t xml:space="preserve"> </w:t>
      </w:r>
      <w:r>
        <w:rPr>
          <w:rFonts w:eastAsia="SimSun"/>
        </w:rPr>
        <w:t>M</w:t>
      </w:r>
      <w:r w:rsidRPr="001C4E99">
        <w:rPr>
          <w:rFonts w:eastAsia="SimSun"/>
        </w:rPr>
        <w:t>iembro</w:t>
      </w:r>
      <w:r>
        <w:rPr>
          <w:rFonts w:eastAsia="SimSun"/>
        </w:rPr>
        <w:t>s</w:t>
      </w:r>
      <w:r w:rsidRPr="001C4E99">
        <w:rPr>
          <w:rFonts w:eastAsia="SimSun"/>
        </w:rPr>
        <w:t xml:space="preserve"> "</w:t>
      </w:r>
      <w:r>
        <w:rPr>
          <w:lang w:val="es-ES"/>
        </w:rPr>
        <w:t>en las instituciones de múltiples partes interesadas directamente responsables de la formulación de la política técnica y de la atribución de dichos recursos</w:t>
      </w:r>
      <w:r w:rsidRPr="001C4E99">
        <w:rPr>
          <w:rFonts w:eastAsia="SimSun"/>
        </w:rPr>
        <w:t xml:space="preserve">", e invitan a todos los </w:t>
      </w:r>
      <w:r w:rsidR="009E1891">
        <w:rPr>
          <w:rFonts w:eastAsia="SimSun"/>
        </w:rPr>
        <w:t>m</w:t>
      </w:r>
      <w:r w:rsidRPr="001C4E99">
        <w:rPr>
          <w:rFonts w:eastAsia="SimSun"/>
        </w:rPr>
        <w:t xml:space="preserve">iembros de la UIT a </w:t>
      </w:r>
      <w:r>
        <w:rPr>
          <w:rFonts w:eastAsia="SimSun"/>
        </w:rPr>
        <w:t xml:space="preserve">participar </w:t>
      </w:r>
      <w:r w:rsidRPr="007F1929">
        <w:rPr>
          <w:rFonts w:eastAsia="SimSun"/>
        </w:rPr>
        <w:t xml:space="preserve">en los debates </w:t>
      </w:r>
      <w:r>
        <w:rPr>
          <w:rFonts w:eastAsia="SimSun"/>
        </w:rPr>
        <w:t xml:space="preserve">sobre las políticas de </w:t>
      </w:r>
      <w:r w:rsidRPr="007F1929">
        <w:rPr>
          <w:rFonts w:eastAsia="SimSun"/>
        </w:rPr>
        <w:t>la</w:t>
      </w:r>
      <w:r>
        <w:rPr>
          <w:rFonts w:eastAsia="SimSun"/>
        </w:rPr>
        <w:t>s</w:t>
      </w:r>
      <w:r w:rsidRPr="007F1929">
        <w:rPr>
          <w:rFonts w:eastAsia="SimSun"/>
        </w:rPr>
        <w:t xml:space="preserve"> comunidad</w:t>
      </w:r>
      <w:r>
        <w:rPr>
          <w:rFonts w:eastAsia="SimSun"/>
        </w:rPr>
        <w:t>es</w:t>
      </w:r>
      <w:r w:rsidRPr="007F1929">
        <w:rPr>
          <w:rFonts w:eastAsia="SimSun"/>
        </w:rPr>
        <w:t xml:space="preserve"> RIR</w:t>
      </w:r>
      <w:r w:rsidRPr="001C4E99">
        <w:rPr>
          <w:rFonts w:eastAsia="SimSun"/>
        </w:rPr>
        <w:t>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Opinión 5: Respaldar un enfoque multipartito en la </w:t>
      </w:r>
      <w:r w:rsidR="009E1891">
        <w:rPr>
          <w:rFonts w:eastAsiaTheme="majorEastAsia"/>
        </w:rPr>
        <w:t>Gobernanza de Internet</w:t>
      </w:r>
      <w:r w:rsidRPr="00F84E05">
        <w:rPr>
          <w:rFonts w:eastAsiaTheme="majorEastAsia"/>
        </w:rPr>
        <w:t xml:space="preserve"> </w:t>
      </w:r>
    </w:p>
    <w:p w:rsidR="005071F9" w:rsidRPr="000C4357" w:rsidRDefault="005071F9" w:rsidP="00F84E05">
      <w:pPr>
        <w:rPr>
          <w:rFonts w:eastAsiaTheme="majorEastAsia"/>
        </w:rPr>
      </w:pPr>
      <w:r w:rsidRPr="000C4357">
        <w:rPr>
          <w:rFonts w:eastAsiaTheme="majorEastAsia"/>
        </w:rPr>
        <w:t xml:space="preserve">Los RIR </w:t>
      </w:r>
      <w:r>
        <w:rPr>
          <w:rFonts w:eastAsiaTheme="majorEastAsia"/>
        </w:rPr>
        <w:t xml:space="preserve">coinciden plenamente con </w:t>
      </w:r>
      <w:r w:rsidRPr="000C4357">
        <w:rPr>
          <w:rFonts w:eastAsiaTheme="majorEastAsia"/>
        </w:rPr>
        <w:t>est</w:t>
      </w:r>
      <w:r>
        <w:rPr>
          <w:rFonts w:eastAsiaTheme="majorEastAsia"/>
        </w:rPr>
        <w:t xml:space="preserve">e llamamiento en apoyo del modelo multipartito de </w:t>
      </w:r>
      <w:r w:rsidR="009E1891">
        <w:rPr>
          <w:rFonts w:eastAsiaTheme="majorEastAsia"/>
        </w:rPr>
        <w:t>Gobernanza de Internet</w:t>
      </w:r>
      <w:r w:rsidRPr="000C4357">
        <w:rPr>
          <w:rFonts w:eastAsiaTheme="majorEastAsia"/>
        </w:rPr>
        <w:t xml:space="preserve">. </w:t>
      </w:r>
      <w:r>
        <w:rPr>
          <w:rFonts w:eastAsiaTheme="majorEastAsia"/>
        </w:rPr>
        <w:t xml:space="preserve">Consideramos que </w:t>
      </w:r>
      <w:r w:rsidRPr="000C4357">
        <w:rPr>
          <w:rFonts w:eastAsiaTheme="majorEastAsia"/>
        </w:rPr>
        <w:t xml:space="preserve">las siguientes características son esenciales para </w:t>
      </w:r>
      <w:r>
        <w:rPr>
          <w:rFonts w:eastAsiaTheme="majorEastAsia"/>
        </w:rPr>
        <w:t xml:space="preserve">el éxito de una </w:t>
      </w:r>
      <w:r w:rsidRPr="000C4357">
        <w:rPr>
          <w:rFonts w:eastAsiaTheme="majorEastAsia"/>
        </w:rPr>
        <w:t xml:space="preserve">gobernanza </w:t>
      </w:r>
      <w:r>
        <w:rPr>
          <w:rFonts w:eastAsiaTheme="majorEastAsia"/>
        </w:rPr>
        <w:t>multipartita</w:t>
      </w:r>
      <w:r w:rsidRPr="000C4357">
        <w:rPr>
          <w:rFonts w:eastAsiaTheme="majorEastAsia"/>
        </w:rPr>
        <w:t xml:space="preserve">: </w:t>
      </w:r>
    </w:p>
    <w:p w:rsidR="005071F9" w:rsidRPr="007C5C99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7C5C99">
        <w:rPr>
          <w:rFonts w:eastAsia="SimSun"/>
        </w:rPr>
        <w:t>A</w:t>
      </w:r>
      <w:r w:rsidR="005071F9">
        <w:rPr>
          <w:rFonts w:eastAsia="SimSun"/>
        </w:rPr>
        <w:t xml:space="preserve">pertura </w:t>
      </w:r>
      <w:r w:rsidR="005071F9" w:rsidRPr="007C5C99">
        <w:rPr>
          <w:rFonts w:eastAsia="SimSun"/>
        </w:rPr>
        <w:t xml:space="preserve">a </w:t>
      </w:r>
      <w:r w:rsidR="005071F9">
        <w:rPr>
          <w:rFonts w:eastAsia="SimSun"/>
        </w:rPr>
        <w:t xml:space="preserve">la participación de </w:t>
      </w:r>
      <w:r w:rsidR="005071F9" w:rsidRPr="007C5C99">
        <w:rPr>
          <w:rFonts w:eastAsia="SimSun"/>
        </w:rPr>
        <w:t>todas las partes</w:t>
      </w:r>
      <w:r w:rsidR="005071F9">
        <w:rPr>
          <w:rFonts w:eastAsia="SimSun"/>
        </w:rPr>
        <w:t xml:space="preserve"> </w:t>
      </w:r>
      <w:r w:rsidR="005071F9" w:rsidRPr="007C5C99">
        <w:rPr>
          <w:rFonts w:eastAsia="SimSun"/>
        </w:rPr>
        <w:t>interesadas</w:t>
      </w:r>
      <w:r>
        <w:rPr>
          <w:rFonts w:eastAsia="SimSun"/>
        </w:rPr>
        <w:t>.</w:t>
      </w:r>
    </w:p>
    <w:p w:rsidR="005071F9" w:rsidRPr="007C5C99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7C5C99">
        <w:rPr>
          <w:rFonts w:eastAsia="SimSun"/>
        </w:rPr>
        <w:t>Transpare</w:t>
      </w:r>
      <w:r w:rsidR="005071F9">
        <w:rPr>
          <w:rFonts w:eastAsia="SimSun"/>
        </w:rPr>
        <w:t xml:space="preserve">ncia </w:t>
      </w:r>
      <w:r w:rsidR="005071F9" w:rsidRPr="007C5C99">
        <w:rPr>
          <w:rFonts w:eastAsia="SimSun"/>
        </w:rPr>
        <w:t>en los procesos de toma de decisione</w:t>
      </w:r>
      <w:r>
        <w:rPr>
          <w:rFonts w:eastAsia="SimSun"/>
        </w:rPr>
        <w:t>s</w:t>
      </w:r>
      <w:r w:rsidR="00237390">
        <w:rPr>
          <w:rFonts w:eastAsia="SimSun"/>
        </w:rPr>
        <w:t>.</w:t>
      </w:r>
    </w:p>
    <w:p w:rsidR="005071F9" w:rsidRPr="007C5C99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7C5C99">
        <w:rPr>
          <w:rFonts w:eastAsia="SimSun"/>
        </w:rPr>
        <w:t>Respet</w:t>
      </w:r>
      <w:r w:rsidR="005071F9">
        <w:rPr>
          <w:rFonts w:eastAsia="SimSun"/>
        </w:rPr>
        <w:t xml:space="preserve">o </w:t>
      </w:r>
      <w:r w:rsidR="005071F9" w:rsidRPr="007C5C99">
        <w:rPr>
          <w:rFonts w:eastAsia="SimSun"/>
        </w:rPr>
        <w:t>de las funciones y responsabilidades específicas de todos los grupos de interés</w:t>
      </w:r>
      <w:r>
        <w:rPr>
          <w:rFonts w:eastAsia="SimSun"/>
        </w:rPr>
        <w:t>.</w:t>
      </w:r>
    </w:p>
    <w:p w:rsidR="005071F9" w:rsidRPr="007C5C99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7C5C99">
        <w:rPr>
          <w:rFonts w:eastAsia="SimSun"/>
        </w:rPr>
        <w:t>Participación de las partes directamente afectadas</w:t>
      </w:r>
      <w:r w:rsidR="005071F9">
        <w:rPr>
          <w:rFonts w:eastAsia="SimSun"/>
        </w:rPr>
        <w:t xml:space="preserve"> en el marco de un enfoque general</w:t>
      </w:r>
      <w:r>
        <w:rPr>
          <w:rFonts w:eastAsia="SimSun"/>
        </w:rPr>
        <w:t>.</w:t>
      </w:r>
    </w:p>
    <w:p w:rsidR="005071F9" w:rsidRPr="000C4357" w:rsidRDefault="005071F9" w:rsidP="00237390">
      <w:pPr>
        <w:rPr>
          <w:rFonts w:eastAsia="SimSun"/>
        </w:rPr>
      </w:pPr>
      <w:r w:rsidRPr="008C1DB3">
        <w:rPr>
          <w:rFonts w:eastAsia="SimSun"/>
        </w:rPr>
        <w:t>Los procesos de elaboración de políticas de l</w:t>
      </w:r>
      <w:r>
        <w:rPr>
          <w:rFonts w:eastAsia="SimSun"/>
        </w:rPr>
        <w:t>os R</w:t>
      </w:r>
      <w:r w:rsidRPr="008C1DB3">
        <w:rPr>
          <w:rFonts w:eastAsia="SimSun"/>
        </w:rPr>
        <w:t xml:space="preserve">IR </w:t>
      </w:r>
      <w:r>
        <w:rPr>
          <w:rFonts w:eastAsia="SimSun"/>
        </w:rPr>
        <w:t xml:space="preserve">constituyen </w:t>
      </w:r>
      <w:r w:rsidRPr="000C4357">
        <w:rPr>
          <w:rFonts w:eastAsia="SimSun"/>
        </w:rPr>
        <w:t>en sí mismos ejemplos del tipo de gob</w:t>
      </w:r>
      <w:r>
        <w:rPr>
          <w:rFonts w:eastAsia="SimSun"/>
        </w:rPr>
        <w:t xml:space="preserve">ernanza multipartita </w:t>
      </w:r>
      <w:r w:rsidRPr="000C4357">
        <w:rPr>
          <w:rFonts w:eastAsia="SimSun"/>
        </w:rPr>
        <w:t>que ha sido un factor esencial en el</w:t>
      </w:r>
      <w:r>
        <w:rPr>
          <w:rFonts w:eastAsia="SimSun"/>
        </w:rPr>
        <w:t xml:space="preserve"> crecimiento</w:t>
      </w:r>
      <w:r w:rsidRPr="000C4357">
        <w:rPr>
          <w:rFonts w:eastAsia="SimSun"/>
        </w:rPr>
        <w:t xml:space="preserve"> </w:t>
      </w:r>
      <w:r>
        <w:rPr>
          <w:rFonts w:eastAsia="SimSun"/>
        </w:rPr>
        <w:t xml:space="preserve">impresionante </w:t>
      </w:r>
      <w:r w:rsidRPr="000C4357">
        <w:rPr>
          <w:rFonts w:eastAsia="SimSun"/>
        </w:rPr>
        <w:t xml:space="preserve">de Internet en los últimos decenios. </w:t>
      </w:r>
      <w:r>
        <w:rPr>
          <w:rFonts w:eastAsia="SimSun"/>
        </w:rPr>
        <w:t xml:space="preserve">Con ellos se </w:t>
      </w:r>
      <w:r w:rsidRPr="000C4357">
        <w:rPr>
          <w:rFonts w:eastAsia="SimSun"/>
        </w:rPr>
        <w:t xml:space="preserve">han </w:t>
      </w:r>
      <w:r>
        <w:rPr>
          <w:rFonts w:eastAsia="SimSun"/>
        </w:rPr>
        <w:t xml:space="preserve">elaborado políticas en materia de direcciones IP que permiten adaptarse en forma dinámica a </w:t>
      </w:r>
      <w:r w:rsidRPr="000C4357">
        <w:rPr>
          <w:rFonts w:eastAsia="SimSun"/>
        </w:rPr>
        <w:t>la evolución de la</w:t>
      </w:r>
      <w:r>
        <w:rPr>
          <w:rFonts w:eastAsia="SimSun"/>
        </w:rPr>
        <w:t>s</w:t>
      </w:r>
      <w:r w:rsidRPr="000C4357">
        <w:rPr>
          <w:rFonts w:eastAsia="SimSun"/>
        </w:rPr>
        <w:t xml:space="preserve"> tecnología</w:t>
      </w:r>
      <w:r>
        <w:rPr>
          <w:rFonts w:eastAsia="SimSun"/>
        </w:rPr>
        <w:t>s</w:t>
      </w:r>
      <w:r w:rsidRPr="000C4357">
        <w:rPr>
          <w:rFonts w:eastAsia="SimSun"/>
        </w:rPr>
        <w:t xml:space="preserve">, </w:t>
      </w:r>
      <w:r>
        <w:rPr>
          <w:rFonts w:eastAsia="SimSun"/>
        </w:rPr>
        <w:t xml:space="preserve">del sector </w:t>
      </w:r>
      <w:r w:rsidRPr="000C4357">
        <w:rPr>
          <w:rFonts w:eastAsia="SimSun"/>
        </w:rPr>
        <w:t>industria</w:t>
      </w:r>
      <w:r>
        <w:rPr>
          <w:rFonts w:eastAsia="SimSun"/>
        </w:rPr>
        <w:t>l</w:t>
      </w:r>
      <w:r w:rsidRPr="000C4357">
        <w:rPr>
          <w:rFonts w:eastAsia="SimSun"/>
        </w:rPr>
        <w:t xml:space="preserve"> y </w:t>
      </w:r>
      <w:r>
        <w:rPr>
          <w:rFonts w:eastAsia="SimSun"/>
        </w:rPr>
        <w:t xml:space="preserve">de </w:t>
      </w:r>
      <w:r w:rsidRPr="000C4357">
        <w:rPr>
          <w:rFonts w:eastAsia="SimSun"/>
        </w:rPr>
        <w:t>la sociedad. E</w:t>
      </w:r>
      <w:r>
        <w:rPr>
          <w:rFonts w:eastAsia="SimSun"/>
        </w:rPr>
        <w:t xml:space="preserve">sos procesos </w:t>
      </w:r>
      <w:r w:rsidRPr="000C4357">
        <w:rPr>
          <w:rFonts w:eastAsia="SimSun"/>
        </w:rPr>
        <w:t xml:space="preserve">han </w:t>
      </w:r>
      <w:r>
        <w:rPr>
          <w:rFonts w:eastAsia="SimSun"/>
        </w:rPr>
        <w:t>contemplado</w:t>
      </w:r>
      <w:r w:rsidRPr="000C4357">
        <w:rPr>
          <w:rFonts w:eastAsia="SimSun"/>
        </w:rPr>
        <w:t xml:space="preserve"> </w:t>
      </w:r>
      <w:r>
        <w:rPr>
          <w:rFonts w:eastAsia="SimSun"/>
        </w:rPr>
        <w:t xml:space="preserve">la integración </w:t>
      </w:r>
      <w:r w:rsidRPr="000C4357">
        <w:rPr>
          <w:rFonts w:eastAsia="SimSun"/>
        </w:rPr>
        <w:t xml:space="preserve">de IPv6 y sus requisitos </w:t>
      </w:r>
      <w:r>
        <w:rPr>
          <w:rFonts w:eastAsia="SimSun"/>
        </w:rPr>
        <w:t xml:space="preserve">concretos en materia </w:t>
      </w:r>
      <w:r w:rsidRPr="000C4357">
        <w:rPr>
          <w:rFonts w:eastAsia="SimSun"/>
        </w:rPr>
        <w:t>de política</w:t>
      </w:r>
      <w:r>
        <w:rPr>
          <w:rFonts w:eastAsia="SimSun"/>
        </w:rPr>
        <w:t xml:space="preserve">, y han </w:t>
      </w:r>
      <w:r w:rsidRPr="000C4357">
        <w:rPr>
          <w:rFonts w:eastAsia="SimSun"/>
        </w:rPr>
        <w:t xml:space="preserve">facilitado </w:t>
      </w:r>
      <w:r>
        <w:rPr>
          <w:rFonts w:eastAsia="SimSun"/>
        </w:rPr>
        <w:t xml:space="preserve">además </w:t>
      </w:r>
      <w:r w:rsidRPr="000C4357">
        <w:rPr>
          <w:rFonts w:eastAsia="SimSun"/>
        </w:rPr>
        <w:t xml:space="preserve">la expansión del sistema </w:t>
      </w:r>
      <w:r>
        <w:rPr>
          <w:rFonts w:eastAsia="SimSun"/>
        </w:rPr>
        <w:t xml:space="preserve">de los RIR, que pasó de </w:t>
      </w:r>
      <w:r w:rsidRPr="000C4357">
        <w:rPr>
          <w:rFonts w:eastAsia="SimSun"/>
        </w:rPr>
        <w:t>tres a cinco</w:t>
      </w:r>
      <w:r>
        <w:rPr>
          <w:rFonts w:eastAsia="SimSun"/>
        </w:rPr>
        <w:t xml:space="preserve"> instituciones, garantizando de esa manera </w:t>
      </w:r>
      <w:r w:rsidRPr="000C4357">
        <w:rPr>
          <w:rFonts w:eastAsia="SimSun"/>
        </w:rPr>
        <w:t xml:space="preserve">que </w:t>
      </w:r>
      <w:r>
        <w:rPr>
          <w:rFonts w:eastAsia="SimSun"/>
        </w:rPr>
        <w:t>las comunidades regionales pueda</w:t>
      </w:r>
      <w:r w:rsidRPr="000C4357">
        <w:rPr>
          <w:rFonts w:eastAsia="SimSun"/>
        </w:rPr>
        <w:t xml:space="preserve">n </w:t>
      </w:r>
      <w:r>
        <w:rPr>
          <w:rFonts w:eastAsia="SimSun"/>
        </w:rPr>
        <w:t>formular políticas que reflejen su</w:t>
      </w:r>
      <w:r w:rsidRPr="000C4357">
        <w:rPr>
          <w:rFonts w:eastAsia="SimSun"/>
        </w:rPr>
        <w:t xml:space="preserve">s preocupaciones </w:t>
      </w:r>
      <w:r>
        <w:rPr>
          <w:rFonts w:eastAsia="SimSun"/>
        </w:rPr>
        <w:t>específicas. Gracias a ellos se ha podido lograr de manera ordenada el abandono de</w:t>
      </w:r>
      <w:r w:rsidRPr="000C4357">
        <w:rPr>
          <w:rFonts w:eastAsia="SimSun"/>
        </w:rPr>
        <w:t xml:space="preserve"> direcciones IPv4 no utilizadas en dos regiones </w:t>
      </w:r>
      <w:r>
        <w:rPr>
          <w:rFonts w:eastAsia="SimSun"/>
        </w:rPr>
        <w:t>(</w:t>
      </w:r>
      <w:r w:rsidRPr="000C4357">
        <w:rPr>
          <w:rFonts w:eastAsia="SimSun"/>
        </w:rPr>
        <w:t>APNIC</w:t>
      </w:r>
      <w:r>
        <w:rPr>
          <w:rFonts w:eastAsia="SimSun"/>
        </w:rPr>
        <w:t xml:space="preserve"> en abril de</w:t>
      </w:r>
      <w:r w:rsidR="00237390">
        <w:rPr>
          <w:rFonts w:eastAsia="SimSun"/>
        </w:rPr>
        <w:t> </w:t>
      </w:r>
      <w:r>
        <w:rPr>
          <w:rFonts w:eastAsia="SimSun"/>
        </w:rPr>
        <w:t xml:space="preserve">2011 </w:t>
      </w:r>
      <w:r w:rsidRPr="000C4357">
        <w:rPr>
          <w:rFonts w:eastAsia="SimSun"/>
        </w:rPr>
        <w:t xml:space="preserve">y </w:t>
      </w:r>
      <w:r>
        <w:rPr>
          <w:rFonts w:eastAsia="SimSun"/>
        </w:rPr>
        <w:t>RIPE NCC en septiembre de 2012)</w:t>
      </w:r>
      <w:r w:rsidRPr="000C4357">
        <w:rPr>
          <w:rFonts w:eastAsia="SimSun"/>
        </w:rPr>
        <w:t xml:space="preserve"> y se </w:t>
      </w:r>
      <w:r>
        <w:rPr>
          <w:rFonts w:eastAsia="SimSun"/>
        </w:rPr>
        <w:t xml:space="preserve">tienen en cuenta </w:t>
      </w:r>
      <w:r w:rsidRPr="000C4357">
        <w:rPr>
          <w:rFonts w:eastAsia="SimSun"/>
        </w:rPr>
        <w:t xml:space="preserve">los intereses </w:t>
      </w:r>
      <w:r>
        <w:rPr>
          <w:rFonts w:eastAsia="SimSun"/>
        </w:rPr>
        <w:t xml:space="preserve">e inquietudes </w:t>
      </w:r>
      <w:r w:rsidRPr="000C4357">
        <w:rPr>
          <w:rFonts w:eastAsia="SimSun"/>
        </w:rPr>
        <w:t>de todos los interesados en rela</w:t>
      </w:r>
      <w:r>
        <w:rPr>
          <w:rFonts w:eastAsia="SimSun"/>
        </w:rPr>
        <w:t>ción con la transferencia inter</w:t>
      </w:r>
      <w:r w:rsidRPr="000C4357">
        <w:rPr>
          <w:rFonts w:eastAsia="SimSun"/>
        </w:rPr>
        <w:t xml:space="preserve">regional de bloques de direcciones IPv4. Por último, y al mismo tiempo, han prestado </w:t>
      </w:r>
      <w:r>
        <w:rPr>
          <w:rFonts w:eastAsia="SimSun"/>
        </w:rPr>
        <w:t xml:space="preserve">un </w:t>
      </w:r>
      <w:r w:rsidRPr="000C4357">
        <w:rPr>
          <w:rFonts w:eastAsia="SimSun"/>
        </w:rPr>
        <w:t xml:space="preserve">apoyo </w:t>
      </w:r>
      <w:r>
        <w:rPr>
          <w:rFonts w:eastAsia="SimSun"/>
        </w:rPr>
        <w:t>permanente a</w:t>
      </w:r>
      <w:r w:rsidRPr="000C4357">
        <w:rPr>
          <w:rFonts w:eastAsia="SimSun"/>
        </w:rPr>
        <w:t xml:space="preserve"> Internet </w:t>
      </w:r>
      <w:r>
        <w:rPr>
          <w:rFonts w:eastAsia="SimSun"/>
        </w:rPr>
        <w:t>en un</w:t>
      </w:r>
      <w:r w:rsidRPr="000C4357">
        <w:rPr>
          <w:rFonts w:eastAsia="SimSun"/>
        </w:rPr>
        <w:t xml:space="preserve"> </w:t>
      </w:r>
      <w:r w:rsidR="009E1891">
        <w:rPr>
          <w:rFonts w:eastAsia="SimSun"/>
        </w:rPr>
        <w:t>periodo</w:t>
      </w:r>
      <w:r w:rsidRPr="000C4357">
        <w:rPr>
          <w:rFonts w:eastAsia="SimSun"/>
        </w:rPr>
        <w:t xml:space="preserve"> de crecimiento y éxito</w:t>
      </w:r>
      <w:r>
        <w:rPr>
          <w:rFonts w:eastAsia="SimSun"/>
        </w:rPr>
        <w:t xml:space="preserve"> espectaculares</w:t>
      </w:r>
      <w:r w:rsidRPr="000C4357">
        <w:rPr>
          <w:rFonts w:eastAsia="SimSun"/>
        </w:rPr>
        <w:t xml:space="preserve">. </w:t>
      </w:r>
    </w:p>
    <w:p w:rsidR="005071F9" w:rsidRPr="000C4357" w:rsidRDefault="005071F9" w:rsidP="00237390">
      <w:pPr>
        <w:rPr>
          <w:rFonts w:eastAsia="SimSun"/>
        </w:rPr>
      </w:pPr>
      <w:r>
        <w:rPr>
          <w:rFonts w:eastAsia="SimSun"/>
        </w:rPr>
        <w:t xml:space="preserve">A medida que se amplía el ámbito de la </w:t>
      </w:r>
      <w:r w:rsidR="009E1891">
        <w:rPr>
          <w:rFonts w:eastAsia="SimSun"/>
        </w:rPr>
        <w:t>Gobernanza de Internet</w:t>
      </w:r>
      <w:r>
        <w:rPr>
          <w:rFonts w:eastAsia="SimSun"/>
        </w:rPr>
        <w:t xml:space="preserve">, </w:t>
      </w:r>
      <w:r w:rsidRPr="000C4357">
        <w:rPr>
          <w:rFonts w:eastAsia="SimSun"/>
        </w:rPr>
        <w:t xml:space="preserve">es importante que todos los interesados adopten el modelo </w:t>
      </w:r>
      <w:r>
        <w:rPr>
          <w:rFonts w:eastAsia="SimSun"/>
        </w:rPr>
        <w:t xml:space="preserve">multipartito. </w:t>
      </w:r>
      <w:r w:rsidRPr="000C4357">
        <w:rPr>
          <w:rFonts w:eastAsia="SimSun"/>
        </w:rPr>
        <w:t xml:space="preserve">Desde la </w:t>
      </w:r>
      <w:r>
        <w:rPr>
          <w:rFonts w:eastAsia="SimSun"/>
        </w:rPr>
        <w:t xml:space="preserve">adopción de la Agenda de Túnez, se han cumplido una serie de etapas destinadas a instaurar </w:t>
      </w:r>
      <w:r w:rsidRPr="000C4357">
        <w:rPr>
          <w:rFonts w:eastAsia="SimSun"/>
        </w:rPr>
        <w:t xml:space="preserve">la gobernanza </w:t>
      </w:r>
      <w:r>
        <w:rPr>
          <w:rFonts w:eastAsia="SimSun"/>
        </w:rPr>
        <w:t xml:space="preserve">multipartita </w:t>
      </w:r>
      <w:r w:rsidRPr="000C4357">
        <w:rPr>
          <w:rFonts w:eastAsia="SimSun"/>
        </w:rPr>
        <w:t xml:space="preserve">de Internet, </w:t>
      </w:r>
      <w:r>
        <w:rPr>
          <w:rFonts w:eastAsia="SimSun"/>
        </w:rPr>
        <w:t>en especial la creación</w:t>
      </w:r>
      <w:r w:rsidRPr="000C4357">
        <w:rPr>
          <w:rFonts w:eastAsia="SimSun"/>
        </w:rPr>
        <w:t xml:space="preserve"> del Foro </w:t>
      </w:r>
      <w:r w:rsidR="009E1891">
        <w:rPr>
          <w:rFonts w:eastAsia="SimSun"/>
        </w:rPr>
        <w:t>M</w:t>
      </w:r>
      <w:r>
        <w:rPr>
          <w:rFonts w:eastAsia="SimSun"/>
        </w:rPr>
        <w:t xml:space="preserve">undial para la Gobernanza de Internet (IGF) </w:t>
      </w:r>
      <w:r w:rsidRPr="000C4357">
        <w:rPr>
          <w:rFonts w:eastAsia="SimSun"/>
        </w:rPr>
        <w:t>(</w:t>
      </w:r>
      <w:r>
        <w:rPr>
          <w:rFonts w:eastAsia="SimSun"/>
        </w:rPr>
        <w:t xml:space="preserve">cuyo </w:t>
      </w:r>
      <w:r w:rsidRPr="000C4357">
        <w:rPr>
          <w:rFonts w:eastAsia="SimSun"/>
        </w:rPr>
        <w:t>séptimo evento anual</w:t>
      </w:r>
      <w:r>
        <w:rPr>
          <w:rFonts w:eastAsia="SimSun"/>
        </w:rPr>
        <w:t xml:space="preserve"> está en preparación) y numeros</w:t>
      </w:r>
      <w:r w:rsidRPr="000C4357">
        <w:rPr>
          <w:rFonts w:eastAsia="SimSun"/>
        </w:rPr>
        <w:t xml:space="preserve">os eventos regionales y nacionales </w:t>
      </w:r>
      <w:r>
        <w:rPr>
          <w:rFonts w:eastAsia="SimSun"/>
        </w:rPr>
        <w:t xml:space="preserve">sobre la </w:t>
      </w:r>
      <w:r w:rsidR="009E1891">
        <w:rPr>
          <w:rFonts w:eastAsia="SimSun"/>
        </w:rPr>
        <w:t>Gobernanza de Internet</w:t>
      </w:r>
      <w:r w:rsidRPr="000C4357">
        <w:rPr>
          <w:rFonts w:eastAsia="SimSun"/>
        </w:rPr>
        <w:t xml:space="preserve">, </w:t>
      </w:r>
      <w:r>
        <w:rPr>
          <w:rFonts w:eastAsia="SimSun"/>
        </w:rPr>
        <w:t xml:space="preserve">que han contado con una participación activa de </w:t>
      </w:r>
      <w:r w:rsidRPr="000C4357">
        <w:rPr>
          <w:rFonts w:eastAsia="SimSun"/>
        </w:rPr>
        <w:t>los RIR (</w:t>
      </w:r>
      <w:r>
        <w:rPr>
          <w:rFonts w:eastAsia="SimSun"/>
        </w:rPr>
        <w:t xml:space="preserve">apoyo y participación activa de </w:t>
      </w:r>
      <w:r w:rsidRPr="000C4357">
        <w:rPr>
          <w:rFonts w:eastAsia="SimSun"/>
        </w:rPr>
        <w:t>L</w:t>
      </w:r>
      <w:r>
        <w:rPr>
          <w:rFonts w:eastAsia="SimSun"/>
        </w:rPr>
        <w:t>acnic a LACIGF;</w:t>
      </w:r>
      <w:r w:rsidRPr="000C4357">
        <w:rPr>
          <w:rFonts w:eastAsia="SimSun"/>
        </w:rPr>
        <w:t xml:space="preserve"> apoyo de RIPE NCC </w:t>
      </w:r>
      <w:r>
        <w:rPr>
          <w:rFonts w:eastAsia="SimSun"/>
        </w:rPr>
        <w:t>a</w:t>
      </w:r>
      <w:r w:rsidRPr="000C4357">
        <w:rPr>
          <w:rFonts w:eastAsia="SimSun"/>
        </w:rPr>
        <w:t xml:space="preserve">l IGF </w:t>
      </w:r>
      <w:r>
        <w:rPr>
          <w:rFonts w:eastAsia="SimSun"/>
        </w:rPr>
        <w:t>de los Países Á</w:t>
      </w:r>
      <w:r w:rsidRPr="000C4357">
        <w:rPr>
          <w:rFonts w:eastAsia="SimSun"/>
        </w:rPr>
        <w:t>rabe</w:t>
      </w:r>
      <w:r>
        <w:rPr>
          <w:rFonts w:eastAsia="SimSun"/>
        </w:rPr>
        <w:t>s y respaldo</w:t>
      </w:r>
      <w:r w:rsidRPr="000C4357">
        <w:rPr>
          <w:rFonts w:eastAsia="SimSun"/>
        </w:rPr>
        <w:t xml:space="preserve"> de AFRINIC a</w:t>
      </w:r>
      <w:r>
        <w:rPr>
          <w:rFonts w:eastAsia="SimSun"/>
        </w:rPr>
        <w:t xml:space="preserve"> los IGF</w:t>
      </w:r>
      <w:r w:rsidRPr="000C4357">
        <w:rPr>
          <w:rFonts w:eastAsia="SimSun"/>
        </w:rPr>
        <w:t xml:space="preserve"> regionales en </w:t>
      </w:r>
      <w:r>
        <w:rPr>
          <w:rFonts w:eastAsia="SimSun"/>
        </w:rPr>
        <w:t>África</w:t>
      </w:r>
      <w:r w:rsidRPr="000C4357">
        <w:rPr>
          <w:rFonts w:eastAsia="SimSun"/>
        </w:rPr>
        <w:t xml:space="preserve">). También hemos </w:t>
      </w:r>
      <w:r>
        <w:rPr>
          <w:rFonts w:eastAsia="SimSun"/>
        </w:rPr>
        <w:t xml:space="preserve">podido observar la evolución de numerosas </w:t>
      </w:r>
      <w:r w:rsidRPr="000C4357">
        <w:rPr>
          <w:rFonts w:eastAsia="SimSun"/>
        </w:rPr>
        <w:t>estructuras de gob</w:t>
      </w:r>
      <w:r>
        <w:rPr>
          <w:rFonts w:eastAsia="SimSun"/>
        </w:rPr>
        <w:t xml:space="preserve">ernanza que han logrado tener mejor en cuenta </w:t>
      </w:r>
      <w:r w:rsidRPr="000C4357">
        <w:rPr>
          <w:rFonts w:eastAsia="SimSun"/>
        </w:rPr>
        <w:t>la</w:t>
      </w:r>
      <w:r>
        <w:rPr>
          <w:rFonts w:eastAsia="SimSun"/>
        </w:rPr>
        <w:t xml:space="preserve">s contribuciones y la </w:t>
      </w:r>
      <w:r w:rsidRPr="000C4357">
        <w:rPr>
          <w:rFonts w:eastAsia="SimSun"/>
        </w:rPr>
        <w:t xml:space="preserve">participación de todos los grupos interesados. </w:t>
      </w:r>
    </w:p>
    <w:p w:rsidR="005071F9" w:rsidRPr="00637FAB" w:rsidRDefault="005071F9" w:rsidP="00F84E05">
      <w:pPr>
        <w:rPr>
          <w:rFonts w:eastAsia="SimSun"/>
        </w:rPr>
      </w:pPr>
      <w:r>
        <w:rPr>
          <w:rFonts w:eastAsia="SimSun"/>
        </w:rPr>
        <w:t>Por su parte, l</w:t>
      </w:r>
      <w:r w:rsidRPr="000C4357">
        <w:rPr>
          <w:rFonts w:eastAsia="SimSun"/>
        </w:rPr>
        <w:t xml:space="preserve">a UIT ha </w:t>
      </w:r>
      <w:r>
        <w:rPr>
          <w:rFonts w:eastAsia="SimSun"/>
        </w:rPr>
        <w:t xml:space="preserve">adoptado medidas para establecer </w:t>
      </w:r>
      <w:r w:rsidRPr="000C4357">
        <w:rPr>
          <w:rFonts w:eastAsia="SimSun"/>
        </w:rPr>
        <w:t xml:space="preserve">un modelo </w:t>
      </w:r>
      <w:r>
        <w:rPr>
          <w:rFonts w:eastAsia="SimSun"/>
        </w:rPr>
        <w:t xml:space="preserve">que tenga </w:t>
      </w:r>
      <w:r w:rsidRPr="000C4357">
        <w:rPr>
          <w:rFonts w:eastAsia="SimSun"/>
        </w:rPr>
        <w:t>más</w:t>
      </w:r>
      <w:r>
        <w:rPr>
          <w:rFonts w:eastAsia="SimSun"/>
        </w:rPr>
        <w:t xml:space="preserve"> en cuenta a la totalidad de las partes interesadas, en particular </w:t>
      </w:r>
      <w:r w:rsidRPr="000C4357">
        <w:rPr>
          <w:rFonts w:eastAsia="SimSun"/>
        </w:rPr>
        <w:t xml:space="preserve">la publicación de algunos documentos </w:t>
      </w:r>
      <w:r>
        <w:rPr>
          <w:rFonts w:eastAsia="SimSun"/>
        </w:rPr>
        <w:t xml:space="preserve">en el marco de la preparación de </w:t>
      </w:r>
      <w:r w:rsidRPr="000C4357">
        <w:rPr>
          <w:rFonts w:eastAsia="SimSun"/>
        </w:rPr>
        <w:t xml:space="preserve">la Conferencia Mundial de Telecomunicaciones Internacionales (CMTI) de 2012. </w:t>
      </w:r>
      <w:r>
        <w:rPr>
          <w:rFonts w:eastAsia="SimSun"/>
        </w:rPr>
        <w:t xml:space="preserve">Asimismo, numerosos </w:t>
      </w:r>
      <w:r w:rsidRPr="000C4357">
        <w:rPr>
          <w:rFonts w:eastAsia="SimSun"/>
        </w:rPr>
        <w:t xml:space="preserve">foros </w:t>
      </w:r>
      <w:r>
        <w:rPr>
          <w:rFonts w:eastAsia="SimSun"/>
        </w:rPr>
        <w:t xml:space="preserve">de coordinación </w:t>
      </w:r>
      <w:r w:rsidRPr="000C4357">
        <w:rPr>
          <w:rFonts w:eastAsia="SimSun"/>
        </w:rPr>
        <w:t xml:space="preserve">regionales de la UIT han abierto sus actividades a una mayor participación de </w:t>
      </w:r>
      <w:r>
        <w:rPr>
          <w:rFonts w:eastAsia="SimSun"/>
        </w:rPr>
        <w:t>grupos de interesados</w:t>
      </w:r>
      <w:r w:rsidRPr="000C4357">
        <w:rPr>
          <w:rFonts w:eastAsia="SimSun"/>
        </w:rPr>
        <w:t xml:space="preserve"> no gubernamentales (incluidos los RIR). </w:t>
      </w:r>
      <w:r>
        <w:rPr>
          <w:rFonts w:eastAsia="SimSun"/>
        </w:rPr>
        <w:t>Los m</w:t>
      </w:r>
      <w:r w:rsidRPr="000C4357">
        <w:rPr>
          <w:rFonts w:eastAsia="SimSun"/>
        </w:rPr>
        <w:t>iembros de la UIT</w:t>
      </w:r>
      <w:r>
        <w:rPr>
          <w:rFonts w:eastAsia="SimSun"/>
        </w:rPr>
        <w:t xml:space="preserve"> deberían</w:t>
      </w:r>
      <w:r w:rsidRPr="000C4357">
        <w:rPr>
          <w:rFonts w:eastAsia="SimSun"/>
        </w:rPr>
        <w:t xml:space="preserve"> </w:t>
      </w:r>
      <w:r>
        <w:rPr>
          <w:rFonts w:eastAsia="SimSun"/>
        </w:rPr>
        <w:t xml:space="preserve">aprovechar </w:t>
      </w:r>
      <w:r w:rsidRPr="000C4357">
        <w:rPr>
          <w:rFonts w:eastAsia="SimSun"/>
        </w:rPr>
        <w:t xml:space="preserve">estas </w:t>
      </w:r>
      <w:r>
        <w:rPr>
          <w:rFonts w:eastAsia="SimSun"/>
        </w:rPr>
        <w:t xml:space="preserve">primeras medidas </w:t>
      </w:r>
      <w:r w:rsidRPr="000C4357">
        <w:rPr>
          <w:rFonts w:eastAsia="SimSun"/>
        </w:rPr>
        <w:t xml:space="preserve">para </w:t>
      </w:r>
      <w:r>
        <w:rPr>
          <w:rFonts w:eastAsia="SimSun"/>
        </w:rPr>
        <w:t>pasar a la etapa siguiente: para conservar en el futuro su importancia y autoridad, la UIT debe contemplar imperativamente a todas las partes interesadas. Conviene por consiguiente llevar a término e</w:t>
      </w:r>
      <w:r w:rsidRPr="00637FAB">
        <w:rPr>
          <w:rFonts w:eastAsia="SimSun"/>
        </w:rPr>
        <w:t>ste proceso</w:t>
      </w:r>
      <w:r>
        <w:rPr>
          <w:rFonts w:eastAsia="SimSun"/>
        </w:rPr>
        <w:t>.</w:t>
      </w:r>
      <w:r w:rsidRPr="00637FAB">
        <w:rPr>
          <w:rFonts w:eastAsia="SimSun"/>
        </w:rPr>
        <w:t xml:space="preserve"> 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Opinión 6: Apoyar la puesta en práctica del proceso de cooperación mejorado </w:t>
      </w:r>
    </w:p>
    <w:p w:rsidR="005071F9" w:rsidRPr="009803AC" w:rsidRDefault="005071F9" w:rsidP="00F84E05">
      <w:pPr>
        <w:rPr>
          <w:rFonts w:eastAsia="SimSun"/>
        </w:rPr>
      </w:pPr>
      <w:r w:rsidRPr="009803AC">
        <w:rPr>
          <w:rFonts w:eastAsia="SimSun"/>
        </w:rPr>
        <w:t xml:space="preserve">Los RIR </w:t>
      </w:r>
      <w:r>
        <w:rPr>
          <w:rFonts w:eastAsia="SimSun"/>
        </w:rPr>
        <w:t>reciben favorablemente la voluntad de apoyar</w:t>
      </w:r>
      <w:r w:rsidRPr="009803AC">
        <w:rPr>
          <w:rFonts w:eastAsia="SimSun"/>
        </w:rPr>
        <w:t xml:space="preserve"> </w:t>
      </w:r>
      <w:r>
        <w:rPr>
          <w:rFonts w:eastAsia="SimSun"/>
        </w:rPr>
        <w:t xml:space="preserve">la puesta en práctica del proceso de cooperación mejorado </w:t>
      </w:r>
      <w:r w:rsidRPr="009803AC">
        <w:rPr>
          <w:rFonts w:eastAsia="SimSun"/>
        </w:rPr>
        <w:t xml:space="preserve">y </w:t>
      </w:r>
      <w:r>
        <w:rPr>
          <w:rFonts w:eastAsia="SimSun"/>
        </w:rPr>
        <w:t xml:space="preserve">coinciden en </w:t>
      </w:r>
      <w:r w:rsidRPr="009803AC">
        <w:rPr>
          <w:rFonts w:eastAsia="SimSun"/>
        </w:rPr>
        <w:t xml:space="preserve">que </w:t>
      </w:r>
      <w:r>
        <w:rPr>
          <w:rFonts w:eastAsia="SimSun"/>
        </w:rPr>
        <w:t xml:space="preserve">se trata de un </w:t>
      </w:r>
      <w:r w:rsidRPr="009803AC">
        <w:rPr>
          <w:rFonts w:eastAsia="SimSun"/>
        </w:rPr>
        <w:t xml:space="preserve">proceso </w:t>
      </w:r>
      <w:r>
        <w:rPr>
          <w:rFonts w:eastAsia="SimSun"/>
        </w:rPr>
        <w:t>esencial para la puesta en marcha de e</w:t>
      </w:r>
      <w:r w:rsidRPr="009803AC">
        <w:rPr>
          <w:rFonts w:eastAsia="SimSun"/>
        </w:rPr>
        <w:t xml:space="preserve">structuras de </w:t>
      </w:r>
      <w:r w:rsidR="009E1891">
        <w:rPr>
          <w:rFonts w:eastAsia="SimSun"/>
        </w:rPr>
        <w:t>Gobernanza de Internet</w:t>
      </w:r>
      <w:r>
        <w:rPr>
          <w:rFonts w:eastAsia="SimSun"/>
        </w:rPr>
        <w:t xml:space="preserve"> que puedan tratar con </w:t>
      </w:r>
      <w:r w:rsidRPr="009803AC">
        <w:rPr>
          <w:rFonts w:eastAsia="SimSun"/>
        </w:rPr>
        <w:t>eficacia las cuestiones de política pública plantea</w:t>
      </w:r>
      <w:r>
        <w:rPr>
          <w:rFonts w:eastAsia="SimSun"/>
        </w:rPr>
        <w:t>das por</w:t>
      </w:r>
      <w:r w:rsidRPr="009803AC">
        <w:rPr>
          <w:rFonts w:eastAsia="SimSun"/>
        </w:rPr>
        <w:t xml:space="preserve"> el rápido crecimiento y la </w:t>
      </w:r>
      <w:r>
        <w:rPr>
          <w:rFonts w:eastAsia="SimSun"/>
        </w:rPr>
        <w:t xml:space="preserve">omnipresencia </w:t>
      </w:r>
      <w:r w:rsidRPr="009803AC">
        <w:rPr>
          <w:rFonts w:eastAsia="SimSun"/>
        </w:rPr>
        <w:t>de Internet. E</w:t>
      </w:r>
      <w:r>
        <w:rPr>
          <w:rFonts w:eastAsia="SimSun"/>
        </w:rPr>
        <w:t>n e</w:t>
      </w:r>
      <w:r w:rsidRPr="009803AC">
        <w:rPr>
          <w:rFonts w:eastAsia="SimSun"/>
        </w:rPr>
        <w:t xml:space="preserve">sta convicción se </w:t>
      </w:r>
      <w:r>
        <w:rPr>
          <w:rFonts w:eastAsia="SimSun"/>
        </w:rPr>
        <w:t xml:space="preserve">funda </w:t>
      </w:r>
      <w:r w:rsidRPr="009803AC">
        <w:rPr>
          <w:rFonts w:eastAsia="SimSun"/>
        </w:rPr>
        <w:t>la participación de un representante de los RIR (Andrés Piazza</w:t>
      </w:r>
      <w:r>
        <w:rPr>
          <w:rFonts w:eastAsia="SimSun"/>
        </w:rPr>
        <w:t>,</w:t>
      </w:r>
      <w:r w:rsidRPr="009803AC">
        <w:rPr>
          <w:rFonts w:eastAsia="SimSun"/>
        </w:rPr>
        <w:t xml:space="preserve"> de L</w:t>
      </w:r>
      <w:r>
        <w:rPr>
          <w:rFonts w:eastAsia="SimSun"/>
        </w:rPr>
        <w:t>acnic</w:t>
      </w:r>
      <w:r w:rsidRPr="009803AC">
        <w:rPr>
          <w:rFonts w:eastAsia="SimSun"/>
        </w:rPr>
        <w:t>)</w:t>
      </w:r>
      <w:r>
        <w:rPr>
          <w:rFonts w:eastAsia="SimSun"/>
        </w:rPr>
        <w:t xml:space="preserve"> en el Grupo de Trabajo sobre reforzamiento de la cooperación de la Comisión de Ciencia y Tecnología para el Desarrollo (CTSD)</w:t>
      </w:r>
      <w:r w:rsidRPr="009803AC">
        <w:rPr>
          <w:rFonts w:eastAsia="SimSun"/>
        </w:rPr>
        <w:t xml:space="preserve">, </w:t>
      </w:r>
      <w:r>
        <w:rPr>
          <w:rFonts w:eastAsia="SimSun"/>
        </w:rPr>
        <w:t xml:space="preserve">cuyos resultados </w:t>
      </w:r>
      <w:r w:rsidRPr="009803AC">
        <w:rPr>
          <w:rFonts w:eastAsia="SimSun"/>
        </w:rPr>
        <w:t>esperamos con interés</w:t>
      </w:r>
      <w:r>
        <w:rPr>
          <w:rFonts w:eastAsia="SimSun"/>
        </w:rPr>
        <w:t>.</w:t>
      </w:r>
      <w:r w:rsidR="005D03AE">
        <w:rPr>
          <w:rFonts w:eastAsia="SimSun"/>
        </w:rPr>
        <w:t xml:space="preserve"> </w:t>
      </w:r>
    </w:p>
    <w:p w:rsidR="005071F9" w:rsidRPr="009803AC" w:rsidRDefault="005071F9" w:rsidP="00F84E05">
      <w:pPr>
        <w:rPr>
          <w:rFonts w:eastAsia="SimSun"/>
        </w:rPr>
      </w:pPr>
      <w:r w:rsidRPr="009803AC">
        <w:rPr>
          <w:rFonts w:eastAsia="SimSun"/>
        </w:rPr>
        <w:t xml:space="preserve">Los RIR </w:t>
      </w:r>
      <w:r>
        <w:rPr>
          <w:rFonts w:eastAsia="SimSun"/>
        </w:rPr>
        <w:t xml:space="preserve">desean destacar los logros alcanzados por sus </w:t>
      </w:r>
      <w:r w:rsidRPr="009803AC">
        <w:rPr>
          <w:rFonts w:eastAsia="SimSun"/>
        </w:rPr>
        <w:t xml:space="preserve">organizaciones </w:t>
      </w:r>
      <w:r>
        <w:rPr>
          <w:rFonts w:eastAsia="SimSun"/>
        </w:rPr>
        <w:t>e</w:t>
      </w:r>
      <w:r w:rsidRPr="009803AC">
        <w:rPr>
          <w:rFonts w:eastAsia="SimSun"/>
        </w:rPr>
        <w:t xml:space="preserve">n </w:t>
      </w:r>
      <w:r>
        <w:rPr>
          <w:rFonts w:eastAsia="SimSun"/>
        </w:rPr>
        <w:t>la mejora de la cooperación. L</w:t>
      </w:r>
      <w:r w:rsidRPr="009803AC">
        <w:rPr>
          <w:rFonts w:eastAsia="SimSun"/>
        </w:rPr>
        <w:t>a participación de los RIR en el</w:t>
      </w:r>
      <w:r>
        <w:rPr>
          <w:rFonts w:eastAsia="SimSun"/>
        </w:rPr>
        <w:t xml:space="preserve"> Grupo sobre </w:t>
      </w:r>
      <w:r w:rsidRPr="009803AC">
        <w:rPr>
          <w:rFonts w:eastAsia="SimSun"/>
        </w:rPr>
        <w:t xml:space="preserve">IPv6 </w:t>
      </w:r>
      <w:r>
        <w:rPr>
          <w:rFonts w:eastAsia="SimSun"/>
        </w:rPr>
        <w:t>de la</w:t>
      </w:r>
      <w:r w:rsidRPr="009803AC">
        <w:rPr>
          <w:rFonts w:eastAsia="SimSun"/>
        </w:rPr>
        <w:t xml:space="preserve"> UIT y e</w:t>
      </w:r>
      <w:r>
        <w:rPr>
          <w:rFonts w:eastAsia="SimSun"/>
        </w:rPr>
        <w:t xml:space="preserve">n este </w:t>
      </w:r>
      <w:r w:rsidRPr="009803AC">
        <w:rPr>
          <w:rFonts w:eastAsia="SimSun"/>
        </w:rPr>
        <w:t xml:space="preserve">FMPT </w:t>
      </w:r>
      <w:r>
        <w:rPr>
          <w:rFonts w:eastAsia="SimSun"/>
        </w:rPr>
        <w:t xml:space="preserve">dan testimonio del cambio que ha tenido lugar </w:t>
      </w:r>
      <w:r w:rsidRPr="009803AC">
        <w:rPr>
          <w:rFonts w:eastAsia="SimSun"/>
        </w:rPr>
        <w:t xml:space="preserve">en </w:t>
      </w:r>
      <w:r>
        <w:rPr>
          <w:rFonts w:eastAsia="SimSun"/>
        </w:rPr>
        <w:t>el</w:t>
      </w:r>
      <w:r w:rsidRPr="009803AC">
        <w:rPr>
          <w:rFonts w:eastAsia="SimSun"/>
        </w:rPr>
        <w:t xml:space="preserve"> últim</w:t>
      </w:r>
      <w:r>
        <w:rPr>
          <w:rFonts w:eastAsia="SimSun"/>
        </w:rPr>
        <w:t>o</w:t>
      </w:r>
      <w:r w:rsidRPr="009803AC">
        <w:rPr>
          <w:rFonts w:eastAsia="SimSun"/>
        </w:rPr>
        <w:t xml:space="preserve"> d</w:t>
      </w:r>
      <w:r>
        <w:rPr>
          <w:rFonts w:eastAsia="SimSun"/>
        </w:rPr>
        <w:t xml:space="preserve">ecenio en lo que concierne a las relaciones entre las comunidades RIR y </w:t>
      </w:r>
      <w:r w:rsidRPr="009803AC">
        <w:rPr>
          <w:rFonts w:eastAsia="SimSun"/>
        </w:rPr>
        <w:t>l</w:t>
      </w:r>
      <w:r>
        <w:rPr>
          <w:rFonts w:eastAsia="SimSun"/>
        </w:rPr>
        <w:t>a</w:t>
      </w:r>
      <w:r w:rsidRPr="009803AC">
        <w:rPr>
          <w:rFonts w:eastAsia="SimSun"/>
        </w:rPr>
        <w:t xml:space="preserve">s </w:t>
      </w:r>
      <w:r>
        <w:rPr>
          <w:rFonts w:eastAsia="SimSun"/>
        </w:rPr>
        <w:t xml:space="preserve">autoridades gubernamentales, </w:t>
      </w:r>
      <w:r w:rsidRPr="009803AC">
        <w:rPr>
          <w:rFonts w:eastAsia="SimSun"/>
        </w:rPr>
        <w:t xml:space="preserve">en </w:t>
      </w:r>
      <w:r>
        <w:rPr>
          <w:rFonts w:eastAsia="SimSun"/>
        </w:rPr>
        <w:t>particular la</w:t>
      </w:r>
      <w:r w:rsidRPr="009803AC">
        <w:rPr>
          <w:rFonts w:eastAsia="SimSun"/>
        </w:rPr>
        <w:t>s</w:t>
      </w:r>
      <w:r>
        <w:rPr>
          <w:rFonts w:eastAsia="SimSun"/>
        </w:rPr>
        <w:t xml:space="preserve"> organizaciones intergubernamentales </w:t>
      </w:r>
      <w:r w:rsidRPr="009803AC">
        <w:rPr>
          <w:rFonts w:eastAsia="SimSun"/>
        </w:rPr>
        <w:t xml:space="preserve">tradicionales. </w:t>
      </w:r>
    </w:p>
    <w:p w:rsidR="005071F9" w:rsidRDefault="005071F9" w:rsidP="00F84E05">
      <w:pPr>
        <w:rPr>
          <w:rFonts w:eastAsia="SimSun"/>
        </w:rPr>
      </w:pPr>
      <w:r w:rsidRPr="009803AC">
        <w:rPr>
          <w:rFonts w:eastAsia="SimSun"/>
        </w:rPr>
        <w:t xml:space="preserve">En términos más generales, cada RIR ha </w:t>
      </w:r>
      <w:r>
        <w:rPr>
          <w:rFonts w:eastAsia="SimSun"/>
        </w:rPr>
        <w:t>elaborado</w:t>
      </w:r>
      <w:r w:rsidRPr="009803AC">
        <w:rPr>
          <w:rFonts w:eastAsia="SimSun"/>
        </w:rPr>
        <w:t xml:space="preserve"> una serie de estrategias destinadas a </w:t>
      </w:r>
      <w:r>
        <w:rPr>
          <w:rFonts w:eastAsia="SimSun"/>
        </w:rPr>
        <w:t xml:space="preserve">mejorar la colaboración con </w:t>
      </w:r>
      <w:r w:rsidRPr="009803AC">
        <w:rPr>
          <w:rFonts w:eastAsia="SimSun"/>
        </w:rPr>
        <w:t>el sector público y otr</w:t>
      </w:r>
      <w:r>
        <w:rPr>
          <w:rFonts w:eastAsia="SimSun"/>
        </w:rPr>
        <w:t>os interesados. Es</w:t>
      </w:r>
      <w:r w:rsidRPr="009803AC">
        <w:rPr>
          <w:rFonts w:eastAsia="SimSun"/>
        </w:rPr>
        <w:t>as estrategias</w:t>
      </w:r>
      <w:r>
        <w:rPr>
          <w:rFonts w:eastAsia="SimSun"/>
        </w:rPr>
        <w:t xml:space="preserve"> son, entre otras, las siguientes: </w:t>
      </w:r>
    </w:p>
    <w:p w:rsidR="005071F9" w:rsidRPr="00F84E05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F84E05">
        <w:rPr>
          <w:rFonts w:eastAsia="SimSun"/>
        </w:rPr>
        <w:t xml:space="preserve">Grupos de </w:t>
      </w:r>
      <w:r w:rsidR="009E1891" w:rsidRPr="00F84E05">
        <w:rPr>
          <w:rFonts w:eastAsia="SimSun"/>
        </w:rPr>
        <w:t>T</w:t>
      </w:r>
      <w:r w:rsidR="005071F9" w:rsidRPr="00F84E05">
        <w:rPr>
          <w:rFonts w:eastAsia="SimSun"/>
        </w:rPr>
        <w:t>rabajo especiales establecidos a nivel de la comunidad</w:t>
      </w:r>
      <w:r>
        <w:rPr>
          <w:rFonts w:eastAsia="SimSun"/>
        </w:rPr>
        <w:t>.</w:t>
      </w:r>
    </w:p>
    <w:p w:rsidR="005071F9" w:rsidRPr="002E6ECD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9803AC">
        <w:rPr>
          <w:rFonts w:eastAsia="SimSun"/>
        </w:rPr>
        <w:t>Mesa</w:t>
      </w:r>
      <w:r w:rsidR="005071F9">
        <w:rPr>
          <w:rFonts w:eastAsia="SimSun"/>
        </w:rPr>
        <w:t>s redondas</w:t>
      </w:r>
      <w:r w:rsidR="005071F9" w:rsidRPr="009803AC">
        <w:rPr>
          <w:rFonts w:eastAsia="SimSun"/>
        </w:rPr>
        <w:t xml:space="preserve"> para </w:t>
      </w:r>
      <w:r w:rsidR="005071F9">
        <w:rPr>
          <w:rFonts w:eastAsia="SimSun"/>
        </w:rPr>
        <w:t xml:space="preserve">autoridades gubernamentales y organismos </w:t>
      </w:r>
      <w:r w:rsidR="005071F9" w:rsidRPr="009803AC">
        <w:rPr>
          <w:rFonts w:eastAsia="SimSun"/>
        </w:rPr>
        <w:t>reguladores</w:t>
      </w:r>
      <w:r>
        <w:rPr>
          <w:rFonts w:eastAsia="SimSun"/>
        </w:rPr>
        <w:t>.</w:t>
      </w:r>
    </w:p>
    <w:p w:rsidR="005071F9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2E6ECD">
        <w:rPr>
          <w:rFonts w:eastAsia="SimSun"/>
        </w:rPr>
        <w:t>Consultas bilaterales con l</w:t>
      </w:r>
      <w:r w:rsidR="005071F9">
        <w:rPr>
          <w:rFonts w:eastAsia="SimSun"/>
        </w:rPr>
        <w:t xml:space="preserve">as autoridades gubernamentales </w:t>
      </w:r>
      <w:r w:rsidR="005071F9" w:rsidRPr="002E6ECD">
        <w:rPr>
          <w:rFonts w:eastAsia="SimSun"/>
        </w:rPr>
        <w:t>de la región</w:t>
      </w:r>
      <w:r>
        <w:rPr>
          <w:rFonts w:eastAsia="SimSun"/>
        </w:rPr>
        <w:t>.</w:t>
      </w:r>
    </w:p>
    <w:p w:rsidR="005071F9" w:rsidRPr="002E6ECD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2E6ECD">
        <w:rPr>
          <w:rFonts w:eastAsia="SimSun"/>
        </w:rPr>
        <w:t xml:space="preserve">Participación en </w:t>
      </w:r>
      <w:r w:rsidR="005071F9">
        <w:rPr>
          <w:rFonts w:eastAsia="SimSun"/>
        </w:rPr>
        <w:t>diversas</w:t>
      </w:r>
      <w:r w:rsidR="005071F9" w:rsidRPr="002E6ECD">
        <w:rPr>
          <w:rFonts w:eastAsia="SimSun"/>
        </w:rPr>
        <w:t xml:space="preserve"> organizaciones intergubernamentales </w:t>
      </w:r>
      <w:r w:rsidR="005071F9">
        <w:rPr>
          <w:rFonts w:eastAsia="SimSun"/>
        </w:rPr>
        <w:t xml:space="preserve">regionales y </w:t>
      </w:r>
      <w:r w:rsidR="005071F9" w:rsidRPr="002E6ECD">
        <w:rPr>
          <w:rFonts w:eastAsia="SimSun"/>
        </w:rPr>
        <w:t>mundiales</w:t>
      </w:r>
      <w:r>
        <w:rPr>
          <w:rFonts w:eastAsia="SimSun"/>
        </w:rPr>
        <w:t>.</w:t>
      </w:r>
    </w:p>
    <w:p w:rsidR="005071F9" w:rsidRPr="004F7E95" w:rsidRDefault="005071F9" w:rsidP="00F84E05">
      <w:pPr>
        <w:rPr>
          <w:rFonts w:eastAsia="SimSun"/>
        </w:rPr>
      </w:pPr>
      <w:r>
        <w:rPr>
          <w:rFonts w:eastAsia="SimSun"/>
        </w:rPr>
        <w:t xml:space="preserve">La mejora de la colaboración entre el sector público y el sector privado aporta beneficios a </w:t>
      </w:r>
      <w:r w:rsidRPr="009803AC">
        <w:rPr>
          <w:rFonts w:eastAsia="SimSun"/>
        </w:rPr>
        <w:t>todas las partes</w:t>
      </w:r>
      <w:r>
        <w:rPr>
          <w:rFonts w:eastAsia="SimSun"/>
        </w:rPr>
        <w:t xml:space="preserve"> interesadas</w:t>
      </w:r>
      <w:r w:rsidRPr="009803AC">
        <w:rPr>
          <w:rFonts w:eastAsia="SimSun"/>
        </w:rPr>
        <w:t xml:space="preserve">. Las alianzas entre </w:t>
      </w:r>
      <w:r>
        <w:rPr>
          <w:rFonts w:eastAsia="SimSun"/>
        </w:rPr>
        <w:t>las autoridades gubernamentales</w:t>
      </w:r>
      <w:r w:rsidRPr="009803AC">
        <w:rPr>
          <w:rFonts w:eastAsia="SimSun"/>
        </w:rPr>
        <w:t xml:space="preserve"> y la comunidad</w:t>
      </w:r>
      <w:r>
        <w:rPr>
          <w:rFonts w:eastAsia="SimSun"/>
        </w:rPr>
        <w:t xml:space="preserve"> técnica de Internet (concertadas en muchos casos con el apoyo de uno</w:t>
      </w:r>
      <w:r w:rsidRPr="009803AC">
        <w:rPr>
          <w:rFonts w:eastAsia="SimSun"/>
        </w:rPr>
        <w:t xml:space="preserve"> o </w:t>
      </w:r>
      <w:r>
        <w:rPr>
          <w:rFonts w:eastAsia="SimSun"/>
        </w:rPr>
        <w:t>varios</w:t>
      </w:r>
      <w:r w:rsidRPr="009803AC">
        <w:rPr>
          <w:rFonts w:eastAsia="SimSun"/>
        </w:rPr>
        <w:t xml:space="preserve"> RIR) han</w:t>
      </w:r>
      <w:r>
        <w:rPr>
          <w:rFonts w:eastAsia="SimSun"/>
        </w:rPr>
        <w:t xml:space="preserve"> permitido</w:t>
      </w:r>
      <w:r w:rsidRPr="009803AC">
        <w:rPr>
          <w:rFonts w:eastAsia="SimSun"/>
        </w:rPr>
        <w:t xml:space="preserve"> </w:t>
      </w:r>
      <w:r>
        <w:rPr>
          <w:rFonts w:eastAsia="SimSun"/>
        </w:rPr>
        <w:t xml:space="preserve">crear diversos </w:t>
      </w:r>
      <w:r w:rsidRPr="009803AC">
        <w:rPr>
          <w:rFonts w:eastAsia="SimSun"/>
        </w:rPr>
        <w:t>proyectos e iniciativas que benefici</w:t>
      </w:r>
      <w:r>
        <w:rPr>
          <w:rFonts w:eastAsia="SimSun"/>
        </w:rPr>
        <w:t>a</w:t>
      </w:r>
      <w:r w:rsidRPr="009803AC">
        <w:rPr>
          <w:rFonts w:eastAsia="SimSun"/>
        </w:rPr>
        <w:t xml:space="preserve">n directamente a los usuarios de Internet, especialmente </w:t>
      </w:r>
      <w:r>
        <w:rPr>
          <w:rFonts w:eastAsia="SimSun"/>
        </w:rPr>
        <w:t>en los</w:t>
      </w:r>
      <w:r w:rsidRPr="009803AC">
        <w:rPr>
          <w:rFonts w:eastAsia="SimSun"/>
        </w:rPr>
        <w:t xml:space="preserve"> países en desarrollo. </w:t>
      </w:r>
      <w:r>
        <w:rPr>
          <w:rFonts w:eastAsia="SimSun"/>
        </w:rPr>
        <w:t xml:space="preserve">Citamos a título de </w:t>
      </w:r>
      <w:r w:rsidRPr="004F7E95">
        <w:rPr>
          <w:rFonts w:eastAsia="SimSun"/>
        </w:rPr>
        <w:t>ejemplo</w:t>
      </w:r>
      <w:r>
        <w:rPr>
          <w:rFonts w:eastAsia="SimSun"/>
        </w:rPr>
        <w:t xml:space="preserve"> las siguientes actividades</w:t>
      </w:r>
      <w:r w:rsidRPr="004F7E95">
        <w:rPr>
          <w:rFonts w:eastAsia="SimSun"/>
        </w:rPr>
        <w:t>:</w:t>
      </w:r>
    </w:p>
    <w:p w:rsidR="005071F9" w:rsidRPr="001D371E" w:rsidRDefault="00F84E05" w:rsidP="00237390">
      <w:pPr>
        <w:pStyle w:val="enumlev1"/>
        <w:rPr>
          <w:rFonts w:eastAsia="SimSun"/>
        </w:rPr>
      </w:pPr>
      <w:r>
        <w:t>•</w:t>
      </w:r>
      <w:r>
        <w:tab/>
      </w:r>
      <w:r w:rsidR="00237390">
        <w:rPr>
          <w:rFonts w:eastAsia="SimSun"/>
        </w:rPr>
        <w:t>P</w:t>
      </w:r>
      <w:r w:rsidR="005071F9" w:rsidRPr="001D371E">
        <w:rPr>
          <w:rFonts w:eastAsia="SimSun"/>
        </w:rPr>
        <w:t xml:space="preserve">rogramas de capacitación y educación sobre </w:t>
      </w:r>
      <w:r w:rsidR="005071F9">
        <w:rPr>
          <w:rFonts w:eastAsia="SimSun"/>
        </w:rPr>
        <w:t xml:space="preserve">varios </w:t>
      </w:r>
      <w:r w:rsidR="005071F9" w:rsidRPr="001D371E">
        <w:rPr>
          <w:rFonts w:eastAsia="SimSun"/>
        </w:rPr>
        <w:t>temas</w:t>
      </w:r>
      <w:r w:rsidR="005071F9">
        <w:rPr>
          <w:rFonts w:eastAsia="SimSun"/>
        </w:rPr>
        <w:t xml:space="preserve">, entre otros, </w:t>
      </w:r>
      <w:r w:rsidR="005071F9" w:rsidRPr="001D371E">
        <w:rPr>
          <w:rFonts w:eastAsia="SimSun"/>
        </w:rPr>
        <w:t>la adopción de IPv6 (véase el Anexo 1)</w:t>
      </w:r>
      <w:r w:rsidR="00237390">
        <w:rPr>
          <w:rFonts w:eastAsia="SimSun"/>
        </w:rPr>
        <w:t>.</w:t>
      </w:r>
    </w:p>
    <w:p w:rsidR="005071F9" w:rsidRPr="001D371E" w:rsidRDefault="00F84E05" w:rsidP="00237390">
      <w:pPr>
        <w:pStyle w:val="enumlev1"/>
        <w:rPr>
          <w:rFonts w:eastAsia="SimSun"/>
        </w:rPr>
      </w:pPr>
      <w:r>
        <w:t>•</w:t>
      </w:r>
      <w:r>
        <w:tab/>
      </w:r>
      <w:r w:rsidR="00237390">
        <w:rPr>
          <w:rFonts w:eastAsia="SimSun"/>
        </w:rPr>
        <w:t>I</w:t>
      </w:r>
      <w:r w:rsidR="005071F9" w:rsidRPr="009803AC">
        <w:rPr>
          <w:rFonts w:eastAsia="SimSun"/>
        </w:rPr>
        <w:t xml:space="preserve">niciativas de cooperación para promover y </w:t>
      </w:r>
      <w:r w:rsidR="005071F9">
        <w:rPr>
          <w:rFonts w:eastAsia="SimSun"/>
        </w:rPr>
        <w:t xml:space="preserve">crear </w:t>
      </w:r>
      <w:r w:rsidR="005071F9" w:rsidRPr="009803AC">
        <w:rPr>
          <w:rFonts w:eastAsia="SimSun"/>
        </w:rPr>
        <w:t>infraestructura</w:t>
      </w:r>
      <w:r w:rsidR="005071F9">
        <w:rPr>
          <w:rFonts w:eastAsia="SimSun"/>
        </w:rPr>
        <w:t xml:space="preserve">s, incluidos </w:t>
      </w:r>
      <w:r w:rsidR="005071F9" w:rsidRPr="009803AC">
        <w:rPr>
          <w:rFonts w:eastAsia="SimSun"/>
        </w:rPr>
        <w:t>IXP e instancias de servidor</w:t>
      </w:r>
      <w:r w:rsidR="005071F9">
        <w:rPr>
          <w:rFonts w:eastAsia="SimSun"/>
        </w:rPr>
        <w:t>es</w:t>
      </w:r>
      <w:r w:rsidR="005071F9" w:rsidRPr="009803AC">
        <w:rPr>
          <w:rFonts w:eastAsia="SimSun"/>
        </w:rPr>
        <w:t xml:space="preserve"> de nombres raíz</w:t>
      </w:r>
      <w:r w:rsidR="00237390">
        <w:rPr>
          <w:rFonts w:eastAsia="SimSun"/>
        </w:rPr>
        <w:t>.</w:t>
      </w:r>
    </w:p>
    <w:p w:rsidR="005071F9" w:rsidRPr="00CC6F91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237390">
        <w:rPr>
          <w:rFonts w:eastAsia="SimSun"/>
        </w:rPr>
        <w:t>C</w:t>
      </w:r>
      <w:r w:rsidR="005071F9" w:rsidRPr="00CC6F91">
        <w:rPr>
          <w:rFonts w:eastAsia="SimSun"/>
        </w:rPr>
        <w:t xml:space="preserve">ontribuciones de la comunidad técnica de Internet a una gran diversidad de actividades </w:t>
      </w:r>
      <w:r w:rsidR="005071F9">
        <w:rPr>
          <w:rFonts w:eastAsia="SimSun"/>
        </w:rPr>
        <w:t>de elaboración</w:t>
      </w:r>
      <w:r w:rsidR="005071F9" w:rsidRPr="00CC6F91">
        <w:rPr>
          <w:rFonts w:eastAsia="SimSun"/>
        </w:rPr>
        <w:t xml:space="preserve"> de políticas públicas, </w:t>
      </w:r>
      <w:r w:rsidR="005071F9">
        <w:rPr>
          <w:rFonts w:eastAsia="SimSun"/>
        </w:rPr>
        <w:t>de forma d</w:t>
      </w:r>
      <w:r w:rsidR="005071F9" w:rsidRPr="00CC6F91">
        <w:rPr>
          <w:rFonts w:eastAsia="SimSun"/>
        </w:rPr>
        <w:t xml:space="preserve">irecta o </w:t>
      </w:r>
      <w:r w:rsidR="005071F9">
        <w:rPr>
          <w:rFonts w:eastAsia="SimSun"/>
        </w:rPr>
        <w:t xml:space="preserve">a través del aporte de </w:t>
      </w:r>
      <w:r w:rsidR="005071F9" w:rsidRPr="00CC6F91">
        <w:rPr>
          <w:rFonts w:eastAsia="SimSun"/>
        </w:rPr>
        <w:t>informaci</w:t>
      </w:r>
      <w:r w:rsidR="005071F9">
        <w:rPr>
          <w:rFonts w:eastAsia="SimSun"/>
        </w:rPr>
        <w:t>ones</w:t>
      </w:r>
      <w:r w:rsidR="005071F9" w:rsidRPr="00CC6F91">
        <w:rPr>
          <w:rFonts w:eastAsia="SimSun"/>
        </w:rPr>
        <w:t xml:space="preserve"> a responsables políticos</w:t>
      </w:r>
      <w:r w:rsidR="005071F9">
        <w:rPr>
          <w:rFonts w:eastAsia="SimSun"/>
        </w:rPr>
        <w:t>.</w:t>
      </w:r>
    </w:p>
    <w:p w:rsidR="005071F9" w:rsidRPr="009803AC" w:rsidRDefault="005071F9" w:rsidP="00F84E05">
      <w:pPr>
        <w:rPr>
          <w:rFonts w:eastAsia="SimSun"/>
        </w:rPr>
      </w:pPr>
      <w:r w:rsidRPr="009803AC">
        <w:rPr>
          <w:rFonts w:eastAsia="SimSun"/>
        </w:rPr>
        <w:t>E</w:t>
      </w:r>
      <w:r>
        <w:rPr>
          <w:rFonts w:eastAsia="SimSun"/>
        </w:rPr>
        <w:t>n conclusión, e</w:t>
      </w:r>
      <w:r w:rsidRPr="009803AC">
        <w:rPr>
          <w:rFonts w:eastAsia="SimSun"/>
        </w:rPr>
        <w:t>st</w:t>
      </w:r>
      <w:r>
        <w:rPr>
          <w:rFonts w:eastAsia="SimSun"/>
        </w:rPr>
        <w:t xml:space="preserve">a Opinión reconoce la necesidad para todas las partes interesadas de trabajar sobre esta cuestión. </w:t>
      </w:r>
      <w:r w:rsidRPr="009803AC">
        <w:rPr>
          <w:rFonts w:eastAsia="SimSun"/>
        </w:rPr>
        <w:t xml:space="preserve">Los RIR </w:t>
      </w:r>
      <w:r>
        <w:rPr>
          <w:rFonts w:eastAsia="SimSun"/>
        </w:rPr>
        <w:t>aprueban decididamente el principio según el cual el máximo logro de resultados obtenidos mediante la mejora de la cooperación supone la contribución, el compromiso, la energía y el espíritu de in</w:t>
      </w:r>
      <w:r w:rsidRPr="009803AC">
        <w:rPr>
          <w:rFonts w:eastAsia="SimSun"/>
        </w:rPr>
        <w:t>novación de todos los grupos interesados.</w:t>
      </w:r>
    </w:p>
    <w:p w:rsidR="005071F9" w:rsidRPr="009803AC" w:rsidRDefault="005071F9" w:rsidP="00F84E05">
      <w:pPr>
        <w:rPr>
          <w:rFonts w:eastAsia="SimSun"/>
        </w:rPr>
      </w:pPr>
    </w:p>
    <w:p w:rsidR="005071F9" w:rsidRPr="009803AC" w:rsidRDefault="005071F9" w:rsidP="00F84E05">
      <w:pPr>
        <w:rPr>
          <w:rFonts w:eastAsia="SimSun"/>
        </w:rPr>
      </w:pPr>
    </w:p>
    <w:p w:rsidR="005071F9" w:rsidRPr="009803AC" w:rsidRDefault="005071F9" w:rsidP="005071F9">
      <w:pPr>
        <w:rPr>
          <w:rFonts w:eastAsia="SimSun" w:cstheme="minorHAnsi"/>
          <w:b/>
          <w:bCs/>
          <w:szCs w:val="24"/>
        </w:rPr>
      </w:pPr>
      <w:r w:rsidRPr="009803AC">
        <w:rPr>
          <w:rFonts w:eastAsia="SimSun" w:cstheme="minorHAnsi"/>
          <w:szCs w:val="24"/>
        </w:rPr>
        <w:br w:type="page"/>
      </w:r>
    </w:p>
    <w:p w:rsidR="005071F9" w:rsidRPr="00425A7E" w:rsidRDefault="005071F9" w:rsidP="00F84E05">
      <w:pPr>
        <w:pStyle w:val="AnnexNo"/>
        <w:rPr>
          <w:rFonts w:eastAsia="SimSun"/>
        </w:rPr>
      </w:pPr>
      <w:r w:rsidRPr="00425A7E">
        <w:rPr>
          <w:rFonts w:eastAsia="SimSun"/>
        </w:rPr>
        <w:t>AnexO 1</w:t>
      </w:r>
    </w:p>
    <w:p w:rsidR="005071F9" w:rsidRPr="00425A7E" w:rsidRDefault="005071F9" w:rsidP="00F84E05">
      <w:pPr>
        <w:pStyle w:val="Annextitle"/>
        <w:rPr>
          <w:rFonts w:eastAsia="SimSun"/>
        </w:rPr>
      </w:pPr>
      <w:r>
        <w:rPr>
          <w:rFonts w:eastAsia="SimSun"/>
        </w:rPr>
        <w:t xml:space="preserve">Creación de capacidades para la implantación de </w:t>
      </w:r>
      <w:r w:rsidRPr="00425A7E">
        <w:rPr>
          <w:rFonts w:eastAsia="SimSun"/>
        </w:rPr>
        <w:t xml:space="preserve">IPv6 </w:t>
      </w:r>
    </w:p>
    <w:p w:rsidR="005071F9" w:rsidRPr="00E020DE" w:rsidRDefault="005071F9" w:rsidP="00F84E05">
      <w:pPr>
        <w:pStyle w:val="Normalaftertitle"/>
        <w:rPr>
          <w:rFonts w:eastAsia="SimSun"/>
        </w:rPr>
      </w:pPr>
      <w:r w:rsidRPr="00E020DE">
        <w:rPr>
          <w:rFonts w:eastAsia="SimSun"/>
        </w:rPr>
        <w:t>E</w:t>
      </w:r>
      <w:r>
        <w:rPr>
          <w:rFonts w:eastAsia="SimSun"/>
        </w:rPr>
        <w:t>n e</w:t>
      </w:r>
      <w:r w:rsidRPr="00E020DE">
        <w:rPr>
          <w:rFonts w:eastAsia="SimSun"/>
        </w:rPr>
        <w:t xml:space="preserve">ste </w:t>
      </w:r>
      <w:r>
        <w:rPr>
          <w:rFonts w:eastAsia="SimSun"/>
        </w:rPr>
        <w:t>A</w:t>
      </w:r>
      <w:r w:rsidRPr="00E020DE">
        <w:rPr>
          <w:rFonts w:eastAsia="SimSun"/>
        </w:rPr>
        <w:t xml:space="preserve">nexo </w:t>
      </w:r>
      <w:r>
        <w:rPr>
          <w:rFonts w:eastAsia="SimSun"/>
        </w:rPr>
        <w:t xml:space="preserve">se describen en </w:t>
      </w:r>
      <w:r w:rsidRPr="00E020DE">
        <w:rPr>
          <w:rFonts w:eastAsia="SimSun"/>
        </w:rPr>
        <w:t>detall</w:t>
      </w:r>
      <w:r>
        <w:rPr>
          <w:rFonts w:eastAsia="SimSun"/>
        </w:rPr>
        <w:t>e la</w:t>
      </w:r>
      <w:r w:rsidRPr="00E020DE">
        <w:rPr>
          <w:rFonts w:eastAsia="SimSun"/>
        </w:rPr>
        <w:t xml:space="preserve">s </w:t>
      </w:r>
      <w:r>
        <w:rPr>
          <w:rFonts w:eastAsia="SimSun"/>
        </w:rPr>
        <w:t>actividades realizadas por los cinco R</w:t>
      </w:r>
      <w:r w:rsidRPr="00E020DE">
        <w:rPr>
          <w:rFonts w:eastAsia="SimSun"/>
        </w:rPr>
        <w:t>egi</w:t>
      </w:r>
      <w:r>
        <w:rPr>
          <w:rFonts w:eastAsia="SimSun"/>
        </w:rPr>
        <w:t xml:space="preserve">stros </w:t>
      </w:r>
      <w:r w:rsidR="009E1891">
        <w:rPr>
          <w:rFonts w:eastAsia="SimSun"/>
        </w:rPr>
        <w:t>R</w:t>
      </w:r>
      <w:r>
        <w:rPr>
          <w:rFonts w:eastAsia="SimSun"/>
        </w:rPr>
        <w:t xml:space="preserve">egionales de Internet para procurar que </w:t>
      </w:r>
      <w:r w:rsidRPr="00E020DE">
        <w:rPr>
          <w:rFonts w:eastAsia="SimSun"/>
        </w:rPr>
        <w:t>la adopción de IPv6 se llev</w:t>
      </w:r>
      <w:r>
        <w:rPr>
          <w:rFonts w:eastAsia="SimSun"/>
        </w:rPr>
        <w:t>e</w:t>
      </w:r>
      <w:r w:rsidRPr="00E020DE">
        <w:rPr>
          <w:rFonts w:eastAsia="SimSun"/>
        </w:rPr>
        <w:t xml:space="preserve"> a cabo de </w:t>
      </w:r>
      <w:r>
        <w:rPr>
          <w:rFonts w:eastAsia="SimSun"/>
        </w:rPr>
        <w:t>forma j</w:t>
      </w:r>
      <w:r w:rsidRPr="00E020DE">
        <w:rPr>
          <w:rFonts w:eastAsia="SimSun"/>
        </w:rPr>
        <w:t>usta</w:t>
      </w:r>
      <w:r>
        <w:rPr>
          <w:rFonts w:eastAsia="SimSun"/>
        </w:rPr>
        <w:t xml:space="preserve"> y</w:t>
      </w:r>
      <w:r w:rsidRPr="00E020DE">
        <w:rPr>
          <w:rFonts w:eastAsia="SimSun"/>
        </w:rPr>
        <w:t xml:space="preserve"> equitativa</w:t>
      </w:r>
      <w:r>
        <w:rPr>
          <w:rFonts w:eastAsia="SimSun"/>
        </w:rPr>
        <w:t>,</w:t>
      </w:r>
      <w:r w:rsidRPr="00E020DE">
        <w:rPr>
          <w:rFonts w:eastAsia="SimSun"/>
        </w:rPr>
        <w:t xml:space="preserve"> y garantiza</w:t>
      </w:r>
      <w:r>
        <w:rPr>
          <w:rFonts w:eastAsia="SimSun"/>
        </w:rPr>
        <w:t>r</w:t>
      </w:r>
      <w:r w:rsidRPr="00E020DE">
        <w:rPr>
          <w:rFonts w:eastAsia="SimSun"/>
        </w:rPr>
        <w:t xml:space="preserve"> un acceso asequible a las direcciones IPv6 y </w:t>
      </w:r>
      <w:r>
        <w:rPr>
          <w:rFonts w:eastAsia="SimSun"/>
        </w:rPr>
        <w:t xml:space="preserve">a los conocimientos especializados relacionados con dicho protocolo, en particular en los países </w:t>
      </w:r>
      <w:r w:rsidRPr="00E020DE">
        <w:rPr>
          <w:rFonts w:eastAsia="SimSun"/>
        </w:rPr>
        <w:t>en desarrollo.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Recursos en línea </w:t>
      </w:r>
    </w:p>
    <w:p w:rsidR="005071F9" w:rsidRPr="00E020DE" w:rsidRDefault="005071F9" w:rsidP="00F84E05">
      <w:pPr>
        <w:rPr>
          <w:rFonts w:eastAsia="SimSun"/>
        </w:rPr>
      </w:pPr>
      <w:r>
        <w:rPr>
          <w:rFonts w:eastAsia="SimSun"/>
        </w:rPr>
        <w:t>Los cinco RIR</w:t>
      </w:r>
      <w:r w:rsidRPr="00E020DE">
        <w:rPr>
          <w:rFonts w:eastAsia="SimSun"/>
        </w:rPr>
        <w:t xml:space="preserve"> </w:t>
      </w:r>
      <w:r>
        <w:rPr>
          <w:rFonts w:eastAsia="SimSun"/>
        </w:rPr>
        <w:t xml:space="preserve">disponen de </w:t>
      </w:r>
      <w:r w:rsidRPr="00E020DE">
        <w:rPr>
          <w:rFonts w:eastAsia="SimSun"/>
        </w:rPr>
        <w:t xml:space="preserve">sitios web </w:t>
      </w:r>
      <w:r>
        <w:rPr>
          <w:rFonts w:eastAsia="SimSun"/>
        </w:rPr>
        <w:t xml:space="preserve">especializados </w:t>
      </w:r>
      <w:r w:rsidRPr="00E020DE">
        <w:rPr>
          <w:rFonts w:eastAsia="SimSun"/>
        </w:rPr>
        <w:t xml:space="preserve">para </w:t>
      </w:r>
      <w:r>
        <w:rPr>
          <w:rFonts w:eastAsia="SimSun"/>
        </w:rPr>
        <w:t xml:space="preserve">facilitar e intercambiar </w:t>
      </w:r>
      <w:r w:rsidRPr="00E020DE">
        <w:rPr>
          <w:rFonts w:eastAsia="SimSun"/>
        </w:rPr>
        <w:t xml:space="preserve">información </w:t>
      </w:r>
      <w:r>
        <w:rPr>
          <w:rFonts w:eastAsia="SimSun"/>
        </w:rPr>
        <w:t xml:space="preserve">relativa a la </w:t>
      </w:r>
      <w:r w:rsidRPr="00E020DE">
        <w:rPr>
          <w:rFonts w:eastAsia="SimSun"/>
        </w:rPr>
        <w:t xml:space="preserve">adopción de IPv6. Estos sitios web ofrecen </w:t>
      </w:r>
      <w:r>
        <w:rPr>
          <w:rFonts w:eastAsia="SimSun"/>
        </w:rPr>
        <w:t>a los interesado</w:t>
      </w:r>
      <w:r w:rsidRPr="00E020DE">
        <w:rPr>
          <w:rFonts w:eastAsia="SimSun"/>
        </w:rPr>
        <w:t>s, incluidos proveedores de servicios, proveedores de contenido</w:t>
      </w:r>
      <w:r>
        <w:rPr>
          <w:rFonts w:eastAsia="SimSun"/>
        </w:rPr>
        <w:t>s</w:t>
      </w:r>
      <w:r w:rsidRPr="00E020DE">
        <w:rPr>
          <w:rFonts w:eastAsia="SimSun"/>
        </w:rPr>
        <w:t xml:space="preserve">, </w:t>
      </w:r>
      <w:r>
        <w:rPr>
          <w:rFonts w:eastAsia="SimSun"/>
        </w:rPr>
        <w:t>empresa,</w:t>
      </w:r>
      <w:r w:rsidRPr="00E020DE">
        <w:rPr>
          <w:rFonts w:eastAsia="SimSun"/>
        </w:rPr>
        <w:t xml:space="preserve"> gobiernos y otros </w:t>
      </w:r>
      <w:r>
        <w:rPr>
          <w:rFonts w:eastAsia="SimSun"/>
        </w:rPr>
        <w:t>usuarios, la posibilidad de intercambia</w:t>
      </w:r>
      <w:r w:rsidRPr="00E020DE">
        <w:rPr>
          <w:rFonts w:eastAsia="SimSun"/>
        </w:rPr>
        <w:t xml:space="preserve">r experiencias, </w:t>
      </w:r>
      <w:r>
        <w:rPr>
          <w:rFonts w:eastAsia="SimSun"/>
        </w:rPr>
        <w:t>formula</w:t>
      </w:r>
      <w:r w:rsidRPr="00E020DE">
        <w:rPr>
          <w:rFonts w:eastAsia="SimSun"/>
        </w:rPr>
        <w:t xml:space="preserve">r preguntas, </w:t>
      </w:r>
      <w:r>
        <w:rPr>
          <w:rFonts w:eastAsia="SimSun"/>
        </w:rPr>
        <w:t>recibir información sobre</w:t>
      </w:r>
      <w:r w:rsidRPr="00E020DE">
        <w:rPr>
          <w:rFonts w:eastAsia="SimSun"/>
        </w:rPr>
        <w:t xml:space="preserve"> prácticas</w:t>
      </w:r>
      <w:r>
        <w:rPr>
          <w:rFonts w:eastAsia="SimSun"/>
        </w:rPr>
        <w:t xml:space="preserve"> óptimas y obtener información concreta con respecto a la implantación de </w:t>
      </w:r>
      <w:r w:rsidRPr="00E020DE">
        <w:rPr>
          <w:rFonts w:eastAsia="SimSun"/>
        </w:rPr>
        <w:t>IPv6.</w:t>
      </w:r>
    </w:p>
    <w:p w:rsidR="005071F9" w:rsidRPr="003B3A37" w:rsidRDefault="005071F9" w:rsidP="005071F9">
      <w:pPr>
        <w:spacing w:before="160"/>
        <w:ind w:right="1127"/>
        <w:rPr>
          <w:rFonts w:eastAsia="SimSun" w:cstheme="minorHAnsi"/>
          <w:szCs w:val="24"/>
        </w:rPr>
      </w:pPr>
      <w:r w:rsidRPr="003B3A37">
        <w:rPr>
          <w:rFonts w:eastAsia="SimSun" w:cstheme="minorHAnsi"/>
          <w:szCs w:val="24"/>
        </w:rPr>
        <w:t xml:space="preserve">Los sitios web administrados por los RIR incluyen: </w:t>
      </w:r>
    </w:p>
    <w:p w:rsidR="005071F9" w:rsidRPr="005071F9" w:rsidRDefault="00F84E05" w:rsidP="00F84E05">
      <w:pPr>
        <w:pStyle w:val="enumlev1"/>
        <w:rPr>
          <w:rFonts w:eastAsia="SimSun"/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</w:r>
      <w:r w:rsidR="005071F9" w:rsidRPr="005071F9">
        <w:rPr>
          <w:rFonts w:eastAsia="SimSun"/>
          <w:lang w:val="en-US"/>
        </w:rPr>
        <w:t xml:space="preserve">AFRINIC IPv6 Programme: </w:t>
      </w:r>
      <w:hyperlink r:id="rId14" w:history="1">
        <w:r w:rsidR="005071F9" w:rsidRPr="005071F9">
          <w:rPr>
            <w:rFonts w:eastAsia="SimSun"/>
            <w:color w:val="0000FF"/>
            <w:u w:val="single"/>
            <w:lang w:val="en-US"/>
          </w:rPr>
          <w:t>http://www.afrinic.net/en/services/ipv6-programme</w:t>
        </w:r>
      </w:hyperlink>
      <w:r w:rsidR="005071F9" w:rsidRPr="005071F9">
        <w:rPr>
          <w:rFonts w:eastAsia="SimSun"/>
          <w:lang w:val="en-US"/>
        </w:rPr>
        <w:t xml:space="preserve"> </w:t>
      </w:r>
    </w:p>
    <w:p w:rsidR="005071F9" w:rsidRPr="005071F9" w:rsidRDefault="00F84E05" w:rsidP="00F84E05">
      <w:pPr>
        <w:pStyle w:val="enumlev1"/>
        <w:rPr>
          <w:rFonts w:eastAsia="SimSun"/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</w:r>
      <w:r w:rsidR="005071F9" w:rsidRPr="005071F9">
        <w:rPr>
          <w:rFonts w:eastAsia="SimSun"/>
          <w:lang w:val="en-US"/>
        </w:rPr>
        <w:t xml:space="preserve">IPv6@APNIC: </w:t>
      </w:r>
      <w:hyperlink r:id="rId15" w:history="1">
        <w:r w:rsidR="005071F9" w:rsidRPr="005071F9">
          <w:rPr>
            <w:rFonts w:eastAsia="SimSun"/>
            <w:color w:val="0000FF"/>
            <w:u w:val="single"/>
            <w:lang w:val="en-US"/>
          </w:rPr>
          <w:t>www.apnic.net/community/ipv6-program</w:t>
        </w:r>
      </w:hyperlink>
      <w:r w:rsidR="005071F9" w:rsidRPr="005071F9">
        <w:rPr>
          <w:rFonts w:eastAsia="SimSun"/>
          <w:lang w:val="en-US"/>
        </w:rPr>
        <w:t xml:space="preserve"> </w:t>
      </w:r>
    </w:p>
    <w:p w:rsidR="005071F9" w:rsidRPr="005071F9" w:rsidRDefault="00F84E05" w:rsidP="00F84E05">
      <w:pPr>
        <w:pStyle w:val="enumlev1"/>
        <w:rPr>
          <w:rFonts w:eastAsia="SimSun"/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</w:r>
      <w:r w:rsidR="005071F9" w:rsidRPr="005071F9">
        <w:rPr>
          <w:rFonts w:eastAsia="SimSun"/>
          <w:lang w:val="en-US"/>
        </w:rPr>
        <w:t xml:space="preserve">ARIN IPv6 Wiki: </w:t>
      </w:r>
      <w:hyperlink r:id="rId16" w:history="1">
        <w:r w:rsidR="005071F9" w:rsidRPr="005071F9">
          <w:rPr>
            <w:rFonts w:eastAsia="SimSun"/>
            <w:color w:val="0000FF"/>
            <w:u w:val="single"/>
            <w:lang w:val="en-US"/>
          </w:rPr>
          <w:t>www.getipv6.info</w:t>
        </w:r>
      </w:hyperlink>
      <w:r w:rsidR="005071F9" w:rsidRPr="005071F9">
        <w:rPr>
          <w:rFonts w:eastAsia="SimSun"/>
          <w:lang w:val="en-US"/>
        </w:rPr>
        <w:t xml:space="preserve"> </w:t>
      </w:r>
    </w:p>
    <w:p w:rsidR="005071F9" w:rsidRPr="003B3A37" w:rsidRDefault="00F84E05" w:rsidP="00F84E05">
      <w:pPr>
        <w:pStyle w:val="enumlev1"/>
        <w:rPr>
          <w:rFonts w:eastAsia="SimSun"/>
        </w:rPr>
      </w:pPr>
      <w:r>
        <w:t>•</w:t>
      </w:r>
      <w:r>
        <w:tab/>
      </w:r>
      <w:r w:rsidR="005071F9" w:rsidRPr="003B3A37">
        <w:rPr>
          <w:rFonts w:eastAsia="SimSun"/>
        </w:rPr>
        <w:t xml:space="preserve">Portal de Transición a </w:t>
      </w:r>
      <w:r w:rsidR="005071F9">
        <w:rPr>
          <w:rFonts w:eastAsia="SimSun"/>
        </w:rPr>
        <w:t>IPv6 de América Latina y el Caribe</w:t>
      </w:r>
      <w:r w:rsidR="005071F9" w:rsidRPr="003B3A37">
        <w:rPr>
          <w:rFonts w:eastAsia="SimSun"/>
        </w:rPr>
        <w:t xml:space="preserve">: </w:t>
      </w:r>
      <w:hyperlink r:id="rId17" w:history="1">
        <w:r w:rsidR="005071F9" w:rsidRPr="003B3A37">
          <w:rPr>
            <w:rFonts w:eastAsia="SimSun"/>
            <w:color w:val="0000FF"/>
            <w:u w:val="single"/>
          </w:rPr>
          <w:t>http://portalipv6.lacnic.net/en/</w:t>
        </w:r>
      </w:hyperlink>
      <w:r w:rsidR="005071F9" w:rsidRPr="003B3A37">
        <w:rPr>
          <w:rFonts w:eastAsia="SimSun"/>
        </w:rPr>
        <w:t xml:space="preserve"> </w:t>
      </w:r>
    </w:p>
    <w:p w:rsidR="005071F9" w:rsidRPr="005071F9" w:rsidRDefault="00F84E05" w:rsidP="00F84E05">
      <w:pPr>
        <w:pStyle w:val="enumlev1"/>
        <w:rPr>
          <w:rFonts w:eastAsia="SimSun"/>
          <w:lang w:val="en-US"/>
        </w:rPr>
      </w:pPr>
      <w:r w:rsidRPr="00F84E05">
        <w:rPr>
          <w:lang w:val="en-US"/>
        </w:rPr>
        <w:t>•</w:t>
      </w:r>
      <w:r w:rsidRPr="00F84E05">
        <w:rPr>
          <w:lang w:val="en-US"/>
        </w:rPr>
        <w:tab/>
      </w:r>
      <w:r w:rsidR="005071F9" w:rsidRPr="005071F9">
        <w:rPr>
          <w:rFonts w:eastAsia="SimSun"/>
          <w:lang w:val="en-US"/>
        </w:rPr>
        <w:t xml:space="preserve">IPv6 Act Now: </w:t>
      </w:r>
      <w:hyperlink r:id="rId18" w:history="1">
        <w:r w:rsidR="005071F9" w:rsidRPr="005071F9">
          <w:rPr>
            <w:rFonts w:eastAsia="SimSun"/>
            <w:color w:val="0000FF"/>
            <w:u w:val="single"/>
            <w:lang w:val="en-US"/>
          </w:rPr>
          <w:t>www.ipv6actnow.org</w:t>
        </w:r>
      </w:hyperlink>
      <w:r w:rsidR="005071F9" w:rsidRPr="005071F9">
        <w:rPr>
          <w:rFonts w:eastAsia="SimSun"/>
          <w:lang w:val="en-US"/>
        </w:rPr>
        <w:t xml:space="preserve"> [Operated by RIPE NCC]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Programas de capacitación y educación </w:t>
      </w:r>
    </w:p>
    <w:p w:rsidR="005071F9" w:rsidRPr="00E020DE" w:rsidRDefault="005071F9" w:rsidP="005071F9">
      <w:pPr>
        <w:spacing w:before="160"/>
        <w:ind w:right="1127"/>
        <w:rPr>
          <w:rFonts w:eastAsia="SimSun" w:cstheme="minorHAnsi"/>
          <w:szCs w:val="24"/>
        </w:rPr>
      </w:pPr>
      <w:r w:rsidRPr="00E020DE">
        <w:rPr>
          <w:rFonts w:eastAsia="SimSun" w:cstheme="minorHAnsi"/>
          <w:szCs w:val="24"/>
        </w:rPr>
        <w:t xml:space="preserve">Los RIR trabajan en sus respectivas regiones para </w:t>
      </w:r>
      <w:r>
        <w:rPr>
          <w:rFonts w:eastAsia="SimSun" w:cstheme="minorHAnsi"/>
          <w:szCs w:val="24"/>
        </w:rPr>
        <w:t xml:space="preserve">fomentar la creación de capacidades humanas con miras a la adopción de </w:t>
      </w:r>
      <w:r w:rsidRPr="00E020DE">
        <w:rPr>
          <w:rFonts w:eastAsia="SimSun" w:cstheme="minorHAnsi"/>
          <w:szCs w:val="24"/>
        </w:rPr>
        <w:t xml:space="preserve">IPv6 </w:t>
      </w:r>
      <w:r>
        <w:rPr>
          <w:rFonts w:eastAsia="SimSun" w:cstheme="minorHAnsi"/>
          <w:szCs w:val="24"/>
        </w:rPr>
        <w:t xml:space="preserve">a través de la formación, </w:t>
      </w:r>
      <w:r w:rsidRPr="00E020DE">
        <w:rPr>
          <w:rFonts w:eastAsia="SimSun" w:cstheme="minorHAnsi"/>
          <w:szCs w:val="24"/>
        </w:rPr>
        <w:t xml:space="preserve">la educación y la divulgación. Muchas de estas actividades se llevan a cabo </w:t>
      </w:r>
      <w:r>
        <w:rPr>
          <w:rFonts w:eastAsia="SimSun" w:cstheme="minorHAnsi"/>
          <w:szCs w:val="24"/>
        </w:rPr>
        <w:t>en estrecha cooperación con otra</w:t>
      </w:r>
      <w:r w:rsidRPr="00E020DE">
        <w:rPr>
          <w:rFonts w:eastAsia="SimSun" w:cstheme="minorHAnsi"/>
          <w:szCs w:val="24"/>
        </w:rPr>
        <w:t xml:space="preserve">s </w:t>
      </w:r>
      <w:r>
        <w:rPr>
          <w:rFonts w:eastAsia="SimSun" w:cstheme="minorHAnsi"/>
          <w:szCs w:val="24"/>
        </w:rPr>
        <w:t>partes interesada</w:t>
      </w:r>
      <w:r w:rsidRPr="00E020DE">
        <w:rPr>
          <w:rFonts w:eastAsia="SimSun" w:cstheme="minorHAnsi"/>
          <w:szCs w:val="24"/>
        </w:rPr>
        <w:t xml:space="preserve">s, </w:t>
      </w:r>
      <w:r>
        <w:rPr>
          <w:rFonts w:eastAsia="SimSun" w:cstheme="minorHAnsi"/>
          <w:szCs w:val="24"/>
        </w:rPr>
        <w:t>en particular autoridades gubernamentales</w:t>
      </w:r>
      <w:r w:rsidRPr="00E020DE">
        <w:rPr>
          <w:rFonts w:eastAsia="SimSun" w:cstheme="minorHAnsi"/>
          <w:szCs w:val="24"/>
        </w:rPr>
        <w:t xml:space="preserve">, </w:t>
      </w:r>
      <w:r>
        <w:rPr>
          <w:rFonts w:eastAsia="SimSun" w:cstheme="minorHAnsi"/>
          <w:szCs w:val="24"/>
        </w:rPr>
        <w:t xml:space="preserve">organismos </w:t>
      </w:r>
      <w:r w:rsidRPr="00E020DE">
        <w:rPr>
          <w:rFonts w:eastAsia="SimSun" w:cstheme="minorHAnsi"/>
          <w:szCs w:val="24"/>
        </w:rPr>
        <w:t xml:space="preserve">reguladores, empresas, grupos comunitarios y organismos encargados de </w:t>
      </w:r>
      <w:r>
        <w:rPr>
          <w:rFonts w:eastAsia="SimSun" w:cstheme="minorHAnsi"/>
          <w:szCs w:val="24"/>
        </w:rPr>
        <w:t>la aplicación de</w:t>
      </w:r>
      <w:r w:rsidRPr="00E020DE">
        <w:rPr>
          <w:rFonts w:eastAsia="SimSun" w:cstheme="minorHAnsi"/>
          <w:szCs w:val="24"/>
        </w:rPr>
        <w:t xml:space="preserve"> la ley.</w:t>
      </w:r>
      <w:r>
        <w:rPr>
          <w:rFonts w:eastAsia="SimSun" w:cstheme="minorHAnsi"/>
          <w:szCs w:val="24"/>
        </w:rPr>
        <w:t xml:space="preserve"> </w:t>
      </w:r>
    </w:p>
    <w:p w:rsidR="005071F9" w:rsidRPr="009E1891" w:rsidRDefault="005071F9" w:rsidP="009E1891">
      <w:pPr>
        <w:rPr>
          <w:rFonts w:eastAsia="SimSun"/>
        </w:rPr>
      </w:pPr>
      <w:r w:rsidRPr="009E1891">
        <w:rPr>
          <w:rFonts w:eastAsia="SimSun"/>
        </w:rPr>
        <w:t xml:space="preserve">Se enumeran a continuación algunas de esas actividades: </w:t>
      </w:r>
    </w:p>
    <w:p w:rsidR="005071F9" w:rsidRPr="00E020DE" w:rsidRDefault="004B127A" w:rsidP="009E1891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 xml:space="preserve">RIPE NCC y APNIC, en colaboración con el Grupo de Operadores de Red de Oriente Medio (MENOG), han </w:t>
      </w:r>
      <w:r w:rsidR="005071F9">
        <w:rPr>
          <w:rFonts w:eastAsia="SimSun"/>
        </w:rPr>
        <w:t xml:space="preserve">organizado </w:t>
      </w:r>
      <w:r w:rsidR="005071F9" w:rsidRPr="00E020DE">
        <w:rPr>
          <w:rFonts w:eastAsia="SimSun"/>
        </w:rPr>
        <w:t>un</w:t>
      </w:r>
      <w:r w:rsidR="005071F9">
        <w:rPr>
          <w:rFonts w:eastAsia="SimSun"/>
        </w:rPr>
        <w:t xml:space="preserve"> curso de</w:t>
      </w:r>
      <w:r w:rsidR="005071F9" w:rsidRPr="00E020DE">
        <w:rPr>
          <w:rFonts w:eastAsia="SimSun"/>
        </w:rPr>
        <w:t xml:space="preserve"> formación técnica de cinco días dirigid</w:t>
      </w:r>
      <w:r w:rsidR="005071F9">
        <w:rPr>
          <w:rFonts w:eastAsia="SimSun"/>
        </w:rPr>
        <w:t>o</w:t>
      </w:r>
      <w:r w:rsidR="005071F9" w:rsidRPr="00E020DE">
        <w:rPr>
          <w:rFonts w:eastAsia="SimSun"/>
        </w:rPr>
        <w:t xml:space="preserve"> a ingenieros de redes </w:t>
      </w:r>
      <w:r w:rsidR="005071F9">
        <w:rPr>
          <w:rFonts w:eastAsia="SimSun"/>
        </w:rPr>
        <w:t xml:space="preserve">empleados por autoridades gubernamentales y </w:t>
      </w:r>
      <w:r w:rsidR="005071F9" w:rsidRPr="00E020DE">
        <w:rPr>
          <w:rFonts w:eastAsia="SimSun"/>
        </w:rPr>
        <w:t xml:space="preserve">empresas, en el </w:t>
      </w:r>
      <w:r w:rsidR="005071F9">
        <w:rPr>
          <w:rFonts w:eastAsia="SimSun"/>
        </w:rPr>
        <w:t xml:space="preserve">cual </w:t>
      </w:r>
      <w:r w:rsidR="005071F9" w:rsidRPr="00E020DE">
        <w:rPr>
          <w:rFonts w:eastAsia="SimSun"/>
        </w:rPr>
        <w:t>aprende</w:t>
      </w:r>
      <w:r w:rsidR="005071F9">
        <w:rPr>
          <w:rFonts w:eastAsia="SimSun"/>
        </w:rPr>
        <w:t>n</w:t>
      </w:r>
      <w:r w:rsidR="005071F9" w:rsidRPr="00E020DE">
        <w:rPr>
          <w:rFonts w:eastAsia="SimSun"/>
        </w:rPr>
        <w:t xml:space="preserve"> a configurar las redes existentes para</w:t>
      </w:r>
      <w:r w:rsidR="005071F9">
        <w:rPr>
          <w:rFonts w:eastAsia="SimSun"/>
        </w:rPr>
        <w:t xml:space="preserve"> que sean compatibles con </w:t>
      </w:r>
      <w:r w:rsidR="005071F9" w:rsidRPr="00E020DE">
        <w:rPr>
          <w:rFonts w:eastAsia="SimSun"/>
        </w:rPr>
        <w:t>IPv6.</w:t>
      </w:r>
      <w:r w:rsidR="005071F9">
        <w:rPr>
          <w:rFonts w:eastAsia="SimSun"/>
        </w:rPr>
        <w:t xml:space="preserve"> Se han impartido m</w:t>
      </w:r>
      <w:r w:rsidR="005071F9" w:rsidRPr="00E020DE">
        <w:rPr>
          <w:rFonts w:eastAsia="SimSun"/>
        </w:rPr>
        <w:t>ás de</w:t>
      </w:r>
      <w:r w:rsidR="009E1891">
        <w:rPr>
          <w:rFonts w:eastAsia="SimSun"/>
        </w:rPr>
        <w:t> </w:t>
      </w:r>
      <w:r w:rsidR="005071F9" w:rsidRPr="00E020DE">
        <w:rPr>
          <w:rFonts w:eastAsia="SimSun"/>
        </w:rPr>
        <w:t xml:space="preserve">20 cursos </w:t>
      </w:r>
      <w:r w:rsidR="005071F9">
        <w:rPr>
          <w:rFonts w:eastAsia="SimSun"/>
        </w:rPr>
        <w:t xml:space="preserve">en </w:t>
      </w:r>
      <w:r w:rsidR="005071F9" w:rsidRPr="00E020DE">
        <w:rPr>
          <w:rFonts w:eastAsia="SimSun"/>
        </w:rPr>
        <w:t xml:space="preserve">Oriente Medio y Asia, </w:t>
      </w:r>
      <w:r w:rsidR="005071F9">
        <w:rPr>
          <w:rFonts w:eastAsia="SimSun"/>
        </w:rPr>
        <w:t xml:space="preserve">y se prevé la realización de otros cursos en </w:t>
      </w:r>
      <w:r w:rsidR="005071F9" w:rsidRPr="00E020DE">
        <w:rPr>
          <w:rFonts w:eastAsia="SimSun"/>
        </w:rPr>
        <w:t>la región</w:t>
      </w:r>
      <w:r w:rsidR="005071F9">
        <w:rPr>
          <w:rFonts w:eastAsia="SimSun"/>
        </w:rPr>
        <w:t xml:space="preserve"> de la</w:t>
      </w:r>
      <w:r>
        <w:rPr>
          <w:rFonts w:eastAsia="SimSun"/>
        </w:rPr>
        <w:t> </w:t>
      </w:r>
      <w:r w:rsidR="005071F9" w:rsidRPr="00E020DE">
        <w:rPr>
          <w:rFonts w:eastAsia="SimSun"/>
        </w:rPr>
        <w:t>CEI.</w:t>
      </w:r>
    </w:p>
    <w:p w:rsidR="005071F9" w:rsidRPr="00E020DE" w:rsidRDefault="004B127A" w:rsidP="00237390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 xml:space="preserve">AFRINIC ha </w:t>
      </w:r>
      <w:r w:rsidR="005071F9">
        <w:rPr>
          <w:rFonts w:eastAsia="SimSun"/>
        </w:rPr>
        <w:t>organiza</w:t>
      </w:r>
      <w:r w:rsidR="005071F9" w:rsidRPr="00E020DE">
        <w:rPr>
          <w:rFonts w:eastAsia="SimSun"/>
        </w:rPr>
        <w:t xml:space="preserve">do un curso </w:t>
      </w:r>
      <w:r w:rsidR="005071F9">
        <w:rPr>
          <w:rFonts w:eastAsia="SimSun"/>
        </w:rPr>
        <w:t xml:space="preserve">avanzado de capacitación en </w:t>
      </w:r>
      <w:r w:rsidR="005071F9" w:rsidRPr="00E020DE">
        <w:rPr>
          <w:rFonts w:eastAsia="SimSun"/>
        </w:rPr>
        <w:t xml:space="preserve">IPv6 para ingenieros y </w:t>
      </w:r>
      <w:r w:rsidR="005071F9">
        <w:rPr>
          <w:rFonts w:eastAsia="SimSun"/>
        </w:rPr>
        <w:t>encargados de adoptar d</w:t>
      </w:r>
      <w:r w:rsidR="005071F9" w:rsidRPr="00E020DE">
        <w:rPr>
          <w:rFonts w:eastAsia="SimSun"/>
        </w:rPr>
        <w:t>ecisiones</w:t>
      </w:r>
      <w:r w:rsidR="005071F9">
        <w:rPr>
          <w:rFonts w:eastAsia="SimSun"/>
        </w:rPr>
        <w:t xml:space="preserve"> del sector de la infraestructura</w:t>
      </w:r>
      <w:r w:rsidR="005071F9" w:rsidRPr="00E020DE">
        <w:rPr>
          <w:rFonts w:eastAsia="SimSun"/>
        </w:rPr>
        <w:t xml:space="preserve">, que se </w:t>
      </w:r>
      <w:r w:rsidR="005071F9">
        <w:rPr>
          <w:rFonts w:eastAsia="SimSun"/>
        </w:rPr>
        <w:t xml:space="preserve">lleva a cabo </w:t>
      </w:r>
      <w:r w:rsidR="005071F9" w:rsidRPr="00E020DE">
        <w:rPr>
          <w:rFonts w:eastAsia="SimSun"/>
        </w:rPr>
        <w:t>en África desde 2009.</w:t>
      </w:r>
      <w:r w:rsidR="005071F9">
        <w:rPr>
          <w:rFonts w:eastAsia="SimSun"/>
        </w:rPr>
        <w:t xml:space="preserve"> </w:t>
      </w:r>
      <w:r w:rsidR="005071F9" w:rsidRPr="00E020DE">
        <w:rPr>
          <w:rFonts w:eastAsia="SimSun"/>
        </w:rPr>
        <w:t xml:space="preserve">En </w:t>
      </w:r>
      <w:r w:rsidR="005071F9">
        <w:rPr>
          <w:rFonts w:eastAsia="SimSun"/>
        </w:rPr>
        <w:t xml:space="preserve">colaboración </w:t>
      </w:r>
      <w:r w:rsidR="005071F9" w:rsidRPr="00E020DE">
        <w:rPr>
          <w:rFonts w:eastAsia="SimSun"/>
        </w:rPr>
        <w:t xml:space="preserve">con </w:t>
      </w:r>
      <w:r w:rsidR="005071F9">
        <w:rPr>
          <w:rFonts w:eastAsia="SimSun"/>
        </w:rPr>
        <w:t>6Deploy, AFRINIC también ha prepara</w:t>
      </w:r>
      <w:r w:rsidR="005071F9" w:rsidRPr="00E020DE">
        <w:rPr>
          <w:rFonts w:eastAsia="SimSun"/>
        </w:rPr>
        <w:t>do un curso espec</w:t>
      </w:r>
      <w:r w:rsidR="005071F9">
        <w:rPr>
          <w:rFonts w:eastAsia="SimSun"/>
        </w:rPr>
        <w:t xml:space="preserve">ial </w:t>
      </w:r>
      <w:r w:rsidR="005071F9" w:rsidRPr="00E020DE">
        <w:rPr>
          <w:rFonts w:eastAsia="SimSun"/>
        </w:rPr>
        <w:t>para proveedores de servicios IP (</w:t>
      </w:r>
      <w:r w:rsidR="00237390">
        <w:rPr>
          <w:rFonts w:eastAsia="SimSun"/>
        </w:rPr>
        <w:t>"</w:t>
      </w:r>
      <w:r w:rsidR="005071F9" w:rsidRPr="00365383">
        <w:rPr>
          <w:rFonts w:eastAsia="SimSun"/>
          <w:i/>
          <w:iCs/>
        </w:rPr>
        <w:t>IPv6 for Sysadminis</w:t>
      </w:r>
      <w:r w:rsidR="00237390">
        <w:rPr>
          <w:rFonts w:eastAsia="SimSun"/>
        </w:rPr>
        <w:t>"</w:t>
      </w:r>
      <w:r w:rsidR="005071F9">
        <w:rPr>
          <w:rFonts w:eastAsia="SimSun"/>
        </w:rPr>
        <w:t xml:space="preserve">) al término del cual </w:t>
      </w:r>
      <w:r w:rsidR="005071F9" w:rsidRPr="00E020DE">
        <w:rPr>
          <w:rFonts w:eastAsia="SimSun"/>
        </w:rPr>
        <w:t xml:space="preserve">los participantes reciben un certificado especial IPv6Forum. </w:t>
      </w:r>
      <w:r w:rsidR="005071F9">
        <w:rPr>
          <w:rFonts w:eastAsia="SimSun"/>
        </w:rPr>
        <w:t xml:space="preserve">Certificando los conocimientos adquiridos por los participantes en estos cursos de formación, </w:t>
      </w:r>
      <w:r w:rsidR="005071F9" w:rsidRPr="00E020DE">
        <w:rPr>
          <w:rFonts w:eastAsia="SimSun"/>
        </w:rPr>
        <w:t xml:space="preserve">AFRINIC </w:t>
      </w:r>
      <w:r w:rsidR="005071F9">
        <w:rPr>
          <w:rFonts w:eastAsia="SimSun"/>
        </w:rPr>
        <w:t>aporta a</w:t>
      </w:r>
      <w:r w:rsidR="005071F9" w:rsidRPr="00E020DE">
        <w:rPr>
          <w:rFonts w:eastAsia="SimSun"/>
        </w:rPr>
        <w:t xml:space="preserve"> los ingenieros la confianza necesaria para </w:t>
      </w:r>
      <w:r w:rsidR="005071F9">
        <w:rPr>
          <w:rFonts w:eastAsia="SimSun"/>
        </w:rPr>
        <w:t xml:space="preserve">abordar con sus administradores las cuestiones relativas a la implantación de </w:t>
      </w:r>
      <w:r w:rsidR="005071F9" w:rsidRPr="00E020DE">
        <w:rPr>
          <w:rFonts w:eastAsia="SimSun"/>
        </w:rPr>
        <w:t>IPv6.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>En el marco</w:t>
      </w:r>
      <w:r w:rsidR="005071F9" w:rsidRPr="00E020DE">
        <w:rPr>
          <w:rFonts w:eastAsia="SimSun"/>
        </w:rPr>
        <w:t xml:space="preserve"> de una a</w:t>
      </w:r>
      <w:r w:rsidR="005071F9">
        <w:rPr>
          <w:rFonts w:eastAsia="SimSun"/>
        </w:rPr>
        <w:t xml:space="preserve">lianza </w:t>
      </w:r>
      <w:r w:rsidR="005071F9" w:rsidRPr="00E020DE">
        <w:rPr>
          <w:rFonts w:eastAsia="SimSun"/>
        </w:rPr>
        <w:t xml:space="preserve">con la </w:t>
      </w:r>
      <w:r w:rsidR="005071F9">
        <w:rPr>
          <w:rFonts w:eastAsia="SimSun"/>
        </w:rPr>
        <w:t>Organización de Telecomunicaciones del Commonwealth (</w:t>
      </w:r>
      <w:r w:rsidR="005071F9" w:rsidRPr="00E020DE">
        <w:rPr>
          <w:rFonts w:eastAsia="SimSun"/>
        </w:rPr>
        <w:t>CTO</w:t>
      </w:r>
      <w:r w:rsidR="005071F9">
        <w:rPr>
          <w:rFonts w:eastAsia="SimSun"/>
        </w:rPr>
        <w:t>)</w:t>
      </w:r>
      <w:r w:rsidR="005071F9" w:rsidRPr="00E020DE">
        <w:rPr>
          <w:rFonts w:eastAsia="SimSun"/>
        </w:rPr>
        <w:t xml:space="preserve"> y la Unión Africana de Telecomunicaciones (UAT), AFRINIC ha</w:t>
      </w:r>
      <w:r w:rsidR="005071F9">
        <w:rPr>
          <w:rFonts w:eastAsia="SimSun"/>
        </w:rPr>
        <w:t>n</w:t>
      </w:r>
      <w:r w:rsidR="005071F9" w:rsidRPr="00E020DE">
        <w:rPr>
          <w:rFonts w:eastAsia="SimSun"/>
        </w:rPr>
        <w:t xml:space="preserve"> </w:t>
      </w:r>
      <w:r w:rsidR="005071F9">
        <w:rPr>
          <w:rFonts w:eastAsia="SimSun"/>
        </w:rPr>
        <w:t>organizado una capacitación en r</w:t>
      </w:r>
      <w:r w:rsidR="005071F9" w:rsidRPr="00E020DE">
        <w:rPr>
          <w:rFonts w:eastAsia="SimSun"/>
        </w:rPr>
        <w:t xml:space="preserve">ecursos de numeración IP para </w:t>
      </w:r>
      <w:r w:rsidR="005071F9">
        <w:rPr>
          <w:rFonts w:eastAsia="SimSun"/>
        </w:rPr>
        <w:t xml:space="preserve">responsables políticos, que se lleva a cabo </w:t>
      </w:r>
      <w:r w:rsidR="005071F9" w:rsidRPr="00043A8B">
        <w:rPr>
          <w:rFonts w:eastAsia="SimSun"/>
        </w:rPr>
        <w:t>simultáneamente con diversos foros de organismos reguladores</w:t>
      </w:r>
      <w:r w:rsidR="005071F9" w:rsidRPr="00E020DE">
        <w:rPr>
          <w:rFonts w:eastAsia="SimSun"/>
        </w:rPr>
        <w:t>.</w:t>
      </w:r>
      <w:r w:rsidR="005071F9">
        <w:rPr>
          <w:rFonts w:eastAsia="SimSun"/>
        </w:rPr>
        <w:t xml:space="preserve"> Estos cursos</w:t>
      </w:r>
      <w:r w:rsidR="005071F9" w:rsidRPr="00E020DE">
        <w:rPr>
          <w:rFonts w:eastAsia="SimSun"/>
        </w:rPr>
        <w:t xml:space="preserve"> han recibido </w:t>
      </w:r>
      <w:r w:rsidR="005071F9">
        <w:rPr>
          <w:rFonts w:eastAsia="SimSun"/>
        </w:rPr>
        <w:t>un reconocimiento muy favorable</w:t>
      </w:r>
      <w:r w:rsidR="005071F9" w:rsidRPr="00E020DE">
        <w:rPr>
          <w:rFonts w:eastAsia="SimSun"/>
        </w:rPr>
        <w:t xml:space="preserve">, </w:t>
      </w:r>
      <w:r w:rsidR="005071F9">
        <w:rPr>
          <w:rFonts w:eastAsia="SimSun"/>
        </w:rPr>
        <w:t xml:space="preserve">principalmente las dos últimas veces que se han impartido, en </w:t>
      </w:r>
      <w:r w:rsidR="005071F9" w:rsidRPr="00E020DE">
        <w:rPr>
          <w:rFonts w:eastAsia="SimSun"/>
        </w:rPr>
        <w:t xml:space="preserve">Mauricio </w:t>
      </w:r>
      <w:r w:rsidR="005071F9">
        <w:rPr>
          <w:rFonts w:eastAsia="SimSun"/>
        </w:rPr>
        <w:t>durante el F</w:t>
      </w:r>
      <w:r w:rsidR="005071F9" w:rsidRPr="00E020DE">
        <w:rPr>
          <w:rFonts w:eastAsia="SimSun"/>
        </w:rPr>
        <w:t xml:space="preserve">oro de </w:t>
      </w:r>
      <w:r w:rsidR="005071F9">
        <w:rPr>
          <w:rFonts w:eastAsia="SimSun"/>
        </w:rPr>
        <w:t xml:space="preserve">la </w:t>
      </w:r>
      <w:r w:rsidR="005071F9" w:rsidRPr="00E020DE">
        <w:rPr>
          <w:rFonts w:eastAsia="SimSun"/>
        </w:rPr>
        <w:t xml:space="preserve">CTO, y </w:t>
      </w:r>
      <w:r w:rsidR="005071F9">
        <w:rPr>
          <w:rFonts w:eastAsia="SimSun"/>
        </w:rPr>
        <w:t xml:space="preserve">en El Cairo </w:t>
      </w:r>
      <w:r w:rsidR="005071F9" w:rsidRPr="00E020DE">
        <w:rPr>
          <w:rFonts w:eastAsia="SimSun"/>
        </w:rPr>
        <w:t>como parte de la</w:t>
      </w:r>
      <w:r w:rsidR="005071F9">
        <w:rPr>
          <w:rFonts w:eastAsia="SimSun"/>
        </w:rPr>
        <w:t xml:space="preserve"> reunión regional para África de la CE</w:t>
      </w:r>
      <w:r w:rsidR="009E1891">
        <w:rPr>
          <w:rFonts w:eastAsia="SimSun"/>
        </w:rPr>
        <w:t> </w:t>
      </w:r>
      <w:r w:rsidR="005071F9">
        <w:rPr>
          <w:rFonts w:eastAsia="SimSun"/>
        </w:rPr>
        <w:t>3 del UIT</w:t>
      </w:r>
      <w:r w:rsidR="005071F9" w:rsidRPr="00E020DE">
        <w:rPr>
          <w:rFonts w:eastAsia="SimSun"/>
        </w:rPr>
        <w:t>-T.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>APNIC</w:t>
      </w:r>
      <w:r w:rsidR="005071F9">
        <w:rPr>
          <w:rFonts w:eastAsia="SimSun"/>
        </w:rPr>
        <w:t xml:space="preserve">, en colaboración </w:t>
      </w:r>
      <w:r w:rsidR="005071F9" w:rsidRPr="00E020DE">
        <w:rPr>
          <w:rFonts w:eastAsia="SimSun"/>
        </w:rPr>
        <w:t xml:space="preserve">con el Centro de Excelencia </w:t>
      </w:r>
      <w:r w:rsidR="005071F9" w:rsidRPr="00CC2230">
        <w:rPr>
          <w:rFonts w:eastAsia="SimSun"/>
        </w:rPr>
        <w:t xml:space="preserve">del UIT-D </w:t>
      </w:r>
      <w:r w:rsidR="005071F9" w:rsidRPr="00E020DE">
        <w:rPr>
          <w:rFonts w:eastAsia="SimSun"/>
        </w:rPr>
        <w:t>en Bangkok</w:t>
      </w:r>
      <w:r w:rsidR="005071F9">
        <w:rPr>
          <w:rFonts w:eastAsia="SimSun"/>
        </w:rPr>
        <w:t>, está realizando</w:t>
      </w:r>
      <w:r w:rsidR="005071F9" w:rsidRPr="00E020DE">
        <w:rPr>
          <w:rFonts w:eastAsia="SimSun"/>
        </w:rPr>
        <w:t xml:space="preserve"> actividades de </w:t>
      </w:r>
      <w:r w:rsidR="005071F9">
        <w:rPr>
          <w:rFonts w:eastAsia="SimSun"/>
        </w:rPr>
        <w:t>capacitación en</w:t>
      </w:r>
      <w:r w:rsidR="005D03AE">
        <w:rPr>
          <w:rFonts w:eastAsia="SimSun"/>
        </w:rPr>
        <w:t xml:space="preserve"> </w:t>
      </w:r>
      <w:r w:rsidR="005071F9" w:rsidRPr="00E020DE">
        <w:rPr>
          <w:rFonts w:eastAsia="SimSun"/>
        </w:rPr>
        <w:t xml:space="preserve">IPv6 </w:t>
      </w:r>
      <w:r w:rsidR="005071F9">
        <w:rPr>
          <w:rFonts w:eastAsia="SimSun"/>
        </w:rPr>
        <w:t xml:space="preserve">destinadas </w:t>
      </w:r>
      <w:r w:rsidR="005071F9" w:rsidRPr="00E020DE">
        <w:rPr>
          <w:rFonts w:eastAsia="SimSun"/>
        </w:rPr>
        <w:t>a responsables políticos y otros</w:t>
      </w:r>
      <w:r w:rsidR="005071F9">
        <w:rPr>
          <w:rFonts w:eastAsia="SimSun"/>
        </w:rPr>
        <w:t xml:space="preserve"> interesados </w:t>
      </w:r>
      <w:r w:rsidR="005071F9" w:rsidRPr="00E020DE">
        <w:rPr>
          <w:rFonts w:eastAsia="SimSun"/>
        </w:rPr>
        <w:t>en la región Asia</w:t>
      </w:r>
      <w:r w:rsidR="005071F9">
        <w:rPr>
          <w:rFonts w:eastAsia="SimSun"/>
        </w:rPr>
        <w:t>-</w:t>
      </w:r>
      <w:r w:rsidR="005071F9" w:rsidRPr="00E020DE">
        <w:rPr>
          <w:rFonts w:eastAsia="SimSun"/>
        </w:rPr>
        <w:t>Pacífico.</w:t>
      </w:r>
    </w:p>
    <w:p w:rsidR="005071F9" w:rsidRPr="00E020DE" w:rsidRDefault="004B127A" w:rsidP="00237390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>L</w:t>
      </w:r>
      <w:r w:rsidR="005071F9">
        <w:rPr>
          <w:rFonts w:eastAsia="SimSun"/>
        </w:rPr>
        <w:t>acnic</w:t>
      </w:r>
      <w:r w:rsidR="005071F9" w:rsidRPr="00E020DE">
        <w:rPr>
          <w:rFonts w:eastAsia="SimSun"/>
        </w:rPr>
        <w:t xml:space="preserve"> ha </w:t>
      </w:r>
      <w:r w:rsidR="005071F9">
        <w:rPr>
          <w:rFonts w:eastAsia="SimSun"/>
        </w:rPr>
        <w:t>impartido v</w:t>
      </w:r>
      <w:r w:rsidR="005071F9" w:rsidRPr="00E020DE">
        <w:rPr>
          <w:rFonts w:eastAsia="SimSun"/>
        </w:rPr>
        <w:t>arios programas de capacitación a más de 7</w:t>
      </w:r>
      <w:r w:rsidR="00237390">
        <w:rPr>
          <w:rFonts w:eastAsia="SimSun"/>
        </w:rPr>
        <w:t> </w:t>
      </w:r>
      <w:r w:rsidR="005071F9" w:rsidRPr="00E020DE">
        <w:rPr>
          <w:rFonts w:eastAsia="SimSun"/>
        </w:rPr>
        <w:t xml:space="preserve">000 ingenieros en toda su </w:t>
      </w:r>
      <w:r w:rsidR="005071F9">
        <w:rPr>
          <w:rFonts w:eastAsia="SimSun"/>
        </w:rPr>
        <w:t xml:space="preserve">región </w:t>
      </w:r>
      <w:r w:rsidR="005071F9" w:rsidRPr="00E020DE">
        <w:rPr>
          <w:rFonts w:eastAsia="SimSun"/>
        </w:rPr>
        <w:t>de servicio, en col</w:t>
      </w:r>
      <w:r w:rsidR="005071F9">
        <w:rPr>
          <w:rFonts w:eastAsia="SimSun"/>
        </w:rPr>
        <w:t>aboración con diverso</w:t>
      </w:r>
      <w:r w:rsidR="005071F9" w:rsidRPr="00E020DE">
        <w:rPr>
          <w:rFonts w:eastAsia="SimSun"/>
        </w:rPr>
        <w:t>s interesad</w:t>
      </w:r>
      <w:r w:rsidR="005071F9">
        <w:rPr>
          <w:rFonts w:eastAsia="SimSun"/>
        </w:rPr>
        <w:t>o</w:t>
      </w:r>
      <w:r w:rsidR="005071F9" w:rsidRPr="00E020DE">
        <w:rPr>
          <w:rFonts w:eastAsia="SimSun"/>
        </w:rPr>
        <w:t xml:space="preserve">s, </w:t>
      </w:r>
      <w:r w:rsidR="005071F9">
        <w:rPr>
          <w:rFonts w:eastAsia="SimSun"/>
        </w:rPr>
        <w:t>entre ellos el Grupo de Operadores de Redes de Latinoa</w:t>
      </w:r>
      <w:r w:rsidR="005071F9" w:rsidRPr="00E020DE">
        <w:rPr>
          <w:rFonts w:eastAsia="SimSun"/>
        </w:rPr>
        <w:t xml:space="preserve">mérica y el Caribe </w:t>
      </w:r>
      <w:r w:rsidR="005071F9">
        <w:rPr>
          <w:rFonts w:eastAsia="SimSun"/>
        </w:rPr>
        <w:t xml:space="preserve">(LACNOG), el programa </w:t>
      </w:r>
      <w:r w:rsidR="005071F9" w:rsidRPr="00E020DE">
        <w:rPr>
          <w:rFonts w:eastAsia="SimSun"/>
        </w:rPr>
        <w:t>6</w:t>
      </w:r>
      <w:r w:rsidR="005071F9">
        <w:rPr>
          <w:rFonts w:eastAsia="SimSun"/>
        </w:rPr>
        <w:t xml:space="preserve">DEPLOY de la Unión Europea, </w:t>
      </w:r>
      <w:r w:rsidR="005071F9" w:rsidRPr="00E020DE">
        <w:rPr>
          <w:rFonts w:eastAsia="SimSun"/>
        </w:rPr>
        <w:t>reguladores de telecomunicaciones y otr</w:t>
      </w:r>
      <w:r w:rsidR="005071F9">
        <w:rPr>
          <w:rFonts w:eastAsia="SimSun"/>
        </w:rPr>
        <w:t>o</w:t>
      </w:r>
      <w:r w:rsidR="005071F9" w:rsidRPr="00E020DE">
        <w:rPr>
          <w:rFonts w:eastAsia="SimSun"/>
        </w:rPr>
        <w:t xml:space="preserve">s </w:t>
      </w:r>
      <w:r w:rsidR="005071F9">
        <w:rPr>
          <w:rFonts w:eastAsia="SimSun"/>
        </w:rPr>
        <w:t xml:space="preserve">organismos </w:t>
      </w:r>
      <w:r w:rsidR="005071F9" w:rsidRPr="00E020DE">
        <w:rPr>
          <w:rFonts w:eastAsia="SimSun"/>
        </w:rPr>
        <w:t>gubernamentales, y organizaciones intergubernamentales como la Comisión Interamericana de Telecomunicaciones (CITEL).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>ARIN lleva a cabo un</w:t>
      </w:r>
      <w:r w:rsidR="005071F9">
        <w:rPr>
          <w:rFonts w:eastAsia="SimSun"/>
        </w:rPr>
        <w:t xml:space="preserve">a importante labor de sensibilización en </w:t>
      </w:r>
      <w:r w:rsidR="005071F9" w:rsidRPr="00E020DE">
        <w:rPr>
          <w:rFonts w:eastAsia="SimSun"/>
        </w:rPr>
        <w:t xml:space="preserve">toda su región sobre la necesidad de </w:t>
      </w:r>
      <w:r w:rsidR="005071F9">
        <w:rPr>
          <w:rFonts w:eastAsia="SimSun"/>
        </w:rPr>
        <w:t xml:space="preserve">implantar </w:t>
      </w:r>
      <w:r w:rsidR="005071F9" w:rsidRPr="00E020DE">
        <w:rPr>
          <w:rFonts w:eastAsia="SimSun"/>
        </w:rPr>
        <w:t>IPv6.</w:t>
      </w:r>
      <w:r w:rsidR="005071F9">
        <w:rPr>
          <w:rFonts w:eastAsia="SimSun"/>
        </w:rPr>
        <w:t xml:space="preserve"> </w:t>
      </w:r>
      <w:r w:rsidR="005071F9" w:rsidRPr="00E020DE">
        <w:rPr>
          <w:rFonts w:eastAsia="SimSun"/>
        </w:rPr>
        <w:t xml:space="preserve">ARIN ofrece </w:t>
      </w:r>
      <w:r w:rsidR="005071F9">
        <w:rPr>
          <w:rFonts w:eastAsia="SimSun"/>
        </w:rPr>
        <w:t>programas de educación itinerantes e</w:t>
      </w:r>
      <w:r w:rsidR="005071F9" w:rsidRPr="00E020DE">
        <w:rPr>
          <w:rFonts w:eastAsia="SimSun"/>
        </w:rPr>
        <w:t>n foros comerciales, empresariales, académicos y técnicos</w:t>
      </w:r>
      <w:r w:rsidR="005071F9">
        <w:rPr>
          <w:rFonts w:eastAsia="SimSun"/>
        </w:rPr>
        <w:t>;</w:t>
      </w:r>
      <w:r w:rsidR="005071F9" w:rsidRPr="00E020DE">
        <w:rPr>
          <w:rFonts w:eastAsia="SimSun"/>
        </w:rPr>
        <w:t xml:space="preserve"> </w:t>
      </w:r>
      <w:r w:rsidR="005071F9">
        <w:rPr>
          <w:rFonts w:eastAsia="SimSun"/>
        </w:rPr>
        <w:t xml:space="preserve">ofrece </w:t>
      </w:r>
      <w:r w:rsidR="005071F9" w:rsidRPr="00E020DE">
        <w:rPr>
          <w:rFonts w:eastAsia="SimSun"/>
        </w:rPr>
        <w:t>también material</w:t>
      </w:r>
      <w:r w:rsidR="005071F9">
        <w:rPr>
          <w:rFonts w:eastAsia="SimSun"/>
        </w:rPr>
        <w:t xml:space="preserve"> didáctico </w:t>
      </w:r>
      <w:r w:rsidR="005071F9" w:rsidRPr="00E020DE">
        <w:rPr>
          <w:rFonts w:eastAsia="SimSun"/>
        </w:rPr>
        <w:t>a la comunidad para</w:t>
      </w:r>
      <w:r w:rsidR="005071F9">
        <w:rPr>
          <w:rFonts w:eastAsia="SimSun"/>
        </w:rPr>
        <w:t xml:space="preserve"> que lo utilice </w:t>
      </w:r>
      <w:r w:rsidR="005071F9" w:rsidRPr="00E020DE">
        <w:rPr>
          <w:rFonts w:eastAsia="SimSun"/>
        </w:rPr>
        <w:t>en sus propias iniciativas de educación. La participación en foros regionales</w:t>
      </w:r>
      <w:r w:rsidR="005071F9">
        <w:rPr>
          <w:rFonts w:eastAsia="SimSun"/>
        </w:rPr>
        <w:t>,</w:t>
      </w:r>
      <w:r w:rsidR="005071F9" w:rsidRPr="00E020DE">
        <w:rPr>
          <w:rFonts w:eastAsia="SimSun"/>
        </w:rPr>
        <w:t xml:space="preserve"> como </w:t>
      </w:r>
      <w:r w:rsidR="005071F9" w:rsidRPr="00830604">
        <w:rPr>
          <w:i/>
          <w:iCs/>
        </w:rPr>
        <w:t>Caribbean Network Operators Forum</w:t>
      </w:r>
      <w:r w:rsidR="005071F9" w:rsidRPr="00830604">
        <w:t xml:space="preserve"> </w:t>
      </w:r>
      <w:r w:rsidR="005071F9">
        <w:t>(</w:t>
      </w:r>
      <w:r w:rsidR="005071F9" w:rsidRPr="00E020DE">
        <w:rPr>
          <w:rFonts w:eastAsia="SimSun"/>
        </w:rPr>
        <w:t>CaribNOG</w:t>
      </w:r>
      <w:r w:rsidR="005071F9">
        <w:rPr>
          <w:rFonts w:eastAsia="SimSun"/>
        </w:rPr>
        <w:t xml:space="preserve">) y </w:t>
      </w:r>
      <w:r w:rsidR="005071F9" w:rsidRPr="00830604">
        <w:rPr>
          <w:rFonts w:cs="Calibri"/>
          <w:i/>
          <w:iCs/>
        </w:rPr>
        <w:t>Canadian ISP Summit</w:t>
      </w:r>
      <w:r w:rsidR="005071F9">
        <w:rPr>
          <w:rFonts w:eastAsia="SimSun"/>
        </w:rPr>
        <w:t xml:space="preserve">, es una ocasión </w:t>
      </w:r>
      <w:r w:rsidR="005071F9" w:rsidRPr="00E020DE">
        <w:rPr>
          <w:rFonts w:eastAsia="SimSun"/>
        </w:rPr>
        <w:t>para llegar a diversos</w:t>
      </w:r>
      <w:r w:rsidR="005071F9">
        <w:rPr>
          <w:rFonts w:eastAsia="SimSun"/>
        </w:rPr>
        <w:t xml:space="preserve"> públicos</w:t>
      </w:r>
      <w:r w:rsidR="005071F9" w:rsidRPr="00E020DE">
        <w:rPr>
          <w:rFonts w:eastAsia="SimSun"/>
        </w:rPr>
        <w:t>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 xml:space="preserve">RIPE NCC colabora </w:t>
      </w:r>
      <w:r w:rsidR="005071F9" w:rsidRPr="00E020DE">
        <w:rPr>
          <w:rFonts w:eastAsia="SimSun"/>
        </w:rPr>
        <w:t xml:space="preserve">con </w:t>
      </w:r>
      <w:r w:rsidR="005071F9" w:rsidRPr="000E7928">
        <w:rPr>
          <w:rFonts w:eastAsia="SimSun"/>
        </w:rPr>
        <w:t xml:space="preserve">organismos </w:t>
      </w:r>
      <w:r w:rsidR="005071F9">
        <w:rPr>
          <w:rFonts w:eastAsia="SimSun"/>
        </w:rPr>
        <w:t xml:space="preserve">nacionales y transnacionales </w:t>
      </w:r>
      <w:r w:rsidR="005071F9" w:rsidRPr="000E7928">
        <w:rPr>
          <w:rFonts w:eastAsia="SimSun"/>
        </w:rPr>
        <w:t xml:space="preserve">encargados de la aplicación de la ley </w:t>
      </w:r>
      <w:r w:rsidR="005071F9">
        <w:rPr>
          <w:rFonts w:eastAsia="SimSun"/>
        </w:rPr>
        <w:t>con objeto de comprender mejor las cuestiones técnicas y en materia de política relativas a</w:t>
      </w:r>
      <w:r w:rsidR="005071F9" w:rsidRPr="00E020DE">
        <w:rPr>
          <w:rFonts w:eastAsia="SimSun"/>
        </w:rPr>
        <w:t xml:space="preserve"> IPv6 </w:t>
      </w:r>
      <w:r w:rsidR="005071F9">
        <w:rPr>
          <w:rFonts w:eastAsia="SimSun"/>
        </w:rPr>
        <w:t xml:space="preserve">que están relacionadas con </w:t>
      </w:r>
      <w:r w:rsidR="005071F9" w:rsidRPr="00E020DE">
        <w:rPr>
          <w:rFonts w:eastAsia="SimSun"/>
        </w:rPr>
        <w:t>actividades de aplicación de la ley.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 xml:space="preserve">Los RIR han contribuido activamente </w:t>
      </w:r>
      <w:r w:rsidR="005071F9">
        <w:rPr>
          <w:rFonts w:eastAsia="SimSun"/>
        </w:rPr>
        <w:t>en</w:t>
      </w:r>
      <w:r w:rsidR="005071F9" w:rsidRPr="00E020DE">
        <w:rPr>
          <w:rFonts w:eastAsia="SimSun"/>
        </w:rPr>
        <w:t xml:space="preserve"> eventos </w:t>
      </w:r>
      <w:r w:rsidR="005071F9">
        <w:rPr>
          <w:rFonts w:eastAsia="SimSun"/>
        </w:rPr>
        <w:t>cuya finalidad es la coordinación a escala mundial, co</w:t>
      </w:r>
      <w:r w:rsidR="005071F9" w:rsidRPr="00E020DE">
        <w:rPr>
          <w:rFonts w:eastAsia="SimSun"/>
        </w:rPr>
        <w:t xml:space="preserve">mo el Día Mundial de IPv6 (2011) y el </w:t>
      </w:r>
      <w:r w:rsidR="005071F9">
        <w:rPr>
          <w:rFonts w:eastAsia="SimSun"/>
        </w:rPr>
        <w:t xml:space="preserve">Lanzamiento Mundial de </w:t>
      </w:r>
      <w:r w:rsidR="005071F9" w:rsidRPr="00E020DE">
        <w:rPr>
          <w:rFonts w:eastAsia="SimSun"/>
        </w:rPr>
        <w:t xml:space="preserve">IPv6 (2012), </w:t>
      </w:r>
      <w:r w:rsidR="005071F9">
        <w:rPr>
          <w:rFonts w:eastAsia="SimSun"/>
        </w:rPr>
        <w:t xml:space="preserve">con objeto de hacer hincapié en la </w:t>
      </w:r>
      <w:r w:rsidR="005071F9" w:rsidRPr="00E020DE">
        <w:rPr>
          <w:rFonts w:eastAsia="SimSun"/>
        </w:rPr>
        <w:t>necesidad de la adopción de IPv6 por los operadores de red.</w:t>
      </w:r>
    </w:p>
    <w:p w:rsidR="005071F9" w:rsidRPr="00E020DE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 w:rsidRPr="00E020DE">
        <w:rPr>
          <w:rFonts w:eastAsia="SimSun"/>
        </w:rPr>
        <w:t xml:space="preserve">Todos los RIR </w:t>
      </w:r>
      <w:r w:rsidR="005071F9">
        <w:rPr>
          <w:rFonts w:eastAsia="SimSun"/>
        </w:rPr>
        <w:t xml:space="preserve">participan en </w:t>
      </w:r>
      <w:r w:rsidR="005071F9" w:rsidRPr="00E020DE">
        <w:rPr>
          <w:rFonts w:eastAsia="SimSun"/>
        </w:rPr>
        <w:t xml:space="preserve">diversos </w:t>
      </w:r>
      <w:r w:rsidR="009E1891" w:rsidRPr="00E020DE">
        <w:rPr>
          <w:rFonts w:eastAsia="SimSun"/>
        </w:rPr>
        <w:t>Grupos</w:t>
      </w:r>
      <w:r w:rsidR="009E1891">
        <w:rPr>
          <w:rFonts w:eastAsia="SimSun"/>
        </w:rPr>
        <w:t xml:space="preserve"> Especiales</w:t>
      </w:r>
      <w:r w:rsidR="005071F9">
        <w:rPr>
          <w:rFonts w:eastAsia="SimSun"/>
        </w:rPr>
        <w:t xml:space="preserve"> y </w:t>
      </w:r>
      <w:r w:rsidR="009E1891">
        <w:rPr>
          <w:rFonts w:eastAsia="SimSun"/>
        </w:rPr>
        <w:t>Conferencias Regionales</w:t>
      </w:r>
      <w:r w:rsidR="005071F9">
        <w:rPr>
          <w:rFonts w:eastAsia="SimSun"/>
        </w:rPr>
        <w:t xml:space="preserve"> y </w:t>
      </w:r>
      <w:r w:rsidR="009E1891">
        <w:rPr>
          <w:rFonts w:eastAsia="SimSun"/>
        </w:rPr>
        <w:t>N</w:t>
      </w:r>
      <w:r w:rsidR="005071F9">
        <w:rPr>
          <w:rFonts w:eastAsia="SimSun"/>
        </w:rPr>
        <w:t xml:space="preserve">acionales sobre IPv6, y trabajan </w:t>
      </w:r>
      <w:r w:rsidR="005071F9" w:rsidRPr="00E020DE">
        <w:rPr>
          <w:rFonts w:eastAsia="SimSun"/>
        </w:rPr>
        <w:t xml:space="preserve">en colaboración con </w:t>
      </w:r>
      <w:r w:rsidR="005071F9">
        <w:rPr>
          <w:rFonts w:eastAsia="SimSun"/>
        </w:rPr>
        <w:t>autoridades gubernamentales y otro</w:t>
      </w:r>
      <w:r w:rsidR="005071F9" w:rsidRPr="00E020DE">
        <w:rPr>
          <w:rFonts w:eastAsia="SimSun"/>
        </w:rPr>
        <w:t>s int</w:t>
      </w:r>
      <w:r w:rsidR="005071F9">
        <w:rPr>
          <w:rFonts w:eastAsia="SimSun"/>
        </w:rPr>
        <w:t>eresado</w:t>
      </w:r>
      <w:r w:rsidR="005071F9" w:rsidRPr="00E020DE">
        <w:rPr>
          <w:rFonts w:eastAsia="SimSun"/>
        </w:rPr>
        <w:t xml:space="preserve">s para abordar </w:t>
      </w:r>
      <w:r w:rsidR="005071F9">
        <w:rPr>
          <w:rFonts w:eastAsia="SimSun"/>
        </w:rPr>
        <w:t xml:space="preserve">cuestiones como, por ejemplo, políticas nacionales sobre IPv6, programas de capacitación y actividades del sector privado. </w:t>
      </w:r>
    </w:p>
    <w:p w:rsidR="005071F9" w:rsidRPr="005E4472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 xml:space="preserve">La encuesta mundial de supervisión de la implantación de </w:t>
      </w:r>
      <w:r w:rsidR="005071F9" w:rsidRPr="005E4472">
        <w:rPr>
          <w:rFonts w:eastAsia="SimSun"/>
        </w:rPr>
        <w:t>IPv6</w:t>
      </w:r>
      <w:r w:rsidR="005071F9">
        <w:rPr>
          <w:rFonts w:eastAsia="SimSun"/>
        </w:rPr>
        <w:t xml:space="preserve"> </w:t>
      </w:r>
      <w:r w:rsidR="005071F9" w:rsidRPr="00ED1FBD">
        <w:rPr>
          <w:rFonts w:cs="Calibri"/>
        </w:rPr>
        <w:t>(</w:t>
      </w:r>
      <w:r w:rsidR="005071F9" w:rsidRPr="00ED1FBD">
        <w:rPr>
          <w:rFonts w:cs="Calibri"/>
          <w:i/>
          <w:iCs/>
        </w:rPr>
        <w:t>Global IPv6 Deployment Monitoring Survey</w:t>
      </w:r>
      <w:r w:rsidR="005071F9" w:rsidRPr="00ED1FBD">
        <w:rPr>
          <w:rFonts w:cs="Calibri"/>
        </w:rPr>
        <w:t>)</w:t>
      </w:r>
      <w:r w:rsidR="005071F9" w:rsidRPr="005E4472">
        <w:rPr>
          <w:rFonts w:eastAsia="SimSun"/>
        </w:rPr>
        <w:t xml:space="preserve">, </w:t>
      </w:r>
      <w:r w:rsidR="005071F9">
        <w:rPr>
          <w:rFonts w:eastAsia="SimSun"/>
        </w:rPr>
        <w:t>que se realiza todos los años desde 2010 en nombre de los cinco RIR, así como varios programas de mediciones llevado</w:t>
      </w:r>
      <w:r w:rsidR="005071F9" w:rsidRPr="005E4472">
        <w:rPr>
          <w:rFonts w:eastAsia="SimSun"/>
        </w:rPr>
        <w:t xml:space="preserve">s a cabo por </w:t>
      </w:r>
      <w:r w:rsidR="005071F9">
        <w:rPr>
          <w:rFonts w:eastAsia="SimSun"/>
        </w:rPr>
        <w:t>eso</w:t>
      </w:r>
      <w:r w:rsidR="005071F9" w:rsidRPr="005E4472">
        <w:rPr>
          <w:rFonts w:eastAsia="SimSun"/>
        </w:rPr>
        <w:t>s RIR</w:t>
      </w:r>
      <w:r w:rsidR="005071F9">
        <w:rPr>
          <w:rFonts w:eastAsia="SimSun"/>
        </w:rPr>
        <w:t>, proporciona</w:t>
      </w:r>
      <w:r w:rsidR="005071F9" w:rsidRPr="005E4472">
        <w:rPr>
          <w:rFonts w:eastAsia="SimSun"/>
        </w:rPr>
        <w:t xml:space="preserve"> a los responsables políticos y </w:t>
      </w:r>
      <w:r w:rsidR="005071F9">
        <w:rPr>
          <w:rFonts w:eastAsia="SimSun"/>
        </w:rPr>
        <w:t xml:space="preserve">a </w:t>
      </w:r>
      <w:r w:rsidR="005071F9" w:rsidRPr="005E4472">
        <w:rPr>
          <w:rFonts w:eastAsia="SimSun"/>
        </w:rPr>
        <w:t xml:space="preserve">la comunidad de Internet en general </w:t>
      </w:r>
      <w:r w:rsidR="005071F9">
        <w:rPr>
          <w:rFonts w:eastAsia="SimSun"/>
        </w:rPr>
        <w:t xml:space="preserve">una perspectiva de los avances </w:t>
      </w:r>
      <w:r w:rsidR="005071F9" w:rsidRPr="005E4472">
        <w:rPr>
          <w:rFonts w:eastAsia="SimSun"/>
        </w:rPr>
        <w:t>de la</w:t>
      </w:r>
      <w:r w:rsidR="005071F9">
        <w:rPr>
          <w:rFonts w:eastAsia="SimSun"/>
        </w:rPr>
        <w:t xml:space="preserve"> implantación de </w:t>
      </w:r>
      <w:r w:rsidR="005071F9" w:rsidRPr="005E4472">
        <w:rPr>
          <w:rFonts w:eastAsia="SimSun"/>
        </w:rPr>
        <w:t>IPv6</w:t>
      </w:r>
      <w:r w:rsidR="005071F9">
        <w:rPr>
          <w:rFonts w:eastAsia="SimSun"/>
        </w:rPr>
        <w:t>,</w:t>
      </w:r>
      <w:r w:rsidR="005071F9" w:rsidRPr="005E4472">
        <w:rPr>
          <w:rFonts w:eastAsia="SimSun"/>
        </w:rPr>
        <w:t xml:space="preserve"> y ha</w:t>
      </w:r>
      <w:r w:rsidR="005071F9">
        <w:rPr>
          <w:rFonts w:eastAsia="SimSun"/>
        </w:rPr>
        <w:t xml:space="preserve"> sido</w:t>
      </w:r>
      <w:r w:rsidR="005071F9" w:rsidRPr="005E4472">
        <w:rPr>
          <w:rFonts w:eastAsia="SimSun"/>
        </w:rPr>
        <w:t xml:space="preserve"> utilizad</w:t>
      </w:r>
      <w:r w:rsidR="005071F9">
        <w:rPr>
          <w:rFonts w:eastAsia="SimSun"/>
        </w:rPr>
        <w:t>a</w:t>
      </w:r>
      <w:r w:rsidR="005071F9" w:rsidRPr="005E4472">
        <w:rPr>
          <w:rFonts w:eastAsia="SimSun"/>
        </w:rPr>
        <w:t xml:space="preserve"> </w:t>
      </w:r>
      <w:r w:rsidR="005071F9">
        <w:rPr>
          <w:rFonts w:eastAsia="SimSun"/>
        </w:rPr>
        <w:t xml:space="preserve">para determinan </w:t>
      </w:r>
      <w:r w:rsidR="005071F9" w:rsidRPr="005E4472">
        <w:rPr>
          <w:rFonts w:eastAsia="SimSun"/>
        </w:rPr>
        <w:t xml:space="preserve">los obstáculos que puedan </w:t>
      </w:r>
      <w:r w:rsidR="005071F9">
        <w:rPr>
          <w:rFonts w:eastAsia="SimSun"/>
        </w:rPr>
        <w:t>plantearse a escala nacional, regional o mundia</w:t>
      </w:r>
      <w:r w:rsidR="005071F9" w:rsidRPr="005E4472">
        <w:rPr>
          <w:rFonts w:eastAsia="SimSun"/>
        </w:rPr>
        <w:t>l.</w:t>
      </w:r>
    </w:p>
    <w:p w:rsidR="005071F9" w:rsidRPr="00A93536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>R</w:t>
      </w:r>
      <w:r w:rsidR="005071F9" w:rsidRPr="005E4472">
        <w:rPr>
          <w:rFonts w:eastAsia="SimSun"/>
        </w:rPr>
        <w:t xml:space="preserve">epresentantes de los RIR </w:t>
      </w:r>
      <w:r w:rsidR="005071F9">
        <w:rPr>
          <w:rFonts w:eastAsia="SimSun"/>
        </w:rPr>
        <w:t xml:space="preserve">participan en el Comité del estudio mundial </w:t>
      </w:r>
      <w:r w:rsidR="005071F9" w:rsidRPr="009C4E51">
        <w:rPr>
          <w:rFonts w:eastAsia="SimSun"/>
          <w:i/>
          <w:iCs/>
        </w:rPr>
        <w:t>IPv6 Observatory</w:t>
      </w:r>
      <w:r w:rsidR="005071F9">
        <w:rPr>
          <w:rFonts w:eastAsia="SimSun"/>
        </w:rPr>
        <w:t xml:space="preserve"> </w:t>
      </w:r>
      <w:r w:rsidR="005071F9" w:rsidRPr="005E4472">
        <w:rPr>
          <w:rFonts w:eastAsia="SimSun"/>
        </w:rPr>
        <w:t>(</w:t>
      </w:r>
      <w:hyperlink r:id="rId19" w:history="1">
        <w:r w:rsidR="005071F9" w:rsidRPr="00786679">
          <w:rPr>
            <w:rStyle w:val="Hyperlink"/>
            <w:rFonts w:eastAsia="SimSun" w:cstheme="minorHAnsi"/>
            <w:szCs w:val="24"/>
          </w:rPr>
          <w:t>http://www.ipv6observatory.eu/</w:t>
        </w:r>
      </w:hyperlink>
      <w:r w:rsidR="005071F9">
        <w:rPr>
          <w:rFonts w:eastAsia="SimSun"/>
        </w:rPr>
        <w:t xml:space="preserve">), llevado a cabo durante un periodo de dos años bajo la supervisión de </w:t>
      </w:r>
      <w:r w:rsidR="005071F9" w:rsidRPr="00A93536">
        <w:rPr>
          <w:rFonts w:eastAsia="SimSun"/>
        </w:rPr>
        <w:t>la Comisión Europea (CE)</w:t>
      </w:r>
      <w:r w:rsidR="005071F9">
        <w:rPr>
          <w:rFonts w:eastAsia="SimSun"/>
        </w:rPr>
        <w:t xml:space="preserve">, </w:t>
      </w:r>
      <w:r w:rsidR="005071F9" w:rsidRPr="00A93536">
        <w:rPr>
          <w:rFonts w:eastAsia="SimSun"/>
        </w:rPr>
        <w:t>cuyo objetivo es s</w:t>
      </w:r>
      <w:r w:rsidR="005071F9">
        <w:rPr>
          <w:rFonts w:eastAsia="SimSun"/>
        </w:rPr>
        <w:t xml:space="preserve">eguir </w:t>
      </w:r>
      <w:r w:rsidR="005071F9" w:rsidRPr="00A93536">
        <w:rPr>
          <w:rFonts w:eastAsia="SimSun"/>
        </w:rPr>
        <w:t xml:space="preserve">los avances de la implantación de IPv6 en el mundo, además de efectuar un análisis de las tendencias, identificar las disparidades aún presentes y examinar las posibles amenazas </w:t>
      </w:r>
      <w:r w:rsidR="005071F9">
        <w:rPr>
          <w:rFonts w:eastAsia="SimSun"/>
        </w:rPr>
        <w:t>vinculada</w:t>
      </w:r>
      <w:r w:rsidR="005071F9" w:rsidRPr="00A93536">
        <w:rPr>
          <w:rFonts w:eastAsia="SimSun"/>
        </w:rPr>
        <w:t>s a la implantación de IPv6.</w:t>
      </w:r>
    </w:p>
    <w:p w:rsidR="005071F9" w:rsidRPr="005E4472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>
        <w:rPr>
          <w:rFonts w:eastAsia="SimSun"/>
        </w:rPr>
        <w:t>Durante las reuniones del ICANN, l</w:t>
      </w:r>
      <w:r w:rsidR="005071F9" w:rsidRPr="005E4472">
        <w:rPr>
          <w:rFonts w:eastAsia="SimSun"/>
        </w:rPr>
        <w:t xml:space="preserve">os RIR </w:t>
      </w:r>
      <w:r w:rsidR="005071F9">
        <w:rPr>
          <w:rFonts w:eastAsia="SimSun"/>
        </w:rPr>
        <w:t xml:space="preserve">organizan, en colaboración con el personal de IANA, </w:t>
      </w:r>
      <w:r w:rsidR="005071F9" w:rsidRPr="005E4472">
        <w:rPr>
          <w:rFonts w:eastAsia="SimSun"/>
        </w:rPr>
        <w:t>sesi</w:t>
      </w:r>
      <w:r w:rsidR="005071F9">
        <w:rPr>
          <w:rFonts w:eastAsia="SimSun"/>
        </w:rPr>
        <w:t>o</w:t>
      </w:r>
      <w:r w:rsidR="005071F9" w:rsidRPr="005E4472">
        <w:rPr>
          <w:rFonts w:eastAsia="SimSun"/>
        </w:rPr>
        <w:t>n</w:t>
      </w:r>
      <w:r w:rsidR="005071F9">
        <w:rPr>
          <w:rFonts w:eastAsia="SimSun"/>
        </w:rPr>
        <w:t>es</w:t>
      </w:r>
      <w:r w:rsidR="005071F9" w:rsidRPr="005E4472">
        <w:rPr>
          <w:rFonts w:eastAsia="SimSun"/>
        </w:rPr>
        <w:t xml:space="preserve"> </w:t>
      </w:r>
      <w:r w:rsidR="005071F9">
        <w:rPr>
          <w:rFonts w:eastAsia="SimSun"/>
        </w:rPr>
        <w:t xml:space="preserve">multipartitas en las que se examinan exhaustivamente la implantación </w:t>
      </w:r>
      <w:r w:rsidR="005071F9" w:rsidRPr="005E4472">
        <w:rPr>
          <w:rFonts w:eastAsia="SimSun"/>
        </w:rPr>
        <w:t>de</w:t>
      </w:r>
      <w:r w:rsidR="005071F9">
        <w:rPr>
          <w:rFonts w:eastAsia="SimSun"/>
        </w:rPr>
        <w:t>l</w:t>
      </w:r>
      <w:r w:rsidR="005071F9" w:rsidRPr="005E4472">
        <w:rPr>
          <w:rFonts w:eastAsia="SimSun"/>
        </w:rPr>
        <w:t xml:space="preserve"> IPv6 en la región </w:t>
      </w:r>
      <w:r w:rsidR="005071F9">
        <w:rPr>
          <w:rFonts w:eastAsia="SimSun"/>
        </w:rPr>
        <w:t xml:space="preserve">en que se </w:t>
      </w:r>
      <w:r w:rsidR="005071F9" w:rsidRPr="005E4472">
        <w:rPr>
          <w:rFonts w:eastAsia="SimSun"/>
        </w:rPr>
        <w:t>celebra la reunión.</w:t>
      </w:r>
      <w:r w:rsidR="005071F9">
        <w:rPr>
          <w:rFonts w:eastAsia="SimSun"/>
        </w:rPr>
        <w:t xml:space="preserve"> </w:t>
      </w:r>
      <w:r w:rsidR="005071F9" w:rsidRPr="005E4472">
        <w:rPr>
          <w:rFonts w:eastAsia="SimSun"/>
        </w:rPr>
        <w:t>E</w:t>
      </w:r>
      <w:r w:rsidR="005071F9">
        <w:rPr>
          <w:rFonts w:eastAsia="SimSun"/>
        </w:rPr>
        <w:t>n e</w:t>
      </w:r>
      <w:r w:rsidR="005071F9" w:rsidRPr="005E4472">
        <w:rPr>
          <w:rFonts w:eastAsia="SimSun"/>
        </w:rPr>
        <w:t xml:space="preserve">stas sesiones de alto nivel </w:t>
      </w:r>
      <w:r w:rsidR="005071F9">
        <w:rPr>
          <w:rFonts w:eastAsia="SimSun"/>
        </w:rPr>
        <w:t>se</w:t>
      </w:r>
      <w:r w:rsidR="005071F9" w:rsidRPr="005E4472">
        <w:rPr>
          <w:rFonts w:eastAsia="SimSun"/>
        </w:rPr>
        <w:t xml:space="preserve"> d</w:t>
      </w:r>
      <w:r w:rsidR="005071F9">
        <w:rPr>
          <w:rFonts w:eastAsia="SimSun"/>
        </w:rPr>
        <w:t xml:space="preserve">ebaten cuestiones de interés para autoridades gubernamentales, registradores y operadores, y </w:t>
      </w:r>
      <w:r w:rsidR="005071F9" w:rsidRPr="005E4472">
        <w:rPr>
          <w:rFonts w:eastAsia="SimSun"/>
        </w:rPr>
        <w:t>brinda</w:t>
      </w:r>
      <w:r w:rsidR="005071F9">
        <w:rPr>
          <w:rFonts w:eastAsia="SimSun"/>
        </w:rPr>
        <w:t xml:space="preserve">n a los participantes la posibilidad de intercambiar </w:t>
      </w:r>
      <w:r w:rsidR="005071F9" w:rsidRPr="005E4472">
        <w:rPr>
          <w:rFonts w:eastAsia="SimSun"/>
        </w:rPr>
        <w:t>experiencias y prácticas</w:t>
      </w:r>
      <w:r w:rsidR="005071F9">
        <w:rPr>
          <w:rFonts w:eastAsia="SimSun"/>
        </w:rPr>
        <w:t xml:space="preserve"> óptimas. La</w:t>
      </w:r>
      <w:r w:rsidR="005071F9" w:rsidRPr="005E4472">
        <w:rPr>
          <w:rFonts w:eastAsia="SimSun"/>
        </w:rPr>
        <w:t xml:space="preserve">s </w:t>
      </w:r>
      <w:r w:rsidR="005071F9">
        <w:rPr>
          <w:rFonts w:eastAsia="SimSun"/>
        </w:rPr>
        <w:t xml:space="preserve">reacciones a las </w:t>
      </w:r>
      <w:r w:rsidR="005071F9" w:rsidRPr="005E4472">
        <w:rPr>
          <w:rFonts w:eastAsia="SimSun"/>
        </w:rPr>
        <w:t>seis sesiones que se han celebrado ha</w:t>
      </w:r>
      <w:r w:rsidR="005071F9">
        <w:rPr>
          <w:rFonts w:eastAsia="SimSun"/>
        </w:rPr>
        <w:t xml:space="preserve">n sido sumamente </w:t>
      </w:r>
      <w:r w:rsidR="005071F9" w:rsidRPr="005E4472">
        <w:rPr>
          <w:rFonts w:eastAsia="SimSun"/>
        </w:rPr>
        <w:t>positiva</w:t>
      </w:r>
      <w:r w:rsidR="005071F9">
        <w:rPr>
          <w:rFonts w:eastAsia="SimSun"/>
        </w:rPr>
        <w:t>s</w:t>
      </w:r>
      <w:r w:rsidR="005071F9" w:rsidRPr="005E4472">
        <w:rPr>
          <w:rFonts w:eastAsia="SimSun"/>
        </w:rPr>
        <w:t xml:space="preserve">, y </w:t>
      </w:r>
      <w:r w:rsidR="005071F9">
        <w:rPr>
          <w:rFonts w:eastAsia="SimSun"/>
        </w:rPr>
        <w:t xml:space="preserve">se ha decidido organizarlas también en otros foros multipartitos. </w:t>
      </w:r>
    </w:p>
    <w:p w:rsidR="005071F9" w:rsidRPr="005E4472" w:rsidRDefault="004B127A" w:rsidP="004B127A">
      <w:pPr>
        <w:pStyle w:val="enumlev1"/>
        <w:rPr>
          <w:rFonts w:eastAsia="SimSun"/>
        </w:rPr>
      </w:pPr>
      <w:r>
        <w:t>•</w:t>
      </w:r>
      <w:r>
        <w:tab/>
      </w:r>
      <w:r w:rsidR="005071F9" w:rsidRPr="005E4472">
        <w:rPr>
          <w:rFonts w:eastAsia="SimSun"/>
        </w:rPr>
        <w:t>Tras la conclusión de</w:t>
      </w:r>
      <w:r w:rsidR="005071F9">
        <w:rPr>
          <w:rFonts w:eastAsia="SimSun"/>
        </w:rPr>
        <w:t xml:space="preserve"> las actividades de</w:t>
      </w:r>
      <w:r w:rsidR="005071F9" w:rsidRPr="005E4472">
        <w:rPr>
          <w:rFonts w:eastAsia="SimSun"/>
        </w:rPr>
        <w:t xml:space="preserve">l Grupo </w:t>
      </w:r>
      <w:r w:rsidR="005071F9">
        <w:rPr>
          <w:rFonts w:eastAsia="SimSun"/>
        </w:rPr>
        <w:t xml:space="preserve">sobre </w:t>
      </w:r>
      <w:r w:rsidR="005071F9" w:rsidRPr="005E4472">
        <w:rPr>
          <w:rFonts w:eastAsia="SimSun"/>
        </w:rPr>
        <w:t>IPv6</w:t>
      </w:r>
      <w:r w:rsidR="005071F9">
        <w:rPr>
          <w:rFonts w:eastAsia="SimSun"/>
        </w:rPr>
        <w:t xml:space="preserve"> </w:t>
      </w:r>
      <w:r w:rsidR="005071F9" w:rsidRPr="005E4472">
        <w:rPr>
          <w:rFonts w:eastAsia="SimSun"/>
        </w:rPr>
        <w:t xml:space="preserve">de la UIT, los RIR han manifestado su compromiso de seguir </w:t>
      </w:r>
      <w:r w:rsidR="005071F9">
        <w:rPr>
          <w:rFonts w:eastAsia="SimSun"/>
        </w:rPr>
        <w:t>colaborando con los S</w:t>
      </w:r>
      <w:r w:rsidR="005071F9" w:rsidRPr="005E4472">
        <w:rPr>
          <w:rFonts w:eastAsia="SimSun"/>
        </w:rPr>
        <w:t>ectores UIT-</w:t>
      </w:r>
      <w:r w:rsidR="005071F9">
        <w:rPr>
          <w:rFonts w:eastAsia="SimSun"/>
        </w:rPr>
        <w:t xml:space="preserve">T y </w:t>
      </w:r>
      <w:r w:rsidR="005071F9" w:rsidRPr="005E4472">
        <w:rPr>
          <w:rFonts w:eastAsia="SimSun"/>
        </w:rPr>
        <w:t>UIT-</w:t>
      </w:r>
      <w:r w:rsidR="005071F9">
        <w:rPr>
          <w:rFonts w:eastAsia="SimSun"/>
        </w:rPr>
        <w:t>D</w:t>
      </w:r>
      <w:r w:rsidR="005071F9" w:rsidRPr="005E4472">
        <w:rPr>
          <w:rFonts w:eastAsia="SimSun"/>
        </w:rPr>
        <w:t xml:space="preserve">, y </w:t>
      </w:r>
      <w:r w:rsidR="005071F9">
        <w:rPr>
          <w:rFonts w:eastAsia="SimSun"/>
        </w:rPr>
        <w:t>actualmente discuten con los D</w:t>
      </w:r>
      <w:r w:rsidR="005071F9" w:rsidRPr="005E4472">
        <w:rPr>
          <w:rFonts w:eastAsia="SimSun"/>
        </w:rPr>
        <w:t>irectores</w:t>
      </w:r>
      <w:r w:rsidR="005071F9">
        <w:rPr>
          <w:rFonts w:eastAsia="SimSun"/>
        </w:rPr>
        <w:t xml:space="preserve"> de esos Sectores</w:t>
      </w:r>
      <w:r w:rsidR="005071F9" w:rsidRPr="005E4472">
        <w:rPr>
          <w:rFonts w:eastAsia="SimSun"/>
        </w:rPr>
        <w:t xml:space="preserve">, con </w:t>
      </w:r>
      <w:r w:rsidR="005071F9">
        <w:rPr>
          <w:rFonts w:eastAsia="SimSun"/>
        </w:rPr>
        <w:t xml:space="preserve">miras a </w:t>
      </w:r>
      <w:r w:rsidR="005071F9" w:rsidRPr="005E4472">
        <w:rPr>
          <w:rFonts w:eastAsia="SimSun"/>
        </w:rPr>
        <w:t>poner en práctica ini</w:t>
      </w:r>
      <w:r w:rsidR="005071F9">
        <w:rPr>
          <w:rFonts w:eastAsia="SimSun"/>
        </w:rPr>
        <w:t xml:space="preserve">ciativas </w:t>
      </w:r>
      <w:r w:rsidR="005071F9" w:rsidRPr="005E4472">
        <w:rPr>
          <w:rFonts w:eastAsia="SimSun"/>
        </w:rPr>
        <w:t>coopera</w:t>
      </w:r>
      <w:r w:rsidR="005071F9">
        <w:rPr>
          <w:rFonts w:eastAsia="SimSun"/>
        </w:rPr>
        <w:t xml:space="preserve">tivas </w:t>
      </w:r>
      <w:r w:rsidR="005071F9" w:rsidRPr="005E4472">
        <w:rPr>
          <w:rFonts w:eastAsia="SimSun"/>
        </w:rPr>
        <w:t xml:space="preserve">de </w:t>
      </w:r>
      <w:r w:rsidR="005071F9">
        <w:rPr>
          <w:rFonts w:eastAsia="SimSun"/>
        </w:rPr>
        <w:t xml:space="preserve">creación de capacidades </w:t>
      </w:r>
      <w:r w:rsidR="005071F9" w:rsidRPr="005E4472">
        <w:rPr>
          <w:rFonts w:eastAsia="SimSun"/>
        </w:rPr>
        <w:t>en todas las regiones.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 xml:space="preserve">Información suplementaria </w:t>
      </w:r>
    </w:p>
    <w:p w:rsidR="005071F9" w:rsidRPr="007400CE" w:rsidRDefault="005071F9" w:rsidP="00237390">
      <w:pPr>
        <w:rPr>
          <w:rFonts w:eastAsia="SimSun"/>
        </w:rPr>
      </w:pPr>
      <w:r>
        <w:rPr>
          <w:rFonts w:eastAsia="SimSun"/>
        </w:rPr>
        <w:t xml:space="preserve">Los RIR han publicado, a título individual y colectivo, un cierto número </w:t>
      </w:r>
      <w:r w:rsidRPr="007400CE">
        <w:rPr>
          <w:rFonts w:eastAsia="SimSun"/>
        </w:rPr>
        <w:t xml:space="preserve">de documentos </w:t>
      </w:r>
      <w:r>
        <w:rPr>
          <w:rFonts w:eastAsia="SimSun"/>
        </w:rPr>
        <w:t xml:space="preserve">en los que se presentan con </w:t>
      </w:r>
      <w:r w:rsidRPr="007400CE">
        <w:rPr>
          <w:rFonts w:eastAsia="SimSun"/>
        </w:rPr>
        <w:t>mayor detalle proyectos</w:t>
      </w:r>
      <w:r>
        <w:rPr>
          <w:rFonts w:eastAsia="SimSun"/>
        </w:rPr>
        <w:t xml:space="preserve">, </w:t>
      </w:r>
      <w:r w:rsidRPr="007400CE">
        <w:rPr>
          <w:rFonts w:eastAsia="SimSun"/>
        </w:rPr>
        <w:t xml:space="preserve">iniciativas y actividades </w:t>
      </w:r>
      <w:r>
        <w:rPr>
          <w:rFonts w:eastAsia="SimSun"/>
        </w:rPr>
        <w:t xml:space="preserve">consagradas especialmente a la </w:t>
      </w:r>
      <w:r w:rsidRPr="007400CE">
        <w:rPr>
          <w:rFonts w:eastAsia="SimSun"/>
        </w:rPr>
        <w:t xml:space="preserve">creación de capacidades </w:t>
      </w:r>
      <w:r>
        <w:rPr>
          <w:rFonts w:eastAsia="SimSun"/>
        </w:rPr>
        <w:t>y a las</w:t>
      </w:r>
      <w:r w:rsidRPr="007400CE">
        <w:rPr>
          <w:rFonts w:eastAsia="SimSun"/>
        </w:rPr>
        <w:t xml:space="preserve"> actividades multisectoriales</w:t>
      </w:r>
      <w:r>
        <w:rPr>
          <w:rFonts w:eastAsia="SimSun"/>
        </w:rPr>
        <w:t xml:space="preserve"> vinculadas a la implantación del IPv6</w:t>
      </w:r>
      <w:r w:rsidRPr="007400CE">
        <w:rPr>
          <w:rFonts w:eastAsia="SimSun"/>
        </w:rPr>
        <w:t>.</w:t>
      </w:r>
    </w:p>
    <w:p w:rsidR="005071F9" w:rsidRPr="00F84E05" w:rsidRDefault="005071F9" w:rsidP="00F84E05">
      <w:pPr>
        <w:pStyle w:val="Headingb"/>
        <w:ind w:left="0" w:firstLine="0"/>
        <w:rPr>
          <w:rFonts w:eastAsiaTheme="majorEastAsia"/>
        </w:rPr>
      </w:pPr>
      <w:r w:rsidRPr="00F84E05">
        <w:rPr>
          <w:rFonts w:eastAsiaTheme="majorEastAsia"/>
        </w:rPr>
        <w:t>Continuing Cooperation: The NRO and Internet Governance</w:t>
      </w:r>
    </w:p>
    <w:p w:rsidR="005071F9" w:rsidRPr="007400CE" w:rsidRDefault="005071F9" w:rsidP="009E1891">
      <w:pPr>
        <w:rPr>
          <w:rFonts w:eastAsia="SimSun" w:cstheme="minorHAnsi"/>
          <w:szCs w:val="24"/>
        </w:rPr>
      </w:pPr>
      <w:r w:rsidRPr="00AD1F23">
        <w:rPr>
          <w:rFonts w:eastAsia="SimSun"/>
          <w:i/>
          <w:iCs/>
        </w:rPr>
        <w:t>Continuing Cooperation: The NRO and Internet Governance</w:t>
      </w:r>
      <w:r w:rsidRPr="00AD1F23">
        <w:rPr>
          <w:rFonts w:eastAsia="SimSun"/>
        </w:rPr>
        <w:t xml:space="preserve"> </w:t>
      </w:r>
      <w:r>
        <w:rPr>
          <w:rFonts w:eastAsia="SimSun"/>
        </w:rPr>
        <w:t xml:space="preserve">(Proseguir la cooperación: la NRO y la </w:t>
      </w:r>
      <w:r w:rsidR="00237390">
        <w:rPr>
          <w:rFonts w:eastAsia="SimSun"/>
        </w:rPr>
        <w:t>G</w:t>
      </w:r>
      <w:r>
        <w:rPr>
          <w:rFonts w:eastAsia="SimSun"/>
        </w:rPr>
        <w:t>obernanza de Internet) es el título de u</w:t>
      </w:r>
      <w:r w:rsidRPr="007400CE">
        <w:rPr>
          <w:rFonts w:eastAsia="SimSun"/>
        </w:rPr>
        <w:t>n</w:t>
      </w:r>
      <w:r>
        <w:rPr>
          <w:rFonts w:eastAsia="SimSun"/>
        </w:rPr>
        <w:t xml:space="preserve">a publicación de los cinco RIR, actualizada regularmente, en la que se enumeran en </w:t>
      </w:r>
      <w:r w:rsidRPr="007400CE">
        <w:rPr>
          <w:rFonts w:eastAsia="SimSun"/>
        </w:rPr>
        <w:t>detalle sus actividades individuales y colectiv</w:t>
      </w:r>
      <w:r>
        <w:rPr>
          <w:rFonts w:eastAsia="SimSun"/>
        </w:rPr>
        <w:t>a</w:t>
      </w:r>
      <w:r w:rsidRPr="007400CE">
        <w:rPr>
          <w:rFonts w:eastAsia="SimSun"/>
        </w:rPr>
        <w:t xml:space="preserve">s, </w:t>
      </w:r>
      <w:r>
        <w:rPr>
          <w:rFonts w:eastAsia="SimSun"/>
        </w:rPr>
        <w:t xml:space="preserve">y se hace especial hincapié en </w:t>
      </w:r>
      <w:r w:rsidRPr="007400CE">
        <w:rPr>
          <w:rFonts w:eastAsia="SimSun"/>
        </w:rPr>
        <w:t xml:space="preserve">la participación de </w:t>
      </w:r>
      <w:r>
        <w:rPr>
          <w:rFonts w:eastAsia="SimSun"/>
        </w:rPr>
        <w:t xml:space="preserve">numerosas </w:t>
      </w:r>
      <w:r w:rsidRPr="007400CE">
        <w:rPr>
          <w:rFonts w:eastAsia="SimSun"/>
        </w:rPr>
        <w:t>partes interesadas y</w:t>
      </w:r>
      <w:r>
        <w:rPr>
          <w:rFonts w:eastAsia="SimSun"/>
        </w:rPr>
        <w:t xml:space="preserve"> las actividades de reforzamiento de la cooperación</w:t>
      </w:r>
      <w:r w:rsidRPr="007400CE">
        <w:rPr>
          <w:rFonts w:eastAsia="SimSun"/>
        </w:rPr>
        <w:t>:</w:t>
      </w:r>
      <w:r w:rsidR="009E1891">
        <w:rPr>
          <w:rFonts w:eastAsia="SimSun"/>
        </w:rPr>
        <w:t xml:space="preserve"> </w:t>
      </w:r>
      <w:hyperlink r:id="rId20" w:history="1">
        <w:r w:rsidRPr="007400CE">
          <w:rPr>
            <w:rFonts w:eastAsia="SimSun" w:cstheme="minorHAnsi"/>
            <w:color w:val="0000FF"/>
            <w:szCs w:val="24"/>
            <w:u w:val="single"/>
          </w:rPr>
          <w:t>www.nro.net/wp-content/uploads/nro-continuing-cooperation-brochure.pdf</w:t>
        </w:r>
      </w:hyperlink>
      <w:r w:rsidRPr="007400CE">
        <w:rPr>
          <w:rFonts w:eastAsia="SimSun" w:cstheme="minorHAnsi"/>
          <w:szCs w:val="24"/>
        </w:rPr>
        <w:t xml:space="preserve"> </w:t>
      </w:r>
    </w:p>
    <w:p w:rsidR="005071F9" w:rsidRPr="005071F9" w:rsidRDefault="005071F9" w:rsidP="00F84E05">
      <w:pPr>
        <w:pStyle w:val="Headingb"/>
        <w:ind w:left="0" w:firstLine="0"/>
        <w:rPr>
          <w:rFonts w:eastAsia="SimSun" w:cstheme="minorHAnsi"/>
          <w:b w:val="0"/>
          <w:szCs w:val="24"/>
          <w:lang w:val="en-US"/>
        </w:rPr>
      </w:pPr>
      <w:r w:rsidRPr="005071F9">
        <w:rPr>
          <w:rFonts w:eastAsia="SimSun" w:cstheme="minorHAnsi"/>
          <w:szCs w:val="24"/>
          <w:lang w:val="en-US"/>
        </w:rPr>
        <w:t>RIPE NCC IPv6 Capacity Building Activities</w:t>
      </w:r>
    </w:p>
    <w:p w:rsidR="005071F9" w:rsidRPr="007400CE" w:rsidRDefault="005071F9" w:rsidP="009E1891">
      <w:pPr>
        <w:rPr>
          <w:rFonts w:eastAsia="SimSun" w:cstheme="minorHAnsi"/>
          <w:szCs w:val="24"/>
        </w:rPr>
      </w:pPr>
      <w:r w:rsidRPr="007400CE">
        <w:rPr>
          <w:rFonts w:eastAsia="SimSun"/>
        </w:rPr>
        <w:t>Este documento</w:t>
      </w:r>
      <w:r>
        <w:rPr>
          <w:rFonts w:eastAsia="SimSun"/>
        </w:rPr>
        <w:t xml:space="preserve"> de RIPE NCC</w:t>
      </w:r>
      <w:r w:rsidRPr="007400CE">
        <w:rPr>
          <w:rFonts w:eastAsia="SimSun"/>
        </w:rPr>
        <w:t xml:space="preserve"> (</w:t>
      </w:r>
      <w:r>
        <w:rPr>
          <w:rFonts w:eastAsia="SimSun"/>
        </w:rPr>
        <w:t>ripe</w:t>
      </w:r>
      <w:r w:rsidRPr="007400CE">
        <w:rPr>
          <w:rFonts w:eastAsia="SimSun"/>
        </w:rPr>
        <w:t xml:space="preserve">-557) </w:t>
      </w:r>
      <w:r>
        <w:rPr>
          <w:rFonts w:eastAsia="SimSun"/>
        </w:rPr>
        <w:t xml:space="preserve">presenta en forma completa </w:t>
      </w:r>
      <w:r w:rsidRPr="007400CE">
        <w:rPr>
          <w:rFonts w:eastAsia="SimSun"/>
        </w:rPr>
        <w:t>las actividades de creación de capacidad</w:t>
      </w:r>
      <w:r>
        <w:rPr>
          <w:rFonts w:eastAsia="SimSun"/>
        </w:rPr>
        <w:t>es</w:t>
      </w:r>
      <w:r w:rsidRPr="007400CE">
        <w:rPr>
          <w:rFonts w:eastAsia="SimSun"/>
        </w:rPr>
        <w:t xml:space="preserve"> </w:t>
      </w:r>
      <w:r>
        <w:rPr>
          <w:rFonts w:eastAsia="SimSun"/>
        </w:rPr>
        <w:t xml:space="preserve">emprendidas por este RIR </w:t>
      </w:r>
      <w:r w:rsidRPr="007400CE">
        <w:rPr>
          <w:rFonts w:eastAsia="SimSun"/>
        </w:rPr>
        <w:t>en su región de servicio:</w:t>
      </w:r>
      <w:r w:rsidR="009E1891">
        <w:rPr>
          <w:rFonts w:eastAsia="SimSun"/>
        </w:rPr>
        <w:br/>
      </w:r>
      <w:hyperlink r:id="rId21" w:history="1">
        <w:r w:rsidRPr="007400CE">
          <w:rPr>
            <w:rFonts w:eastAsia="SimSun" w:cstheme="minorHAnsi"/>
            <w:color w:val="0000FF"/>
            <w:szCs w:val="24"/>
            <w:u w:val="single"/>
          </w:rPr>
          <w:t>www.ripe.net/ripe/docs/ripe-557</w:t>
        </w:r>
      </w:hyperlink>
      <w:r w:rsidRPr="007400CE">
        <w:rPr>
          <w:rFonts w:eastAsia="SimSun" w:cstheme="minorHAnsi"/>
          <w:szCs w:val="24"/>
        </w:rPr>
        <w:t xml:space="preserve"> </w:t>
      </w:r>
    </w:p>
    <w:p w:rsidR="005071F9" w:rsidRPr="00F84E05" w:rsidRDefault="005071F9" w:rsidP="00F84E05">
      <w:pPr>
        <w:pStyle w:val="Headingb"/>
        <w:ind w:left="0" w:firstLine="0"/>
        <w:rPr>
          <w:rFonts w:eastAsia="SimSun" w:cstheme="minorHAnsi"/>
          <w:szCs w:val="24"/>
          <w:lang w:val="en-US"/>
        </w:rPr>
      </w:pPr>
      <w:r w:rsidRPr="00F84E05">
        <w:rPr>
          <w:rFonts w:eastAsia="SimSun" w:cstheme="minorHAnsi"/>
          <w:szCs w:val="24"/>
          <w:lang w:val="en-US"/>
        </w:rPr>
        <w:t>RIR Comparative Policy Overview</w:t>
      </w:r>
    </w:p>
    <w:p w:rsidR="005071F9" w:rsidRDefault="005071F9" w:rsidP="00237390">
      <w:pPr>
        <w:rPr>
          <w:rFonts w:eastAsia="SimSun"/>
        </w:rPr>
      </w:pPr>
      <w:r>
        <w:rPr>
          <w:rFonts w:eastAsia="SimSun"/>
        </w:rPr>
        <w:t>Este documento, publicado cada trimestre por l</w:t>
      </w:r>
      <w:r w:rsidRPr="007400CE">
        <w:rPr>
          <w:rFonts w:eastAsia="SimSun"/>
        </w:rPr>
        <w:t>os RIR</w:t>
      </w:r>
      <w:r>
        <w:rPr>
          <w:rFonts w:eastAsia="SimSun"/>
        </w:rPr>
        <w:t xml:space="preserve">, compara </w:t>
      </w:r>
      <w:r w:rsidRPr="007400CE">
        <w:rPr>
          <w:rFonts w:eastAsia="SimSun"/>
        </w:rPr>
        <w:t xml:space="preserve">las </w:t>
      </w:r>
      <w:r>
        <w:rPr>
          <w:rFonts w:eastAsia="SimSun"/>
        </w:rPr>
        <w:t xml:space="preserve">diferentes </w:t>
      </w:r>
      <w:r w:rsidRPr="007400CE">
        <w:rPr>
          <w:rFonts w:eastAsia="SimSun"/>
        </w:rPr>
        <w:t xml:space="preserve">políticas </w:t>
      </w:r>
      <w:r>
        <w:rPr>
          <w:rFonts w:eastAsia="SimSun"/>
        </w:rPr>
        <w:t xml:space="preserve">regionales, </w:t>
      </w:r>
      <w:r w:rsidRPr="007400CE">
        <w:rPr>
          <w:rFonts w:eastAsia="SimSun"/>
        </w:rPr>
        <w:t>agrupadas por temas:</w:t>
      </w:r>
      <w:r>
        <w:rPr>
          <w:rFonts w:eastAsia="SimSun"/>
        </w:rPr>
        <w:t xml:space="preserve"> </w:t>
      </w:r>
      <w:hyperlink r:id="rId22" w:history="1">
        <w:r w:rsidRPr="007400CE">
          <w:rPr>
            <w:rFonts w:eastAsia="SimSun"/>
            <w:color w:val="0000FF"/>
            <w:u w:val="single"/>
          </w:rPr>
          <w:t>www.nro.net/rir-comparative-policy-overview/</w:t>
        </w:r>
      </w:hyperlink>
      <w:r w:rsidRPr="007400CE">
        <w:rPr>
          <w:rFonts w:eastAsia="SimSun"/>
        </w:rPr>
        <w:t xml:space="preserve"> </w:t>
      </w:r>
    </w:p>
    <w:p w:rsidR="005071F9" w:rsidRDefault="005071F9" w:rsidP="005071F9">
      <w:pPr>
        <w:spacing w:before="160"/>
        <w:ind w:right="1268"/>
        <w:rPr>
          <w:rFonts w:eastAsia="SimSun" w:cstheme="minorHAnsi"/>
          <w:szCs w:val="24"/>
        </w:rPr>
      </w:pPr>
    </w:p>
    <w:p w:rsidR="005071F9" w:rsidRDefault="005071F9">
      <w:pPr>
        <w:jc w:val="center"/>
      </w:pPr>
      <w:r>
        <w:t>______________</w:t>
      </w:r>
    </w:p>
    <w:p w:rsidR="005071F9" w:rsidRPr="007400CE" w:rsidRDefault="005071F9" w:rsidP="005071F9">
      <w:pPr>
        <w:spacing w:before="160"/>
        <w:ind w:right="1268"/>
        <w:rPr>
          <w:rFonts w:eastAsia="SimSun" w:cstheme="minorHAnsi"/>
          <w:szCs w:val="24"/>
        </w:rPr>
      </w:pPr>
    </w:p>
    <w:sectPr w:rsidR="005071F9" w:rsidRPr="007400CE" w:rsidSect="006710F6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F9" w:rsidRDefault="005071F9">
      <w:r>
        <w:separator/>
      </w:r>
    </w:p>
  </w:endnote>
  <w:endnote w:type="continuationSeparator" w:id="0">
    <w:p w:rsidR="005071F9" w:rsidRDefault="0050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Pr="001027B1" w:rsidRDefault="001027B1" w:rsidP="001027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E1891">
      <w:t>P:\ESP\SG\CONF-SG\WTPF13\000\008S.docx</w:t>
    </w:r>
    <w:r>
      <w:fldChar w:fldCharType="end"/>
    </w:r>
    <w:r>
      <w:t xml:space="preserve"> (343557)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E1891">
      <w:t>09.05.13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E1891">
      <w:t>09.05.13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1027B1" w:rsidP="001027B1">
    <w:pPr>
      <w:pStyle w:val="Footer"/>
      <w:rPr>
        <w:lang w:val="en-US"/>
      </w:rPr>
    </w:pPr>
    <w:fldSimple w:instr=" FILENAME \p  \* MERGEFORMAT ">
      <w:r w:rsidR="009E1891">
        <w:t>P:\ESP\SG\CONF-SG\WTPF13\000\008S.docx</w:t>
      </w:r>
    </w:fldSimple>
    <w:r>
      <w:t xml:space="preserve"> (343557)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E1891">
      <w:t>09.05.13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E1891">
      <w:t>09.05.13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F9" w:rsidRDefault="005071F9">
      <w:r>
        <w:t>____________________</w:t>
      </w:r>
    </w:p>
  </w:footnote>
  <w:footnote w:type="continuationSeparator" w:id="0">
    <w:p w:rsidR="005071F9" w:rsidRDefault="0050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E1891">
      <w:rPr>
        <w:noProof/>
      </w:rPr>
      <w:t>4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1027B1">
      <w:t>8</w:t>
    </w:r>
    <w:r w:rsidR="00760F1C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331"/>
    <w:multiLevelType w:val="hybridMultilevel"/>
    <w:tmpl w:val="D81C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341A"/>
    <w:multiLevelType w:val="hybridMultilevel"/>
    <w:tmpl w:val="28326A1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54A1C8B"/>
    <w:multiLevelType w:val="hybridMultilevel"/>
    <w:tmpl w:val="6BF8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02B13"/>
    <w:multiLevelType w:val="hybridMultilevel"/>
    <w:tmpl w:val="ED7A0440"/>
    <w:lvl w:ilvl="0" w:tplc="EE42FC9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54D4"/>
    <w:multiLevelType w:val="hybridMultilevel"/>
    <w:tmpl w:val="298C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05B88"/>
    <w:multiLevelType w:val="hybridMultilevel"/>
    <w:tmpl w:val="6590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F9"/>
    <w:rsid w:val="000B0D00"/>
    <w:rsid w:val="000B7C15"/>
    <w:rsid w:val="000D1D0F"/>
    <w:rsid w:val="0010165C"/>
    <w:rsid w:val="001027B1"/>
    <w:rsid w:val="001F14A2"/>
    <w:rsid w:val="00237390"/>
    <w:rsid w:val="002801AA"/>
    <w:rsid w:val="004B127A"/>
    <w:rsid w:val="004F195E"/>
    <w:rsid w:val="005071F9"/>
    <w:rsid w:val="00560125"/>
    <w:rsid w:val="00585553"/>
    <w:rsid w:val="005B34D9"/>
    <w:rsid w:val="005D03AE"/>
    <w:rsid w:val="005D0CCF"/>
    <w:rsid w:val="005F410F"/>
    <w:rsid w:val="00601924"/>
    <w:rsid w:val="0064731F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A04E7"/>
    <w:rsid w:val="00913B9C"/>
    <w:rsid w:val="00956E77"/>
    <w:rsid w:val="009E1891"/>
    <w:rsid w:val="00AA390C"/>
    <w:rsid w:val="00B574DB"/>
    <w:rsid w:val="00B6419E"/>
    <w:rsid w:val="00B826C2"/>
    <w:rsid w:val="00B82E54"/>
    <w:rsid w:val="00BD0723"/>
    <w:rsid w:val="00C55B1F"/>
    <w:rsid w:val="00CF1A67"/>
    <w:rsid w:val="00D62446"/>
    <w:rsid w:val="00DA4EA2"/>
    <w:rsid w:val="00DE2C90"/>
    <w:rsid w:val="00E3592D"/>
    <w:rsid w:val="00ED65AB"/>
    <w:rsid w:val="00F12850"/>
    <w:rsid w:val="00F33BF4"/>
    <w:rsid w:val="00F7105E"/>
    <w:rsid w:val="00F84E0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1F9"/>
    <w:rPr>
      <w:rFonts w:ascii="Calibri" w:hAnsi="Calibri"/>
      <w:caps/>
      <w:noProof/>
      <w:sz w:val="16"/>
      <w:lang w:val="es-ES_tradnl" w:eastAsia="en-US"/>
    </w:rPr>
  </w:style>
  <w:style w:type="paragraph" w:customStyle="1" w:styleId="CEOFooterContact2-3">
    <w:name w:val="CEO_FooterContact2-3"/>
    <w:basedOn w:val="Normal"/>
    <w:rsid w:val="005071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071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1F9"/>
    <w:rPr>
      <w:rFonts w:ascii="Calibri" w:hAnsi="Calibri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1F9"/>
    <w:rPr>
      <w:rFonts w:ascii="Calibri" w:hAnsi="Calibri"/>
      <w:caps/>
      <w:noProof/>
      <w:sz w:val="16"/>
      <w:lang w:val="es-ES_tradnl" w:eastAsia="en-US"/>
    </w:rPr>
  </w:style>
  <w:style w:type="paragraph" w:customStyle="1" w:styleId="CEOFooterContact2-3">
    <w:name w:val="CEO_FooterContact2-3"/>
    <w:basedOn w:val="Normal"/>
    <w:rsid w:val="005071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071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1F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frinic.net" TargetMode="External"/><Relationship Id="rId18" Type="http://schemas.openxmlformats.org/officeDocument/2006/relationships/hyperlink" Target="http://www.ipv6actnow.or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ipe.net/ripe/docs/ripe-5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frinic.net" TargetMode="External"/><Relationship Id="rId17" Type="http://schemas.openxmlformats.org/officeDocument/2006/relationships/hyperlink" Target="http://portalipv6.lacnic.net/en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etipv6.info" TargetMode="External"/><Relationship Id="rId20" Type="http://schemas.openxmlformats.org/officeDocument/2006/relationships/hyperlink" Target="http://www.nro.net/wp-content/uploads/nro-continuing-cooperation-brochur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in.ne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pnic.net/community/ipv6-progra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pnic.net" TargetMode="External"/><Relationship Id="rId19" Type="http://schemas.openxmlformats.org/officeDocument/2006/relationships/hyperlink" Target="http://www.ipv6observator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rinic.net" TargetMode="External"/><Relationship Id="rId14" Type="http://schemas.openxmlformats.org/officeDocument/2006/relationships/hyperlink" Target="http://www.afrinic.net/en/services/ipv6-programme" TargetMode="External"/><Relationship Id="rId22" Type="http://schemas.openxmlformats.org/officeDocument/2006/relationships/hyperlink" Target="http://www.nro.net/rir-comparative-policy-overview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PS_WTPF13.dotx</Template>
  <TotalTime>131</TotalTime>
  <Pages>9</Pages>
  <Words>3961</Words>
  <Characters>22993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26901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tello</dc:creator>
  <cp:keywords>C2010, C10</cp:keywords>
  <dc:description>PS_WTPF13.dotx  Para: _x000d_Fecha del documento: _x000d_Registrado por ITU51007821 a 15:31:31 el 28.03.2013</dc:description>
  <cp:lastModifiedBy>tello</cp:lastModifiedBy>
  <cp:revision>5</cp:revision>
  <cp:lastPrinted>2013-05-09T09:23:00Z</cp:lastPrinted>
  <dcterms:created xsi:type="dcterms:W3CDTF">2013-05-09T07:03:00Z</dcterms:created>
  <dcterms:modified xsi:type="dcterms:W3CDTF">2013-05-09T09:25:00Z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