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3659"/>
      </w:tblGrid>
      <w:tr w:rsidR="00A82528" w:rsidRPr="00770A00" w:rsidTr="00F00D12">
        <w:tc>
          <w:tcPr>
            <w:tcW w:w="9855" w:type="dxa"/>
            <w:gridSpan w:val="2"/>
            <w:hideMark/>
          </w:tcPr>
          <w:p w:rsidR="00A82528" w:rsidRPr="00770A00" w:rsidRDefault="00A82528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770A00">
              <w:rPr>
                <w:noProof/>
                <w:lang w:val="en-US" w:eastAsia="zh-CN"/>
              </w:rPr>
              <w:drawing>
                <wp:inline distT="0" distB="0" distL="0" distR="0" wp14:anchorId="55D5045B" wp14:editId="6814F744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770A00" w:rsidTr="00F00D12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770A00" w:rsidRDefault="00D15C80" w:rsidP="00D15C80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770A00">
              <w:rPr>
                <w:sz w:val="28"/>
                <w:szCs w:val="28"/>
                <w:lang w:val="ru-RU"/>
              </w:rPr>
              <w:t>Женева</w:t>
            </w:r>
            <w:r w:rsidR="00A82528" w:rsidRPr="00770A00">
              <w:rPr>
                <w:sz w:val="28"/>
                <w:szCs w:val="28"/>
                <w:lang w:val="ru-RU"/>
              </w:rPr>
              <w:t>, 14</w:t>
            </w:r>
            <w:r w:rsidRPr="00770A00">
              <w:rPr>
                <w:sz w:val="28"/>
                <w:szCs w:val="28"/>
                <w:lang w:val="ru-RU"/>
              </w:rPr>
              <w:t>−</w:t>
            </w:r>
            <w:r w:rsidR="00A82528" w:rsidRPr="00770A00">
              <w:rPr>
                <w:sz w:val="28"/>
                <w:szCs w:val="28"/>
                <w:lang w:val="ru-RU"/>
              </w:rPr>
              <w:t xml:space="preserve">16 </w:t>
            </w:r>
            <w:r w:rsidRPr="00770A00">
              <w:rPr>
                <w:sz w:val="28"/>
                <w:szCs w:val="28"/>
                <w:lang w:val="ru-RU"/>
              </w:rPr>
              <w:t>мая</w:t>
            </w:r>
            <w:r w:rsidR="00A82528" w:rsidRPr="00770A00">
              <w:rPr>
                <w:sz w:val="28"/>
                <w:szCs w:val="28"/>
                <w:lang w:val="ru-RU"/>
              </w:rPr>
              <w:t xml:space="preserve"> 2013</w:t>
            </w:r>
            <w:r w:rsidRPr="00770A00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162C5A" w:rsidTr="00F00D12">
        <w:tc>
          <w:tcPr>
            <w:tcW w:w="619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82528" w:rsidRPr="00770A00" w:rsidRDefault="00A8252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6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2528" w:rsidRPr="00770A00" w:rsidRDefault="00D15C80" w:rsidP="00A82528">
            <w:pPr>
              <w:rPr>
                <w:b/>
                <w:bCs/>
                <w:lang w:val="ru-RU"/>
              </w:rPr>
            </w:pPr>
            <w:r w:rsidRPr="00770A00">
              <w:rPr>
                <w:b/>
                <w:bCs/>
                <w:lang w:val="ru-RU"/>
              </w:rPr>
              <w:t>Документ</w:t>
            </w:r>
            <w:r w:rsidR="00A82528" w:rsidRPr="00770A00">
              <w:rPr>
                <w:b/>
                <w:bCs/>
                <w:lang w:val="ru-RU"/>
              </w:rPr>
              <w:t xml:space="preserve"> WTPF-13/</w:t>
            </w:r>
            <w:r w:rsidR="00F00D12" w:rsidRPr="00770A00">
              <w:rPr>
                <w:b/>
                <w:bCs/>
                <w:lang w:val="ru-RU"/>
              </w:rPr>
              <w:t>8</w:t>
            </w:r>
            <w:r w:rsidR="00A82528" w:rsidRPr="00770A00">
              <w:rPr>
                <w:b/>
                <w:bCs/>
                <w:lang w:val="ru-RU"/>
              </w:rPr>
              <w:t>-R</w:t>
            </w:r>
          </w:p>
          <w:p w:rsidR="00A82528" w:rsidRPr="00770A00" w:rsidRDefault="00F00D12">
            <w:pPr>
              <w:spacing w:before="0"/>
              <w:rPr>
                <w:b/>
                <w:bCs/>
                <w:lang w:val="ru-RU"/>
              </w:rPr>
            </w:pPr>
            <w:r w:rsidRPr="00770A00">
              <w:rPr>
                <w:b/>
                <w:bCs/>
                <w:lang w:val="ru-RU"/>
              </w:rPr>
              <w:t>29 апреля 2013 года</w:t>
            </w:r>
          </w:p>
          <w:p w:rsidR="00A82528" w:rsidRPr="00770A00" w:rsidRDefault="00D15C80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2"/>
                <w:lang w:val="ru-RU"/>
              </w:rPr>
            </w:pPr>
            <w:r w:rsidRPr="00770A00">
              <w:rPr>
                <w:b/>
                <w:bCs/>
                <w:sz w:val="22"/>
                <w:lang w:val="ru-RU"/>
              </w:rPr>
              <w:t>Оригинал</w:t>
            </w:r>
            <w:r w:rsidR="00A82528" w:rsidRPr="00770A00">
              <w:rPr>
                <w:b/>
                <w:bCs/>
                <w:sz w:val="22"/>
                <w:lang w:val="ru-RU"/>
              </w:rPr>
              <w:t xml:space="preserve">: </w:t>
            </w:r>
            <w:r w:rsidR="00F00D12" w:rsidRPr="00770A00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</w:tbl>
    <w:p w:rsidR="00F00D12" w:rsidRPr="00770A00" w:rsidRDefault="00F00D12" w:rsidP="00F00D12">
      <w:pPr>
        <w:pStyle w:val="Source"/>
        <w:rPr>
          <w:lang w:val="ru-RU"/>
        </w:rPr>
      </w:pPr>
      <w:r w:rsidRPr="00770A00">
        <w:rPr>
          <w:lang w:val="ru-RU"/>
        </w:rPr>
        <w:t>Вклад от RIPE NCC</w:t>
      </w:r>
    </w:p>
    <w:p w:rsidR="00F00D12" w:rsidRPr="00770A00" w:rsidRDefault="00F00D12" w:rsidP="00F00D12">
      <w:pPr>
        <w:pStyle w:val="Title1"/>
        <w:rPr>
          <w:b/>
          <w:lang w:val="ru-RU"/>
        </w:rPr>
      </w:pPr>
      <w:r w:rsidRPr="00770A00">
        <w:rPr>
          <w:lang w:val="ru-RU"/>
        </w:rPr>
        <w:t xml:space="preserve">вклад для ВФПЭ-13 от региональных регистрационных центров интернета </w:t>
      </w:r>
    </w:p>
    <w:p w:rsidR="00F00D12" w:rsidRPr="00770A00" w:rsidRDefault="00F00D12" w:rsidP="00162C5A">
      <w:pPr>
        <w:pStyle w:val="Normalaftertitle"/>
        <w:rPr>
          <w:lang w:val="ru-RU"/>
        </w:rPr>
      </w:pPr>
      <w:r w:rsidRPr="00770A00">
        <w:rPr>
          <w:lang w:val="ru-RU"/>
        </w:rPr>
        <w:t xml:space="preserve">Настоящий документ представляется </w:t>
      </w:r>
      <w:r w:rsidRPr="00770A00">
        <w:rPr>
          <w:b/>
          <w:bCs/>
          <w:lang w:val="ru-RU"/>
        </w:rPr>
        <w:t xml:space="preserve">от имени пяти </w:t>
      </w:r>
      <w:r w:rsidRPr="00770A00">
        <w:rPr>
          <w:rFonts w:cs="TimesNewRoman"/>
          <w:b/>
          <w:bCs/>
          <w:lang w:val="ru-RU" w:eastAsia="zh-CN"/>
        </w:rPr>
        <w:t>региональных регистрационных центров интернета</w:t>
      </w:r>
      <w:r w:rsidRPr="00770A00">
        <w:rPr>
          <w:b/>
          <w:bCs/>
          <w:lang w:val="ru-RU"/>
        </w:rPr>
        <w:t xml:space="preserve"> (RIR)</w:t>
      </w:r>
      <w:r w:rsidRPr="00770A00">
        <w:rPr>
          <w:lang w:val="ru-RU"/>
        </w:rPr>
        <w:t xml:space="preserve">. В частности, в нем рассматриваются некоторые проекты Мнений, обсуждавшиеся Неофициальной группой экспертов (НГЭ), в той мере, в которой они относятся к их области компетенции и координации.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Центры RIR – это организации под управлением сообществ, которые распределяют и регистрируют ресурсы номеров интернета, включая IP-адреса (IPv4 и IPv6) и адреса в автономной системе. Ниже перечислены эти пять центров RIR: 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 xml:space="preserve">AFRINIC – </w:t>
      </w:r>
      <w:hyperlink r:id="rId10" w:history="1">
        <w:r w:rsidRPr="00770A00">
          <w:rPr>
            <w:rStyle w:val="Hyperlink"/>
            <w:lang w:val="ru-RU"/>
          </w:rPr>
          <w:t>www.afrinic.net</w:t>
        </w:r>
      </w:hyperlink>
      <w:r w:rsidR="00162C5A">
        <w:rPr>
          <w:lang w:val="ru-RU"/>
        </w:rPr>
        <w:t>;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 xml:space="preserve">APNIC – </w:t>
      </w:r>
      <w:hyperlink r:id="rId11" w:history="1">
        <w:r w:rsidRPr="00770A00">
          <w:rPr>
            <w:rStyle w:val="Hyperlink"/>
            <w:lang w:val="ru-RU"/>
          </w:rPr>
          <w:t>www.apnic.net</w:t>
        </w:r>
      </w:hyperlink>
      <w:r w:rsidR="00162C5A">
        <w:rPr>
          <w:lang w:val="ru-RU"/>
        </w:rPr>
        <w:t>;</w:t>
      </w:r>
    </w:p>
    <w:p w:rsidR="00F00D12" w:rsidRPr="00162C5A" w:rsidRDefault="00F00D12" w:rsidP="00F00D12">
      <w:pPr>
        <w:pStyle w:val="enumlev1"/>
        <w:rPr>
          <w:lang w:val="ru-RU"/>
        </w:rPr>
      </w:pPr>
      <w:r w:rsidRPr="00162C5A">
        <w:rPr>
          <w:lang w:val="ru-RU"/>
        </w:rPr>
        <w:t>•</w:t>
      </w:r>
      <w:r w:rsidRPr="00162C5A">
        <w:rPr>
          <w:lang w:val="ru-RU"/>
        </w:rPr>
        <w:tab/>
      </w:r>
      <w:r w:rsidRPr="00162C5A">
        <w:rPr>
          <w:lang w:val="fr-CH"/>
        </w:rPr>
        <w:t>ARIN</w:t>
      </w:r>
      <w:r w:rsidRPr="00162C5A">
        <w:rPr>
          <w:lang w:val="ru-RU"/>
        </w:rPr>
        <w:t xml:space="preserve"> – </w:t>
      </w:r>
      <w:hyperlink r:id="rId12" w:history="1">
        <w:r w:rsidRPr="00162C5A">
          <w:rPr>
            <w:rStyle w:val="Hyperlink"/>
            <w:lang w:val="fr-CH"/>
          </w:rPr>
          <w:t>www</w:t>
        </w:r>
        <w:r w:rsidRPr="00162C5A">
          <w:rPr>
            <w:rStyle w:val="Hyperlink"/>
            <w:lang w:val="ru-RU"/>
          </w:rPr>
          <w:t>.</w:t>
        </w:r>
        <w:proofErr w:type="spellStart"/>
        <w:r w:rsidRPr="00162C5A">
          <w:rPr>
            <w:rStyle w:val="Hyperlink"/>
            <w:lang w:val="fr-CH"/>
          </w:rPr>
          <w:t>arin</w:t>
        </w:r>
        <w:proofErr w:type="spellEnd"/>
        <w:r w:rsidRPr="00162C5A">
          <w:rPr>
            <w:rStyle w:val="Hyperlink"/>
            <w:lang w:val="ru-RU"/>
          </w:rPr>
          <w:t>.</w:t>
        </w:r>
        <w:r w:rsidRPr="00162C5A">
          <w:rPr>
            <w:rStyle w:val="Hyperlink"/>
            <w:lang w:val="fr-CH"/>
          </w:rPr>
          <w:t>net</w:t>
        </w:r>
      </w:hyperlink>
      <w:r w:rsidR="00162C5A">
        <w:rPr>
          <w:lang w:val="ru-RU"/>
        </w:rPr>
        <w:t>;</w:t>
      </w:r>
    </w:p>
    <w:p w:rsidR="00F00D12" w:rsidRPr="00162C5A" w:rsidRDefault="00F00D12" w:rsidP="00F00D12">
      <w:pPr>
        <w:pStyle w:val="enumlev1"/>
        <w:rPr>
          <w:lang w:val="ru-RU"/>
        </w:rPr>
      </w:pPr>
      <w:r w:rsidRPr="00162C5A">
        <w:rPr>
          <w:lang w:val="ru-RU"/>
        </w:rPr>
        <w:t>•</w:t>
      </w:r>
      <w:r w:rsidRPr="00162C5A">
        <w:rPr>
          <w:lang w:val="ru-RU"/>
        </w:rPr>
        <w:tab/>
      </w:r>
      <w:proofErr w:type="spellStart"/>
      <w:r w:rsidRPr="00162C5A">
        <w:rPr>
          <w:lang w:val="fr-CH"/>
        </w:rPr>
        <w:t>Lacnic</w:t>
      </w:r>
      <w:proofErr w:type="spellEnd"/>
      <w:r w:rsidRPr="00162C5A">
        <w:rPr>
          <w:lang w:val="ru-RU"/>
        </w:rPr>
        <w:t xml:space="preserve"> – </w:t>
      </w:r>
      <w:hyperlink r:id="rId13" w:history="1">
        <w:r w:rsidRPr="00162C5A">
          <w:rPr>
            <w:rStyle w:val="Hyperlink"/>
            <w:lang w:val="fr-CH"/>
          </w:rPr>
          <w:t>www</w:t>
        </w:r>
        <w:r w:rsidRPr="00162C5A">
          <w:rPr>
            <w:rStyle w:val="Hyperlink"/>
            <w:lang w:val="ru-RU"/>
          </w:rPr>
          <w:t>.</w:t>
        </w:r>
        <w:proofErr w:type="spellStart"/>
        <w:r w:rsidRPr="00162C5A">
          <w:rPr>
            <w:rStyle w:val="Hyperlink"/>
            <w:lang w:val="fr-CH"/>
          </w:rPr>
          <w:t>lacnic</w:t>
        </w:r>
        <w:proofErr w:type="spellEnd"/>
        <w:r w:rsidRPr="00162C5A">
          <w:rPr>
            <w:rStyle w:val="Hyperlink"/>
            <w:lang w:val="ru-RU"/>
          </w:rPr>
          <w:t>.</w:t>
        </w:r>
        <w:r w:rsidRPr="00162C5A">
          <w:rPr>
            <w:rStyle w:val="Hyperlink"/>
            <w:lang w:val="fr-CH"/>
          </w:rPr>
          <w:t>net</w:t>
        </w:r>
      </w:hyperlink>
      <w:r w:rsidR="00162C5A">
        <w:rPr>
          <w:lang w:val="ru-RU"/>
        </w:rPr>
        <w:t>;</w:t>
      </w:r>
    </w:p>
    <w:p w:rsidR="00F00D12" w:rsidRPr="00770A00" w:rsidRDefault="00F00D12" w:rsidP="00162C5A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 xml:space="preserve">RIPE NCC – </w:t>
      </w:r>
      <w:hyperlink r:id="rId14" w:history="1">
        <w:r w:rsidRPr="00770A00">
          <w:rPr>
            <w:rStyle w:val="Hyperlink"/>
            <w:lang w:val="ru-RU"/>
          </w:rPr>
          <w:t>www.ripe.net</w:t>
        </w:r>
      </w:hyperlink>
      <w:r w:rsidR="00162C5A">
        <w:rPr>
          <w:lang w:val="ru-RU"/>
        </w:rPr>
        <w:t>.</w:t>
      </w:r>
    </w:p>
    <w:p w:rsidR="00F00D12" w:rsidRPr="00770A00" w:rsidRDefault="00F00D12" w:rsidP="00F00D12">
      <w:pPr>
        <w:pStyle w:val="Headingb"/>
        <w:rPr>
          <w:rFonts w:asciiTheme="minorHAnsi" w:hAnsiTheme="minorHAnsi" w:cstheme="minorHAnsi"/>
          <w:color w:val="000000" w:themeColor="text1"/>
          <w:lang w:val="ru-RU"/>
        </w:rPr>
      </w:pPr>
      <w:r w:rsidRPr="00770A00">
        <w:rPr>
          <w:rFonts w:asciiTheme="minorHAnsi" w:hAnsiTheme="minorHAnsi" w:cstheme="minorHAnsi"/>
          <w:color w:val="000000" w:themeColor="text1"/>
          <w:lang w:val="ru-RU"/>
        </w:rPr>
        <w:t xml:space="preserve">Мнение 1: </w:t>
      </w:r>
      <w:r w:rsidRPr="00770A00">
        <w:rPr>
          <w:lang w:val="ru-RU"/>
        </w:rPr>
        <w:t>Стимулирование создания пунктов обмена трафиком интернета (IXP) как долгосрочное решение, способствующее расширению возможности установления соединений</w:t>
      </w:r>
    </w:p>
    <w:p w:rsidR="00F00D12" w:rsidRPr="00770A00" w:rsidRDefault="00F00D12" w:rsidP="00162C5A">
      <w:pPr>
        <w:rPr>
          <w:lang w:val="ru-RU"/>
        </w:rPr>
      </w:pPr>
      <w:r w:rsidRPr="00770A00">
        <w:rPr>
          <w:lang w:val="ru-RU"/>
        </w:rPr>
        <w:t>Центры RIR поддержива</w:t>
      </w:r>
      <w:r w:rsidR="00162C5A">
        <w:rPr>
          <w:lang w:val="ru-RU"/>
        </w:rPr>
        <w:t>ю</w:t>
      </w:r>
      <w:r w:rsidRPr="00770A00">
        <w:rPr>
          <w:lang w:val="ru-RU"/>
        </w:rPr>
        <w:t xml:space="preserve">т позицию, согласно которой пункты обмена трафиком интернета (IXP) обеспечивают долгосрочное решение для расширения возможностей установления соединений, и отмечают развитие существующего сообщества IXP благодаря процессу с участием многих заинтересованных сторон, </w:t>
      </w:r>
      <w:proofErr w:type="gramStart"/>
      <w:r w:rsidRPr="00770A00">
        <w:rPr>
          <w:lang w:val="ru-RU"/>
        </w:rPr>
        <w:t>который</w:t>
      </w:r>
      <w:proofErr w:type="gramEnd"/>
      <w:r w:rsidRPr="00770A00">
        <w:rPr>
          <w:lang w:val="ru-RU"/>
        </w:rPr>
        <w:t xml:space="preserve"> идет снизу вверх. Результаты нескольких независимых совместных исследований показали эффективность пунктов IXP в деле содействия осуществлению этой цели и снижения стоимости доступа к интернету для всех.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>Мы поддерживаем и признаем успех предпринимаемых ассоциациями усилий, способствующих распространению передового опыта среди IXP, в число которых входят A</w:t>
      </w:r>
      <w:r w:rsidR="00162C5A">
        <w:rPr>
          <w:lang w:val="ru-RU"/>
        </w:rPr>
        <w:t xml:space="preserve">f-IX, APIX, </w:t>
      </w:r>
      <w:proofErr w:type="spellStart"/>
      <w:r w:rsidR="00162C5A">
        <w:rPr>
          <w:lang w:val="ru-RU"/>
        </w:rPr>
        <w:t>Euro</w:t>
      </w:r>
      <w:proofErr w:type="spellEnd"/>
      <w:r w:rsidR="00162C5A">
        <w:rPr>
          <w:lang w:val="ru-RU"/>
        </w:rPr>
        <w:t>-IX и LAC-IX, в </w:t>
      </w:r>
      <w:r w:rsidRPr="00770A00">
        <w:rPr>
          <w:lang w:val="ru-RU"/>
        </w:rPr>
        <w:t>частности</w:t>
      </w:r>
      <w:r w:rsidR="00162C5A">
        <w:rPr>
          <w:lang w:val="ru-RU"/>
        </w:rPr>
        <w:t>,</w:t>
      </w:r>
      <w:r w:rsidRPr="00770A00">
        <w:rPr>
          <w:lang w:val="ru-RU"/>
        </w:rPr>
        <w:t xml:space="preserve"> поскольку они также помогают поддерживать новых участников рынков IXP. Мы также отмечаем подход, который по своей природе предусматривает участие многих заинтересованных сторон и который, согласно Мнению, предлагается принять Членам Секторов и Государства</w:t>
      </w:r>
      <w:r w:rsidR="00162C5A">
        <w:rPr>
          <w:lang w:val="ru-RU"/>
        </w:rPr>
        <w:t>м</w:t>
      </w:r>
      <w:r w:rsidRPr="00770A00">
        <w:rPr>
          <w:lang w:val="ru-RU"/>
        </w:rPr>
        <w:t xml:space="preserve">-Членам. Эти случаи эффективно иллюстрируют ответственность каждой группы заинтересованных сторон в деле содействия развитию инфраструктуры, что успешно расширяет возможности роста интернета, повышения качества и усиления стабильности. </w:t>
      </w:r>
    </w:p>
    <w:p w:rsidR="00F00D12" w:rsidRPr="00770A00" w:rsidRDefault="00F00D12" w:rsidP="00162C5A">
      <w:pPr>
        <w:rPr>
          <w:lang w:val="ru-RU"/>
        </w:rPr>
      </w:pPr>
      <w:r w:rsidRPr="00770A00">
        <w:rPr>
          <w:lang w:val="ru-RU"/>
        </w:rPr>
        <w:t>Поскольку пункты IXP играют важнейшую роль в содействии эффективному присоединению поставщиков услуг интернета (ПУИ) с помощью соглашений о</w:t>
      </w:r>
      <w:r w:rsidR="00D83238">
        <w:rPr>
          <w:lang w:val="ru-RU"/>
        </w:rPr>
        <w:t>б</w:t>
      </w:r>
      <w:r w:rsidRPr="00770A00">
        <w:rPr>
          <w:lang w:val="ru-RU"/>
        </w:rPr>
        <w:t xml:space="preserve"> одноранговом обмене, центры RIR, </w:t>
      </w:r>
      <w:r w:rsidRPr="00770A00">
        <w:rPr>
          <w:lang w:val="ru-RU"/>
        </w:rPr>
        <w:lastRenderedPageBreak/>
        <w:t xml:space="preserve">при координации с другими организациями интернета, также оказывают значительную поддержку существующим процессам, происходящим в сообществах и в отрасли, которые пропагандируют такие соглашения и способствуют их заключению. </w:t>
      </w:r>
      <w:proofErr w:type="gramStart"/>
      <w:r w:rsidRPr="00770A00">
        <w:rPr>
          <w:lang w:val="ru-RU"/>
        </w:rPr>
        <w:t xml:space="preserve">В частности, к ним относятся глобальные и региональные форумы по вопросам однорангового обмена, включая Африканский форум по вопросам однорангового обмена и присоединения (AfPIF), собрания Форума по вопросам </w:t>
      </w:r>
      <w:r w:rsidR="00D83238">
        <w:rPr>
          <w:lang w:val="ru-RU"/>
        </w:rPr>
        <w:t>однорангового</w:t>
      </w:r>
      <w:r w:rsidRPr="00770A00">
        <w:rPr>
          <w:lang w:val="ru-RU"/>
        </w:rPr>
        <w:t xml:space="preserve"> обмена APRICOT (Азиатско-Тихоокеанского региона), Латиноамериканский форум по пунктам доступа к сети (NAPLA), Специализированн</w:t>
      </w:r>
      <w:r w:rsidR="00162C5A">
        <w:rPr>
          <w:lang w:val="ru-RU"/>
        </w:rPr>
        <w:t>ую</w:t>
      </w:r>
      <w:r w:rsidRPr="00770A00">
        <w:rPr>
          <w:lang w:val="ru-RU"/>
        </w:rPr>
        <w:t xml:space="preserve"> групп</w:t>
      </w:r>
      <w:r w:rsidR="00162C5A">
        <w:rPr>
          <w:lang w:val="ru-RU"/>
        </w:rPr>
        <w:t>у</w:t>
      </w:r>
      <w:r w:rsidRPr="00770A00">
        <w:rPr>
          <w:lang w:val="ru-RU"/>
        </w:rPr>
        <w:t xml:space="preserve"> по вопросам </w:t>
      </w:r>
      <w:proofErr w:type="spellStart"/>
      <w:r w:rsidRPr="00770A00">
        <w:rPr>
          <w:lang w:val="ru-RU"/>
        </w:rPr>
        <w:t>однорангового</w:t>
      </w:r>
      <w:proofErr w:type="spellEnd"/>
      <w:r w:rsidRPr="00770A00">
        <w:rPr>
          <w:lang w:val="ru-RU"/>
        </w:rPr>
        <w:t xml:space="preserve"> обмена NANOG (Северная Америка)</w:t>
      </w:r>
      <w:r w:rsidR="00162C5A">
        <w:rPr>
          <w:lang w:val="ru-RU"/>
        </w:rPr>
        <w:t>,</w:t>
      </w:r>
      <w:r w:rsidRPr="00770A00">
        <w:rPr>
          <w:lang w:val="ru-RU"/>
        </w:rPr>
        <w:t xml:space="preserve"> а также недавно созданный Ближневосточный форум по вопросам однорангового обмена (MPF).</w:t>
      </w:r>
      <w:proofErr w:type="gramEnd"/>
    </w:p>
    <w:p w:rsidR="00F00D12" w:rsidRPr="00770A00" w:rsidRDefault="00F00D12" w:rsidP="00F00D12">
      <w:pPr>
        <w:pStyle w:val="Headingb"/>
        <w:rPr>
          <w:rFonts w:asciiTheme="minorHAnsi" w:hAnsiTheme="minorHAnsi" w:cstheme="minorHAnsi"/>
          <w:color w:val="000000" w:themeColor="text1"/>
          <w:lang w:val="ru-RU"/>
        </w:rPr>
      </w:pPr>
      <w:r w:rsidRPr="00770A00">
        <w:rPr>
          <w:rFonts w:asciiTheme="minorHAnsi" w:hAnsiTheme="minorHAnsi" w:cstheme="minorHAnsi"/>
          <w:color w:val="000000" w:themeColor="text1"/>
          <w:lang w:val="ru-RU"/>
        </w:rPr>
        <w:t xml:space="preserve">Мнение 3: </w:t>
      </w:r>
      <w:r w:rsidRPr="00770A00">
        <w:rPr>
          <w:lang w:val="ru-RU"/>
        </w:rPr>
        <w:t>Поддержка создания потенциала для развертывания IPv6</w:t>
      </w:r>
    </w:p>
    <w:p w:rsidR="00F00D12" w:rsidRPr="00770A00" w:rsidRDefault="00F00D12" w:rsidP="00770A00">
      <w:pPr>
        <w:rPr>
          <w:lang w:val="ru-RU"/>
        </w:rPr>
      </w:pPr>
      <w:r w:rsidRPr="00770A00">
        <w:rPr>
          <w:lang w:val="ru-RU"/>
        </w:rPr>
        <w:t xml:space="preserve">Центры RIR поддерживает позицию, согласно которой создание потенциала является важнейшим элементом развертывания IPv6. Как отмечается в тексте этого Мнения, вопросы, касающиеся истощения пула адресов IPv4, можно максимально сократить с помощью надлежащим образом спланированного перехода к IPv6, и следует приложить все усилия для того, чтобы способствовать этому процессу и поддерживать его.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В </w:t>
      </w:r>
      <w:proofErr w:type="gramStart"/>
      <w:r w:rsidRPr="00770A00">
        <w:rPr>
          <w:lang w:val="ru-RU"/>
        </w:rPr>
        <w:t>том</w:t>
      </w:r>
      <w:proofErr w:type="gramEnd"/>
      <w:r w:rsidRPr="00770A00">
        <w:rPr>
          <w:lang w:val="ru-RU"/>
        </w:rPr>
        <w:t xml:space="preserve"> что касается создания потенциала, центры RIR разработали различные программы, направленные на обеспечение информированности и на специализированную подготовку по техническим и управленческим аспектам развертывания IPv6 в IP-сетях. Такая работа подробно рассматривается в Приложении 1 к настоящему представлению.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В отношении передачи адресного пространства IPv4 центры RIR уверены в том, что этот вопрос не входит в сферу охвата Мнения 3, и ссылаются на позицию, подробно изложенную в нашем ответе по поводу Мнения 4. </w:t>
      </w:r>
    </w:p>
    <w:p w:rsidR="00F00D12" w:rsidRPr="00770A00" w:rsidRDefault="00F00D12" w:rsidP="00F00D12">
      <w:pPr>
        <w:pStyle w:val="Headingb"/>
        <w:rPr>
          <w:rFonts w:asciiTheme="minorHAnsi" w:hAnsiTheme="minorHAnsi" w:cstheme="minorHAnsi"/>
          <w:color w:val="000000" w:themeColor="text1"/>
          <w:lang w:val="ru-RU"/>
        </w:rPr>
      </w:pPr>
      <w:r w:rsidRPr="00770A00">
        <w:rPr>
          <w:rFonts w:asciiTheme="minorHAnsi" w:hAnsiTheme="minorHAnsi" w:cstheme="minorHAnsi"/>
          <w:color w:val="000000" w:themeColor="text1"/>
          <w:lang w:val="ru-RU"/>
        </w:rPr>
        <w:t xml:space="preserve">Мнение 4: </w:t>
      </w:r>
      <w:r w:rsidRPr="00770A00">
        <w:rPr>
          <w:lang w:val="ru-RU"/>
        </w:rPr>
        <w:t>В поддержку принятия IPv6 и перехода от IPv4</w:t>
      </w:r>
    </w:p>
    <w:p w:rsidR="00F00D12" w:rsidRPr="00770A00" w:rsidRDefault="00F00D12" w:rsidP="00F00D12">
      <w:pPr>
        <w:rPr>
          <w:lang w:val="ru-RU"/>
        </w:rPr>
      </w:pPr>
      <w:proofErr w:type="gramStart"/>
      <w:r w:rsidRPr="00770A00">
        <w:rPr>
          <w:lang w:val="ru-RU"/>
        </w:rPr>
        <w:t>Центры RIR поддерживают многие вопросы, поднятые в этом Мнении, в частности по поводу важности принятия IPv6, необходимости смягчения негативного влияния истощения ресурсов IPv4 на операторов, особенно в развивающемся мире, а также важности</w:t>
      </w:r>
      <w:r w:rsidR="00162C5A">
        <w:rPr>
          <w:lang w:val="ru-RU"/>
        </w:rPr>
        <w:t xml:space="preserve"> обеспечения того, чтобы все IP</w:t>
      </w:r>
      <w:r w:rsidR="00162C5A">
        <w:rPr>
          <w:lang w:val="ru-RU"/>
        </w:rPr>
        <w:noBreakHyphen/>
      </w:r>
      <w:r w:rsidRPr="00770A00">
        <w:rPr>
          <w:lang w:val="ru-RU"/>
        </w:rPr>
        <w:t xml:space="preserve">адреса точно регистрировались в общедоступных ведущихся RIR базах данных, в соответствии с политикой, разрабатываемой сообществом. </w:t>
      </w:r>
      <w:proofErr w:type="gramEnd"/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В частности, центры RIR согласны с тем, что </w:t>
      </w:r>
      <w:proofErr w:type="gramStart"/>
      <w:r w:rsidRPr="00770A00">
        <w:rPr>
          <w:lang w:val="ru-RU"/>
        </w:rPr>
        <w:t>в</w:t>
      </w:r>
      <w:proofErr w:type="gramEnd"/>
      <w:r w:rsidRPr="00770A00">
        <w:rPr>
          <w:lang w:val="ru-RU"/>
        </w:rPr>
        <w:t xml:space="preserve"> Мнении упор сделан на значении государственного сектора в поощрении, содействии и поддержке принятия IPv6, особенно с помощью совместных инициатив с частным сектором, прежде всего сетевыми операторами и поставщиками услуг интернета.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Центры RIR хотели бы прояснить некоторые вопросы, поднятые по различным пунктам Мнения, в надежде обеспечить, чтобы участники ВФПЭ располагали полной информацией при обсуждении этих вопросов. </w:t>
      </w:r>
    </w:p>
    <w:p w:rsidR="00F00D12" w:rsidRPr="00770A00" w:rsidRDefault="00F00D12" w:rsidP="00F00D12">
      <w:pPr>
        <w:pStyle w:val="Headingb"/>
        <w:rPr>
          <w:lang w:val="ru-RU"/>
        </w:rPr>
      </w:pPr>
      <w:r w:rsidRPr="00770A00">
        <w:rPr>
          <w:lang w:val="ru-RU"/>
        </w:rPr>
        <w:t>Новые участники отрасли интернета</w:t>
      </w:r>
    </w:p>
    <w:p w:rsidR="00F00D12" w:rsidRPr="00770A00" w:rsidRDefault="00F00D12" w:rsidP="00F00D12">
      <w:pPr>
        <w:rPr>
          <w:lang w:val="ru-RU"/>
        </w:rPr>
      </w:pPr>
      <w:proofErr w:type="gramStart"/>
      <w:r w:rsidRPr="00770A00">
        <w:rPr>
          <w:lang w:val="ru-RU"/>
        </w:rPr>
        <w:t>В</w:t>
      </w:r>
      <w:proofErr w:type="gramEnd"/>
      <w:r w:rsidRPr="00770A00">
        <w:rPr>
          <w:lang w:val="ru-RU"/>
        </w:rPr>
        <w:t xml:space="preserve"> Мнении указывается:</w:t>
      </w:r>
    </w:p>
    <w:p w:rsidR="00F00D12" w:rsidRPr="00770A00" w:rsidRDefault="00F00D12" w:rsidP="00F00D12">
      <w:pPr>
        <w:rPr>
          <w:rFonts w:asciiTheme="minorHAnsi" w:hAnsiTheme="minorHAnsi" w:cstheme="minorHAnsi"/>
          <w:i/>
          <w:iCs/>
          <w:lang w:val="ru-RU"/>
        </w:rPr>
      </w:pPr>
      <w:r w:rsidRPr="00770A00">
        <w:rPr>
          <w:rFonts w:asciiTheme="minorHAnsi" w:hAnsiTheme="minorHAnsi" w:cstheme="minorHAnsi"/>
          <w:i/>
          <w:iCs/>
          <w:lang w:val="ru-RU"/>
        </w:rPr>
        <w:t>c)</w:t>
      </w:r>
      <w:r w:rsidRPr="00770A00">
        <w:rPr>
          <w:rFonts w:asciiTheme="minorHAnsi" w:hAnsiTheme="minorHAnsi" w:cstheme="minorHAnsi"/>
          <w:i/>
          <w:iCs/>
          <w:lang w:val="ru-RU"/>
        </w:rPr>
        <w:tab/>
      </w:r>
      <w:r w:rsidRPr="00770A00">
        <w:rPr>
          <w:i/>
          <w:iCs/>
          <w:lang w:val="ru-RU"/>
        </w:rPr>
        <w:t>что по-прежнему должны существовать планы и политика, которые дают возможность новым ПУИ выходить на рынок благодаря доступу к разумному по величине блоку адресов IPv4 по разумным ценам</w:t>
      </w:r>
      <w:r w:rsidRPr="00770A00">
        <w:rPr>
          <w:rFonts w:asciiTheme="minorHAnsi" w:hAnsiTheme="minorHAnsi" w:cstheme="minorHAnsi"/>
          <w:lang w:val="ru-RU"/>
        </w:rPr>
        <w:t>;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Сообщества RIR признали важность предоставления услуг тем, кто создает новые сети, и решали этот вопрос с помощью различных мер политики, принимаемых в пяти регионах RIR. У AFRINIC, APNIC, Lacnic и RIPE NCC имеется особая политика управления распределением оставшихся у них пулов адресного пространства IPv4. Такая политика обеспечивает наличие в будущем у организаций </w:t>
      </w:r>
      <w:r w:rsidRPr="00770A00">
        <w:rPr>
          <w:lang w:val="ru-RU"/>
        </w:rPr>
        <w:lastRenderedPageBreak/>
        <w:t xml:space="preserve">небольших "порций" адресного пространства IPv4 в целях обеспечения того, чтобы новые сети на базе IPv6 были функционально совместимы с существующими сетями IPv4. </w:t>
      </w:r>
    </w:p>
    <w:p w:rsidR="00F00D12" w:rsidRPr="00770A00" w:rsidRDefault="00F00D12" w:rsidP="00F00D12">
      <w:pPr>
        <w:rPr>
          <w:lang w:val="ru-RU"/>
        </w:rPr>
      </w:pPr>
      <w:proofErr w:type="gramStart"/>
      <w:r w:rsidRPr="00770A00">
        <w:rPr>
          <w:lang w:val="ru-RU"/>
        </w:rPr>
        <w:t>В соответствии с проводимой некоторыми центрами RIR политикой блоки адресов IPv4 были зарезервированы для использования новыми и существующими пунктами обмена трафиком интернета (IXP) для обеспечения того, чтобы эти важнейшие элементы инфраструктуры интернета могли эффективно действовать и должным образом поддерживать переход к IPv6.</w:t>
      </w:r>
      <w:proofErr w:type="gramEnd"/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Центры RIR также отмечают, ссылаясь на выражение "разумные цены", что RIR являются некоммерческими организациями; члены RIR сами определяют размер членского взноса и плату за обслуживание, которые обоснованно требуются для финансирования деятельности RIR. </w:t>
      </w:r>
    </w:p>
    <w:p w:rsidR="00F00D12" w:rsidRPr="00770A00" w:rsidRDefault="00F00D12" w:rsidP="00F00D12">
      <w:pPr>
        <w:pStyle w:val="Headingb"/>
        <w:rPr>
          <w:lang w:val="ru-RU"/>
        </w:rPr>
      </w:pPr>
      <w:r w:rsidRPr="00770A00">
        <w:rPr>
          <w:lang w:val="ru-RU"/>
        </w:rPr>
        <w:t>"Традиционное" адресное пространство IPv4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Около 35% всего адресного пространства IPv4 было присвоено органам, являвшимся предшественниками RIR, и часто это пространство называют "традиционным пространством". Хотя к нему могут применяться особые условия политики, все традиционное пространство остается под управлением соответствующего RIR (для региона, которому оно было присвоено), и центры RIR хотели бы подчеркнуть некоторые моменты, относящиеся к традиционному пространству: </w:t>
      </w:r>
    </w:p>
    <w:p w:rsidR="00F00D12" w:rsidRPr="00770A00" w:rsidRDefault="00F00D12" w:rsidP="00D83238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 xml:space="preserve">Следует отметить, что даже если 20% всего глобального адресного пространства IPv4 для одноадресной передачи должны стать доступными для перераспределения, то такая мера обеспечит присвоения в течение немногим более чем на 3 года, если исходить из уровня потребления адресов в мире в 2010 году. 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 xml:space="preserve">Невозможно точно определить уровень использования традиционного адресного пространства. Даже если в общедоступном интернете адреса не видны, держатели такого пространства могут использовать их в частных сетях. Это не является нарушением действующей в настоящее время политики использования адресов или какого-либо стандарта IP-адресации. 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 xml:space="preserve">Система регистрации интернета содержит существенный стимул для держателей традиционного пространства к тому, чтобы продолжать тщательно регистрировать свои ресурсы в ведущейся RIR общедоступной базе данных. Данные регистрации блоков традиционных адресов хранятся в базах данных RIR (поступивших из первоначальных записей при создании центров RIR), и такие данные часто используются поставщиками услуг интернета для принятия решений, касающихся их политики маршрутизации. Устаревшие или не обновляемые данные регистрации могут привести к утрате доверия операторов к этим блокам адресов и сделать такие адреса непригодными в общедоступном интернете, поскольку другие операторы решат не принимать сообщения о маршрутизации для таких блоков. 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 xml:space="preserve">Центры RIR приняли меры к тому, чтобы получить обратно неиспользуемые традиционные адреса и вернуть их </w:t>
      </w:r>
      <w:r w:rsidRPr="00770A00">
        <w:rPr>
          <w:rFonts w:cs="TimesNewRoman"/>
          <w:lang w:val="ru-RU" w:eastAsia="zh-CN"/>
        </w:rPr>
        <w:t>Органу присвоения номеров интернета</w:t>
      </w:r>
      <w:r w:rsidRPr="00770A00">
        <w:rPr>
          <w:lang w:val="ru-RU"/>
        </w:rPr>
        <w:t xml:space="preserve"> (IANA). Глобальная политика возврата IANA неиспользуемого адресного пространства IPv4 была введена в 2012 году, при </w:t>
      </w:r>
      <w:proofErr w:type="gramStart"/>
      <w:r w:rsidRPr="00770A00">
        <w:rPr>
          <w:lang w:val="ru-RU"/>
        </w:rPr>
        <w:t>условии</w:t>
      </w:r>
      <w:proofErr w:type="gramEnd"/>
      <w:r w:rsidRPr="00770A00">
        <w:rPr>
          <w:lang w:val="ru-RU"/>
        </w:rPr>
        <w:t xml:space="preserve"> что возвращенное пространство будет вновь распределяться центрам RIR на основе доказанной необходимости. На настоящее время три центра RIR получили обратно и возвратили IANA следующие адреса:</w:t>
      </w:r>
    </w:p>
    <w:p w:rsidR="00F00D12" w:rsidRPr="00770A00" w:rsidRDefault="00F00D12" w:rsidP="00F00D12">
      <w:pPr>
        <w:pStyle w:val="enumlev2"/>
        <w:rPr>
          <w:lang w:val="ru-RU"/>
        </w:rPr>
      </w:pPr>
      <w:r w:rsidRPr="00770A00">
        <w:rPr>
          <w:lang w:val="ru-RU"/>
        </w:rPr>
        <w:t>–</w:t>
      </w:r>
      <w:r w:rsidRPr="00770A00">
        <w:rPr>
          <w:lang w:val="ru-RU"/>
        </w:rPr>
        <w:tab/>
        <w:t>APNIC: 2,31 млн.</w:t>
      </w:r>
      <w:r w:rsidR="00162C5A">
        <w:rPr>
          <w:lang w:val="ru-RU"/>
        </w:rPr>
        <w:t>;</w:t>
      </w:r>
    </w:p>
    <w:p w:rsidR="00F00D12" w:rsidRPr="00770A00" w:rsidRDefault="00F00D12" w:rsidP="00F00D12">
      <w:pPr>
        <w:pStyle w:val="enumlev2"/>
        <w:rPr>
          <w:lang w:val="ru-RU"/>
        </w:rPr>
      </w:pPr>
      <w:r w:rsidRPr="00770A00">
        <w:rPr>
          <w:lang w:val="ru-RU"/>
        </w:rPr>
        <w:t>–</w:t>
      </w:r>
      <w:r w:rsidRPr="00770A00">
        <w:rPr>
          <w:lang w:val="ru-RU"/>
        </w:rPr>
        <w:tab/>
        <w:t>RIPE NCC: 1,31 млн.</w:t>
      </w:r>
      <w:r w:rsidR="00162C5A">
        <w:rPr>
          <w:lang w:val="ru-RU"/>
        </w:rPr>
        <w:t>;</w:t>
      </w:r>
    </w:p>
    <w:p w:rsidR="00F00D12" w:rsidRPr="00770A00" w:rsidRDefault="00F00D12" w:rsidP="00162C5A">
      <w:pPr>
        <w:pStyle w:val="enumlev2"/>
        <w:rPr>
          <w:lang w:val="ru-RU"/>
        </w:rPr>
      </w:pPr>
      <w:r w:rsidRPr="00770A00">
        <w:rPr>
          <w:lang w:val="ru-RU"/>
        </w:rPr>
        <w:t>–</w:t>
      </w:r>
      <w:r w:rsidRPr="00770A00">
        <w:rPr>
          <w:lang w:val="ru-RU"/>
        </w:rPr>
        <w:tab/>
        <w:t xml:space="preserve">ARIN: </w:t>
      </w:r>
      <w:r w:rsidRPr="00770A00">
        <w:rPr>
          <w:rFonts w:cs="Calibri"/>
          <w:lang w:val="ru-RU"/>
        </w:rPr>
        <w:t>~</w:t>
      </w:r>
      <w:r w:rsidRPr="00770A00">
        <w:rPr>
          <w:lang w:val="ru-RU"/>
        </w:rPr>
        <w:t>16 млн. (немногим менее 1/8)</w:t>
      </w:r>
      <w:r w:rsidR="00162C5A">
        <w:rPr>
          <w:lang w:val="ru-RU"/>
        </w:rPr>
        <w:t>.</w:t>
      </w:r>
    </w:p>
    <w:p w:rsidR="00F00D12" w:rsidRPr="00770A00" w:rsidRDefault="00F00D12" w:rsidP="00F00D12">
      <w:pPr>
        <w:pStyle w:val="Headingb"/>
        <w:rPr>
          <w:lang w:val="ru-RU"/>
        </w:rPr>
      </w:pPr>
      <w:r w:rsidRPr="00770A00">
        <w:rPr>
          <w:lang w:val="ru-RU"/>
        </w:rPr>
        <w:t xml:space="preserve">Передача IP-адресов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Как отмечалось в ряде случаев </w:t>
      </w:r>
      <w:proofErr w:type="gramStart"/>
      <w:r w:rsidRPr="00770A00">
        <w:rPr>
          <w:lang w:val="ru-RU"/>
        </w:rPr>
        <w:t>в</w:t>
      </w:r>
      <w:proofErr w:type="gramEnd"/>
      <w:r w:rsidRPr="00770A00">
        <w:rPr>
          <w:lang w:val="ru-RU"/>
        </w:rPr>
        <w:t xml:space="preserve"> Мнении, передача адресного пространства IPv4 между операторами (в основном операторами в различных регионах обслуживания RIR) в настоящее время становится </w:t>
      </w:r>
      <w:r w:rsidRPr="00770A00">
        <w:rPr>
          <w:lang w:val="ru-RU"/>
        </w:rPr>
        <w:lastRenderedPageBreak/>
        <w:t xml:space="preserve">одной из проблем в пространстве IP-адресации. Центры RIR полностью поддерживают принцип, лежащий в основе этого Мнения, о том, что необходимо точно регистрировать переданное пространство в базах данных, ведущихся RIR.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В </w:t>
      </w:r>
      <w:proofErr w:type="gramStart"/>
      <w:r w:rsidRPr="00770A00">
        <w:rPr>
          <w:lang w:val="ru-RU"/>
        </w:rPr>
        <w:t>рамках</w:t>
      </w:r>
      <w:proofErr w:type="gramEnd"/>
      <w:r w:rsidRPr="00770A00">
        <w:rPr>
          <w:lang w:val="ru-RU"/>
        </w:rPr>
        <w:t xml:space="preserve"> проходящих в сообществе RIR процессов разработки политики рассматривались или рассматриваются вопросы политики, поднятые при такой разработке. До настоящего времени два сообщества RIR (ARIN и APNIC) внедрили политику, которая дает возможность передачи адресного пространства между регионами (что означает, что сейчас операторы в этих двух регионах могут передавать адресное пространство). В сообществах AFRINIC, Lacnic и RIPE в настоящее время обсуждаются соответств</w:t>
      </w:r>
      <w:r w:rsidR="00D83238">
        <w:rPr>
          <w:lang w:val="ru-RU"/>
        </w:rPr>
        <w:t>ующие предложения по политике.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В том что касается требования, чтобы получатели передаваемых адресов доказали свою потребность в этих адресах, мы отмечаем, что оба направления действующей сейчас политики передачи адресов между RIR (APNIC и ARIN) включают такое требование. Оно также обсуждается в связи с предложениями по политике в трех других сообществах RIR. Центры RIR подчеркивают, что такая политика разрабатывается региональными сообществами на открытой, прозрачной основе по принципу "снизу-вверх". Если Государства – Члены МСЭ считают, что требование, касающееся потребности, является одним из важнейших элементов такой политики, важно, чтобы они внесли свой вклад в проводящиеся сообществом RIR обсуждения и сообщили о своем мнении.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В этом отношении центры RIR полностью поддерживают заключительное положение </w:t>
      </w:r>
      <w:proofErr w:type="gramStart"/>
      <w:r w:rsidRPr="00770A00">
        <w:rPr>
          <w:lang w:val="ru-RU"/>
        </w:rPr>
        <w:t>в</w:t>
      </w:r>
      <w:proofErr w:type="gramEnd"/>
      <w:r w:rsidRPr="00770A00">
        <w:rPr>
          <w:lang w:val="ru-RU"/>
        </w:rPr>
        <w:t xml:space="preserve"> Мнении по поводу участия Государств-Членов "в работе многосторонних учреждений, непосредственно ответственных за разработку технической политики и распределение этих ресурсов", и предлагают всем Государствам – Членам МСЭ принять участие в обсуждениях политики, проводящихся сообществом RIR.</w:t>
      </w:r>
    </w:p>
    <w:p w:rsidR="00F00D12" w:rsidRPr="00770A00" w:rsidRDefault="00F00D12" w:rsidP="00F00D12">
      <w:pPr>
        <w:pStyle w:val="Headingb"/>
        <w:rPr>
          <w:rFonts w:asciiTheme="minorHAnsi" w:hAnsiTheme="minorHAnsi" w:cstheme="minorHAnsi"/>
          <w:color w:val="000000" w:themeColor="text1"/>
          <w:lang w:val="ru-RU"/>
        </w:rPr>
      </w:pPr>
      <w:r w:rsidRPr="00770A00">
        <w:rPr>
          <w:rFonts w:asciiTheme="minorHAnsi" w:hAnsiTheme="minorHAnsi" w:cstheme="minorHAnsi"/>
          <w:color w:val="000000" w:themeColor="text1"/>
          <w:lang w:val="ru-RU"/>
        </w:rPr>
        <w:t xml:space="preserve">Мнение 5: </w:t>
      </w:r>
      <w:r w:rsidRPr="00770A00">
        <w:rPr>
          <w:lang w:val="ru-RU"/>
        </w:rPr>
        <w:t>Поддержка процессов с участием многих заинтересованных сторон в управлении использованием интернета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Центры RIR полностью согласны с призывом поддержать модель управления использованием интернета с участием многих заинтересованных сторон. Мы считаем, что для успешного управления с участием многих заинтересованных сторон важнейшими являются следующие характеристики: 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открытость для всех заинтересованных сторон;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прозрачность процессов принятия решений;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соблюдение конкретных функций и обязанностей всех групп заинтересованных сторон;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 xml:space="preserve">участие всех непосредственно затрагиваемых сторон на основе принципа "снизу-вверх".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Процессы разработки политики RIR сами по себе являются примерами своего рода управления с участием многих заинтересованных сторон, которое явилось решающим фактором впечатляющего роста интернета за последние десятилетия. Эти процессы привели к появлению политики, связанной с IP-адресами, которая динамично реагирует на развитие технологий, отрасли и общества. Они успешно охватили появление IPv6 и соответствующие конкретные требования к политике. Они способствовали расширению системы RIR от трех до пяти учреждений, обеспечивая, чтобы региональные сообщества могли разрабатывать политику, отражающую конкретные региональные проблемы. Они обеспечили, что в двух регионах уже должным образом расходуются неиспользуемые адреса IPv4 (APNIC в апреле 2011 года и RIPE NCC в сентябре 2012 года), и они учитывают интересы и обеспокоенность всех заинтересованных сторон в связи с передачей блоков адресов IPv4 между регионами. Наконец, в то же самое время они обеспечили постоянную поддержку интернету в течение периода его небывалого роста и успеха.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С расширением сферы управления использованием интернета важно, чтобы все заинтересованные стороны использовали модель, предусматривающую участие многих заинтересованных сторон. </w:t>
      </w:r>
      <w:proofErr w:type="gramStart"/>
      <w:r w:rsidRPr="00770A00">
        <w:rPr>
          <w:lang w:val="ru-RU"/>
        </w:rPr>
        <w:t xml:space="preserve">Со времени принятия Тунисской программы мы уже были свидетелями важных шагов по внедрению </w:t>
      </w:r>
      <w:r w:rsidRPr="00770A00">
        <w:rPr>
          <w:lang w:val="ru-RU"/>
        </w:rPr>
        <w:lastRenderedPageBreak/>
        <w:t>управления использованием интернета с участием многих заинтересованных сторон, включая создание глобального Форума по вопросам управления использованием интернета (ФУИ) (сейчас идет подготовка к его 7-му ежегодному мероприятию) и многие региональные и национальные мероприятия по вопросам управления использованием интернета, в которых центры RIR принимают активное участие (Lacnic является одним</w:t>
      </w:r>
      <w:proofErr w:type="gramEnd"/>
      <w:r w:rsidRPr="00770A00">
        <w:rPr>
          <w:lang w:val="ru-RU"/>
        </w:rPr>
        <w:t xml:space="preserve"> из основателей и активным участником LACIGF, RIPE NCC оказывает поддержку ФУИ арабских государств, а AFRINIC оказывает поддержку региональным ФУИ в Африке). Мы также были свидетелями развития многих существующих управляющих структур в целях лучшего учета вкладов и расширения участия всех групп заинтересованных сторон.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МСЭ предпринял шаги по внедрению модели с участием большего числа заинтересованных сторон, в том числе опубликовал в отрытом доступе некоторые документы при подготовке к Всемирной конференции по международной электросвязи (ВКМЭ) 2012 года. Кроме того, различные региональные форумы МСЭ по координации сделали свою работу открытой в целях расширения участия групп с участием многих заинтересованных сторон из числа неправительственных организаций (включая центры RIR). Членам МСЭ следует опираться на эти первоначальные шаги, чтобы прийти к следующему уровню такого развития – МСЭ, охватывающий все многие заинтересованные стороны, будет иметь решающее значение для актуальности и авторитета Союза в будущем. Такой процесс следует дополнять. </w:t>
      </w:r>
    </w:p>
    <w:p w:rsidR="00F00D12" w:rsidRPr="00770A00" w:rsidRDefault="00F00D12" w:rsidP="00F00D12">
      <w:pPr>
        <w:pStyle w:val="Headingb"/>
        <w:rPr>
          <w:rFonts w:asciiTheme="minorHAnsi" w:hAnsiTheme="minorHAnsi" w:cstheme="minorHAnsi"/>
          <w:color w:val="000000" w:themeColor="text1"/>
          <w:lang w:val="ru-RU"/>
        </w:rPr>
      </w:pPr>
      <w:r w:rsidRPr="00770A00">
        <w:rPr>
          <w:rFonts w:asciiTheme="minorHAnsi" w:hAnsiTheme="minorHAnsi" w:cstheme="minorHAnsi"/>
          <w:color w:val="000000" w:themeColor="text1"/>
          <w:lang w:val="ru-RU"/>
        </w:rPr>
        <w:t xml:space="preserve">Мнение 6: </w:t>
      </w:r>
      <w:r w:rsidRPr="00770A00">
        <w:rPr>
          <w:lang w:val="ru-RU"/>
        </w:rPr>
        <w:t>О поддержке активизации процесса расширения сотрудничества</w:t>
      </w:r>
    </w:p>
    <w:p w:rsidR="00F00D12" w:rsidRPr="00770A00" w:rsidRDefault="00F00D12" w:rsidP="00D83238">
      <w:pPr>
        <w:rPr>
          <w:lang w:val="ru-RU"/>
        </w:rPr>
      </w:pPr>
      <w:r w:rsidRPr="00770A00">
        <w:rPr>
          <w:lang w:val="ru-RU"/>
        </w:rPr>
        <w:t xml:space="preserve">Центры RIR одобряют такую поддержку активизации расширения сотрудничества и согласны с тем, что этот процесс имеет решающее значение для развития структур управления использованием интернета, которые могут эффективно решать вопросы государственной политики, возникающие в связи со стремительным ростом и повсеместным распространением интернета. Убежденность в этом находит отражение в участии представителя от центров RIR (Андрес Пьяцца из Lacnic) в Рабочей группе по расширению сотрудничества Комиссии по науке и технике в целях развития (КНТР), и мы с нетерпением ожидаем результатов работы этой Группы.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Центры RIR хотели бы подчеркнуть тот успех, которого добились наши организации в активизации расширения сотрудничества. Участие RIR в Группе МСЭ по IPv6 и в процессе ВФПЭ отражает произошедший за последнее десятилетие сдвиг в сотрудничестве с правительствами и, в особенности, с традиционными межправительственными форумами. 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В общих чертах, каждый RIR разработал целый ряд стратегий, предназначенных для расширения сотрудничества с государственным сектором и другими заинтересованными сторонами. К числу таких стратегий относятся: 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специализированные рабочие группы в сообществах</w:t>
      </w:r>
      <w:r w:rsidR="00162C5A">
        <w:rPr>
          <w:lang w:val="ru-RU"/>
        </w:rPr>
        <w:t>;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собрания круглого стола для правительств и регуляторных органов</w:t>
      </w:r>
      <w:r w:rsidR="00162C5A">
        <w:rPr>
          <w:lang w:val="ru-RU"/>
        </w:rPr>
        <w:t>;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двусторонние консультации с правитель</w:t>
      </w:r>
      <w:r w:rsidR="00162C5A">
        <w:rPr>
          <w:lang w:val="ru-RU"/>
        </w:rPr>
        <w:t>ствами региона;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участие в работе разнообразных международных и региональных межправительственных организаций</w:t>
      </w:r>
      <w:r w:rsidR="00162C5A">
        <w:rPr>
          <w:lang w:val="ru-RU"/>
        </w:rPr>
        <w:t>.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 xml:space="preserve">Результаты, которые вытекают из повышенного уровня участия государственного и частного секторов, приносят большую пользу всем сторонам. В рамках партнерских отношений между правительствами и техническим сообществом интернета (которым во многих случаях содействуют один или более RIR) был начат ряд практических проектов и инициатив, которые приносят непосредственную пользу пользователям интернета, особенно из развивающихся стран. Ниже приводятся некоторые примеры: </w:t>
      </w:r>
    </w:p>
    <w:p w:rsidR="00F00D12" w:rsidRPr="00770A00" w:rsidRDefault="00F00D12" w:rsidP="00D83238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Программы профессиональной подготовки и обучения, в том числе по вопросам, связанным с принятием IPv6 (см. Приложение 1)</w:t>
      </w:r>
      <w:r w:rsidR="00162C5A">
        <w:rPr>
          <w:lang w:val="ru-RU"/>
        </w:rPr>
        <w:t>.</w:t>
      </w:r>
    </w:p>
    <w:p w:rsidR="00F00D12" w:rsidRPr="00770A00" w:rsidRDefault="00F00D12" w:rsidP="00162C5A">
      <w:pPr>
        <w:pStyle w:val="enumlev1"/>
        <w:rPr>
          <w:lang w:val="ru-RU"/>
        </w:rPr>
      </w:pPr>
      <w:r w:rsidRPr="00770A00">
        <w:rPr>
          <w:lang w:val="ru-RU"/>
        </w:rPr>
        <w:lastRenderedPageBreak/>
        <w:t>•</w:t>
      </w:r>
      <w:r w:rsidRPr="00770A00">
        <w:rPr>
          <w:lang w:val="ru-RU"/>
        </w:rPr>
        <w:tab/>
        <w:t>Совместные инициативы по содействию созданию и по разработке инфраструктуры, включая пункты IXP и экземпляры корневых серверов имен</w:t>
      </w:r>
      <w:r w:rsidR="00162C5A">
        <w:rPr>
          <w:lang w:val="ru-RU"/>
        </w:rPr>
        <w:t>.</w:t>
      </w:r>
    </w:p>
    <w:p w:rsidR="00F00D12" w:rsidRPr="00770A00" w:rsidRDefault="00F00D12" w:rsidP="00F00D1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  <w:t>Вклад технического сообщества интернета в разнообразную общественную деятельность по разработке политики, как непосредственный, так и с помощью информирования лиц, ответственных за разработку политики</w:t>
      </w:r>
      <w:r w:rsidR="00162C5A">
        <w:rPr>
          <w:lang w:val="ru-RU"/>
        </w:rPr>
        <w:t>.</w:t>
      </w:r>
    </w:p>
    <w:p w:rsidR="00F00D12" w:rsidRPr="00770A00" w:rsidRDefault="00F00D12" w:rsidP="00F00D12">
      <w:pPr>
        <w:rPr>
          <w:lang w:val="ru-RU"/>
        </w:rPr>
      </w:pPr>
      <w:r w:rsidRPr="00770A00">
        <w:rPr>
          <w:lang w:val="ru-RU"/>
        </w:rPr>
        <w:t>Это Мнение завершается признанием необходимости того, чтобы над данным вопросом работали все заинтересованные стороны. Центры RIR полностью согласны с тем, что для реализации полного потенциала расширенного сотрудничества потребуются участие, решимость, энергия и инновации всех</w:t>
      </w:r>
      <w:r w:rsidR="00AD5313" w:rsidRPr="00770A00">
        <w:rPr>
          <w:lang w:val="ru-RU"/>
        </w:rPr>
        <w:t xml:space="preserve"> групп заинтересованных сторон.</w:t>
      </w:r>
    </w:p>
    <w:p w:rsidR="00F00D12" w:rsidRPr="00770A00" w:rsidRDefault="00F00D12" w:rsidP="00F00D12">
      <w:pPr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770A00">
        <w:rPr>
          <w:rFonts w:asciiTheme="minorHAnsi" w:hAnsiTheme="minorHAnsi" w:cstheme="minorHAnsi"/>
          <w:sz w:val="24"/>
          <w:szCs w:val="24"/>
          <w:lang w:val="ru-RU"/>
        </w:rPr>
        <w:br w:type="page"/>
      </w:r>
    </w:p>
    <w:p w:rsidR="00F00D12" w:rsidRPr="00770A00" w:rsidRDefault="00F00D12" w:rsidP="00AD5313">
      <w:pPr>
        <w:pStyle w:val="AnnexNo"/>
        <w:rPr>
          <w:b/>
          <w:lang w:val="ru-RU"/>
        </w:rPr>
      </w:pPr>
      <w:r w:rsidRPr="00770A00">
        <w:rPr>
          <w:lang w:val="ru-RU"/>
        </w:rPr>
        <w:lastRenderedPageBreak/>
        <w:t>приложение 1</w:t>
      </w:r>
    </w:p>
    <w:p w:rsidR="00F00D12" w:rsidRPr="00770A00" w:rsidRDefault="00F00D12" w:rsidP="00AD5313">
      <w:pPr>
        <w:pStyle w:val="Annextitle"/>
        <w:rPr>
          <w:lang w:val="ru-RU"/>
        </w:rPr>
      </w:pPr>
      <w:r w:rsidRPr="00770A00">
        <w:rPr>
          <w:lang w:val="ru-RU"/>
        </w:rPr>
        <w:t xml:space="preserve">Создание потенциала в области IPv6 </w:t>
      </w:r>
    </w:p>
    <w:p w:rsidR="00F00D12" w:rsidRPr="00770A00" w:rsidRDefault="00F00D12" w:rsidP="009F28E2">
      <w:pPr>
        <w:pStyle w:val="Normalaftertitle"/>
        <w:rPr>
          <w:lang w:val="ru-RU"/>
        </w:rPr>
      </w:pPr>
      <w:r w:rsidRPr="00770A00">
        <w:rPr>
          <w:lang w:val="ru-RU"/>
        </w:rPr>
        <w:t xml:space="preserve">В настоящем Приложении подробно описаны усилия, предпринимаемые пятью региональными регистрационными центрами интернета для обеспечения того, чтобы принятие IPv6 осуществлялось на справедливой и равноправной основе и обеспечивало приемлемый по цене доступ к адресам IPv6 и специальным знаниям в этой области, особенно в развивающихся странах. </w:t>
      </w:r>
    </w:p>
    <w:p w:rsidR="00F00D12" w:rsidRPr="00770A00" w:rsidRDefault="00F00D12" w:rsidP="009F28E2">
      <w:pPr>
        <w:pStyle w:val="Headingb"/>
        <w:rPr>
          <w:lang w:val="ru-RU"/>
        </w:rPr>
      </w:pPr>
      <w:r w:rsidRPr="00770A00">
        <w:rPr>
          <w:lang w:val="ru-RU"/>
        </w:rPr>
        <w:t xml:space="preserve">Онлайновые ресурсы </w:t>
      </w:r>
    </w:p>
    <w:p w:rsidR="00F00D12" w:rsidRPr="00770A00" w:rsidRDefault="00F00D12" w:rsidP="009F28E2">
      <w:pPr>
        <w:rPr>
          <w:lang w:val="ru-RU"/>
        </w:rPr>
      </w:pPr>
      <w:r w:rsidRPr="00770A00">
        <w:rPr>
          <w:lang w:val="ru-RU"/>
        </w:rPr>
        <w:t xml:space="preserve">Все пять центров RIR управляют веб-сайтами, специально </w:t>
      </w:r>
      <w:proofErr w:type="gramStart"/>
      <w:r w:rsidRPr="00770A00">
        <w:rPr>
          <w:lang w:val="ru-RU"/>
        </w:rPr>
        <w:t>выделенными</w:t>
      </w:r>
      <w:proofErr w:type="gramEnd"/>
      <w:r w:rsidRPr="00770A00">
        <w:rPr>
          <w:lang w:val="ru-RU"/>
        </w:rPr>
        <w:t xml:space="preserve"> для предоставления информации о принятии IPv6 и обмена такой информацией. Эти веб-сайты обеспечивают платформы для заинтересованных сторон, включая поставщиков услуг, поставщиков контента, корпоративных пользователей, правительства и другие стороны, для обмена опытом, представления вопросов, изучения передового опыта и размещения конкретной информации, касающейся развертывания IPv6.</w:t>
      </w:r>
    </w:p>
    <w:p w:rsidR="00F00D12" w:rsidRPr="00770A00" w:rsidRDefault="00F00D12" w:rsidP="009F28E2">
      <w:pPr>
        <w:rPr>
          <w:lang w:val="ru-RU"/>
        </w:rPr>
      </w:pPr>
      <w:r w:rsidRPr="00770A00">
        <w:rPr>
          <w:lang w:val="ru-RU"/>
        </w:rPr>
        <w:t xml:space="preserve">Управляемые RIR веб-сайты включают: 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Программа AFRINIC в области IPv6: </w:t>
      </w:r>
      <w:hyperlink r:id="rId15" w:history="1">
        <w:r w:rsidR="00F00D12" w:rsidRPr="00770A00">
          <w:rPr>
            <w:rStyle w:val="Hyperlink"/>
            <w:rFonts w:asciiTheme="minorHAnsi" w:hAnsiTheme="minorHAnsi" w:cstheme="minorHAnsi"/>
            <w:szCs w:val="22"/>
            <w:lang w:val="ru-RU"/>
          </w:rPr>
          <w:t>http://www.afrinic.net/en/services/ipv6-programme</w:t>
        </w:r>
      </w:hyperlink>
      <w:r w:rsidR="00162C5A" w:rsidRPr="00770A00">
        <w:rPr>
          <w:lang w:val="ru-RU"/>
        </w:rPr>
        <w:t>.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IPv6@APNIC: </w:t>
      </w:r>
      <w:hyperlink r:id="rId16" w:history="1">
        <w:r w:rsidR="00F00D12" w:rsidRPr="00770A00">
          <w:rPr>
            <w:rStyle w:val="Hyperlink"/>
            <w:rFonts w:asciiTheme="minorHAnsi" w:hAnsiTheme="minorHAnsi" w:cstheme="minorHAnsi"/>
            <w:szCs w:val="22"/>
            <w:lang w:val="ru-RU"/>
          </w:rPr>
          <w:t>www.apnic.net/community/ipv6-program</w:t>
        </w:r>
      </w:hyperlink>
      <w:r w:rsidR="00162C5A" w:rsidRPr="00770A00">
        <w:rPr>
          <w:lang w:val="ru-RU"/>
        </w:rPr>
        <w:t>.</w:t>
      </w:r>
    </w:p>
    <w:p w:rsidR="00F00D12" w:rsidRPr="00162C5A" w:rsidRDefault="009F28E2" w:rsidP="009F28E2">
      <w:pPr>
        <w:pStyle w:val="enumlev1"/>
        <w:rPr>
          <w:lang w:val="en-US"/>
        </w:rPr>
      </w:pPr>
      <w:r w:rsidRPr="00770A00">
        <w:rPr>
          <w:lang w:val="ru-RU"/>
        </w:rPr>
        <w:tab/>
      </w:r>
      <w:r w:rsidR="00F00D12" w:rsidRPr="00162C5A">
        <w:rPr>
          <w:lang w:val="en-US"/>
        </w:rPr>
        <w:t xml:space="preserve">ARIN IPv6 Wiki: </w:t>
      </w:r>
      <w:hyperlink r:id="rId17" w:history="1">
        <w:r w:rsidR="00F00D12" w:rsidRPr="00162C5A">
          <w:rPr>
            <w:rStyle w:val="Hyperlink"/>
            <w:rFonts w:asciiTheme="minorHAnsi" w:hAnsiTheme="minorHAnsi" w:cstheme="minorHAnsi"/>
            <w:szCs w:val="22"/>
            <w:lang w:val="en-US"/>
          </w:rPr>
          <w:t>www.getipv6.info</w:t>
        </w:r>
      </w:hyperlink>
      <w:r w:rsidR="00162C5A" w:rsidRPr="00162C5A">
        <w:rPr>
          <w:lang w:val="en-US"/>
        </w:rPr>
        <w:t>.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162C5A">
        <w:rPr>
          <w:lang w:val="en-US"/>
        </w:rPr>
        <w:tab/>
      </w:r>
      <w:r w:rsidR="00F00D12" w:rsidRPr="00770A00">
        <w:rPr>
          <w:lang w:val="ru-RU"/>
        </w:rPr>
        <w:t xml:space="preserve">Портал по переходу к IPv6 для Латинской Америки и Карибского бассейна: </w:t>
      </w:r>
      <w:hyperlink r:id="rId18" w:history="1">
        <w:r w:rsidR="00F00D12" w:rsidRPr="00770A00">
          <w:rPr>
            <w:rStyle w:val="Hyperlink"/>
            <w:rFonts w:asciiTheme="minorHAnsi" w:hAnsiTheme="minorHAnsi" w:cstheme="minorHAnsi"/>
            <w:szCs w:val="22"/>
            <w:lang w:val="ru-RU"/>
          </w:rPr>
          <w:t>http://portalipv6.lacnic.net/en/</w:t>
        </w:r>
      </w:hyperlink>
      <w:r w:rsidR="00162C5A" w:rsidRPr="00770A00">
        <w:rPr>
          <w:lang w:val="ru-RU"/>
        </w:rPr>
        <w:t>.</w:t>
      </w:r>
    </w:p>
    <w:p w:rsidR="00F00D12" w:rsidRPr="00162C5A" w:rsidRDefault="009F28E2" w:rsidP="00162C5A">
      <w:pPr>
        <w:pStyle w:val="enumlev1"/>
        <w:rPr>
          <w:lang w:val="en-US"/>
        </w:rPr>
      </w:pPr>
      <w:r w:rsidRPr="00770A00">
        <w:rPr>
          <w:lang w:val="ru-RU"/>
        </w:rPr>
        <w:tab/>
      </w:r>
      <w:r w:rsidR="00F00D12" w:rsidRPr="00162C5A">
        <w:rPr>
          <w:lang w:val="en-US"/>
        </w:rPr>
        <w:t xml:space="preserve">IPv6 Act Now: </w:t>
      </w:r>
      <w:hyperlink r:id="rId19" w:history="1">
        <w:r w:rsidR="00F00D12" w:rsidRPr="00162C5A">
          <w:rPr>
            <w:rStyle w:val="Hyperlink"/>
            <w:rFonts w:asciiTheme="minorHAnsi" w:hAnsiTheme="minorHAnsi" w:cstheme="minorHAnsi"/>
            <w:szCs w:val="22"/>
            <w:lang w:val="en-US"/>
          </w:rPr>
          <w:t>www.ipv6actnow.org</w:t>
        </w:r>
      </w:hyperlink>
      <w:r w:rsidR="00F00D12" w:rsidRPr="00162C5A">
        <w:rPr>
          <w:lang w:val="en-US"/>
        </w:rPr>
        <w:t xml:space="preserve"> [</w:t>
      </w:r>
      <w:r w:rsidR="00B508A6" w:rsidRPr="00770A00">
        <w:rPr>
          <w:lang w:val="ru-RU"/>
        </w:rPr>
        <w:t>управляется</w:t>
      </w:r>
      <w:r w:rsidR="00B508A6" w:rsidRPr="00162C5A">
        <w:rPr>
          <w:lang w:val="en-US"/>
        </w:rPr>
        <w:t xml:space="preserve"> </w:t>
      </w:r>
      <w:r w:rsidR="00F00D12" w:rsidRPr="00162C5A">
        <w:rPr>
          <w:lang w:val="en-US"/>
        </w:rPr>
        <w:t>RIPE NCC]</w:t>
      </w:r>
      <w:r w:rsidR="00162C5A" w:rsidRPr="00162C5A">
        <w:rPr>
          <w:lang w:val="en-US"/>
        </w:rPr>
        <w:t>.</w:t>
      </w:r>
    </w:p>
    <w:p w:rsidR="00F00D12" w:rsidRPr="00770A00" w:rsidRDefault="00F00D12" w:rsidP="009F28E2">
      <w:pPr>
        <w:pStyle w:val="Headingb"/>
        <w:rPr>
          <w:lang w:val="ru-RU"/>
        </w:rPr>
      </w:pPr>
      <w:r w:rsidRPr="00770A00">
        <w:rPr>
          <w:lang w:val="ru-RU"/>
        </w:rPr>
        <w:t>Программы профессиональной подготовки и обучения</w:t>
      </w:r>
    </w:p>
    <w:p w:rsidR="00F00D12" w:rsidRPr="00770A00" w:rsidRDefault="00F00D12" w:rsidP="009F28E2">
      <w:pPr>
        <w:rPr>
          <w:lang w:val="ru-RU"/>
        </w:rPr>
      </w:pPr>
      <w:r w:rsidRPr="00770A00">
        <w:rPr>
          <w:lang w:val="ru-RU"/>
        </w:rPr>
        <w:t xml:space="preserve">Центры RIR работают в своих соответствующих регионах в целях создания человеческого потенциала в области IPv6 с помощью профессиональной подготовки, образования и разъяснительной работы. Многие из этих видов </w:t>
      </w:r>
      <w:bookmarkStart w:id="0" w:name="_GoBack"/>
      <w:bookmarkEnd w:id="0"/>
      <w:r w:rsidRPr="00770A00">
        <w:rPr>
          <w:lang w:val="ru-RU"/>
        </w:rPr>
        <w:t xml:space="preserve">деятельности осуществляются в тесном сотрудничестве с другими заинтересованными сторонами, включая правительства, регуляторные органы, предприятия, группы общественности и органы правопорядка. </w:t>
      </w:r>
    </w:p>
    <w:p w:rsidR="00F00D12" w:rsidRPr="00770A00" w:rsidRDefault="00F00D12" w:rsidP="009F28E2">
      <w:pPr>
        <w:rPr>
          <w:lang w:val="ru-RU"/>
        </w:rPr>
      </w:pPr>
      <w:r w:rsidRPr="00770A00">
        <w:rPr>
          <w:lang w:val="ru-RU"/>
        </w:rPr>
        <w:t xml:space="preserve">Эти виды деятельности включают в себя следующее: 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RIPE NCC и APNIC, работая совместно с Ближневосточной группой сетевых операторов (MENOG), разработали пятидневный курс технической подготовки, который предназначен для сетевых инженеров, нанятых правительствами и предприятиями, и в </w:t>
      </w:r>
      <w:proofErr w:type="gramStart"/>
      <w:r w:rsidR="00F00D12" w:rsidRPr="00770A00">
        <w:rPr>
          <w:lang w:val="ru-RU"/>
        </w:rPr>
        <w:t>ходе</w:t>
      </w:r>
      <w:proofErr w:type="gramEnd"/>
      <w:r w:rsidR="00F00D12" w:rsidRPr="00770A00">
        <w:rPr>
          <w:lang w:val="ru-RU"/>
        </w:rPr>
        <w:t xml:space="preserve"> которого они обучаются тому, как конфигурировать существующие сети, чтобы они обеспечивали работу IPv6. На Ближнем Востоке и в Азии было проведено более 20 курсов, и планируется ра</w:t>
      </w:r>
      <w:r w:rsidR="00D83238">
        <w:rPr>
          <w:lang w:val="ru-RU"/>
        </w:rPr>
        <w:t>спространить их на регион СНГ.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AFRINIC разработал новейший курс профессиональной подготовки в области IPv6 для инфраструктурных инженеров и лиц, ответственных за принятие решений, который </w:t>
      </w:r>
      <w:proofErr w:type="gramStart"/>
      <w:r w:rsidR="00F00D12" w:rsidRPr="00770A00">
        <w:rPr>
          <w:lang w:val="ru-RU"/>
        </w:rPr>
        <w:t>проводится в Африке начиная</w:t>
      </w:r>
      <w:proofErr w:type="gramEnd"/>
      <w:r w:rsidR="00F00D12" w:rsidRPr="00770A00">
        <w:rPr>
          <w:lang w:val="ru-RU"/>
        </w:rPr>
        <w:t xml:space="preserve"> с 2009 года. Кроме того, в партнерстве с компанией 6Deploy AFRINIC разработал специальный курс для поставщиков IP-услуг (под названием "IPv6 для системных администраторов"), по завершении которого участникам вручают специальный сертификат IPv6Forum. Выдавая сертификаты участникам этих курсов, AFRINIC обеспечивает доверие к инженерам, необходимое для того, чтобы заинтересовать своих руководителей вопросами, связанными с развертыванием IPv6. </w:t>
      </w:r>
    </w:p>
    <w:p w:rsidR="00F00D12" w:rsidRPr="00770A00" w:rsidRDefault="009F28E2" w:rsidP="00770A00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Через партнерство с Организацией по электросвязи Содружества (ОЭС) и Африканским союзом электросвязи (АСЭ) AFRINIC предоставил свои ресурсы IP-номеров для курса, </w:t>
      </w:r>
      <w:r w:rsidR="00F00D12" w:rsidRPr="00770A00">
        <w:rPr>
          <w:lang w:val="ru-RU"/>
        </w:rPr>
        <w:lastRenderedPageBreak/>
        <w:t xml:space="preserve">который рассчитан на лиц, ответственных за разработку политики, и который проводится вплотную с различными форумами для регуляторных органов. Несколько из этих сессий получили очень высокую оценку, например последняя из них, которая состоялась на Маврикии в ходе Форума ОЭС и в рамках проходившего в Каире Африканского регионального собрания ИК3 МСЭ-Т. 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>APNIC работает совместно с Центром профессионального мастерства (ЦПМ) МСЭ-</w:t>
      </w:r>
      <w:proofErr w:type="gramStart"/>
      <w:r w:rsidR="00F00D12" w:rsidRPr="00770A00">
        <w:rPr>
          <w:lang w:val="ru-RU"/>
        </w:rPr>
        <w:t>D</w:t>
      </w:r>
      <w:proofErr w:type="gramEnd"/>
      <w:r w:rsidR="00F00D12" w:rsidRPr="00770A00">
        <w:rPr>
          <w:lang w:val="ru-RU"/>
        </w:rPr>
        <w:t xml:space="preserve"> в Бангкоке, проводя деятельность по профессиональной подготовке в области IPv6 для лиц, ответственных за разработку политики, и для других лиц в Азиатско-Тихоокеанском регионе. </w:t>
      </w:r>
    </w:p>
    <w:p w:rsidR="00F00D12" w:rsidRPr="00770A00" w:rsidRDefault="009F28E2" w:rsidP="009F28E2">
      <w:pPr>
        <w:pStyle w:val="enumlev1"/>
        <w:rPr>
          <w:lang w:val="ru-RU"/>
        </w:rPr>
      </w:pPr>
      <w:proofErr w:type="gramStart"/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Lacnic провел несколько программ профессиональной подготовки для более 7 тыс. инженеров в своем регионе обслуживания, работая в партнерстве с различными заинтересованными сторонами, включая Группу сетевых операторов Латинской Америки и Карибского бассейна (LACNOG), программу 6DEPLOY Европейского союза, регуляторные органы электросвязи и другие государственные учреждения, а также межправительственные организации, такие как Межамериканская комиссия по электросвязи (СИТЕЛ). </w:t>
      </w:r>
      <w:proofErr w:type="gramEnd"/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ARIN проводит в своем регионе обширную разъяснительную работу по необходимости развертывания IPV6. ARIN предлагает "выездные" образовательные программы, участвует в выставках в ходе коммерческих, промышленных, академических и технических форумов, а также предоставляет образовательные материалы для сообществ, чтобы они могли взять их и использовать в собственных образовательных инициативах. Участие в региональных форумах, таких как CaribNOG (Карибский форум сетевых операторов) и Канадский саммит ПУИ, предоставляет возможности для охвата различной аудитории. 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RIPE NCC работает вместе с национальными и транснациональными органами правопорядка, чтобы добиться лучшего понимания технических вопросов и вопросов политики в области IPv6, в той мере, в которой они относятся к правоохранительной деятельности. 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Центры RIR активно способствовали проведению скоординированных глобальных мероприятий, таких как Международный день IPv6 (2011 г.) и Всемирная презентация IPv6 (2012 г.), повышая уровень информированности о необходимости принятия IPv6 сетевыми операторами. </w:t>
      </w:r>
    </w:p>
    <w:p w:rsidR="00F00D12" w:rsidRPr="00770A00" w:rsidRDefault="009F28E2" w:rsidP="00D83238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Все центры RIR принимали участие в различных региональных и национальных целевых группах и конференциях по IPv6, работая вместе с правительствами и другими заинтересованными сторонами над решением таких вопросов, как национальная политика в области IPv6, программы профессиональной подготовки и координация в отрасли. </w:t>
      </w:r>
    </w:p>
    <w:p w:rsidR="00F00D12" w:rsidRPr="00770A00" w:rsidRDefault="009F28E2" w:rsidP="00162C5A">
      <w:pPr>
        <w:pStyle w:val="enumlev1"/>
        <w:rPr>
          <w:lang w:val="ru-RU"/>
        </w:rPr>
      </w:pPr>
      <w:proofErr w:type="gramStart"/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>Годовое Глобальное контрольное обследование развертывания IPv6, которое</w:t>
      </w:r>
      <w:r w:rsidR="00162C5A">
        <w:rPr>
          <w:lang w:val="ru-RU"/>
        </w:rPr>
        <w:t xml:space="preserve"> начиная с 2010 </w:t>
      </w:r>
      <w:r w:rsidR="00F00D12" w:rsidRPr="00770A00">
        <w:rPr>
          <w:lang w:val="ru-RU"/>
        </w:rPr>
        <w:t>года проводится каждый год от имени пяти RIR, наряду с программами по проведению измерений различными RIR, дают лицам, ответственным за разработку политики, и сообществу интернета в целом представление о прогрессе в развертывании IPv6 и использовались для определения препятствий, которые могут существовать на национальном, ре</w:t>
      </w:r>
      <w:r w:rsidRPr="00770A00">
        <w:rPr>
          <w:lang w:val="ru-RU"/>
        </w:rPr>
        <w:t>гиональном или мировом уровнях.</w:t>
      </w:r>
      <w:proofErr w:type="gramEnd"/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>Представители от центров RIR участвуют в проведении двухгодичного глобального исследования Европейской комиссии (ЕК) под названием "Обсерватория IPv6" (</w:t>
      </w:r>
      <w:hyperlink r:id="rId20" w:history="1">
        <w:r w:rsidR="00F00D12" w:rsidRPr="00770A00">
          <w:rPr>
            <w:rStyle w:val="Hyperlink"/>
            <w:lang w:val="ru-RU"/>
          </w:rPr>
          <w:t>http://www.ipv6observatory.eu/</w:t>
        </w:r>
      </w:hyperlink>
      <w:r w:rsidR="00F00D12" w:rsidRPr="00770A00">
        <w:rPr>
          <w:lang w:val="ru-RU"/>
        </w:rPr>
        <w:t>). Это исследование направлено на мониторинг прогресса в развертывании IPv6 в мире, а также на анализ тенденций, определение еще не заполненных пробелов и обсуждение возможных угроз, которые возникают в связи с развертыванием IPv6.</w:t>
      </w:r>
    </w:p>
    <w:p w:rsidR="00F00D12" w:rsidRPr="00770A00" w:rsidRDefault="009F28E2" w:rsidP="00D83238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 xml:space="preserve">Центры RIR поддерживают партнерские отношения с сотрудниками IANA при проведении сессий с участием многих заинтересованных сторон во время собраний ICANN, на которых подробно рассматриваются вопросы развертывания IPv6 в том регионе RIR, где проводится такое собрание. Эти проводимые на высоком уровне сессии предназначены для обсуждения </w:t>
      </w:r>
      <w:r w:rsidR="00F00D12" w:rsidRPr="00770A00">
        <w:rPr>
          <w:lang w:val="ru-RU"/>
        </w:rPr>
        <w:lastRenderedPageBreak/>
        <w:t xml:space="preserve">проблем, с которыми сталкиваются правительства, регистрационные органы и операторы, и они предоставляют возможность обмениваться опытом и передовой практикой. Отклики на проведенные шесть сессий были в подавляющем числе случаев положительными, и это способствовало тому, что такие сессии распространились и на другие форумы с участием многих заинтересованных сторон. </w:t>
      </w:r>
    </w:p>
    <w:p w:rsidR="00F00D12" w:rsidRPr="00770A00" w:rsidRDefault="009F28E2" w:rsidP="009F28E2">
      <w:pPr>
        <w:pStyle w:val="enumlev1"/>
        <w:rPr>
          <w:lang w:val="ru-RU"/>
        </w:rPr>
      </w:pPr>
      <w:r w:rsidRPr="00770A00">
        <w:rPr>
          <w:lang w:val="ru-RU"/>
        </w:rPr>
        <w:t>•</w:t>
      </w:r>
      <w:r w:rsidRPr="00770A00">
        <w:rPr>
          <w:lang w:val="ru-RU"/>
        </w:rPr>
        <w:tab/>
      </w:r>
      <w:r w:rsidR="00F00D12" w:rsidRPr="00770A00">
        <w:rPr>
          <w:lang w:val="ru-RU"/>
        </w:rPr>
        <w:t>После завершения работы Группы МСЭ по IPv6, центры RIR заявили о готовности продолжить работу с Секторами МСЭ-Т и МСЭ-</w:t>
      </w:r>
      <w:proofErr w:type="gramStart"/>
      <w:r w:rsidR="00F00D12" w:rsidRPr="00770A00">
        <w:rPr>
          <w:lang w:val="ru-RU"/>
        </w:rPr>
        <w:t>D</w:t>
      </w:r>
      <w:proofErr w:type="gramEnd"/>
      <w:r w:rsidR="00F00D12" w:rsidRPr="00770A00">
        <w:rPr>
          <w:lang w:val="ru-RU"/>
        </w:rPr>
        <w:t xml:space="preserve"> и проводят переговоры с Директорами в целях выполнения совместных инициатив по созданию потенциала во всех регионах. </w:t>
      </w:r>
    </w:p>
    <w:p w:rsidR="00F00D12" w:rsidRPr="00770A00" w:rsidRDefault="00F00D12" w:rsidP="009F28E2">
      <w:pPr>
        <w:pStyle w:val="Headingb"/>
        <w:rPr>
          <w:lang w:val="ru-RU"/>
        </w:rPr>
      </w:pPr>
      <w:r w:rsidRPr="00770A00">
        <w:rPr>
          <w:lang w:val="ru-RU"/>
        </w:rPr>
        <w:t xml:space="preserve">Дополнительная информация </w:t>
      </w:r>
    </w:p>
    <w:p w:rsidR="00F00D12" w:rsidRPr="00770A00" w:rsidRDefault="00F00D12" w:rsidP="00D83238">
      <w:pPr>
        <w:rPr>
          <w:lang w:val="ru-RU"/>
        </w:rPr>
      </w:pPr>
      <w:r w:rsidRPr="00770A00">
        <w:rPr>
          <w:lang w:val="ru-RU"/>
        </w:rPr>
        <w:t xml:space="preserve">Существует целый ряд документов, подготовленных центрами RIR по отдельности или совместно, в которых предоставляется более подробная информация по конкретным проектам, инициативам и видам деятельности, касающимся создания потенциала и деятельности с участием многих заинтересованных сторон в области IPv6. </w:t>
      </w:r>
    </w:p>
    <w:p w:rsidR="00F00D12" w:rsidRPr="00770A00" w:rsidRDefault="00F00D12" w:rsidP="009F28E2">
      <w:pPr>
        <w:pStyle w:val="Headingb"/>
        <w:rPr>
          <w:lang w:val="ru-RU"/>
        </w:rPr>
      </w:pPr>
      <w:r w:rsidRPr="00770A00">
        <w:rPr>
          <w:lang w:val="ru-RU"/>
        </w:rPr>
        <w:t xml:space="preserve">Продолжение сотрудничества: Организация по ресурсам нумерации (NRO) и управление использованием интернета </w:t>
      </w:r>
    </w:p>
    <w:p w:rsidR="00F00D12" w:rsidRPr="00770A00" w:rsidRDefault="00F00D12" w:rsidP="009F28E2">
      <w:pPr>
        <w:rPr>
          <w:lang w:val="ru-RU"/>
        </w:rPr>
      </w:pPr>
      <w:r w:rsidRPr="00770A00">
        <w:rPr>
          <w:lang w:val="ru-RU"/>
        </w:rPr>
        <w:t xml:space="preserve">Пять центров RIR готовят обновляемый на регулярной основе документ, в котором подробно излагается их совместная и индивидуальная деятельность, при этом особое внимание уделяется участию многих заинтересованных сторон и деятельности по расширению сотрудничества: </w:t>
      </w:r>
    </w:p>
    <w:p w:rsidR="00F00D12" w:rsidRPr="00770A00" w:rsidRDefault="00B508A6" w:rsidP="009F28E2">
      <w:pPr>
        <w:rPr>
          <w:rFonts w:asciiTheme="minorHAnsi" w:hAnsiTheme="minorHAnsi" w:cstheme="minorHAnsi"/>
          <w:szCs w:val="22"/>
          <w:lang w:val="ru-RU"/>
        </w:rPr>
      </w:pPr>
      <w:hyperlink r:id="rId21" w:history="1">
        <w:r w:rsidR="00F00D12" w:rsidRPr="00770A00">
          <w:rPr>
            <w:rStyle w:val="Hyperlink"/>
            <w:rFonts w:asciiTheme="minorHAnsi" w:hAnsiTheme="minorHAnsi" w:cstheme="minorHAnsi"/>
            <w:szCs w:val="22"/>
            <w:lang w:val="ru-RU"/>
          </w:rPr>
          <w:t>www.nro.net/wp-content/uploads/nro-continuing-cooperation-brochure.pdf</w:t>
        </w:r>
      </w:hyperlink>
      <w:r w:rsidR="00770A00" w:rsidRPr="00770A00">
        <w:rPr>
          <w:rStyle w:val="Hyperlink"/>
          <w:rFonts w:asciiTheme="minorHAnsi" w:hAnsiTheme="minorHAnsi" w:cstheme="minorHAnsi"/>
          <w:color w:val="auto"/>
          <w:szCs w:val="22"/>
          <w:u w:val="none"/>
          <w:lang w:val="ru-RU"/>
        </w:rPr>
        <w:t>.</w:t>
      </w:r>
    </w:p>
    <w:p w:rsidR="00F00D12" w:rsidRPr="00770A00" w:rsidRDefault="00F00D12" w:rsidP="009F28E2">
      <w:pPr>
        <w:pStyle w:val="Headingb"/>
        <w:rPr>
          <w:lang w:val="ru-RU"/>
        </w:rPr>
      </w:pPr>
      <w:r w:rsidRPr="00770A00">
        <w:rPr>
          <w:lang w:val="ru-RU"/>
        </w:rPr>
        <w:t xml:space="preserve">Деятельность RIPE NCC по созданию потенциала в области IPv6 </w:t>
      </w:r>
    </w:p>
    <w:p w:rsidR="00F00D12" w:rsidRPr="00770A00" w:rsidRDefault="00F00D12" w:rsidP="009F28E2">
      <w:pPr>
        <w:rPr>
          <w:lang w:val="ru-RU"/>
        </w:rPr>
      </w:pPr>
      <w:r w:rsidRPr="00770A00">
        <w:rPr>
          <w:lang w:val="ru-RU"/>
        </w:rPr>
        <w:t xml:space="preserve">В этом документе RIPE (ripe-557) подробно излагается деятельность по созданию потенциала, которую осуществляет RIPE NCC в своем регионе обслуживания: </w:t>
      </w:r>
    </w:p>
    <w:p w:rsidR="00F00D12" w:rsidRPr="00770A00" w:rsidRDefault="00B508A6" w:rsidP="00770A00">
      <w:pPr>
        <w:rPr>
          <w:szCs w:val="22"/>
          <w:lang w:val="ru-RU"/>
        </w:rPr>
      </w:pPr>
      <w:hyperlink r:id="rId22" w:history="1">
        <w:r w:rsidR="00F00D12" w:rsidRPr="00770A00">
          <w:rPr>
            <w:rStyle w:val="Hyperlink"/>
            <w:rFonts w:asciiTheme="minorHAnsi" w:hAnsiTheme="minorHAnsi" w:cstheme="minorHAnsi"/>
            <w:szCs w:val="22"/>
            <w:lang w:val="ru-RU"/>
          </w:rPr>
          <w:t>www.ripe.net/ripe/docs/ripe-557</w:t>
        </w:r>
      </w:hyperlink>
      <w:r w:rsidR="00770A00" w:rsidRPr="00770A00">
        <w:rPr>
          <w:rStyle w:val="Hyperlink"/>
          <w:rFonts w:asciiTheme="minorHAnsi" w:hAnsiTheme="minorHAnsi" w:cstheme="minorHAnsi"/>
          <w:color w:val="auto"/>
          <w:szCs w:val="22"/>
          <w:u w:val="none"/>
          <w:lang w:val="ru-RU"/>
        </w:rPr>
        <w:t>.</w:t>
      </w:r>
    </w:p>
    <w:p w:rsidR="00F00D12" w:rsidRPr="00770A00" w:rsidRDefault="00F00D12" w:rsidP="009F28E2">
      <w:pPr>
        <w:pStyle w:val="Headingb"/>
        <w:rPr>
          <w:lang w:val="ru-RU"/>
        </w:rPr>
      </w:pPr>
      <w:r w:rsidRPr="00770A00">
        <w:rPr>
          <w:lang w:val="ru-RU"/>
        </w:rPr>
        <w:t xml:space="preserve">Сравнительный обзор политики RIR </w:t>
      </w:r>
    </w:p>
    <w:p w:rsidR="00F00D12" w:rsidRPr="00770A00" w:rsidRDefault="00F00D12" w:rsidP="009F28E2">
      <w:pPr>
        <w:rPr>
          <w:lang w:val="ru-RU"/>
        </w:rPr>
      </w:pPr>
      <w:r w:rsidRPr="00770A00">
        <w:rPr>
          <w:lang w:val="ru-RU"/>
        </w:rPr>
        <w:t xml:space="preserve">Центры RIR готовят обновляемый ежеквартально документ, в котором подробно излагается политика RIR в сравнении по регионам, с разделением по тематическим разделам: </w:t>
      </w:r>
    </w:p>
    <w:p w:rsidR="00F00D12" w:rsidRPr="00770A00" w:rsidRDefault="00B508A6" w:rsidP="009F28E2">
      <w:pPr>
        <w:rPr>
          <w:szCs w:val="22"/>
          <w:lang w:val="ru-RU"/>
        </w:rPr>
      </w:pPr>
      <w:hyperlink r:id="rId23" w:history="1">
        <w:r w:rsidR="00F00D12" w:rsidRPr="00770A00">
          <w:rPr>
            <w:rStyle w:val="Hyperlink"/>
            <w:rFonts w:asciiTheme="minorHAnsi" w:hAnsiTheme="minorHAnsi" w:cstheme="minorHAnsi"/>
            <w:szCs w:val="22"/>
            <w:lang w:val="ru-RU"/>
          </w:rPr>
          <w:t>www.nro.net/rir-comparative-policy-overview/</w:t>
        </w:r>
      </w:hyperlink>
      <w:r w:rsidR="009F28E2" w:rsidRPr="00770A00">
        <w:rPr>
          <w:rStyle w:val="Hyperlink"/>
          <w:rFonts w:asciiTheme="minorHAnsi" w:hAnsiTheme="minorHAnsi" w:cstheme="minorHAnsi"/>
          <w:color w:val="auto"/>
          <w:szCs w:val="22"/>
          <w:u w:val="none"/>
          <w:lang w:val="ru-RU"/>
        </w:rPr>
        <w:t>.</w:t>
      </w:r>
    </w:p>
    <w:p w:rsidR="009F28E2" w:rsidRPr="00770A00" w:rsidRDefault="009F28E2" w:rsidP="009F28E2">
      <w:pPr>
        <w:spacing w:before="720"/>
        <w:jc w:val="center"/>
        <w:rPr>
          <w:lang w:val="ru-RU"/>
        </w:rPr>
      </w:pPr>
      <w:r w:rsidRPr="00770A00">
        <w:rPr>
          <w:lang w:val="ru-RU"/>
        </w:rPr>
        <w:t>______________</w:t>
      </w:r>
    </w:p>
    <w:sectPr w:rsidR="009F28E2" w:rsidRPr="00770A00" w:rsidSect="00CF629C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12" w:rsidRDefault="00F00D12">
      <w:r>
        <w:separator/>
      </w:r>
    </w:p>
  </w:endnote>
  <w:endnote w:type="continuationSeparator" w:id="0">
    <w:p w:rsidR="00F00D12" w:rsidRDefault="00F0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770A00">
      <w:rPr>
        <w:lang w:val="en-US"/>
      </w:rPr>
      <w:t>P:\RUS\SG\CONF-SG\WTPF13\000\008R.docx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770A00">
      <w:rPr>
        <w:lang w:val="ru-RU"/>
      </w:rPr>
      <w:t>343557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162C5A">
      <w:t>07.05.13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00D12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770A00" w:rsidRDefault="00770A00" w:rsidP="00770A00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P:\RUS\SG\CONF-SG\WTPF13\000\008R.docx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ru-RU"/>
      </w:rPr>
      <w:t>343557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2C5A">
      <w:t>07.05.13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12" w:rsidRDefault="00F00D12">
      <w:r>
        <w:t>____________________</w:t>
      </w:r>
    </w:p>
  </w:footnote>
  <w:footnote w:type="continuationSeparator" w:id="0">
    <w:p w:rsidR="00F00D12" w:rsidRDefault="00F00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508A6">
      <w:rPr>
        <w:noProof/>
      </w:rPr>
      <w:t>9</w:t>
    </w:r>
    <w:r>
      <w:rPr>
        <w:noProof/>
      </w:rPr>
      <w:fldChar w:fldCharType="end"/>
    </w:r>
  </w:p>
  <w:p w:rsidR="000E568E" w:rsidRDefault="00A82528" w:rsidP="00A82528">
    <w:pPr>
      <w:pStyle w:val="Header"/>
      <w:spacing w:after="480"/>
    </w:pPr>
    <w:r>
      <w:t>WTPF-13</w:t>
    </w:r>
    <w:r w:rsidR="000E568E">
      <w:t>/</w:t>
    </w:r>
    <w:r w:rsidR="00770A00">
      <w:rPr>
        <w:lang w:val="ru-RU"/>
      </w:rPr>
      <w:t>8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85DB7"/>
    <w:multiLevelType w:val="hybridMultilevel"/>
    <w:tmpl w:val="2EA270B4"/>
    <w:lvl w:ilvl="0" w:tplc="063CACA4">
      <w:start w:val="1"/>
      <w:numFmt w:val="lowerLetter"/>
      <w:lvlText w:val="%1)"/>
      <w:lvlJc w:val="left"/>
      <w:pPr>
        <w:ind w:left="2781" w:hanging="360"/>
      </w:pPr>
      <w:rPr>
        <w:rFonts w:hint="default"/>
        <w:i w:val="0"/>
        <w:iCs/>
      </w:rPr>
    </w:lvl>
    <w:lvl w:ilvl="1" w:tplc="08090019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">
    <w:nsid w:val="21B67331"/>
    <w:multiLevelType w:val="hybridMultilevel"/>
    <w:tmpl w:val="D81C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C0A42"/>
    <w:multiLevelType w:val="hybridMultilevel"/>
    <w:tmpl w:val="81144814"/>
    <w:lvl w:ilvl="0" w:tplc="8BF6F9CA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4341A"/>
    <w:multiLevelType w:val="hybridMultilevel"/>
    <w:tmpl w:val="28326A1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A1C8B"/>
    <w:multiLevelType w:val="hybridMultilevel"/>
    <w:tmpl w:val="6BF8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02B13"/>
    <w:multiLevelType w:val="hybridMultilevel"/>
    <w:tmpl w:val="ED7A0440"/>
    <w:lvl w:ilvl="0" w:tplc="EE42FC9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C54D4"/>
    <w:multiLevelType w:val="hybridMultilevel"/>
    <w:tmpl w:val="298C4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05B88"/>
    <w:multiLevelType w:val="hybridMultilevel"/>
    <w:tmpl w:val="6590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12"/>
    <w:rsid w:val="0002183E"/>
    <w:rsid w:val="000569B4"/>
    <w:rsid w:val="00080E82"/>
    <w:rsid w:val="000E568E"/>
    <w:rsid w:val="0015710D"/>
    <w:rsid w:val="00162C5A"/>
    <w:rsid w:val="00163A32"/>
    <w:rsid w:val="00192B41"/>
    <w:rsid w:val="001B7B09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505E89"/>
    <w:rsid w:val="005A64D5"/>
    <w:rsid w:val="00601994"/>
    <w:rsid w:val="006E2D42"/>
    <w:rsid w:val="00703676"/>
    <w:rsid w:val="00707304"/>
    <w:rsid w:val="00732269"/>
    <w:rsid w:val="00770A00"/>
    <w:rsid w:val="00785ABD"/>
    <w:rsid w:val="007A2DD4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9F28E2"/>
    <w:rsid w:val="00A71773"/>
    <w:rsid w:val="00A82528"/>
    <w:rsid w:val="00AD5313"/>
    <w:rsid w:val="00AE2C85"/>
    <w:rsid w:val="00B508A6"/>
    <w:rsid w:val="00B63EF2"/>
    <w:rsid w:val="00BC0D39"/>
    <w:rsid w:val="00BC7BC0"/>
    <w:rsid w:val="00BD57B7"/>
    <w:rsid w:val="00BE63E2"/>
    <w:rsid w:val="00CB64FA"/>
    <w:rsid w:val="00CF629C"/>
    <w:rsid w:val="00D15C80"/>
    <w:rsid w:val="00D83238"/>
    <w:rsid w:val="00DA5D4E"/>
    <w:rsid w:val="00E176BA"/>
    <w:rsid w:val="00E423EC"/>
    <w:rsid w:val="00F00D12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D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00D1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D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F00D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lang w:val="ru-RU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00D12"/>
    <w:rPr>
      <w:rFonts w:ascii="Calibri" w:eastAsia="Calibri" w:hAnsi="Calibri"/>
      <w:lang w:val="ru-RU" w:eastAsia="x-none"/>
    </w:rPr>
  </w:style>
  <w:style w:type="character" w:customStyle="1" w:styleId="FootnoteTextChar">
    <w:name w:val="Footnote Text Char"/>
    <w:link w:val="FootnoteText"/>
    <w:uiPriority w:val="99"/>
    <w:rsid w:val="00F00D12"/>
    <w:rPr>
      <w:rFonts w:ascii="Calibri" w:hAnsi="Calibri"/>
      <w:lang w:val="en-GB" w:eastAsia="en-US"/>
    </w:rPr>
  </w:style>
  <w:style w:type="paragraph" w:customStyle="1" w:styleId="source0">
    <w:name w:val="source"/>
    <w:basedOn w:val="Normal"/>
    <w:rsid w:val="00F00D12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D1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00D1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D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F00D1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lang w:val="ru-RU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00D12"/>
    <w:rPr>
      <w:rFonts w:ascii="Calibri" w:eastAsia="Calibri" w:hAnsi="Calibri"/>
      <w:lang w:val="ru-RU" w:eastAsia="x-none"/>
    </w:rPr>
  </w:style>
  <w:style w:type="character" w:customStyle="1" w:styleId="FootnoteTextChar">
    <w:name w:val="Footnote Text Char"/>
    <w:link w:val="FootnoteText"/>
    <w:uiPriority w:val="99"/>
    <w:rsid w:val="00F00D12"/>
    <w:rPr>
      <w:rFonts w:ascii="Calibri" w:hAnsi="Calibri"/>
      <w:lang w:val="en-GB" w:eastAsia="en-US"/>
    </w:rPr>
  </w:style>
  <w:style w:type="paragraph" w:customStyle="1" w:styleId="source0">
    <w:name w:val="source"/>
    <w:basedOn w:val="Normal"/>
    <w:rsid w:val="00F00D12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www.lacnic.net" TargetMode="External"/><Relationship Id="rId18" Type="http://schemas.openxmlformats.org/officeDocument/2006/relationships/hyperlink" Target="http://portalipv6.lacnic.net/en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nro.net/wp-content/uploads/nro-continuing-cooperation-brochure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www.arin.net" TargetMode="External"/><Relationship Id="rId17" Type="http://schemas.openxmlformats.org/officeDocument/2006/relationships/hyperlink" Target="http://www.getipv6.info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pnic.net/community/ipv6-program" TargetMode="External"/><Relationship Id="rId20" Type="http://schemas.openxmlformats.org/officeDocument/2006/relationships/hyperlink" Target="http://www.ipv6observatory.e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apnic.net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afrinic.net/en/services/ipv6-programme" TargetMode="External"/><Relationship Id="rId23" Type="http://schemas.openxmlformats.org/officeDocument/2006/relationships/hyperlink" Target="http://www.nro.net/rir-comparative-policy-overview/" TargetMode="External"/><Relationship Id="rId28" Type="http://schemas.openxmlformats.org/officeDocument/2006/relationships/theme" Target="theme/theme1.xml"/><Relationship Id="rId10" Type="http://schemas.openxmlformats.org/officeDocument/2006/relationships/hyperlink" Target="www.afrinic.net" TargetMode="External"/><Relationship Id="rId19" Type="http://schemas.openxmlformats.org/officeDocument/2006/relationships/hyperlink" Target="http://www.ipv6actnow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www.ripe.net" TargetMode="External"/><Relationship Id="rId22" Type="http://schemas.openxmlformats.org/officeDocument/2006/relationships/hyperlink" Target="http://www.ripe.net/ripe/docs/ripe-557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AAB94-FA67-458E-B91E-7798FD69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37</TotalTime>
  <Pages>9</Pages>
  <Words>3159</Words>
  <Characters>22985</Characters>
  <Application>Microsoft Office Word</Application>
  <DocSecurity>0</DocSecurity>
  <Lines>191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26092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2006-03-28T16:12:00Z</cp:lastPrinted>
  <dcterms:created xsi:type="dcterms:W3CDTF">2013-05-07T13:26:00Z</dcterms:created>
  <dcterms:modified xsi:type="dcterms:W3CDTF">2013-05-08T14:22:00Z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