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RPr="00126C08" w:rsidTr="00CF493A">
        <w:tc>
          <w:tcPr>
            <w:tcW w:w="9855" w:type="dxa"/>
            <w:gridSpan w:val="2"/>
            <w:hideMark/>
          </w:tcPr>
          <w:p w:rsidR="00A82528" w:rsidRPr="00126C08" w:rsidRDefault="00A82528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126C08">
              <w:rPr>
                <w:noProof/>
                <w:lang w:val="en-US" w:eastAsia="zh-CN"/>
              </w:rPr>
              <w:drawing>
                <wp:inline distT="0" distB="0" distL="0" distR="0" wp14:anchorId="05EFE784" wp14:editId="5F91733D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RPr="00126C08" w:rsidTr="00CF493A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126C08" w:rsidRDefault="00D15C80" w:rsidP="00D15C80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126C08">
              <w:rPr>
                <w:sz w:val="28"/>
                <w:szCs w:val="28"/>
                <w:lang w:val="ru-RU"/>
              </w:rPr>
              <w:t>Женева</w:t>
            </w:r>
            <w:r w:rsidR="00A82528" w:rsidRPr="00126C08">
              <w:rPr>
                <w:sz w:val="28"/>
                <w:szCs w:val="28"/>
                <w:lang w:val="ru-RU"/>
              </w:rPr>
              <w:t>, 14</w:t>
            </w:r>
            <w:r w:rsidRPr="00126C08">
              <w:rPr>
                <w:sz w:val="28"/>
                <w:szCs w:val="28"/>
                <w:lang w:val="ru-RU"/>
              </w:rPr>
              <w:t>−</w:t>
            </w:r>
            <w:r w:rsidR="00A82528" w:rsidRPr="00126C08">
              <w:rPr>
                <w:sz w:val="28"/>
                <w:szCs w:val="28"/>
                <w:lang w:val="ru-RU"/>
              </w:rPr>
              <w:t xml:space="preserve">16 </w:t>
            </w:r>
            <w:r w:rsidRPr="00126C08">
              <w:rPr>
                <w:sz w:val="28"/>
                <w:szCs w:val="28"/>
                <w:lang w:val="ru-RU"/>
              </w:rPr>
              <w:t>мая</w:t>
            </w:r>
            <w:r w:rsidR="00A82528" w:rsidRPr="00126C08">
              <w:rPr>
                <w:sz w:val="28"/>
                <w:szCs w:val="28"/>
                <w:lang w:val="ru-RU"/>
              </w:rPr>
              <w:t xml:space="preserve"> 2013</w:t>
            </w:r>
            <w:r w:rsidRPr="00126C08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6E7ADB" w:rsidTr="00CF493A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A82528" w:rsidRPr="00126C08" w:rsidRDefault="00A82528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93168F" w:rsidRPr="00126C08" w:rsidRDefault="00CF493A" w:rsidP="00126C08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  <w:r w:rsidRPr="00126C08">
              <w:rPr>
                <w:b/>
                <w:bCs/>
                <w:sz w:val="22"/>
                <w:lang w:val="ru-RU"/>
              </w:rPr>
              <w:t>Документ WTPF-13/</w:t>
            </w:r>
            <w:r w:rsidR="00BC32A0" w:rsidRPr="00126C08">
              <w:rPr>
                <w:b/>
                <w:bCs/>
                <w:sz w:val="22"/>
                <w:lang w:val="ru-RU"/>
              </w:rPr>
              <w:t>6</w:t>
            </w:r>
            <w:r w:rsidRPr="00126C08">
              <w:rPr>
                <w:b/>
                <w:bCs/>
                <w:sz w:val="22"/>
                <w:lang w:val="ru-RU"/>
              </w:rPr>
              <w:t>-R</w:t>
            </w:r>
            <w:r w:rsidRPr="00126C08">
              <w:rPr>
                <w:b/>
                <w:bCs/>
                <w:sz w:val="22"/>
                <w:lang w:val="ru-RU"/>
              </w:rPr>
              <w:br/>
            </w:r>
            <w:r w:rsidR="00BC32A0" w:rsidRPr="00126C08">
              <w:rPr>
                <w:b/>
                <w:bCs/>
                <w:sz w:val="22"/>
                <w:lang w:val="ru-RU"/>
              </w:rPr>
              <w:t xml:space="preserve">27 апреля </w:t>
            </w:r>
            <w:r w:rsidRPr="00126C08">
              <w:rPr>
                <w:b/>
                <w:bCs/>
                <w:sz w:val="22"/>
                <w:lang w:val="ru-RU"/>
              </w:rPr>
              <w:t>2013 года</w:t>
            </w:r>
            <w:r w:rsidRPr="00126C08">
              <w:rPr>
                <w:b/>
                <w:bCs/>
                <w:sz w:val="22"/>
                <w:lang w:val="ru-RU"/>
              </w:rPr>
              <w:br/>
              <w:t xml:space="preserve">Оригинал: </w:t>
            </w:r>
            <w:r w:rsidR="00BC32A0" w:rsidRPr="00126C08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  <w:tr w:rsidR="00CF493A" w:rsidRPr="00126C08" w:rsidTr="002B513C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Pr="00126C08" w:rsidRDefault="002D5CB3" w:rsidP="006E7ADB">
            <w:pPr>
              <w:pStyle w:val="Source"/>
              <w:rPr>
                <w:lang w:val="ru-RU"/>
              </w:rPr>
            </w:pPr>
            <w:r w:rsidRPr="00126C08">
              <w:rPr>
                <w:lang w:val="ru-RU"/>
              </w:rPr>
              <w:t>Вклад от Соедин</w:t>
            </w:r>
            <w:r w:rsidR="003E437E" w:rsidRPr="00126C08">
              <w:rPr>
                <w:lang w:val="ru-RU"/>
              </w:rPr>
              <w:t>е</w:t>
            </w:r>
            <w:r w:rsidRPr="00126C08">
              <w:rPr>
                <w:lang w:val="ru-RU"/>
              </w:rPr>
              <w:t>нных Штатов Америки</w:t>
            </w:r>
          </w:p>
        </w:tc>
      </w:tr>
      <w:tr w:rsidR="006E7ADB" w:rsidRPr="00126C08" w:rsidTr="002B513C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6E7ADB" w:rsidRPr="00126C08" w:rsidRDefault="006E7ADB" w:rsidP="006E7ADB">
            <w:pPr>
              <w:pStyle w:val="Title1"/>
              <w:rPr>
                <w:lang w:val="ru-RU"/>
              </w:rPr>
            </w:pPr>
          </w:p>
        </w:tc>
      </w:tr>
    </w:tbl>
    <w:p w:rsidR="00126C08" w:rsidRPr="00126C08" w:rsidRDefault="00126C08" w:rsidP="00126C08">
      <w:pPr>
        <w:rPr>
          <w:lang w:val="ru-RU"/>
        </w:rPr>
      </w:pPr>
      <w:r w:rsidRPr="00126C08">
        <w:rPr>
          <w:lang w:val="ru-RU"/>
        </w:rPr>
        <w:t>Соединенные Штаты Америки приветствуют возможность принять участие в настоящем пятом Всемирном форуме по политике в области электросвязи (ВФПЭ). В предстоящие три дня мы надеемся обменяться мнениями по вопросам, поднятым в докладе Генерального секретаря МСЭ, а также по шести проектам мнений, подготовленным Неофициальной группой экспертов (НГЭ).</w:t>
      </w:r>
    </w:p>
    <w:p w:rsidR="00126C08" w:rsidRPr="00126C08" w:rsidRDefault="00126C08" w:rsidP="00126C08">
      <w:pPr>
        <w:rPr>
          <w:lang w:val="ru-RU"/>
        </w:rPr>
      </w:pPr>
      <w:r w:rsidRPr="00126C08">
        <w:rPr>
          <w:lang w:val="ru-RU"/>
        </w:rPr>
        <w:t xml:space="preserve">Интернет служит важным средством в современном мире. Он повышает производительность, процветание, здоровье и образование человека. Он способствует инновационной деятельности, открывает глобальные рынки и создает новые отрасли. Интернет помогает содействовать демократии и предпринимательству, а также повышенной прозрачности </w:t>
      </w:r>
      <w:r w:rsidR="006E7ADB">
        <w:rPr>
          <w:lang w:val="ru-RU"/>
        </w:rPr>
        <w:t xml:space="preserve">в отношениях </w:t>
      </w:r>
      <w:r w:rsidRPr="00126C08">
        <w:rPr>
          <w:lang w:val="ru-RU"/>
        </w:rPr>
        <w:t>между правительствами и гражданами.</w:t>
      </w:r>
    </w:p>
    <w:p w:rsidR="00126C08" w:rsidRPr="00126C08" w:rsidRDefault="00126C08" w:rsidP="006E7ADB">
      <w:pPr>
        <w:rPr>
          <w:lang w:val="ru-RU"/>
        </w:rPr>
      </w:pPr>
      <w:proofErr w:type="gramStart"/>
      <w:r w:rsidRPr="00126C08">
        <w:rPr>
          <w:lang w:val="ru-RU"/>
        </w:rPr>
        <w:t>Соединенные Штаты Америки верят в подход с участием многих заинтересованных сторон к разработке политики и управлению использованием интернета, и продолжают поддерживать существующие многосторонние организации, включая Корпорацию Интернет по присваиванию наименований и номеров (ICANN), региональные регистрационные центры интернета (RIR), Целевую группу по инженерным проблемам интернета (IETF), Общество Интернета (ISOC) и Консорциум всемирной паутины (W3C).</w:t>
      </w:r>
      <w:proofErr w:type="gramEnd"/>
      <w:r w:rsidRPr="00126C08">
        <w:rPr>
          <w:lang w:val="ru-RU"/>
        </w:rPr>
        <w:t xml:space="preserve"> Интернет представляет собой разноплановую и многослойную систему, которая получает развитие в том случае, когда все заинтересованные стороны осуществляют свои операции открытым, прозрачным и подотчетным образом и принимают решения на основе консенсуса. Модель с участием многих заинтересованных сторон способствует свободе </w:t>
      </w:r>
      <w:proofErr w:type="gramStart"/>
      <w:r w:rsidRPr="00126C08">
        <w:rPr>
          <w:lang w:val="ru-RU"/>
        </w:rPr>
        <w:t>слова</w:t>
      </w:r>
      <w:proofErr w:type="gramEnd"/>
      <w:r w:rsidRPr="00126C08">
        <w:rPr>
          <w:lang w:val="ru-RU"/>
        </w:rPr>
        <w:t xml:space="preserve"> как в онлайновом, так и в офлайновом режиме. Это позволяет интернету оставаться надежной открытой платформой для осуществления инновационной и инвестиционной деятельности, обеспечения экономического роста и </w:t>
      </w:r>
      <w:proofErr w:type="gramStart"/>
      <w:r w:rsidRPr="00126C08">
        <w:rPr>
          <w:lang w:val="ru-RU"/>
        </w:rPr>
        <w:t>создания</w:t>
      </w:r>
      <w:proofErr w:type="gramEnd"/>
      <w:r w:rsidRPr="00126C08">
        <w:rPr>
          <w:lang w:val="ru-RU"/>
        </w:rPr>
        <w:t xml:space="preserve"> материальных благ во всем мире, в том числе в развивающихся странах. В связи с быстро изменяющейся политической и технической средой эта модель позволяет нам решать вопросы с помощью методов, которые, как и сам интернет, имеют гибкий, адаптированный и масштабированный характер.</w:t>
      </w:r>
    </w:p>
    <w:p w:rsidR="00126C08" w:rsidRPr="00126C08" w:rsidRDefault="00126C08" w:rsidP="00126C08">
      <w:pPr>
        <w:rPr>
          <w:lang w:val="ru-RU"/>
        </w:rPr>
      </w:pPr>
      <w:r w:rsidRPr="00126C08">
        <w:rPr>
          <w:lang w:val="ru-RU"/>
        </w:rPr>
        <w:t>Шесть проектов мнений, прилагаемых к докладу Генерального секретаря, были подготовлены на основе вкладов широкого круга заинтересованных сторон, так как НГЭ была открыта для всех желающих принять участие в ее работе. В результате это позволило повысить качество обсуждений за счет присутствия представителей технического сообщества, отрасли и гражданского общества. В ходе работы НГЭ Соединенные Штаты Америки выразили свою уверенность в том, что ВФПЭ также должен быть открытым для всех заинтересованных сторон, и мы признаем шаги, предпринятые МСЭ в этом направлении. Тем не менее, мы по-прежнему считаем, что качество наших обсуждений здесь только выиграло бы, если бы этот процесс имел в полной мере открытый и всеобъемлющий характер.</w:t>
      </w:r>
    </w:p>
    <w:p w:rsidR="00126C08" w:rsidRPr="00126C08" w:rsidRDefault="00126C08" w:rsidP="00126C08">
      <w:pPr>
        <w:rPr>
          <w:lang w:val="ru-RU"/>
        </w:rPr>
      </w:pPr>
      <w:r w:rsidRPr="00126C08">
        <w:rPr>
          <w:lang w:val="ru-RU"/>
        </w:rPr>
        <w:lastRenderedPageBreak/>
        <w:t xml:space="preserve">В предстоящие три дня мы рассмотрим проекты мнений, переданные НГЭ на основе консенсуса для дальнейшего обсуждения на ВФПЭ-13. Мы считаем, что эти обсуждения должны быть сосредоточены на достижении прогресса по тем важным вопросам, которые поставлены перед нами – создание и развитие широкополосной связи и обеспечение того, чтобы интернет стал надежной и открытой платформой для осуществления инновационной и инвестиционной деятельности, обеспечения экономического роста и </w:t>
      </w:r>
      <w:proofErr w:type="gramStart"/>
      <w:r w:rsidRPr="00126C08">
        <w:rPr>
          <w:lang w:val="ru-RU"/>
        </w:rPr>
        <w:t>создания</w:t>
      </w:r>
      <w:proofErr w:type="gramEnd"/>
      <w:r w:rsidRPr="00126C08">
        <w:rPr>
          <w:lang w:val="ru-RU"/>
        </w:rPr>
        <w:t xml:space="preserve"> материальных благ во всем мире.</w:t>
      </w:r>
    </w:p>
    <w:p w:rsidR="00126C08" w:rsidRPr="00126C08" w:rsidRDefault="00126C08" w:rsidP="00874198">
      <w:pPr>
        <w:rPr>
          <w:lang w:val="ru-RU"/>
        </w:rPr>
      </w:pPr>
      <w:r w:rsidRPr="00126C08">
        <w:rPr>
          <w:lang w:val="ru-RU"/>
        </w:rPr>
        <w:t xml:space="preserve">В этой связи Соединенные Штаты Америки готовы поддержать консенсус, достигнутый в рамках НГЭ, и принять шесть мнений, не имеющих обязательной силы, в том виде, в каком они представлены в приложении к докладу Генерального секретаря. Мы придерживаемся этого подхода, основываясь на нашем желании, чтобы этот форум стал </w:t>
      </w:r>
      <w:proofErr w:type="gramStart"/>
      <w:r w:rsidRPr="00126C08">
        <w:rPr>
          <w:lang w:val="ru-RU"/>
        </w:rPr>
        <w:t>успешным</w:t>
      </w:r>
      <w:proofErr w:type="gramEnd"/>
      <w:r w:rsidRPr="00126C08">
        <w:rPr>
          <w:lang w:val="ru-RU"/>
        </w:rPr>
        <w:t xml:space="preserve"> несмотря на некоторую озабоченность в отношении мнений, касающихся многосторонности и укрепления сотрудничества. Однако мы признаем, и надеемся, что это признание разделяют все участники, что попытка начать повторные переговоры по этому тексту или представить новые темы или мнения в ходе этого собрания, создала бы значительные трудности и нарушила бы уже достигнутый консенсус.</w:t>
      </w:r>
    </w:p>
    <w:p w:rsidR="00126C08" w:rsidRPr="00126C08" w:rsidRDefault="00126C08" w:rsidP="00126C08">
      <w:pPr>
        <w:rPr>
          <w:lang w:val="ru-RU"/>
        </w:rPr>
      </w:pPr>
      <w:r w:rsidRPr="00126C08">
        <w:rPr>
          <w:lang w:val="ru-RU"/>
        </w:rPr>
        <w:t>Соединенные Штаты Америки представляют следующие общие замечания по каждому из шести проектов мнений:</w:t>
      </w:r>
    </w:p>
    <w:p w:rsidR="00126C08" w:rsidRPr="00126C08" w:rsidRDefault="00126C08" w:rsidP="00126C08">
      <w:pPr>
        <w:rPr>
          <w:rFonts w:cstheme="minorHAnsi"/>
          <w:lang w:val="ru-RU"/>
        </w:rPr>
      </w:pPr>
      <w:r w:rsidRPr="00126C08">
        <w:rPr>
          <w:b/>
          <w:bCs/>
          <w:lang w:val="ru-RU" w:eastAsia="zh-CN"/>
        </w:rPr>
        <w:t>Мнение 1 (Стимулирование создания пунктов обмена трафиком интернета (IXP), как долгосрочное решение, способствующее расширению возможности установления соединений</w:t>
      </w:r>
      <w:r w:rsidRPr="00126C08">
        <w:rPr>
          <w:rFonts w:cstheme="minorHAnsi"/>
          <w:b/>
          <w:bCs/>
          <w:lang w:val="ru-RU"/>
        </w:rPr>
        <w:t>)</w:t>
      </w:r>
      <w:r w:rsidRPr="00126C08">
        <w:rPr>
          <w:rFonts w:cstheme="minorHAnsi"/>
          <w:lang w:val="ru-RU"/>
        </w:rPr>
        <w:t>: Соединенные Штаты Америки поддерживают создание пунктов обмена трафиком интернета (IXP) на национальном, региональном и международном уровнях. Мы считаем, что IXP могут стать ценным инструментом для снижения затрат, связанных с соединением, повышения скорости трафика и содействия развитию местного контента. Мы также считаем, что IXP представляются наиболее эффективными там, где они способствуют рыночной конкуренции, частным инвестициям, а также свободным потокам информации в реальном режиме времени.</w:t>
      </w:r>
    </w:p>
    <w:p w:rsidR="00126C08" w:rsidRPr="00126C08" w:rsidRDefault="00126C08" w:rsidP="00126C08">
      <w:pPr>
        <w:rPr>
          <w:lang w:val="ru-RU"/>
        </w:rPr>
      </w:pPr>
      <w:r w:rsidRPr="00126C08">
        <w:rPr>
          <w:b/>
          <w:bCs/>
          <w:lang w:val="ru-RU"/>
        </w:rPr>
        <w:t>Мнение 2 (Обеспечение благоприятной среды для более активного роста и развития широкополосных соединений)</w:t>
      </w:r>
      <w:r w:rsidRPr="00126C08">
        <w:rPr>
          <w:lang w:val="ru-RU"/>
        </w:rPr>
        <w:t>: Мы также приветствуем усилия Государств-Членов, направленные на укрепление благоприятной среды, обеспечивающей более высокие темпы роста и развития возможности широкополосных соединений. Распространение инновационных средств широкополосной связи содействует обеспечению охраны здоровья, повышает качество образования и укрепляет общественную безопасность, а также закладывает основу для долгосрочного экономического развития в сообществах во всем мире.</w:t>
      </w:r>
    </w:p>
    <w:p w:rsidR="00126C08" w:rsidRPr="00126C08" w:rsidRDefault="00126C08" w:rsidP="00126C08">
      <w:pPr>
        <w:rPr>
          <w:lang w:val="ru-RU"/>
        </w:rPr>
      </w:pPr>
      <w:r w:rsidRPr="00126C08">
        <w:rPr>
          <w:b/>
          <w:bCs/>
          <w:lang w:val="ru-RU"/>
        </w:rPr>
        <w:t>Мнения 3 и 4 (Поддержка создания потенциала для развертывания IPv6; В поддержку принятия IPv6 и перехода от IPv4;)</w:t>
      </w:r>
      <w:r w:rsidRPr="00126C08">
        <w:rPr>
          <w:lang w:val="ru-RU"/>
        </w:rPr>
        <w:t>: Соединенные Штаты Америки поощряют высокие темпы принятия IPv6. IPv6 представляет собой новое поколение технологии для роста, развития и инноваций в области сетей. США решительно поддерживают многостороннюю систему выделения IP-номеров и управления ими, ориентированную на деятельность пяти региональных регистрационных центров интернета (RIR). Как отмечала рабочая группа МСЭ по IPv6, эта система отвечает потребностям заинтересованных сторон в глобальном масштабе.</w:t>
      </w:r>
    </w:p>
    <w:p w:rsidR="00126C08" w:rsidRPr="00126C08" w:rsidRDefault="00126C08" w:rsidP="00126C08">
      <w:pPr>
        <w:rPr>
          <w:lang w:val="ru-RU"/>
        </w:rPr>
      </w:pPr>
      <w:r w:rsidRPr="00126C08">
        <w:rPr>
          <w:b/>
          <w:bCs/>
          <w:lang w:val="ru-RU"/>
        </w:rPr>
        <w:t>Мнение 5 (Поддержка процессов с участием многих заинтересованных сторон в управлении использованием интернета)</w:t>
      </w:r>
      <w:r w:rsidRPr="00126C08">
        <w:rPr>
          <w:lang w:val="ru-RU"/>
        </w:rPr>
        <w:t>: Соединенные Штаты Америки поддерживают участие многих сторон в управлении использованием интернета. Отличительной особенностью многостороннего подхода служит способность любой и каждой стороны действовать на равной, открытой и всеобъемлющей основе. Соединенные Штаты Америки считают, что такой многосторонний подход к формированию политики и управлению позволяет гражданам во всем мире в полной мере реализовывать потенциал интернета.</w:t>
      </w:r>
    </w:p>
    <w:p w:rsidR="00126C08" w:rsidRPr="00126C08" w:rsidRDefault="00126C08" w:rsidP="00874198">
      <w:pPr>
        <w:rPr>
          <w:lang w:val="ru-RU"/>
        </w:rPr>
      </w:pPr>
      <w:r w:rsidRPr="00126C08">
        <w:rPr>
          <w:b/>
          <w:bCs/>
          <w:lang w:val="ru-RU"/>
        </w:rPr>
        <w:t>Мнение 6 (О поддержке активизации процесса расширения сотрудничества)</w:t>
      </w:r>
      <w:r w:rsidRPr="00126C08">
        <w:rPr>
          <w:lang w:val="ru-RU"/>
        </w:rPr>
        <w:t>: Соединенные Штаты Америки считают, что мир добился значительного прогресса в нап</w:t>
      </w:r>
      <w:r>
        <w:rPr>
          <w:lang w:val="ru-RU"/>
        </w:rPr>
        <w:t>р</w:t>
      </w:r>
      <w:r w:rsidRPr="00126C08">
        <w:rPr>
          <w:lang w:val="ru-RU"/>
        </w:rPr>
        <w:t>авлении ориентированного на интересы л</w:t>
      </w:r>
      <w:r>
        <w:rPr>
          <w:lang w:val="ru-RU"/>
        </w:rPr>
        <w:t>юдей, открытого для всех и направ</w:t>
      </w:r>
      <w:r w:rsidRPr="00126C08">
        <w:rPr>
          <w:lang w:val="ru-RU"/>
        </w:rPr>
        <w:t xml:space="preserve">ленного на развитие информационного общества, в </w:t>
      </w:r>
      <w:r w:rsidRPr="00126C08">
        <w:rPr>
          <w:lang w:val="ru-RU"/>
        </w:rPr>
        <w:lastRenderedPageBreak/>
        <w:t>соответствии с положениями документов ВВУИО. МСЭ входит в число многих организаций, которые внесли вклад в укрепление процесса сотрудничества. В Резолюциях 101, 102 и 133 Полномочной конференции подтверждается необходимость изучать пути и средства упрочения сотрудничества и координации с соответствующими организациями в тех случаях, когда и если МСЭ будет рассматривать вопросы, относящиеся к политике в области интернета. Это означает активное привлечение таких институтов, как ICANN, RIR, IETF, ISOC и W3C, а также заинтересованных сторон, которые принимают участие в работе этих и других связанных с интернетом организаций.</w:t>
      </w:r>
    </w:p>
    <w:p w:rsidR="00126C08" w:rsidRPr="00126C08" w:rsidRDefault="00126C08" w:rsidP="006E7ADB">
      <w:pPr>
        <w:rPr>
          <w:lang w:val="ru-RU"/>
        </w:rPr>
      </w:pPr>
      <w:r w:rsidRPr="00126C08">
        <w:rPr>
          <w:lang w:val="ru-RU"/>
        </w:rPr>
        <w:t>Соединенные Штаты Америки надеются на ценный обмен идеями по темам, поднятым в докладе Генерального секретаря, и готовы поддержать шесть мнений на основе консенсуса. При этом мы полагаем, что, покидая этот форум, все участники будут обогащены дискуссиями и лучше оснащены для достижения нашей общей цели создания интернета, обеспечивающего процветание, экономический рост и социальное благополучие, которы</w:t>
      </w:r>
      <w:r w:rsidR="006E7ADB">
        <w:rPr>
          <w:lang w:val="ru-RU"/>
        </w:rPr>
        <w:t>е</w:t>
      </w:r>
      <w:r w:rsidRPr="00126C08">
        <w:rPr>
          <w:lang w:val="ru-RU"/>
        </w:rPr>
        <w:t xml:space="preserve"> мы все заслуживаем.</w:t>
      </w:r>
    </w:p>
    <w:p w:rsidR="00126C08" w:rsidRPr="00126C08" w:rsidRDefault="00126C08" w:rsidP="00126C08">
      <w:pPr>
        <w:spacing w:before="720"/>
        <w:jc w:val="center"/>
        <w:rPr>
          <w:lang w:val="ru-RU"/>
        </w:rPr>
      </w:pPr>
      <w:r w:rsidRPr="00126C08">
        <w:rPr>
          <w:lang w:val="ru-RU"/>
        </w:rPr>
        <w:t>______________</w:t>
      </w:r>
      <w:bookmarkStart w:id="0" w:name="_GoBack"/>
      <w:bookmarkEnd w:id="0"/>
    </w:p>
    <w:sectPr w:rsidR="00126C08" w:rsidRPr="00126C08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3A" w:rsidRDefault="00CF493A">
      <w:r>
        <w:separator/>
      </w:r>
    </w:p>
  </w:endnote>
  <w:endnote w:type="continuationSeparator" w:id="0">
    <w:p w:rsidR="00CF493A" w:rsidRDefault="00CF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707304" w:rsidP="00CF1B02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126C08">
      <w:rPr>
        <w:lang w:val="en-US"/>
      </w:rPr>
      <w:t>P:\RUS\SG\CONF-SG\WTPF13\000\006R.docx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126C08">
      <w:rPr>
        <w:lang w:val="ru-RU"/>
      </w:rPr>
      <w:t>343522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6E7ADB">
      <w:t>02.05.13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E310E1">
      <w:t>30.04.13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126C08" w:rsidRDefault="00126C08" w:rsidP="00126C08">
    <w:pPr>
      <w:pStyle w:val="Footer"/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P:\RUS\SG\CONF-SG\WTPF13\000\006R.docx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>
      <w:rPr>
        <w:lang w:val="ru-RU"/>
      </w:rPr>
      <w:t>343522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7ADB">
      <w:t>02.05.13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30.04.13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3A" w:rsidRDefault="00CF493A">
      <w:r>
        <w:t>____________________</w:t>
      </w:r>
    </w:p>
  </w:footnote>
  <w:footnote w:type="continuationSeparator" w:id="0">
    <w:p w:rsidR="00CF493A" w:rsidRDefault="00CF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E7ADB">
      <w:rPr>
        <w:noProof/>
      </w:rPr>
      <w:t>3</w:t>
    </w:r>
    <w:r>
      <w:rPr>
        <w:noProof/>
      </w:rPr>
      <w:fldChar w:fldCharType="end"/>
    </w:r>
  </w:p>
  <w:p w:rsidR="000E568E" w:rsidRDefault="00A82528" w:rsidP="0093168F">
    <w:pPr>
      <w:pStyle w:val="Header"/>
      <w:spacing w:after="480"/>
    </w:pPr>
    <w:r>
      <w:t>WTPF-13</w:t>
    </w:r>
    <w:r w:rsidR="000E568E">
      <w:t>/</w:t>
    </w:r>
    <w:r w:rsidR="0093168F">
      <w:t>6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A"/>
    <w:rsid w:val="0002183E"/>
    <w:rsid w:val="000569B4"/>
    <w:rsid w:val="00080E82"/>
    <w:rsid w:val="000E568E"/>
    <w:rsid w:val="00126C08"/>
    <w:rsid w:val="0015710D"/>
    <w:rsid w:val="00163A32"/>
    <w:rsid w:val="00192B41"/>
    <w:rsid w:val="001B2E9E"/>
    <w:rsid w:val="001B5C15"/>
    <w:rsid w:val="001B7B09"/>
    <w:rsid w:val="001E6719"/>
    <w:rsid w:val="00203830"/>
    <w:rsid w:val="00227FF0"/>
    <w:rsid w:val="00291EB6"/>
    <w:rsid w:val="002D2F57"/>
    <w:rsid w:val="002D48C5"/>
    <w:rsid w:val="002D5CB3"/>
    <w:rsid w:val="0030122B"/>
    <w:rsid w:val="003509CD"/>
    <w:rsid w:val="0039080B"/>
    <w:rsid w:val="003E437E"/>
    <w:rsid w:val="003E7B12"/>
    <w:rsid w:val="003F099E"/>
    <w:rsid w:val="003F235E"/>
    <w:rsid w:val="004023E0"/>
    <w:rsid w:val="00403DD8"/>
    <w:rsid w:val="0045686C"/>
    <w:rsid w:val="00475AB4"/>
    <w:rsid w:val="004918C4"/>
    <w:rsid w:val="004A45B5"/>
    <w:rsid w:val="004A577C"/>
    <w:rsid w:val="004D0129"/>
    <w:rsid w:val="00505E89"/>
    <w:rsid w:val="00591A8E"/>
    <w:rsid w:val="005A64D5"/>
    <w:rsid w:val="005F4D46"/>
    <w:rsid w:val="00601994"/>
    <w:rsid w:val="006D5FF5"/>
    <w:rsid w:val="006E2D42"/>
    <w:rsid w:val="006E7ADB"/>
    <w:rsid w:val="00703676"/>
    <w:rsid w:val="00704622"/>
    <w:rsid w:val="00707304"/>
    <w:rsid w:val="00732269"/>
    <w:rsid w:val="00742317"/>
    <w:rsid w:val="0074685F"/>
    <w:rsid w:val="00785ABD"/>
    <w:rsid w:val="007A2DD4"/>
    <w:rsid w:val="007D38B5"/>
    <w:rsid w:val="0080055A"/>
    <w:rsid w:val="00807255"/>
    <w:rsid w:val="0081023E"/>
    <w:rsid w:val="008173AA"/>
    <w:rsid w:val="00840A14"/>
    <w:rsid w:val="00874198"/>
    <w:rsid w:val="00875AA4"/>
    <w:rsid w:val="008D2D7B"/>
    <w:rsid w:val="008E0737"/>
    <w:rsid w:val="008F43BF"/>
    <w:rsid w:val="008F7C2C"/>
    <w:rsid w:val="0093168F"/>
    <w:rsid w:val="00940E96"/>
    <w:rsid w:val="009A5486"/>
    <w:rsid w:val="009B0BAE"/>
    <w:rsid w:val="00A25767"/>
    <w:rsid w:val="00A71773"/>
    <w:rsid w:val="00A82528"/>
    <w:rsid w:val="00A946BE"/>
    <w:rsid w:val="00AE2C85"/>
    <w:rsid w:val="00AE4516"/>
    <w:rsid w:val="00AF3B77"/>
    <w:rsid w:val="00B42272"/>
    <w:rsid w:val="00B63EF2"/>
    <w:rsid w:val="00B81556"/>
    <w:rsid w:val="00BB7D87"/>
    <w:rsid w:val="00BC0D39"/>
    <w:rsid w:val="00BC32A0"/>
    <w:rsid w:val="00BC7BC0"/>
    <w:rsid w:val="00BD57B7"/>
    <w:rsid w:val="00BE63E2"/>
    <w:rsid w:val="00BF59D0"/>
    <w:rsid w:val="00CB64FA"/>
    <w:rsid w:val="00CF1B02"/>
    <w:rsid w:val="00CF493A"/>
    <w:rsid w:val="00CF629C"/>
    <w:rsid w:val="00D15C80"/>
    <w:rsid w:val="00DA5D4E"/>
    <w:rsid w:val="00DB3A4A"/>
    <w:rsid w:val="00DE6991"/>
    <w:rsid w:val="00E176BA"/>
    <w:rsid w:val="00E310E1"/>
    <w:rsid w:val="00E423EC"/>
    <w:rsid w:val="00F35898"/>
    <w:rsid w:val="00F5225B"/>
    <w:rsid w:val="00FC316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E451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16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HPMbodytext">
    <w:name w:val="HPMbodytext"/>
    <w:basedOn w:val="Normal"/>
    <w:rsid w:val="009316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Arial" w:eastAsia="SimSun" w:hAnsi="Arial"/>
      <w:sz w:val="24"/>
      <w:lang w:val="en-US" w:eastAsia="zh-CN"/>
    </w:rPr>
  </w:style>
  <w:style w:type="paragraph" w:customStyle="1" w:styleId="source0">
    <w:name w:val="source"/>
    <w:basedOn w:val="Normal"/>
    <w:rsid w:val="0093168F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  <w:style w:type="character" w:customStyle="1" w:styleId="ms-rtestyle-ituxcommuquicklinks">
    <w:name w:val="ms-rtestyle-ituxcommuquicklinks"/>
    <w:basedOn w:val="DefaultParagraphFont"/>
    <w:rsid w:val="0093168F"/>
  </w:style>
  <w:style w:type="character" w:styleId="Strong">
    <w:name w:val="Strong"/>
    <w:basedOn w:val="DefaultParagraphFont"/>
    <w:uiPriority w:val="22"/>
    <w:qFormat/>
    <w:rsid w:val="009316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E451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16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HPMbodytext">
    <w:name w:val="HPMbodytext"/>
    <w:basedOn w:val="Normal"/>
    <w:rsid w:val="0093168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Arial" w:eastAsia="SimSun" w:hAnsi="Arial"/>
      <w:sz w:val="24"/>
      <w:lang w:val="en-US" w:eastAsia="zh-CN"/>
    </w:rPr>
  </w:style>
  <w:style w:type="paragraph" w:customStyle="1" w:styleId="source0">
    <w:name w:val="source"/>
    <w:basedOn w:val="Normal"/>
    <w:rsid w:val="0093168F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  <w:style w:type="character" w:customStyle="1" w:styleId="ms-rtestyle-ituxcommuquicklinks">
    <w:name w:val="ms-rtestyle-ituxcommuquicklinks"/>
    <w:basedOn w:val="DefaultParagraphFont"/>
    <w:rsid w:val="0093168F"/>
  </w:style>
  <w:style w:type="character" w:styleId="Strong">
    <w:name w:val="Strong"/>
    <w:basedOn w:val="DefaultParagraphFont"/>
    <w:uiPriority w:val="22"/>
    <w:qFormat/>
    <w:rsid w:val="00931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0792-91F8-4F86-A94A-659943C0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19</TotalTime>
  <Pages>3</Pages>
  <Words>1004</Words>
  <Characters>6899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7888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5</cp:revision>
  <cp:lastPrinted>2013-04-30T13:27:00Z</cp:lastPrinted>
  <dcterms:created xsi:type="dcterms:W3CDTF">2013-04-30T13:29:00Z</dcterms:created>
  <dcterms:modified xsi:type="dcterms:W3CDTF">2013-05-02T09:40:00Z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