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RPr="00D354D8" w:rsidTr="004D20FB">
        <w:tc>
          <w:tcPr>
            <w:tcW w:w="9855" w:type="dxa"/>
            <w:gridSpan w:val="2"/>
            <w:hideMark/>
          </w:tcPr>
          <w:p w:rsidR="00A82528" w:rsidRPr="00D354D8" w:rsidRDefault="00A82528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D354D8">
              <w:rPr>
                <w:lang w:val="ru-RU" w:eastAsia="zh-CN"/>
              </w:rPr>
              <w:drawing>
                <wp:inline distT="0" distB="0" distL="0" distR="0" wp14:anchorId="1EBE0372" wp14:editId="7A96F252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RPr="00D354D8" w:rsidTr="004D20FB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D354D8" w:rsidRDefault="00D15C80" w:rsidP="00D15C80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lang w:val="ru-RU"/>
              </w:rPr>
            </w:pPr>
            <w:r w:rsidRPr="00D354D8">
              <w:rPr>
                <w:sz w:val="28"/>
                <w:szCs w:val="28"/>
                <w:lang w:val="ru-RU"/>
              </w:rPr>
              <w:t>Женева</w:t>
            </w:r>
            <w:r w:rsidR="00A82528" w:rsidRPr="00D354D8">
              <w:rPr>
                <w:sz w:val="28"/>
                <w:szCs w:val="28"/>
                <w:lang w:val="ru-RU"/>
              </w:rPr>
              <w:t>, 14</w:t>
            </w:r>
            <w:r w:rsidRPr="00D354D8">
              <w:rPr>
                <w:sz w:val="28"/>
                <w:szCs w:val="28"/>
                <w:lang w:val="ru-RU"/>
              </w:rPr>
              <w:t>−</w:t>
            </w:r>
            <w:r w:rsidR="00A82528" w:rsidRPr="00D354D8">
              <w:rPr>
                <w:sz w:val="28"/>
                <w:szCs w:val="28"/>
                <w:lang w:val="ru-RU"/>
              </w:rPr>
              <w:t xml:space="preserve">16 </w:t>
            </w:r>
            <w:r w:rsidRPr="00D354D8">
              <w:rPr>
                <w:sz w:val="28"/>
                <w:szCs w:val="28"/>
                <w:lang w:val="ru-RU"/>
              </w:rPr>
              <w:t>мая</w:t>
            </w:r>
            <w:r w:rsidR="00A82528" w:rsidRPr="00D354D8">
              <w:rPr>
                <w:sz w:val="28"/>
                <w:szCs w:val="28"/>
                <w:lang w:val="ru-RU"/>
              </w:rPr>
              <w:t xml:space="preserve"> 2013</w:t>
            </w:r>
            <w:r w:rsidRPr="00D354D8"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D354D8" w:rsidTr="004D20FB">
        <w:tc>
          <w:tcPr>
            <w:tcW w:w="626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A82528" w:rsidRPr="00D354D8" w:rsidRDefault="00A8252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ru-RU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82528" w:rsidRPr="00D354D8" w:rsidRDefault="00D15C80" w:rsidP="00A82528">
            <w:pPr>
              <w:rPr>
                <w:b/>
                <w:bCs/>
                <w:lang w:val="ru-RU"/>
              </w:rPr>
            </w:pPr>
            <w:r w:rsidRPr="00D354D8">
              <w:rPr>
                <w:b/>
                <w:bCs/>
                <w:lang w:val="ru-RU"/>
              </w:rPr>
              <w:t>Документ</w:t>
            </w:r>
            <w:r w:rsidR="00A82528" w:rsidRPr="00D354D8">
              <w:rPr>
                <w:b/>
                <w:bCs/>
                <w:lang w:val="ru-RU"/>
              </w:rPr>
              <w:t xml:space="preserve"> WTPF-13/</w:t>
            </w:r>
            <w:r w:rsidR="004D20FB" w:rsidRPr="00D354D8">
              <w:rPr>
                <w:b/>
                <w:bCs/>
                <w:lang w:val="ru-RU"/>
              </w:rPr>
              <w:t>5</w:t>
            </w:r>
            <w:r w:rsidR="00A82528" w:rsidRPr="00D354D8">
              <w:rPr>
                <w:b/>
                <w:bCs/>
                <w:lang w:val="ru-RU"/>
              </w:rPr>
              <w:t>-R</w:t>
            </w:r>
          </w:p>
          <w:p w:rsidR="00A82528" w:rsidRPr="00D354D8" w:rsidRDefault="004D20FB">
            <w:pPr>
              <w:spacing w:before="0"/>
              <w:rPr>
                <w:b/>
                <w:bCs/>
                <w:lang w:val="ru-RU"/>
              </w:rPr>
            </w:pPr>
            <w:r w:rsidRPr="00D354D8">
              <w:rPr>
                <w:b/>
                <w:bCs/>
                <w:lang w:val="ru-RU"/>
              </w:rPr>
              <w:t>26 апреля 2013 года</w:t>
            </w:r>
          </w:p>
          <w:p w:rsidR="00A82528" w:rsidRPr="00D354D8" w:rsidRDefault="00D15C80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2"/>
                <w:lang w:val="ru-RU"/>
              </w:rPr>
            </w:pPr>
            <w:r w:rsidRPr="00D354D8">
              <w:rPr>
                <w:b/>
                <w:bCs/>
                <w:sz w:val="22"/>
                <w:lang w:val="ru-RU"/>
              </w:rPr>
              <w:t>Оригинал</w:t>
            </w:r>
            <w:r w:rsidR="00A82528" w:rsidRPr="00D354D8">
              <w:rPr>
                <w:b/>
                <w:bCs/>
                <w:sz w:val="22"/>
                <w:lang w:val="ru-RU"/>
              </w:rPr>
              <w:t xml:space="preserve">: </w:t>
            </w:r>
            <w:r w:rsidR="004D20FB" w:rsidRPr="00D354D8">
              <w:rPr>
                <w:b/>
                <w:bCs/>
                <w:sz w:val="22"/>
                <w:lang w:val="ru-RU"/>
              </w:rPr>
              <w:t>английский</w:t>
            </w:r>
          </w:p>
        </w:tc>
      </w:tr>
    </w:tbl>
    <w:p w:rsidR="004D20FB" w:rsidRPr="00D354D8" w:rsidRDefault="004D20FB" w:rsidP="004D20FB">
      <w:pPr>
        <w:pStyle w:val="Source"/>
        <w:rPr>
          <w:lang w:val="ru-RU"/>
        </w:rPr>
      </w:pPr>
      <w:r w:rsidRPr="00D354D8">
        <w:rPr>
          <w:lang w:val="ru-RU"/>
        </w:rPr>
        <w:t>Вклад от Федеративной Республики Бразилии</w:t>
      </w:r>
    </w:p>
    <w:p w:rsidR="004D20FB" w:rsidRPr="00D354D8" w:rsidRDefault="004D20FB" w:rsidP="004D20FB">
      <w:pPr>
        <w:pStyle w:val="PartNo"/>
        <w:rPr>
          <w:u w:val="single"/>
          <w:lang w:val="ru-RU"/>
        </w:rPr>
      </w:pPr>
      <w:r w:rsidRPr="00D354D8">
        <w:rPr>
          <w:lang w:val="ru-RU"/>
        </w:rPr>
        <w:t>ПРОЕКТ МНЕНИЯ</w:t>
      </w:r>
    </w:p>
    <w:p w:rsidR="004D20FB" w:rsidRPr="00D354D8" w:rsidRDefault="004D20FB" w:rsidP="004D20FB">
      <w:pPr>
        <w:pStyle w:val="Parttitle"/>
        <w:rPr>
          <w:lang w:val="ru-RU"/>
        </w:rPr>
      </w:pPr>
      <w:r w:rsidRPr="00D354D8">
        <w:rPr>
          <w:lang w:val="ru-RU"/>
        </w:rPr>
        <w:t>О роли правительства в многосторонних рамках для управления</w:t>
      </w:r>
      <w:r w:rsidRPr="00D354D8">
        <w:rPr>
          <w:lang w:val="ru-RU"/>
        </w:rPr>
        <w:br/>
        <w:t>использованием интернета</w:t>
      </w:r>
    </w:p>
    <w:p w:rsidR="004D20FB" w:rsidRPr="00D354D8" w:rsidRDefault="004D20FB" w:rsidP="004D20FB">
      <w:pPr>
        <w:spacing w:before="240"/>
        <w:jc w:val="center"/>
        <w:rPr>
          <w:rFonts w:cstheme="minorHAnsi"/>
          <w:b/>
          <w:sz w:val="4"/>
          <w:szCs w:val="4"/>
          <w:lang w:val="ru-RU"/>
        </w:rPr>
      </w:pPr>
    </w:p>
    <w:p w:rsidR="004D20FB" w:rsidRPr="00D354D8" w:rsidRDefault="004D20FB" w:rsidP="004D20FB">
      <w:pPr>
        <w:pStyle w:val="Normalaftertitle"/>
        <w:rPr>
          <w:lang w:val="ru-RU"/>
        </w:rPr>
      </w:pPr>
      <w:r w:rsidRPr="00D354D8">
        <w:rPr>
          <w:lang w:val="ru-RU"/>
        </w:rPr>
        <w:t>Пятый Всемирный форум по политике в области электросвязи/ИКТ (Женева, 2013 г.),</w:t>
      </w:r>
    </w:p>
    <w:p w:rsidR="004D20FB" w:rsidRPr="00D354D8" w:rsidRDefault="004D20FB" w:rsidP="004D20FB">
      <w:pPr>
        <w:pStyle w:val="Call"/>
        <w:rPr>
          <w:lang w:val="ru-RU"/>
        </w:rPr>
      </w:pPr>
      <w:r w:rsidRPr="00D354D8">
        <w:rPr>
          <w:lang w:val="ru-RU"/>
        </w:rPr>
        <w:t>учитывая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что полномочия и роль МСЭ установлены в Уставе и Конвенции МСЭ, а также в соответствующих решениях и резолюциях конференций и ассамблей,</w:t>
      </w:r>
    </w:p>
    <w:p w:rsidR="004D20FB" w:rsidRPr="00D354D8" w:rsidRDefault="004D20FB" w:rsidP="004D20FB">
      <w:pPr>
        <w:pStyle w:val="Call"/>
        <w:rPr>
          <w:lang w:val="ru-RU"/>
        </w:rPr>
      </w:pPr>
      <w:r w:rsidRPr="00D354D8">
        <w:rPr>
          <w:lang w:val="ru-RU"/>
        </w:rPr>
        <w:t>напоминая</w:t>
      </w:r>
    </w:p>
    <w:p w:rsidR="004D20FB" w:rsidRPr="00D354D8" w:rsidRDefault="004D20FB" w:rsidP="004D20FB">
      <w:pPr>
        <w:rPr>
          <w:rFonts w:cstheme="minorHAnsi"/>
          <w:lang w:val="ru-RU"/>
        </w:rPr>
      </w:pPr>
      <w:r w:rsidRPr="00D354D8">
        <w:rPr>
          <w:rFonts w:cstheme="minorHAnsi"/>
          <w:lang w:val="ru-RU"/>
        </w:rPr>
        <w:t>a)</w:t>
      </w:r>
      <w:r w:rsidRPr="00D354D8">
        <w:rPr>
          <w:rFonts w:cstheme="minorHAnsi"/>
          <w:lang w:val="ru-RU"/>
        </w:rPr>
        <w:tab/>
      </w:r>
      <w:r w:rsidRPr="00D354D8">
        <w:rPr>
          <w:lang w:val="ru-RU"/>
        </w:rPr>
        <w:t>пункт 34 Тунисской программы для информационного общества (Тунисской программы), в котором утверждается, что рабочее определение управления использованием интернета является разработкой и применением правительств, частного сектора и гражданского общества, в рамках исполнения ими своих соответствующих ролей, общих принципов, норм, правил, процедур принятия решений и программ, которые формируют условия для развития и использования интернета</w:t>
      </w:r>
      <w:r w:rsidRPr="00D354D8">
        <w:rPr>
          <w:rFonts w:cstheme="minorHAnsi"/>
          <w:lang w:val="ru-RU"/>
        </w:rPr>
        <w:t>;</w:t>
      </w:r>
    </w:p>
    <w:p w:rsidR="004D20FB" w:rsidRPr="00D354D8" w:rsidRDefault="004D20FB" w:rsidP="004D20FB">
      <w:pPr>
        <w:rPr>
          <w:rFonts w:cstheme="minorHAnsi"/>
          <w:lang w:val="ru-RU"/>
        </w:rPr>
      </w:pPr>
      <w:r w:rsidRPr="00D354D8">
        <w:rPr>
          <w:rFonts w:cstheme="minorHAnsi"/>
          <w:lang w:val="ru-RU"/>
        </w:rPr>
        <w:t>b)</w:t>
      </w:r>
      <w:r w:rsidRPr="00D354D8">
        <w:rPr>
          <w:rFonts w:cstheme="minorHAnsi"/>
          <w:lang w:val="ru-RU"/>
        </w:rPr>
        <w:tab/>
      </w:r>
      <w:r w:rsidRPr="00D354D8">
        <w:rPr>
          <w:lang w:val="ru-RU"/>
        </w:rPr>
        <w:t>пункт 35 Тунисской программы</w:t>
      </w:r>
      <w:r w:rsidRPr="00D354D8">
        <w:rPr>
          <w:rFonts w:cstheme="minorHAnsi"/>
          <w:lang w:val="ru-RU"/>
        </w:rPr>
        <w:t xml:space="preserve"> для информационного общества (Тунис, 2005 г.), в котором утверждается, что </w:t>
      </w:r>
      <w:r w:rsidRPr="00D354D8">
        <w:rPr>
          <w:lang w:val="ru-RU"/>
        </w:rPr>
        <w:t>управление использованием интернета охватывает как технические вопросы, так и вопросы государственной политики и должно осуществляться при участии всех заинтересованных сторон и соответствующих межправительственных и международных организаций</w:t>
      </w:r>
      <w:r w:rsidRPr="00D354D8">
        <w:rPr>
          <w:rFonts w:cstheme="minorHAnsi"/>
          <w:lang w:val="ru-RU"/>
        </w:rPr>
        <w:t>; и в котором признаются соответствующие функции указанных объединений;</w:t>
      </w:r>
    </w:p>
    <w:p w:rsidR="004D20FB" w:rsidRPr="00D354D8" w:rsidRDefault="004D20FB" w:rsidP="004D20FB">
      <w:pPr>
        <w:rPr>
          <w:rFonts w:cstheme="minorHAnsi"/>
          <w:lang w:val="ru-RU"/>
        </w:rPr>
      </w:pPr>
      <w:r w:rsidRPr="00D354D8">
        <w:rPr>
          <w:rFonts w:cstheme="minorHAnsi"/>
          <w:lang w:val="ru-RU"/>
        </w:rPr>
        <w:t>c)</w:t>
      </w:r>
      <w:r w:rsidRPr="00D354D8">
        <w:rPr>
          <w:rFonts w:cstheme="minorHAnsi"/>
          <w:lang w:val="ru-RU"/>
        </w:rPr>
        <w:tab/>
      </w:r>
      <w:r w:rsidRPr="00D354D8">
        <w:rPr>
          <w:lang w:val="ru-RU"/>
        </w:rPr>
        <w:t>пункт 55 Тунисской программы</w:t>
      </w:r>
      <w:r w:rsidRPr="00D354D8">
        <w:rPr>
          <w:rFonts w:cstheme="minorHAnsi"/>
          <w:lang w:val="ru-RU"/>
        </w:rPr>
        <w:t xml:space="preserve"> для информационного общества (Тунис, 2005 г.), в котором признается, что </w:t>
      </w:r>
      <w:r w:rsidRPr="00D354D8">
        <w:rPr>
          <w:rFonts w:eastAsia="'宋体"/>
          <w:lang w:val="ru-RU"/>
        </w:rPr>
        <w:t>существующий порядок управления использованием интернета позволил превратить интернет в ту прочную, динамичную и разнообразную в географическом отношении систему, каковой он сегодня является, где ведущую роль в повседневных операциях играет частный сектор и где делаются нововведения и создаются дополнительные услуги на краях сети</w:t>
      </w:r>
      <w:r w:rsidRPr="00D354D8">
        <w:rPr>
          <w:rFonts w:cstheme="minorHAnsi"/>
          <w:lang w:val="ru-RU"/>
        </w:rPr>
        <w:t>;</w:t>
      </w:r>
    </w:p>
    <w:p w:rsidR="004D20FB" w:rsidRPr="00D354D8" w:rsidRDefault="004D20FB" w:rsidP="004D20FB">
      <w:pPr>
        <w:rPr>
          <w:rFonts w:cstheme="minorHAnsi"/>
          <w:lang w:val="ru-RU"/>
        </w:rPr>
      </w:pPr>
      <w:r w:rsidRPr="00D354D8">
        <w:rPr>
          <w:rFonts w:cstheme="minorHAnsi"/>
          <w:lang w:val="ru-RU"/>
        </w:rPr>
        <w:t>d)</w:t>
      </w:r>
      <w:r w:rsidRPr="00D354D8">
        <w:rPr>
          <w:rFonts w:cstheme="minorHAnsi"/>
          <w:lang w:val="ru-RU"/>
        </w:rPr>
        <w:tab/>
      </w:r>
      <w:r w:rsidRPr="00D354D8">
        <w:rPr>
          <w:lang w:val="ru-RU"/>
        </w:rPr>
        <w:t>что все правительства должны иметь одинаковые задачи и равные обязательства в сфере управления использованием интернета на международном уровне и обеспечения стабильности, безопасности и непрерывности интернета, признавая при этом необходимость разработки государственной политики правительствами при консультациях со всеми заинтересованными сторонами, как это указано в пункте 68 Тунисской программы</w:t>
      </w:r>
      <w:r w:rsidRPr="00D354D8">
        <w:rPr>
          <w:rFonts w:cstheme="minorHAnsi"/>
          <w:lang w:val="ru-RU"/>
        </w:rPr>
        <w:t>;</w:t>
      </w:r>
    </w:p>
    <w:p w:rsidR="004D20FB" w:rsidRPr="00D354D8" w:rsidRDefault="004D20FB" w:rsidP="004D20FB">
      <w:pPr>
        <w:rPr>
          <w:rFonts w:cstheme="minorHAnsi"/>
          <w:lang w:val="ru-RU"/>
        </w:rPr>
      </w:pPr>
      <w:r w:rsidRPr="00D354D8">
        <w:rPr>
          <w:rFonts w:cstheme="minorHAnsi"/>
          <w:lang w:val="ru-RU"/>
        </w:rPr>
        <w:lastRenderedPageBreak/>
        <w:t>e)</w:t>
      </w:r>
      <w:r w:rsidRPr="00D354D8">
        <w:rPr>
          <w:rFonts w:cstheme="minorHAnsi"/>
          <w:lang w:val="ru-RU"/>
        </w:rPr>
        <w:tab/>
      </w:r>
      <w:r w:rsidRPr="00D354D8">
        <w:rPr>
          <w:rFonts w:eastAsia="'宋体"/>
          <w:lang w:val="ru-RU"/>
        </w:rPr>
        <w:t>необходимость упрочения сотрудничества в будущем, – с тем чтобы правительства могли на равной основе играть свою роль и выполнять свои обязательства, – в решении вопросов международной государственной политики, касающихся интернета, а не в сфере повседневной деятельности технического и эксплуатационного характера, которые не влияют на вопросы международной государственной политики</w:t>
      </w:r>
      <w:r w:rsidRPr="00D354D8">
        <w:rPr>
          <w:lang w:val="ru-RU"/>
        </w:rPr>
        <w:t>, как это указано в пункте 69 Тунисской программы</w:t>
      </w:r>
      <w:r w:rsidRPr="00D354D8">
        <w:rPr>
          <w:rFonts w:cstheme="minorHAnsi"/>
          <w:lang w:val="ru-RU"/>
        </w:rPr>
        <w:t>,</w:t>
      </w:r>
    </w:p>
    <w:p w:rsidR="004D20FB" w:rsidRPr="00D354D8" w:rsidRDefault="004D20FB" w:rsidP="004D20FB">
      <w:pPr>
        <w:rPr>
          <w:rFonts w:cstheme="minorHAnsi"/>
          <w:lang w:val="ru-RU"/>
        </w:rPr>
      </w:pPr>
      <w:r w:rsidRPr="00D354D8">
        <w:rPr>
          <w:rFonts w:cstheme="minorHAnsi"/>
          <w:lang w:val="ru-RU"/>
        </w:rPr>
        <w:t>f)</w:t>
      </w:r>
      <w:r w:rsidRPr="00D354D8">
        <w:rPr>
          <w:rFonts w:cstheme="minorHAnsi"/>
          <w:lang w:val="ru-RU"/>
        </w:rPr>
        <w:tab/>
        <w:t xml:space="preserve">Резолюции 101, 102 и 133 Полномочной конференции, в которых решается, в частности, </w:t>
      </w:r>
      <w:r w:rsidRPr="00D354D8">
        <w:rPr>
          <w:lang w:val="ru-RU"/>
        </w:rPr>
        <w:t>изучать пути и средства расширения сотрудничества и координации между МСЭ и соответствующими организациями,</w:t>
      </w:r>
      <w:r w:rsidRPr="00D354D8">
        <w:rPr>
          <w:rFonts w:cstheme="minorHAnsi"/>
          <w:lang w:val="ru-RU"/>
        </w:rPr>
        <w:t xml:space="preserve"> </w:t>
      </w:r>
      <w:r w:rsidRPr="00D354D8">
        <w:rPr>
          <w:lang w:val="ru-RU"/>
        </w:rPr>
        <w:t>которые участвуют в развитии сетей на базе IP и будущего интернета, с помощью соглашений о сотрудничестве, в надлежащих случаях, в целях повышения роли МСЭ в управлении использованием ин</w:t>
      </w:r>
      <w:bookmarkStart w:id="0" w:name="_GoBack"/>
      <w:bookmarkEnd w:id="0"/>
      <w:r w:rsidRPr="00D354D8">
        <w:rPr>
          <w:lang w:val="ru-RU"/>
        </w:rPr>
        <w:t>тернета, с тем чтобы обеспечивать максимальную пользу для глобального сообщества</w:t>
      </w:r>
      <w:r w:rsidRPr="00D354D8">
        <w:rPr>
          <w:rFonts w:cstheme="minorHAnsi"/>
          <w:lang w:val="ru-RU"/>
        </w:rPr>
        <w:t>;</w:t>
      </w:r>
    </w:p>
    <w:p w:rsidR="004D20FB" w:rsidRPr="00D354D8" w:rsidRDefault="004D20FB" w:rsidP="004D20FB">
      <w:pPr>
        <w:rPr>
          <w:rFonts w:cstheme="minorHAnsi"/>
          <w:lang w:val="ru-RU"/>
        </w:rPr>
      </w:pPr>
      <w:r w:rsidRPr="00D354D8">
        <w:rPr>
          <w:rFonts w:cstheme="minorHAnsi"/>
          <w:lang w:val="ru-RU"/>
        </w:rPr>
        <w:t>g)</w:t>
      </w:r>
      <w:r w:rsidRPr="00D354D8">
        <w:rPr>
          <w:rFonts w:cstheme="minorHAnsi"/>
          <w:lang w:val="ru-RU"/>
        </w:rPr>
        <w:tab/>
        <w:t xml:space="preserve">резолюцию </w:t>
      </w:r>
      <w:r w:rsidRPr="00D354D8">
        <w:rPr>
          <w:rFonts w:cstheme="minorHAnsi"/>
          <w:b/>
          <w:lang w:val="ru-RU"/>
        </w:rPr>
        <w:t xml:space="preserve">A/RES/67/195 </w:t>
      </w:r>
      <w:r w:rsidRPr="00D354D8">
        <w:rPr>
          <w:rFonts w:cstheme="minorHAnsi"/>
          <w:bCs/>
          <w:lang w:val="ru-RU"/>
        </w:rPr>
        <w:t>Генеральной Ассамблеи Организации Объединенных Наций, в пункте</w:t>
      </w:r>
      <w:r w:rsidRPr="00D354D8">
        <w:rPr>
          <w:rFonts w:cstheme="minorHAnsi"/>
          <w:lang w:val="ru-RU"/>
        </w:rPr>
        <w:t xml:space="preserve"> 19 </w:t>
      </w:r>
      <w:r w:rsidRPr="00D354D8">
        <w:rPr>
          <w:rFonts w:cs="Arial"/>
          <w:lang w:val="ru-RU"/>
        </w:rPr>
        <w:t>которой подчеркивается необходимость активизации участия всех развивающихся стран, в частности наименее развитых, во всех совещаниях Форума по вопросам управления интернетом и в этой связи государствам-членам и другим заинтересованным сторонам предлагается поддерживать участие правительств и всех других заинтересованных сторон из развивающихся стран как в самом Форуме, так и в подготовительных совещаниях</w:t>
      </w:r>
      <w:r w:rsidRPr="00D354D8">
        <w:rPr>
          <w:rFonts w:cstheme="minorHAnsi"/>
          <w:lang w:val="ru-RU"/>
        </w:rPr>
        <w:t>,</w:t>
      </w:r>
    </w:p>
    <w:p w:rsidR="004D20FB" w:rsidRPr="00D354D8" w:rsidRDefault="004D20FB" w:rsidP="004D20FB">
      <w:pPr>
        <w:pStyle w:val="Call"/>
        <w:rPr>
          <w:lang w:val="ru-RU"/>
        </w:rPr>
      </w:pPr>
      <w:r w:rsidRPr="00D354D8">
        <w:rPr>
          <w:lang w:val="ru-RU"/>
        </w:rPr>
        <w:t>принимая во внимание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a)</w:t>
      </w:r>
      <w:r w:rsidRPr="00D354D8">
        <w:rPr>
          <w:lang w:val="ru-RU"/>
        </w:rPr>
        <w:tab/>
        <w:t>что ряд Государств-Членов приняли принципы высокого уровня по вопросам управления использованием интернета, в которых подчеркивается взаимодополняющая роль правительств, частного сектора, гражданского общества и других заинтересованных сторон в вопросах государственной политики, касающихся интернета;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b)</w:t>
      </w:r>
      <w:r w:rsidRPr="00D354D8">
        <w:rPr>
          <w:lang w:val="ru-RU"/>
        </w:rPr>
        <w:tab/>
        <w:t>что некоторые Государства-Члены считают, что ключевая тенденция в развитии современного информационного общества заключается в повышении роли интернета в системе международной электросвязи/ИКТ, а также части национальной инфраструктуры электросвязи. Соответственно, они рассматривают ресурсы нумерации, наименований, адресации и идентификации сети интернет как крайне важный международный ресурс,</w:t>
      </w:r>
    </w:p>
    <w:p w:rsidR="004D20FB" w:rsidRPr="00D354D8" w:rsidRDefault="004D20FB" w:rsidP="004D20FB">
      <w:pPr>
        <w:pStyle w:val="Call"/>
        <w:rPr>
          <w:lang w:val="ru-RU"/>
        </w:rPr>
      </w:pPr>
      <w:r w:rsidRPr="00D354D8">
        <w:rPr>
          <w:lang w:val="ru-RU"/>
        </w:rPr>
        <w:t>признавая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a)</w:t>
      </w:r>
      <w:r w:rsidRPr="00D354D8">
        <w:rPr>
          <w:lang w:val="ru-RU"/>
        </w:rPr>
        <w:tab/>
        <w:t>что различные организации представляют ценные вклады по многочисленным вопросам, касающимся управления использованием интернета;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b)</w:t>
      </w:r>
      <w:r w:rsidRPr="00D354D8">
        <w:rPr>
          <w:lang w:val="ru-RU"/>
        </w:rPr>
        <w:tab/>
        <w:t>что многие Государства-Члены все еще стремятся к достижению соответствующего представительства в существующих рамках для участия правительств в решении вопросов управления использованием интернета;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c)</w:t>
      </w:r>
      <w:r w:rsidRPr="00D354D8">
        <w:rPr>
          <w:lang w:val="ru-RU"/>
        </w:rPr>
        <w:tab/>
        <w:t xml:space="preserve">что Государства-Члены играют одинаковую роль и несут равную ответственность за обеспечение надежного </w:t>
      </w:r>
      <w:r w:rsidRPr="00D354D8">
        <w:rPr>
          <w:rFonts w:cs="Segoe UI"/>
          <w:color w:val="000000"/>
          <w:lang w:val="ru-RU"/>
        </w:rPr>
        <w:t>выделения, присвоения и отзыва ресурсов нумерации, наименований, адресации и идентификации сети интернета</w:t>
      </w:r>
      <w:r w:rsidRPr="00D354D8">
        <w:rPr>
          <w:lang w:val="ru-RU"/>
        </w:rPr>
        <w:t>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d)</w:t>
      </w:r>
      <w:r w:rsidRPr="00D354D8">
        <w:rPr>
          <w:lang w:val="ru-RU"/>
        </w:rPr>
        <w:tab/>
        <w:t>что значительное количество вопросов, касающихся управления использованием интернета, связано с проблемами электросвязи;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e)</w:t>
      </w:r>
      <w:r w:rsidRPr="00D354D8">
        <w:rPr>
          <w:lang w:val="ru-RU"/>
        </w:rPr>
        <w:tab/>
        <w:t>суверенное право государств в области государственной политики, касающейся интернета,</w:t>
      </w:r>
    </w:p>
    <w:p w:rsidR="004D20FB" w:rsidRPr="00D354D8" w:rsidRDefault="004D20FB" w:rsidP="004D20FB">
      <w:pPr>
        <w:pStyle w:val="Call"/>
        <w:rPr>
          <w:lang w:val="ru-RU"/>
        </w:rPr>
      </w:pPr>
      <w:r w:rsidRPr="00D354D8">
        <w:rPr>
          <w:lang w:val="ru-RU"/>
        </w:rPr>
        <w:t>подчеркивая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a)</w:t>
      </w:r>
      <w:r w:rsidRPr="00D354D8">
        <w:rPr>
          <w:lang w:val="ru-RU"/>
        </w:rPr>
        <w:tab/>
        <w:t>конструктивную роль, которую играет МСЭ в</w:t>
      </w:r>
      <w:r w:rsidR="00D37C7E" w:rsidRPr="00D354D8">
        <w:rPr>
          <w:lang w:val="ru-RU"/>
        </w:rPr>
        <w:t xml:space="preserve"> содействии постоянному развити</w:t>
      </w:r>
      <w:r w:rsidRPr="00D354D8">
        <w:rPr>
          <w:lang w:val="ru-RU"/>
        </w:rPr>
        <w:t>ю интернета, в частности, с помощью вкладов своих членов и деятельности трех его Секторов;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lastRenderedPageBreak/>
        <w:t>b)</w:t>
      </w:r>
      <w:r w:rsidRPr="00D354D8">
        <w:rPr>
          <w:lang w:val="ru-RU"/>
        </w:rPr>
        <w:tab/>
        <w:t>что МСЭ представляет собой многостороннюю организацию, открытую для частного сектора и гражданского общества, которые могут участвовать как члены по своему собственному праву, а также как члены национальных делегаций;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c)</w:t>
      </w:r>
      <w:r w:rsidRPr="00D354D8">
        <w:rPr>
          <w:lang w:val="ru-RU"/>
        </w:rPr>
        <w:tab/>
        <w:t>важную и конструктивную роль открытых и всеобъемлющих консультаций с участием многих заинтересованных сторон на национальном уровне,</w:t>
      </w:r>
    </w:p>
    <w:p w:rsidR="004D20FB" w:rsidRPr="00D354D8" w:rsidRDefault="004D20FB" w:rsidP="004D20FB">
      <w:pPr>
        <w:pStyle w:val="Call"/>
        <w:rPr>
          <w:lang w:val="ru-RU"/>
        </w:rPr>
      </w:pPr>
      <w:r w:rsidRPr="00D354D8">
        <w:rPr>
          <w:lang w:val="ru-RU"/>
        </w:rPr>
        <w:t>придерживается мнения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1</w:t>
      </w:r>
      <w:r w:rsidRPr="00D354D8">
        <w:rPr>
          <w:lang w:val="ru-RU"/>
        </w:rPr>
        <w:tab/>
        <w:t xml:space="preserve">что МСЭ, как специализированное учреждение Организации Объединенных Наций по вопросам электросвязи, обладает уникальной способностью предоставлять Государствам-Членам необходимую и адекватную поддержку для обеспечения широкого правительственного участия, в рамках международного управления использованием интернета, по вопросам, касающимся электросвязи; 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2</w:t>
      </w:r>
      <w:r w:rsidRPr="00D354D8">
        <w:rPr>
          <w:lang w:val="ru-RU"/>
        </w:rPr>
        <w:tab/>
        <w:t>что Государства-Члены имеют право на разработку и осуществление национальной государственной политики по вопросам управления использованием интернета, а также предлагать международную политику по таким вопросам;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3</w:t>
      </w:r>
      <w:r w:rsidRPr="00D354D8">
        <w:rPr>
          <w:lang w:val="ru-RU"/>
        </w:rPr>
        <w:tab/>
        <w:t xml:space="preserve">что правительствам предоставляются возможности для участия в существующих процессах с привлечением многих сторон, касающихся различных аспектов развития интернета и их политики; 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4</w:t>
      </w:r>
      <w:r w:rsidRPr="00D354D8">
        <w:rPr>
          <w:lang w:val="ru-RU"/>
        </w:rPr>
        <w:tab/>
        <w:t>что управление использованием интернета с участием многих сторон должно и далее осуществляться с привлечением всех сторон, каждая из которых играет свою соответствующую роль;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5</w:t>
      </w:r>
      <w:r w:rsidRPr="00D354D8">
        <w:rPr>
          <w:lang w:val="ru-RU"/>
        </w:rPr>
        <w:tab/>
        <w:t>что все стороны должны продолжать добросовестно сотрудничать в соответствии со своими соответствующими функциями и мандатами;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6</w:t>
      </w:r>
      <w:r w:rsidRPr="00D354D8">
        <w:rPr>
          <w:lang w:val="ru-RU"/>
        </w:rPr>
        <w:tab/>
        <w:t>что МСЭ, в рамках своего мандата, должен продолжать содействовать межправительственным обсуждениям по вопросам управления использованием интернета,</w:t>
      </w:r>
    </w:p>
    <w:p w:rsidR="004D20FB" w:rsidRPr="00D354D8" w:rsidRDefault="004D20FB" w:rsidP="004D20FB">
      <w:pPr>
        <w:pStyle w:val="Call"/>
        <w:rPr>
          <w:lang w:val="ru-RU"/>
        </w:rPr>
      </w:pPr>
      <w:r w:rsidRPr="00D354D8">
        <w:rPr>
          <w:lang w:val="ru-RU"/>
        </w:rPr>
        <w:t>предлагает Генеральному секретарю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1</w:t>
      </w:r>
      <w:r w:rsidRPr="00D354D8">
        <w:rPr>
          <w:lang w:val="ru-RU"/>
        </w:rPr>
        <w:tab/>
        <w:t>оказывать поддержку с помощью Секретариата МСЭ участию развивающихся стран, особенно наименее развитых стран, в соответствующих организациях в рамках существующей основы управления использованием интернета, включая предложение о создании потенциала по конкретным вопросам;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2</w:t>
      </w:r>
      <w:r w:rsidRPr="00D354D8">
        <w:rPr>
          <w:lang w:val="ru-RU"/>
        </w:rPr>
        <w:tab/>
        <w:t>продолжать содействовать открытости и прозрачности в процессе принятия решений в рамках МСЭ;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3</w:t>
      </w:r>
      <w:r w:rsidRPr="00D354D8">
        <w:rPr>
          <w:lang w:val="ru-RU"/>
        </w:rPr>
        <w:tab/>
        <w:t xml:space="preserve">обеспечивать, чтобы МСЭ продолжал играть активную роль в управлении использованием интернета, </w:t>
      </w:r>
    </w:p>
    <w:p w:rsidR="004D20FB" w:rsidRPr="00D354D8" w:rsidRDefault="004D20FB" w:rsidP="004D20FB">
      <w:pPr>
        <w:pStyle w:val="Call"/>
        <w:rPr>
          <w:lang w:val="ru-RU"/>
        </w:rPr>
      </w:pPr>
      <w:r w:rsidRPr="00D354D8">
        <w:rPr>
          <w:lang w:val="ru-RU"/>
        </w:rPr>
        <w:t>предлагает Государствам-Членам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1</w:t>
      </w:r>
      <w:r w:rsidRPr="00D354D8">
        <w:rPr>
          <w:lang w:val="ru-RU"/>
        </w:rPr>
        <w:tab/>
        <w:t xml:space="preserve">вносить свои вклады в обсуждение вопросов сотрудничества и участия в рамках управления использованием интернета как на основе текущей повестки дня ВВУИО, так и при подготовке к Общему обзору выполнения решений ВВУИО (ВВУИО+10); 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2</w:t>
      </w:r>
      <w:r w:rsidRPr="00D354D8">
        <w:rPr>
          <w:lang w:val="ru-RU"/>
        </w:rPr>
        <w:tab/>
        <w:t>вносить конструктивный вклад в дальнейшее развитие интернета и в обсуждение соответствующих вопросов в рамках МСЭ, в зависимости от случая;</w:t>
      </w:r>
    </w:p>
    <w:p w:rsidR="004D20FB" w:rsidRPr="00D354D8" w:rsidRDefault="004D20FB" w:rsidP="004D20FB">
      <w:pPr>
        <w:rPr>
          <w:lang w:val="ru-RU"/>
        </w:rPr>
      </w:pPr>
      <w:r w:rsidRPr="00D354D8">
        <w:rPr>
          <w:lang w:val="ru-RU"/>
        </w:rPr>
        <w:t>3</w:t>
      </w:r>
      <w:r w:rsidRPr="00D354D8">
        <w:rPr>
          <w:lang w:val="ru-RU"/>
        </w:rPr>
        <w:tab/>
        <w:t>вносить активный вклад в работу форумов с участием многих заинтересованных сторон и принимать в них активное участие наряду со всеми другими заинтересованными сторонами.</w:t>
      </w:r>
    </w:p>
    <w:p w:rsidR="004D20FB" w:rsidRPr="00D354D8" w:rsidRDefault="004D20FB" w:rsidP="004D20FB">
      <w:pPr>
        <w:spacing w:before="720"/>
        <w:jc w:val="center"/>
        <w:rPr>
          <w:lang w:val="ru-RU"/>
        </w:rPr>
      </w:pPr>
      <w:r w:rsidRPr="00D354D8">
        <w:rPr>
          <w:lang w:val="ru-RU"/>
        </w:rPr>
        <w:t>______________</w:t>
      </w:r>
    </w:p>
    <w:sectPr w:rsidR="004D20FB" w:rsidRPr="00D354D8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0FB" w:rsidRDefault="004D20FB">
      <w:r>
        <w:separator/>
      </w:r>
    </w:p>
  </w:endnote>
  <w:endnote w:type="continuationSeparator" w:id="0">
    <w:p w:rsidR="004D20FB" w:rsidRDefault="004D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'宋体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D37C7E">
      <w:rPr>
        <w:lang w:val="en-US"/>
      </w:rPr>
      <w:t>P:\RUS\SG\CONF-SG\WTPF13\000\005R.docx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 w:rsidR="00D37C7E">
      <w:rPr>
        <w:lang w:val="ru-RU"/>
      </w:rPr>
      <w:t>343491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D354D8">
      <w:t>30.04.13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4D20FB">
      <w:t>28.03.06</w:t>
    </w:r>
    <w:r w:rsidR="002D48C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D37C7E" w:rsidRDefault="00D37C7E" w:rsidP="00D37C7E">
    <w:pPr>
      <w:pStyle w:val="Footer"/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P:\RUS\SG\CONF-SG\WTPF13\000\005R.docx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>
      <w:rPr>
        <w:lang w:val="ru-RU"/>
      </w:rPr>
      <w:t>343491</w:t>
    </w:r>
    <w:r w:rsidRPr="003F099E">
      <w:rPr>
        <w:lang w:val="en-US"/>
      </w:rPr>
      <w:t>)</w:t>
    </w:r>
    <w:r w:rsidRPr="003F099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354D8">
      <w:t>30.04.13</w:t>
    </w:r>
    <w:r>
      <w:fldChar w:fldCharType="end"/>
    </w:r>
    <w:r w:rsidRPr="003F099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28.03.06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0FB" w:rsidRDefault="004D20FB">
      <w:r>
        <w:t>____________________</w:t>
      </w:r>
    </w:p>
  </w:footnote>
  <w:footnote w:type="continuationSeparator" w:id="0">
    <w:p w:rsidR="004D20FB" w:rsidRDefault="004D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D354D8">
      <w:rPr>
        <w:noProof/>
      </w:rPr>
      <w:t>3</w:t>
    </w:r>
    <w:r>
      <w:rPr>
        <w:noProof/>
      </w:rPr>
      <w:fldChar w:fldCharType="end"/>
    </w:r>
  </w:p>
  <w:p w:rsidR="000E568E" w:rsidRDefault="00A82528" w:rsidP="00A82528">
    <w:pPr>
      <w:pStyle w:val="Header"/>
      <w:spacing w:after="480"/>
    </w:pPr>
    <w:r>
      <w:t>WTPF-13</w:t>
    </w:r>
    <w:r w:rsidR="000E568E">
      <w:t>/</w:t>
    </w:r>
    <w:r w:rsidR="00D37C7E">
      <w:rPr>
        <w:lang w:val="ru-RU"/>
      </w:rPr>
      <w:t>5</w:t>
    </w:r>
    <w:r w:rsidR="000E568E"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FB"/>
    <w:rsid w:val="0002183E"/>
    <w:rsid w:val="000569B4"/>
    <w:rsid w:val="00080E82"/>
    <w:rsid w:val="000E568E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45B5"/>
    <w:rsid w:val="004D0129"/>
    <w:rsid w:val="004D20FB"/>
    <w:rsid w:val="00505E8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B0BAE"/>
    <w:rsid w:val="00A71773"/>
    <w:rsid w:val="00A82528"/>
    <w:rsid w:val="00AE2C85"/>
    <w:rsid w:val="00B63EF2"/>
    <w:rsid w:val="00BC0D39"/>
    <w:rsid w:val="00BC7BC0"/>
    <w:rsid w:val="00BD57B7"/>
    <w:rsid w:val="00BE63E2"/>
    <w:rsid w:val="00CB64FA"/>
    <w:rsid w:val="00CF629C"/>
    <w:rsid w:val="00D15C80"/>
    <w:rsid w:val="00D354D8"/>
    <w:rsid w:val="00D37C7E"/>
    <w:rsid w:val="00DA5D4E"/>
    <w:rsid w:val="00E176BA"/>
    <w:rsid w:val="00E423E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4D20FB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0F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4D20FB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ikova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7</TotalTime>
  <Pages>3</Pages>
  <Words>968</Words>
  <Characters>6964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7917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Gribkova, Anna</dc:creator>
  <cp:keywords>C2004, C04</cp:keywords>
  <dc:description>Документ C05/xx-R  For: _x000d_Document date: Дата_x000d_Saved by RUS38507 at 8:49:12 AM on 2/8/2005</dc:description>
  <cp:lastModifiedBy>Antipina, Nadezda</cp:lastModifiedBy>
  <cp:revision>3</cp:revision>
  <cp:lastPrinted>2006-03-28T16:12:00Z</cp:lastPrinted>
  <dcterms:created xsi:type="dcterms:W3CDTF">2013-04-30T13:40:00Z</dcterms:created>
  <dcterms:modified xsi:type="dcterms:W3CDTF">2013-05-01T14:18:00Z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