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CB1243">
        <w:trPr>
          <w:cantSplit/>
        </w:trPr>
        <w:tc>
          <w:tcPr>
            <w:tcW w:w="6911" w:type="dxa"/>
          </w:tcPr>
          <w:p w:rsidR="00BB1D82" w:rsidRPr="00960D89" w:rsidRDefault="00960D89" w:rsidP="007C0C41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7C0C41">
            <w:pPr>
              <w:spacing w:before="0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5C8F5217" wp14:editId="014D128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CB12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7C0C4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7C0C4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7C0C4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7C0C4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7C0C41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7C0C4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30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7C0C4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7C0C4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23</w:t>
            </w:r>
            <w:r w:rsidRPr="00E35323">
              <w:rPr>
                <w:rFonts w:cstheme="minorHAnsi"/>
                <w:b/>
                <w:szCs w:val="24"/>
                <w:lang w:val="fr-BE"/>
              </w:rPr>
              <w:t xml:space="preserve"> novembre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7C0C4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7C0C4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</w:t>
            </w:r>
            <w:r w:rsidRPr="00E35323">
              <w:rPr>
                <w:rFonts w:cstheme="minorHAnsi"/>
                <w:b/>
                <w:szCs w:val="24"/>
                <w:lang w:val="fr-BE"/>
              </w:rPr>
              <w:t xml:space="preserve"> anglais</w:t>
            </w:r>
          </w:p>
        </w:tc>
      </w:tr>
      <w:tr w:rsidR="00A37105" w:rsidRPr="002A6F8F" w:rsidTr="00CB1243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7C0C4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CB1243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7C0C41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2A6F8F">
              <w:rPr>
                <w:lang w:val="en-US"/>
              </w:rPr>
              <w:t>Ghana</w:t>
            </w:r>
          </w:p>
        </w:tc>
      </w:tr>
      <w:tr w:rsidR="00BB1D82" w:rsidRPr="002A6F8F" w:rsidTr="00CB1243">
        <w:trPr>
          <w:cantSplit/>
        </w:trPr>
        <w:tc>
          <w:tcPr>
            <w:tcW w:w="10031" w:type="dxa"/>
            <w:gridSpan w:val="2"/>
          </w:tcPr>
          <w:p w:rsidR="00BB1D82" w:rsidRPr="007C0C41" w:rsidRDefault="000A3DBD" w:rsidP="007C0C41">
            <w:pPr>
              <w:pStyle w:val="Title1"/>
            </w:pPr>
            <w:bookmarkStart w:id="3" w:name="dtitle1" w:colFirst="0" w:colLast="0"/>
            <w:bookmarkEnd w:id="2"/>
            <w:r w:rsidRPr="007C0C41">
              <w:t>PROPOSITIONS POUR LES TRAVAUX DE LA CONFÉRENCE</w:t>
            </w:r>
          </w:p>
        </w:tc>
      </w:tr>
      <w:tr w:rsidR="00BB1D82" w:rsidTr="00CB1243">
        <w:trPr>
          <w:cantSplit/>
        </w:trPr>
        <w:tc>
          <w:tcPr>
            <w:tcW w:w="10031" w:type="dxa"/>
            <w:gridSpan w:val="2"/>
          </w:tcPr>
          <w:p w:rsidR="00BB1D82" w:rsidRDefault="00BB1D82" w:rsidP="007C0C41">
            <w:pPr>
              <w:pStyle w:val="Agendaitem"/>
            </w:pPr>
            <w:bookmarkStart w:id="4" w:name="dtitle3" w:colFirst="0" w:colLast="0"/>
            <w:bookmarkEnd w:id="3"/>
          </w:p>
        </w:tc>
      </w:tr>
    </w:tbl>
    <w:bookmarkEnd w:id="4"/>
    <w:p w:rsidR="00A33020" w:rsidRDefault="00A33020" w:rsidP="007C0C41">
      <w:pPr>
        <w:pStyle w:val="Proposal"/>
      </w:pPr>
      <w:r>
        <w:rPr>
          <w:b/>
        </w:rPr>
        <w:t>ADD</w:t>
      </w:r>
      <w:r>
        <w:tab/>
        <w:t>GHA/30/1</w:t>
      </w:r>
    </w:p>
    <w:p w:rsidR="00A33020" w:rsidRPr="007B2135" w:rsidRDefault="00A33020" w:rsidP="007C0C41">
      <w:pPr>
        <w:pStyle w:val="ResNo"/>
      </w:pPr>
      <w:bookmarkStart w:id="5" w:name="_Toc89759550"/>
      <w:bookmarkStart w:id="6" w:name="_Toc89759853"/>
      <w:bookmarkStart w:id="7" w:name="_Toc89767446"/>
      <w:bookmarkStart w:id="8" w:name="_Toc89767784"/>
      <w:r w:rsidRPr="00A33020">
        <w:rPr>
          <w:lang w:val="fr-CH"/>
        </w:rPr>
        <w:t>projet de nouvelle résolution</w:t>
      </w:r>
      <w:r w:rsidRPr="007B2135">
        <w:t xml:space="preserve"> [GHA-1]</w:t>
      </w:r>
    </w:p>
    <w:bookmarkEnd w:id="5"/>
    <w:bookmarkEnd w:id="6"/>
    <w:bookmarkEnd w:id="7"/>
    <w:bookmarkEnd w:id="8"/>
    <w:p w:rsidR="00A33020" w:rsidRPr="00EE5E74" w:rsidRDefault="007C0C41" w:rsidP="007C0C41">
      <w:pPr>
        <w:pStyle w:val="Restitle"/>
      </w:pPr>
      <w:r>
        <w:t>Nécessité d</w:t>
      </w:r>
      <w:r w:rsidR="00777C88">
        <w:t>'</w:t>
      </w:r>
      <w:r>
        <w:t>e</w:t>
      </w:r>
      <w:r w:rsidR="00CB1243">
        <w:t xml:space="preserve">xaminer le RTI </w:t>
      </w:r>
      <w:r>
        <w:t>à intervalles plus réguliers</w:t>
      </w:r>
    </w:p>
    <w:p w:rsidR="00A33020" w:rsidRPr="00E35323" w:rsidRDefault="00B958BB" w:rsidP="007C0C41">
      <w:pPr>
        <w:pStyle w:val="Normalaftertitle0"/>
        <w:snapToGrid w:val="0"/>
        <w:spacing w:before="3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r w:rsidR="00CB1243" w:rsidRPr="00E35323">
        <w:rPr>
          <w:rFonts w:asciiTheme="minorHAnsi" w:hAnsiTheme="minorHAnsi" w:cstheme="minorHAnsi"/>
          <w:sz w:val="24"/>
          <w:szCs w:val="24"/>
        </w:rPr>
        <w:t>Conférence mondiale des télécommunications internationales</w:t>
      </w:r>
      <w:r w:rsidR="00A33020" w:rsidRPr="00E35323">
        <w:rPr>
          <w:rFonts w:asciiTheme="minorHAnsi" w:hAnsiTheme="minorHAnsi" w:cstheme="minorHAnsi"/>
          <w:sz w:val="24"/>
          <w:szCs w:val="24"/>
        </w:rPr>
        <w:t xml:space="preserve"> (</w:t>
      </w:r>
      <w:r w:rsidR="00CB1243" w:rsidRPr="00E35323">
        <w:rPr>
          <w:rFonts w:asciiTheme="minorHAnsi" w:hAnsiTheme="minorHAnsi" w:cstheme="minorHAnsi"/>
          <w:sz w:val="24"/>
          <w:szCs w:val="24"/>
        </w:rPr>
        <w:t>Dubaï,</w:t>
      </w:r>
      <w:r w:rsidR="00A33020" w:rsidRPr="00E35323">
        <w:rPr>
          <w:rFonts w:asciiTheme="minorHAnsi" w:hAnsiTheme="minorHAnsi" w:cstheme="minorHAnsi"/>
          <w:sz w:val="24"/>
          <w:szCs w:val="24"/>
        </w:rPr>
        <w:t xml:space="preserve"> 2012),</w:t>
      </w:r>
    </w:p>
    <w:p w:rsidR="00A33020" w:rsidRPr="00D41478" w:rsidRDefault="00CB1243" w:rsidP="00D41478">
      <w:pPr>
        <w:pStyle w:val="Call"/>
      </w:pPr>
      <w:r w:rsidRPr="00D41478">
        <w:t>reconnaissant</w:t>
      </w:r>
    </w:p>
    <w:p w:rsidR="00CB1243" w:rsidRDefault="007C0C41" w:rsidP="00D41478">
      <w:r w:rsidRPr="00D41478">
        <w:rPr>
          <w:i/>
          <w:iCs/>
        </w:rPr>
        <w:t>a)</w:t>
      </w:r>
      <w:r>
        <w:tab/>
      </w:r>
      <w:r w:rsidR="00CB1243" w:rsidRPr="00D44C66">
        <w:t xml:space="preserve">que le Règlement des télécommunications internationales (RTI) </w:t>
      </w:r>
      <w:r w:rsidR="0037346F" w:rsidRPr="00D44C66">
        <w:t>est l</w:t>
      </w:r>
      <w:r w:rsidR="00777C88">
        <w:t>'</w:t>
      </w:r>
      <w:r w:rsidR="0037346F" w:rsidRPr="00D44C66">
        <w:t xml:space="preserve">un des piliers sur lesquels </w:t>
      </w:r>
      <w:r w:rsidR="00D44C66" w:rsidRPr="00D44C66">
        <w:t>s</w:t>
      </w:r>
      <w:r w:rsidR="00777C88">
        <w:t>'</w:t>
      </w:r>
      <w:r w:rsidR="00D44C66" w:rsidRPr="00D44C66">
        <w:t>appuie</w:t>
      </w:r>
      <w:r w:rsidR="0037346F" w:rsidRPr="00D44C66">
        <w:t xml:space="preserve"> la mission</w:t>
      </w:r>
      <w:r w:rsidR="0037346F" w:rsidRPr="00E35323">
        <w:t xml:space="preserve"> de l</w:t>
      </w:r>
      <w:r w:rsidR="00777C88">
        <w:t>'</w:t>
      </w:r>
      <w:r w:rsidR="0037346F" w:rsidRPr="00E35323">
        <w:t>UIT;</w:t>
      </w:r>
    </w:p>
    <w:p w:rsidR="007C0C41" w:rsidRPr="00D41478" w:rsidRDefault="007C0C41" w:rsidP="00D41478">
      <w:pPr>
        <w:rPr>
          <w:i/>
          <w:iCs/>
        </w:rPr>
      </w:pPr>
      <w:r w:rsidRPr="00D41478">
        <w:rPr>
          <w:i/>
          <w:iCs/>
        </w:rPr>
        <w:t>b)</w:t>
      </w:r>
      <w:r w:rsidRPr="00D41478">
        <w:rPr>
          <w:i/>
          <w:iCs/>
        </w:rPr>
        <w:tab/>
      </w:r>
      <w:r w:rsidR="0037346F" w:rsidRPr="00D41478">
        <w:t>que 24 années se sont écoulées entre l</w:t>
      </w:r>
      <w:r w:rsidR="00777C88">
        <w:t>'</w:t>
      </w:r>
      <w:r w:rsidR="0037346F" w:rsidRPr="00D41478">
        <w:t>approbation du RTI et son examen à la présente Conférence;</w:t>
      </w:r>
    </w:p>
    <w:p w:rsidR="0037346F" w:rsidRPr="00D41478" w:rsidRDefault="007C0C41" w:rsidP="00864582">
      <w:pPr>
        <w:rPr>
          <w:i/>
          <w:iCs/>
        </w:rPr>
      </w:pPr>
      <w:r w:rsidRPr="00D41478">
        <w:rPr>
          <w:i/>
          <w:iCs/>
        </w:rPr>
        <w:t>c)</w:t>
      </w:r>
      <w:r w:rsidRPr="00D41478">
        <w:rPr>
          <w:i/>
          <w:iCs/>
        </w:rPr>
        <w:tab/>
      </w:r>
      <w:r w:rsidR="001710C7" w:rsidRPr="00D41478">
        <w:t xml:space="preserve">que le RTI consiste en un ensemble de principes directeurs de haut niveau qui ne </w:t>
      </w:r>
      <w:r w:rsidR="00B23A25" w:rsidRPr="00D41478">
        <w:t>devraient pas faire l</w:t>
      </w:r>
      <w:r w:rsidR="00777C88">
        <w:t>'</w:t>
      </w:r>
      <w:r w:rsidR="00B23A25" w:rsidRPr="00D41478">
        <w:t xml:space="preserve">objet </w:t>
      </w:r>
      <w:r w:rsidRPr="00D41478">
        <w:t>d</w:t>
      </w:r>
      <w:r w:rsidR="00777C88">
        <w:t>'</w:t>
      </w:r>
      <w:r w:rsidRPr="00D41478">
        <w:t>amendements fréquent</w:t>
      </w:r>
      <w:r w:rsidR="00E41FEC" w:rsidRPr="00D41478">
        <w:t>s mais qui</w:t>
      </w:r>
      <w:r w:rsidR="00B23A25" w:rsidRPr="00D41478">
        <w:t>, au vu de l</w:t>
      </w:r>
      <w:r w:rsidR="00777C88">
        <w:t>'</w:t>
      </w:r>
      <w:r w:rsidR="00B23A25" w:rsidRPr="00D41478">
        <w:t xml:space="preserve">évolution rapide </w:t>
      </w:r>
      <w:r w:rsidR="00864582">
        <w:t xml:space="preserve">du </w:t>
      </w:r>
      <w:r w:rsidR="00B23A25" w:rsidRPr="00D41478">
        <w:t>secteur des télécommunications/TIC,</w:t>
      </w:r>
      <w:r w:rsidR="00E41FEC" w:rsidRPr="00D41478">
        <w:t xml:space="preserve"> </w:t>
      </w:r>
      <w:r w:rsidR="001710C7" w:rsidRPr="00D41478">
        <w:t xml:space="preserve">doivent être examinés </w:t>
      </w:r>
      <w:r w:rsidR="00324245">
        <w:t>à intervalles plus régulie</w:t>
      </w:r>
      <w:r w:rsidRPr="00D41478">
        <w:t>rs</w:t>
      </w:r>
      <w:r w:rsidR="001710C7" w:rsidRPr="00D41478">
        <w:t>;</w:t>
      </w:r>
    </w:p>
    <w:p w:rsidR="007C0C41" w:rsidRDefault="00CB1243" w:rsidP="00D41478">
      <w:pPr>
        <w:pStyle w:val="Call"/>
      </w:pPr>
      <w:r w:rsidRPr="00E35323">
        <w:t>reconnaissant en outre</w:t>
      </w:r>
    </w:p>
    <w:p w:rsidR="00A33020" w:rsidRPr="007C0C41" w:rsidRDefault="007C0C41" w:rsidP="007C0C41">
      <w:pPr>
        <w:rPr>
          <w:i/>
        </w:rPr>
      </w:pPr>
      <w:r w:rsidRPr="007C0C41">
        <w:rPr>
          <w:i/>
          <w:iCs/>
        </w:rPr>
        <w:t>a)</w:t>
      </w:r>
      <w:r>
        <w:tab/>
      </w:r>
      <w:r w:rsidR="001710C7" w:rsidRPr="00E35323">
        <w:t>que le Règlement des radiocommunications (RR) définit:</w:t>
      </w:r>
    </w:p>
    <w:p w:rsidR="00622997" w:rsidRPr="007C0C41" w:rsidRDefault="007C0C41" w:rsidP="007C0C41">
      <w:pPr>
        <w:pStyle w:val="enumlev1"/>
      </w:pPr>
      <w:r w:rsidRPr="007C0C41">
        <w:t>i)</w:t>
      </w:r>
      <w:r w:rsidRPr="007C0C41">
        <w:tab/>
      </w:r>
      <w:r w:rsidR="0072742E" w:rsidRPr="007C0C41">
        <w:t>les attributions de</w:t>
      </w:r>
      <w:r w:rsidR="00864582">
        <w:t>s</w:t>
      </w:r>
      <w:r w:rsidR="0072742E" w:rsidRPr="007C0C41">
        <w:t xml:space="preserve"> différents</w:t>
      </w:r>
      <w:r w:rsidR="00D81C41">
        <w:t xml:space="preserve"> services de radiocommunication;</w:t>
      </w:r>
    </w:p>
    <w:p w:rsidR="00A778C6" w:rsidRPr="00E35323" w:rsidRDefault="007C0C41" w:rsidP="007C0C41">
      <w:pPr>
        <w:pStyle w:val="enumlev1"/>
      </w:pPr>
      <w:r>
        <w:t>ii)</w:t>
      </w:r>
      <w:r>
        <w:tab/>
      </w:r>
      <w:r w:rsidR="00A778C6" w:rsidRPr="00E35323">
        <w:t>les paramètres techniques obligatoires que doivent respecter les stations de radiocommunication, en particulier les émetteurs</w:t>
      </w:r>
      <w:r w:rsidR="00D81C41">
        <w:t>;</w:t>
      </w:r>
    </w:p>
    <w:p w:rsidR="00A778C6" w:rsidRPr="00E35323" w:rsidRDefault="007C0C41" w:rsidP="007C0C41">
      <w:pPr>
        <w:pStyle w:val="enumlev1"/>
      </w:pPr>
      <w:r>
        <w:t>iii)</w:t>
      </w:r>
      <w:r>
        <w:tab/>
      </w:r>
      <w:r w:rsidR="00A778C6" w:rsidRPr="00E35323">
        <w:t>la procédure de coordination et de notification des assignations de fré</w:t>
      </w:r>
      <w:r w:rsidR="00DC629E" w:rsidRPr="00E35323">
        <w:t>quence</w:t>
      </w:r>
      <w:r w:rsidR="00864582">
        <w:t>,</w:t>
      </w:r>
      <w:r w:rsidR="00A778C6" w:rsidRPr="00E35323">
        <w:t xml:space="preserve"> entre autres</w:t>
      </w:r>
      <w:r w:rsidR="00D81C41">
        <w:t>;</w:t>
      </w:r>
    </w:p>
    <w:p w:rsidR="00A778C6" w:rsidRPr="00E35323" w:rsidRDefault="007C0C41" w:rsidP="007C0C41">
      <w:pPr>
        <w:pStyle w:val="enumlev1"/>
      </w:pPr>
      <w:r>
        <w:t>iv)</w:t>
      </w:r>
      <w:r>
        <w:tab/>
      </w:r>
      <w:r w:rsidR="00A778C6" w:rsidRPr="00E35323">
        <w:t>l</w:t>
      </w:r>
      <w:r w:rsidR="00777C88">
        <w:t>'</w:t>
      </w:r>
      <w:r w:rsidR="00A778C6" w:rsidRPr="00E35323">
        <w:t xml:space="preserve">utilisation </w:t>
      </w:r>
      <w:r w:rsidR="00DC629E" w:rsidRPr="00E35323">
        <w:t>des orbites de satellite</w:t>
      </w:r>
      <w:r w:rsidR="00324245">
        <w:t>;</w:t>
      </w:r>
    </w:p>
    <w:p w:rsidR="00A33020" w:rsidRPr="00D41478" w:rsidRDefault="00324245" w:rsidP="00324245">
      <w:r>
        <w:rPr>
          <w:i/>
          <w:iCs/>
        </w:rPr>
        <w:t>b</w:t>
      </w:r>
      <w:r w:rsidR="00D41478" w:rsidRPr="00D41478">
        <w:rPr>
          <w:i/>
          <w:iCs/>
        </w:rPr>
        <w:t>)</w:t>
      </w:r>
      <w:r w:rsidR="00D41478">
        <w:tab/>
      </w:r>
      <w:r w:rsidR="00DC629E" w:rsidRPr="00D41478">
        <w:t xml:space="preserve">que les </w:t>
      </w:r>
      <w:r w:rsidR="007C0C41" w:rsidRPr="00D41478">
        <w:t>a</w:t>
      </w:r>
      <w:r w:rsidR="00DC629E" w:rsidRPr="00D41478">
        <w:t xml:space="preserve">dministrations peuvent décider de mettre en </w:t>
      </w:r>
      <w:r>
        <w:t>oe</w:t>
      </w:r>
      <w:r w:rsidR="00DC629E" w:rsidRPr="00D41478">
        <w:t>uvre le RR et le RTI dans le cadre de leur législation ou d</w:t>
      </w:r>
      <w:r w:rsidR="00B23A25" w:rsidRPr="00D41478">
        <w:t>e leur réglementation nationale</w:t>
      </w:r>
      <w:r w:rsidR="00DC629E" w:rsidRPr="00D41478">
        <w:t>,</w:t>
      </w:r>
    </w:p>
    <w:p w:rsidR="00A33020" w:rsidRPr="00D41478" w:rsidRDefault="00CB1243" w:rsidP="00D41478">
      <w:pPr>
        <w:pStyle w:val="Call"/>
      </w:pPr>
      <w:r w:rsidRPr="00D41478">
        <w:lastRenderedPageBreak/>
        <w:t>considérant</w:t>
      </w:r>
    </w:p>
    <w:p w:rsidR="00433109" w:rsidRPr="00E35323" w:rsidRDefault="00D41478" w:rsidP="003E2546">
      <w:r>
        <w:rPr>
          <w:i/>
          <w:iCs/>
        </w:rPr>
        <w:t>a)</w:t>
      </w:r>
      <w:r>
        <w:rPr>
          <w:i/>
          <w:iCs/>
        </w:rPr>
        <w:tab/>
      </w:r>
      <w:r w:rsidR="00433109" w:rsidRPr="00E35323">
        <w:t xml:space="preserve">que le Groupe de travail du Conseil chargé de la préparation de la Conférence mondiale des télécommunications internationales de 2012 a mené </w:t>
      </w:r>
      <w:r>
        <w:t>des</w:t>
      </w:r>
      <w:r w:rsidR="00433109" w:rsidRPr="00E35323">
        <w:t xml:space="preserve"> discussions </w:t>
      </w:r>
      <w:r>
        <w:t xml:space="preserve">approfondies </w:t>
      </w:r>
      <w:r w:rsidR="00433109" w:rsidRPr="00E35323">
        <w:t>au sujet du RTI;</w:t>
      </w:r>
    </w:p>
    <w:p w:rsidR="00A33020" w:rsidRPr="00E35323" w:rsidRDefault="00D41478" w:rsidP="00D41478">
      <w:r>
        <w:rPr>
          <w:i/>
          <w:iCs/>
        </w:rPr>
        <w:t>b)</w:t>
      </w:r>
      <w:r>
        <w:rPr>
          <w:i/>
          <w:iCs/>
        </w:rPr>
        <w:tab/>
      </w:r>
      <w:r w:rsidR="00433109" w:rsidRPr="00E35323">
        <w:t xml:space="preserve">que de </w:t>
      </w:r>
      <w:r>
        <w:t>larges</w:t>
      </w:r>
      <w:r w:rsidR="00433109" w:rsidRPr="00E35323">
        <w:t xml:space="preserve"> consultations ont eu lieu </w:t>
      </w:r>
      <w:r w:rsidR="00593726" w:rsidRPr="00E35323">
        <w:t>dans toutes les régions de l</w:t>
      </w:r>
      <w:r w:rsidR="00777C88">
        <w:t>'</w:t>
      </w:r>
      <w:r w:rsidR="00593726" w:rsidRPr="00E35323">
        <w:t xml:space="preserve">UIT, </w:t>
      </w:r>
      <w:r>
        <w:t>avec la</w:t>
      </w:r>
      <w:r w:rsidR="00C12A6D">
        <w:t xml:space="preserve"> participation de</w:t>
      </w:r>
      <w:r w:rsidR="00593726" w:rsidRPr="00E35323">
        <w:t xml:space="preserve"> membres du secteur privé, </w:t>
      </w:r>
      <w:r>
        <w:t>d</w:t>
      </w:r>
      <w:r w:rsidR="00777C88">
        <w:t>'</w:t>
      </w:r>
      <w:r w:rsidR="00324245">
        <w:t>A</w:t>
      </w:r>
      <w:r w:rsidR="00593726" w:rsidRPr="00E35323">
        <w:t xml:space="preserve">ssociés, </w:t>
      </w:r>
      <w:r>
        <w:t>d</w:t>
      </w:r>
      <w:r w:rsidR="00777C88">
        <w:t>'</w:t>
      </w:r>
      <w:r>
        <w:t>universitaires et de</w:t>
      </w:r>
      <w:r w:rsidR="00593726" w:rsidRPr="00E35323">
        <w:t xml:space="preserve"> groupes de la société civile</w:t>
      </w:r>
      <w:r>
        <w:t>,</w:t>
      </w:r>
      <w:r w:rsidR="00593726" w:rsidRPr="00E35323">
        <w:t xml:space="preserve"> </w:t>
      </w:r>
      <w:r>
        <w:t>traduisant le</w:t>
      </w:r>
      <w:r w:rsidR="00593726" w:rsidRPr="00E35323">
        <w:t xml:space="preserve"> vif intérêt</w:t>
      </w:r>
      <w:r>
        <w:t xml:space="preserve"> manifesté</w:t>
      </w:r>
      <w:r w:rsidR="00593726" w:rsidRPr="00E35323">
        <w:t xml:space="preserve"> à l</w:t>
      </w:r>
      <w:r w:rsidR="00777C88">
        <w:t>'</w:t>
      </w:r>
      <w:r w:rsidR="00593726" w:rsidRPr="00E35323">
        <w:t xml:space="preserve">égard de la révision du RTI; </w:t>
      </w:r>
    </w:p>
    <w:p w:rsidR="00593726" w:rsidRPr="00E35323" w:rsidRDefault="00D41478" w:rsidP="00D41478">
      <w:r w:rsidRPr="00D41478">
        <w:rPr>
          <w:i/>
          <w:iCs/>
        </w:rPr>
        <w:t>c)</w:t>
      </w:r>
      <w:r>
        <w:tab/>
      </w:r>
      <w:r w:rsidR="00593726" w:rsidRPr="00E35323">
        <w:t>que de nombreuses contributions ont été soumises par les membres de l</w:t>
      </w:r>
      <w:r w:rsidR="00777C88">
        <w:t>'</w:t>
      </w:r>
      <w:r w:rsidR="00593726" w:rsidRPr="00E35323">
        <w:t>UIT,</w:t>
      </w:r>
    </w:p>
    <w:p w:rsidR="00A33020" w:rsidRPr="00D41478" w:rsidRDefault="00437A85" w:rsidP="00D41478">
      <w:pPr>
        <w:pStyle w:val="Call"/>
      </w:pPr>
      <w:r w:rsidRPr="00D41478">
        <w:t>notant</w:t>
      </w:r>
    </w:p>
    <w:p w:rsidR="00F80C8C" w:rsidRPr="00D41478" w:rsidRDefault="00D41478" w:rsidP="00D41478">
      <w:r>
        <w:rPr>
          <w:i/>
          <w:iCs/>
        </w:rPr>
        <w:t>a)</w:t>
      </w:r>
      <w:r>
        <w:rPr>
          <w:i/>
          <w:iCs/>
        </w:rPr>
        <w:tab/>
      </w:r>
      <w:r w:rsidR="00F80C8C" w:rsidRPr="00D41478">
        <w:t xml:space="preserve">que </w:t>
      </w:r>
      <w:r w:rsidR="00AC5CED" w:rsidRPr="00D41478">
        <w:t>le progrès technologique ne cesse de s</w:t>
      </w:r>
      <w:r w:rsidR="00777C88">
        <w:t>'</w:t>
      </w:r>
      <w:r w:rsidR="00AC5CED" w:rsidRPr="00D41478">
        <w:t>accélérer et que</w:t>
      </w:r>
      <w:r w:rsidR="00F80C8C" w:rsidRPr="00D41478">
        <w:t xml:space="preserve"> la demande de services </w:t>
      </w:r>
      <w:r w:rsidR="00A403A7" w:rsidRPr="00D41478">
        <w:t xml:space="preserve">qui nécessitent une grande </w:t>
      </w:r>
      <w:r w:rsidR="00F80C8C" w:rsidRPr="00D41478">
        <w:t>large</w:t>
      </w:r>
      <w:r w:rsidR="00D6029E" w:rsidRPr="00D41478">
        <w:t>ur</w:t>
      </w:r>
      <w:r w:rsidR="00F80C8C" w:rsidRPr="00D41478">
        <w:t xml:space="preserve"> </w:t>
      </w:r>
      <w:r w:rsidR="00D6029E" w:rsidRPr="00D41478">
        <w:t xml:space="preserve">de </w:t>
      </w:r>
      <w:r w:rsidR="00F80C8C" w:rsidRPr="00D41478">
        <w:t xml:space="preserve">bande </w:t>
      </w:r>
      <w:r w:rsidR="00AC5CED" w:rsidRPr="00D41478">
        <w:t>continue</w:t>
      </w:r>
      <w:r w:rsidR="00F80C8C" w:rsidRPr="00D41478">
        <w:t xml:space="preserve"> d</w:t>
      </w:r>
      <w:r w:rsidR="00777C88">
        <w:t>'</w:t>
      </w:r>
      <w:r w:rsidR="00F80C8C" w:rsidRPr="00D41478">
        <w:t>augmenter;</w:t>
      </w:r>
    </w:p>
    <w:p w:rsidR="00A33020" w:rsidRPr="00D41478" w:rsidRDefault="00D41478" w:rsidP="00324245">
      <w:r>
        <w:rPr>
          <w:i/>
          <w:iCs/>
        </w:rPr>
        <w:t>b)</w:t>
      </w:r>
      <w:r>
        <w:rPr>
          <w:i/>
          <w:iCs/>
        </w:rPr>
        <w:tab/>
      </w:r>
      <w:r w:rsidR="00324245">
        <w:t>q</w:t>
      </w:r>
      <w:r w:rsidR="004D16C7" w:rsidRPr="00D41478">
        <w:t>ue le RTI</w:t>
      </w:r>
      <w:r w:rsidR="00A33020" w:rsidRPr="00D41478">
        <w:t>:</w:t>
      </w:r>
    </w:p>
    <w:p w:rsidR="00A33020" w:rsidRPr="00E35323" w:rsidRDefault="00D41478" w:rsidP="00D41478">
      <w:pPr>
        <w:pStyle w:val="enumlev1"/>
        <w:rPr>
          <w:rFonts w:cstheme="minorHAnsi"/>
          <w:szCs w:val="24"/>
        </w:rPr>
      </w:pPr>
      <w:r>
        <w:t>i)</w:t>
      </w:r>
      <w:r>
        <w:tab/>
      </w:r>
      <w:r w:rsidR="00274EA0" w:rsidRPr="00E35323">
        <w:t>établit les principes généraux qui se rapportent à la fourniture et à l</w:t>
      </w:r>
      <w:r w:rsidR="00777C88">
        <w:t>'</w:t>
      </w:r>
      <w:r w:rsidR="00274EA0" w:rsidRPr="00E35323">
        <w:t>exploitation des télécommunications</w:t>
      </w:r>
      <w:r w:rsidR="00B23A25">
        <w:t xml:space="preserve"> internationales</w:t>
      </w:r>
      <w:r w:rsidR="00D81C41">
        <w:t>;</w:t>
      </w:r>
    </w:p>
    <w:p w:rsidR="00274EA0" w:rsidRPr="00E35323" w:rsidRDefault="00D41478" w:rsidP="00D41478">
      <w:pPr>
        <w:pStyle w:val="enumlev1"/>
        <w:rPr>
          <w:rFonts w:cstheme="minorHAnsi"/>
          <w:szCs w:val="24"/>
        </w:rPr>
      </w:pPr>
      <w:r>
        <w:t>ii)</w:t>
      </w:r>
      <w:r>
        <w:tab/>
      </w:r>
      <w:r w:rsidR="00274EA0" w:rsidRPr="00E35323">
        <w:t>facilite l</w:t>
      </w:r>
      <w:r w:rsidR="00777C88">
        <w:t>'</w:t>
      </w:r>
      <w:r w:rsidR="00274EA0" w:rsidRPr="00E35323">
        <w:t>interconnexion et</w:t>
      </w:r>
      <w:r w:rsidR="00274EA0" w:rsidRPr="00E35323">
        <w:rPr>
          <w:rFonts w:cstheme="minorHAnsi"/>
          <w:szCs w:val="24"/>
        </w:rPr>
        <w:t xml:space="preserve"> l</w:t>
      </w:r>
      <w:r w:rsidR="00777C88">
        <w:rPr>
          <w:rFonts w:cstheme="minorHAnsi"/>
          <w:szCs w:val="24"/>
        </w:rPr>
        <w:t>'</w:t>
      </w:r>
      <w:r w:rsidR="00274EA0" w:rsidRPr="00E35323">
        <w:rPr>
          <w:rFonts w:cstheme="minorHAnsi"/>
          <w:szCs w:val="24"/>
        </w:rPr>
        <w:t>interopérabilité</w:t>
      </w:r>
      <w:r w:rsidR="009A1071" w:rsidRPr="00E35323">
        <w:rPr>
          <w:rFonts w:cstheme="minorHAnsi"/>
          <w:szCs w:val="24"/>
        </w:rPr>
        <w:t xml:space="preserve"> à</w:t>
      </w:r>
      <w:r w:rsidR="009A1071" w:rsidRPr="00E35323">
        <w:t xml:space="preserve"> l</w:t>
      </w:r>
      <w:r w:rsidR="00777C88">
        <w:t>'</w:t>
      </w:r>
      <w:r w:rsidR="009A1071" w:rsidRPr="00E35323">
        <w:t>échelle mondiale</w:t>
      </w:r>
      <w:r w:rsidR="00D81C41">
        <w:t>;</w:t>
      </w:r>
    </w:p>
    <w:p w:rsidR="00A33020" w:rsidRPr="00E35323" w:rsidRDefault="00D41478" w:rsidP="00D41478">
      <w:pPr>
        <w:pStyle w:val="enumlev1"/>
        <w:rPr>
          <w:rFonts w:cstheme="minorHAnsi"/>
          <w:szCs w:val="24"/>
        </w:rPr>
      </w:pPr>
      <w:r>
        <w:rPr>
          <w:rFonts w:cstheme="minorHAnsi"/>
          <w:szCs w:val="24"/>
        </w:rPr>
        <w:t>iii)</w:t>
      </w:r>
      <w:r>
        <w:rPr>
          <w:rFonts w:cstheme="minorHAnsi"/>
          <w:szCs w:val="24"/>
        </w:rPr>
        <w:tab/>
      </w:r>
      <w:r w:rsidR="008E302E" w:rsidRPr="00E35323">
        <w:rPr>
          <w:rFonts w:cstheme="minorHAnsi"/>
          <w:szCs w:val="24"/>
        </w:rPr>
        <w:t>favorise l</w:t>
      </w:r>
      <w:r w:rsidR="00777C88">
        <w:rPr>
          <w:rFonts w:cstheme="minorHAnsi"/>
          <w:szCs w:val="24"/>
        </w:rPr>
        <w:t>'</w:t>
      </w:r>
      <w:r w:rsidR="008E302E" w:rsidRPr="00E35323">
        <w:rPr>
          <w:rFonts w:cstheme="minorHAnsi"/>
          <w:szCs w:val="24"/>
        </w:rPr>
        <w:t>efficacité, l</w:t>
      </w:r>
      <w:r w:rsidR="00777C88">
        <w:rPr>
          <w:rFonts w:cstheme="minorHAnsi"/>
          <w:szCs w:val="24"/>
        </w:rPr>
        <w:t>'</w:t>
      </w:r>
      <w:r w:rsidR="008E302E" w:rsidRPr="00E35323">
        <w:rPr>
          <w:rFonts w:cstheme="minorHAnsi"/>
          <w:szCs w:val="24"/>
        </w:rPr>
        <w:t>utilité et la disponibilité de services internationaux de télécommunication</w:t>
      </w:r>
      <w:r w:rsidR="003D7F0B">
        <w:rPr>
          <w:rFonts w:cstheme="minorHAnsi"/>
          <w:szCs w:val="24"/>
        </w:rPr>
        <w:t>,</w:t>
      </w:r>
    </w:p>
    <w:p w:rsidR="00A33020" w:rsidRPr="00D41478" w:rsidRDefault="00CB1243" w:rsidP="00D41478">
      <w:pPr>
        <w:pStyle w:val="Call"/>
      </w:pPr>
      <w:r w:rsidRPr="00D41478">
        <w:t>décide</w:t>
      </w:r>
    </w:p>
    <w:p w:rsidR="00C47D5B" w:rsidRPr="00E35323" w:rsidRDefault="00D41478" w:rsidP="00D41478">
      <w:r>
        <w:rPr>
          <w:i/>
          <w:iCs/>
        </w:rPr>
        <w:t>a)</w:t>
      </w:r>
      <w:r>
        <w:rPr>
          <w:i/>
          <w:iCs/>
        </w:rPr>
        <w:tab/>
      </w:r>
      <w:r w:rsidR="00B23A25">
        <w:t>que le</w:t>
      </w:r>
      <w:r w:rsidR="00C47D5B" w:rsidRPr="00E35323">
        <w:t xml:space="preserve"> RTI </w:t>
      </w:r>
      <w:r w:rsidR="00B23A25">
        <w:t>devrait être examiné à l</w:t>
      </w:r>
      <w:r w:rsidR="00777C88">
        <w:t>'</w:t>
      </w:r>
      <w:r w:rsidR="00B23A25">
        <w:t xml:space="preserve">occasion </w:t>
      </w:r>
      <w:r w:rsidR="00EB17C5" w:rsidRPr="00E35323">
        <w:t>d</w:t>
      </w:r>
      <w:r w:rsidR="00777C88">
        <w:t>'</w:t>
      </w:r>
      <w:r w:rsidR="00EB17C5" w:rsidRPr="00E35323">
        <w:t>une</w:t>
      </w:r>
      <w:r w:rsidR="00C47D5B" w:rsidRPr="00E35323">
        <w:t xml:space="preserve"> AMNT </w:t>
      </w:r>
      <w:r w:rsidR="00EB17C5" w:rsidRPr="00E35323">
        <w:t xml:space="preserve">sur deux </w:t>
      </w:r>
      <w:r w:rsidR="00C47D5B" w:rsidRPr="00E35323">
        <w:t>(tous les huit ans</w:t>
      </w:r>
      <w:r w:rsidR="0063741F" w:rsidRPr="00E35323">
        <w:t xml:space="preserve"> environ</w:t>
      </w:r>
      <w:r w:rsidR="00C47D5B" w:rsidRPr="00E35323">
        <w:t xml:space="preserve">) </w:t>
      </w:r>
      <w:r w:rsidR="00B23A25">
        <w:t>du fait</w:t>
      </w:r>
      <w:r w:rsidR="005D3904" w:rsidRPr="00E35323">
        <w:t>:</w:t>
      </w:r>
    </w:p>
    <w:p w:rsidR="0063741F" w:rsidRPr="00D41478" w:rsidRDefault="00D41478" w:rsidP="00D41478">
      <w:pPr>
        <w:pStyle w:val="enumlev1"/>
      </w:pPr>
      <w:r>
        <w:t>i)</w:t>
      </w:r>
      <w:r>
        <w:tab/>
      </w:r>
      <w:r w:rsidR="005D3904" w:rsidRPr="00D41478">
        <w:t>de l</w:t>
      </w:r>
      <w:r w:rsidR="00777C88">
        <w:t>'</w:t>
      </w:r>
      <w:r w:rsidR="005D3904" w:rsidRPr="00D41478">
        <w:t>évolution rapide de la technologie et des services</w:t>
      </w:r>
      <w:r w:rsidR="00B23A25" w:rsidRPr="00D41478">
        <w:t>; par conséquent</w:t>
      </w:r>
      <w:r>
        <w:t>,</w:t>
      </w:r>
      <w:r w:rsidR="005D3904" w:rsidRPr="00D41478">
        <w:t xml:space="preserve"> les politiques et </w:t>
      </w:r>
      <w:r>
        <w:t>la réglementation</w:t>
      </w:r>
      <w:r w:rsidR="005D3904" w:rsidRPr="00D41478">
        <w:t xml:space="preserve"> en matière de TIC devraient tenir compte</w:t>
      </w:r>
      <w:r w:rsidR="00B23A25" w:rsidRPr="00D41478">
        <w:t xml:space="preserve"> de ces changements</w:t>
      </w:r>
      <w:r w:rsidR="00D81C41">
        <w:t>;</w:t>
      </w:r>
    </w:p>
    <w:p w:rsidR="005D3904" w:rsidRPr="00D41478" w:rsidRDefault="00D41478" w:rsidP="00D41478">
      <w:pPr>
        <w:pStyle w:val="enumlev1"/>
      </w:pPr>
      <w:r>
        <w:t>ii)</w:t>
      </w:r>
      <w:r>
        <w:tab/>
      </w:r>
      <w:r w:rsidR="0063741F" w:rsidRPr="00D41478">
        <w:t>de l</w:t>
      </w:r>
      <w:r w:rsidR="00777C88">
        <w:t>'</w:t>
      </w:r>
      <w:r w:rsidR="0063741F" w:rsidRPr="00D41478">
        <w:t>augmentation de</w:t>
      </w:r>
      <w:r w:rsidR="005D3904" w:rsidRPr="00D41478">
        <w:t xml:space="preserve"> l</w:t>
      </w:r>
      <w:r w:rsidR="00777C88">
        <w:t>'</w:t>
      </w:r>
      <w:r w:rsidR="005D3904" w:rsidRPr="00D41478">
        <w:t>utilisation de l</w:t>
      </w:r>
      <w:r w:rsidR="00777C88">
        <w:t>'</w:t>
      </w:r>
      <w:r w:rsidR="005D3904" w:rsidRPr="00D41478">
        <w:t>infra</w:t>
      </w:r>
      <w:r w:rsidR="00B23A25" w:rsidRPr="00D41478">
        <w:t>structure et des applications IP</w:t>
      </w:r>
      <w:r w:rsidR="005D3904" w:rsidRPr="00D41478">
        <w:t xml:space="preserve"> </w:t>
      </w:r>
      <w:r w:rsidR="00B23A25" w:rsidRPr="00D41478">
        <w:t xml:space="preserve">qui </w:t>
      </w:r>
      <w:r>
        <w:t>ouvre des perspectives en même temps qu</w:t>
      </w:r>
      <w:r w:rsidR="00777C88">
        <w:t>'</w:t>
      </w:r>
      <w:r>
        <w:t>elle présente</w:t>
      </w:r>
      <w:r w:rsidR="00704FED" w:rsidRPr="00D41478">
        <w:t xml:space="preserve"> des </w:t>
      </w:r>
      <w:r w:rsidR="00B23A25" w:rsidRPr="00D41478">
        <w:t>défis</w:t>
      </w:r>
      <w:r w:rsidR="00704FED" w:rsidRPr="00D41478">
        <w:t xml:space="preserve"> </w:t>
      </w:r>
      <w:r>
        <w:t>pour le</w:t>
      </w:r>
      <w:r w:rsidR="00704FED" w:rsidRPr="00D41478">
        <w:t xml:space="preserve"> secteur des TIC</w:t>
      </w:r>
      <w:r>
        <w:t>, éléments</w:t>
      </w:r>
      <w:r w:rsidR="00704FED" w:rsidRPr="00D41478">
        <w:t xml:space="preserve"> qui</w:t>
      </w:r>
      <w:r w:rsidR="00B23A25" w:rsidRPr="00D41478">
        <w:t xml:space="preserve"> doivent être pris</w:t>
      </w:r>
      <w:r w:rsidR="00704FED" w:rsidRPr="00D41478">
        <w:t xml:space="preserve"> en compte </w:t>
      </w:r>
      <w:r w:rsidR="00324245">
        <w:t>en temps voulu;</w:t>
      </w:r>
    </w:p>
    <w:p w:rsidR="00A33020" w:rsidRPr="00164FF1" w:rsidRDefault="00164FF1" w:rsidP="00164FF1">
      <w:r w:rsidRPr="00164FF1">
        <w:rPr>
          <w:i/>
          <w:iCs/>
        </w:rPr>
        <w:t>b)</w:t>
      </w:r>
      <w:r>
        <w:tab/>
      </w:r>
      <w:r w:rsidR="00B23A25" w:rsidRPr="00164FF1">
        <w:t>que, l</w:t>
      </w:r>
      <w:r w:rsidR="00EE5BE8" w:rsidRPr="00164FF1">
        <w:t>ors de l</w:t>
      </w:r>
      <w:r w:rsidR="00777C88">
        <w:t>'</w:t>
      </w:r>
      <w:r w:rsidR="00EE5BE8" w:rsidRPr="00164FF1">
        <w:t xml:space="preserve">examen du RTI, </w:t>
      </w:r>
      <w:r w:rsidR="00FE0762" w:rsidRPr="00164FF1">
        <w:t>il conviendra de porter une attention particulière</w:t>
      </w:r>
      <w:r w:rsidR="00EE5BE8" w:rsidRPr="00164FF1">
        <w:t xml:space="preserve"> aux aspects concernant:</w:t>
      </w:r>
    </w:p>
    <w:p w:rsidR="00A33020" w:rsidRPr="00164FF1" w:rsidRDefault="00164FF1" w:rsidP="00164FF1">
      <w:pPr>
        <w:pStyle w:val="enumlev1"/>
      </w:pPr>
      <w:r>
        <w:t>i)</w:t>
      </w:r>
      <w:r>
        <w:tab/>
      </w:r>
      <w:r w:rsidR="00EE5BE8" w:rsidRPr="00164FF1">
        <w:t>l</w:t>
      </w:r>
      <w:r w:rsidR="00777C88">
        <w:t>'</w:t>
      </w:r>
      <w:r w:rsidR="00554DA3" w:rsidRPr="00164FF1">
        <w:t>itin</w:t>
      </w:r>
      <w:r w:rsidR="00EE5BE8" w:rsidRPr="00164FF1">
        <w:t>érance</w:t>
      </w:r>
      <w:r w:rsidR="00D81C41">
        <w:t>;</w:t>
      </w:r>
    </w:p>
    <w:p w:rsidR="00A33020" w:rsidRPr="00164FF1" w:rsidRDefault="00164FF1" w:rsidP="00164FF1">
      <w:pPr>
        <w:pStyle w:val="enumlev1"/>
      </w:pPr>
      <w:r>
        <w:t>ii)</w:t>
      </w:r>
      <w:r>
        <w:tab/>
      </w:r>
      <w:r w:rsidR="00EE5BE8" w:rsidRPr="00164FF1">
        <w:t>l</w:t>
      </w:r>
      <w:r w:rsidR="00777C88">
        <w:t>'</w:t>
      </w:r>
      <w:r w:rsidR="00EE5BE8" w:rsidRPr="00164FF1">
        <w:t>utilisation abusive et la fraude</w:t>
      </w:r>
      <w:r w:rsidR="00D81C41">
        <w:t>;</w:t>
      </w:r>
    </w:p>
    <w:p w:rsidR="00EE5BE8" w:rsidRPr="00164FF1" w:rsidRDefault="00164FF1" w:rsidP="00164FF1">
      <w:pPr>
        <w:pStyle w:val="enumlev1"/>
      </w:pPr>
      <w:r>
        <w:t>iii)</w:t>
      </w:r>
      <w:r>
        <w:tab/>
      </w:r>
      <w:r w:rsidR="00EE5BE8" w:rsidRPr="00164FF1">
        <w:t>les questions relatives au numérotage et à l</w:t>
      </w:r>
      <w:r w:rsidR="00777C88">
        <w:t>'</w:t>
      </w:r>
      <w:r w:rsidR="00EE5BE8" w:rsidRPr="00164FF1">
        <w:t>identification</w:t>
      </w:r>
      <w:r w:rsidR="00D81C41">
        <w:t>;</w:t>
      </w:r>
    </w:p>
    <w:p w:rsidR="00EE5BE8" w:rsidRPr="00164FF1" w:rsidRDefault="00164FF1" w:rsidP="00164FF1">
      <w:pPr>
        <w:pStyle w:val="enumlev1"/>
      </w:pPr>
      <w:r>
        <w:t>iv)</w:t>
      </w:r>
      <w:r>
        <w:tab/>
      </w:r>
      <w:r w:rsidR="00EE5BE8" w:rsidRPr="00164FF1">
        <w:t>la transparence de la gestion et de l</w:t>
      </w:r>
      <w:r w:rsidR="00777C88">
        <w:t>'</w:t>
      </w:r>
      <w:r w:rsidR="00EE5BE8" w:rsidRPr="00164FF1">
        <w:t>acheminement</w:t>
      </w:r>
      <w:r w:rsidR="00B23A25" w:rsidRPr="00164FF1">
        <w:t xml:space="preserve"> du trafic</w:t>
      </w:r>
      <w:r w:rsidR="00D81C41">
        <w:t>;</w:t>
      </w:r>
    </w:p>
    <w:p w:rsidR="00EE5BE8" w:rsidRPr="00164FF1" w:rsidRDefault="00164FF1" w:rsidP="00164FF1">
      <w:pPr>
        <w:pStyle w:val="enumlev1"/>
      </w:pPr>
      <w:r>
        <w:t>v)</w:t>
      </w:r>
      <w:r>
        <w:tab/>
      </w:r>
      <w:r w:rsidR="00617E16" w:rsidRPr="00164FF1">
        <w:t xml:space="preserve">les questions </w:t>
      </w:r>
      <w:r>
        <w:t>d</w:t>
      </w:r>
      <w:r w:rsidR="00777C88">
        <w:t>'</w:t>
      </w:r>
      <w:r>
        <w:t xml:space="preserve">ordre général </w:t>
      </w:r>
      <w:r w:rsidR="00617E16" w:rsidRPr="00164FF1">
        <w:t>r</w:t>
      </w:r>
      <w:r w:rsidR="00554DA3" w:rsidRPr="00164FF1">
        <w:t xml:space="preserve">elatives aux télécommunications </w:t>
      </w:r>
      <w:r>
        <w:t>et à l</w:t>
      </w:r>
      <w:r w:rsidR="00777C88">
        <w:t>'</w:t>
      </w:r>
      <w:r>
        <w:t>économie</w:t>
      </w:r>
      <w:r w:rsidR="00D81C41">
        <w:t>;</w:t>
      </w:r>
    </w:p>
    <w:p w:rsidR="00617E16" w:rsidRPr="00164FF1" w:rsidRDefault="00164FF1" w:rsidP="00164FF1">
      <w:pPr>
        <w:pStyle w:val="enumlev1"/>
      </w:pPr>
      <w:r>
        <w:t>vi)</w:t>
      </w:r>
      <w:r>
        <w:tab/>
      </w:r>
      <w:r w:rsidR="00617E16" w:rsidRPr="00164FF1">
        <w:t>la cybersécurité et les cybermenaces</w:t>
      </w:r>
      <w:r w:rsidR="00D81C41">
        <w:t>;</w:t>
      </w:r>
    </w:p>
    <w:p w:rsidR="00617E16" w:rsidRPr="00164FF1" w:rsidRDefault="00164FF1" w:rsidP="00164FF1">
      <w:pPr>
        <w:pStyle w:val="enumlev1"/>
      </w:pPr>
      <w:r>
        <w:t>vii)</w:t>
      </w:r>
      <w:r>
        <w:tab/>
      </w:r>
      <w:r w:rsidR="00617E16" w:rsidRPr="00164FF1">
        <w:t>l</w:t>
      </w:r>
      <w:r w:rsidR="00777C88">
        <w:t>'</w:t>
      </w:r>
      <w:r w:rsidR="00617E16" w:rsidRPr="00164FF1">
        <w:t>efficacité énergétique</w:t>
      </w:r>
      <w:r w:rsidR="00D81C41">
        <w:t>;</w:t>
      </w:r>
    </w:p>
    <w:p w:rsidR="00617E16" w:rsidRPr="00164FF1" w:rsidRDefault="00164FF1" w:rsidP="00164FF1">
      <w:pPr>
        <w:pStyle w:val="enumlev1"/>
      </w:pPr>
      <w:r>
        <w:t>viii)</w:t>
      </w:r>
      <w:r>
        <w:tab/>
      </w:r>
      <w:r w:rsidR="00617E16" w:rsidRPr="00164FF1">
        <w:t>les changements climatiques, l</w:t>
      </w:r>
      <w:r w:rsidR="00777C88">
        <w:t>'</w:t>
      </w:r>
      <w:r w:rsidR="00617E16" w:rsidRPr="00164FF1">
        <w:t xml:space="preserve">environnement et les </w:t>
      </w:r>
      <w:r w:rsidR="00E35323" w:rsidRPr="00164FF1">
        <w:t>déchets</w:t>
      </w:r>
      <w:r w:rsidR="00136F3B">
        <w:t xml:space="preserve"> d'équipements électriques et</w:t>
      </w:r>
      <w:r w:rsidR="00617E16" w:rsidRPr="00164FF1">
        <w:t xml:space="preserve"> électroniques</w:t>
      </w:r>
      <w:r w:rsidR="00D81C41">
        <w:t>;</w:t>
      </w:r>
    </w:p>
    <w:p w:rsidR="00A33020" w:rsidRPr="00164FF1" w:rsidRDefault="00164FF1" w:rsidP="00164FF1">
      <w:pPr>
        <w:pStyle w:val="enumlev1"/>
      </w:pPr>
      <w:r>
        <w:t>ix)</w:t>
      </w:r>
      <w:r>
        <w:tab/>
      </w:r>
      <w:r w:rsidR="00617E16" w:rsidRPr="00164FF1">
        <w:t>l</w:t>
      </w:r>
      <w:r w:rsidR="00777C88">
        <w:t>'</w:t>
      </w:r>
      <w:r w:rsidR="00617E16" w:rsidRPr="00164FF1">
        <w:t>accessibilité</w:t>
      </w:r>
      <w:r w:rsidR="00324245">
        <w:t>;</w:t>
      </w:r>
    </w:p>
    <w:p w:rsidR="00A33020" w:rsidRPr="00E35323" w:rsidRDefault="00164FF1" w:rsidP="00164FF1">
      <w:r w:rsidRPr="00164FF1">
        <w:rPr>
          <w:i/>
          <w:iCs/>
        </w:rPr>
        <w:t>c)</w:t>
      </w:r>
      <w:r>
        <w:tab/>
      </w:r>
      <w:r w:rsidR="00617E16" w:rsidRPr="00E35323">
        <w:t>d</w:t>
      </w:r>
      <w:r w:rsidR="00777C88">
        <w:t>'</w:t>
      </w:r>
      <w:r w:rsidR="00617E16" w:rsidRPr="00E35323">
        <w:t>inviter la Conférence de plénipoten</w:t>
      </w:r>
      <w:bookmarkStart w:id="9" w:name="_GoBack"/>
      <w:bookmarkEnd w:id="9"/>
      <w:r w:rsidR="00617E16" w:rsidRPr="00E35323">
        <w:t xml:space="preserve">tiaires à examiner la présente Résolution et à prendre les mesures </w:t>
      </w:r>
      <w:r w:rsidR="00554DA3" w:rsidRPr="00E35323">
        <w:t>nécessaires</w:t>
      </w:r>
      <w:r w:rsidR="00617E16" w:rsidRPr="00E35323">
        <w:t>,</w:t>
      </w:r>
    </w:p>
    <w:p w:rsidR="00A33020" w:rsidRPr="00E35323" w:rsidRDefault="00437A85" w:rsidP="00164FF1">
      <w:pPr>
        <w:pStyle w:val="Call"/>
        <w:rPr>
          <w:snapToGrid w:val="0"/>
        </w:rPr>
      </w:pPr>
      <w:r w:rsidRPr="00E35323">
        <w:rPr>
          <w:snapToGrid w:val="0"/>
        </w:rPr>
        <w:lastRenderedPageBreak/>
        <w:t>charge le Secrétaire général</w:t>
      </w:r>
    </w:p>
    <w:p w:rsidR="00A33020" w:rsidRPr="00E35323" w:rsidRDefault="00852AD7" w:rsidP="00164FF1">
      <w:pPr>
        <w:rPr>
          <w:snapToGrid w:val="0"/>
        </w:rPr>
      </w:pPr>
      <w:r w:rsidRPr="00E35323">
        <w:rPr>
          <w:snapToGrid w:val="0"/>
        </w:rPr>
        <w:t xml:space="preserve">de porter la présente Résolution à </w:t>
      </w:r>
      <w:r w:rsidR="00B23A25">
        <w:rPr>
          <w:snapToGrid w:val="0"/>
        </w:rPr>
        <w:t>l</w:t>
      </w:r>
      <w:r w:rsidR="00777C88">
        <w:rPr>
          <w:snapToGrid w:val="0"/>
        </w:rPr>
        <w:t>'</w:t>
      </w:r>
      <w:r w:rsidR="00B23A25">
        <w:rPr>
          <w:snapToGrid w:val="0"/>
        </w:rPr>
        <w:t>attention</w:t>
      </w:r>
      <w:r w:rsidRPr="00E35323">
        <w:rPr>
          <w:snapToGrid w:val="0"/>
        </w:rPr>
        <w:t xml:space="preserve"> de la Conférence de plénipotentiaires</w:t>
      </w:r>
      <w:r w:rsidR="00A33020" w:rsidRPr="00E35323">
        <w:rPr>
          <w:snapToGrid w:val="0"/>
        </w:rPr>
        <w:t>,</w:t>
      </w:r>
    </w:p>
    <w:p w:rsidR="00A33020" w:rsidRPr="00164FF1" w:rsidRDefault="00437A85" w:rsidP="00164FF1">
      <w:pPr>
        <w:pStyle w:val="Call"/>
        <w:rPr>
          <w:snapToGrid w:val="0"/>
        </w:rPr>
      </w:pPr>
      <w:r w:rsidRPr="00164FF1">
        <w:rPr>
          <w:snapToGrid w:val="0"/>
        </w:rPr>
        <w:t xml:space="preserve">charge le Secrétaire général et les Directeurs des Bureaux </w:t>
      </w:r>
    </w:p>
    <w:p w:rsidR="00617E16" w:rsidRPr="00E35323" w:rsidRDefault="006157AB" w:rsidP="00164FF1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napToGrid w:val="0"/>
          <w:szCs w:val="24"/>
        </w:rPr>
      </w:pPr>
      <w:r w:rsidRPr="00E35323">
        <w:rPr>
          <w:rFonts w:cstheme="minorHAnsi"/>
          <w:snapToGrid w:val="0"/>
          <w:szCs w:val="24"/>
        </w:rPr>
        <w:t>de recenser</w:t>
      </w:r>
      <w:r w:rsidR="00617E16" w:rsidRPr="00E35323">
        <w:rPr>
          <w:rFonts w:cstheme="minorHAnsi"/>
          <w:snapToGrid w:val="0"/>
          <w:szCs w:val="24"/>
        </w:rPr>
        <w:t xml:space="preserve"> et de </w:t>
      </w:r>
      <w:r w:rsidRPr="00E35323">
        <w:rPr>
          <w:rFonts w:cstheme="minorHAnsi"/>
          <w:snapToGrid w:val="0"/>
          <w:szCs w:val="24"/>
        </w:rPr>
        <w:t>compiler</w:t>
      </w:r>
      <w:r w:rsidR="00617E16" w:rsidRPr="00E35323">
        <w:rPr>
          <w:rFonts w:cstheme="minorHAnsi"/>
          <w:snapToGrid w:val="0"/>
          <w:szCs w:val="24"/>
        </w:rPr>
        <w:t xml:space="preserve"> les questions pertinentes et urgentes</w:t>
      </w:r>
      <w:r w:rsidR="008D0FC6" w:rsidRPr="00E35323">
        <w:rPr>
          <w:rFonts w:cstheme="minorHAnsi"/>
          <w:snapToGrid w:val="0"/>
          <w:szCs w:val="24"/>
        </w:rPr>
        <w:t xml:space="preserve"> </w:t>
      </w:r>
      <w:r w:rsidR="00B23A25">
        <w:rPr>
          <w:rFonts w:cstheme="minorHAnsi"/>
          <w:snapToGrid w:val="0"/>
          <w:szCs w:val="24"/>
        </w:rPr>
        <w:t xml:space="preserve">en matière de télécommunications </w:t>
      </w:r>
      <w:r w:rsidR="008D0FC6" w:rsidRPr="00E35323">
        <w:rPr>
          <w:rFonts w:cstheme="minorHAnsi"/>
          <w:snapToGrid w:val="0"/>
          <w:szCs w:val="24"/>
        </w:rPr>
        <w:t>qu</w:t>
      </w:r>
      <w:r w:rsidR="00777C88">
        <w:rPr>
          <w:rFonts w:cstheme="minorHAnsi"/>
          <w:snapToGrid w:val="0"/>
          <w:szCs w:val="24"/>
        </w:rPr>
        <w:t>'</w:t>
      </w:r>
      <w:r w:rsidR="008D0FC6" w:rsidRPr="00E35323">
        <w:rPr>
          <w:rFonts w:cstheme="minorHAnsi"/>
          <w:snapToGrid w:val="0"/>
          <w:szCs w:val="24"/>
        </w:rPr>
        <w:t>il conviendrait d</w:t>
      </w:r>
      <w:r w:rsidR="00777C88">
        <w:rPr>
          <w:rFonts w:cstheme="minorHAnsi"/>
          <w:snapToGrid w:val="0"/>
          <w:szCs w:val="24"/>
        </w:rPr>
        <w:t>'</w:t>
      </w:r>
      <w:r w:rsidR="008D0FC6" w:rsidRPr="00E35323">
        <w:rPr>
          <w:rFonts w:cstheme="minorHAnsi"/>
          <w:snapToGrid w:val="0"/>
          <w:szCs w:val="24"/>
        </w:rPr>
        <w:t>examiner</w:t>
      </w:r>
      <w:r w:rsidR="003D7F0B">
        <w:rPr>
          <w:rFonts w:cstheme="minorHAnsi"/>
          <w:snapToGrid w:val="0"/>
          <w:szCs w:val="24"/>
        </w:rPr>
        <w:t xml:space="preserve"> en vue </w:t>
      </w:r>
      <w:r w:rsidR="00164FF1">
        <w:rPr>
          <w:rFonts w:cstheme="minorHAnsi"/>
          <w:snapToGrid w:val="0"/>
          <w:szCs w:val="24"/>
        </w:rPr>
        <w:t xml:space="preserve">de les </w:t>
      </w:r>
      <w:r w:rsidR="00020308" w:rsidRPr="00E35323">
        <w:rPr>
          <w:rFonts w:cstheme="minorHAnsi"/>
          <w:snapToGrid w:val="0"/>
          <w:szCs w:val="24"/>
        </w:rPr>
        <w:t>intégrer</w:t>
      </w:r>
      <w:r w:rsidR="003D7F0B">
        <w:rPr>
          <w:rFonts w:cstheme="minorHAnsi"/>
          <w:snapToGrid w:val="0"/>
          <w:szCs w:val="24"/>
        </w:rPr>
        <w:t xml:space="preserve"> </w:t>
      </w:r>
      <w:r w:rsidR="00020308" w:rsidRPr="00E35323">
        <w:rPr>
          <w:rFonts w:cstheme="minorHAnsi"/>
          <w:snapToGrid w:val="0"/>
          <w:szCs w:val="24"/>
        </w:rPr>
        <w:t>dans le RTI,</w:t>
      </w:r>
    </w:p>
    <w:p w:rsidR="00A33020" w:rsidRPr="00164FF1" w:rsidRDefault="00437A85" w:rsidP="00164FF1">
      <w:pPr>
        <w:pStyle w:val="Call"/>
        <w:rPr>
          <w:snapToGrid w:val="0"/>
        </w:rPr>
      </w:pPr>
      <w:r w:rsidRPr="00164FF1">
        <w:rPr>
          <w:snapToGrid w:val="0"/>
        </w:rPr>
        <w:t>invite les Etats Membres</w:t>
      </w:r>
    </w:p>
    <w:p w:rsidR="00A33020" w:rsidRDefault="00020308" w:rsidP="00164FF1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  <w:r w:rsidRPr="00E35323">
        <w:rPr>
          <w:rFonts w:cstheme="minorHAnsi"/>
          <w:szCs w:val="24"/>
        </w:rPr>
        <w:t>à</w:t>
      </w:r>
      <w:r w:rsidR="001F356D" w:rsidRPr="00E35323">
        <w:rPr>
          <w:rFonts w:cstheme="minorHAnsi"/>
          <w:szCs w:val="24"/>
        </w:rPr>
        <w:t xml:space="preserve"> contribuer aux travaux </w:t>
      </w:r>
      <w:r w:rsidR="00164FF1">
        <w:rPr>
          <w:rFonts w:cstheme="minorHAnsi"/>
          <w:szCs w:val="24"/>
        </w:rPr>
        <w:t>indiqués</w:t>
      </w:r>
      <w:r w:rsidR="001F356D" w:rsidRPr="00E35323">
        <w:rPr>
          <w:rFonts w:cstheme="minorHAnsi"/>
          <w:szCs w:val="24"/>
        </w:rPr>
        <w:t xml:space="preserve"> dans la présente Résolution.</w:t>
      </w:r>
    </w:p>
    <w:p w:rsidR="00164FF1" w:rsidRDefault="00164FF1" w:rsidP="00324245">
      <w:pPr>
        <w:pStyle w:val="Reasons"/>
      </w:pPr>
    </w:p>
    <w:p w:rsidR="00164FF1" w:rsidRDefault="00164FF1">
      <w:pPr>
        <w:jc w:val="center"/>
      </w:pPr>
      <w:r>
        <w:t>______________</w:t>
      </w:r>
    </w:p>
    <w:p w:rsidR="00164FF1" w:rsidRPr="00E35323" w:rsidRDefault="00164FF1" w:rsidP="007C0C41">
      <w:pPr>
        <w:tabs>
          <w:tab w:val="clear" w:pos="1134"/>
          <w:tab w:val="clear" w:pos="1871"/>
          <w:tab w:val="clear" w:pos="2268"/>
        </w:tabs>
        <w:snapToGrid w:val="0"/>
        <w:rPr>
          <w:rFonts w:cstheme="minorHAnsi"/>
          <w:szCs w:val="24"/>
        </w:rPr>
      </w:pPr>
    </w:p>
    <w:sectPr w:rsidR="00164FF1" w:rsidRPr="00E3532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45" w:rsidRDefault="00324245">
      <w:r>
        <w:separator/>
      </w:r>
    </w:p>
  </w:endnote>
  <w:endnote w:type="continuationSeparator" w:id="0">
    <w:p w:rsidR="00324245" w:rsidRDefault="0032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45" w:rsidRDefault="0032424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2546">
      <w:rPr>
        <w:noProof/>
        <w:lang w:val="en-US"/>
      </w:rPr>
      <w:t>P:\FRA\SG\CONF-SG\WCIT12\000\030F.docx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2546">
      <w:rPr>
        <w:noProof/>
      </w:rPr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2546">
      <w:rPr>
        <w:noProof/>
      </w:rPr>
      <w:t>27.11.12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45" w:rsidRDefault="00324245" w:rsidP="00C971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2546">
      <w:rPr>
        <w:lang w:val="en-US"/>
      </w:rPr>
      <w:t>P:\FRA\SG\CONF-SG\WCIT12\000\030F.docx</w:t>
    </w:r>
    <w:r>
      <w:fldChar w:fldCharType="end"/>
    </w:r>
    <w:r>
      <w:t xml:space="preserve"> (336189)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2546"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2546">
      <w:t>27.11.12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45" w:rsidRDefault="00324245" w:rsidP="00C971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2546">
      <w:rPr>
        <w:lang w:val="en-US"/>
      </w:rPr>
      <w:t>P:\FRA\SG\CONF-SG\WCIT12\000\030F.docx</w:t>
    </w:r>
    <w:r>
      <w:fldChar w:fldCharType="end"/>
    </w:r>
    <w:r>
      <w:t xml:space="preserve"> (336189)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2546"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2546">
      <w:t>27.11.12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45" w:rsidRDefault="00324245">
      <w:r>
        <w:rPr>
          <w:b/>
        </w:rPr>
        <w:t>_______________</w:t>
      </w:r>
    </w:p>
  </w:footnote>
  <w:footnote w:type="continuationSeparator" w:id="0">
    <w:p w:rsidR="00324245" w:rsidRDefault="0032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45" w:rsidRDefault="0032424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2546">
      <w:rPr>
        <w:noProof/>
      </w:rPr>
      <w:t>2</w:t>
    </w:r>
    <w:r>
      <w:fldChar w:fldCharType="end"/>
    </w:r>
  </w:p>
  <w:p w:rsidR="00324245" w:rsidRDefault="00324245" w:rsidP="00C97181">
    <w:pPr>
      <w:pStyle w:val="Header"/>
      <w:tabs>
        <w:tab w:val="clear" w:pos="1134"/>
        <w:tab w:val="clear" w:pos="2268"/>
      </w:tabs>
    </w:pPr>
    <w:r>
      <w:t>WCIT12/30-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1991EFD"/>
    <w:multiLevelType w:val="hybridMultilevel"/>
    <w:tmpl w:val="7B363E70"/>
    <w:lvl w:ilvl="0" w:tplc="D4E01752">
      <w:start w:val="1"/>
      <w:numFmt w:val="lowerLetter"/>
      <w:lvlText w:val="%1)"/>
      <w:lvlJc w:val="left"/>
      <w:pPr>
        <w:ind w:left="1188" w:hanging="468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E2F8D"/>
    <w:multiLevelType w:val="hybridMultilevel"/>
    <w:tmpl w:val="B9D484CE"/>
    <w:lvl w:ilvl="0" w:tplc="60C60F0E">
      <w:start w:val="1"/>
      <w:numFmt w:val="lowerRoman"/>
      <w:lvlText w:val="%1."/>
      <w:lvlJc w:val="left"/>
      <w:pPr>
        <w:ind w:left="1514" w:hanging="360"/>
      </w:pPr>
      <w:rPr>
        <w:rFonts w:asciiTheme="minorHAnsi" w:eastAsia="Times New Roman" w:hAnsiTheme="minorHAnsi" w:cstheme="minorHAnsi" w:hint="default"/>
      </w:rPr>
    </w:lvl>
    <w:lvl w:ilvl="1" w:tplc="08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2BAB6CC3"/>
    <w:multiLevelType w:val="hybridMultilevel"/>
    <w:tmpl w:val="4DF87C40"/>
    <w:lvl w:ilvl="0" w:tplc="91C847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6C0F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2548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A9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CB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41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B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88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C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167CD"/>
    <w:multiLevelType w:val="hybridMultilevel"/>
    <w:tmpl w:val="DA28B546"/>
    <w:lvl w:ilvl="0" w:tplc="E202258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ECA627CC">
      <w:start w:val="1"/>
      <w:numFmt w:val="low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28B6"/>
    <w:multiLevelType w:val="hybridMultilevel"/>
    <w:tmpl w:val="1158AAD2"/>
    <w:lvl w:ilvl="0" w:tplc="85D4A7D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C64D2"/>
    <w:multiLevelType w:val="hybridMultilevel"/>
    <w:tmpl w:val="8D08D4F0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90B4B56A">
      <w:start w:val="1"/>
      <w:numFmt w:val="lowerRoman"/>
      <w:lvlText w:val="%3."/>
      <w:lvlJc w:val="left"/>
      <w:pPr>
        <w:ind w:left="311" w:hanging="180"/>
      </w:pPr>
      <w:rPr>
        <w:rFonts w:asciiTheme="minorHAnsi" w:eastAsia="Times New Roman" w:hAnsiTheme="minorHAnsi" w:cs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450BD2"/>
    <w:multiLevelType w:val="hybridMultilevel"/>
    <w:tmpl w:val="B442C4EE"/>
    <w:lvl w:ilvl="0" w:tplc="633434C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B2928"/>
    <w:multiLevelType w:val="hybridMultilevel"/>
    <w:tmpl w:val="825C61F6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311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20308"/>
    <w:rsid w:val="0003522F"/>
    <w:rsid w:val="00080E2C"/>
    <w:rsid w:val="000A3DBD"/>
    <w:rsid w:val="000A4755"/>
    <w:rsid w:val="000B2E0C"/>
    <w:rsid w:val="000B3D0C"/>
    <w:rsid w:val="000C1E43"/>
    <w:rsid w:val="001167B9"/>
    <w:rsid w:val="001267A0"/>
    <w:rsid w:val="00136F3B"/>
    <w:rsid w:val="0015203F"/>
    <w:rsid w:val="001601C7"/>
    <w:rsid w:val="00160C64"/>
    <w:rsid w:val="001634B5"/>
    <w:rsid w:val="00164FF1"/>
    <w:rsid w:val="001710C7"/>
    <w:rsid w:val="0019296A"/>
    <w:rsid w:val="0019352B"/>
    <w:rsid w:val="001960D0"/>
    <w:rsid w:val="001B353E"/>
    <w:rsid w:val="001C5FB8"/>
    <w:rsid w:val="001F356D"/>
    <w:rsid w:val="00232FD2"/>
    <w:rsid w:val="00272636"/>
    <w:rsid w:val="00274EA0"/>
    <w:rsid w:val="0029062F"/>
    <w:rsid w:val="002A4622"/>
    <w:rsid w:val="002A6F8F"/>
    <w:rsid w:val="002B17E5"/>
    <w:rsid w:val="002B4D7E"/>
    <w:rsid w:val="002C0EBF"/>
    <w:rsid w:val="00315AFE"/>
    <w:rsid w:val="00324245"/>
    <w:rsid w:val="003606A6"/>
    <w:rsid w:val="0036650C"/>
    <w:rsid w:val="0037346F"/>
    <w:rsid w:val="003A583E"/>
    <w:rsid w:val="003B354C"/>
    <w:rsid w:val="003D2E7F"/>
    <w:rsid w:val="003D7E84"/>
    <w:rsid w:val="003D7F0B"/>
    <w:rsid w:val="003E112B"/>
    <w:rsid w:val="003E1D1C"/>
    <w:rsid w:val="003E2546"/>
    <w:rsid w:val="00415BD4"/>
    <w:rsid w:val="00433109"/>
    <w:rsid w:val="00437A85"/>
    <w:rsid w:val="00466211"/>
    <w:rsid w:val="004834A9"/>
    <w:rsid w:val="004D01FC"/>
    <w:rsid w:val="004D16C7"/>
    <w:rsid w:val="004E28C3"/>
    <w:rsid w:val="004F1F8E"/>
    <w:rsid w:val="00512A32"/>
    <w:rsid w:val="005479AD"/>
    <w:rsid w:val="00554DA3"/>
    <w:rsid w:val="00586CF2"/>
    <w:rsid w:val="00593726"/>
    <w:rsid w:val="0059667F"/>
    <w:rsid w:val="005C3768"/>
    <w:rsid w:val="005C6C3F"/>
    <w:rsid w:val="005D3904"/>
    <w:rsid w:val="00613635"/>
    <w:rsid w:val="006157AB"/>
    <w:rsid w:val="00617E16"/>
    <w:rsid w:val="0062093D"/>
    <w:rsid w:val="00622997"/>
    <w:rsid w:val="00630E98"/>
    <w:rsid w:val="0063741F"/>
    <w:rsid w:val="00637ECF"/>
    <w:rsid w:val="00647B59"/>
    <w:rsid w:val="00650989"/>
    <w:rsid w:val="006D4724"/>
    <w:rsid w:val="006D6BE5"/>
    <w:rsid w:val="00701BAE"/>
    <w:rsid w:val="00704FED"/>
    <w:rsid w:val="0072742E"/>
    <w:rsid w:val="00730E95"/>
    <w:rsid w:val="0076081F"/>
    <w:rsid w:val="00774362"/>
    <w:rsid w:val="00777C88"/>
    <w:rsid w:val="00786598"/>
    <w:rsid w:val="007A04E8"/>
    <w:rsid w:val="007C0C41"/>
    <w:rsid w:val="007F6300"/>
    <w:rsid w:val="00852AD7"/>
    <w:rsid w:val="00864582"/>
    <w:rsid w:val="008A3120"/>
    <w:rsid w:val="008A71B4"/>
    <w:rsid w:val="008C10D9"/>
    <w:rsid w:val="008D0FC6"/>
    <w:rsid w:val="008D41BE"/>
    <w:rsid w:val="008D58D3"/>
    <w:rsid w:val="008E302E"/>
    <w:rsid w:val="00923064"/>
    <w:rsid w:val="00936D25"/>
    <w:rsid w:val="009371EC"/>
    <w:rsid w:val="00941EA5"/>
    <w:rsid w:val="00947EBF"/>
    <w:rsid w:val="00960D89"/>
    <w:rsid w:val="00966C16"/>
    <w:rsid w:val="0098732F"/>
    <w:rsid w:val="009A1071"/>
    <w:rsid w:val="009A51C3"/>
    <w:rsid w:val="009C7E7C"/>
    <w:rsid w:val="00A00473"/>
    <w:rsid w:val="00A03C9B"/>
    <w:rsid w:val="00A270DB"/>
    <w:rsid w:val="00A33020"/>
    <w:rsid w:val="00A37105"/>
    <w:rsid w:val="00A403A7"/>
    <w:rsid w:val="00A606C3"/>
    <w:rsid w:val="00A778C6"/>
    <w:rsid w:val="00A83B09"/>
    <w:rsid w:val="00A84541"/>
    <w:rsid w:val="00AC5CED"/>
    <w:rsid w:val="00AE36A0"/>
    <w:rsid w:val="00B00294"/>
    <w:rsid w:val="00B23A25"/>
    <w:rsid w:val="00B64FD0"/>
    <w:rsid w:val="00B958BB"/>
    <w:rsid w:val="00BB1D82"/>
    <w:rsid w:val="00BD7B42"/>
    <w:rsid w:val="00BF26E7"/>
    <w:rsid w:val="00C110BF"/>
    <w:rsid w:val="00C12A6D"/>
    <w:rsid w:val="00C47D5B"/>
    <w:rsid w:val="00C814B9"/>
    <w:rsid w:val="00C97181"/>
    <w:rsid w:val="00CA6A28"/>
    <w:rsid w:val="00CB1243"/>
    <w:rsid w:val="00CD516F"/>
    <w:rsid w:val="00D06B52"/>
    <w:rsid w:val="00D119A7"/>
    <w:rsid w:val="00D25FBA"/>
    <w:rsid w:val="00D41478"/>
    <w:rsid w:val="00D44C66"/>
    <w:rsid w:val="00D6029E"/>
    <w:rsid w:val="00D66EAC"/>
    <w:rsid w:val="00D730DF"/>
    <w:rsid w:val="00D772F0"/>
    <w:rsid w:val="00D77BDC"/>
    <w:rsid w:val="00D81C41"/>
    <w:rsid w:val="00DC402B"/>
    <w:rsid w:val="00DC629E"/>
    <w:rsid w:val="00DE0932"/>
    <w:rsid w:val="00E049F1"/>
    <w:rsid w:val="00E35323"/>
    <w:rsid w:val="00E37A25"/>
    <w:rsid w:val="00E41FEC"/>
    <w:rsid w:val="00E70A31"/>
    <w:rsid w:val="00EA3F38"/>
    <w:rsid w:val="00EA5AB6"/>
    <w:rsid w:val="00EB17C5"/>
    <w:rsid w:val="00EC7615"/>
    <w:rsid w:val="00ED16AA"/>
    <w:rsid w:val="00EE5BE8"/>
    <w:rsid w:val="00EF662E"/>
    <w:rsid w:val="00F148F1"/>
    <w:rsid w:val="00F76A47"/>
    <w:rsid w:val="00F80C8C"/>
    <w:rsid w:val="00FA3BBF"/>
    <w:rsid w:val="00FC41F8"/>
    <w:rsid w:val="00FE076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paragraph" w:customStyle="1" w:styleId="Normalaftertitle0">
    <w:name w:val="Normal_after_title"/>
    <w:basedOn w:val="Normal"/>
    <w:next w:val="Normal"/>
    <w:rsid w:val="00A3302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hAnsi="Times New Roman"/>
      <w:sz w:val="22"/>
    </w:rPr>
  </w:style>
  <w:style w:type="character" w:customStyle="1" w:styleId="CallChar">
    <w:name w:val="Call Char"/>
    <w:link w:val="Call"/>
    <w:rsid w:val="00A33020"/>
    <w:rPr>
      <w:rFonts w:asciiTheme="minorHAnsi" w:hAnsiTheme="minorHAnsi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A33020"/>
    <w:rPr>
      <w:rFonts w:asciiTheme="minorHAnsi" w:hAnsiTheme="minorHAnsi"/>
      <w:b/>
      <w:sz w:val="28"/>
      <w:lang w:val="fr-FR" w:eastAsia="en-US"/>
    </w:rPr>
  </w:style>
  <w:style w:type="character" w:customStyle="1" w:styleId="ResNoChar">
    <w:name w:val="Res_No Char"/>
    <w:link w:val="ResNo"/>
    <w:uiPriority w:val="99"/>
    <w:rsid w:val="00A33020"/>
    <w:rPr>
      <w:rFonts w:asciiTheme="minorHAnsi" w:hAnsiTheme="minorHAnsi"/>
      <w:caps/>
      <w:sz w:val="2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274E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E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EA0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EA0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74EA0"/>
    <w:rPr>
      <w:rFonts w:asciiTheme="minorHAnsi" w:hAnsiTheme="minorHAnsi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paragraph" w:customStyle="1" w:styleId="Normalaftertitle0">
    <w:name w:val="Normal_after_title"/>
    <w:basedOn w:val="Normal"/>
    <w:next w:val="Normal"/>
    <w:rsid w:val="00A3302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hAnsi="Times New Roman"/>
      <w:sz w:val="22"/>
    </w:rPr>
  </w:style>
  <w:style w:type="character" w:customStyle="1" w:styleId="CallChar">
    <w:name w:val="Call Char"/>
    <w:link w:val="Call"/>
    <w:rsid w:val="00A33020"/>
    <w:rPr>
      <w:rFonts w:asciiTheme="minorHAnsi" w:hAnsiTheme="minorHAnsi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A33020"/>
    <w:rPr>
      <w:rFonts w:asciiTheme="minorHAnsi" w:hAnsiTheme="minorHAnsi"/>
      <w:b/>
      <w:sz w:val="28"/>
      <w:lang w:val="fr-FR" w:eastAsia="en-US"/>
    </w:rPr>
  </w:style>
  <w:style w:type="character" w:customStyle="1" w:styleId="ResNoChar">
    <w:name w:val="Res_No Char"/>
    <w:link w:val="ResNo"/>
    <w:uiPriority w:val="99"/>
    <w:rsid w:val="00A33020"/>
    <w:rPr>
      <w:rFonts w:asciiTheme="minorHAnsi" w:hAnsiTheme="minorHAnsi"/>
      <w:caps/>
      <w:sz w:val="2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274E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E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EA0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EA0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74EA0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S12-WCIT12-C-0030!!MSW-F</DPM_x0020_File_x0020_name>
    <DPM_x0020_Author xmlns="32a1a8c5-2265-4ebc-b7a0-2071e2c5c9bb" xsi:nil="false">Documents Proposals Manager (DPM)</DPM_x0020_Author>
    <DPM_x0020_Version xmlns="32a1a8c5-2265-4ebc-b7a0-2071e2c5c9bb" xsi:nil="false">DPM_v5.3.6.13_prod</DPM_x0020_Version>
    <_dlc_DocId xmlns="996b2e75-67fd-4955-a3b0-5ab9934cb50b">CJDSJNEQ73FR-44-12</_dlc_DocId>
    <_dlc_DocIdUrl xmlns="996b2e75-67fd-4955-a3b0-5ab9934cb50b">
      <Url>http://spdev11/en/gmpcs/_layouts/DocIdRedir.aspx?ID=CJDSJNEQ73FR-44-12</Url>
      <Description>CJDSJNEQ73FR-44-12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5C87-E8FA-4048-9D54-38FCBE1C95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7E1EB8-2C00-4269-9B82-99736AF7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B0D9A-8FA3-4234-A961-898119635D86}">
  <ds:schemaRefs>
    <ds:schemaRef ds:uri="http://schemas.microsoft.com/office/2006/metadata/properties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5473F734-67BB-459C-94BC-09EC067B9C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4D38F2-4E04-48EA-B86C-D399095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</Template>
  <TotalTime>50</TotalTime>
  <Pages>3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S12-WCIT12-C-0030!!MSW-F</vt:lpstr>
    </vt:vector>
  </TitlesOfParts>
  <Manager>Secrétariat général - Pool</Manager>
  <Company>Union internationale des télécommunications (UIT)</Company>
  <LinksUpToDate>false</LinksUpToDate>
  <CharactersWithSpaces>4181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S12-WCIT12-C-0030!!MSW-F</dc:title>
  <dc:subject>World Conference on International Telecommunications (WCIT)</dc:subject>
  <dc:creator>Documents Proposals Manager (DPM)</dc:creator>
  <cp:keywords>DPM_v5.3.6.13_prod</cp:keywords>
  <cp:lastModifiedBy>Royer, Veronique</cp:lastModifiedBy>
  <cp:revision>11</cp:revision>
  <cp:lastPrinted>2012-11-27T10:37:00Z</cp:lastPrinted>
  <dcterms:created xsi:type="dcterms:W3CDTF">2012-11-27T09:32:00Z</dcterms:created>
  <dcterms:modified xsi:type="dcterms:W3CDTF">2012-11-27T10:38:00Z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af688649-381e-4232-97b4-116e9886596f</vt:lpwstr>
  </property>
</Properties>
</file>