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33334A">
        <w:trPr>
          <w:cantSplit/>
        </w:trPr>
        <w:tc>
          <w:tcPr>
            <w:tcW w:w="6911" w:type="dxa"/>
          </w:tcPr>
          <w:p w:rsidR="0090121B" w:rsidRPr="0032644F" w:rsidRDefault="0032644F" w:rsidP="0032644F">
            <w:pPr>
              <w:rPr>
                <w:b/>
                <w:bCs/>
                <w:szCs w:val="22"/>
              </w:rPr>
            </w:pPr>
            <w:r w:rsidRPr="0032644F">
              <w:rPr>
                <w:b/>
                <w:bCs/>
                <w:sz w:val="28"/>
                <w:szCs w:val="28"/>
                <w:lang w:val="es-ES"/>
              </w:rPr>
              <w:t>Conferencia Mundial de Telecomunicaciones Internacionales (CMTI-12)</w:t>
            </w:r>
            <w:r w:rsidRPr="00097EB3">
              <w:br/>
            </w:r>
            <w:proofErr w:type="spellStart"/>
            <w:r w:rsidRPr="0032644F">
              <w:rPr>
                <w:b/>
                <w:bCs/>
                <w:sz w:val="22"/>
                <w:szCs w:val="18"/>
              </w:rPr>
              <w:t>Dubai</w:t>
            </w:r>
            <w:proofErr w:type="spellEnd"/>
            <w:r w:rsidRPr="0032644F">
              <w:rPr>
                <w:b/>
                <w:bCs/>
                <w:sz w:val="22"/>
                <w:szCs w:val="18"/>
              </w:rPr>
              <w:t xml:space="preserve"> 3-14 de diciembre de 2012</w:t>
            </w:r>
          </w:p>
        </w:tc>
        <w:tc>
          <w:tcPr>
            <w:tcW w:w="3120" w:type="dxa"/>
          </w:tcPr>
          <w:p w:rsidR="0090121B" w:rsidRPr="004C22ED" w:rsidRDefault="0090121B" w:rsidP="0090121B">
            <w:pPr>
              <w:spacing w:before="0" w:line="240" w:lineRule="atLeast"/>
              <w:rPr>
                <w:rFonts w:cstheme="minorHAnsi"/>
                <w:lang w:val="en-US"/>
              </w:rPr>
            </w:pPr>
            <w:bookmarkStart w:id="0" w:name="ditulogo"/>
            <w:bookmarkEnd w:id="0"/>
            <w:r w:rsidRPr="004C22ED">
              <w:rPr>
                <w:rFonts w:cstheme="minorHAnsi"/>
                <w:b/>
                <w:bCs/>
                <w:noProof/>
                <w:szCs w:val="24"/>
                <w:lang w:val="en-US" w:eastAsia="zh-CN"/>
              </w:rPr>
              <w:drawing>
                <wp:inline distT="0" distB="0" distL="0" distR="0" wp14:anchorId="168BAC83" wp14:editId="0765D1D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rsidTr="0033334A">
        <w:trPr>
          <w:cantSplit/>
        </w:trPr>
        <w:tc>
          <w:tcPr>
            <w:tcW w:w="6911" w:type="dxa"/>
            <w:tcBorders>
              <w:bottom w:val="single" w:sz="12" w:space="0" w:color="auto"/>
            </w:tcBorders>
          </w:tcPr>
          <w:p w:rsidR="0090121B" w:rsidRPr="004C22ED" w:rsidRDefault="0090121B" w:rsidP="0090121B">
            <w:pPr>
              <w:spacing w:before="0" w:after="48" w:line="240" w:lineRule="atLeast"/>
              <w:rPr>
                <w:rFonts w:cstheme="minorHAnsi"/>
                <w:b/>
                <w:smallCaps/>
                <w:szCs w:val="24"/>
                <w:lang w:val="en-US"/>
              </w:rPr>
            </w:pPr>
            <w:bookmarkStart w:id="1" w:name="dhead"/>
          </w:p>
        </w:tc>
        <w:tc>
          <w:tcPr>
            <w:tcW w:w="3120" w:type="dxa"/>
            <w:tcBorders>
              <w:bottom w:val="single" w:sz="12" w:space="0" w:color="auto"/>
            </w:tcBorders>
          </w:tcPr>
          <w:p w:rsidR="0090121B" w:rsidRPr="004C22ED" w:rsidRDefault="0090121B" w:rsidP="0090121B">
            <w:pPr>
              <w:spacing w:before="0" w:line="240" w:lineRule="atLeast"/>
              <w:rPr>
                <w:rFonts w:cstheme="minorHAnsi"/>
                <w:szCs w:val="24"/>
                <w:lang w:val="en-US"/>
              </w:rPr>
            </w:pPr>
          </w:p>
        </w:tc>
      </w:tr>
      <w:tr w:rsidR="0090121B" w:rsidRPr="0002785D" w:rsidTr="0090121B">
        <w:trPr>
          <w:cantSplit/>
        </w:trPr>
        <w:tc>
          <w:tcPr>
            <w:tcW w:w="6911" w:type="dxa"/>
            <w:tcBorders>
              <w:top w:val="single" w:sz="12" w:space="0" w:color="auto"/>
            </w:tcBorders>
          </w:tcPr>
          <w:p w:rsidR="0090121B" w:rsidRPr="004C22ED" w:rsidRDefault="0090121B" w:rsidP="004C22ED">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90121B" w:rsidRPr="004C22ED" w:rsidRDefault="0090121B" w:rsidP="0090121B">
            <w:pPr>
              <w:spacing w:before="0" w:line="240" w:lineRule="atLeast"/>
              <w:rPr>
                <w:rFonts w:cstheme="minorHAnsi"/>
                <w:szCs w:val="24"/>
                <w:lang w:val="en-US"/>
              </w:rPr>
            </w:pPr>
          </w:p>
        </w:tc>
      </w:tr>
      <w:tr w:rsidR="0090121B" w:rsidRPr="0002785D" w:rsidTr="0090121B">
        <w:trPr>
          <w:cantSplit/>
        </w:trPr>
        <w:tc>
          <w:tcPr>
            <w:tcW w:w="6911" w:type="dxa"/>
          </w:tcPr>
          <w:p w:rsidR="0090121B" w:rsidRPr="004C22ED" w:rsidRDefault="00AE658F" w:rsidP="00F136D2">
            <w:pPr>
              <w:pStyle w:val="Committee"/>
              <w:framePr w:hSpace="0" w:wrap="auto" w:hAnchor="text" w:yAlign="inline"/>
            </w:pPr>
            <w:r w:rsidRPr="004C22ED">
              <w:t>SESIÓN PLENARIA</w:t>
            </w:r>
          </w:p>
        </w:tc>
        <w:tc>
          <w:tcPr>
            <w:tcW w:w="3120" w:type="dxa"/>
          </w:tcPr>
          <w:p w:rsidR="0090121B" w:rsidRPr="004C22ED" w:rsidRDefault="00AE658F" w:rsidP="0090121B">
            <w:pPr>
              <w:spacing w:before="0" w:line="240" w:lineRule="atLeast"/>
              <w:rPr>
                <w:rFonts w:cstheme="minorHAnsi"/>
                <w:szCs w:val="24"/>
                <w:lang w:val="en-US"/>
              </w:rPr>
            </w:pPr>
            <w:r>
              <w:rPr>
                <w:rFonts w:cstheme="minorHAnsi"/>
                <w:b/>
                <w:szCs w:val="24"/>
                <w:lang w:val="en-US"/>
              </w:rPr>
              <w:t>Documento 26</w:t>
            </w:r>
            <w:r w:rsidR="0090121B" w:rsidRPr="004C22ED">
              <w:rPr>
                <w:rFonts w:cstheme="minorHAnsi"/>
                <w:b/>
                <w:szCs w:val="24"/>
                <w:lang w:val="en-US"/>
              </w:rPr>
              <w:t>-</w:t>
            </w:r>
            <w:r w:rsidRPr="004C22ED">
              <w:rPr>
                <w:rFonts w:cstheme="minorHAnsi"/>
                <w:b/>
                <w:szCs w:val="24"/>
                <w:lang w:val="en-US"/>
              </w:rPr>
              <w:t>S</w:t>
            </w:r>
          </w:p>
        </w:tc>
      </w:tr>
      <w:tr w:rsidR="0090121B" w:rsidRPr="0002785D" w:rsidTr="0090121B">
        <w:trPr>
          <w:cantSplit/>
        </w:trPr>
        <w:tc>
          <w:tcPr>
            <w:tcW w:w="6911" w:type="dxa"/>
          </w:tcPr>
          <w:p w:rsidR="0090121B" w:rsidRPr="004C22ED" w:rsidRDefault="0090121B" w:rsidP="0090121B">
            <w:pPr>
              <w:spacing w:before="0" w:after="48" w:line="240" w:lineRule="atLeast"/>
              <w:rPr>
                <w:rFonts w:cstheme="minorHAnsi"/>
                <w:b/>
                <w:smallCaps/>
                <w:szCs w:val="24"/>
                <w:lang w:val="en-US"/>
              </w:rPr>
            </w:pPr>
          </w:p>
        </w:tc>
        <w:tc>
          <w:tcPr>
            <w:tcW w:w="3120" w:type="dxa"/>
          </w:tcPr>
          <w:p w:rsidR="0090121B" w:rsidRPr="004C22ED" w:rsidRDefault="00AE658F" w:rsidP="0090121B">
            <w:pPr>
              <w:spacing w:before="0" w:line="240" w:lineRule="atLeast"/>
              <w:rPr>
                <w:rFonts w:cstheme="minorHAnsi"/>
                <w:b/>
                <w:szCs w:val="24"/>
                <w:lang w:val="en-US"/>
              </w:rPr>
            </w:pPr>
            <w:r w:rsidRPr="004C22ED">
              <w:rPr>
                <w:rFonts w:cstheme="minorHAnsi"/>
                <w:b/>
                <w:szCs w:val="24"/>
                <w:lang w:val="en-US"/>
              </w:rPr>
              <w:t>12 de noviembre de 2012</w:t>
            </w:r>
          </w:p>
        </w:tc>
      </w:tr>
      <w:tr w:rsidR="0090121B" w:rsidRPr="0002785D" w:rsidTr="0090121B">
        <w:trPr>
          <w:cantSplit/>
        </w:trPr>
        <w:tc>
          <w:tcPr>
            <w:tcW w:w="6911" w:type="dxa"/>
          </w:tcPr>
          <w:p w:rsidR="0090121B" w:rsidRPr="004C22ED" w:rsidRDefault="0090121B" w:rsidP="0090121B">
            <w:pPr>
              <w:spacing w:before="0" w:after="48" w:line="240" w:lineRule="atLeast"/>
              <w:rPr>
                <w:rFonts w:cstheme="minorHAnsi"/>
                <w:b/>
                <w:smallCaps/>
                <w:szCs w:val="24"/>
                <w:lang w:val="en-US"/>
              </w:rPr>
            </w:pPr>
          </w:p>
        </w:tc>
        <w:tc>
          <w:tcPr>
            <w:tcW w:w="3120" w:type="dxa"/>
          </w:tcPr>
          <w:p w:rsidR="0090121B" w:rsidRPr="004C22ED" w:rsidRDefault="00AE658F" w:rsidP="0090121B">
            <w:pPr>
              <w:spacing w:before="0" w:line="240" w:lineRule="atLeast"/>
              <w:rPr>
                <w:rFonts w:cstheme="minorHAnsi"/>
                <w:b/>
                <w:szCs w:val="24"/>
                <w:lang w:val="en-US"/>
              </w:rPr>
            </w:pPr>
            <w:r w:rsidRPr="004C22ED">
              <w:rPr>
                <w:rFonts w:cstheme="minorHAnsi"/>
                <w:b/>
                <w:szCs w:val="24"/>
                <w:lang w:val="en-US"/>
              </w:rPr>
              <w:t>Original: español</w:t>
            </w:r>
          </w:p>
        </w:tc>
      </w:tr>
      <w:tr w:rsidR="0070518E" w:rsidRPr="0002785D" w:rsidTr="0033334A">
        <w:trPr>
          <w:cantSplit/>
        </w:trPr>
        <w:tc>
          <w:tcPr>
            <w:tcW w:w="10031" w:type="dxa"/>
            <w:gridSpan w:val="2"/>
          </w:tcPr>
          <w:p w:rsidR="0070518E" w:rsidRPr="004C22ED" w:rsidRDefault="0070518E" w:rsidP="0090121B">
            <w:pPr>
              <w:spacing w:before="0" w:line="240" w:lineRule="atLeast"/>
              <w:rPr>
                <w:rFonts w:cstheme="minorHAnsi"/>
                <w:b/>
                <w:szCs w:val="24"/>
                <w:lang w:val="en-US"/>
              </w:rPr>
            </w:pPr>
          </w:p>
        </w:tc>
      </w:tr>
      <w:tr w:rsidR="0090121B" w:rsidRPr="0002785D" w:rsidTr="0033334A">
        <w:trPr>
          <w:cantSplit/>
        </w:trPr>
        <w:tc>
          <w:tcPr>
            <w:tcW w:w="10031" w:type="dxa"/>
            <w:gridSpan w:val="2"/>
          </w:tcPr>
          <w:p w:rsidR="0090121B" w:rsidRPr="0002785D" w:rsidRDefault="00AE658F" w:rsidP="0033334A">
            <w:pPr>
              <w:pStyle w:val="Source"/>
              <w:rPr>
                <w:lang w:val="en-US"/>
              </w:rPr>
            </w:pPr>
            <w:bookmarkStart w:id="2" w:name="dsource" w:colFirst="0" w:colLast="0"/>
            <w:bookmarkEnd w:id="1"/>
            <w:r w:rsidRPr="0002785D">
              <w:rPr>
                <w:lang w:val="en-US"/>
              </w:rPr>
              <w:t>Cuba</w:t>
            </w:r>
          </w:p>
        </w:tc>
      </w:tr>
      <w:tr w:rsidR="0090121B" w:rsidRPr="0002785D" w:rsidTr="0033334A">
        <w:trPr>
          <w:cantSplit/>
        </w:trPr>
        <w:tc>
          <w:tcPr>
            <w:tcW w:w="10031" w:type="dxa"/>
            <w:gridSpan w:val="2"/>
          </w:tcPr>
          <w:p w:rsidR="0090121B" w:rsidRPr="00475BD6" w:rsidRDefault="00AE658F" w:rsidP="0033334A">
            <w:pPr>
              <w:pStyle w:val="Title1"/>
            </w:pPr>
            <w:bookmarkStart w:id="3" w:name="dtitle1" w:colFirst="0" w:colLast="0"/>
            <w:bookmarkEnd w:id="2"/>
            <w:r w:rsidRPr="00475BD6">
              <w:t>Propuestas para los trabajos de la Conferencia</w:t>
            </w:r>
          </w:p>
        </w:tc>
      </w:tr>
      <w:tr w:rsidR="0090121B" w:rsidRPr="0002785D" w:rsidTr="0033334A">
        <w:trPr>
          <w:cantSplit/>
        </w:trPr>
        <w:tc>
          <w:tcPr>
            <w:tcW w:w="10031" w:type="dxa"/>
            <w:gridSpan w:val="2"/>
          </w:tcPr>
          <w:p w:rsidR="0090121B" w:rsidRPr="00475BD6" w:rsidRDefault="008538E8" w:rsidP="0033334A">
            <w:pPr>
              <w:pStyle w:val="Title2"/>
            </w:pPr>
            <w:bookmarkStart w:id="4" w:name="dtitle2" w:colFirst="0" w:colLast="0"/>
            <w:bookmarkEnd w:id="3"/>
            <w:r>
              <w:rPr>
                <w:b/>
                <w:lang w:val="es-ES"/>
              </w:rPr>
              <w:t>conexión Internacional y acceso no discriminatorio a internet</w:t>
            </w:r>
          </w:p>
        </w:tc>
      </w:tr>
      <w:tr w:rsidR="0090121B" w:rsidTr="0033334A">
        <w:trPr>
          <w:cantSplit/>
        </w:trPr>
        <w:tc>
          <w:tcPr>
            <w:tcW w:w="10031" w:type="dxa"/>
            <w:gridSpan w:val="2"/>
          </w:tcPr>
          <w:p w:rsidR="0090121B" w:rsidRDefault="0090121B" w:rsidP="0090121B">
            <w:pPr>
              <w:pStyle w:val="Agendaitem"/>
            </w:pPr>
            <w:bookmarkStart w:id="5" w:name="dtitle3" w:colFirst="0" w:colLast="0"/>
            <w:bookmarkEnd w:id="4"/>
          </w:p>
        </w:tc>
      </w:tr>
    </w:tbl>
    <w:bookmarkEnd w:id="5"/>
    <w:p w:rsidR="00475BD6" w:rsidRPr="007919E8" w:rsidRDefault="00475BD6" w:rsidP="00475BD6">
      <w:pPr>
        <w:spacing w:after="120"/>
        <w:jc w:val="both"/>
        <w:rPr>
          <w:rFonts w:cstheme="minorHAnsi"/>
          <w:b/>
          <w:bCs/>
          <w:iCs/>
          <w:lang w:val="es-ES"/>
        </w:rPr>
      </w:pPr>
      <w:r w:rsidRPr="007919E8">
        <w:rPr>
          <w:rFonts w:cstheme="minorHAnsi"/>
          <w:b/>
          <w:bCs/>
          <w:iCs/>
          <w:lang w:val="es-ES"/>
        </w:rPr>
        <w:t>Sumario</w:t>
      </w:r>
    </w:p>
    <w:p w:rsidR="00475BD6" w:rsidRPr="007919E8" w:rsidRDefault="00475BD6" w:rsidP="0033334A">
      <w:pPr>
        <w:spacing w:after="480"/>
        <w:jc w:val="both"/>
        <w:rPr>
          <w:rFonts w:cstheme="minorHAnsi"/>
          <w:iCs/>
          <w:lang w:val="es-ES"/>
        </w:rPr>
      </w:pPr>
      <w:r w:rsidRPr="007919E8">
        <w:rPr>
          <w:rFonts w:cstheme="minorHAnsi"/>
          <w:iCs/>
          <w:lang w:val="es-ES"/>
        </w:rPr>
        <w:t>Esta Contribución somete a la consideración de la CMTI-12, dos proyectos de posibles Disposiciones a incluir en los Artículos del RTI, sobre los temas que se informan a continuación, y presenta los fundamentos que sirven de base a la propuesta:</w:t>
      </w:r>
    </w:p>
    <w:p w:rsidR="00475BD6" w:rsidRPr="007919E8" w:rsidRDefault="00475BD6" w:rsidP="008538E8">
      <w:pPr>
        <w:tabs>
          <w:tab w:val="clear" w:pos="1134"/>
          <w:tab w:val="clear" w:pos="1871"/>
          <w:tab w:val="clear" w:pos="2268"/>
          <w:tab w:val="left" w:pos="426"/>
          <w:tab w:val="left" w:leader="dot" w:pos="8647"/>
        </w:tabs>
        <w:spacing w:after="240"/>
        <w:jc w:val="both"/>
        <w:rPr>
          <w:rFonts w:cstheme="minorHAnsi"/>
          <w:iCs/>
          <w:u w:val="single"/>
          <w:lang w:val="es-ES"/>
        </w:rPr>
      </w:pPr>
      <w:r w:rsidRPr="00475BD6">
        <w:rPr>
          <w:rFonts w:cstheme="minorHAnsi"/>
          <w:iCs/>
          <w:lang w:val="es-ES"/>
        </w:rPr>
        <w:tab/>
      </w:r>
      <w:r w:rsidRPr="007919E8">
        <w:rPr>
          <w:rFonts w:cstheme="minorHAnsi"/>
          <w:iCs/>
          <w:u w:val="single"/>
          <w:lang w:val="es-ES"/>
        </w:rPr>
        <w:t>ASUNTO</w:t>
      </w:r>
      <w:r>
        <w:rPr>
          <w:rFonts w:cstheme="minorHAnsi"/>
          <w:iCs/>
          <w:lang w:val="es-ES"/>
        </w:rPr>
        <w:tab/>
      </w:r>
      <w:r w:rsidRPr="007919E8">
        <w:rPr>
          <w:rFonts w:cstheme="minorHAnsi"/>
          <w:iCs/>
          <w:u w:val="single"/>
          <w:lang w:val="es-ES"/>
        </w:rPr>
        <w:t>Página</w:t>
      </w:r>
    </w:p>
    <w:p w:rsidR="00475BD6" w:rsidRPr="00F673A0" w:rsidRDefault="00475BD6" w:rsidP="00CD3421">
      <w:pPr>
        <w:tabs>
          <w:tab w:val="clear" w:pos="1134"/>
          <w:tab w:val="clear" w:pos="1871"/>
          <w:tab w:val="clear" w:pos="2268"/>
          <w:tab w:val="left" w:pos="426"/>
          <w:tab w:val="left" w:leader="dot" w:pos="9072"/>
        </w:tabs>
        <w:spacing w:after="120"/>
        <w:rPr>
          <w:rFonts w:cstheme="minorHAnsi"/>
          <w:iCs/>
          <w:lang w:val="es-ES"/>
        </w:rPr>
      </w:pPr>
      <w:r w:rsidRPr="00F673A0">
        <w:rPr>
          <w:rFonts w:cstheme="minorHAnsi"/>
          <w:b/>
          <w:bCs/>
          <w:iCs/>
          <w:lang w:val="es-ES"/>
        </w:rPr>
        <w:t>I</w:t>
      </w:r>
      <w:r w:rsidRPr="00F673A0">
        <w:rPr>
          <w:rFonts w:cstheme="minorHAnsi"/>
          <w:b/>
          <w:bCs/>
          <w:iCs/>
          <w:lang w:val="es-ES"/>
        </w:rPr>
        <w:tab/>
        <w:t>Antecedentes</w:t>
      </w:r>
      <w:r w:rsidRPr="00F673A0">
        <w:rPr>
          <w:rFonts w:cstheme="minorHAnsi"/>
          <w:iCs/>
          <w:lang w:val="es-ES"/>
        </w:rPr>
        <w:tab/>
        <w:t>1</w:t>
      </w:r>
    </w:p>
    <w:p w:rsidR="00475BD6" w:rsidRPr="00F673A0" w:rsidRDefault="00F673A0" w:rsidP="00CD3421">
      <w:pPr>
        <w:tabs>
          <w:tab w:val="clear" w:pos="1134"/>
          <w:tab w:val="clear" w:pos="1871"/>
          <w:tab w:val="clear" w:pos="2268"/>
          <w:tab w:val="left" w:pos="426"/>
          <w:tab w:val="left" w:leader="dot" w:pos="9072"/>
        </w:tabs>
        <w:spacing w:after="120"/>
        <w:rPr>
          <w:rFonts w:cstheme="minorHAnsi"/>
          <w:iCs/>
          <w:color w:val="000000" w:themeColor="text1"/>
          <w:lang w:val="es-ES"/>
        </w:rPr>
      </w:pPr>
      <w:hyperlink w:anchor="II" w:history="1">
        <w:r w:rsidR="00475BD6" w:rsidRPr="00F673A0">
          <w:rPr>
            <w:rStyle w:val="Hyperlink"/>
            <w:rFonts w:cstheme="minorHAnsi"/>
            <w:b/>
            <w:bCs/>
            <w:iCs/>
            <w:color w:val="000000" w:themeColor="text1"/>
            <w:u w:val="none"/>
            <w:lang w:val="es-ES"/>
          </w:rPr>
          <w:t>II</w:t>
        </w:r>
        <w:r w:rsidR="00475BD6" w:rsidRPr="00F673A0">
          <w:rPr>
            <w:rStyle w:val="Hyperlink"/>
            <w:rFonts w:cstheme="minorHAnsi"/>
            <w:b/>
            <w:bCs/>
            <w:iCs/>
            <w:color w:val="000000" w:themeColor="text1"/>
            <w:u w:val="none"/>
            <w:lang w:val="es-ES"/>
          </w:rPr>
          <w:tab/>
          <w:t>Propuesta</w:t>
        </w:r>
        <w:r w:rsidR="00CD3421" w:rsidRPr="00F673A0">
          <w:rPr>
            <w:rStyle w:val="Hyperlink"/>
            <w:rFonts w:cstheme="minorHAnsi"/>
            <w:b/>
            <w:bCs/>
            <w:iCs/>
            <w:color w:val="000000" w:themeColor="text1"/>
            <w:u w:val="none"/>
            <w:lang w:val="es-ES"/>
          </w:rPr>
          <w:t>s</w:t>
        </w:r>
        <w:r w:rsidR="00475BD6" w:rsidRPr="00F673A0">
          <w:rPr>
            <w:rStyle w:val="Hyperlink"/>
            <w:rFonts w:cstheme="minorHAnsi"/>
            <w:b/>
            <w:bCs/>
            <w:iCs/>
            <w:color w:val="000000" w:themeColor="text1"/>
            <w:u w:val="none"/>
            <w:lang w:val="es-ES"/>
          </w:rPr>
          <w:t xml:space="preserve"> de Disposición sobre las Condiciones de conexión internacional a Internet</w:t>
        </w:r>
        <w:r w:rsidR="00CD3421" w:rsidRPr="00F673A0">
          <w:rPr>
            <w:rStyle w:val="Hyperlink"/>
            <w:rFonts w:cstheme="minorHAnsi"/>
            <w:b/>
            <w:bCs/>
            <w:iCs/>
            <w:color w:val="000000" w:themeColor="text1"/>
            <w:u w:val="none"/>
            <w:lang w:val="es-ES"/>
          </w:rPr>
          <w:t xml:space="preserve"> y </w:t>
        </w:r>
        <w:r w:rsidR="0033334A" w:rsidRPr="00F673A0">
          <w:rPr>
            <w:rStyle w:val="Hyperlink"/>
            <w:rFonts w:cstheme="minorHAnsi"/>
            <w:b/>
            <w:bCs/>
            <w:iCs/>
            <w:color w:val="000000" w:themeColor="text1"/>
            <w:u w:val="none"/>
            <w:lang w:val="es-ES"/>
          </w:rPr>
          <w:tab/>
        </w:r>
        <w:r w:rsidR="00475BD6" w:rsidRPr="00F673A0">
          <w:rPr>
            <w:rStyle w:val="Hyperlink"/>
            <w:rFonts w:cstheme="minorHAnsi"/>
            <w:b/>
            <w:bCs/>
            <w:iCs/>
            <w:color w:val="000000" w:themeColor="text1"/>
            <w:u w:val="none"/>
            <w:lang w:val="es-ES"/>
          </w:rPr>
          <w:t>Propuesta de Disposición sobre el Acceso y Uso no discriminatorio de Internet</w:t>
        </w:r>
        <w:r w:rsidR="00475BD6" w:rsidRPr="00F673A0">
          <w:rPr>
            <w:rStyle w:val="Hyperlink"/>
            <w:rFonts w:cstheme="minorHAnsi"/>
            <w:iCs/>
            <w:color w:val="000000" w:themeColor="text1"/>
            <w:u w:val="none"/>
            <w:lang w:val="es-ES"/>
          </w:rPr>
          <w:tab/>
          <w:t>3</w:t>
        </w:r>
      </w:hyperlink>
    </w:p>
    <w:p w:rsidR="00475BD6" w:rsidRPr="00F673A0" w:rsidRDefault="00475BD6" w:rsidP="008538E8">
      <w:pPr>
        <w:tabs>
          <w:tab w:val="clear" w:pos="1134"/>
          <w:tab w:val="clear" w:pos="1871"/>
          <w:tab w:val="clear" w:pos="2268"/>
          <w:tab w:val="left" w:pos="426"/>
        </w:tabs>
        <w:spacing w:before="840"/>
        <w:jc w:val="both"/>
        <w:rPr>
          <w:rFonts w:cstheme="minorHAnsi"/>
          <w:b/>
          <w:lang w:val="es-ES"/>
        </w:rPr>
      </w:pPr>
      <w:r w:rsidRPr="00F673A0">
        <w:rPr>
          <w:rFonts w:cstheme="minorHAnsi"/>
          <w:b/>
          <w:lang w:val="es-ES"/>
        </w:rPr>
        <w:t>I</w:t>
      </w:r>
      <w:r w:rsidRPr="00F673A0">
        <w:rPr>
          <w:rFonts w:cstheme="minorHAnsi"/>
          <w:b/>
          <w:lang w:val="es-ES"/>
        </w:rPr>
        <w:tab/>
        <w:t>Antecedentes</w:t>
      </w:r>
    </w:p>
    <w:p w:rsidR="00475BD6" w:rsidRPr="007919E8" w:rsidRDefault="00475BD6" w:rsidP="00CD3421">
      <w:pPr>
        <w:snapToGrid w:val="0"/>
        <w:spacing w:before="360" w:after="120"/>
        <w:jc w:val="both"/>
        <w:rPr>
          <w:rFonts w:cstheme="minorHAnsi"/>
          <w:i/>
          <w:lang w:val="es-ES"/>
        </w:rPr>
      </w:pPr>
      <w:r w:rsidRPr="00F673A0">
        <w:rPr>
          <w:rFonts w:cstheme="minorHAnsi"/>
          <w:i/>
          <w:lang w:val="es-ES"/>
        </w:rPr>
        <w:t>Considerando</w:t>
      </w:r>
    </w:p>
    <w:p w:rsidR="00475BD6" w:rsidRPr="007919E8" w:rsidRDefault="00475BD6" w:rsidP="009D350E">
      <w:pPr>
        <w:snapToGrid w:val="0"/>
        <w:spacing w:after="120"/>
        <w:jc w:val="both"/>
        <w:rPr>
          <w:rFonts w:cstheme="minorHAnsi"/>
          <w:lang w:val="es-ES"/>
        </w:rPr>
      </w:pPr>
      <w:r w:rsidRPr="007919E8">
        <w:rPr>
          <w:rFonts w:cstheme="minorHAnsi"/>
          <w:lang w:val="es-ES"/>
        </w:rPr>
        <w:t>Que uno de los propósitos de la UIT establecido en el Artículo 1 de la Constitución de la UIT es “mantener y extender la cooperación internacional entre todos los Estados Miembros para el mejoramiento y uso racional de todo tipo de telecomunicaciones”,</w:t>
      </w:r>
    </w:p>
    <w:p w:rsidR="00475BD6" w:rsidRPr="007919E8" w:rsidRDefault="00475BD6" w:rsidP="00CD3421">
      <w:pPr>
        <w:snapToGrid w:val="0"/>
        <w:spacing w:before="360" w:after="120"/>
        <w:jc w:val="both"/>
        <w:rPr>
          <w:rFonts w:cstheme="minorHAnsi"/>
          <w:i/>
          <w:lang w:val="es-ES"/>
        </w:rPr>
      </w:pPr>
      <w:proofErr w:type="gramStart"/>
      <w:r w:rsidRPr="007919E8">
        <w:rPr>
          <w:rFonts w:cstheme="minorHAnsi"/>
          <w:i/>
          <w:lang w:val="es-ES"/>
        </w:rPr>
        <w:t>considerando</w:t>
      </w:r>
      <w:proofErr w:type="gramEnd"/>
      <w:r w:rsidRPr="007919E8">
        <w:rPr>
          <w:rFonts w:cstheme="minorHAnsi"/>
          <w:i/>
          <w:lang w:val="es-ES"/>
        </w:rPr>
        <w:t xml:space="preserve"> además</w:t>
      </w:r>
    </w:p>
    <w:p w:rsidR="00475BD6" w:rsidRPr="007919E8" w:rsidRDefault="00475BD6" w:rsidP="009D350E">
      <w:pPr>
        <w:snapToGrid w:val="0"/>
        <w:spacing w:after="120"/>
        <w:jc w:val="both"/>
        <w:rPr>
          <w:rFonts w:eastAsia="MS Mincho" w:cstheme="minorHAnsi"/>
          <w:sz w:val="17"/>
          <w:szCs w:val="17"/>
          <w:lang w:val="es-ES" w:eastAsia="ja-JP"/>
        </w:rPr>
      </w:pPr>
      <w:r w:rsidRPr="007919E8">
        <w:rPr>
          <w:rFonts w:cstheme="minorHAnsi"/>
          <w:lang w:val="es-ES"/>
        </w:rPr>
        <w:t xml:space="preserve">Los documentos aprobados en </w:t>
      </w:r>
      <w:smartTag w:uri="urn:schemas-microsoft-com:office:smarttags" w:element="PersonName">
        <w:smartTagPr>
          <w:attr w:name="ProductID" w:val="la conexión Internet"/>
        </w:smartTagPr>
        <w:r w:rsidRPr="007919E8">
          <w:rPr>
            <w:rFonts w:cstheme="minorHAnsi"/>
            <w:lang w:val="es-ES"/>
          </w:rPr>
          <w:t>la Cumbre Mundial</w:t>
        </w:r>
      </w:smartTag>
      <w:r w:rsidRPr="007919E8">
        <w:rPr>
          <w:rFonts w:cstheme="minorHAnsi"/>
          <w:lang w:val="es-ES"/>
        </w:rPr>
        <w:t xml:space="preserve"> sobre la Sociedad de la Información (CMSI), Ginebra 2003 y Túnez 2005, en su Declaración de Principios, especialmente </w:t>
      </w:r>
      <w:r w:rsidRPr="007919E8">
        <w:rPr>
          <w:rFonts w:eastAsia="MS Mincho" w:cstheme="minorHAnsi"/>
          <w:szCs w:val="22"/>
          <w:lang w:val="es-ES" w:eastAsia="ja-JP"/>
        </w:rPr>
        <w:t>§ § 11, 19, 20, 21 y 49,</w:t>
      </w:r>
    </w:p>
    <w:p w:rsidR="00475BD6" w:rsidRPr="007919E8" w:rsidRDefault="00475BD6" w:rsidP="009D350E">
      <w:pPr>
        <w:keepNext/>
        <w:keepLines/>
        <w:snapToGrid w:val="0"/>
        <w:spacing w:after="120"/>
        <w:jc w:val="both"/>
        <w:rPr>
          <w:rFonts w:cstheme="minorHAnsi"/>
          <w:i/>
          <w:lang w:val="es-ES"/>
        </w:rPr>
      </w:pPr>
      <w:proofErr w:type="gramStart"/>
      <w:r w:rsidRPr="007919E8">
        <w:rPr>
          <w:rFonts w:cstheme="minorHAnsi"/>
          <w:i/>
          <w:lang w:val="es-ES"/>
        </w:rPr>
        <w:lastRenderedPageBreak/>
        <w:t>notando</w:t>
      </w:r>
      <w:proofErr w:type="gramEnd"/>
    </w:p>
    <w:p w:rsidR="00475BD6" w:rsidRPr="007919E8" w:rsidRDefault="00475BD6" w:rsidP="009D350E">
      <w:pPr>
        <w:keepNext/>
        <w:keepLines/>
        <w:snapToGrid w:val="0"/>
        <w:spacing w:after="120"/>
        <w:jc w:val="both"/>
        <w:rPr>
          <w:rFonts w:eastAsia="MS Mincho" w:cstheme="minorHAnsi"/>
          <w:szCs w:val="22"/>
          <w:lang w:val="es-ES" w:eastAsia="ja-JP"/>
        </w:rPr>
      </w:pPr>
      <w:r w:rsidRPr="007919E8">
        <w:rPr>
          <w:rFonts w:cstheme="minorHAnsi"/>
          <w:lang w:val="es-ES"/>
        </w:rPr>
        <w:t xml:space="preserve">Que </w:t>
      </w:r>
      <w:r w:rsidRPr="007919E8">
        <w:rPr>
          <w:rFonts w:eastAsia="MS Mincho" w:cstheme="minorHAnsi"/>
          <w:szCs w:val="22"/>
          <w:lang w:val="es-ES" w:eastAsia="ja-JP"/>
        </w:rPr>
        <w:t xml:space="preserve">§ 48 de la Declaración de Principios de la CMSI reconoce que: “La Internet ha evolucionado en una facilidad global disponible al público y su gobernanza debe constituir un asunto central de la agenda de la Sociedad de </w:t>
      </w:r>
      <w:smartTag w:uri="urn:schemas-microsoft-com:office:smarttags" w:element="PersonName">
        <w:smartTagPr>
          <w:attr w:name="ProductID" w:val="la conexión Internet"/>
        </w:smartTagPr>
        <w:r w:rsidRPr="007919E8">
          <w:rPr>
            <w:rFonts w:eastAsia="MS Mincho" w:cstheme="minorHAnsi"/>
            <w:szCs w:val="22"/>
            <w:lang w:val="es-ES" w:eastAsia="ja-JP"/>
          </w:rPr>
          <w:t>la Información. Que</w:t>
        </w:r>
      </w:smartTag>
      <w:r w:rsidRPr="007919E8">
        <w:rPr>
          <w:rFonts w:eastAsia="MS Mincho" w:cstheme="minorHAnsi"/>
          <w:szCs w:val="22"/>
          <w:lang w:val="es-ES" w:eastAsia="ja-JP"/>
        </w:rPr>
        <w:t xml:space="preserve"> la administración internacional de la Internet debe ser multilateral, transparente y democrática, con la participación plena de los gobiernos, el sector privado, la sociedad civil y las organizaciones internacionales. Que debe asegurar una distribución equitativa de la distribución de recursos, facilidades de acceso para todos y asegurar un funcionamiento estable y seguro de la Internet”,</w:t>
      </w:r>
    </w:p>
    <w:p w:rsidR="00475BD6" w:rsidRPr="007919E8" w:rsidRDefault="00475BD6" w:rsidP="00CD3421">
      <w:pPr>
        <w:snapToGrid w:val="0"/>
        <w:spacing w:before="360" w:after="120"/>
        <w:jc w:val="both"/>
        <w:rPr>
          <w:rFonts w:eastAsia="MS Mincho" w:cstheme="minorHAnsi"/>
          <w:i/>
          <w:szCs w:val="22"/>
          <w:lang w:val="es-ES" w:eastAsia="ja-JP"/>
        </w:rPr>
      </w:pPr>
      <w:proofErr w:type="gramStart"/>
      <w:r w:rsidRPr="007919E8">
        <w:rPr>
          <w:rFonts w:eastAsia="MS Mincho" w:cstheme="minorHAnsi"/>
          <w:i/>
          <w:szCs w:val="22"/>
          <w:lang w:val="es-ES" w:eastAsia="ja-JP"/>
        </w:rPr>
        <w:t>teniendo</w:t>
      </w:r>
      <w:proofErr w:type="gramEnd"/>
      <w:r w:rsidRPr="007919E8">
        <w:rPr>
          <w:rFonts w:eastAsia="MS Mincho" w:cstheme="minorHAnsi"/>
          <w:i/>
          <w:szCs w:val="22"/>
          <w:lang w:val="es-ES" w:eastAsia="ja-JP"/>
        </w:rPr>
        <w:t xml:space="preserve"> en cuenta</w:t>
      </w:r>
    </w:p>
    <w:p w:rsidR="00475BD6" w:rsidRPr="007919E8" w:rsidRDefault="00475BD6" w:rsidP="009D350E">
      <w:pPr>
        <w:numPr>
          <w:ilvl w:val="0"/>
          <w:numId w:val="12"/>
        </w:numPr>
        <w:tabs>
          <w:tab w:val="clear" w:pos="1134"/>
          <w:tab w:val="clear" w:pos="1871"/>
          <w:tab w:val="clear" w:pos="2268"/>
        </w:tabs>
        <w:overflowPunct/>
        <w:autoSpaceDE/>
        <w:autoSpaceDN/>
        <w:snapToGrid w:val="0"/>
        <w:spacing w:after="120"/>
        <w:ind w:left="0" w:firstLine="0"/>
        <w:jc w:val="both"/>
        <w:textAlignment w:val="auto"/>
        <w:rPr>
          <w:rFonts w:cstheme="minorHAnsi"/>
          <w:lang w:val="es-ES"/>
        </w:rPr>
      </w:pPr>
      <w:r w:rsidRPr="007919E8">
        <w:rPr>
          <w:rFonts w:cstheme="minorHAnsi"/>
          <w:lang w:val="es-ES"/>
        </w:rPr>
        <w:t>Los recordatorios de la Resolución 101 (Guadalajara 2010) , en lo que atañe, por ejemplo, a:</w:t>
      </w:r>
    </w:p>
    <w:p w:rsidR="00475BD6" w:rsidRPr="007919E8" w:rsidRDefault="00475BD6" w:rsidP="00F90C1C">
      <w:pPr>
        <w:tabs>
          <w:tab w:val="clear" w:pos="1134"/>
          <w:tab w:val="clear" w:pos="1871"/>
          <w:tab w:val="clear" w:pos="2268"/>
        </w:tabs>
        <w:overflowPunct/>
        <w:autoSpaceDE/>
        <w:autoSpaceDN/>
        <w:snapToGrid w:val="0"/>
        <w:spacing w:after="120"/>
        <w:jc w:val="both"/>
        <w:textAlignment w:val="auto"/>
        <w:rPr>
          <w:rFonts w:cstheme="minorHAnsi"/>
          <w:lang w:val="es-ES"/>
        </w:rPr>
      </w:pPr>
      <w:r w:rsidRPr="007919E8">
        <w:rPr>
          <w:rFonts w:eastAsia="MS Mincho" w:cstheme="minorHAnsi"/>
          <w:szCs w:val="22"/>
          <w:lang w:val="es-ES" w:eastAsia="ja-JP"/>
        </w:rPr>
        <w:t>i)</w:t>
      </w:r>
      <w:r w:rsidRPr="007919E8">
        <w:rPr>
          <w:rFonts w:eastAsia="MS Mincho" w:cstheme="minorHAnsi"/>
          <w:szCs w:val="22"/>
          <w:lang w:val="es-ES" w:eastAsia="ja-JP"/>
        </w:rPr>
        <w:tab/>
        <w:t xml:space="preserve">Los resultados de las fases de Ginebra (2003) y de Túnez (2005) de </w:t>
      </w:r>
      <w:smartTag w:uri="urn:schemas-microsoft-com:office:smarttags" w:element="PersonName">
        <w:smartTagPr>
          <w:attr w:name="ProductID" w:val="la conexión Internet"/>
        </w:smartTagPr>
        <w:r w:rsidRPr="007919E8">
          <w:rPr>
            <w:rFonts w:eastAsia="MS Mincho" w:cstheme="minorHAnsi"/>
            <w:szCs w:val="22"/>
            <w:lang w:val="es-ES" w:eastAsia="ja-JP"/>
          </w:rPr>
          <w:t>la Cumbre Mundial</w:t>
        </w:r>
      </w:smartTag>
      <w:r w:rsidRPr="007919E8">
        <w:rPr>
          <w:rFonts w:eastAsia="MS Mincho" w:cstheme="minorHAnsi"/>
          <w:szCs w:val="22"/>
          <w:lang w:val="es-ES" w:eastAsia="ja-JP"/>
        </w:rPr>
        <w:t xml:space="preserve"> para la Sociedad de la Información, especialmente los apartados 27 c) y 50 d) de la Agenda de Túnez para la Sociedad de la Información, relacionados con la conectividad internacional a Internet;</w:t>
      </w:r>
    </w:p>
    <w:p w:rsidR="00475BD6" w:rsidRPr="007919E8" w:rsidRDefault="00475BD6" w:rsidP="00F90C1C">
      <w:pPr>
        <w:tabs>
          <w:tab w:val="clear" w:pos="1134"/>
          <w:tab w:val="clear" w:pos="1871"/>
          <w:tab w:val="clear" w:pos="2268"/>
        </w:tabs>
        <w:overflowPunct/>
        <w:autoSpaceDE/>
        <w:autoSpaceDN/>
        <w:snapToGrid w:val="0"/>
        <w:spacing w:after="120"/>
        <w:jc w:val="both"/>
        <w:textAlignment w:val="auto"/>
        <w:rPr>
          <w:rFonts w:cstheme="minorHAnsi"/>
          <w:lang w:val="es-ES"/>
        </w:rPr>
      </w:pPr>
      <w:r w:rsidRPr="007919E8">
        <w:rPr>
          <w:rFonts w:eastAsia="MS Mincho" w:cstheme="minorHAnsi"/>
          <w:szCs w:val="22"/>
          <w:lang w:val="es-ES" w:eastAsia="ja-JP"/>
        </w:rPr>
        <w:t>ii)</w:t>
      </w:r>
      <w:r w:rsidRPr="007919E8">
        <w:rPr>
          <w:rFonts w:eastAsia="MS Mincho" w:cstheme="minorHAnsi"/>
          <w:szCs w:val="22"/>
          <w:lang w:val="es-ES" w:eastAsia="ja-JP"/>
        </w:rPr>
        <w:tab/>
        <w:t xml:space="preserve">La Resolución 23 (Rev. </w:t>
      </w:r>
      <w:proofErr w:type="spellStart"/>
      <w:r w:rsidRPr="007919E8">
        <w:rPr>
          <w:rFonts w:eastAsia="MS Mincho" w:cstheme="minorHAnsi"/>
          <w:szCs w:val="22"/>
          <w:lang w:val="es-ES" w:eastAsia="ja-JP"/>
        </w:rPr>
        <w:t>Hyderabad</w:t>
      </w:r>
      <w:proofErr w:type="spellEnd"/>
      <w:r w:rsidRPr="007919E8">
        <w:rPr>
          <w:rFonts w:eastAsia="MS Mincho" w:cstheme="minorHAnsi"/>
          <w:szCs w:val="22"/>
          <w:lang w:val="es-ES" w:eastAsia="ja-JP"/>
        </w:rPr>
        <w:t>, 2010) de la Conferencia del Desarrollo de las Telecomunicaciones (CMDT) sobre acceso a Internet y disponibilidad de la misma en los países en desarrollo y principios de tasación de la conexión internacional a Internet;</w:t>
      </w:r>
    </w:p>
    <w:p w:rsidR="00475BD6" w:rsidRPr="007919E8" w:rsidRDefault="00475BD6" w:rsidP="00F90C1C">
      <w:pPr>
        <w:tabs>
          <w:tab w:val="clear" w:pos="1134"/>
          <w:tab w:val="clear" w:pos="1871"/>
          <w:tab w:val="clear" w:pos="2268"/>
        </w:tabs>
        <w:overflowPunct/>
        <w:autoSpaceDE/>
        <w:autoSpaceDN/>
        <w:snapToGrid w:val="0"/>
        <w:spacing w:after="120"/>
        <w:jc w:val="both"/>
        <w:textAlignment w:val="auto"/>
        <w:rPr>
          <w:rFonts w:cstheme="minorHAnsi"/>
          <w:lang w:val="es-ES"/>
        </w:rPr>
      </w:pPr>
      <w:r w:rsidRPr="007919E8">
        <w:rPr>
          <w:rFonts w:eastAsia="MS Mincho" w:cstheme="minorHAnsi"/>
          <w:szCs w:val="22"/>
          <w:lang w:val="es-ES" w:eastAsia="ja-JP"/>
        </w:rPr>
        <w:t>iii)</w:t>
      </w:r>
      <w:r w:rsidRPr="007919E8">
        <w:rPr>
          <w:rFonts w:eastAsia="MS Mincho" w:cstheme="minorHAnsi"/>
          <w:szCs w:val="22"/>
          <w:lang w:val="es-ES" w:eastAsia="ja-JP"/>
        </w:rPr>
        <w:tab/>
        <w:t xml:space="preserve">La Resolución 69 (Johannesburgo, 2008) de </w:t>
      </w:r>
      <w:smartTag w:uri="urn:schemas-microsoft-com:office:smarttags" w:element="PersonName">
        <w:smartTagPr>
          <w:attr w:name="ProductID" w:val="la conexión Internet"/>
        </w:smartTagPr>
        <w:r w:rsidRPr="007919E8">
          <w:rPr>
            <w:rFonts w:eastAsia="MS Mincho" w:cstheme="minorHAnsi"/>
            <w:szCs w:val="22"/>
            <w:lang w:val="es-ES" w:eastAsia="ja-JP"/>
          </w:rPr>
          <w:t>la Asamblea Mundial</w:t>
        </w:r>
      </w:smartTag>
      <w:r w:rsidRPr="007919E8">
        <w:rPr>
          <w:rFonts w:eastAsia="MS Mincho" w:cstheme="minorHAnsi"/>
          <w:szCs w:val="22"/>
          <w:lang w:val="es-ES" w:eastAsia="ja-JP"/>
        </w:rPr>
        <w:t xml:space="preserve"> de Normalización de las Telecomunicaciones (AMNT) sobre acceso y utilización no discriminatorios de los recursos de Internet;</w:t>
      </w:r>
    </w:p>
    <w:p w:rsidR="00475BD6" w:rsidRPr="007919E8" w:rsidRDefault="00475BD6" w:rsidP="00F90C1C">
      <w:pPr>
        <w:tabs>
          <w:tab w:val="clear" w:pos="1134"/>
          <w:tab w:val="clear" w:pos="1871"/>
          <w:tab w:val="clear" w:pos="2268"/>
        </w:tabs>
        <w:overflowPunct/>
        <w:autoSpaceDE/>
        <w:autoSpaceDN/>
        <w:snapToGrid w:val="0"/>
        <w:spacing w:after="120"/>
        <w:jc w:val="both"/>
        <w:textAlignment w:val="auto"/>
        <w:rPr>
          <w:rFonts w:eastAsia="MS Mincho" w:cstheme="minorHAnsi"/>
          <w:szCs w:val="22"/>
          <w:lang w:val="es-ES" w:eastAsia="ja-JP"/>
        </w:rPr>
      </w:pPr>
      <w:r w:rsidRPr="007919E8">
        <w:rPr>
          <w:rFonts w:eastAsia="MS Mincho" w:cstheme="minorHAnsi"/>
          <w:szCs w:val="22"/>
          <w:lang w:val="es-ES" w:eastAsia="ja-JP"/>
        </w:rPr>
        <w:t>iv)</w:t>
      </w:r>
      <w:r w:rsidRPr="007919E8">
        <w:rPr>
          <w:rFonts w:eastAsia="MS Mincho" w:cstheme="minorHAnsi"/>
          <w:szCs w:val="22"/>
          <w:lang w:val="es-ES" w:eastAsia="ja-JP"/>
        </w:rPr>
        <w:tab/>
      </w:r>
      <w:smartTag w:uri="urn:schemas-microsoft-com:office:smarttags" w:element="PersonName">
        <w:smartTagPr>
          <w:attr w:name="ProductID" w:val="la conexión Internet"/>
        </w:smartTagPr>
        <w:r w:rsidRPr="007919E8">
          <w:rPr>
            <w:rFonts w:eastAsia="MS Mincho" w:cstheme="minorHAnsi"/>
            <w:szCs w:val="22"/>
            <w:lang w:val="es-ES" w:eastAsia="ja-JP"/>
          </w:rPr>
          <w:t>La Recomendación UIT-T D.50</w:t>
        </w:r>
      </w:smartTag>
      <w:r w:rsidRPr="007919E8">
        <w:rPr>
          <w:rFonts w:eastAsia="MS Mincho" w:cstheme="minorHAnsi"/>
          <w:szCs w:val="22"/>
          <w:lang w:val="es-ES" w:eastAsia="ja-JP"/>
        </w:rPr>
        <w:t xml:space="preserve"> sobre los Principios generales de la tarificación – Principios aplicables a </w:t>
      </w:r>
      <w:smartTag w:uri="urn:schemas-microsoft-com:office:smarttags" w:element="PersonName">
        <w:smartTagPr>
          <w:attr w:name="ProductID" w:val="la conexión Internet"/>
        </w:smartTagPr>
        <w:r w:rsidRPr="007919E8">
          <w:rPr>
            <w:rFonts w:eastAsia="MS Mincho" w:cstheme="minorHAnsi"/>
            <w:szCs w:val="22"/>
            <w:lang w:val="es-ES" w:eastAsia="ja-JP"/>
          </w:rPr>
          <w:t>la conexión Internet</w:t>
        </w:r>
      </w:smartTag>
      <w:r w:rsidRPr="007919E8">
        <w:rPr>
          <w:rFonts w:eastAsia="MS Mincho" w:cstheme="minorHAnsi"/>
          <w:szCs w:val="22"/>
          <w:lang w:val="es-ES" w:eastAsia="ja-JP"/>
        </w:rPr>
        <w:t xml:space="preserve"> internacional</w:t>
      </w:r>
    </w:p>
    <w:p w:rsidR="00475BD6" w:rsidRPr="007919E8" w:rsidRDefault="00475BD6" w:rsidP="00CD3421">
      <w:pPr>
        <w:snapToGrid w:val="0"/>
        <w:spacing w:before="360" w:after="120"/>
        <w:jc w:val="both"/>
        <w:rPr>
          <w:rFonts w:cstheme="minorHAnsi"/>
          <w:i/>
          <w:lang w:val="es-ES"/>
        </w:rPr>
      </w:pPr>
      <w:r w:rsidRPr="007919E8">
        <w:rPr>
          <w:rFonts w:cstheme="minorHAnsi"/>
          <w:i/>
          <w:lang w:val="es-ES"/>
        </w:rPr>
        <w:t>Teniendo en cuenta además:</w:t>
      </w:r>
    </w:p>
    <w:p w:rsidR="00475BD6" w:rsidRPr="007919E8" w:rsidRDefault="00475BD6" w:rsidP="009D350E">
      <w:pPr>
        <w:snapToGrid w:val="0"/>
        <w:spacing w:after="120"/>
        <w:jc w:val="both"/>
        <w:rPr>
          <w:rFonts w:cstheme="minorHAnsi"/>
        </w:rPr>
      </w:pPr>
      <w:r w:rsidRPr="007919E8">
        <w:rPr>
          <w:rFonts w:cstheme="minorHAnsi"/>
        </w:rPr>
        <w:t xml:space="preserve">Que Internet constituye hoy una infraestructura esencial para nuestra vida económica y social. Los nuevos servicios propiciados por Internet están cambiando el panorama económico y, en realidad, la propia naturaleza del sector de las telecomunicaciones. </w:t>
      </w:r>
      <w:r w:rsidRPr="007919E8">
        <w:rPr>
          <w:rFonts w:cstheme="minorHAnsi"/>
          <w:bCs/>
        </w:rPr>
        <w:t>Todo el tráfico de telecomunicaciones se está transformando en comunicaciones basadas en el protocolo Internet. Este paso de redes telefónicas y de datos especiales a redes IP resultado de la convergencia plantea cuestiones reglamentarias, técnicas y económicas de importancia</w:t>
      </w:r>
      <w:r w:rsidRPr="007919E8">
        <w:rPr>
          <w:rFonts w:cstheme="minorHAnsi"/>
          <w:b/>
          <w:bCs/>
        </w:rPr>
        <w:t>.</w:t>
      </w:r>
    </w:p>
    <w:p w:rsidR="00475BD6" w:rsidRPr="007919E8" w:rsidRDefault="00475BD6" w:rsidP="00CD3421">
      <w:pPr>
        <w:snapToGrid w:val="0"/>
        <w:spacing w:before="360" w:after="120"/>
        <w:jc w:val="both"/>
        <w:rPr>
          <w:rFonts w:cstheme="minorHAnsi"/>
          <w:lang w:val="es-ES"/>
        </w:rPr>
      </w:pPr>
      <w:r w:rsidRPr="007919E8">
        <w:rPr>
          <w:rFonts w:cstheme="minorHAnsi"/>
          <w:i/>
          <w:lang w:val="es-ES"/>
        </w:rPr>
        <w:t>Considerando nuevamente</w:t>
      </w:r>
      <w:r w:rsidRPr="007919E8">
        <w:rPr>
          <w:rFonts w:cstheme="minorHAnsi"/>
          <w:lang w:val="es-ES"/>
        </w:rPr>
        <w:t xml:space="preserve">: </w:t>
      </w:r>
    </w:p>
    <w:p w:rsidR="00475BD6" w:rsidRPr="007919E8" w:rsidRDefault="00475BD6" w:rsidP="009D350E">
      <w:pPr>
        <w:snapToGrid w:val="0"/>
        <w:spacing w:after="120"/>
        <w:jc w:val="both"/>
        <w:rPr>
          <w:rFonts w:cstheme="minorHAnsi"/>
          <w:bCs/>
          <w:iCs/>
          <w:color w:val="0D0D0D"/>
          <w:lang w:val="es-ES"/>
        </w:rPr>
      </w:pPr>
      <w:r w:rsidRPr="007919E8">
        <w:rPr>
          <w:rFonts w:cstheme="minorHAnsi"/>
          <w:bCs/>
          <w:iCs/>
          <w:color w:val="0D0D0D"/>
          <w:lang w:val="es-ES"/>
        </w:rPr>
        <w:t>Que un aspecto importante del tráfico Internet donde y para asegurar una rentabilidad adecuada de las inversiones realizadas en infraestructuras de gran ancho de banda, las empresas de explotación deben negociar acuerdos comerciales destinados a conseguir un sistema duradero de compensación justa para los servicios de telecomunicaciones</w:t>
      </w:r>
      <w:r w:rsidR="00CD3421">
        <w:rPr>
          <w:rFonts w:cstheme="minorHAnsi"/>
          <w:bCs/>
          <w:iCs/>
          <w:color w:val="0D0D0D"/>
          <w:lang w:val="es-ES"/>
        </w:rPr>
        <w:t>;</w:t>
      </w:r>
    </w:p>
    <w:p w:rsidR="00475BD6" w:rsidRPr="007919E8" w:rsidRDefault="00475BD6" w:rsidP="00CD3421">
      <w:pPr>
        <w:snapToGrid w:val="0"/>
        <w:spacing w:before="360" w:after="120"/>
        <w:jc w:val="both"/>
        <w:rPr>
          <w:rFonts w:cstheme="minorHAnsi"/>
          <w:i/>
        </w:rPr>
      </w:pPr>
      <w:r w:rsidRPr="007919E8">
        <w:rPr>
          <w:rFonts w:cstheme="minorHAnsi"/>
          <w:i/>
        </w:rPr>
        <w:t>Reconociendo</w:t>
      </w:r>
      <w:r w:rsidRPr="007919E8">
        <w:rPr>
          <w:rFonts w:cstheme="minorHAnsi"/>
          <w:i/>
          <w:lang w:val="es-ES"/>
        </w:rPr>
        <w:t>:</w:t>
      </w:r>
    </w:p>
    <w:p w:rsidR="00475BD6" w:rsidRPr="007919E8" w:rsidRDefault="00475BD6" w:rsidP="009D350E">
      <w:pPr>
        <w:snapToGrid w:val="0"/>
        <w:spacing w:after="120"/>
        <w:jc w:val="both"/>
        <w:rPr>
          <w:rFonts w:cstheme="minorHAnsi"/>
          <w:lang w:val="es-ES"/>
        </w:rPr>
      </w:pPr>
      <w:r w:rsidRPr="007919E8">
        <w:rPr>
          <w:rFonts w:cstheme="minorHAnsi"/>
        </w:rPr>
        <w:t xml:space="preserve">Que Internet es una </w:t>
      </w:r>
      <w:r w:rsidRPr="007919E8">
        <w:rPr>
          <w:rFonts w:cstheme="minorHAnsi"/>
          <w:lang w:val="es-ES"/>
        </w:rPr>
        <w:t>cuestión fundamental de alto nivel, y neutral con respecto a la tecnología no existente cuando en 1988 se aprobó el Reglamento Internacional de Telecomunicaciones</w:t>
      </w:r>
      <w:r w:rsidR="00CD3421">
        <w:rPr>
          <w:rFonts w:cstheme="minorHAnsi"/>
          <w:lang w:val="es-ES"/>
        </w:rPr>
        <w:t>;</w:t>
      </w:r>
      <w:r w:rsidRPr="007919E8">
        <w:rPr>
          <w:rFonts w:cstheme="minorHAnsi"/>
          <w:lang w:val="es-ES"/>
        </w:rPr>
        <w:t xml:space="preserve"> </w:t>
      </w:r>
    </w:p>
    <w:p w:rsidR="00475BD6" w:rsidRPr="007919E8" w:rsidRDefault="00475BD6" w:rsidP="00F90C1C">
      <w:pPr>
        <w:snapToGrid w:val="0"/>
        <w:spacing w:after="120"/>
        <w:jc w:val="both"/>
        <w:rPr>
          <w:rFonts w:cstheme="minorHAnsi"/>
          <w:lang w:val="es-ES"/>
        </w:rPr>
      </w:pPr>
      <w:r w:rsidRPr="007919E8">
        <w:rPr>
          <w:rFonts w:cstheme="minorHAnsi"/>
          <w:lang w:val="es-ES"/>
        </w:rPr>
        <w:t xml:space="preserve">Se propone añadir al Artículo 3 del RTI </w:t>
      </w:r>
      <w:r w:rsidR="00F90C1C">
        <w:rPr>
          <w:rFonts w:cstheme="minorHAnsi"/>
          <w:lang w:val="es-ES"/>
        </w:rPr>
        <w:t>las nuevas propuestas</w:t>
      </w:r>
      <w:r w:rsidRPr="007919E8">
        <w:rPr>
          <w:rFonts w:cstheme="minorHAnsi"/>
          <w:lang w:val="es-ES"/>
        </w:rPr>
        <w:t xml:space="preserve"> siguientes:</w:t>
      </w:r>
    </w:p>
    <w:p w:rsidR="008750A8" w:rsidRDefault="009D350E" w:rsidP="00F90C1C">
      <w:pPr>
        <w:keepNext/>
        <w:keepLines/>
        <w:tabs>
          <w:tab w:val="clear" w:pos="1134"/>
          <w:tab w:val="clear" w:pos="1871"/>
          <w:tab w:val="clear" w:pos="2268"/>
        </w:tabs>
        <w:ind w:left="426" w:hanging="426"/>
        <w:rPr>
          <w:rFonts w:cstheme="minorHAnsi"/>
          <w:b/>
          <w:bCs/>
          <w:iCs/>
          <w:lang w:val="es-ES"/>
        </w:rPr>
      </w:pPr>
      <w:r w:rsidRPr="00F90C1C">
        <w:rPr>
          <w:rFonts w:cstheme="minorHAnsi"/>
          <w:b/>
          <w:bCs/>
          <w:iCs/>
          <w:lang w:val="es-ES"/>
        </w:rPr>
        <w:lastRenderedPageBreak/>
        <w:t>II</w:t>
      </w:r>
      <w:r w:rsidRPr="00F90C1C">
        <w:rPr>
          <w:rFonts w:cstheme="minorHAnsi"/>
          <w:b/>
          <w:bCs/>
          <w:iCs/>
          <w:lang w:val="es-ES"/>
        </w:rPr>
        <w:tab/>
      </w:r>
      <w:bookmarkStart w:id="6" w:name="II"/>
      <w:r w:rsidRPr="00F90C1C">
        <w:rPr>
          <w:rFonts w:cstheme="minorHAnsi"/>
          <w:b/>
          <w:bCs/>
          <w:iCs/>
          <w:lang w:val="es-ES"/>
        </w:rPr>
        <w:t>Propuesta de Disposición sobre las Condiciones de conexión internacional a Internet</w:t>
      </w:r>
      <w:r w:rsidR="00CD3421" w:rsidRPr="00F90C1C">
        <w:rPr>
          <w:rFonts w:cstheme="minorHAnsi"/>
          <w:b/>
          <w:bCs/>
          <w:iCs/>
          <w:lang w:val="es-ES"/>
        </w:rPr>
        <w:t xml:space="preserve"> y Propuesta de Disposición sobre el Acceso y Uso no discriminatorio de Internet</w:t>
      </w:r>
      <w:bookmarkEnd w:id="6"/>
    </w:p>
    <w:p w:rsidR="0033334A" w:rsidRPr="001465AB" w:rsidRDefault="0033334A" w:rsidP="0033334A">
      <w:pPr>
        <w:pStyle w:val="ArtNo"/>
      </w:pPr>
      <w:r w:rsidRPr="001465AB">
        <w:t>Artículo 3</w:t>
      </w:r>
    </w:p>
    <w:p w:rsidR="0033334A" w:rsidRPr="001465AB" w:rsidRDefault="0033334A" w:rsidP="0033334A">
      <w:pPr>
        <w:pStyle w:val="Arttitle"/>
      </w:pPr>
      <w:r w:rsidRPr="001465AB">
        <w:t>Red internacional</w:t>
      </w:r>
    </w:p>
    <w:p w:rsidR="00990D4A" w:rsidRPr="00F673A0" w:rsidRDefault="0033334A">
      <w:pPr>
        <w:pStyle w:val="Proposal"/>
      </w:pPr>
      <w:r w:rsidRPr="00F673A0">
        <w:rPr>
          <w:b/>
        </w:rPr>
        <w:t>ADD</w:t>
      </w:r>
      <w:r w:rsidRPr="00F673A0">
        <w:tab/>
        <w:t>CUB/26/1</w:t>
      </w:r>
    </w:p>
    <w:p w:rsidR="00990D4A" w:rsidRPr="00F673A0" w:rsidRDefault="00CD3421">
      <w:r w:rsidRPr="00F673A0">
        <w:rPr>
          <w:rStyle w:val="Artdef"/>
        </w:rPr>
        <w:t>31A</w:t>
      </w:r>
      <w:r w:rsidRPr="00F673A0">
        <w:rPr>
          <w:rFonts w:ascii="Calibri"/>
        </w:rPr>
        <w:tab/>
        <w:t>3.5</w:t>
      </w:r>
      <w:r w:rsidRPr="00F673A0">
        <w:rPr>
          <w:rFonts w:ascii="Calibri"/>
        </w:rPr>
        <w:tab/>
      </w:r>
      <w:r w:rsidRPr="00F673A0">
        <w:rPr>
          <w:rFonts w:ascii="Calibri"/>
          <w:i/>
          <w:iCs/>
        </w:rPr>
        <w:t>Condiciones de conexión internacional a Internet</w:t>
      </w:r>
    </w:p>
    <w:p w:rsidR="00990D4A" w:rsidRPr="00F673A0" w:rsidRDefault="00990D4A">
      <w:pPr>
        <w:pStyle w:val="Reasons"/>
      </w:pPr>
    </w:p>
    <w:p w:rsidR="00990D4A" w:rsidRPr="00F673A0" w:rsidRDefault="0033334A">
      <w:pPr>
        <w:pStyle w:val="Proposal"/>
      </w:pPr>
      <w:r w:rsidRPr="00F673A0">
        <w:rPr>
          <w:b/>
        </w:rPr>
        <w:t>ADD</w:t>
      </w:r>
      <w:r w:rsidRPr="00F673A0">
        <w:tab/>
        <w:t>CUB/26/2</w:t>
      </w:r>
    </w:p>
    <w:p w:rsidR="00990D4A" w:rsidRPr="00F673A0" w:rsidRDefault="00CD3421">
      <w:r w:rsidRPr="00F673A0">
        <w:rPr>
          <w:rStyle w:val="Artdef"/>
        </w:rPr>
        <w:t>31B</w:t>
      </w:r>
      <w:r w:rsidRPr="00F673A0">
        <w:rPr>
          <w:rFonts w:ascii="Calibri"/>
        </w:rPr>
        <w:tab/>
        <w:t>3.6</w:t>
      </w:r>
      <w:r w:rsidRPr="00F673A0">
        <w:rPr>
          <w:rFonts w:ascii="Calibri"/>
        </w:rPr>
        <w:tab/>
        <w:t>Las empresas de explotación que intervienen en la provisión de conexiones internacionales por Internet negociaran acuerdos mutuos entre las partes teniendo en cuenta la posible necesidad de compensación justa por el valor de los elementos que la componen.</w:t>
      </w:r>
    </w:p>
    <w:p w:rsidR="00990D4A" w:rsidRPr="00F673A0" w:rsidRDefault="00990D4A">
      <w:pPr>
        <w:pStyle w:val="Reasons"/>
      </w:pPr>
    </w:p>
    <w:p w:rsidR="00990D4A" w:rsidRPr="00F673A0" w:rsidRDefault="0033334A">
      <w:pPr>
        <w:pStyle w:val="Proposal"/>
      </w:pPr>
      <w:r w:rsidRPr="00F673A0">
        <w:rPr>
          <w:b/>
        </w:rPr>
        <w:t>ADD</w:t>
      </w:r>
      <w:r w:rsidRPr="00F673A0">
        <w:tab/>
        <w:t>CUB/26/3</w:t>
      </w:r>
      <w:bookmarkStart w:id="7" w:name="_GoBack"/>
      <w:bookmarkEnd w:id="7"/>
    </w:p>
    <w:p w:rsidR="00990D4A" w:rsidRPr="00F673A0" w:rsidRDefault="00CD3421">
      <w:r w:rsidRPr="00F673A0">
        <w:rPr>
          <w:rStyle w:val="Artdef"/>
        </w:rPr>
        <w:t>31C</w:t>
      </w:r>
      <w:r w:rsidRPr="00F673A0">
        <w:rPr>
          <w:rFonts w:ascii="Calibri"/>
        </w:rPr>
        <w:tab/>
        <w:t>3.7</w:t>
      </w:r>
      <w:r w:rsidRPr="00F673A0">
        <w:rPr>
          <w:rFonts w:ascii="Calibri"/>
        </w:rPr>
        <w:tab/>
      </w:r>
      <w:r w:rsidRPr="00F673A0">
        <w:rPr>
          <w:rFonts w:ascii="Calibri"/>
          <w:i/>
          <w:iCs/>
        </w:rPr>
        <w:t>Acceso y uso no discriminatorio a Internet</w:t>
      </w:r>
    </w:p>
    <w:p w:rsidR="00990D4A" w:rsidRPr="00F673A0" w:rsidRDefault="00990D4A">
      <w:pPr>
        <w:pStyle w:val="Reasons"/>
      </w:pPr>
    </w:p>
    <w:p w:rsidR="00990D4A" w:rsidRPr="00F673A0" w:rsidRDefault="0033334A">
      <w:pPr>
        <w:pStyle w:val="Proposal"/>
      </w:pPr>
      <w:r w:rsidRPr="00F673A0">
        <w:rPr>
          <w:b/>
        </w:rPr>
        <w:t>ADD</w:t>
      </w:r>
      <w:r w:rsidRPr="00F673A0">
        <w:tab/>
        <w:t>CUB/26/4</w:t>
      </w:r>
    </w:p>
    <w:p w:rsidR="00990D4A" w:rsidRDefault="00CD3421">
      <w:r w:rsidRPr="00F673A0">
        <w:rPr>
          <w:rStyle w:val="Artdef"/>
        </w:rPr>
        <w:t>31D</w:t>
      </w:r>
      <w:r w:rsidRPr="00F673A0">
        <w:rPr>
          <w:rFonts w:ascii="Calibri"/>
        </w:rPr>
        <w:tab/>
        <w:t>3.8</w:t>
      </w:r>
      <w:r w:rsidRPr="00F673A0">
        <w:rPr>
          <w:rFonts w:ascii="Calibri"/>
        </w:rPr>
        <w:tab/>
        <w:t>Los Estados Miembros se abstendrán de tomar medidas unilaterales y/o discriminatorias que pudieran impedir a otro Estado Miembro el acceso a los sitios públicos de Internet.</w:t>
      </w:r>
    </w:p>
    <w:p w:rsidR="00990D4A" w:rsidRDefault="00990D4A">
      <w:pPr>
        <w:pStyle w:val="Reasons"/>
      </w:pPr>
    </w:p>
    <w:p w:rsidR="00CD3421" w:rsidRDefault="00CD3421" w:rsidP="008538E8">
      <w:pPr>
        <w:spacing w:before="360"/>
        <w:jc w:val="center"/>
      </w:pPr>
      <w:r>
        <w:t>____________________</w:t>
      </w:r>
    </w:p>
    <w:sectPr w:rsidR="00CD3421">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34A" w:rsidRDefault="0033334A">
      <w:r>
        <w:separator/>
      </w:r>
    </w:p>
  </w:endnote>
  <w:endnote w:type="continuationSeparator" w:id="0">
    <w:p w:rsidR="0033334A" w:rsidRDefault="0033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34A" w:rsidRDefault="0033334A">
    <w:pPr>
      <w:pStyle w:val="Footer"/>
      <w:framePr w:wrap="around" w:vAnchor="text" w:hAnchor="margin" w:xAlign="right" w:y="1"/>
    </w:pPr>
    <w:r>
      <w:fldChar w:fldCharType="begin"/>
    </w:r>
    <w:r>
      <w:instrText xml:space="preserve">PAGE  </w:instrText>
    </w:r>
    <w:r>
      <w:fldChar w:fldCharType="end"/>
    </w:r>
  </w:p>
  <w:p w:rsidR="0033334A" w:rsidRDefault="0033334A">
    <w:pPr>
      <w:ind w:right="360"/>
      <w:rPr>
        <w:lang w:val="en-US"/>
      </w:rPr>
    </w:pPr>
    <w:r>
      <w:fldChar w:fldCharType="begin"/>
    </w:r>
    <w:r>
      <w:rPr>
        <w:lang w:val="en-US"/>
      </w:rPr>
      <w:instrText xml:space="preserve"> FILENAME \p  \* MERGEFORMAT </w:instrText>
    </w:r>
    <w:r>
      <w:fldChar w:fldCharType="separate"/>
    </w:r>
    <w:r>
      <w:rPr>
        <w:noProof/>
        <w:lang w:val="en-US"/>
      </w:rPr>
      <w:t>P:\SPM\GBS\wcit-12\doc\026s_Cuba.docx</w:t>
    </w:r>
    <w:r>
      <w:fldChar w:fldCharType="end"/>
    </w:r>
    <w:r>
      <w:rPr>
        <w:lang w:val="en-US"/>
      </w:rPr>
      <w:tab/>
    </w:r>
    <w:r>
      <w:fldChar w:fldCharType="begin"/>
    </w:r>
    <w:r>
      <w:instrText xml:space="preserve"> SAVEDATE \@ DD.MM.YY </w:instrText>
    </w:r>
    <w:r>
      <w:fldChar w:fldCharType="separate"/>
    </w:r>
    <w:r w:rsidR="00F673A0">
      <w:rPr>
        <w:noProof/>
      </w:rPr>
      <w:t>12.11.12</w:t>
    </w:r>
    <w:r>
      <w:fldChar w:fldCharType="end"/>
    </w:r>
    <w:r>
      <w:rPr>
        <w:lang w:val="en-US"/>
      </w:rPr>
      <w:tab/>
    </w:r>
    <w:r>
      <w:fldChar w:fldCharType="begin"/>
    </w:r>
    <w:r>
      <w:instrText xml:space="preserve"> PRINTDATE \@ DD.MM.YY </w:instrText>
    </w:r>
    <w:r>
      <w:fldChar w:fldCharType="separate"/>
    </w:r>
    <w:r>
      <w:rPr>
        <w:noProof/>
      </w:rPr>
      <w:t>12.11.12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34A" w:rsidRDefault="0033334A" w:rsidP="00604B96">
    <w:pPr>
      <w:pStyle w:val="Footer"/>
      <w:ind w:right="360"/>
      <w:rPr>
        <w:lang w:val="en-US"/>
      </w:rPr>
    </w:pPr>
    <w:r>
      <w:fldChar w:fldCharType="begin"/>
    </w:r>
    <w:r>
      <w:rPr>
        <w:lang w:val="en-US"/>
      </w:rPr>
      <w:instrText xml:space="preserve"> FILENAME \p  \* MERGEFORMAT </w:instrText>
    </w:r>
    <w:r>
      <w:fldChar w:fldCharType="separate"/>
    </w:r>
    <w:r>
      <w:rPr>
        <w:lang w:val="en-US"/>
      </w:rPr>
      <w:t>P:\SPM\GBS\wcit-12\doc\026s_Cuba.docx</w:t>
    </w:r>
    <w:r>
      <w:fldChar w:fldCharType="end"/>
    </w:r>
    <w:r>
      <w:rPr>
        <w:lang w:val="en-US"/>
      </w:rPr>
      <w:tab/>
    </w:r>
    <w:r>
      <w:fldChar w:fldCharType="begin"/>
    </w:r>
    <w:r>
      <w:instrText xml:space="preserve"> SAVEDATE \@ DD.MM.YY </w:instrText>
    </w:r>
    <w:r>
      <w:fldChar w:fldCharType="separate"/>
    </w:r>
    <w:r w:rsidR="00F673A0">
      <w:t>12.11.12</w:t>
    </w:r>
    <w:r>
      <w:fldChar w:fldCharType="end"/>
    </w:r>
    <w:r>
      <w:rPr>
        <w:lang w:val="en-US"/>
      </w:rPr>
      <w:tab/>
    </w:r>
    <w:r>
      <w:fldChar w:fldCharType="begin"/>
    </w:r>
    <w:r>
      <w:instrText xml:space="preserve"> PRINTDATE \@ DD.MM.YY </w:instrText>
    </w:r>
    <w:r>
      <w:fldChar w:fldCharType="separate"/>
    </w:r>
    <w:r>
      <w:t>12.11.12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34A" w:rsidRDefault="0033334A" w:rsidP="00604B96">
    <w:pPr>
      <w:pStyle w:val="Footer"/>
      <w:rPr>
        <w:lang w:val="en-US"/>
      </w:rPr>
    </w:pPr>
    <w:r>
      <w:fldChar w:fldCharType="begin"/>
    </w:r>
    <w:r>
      <w:rPr>
        <w:lang w:val="en-US"/>
      </w:rPr>
      <w:instrText xml:space="preserve"> FILENAME \p  \* MERGEFORMAT </w:instrText>
    </w:r>
    <w:r>
      <w:fldChar w:fldCharType="separate"/>
    </w:r>
    <w:r>
      <w:rPr>
        <w:lang w:val="en-US"/>
      </w:rPr>
      <w:t>P:\SPM\GBS\wcit-12\doc\026s_Cuba.docx</w:t>
    </w:r>
    <w:r>
      <w:fldChar w:fldCharType="end"/>
    </w:r>
    <w:r>
      <w:rPr>
        <w:lang w:val="en-US"/>
      </w:rPr>
      <w:tab/>
    </w:r>
    <w:r>
      <w:fldChar w:fldCharType="begin"/>
    </w:r>
    <w:r>
      <w:instrText xml:space="preserve"> SAVEDATE \@ DD.MM.YY </w:instrText>
    </w:r>
    <w:r>
      <w:fldChar w:fldCharType="separate"/>
    </w:r>
    <w:r w:rsidR="00F673A0">
      <w:t>12.11.12</w:t>
    </w:r>
    <w:r>
      <w:fldChar w:fldCharType="end"/>
    </w:r>
    <w:r>
      <w:rPr>
        <w:lang w:val="en-US"/>
      </w:rPr>
      <w:tab/>
    </w:r>
    <w:r>
      <w:fldChar w:fldCharType="begin"/>
    </w:r>
    <w:r>
      <w:instrText xml:space="preserve"> PRINTDATE \@ DD.MM.YY </w:instrText>
    </w:r>
    <w:r>
      <w:fldChar w:fldCharType="separate"/>
    </w:r>
    <w:r>
      <w:t>12.11.12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34A" w:rsidRDefault="0033334A">
      <w:r>
        <w:rPr>
          <w:b/>
        </w:rPr>
        <w:t>_______________</w:t>
      </w:r>
    </w:p>
  </w:footnote>
  <w:footnote w:type="continuationSeparator" w:id="0">
    <w:p w:rsidR="0033334A" w:rsidRDefault="00333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34A" w:rsidRDefault="0033334A">
    <w:pPr>
      <w:pStyle w:val="Header"/>
    </w:pPr>
    <w:r>
      <w:fldChar w:fldCharType="begin"/>
    </w:r>
    <w:r>
      <w:instrText xml:space="preserve"> PAGE </w:instrText>
    </w:r>
    <w:r>
      <w:fldChar w:fldCharType="separate"/>
    </w:r>
    <w:r w:rsidR="00F673A0">
      <w:rPr>
        <w:noProof/>
      </w:rPr>
      <w:t>3</w:t>
    </w:r>
    <w:r>
      <w:fldChar w:fldCharType="end"/>
    </w:r>
  </w:p>
  <w:p w:rsidR="0033334A" w:rsidRDefault="0033334A" w:rsidP="00604B96">
    <w:pPr>
      <w:pStyle w:val="Header"/>
      <w:rPr>
        <w:lang w:val="en-US"/>
      </w:rPr>
    </w:pPr>
    <w:r>
      <w:rPr>
        <w:lang w:val="en-US"/>
      </w:rPr>
      <w:t>WCIT12</w:t>
    </w:r>
    <w:r>
      <w:t>/26-</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7A584B0E"/>
    <w:multiLevelType w:val="hybridMultilevel"/>
    <w:tmpl w:val="CAD86BA2"/>
    <w:lvl w:ilvl="0" w:tplc="E42041C0">
      <w:start w:val="1"/>
      <w:numFmt w:val="lowerLetter"/>
      <w:lvlText w:val="%1)"/>
      <w:lvlJc w:val="left"/>
      <w:pPr>
        <w:tabs>
          <w:tab w:val="num" w:pos="720"/>
        </w:tabs>
        <w:ind w:left="720" w:hanging="660"/>
      </w:pPr>
      <w:rPr>
        <w:rFonts w:cs="Times New Roman" w:hint="default"/>
      </w:rPr>
    </w:lvl>
    <w:lvl w:ilvl="1" w:tplc="0C0A0019" w:tentative="1">
      <w:start w:val="1"/>
      <w:numFmt w:val="lowerLetter"/>
      <w:lvlText w:val="%2."/>
      <w:lvlJc w:val="left"/>
      <w:pPr>
        <w:tabs>
          <w:tab w:val="num" w:pos="1140"/>
        </w:tabs>
        <w:ind w:left="1140" w:hanging="360"/>
      </w:pPr>
      <w:rPr>
        <w:rFonts w:cs="Times New Roman"/>
      </w:rPr>
    </w:lvl>
    <w:lvl w:ilvl="2" w:tplc="0C0A001B" w:tentative="1">
      <w:start w:val="1"/>
      <w:numFmt w:val="lowerRoman"/>
      <w:lvlText w:val="%3."/>
      <w:lvlJc w:val="right"/>
      <w:pPr>
        <w:tabs>
          <w:tab w:val="num" w:pos="1860"/>
        </w:tabs>
        <w:ind w:left="1860" w:hanging="180"/>
      </w:pPr>
      <w:rPr>
        <w:rFonts w:cs="Times New Roman"/>
      </w:rPr>
    </w:lvl>
    <w:lvl w:ilvl="3" w:tplc="0C0A000F" w:tentative="1">
      <w:start w:val="1"/>
      <w:numFmt w:val="decimal"/>
      <w:lvlText w:val="%4."/>
      <w:lvlJc w:val="left"/>
      <w:pPr>
        <w:tabs>
          <w:tab w:val="num" w:pos="2580"/>
        </w:tabs>
        <w:ind w:left="2580" w:hanging="360"/>
      </w:pPr>
      <w:rPr>
        <w:rFonts w:cs="Times New Roman"/>
      </w:rPr>
    </w:lvl>
    <w:lvl w:ilvl="4" w:tplc="0C0A0019" w:tentative="1">
      <w:start w:val="1"/>
      <w:numFmt w:val="lowerLetter"/>
      <w:lvlText w:val="%5."/>
      <w:lvlJc w:val="left"/>
      <w:pPr>
        <w:tabs>
          <w:tab w:val="num" w:pos="3300"/>
        </w:tabs>
        <w:ind w:left="3300" w:hanging="360"/>
      </w:pPr>
      <w:rPr>
        <w:rFonts w:cs="Times New Roman"/>
      </w:rPr>
    </w:lvl>
    <w:lvl w:ilvl="5" w:tplc="0C0A001B" w:tentative="1">
      <w:start w:val="1"/>
      <w:numFmt w:val="lowerRoman"/>
      <w:lvlText w:val="%6."/>
      <w:lvlJc w:val="right"/>
      <w:pPr>
        <w:tabs>
          <w:tab w:val="num" w:pos="4020"/>
        </w:tabs>
        <w:ind w:left="4020" w:hanging="180"/>
      </w:pPr>
      <w:rPr>
        <w:rFonts w:cs="Times New Roman"/>
      </w:rPr>
    </w:lvl>
    <w:lvl w:ilvl="6" w:tplc="0C0A000F" w:tentative="1">
      <w:start w:val="1"/>
      <w:numFmt w:val="decimal"/>
      <w:lvlText w:val="%7."/>
      <w:lvlJc w:val="left"/>
      <w:pPr>
        <w:tabs>
          <w:tab w:val="num" w:pos="4740"/>
        </w:tabs>
        <w:ind w:left="4740" w:hanging="360"/>
      </w:pPr>
      <w:rPr>
        <w:rFonts w:cs="Times New Roman"/>
      </w:rPr>
    </w:lvl>
    <w:lvl w:ilvl="7" w:tplc="0C0A0019" w:tentative="1">
      <w:start w:val="1"/>
      <w:numFmt w:val="lowerLetter"/>
      <w:lvlText w:val="%8."/>
      <w:lvlJc w:val="left"/>
      <w:pPr>
        <w:tabs>
          <w:tab w:val="num" w:pos="5460"/>
        </w:tabs>
        <w:ind w:left="5460" w:hanging="360"/>
      </w:pPr>
      <w:rPr>
        <w:rFonts w:cs="Times New Roman"/>
      </w:rPr>
    </w:lvl>
    <w:lvl w:ilvl="8" w:tplc="0C0A001B" w:tentative="1">
      <w:start w:val="1"/>
      <w:numFmt w:val="lowerRoman"/>
      <w:lvlText w:val="%9."/>
      <w:lvlJc w:val="right"/>
      <w:pPr>
        <w:tabs>
          <w:tab w:val="num" w:pos="6180"/>
        </w:tabs>
        <w:ind w:left="6180" w:hanging="180"/>
      </w:pPr>
      <w:rPr>
        <w:rFonts w:cs="Times New Roman"/>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785D"/>
    <w:rsid w:val="00087AE8"/>
    <w:rsid w:val="00097EB3"/>
    <w:rsid w:val="000E5BF9"/>
    <w:rsid w:val="000F0E6D"/>
    <w:rsid w:val="00121170"/>
    <w:rsid w:val="00123CC5"/>
    <w:rsid w:val="0015142D"/>
    <w:rsid w:val="001616DC"/>
    <w:rsid w:val="00163962"/>
    <w:rsid w:val="00191A97"/>
    <w:rsid w:val="001A083F"/>
    <w:rsid w:val="001C41FA"/>
    <w:rsid w:val="001E2B52"/>
    <w:rsid w:val="001E3F27"/>
    <w:rsid w:val="001F30DB"/>
    <w:rsid w:val="00236D2A"/>
    <w:rsid w:val="00255F12"/>
    <w:rsid w:val="00262C09"/>
    <w:rsid w:val="002A791F"/>
    <w:rsid w:val="002C1B26"/>
    <w:rsid w:val="002E701F"/>
    <w:rsid w:val="0032644F"/>
    <w:rsid w:val="0032680B"/>
    <w:rsid w:val="0033334A"/>
    <w:rsid w:val="00363A65"/>
    <w:rsid w:val="003C2508"/>
    <w:rsid w:val="003D0AA3"/>
    <w:rsid w:val="00454553"/>
    <w:rsid w:val="00475BD6"/>
    <w:rsid w:val="004B124A"/>
    <w:rsid w:val="004C22ED"/>
    <w:rsid w:val="00532097"/>
    <w:rsid w:val="00533024"/>
    <w:rsid w:val="0058350F"/>
    <w:rsid w:val="005F2605"/>
    <w:rsid w:val="00604B96"/>
    <w:rsid w:val="00662BA0"/>
    <w:rsid w:val="00692AAE"/>
    <w:rsid w:val="006C6F9A"/>
    <w:rsid w:val="006D6E67"/>
    <w:rsid w:val="00701C20"/>
    <w:rsid w:val="0070518E"/>
    <w:rsid w:val="007354E9"/>
    <w:rsid w:val="00765578"/>
    <w:rsid w:val="0077084A"/>
    <w:rsid w:val="007952C7"/>
    <w:rsid w:val="007C2317"/>
    <w:rsid w:val="007D330A"/>
    <w:rsid w:val="007E20FC"/>
    <w:rsid w:val="008373AA"/>
    <w:rsid w:val="008538E8"/>
    <w:rsid w:val="00866AE6"/>
    <w:rsid w:val="008750A8"/>
    <w:rsid w:val="008A5623"/>
    <w:rsid w:val="0090121B"/>
    <w:rsid w:val="009144C9"/>
    <w:rsid w:val="0094091F"/>
    <w:rsid w:val="00973754"/>
    <w:rsid w:val="00990D4A"/>
    <w:rsid w:val="009C0BED"/>
    <w:rsid w:val="009D350E"/>
    <w:rsid w:val="009E11EC"/>
    <w:rsid w:val="00A118DB"/>
    <w:rsid w:val="00A4180D"/>
    <w:rsid w:val="00A4450C"/>
    <w:rsid w:val="00AA5E6C"/>
    <w:rsid w:val="00AB0579"/>
    <w:rsid w:val="00AE5677"/>
    <w:rsid w:val="00AE658F"/>
    <w:rsid w:val="00AF2F78"/>
    <w:rsid w:val="00B52D55"/>
    <w:rsid w:val="00B62AF4"/>
    <w:rsid w:val="00BE2E80"/>
    <w:rsid w:val="00BE5EDD"/>
    <w:rsid w:val="00BE6A1F"/>
    <w:rsid w:val="00C126C4"/>
    <w:rsid w:val="00C63EB5"/>
    <w:rsid w:val="00CC01E0"/>
    <w:rsid w:val="00CD3421"/>
    <w:rsid w:val="00CE60D2"/>
    <w:rsid w:val="00D0288A"/>
    <w:rsid w:val="00D72A5D"/>
    <w:rsid w:val="00DC629B"/>
    <w:rsid w:val="00E262F1"/>
    <w:rsid w:val="00E71D14"/>
    <w:rsid w:val="00F136D2"/>
    <w:rsid w:val="00F673A0"/>
    <w:rsid w:val="00F8150C"/>
    <w:rsid w:val="00F90C1C"/>
    <w:rsid w:val="00FD5F3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character" w:styleId="Hyperlink">
    <w:name w:val="Hyperlink"/>
    <w:basedOn w:val="DefaultParagraphFont"/>
    <w:unhideWhenUsed/>
    <w:rsid w:val="003333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character" w:styleId="Hyperlink">
    <w:name w:val="Hyperlink"/>
    <w:basedOn w:val="DefaultParagraphFont"/>
    <w:unhideWhenUsed/>
    <w:rsid w:val="003333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2ADB-B2F6-475A-8A50-D941CD92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PS_WCIT12-S.dotx</Template>
  <TotalTime>14</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S12-WCIT12-C-0026!!MSW-S</vt:lpstr>
    </vt:vector>
  </TitlesOfParts>
  <Manager>Secretaría General - Pool</Manager>
  <Company>Unión Internacional de Telecomunicaciones (UIT)</Company>
  <LinksUpToDate>false</LinksUpToDate>
  <CharactersWithSpaces>4922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S12-WCIT12-C-0026!!MSW-S</dc:title>
  <dc:subject>World Conference on International Telecommunications (WCIT)</dc:subject>
  <dc:creator>Documents Proposals Manager (DPM)</dc:creator>
  <cp:keywords>DPM_v5.3.4.1_prod</cp:keywords>
  <dc:description/>
  <cp:lastModifiedBy>Brouard, Ricarda</cp:lastModifiedBy>
  <cp:revision>5</cp:revision>
  <cp:lastPrinted>2012-11-12T16:50:00Z</cp:lastPrinted>
  <dcterms:created xsi:type="dcterms:W3CDTF">2012-11-12T16:50:00Z</dcterms:created>
  <dcterms:modified xsi:type="dcterms:W3CDTF">2012-11-20T07:35:00Z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