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B907E9">
        <w:trPr>
          <w:cantSplit/>
        </w:trPr>
        <w:tc>
          <w:tcPr>
            <w:tcW w:w="6911" w:type="dxa"/>
          </w:tcPr>
          <w:p w:rsidR="005371E3" w:rsidRPr="00B907E9" w:rsidRDefault="00212994" w:rsidP="00212994">
            <w:pPr>
              <w:spacing w:before="240" w:after="48" w:line="240" w:lineRule="atLeast"/>
              <w:rPr>
                <w:rFonts w:ascii="Calibri" w:hAnsi="Calibri"/>
                <w:b/>
                <w:bCs/>
                <w:position w:val="6"/>
              </w:rPr>
            </w:pPr>
            <w:r w:rsidRPr="00B907E9">
              <w:rPr>
                <w:rFonts w:ascii="Calibri" w:hAnsi="Calibri"/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B907E9">
              <w:rPr>
                <w:rFonts w:ascii="Calibri" w:hAnsi="Calibri"/>
              </w:rPr>
              <w:br/>
            </w:r>
            <w:r w:rsidRPr="00B907E9">
              <w:rPr>
                <w:rFonts w:ascii="Calibri" w:hAnsi="Calibri"/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B907E9" w:rsidRDefault="005371E3" w:rsidP="00931097">
            <w:pPr>
              <w:rPr>
                <w:rFonts w:ascii="Calibri" w:hAnsi="Calibri"/>
              </w:rPr>
            </w:pPr>
            <w:bookmarkStart w:id="0" w:name="ditulogo"/>
            <w:bookmarkEnd w:id="0"/>
            <w:r w:rsidRPr="00B907E9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3DCB6DB5" wp14:editId="403C8C0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907E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B907E9" w:rsidRDefault="005651C9">
            <w:pPr>
              <w:spacing w:after="48" w:line="240" w:lineRule="atLeast"/>
              <w:rPr>
                <w:rFonts w:ascii="Calibri" w:hAnsi="Calibr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B907E9" w:rsidRDefault="005651C9">
            <w:pPr>
              <w:spacing w:line="240" w:lineRule="atLeast"/>
              <w:rPr>
                <w:rFonts w:ascii="Calibri" w:hAnsi="Calibri"/>
                <w:szCs w:val="22"/>
              </w:rPr>
            </w:pPr>
          </w:p>
        </w:tc>
      </w:tr>
      <w:tr w:rsidR="005651C9" w:rsidRPr="00B907E9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B907E9" w:rsidRDefault="005651C9" w:rsidP="006A2029">
            <w:pPr>
              <w:spacing w:before="0" w:line="240" w:lineRule="atLeast"/>
              <w:rPr>
                <w:rFonts w:ascii="Calibri" w:hAnsi="Calibri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B907E9" w:rsidRDefault="005651C9" w:rsidP="006A2029">
            <w:pPr>
              <w:spacing w:before="0" w:line="240" w:lineRule="atLeast"/>
              <w:rPr>
                <w:rFonts w:ascii="Calibri" w:hAnsi="Calibri"/>
                <w:sz w:val="18"/>
                <w:szCs w:val="22"/>
              </w:rPr>
            </w:pPr>
          </w:p>
        </w:tc>
      </w:tr>
      <w:bookmarkEnd w:id="1"/>
      <w:bookmarkEnd w:id="2"/>
      <w:tr w:rsidR="003E2C9D" w:rsidRPr="00B907E9" w:rsidTr="005651C9">
        <w:trPr>
          <w:cantSplit/>
        </w:trPr>
        <w:tc>
          <w:tcPr>
            <w:tcW w:w="6911" w:type="dxa"/>
            <w:vMerge w:val="restart"/>
          </w:tcPr>
          <w:p w:rsidR="003E2C9D" w:rsidRPr="00B907E9" w:rsidRDefault="003E2C9D" w:rsidP="006A2029">
            <w:pPr>
              <w:pStyle w:val="Committee"/>
              <w:framePr w:hSpace="0" w:wrap="auto" w:hAnchor="text" w:yAlign="inline"/>
              <w:spacing w:after="0"/>
              <w:rPr>
                <w:rFonts w:ascii="Calibri" w:hAnsi="Calibri" w:cs="Times New Roman"/>
                <w:lang w:val="ru-RU"/>
              </w:rPr>
            </w:pPr>
            <w:r w:rsidRPr="00B907E9">
              <w:rPr>
                <w:rFonts w:ascii="Calibri" w:hAnsi="Calibri" w:cs="Times New Roman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3E2C9D" w:rsidRPr="00B907E9" w:rsidRDefault="003E2C9D" w:rsidP="006A2029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8"/>
              </w:rPr>
            </w:pPr>
            <w:r w:rsidRPr="00B907E9">
              <w:rPr>
                <w:rFonts w:ascii="Calibri" w:hAnsi="Calibri"/>
                <w:b/>
                <w:bCs/>
                <w:szCs w:val="28"/>
              </w:rPr>
              <w:t>Документ 26-R</w:t>
            </w:r>
          </w:p>
        </w:tc>
      </w:tr>
      <w:tr w:rsidR="003E2C9D" w:rsidRPr="00B907E9" w:rsidTr="005651C9">
        <w:trPr>
          <w:cantSplit/>
        </w:trPr>
        <w:tc>
          <w:tcPr>
            <w:tcW w:w="6911" w:type="dxa"/>
            <w:vMerge/>
          </w:tcPr>
          <w:p w:rsidR="003E2C9D" w:rsidRPr="00B907E9" w:rsidRDefault="003E2C9D" w:rsidP="006A2029">
            <w:pPr>
              <w:spacing w:before="0" w:line="240" w:lineRule="atLeast"/>
              <w:rPr>
                <w:rFonts w:ascii="Calibri" w:hAnsi="Calibr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3E2C9D" w:rsidRPr="00B907E9" w:rsidRDefault="003E2C9D" w:rsidP="006A2029">
            <w:pPr>
              <w:spacing w:before="0" w:line="240" w:lineRule="atLeast"/>
              <w:rPr>
                <w:rFonts w:ascii="Calibri" w:hAnsi="Calibri"/>
                <w:szCs w:val="28"/>
              </w:rPr>
            </w:pPr>
            <w:r w:rsidRPr="00B907E9">
              <w:rPr>
                <w:rFonts w:ascii="Calibri" w:hAnsi="Calibri"/>
                <w:b/>
                <w:bCs/>
                <w:szCs w:val="28"/>
              </w:rPr>
              <w:t>12 ноября 2012 года</w:t>
            </w:r>
          </w:p>
        </w:tc>
      </w:tr>
      <w:tr w:rsidR="003E2C9D" w:rsidRPr="00B907E9" w:rsidTr="005651C9">
        <w:trPr>
          <w:cantSplit/>
        </w:trPr>
        <w:tc>
          <w:tcPr>
            <w:tcW w:w="6911" w:type="dxa"/>
            <w:vMerge/>
          </w:tcPr>
          <w:p w:rsidR="003E2C9D" w:rsidRPr="00B907E9" w:rsidRDefault="003E2C9D" w:rsidP="006A2029">
            <w:pPr>
              <w:spacing w:before="0" w:line="240" w:lineRule="atLeast"/>
              <w:rPr>
                <w:rFonts w:ascii="Calibri" w:hAnsi="Calibri"/>
                <w:b/>
                <w:smallCaps/>
                <w:szCs w:val="28"/>
              </w:rPr>
            </w:pPr>
          </w:p>
        </w:tc>
        <w:tc>
          <w:tcPr>
            <w:tcW w:w="3120" w:type="dxa"/>
          </w:tcPr>
          <w:p w:rsidR="003E2C9D" w:rsidRPr="00B907E9" w:rsidRDefault="003E2C9D" w:rsidP="006A2029">
            <w:pPr>
              <w:spacing w:before="0" w:line="240" w:lineRule="atLeast"/>
              <w:rPr>
                <w:rFonts w:ascii="Calibri" w:hAnsi="Calibri"/>
                <w:szCs w:val="28"/>
              </w:rPr>
            </w:pPr>
            <w:r w:rsidRPr="00B907E9">
              <w:rPr>
                <w:rFonts w:ascii="Calibri" w:hAnsi="Calibri"/>
                <w:b/>
                <w:bCs/>
                <w:szCs w:val="28"/>
              </w:rPr>
              <w:t>Оригинал: испанский</w:t>
            </w:r>
          </w:p>
        </w:tc>
      </w:tr>
      <w:tr w:rsidR="005651C9" w:rsidRPr="00B907E9">
        <w:trPr>
          <w:cantSplit/>
        </w:trPr>
        <w:tc>
          <w:tcPr>
            <w:tcW w:w="10031" w:type="dxa"/>
            <w:gridSpan w:val="2"/>
          </w:tcPr>
          <w:p w:rsidR="005651C9" w:rsidRPr="00B907E9" w:rsidRDefault="005A295E" w:rsidP="0041074E">
            <w:pPr>
              <w:pStyle w:val="Source"/>
            </w:pPr>
            <w:bookmarkStart w:id="3" w:name="dsource" w:colFirst="0" w:colLast="0"/>
            <w:r w:rsidRPr="00B907E9">
              <w:t>Куба</w:t>
            </w:r>
          </w:p>
        </w:tc>
      </w:tr>
      <w:tr w:rsidR="005651C9" w:rsidRPr="00B907E9">
        <w:trPr>
          <w:cantSplit/>
        </w:trPr>
        <w:tc>
          <w:tcPr>
            <w:tcW w:w="10031" w:type="dxa"/>
            <w:gridSpan w:val="2"/>
          </w:tcPr>
          <w:p w:rsidR="005651C9" w:rsidRPr="00B907E9" w:rsidRDefault="005A295E" w:rsidP="0041074E">
            <w:pPr>
              <w:pStyle w:val="Title1"/>
            </w:pPr>
            <w:bookmarkStart w:id="4" w:name="dtitle1" w:colFirst="0" w:colLast="0"/>
            <w:bookmarkEnd w:id="3"/>
            <w:r w:rsidRPr="00B907E9">
              <w:t>ПРЕДЛОЖЕНИЯ ДЛЯ РАБОТЫ КОНФЕРЕНЦИИ</w:t>
            </w:r>
          </w:p>
        </w:tc>
      </w:tr>
      <w:tr w:rsidR="005651C9" w:rsidRPr="00B907E9">
        <w:trPr>
          <w:cantSplit/>
        </w:trPr>
        <w:tc>
          <w:tcPr>
            <w:tcW w:w="10031" w:type="dxa"/>
            <w:gridSpan w:val="2"/>
          </w:tcPr>
          <w:p w:rsidR="005651C9" w:rsidRPr="00B907E9" w:rsidRDefault="003E2C9D" w:rsidP="0041074E">
            <w:pPr>
              <w:pStyle w:val="Title2"/>
            </w:pPr>
            <w:bookmarkStart w:id="5" w:name="dtitle2" w:colFirst="0" w:colLast="0"/>
            <w:bookmarkEnd w:id="4"/>
            <w:r w:rsidRPr="00B907E9">
              <w:t>международное интернет-соединение и доступ к интернету на недискриминационной основе</w:t>
            </w:r>
          </w:p>
        </w:tc>
      </w:tr>
      <w:bookmarkEnd w:id="5"/>
    </w:tbl>
    <w:p w:rsidR="003E2C9D" w:rsidRPr="00B907E9" w:rsidRDefault="003E2C9D" w:rsidP="003E2C9D">
      <w:pPr>
        <w:pStyle w:val="Normalaftertitle"/>
        <w:rPr>
          <w:rFonts w:ascii="Calibri" w:hAnsi="Calibri"/>
        </w:rPr>
      </w:pPr>
    </w:p>
    <w:p w:rsidR="006C11A1" w:rsidRPr="00B907E9" w:rsidRDefault="006C11A1" w:rsidP="0041074E">
      <w:pPr>
        <w:pStyle w:val="Headingb"/>
        <w:rPr>
          <w:lang w:val="ru-RU"/>
        </w:rPr>
      </w:pPr>
      <w:r w:rsidRPr="00B907E9">
        <w:rPr>
          <w:lang w:val="ru-RU"/>
        </w:rPr>
        <w:t>Резюме</w:t>
      </w:r>
    </w:p>
    <w:p w:rsidR="006C11A1" w:rsidRPr="00B907E9" w:rsidRDefault="00F213B3" w:rsidP="0041074E">
      <w:r w:rsidRPr="00B907E9">
        <w:t>Настоящим вкла</w:t>
      </w:r>
      <w:bookmarkStart w:id="6" w:name="_GoBack"/>
      <w:bookmarkEnd w:id="6"/>
      <w:r w:rsidRPr="00B907E9">
        <w:t xml:space="preserve">дом вносятся на рассмотрение </w:t>
      </w:r>
      <w:r w:rsidR="006C11A1" w:rsidRPr="00B907E9">
        <w:t>ВКМЭ-12</w:t>
      </w:r>
      <w:r w:rsidRPr="00B907E9">
        <w:t xml:space="preserve"> два проекта положений по указанным ниже вопросам для возможного включения в статьи РМЭ</w:t>
      </w:r>
      <w:r w:rsidR="006C11A1" w:rsidRPr="00B907E9">
        <w:t xml:space="preserve">, </w:t>
      </w:r>
      <w:r w:rsidRPr="00B907E9">
        <w:t>а</w:t>
      </w:r>
      <w:r w:rsidR="003E2C9D" w:rsidRPr="00B907E9">
        <w:t xml:space="preserve"> </w:t>
      </w:r>
      <w:r w:rsidRPr="00B907E9">
        <w:t>также предоставляются соответствующие обоснования</w:t>
      </w:r>
      <w:r w:rsidR="006C11A1" w:rsidRPr="00B907E9">
        <w:t>.</w:t>
      </w:r>
    </w:p>
    <w:p w:rsidR="006C11A1" w:rsidRPr="00B907E9" w:rsidRDefault="006C11A1" w:rsidP="00B907E9">
      <w:pPr>
        <w:pStyle w:val="TOC1"/>
        <w:tabs>
          <w:tab w:val="clear" w:pos="7938"/>
        </w:tabs>
      </w:pPr>
      <w:r w:rsidRPr="00B907E9">
        <w:tab/>
      </w:r>
      <w:r w:rsidRPr="00B907E9">
        <w:rPr>
          <w:u w:val="single"/>
        </w:rPr>
        <w:t>Пункт</w:t>
      </w:r>
      <w:r w:rsidR="00B907E9" w:rsidRPr="00B907E9">
        <w:tab/>
      </w:r>
      <w:r w:rsidR="00B907E9" w:rsidRPr="00B907E9">
        <w:tab/>
      </w:r>
      <w:r w:rsidRPr="00B907E9">
        <w:rPr>
          <w:u w:val="single"/>
        </w:rPr>
        <w:t>Стр</w:t>
      </w:r>
      <w:r w:rsidRPr="00B907E9">
        <w:t>.</w:t>
      </w:r>
    </w:p>
    <w:p w:rsidR="006C11A1" w:rsidRPr="00B907E9" w:rsidRDefault="006C11A1" w:rsidP="00B01940">
      <w:pPr>
        <w:pStyle w:val="TOC1"/>
        <w:tabs>
          <w:tab w:val="clear" w:pos="7938"/>
          <w:tab w:val="left" w:leader="dot" w:pos="9072"/>
        </w:tabs>
        <w:rPr>
          <w:rFonts w:eastAsiaTheme="minorEastAsia"/>
        </w:rPr>
      </w:pPr>
      <w:r w:rsidRPr="00B907E9">
        <w:fldChar w:fldCharType="begin"/>
      </w:r>
      <w:r w:rsidRPr="00B907E9">
        <w:instrText xml:space="preserve"> TOC \o "1-3" \h \z \u </w:instrText>
      </w:r>
      <w:r w:rsidRPr="00B907E9">
        <w:fldChar w:fldCharType="separate"/>
      </w:r>
      <w:hyperlink w:anchor="_Toc341110866" w:history="1">
        <w:r w:rsidRPr="00B907E9">
          <w:t>I</w:t>
        </w:r>
        <w:r w:rsidRPr="00B907E9">
          <w:rPr>
            <w:rFonts w:eastAsiaTheme="minorEastAsia"/>
          </w:rPr>
          <w:tab/>
        </w:r>
        <w:r w:rsidRPr="00B907E9">
          <w:t>Базовая информация</w:t>
        </w:r>
        <w:r w:rsidR="00B907E9" w:rsidRPr="00B907E9">
          <w:rPr>
            <w:webHidden/>
          </w:rPr>
          <w:tab/>
        </w:r>
        <w:r w:rsidRPr="00B907E9">
          <w:rPr>
            <w:webHidden/>
          </w:rPr>
          <w:tab/>
        </w:r>
        <w:r w:rsidRPr="00B907E9">
          <w:rPr>
            <w:webHidden/>
          </w:rPr>
          <w:fldChar w:fldCharType="begin"/>
        </w:r>
        <w:r w:rsidRPr="00B907E9">
          <w:rPr>
            <w:webHidden/>
          </w:rPr>
          <w:instrText xml:space="preserve"> PAGEREF _Toc341110866 \h </w:instrText>
        </w:r>
        <w:r w:rsidRPr="00B907E9">
          <w:rPr>
            <w:webHidden/>
          </w:rPr>
        </w:r>
        <w:r w:rsidRPr="00B907E9">
          <w:rPr>
            <w:webHidden/>
          </w:rPr>
          <w:fldChar w:fldCharType="separate"/>
        </w:r>
        <w:r w:rsidR="004074CD">
          <w:rPr>
            <w:noProof/>
            <w:webHidden/>
          </w:rPr>
          <w:t>1</w:t>
        </w:r>
        <w:r w:rsidRPr="00B907E9">
          <w:rPr>
            <w:webHidden/>
          </w:rPr>
          <w:fldChar w:fldCharType="end"/>
        </w:r>
      </w:hyperlink>
    </w:p>
    <w:p w:rsidR="006C11A1" w:rsidRPr="00B907E9" w:rsidRDefault="00D903A0" w:rsidP="00B01940">
      <w:pPr>
        <w:pStyle w:val="TOC1"/>
        <w:tabs>
          <w:tab w:val="clear" w:pos="7938"/>
          <w:tab w:val="left" w:leader="dot" w:pos="9072"/>
        </w:tabs>
      </w:pPr>
      <w:hyperlink w:anchor="_Toc341110867" w:history="1">
        <w:r w:rsidR="006C11A1" w:rsidRPr="00B907E9">
          <w:rPr>
            <w:rStyle w:val="Hyperlink"/>
            <w:color w:val="auto"/>
            <w:u w:val="none"/>
          </w:rPr>
          <w:t>II</w:t>
        </w:r>
        <w:r w:rsidR="006C11A1" w:rsidRPr="00B907E9">
          <w:rPr>
            <w:rFonts w:eastAsiaTheme="minorEastAsia"/>
          </w:rPr>
          <w:tab/>
        </w:r>
        <w:r w:rsidR="00350243" w:rsidRPr="00B907E9">
          <w:t xml:space="preserve">Предлагаемое положение об условиях установления международного </w:t>
        </w:r>
        <w:r>
          <w:br/>
        </w:r>
        <w:r w:rsidR="00350243" w:rsidRPr="00B907E9">
          <w:t xml:space="preserve">интернет-соединения </w:t>
        </w:r>
        <w:r w:rsidR="00350243" w:rsidRPr="00B907E9">
          <w:br/>
          <w:t>Предлагаемое положение о доступе к интернет</w:t>
        </w:r>
        <w:r w:rsidR="003E2C9D" w:rsidRPr="00B907E9">
          <w:t>у</w:t>
        </w:r>
        <w:r w:rsidR="00350243" w:rsidRPr="00B907E9">
          <w:t xml:space="preserve"> и его использовании на недискриминационной основе</w:t>
        </w:r>
        <w:r w:rsidR="006C11A1" w:rsidRPr="00B907E9">
          <w:rPr>
            <w:webHidden/>
          </w:rPr>
          <w:tab/>
        </w:r>
        <w:r w:rsidR="006C11A1" w:rsidRPr="00B907E9">
          <w:rPr>
            <w:webHidden/>
          </w:rPr>
          <w:tab/>
        </w:r>
        <w:r w:rsidR="006C11A1" w:rsidRPr="00B907E9">
          <w:rPr>
            <w:webHidden/>
          </w:rPr>
          <w:fldChar w:fldCharType="begin"/>
        </w:r>
        <w:r w:rsidR="006C11A1" w:rsidRPr="00B907E9">
          <w:rPr>
            <w:webHidden/>
          </w:rPr>
          <w:instrText xml:space="preserve"> PAGEREF _Toc341110867 \h </w:instrText>
        </w:r>
        <w:r w:rsidR="006C11A1" w:rsidRPr="00B907E9">
          <w:rPr>
            <w:webHidden/>
          </w:rPr>
        </w:r>
        <w:r w:rsidR="006C11A1" w:rsidRPr="00B907E9">
          <w:rPr>
            <w:webHidden/>
          </w:rPr>
          <w:fldChar w:fldCharType="separate"/>
        </w:r>
        <w:r w:rsidR="004074CD">
          <w:rPr>
            <w:noProof/>
            <w:webHidden/>
          </w:rPr>
          <w:t>3</w:t>
        </w:r>
        <w:r w:rsidR="006C11A1" w:rsidRPr="00B907E9">
          <w:rPr>
            <w:webHidden/>
          </w:rPr>
          <w:fldChar w:fldCharType="end"/>
        </w:r>
      </w:hyperlink>
      <w:r w:rsidR="006C11A1" w:rsidRPr="00B907E9">
        <w:fldChar w:fldCharType="end"/>
      </w:r>
    </w:p>
    <w:p w:rsidR="006C11A1" w:rsidRPr="00B907E9" w:rsidRDefault="006C11A1" w:rsidP="0041074E">
      <w:pPr>
        <w:pStyle w:val="Heading1"/>
      </w:pPr>
      <w:bookmarkStart w:id="7" w:name="_Toc341110866"/>
      <w:r w:rsidRPr="00B907E9">
        <w:t>I</w:t>
      </w:r>
      <w:r w:rsidRPr="00B907E9">
        <w:tab/>
        <w:t>Базовая информация</w:t>
      </w:r>
      <w:bookmarkEnd w:id="7"/>
    </w:p>
    <w:p w:rsidR="006C11A1" w:rsidRPr="00B907E9" w:rsidRDefault="00F549CE" w:rsidP="0041074E">
      <w:pPr>
        <w:pStyle w:val="Call"/>
      </w:pPr>
      <w:r w:rsidRPr="00B907E9">
        <w:t>Учитывая</w:t>
      </w:r>
      <w:r w:rsidR="00D903A0" w:rsidRPr="00D903A0">
        <w:rPr>
          <w:i w:val="0"/>
          <w:iCs/>
        </w:rPr>
        <w:t>,</w:t>
      </w:r>
    </w:p>
    <w:p w:rsidR="006C11A1" w:rsidRPr="00B907E9" w:rsidRDefault="00D903A0" w:rsidP="0041074E">
      <w:r>
        <w:t>ч</w:t>
      </w:r>
      <w:r w:rsidR="00F213B3" w:rsidRPr="00B907E9">
        <w:t xml:space="preserve">то одной из целей </w:t>
      </w:r>
      <w:r w:rsidR="00F276C1" w:rsidRPr="00B907E9">
        <w:t xml:space="preserve">МСЭ, изложенных в Статье 1 его Устава, является </w:t>
      </w:r>
      <w:r w:rsidR="00655E0C" w:rsidRPr="00B907E9">
        <w:t>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</w:t>
      </w:r>
      <w:r w:rsidR="006C11A1" w:rsidRPr="00B907E9">
        <w:t>,</w:t>
      </w:r>
    </w:p>
    <w:p w:rsidR="006C11A1" w:rsidRPr="00B907E9" w:rsidRDefault="00F549CE" w:rsidP="0041074E">
      <w:pPr>
        <w:pStyle w:val="Call"/>
      </w:pPr>
      <w:r w:rsidRPr="00B907E9">
        <w:t>учитывая далее</w:t>
      </w:r>
    </w:p>
    <w:p w:rsidR="006C11A1" w:rsidRPr="00B907E9" w:rsidRDefault="00F276C1" w:rsidP="00F276C1">
      <w:r w:rsidRPr="00B907E9">
        <w:t>итоговые</w:t>
      </w:r>
      <w:r w:rsidR="006C11A1" w:rsidRPr="00B907E9">
        <w:t xml:space="preserve"> </w:t>
      </w:r>
      <w:r w:rsidR="00967E0D" w:rsidRPr="00B907E9">
        <w:t>документы Всемирной встречи на высшем уровне по вопросам информационного общества (ВВУИО)</w:t>
      </w:r>
      <w:r w:rsidR="006C11A1" w:rsidRPr="00B907E9">
        <w:t xml:space="preserve">, </w:t>
      </w:r>
      <w:r w:rsidR="00967E0D" w:rsidRPr="00B907E9">
        <w:t xml:space="preserve">Женева, 2003 год, и Тунис, 2005 год, включая Декларацию принципов, </w:t>
      </w:r>
      <w:r w:rsidRPr="00B907E9">
        <w:t>в частности ее</w:t>
      </w:r>
      <w:r w:rsidR="006C11A1" w:rsidRPr="00B907E9">
        <w:t xml:space="preserve"> </w:t>
      </w:r>
      <w:r w:rsidR="00967E0D" w:rsidRPr="00B907E9">
        <w:t>пп.</w:t>
      </w:r>
      <w:r w:rsidR="006C11A1" w:rsidRPr="00B907E9">
        <w:t xml:space="preserve"> 11, 19, 20, 21 </w:t>
      </w:r>
      <w:r w:rsidR="00967E0D" w:rsidRPr="00B907E9">
        <w:t>и</w:t>
      </w:r>
      <w:r w:rsidR="006C11A1" w:rsidRPr="00B907E9">
        <w:t xml:space="preserve"> 49,</w:t>
      </w:r>
    </w:p>
    <w:p w:rsidR="006C11A1" w:rsidRPr="00B907E9" w:rsidRDefault="00967E0D" w:rsidP="0041074E">
      <w:pPr>
        <w:pStyle w:val="Call"/>
      </w:pPr>
      <w:r w:rsidRPr="00B907E9">
        <w:t>отмечая</w:t>
      </w:r>
      <w:r w:rsidRPr="00D903A0">
        <w:rPr>
          <w:i w:val="0"/>
          <w:iCs/>
        </w:rPr>
        <w:t>,</w:t>
      </w:r>
    </w:p>
    <w:p w:rsidR="006C11A1" w:rsidRPr="00B907E9" w:rsidRDefault="00967E0D" w:rsidP="00EF0E60">
      <w:r w:rsidRPr="00B907E9">
        <w:t xml:space="preserve">что п. 48 Декларации принципов ВВУИО </w:t>
      </w:r>
      <w:r w:rsidR="00F276C1" w:rsidRPr="00B907E9">
        <w:t>признает, что</w:t>
      </w:r>
      <w:r w:rsidR="006C11A1" w:rsidRPr="00B907E9">
        <w:t xml:space="preserve"> </w:t>
      </w:r>
      <w:r w:rsidRPr="00B907E9">
        <w:t xml:space="preserve">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информационного общества. Управление использованием Интернет на </w:t>
      </w:r>
      <w:r w:rsidRPr="00B907E9">
        <w:lastRenderedPageBreak/>
        <w:t>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</w:t>
      </w:r>
      <w:r w:rsidR="007E66CC" w:rsidRPr="00B907E9">
        <w:t xml:space="preserve">енное функционирование </w:t>
      </w:r>
      <w:r w:rsidR="00EF0E60">
        <w:t>И</w:t>
      </w:r>
      <w:r w:rsidR="007E66CC" w:rsidRPr="00B907E9">
        <w:t>нтернет</w:t>
      </w:r>
      <w:r w:rsidR="006C11A1" w:rsidRPr="00B907E9">
        <w:t>",</w:t>
      </w:r>
    </w:p>
    <w:p w:rsidR="006C11A1" w:rsidRPr="00B907E9" w:rsidRDefault="00655E0C" w:rsidP="0041074E">
      <w:pPr>
        <w:pStyle w:val="Call"/>
        <w:rPr>
          <w:rFonts w:eastAsia="MS Mincho"/>
        </w:rPr>
      </w:pPr>
      <w:r w:rsidRPr="00B907E9">
        <w:t>принимая во внимание</w:t>
      </w:r>
    </w:p>
    <w:p w:rsidR="006C11A1" w:rsidRPr="00973434" w:rsidRDefault="006C11A1" w:rsidP="0041074E">
      <w:r w:rsidRPr="00B907E9">
        <w:t>a)</w:t>
      </w:r>
      <w:r w:rsidRPr="00B907E9">
        <w:rPr>
          <w:i/>
          <w:iCs/>
        </w:rPr>
        <w:tab/>
      </w:r>
      <w:r w:rsidR="00F276C1" w:rsidRPr="00973434">
        <w:t>раздел</w:t>
      </w:r>
      <w:r w:rsidRPr="00973434">
        <w:t xml:space="preserve"> </w:t>
      </w:r>
      <w:r w:rsidR="00E43C3F" w:rsidRPr="00973434">
        <w:rPr>
          <w:i/>
          <w:iCs/>
        </w:rPr>
        <w:t>напоминая</w:t>
      </w:r>
      <w:r w:rsidRPr="00973434">
        <w:t xml:space="preserve"> </w:t>
      </w:r>
      <w:r w:rsidR="00655E0C" w:rsidRPr="00973434">
        <w:t>Резолюции</w:t>
      </w:r>
      <w:r w:rsidRPr="00973434">
        <w:t xml:space="preserve"> 101 (</w:t>
      </w:r>
      <w:r w:rsidR="00655E0C" w:rsidRPr="00973434">
        <w:t>Пересм.</w:t>
      </w:r>
      <w:r w:rsidRPr="00973434">
        <w:t xml:space="preserve"> </w:t>
      </w:r>
      <w:r w:rsidR="00655E0C" w:rsidRPr="00973434">
        <w:t>Гвадалахара</w:t>
      </w:r>
      <w:r w:rsidRPr="00973434">
        <w:t>, 2010</w:t>
      </w:r>
      <w:r w:rsidR="00655E0C" w:rsidRPr="00973434">
        <w:t xml:space="preserve"> г.</w:t>
      </w:r>
      <w:r w:rsidRPr="00973434">
        <w:t xml:space="preserve">), </w:t>
      </w:r>
      <w:r w:rsidR="00874AEA" w:rsidRPr="00973434">
        <w:t>обраща</w:t>
      </w:r>
      <w:r w:rsidR="003E2C9D" w:rsidRPr="00973434">
        <w:t>ющий</w:t>
      </w:r>
      <w:r w:rsidR="00874AEA" w:rsidRPr="00973434">
        <w:t xml:space="preserve"> внимание</w:t>
      </w:r>
      <w:r w:rsidRPr="00973434">
        <w:t xml:space="preserve">, </w:t>
      </w:r>
      <w:r w:rsidR="00874AEA" w:rsidRPr="00973434">
        <w:t>например, на</w:t>
      </w:r>
      <w:r w:rsidRPr="00973434">
        <w:t>:</w:t>
      </w:r>
    </w:p>
    <w:p w:rsidR="006C11A1" w:rsidRPr="00B907E9" w:rsidRDefault="006C11A1" w:rsidP="0041074E">
      <w:pPr>
        <w:pStyle w:val="enumlev1"/>
      </w:pPr>
      <w:r w:rsidRPr="00B907E9">
        <w:t>i)</w:t>
      </w:r>
      <w:r w:rsidRPr="00B907E9">
        <w:tab/>
      </w:r>
      <w:r w:rsidR="00874AEA" w:rsidRPr="00B907E9">
        <w:t xml:space="preserve">результаты Женевского (2003 г.) и Тунисского (2005 г.) этапов работы </w:t>
      </w:r>
      <w:r w:rsidR="00E43C3F" w:rsidRPr="00B907E9">
        <w:t>ВВУИО</w:t>
      </w:r>
      <w:r w:rsidRPr="00B907E9">
        <w:t xml:space="preserve">, </w:t>
      </w:r>
      <w:r w:rsidR="00874AEA" w:rsidRPr="00B907E9">
        <w:t xml:space="preserve">в особенности </w:t>
      </w:r>
      <w:r w:rsidR="00E43C3F" w:rsidRPr="00B907E9">
        <w:t>пп.</w:t>
      </w:r>
      <w:r w:rsidRPr="00B907E9">
        <w:t xml:space="preserve"> 27 c) </w:t>
      </w:r>
      <w:r w:rsidR="00E43C3F" w:rsidRPr="00B907E9">
        <w:t>и</w:t>
      </w:r>
      <w:r w:rsidRPr="00B907E9">
        <w:t xml:space="preserve"> 50 d) </w:t>
      </w:r>
      <w:r w:rsidR="00E43C3F" w:rsidRPr="00B907E9">
        <w:t>Тунисской программы для информационного общества</w:t>
      </w:r>
      <w:r w:rsidRPr="00B907E9">
        <w:t xml:space="preserve">, </w:t>
      </w:r>
      <w:r w:rsidR="00874AEA" w:rsidRPr="00B907E9">
        <w:t>касающ</w:t>
      </w:r>
      <w:r w:rsidR="007E66CC" w:rsidRPr="00B907E9">
        <w:t>и</w:t>
      </w:r>
      <w:r w:rsidR="00874AEA" w:rsidRPr="00B907E9">
        <w:t>еся международных интернет-соединений</w:t>
      </w:r>
      <w:r w:rsidRPr="00B907E9">
        <w:t>;</w:t>
      </w:r>
    </w:p>
    <w:p w:rsidR="006C11A1" w:rsidRPr="00B907E9" w:rsidRDefault="006C11A1" w:rsidP="0041074E">
      <w:pPr>
        <w:pStyle w:val="enumlev1"/>
      </w:pPr>
      <w:r w:rsidRPr="00B907E9">
        <w:t>ii)</w:t>
      </w:r>
      <w:r w:rsidRPr="00B907E9">
        <w:tab/>
      </w:r>
      <w:r w:rsidR="00655E0C" w:rsidRPr="00B907E9">
        <w:t>Резолюцию</w:t>
      </w:r>
      <w:r w:rsidRPr="00B907E9">
        <w:t xml:space="preserve"> 23 (</w:t>
      </w:r>
      <w:r w:rsidR="00655E0C" w:rsidRPr="00B907E9">
        <w:t>Пересм. Хайдарабад, 2010 г.</w:t>
      </w:r>
      <w:r w:rsidRPr="00B907E9">
        <w:t xml:space="preserve">) </w:t>
      </w:r>
      <w:r w:rsidR="00655E0C" w:rsidRPr="00B907E9">
        <w:t>Всемирной конференции по развитию электросвязи</w:t>
      </w:r>
      <w:r w:rsidR="00F549CE" w:rsidRPr="00B907E9">
        <w:t xml:space="preserve"> о</w:t>
      </w:r>
      <w:r w:rsidRPr="00B907E9">
        <w:t xml:space="preserve"> </w:t>
      </w:r>
      <w:r w:rsidR="00F549CE" w:rsidRPr="00B907E9">
        <w:t>доступе к интернету и его доступности для развивающихся стран, а также принципах начисления платы за международные интернет-соединения</w:t>
      </w:r>
      <w:r w:rsidRPr="00B907E9">
        <w:t>;</w:t>
      </w:r>
    </w:p>
    <w:p w:rsidR="006C11A1" w:rsidRPr="00B907E9" w:rsidRDefault="006C11A1" w:rsidP="0041074E">
      <w:pPr>
        <w:pStyle w:val="enumlev1"/>
      </w:pPr>
      <w:r w:rsidRPr="00B907E9">
        <w:t>iii)</w:t>
      </w:r>
      <w:r w:rsidRPr="00B907E9">
        <w:tab/>
      </w:r>
      <w:r w:rsidR="00F549CE" w:rsidRPr="00B907E9">
        <w:t>Резолюцию</w:t>
      </w:r>
      <w:r w:rsidRPr="00B907E9">
        <w:t xml:space="preserve"> 69 (</w:t>
      </w:r>
      <w:r w:rsidR="00F549CE" w:rsidRPr="00B907E9">
        <w:t>Йоханнесбург, 2008 г.</w:t>
      </w:r>
      <w:r w:rsidRPr="00B907E9">
        <w:t xml:space="preserve">) </w:t>
      </w:r>
      <w:r w:rsidR="00F549CE" w:rsidRPr="00B907E9">
        <w:t>Всемирной конференции по международной электросвязи о доступе к ресурсам интернета и их использовании на недискриминационной основе</w:t>
      </w:r>
      <w:r w:rsidRPr="00B907E9">
        <w:t>;</w:t>
      </w:r>
    </w:p>
    <w:p w:rsidR="006C11A1" w:rsidRPr="00B907E9" w:rsidRDefault="006C11A1" w:rsidP="0041074E">
      <w:pPr>
        <w:pStyle w:val="enumlev1"/>
      </w:pPr>
      <w:r w:rsidRPr="00B907E9">
        <w:t>iv)</w:t>
      </w:r>
      <w:r w:rsidRPr="00B907E9">
        <w:tab/>
      </w:r>
      <w:r w:rsidR="00655E0C" w:rsidRPr="00B907E9">
        <w:t>Рекомендацию МСЭ</w:t>
      </w:r>
      <w:r w:rsidRPr="00B907E9">
        <w:t>-T D.50</w:t>
      </w:r>
      <w:r w:rsidR="00983642" w:rsidRPr="00B907E9">
        <w:t xml:space="preserve"> об общих принципа</w:t>
      </w:r>
      <w:r w:rsidR="00874AEA" w:rsidRPr="00B907E9">
        <w:t>х</w:t>
      </w:r>
      <w:r w:rsidR="00B907E9">
        <w:t xml:space="preserve"> тарификации –</w:t>
      </w:r>
      <w:r w:rsidR="00B907E9">
        <w:rPr>
          <w:lang w:val="en-US"/>
        </w:rPr>
        <w:t> </w:t>
      </w:r>
      <w:r w:rsidR="00983642" w:rsidRPr="00B907E9">
        <w:t>принципах, применимых к международным интернет-соединениям,</w:t>
      </w:r>
    </w:p>
    <w:p w:rsidR="006C11A1" w:rsidRPr="00B907E9" w:rsidRDefault="00F549CE" w:rsidP="00B907E9">
      <w:pPr>
        <w:pStyle w:val="Call"/>
      </w:pPr>
      <w:r w:rsidRPr="00B907E9">
        <w:t>принимая во внимание далее</w:t>
      </w:r>
      <w:r w:rsidRPr="00D903A0">
        <w:rPr>
          <w:i w:val="0"/>
          <w:iCs/>
        </w:rPr>
        <w:t>,</w:t>
      </w:r>
    </w:p>
    <w:p w:rsidR="006C11A1" w:rsidRPr="00B907E9" w:rsidRDefault="00874AEA" w:rsidP="00B907E9">
      <w:r w:rsidRPr="00B907E9">
        <w:t xml:space="preserve">что </w:t>
      </w:r>
      <w:r w:rsidR="005D5EFD" w:rsidRPr="00B907E9">
        <w:t>в настоящее время интернет образует инфраструктуру, жизненно важную для нашей социально-экономической жизни</w:t>
      </w:r>
      <w:r w:rsidR="006C11A1" w:rsidRPr="00B907E9">
        <w:t xml:space="preserve">; </w:t>
      </w:r>
      <w:r w:rsidR="005D5EFD" w:rsidRPr="00B907E9">
        <w:t>что новые услуги, обеспечиваемые и</w:t>
      </w:r>
      <w:r w:rsidR="003E2C9D" w:rsidRPr="00B907E9">
        <w:t>нтернетом, изменяют экономическую перспективу</w:t>
      </w:r>
      <w:r w:rsidR="005D5EFD" w:rsidRPr="00B907E9">
        <w:t xml:space="preserve"> и, несомненно, сам характер отрасли электросвязи</w:t>
      </w:r>
      <w:r w:rsidR="006C11A1" w:rsidRPr="00B907E9">
        <w:t xml:space="preserve">; </w:t>
      </w:r>
      <w:r w:rsidR="005D5EFD" w:rsidRPr="00B907E9">
        <w:t>что весь трафик электросвязи переходит на связь, основанную на протоколе Интернет</w:t>
      </w:r>
      <w:r w:rsidR="006C11A1" w:rsidRPr="00B907E9">
        <w:t xml:space="preserve">; </w:t>
      </w:r>
      <w:r w:rsidR="00325A24" w:rsidRPr="00B907E9">
        <w:t>и что этот переход от выделенных сетей телефонной связи и передачи данных к конвергированным сетям на базе IP поднимает важные рег</w:t>
      </w:r>
      <w:r w:rsidR="003E2C9D" w:rsidRPr="00B907E9">
        <w:t>уляторные</w:t>
      </w:r>
      <w:r w:rsidR="00325A24" w:rsidRPr="00B907E9">
        <w:t>, технические и экономические вопросы</w:t>
      </w:r>
      <w:r w:rsidR="006C11A1" w:rsidRPr="00B907E9">
        <w:t>,</w:t>
      </w:r>
    </w:p>
    <w:p w:rsidR="006C11A1" w:rsidRPr="00B907E9" w:rsidRDefault="00967E0D" w:rsidP="00B907E9">
      <w:pPr>
        <w:pStyle w:val="Call"/>
      </w:pPr>
      <w:r w:rsidRPr="00B907E9">
        <w:t>учитывая далее</w:t>
      </w:r>
    </w:p>
    <w:p w:rsidR="006C11A1" w:rsidRPr="00B907E9" w:rsidRDefault="00325A24" w:rsidP="003E2C9D">
      <w:r w:rsidRPr="00B907E9">
        <w:t xml:space="preserve">что важным аспектом трафика интернета является </w:t>
      </w:r>
      <w:r w:rsidR="00D74B99" w:rsidRPr="00B907E9">
        <w:t>то, что для обеспечения достаточного дохода на инвестиции в широкополосную инфраструктуру эксплуатационные организации должны заключать коммерческие соглашения в целях обеспечени</w:t>
      </w:r>
      <w:r w:rsidR="003E2C9D" w:rsidRPr="00B907E9">
        <w:t>я устойчивой системы справедливых платежей</w:t>
      </w:r>
      <w:r w:rsidR="00D74B99" w:rsidRPr="00B907E9">
        <w:t xml:space="preserve"> за услуги электросвязи</w:t>
      </w:r>
      <w:r w:rsidR="006C11A1" w:rsidRPr="00B907E9">
        <w:t>;</w:t>
      </w:r>
    </w:p>
    <w:p w:rsidR="006C11A1" w:rsidRPr="00B907E9" w:rsidRDefault="00967E0D" w:rsidP="00B907E9">
      <w:pPr>
        <w:pStyle w:val="Call"/>
      </w:pPr>
      <w:r w:rsidRPr="00B907E9">
        <w:t>признавая</w:t>
      </w:r>
    </w:p>
    <w:p w:rsidR="006C11A1" w:rsidRPr="00B907E9" w:rsidRDefault="00D74B99" w:rsidP="003E2C9D">
      <w:r w:rsidRPr="00B907E9">
        <w:t xml:space="preserve">что интернет является фундаментальным </w:t>
      </w:r>
      <w:r w:rsidR="003E2C9D" w:rsidRPr="00B907E9">
        <w:t>вопросом</w:t>
      </w:r>
      <w:r w:rsidRPr="00B907E9">
        <w:t xml:space="preserve"> высокого уровня, нейтральным по отношению к технологиям, которые не существовали в 1988 году, когда был принят Регламент международной электросвязи</w:t>
      </w:r>
      <w:r w:rsidR="006C11A1" w:rsidRPr="00B907E9">
        <w:t>,</w:t>
      </w:r>
    </w:p>
    <w:p w:rsidR="006C11A1" w:rsidRPr="00B907E9" w:rsidRDefault="00DC6E95" w:rsidP="00DC6E95">
      <w:r w:rsidRPr="00B907E9">
        <w:t>предлагается добавить следующие новые положения к Статье 3 РМЭ</w:t>
      </w:r>
      <w:r w:rsidR="006C11A1" w:rsidRPr="00B907E9">
        <w:t xml:space="preserve">: </w:t>
      </w:r>
    </w:p>
    <w:p w:rsidR="006C11A1" w:rsidRPr="00B907E9" w:rsidRDefault="006C11A1" w:rsidP="00B907E9">
      <w:pPr>
        <w:pStyle w:val="Heading1"/>
      </w:pPr>
      <w:bookmarkStart w:id="8" w:name="_Toc341110867"/>
      <w:r w:rsidRPr="00B907E9">
        <w:lastRenderedPageBreak/>
        <w:t>II</w:t>
      </w:r>
      <w:r w:rsidRPr="00B907E9">
        <w:tab/>
      </w:r>
      <w:bookmarkStart w:id="9" w:name="II"/>
      <w:r w:rsidR="00F213B3" w:rsidRPr="00B907E9">
        <w:t xml:space="preserve">Предлагаемое положение об условиях установления международного интернет-соединения </w:t>
      </w:r>
      <w:r w:rsidRPr="00B907E9">
        <w:br/>
      </w:r>
      <w:r w:rsidR="00F213B3" w:rsidRPr="00B907E9">
        <w:t>Предлагаемое положение о доступе к интернет</w:t>
      </w:r>
      <w:r w:rsidR="003E2C9D" w:rsidRPr="00B907E9">
        <w:t>у</w:t>
      </w:r>
      <w:r w:rsidR="00F213B3" w:rsidRPr="00B907E9">
        <w:t xml:space="preserve"> и его использовании на недискриминационной основе</w:t>
      </w:r>
      <w:bookmarkEnd w:id="8"/>
      <w:bookmarkEnd w:id="9"/>
    </w:p>
    <w:p w:rsidR="006C11A1" w:rsidRPr="00B907E9" w:rsidRDefault="006C11A1" w:rsidP="00B907E9">
      <w:pPr>
        <w:pStyle w:val="ArtNo"/>
      </w:pPr>
      <w:r w:rsidRPr="00B907E9">
        <w:t>СТАТЬЯ 3</w:t>
      </w:r>
    </w:p>
    <w:p w:rsidR="006C11A1" w:rsidRPr="00B907E9" w:rsidRDefault="006C11A1" w:rsidP="00B907E9">
      <w:pPr>
        <w:pStyle w:val="Arttitle"/>
      </w:pPr>
      <w:r w:rsidRPr="00B907E9">
        <w:t>Международная сеть</w:t>
      </w:r>
    </w:p>
    <w:p w:rsidR="00027E5C" w:rsidRPr="00B907E9" w:rsidRDefault="006C11A1" w:rsidP="00B907E9">
      <w:pPr>
        <w:pStyle w:val="Proposal"/>
      </w:pPr>
      <w:r w:rsidRPr="00B907E9">
        <w:rPr>
          <w:b/>
          <w:bCs/>
        </w:rPr>
        <w:t>ADD</w:t>
      </w:r>
      <w:r w:rsidRPr="00B907E9">
        <w:tab/>
        <w:t>CUB/26/1</w:t>
      </w:r>
    </w:p>
    <w:p w:rsidR="006C11A1" w:rsidRPr="00B907E9" w:rsidRDefault="006C11A1" w:rsidP="00F213B3">
      <w:pPr>
        <w:rPr>
          <w:rFonts w:ascii="Calibri" w:hAnsi="Calibri"/>
          <w:i/>
          <w:iCs/>
        </w:rPr>
      </w:pPr>
      <w:r w:rsidRPr="00B907E9">
        <w:rPr>
          <w:rStyle w:val="Artdef"/>
        </w:rPr>
        <w:t>31A</w:t>
      </w:r>
      <w:r w:rsidRPr="00B907E9">
        <w:rPr>
          <w:rFonts w:ascii="Calibri" w:hAnsi="Calibri"/>
        </w:rPr>
        <w:tab/>
      </w:r>
      <w:r w:rsidRPr="00B907E9">
        <w:t>3.5</w:t>
      </w:r>
      <w:r w:rsidRPr="00B907E9">
        <w:tab/>
      </w:r>
      <w:r w:rsidR="00F213B3" w:rsidRPr="00B907E9">
        <w:rPr>
          <w:i/>
          <w:iCs/>
        </w:rPr>
        <w:t>Условия установления международного интернет-соединения</w:t>
      </w:r>
    </w:p>
    <w:p w:rsidR="00027E5C" w:rsidRPr="00B907E9" w:rsidRDefault="00027E5C" w:rsidP="00B907E9">
      <w:pPr>
        <w:pStyle w:val="Reasons"/>
      </w:pPr>
    </w:p>
    <w:p w:rsidR="00027E5C" w:rsidRPr="00B907E9" w:rsidRDefault="006C11A1" w:rsidP="003E2C9D">
      <w:pPr>
        <w:pStyle w:val="Proposal"/>
      </w:pPr>
      <w:r w:rsidRPr="00B907E9">
        <w:rPr>
          <w:b/>
          <w:bCs/>
        </w:rPr>
        <w:t>ADD</w:t>
      </w:r>
      <w:r w:rsidRPr="00B907E9">
        <w:rPr>
          <w:b/>
          <w:bCs/>
        </w:rPr>
        <w:tab/>
      </w:r>
      <w:r w:rsidRPr="00B907E9">
        <w:t>CUB/26/2</w:t>
      </w:r>
    </w:p>
    <w:p w:rsidR="006C11A1" w:rsidRPr="00B907E9" w:rsidRDefault="006C11A1" w:rsidP="001311E2">
      <w:r w:rsidRPr="00B907E9">
        <w:rPr>
          <w:rStyle w:val="Artdef"/>
        </w:rPr>
        <w:t>31B</w:t>
      </w:r>
      <w:r w:rsidRPr="00B907E9">
        <w:rPr>
          <w:rFonts w:ascii="Calibri" w:hAnsi="Calibri"/>
        </w:rPr>
        <w:tab/>
      </w:r>
      <w:r w:rsidRPr="00B907E9">
        <w:t>3.6</w:t>
      </w:r>
      <w:r w:rsidRPr="00B907E9">
        <w:tab/>
      </w:r>
      <w:r w:rsidR="00DC6E95" w:rsidRPr="00B907E9">
        <w:t>Эксплуатационные организации, участвующие в предоставлении международных интернет-соединений, должны заключ</w:t>
      </w:r>
      <w:r w:rsidR="00C04B73" w:rsidRPr="00B907E9">
        <w:t>а</w:t>
      </w:r>
      <w:r w:rsidR="00DC6E95" w:rsidRPr="00B907E9">
        <w:t>ть взаимные соглашения</w:t>
      </w:r>
      <w:r w:rsidR="000932F5" w:rsidRPr="00B907E9">
        <w:t xml:space="preserve"> с заинтересованными сторонами, принимая во внимание возможную необходимость компенсации стоимости </w:t>
      </w:r>
      <w:r w:rsidR="001311E2" w:rsidRPr="00B907E9">
        <w:t>соответствующих составных</w:t>
      </w:r>
      <w:r w:rsidR="000932F5" w:rsidRPr="00B907E9">
        <w:t xml:space="preserve"> элементов</w:t>
      </w:r>
      <w:r w:rsidRPr="00B907E9">
        <w:t>.</w:t>
      </w:r>
    </w:p>
    <w:p w:rsidR="00027E5C" w:rsidRPr="00B907E9" w:rsidRDefault="00027E5C" w:rsidP="00B907E9">
      <w:pPr>
        <w:pStyle w:val="Reasons"/>
      </w:pPr>
    </w:p>
    <w:p w:rsidR="00027E5C" w:rsidRPr="00B907E9" w:rsidRDefault="006C11A1" w:rsidP="003E2C9D">
      <w:pPr>
        <w:pStyle w:val="Proposal"/>
      </w:pPr>
      <w:r w:rsidRPr="00B907E9">
        <w:rPr>
          <w:b/>
          <w:bCs/>
        </w:rPr>
        <w:t>ADD</w:t>
      </w:r>
      <w:r w:rsidRPr="00B907E9">
        <w:rPr>
          <w:b/>
          <w:bCs/>
        </w:rPr>
        <w:tab/>
      </w:r>
      <w:r w:rsidRPr="00B907E9">
        <w:t>CUB/26/3</w:t>
      </w:r>
    </w:p>
    <w:p w:rsidR="006C11A1" w:rsidRPr="00B907E9" w:rsidRDefault="006C11A1" w:rsidP="00F213B3">
      <w:pPr>
        <w:rPr>
          <w:rFonts w:ascii="Calibri" w:hAnsi="Calibri"/>
          <w:i/>
          <w:iCs/>
        </w:rPr>
      </w:pPr>
      <w:r w:rsidRPr="00B907E9">
        <w:rPr>
          <w:rStyle w:val="Artdef"/>
        </w:rPr>
        <w:t>31C</w:t>
      </w:r>
      <w:r w:rsidRPr="00B907E9">
        <w:rPr>
          <w:rFonts w:ascii="Calibri" w:hAnsi="Calibri"/>
        </w:rPr>
        <w:tab/>
      </w:r>
      <w:r w:rsidRPr="00B907E9">
        <w:t>3.7</w:t>
      </w:r>
      <w:r w:rsidRPr="00B907E9">
        <w:tab/>
      </w:r>
      <w:r w:rsidR="00F213B3" w:rsidRPr="00B907E9">
        <w:rPr>
          <w:i/>
          <w:iCs/>
        </w:rPr>
        <w:t>Доступ к интернету и его использование на недискриминационной основе</w:t>
      </w:r>
    </w:p>
    <w:p w:rsidR="00027E5C" w:rsidRPr="00D142CC" w:rsidRDefault="00027E5C">
      <w:pPr>
        <w:pStyle w:val="Reasons"/>
      </w:pPr>
    </w:p>
    <w:p w:rsidR="00027E5C" w:rsidRPr="00B907E9" w:rsidRDefault="006C11A1" w:rsidP="003E2C9D">
      <w:pPr>
        <w:pStyle w:val="Proposal"/>
      </w:pPr>
      <w:r w:rsidRPr="00B907E9">
        <w:rPr>
          <w:b/>
          <w:bCs/>
        </w:rPr>
        <w:t>ADD</w:t>
      </w:r>
      <w:r w:rsidRPr="00B907E9">
        <w:tab/>
        <w:t>CUB/26/4</w:t>
      </w:r>
    </w:p>
    <w:p w:rsidR="006C11A1" w:rsidRPr="00B907E9" w:rsidRDefault="006C11A1" w:rsidP="001311E2">
      <w:r w:rsidRPr="00B907E9">
        <w:rPr>
          <w:rStyle w:val="Artdef"/>
        </w:rPr>
        <w:t>31D</w:t>
      </w:r>
      <w:r w:rsidRPr="00B907E9">
        <w:rPr>
          <w:rFonts w:ascii="Calibri" w:hAnsi="Calibri"/>
        </w:rPr>
        <w:tab/>
      </w:r>
      <w:r w:rsidRPr="00B907E9">
        <w:t>3.8</w:t>
      </w:r>
      <w:r w:rsidRPr="00B907E9">
        <w:tab/>
      </w:r>
      <w:r w:rsidR="001311E2" w:rsidRPr="00B907E9">
        <w:t>Государства-Члены должны воздерживаться от осуществления односторонних и/или дискриминационных действий, которые могли бы помешать другому Государству-Члену осуществлять доступ к открытым интернет-сайтам</w:t>
      </w:r>
      <w:r w:rsidRPr="00B907E9">
        <w:t>.</w:t>
      </w:r>
    </w:p>
    <w:p w:rsidR="00B907E9" w:rsidRPr="00B907E9" w:rsidRDefault="00B907E9" w:rsidP="00973434">
      <w:pPr>
        <w:pStyle w:val="Reasons"/>
      </w:pPr>
    </w:p>
    <w:p w:rsidR="00027E5C" w:rsidRPr="00B907E9" w:rsidRDefault="00B907E9" w:rsidP="00B907E9">
      <w:pPr>
        <w:jc w:val="center"/>
      </w:pPr>
      <w:r w:rsidRPr="00B907E9">
        <w:t>______________</w:t>
      </w:r>
    </w:p>
    <w:sectPr w:rsidR="00027E5C" w:rsidRPr="00B907E9" w:rsidSect="00ED2F33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A0" w:rsidRDefault="00D903A0">
      <w:r>
        <w:separator/>
      </w:r>
    </w:p>
    <w:p w:rsidR="00D903A0" w:rsidRDefault="00D903A0"/>
  </w:endnote>
  <w:endnote w:type="continuationSeparator" w:id="0">
    <w:p w:rsidR="00D903A0" w:rsidRDefault="00D903A0">
      <w:r>
        <w:continuationSeparator/>
      </w:r>
    </w:p>
    <w:p w:rsidR="00D903A0" w:rsidRDefault="00D90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0" w:rsidRDefault="00D903A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903A0" w:rsidRPr="00973434" w:rsidRDefault="00D903A0">
    <w:pPr>
      <w:ind w:right="360"/>
    </w:pPr>
    <w:r>
      <w:fldChar w:fldCharType="begin"/>
    </w:r>
    <w:r w:rsidRPr="00973434">
      <w:instrText xml:space="preserve"> </w:instrText>
    </w:r>
    <w:r w:rsidRPr="00931097">
      <w:rPr>
        <w:lang w:val="en-US"/>
      </w:rPr>
      <w:instrText>FILENAME</w:instrText>
    </w:r>
    <w:r w:rsidRPr="00973434">
      <w:instrText xml:space="preserve"> \</w:instrText>
    </w:r>
    <w:r w:rsidRPr="00931097">
      <w:rPr>
        <w:lang w:val="en-US"/>
      </w:rPr>
      <w:instrText>p</w:instrText>
    </w:r>
    <w:r w:rsidRPr="00973434">
      <w:instrText xml:space="preserve">  \* </w:instrText>
    </w:r>
    <w:r w:rsidRPr="00931097">
      <w:rPr>
        <w:lang w:val="en-US"/>
      </w:rPr>
      <w:instrText>MERGEFORMAT</w:instrText>
    </w:r>
    <w:r w:rsidRPr="00973434">
      <w:instrText xml:space="preserve"> </w:instrText>
    </w:r>
    <w:r>
      <w:fldChar w:fldCharType="separate"/>
    </w:r>
    <w:r w:rsidR="004074CD" w:rsidRPr="004074CD">
      <w:rPr>
        <w:noProof/>
        <w:lang w:val="en-US"/>
      </w:rPr>
      <w:t>P</w:t>
    </w:r>
    <w:r w:rsidR="004074CD">
      <w:rPr>
        <w:noProof/>
      </w:rPr>
      <w:t>:\</w:t>
    </w:r>
    <w:r w:rsidR="004074CD" w:rsidRPr="004074CD">
      <w:rPr>
        <w:noProof/>
        <w:lang w:val="en-US"/>
      </w:rPr>
      <w:t>RUS</w:t>
    </w:r>
    <w:r w:rsidR="004074CD">
      <w:rPr>
        <w:noProof/>
      </w:rPr>
      <w:t>\</w:t>
    </w:r>
    <w:r w:rsidR="004074CD" w:rsidRPr="004074CD">
      <w:rPr>
        <w:noProof/>
        <w:lang w:val="en-US"/>
      </w:rPr>
      <w:t>SG</w:t>
    </w:r>
    <w:r w:rsidR="004074CD">
      <w:rPr>
        <w:noProof/>
      </w:rPr>
      <w:t>\</w:t>
    </w:r>
    <w:r w:rsidR="004074CD" w:rsidRPr="004074CD">
      <w:rPr>
        <w:noProof/>
        <w:lang w:val="en-US"/>
      </w:rPr>
      <w:t>CONF-SG</w:t>
    </w:r>
    <w:r w:rsidR="004074CD">
      <w:rPr>
        <w:noProof/>
      </w:rPr>
      <w:t>\</w:t>
    </w:r>
    <w:r w:rsidR="004074CD" w:rsidRPr="004074CD">
      <w:rPr>
        <w:noProof/>
        <w:lang w:val="en-US"/>
      </w:rPr>
      <w:t>WCIT12</w:t>
    </w:r>
    <w:r w:rsidR="004074CD">
      <w:rPr>
        <w:noProof/>
      </w:rPr>
      <w:t>\000\026R.docx</w:t>
    </w:r>
    <w:r>
      <w:fldChar w:fldCharType="end"/>
    </w:r>
    <w:r w:rsidRPr="00973434">
      <w:tab/>
    </w:r>
    <w:r>
      <w:fldChar w:fldCharType="begin"/>
    </w:r>
    <w:r>
      <w:instrText xml:space="preserve"> SAVEDATE \@ DD.MM.YY </w:instrText>
    </w:r>
    <w:r>
      <w:fldChar w:fldCharType="separate"/>
    </w:r>
    <w:r w:rsidR="004074CD">
      <w:rPr>
        <w:noProof/>
      </w:rPr>
      <w:t>21.11.12</w:t>
    </w:r>
    <w:r>
      <w:fldChar w:fldCharType="end"/>
    </w:r>
    <w:r w:rsidRPr="00973434">
      <w:tab/>
    </w:r>
    <w:r>
      <w:fldChar w:fldCharType="begin"/>
    </w:r>
    <w:r>
      <w:instrText xml:space="preserve"> PRINTDATE \@ DD.MM.YY </w:instrText>
    </w:r>
    <w:r>
      <w:fldChar w:fldCharType="separate"/>
    </w:r>
    <w:r w:rsidR="004074CD">
      <w:rPr>
        <w:noProof/>
      </w:rPr>
      <w:t>21.11.12</w:t>
    </w:r>
    <w:r>
      <w:fldChar w:fldCharType="end"/>
    </w:r>
  </w:p>
  <w:p w:rsidR="00D903A0" w:rsidRPr="00973434" w:rsidRDefault="00D903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0" w:rsidRPr="0022292E" w:rsidRDefault="00D903A0" w:rsidP="0022292E">
    <w:pPr>
      <w:pStyle w:val="Footer"/>
      <w:tabs>
        <w:tab w:val="clear" w:pos="5954"/>
        <w:tab w:val="left" w:pos="6804"/>
      </w:tabs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074CD">
      <w:rPr>
        <w:lang w:val="fr-FR"/>
      </w:rPr>
      <w:t>P:\RUS\SG\CONF-SG\WCIT12\000\026R.docx</w:t>
    </w:r>
    <w:r>
      <w:fldChar w:fldCharType="end"/>
    </w:r>
    <w:r>
      <w:t xml:space="preserve"> (335329)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74CD">
      <w:t>21.11.12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74CD">
      <w:t>21.11.12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0" w:rsidRDefault="00D903A0" w:rsidP="0022292E">
    <w:pPr>
      <w:pStyle w:val="Footer"/>
      <w:tabs>
        <w:tab w:val="clear" w:pos="5954"/>
        <w:tab w:val="left" w:pos="6804"/>
      </w:tabs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074CD">
      <w:rPr>
        <w:lang w:val="fr-FR"/>
      </w:rPr>
      <w:t>P:\RUS\SG\CONF-SG\WCIT12\000\026R.docx</w:t>
    </w:r>
    <w:r>
      <w:fldChar w:fldCharType="end"/>
    </w:r>
    <w:r>
      <w:t xml:space="preserve"> (335329)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74CD">
      <w:t>21.11.12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074CD">
      <w:t>21.11.12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A0" w:rsidRDefault="00D903A0">
      <w:r>
        <w:rPr>
          <w:b/>
        </w:rPr>
        <w:t>_______________</w:t>
      </w:r>
    </w:p>
    <w:p w:rsidR="00D903A0" w:rsidRDefault="00D903A0"/>
  </w:footnote>
  <w:footnote w:type="continuationSeparator" w:id="0">
    <w:p w:rsidR="00D903A0" w:rsidRDefault="00D903A0">
      <w:r>
        <w:continuationSeparator/>
      </w:r>
    </w:p>
    <w:p w:rsidR="00D903A0" w:rsidRDefault="00D903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3A0" w:rsidRPr="00434A7C" w:rsidRDefault="00D903A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074CD">
      <w:rPr>
        <w:noProof/>
      </w:rPr>
      <w:t>3</w:t>
    </w:r>
    <w:r>
      <w:fldChar w:fldCharType="end"/>
    </w:r>
  </w:p>
  <w:p w:rsidR="00D903A0" w:rsidRDefault="00D903A0" w:rsidP="009B1402">
    <w:pPr>
      <w:pStyle w:val="Header"/>
    </w:pPr>
    <w:r>
      <w:t>WCIT</w:t>
    </w:r>
    <w:r>
      <w:rPr>
        <w:lang w:val="en-US"/>
      </w:rPr>
      <w:t>12</w:t>
    </w:r>
    <w:r>
      <w:t>/26-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27E5C"/>
    <w:rsid w:val="0003535B"/>
    <w:rsid w:val="000932F5"/>
    <w:rsid w:val="000A0EF3"/>
    <w:rsid w:val="000B0003"/>
    <w:rsid w:val="00123B68"/>
    <w:rsid w:val="00124C09"/>
    <w:rsid w:val="00126F2E"/>
    <w:rsid w:val="001311E2"/>
    <w:rsid w:val="001521AE"/>
    <w:rsid w:val="001E5FB4"/>
    <w:rsid w:val="0020039C"/>
    <w:rsid w:val="00202CA0"/>
    <w:rsid w:val="00212994"/>
    <w:rsid w:val="0022292E"/>
    <w:rsid w:val="00230582"/>
    <w:rsid w:val="00245A1F"/>
    <w:rsid w:val="00290C74"/>
    <w:rsid w:val="002A2D3F"/>
    <w:rsid w:val="00300F84"/>
    <w:rsid w:val="00316F37"/>
    <w:rsid w:val="00325A24"/>
    <w:rsid w:val="00344EB8"/>
    <w:rsid w:val="00350243"/>
    <w:rsid w:val="003C583C"/>
    <w:rsid w:val="003E2C9D"/>
    <w:rsid w:val="003F0078"/>
    <w:rsid w:val="004074CD"/>
    <w:rsid w:val="0041074E"/>
    <w:rsid w:val="00434A7C"/>
    <w:rsid w:val="00440009"/>
    <w:rsid w:val="0045143A"/>
    <w:rsid w:val="004A58F4"/>
    <w:rsid w:val="004C47ED"/>
    <w:rsid w:val="0051315E"/>
    <w:rsid w:val="005305D5"/>
    <w:rsid w:val="005371E3"/>
    <w:rsid w:val="005651C9"/>
    <w:rsid w:val="00567276"/>
    <w:rsid w:val="005755E2"/>
    <w:rsid w:val="005A295E"/>
    <w:rsid w:val="005D1879"/>
    <w:rsid w:val="005D5EFD"/>
    <w:rsid w:val="005D79A3"/>
    <w:rsid w:val="005E61DD"/>
    <w:rsid w:val="006023DF"/>
    <w:rsid w:val="00620DD7"/>
    <w:rsid w:val="00655E0C"/>
    <w:rsid w:val="00657DE0"/>
    <w:rsid w:val="00692C06"/>
    <w:rsid w:val="006A2029"/>
    <w:rsid w:val="006A6E9B"/>
    <w:rsid w:val="006C11A1"/>
    <w:rsid w:val="006D1B16"/>
    <w:rsid w:val="00757B46"/>
    <w:rsid w:val="00763F4F"/>
    <w:rsid w:val="00775720"/>
    <w:rsid w:val="007C6C5A"/>
    <w:rsid w:val="007E66CC"/>
    <w:rsid w:val="007F1E31"/>
    <w:rsid w:val="00811633"/>
    <w:rsid w:val="00845715"/>
    <w:rsid w:val="0086307C"/>
    <w:rsid w:val="00872FC8"/>
    <w:rsid w:val="00874AEA"/>
    <w:rsid w:val="008B43F2"/>
    <w:rsid w:val="008C3257"/>
    <w:rsid w:val="008F0393"/>
    <w:rsid w:val="009119CC"/>
    <w:rsid w:val="00931097"/>
    <w:rsid w:val="00941A02"/>
    <w:rsid w:val="00967E0D"/>
    <w:rsid w:val="00973434"/>
    <w:rsid w:val="00983642"/>
    <w:rsid w:val="009B1402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3FA7"/>
    <w:rsid w:val="00A97EC0"/>
    <w:rsid w:val="00AC66E6"/>
    <w:rsid w:val="00AE4E50"/>
    <w:rsid w:val="00B01940"/>
    <w:rsid w:val="00B468A6"/>
    <w:rsid w:val="00B907E9"/>
    <w:rsid w:val="00BA13A4"/>
    <w:rsid w:val="00BA1AA1"/>
    <w:rsid w:val="00BA35DC"/>
    <w:rsid w:val="00BC5088"/>
    <w:rsid w:val="00BC5313"/>
    <w:rsid w:val="00C04B73"/>
    <w:rsid w:val="00C20466"/>
    <w:rsid w:val="00C324A8"/>
    <w:rsid w:val="00C56E7A"/>
    <w:rsid w:val="00CC47C6"/>
    <w:rsid w:val="00CE5E47"/>
    <w:rsid w:val="00CF020F"/>
    <w:rsid w:val="00D142CC"/>
    <w:rsid w:val="00D53715"/>
    <w:rsid w:val="00D74B99"/>
    <w:rsid w:val="00D903A0"/>
    <w:rsid w:val="00DC6E95"/>
    <w:rsid w:val="00DE2EBA"/>
    <w:rsid w:val="00E02CEB"/>
    <w:rsid w:val="00E2253F"/>
    <w:rsid w:val="00E43C3F"/>
    <w:rsid w:val="00E471F7"/>
    <w:rsid w:val="00E5155F"/>
    <w:rsid w:val="00E976C1"/>
    <w:rsid w:val="00EC7B76"/>
    <w:rsid w:val="00ED2F33"/>
    <w:rsid w:val="00EF0E60"/>
    <w:rsid w:val="00F213B3"/>
    <w:rsid w:val="00F276C1"/>
    <w:rsid w:val="00F549CE"/>
    <w:rsid w:val="00F61EFF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6C1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C9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6C1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S12-WCIT12-C-0026!!MSW-R</DPM_x0020_File_x0020_name>
    <DPM_x0020_Author xmlns="32a1a8c5-2265-4ebc-b7a0-2071e2c5c9bb" xsi:nil="false">Documents Proposals Manager (DPM)</DPM_x0020_Author>
    <DPM_x0020_Version xmlns="32a1a8c5-2265-4ebc-b7a0-2071e2c5c9bb" xsi:nil="false">DPM_v5.3.5.20_prod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D8475-217C-4159-B4C6-3EA4733107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2281908-27D5-4437-ADAC-A6ACF6C9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</Template>
  <TotalTime>57</TotalTime>
  <Pages>3</Pages>
  <Words>572</Words>
  <Characters>4360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S12-WCIT12-C-0026!!MSW-R</vt:lpstr>
    </vt:vector>
  </TitlesOfParts>
  <Manager>General Secretariat - Pool</Manager>
  <Company>International Telecommunication Union (ITU)</Company>
  <LinksUpToDate>false</LinksUpToDate>
  <CharactersWithSpaces>4923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S12-WCIT12-C-0026!!MSW-R</dc:title>
  <dc:subject>World Conference on International Telecommunications (WCIT)</dc:subject>
  <dc:creator>Documents Proposals Manager (DPM)</dc:creator>
  <cp:keywords>DPM_v5.3.5.20_prod</cp:keywords>
  <cp:lastModifiedBy>fedosova</cp:lastModifiedBy>
  <cp:revision>13</cp:revision>
  <cp:lastPrinted>2012-11-21T12:05:00Z</cp:lastPrinted>
  <dcterms:created xsi:type="dcterms:W3CDTF">2012-11-20T11:28:00Z</dcterms:created>
  <dcterms:modified xsi:type="dcterms:W3CDTF">2012-11-21T12:06:00Z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