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A8BFBD4" wp14:editId="37489DF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9400BD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9400BD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9400BD" w:rsidRDefault="00280E04" w:rsidP="009400BD">
            <w:pPr>
              <w:pStyle w:val="Adress"/>
              <w:framePr w:hSpace="0" w:wrap="auto" w:xAlign="left" w:yAlign="inline"/>
              <w:rPr>
                <w:rtl/>
              </w:rPr>
            </w:pPr>
            <w:r w:rsidRPr="009400BD">
              <w:rPr>
                <w:rFonts w:ascii="Calibri" w:hAnsi="Calibri"/>
                <w:sz w:val="22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9400BD" w:rsidRDefault="00280E04" w:rsidP="009400BD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</w:rPr>
            </w:pPr>
            <w:r w:rsidRPr="009400BD">
              <w:rPr>
                <w:rFonts w:ascii="Calibri" w:hAnsi="Calibri"/>
                <w:sz w:val="22"/>
                <w:rtl/>
              </w:rPr>
              <w:t xml:space="preserve">الوثيقة </w:t>
            </w:r>
            <w:r w:rsidR="009400BD">
              <w:rPr>
                <w:rFonts w:ascii="Calibri" w:hAnsi="Calibri"/>
                <w:sz w:val="22"/>
              </w:rPr>
              <w:t>25A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9400BD" w:rsidRDefault="00280E04" w:rsidP="00232325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9400BD" w:rsidRDefault="009400BD" w:rsidP="009400BD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280E04" w:rsidRPr="009400BD">
              <w:rPr>
                <w:rFonts w:ascii="Calibri" w:hAnsi="Calibri"/>
                <w:sz w:val="22"/>
                <w:rtl/>
              </w:rPr>
              <w:t xml:space="preserve"> نوفمبر </w:t>
            </w:r>
            <w:r>
              <w:rPr>
                <w:rFonts w:ascii="Calibri" w:hAnsi="Calibri"/>
                <w:sz w:val="22"/>
              </w:rPr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9400BD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9400BD" w:rsidRDefault="00280E04" w:rsidP="00336C1A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</w:rPr>
            </w:pPr>
            <w:r w:rsidRPr="009400BD">
              <w:rPr>
                <w:rFonts w:ascii="Calibri" w:hAnsi="Calibri"/>
                <w:sz w:val="22"/>
                <w:rtl/>
              </w:rPr>
              <w:t>الأصل: بالإنكليزية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9400BD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280E04" w:rsidP="00336C1A">
            <w:pPr>
              <w:pStyle w:val="Source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>تونس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9400BD" w:rsidP="00336C1A">
            <w:pPr>
              <w:pStyle w:val="Title1"/>
              <w:spacing w:before="240"/>
              <w:rPr>
                <w:rtl/>
              </w:rPr>
            </w:pPr>
            <w:r>
              <w:rPr>
                <w:rFonts w:ascii="Calibri" w:hAnsi="Calibri" w:hint="cs"/>
                <w:sz w:val="32"/>
                <w:rtl/>
              </w:rPr>
              <w:t xml:space="preserve">مقترحات بشأن </w:t>
            </w:r>
            <w:r w:rsidR="00FD107F">
              <w:rPr>
                <w:rFonts w:ascii="Calibri" w:hAnsi="Calibri" w:hint="cs"/>
                <w:sz w:val="32"/>
                <w:rtl/>
              </w:rPr>
              <w:t>أ</w:t>
            </w:r>
            <w:r>
              <w:rPr>
                <w:rFonts w:ascii="Calibri" w:hAnsi="Calibri" w:hint="cs"/>
                <w:sz w:val="32"/>
                <w:rtl/>
              </w:rPr>
              <w:t>عم</w:t>
            </w:r>
            <w:r w:rsidR="00FD107F">
              <w:rPr>
                <w:rFonts w:ascii="Calibri" w:hAnsi="Calibri" w:hint="cs"/>
                <w:sz w:val="32"/>
                <w:rtl/>
              </w:rPr>
              <w:t>ا</w:t>
            </w:r>
            <w:r>
              <w:rPr>
                <w:rFonts w:ascii="Calibri" w:hAnsi="Calibri" w:hint="cs"/>
                <w:sz w:val="32"/>
                <w:rtl/>
              </w:rPr>
              <w:t>ل المؤتمر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9400BD" w:rsidRDefault="009400BD" w:rsidP="009400BD">
            <w:pPr>
              <w:pStyle w:val="Title2"/>
              <w:spacing w:before="240"/>
              <w:rPr>
                <w:rtl/>
              </w:rPr>
            </w:pPr>
            <w:r>
              <w:rPr>
                <w:rFonts w:ascii="Calibri" w:hAnsi="Calibri" w:hint="cs"/>
                <w:sz w:val="32"/>
                <w:rtl/>
              </w:rPr>
              <w:t xml:space="preserve">إضافات مقترحة إلى المادة </w:t>
            </w:r>
            <w:r>
              <w:rPr>
                <w:rFonts w:ascii="Calibri" w:hAnsi="Calibri"/>
                <w:sz w:val="32"/>
              </w:rPr>
              <w:t>1</w:t>
            </w:r>
            <w:r>
              <w:rPr>
                <w:rFonts w:ascii="Calibri" w:hAnsi="Calibri" w:hint="cs"/>
                <w:sz w:val="32"/>
                <w:rtl/>
              </w:rPr>
              <w:t xml:space="preserve"> والمادة </w:t>
            </w:r>
            <w:r>
              <w:rPr>
                <w:rFonts w:ascii="Calibri" w:hAnsi="Calibri"/>
                <w:sz w:val="32"/>
              </w:rPr>
              <w:t>5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0F0A3B" w:rsidRDefault="00280E04" w:rsidP="000F0A3B">
            <w:pPr>
              <w:pStyle w:val="Agendaitem"/>
            </w:pPr>
          </w:p>
        </w:tc>
      </w:tr>
    </w:tbl>
    <w:p w:rsidR="00BE2A3E" w:rsidRDefault="00BE2A3E" w:rsidP="00BE2A3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16602" w:rsidRDefault="00BE2A3E" w:rsidP="00BE2A3E">
      <w:pPr>
        <w:rPr>
          <w:rtl/>
          <w:lang w:bidi="ar"/>
        </w:rPr>
      </w:pPr>
      <w:r w:rsidRPr="008D44B6">
        <w:rPr>
          <w:rFonts w:hint="cs"/>
          <w:rtl/>
          <w:lang w:bidi="ar"/>
        </w:rPr>
        <w:t xml:space="preserve">ترى تونس أن الإضافات التالية </w:t>
      </w:r>
      <w:r>
        <w:rPr>
          <w:rFonts w:hint="cs"/>
          <w:rtl/>
          <w:lang w:bidi="ar"/>
        </w:rPr>
        <w:t>س</w:t>
      </w:r>
      <w:r w:rsidRPr="008D44B6">
        <w:rPr>
          <w:rFonts w:hint="cs"/>
          <w:rtl/>
          <w:lang w:bidi="ar"/>
        </w:rPr>
        <w:t xml:space="preserve">تساعد على ضمان احترام أحكام حماية الخصوصية وحرية التعبير </w:t>
      </w:r>
      <w:r>
        <w:rPr>
          <w:rFonts w:hint="cs"/>
          <w:rtl/>
          <w:lang w:bidi="ar"/>
        </w:rPr>
        <w:t>عند</w:t>
      </w:r>
      <w:r w:rsidRPr="008D44B6">
        <w:rPr>
          <w:rFonts w:hint="cs"/>
          <w:rtl/>
          <w:lang w:bidi="ar"/>
        </w:rPr>
        <w:t xml:space="preserve"> تنفيذ </w:t>
      </w:r>
      <w:r>
        <w:rPr>
          <w:rFonts w:hint="cs"/>
          <w:rtl/>
          <w:lang w:bidi="ar"/>
        </w:rPr>
        <w:t>ل</w:t>
      </w:r>
      <w:r w:rsidRPr="008D44B6">
        <w:rPr>
          <w:rFonts w:hint="cs"/>
          <w:rtl/>
          <w:lang w:bidi="ar"/>
        </w:rPr>
        <w:t xml:space="preserve">وائح الاتصالات الدولية، وخاصة في الخطوات المتخذة لضمان الثقة والأمن </w:t>
      </w:r>
      <w:r>
        <w:rPr>
          <w:rFonts w:hint="cs"/>
          <w:rtl/>
          <w:lang w:bidi="ar"/>
        </w:rPr>
        <w:t>في</w:t>
      </w:r>
      <w:r w:rsidRPr="008D44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الاتصالات</w:t>
      </w:r>
      <w:r w:rsidRPr="008D44B6">
        <w:rPr>
          <w:rFonts w:hint="cs"/>
          <w:rtl/>
          <w:lang w:bidi="ar"/>
        </w:rPr>
        <w:t>/تكنولوجيا المعلومات والاتصالات.</w:t>
      </w:r>
    </w:p>
    <w:p w:rsidR="00BE2A3E" w:rsidRDefault="00BE2A3E" w:rsidP="00BE2A3E">
      <w:pPr>
        <w:pStyle w:val="ArtNo"/>
      </w:pPr>
      <w:r>
        <w:rPr>
          <w:rFonts w:hint="cs"/>
          <w:rtl/>
        </w:rPr>
        <w:t xml:space="preserve">المـادة </w:t>
      </w:r>
      <w:r>
        <w:t>1</w:t>
      </w:r>
    </w:p>
    <w:p w:rsidR="00BE2A3E" w:rsidRPr="008D44B6" w:rsidRDefault="00BE2A3E" w:rsidP="00BE2A3E">
      <w:pPr>
        <w:pStyle w:val="ArtTitle0"/>
      </w:pPr>
      <w:r w:rsidRPr="008D44B6">
        <w:rPr>
          <w:rtl/>
        </w:rPr>
        <w:t>موضوع اللوائح وغايتها</w:t>
      </w:r>
    </w:p>
    <w:p w:rsidR="00500C2A" w:rsidRDefault="00174D64">
      <w:pPr>
        <w:pStyle w:val="Proposal"/>
      </w:pPr>
      <w:r>
        <w:t>ADD</w:t>
      </w:r>
      <w:r>
        <w:tab/>
      </w:r>
      <w:r w:rsidRPr="00BE2A3E">
        <w:rPr>
          <w:b w:val="0"/>
          <w:bCs w:val="0"/>
        </w:rPr>
        <w:t>TUN/25/1</w:t>
      </w:r>
    </w:p>
    <w:p w:rsidR="00BE2A3E" w:rsidRPr="009920DA" w:rsidRDefault="00C64686" w:rsidP="00E83131">
      <w:pPr>
        <w:rPr>
          <w:lang w:bidi="ar-EG"/>
        </w:rPr>
      </w:pPr>
      <w:r w:rsidRPr="00C64686">
        <w:rPr>
          <w:b/>
          <w:bCs/>
          <w:lang w:bidi="ar-EG"/>
        </w:rPr>
        <w:t>0.1</w:t>
      </w:r>
      <w:r>
        <w:rPr>
          <w:rFonts w:hint="cs"/>
          <w:rtl/>
          <w:lang w:bidi="ar-EG"/>
        </w:rPr>
        <w:tab/>
      </w:r>
      <w:r w:rsidR="00BE2A3E">
        <w:rPr>
          <w:lang w:bidi="ar-EG"/>
        </w:rPr>
        <w:t>0.1</w:t>
      </w:r>
      <w:r w:rsidR="00BE2A3E">
        <w:rPr>
          <w:lang w:bidi="ar-EG"/>
        </w:rPr>
        <w:tab/>
      </w:r>
      <w:r w:rsidR="00BE2A3E">
        <w:rPr>
          <w:rFonts w:hint="cs"/>
          <w:rtl/>
          <w:lang w:bidi="ar"/>
        </w:rPr>
        <w:t>لدى</w:t>
      </w:r>
      <w:r w:rsidR="00BE2A3E" w:rsidRPr="008D44B6">
        <w:rPr>
          <w:rFonts w:hint="cs"/>
          <w:rtl/>
          <w:lang w:bidi="ar"/>
        </w:rPr>
        <w:t xml:space="preserve"> تطبيق أحكام هذه </w:t>
      </w:r>
      <w:r w:rsidR="00BE2A3E">
        <w:rPr>
          <w:rFonts w:hint="cs"/>
          <w:rtl/>
          <w:lang w:bidi="ar"/>
        </w:rPr>
        <w:t>اللوائح</w:t>
      </w:r>
      <w:r w:rsidR="00BE2A3E" w:rsidRPr="008D44B6">
        <w:rPr>
          <w:rFonts w:hint="cs"/>
          <w:rtl/>
          <w:lang w:bidi="ar"/>
        </w:rPr>
        <w:t>، يتعين على الدول الأعضاء حماية</w:t>
      </w:r>
      <w:r w:rsidR="00BE2A3E" w:rsidRPr="009920DA">
        <w:rPr>
          <w:rFonts w:hint="cs"/>
          <w:rtl/>
          <w:lang w:bidi="ar"/>
        </w:rPr>
        <w:t xml:space="preserve"> </w:t>
      </w:r>
      <w:r w:rsidR="00BE2A3E" w:rsidRPr="008D44B6">
        <w:rPr>
          <w:rFonts w:hint="cs"/>
          <w:rtl/>
          <w:lang w:bidi="ar"/>
        </w:rPr>
        <w:t xml:space="preserve">الحق في حرية التعبير </w:t>
      </w:r>
      <w:r w:rsidR="00BE2A3E">
        <w:rPr>
          <w:rFonts w:hint="cs"/>
          <w:rtl/>
          <w:lang w:bidi="ar"/>
        </w:rPr>
        <w:t>على النحو الذي ت</w:t>
      </w:r>
      <w:r w:rsidR="00BE2A3E" w:rsidRPr="008D44B6">
        <w:rPr>
          <w:rFonts w:hint="cs"/>
          <w:rtl/>
          <w:lang w:bidi="ar"/>
        </w:rPr>
        <w:t xml:space="preserve">قره </w:t>
      </w:r>
      <w:r w:rsidR="00BE2A3E">
        <w:rPr>
          <w:rFonts w:hint="cs"/>
          <w:rtl/>
          <w:lang w:bidi="ar"/>
        </w:rPr>
        <w:t>المادة</w:t>
      </w:r>
      <w:r w:rsidR="00BE2A3E" w:rsidRPr="008D44B6">
        <w:rPr>
          <w:rFonts w:hint="cs"/>
          <w:rtl/>
          <w:lang w:bidi="ar"/>
        </w:rPr>
        <w:t xml:space="preserve"> </w:t>
      </w:r>
      <w:r w:rsidR="00BE2A3E">
        <w:rPr>
          <w:lang w:bidi="ar"/>
        </w:rPr>
        <w:t>19</w:t>
      </w:r>
      <w:r w:rsidR="00BE2A3E" w:rsidRPr="008D44B6">
        <w:rPr>
          <w:rFonts w:hint="cs"/>
          <w:rtl/>
          <w:lang w:bidi="ar"/>
        </w:rPr>
        <w:t xml:space="preserve"> من الإعلان العالمي لحقوق الإنسان والعهد الدولي الخاص بالحقوق المدنية والسياسية، والمادة </w:t>
      </w:r>
      <w:r w:rsidR="00BE2A3E">
        <w:rPr>
          <w:lang w:bidi="ar"/>
        </w:rPr>
        <w:t>33</w:t>
      </w:r>
      <w:r w:rsidR="00BE2A3E" w:rsidRPr="008D44B6">
        <w:rPr>
          <w:rFonts w:hint="cs"/>
          <w:rtl/>
          <w:lang w:bidi="ar"/>
        </w:rPr>
        <w:t xml:space="preserve"> من الدستور؛</w:t>
      </w:r>
      <w:r w:rsidR="00BE2A3E" w:rsidRPr="009920DA">
        <w:rPr>
          <w:rFonts w:hint="cs"/>
          <w:rtl/>
          <w:lang w:bidi="ar"/>
        </w:rPr>
        <w:t xml:space="preserve"> </w:t>
      </w:r>
      <w:r w:rsidR="00BE2A3E" w:rsidRPr="008D44B6">
        <w:rPr>
          <w:rFonts w:hint="cs"/>
          <w:rtl/>
          <w:lang w:bidi="ar"/>
        </w:rPr>
        <w:t>وبالتالي حماية</w:t>
      </w:r>
      <w:r w:rsidR="00BE2A3E">
        <w:rPr>
          <w:rFonts w:hint="cs"/>
          <w:rtl/>
          <w:lang w:bidi="ar"/>
        </w:rPr>
        <w:t xml:space="preserve"> حق</w:t>
      </w:r>
      <w:r w:rsidR="00BE2A3E" w:rsidRPr="008D44B6">
        <w:rPr>
          <w:rFonts w:hint="cs"/>
          <w:rtl/>
          <w:lang w:bidi="ar"/>
        </w:rPr>
        <w:t xml:space="preserve"> الوصول إلى </w:t>
      </w:r>
      <w:r w:rsidR="00BE2A3E">
        <w:rPr>
          <w:rFonts w:hint="cs"/>
          <w:rtl/>
          <w:lang w:bidi="ar"/>
        </w:rPr>
        <w:t>جميع</w:t>
      </w:r>
      <w:r w:rsidR="00BE2A3E" w:rsidRPr="008D44B6">
        <w:rPr>
          <w:rFonts w:hint="cs"/>
          <w:rtl/>
          <w:lang w:bidi="ar"/>
        </w:rPr>
        <w:t xml:space="preserve"> </w:t>
      </w:r>
      <w:r w:rsidR="00BE2A3E">
        <w:rPr>
          <w:rFonts w:hint="cs"/>
          <w:rtl/>
          <w:lang w:bidi="ar"/>
        </w:rPr>
        <w:t>وسائل ال</w:t>
      </w:r>
      <w:r w:rsidR="00BE2A3E" w:rsidRPr="008D44B6">
        <w:rPr>
          <w:rFonts w:hint="cs"/>
          <w:rtl/>
          <w:lang w:bidi="ar"/>
        </w:rPr>
        <w:t>نشر</w:t>
      </w:r>
      <w:r w:rsidR="00BE2A3E" w:rsidRPr="009920DA">
        <w:rPr>
          <w:rFonts w:hint="cs"/>
          <w:rtl/>
          <w:lang w:bidi="ar"/>
        </w:rPr>
        <w:t xml:space="preserve"> </w:t>
      </w:r>
      <w:r w:rsidR="00BE2A3E" w:rsidRPr="008D44B6">
        <w:rPr>
          <w:rFonts w:hint="cs"/>
          <w:rtl/>
          <w:lang w:bidi="ar"/>
        </w:rPr>
        <w:t xml:space="preserve">من خلال </w:t>
      </w:r>
      <w:r w:rsidR="00BE2A3E">
        <w:rPr>
          <w:rFonts w:hint="cs"/>
          <w:rtl/>
          <w:lang w:bidi="ar"/>
        </w:rPr>
        <w:t>الاتصالات</w:t>
      </w:r>
      <w:r w:rsidR="00BE2A3E" w:rsidRPr="008D44B6">
        <w:rPr>
          <w:rFonts w:hint="cs"/>
          <w:rtl/>
          <w:lang w:bidi="ar"/>
        </w:rPr>
        <w:t>/تكنولوجيا المعلومات والاتصالات في</w:t>
      </w:r>
      <w:r w:rsidR="00E83131">
        <w:rPr>
          <w:rFonts w:hint="eastAsia"/>
          <w:rtl/>
          <w:lang w:bidi="ar"/>
        </w:rPr>
        <w:t> </w:t>
      </w:r>
      <w:r w:rsidR="00BE2A3E">
        <w:rPr>
          <w:rFonts w:hint="cs"/>
          <w:rtl/>
          <w:lang w:bidi="ar"/>
        </w:rPr>
        <w:t>معرض</w:t>
      </w:r>
      <w:r w:rsidR="00BE2A3E" w:rsidRPr="008D44B6">
        <w:rPr>
          <w:rFonts w:hint="cs"/>
          <w:rtl/>
          <w:lang w:bidi="ar"/>
        </w:rPr>
        <w:t xml:space="preserve"> ممارسة هذا الحق</w:t>
      </w:r>
      <w:r w:rsidR="00BE2A3E">
        <w:rPr>
          <w:rFonts w:hint="cs"/>
          <w:rtl/>
          <w:lang w:bidi="ar"/>
        </w:rPr>
        <w:t>،</w:t>
      </w:r>
      <w:r w:rsidR="00BE2A3E" w:rsidRPr="009920DA">
        <w:rPr>
          <w:rFonts w:hint="cs"/>
          <w:rtl/>
          <w:lang w:bidi="ar"/>
        </w:rPr>
        <w:t xml:space="preserve"> </w:t>
      </w:r>
      <w:r w:rsidR="00BE2A3E" w:rsidRPr="008D44B6">
        <w:rPr>
          <w:rFonts w:hint="cs"/>
          <w:rtl/>
          <w:lang w:bidi="ar"/>
        </w:rPr>
        <w:t>فضلا</w:t>
      </w:r>
      <w:r w:rsidR="00BE2A3E">
        <w:rPr>
          <w:rFonts w:hint="cs"/>
          <w:rtl/>
          <w:lang w:bidi="ar"/>
        </w:rPr>
        <w:t>ً</w:t>
      </w:r>
      <w:r w:rsidR="00BE2A3E" w:rsidRPr="008D44B6">
        <w:rPr>
          <w:rFonts w:hint="cs"/>
          <w:rtl/>
          <w:lang w:bidi="ar"/>
        </w:rPr>
        <w:t xml:space="preserve"> عن</w:t>
      </w:r>
      <w:r w:rsidR="00BE2A3E" w:rsidRPr="001029B0">
        <w:rPr>
          <w:rFonts w:hint="cs"/>
          <w:rtl/>
          <w:lang w:bidi="ar"/>
        </w:rPr>
        <w:t xml:space="preserve"> </w:t>
      </w:r>
      <w:r w:rsidR="00BE2A3E" w:rsidRPr="008D44B6">
        <w:rPr>
          <w:rFonts w:hint="cs"/>
          <w:rtl/>
          <w:lang w:bidi="ar"/>
        </w:rPr>
        <w:t xml:space="preserve">حماية حرية التجمع السلمي وتكوين الجمعيات على </w:t>
      </w:r>
      <w:r w:rsidR="00BE2A3E">
        <w:rPr>
          <w:rFonts w:hint="cs"/>
          <w:rtl/>
          <w:lang w:bidi="ar"/>
        </w:rPr>
        <w:t xml:space="preserve">شبكة </w:t>
      </w:r>
      <w:r w:rsidR="00BE2A3E" w:rsidRPr="008D44B6">
        <w:rPr>
          <w:rFonts w:hint="cs"/>
          <w:rtl/>
          <w:lang w:bidi="ar"/>
        </w:rPr>
        <w:t>الانترنت وجميع الحقوق الأخرى التي</w:t>
      </w:r>
      <w:r w:rsidR="00BE2A3E" w:rsidRPr="009920DA">
        <w:rPr>
          <w:rFonts w:hint="cs"/>
          <w:rtl/>
          <w:lang w:bidi="ar"/>
        </w:rPr>
        <w:t xml:space="preserve"> </w:t>
      </w:r>
      <w:r w:rsidR="00BE2A3E" w:rsidRPr="008D44B6">
        <w:rPr>
          <w:rFonts w:hint="cs"/>
          <w:rtl/>
          <w:lang w:bidi="ar"/>
        </w:rPr>
        <w:t xml:space="preserve">يتعين على الدول </w:t>
      </w:r>
      <w:r w:rsidR="00BE2A3E">
        <w:rPr>
          <w:rFonts w:hint="cs"/>
          <w:rtl/>
          <w:lang w:bidi="ar"/>
        </w:rPr>
        <w:t xml:space="preserve">عدم </w:t>
      </w:r>
      <w:r w:rsidR="00BE2A3E" w:rsidRPr="008D44B6">
        <w:rPr>
          <w:rFonts w:hint="cs"/>
          <w:rtl/>
          <w:lang w:bidi="ar"/>
        </w:rPr>
        <w:t xml:space="preserve">فرض أي قيود </w:t>
      </w:r>
      <w:r w:rsidR="00BE2A3E">
        <w:rPr>
          <w:rFonts w:hint="cs"/>
          <w:rtl/>
          <w:lang w:bidi="ar"/>
        </w:rPr>
        <w:t xml:space="preserve">عليها </w:t>
      </w:r>
      <w:r w:rsidR="00BE2A3E" w:rsidRPr="008D44B6">
        <w:rPr>
          <w:rFonts w:hint="cs"/>
          <w:rtl/>
          <w:lang w:bidi="ar"/>
        </w:rPr>
        <w:t>غير تلك التي يسمح بها القانون الدولي،</w:t>
      </w:r>
      <w:r w:rsidR="00BE2A3E" w:rsidRPr="00F55E56">
        <w:rPr>
          <w:rFonts w:hint="cs"/>
          <w:rtl/>
          <w:lang w:bidi="ar"/>
        </w:rPr>
        <w:t xml:space="preserve"> </w:t>
      </w:r>
      <w:r w:rsidR="00BE2A3E">
        <w:rPr>
          <w:rFonts w:hint="cs"/>
          <w:rtl/>
          <w:lang w:bidi="ar"/>
        </w:rPr>
        <w:t>وب</w:t>
      </w:r>
      <w:r w:rsidR="00BE2A3E" w:rsidRPr="008D44B6">
        <w:rPr>
          <w:rFonts w:hint="cs"/>
          <w:rtl/>
          <w:lang w:bidi="ar"/>
        </w:rPr>
        <w:t>خاصة القانون الدولي لحقوق الإنسان</w:t>
      </w:r>
      <w:r w:rsidR="00BE2A3E">
        <w:rPr>
          <w:rFonts w:hint="cs"/>
          <w:rtl/>
          <w:lang w:bidi="ar"/>
        </w:rPr>
        <w:t xml:space="preserve"> (القرار </w:t>
      </w:r>
      <w:r w:rsidR="00BE2A3E" w:rsidRPr="008D44B6">
        <w:rPr>
          <w:lang w:bidi="ar"/>
        </w:rPr>
        <w:t>21/25</w:t>
      </w:r>
      <w:r w:rsidR="00BE2A3E">
        <w:rPr>
          <w:rFonts w:hint="cs"/>
          <w:rtl/>
          <w:lang w:bidi="ar"/>
        </w:rPr>
        <w:t xml:space="preserve"> لمجلس حقوق الإنسان</w:t>
      </w:r>
      <w:r w:rsidR="00BE2A3E">
        <w:rPr>
          <w:lang w:bidi="ar"/>
        </w:rPr>
        <w:t xml:space="preserve"> </w:t>
      </w:r>
      <w:r w:rsidR="00BE2A3E">
        <w:rPr>
          <w:rFonts w:hint="cs"/>
          <w:rtl/>
          <w:lang w:bidi="ar"/>
        </w:rPr>
        <w:t>(</w:t>
      </w:r>
      <w:r w:rsidR="00BE2A3E" w:rsidRPr="008D44B6">
        <w:rPr>
          <w:lang w:bidi="ar"/>
        </w:rPr>
        <w:t>HRC</w:t>
      </w:r>
      <w:r w:rsidR="00BE2A3E">
        <w:rPr>
          <w:rFonts w:hint="cs"/>
          <w:rtl/>
          <w:lang w:bidi="ar"/>
        </w:rPr>
        <w:t xml:space="preserve">)). </w:t>
      </w:r>
    </w:p>
    <w:p w:rsidR="00BE2A3E" w:rsidRDefault="00BE2A3E" w:rsidP="00BE2A3E">
      <w:pPr>
        <w:rPr>
          <w:lang w:bidi="ar"/>
        </w:rPr>
      </w:pPr>
      <w:r>
        <w:rPr>
          <w:lang w:bidi="ar"/>
        </w:rPr>
        <w:tab/>
      </w:r>
      <w:r>
        <w:rPr>
          <w:rFonts w:hint="cs"/>
          <w:rtl/>
          <w:lang w:bidi="ar"/>
        </w:rPr>
        <w:t>و</w:t>
      </w:r>
      <w:r w:rsidRPr="008D44B6">
        <w:rPr>
          <w:rFonts w:hint="cs"/>
          <w:rtl/>
          <w:lang w:bidi="ar"/>
        </w:rPr>
        <w:t>تقر</w:t>
      </w:r>
      <w:r w:rsidRPr="00F55E56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 xml:space="preserve">الدول الأعضاء </w:t>
      </w:r>
      <w:r>
        <w:rPr>
          <w:rFonts w:hint="cs"/>
          <w:rtl/>
          <w:lang w:bidi="ar"/>
        </w:rPr>
        <w:t>أن الحقوق نفسها التي يتمتع بها الناس غير الموصولين بشبكة الإنترنت يجب أن تصان عندما يكونون موصولين بشبكة الإنترنت،</w:t>
      </w:r>
      <w:r w:rsidRPr="001029B0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 xml:space="preserve">ولا سيما حرية </w:t>
      </w:r>
      <w:r>
        <w:rPr>
          <w:rFonts w:hint="cs"/>
          <w:rtl/>
          <w:lang w:bidi="ar"/>
        </w:rPr>
        <w:t>التعبير</w:t>
      </w:r>
      <w:r w:rsidRPr="008D44B6">
        <w:rPr>
          <w:rFonts w:hint="cs"/>
          <w:rtl/>
          <w:lang w:bidi="ar"/>
        </w:rPr>
        <w:t xml:space="preserve"> التي </w:t>
      </w:r>
      <w:r>
        <w:rPr>
          <w:rFonts w:hint="cs"/>
          <w:rtl/>
          <w:lang w:bidi="ar"/>
        </w:rPr>
        <w:t>تظل مرعية</w:t>
      </w:r>
      <w:r w:rsidRPr="008D44B6">
        <w:rPr>
          <w:rFonts w:hint="cs"/>
          <w:rtl/>
          <w:lang w:bidi="ar"/>
        </w:rPr>
        <w:t xml:space="preserve"> بغض النظر عن الحدود و</w:t>
      </w:r>
      <w:r>
        <w:rPr>
          <w:rFonts w:hint="cs"/>
          <w:rtl/>
          <w:lang w:bidi="ar"/>
        </w:rPr>
        <w:t>بأي</w:t>
      </w:r>
      <w:r w:rsidRPr="008D44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واسطة</w:t>
      </w:r>
      <w:r w:rsidRPr="008D44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يختارها المرء</w:t>
      </w:r>
      <w:r w:rsidRPr="008D44B6">
        <w:rPr>
          <w:rFonts w:hint="cs"/>
          <w:rtl/>
          <w:lang w:bidi="ar"/>
        </w:rPr>
        <w:t>، وفقا</w:t>
      </w:r>
      <w:r>
        <w:rPr>
          <w:rFonts w:hint="cs"/>
          <w:rtl/>
          <w:lang w:bidi="ar"/>
        </w:rPr>
        <w:t>ً</w:t>
      </w:r>
      <w:r w:rsidRPr="008D44B6">
        <w:rPr>
          <w:rFonts w:hint="cs"/>
          <w:rtl/>
          <w:lang w:bidi="ar"/>
        </w:rPr>
        <w:t xml:space="preserve"> للمادة </w:t>
      </w:r>
      <w:r>
        <w:rPr>
          <w:lang w:bidi="ar"/>
        </w:rPr>
        <w:t>19</w:t>
      </w:r>
      <w:r w:rsidRPr="008D44B6">
        <w:rPr>
          <w:rFonts w:hint="cs"/>
          <w:rtl/>
          <w:lang w:bidi="ar"/>
        </w:rPr>
        <w:t xml:space="preserve"> من الإعلان العالمي لحقوق الإنسان و العهد الدولي الخاص بالحقوق المدنية والسياسية؛</w:t>
      </w:r>
      <w:r>
        <w:rPr>
          <w:lang w:bidi="ar"/>
        </w:rPr>
        <w:t xml:space="preserve"> </w:t>
      </w:r>
      <w:r>
        <w:rPr>
          <w:rFonts w:hint="cs"/>
          <w:rtl/>
          <w:lang w:bidi="ar"/>
        </w:rPr>
        <w:t xml:space="preserve">(القرار </w:t>
      </w:r>
      <w:r w:rsidRPr="008D44B6">
        <w:rPr>
          <w:lang w:bidi="ar"/>
        </w:rPr>
        <w:t>20/8</w:t>
      </w:r>
      <w:r>
        <w:rPr>
          <w:rFonts w:hint="cs"/>
          <w:rtl/>
          <w:lang w:bidi="ar"/>
        </w:rPr>
        <w:t xml:space="preserve"> لمجلس حقوق الإنسان</w:t>
      </w:r>
      <w:r>
        <w:rPr>
          <w:lang w:bidi="ar"/>
        </w:rPr>
        <w:t xml:space="preserve"> </w:t>
      </w:r>
      <w:r>
        <w:rPr>
          <w:rFonts w:hint="cs"/>
          <w:rtl/>
          <w:lang w:bidi="ar"/>
        </w:rPr>
        <w:t>(</w:t>
      </w:r>
      <w:r w:rsidRPr="008D44B6">
        <w:rPr>
          <w:lang w:bidi="ar"/>
        </w:rPr>
        <w:t>HRC</w:t>
      </w:r>
      <w:r>
        <w:rPr>
          <w:rFonts w:hint="cs"/>
          <w:rtl/>
          <w:lang w:bidi="ar"/>
        </w:rPr>
        <w:t>)).</w:t>
      </w:r>
    </w:p>
    <w:p w:rsidR="00BE2A3E" w:rsidRDefault="00BE2A3E" w:rsidP="00E83131">
      <w:pPr>
        <w:rPr>
          <w:lang w:bidi="ar"/>
        </w:rPr>
      </w:pPr>
      <w:r>
        <w:rPr>
          <w:lang w:bidi="ar"/>
        </w:rPr>
        <w:lastRenderedPageBreak/>
        <w:tab/>
      </w:r>
      <w:r w:rsidRPr="008D44B6">
        <w:rPr>
          <w:rFonts w:hint="cs"/>
          <w:rtl/>
          <w:lang w:bidi="ar"/>
        </w:rPr>
        <w:t xml:space="preserve">وفي هذا الصدد، يتعين على الدول الأعضاء ضمان أن أي قيود مفروضة على ممارسة الحق في حرية التعبير عبر وسائل </w:t>
      </w:r>
      <w:r>
        <w:rPr>
          <w:rFonts w:hint="cs"/>
          <w:rtl/>
          <w:lang w:bidi="ar"/>
        </w:rPr>
        <w:t>الاتصالات</w:t>
      </w:r>
      <w:r w:rsidRPr="008D44B6">
        <w:rPr>
          <w:rFonts w:hint="cs"/>
          <w:rtl/>
          <w:lang w:bidi="ar"/>
        </w:rPr>
        <w:t xml:space="preserve">/تكنولوجيا المعلومات والاتصالات ينبغي أن </w:t>
      </w:r>
      <w:r>
        <w:rPr>
          <w:rFonts w:hint="cs"/>
          <w:rtl/>
          <w:lang w:bidi="ar"/>
        </w:rPr>
        <w:t>تتفق</w:t>
      </w:r>
      <w:r w:rsidRPr="008D44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وا</w:t>
      </w:r>
      <w:r w:rsidRPr="008D44B6">
        <w:rPr>
          <w:rFonts w:hint="cs"/>
          <w:rtl/>
          <w:lang w:bidi="ar"/>
        </w:rPr>
        <w:t xml:space="preserve">لمعايير المنصوص عليها في المادة </w:t>
      </w:r>
      <w:r>
        <w:rPr>
          <w:lang w:bidi="ar"/>
        </w:rPr>
        <w:t>34</w:t>
      </w:r>
      <w:r w:rsidRPr="008D44B6">
        <w:rPr>
          <w:rFonts w:hint="cs"/>
          <w:rtl/>
          <w:lang w:bidi="ar"/>
        </w:rPr>
        <w:t xml:space="preserve"> من الدستور والمادة</w:t>
      </w:r>
      <w:r w:rsidR="00C9000F">
        <w:rPr>
          <w:rFonts w:hint="eastAsia"/>
          <w:rtl/>
          <w:lang w:bidi="ar"/>
        </w:rPr>
        <w:t> </w:t>
      </w:r>
      <w:r>
        <w:rPr>
          <w:lang w:bidi="ar"/>
        </w:rPr>
        <w:t>19</w:t>
      </w:r>
      <w:r w:rsidRPr="008D44B6">
        <w:rPr>
          <w:rFonts w:hint="cs"/>
          <w:rtl/>
          <w:lang w:bidi="ar"/>
        </w:rPr>
        <w:t xml:space="preserve"> من العهد الدولي الخاص بالحقوق المدنية والسياسية</w:t>
      </w:r>
      <w:r>
        <w:rPr>
          <w:rFonts w:hint="cs"/>
          <w:rtl/>
          <w:lang w:bidi="ar"/>
        </w:rPr>
        <w:t>.</w:t>
      </w:r>
    </w:p>
    <w:p w:rsidR="00500C2A" w:rsidRPr="00B4082A" w:rsidRDefault="00174D64" w:rsidP="00C9000F">
      <w:pPr>
        <w:pStyle w:val="Reasons"/>
        <w:rPr>
          <w:b w:val="0"/>
          <w:bCs w:val="0"/>
          <w:lang w:bidi="ar"/>
        </w:rPr>
      </w:pPr>
      <w:r>
        <w:rPr>
          <w:rtl/>
        </w:rPr>
        <w:t>الأسباب:</w:t>
      </w:r>
      <w:r>
        <w:tab/>
      </w:r>
      <w:bookmarkStart w:id="1" w:name="_GoBack"/>
      <w:r w:rsidR="00BE2A3E" w:rsidRPr="00B4082A">
        <w:rPr>
          <w:rFonts w:hint="cs"/>
          <w:b w:val="0"/>
          <w:bCs w:val="0"/>
          <w:rtl/>
          <w:lang w:bidi="ar-EG"/>
        </w:rPr>
        <w:t>من شأن هذه</w:t>
      </w:r>
      <w:r w:rsidR="00BE2A3E" w:rsidRPr="00B4082A">
        <w:rPr>
          <w:rFonts w:hint="cs"/>
          <w:b w:val="0"/>
          <w:bCs w:val="0"/>
          <w:rtl/>
          <w:lang w:bidi="ar"/>
        </w:rPr>
        <w:t xml:space="preserve"> الإضافة أن تضمن احترام أحكام حماية الخصوصية وحرية التعبير في تنفيذ لوائح الاتصالات</w:t>
      </w:r>
      <w:r w:rsidR="00C9000F" w:rsidRPr="00B4082A">
        <w:rPr>
          <w:rFonts w:hint="eastAsia"/>
          <w:b w:val="0"/>
          <w:bCs w:val="0"/>
          <w:rtl/>
          <w:lang w:bidi="ar"/>
        </w:rPr>
        <w:t> </w:t>
      </w:r>
      <w:r w:rsidR="00BE2A3E" w:rsidRPr="00B4082A">
        <w:rPr>
          <w:rFonts w:hint="cs"/>
          <w:b w:val="0"/>
          <w:bCs w:val="0"/>
          <w:rtl/>
          <w:lang w:bidi="ar"/>
        </w:rPr>
        <w:t>الدولية.</w:t>
      </w:r>
    </w:p>
    <w:bookmarkEnd w:id="1"/>
    <w:p w:rsidR="00500C2A" w:rsidRDefault="00174D64">
      <w:pPr>
        <w:pStyle w:val="Proposal"/>
      </w:pPr>
      <w:r>
        <w:t>ADD</w:t>
      </w:r>
      <w:r>
        <w:tab/>
      </w:r>
      <w:r w:rsidRPr="00BE2A3E">
        <w:rPr>
          <w:b w:val="0"/>
          <w:bCs w:val="0"/>
        </w:rPr>
        <w:t>TUN/25/2</w:t>
      </w:r>
      <w:r>
        <w:rPr>
          <w:vanish/>
          <w:color w:val="7F7F7F" w:themeColor="text1" w:themeTint="80"/>
          <w:vertAlign w:val="superscript"/>
        </w:rPr>
        <w:t>#11115</w:t>
      </w:r>
    </w:p>
    <w:p w:rsidR="00E2693A" w:rsidRPr="008E2699" w:rsidRDefault="00174D64" w:rsidP="008E2699">
      <w:pPr>
        <w:pStyle w:val="ArtNo"/>
        <w:tabs>
          <w:tab w:val="center" w:pos="4819"/>
          <w:tab w:val="left" w:pos="8372"/>
        </w:tabs>
        <w:rPr>
          <w:rFonts w:ascii="Calibri" w:hAnsi="Calibri"/>
          <w:lang w:bidi="ar-SA"/>
        </w:rPr>
      </w:pPr>
      <w:r w:rsidRPr="00411B08">
        <w:rPr>
          <w:rFonts w:ascii="Calibri" w:hAnsi="Calibri"/>
          <w:rtl/>
        </w:rPr>
        <w:t xml:space="preserve">المـادة </w:t>
      </w:r>
      <w:r w:rsidRPr="00411B08">
        <w:rPr>
          <w:rFonts w:ascii="Calibri" w:hAnsi="Calibri"/>
        </w:rPr>
        <w:t>5A</w:t>
      </w:r>
    </w:p>
    <w:p w:rsidR="00E2693A" w:rsidRPr="00411B08" w:rsidRDefault="00174D64" w:rsidP="001118EC">
      <w:pPr>
        <w:pStyle w:val="ArtTitle0"/>
        <w:rPr>
          <w:rFonts w:ascii="Calibri" w:hAnsi="Calibri"/>
          <w:rtl/>
        </w:rPr>
      </w:pPr>
      <w:r w:rsidRPr="00411B08">
        <w:rPr>
          <w:rFonts w:ascii="Calibri" w:hAnsi="Calibri" w:hint="cs"/>
          <w:rtl/>
        </w:rPr>
        <w:t>الثقة والأمن في الاتصالات/تكنولوجيا المعلومات والاتصالات</w:t>
      </w:r>
    </w:p>
    <w:p w:rsidR="00500C2A" w:rsidRDefault="00500C2A">
      <w:pPr>
        <w:pStyle w:val="Reasons"/>
      </w:pPr>
    </w:p>
    <w:p w:rsidR="00500C2A" w:rsidRDefault="00174D64">
      <w:pPr>
        <w:pStyle w:val="Proposal"/>
      </w:pPr>
      <w:r>
        <w:t>ADD</w:t>
      </w:r>
      <w:r>
        <w:tab/>
      </w:r>
      <w:r w:rsidRPr="00DC3EF1">
        <w:rPr>
          <w:b w:val="0"/>
          <w:bCs w:val="0"/>
        </w:rPr>
        <w:t>TUN/25/3</w:t>
      </w:r>
    </w:p>
    <w:p w:rsidR="00174D64" w:rsidRPr="00FC0F23" w:rsidRDefault="00174D64" w:rsidP="00C9000F">
      <w:pPr>
        <w:rPr>
          <w:rtl/>
          <w:lang w:bidi="ar-EG"/>
        </w:rPr>
      </w:pPr>
      <w:r>
        <w:rPr>
          <w:lang w:bidi="ar-EG"/>
        </w:rPr>
        <w:t>41A</w:t>
      </w:r>
      <w:r>
        <w:rPr>
          <w:lang w:bidi="ar-EG"/>
        </w:rPr>
        <w:tab/>
      </w:r>
      <w:r>
        <w:rPr>
          <w:rFonts w:hint="cs"/>
          <w:rtl/>
          <w:lang w:bidi="ar"/>
        </w:rPr>
        <w:t>لدى</w:t>
      </w:r>
      <w:r w:rsidRPr="008D44B6">
        <w:rPr>
          <w:rFonts w:hint="cs"/>
          <w:rtl/>
          <w:lang w:bidi="ar"/>
        </w:rPr>
        <w:t xml:space="preserve"> تطبيق أحكام هذه </w:t>
      </w:r>
      <w:r>
        <w:rPr>
          <w:rFonts w:hint="cs"/>
          <w:rtl/>
          <w:lang w:bidi="ar"/>
        </w:rPr>
        <w:t>اللوائح</w:t>
      </w:r>
      <w:r w:rsidRPr="008D44B6">
        <w:rPr>
          <w:rFonts w:hint="cs"/>
          <w:rtl/>
          <w:lang w:bidi="ar"/>
        </w:rPr>
        <w:t>، يتعين على الدول الأعضاء حماية</w:t>
      </w:r>
      <w:r w:rsidRPr="009920DA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 xml:space="preserve">الحق في حرية التعبير </w:t>
      </w:r>
      <w:r>
        <w:rPr>
          <w:rFonts w:hint="cs"/>
          <w:rtl/>
          <w:lang w:bidi="ar"/>
        </w:rPr>
        <w:t>على النحو الذي ت</w:t>
      </w:r>
      <w:r w:rsidRPr="008D44B6">
        <w:rPr>
          <w:rFonts w:hint="cs"/>
          <w:rtl/>
          <w:lang w:bidi="ar"/>
        </w:rPr>
        <w:t xml:space="preserve">قره </w:t>
      </w:r>
      <w:r>
        <w:rPr>
          <w:rFonts w:hint="cs"/>
          <w:rtl/>
          <w:lang w:bidi="ar"/>
        </w:rPr>
        <w:t>المادة</w:t>
      </w:r>
      <w:r w:rsidRPr="008D44B6">
        <w:rPr>
          <w:rFonts w:hint="cs"/>
          <w:rtl/>
          <w:lang w:bidi="ar"/>
        </w:rPr>
        <w:t xml:space="preserve"> </w:t>
      </w:r>
      <w:r>
        <w:rPr>
          <w:lang w:bidi="ar"/>
        </w:rPr>
        <w:t>19</w:t>
      </w:r>
      <w:r w:rsidRPr="008D44B6">
        <w:rPr>
          <w:rFonts w:hint="cs"/>
          <w:rtl/>
          <w:lang w:bidi="ar"/>
        </w:rPr>
        <w:t xml:space="preserve"> من الإعلان العالمي لحقوق الإنسان والعهد الدولي الخاص بالحقوق المدنية والسياسية، والمادة </w:t>
      </w:r>
      <w:r>
        <w:rPr>
          <w:lang w:bidi="ar"/>
        </w:rPr>
        <w:t>33</w:t>
      </w:r>
      <w:r w:rsidRPr="008D44B6">
        <w:rPr>
          <w:rFonts w:hint="cs"/>
          <w:rtl/>
          <w:lang w:bidi="ar"/>
        </w:rPr>
        <w:t xml:space="preserve"> من الدستور؛</w:t>
      </w:r>
      <w:r w:rsidRPr="009920DA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>وبالتالي حماية</w:t>
      </w:r>
      <w:r>
        <w:rPr>
          <w:rFonts w:hint="cs"/>
          <w:rtl/>
          <w:lang w:bidi="ar"/>
        </w:rPr>
        <w:t xml:space="preserve"> حق</w:t>
      </w:r>
      <w:r w:rsidRPr="008D44B6">
        <w:rPr>
          <w:rFonts w:hint="cs"/>
          <w:rtl/>
          <w:lang w:bidi="ar"/>
        </w:rPr>
        <w:t xml:space="preserve"> الوصول إلى </w:t>
      </w:r>
      <w:r>
        <w:rPr>
          <w:rFonts w:hint="cs"/>
          <w:rtl/>
          <w:lang w:bidi="ar"/>
        </w:rPr>
        <w:t>جميع</w:t>
      </w:r>
      <w:r w:rsidRPr="008D44B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وسائل ال</w:t>
      </w:r>
      <w:r w:rsidRPr="008D44B6">
        <w:rPr>
          <w:rFonts w:hint="cs"/>
          <w:rtl/>
          <w:lang w:bidi="ar"/>
        </w:rPr>
        <w:t>نشر</w:t>
      </w:r>
      <w:r w:rsidRPr="009920DA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 xml:space="preserve">من خلال </w:t>
      </w:r>
      <w:r>
        <w:rPr>
          <w:rFonts w:hint="cs"/>
          <w:rtl/>
          <w:lang w:bidi="ar"/>
        </w:rPr>
        <w:t>الاتصالات</w:t>
      </w:r>
      <w:r w:rsidRPr="008D44B6">
        <w:rPr>
          <w:rFonts w:hint="cs"/>
          <w:rtl/>
          <w:lang w:bidi="ar"/>
        </w:rPr>
        <w:t>/تكنولوجيا المعلومات والاتصالات في</w:t>
      </w:r>
      <w:r>
        <w:rPr>
          <w:rFonts w:hint="cs"/>
          <w:rtl/>
          <w:lang w:bidi="ar"/>
        </w:rPr>
        <w:t xml:space="preserve"> معرض</w:t>
      </w:r>
      <w:r w:rsidRPr="008D44B6">
        <w:rPr>
          <w:rFonts w:hint="cs"/>
          <w:rtl/>
          <w:lang w:bidi="ar"/>
        </w:rPr>
        <w:t xml:space="preserve"> ممارسة هذا الحق</w:t>
      </w:r>
      <w:r>
        <w:rPr>
          <w:rFonts w:hint="cs"/>
          <w:rtl/>
          <w:lang w:bidi="ar"/>
        </w:rPr>
        <w:t>،</w:t>
      </w:r>
      <w:r w:rsidRPr="009920DA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>فضلا</w:t>
      </w:r>
      <w:r>
        <w:rPr>
          <w:rFonts w:hint="cs"/>
          <w:rtl/>
          <w:lang w:bidi="ar"/>
        </w:rPr>
        <w:t>ً</w:t>
      </w:r>
      <w:r w:rsidRPr="008D44B6">
        <w:rPr>
          <w:rFonts w:hint="cs"/>
          <w:rtl/>
          <w:lang w:bidi="ar"/>
        </w:rPr>
        <w:t xml:space="preserve"> عن</w:t>
      </w:r>
      <w:r w:rsidRPr="001029B0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 xml:space="preserve">حماية حرية التجمع السلمي وتكوين الجمعيات على </w:t>
      </w:r>
      <w:r>
        <w:rPr>
          <w:rFonts w:hint="cs"/>
          <w:rtl/>
          <w:lang w:bidi="ar"/>
        </w:rPr>
        <w:t xml:space="preserve">شبكة </w:t>
      </w:r>
      <w:r w:rsidRPr="008D44B6">
        <w:rPr>
          <w:rFonts w:hint="cs"/>
          <w:rtl/>
          <w:lang w:bidi="ar"/>
        </w:rPr>
        <w:t>الانترنت وجميع الحقوق الأخرى التي</w:t>
      </w:r>
      <w:r w:rsidRPr="009920DA">
        <w:rPr>
          <w:rFonts w:hint="cs"/>
          <w:rtl/>
          <w:lang w:bidi="ar"/>
        </w:rPr>
        <w:t xml:space="preserve"> </w:t>
      </w:r>
      <w:r w:rsidRPr="008D44B6">
        <w:rPr>
          <w:rFonts w:hint="cs"/>
          <w:rtl/>
          <w:lang w:bidi="ar"/>
        </w:rPr>
        <w:t xml:space="preserve">يتعين على الدول </w:t>
      </w:r>
      <w:r>
        <w:rPr>
          <w:rFonts w:hint="cs"/>
          <w:rtl/>
          <w:lang w:bidi="ar"/>
        </w:rPr>
        <w:t xml:space="preserve">عدم </w:t>
      </w:r>
      <w:r w:rsidRPr="008D44B6">
        <w:rPr>
          <w:rFonts w:hint="cs"/>
          <w:rtl/>
          <w:lang w:bidi="ar"/>
        </w:rPr>
        <w:t xml:space="preserve">فرض أي قيود </w:t>
      </w:r>
      <w:r>
        <w:rPr>
          <w:rFonts w:hint="cs"/>
          <w:rtl/>
          <w:lang w:bidi="ar"/>
        </w:rPr>
        <w:t xml:space="preserve">عليها </w:t>
      </w:r>
      <w:r w:rsidRPr="008D44B6">
        <w:rPr>
          <w:rFonts w:hint="cs"/>
          <w:rtl/>
          <w:lang w:bidi="ar"/>
        </w:rPr>
        <w:t>غير تلك التي يسمح بها القانون الدولي،</w:t>
      </w:r>
      <w:r w:rsidRPr="00F55E5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وب</w:t>
      </w:r>
      <w:r w:rsidRPr="008D44B6">
        <w:rPr>
          <w:rFonts w:hint="cs"/>
          <w:rtl/>
          <w:lang w:bidi="ar"/>
        </w:rPr>
        <w:t>خاصة القانون الدولي لحقوق الإنسان</w:t>
      </w:r>
      <w:r>
        <w:rPr>
          <w:rFonts w:hint="cs"/>
          <w:rtl/>
          <w:lang w:bidi="ar"/>
        </w:rPr>
        <w:t xml:space="preserve"> (القرار </w:t>
      </w:r>
      <w:r w:rsidRPr="008D44B6">
        <w:rPr>
          <w:lang w:bidi="ar"/>
        </w:rPr>
        <w:t>21/25</w:t>
      </w:r>
      <w:r>
        <w:rPr>
          <w:rFonts w:hint="cs"/>
          <w:rtl/>
          <w:lang w:bidi="ar"/>
        </w:rPr>
        <w:t xml:space="preserve"> لمجلس حقوق الإنسان</w:t>
      </w:r>
      <w:r>
        <w:rPr>
          <w:lang w:bidi="ar"/>
        </w:rPr>
        <w:t xml:space="preserve"> </w:t>
      </w:r>
      <w:r>
        <w:rPr>
          <w:rFonts w:hint="cs"/>
          <w:rtl/>
          <w:lang w:bidi="ar"/>
        </w:rPr>
        <w:t>(</w:t>
      </w:r>
      <w:r w:rsidRPr="008D44B6">
        <w:rPr>
          <w:lang w:bidi="ar"/>
        </w:rPr>
        <w:t>HRC</w:t>
      </w:r>
      <w:r>
        <w:rPr>
          <w:rFonts w:hint="cs"/>
          <w:rtl/>
          <w:lang w:bidi="ar"/>
        </w:rPr>
        <w:t>)).</w:t>
      </w:r>
    </w:p>
    <w:p w:rsidR="00500C2A" w:rsidRDefault="00174D64" w:rsidP="00C9000F">
      <w:pPr>
        <w:pStyle w:val="Reasons"/>
        <w:rPr>
          <w:rFonts w:hint="cs"/>
          <w:b w:val="0"/>
          <w:bCs w:val="0"/>
          <w:rtl/>
        </w:rPr>
      </w:pPr>
      <w:r>
        <w:rPr>
          <w:rtl/>
        </w:rPr>
        <w:t>الأسباب:</w:t>
      </w:r>
      <w:r w:rsidRPr="00174D64">
        <w:rPr>
          <w:b w:val="0"/>
          <w:bCs w:val="0"/>
        </w:rPr>
        <w:tab/>
      </w:r>
      <w:r w:rsidRPr="00174D64">
        <w:rPr>
          <w:rFonts w:hint="cs"/>
          <w:b w:val="0"/>
          <w:bCs w:val="0"/>
          <w:rtl/>
          <w:lang w:bidi="ar"/>
        </w:rPr>
        <w:t xml:space="preserve">سيضمن إدخال الفقرة </w:t>
      </w:r>
      <w:r w:rsidRPr="00174D64">
        <w:rPr>
          <w:b w:val="0"/>
          <w:bCs w:val="0"/>
          <w:lang w:bidi="ar-EG"/>
        </w:rPr>
        <w:t>41A</w:t>
      </w:r>
      <w:r w:rsidRPr="00174D64">
        <w:rPr>
          <w:rFonts w:hint="cs"/>
          <w:b w:val="0"/>
          <w:bCs w:val="0"/>
          <w:rtl/>
          <w:lang w:bidi="ar-EG"/>
        </w:rPr>
        <w:t xml:space="preserve"> </w:t>
      </w:r>
      <w:r w:rsidRPr="00174D64">
        <w:rPr>
          <w:b w:val="0"/>
          <w:bCs w:val="0"/>
          <w:rtl/>
          <w:lang w:bidi="ar"/>
        </w:rPr>
        <w:t>الجديدة أن أي فقرات</w:t>
      </w:r>
      <w:r w:rsidRPr="00174D64">
        <w:rPr>
          <w:rFonts w:hint="cs"/>
          <w:b w:val="0"/>
          <w:bCs w:val="0"/>
          <w:rtl/>
          <w:lang w:bidi="ar"/>
        </w:rPr>
        <w:t xml:space="preserve"> تعقبها في إطار المادة </w:t>
      </w:r>
      <w:r w:rsidRPr="00174D64">
        <w:rPr>
          <w:b w:val="0"/>
          <w:bCs w:val="0"/>
        </w:rPr>
        <w:t>5A</w:t>
      </w:r>
      <w:r w:rsidRPr="00174D64">
        <w:rPr>
          <w:rFonts w:hint="cs"/>
          <w:b w:val="0"/>
          <w:bCs w:val="0"/>
          <w:rtl/>
        </w:rPr>
        <w:t xml:space="preserve"> </w:t>
      </w:r>
      <w:r w:rsidRPr="00174D64">
        <w:rPr>
          <w:b w:val="0"/>
          <w:bCs w:val="0"/>
          <w:rtl/>
          <w:lang w:bidi="ar"/>
        </w:rPr>
        <w:t>ستحترم أحكام حماية الخصوصية وحرية التعبير المنصوص عليها في</w:t>
      </w:r>
      <w:r w:rsidRPr="00174D64">
        <w:rPr>
          <w:rFonts w:hint="cs"/>
          <w:b w:val="0"/>
          <w:bCs w:val="0"/>
          <w:rtl/>
          <w:lang w:bidi="ar"/>
        </w:rPr>
        <w:t xml:space="preserve"> الفقرة </w:t>
      </w:r>
      <w:r w:rsidRPr="00174D64">
        <w:rPr>
          <w:b w:val="0"/>
          <w:bCs w:val="0"/>
          <w:lang w:bidi="ar-EG"/>
        </w:rPr>
        <w:t>41A</w:t>
      </w:r>
      <w:r w:rsidRPr="00174D64">
        <w:rPr>
          <w:rFonts w:hint="cs"/>
          <w:b w:val="0"/>
          <w:bCs w:val="0"/>
          <w:rtl/>
          <w:lang w:bidi="ar-EG"/>
        </w:rPr>
        <w:t xml:space="preserve"> المقترحة هذه.</w:t>
      </w:r>
    </w:p>
    <w:p w:rsidR="00A25496" w:rsidRDefault="00A25496" w:rsidP="00A25496">
      <w:pPr>
        <w:pStyle w:val="Reasons"/>
      </w:pPr>
    </w:p>
    <w:p w:rsidR="00A25496" w:rsidRPr="00A25496" w:rsidRDefault="00A25496" w:rsidP="00A25496">
      <w:pPr>
        <w:jc w:val="center"/>
        <w:rPr>
          <w:rFonts w:hint="cs"/>
          <w:rtl/>
          <w:lang w:bidi="ar-EG"/>
        </w:rPr>
      </w:pPr>
      <w:r>
        <w:rPr>
          <w:rFonts w:hint="cs"/>
          <w:rtl/>
        </w:rPr>
        <w:t>___________</w:t>
      </w:r>
    </w:p>
    <w:sectPr w:rsidR="00A25496" w:rsidRPr="00A2549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9" w:rsidRDefault="00245C49" w:rsidP="002919E1">
      <w:r>
        <w:separator/>
      </w:r>
    </w:p>
    <w:p w:rsidR="00245C49" w:rsidRDefault="00245C49" w:rsidP="002919E1"/>
    <w:p w:rsidR="00245C49" w:rsidRDefault="00245C49" w:rsidP="002919E1"/>
    <w:p w:rsidR="00245C49" w:rsidRDefault="00245C49"/>
  </w:endnote>
  <w:end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336C1A" w:rsidRDefault="00281F5F" w:rsidP="00BE2A3E">
    <w:pPr>
      <w:pStyle w:val="Footer"/>
      <w:tabs>
        <w:tab w:val="clear" w:pos="2268"/>
        <w:tab w:val="clear" w:pos="5812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FD107F">
      <w:rPr>
        <w:noProof/>
      </w:rPr>
      <w:t>P:\ARA\SG\CONF-SG\WCIT12\000\025A.docx</w:t>
    </w:r>
    <w:r w:rsidRPr="00CB4300">
      <w:fldChar w:fldCharType="end"/>
    </w:r>
    <w:r w:rsidRPr="00336C1A">
      <w:t xml:space="preserve">  (</w:t>
    </w:r>
    <w:r w:rsidR="00BE2A3E">
      <w:t>335123</w:t>
    </w:r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D107F">
      <w:rPr>
        <w:noProof/>
      </w:rPr>
      <w:t>17.11.12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D107F">
      <w:rPr>
        <w:noProof/>
      </w:rPr>
      <w:t>17.11.12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336C1A" w:rsidRDefault="00281F5F" w:rsidP="00BE2A3E">
    <w:pPr>
      <w:pStyle w:val="Footer"/>
      <w:tabs>
        <w:tab w:val="clear" w:pos="2268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FD107F">
      <w:rPr>
        <w:noProof/>
      </w:rPr>
      <w:t>P:\ARA\SG\CONF-SG\WCIT12\000\025A.docx</w:t>
    </w:r>
    <w:r>
      <w:fldChar w:fldCharType="end"/>
    </w:r>
    <w:r w:rsidRPr="00336C1A">
      <w:t xml:space="preserve">   (</w:t>
    </w:r>
    <w:r w:rsidR="00BE2A3E">
      <w:t>335123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D107F">
      <w:rPr>
        <w:noProof/>
      </w:rPr>
      <w:t>17.11.12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D107F">
      <w:rPr>
        <w:noProof/>
      </w:rPr>
      <w:t>17.11.12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9" w:rsidRDefault="00245C49" w:rsidP="002919E1">
      <w:r>
        <w:t>___________________</w:t>
      </w:r>
    </w:p>
  </w:footnote>
  <w:foot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642AE0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4082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36C1A">
      <w:rPr>
        <w:rStyle w:val="PageNumber"/>
      </w:rPr>
      <w:t>WCIT</w:t>
    </w:r>
    <w:r w:rsidRPr="0088384B">
      <w:rPr>
        <w:rStyle w:val="PageNumber"/>
      </w:rPr>
      <w:t>12</w:t>
    </w:r>
    <w:r w:rsidR="00642AE0" w:rsidRPr="0088384B">
      <w:rPr>
        <w:rStyle w:val="PageNumber"/>
      </w:rPr>
      <w:t>/</w:t>
    </w:r>
    <w:r w:rsidR="00642AE0">
      <w:rPr>
        <w:rStyle w:val="PageNumber"/>
      </w:rPr>
      <w:t>25-</w:t>
    </w:r>
    <w:r w:rsidR="00642AE0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0A3B"/>
    <w:rsid w:val="000F518F"/>
    <w:rsid w:val="0010081C"/>
    <w:rsid w:val="001013E3"/>
    <w:rsid w:val="001118EC"/>
    <w:rsid w:val="001464F2"/>
    <w:rsid w:val="00167364"/>
    <w:rsid w:val="00174D64"/>
    <w:rsid w:val="001903B2"/>
    <w:rsid w:val="001E190C"/>
    <w:rsid w:val="001E54F6"/>
    <w:rsid w:val="001E5A8C"/>
    <w:rsid w:val="00201A0A"/>
    <w:rsid w:val="002075D4"/>
    <w:rsid w:val="00211B2A"/>
    <w:rsid w:val="00232325"/>
    <w:rsid w:val="002333A0"/>
    <w:rsid w:val="00245C49"/>
    <w:rsid w:val="002543CF"/>
    <w:rsid w:val="0025779C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EE6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500C2A"/>
    <w:rsid w:val="00505FCA"/>
    <w:rsid w:val="005169F4"/>
    <w:rsid w:val="005210D1"/>
    <w:rsid w:val="00523146"/>
    <w:rsid w:val="00523275"/>
    <w:rsid w:val="00531DC7"/>
    <w:rsid w:val="005350B0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42AE0"/>
    <w:rsid w:val="0065562F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400BD"/>
    <w:rsid w:val="00951718"/>
    <w:rsid w:val="00960962"/>
    <w:rsid w:val="00972CE0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5496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082A"/>
    <w:rsid w:val="00B4164D"/>
    <w:rsid w:val="00B425C1"/>
    <w:rsid w:val="00B42C64"/>
    <w:rsid w:val="00B606BA"/>
    <w:rsid w:val="00B66817"/>
    <w:rsid w:val="00B71E3B"/>
    <w:rsid w:val="00B721D5"/>
    <w:rsid w:val="00B81CB5"/>
    <w:rsid w:val="00B8351F"/>
    <w:rsid w:val="00B86C44"/>
    <w:rsid w:val="00BA7D44"/>
    <w:rsid w:val="00BC70AE"/>
    <w:rsid w:val="00BD6EF3"/>
    <w:rsid w:val="00BE2A3E"/>
    <w:rsid w:val="00BE69C3"/>
    <w:rsid w:val="00C057D0"/>
    <w:rsid w:val="00C1165E"/>
    <w:rsid w:val="00C22074"/>
    <w:rsid w:val="00C2377B"/>
    <w:rsid w:val="00C3693C"/>
    <w:rsid w:val="00C53F6F"/>
    <w:rsid w:val="00C5489D"/>
    <w:rsid w:val="00C64686"/>
    <w:rsid w:val="00C71759"/>
    <w:rsid w:val="00C8199C"/>
    <w:rsid w:val="00C84112"/>
    <w:rsid w:val="00C841EB"/>
    <w:rsid w:val="00C8665F"/>
    <w:rsid w:val="00C9000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3EF1"/>
    <w:rsid w:val="00DC7C0E"/>
    <w:rsid w:val="00DF2A6A"/>
    <w:rsid w:val="00DF3B72"/>
    <w:rsid w:val="00E22C9B"/>
    <w:rsid w:val="00E2489D"/>
    <w:rsid w:val="00E26520"/>
    <w:rsid w:val="00E343A3"/>
    <w:rsid w:val="00E51BFA"/>
    <w:rsid w:val="00E621A3"/>
    <w:rsid w:val="00E83131"/>
    <w:rsid w:val="00E833BC"/>
    <w:rsid w:val="00E8580E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107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paragraph" w:customStyle="1" w:styleId="ArtTitle0">
    <w:name w:val="Art_Title"/>
    <w:basedOn w:val="Normal"/>
    <w:qFormat/>
    <w:rsid w:val="00E2693A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Partref">
    <w:name w:val="Part_ref"/>
    <w:basedOn w:val="Normal"/>
    <w:next w:val="Normal"/>
    <w:rsid w:val="00BE2A3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paragraph" w:customStyle="1" w:styleId="ArtTitle0">
    <w:name w:val="Art_Title"/>
    <w:basedOn w:val="Normal"/>
    <w:qFormat/>
    <w:rsid w:val="00E2693A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Partref">
    <w:name w:val="Part_ref"/>
    <w:basedOn w:val="Normal"/>
    <w:next w:val="Normal"/>
    <w:rsid w:val="00BE2A3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7B5E-EE5B-4394-9CF0-2E7630A6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30</TotalTime>
  <Pages>2</Pages>
  <Words>420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S12-WCIT12-C-0025!!MSW-A</vt:lpstr>
    </vt:vector>
  </TitlesOfParts>
  <Manager>General Secretariat - Pool</Manager>
  <Company>International Telecommunication Union (ITU)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S12-WCIT12-C-0025!!MSW-A</dc:title>
  <dc:subject>World Conference on International Telecommunications (WCIT)</dc:subject>
  <dc:creator>Documents Proposals Manager (DPM)</dc:creator>
  <cp:keywords>DPM_v5.3.5.0_prod</cp:keywords>
  <cp:lastModifiedBy>Elbahnassawy, Abdallah</cp:lastModifiedBy>
  <cp:revision>14</cp:revision>
  <cp:lastPrinted>2012-11-17T16:14:00Z</cp:lastPrinted>
  <dcterms:created xsi:type="dcterms:W3CDTF">2012-11-17T15:48:00Z</dcterms:created>
  <dcterms:modified xsi:type="dcterms:W3CDTF">2012-11-17T16:25:00Z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